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DB5674" w:rsidTr="00D8177C">
        <w:trPr>
          <w:cantSplit/>
        </w:trPr>
        <w:tc>
          <w:tcPr>
            <w:tcW w:w="6449" w:type="dxa"/>
            <w:vAlign w:val="center"/>
          </w:tcPr>
          <w:p w:rsidR="00DB5674" w:rsidRPr="00017ADF" w:rsidRDefault="00F815DC" w:rsidP="00CF5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Verohallinto</w:t>
            </w:r>
          </w:p>
        </w:tc>
        <w:tc>
          <w:tcPr>
            <w:tcW w:w="2977" w:type="dxa"/>
          </w:tcPr>
          <w:p w:rsidR="00DB5674" w:rsidRDefault="00F273D2">
            <w:r>
              <w:rPr>
                <w:b/>
                <w:sz w:val="20"/>
              </w:rPr>
              <w:t>Lausunto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1F540C" w:rsidP="00CF5BCA">
            <w:pPr>
              <w:rPr>
                <w:rFonts w:cs="Arial"/>
                <w:sz w:val="16"/>
                <w:szCs w:val="16"/>
              </w:rPr>
            </w:pPr>
            <w:bookmarkStart w:id="0" w:name="Postiosoite_FI"/>
            <w:r>
              <w:rPr>
                <w:rFonts w:cs="Arial"/>
                <w:sz w:val="16"/>
                <w:szCs w:val="16"/>
              </w:rPr>
              <w:t>PL 325</w:t>
            </w:r>
            <w:bookmarkEnd w:id="0"/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1F540C" w:rsidP="00CF5BCA">
            <w:pPr>
              <w:rPr>
                <w:rFonts w:cs="Arial"/>
                <w:sz w:val="16"/>
                <w:szCs w:val="16"/>
              </w:rPr>
            </w:pPr>
            <w:bookmarkStart w:id="1" w:name="Postinumero_FI"/>
            <w:r>
              <w:rPr>
                <w:rFonts w:cs="Arial"/>
                <w:sz w:val="16"/>
                <w:szCs w:val="16"/>
              </w:rPr>
              <w:t>00052</w:t>
            </w:r>
            <w:bookmarkEnd w:id="1"/>
            <w:r w:rsidR="00DB5674" w:rsidRPr="00017ADF">
              <w:rPr>
                <w:rFonts w:cs="Arial"/>
                <w:sz w:val="16"/>
                <w:szCs w:val="16"/>
              </w:rPr>
              <w:t xml:space="preserve"> </w:t>
            </w:r>
            <w:bookmarkStart w:id="2" w:name="Postitoimipaikka_FI"/>
            <w:r>
              <w:rPr>
                <w:rFonts w:cs="Arial"/>
                <w:sz w:val="16"/>
                <w:szCs w:val="16"/>
              </w:rPr>
              <w:t>VERO</w:t>
            </w:r>
            <w:bookmarkEnd w:id="2"/>
          </w:p>
        </w:tc>
        <w:tc>
          <w:tcPr>
            <w:tcW w:w="2977" w:type="dxa"/>
          </w:tcPr>
          <w:p w:rsidR="00DB5674" w:rsidRPr="00EA4777" w:rsidRDefault="00DB5674">
            <w:pPr>
              <w:rPr>
                <w:sz w:val="18"/>
                <w:szCs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7B1389" w:rsidRDefault="00DB5674" w:rsidP="00CF5BCA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7B1389" w:rsidRDefault="00650DC2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B1389">
              <w:rPr>
                <w:rFonts w:cs="Arial"/>
                <w:sz w:val="18"/>
                <w:szCs w:val="18"/>
              </w:rPr>
              <w:t>Työ- ja elinkeinoministeriö</w:t>
            </w:r>
          </w:p>
        </w:tc>
        <w:tc>
          <w:tcPr>
            <w:tcW w:w="2977" w:type="dxa"/>
          </w:tcPr>
          <w:p w:rsidR="00DB5674" w:rsidRDefault="00DC75D4" w:rsidP="00AD252F">
            <w:r>
              <w:rPr>
                <w:sz w:val="18"/>
                <w:szCs w:val="18"/>
              </w:rPr>
              <w:t>15</w:t>
            </w:r>
            <w:r w:rsidR="00650DC2">
              <w:rPr>
                <w:sz w:val="18"/>
                <w:szCs w:val="18"/>
              </w:rPr>
              <w:t>.5.2017</w:t>
            </w:r>
          </w:p>
        </w:tc>
      </w:tr>
      <w:tr w:rsidR="00DB5674" w:rsidTr="007B1389">
        <w:trPr>
          <w:trHeight w:val="80"/>
        </w:trPr>
        <w:tc>
          <w:tcPr>
            <w:tcW w:w="6449" w:type="dxa"/>
            <w:vAlign w:val="center"/>
          </w:tcPr>
          <w:p w:rsidR="00DB5674" w:rsidRPr="007B1389" w:rsidRDefault="00650DC2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B1389">
              <w:rPr>
                <w:rFonts w:cs="Arial"/>
                <w:sz w:val="18"/>
                <w:szCs w:val="18"/>
              </w:rPr>
              <w:t xml:space="preserve">PL </w:t>
            </w:r>
            <w:r w:rsidR="007B1389" w:rsidRPr="007B1389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977" w:type="dxa"/>
          </w:tcPr>
          <w:p w:rsidR="00DB5674" w:rsidRDefault="00DB567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7B1389" w:rsidRDefault="00C50A6D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B1389">
              <w:rPr>
                <w:rFonts w:cs="Arial"/>
                <w:sz w:val="18"/>
                <w:szCs w:val="18"/>
              </w:rPr>
              <w:t>00023 Valtioneuvosto</w:t>
            </w:r>
          </w:p>
        </w:tc>
        <w:tc>
          <w:tcPr>
            <w:tcW w:w="2977" w:type="dxa"/>
          </w:tcPr>
          <w:p w:rsidR="00DB5674" w:rsidRDefault="00EA477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Viite</w:t>
            </w:r>
            <w:r w:rsidR="00A74F04">
              <w:rPr>
                <w:rFonts w:cs="Arial"/>
                <w:sz w:val="18"/>
              </w:rPr>
              <w:t xml:space="preserve"> / Diaarinumero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DB5674" w:rsidRPr="00710570" w:rsidRDefault="007B1389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TEM/1230/00.04.01/2015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017ADF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CE7A38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CE7A38">
              <w:rPr>
                <w:rFonts w:cs="Arial"/>
                <w:sz w:val="18"/>
                <w:szCs w:val="18"/>
              </w:rPr>
              <w:t>A24/00 00 01/2017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710570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10570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105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0570">
              <w:rPr>
                <w:rFonts w:cs="Arial"/>
                <w:sz w:val="18"/>
                <w:szCs w:val="18"/>
              </w:rPr>
            </w:r>
            <w:r w:rsidRPr="00710570">
              <w:rPr>
                <w:rFonts w:cs="Arial"/>
                <w:sz w:val="18"/>
                <w:szCs w:val="18"/>
              </w:rPr>
              <w:fldChar w:fldCharType="separate"/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017ADF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D8177C" w:rsidRPr="00010E38" w:rsidRDefault="00D8177C" w:rsidP="00D5348C">
      <w:pPr>
        <w:pStyle w:val="Leipteksti"/>
        <w:spacing w:after="0"/>
        <w:rPr>
          <w:rFonts w:cs="Arial"/>
          <w:b/>
          <w:bCs/>
          <w:sz w:val="20"/>
        </w:rPr>
      </w:pPr>
    </w:p>
    <w:p w:rsidR="00D5348C" w:rsidRPr="00010E38" w:rsidRDefault="00D5348C" w:rsidP="00D5348C">
      <w:pPr>
        <w:pStyle w:val="Leipteksti"/>
        <w:spacing w:after="0"/>
        <w:rPr>
          <w:rFonts w:cs="Arial"/>
          <w:b/>
          <w:bCs/>
          <w:sz w:val="20"/>
        </w:rPr>
      </w:pPr>
    </w:p>
    <w:p w:rsidR="00A74F04" w:rsidRPr="00010E38" w:rsidRDefault="00A74F04" w:rsidP="00A74F04">
      <w:pPr>
        <w:rPr>
          <w:rFonts w:cs="Arial"/>
          <w:b/>
          <w:bCs/>
          <w:sz w:val="20"/>
        </w:rPr>
      </w:pPr>
    </w:p>
    <w:p w:rsidR="00A74F04" w:rsidRPr="00010E38" w:rsidRDefault="00A74F04" w:rsidP="00A74F04">
      <w:pPr>
        <w:ind w:left="2127"/>
        <w:rPr>
          <w:rFonts w:cs="Arial"/>
          <w:sz w:val="20"/>
        </w:rPr>
      </w:pPr>
    </w:p>
    <w:p w:rsidR="001F540C" w:rsidRDefault="00650DC2" w:rsidP="00A74F04">
      <w:pPr>
        <w:ind w:left="2127"/>
        <w:rPr>
          <w:rFonts w:cs="Arial"/>
          <w:sz w:val="20"/>
        </w:rPr>
      </w:pPr>
      <w:r>
        <w:rPr>
          <w:rFonts w:cs="Arial"/>
          <w:sz w:val="20"/>
        </w:rPr>
        <w:t>Työ- ja elinkeinoministeriö on pyytänyt Verohallinnon lausuntoa kilpailulainsä</w:t>
      </w:r>
      <w:r>
        <w:rPr>
          <w:rFonts w:cs="Arial"/>
          <w:sz w:val="20"/>
        </w:rPr>
        <w:t>ä</w:t>
      </w:r>
      <w:r>
        <w:rPr>
          <w:rFonts w:cs="Arial"/>
          <w:sz w:val="20"/>
        </w:rPr>
        <w:t>dännön uudistamista koskevasta mietinnöstä</w:t>
      </w:r>
    </w:p>
    <w:p w:rsidR="00650DC2" w:rsidRDefault="00650DC2" w:rsidP="00A74F04">
      <w:pPr>
        <w:ind w:left="2127"/>
        <w:rPr>
          <w:rFonts w:cs="Arial"/>
          <w:sz w:val="20"/>
        </w:rPr>
      </w:pPr>
    </w:p>
    <w:p w:rsidR="00650DC2" w:rsidRDefault="007B1389" w:rsidP="00A74F04">
      <w:pPr>
        <w:ind w:left="2127"/>
        <w:rPr>
          <w:rFonts w:cs="Arial"/>
          <w:sz w:val="20"/>
        </w:rPr>
      </w:pPr>
      <w:r>
        <w:rPr>
          <w:rFonts w:cs="Arial"/>
          <w:sz w:val="20"/>
        </w:rPr>
        <w:t>Mietinnössä ehdotetaan muutoksia muun muassa</w:t>
      </w:r>
      <w:r w:rsidR="00A74369">
        <w:rPr>
          <w:rFonts w:cs="Arial"/>
          <w:sz w:val="20"/>
        </w:rPr>
        <w:t xml:space="preserve"> </w:t>
      </w:r>
      <w:r w:rsidR="00650DC2">
        <w:rPr>
          <w:rFonts w:cs="Arial"/>
          <w:sz w:val="20"/>
        </w:rPr>
        <w:t>kilpailuviranomaisen tarka</w:t>
      </w:r>
      <w:r w:rsidR="00650DC2">
        <w:rPr>
          <w:rFonts w:cs="Arial"/>
          <w:sz w:val="20"/>
        </w:rPr>
        <w:t>s</w:t>
      </w:r>
      <w:r w:rsidR="00650DC2">
        <w:rPr>
          <w:rFonts w:cs="Arial"/>
          <w:sz w:val="20"/>
        </w:rPr>
        <w:t>tu</w:t>
      </w:r>
      <w:r>
        <w:rPr>
          <w:rFonts w:cs="Arial"/>
          <w:sz w:val="20"/>
        </w:rPr>
        <w:t>s</w:t>
      </w:r>
      <w:r w:rsidR="00650DC2">
        <w:rPr>
          <w:rFonts w:cs="Arial"/>
          <w:sz w:val="20"/>
        </w:rPr>
        <w:t xml:space="preserve">toimivaltuuksien ja tietojenvaihtoa koskevan sääntelyn osalta. </w:t>
      </w:r>
    </w:p>
    <w:p w:rsidR="001F540C" w:rsidRDefault="001F540C" w:rsidP="001F540C">
      <w:pPr>
        <w:rPr>
          <w:rFonts w:cs="Arial"/>
          <w:sz w:val="20"/>
        </w:rPr>
      </w:pPr>
    </w:p>
    <w:p w:rsidR="00650DC2" w:rsidRDefault="001F540C" w:rsidP="001F540C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>Lausunto</w:t>
      </w:r>
      <w:r>
        <w:rPr>
          <w:rFonts w:cs="Arial"/>
          <w:sz w:val="20"/>
        </w:rPr>
        <w:tab/>
      </w:r>
      <w:r w:rsidR="00650DC2">
        <w:rPr>
          <w:rFonts w:cs="Arial"/>
          <w:sz w:val="20"/>
        </w:rPr>
        <w:t>Verohallinto kannattaa mietinnössä ehdotettuja muutoksia</w:t>
      </w:r>
      <w:r>
        <w:rPr>
          <w:rFonts w:cs="Arial"/>
          <w:sz w:val="20"/>
        </w:rPr>
        <w:t>.</w:t>
      </w:r>
    </w:p>
    <w:p w:rsidR="00650DC2" w:rsidRDefault="00650DC2" w:rsidP="001F540C">
      <w:pPr>
        <w:ind w:left="2127" w:hanging="2127"/>
        <w:rPr>
          <w:rFonts w:cs="Arial"/>
          <w:sz w:val="20"/>
        </w:rPr>
      </w:pPr>
    </w:p>
    <w:p w:rsidR="00F91FA3" w:rsidRDefault="00F16611" w:rsidP="00650DC2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  <w:t xml:space="preserve">Verohallintoon vaikuttavat erityisesti </w:t>
      </w:r>
      <w:r w:rsidR="00046C12">
        <w:rPr>
          <w:rFonts w:cs="Arial"/>
          <w:sz w:val="20"/>
        </w:rPr>
        <w:t xml:space="preserve">muutosehdotukset, jotka koskevat </w:t>
      </w:r>
      <w:r>
        <w:rPr>
          <w:rFonts w:cs="Arial"/>
          <w:sz w:val="20"/>
        </w:rPr>
        <w:t>tietoje</w:t>
      </w:r>
      <w:r>
        <w:rPr>
          <w:rFonts w:cs="Arial"/>
          <w:sz w:val="20"/>
        </w:rPr>
        <w:t>n</w:t>
      </w:r>
      <w:r>
        <w:rPr>
          <w:rFonts w:cs="Arial"/>
          <w:sz w:val="20"/>
        </w:rPr>
        <w:t>vaihtoa koskevia säännök</w:t>
      </w:r>
      <w:r w:rsidR="00046C12">
        <w:rPr>
          <w:rFonts w:cs="Arial"/>
          <w:sz w:val="20"/>
        </w:rPr>
        <w:t>siä</w:t>
      </w:r>
      <w:r>
        <w:rPr>
          <w:rFonts w:cs="Arial"/>
          <w:sz w:val="20"/>
        </w:rPr>
        <w:t>.</w:t>
      </w:r>
      <w:r w:rsidR="00810917">
        <w:rPr>
          <w:rFonts w:cs="Arial"/>
          <w:sz w:val="20"/>
        </w:rPr>
        <w:t xml:space="preserve"> Verohalli</w:t>
      </w:r>
      <w:r w:rsidR="00F77FEB">
        <w:rPr>
          <w:rFonts w:cs="Arial"/>
          <w:sz w:val="20"/>
        </w:rPr>
        <w:t xml:space="preserve">nto pitää tärkeänä, </w:t>
      </w:r>
      <w:r>
        <w:rPr>
          <w:rFonts w:cs="Arial"/>
          <w:sz w:val="20"/>
        </w:rPr>
        <w:t>että jatk</w:t>
      </w:r>
      <w:r w:rsidR="00F77FEB">
        <w:rPr>
          <w:rFonts w:cs="Arial"/>
          <w:sz w:val="20"/>
        </w:rPr>
        <w:t>ovalmistelussa</w:t>
      </w:r>
      <w:r>
        <w:rPr>
          <w:rFonts w:cs="Arial"/>
          <w:sz w:val="20"/>
        </w:rPr>
        <w:t xml:space="preserve"> arvioidaan tarkemmin mitkä verotustiedot ovat kilpailusääntelyn valvonnassa ta</w:t>
      </w:r>
      <w:r>
        <w:rPr>
          <w:rFonts w:cs="Arial"/>
          <w:sz w:val="20"/>
        </w:rPr>
        <w:t>r</w:t>
      </w:r>
      <w:r w:rsidR="00A74369">
        <w:rPr>
          <w:rFonts w:cs="Arial"/>
          <w:sz w:val="20"/>
        </w:rPr>
        <w:t xml:space="preserve">peen ja </w:t>
      </w:r>
      <w:r w:rsidR="00990081">
        <w:rPr>
          <w:rFonts w:cs="Arial"/>
          <w:sz w:val="20"/>
        </w:rPr>
        <w:t>onko tietojenantaminen</w:t>
      </w:r>
      <w:r w:rsidR="00A74369">
        <w:rPr>
          <w:rFonts w:cs="Arial"/>
          <w:sz w:val="20"/>
        </w:rPr>
        <w:t xml:space="preserve"> tarkoituksenmukaista järjestää suoraan Veroha</w:t>
      </w:r>
      <w:r w:rsidR="00A74369">
        <w:rPr>
          <w:rFonts w:cs="Arial"/>
          <w:sz w:val="20"/>
        </w:rPr>
        <w:t>l</w:t>
      </w:r>
      <w:r w:rsidR="00A74369">
        <w:rPr>
          <w:rFonts w:cs="Arial"/>
          <w:sz w:val="20"/>
        </w:rPr>
        <w:t>linnosta vai käyttämällä Harmaan talouden selvitysyksikön velvoitteidenhoitose</w:t>
      </w:r>
      <w:r w:rsidR="00A74369">
        <w:rPr>
          <w:rFonts w:cs="Arial"/>
          <w:sz w:val="20"/>
        </w:rPr>
        <w:t>l</w:t>
      </w:r>
      <w:r w:rsidR="00A74369">
        <w:rPr>
          <w:rFonts w:cs="Arial"/>
          <w:sz w:val="20"/>
        </w:rPr>
        <w:t>vitystä</w:t>
      </w:r>
      <w:r>
        <w:rPr>
          <w:rFonts w:cs="Arial"/>
          <w:sz w:val="20"/>
        </w:rPr>
        <w:t>.</w:t>
      </w:r>
    </w:p>
    <w:p w:rsidR="00B21CA3" w:rsidRDefault="00B21CA3" w:rsidP="00650DC2">
      <w:pPr>
        <w:ind w:left="2127" w:hanging="2127"/>
        <w:rPr>
          <w:rFonts w:cs="Arial"/>
          <w:sz w:val="20"/>
        </w:rPr>
      </w:pPr>
    </w:p>
    <w:p w:rsidR="00C443F8" w:rsidRDefault="00B21CA3" w:rsidP="00650DC2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  <w:t xml:space="preserve">Mietinnössä ehdotetaan tietojenvaihdon osalta muutoksia kilpailulain 39 §:ään. </w:t>
      </w:r>
      <w:r w:rsidR="00A74369">
        <w:rPr>
          <w:rFonts w:cs="Arial"/>
          <w:sz w:val="20"/>
        </w:rPr>
        <w:t>Verohallinto pitää hyvänä ratkaisuna sitä, että tietojen luovuttamisesta säädettä</w:t>
      </w:r>
      <w:r w:rsidR="00A74369">
        <w:rPr>
          <w:rFonts w:cs="Arial"/>
          <w:sz w:val="20"/>
        </w:rPr>
        <w:t>i</w:t>
      </w:r>
      <w:r w:rsidR="00A74369">
        <w:rPr>
          <w:rFonts w:cs="Arial"/>
          <w:sz w:val="20"/>
        </w:rPr>
        <w:t xml:space="preserve">siin </w:t>
      </w:r>
      <w:r>
        <w:rPr>
          <w:rFonts w:cs="Arial"/>
          <w:sz w:val="20"/>
        </w:rPr>
        <w:t>yleisesti eikä</w:t>
      </w:r>
      <w:r w:rsidR="00A74369">
        <w:rPr>
          <w:rFonts w:cs="Arial"/>
          <w:sz w:val="20"/>
        </w:rPr>
        <w:t xml:space="preserve"> se</w:t>
      </w:r>
      <w:r>
        <w:rPr>
          <w:rFonts w:cs="Arial"/>
          <w:sz w:val="20"/>
        </w:rPr>
        <w:t xml:space="preserve"> kohdistuisi laissa nimenomaisesti mainittuihin viranomaisiin.</w:t>
      </w:r>
      <w:r w:rsidR="00A74369">
        <w:rPr>
          <w:rFonts w:cs="Arial"/>
          <w:sz w:val="20"/>
        </w:rPr>
        <w:t xml:space="preserve"> Ehdotettu muutos on kuitenkin muilta osin tulkinnanvarainen. Esimerkiksi ehd</w:t>
      </w:r>
      <w:r w:rsidR="00A74369">
        <w:rPr>
          <w:rFonts w:cs="Arial"/>
          <w:sz w:val="20"/>
        </w:rPr>
        <w:t>o</w:t>
      </w:r>
      <w:r w:rsidR="00A74369">
        <w:rPr>
          <w:rFonts w:cs="Arial"/>
          <w:sz w:val="20"/>
        </w:rPr>
        <w:t>tetusta sanamuodosta ei ilmene edellyttääkö tietojen antaminen toisen vira</w:t>
      </w:r>
      <w:r w:rsidR="00A74369">
        <w:rPr>
          <w:rFonts w:cs="Arial"/>
          <w:sz w:val="20"/>
        </w:rPr>
        <w:t>n</w:t>
      </w:r>
      <w:r w:rsidR="00A74369">
        <w:rPr>
          <w:rFonts w:cs="Arial"/>
          <w:sz w:val="20"/>
        </w:rPr>
        <w:t>omaisen pyyntöä vai antaisiko kilpailuviranomainen tiedot oma-aloitteisesti. L</w:t>
      </w:r>
      <w:r w:rsidR="00A74369">
        <w:rPr>
          <w:rFonts w:cs="Arial"/>
          <w:sz w:val="20"/>
        </w:rPr>
        <w:t>i</w:t>
      </w:r>
      <w:r w:rsidR="00A74369">
        <w:rPr>
          <w:rFonts w:cs="Arial"/>
          <w:sz w:val="20"/>
        </w:rPr>
        <w:t xml:space="preserve">säksi </w:t>
      </w:r>
      <w:r>
        <w:rPr>
          <w:rFonts w:cs="Arial"/>
          <w:sz w:val="20"/>
        </w:rPr>
        <w:t>tiedon tai asiakirj</w:t>
      </w:r>
      <w:r w:rsidR="00A74369">
        <w:rPr>
          <w:rFonts w:cs="Arial"/>
          <w:sz w:val="20"/>
        </w:rPr>
        <w:t>an luovuttamisen edellytyksenä on, että</w:t>
      </w:r>
      <w:r>
        <w:rPr>
          <w:rFonts w:cs="Arial"/>
          <w:sz w:val="20"/>
        </w:rPr>
        <w:t xml:space="preserve"> se</w:t>
      </w:r>
      <w:r w:rsidRPr="00B21CA3">
        <w:rPr>
          <w:rFonts w:cs="Arial"/>
          <w:sz w:val="20"/>
        </w:rPr>
        <w:t xml:space="preserve"> </w:t>
      </w:r>
      <w:r>
        <w:rPr>
          <w:rFonts w:cs="Arial"/>
          <w:sz w:val="20"/>
        </w:rPr>
        <w:t>”</w:t>
      </w:r>
      <w:r w:rsidRPr="00B21CA3">
        <w:rPr>
          <w:rFonts w:cs="Arial"/>
          <w:sz w:val="20"/>
        </w:rPr>
        <w:t>on välttäm</w:t>
      </w:r>
      <w:r w:rsidRPr="00B21CA3">
        <w:rPr>
          <w:rFonts w:cs="Arial"/>
          <w:sz w:val="20"/>
        </w:rPr>
        <w:t>ä</w:t>
      </w:r>
      <w:r w:rsidRPr="00B21CA3">
        <w:rPr>
          <w:rFonts w:cs="Arial"/>
          <w:sz w:val="20"/>
        </w:rPr>
        <w:t>tön viranomaiselle laissa sä</w:t>
      </w:r>
      <w:r>
        <w:rPr>
          <w:rFonts w:cs="Arial"/>
          <w:sz w:val="20"/>
        </w:rPr>
        <w:t xml:space="preserve">ädetyn tehtävän suorittamiseksi”. </w:t>
      </w:r>
      <w:r w:rsidR="00A74369">
        <w:rPr>
          <w:rFonts w:cs="Arial"/>
          <w:sz w:val="20"/>
        </w:rPr>
        <w:t xml:space="preserve">Tämä sanamuoto on pyynnöstä tapahtuvan luovuttamisen osalta ristiriidassa </w:t>
      </w:r>
      <w:r>
        <w:rPr>
          <w:rFonts w:cs="Arial"/>
          <w:sz w:val="20"/>
        </w:rPr>
        <w:t>Verohallin</w:t>
      </w:r>
      <w:r w:rsidR="00A74369">
        <w:rPr>
          <w:rFonts w:cs="Arial"/>
          <w:sz w:val="20"/>
        </w:rPr>
        <w:t>nolle</w:t>
      </w:r>
      <w:r>
        <w:rPr>
          <w:rFonts w:cs="Arial"/>
          <w:sz w:val="20"/>
        </w:rPr>
        <w:t xml:space="preserve"> ver</w:t>
      </w:r>
      <w:r>
        <w:rPr>
          <w:rFonts w:cs="Arial"/>
          <w:sz w:val="20"/>
        </w:rPr>
        <w:t>o</w:t>
      </w:r>
      <w:r>
        <w:rPr>
          <w:rFonts w:cs="Arial"/>
          <w:sz w:val="20"/>
        </w:rPr>
        <w:t>tusmenettelylaissa säädetyn nimenomaisen tiedonsaantioikeu</w:t>
      </w:r>
      <w:r w:rsidR="00A74369">
        <w:rPr>
          <w:rFonts w:cs="Arial"/>
          <w:sz w:val="20"/>
        </w:rPr>
        <w:t>den kanssa. V</w:t>
      </w:r>
      <w:r>
        <w:rPr>
          <w:rFonts w:cs="Arial"/>
          <w:sz w:val="20"/>
        </w:rPr>
        <w:t>er</w:t>
      </w:r>
      <w:r>
        <w:rPr>
          <w:rFonts w:cs="Arial"/>
          <w:sz w:val="20"/>
        </w:rPr>
        <w:t>o</w:t>
      </w:r>
      <w:r>
        <w:rPr>
          <w:rFonts w:cs="Arial"/>
          <w:sz w:val="20"/>
        </w:rPr>
        <w:t xml:space="preserve">tusmenettelystä annetun lain (1558/1999) 20 §:n mukaisesti </w:t>
      </w:r>
      <w:r w:rsidR="00A74369">
        <w:rPr>
          <w:rFonts w:cs="Arial"/>
          <w:sz w:val="20"/>
        </w:rPr>
        <w:t xml:space="preserve">Verohallinnolla on </w:t>
      </w:r>
      <w:r>
        <w:rPr>
          <w:rFonts w:cs="Arial"/>
          <w:sz w:val="20"/>
        </w:rPr>
        <w:t>oikeus saada toiselta viranomaiselta tiedot, jotka ”</w:t>
      </w:r>
      <w:r w:rsidRPr="00B21CA3">
        <w:rPr>
          <w:rFonts w:cs="Arial"/>
          <w:sz w:val="20"/>
        </w:rPr>
        <w:t>saattavat olla tarpeen verotu</w:t>
      </w:r>
      <w:r w:rsidRPr="00B21CA3">
        <w:rPr>
          <w:rFonts w:cs="Arial"/>
          <w:sz w:val="20"/>
        </w:rPr>
        <w:t>s</w:t>
      </w:r>
      <w:r w:rsidRPr="00B21CA3">
        <w:rPr>
          <w:rFonts w:cs="Arial"/>
          <w:sz w:val="20"/>
        </w:rPr>
        <w:t>ta tai muutoksenhakua varten</w:t>
      </w:r>
      <w:r>
        <w:rPr>
          <w:rFonts w:cs="Arial"/>
          <w:sz w:val="20"/>
        </w:rPr>
        <w:t>”.</w:t>
      </w:r>
      <w:r w:rsidR="00A74369">
        <w:rPr>
          <w:rFonts w:cs="Arial"/>
          <w:sz w:val="20"/>
        </w:rPr>
        <w:t xml:space="preserve"> Tämä on sanamuodoltaan väljempi</w:t>
      </w:r>
      <w:r w:rsidR="00990081">
        <w:rPr>
          <w:rFonts w:cs="Arial"/>
          <w:sz w:val="20"/>
        </w:rPr>
        <w:t>,</w:t>
      </w:r>
      <w:r w:rsidR="00A74369">
        <w:rPr>
          <w:rFonts w:cs="Arial"/>
          <w:sz w:val="20"/>
        </w:rPr>
        <w:t xml:space="preserve"> jolloin ehd</w:t>
      </w:r>
      <w:r w:rsidR="00A74369">
        <w:rPr>
          <w:rFonts w:cs="Arial"/>
          <w:sz w:val="20"/>
        </w:rPr>
        <w:t>o</w:t>
      </w:r>
      <w:r w:rsidR="00A74369">
        <w:rPr>
          <w:rFonts w:cs="Arial"/>
          <w:sz w:val="20"/>
        </w:rPr>
        <w:t xml:space="preserve">tettu sääntely voi aiheuttaa ongelmia käytännön </w:t>
      </w:r>
      <w:r w:rsidR="00990081">
        <w:rPr>
          <w:rFonts w:cs="Arial"/>
          <w:sz w:val="20"/>
        </w:rPr>
        <w:t>tietoluovutus</w:t>
      </w:r>
      <w:r w:rsidR="00A74369">
        <w:rPr>
          <w:rFonts w:cs="Arial"/>
          <w:sz w:val="20"/>
        </w:rPr>
        <w:t xml:space="preserve">tilanteissa. </w:t>
      </w:r>
    </w:p>
    <w:p w:rsidR="00C443F8" w:rsidRDefault="00C443F8" w:rsidP="00650DC2">
      <w:pPr>
        <w:ind w:left="2127" w:hanging="2127"/>
        <w:rPr>
          <w:rFonts w:cs="Arial"/>
          <w:sz w:val="20"/>
        </w:rPr>
      </w:pPr>
    </w:p>
    <w:p w:rsidR="00F77FEB" w:rsidRDefault="00C443F8" w:rsidP="00C443F8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  <w:t>Verohallinnon näkemyksen mukaan selkeämpää olisi, että kilpailulain 39 §:ssä säädettäisiin yleisesti tiedonsaannista mutta nimenomainen tiedonsaantioikeus perustuisi tietoja pyytävää viranomaista koskevaan sääntelyyn.</w:t>
      </w:r>
    </w:p>
    <w:p w:rsidR="00F77FEB" w:rsidRDefault="00F77FEB" w:rsidP="00650DC2">
      <w:pPr>
        <w:ind w:left="2127" w:hanging="2127"/>
        <w:rPr>
          <w:rFonts w:cs="Arial"/>
          <w:sz w:val="20"/>
        </w:rPr>
      </w:pPr>
    </w:p>
    <w:p w:rsidR="00F16611" w:rsidRDefault="00F77FEB" w:rsidP="00650DC2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</w:r>
      <w:r w:rsidR="00C443F8">
        <w:rPr>
          <w:rFonts w:cs="Arial"/>
          <w:sz w:val="20"/>
        </w:rPr>
        <w:t xml:space="preserve">Verohallinto ehdottaa, että oma-aloitteisesta tietojen antamisesta säädettäisiin erillisellä säännöksellä. Esimerkiksi </w:t>
      </w:r>
      <w:r w:rsidR="00046C12">
        <w:rPr>
          <w:rFonts w:cs="Arial"/>
          <w:sz w:val="20"/>
        </w:rPr>
        <w:t>Verohallinnon oikeudesta ratkaista tietojen antaminen oma-aloitteisesti säädetään verotustietojen julkisuudesta ja salass</w:t>
      </w:r>
      <w:r w:rsidR="00046C12">
        <w:rPr>
          <w:rFonts w:cs="Arial"/>
          <w:sz w:val="20"/>
        </w:rPr>
        <w:t>a</w:t>
      </w:r>
      <w:r w:rsidR="00046C12">
        <w:rPr>
          <w:rFonts w:cs="Arial"/>
          <w:sz w:val="20"/>
        </w:rPr>
        <w:t>pidosta annetun lain</w:t>
      </w:r>
      <w:r>
        <w:rPr>
          <w:rFonts w:cs="Arial"/>
          <w:sz w:val="20"/>
        </w:rPr>
        <w:t xml:space="preserve"> (1346/1999)</w:t>
      </w:r>
      <w:bookmarkStart w:id="3" w:name="_GoBack"/>
      <w:bookmarkEnd w:id="3"/>
      <w:r>
        <w:rPr>
          <w:rFonts w:cs="Arial"/>
          <w:sz w:val="20"/>
        </w:rPr>
        <w:t xml:space="preserve"> </w:t>
      </w:r>
      <w:r w:rsidR="00046C12">
        <w:rPr>
          <w:rFonts w:cs="Arial"/>
          <w:sz w:val="20"/>
        </w:rPr>
        <w:t>18 §:</w:t>
      </w:r>
      <w:proofErr w:type="spellStart"/>
      <w:r w:rsidR="00046C12">
        <w:rPr>
          <w:rFonts w:cs="Arial"/>
          <w:sz w:val="20"/>
        </w:rPr>
        <w:t>ssä</w:t>
      </w:r>
      <w:proofErr w:type="spellEnd"/>
      <w:r w:rsidR="00046C12">
        <w:rPr>
          <w:rFonts w:cs="Arial"/>
          <w:sz w:val="20"/>
        </w:rPr>
        <w:t xml:space="preserve">. Lainkohdassa on lueteltu ne tilanteet </w:t>
      </w:r>
      <w:r w:rsidR="00046C12">
        <w:rPr>
          <w:rFonts w:cs="Arial"/>
          <w:sz w:val="20"/>
        </w:rPr>
        <w:lastRenderedPageBreak/>
        <w:t>ja edellytykset</w:t>
      </w:r>
      <w:r>
        <w:rPr>
          <w:rFonts w:cs="Arial"/>
          <w:sz w:val="20"/>
        </w:rPr>
        <w:t>,</w:t>
      </w:r>
      <w:r w:rsidR="00046C12">
        <w:rPr>
          <w:rFonts w:cs="Arial"/>
          <w:sz w:val="20"/>
        </w:rPr>
        <w:t xml:space="preserve"> joissa verotustietojen salassapito voidaan murtaa Verohallinnon aloitteesta ilman</w:t>
      </w:r>
      <w:r>
        <w:rPr>
          <w:rFonts w:cs="Arial"/>
          <w:sz w:val="20"/>
        </w:rPr>
        <w:t xml:space="preserve"> </w:t>
      </w:r>
      <w:r w:rsidR="00046C12">
        <w:rPr>
          <w:rFonts w:cs="Arial"/>
          <w:sz w:val="20"/>
        </w:rPr>
        <w:t>tieto</w:t>
      </w:r>
      <w:r>
        <w:rPr>
          <w:rFonts w:cs="Arial"/>
          <w:sz w:val="20"/>
        </w:rPr>
        <w:t>pyyntöä. T</w:t>
      </w:r>
      <w:r w:rsidR="00046C12">
        <w:rPr>
          <w:rFonts w:cs="Arial"/>
          <w:sz w:val="20"/>
        </w:rPr>
        <w:t>ilanteita ja seik</w:t>
      </w:r>
      <w:r>
        <w:rPr>
          <w:rFonts w:cs="Arial"/>
          <w:sz w:val="20"/>
        </w:rPr>
        <w:t>at ovat sellaisia,</w:t>
      </w:r>
      <w:r w:rsidR="00046C12">
        <w:rPr>
          <w:rFonts w:cs="Arial"/>
          <w:sz w:val="20"/>
        </w:rPr>
        <w:t xml:space="preserve"> jotka ilmenevät selväs</w:t>
      </w:r>
      <w:r w:rsidR="00990081">
        <w:rPr>
          <w:rFonts w:cs="Arial"/>
          <w:sz w:val="20"/>
        </w:rPr>
        <w:t>ti v</w:t>
      </w:r>
      <w:r w:rsidR="00046C12">
        <w:rPr>
          <w:rFonts w:cs="Arial"/>
          <w:sz w:val="20"/>
        </w:rPr>
        <w:t>erovalvonnan yhteydessä.</w:t>
      </w:r>
      <w:r w:rsidR="00B52832">
        <w:rPr>
          <w:rFonts w:cs="Arial"/>
          <w:sz w:val="20"/>
        </w:rPr>
        <w:t xml:space="preserve"> Verohallinto pitää tärkeänä, että oma-aloitteinen tietojen antaminen ei laa</w:t>
      </w:r>
      <w:r w:rsidR="00990081">
        <w:rPr>
          <w:rFonts w:cs="Arial"/>
          <w:sz w:val="20"/>
        </w:rPr>
        <w:t>jenna</w:t>
      </w:r>
      <w:r w:rsidR="00B52832">
        <w:rPr>
          <w:rFonts w:cs="Arial"/>
          <w:sz w:val="20"/>
        </w:rPr>
        <w:t xml:space="preserve"> Verohallinnon tehtäviä ja toimivaltaa toisen viranomaisen vastuulla olevaan valvontatoimintaan.</w:t>
      </w:r>
      <w:r w:rsidR="00046C12">
        <w:rPr>
          <w:rFonts w:cs="Arial"/>
          <w:sz w:val="20"/>
        </w:rPr>
        <w:t xml:space="preserve"> </w:t>
      </w:r>
    </w:p>
    <w:p w:rsidR="000616CC" w:rsidRDefault="000616CC" w:rsidP="000616CC">
      <w:pPr>
        <w:ind w:left="2127" w:hanging="2127"/>
        <w:rPr>
          <w:rFonts w:cs="Arial"/>
          <w:sz w:val="20"/>
        </w:rPr>
      </w:pPr>
    </w:p>
    <w:p w:rsidR="00F6342E" w:rsidRDefault="000616CC" w:rsidP="000616CC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  <w:t>Mietinnössä on arvioitu myös kansainvälisen yhteistyön vaikutuksia (kilpailuas</w:t>
      </w:r>
      <w:r>
        <w:rPr>
          <w:rFonts w:cs="Arial"/>
          <w:sz w:val="20"/>
        </w:rPr>
        <w:t>e</w:t>
      </w:r>
      <w:r>
        <w:rPr>
          <w:rFonts w:cs="Arial"/>
          <w:sz w:val="20"/>
        </w:rPr>
        <w:t xml:space="preserve">tuksen soveltaminen ja liittyminen </w:t>
      </w:r>
      <w:r w:rsidR="00CE7A38">
        <w:rPr>
          <w:rFonts w:cs="Arial"/>
          <w:sz w:val="20"/>
        </w:rPr>
        <w:t>p</w:t>
      </w:r>
      <w:r w:rsidR="00CE7A38" w:rsidRPr="00CE7A38">
        <w:rPr>
          <w:rFonts w:cs="Arial"/>
          <w:sz w:val="20"/>
        </w:rPr>
        <w:t>ohjoisma</w:t>
      </w:r>
      <w:r w:rsidR="00CE7A38">
        <w:rPr>
          <w:rFonts w:cs="Arial"/>
          <w:sz w:val="20"/>
        </w:rPr>
        <w:t>iden kilpailuviranomaisten välis</w:t>
      </w:r>
      <w:r w:rsidR="00CE7A38" w:rsidRPr="00CE7A38">
        <w:rPr>
          <w:rFonts w:cs="Arial"/>
          <w:sz w:val="20"/>
        </w:rPr>
        <w:t>e</w:t>
      </w:r>
      <w:r w:rsidR="00CE7A38">
        <w:rPr>
          <w:rFonts w:cs="Arial"/>
          <w:sz w:val="20"/>
        </w:rPr>
        <w:t>e</w:t>
      </w:r>
      <w:r w:rsidR="00CE7A38" w:rsidRPr="00CE7A38">
        <w:rPr>
          <w:rFonts w:cs="Arial"/>
          <w:sz w:val="20"/>
        </w:rPr>
        <w:t>n yhteistyösopimu</w:t>
      </w:r>
      <w:r w:rsidR="00CE7A38">
        <w:rPr>
          <w:rFonts w:cs="Arial"/>
          <w:sz w:val="20"/>
        </w:rPr>
        <w:t>kseen</w:t>
      </w:r>
      <w:r>
        <w:rPr>
          <w:rFonts w:cs="Arial"/>
          <w:sz w:val="20"/>
        </w:rPr>
        <w:t>).</w:t>
      </w:r>
      <w:r w:rsidR="00F6342E">
        <w:rPr>
          <w:rFonts w:cs="Arial"/>
          <w:sz w:val="20"/>
        </w:rPr>
        <w:t xml:space="preserve"> Verohallinnon näkemyksen mukaan kansainvälisessä yhteistyössä saatuihin tietoihin liittyy käyttö</w:t>
      </w:r>
      <w:r w:rsidR="00990081">
        <w:rPr>
          <w:rFonts w:cs="Arial"/>
          <w:sz w:val="20"/>
        </w:rPr>
        <w:t>-</w:t>
      </w:r>
      <w:r w:rsidR="00F6342E">
        <w:rPr>
          <w:rFonts w:cs="Arial"/>
          <w:sz w:val="20"/>
        </w:rPr>
        <w:t xml:space="preserve"> ja luovutusrajoituksia</w:t>
      </w:r>
      <w:r w:rsidR="00C443F8">
        <w:rPr>
          <w:rFonts w:cs="Arial"/>
          <w:sz w:val="20"/>
        </w:rPr>
        <w:t>,</w:t>
      </w:r>
      <w:r w:rsidR="00F6342E">
        <w:rPr>
          <w:rFonts w:cs="Arial"/>
          <w:sz w:val="20"/>
        </w:rPr>
        <w:t xml:space="preserve"> joilla on vaik</w:t>
      </w:r>
      <w:r w:rsidR="00F6342E">
        <w:rPr>
          <w:rFonts w:cs="Arial"/>
          <w:sz w:val="20"/>
        </w:rPr>
        <w:t>u</w:t>
      </w:r>
      <w:r w:rsidR="00F6342E">
        <w:rPr>
          <w:rFonts w:cs="Arial"/>
          <w:sz w:val="20"/>
        </w:rPr>
        <w:t xml:space="preserve">tuksia kansalliseen tietojenvaihtoon. </w:t>
      </w:r>
      <w:r w:rsidR="00C443F8">
        <w:rPr>
          <w:rFonts w:cs="Arial"/>
          <w:sz w:val="20"/>
        </w:rPr>
        <w:t>Tietojenvaihtoa koskevien säännösten arv</w:t>
      </w:r>
      <w:r w:rsidR="00C443F8">
        <w:rPr>
          <w:rFonts w:cs="Arial"/>
          <w:sz w:val="20"/>
        </w:rPr>
        <w:t>i</w:t>
      </w:r>
      <w:r w:rsidR="00C443F8">
        <w:rPr>
          <w:rFonts w:cs="Arial"/>
          <w:sz w:val="20"/>
        </w:rPr>
        <w:t xml:space="preserve">oinnissa olisi hyvä tuoda esille ne tilanteet, joissa Euroopan unionin lainsäädäntö tai kansainvälinen sopimus estää tietojen luovuttamisen muuta tarkoitusta kuin kilpailuasian käsittelyä varten. </w:t>
      </w:r>
    </w:p>
    <w:p w:rsidR="00396335" w:rsidRDefault="00396335" w:rsidP="000616CC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F91FA3" w:rsidRDefault="00396335" w:rsidP="00F6342E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br/>
      </w:r>
      <w:r w:rsidR="00B52832">
        <w:rPr>
          <w:rFonts w:cs="Arial"/>
          <w:sz w:val="20"/>
        </w:rPr>
        <w:t xml:space="preserve"> </w:t>
      </w:r>
    </w:p>
    <w:p w:rsidR="00F91FA3" w:rsidRDefault="00F91FA3" w:rsidP="00650DC2">
      <w:pPr>
        <w:ind w:left="2127" w:hanging="2127"/>
        <w:rPr>
          <w:rFonts w:cs="Arial"/>
          <w:sz w:val="20"/>
        </w:rPr>
      </w:pPr>
    </w:p>
    <w:p w:rsidR="007D596F" w:rsidRDefault="00F91FA3" w:rsidP="00F6342E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7D596F" w:rsidRDefault="007D596F" w:rsidP="001F540C">
      <w:pPr>
        <w:ind w:left="2127" w:hanging="2127"/>
        <w:rPr>
          <w:rFonts w:cs="Arial"/>
          <w:sz w:val="20"/>
        </w:rPr>
      </w:pPr>
    </w:p>
    <w:p w:rsidR="007D596F" w:rsidRDefault="007D596F" w:rsidP="001F540C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Pääjohtaja</w:t>
      </w:r>
      <w:r>
        <w:rPr>
          <w:rFonts w:cs="Arial"/>
          <w:sz w:val="20"/>
        </w:rPr>
        <w:tab/>
        <w:t>Pekka Ruuhonen</w:t>
      </w:r>
    </w:p>
    <w:p w:rsidR="007D596F" w:rsidRDefault="007D596F" w:rsidP="001F540C">
      <w:pPr>
        <w:ind w:left="2127" w:hanging="2127"/>
        <w:rPr>
          <w:rFonts w:cs="Arial"/>
          <w:sz w:val="20"/>
        </w:rPr>
      </w:pPr>
    </w:p>
    <w:p w:rsidR="00F6342E" w:rsidRDefault="00F6342E" w:rsidP="001F540C">
      <w:pPr>
        <w:ind w:left="2127" w:hanging="2127"/>
        <w:rPr>
          <w:rFonts w:cs="Arial"/>
          <w:sz w:val="20"/>
        </w:rPr>
      </w:pPr>
    </w:p>
    <w:p w:rsidR="00F6342E" w:rsidRDefault="00F6342E" w:rsidP="001F540C">
      <w:pPr>
        <w:ind w:left="2127" w:hanging="2127"/>
        <w:rPr>
          <w:rFonts w:cs="Arial"/>
          <w:sz w:val="20"/>
        </w:rPr>
      </w:pPr>
    </w:p>
    <w:p w:rsidR="007D596F" w:rsidRDefault="007D596F" w:rsidP="001F540C">
      <w:pPr>
        <w:ind w:left="2127" w:hanging="2127"/>
        <w:rPr>
          <w:rFonts w:cs="Arial"/>
          <w:sz w:val="20"/>
        </w:rPr>
      </w:pPr>
    </w:p>
    <w:p w:rsidR="007D596F" w:rsidRDefault="007D596F" w:rsidP="001F540C">
      <w:pPr>
        <w:ind w:left="2127" w:hanging="2127"/>
        <w:rPr>
          <w:rFonts w:cs="Arial"/>
          <w:sz w:val="20"/>
        </w:rPr>
      </w:pPr>
    </w:p>
    <w:p w:rsidR="007D596F" w:rsidRDefault="007D596F" w:rsidP="001F540C">
      <w:pPr>
        <w:ind w:left="2127" w:hanging="2127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Ylitarkastaja </w:t>
      </w:r>
      <w:r>
        <w:rPr>
          <w:rFonts w:cs="Arial"/>
          <w:sz w:val="20"/>
        </w:rPr>
        <w:tab/>
        <w:t>Taito von Konow</w:t>
      </w:r>
    </w:p>
    <w:p w:rsidR="00257A52" w:rsidRDefault="00257A52" w:rsidP="001F540C">
      <w:pPr>
        <w:ind w:left="2127" w:hanging="2127"/>
        <w:rPr>
          <w:rFonts w:cs="Arial"/>
          <w:sz w:val="20"/>
        </w:rPr>
      </w:pPr>
    </w:p>
    <w:p w:rsidR="00A74F04" w:rsidRPr="00010E38" w:rsidRDefault="00A74F04" w:rsidP="00A74F04">
      <w:pPr>
        <w:rPr>
          <w:sz w:val="20"/>
        </w:rPr>
      </w:pPr>
    </w:p>
    <w:p w:rsidR="000F78E5" w:rsidRPr="00010E38" w:rsidRDefault="000F78E5" w:rsidP="00A74F04">
      <w:pPr>
        <w:pStyle w:val="Leipteksti"/>
        <w:spacing w:after="0"/>
        <w:rPr>
          <w:sz w:val="20"/>
        </w:rPr>
      </w:pPr>
    </w:p>
    <w:sectPr w:rsidR="000F78E5" w:rsidRPr="00010E38" w:rsidSect="00E4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47" w:bottom="567" w:left="1361" w:header="34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0C" w:rsidRDefault="001F540C">
      <w:r>
        <w:separator/>
      </w:r>
    </w:p>
  </w:endnote>
  <w:endnote w:type="continuationSeparator" w:id="0">
    <w:p w:rsidR="001F540C" w:rsidRDefault="001F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DB5674" w:rsidTr="00017ADF">
      <w:trPr>
        <w:cantSplit/>
        <w:trHeight w:hRule="exact" w:val="284"/>
      </w:trPr>
      <w:tc>
        <w:tcPr>
          <w:tcW w:w="9586" w:type="dxa"/>
          <w:gridSpan w:val="5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270"/>
      </w:trPr>
      <w:tc>
        <w:tcPr>
          <w:tcW w:w="3614" w:type="dxa"/>
          <w:vMerge w:val="restart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1F540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6"/>
              <w:szCs w:val="16"/>
            </w:rPr>
          </w:pPr>
          <w:bookmarkStart w:id="4" w:name="Lähettäjä_ft_FI"/>
          <w:r>
            <w:rPr>
              <w:rFonts w:cs="Arial"/>
              <w:b/>
              <w:bCs/>
              <w:sz w:val="16"/>
              <w:szCs w:val="16"/>
            </w:rPr>
            <w:t>Verohallinto</w:t>
          </w:r>
          <w:bookmarkEnd w:id="4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6"/>
              <w:szCs w:val="16"/>
              <w:lang w:val="en-GB"/>
            </w:rPr>
          </w:pPr>
          <w:r w:rsidRPr="001E6A9D">
            <w:rPr>
              <w:b/>
              <w:bCs/>
              <w:sz w:val="16"/>
              <w:szCs w:val="16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  <w:lang w:val="en-GB"/>
            </w:rPr>
          </w:pPr>
        </w:p>
      </w:tc>
      <w:tc>
        <w:tcPr>
          <w:tcW w:w="3686" w:type="dxa"/>
        </w:tcPr>
        <w:p w:rsidR="00DB5674" w:rsidRPr="001E6A9D" w:rsidRDefault="001F540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5" w:name="Lähettäjän_tark_ft_FI"/>
          <w:r>
            <w:rPr>
              <w:rFonts w:cs="Arial"/>
              <w:sz w:val="16"/>
              <w:szCs w:val="16"/>
            </w:rPr>
            <w:t>Esikunta- ja oikeusyksikkö</w:t>
          </w:r>
          <w:bookmarkEnd w:id="5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  <w:r w:rsidRPr="001E6A9D">
            <w:rPr>
              <w:rFonts w:cs="Arial"/>
              <w:color w:val="000000"/>
              <w:sz w:val="16"/>
              <w:szCs w:val="16"/>
            </w:rPr>
            <w:t xml:space="preserve">puh.  </w:t>
          </w:r>
          <w:bookmarkStart w:id="6" w:name="Puhelin_FI"/>
          <w:r w:rsidR="001F540C">
            <w:rPr>
              <w:rFonts w:cs="Arial"/>
              <w:color w:val="000000"/>
              <w:sz w:val="16"/>
              <w:szCs w:val="16"/>
            </w:rPr>
            <w:t>029 512 000</w:t>
          </w:r>
          <w:bookmarkEnd w:id="6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1F540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7" w:name="Käyntiosoite_FI"/>
          <w:r>
            <w:rPr>
              <w:rFonts w:cs="Arial"/>
              <w:sz w:val="16"/>
              <w:szCs w:val="16"/>
            </w:rPr>
            <w:t>Vääksyntie 4</w:t>
          </w:r>
          <w:bookmarkEnd w:id="7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  <w:r w:rsidRPr="001E6A9D">
            <w:rPr>
              <w:sz w:val="16"/>
              <w:szCs w:val="16"/>
            </w:rPr>
            <w:t xml:space="preserve">faksi  </w:t>
          </w:r>
          <w:bookmarkStart w:id="8" w:name="Faksi_FI"/>
          <w:r w:rsidR="001F540C">
            <w:rPr>
              <w:rFonts w:cs="Arial"/>
              <w:color w:val="000000"/>
              <w:sz w:val="16"/>
              <w:szCs w:val="16"/>
            </w:rPr>
            <w:t>029 512 6100</w:t>
          </w:r>
          <w:bookmarkEnd w:id="8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1F540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6"/>
              <w:szCs w:val="16"/>
            </w:rPr>
          </w:pPr>
          <w:bookmarkStart w:id="9" w:name="Paikkakunta_FI"/>
          <w:r>
            <w:rPr>
              <w:rFonts w:cs="Arial"/>
              <w:sz w:val="16"/>
              <w:szCs w:val="16"/>
            </w:rPr>
            <w:t>Helsinki</w:t>
          </w:r>
          <w:bookmarkEnd w:id="9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7D23A5" w:rsidRDefault="00DB5674" w:rsidP="00A74F0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  <w:szCs w:val="12"/>
            </w:rPr>
          </w:pPr>
          <w:r w:rsidRPr="007D23A5">
            <w:rPr>
              <w:rFonts w:cs="Arial"/>
              <w:sz w:val="12"/>
              <w:szCs w:val="12"/>
            </w:rPr>
            <w:t xml:space="preserve">VEROH </w:t>
          </w:r>
          <w:r w:rsidR="00FE7884">
            <w:rPr>
              <w:rFonts w:cs="Arial"/>
              <w:sz w:val="12"/>
              <w:szCs w:val="12"/>
            </w:rPr>
            <w:t>0100/</w:t>
          </w:r>
          <w:proofErr w:type="gramStart"/>
          <w:r w:rsidR="00FE7884">
            <w:rPr>
              <w:rFonts w:cs="Arial"/>
              <w:sz w:val="12"/>
              <w:szCs w:val="12"/>
            </w:rPr>
            <w:t>w  5</w:t>
          </w:r>
          <w:proofErr w:type="gramEnd"/>
          <w:r w:rsidR="00FE7884">
            <w:rPr>
              <w:rFonts w:cs="Arial"/>
              <w:sz w:val="12"/>
              <w:szCs w:val="12"/>
            </w:rPr>
            <w:t>.2012</w:t>
          </w:r>
        </w:p>
      </w:tc>
      <w:tc>
        <w:tcPr>
          <w:tcW w:w="160" w:type="dxa"/>
        </w:tcPr>
        <w:p w:rsidR="00DB5674" w:rsidRPr="007D23A5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2"/>
              <w:szCs w:val="12"/>
            </w:rPr>
          </w:pPr>
        </w:p>
      </w:tc>
    </w:tr>
  </w:tbl>
  <w:p w:rsidR="00DB5674" w:rsidRDefault="00DB5674">
    <w:pPr>
      <w:pStyle w:val="Alatunniste"/>
      <w:tabs>
        <w:tab w:val="left" w:pos="6237"/>
      </w:tabs>
      <w:rPr>
        <w:rFonts w:cs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0F78E5" w:rsidTr="003B41A6">
      <w:trPr>
        <w:cantSplit/>
        <w:trHeight w:hRule="exact" w:val="284"/>
      </w:trPr>
      <w:tc>
        <w:tcPr>
          <w:tcW w:w="9586" w:type="dxa"/>
          <w:gridSpan w:val="5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270"/>
      </w:trPr>
      <w:tc>
        <w:tcPr>
          <w:tcW w:w="3614" w:type="dxa"/>
          <w:vMerge w:val="restart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Lähettäjä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proofErr w:type="gramStart"/>
          <w:r>
            <w:rPr>
              <w:rFonts w:cs="Arial"/>
              <w:sz w:val="18"/>
            </w:rPr>
            <w:t>Lähettäjän tarkenne</w:t>
          </w:r>
          <w:proofErr w:type="gramEnd"/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Käyntiosoite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r>
            <w:rPr>
              <w:sz w:val="18"/>
            </w:rPr>
            <w:t xml:space="preserve">faksi  </w:t>
          </w:r>
          <w:r>
            <w:rPr>
              <w:rFonts w:cs="Arial"/>
              <w:color w:val="000000"/>
              <w:sz w:val="18"/>
              <w:szCs w:val="18"/>
            </w:rPr>
            <w:t>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Paikkakunta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VEROH </w:t>
          </w:r>
          <w:r w:rsidR="00E45B87">
            <w:rPr>
              <w:rFonts w:cs="Arial"/>
              <w:sz w:val="12"/>
            </w:rPr>
            <w:t>1000/</w:t>
          </w:r>
          <w:proofErr w:type="gramStart"/>
          <w:r w:rsidR="00E45B87">
            <w:rPr>
              <w:rFonts w:cs="Arial"/>
              <w:sz w:val="12"/>
            </w:rPr>
            <w:t>w  11</w:t>
          </w:r>
          <w:proofErr w:type="gramEnd"/>
          <w:r w:rsidR="00E45B87">
            <w:rPr>
              <w:rFonts w:cs="Arial"/>
              <w:sz w:val="12"/>
            </w:rPr>
            <w:t>.2011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:rsidR="000F78E5" w:rsidRDefault="000F78E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0C" w:rsidRDefault="001F540C">
      <w:r>
        <w:separator/>
      </w:r>
    </w:p>
  </w:footnote>
  <w:footnote w:type="continuationSeparator" w:id="0">
    <w:p w:rsidR="001F540C" w:rsidRDefault="001F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977"/>
    </w:tblGrid>
    <w:tr w:rsidR="00017ADF" w:rsidRPr="00AE4847" w:rsidTr="00D54109">
      <w:trPr>
        <w:trHeight w:val="1140"/>
      </w:trPr>
      <w:tc>
        <w:tcPr>
          <w:tcW w:w="6487" w:type="dxa"/>
          <w:vAlign w:val="bottom"/>
        </w:tcPr>
        <w:p w:rsidR="00017ADF" w:rsidRDefault="004666FC" w:rsidP="00DB5674">
          <w:pPr>
            <w:pStyle w:val="Yltunniste"/>
          </w:pPr>
          <w:r>
            <w:rPr>
              <w:noProof/>
            </w:rPr>
            <w:drawing>
              <wp:inline distT="0" distB="0" distL="0" distR="0" wp14:anchorId="4E3D9D2F" wp14:editId="2CC3E67F">
                <wp:extent cx="933450" cy="276225"/>
                <wp:effectExtent l="0" t="0" r="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017ADF" w:rsidRPr="00E45B87" w:rsidRDefault="0033142D" w:rsidP="0033142D">
          <w:pPr>
            <w:jc w:val="right"/>
            <w:rPr>
              <w:b/>
              <w:sz w:val="20"/>
            </w:rPr>
          </w:pP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PAGE </w:instrText>
          </w:r>
          <w:r w:rsidRPr="00AE4847">
            <w:rPr>
              <w:sz w:val="18"/>
              <w:szCs w:val="18"/>
            </w:rPr>
            <w:fldChar w:fldCharType="separate"/>
          </w:r>
          <w:r w:rsidR="007E1B06">
            <w:rPr>
              <w:noProof/>
              <w:sz w:val="18"/>
              <w:szCs w:val="18"/>
            </w:rPr>
            <w:t>1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 xml:space="preserve"> (</w:t>
          </w: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NUMPAGES  </w:instrText>
          </w:r>
          <w:r w:rsidRPr="00AE4847">
            <w:rPr>
              <w:sz w:val="18"/>
              <w:szCs w:val="18"/>
            </w:rPr>
            <w:fldChar w:fldCharType="separate"/>
          </w:r>
          <w:r w:rsidR="007E1B06">
            <w:rPr>
              <w:noProof/>
              <w:sz w:val="18"/>
              <w:szCs w:val="18"/>
            </w:rPr>
            <w:t>2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>)</w:t>
          </w:r>
        </w:p>
      </w:tc>
    </w:tr>
  </w:tbl>
  <w:p w:rsidR="00017ADF" w:rsidRDefault="00017AD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6487"/>
      <w:gridCol w:w="2977"/>
    </w:tblGrid>
    <w:tr w:rsidR="00E45B87" w:rsidRPr="00AE4847" w:rsidTr="00E45B87">
      <w:trPr>
        <w:trHeight w:val="503"/>
      </w:trPr>
      <w:tc>
        <w:tcPr>
          <w:tcW w:w="6487" w:type="dxa"/>
          <w:vAlign w:val="bottom"/>
        </w:tcPr>
        <w:p w:rsidR="00E45B87" w:rsidRDefault="00E45B87" w:rsidP="008B3412">
          <w:pPr>
            <w:pStyle w:val="Yltunniste"/>
          </w:pPr>
        </w:p>
      </w:tc>
      <w:tc>
        <w:tcPr>
          <w:tcW w:w="2977" w:type="dxa"/>
          <w:vAlign w:val="bottom"/>
        </w:tcPr>
        <w:p w:rsidR="00E45B87" w:rsidRPr="000F78E5" w:rsidRDefault="00E45B87" w:rsidP="00E45B87">
          <w:pPr>
            <w:rPr>
              <w:b/>
              <w:sz w:val="20"/>
            </w:rPr>
          </w:pPr>
        </w:p>
      </w:tc>
    </w:tr>
    <w:tr w:rsidR="00E45B87" w:rsidRPr="00AE4847" w:rsidTr="00E45B87">
      <w:trPr>
        <w:trHeight w:val="502"/>
      </w:trPr>
      <w:tc>
        <w:tcPr>
          <w:tcW w:w="6487" w:type="dxa"/>
          <w:vAlign w:val="bottom"/>
        </w:tcPr>
        <w:p w:rsidR="00E45B87" w:rsidRDefault="004666FC" w:rsidP="008B3412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933450" cy="27622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E45B87" w:rsidRPr="000F78E5" w:rsidRDefault="00E45B87" w:rsidP="00E45B87">
          <w:pPr>
            <w:rPr>
              <w:b/>
              <w:sz w:val="20"/>
            </w:rPr>
          </w:pPr>
          <w:r w:rsidRPr="000F78E5">
            <w:rPr>
              <w:b/>
              <w:sz w:val="20"/>
            </w:rPr>
            <w:t>ASETTELUMALLI</w:t>
          </w:r>
        </w:p>
      </w:tc>
    </w:tr>
  </w:tbl>
  <w:p w:rsidR="00E45B87" w:rsidRDefault="00E45B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755118"/>
    <w:multiLevelType w:val="hybridMultilevel"/>
    <w:tmpl w:val="B9D0F2C8"/>
    <w:lvl w:ilvl="0" w:tplc="E8989438">
      <w:start w:val="1"/>
      <w:numFmt w:val="bullet"/>
      <w:lvlText w:val="–"/>
      <w:lvlJc w:val="left"/>
      <w:pPr>
        <w:tabs>
          <w:tab w:val="num" w:pos="1664"/>
        </w:tabs>
        <w:ind w:left="1587" w:hanging="283"/>
      </w:pPr>
      <w:rPr>
        <w:rFonts w:hint="default"/>
        <w:b w:val="0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C"/>
    <w:rsid w:val="00010E38"/>
    <w:rsid w:val="00017ADF"/>
    <w:rsid w:val="00046C12"/>
    <w:rsid w:val="0006085D"/>
    <w:rsid w:val="000616CC"/>
    <w:rsid w:val="000F78E5"/>
    <w:rsid w:val="001E0B25"/>
    <w:rsid w:val="001E6A9D"/>
    <w:rsid w:val="001F540C"/>
    <w:rsid w:val="00257A52"/>
    <w:rsid w:val="00284D8E"/>
    <w:rsid w:val="002D3D4C"/>
    <w:rsid w:val="0033142D"/>
    <w:rsid w:val="00396335"/>
    <w:rsid w:val="003B41A6"/>
    <w:rsid w:val="004666FC"/>
    <w:rsid w:val="004C0B99"/>
    <w:rsid w:val="00620D4D"/>
    <w:rsid w:val="00650DC2"/>
    <w:rsid w:val="006B5130"/>
    <w:rsid w:val="00710570"/>
    <w:rsid w:val="007A6CAD"/>
    <w:rsid w:val="007B1389"/>
    <w:rsid w:val="007D23A5"/>
    <w:rsid w:val="007D596F"/>
    <w:rsid w:val="007E0F7B"/>
    <w:rsid w:val="007E1B06"/>
    <w:rsid w:val="00810917"/>
    <w:rsid w:val="0084114F"/>
    <w:rsid w:val="008B3412"/>
    <w:rsid w:val="00990081"/>
    <w:rsid w:val="00A74369"/>
    <w:rsid w:val="00A74F04"/>
    <w:rsid w:val="00A802B4"/>
    <w:rsid w:val="00A963CE"/>
    <w:rsid w:val="00AA3C28"/>
    <w:rsid w:val="00AD252F"/>
    <w:rsid w:val="00AE5BDC"/>
    <w:rsid w:val="00B21CA3"/>
    <w:rsid w:val="00B46076"/>
    <w:rsid w:val="00B52832"/>
    <w:rsid w:val="00BF1756"/>
    <w:rsid w:val="00C443F8"/>
    <w:rsid w:val="00C50A6D"/>
    <w:rsid w:val="00CD4BAE"/>
    <w:rsid w:val="00CE7A38"/>
    <w:rsid w:val="00CF5BCA"/>
    <w:rsid w:val="00D5348C"/>
    <w:rsid w:val="00D54109"/>
    <w:rsid w:val="00D8177C"/>
    <w:rsid w:val="00D90AE1"/>
    <w:rsid w:val="00D94113"/>
    <w:rsid w:val="00DB5674"/>
    <w:rsid w:val="00DC75D4"/>
    <w:rsid w:val="00E3028D"/>
    <w:rsid w:val="00E45B87"/>
    <w:rsid w:val="00E70FCF"/>
    <w:rsid w:val="00E81456"/>
    <w:rsid w:val="00EA4777"/>
    <w:rsid w:val="00F16611"/>
    <w:rsid w:val="00F273D2"/>
    <w:rsid w:val="00F6342E"/>
    <w:rsid w:val="00F77FEB"/>
    <w:rsid w:val="00F815DC"/>
    <w:rsid w:val="00F91FA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252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252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2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65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37929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112449"/>
                                                        <w:left w:val="single" w:sz="6" w:space="8" w:color="112449"/>
                                                        <w:bottom w:val="single" w:sz="6" w:space="8" w:color="112449"/>
                                                        <w:right w:val="single" w:sz="6" w:space="8" w:color="11244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0%20YLEISET\0100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0100 kirje.dot</Template>
  <TotalTime>574</TotalTime>
  <Pages>2</Pages>
  <Words>355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 von Konow</dc:creator>
  <cp:lastModifiedBy>Taito von Konow</cp:lastModifiedBy>
  <cp:revision>7</cp:revision>
  <cp:lastPrinted>2017-05-15T06:24:00Z</cp:lastPrinted>
  <dcterms:created xsi:type="dcterms:W3CDTF">2017-04-27T06:41:00Z</dcterms:created>
  <dcterms:modified xsi:type="dcterms:W3CDTF">2017-05-15T06:26:00Z</dcterms:modified>
</cp:coreProperties>
</file>