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4E2" w:rsidRPr="000A74E2" w:rsidRDefault="000A74E2" w:rsidP="000A74E2">
      <w:pPr>
        <w:spacing w:after="0"/>
        <w:rPr>
          <w:b/>
        </w:rPr>
      </w:pPr>
      <w:bookmarkStart w:id="0" w:name="_GoBack"/>
      <w:bookmarkEnd w:id="0"/>
      <w:r w:rsidRPr="000A74E2">
        <w:rPr>
          <w:b/>
        </w:rPr>
        <w:t>ITÄ-SUOMEN HOVIOIKEUS</w:t>
      </w:r>
    </w:p>
    <w:p w:rsidR="000A74E2" w:rsidRDefault="000A74E2" w:rsidP="000A74E2">
      <w:pPr>
        <w:spacing w:after="0"/>
      </w:pPr>
      <w:r w:rsidRPr="000A74E2">
        <w:t>Kuopio 18.5.2018</w:t>
      </w:r>
    </w:p>
    <w:p w:rsidR="003C00E4" w:rsidRDefault="003C00E4" w:rsidP="000A74E2">
      <w:pPr>
        <w:spacing w:after="0"/>
      </w:pPr>
    </w:p>
    <w:p w:rsidR="003C00E4" w:rsidRDefault="003C00E4" w:rsidP="000A74E2">
      <w:pPr>
        <w:spacing w:after="0"/>
      </w:pPr>
    </w:p>
    <w:p w:rsidR="003C00E4" w:rsidRDefault="003C00E4" w:rsidP="000A74E2">
      <w:pPr>
        <w:spacing w:after="0"/>
      </w:pPr>
    </w:p>
    <w:p w:rsidR="003C00E4" w:rsidRPr="00C367AB" w:rsidRDefault="003C00E4" w:rsidP="000A74E2">
      <w:pPr>
        <w:spacing w:after="0"/>
        <w:rPr>
          <w:b/>
        </w:rPr>
      </w:pPr>
      <w:r w:rsidRPr="00C367AB">
        <w:rPr>
          <w:b/>
        </w:rPr>
        <w:t>Oikeusministeriölle</w:t>
      </w:r>
    </w:p>
    <w:p w:rsidR="003C00E4" w:rsidRPr="000A74E2" w:rsidRDefault="003C00E4" w:rsidP="000A74E2">
      <w:pPr>
        <w:spacing w:after="0"/>
      </w:pPr>
    </w:p>
    <w:p w:rsidR="000A74E2" w:rsidRDefault="000A74E2" w:rsidP="00273D02">
      <w:pPr>
        <w:spacing w:after="0"/>
        <w:rPr>
          <w:b/>
        </w:rPr>
      </w:pPr>
    </w:p>
    <w:p w:rsidR="000A74E2" w:rsidRDefault="000A74E2" w:rsidP="00273D02">
      <w:pPr>
        <w:spacing w:after="0"/>
        <w:rPr>
          <w:b/>
        </w:rPr>
      </w:pPr>
    </w:p>
    <w:p w:rsidR="00273D02" w:rsidRPr="00273D02" w:rsidRDefault="003C00E4" w:rsidP="00273D02">
      <w:pPr>
        <w:spacing w:after="0"/>
      </w:pPr>
      <w:r w:rsidRPr="003C00E4">
        <w:rPr>
          <w:b/>
        </w:rPr>
        <w:t>Viite:</w:t>
      </w:r>
      <w:r>
        <w:t xml:space="preserve"> </w:t>
      </w:r>
      <w:r w:rsidR="00273D02" w:rsidRPr="00273D02">
        <w:t>Lausuntopyynnön diaarinumero: OM 1/41/2018</w:t>
      </w:r>
    </w:p>
    <w:p w:rsidR="003C00E4" w:rsidRPr="00273D02" w:rsidRDefault="003C00E4" w:rsidP="003C00E4">
      <w:pPr>
        <w:spacing w:after="0"/>
        <w:rPr>
          <w:b/>
        </w:rPr>
      </w:pPr>
      <w:r>
        <w:rPr>
          <w:b/>
        </w:rPr>
        <w:t xml:space="preserve">Asia: </w:t>
      </w:r>
      <w:r w:rsidRPr="003C00E4">
        <w:t>Arviomuistio rangaistusten oikeasuhtaisuudesta</w:t>
      </w:r>
    </w:p>
    <w:p w:rsidR="00273D02" w:rsidRDefault="00273D02" w:rsidP="00987F9D">
      <w:pPr>
        <w:spacing w:after="0"/>
        <w:rPr>
          <w:b/>
        </w:rPr>
      </w:pPr>
    </w:p>
    <w:p w:rsidR="00273D02" w:rsidRDefault="00273D02" w:rsidP="00987F9D">
      <w:pPr>
        <w:spacing w:after="0"/>
        <w:rPr>
          <w:b/>
        </w:rPr>
      </w:pPr>
    </w:p>
    <w:p w:rsidR="00987F9D" w:rsidRPr="001939B5" w:rsidRDefault="00987F9D" w:rsidP="00987F9D">
      <w:pPr>
        <w:spacing w:after="0"/>
        <w:rPr>
          <w:b/>
        </w:rPr>
      </w:pPr>
      <w:r w:rsidRPr="001939B5">
        <w:rPr>
          <w:b/>
        </w:rPr>
        <w:t>Lausunnon saate</w:t>
      </w:r>
    </w:p>
    <w:p w:rsidR="00A51F44" w:rsidRDefault="00A51F44" w:rsidP="00987F9D">
      <w:pPr>
        <w:spacing w:after="0"/>
      </w:pPr>
    </w:p>
    <w:p w:rsidR="00AC7024" w:rsidRPr="00896CA3" w:rsidRDefault="00A51F44" w:rsidP="00987F9D">
      <w:pPr>
        <w:spacing w:after="0"/>
      </w:pPr>
      <w:r w:rsidRPr="00896CA3">
        <w:t>Tähän voitte halutessanne kirjoittaa saatteen lausunnollenne:</w:t>
      </w:r>
    </w:p>
    <w:p w:rsidR="00B157AB" w:rsidRDefault="00987F9D" w:rsidP="00987F9D">
      <w:pPr>
        <w:spacing w:after="0"/>
      </w:pPr>
      <w:r w:rsidRPr="00987F9D">
        <w:t>Arviomuistion keskeisenä teemana on oikeasuhtaisen rangaistustason ohella keskittyminen rikoksia ennaltaehkäiseviin ja rikosten uusimista ehkäiseviin keinoihin. Hovioikeus pitää valittua näkökulmaa hyvänä.  Rikosten ja niiden aiheuttamien seurausten vähentäminen ei ole mahdollista pelkästään rangaistustasoa korottamalla.</w:t>
      </w:r>
    </w:p>
    <w:p w:rsidR="00A51F44" w:rsidRDefault="00A51F44" w:rsidP="00987F9D">
      <w:pPr>
        <w:spacing w:after="0"/>
      </w:pPr>
    </w:p>
    <w:p w:rsidR="00987F9D" w:rsidRDefault="00987F9D" w:rsidP="00987F9D">
      <w:pPr>
        <w:spacing w:after="0"/>
      </w:pPr>
    </w:p>
    <w:p w:rsidR="00987F9D" w:rsidRPr="001939B5" w:rsidRDefault="00987F9D" w:rsidP="00987F9D">
      <w:pPr>
        <w:spacing w:after="0"/>
        <w:rPr>
          <w:b/>
        </w:rPr>
      </w:pPr>
      <w:r w:rsidRPr="001939B5">
        <w:rPr>
          <w:b/>
        </w:rPr>
        <w:t>Yleistä</w:t>
      </w:r>
    </w:p>
    <w:p w:rsidR="00987F9D" w:rsidRDefault="00987F9D" w:rsidP="00987F9D">
      <w:pPr>
        <w:spacing w:after="0"/>
      </w:pPr>
    </w:p>
    <w:p w:rsidR="00987F9D" w:rsidRDefault="00987F9D" w:rsidP="00987F9D">
      <w:pPr>
        <w:spacing w:after="0"/>
      </w:pPr>
      <w:r>
        <w:t>Mitä mieltä olette yleisesti arviomuistion sisältämistä ehdotuksista? Tulisiko ehdotuksia valmistella edelleen vai ei?</w:t>
      </w:r>
    </w:p>
    <w:p w:rsidR="00987F9D" w:rsidRDefault="00987F9D" w:rsidP="00987F9D">
      <w:pPr>
        <w:spacing w:after="0"/>
      </w:pPr>
    </w:p>
    <w:p w:rsidR="00AC7024" w:rsidRDefault="00987F9D" w:rsidP="00987F9D">
      <w:pPr>
        <w:spacing w:after="0"/>
      </w:pPr>
      <w:proofErr w:type="gramStart"/>
      <w:r>
        <w:t>X  Kannatan</w:t>
      </w:r>
      <w:proofErr w:type="gramEnd"/>
      <w:r>
        <w:t xml:space="preserve">/kannatamme ehdotuksia pääosin tai kokonaan taikka minulla/meillä ei ole muistiosta huomautettavaa  </w:t>
      </w:r>
    </w:p>
    <w:p w:rsidR="00AC7024" w:rsidRDefault="00AC7024" w:rsidP="00987F9D">
      <w:pPr>
        <w:spacing w:after="0"/>
      </w:pPr>
    </w:p>
    <w:p w:rsidR="00AC7024" w:rsidRDefault="00AC7024" w:rsidP="00987F9D">
      <w:pPr>
        <w:spacing w:after="0"/>
      </w:pPr>
      <w:r>
        <w:t>Muut yleiset huomiot</w:t>
      </w:r>
      <w:r w:rsidR="00A51F44">
        <w:t>:</w:t>
      </w:r>
    </w:p>
    <w:p w:rsidR="001939B5" w:rsidRDefault="00AC7024" w:rsidP="00987F9D">
      <w:pPr>
        <w:spacing w:after="0"/>
      </w:pPr>
      <w:r w:rsidRPr="00AC7024">
        <w:t xml:space="preserve">Hovioikeus pitää tärkeänä, että jo tehtyjen arviomuistiossa esitettyjen toimenpiteiden kanssa samansuuntaisten lainsäädäntömuutosten, esimerkkinä seksuaalirikokset, vaikutukset selvitetään ennen kuin lainsäädäntöä muutetaan uudelleen arviomuistiossa tarkoitetuin tavoin. Koska lainsäädäntömuutokset ilmenevät oikeuskäytännössä viiveellä, on vaikutusten selvittämiseen varattava riittävästi aikaa. Silloin kun rangaistusasteikko on sinänsä lavea ja asteikon ankarin osa käytössä vain harvoin rangaistustason muuttaminen lainsäädännöllisin keinoin ei välttämättä ole tarpeen. Mittaamisharkinnassa keskeisessä asemassa ovat korkeimman oikeuden rangaistuksen mittaamista koskevat ratkaisut. </w:t>
      </w:r>
    </w:p>
    <w:p w:rsidR="00A51F44" w:rsidRDefault="00A51F44" w:rsidP="00987F9D">
      <w:pPr>
        <w:spacing w:after="0"/>
      </w:pPr>
    </w:p>
    <w:p w:rsidR="001939B5" w:rsidRDefault="001939B5" w:rsidP="00987F9D">
      <w:pPr>
        <w:spacing w:after="0"/>
      </w:pPr>
    </w:p>
    <w:p w:rsidR="001939B5" w:rsidRPr="001939B5" w:rsidRDefault="001939B5" w:rsidP="00987F9D">
      <w:pPr>
        <w:spacing w:after="0"/>
        <w:rPr>
          <w:b/>
        </w:rPr>
      </w:pPr>
      <w:r w:rsidRPr="001939B5">
        <w:rPr>
          <w:b/>
        </w:rPr>
        <w:t>Arvioinnin perusteet ja lähtökohdat</w:t>
      </w:r>
    </w:p>
    <w:p w:rsidR="00A51F44" w:rsidRDefault="00A51F44" w:rsidP="00987F9D">
      <w:pPr>
        <w:spacing w:after="0"/>
      </w:pPr>
    </w:p>
    <w:p w:rsidR="001939B5" w:rsidRDefault="001939B5" w:rsidP="00987F9D">
      <w:pPr>
        <w:spacing w:after="0"/>
      </w:pPr>
      <w:r w:rsidRPr="001939B5">
        <w:t>(mm. kriminaalipolitiikan perusteet, rikosoikeuden periaatteet ja perusoikeuksien yleiset rajoitusedellytykset, rikollisuustilanne, rangaistusasteikot, rangaistusten vaikutukset, hyöty—haitta-vertailu, rangaistusten vaihtoehdot ja rikoksentorjunnan menetelmät, oikeustajua koskeva tutkimus)</w:t>
      </w:r>
    </w:p>
    <w:p w:rsidR="001939B5" w:rsidRDefault="001939B5" w:rsidP="00987F9D">
      <w:pPr>
        <w:spacing w:after="0"/>
      </w:pPr>
    </w:p>
    <w:p w:rsidR="001939B5" w:rsidRDefault="00906F35" w:rsidP="00987F9D">
      <w:pPr>
        <w:spacing w:after="0"/>
      </w:pPr>
      <w:r>
        <w:t>Näkemyksenn</w:t>
      </w:r>
      <w:r w:rsidR="001939B5">
        <w:t>e arvioinnin perusteista ja lähtökohdista:</w:t>
      </w:r>
    </w:p>
    <w:p w:rsidR="00987F9D" w:rsidRDefault="001939B5" w:rsidP="00987F9D">
      <w:pPr>
        <w:spacing w:after="0"/>
      </w:pPr>
      <w:r w:rsidRPr="001939B5">
        <w:lastRenderedPageBreak/>
        <w:t>Hallituksen strategisen ohjelman mukaan oikeuspolitiikan eräänä tavoitteena on, että rangaistukset vastaavat yleistä oikeustajua. Yleisen oikeustajun käyttäminen perusteena rangaistustason arvioimiselle on vaikeaa, koska yleisen oikeustajun yksiselitteinen määritteleminen on käytännössä mahdotonta. Oikeustajututkimuksen tekeminen on kuitenkin arviomuistion laatimisen kannalta ollut perusteltua. Yleisesti tutkimuksen tulosten perusteella voidaan todeta, ettei väestön käsitysten ja rangaistuskäytännön välillä ole suuria eroja. Merkittävänä on kuitenkin pidettävä sitä tutkimustulosta, ettei ehdollista vankeutta useinkaan pidetä riittävänä seuraamuksena ja että väestö suosisi yhdyskuntaseuraamuksia selvästi nykyistä enemmän.</w:t>
      </w:r>
    </w:p>
    <w:p w:rsidR="005C56AE" w:rsidRDefault="005C56AE" w:rsidP="00987F9D">
      <w:pPr>
        <w:spacing w:after="0"/>
      </w:pPr>
    </w:p>
    <w:p w:rsidR="00A51F44" w:rsidRDefault="00A51F44" w:rsidP="00987F9D">
      <w:pPr>
        <w:spacing w:after="0"/>
      </w:pPr>
    </w:p>
    <w:p w:rsidR="005C56AE" w:rsidRPr="005C56AE" w:rsidRDefault="005C56AE" w:rsidP="00987F9D">
      <w:pPr>
        <w:spacing w:after="0"/>
        <w:rPr>
          <w:b/>
        </w:rPr>
      </w:pPr>
      <w:r w:rsidRPr="005C56AE">
        <w:rPr>
          <w:b/>
        </w:rPr>
        <w:t>Seksuaalirikokset</w:t>
      </w:r>
    </w:p>
    <w:p w:rsidR="00A51F44" w:rsidRDefault="00A51F44" w:rsidP="005C56AE">
      <w:pPr>
        <w:spacing w:after="0"/>
      </w:pPr>
    </w:p>
    <w:p w:rsidR="005C56AE" w:rsidRDefault="005C56AE" w:rsidP="005C56AE">
      <w:pPr>
        <w:spacing w:after="0"/>
      </w:pPr>
      <w:r>
        <w:t>Muistio sisältää seuraavat ehdotukset:</w:t>
      </w:r>
    </w:p>
    <w:p w:rsidR="005C56AE" w:rsidRDefault="00A51F44" w:rsidP="005C56AE">
      <w:pPr>
        <w:spacing w:after="0"/>
      </w:pPr>
      <w:r>
        <w:rPr>
          <w:rFonts w:ascii="Calibri" w:hAnsi="Calibri" w:cs="Calibri"/>
        </w:rPr>
        <w:t>-</w:t>
      </w:r>
      <w:r w:rsidR="005C56AE">
        <w:t>tehostetaan raiskausrikosten esitutkintaa (SM/poliisi; edellytt</w:t>
      </w:r>
      <w:r w:rsidR="005C56AE">
        <w:rPr>
          <w:rFonts w:ascii="Calibri" w:hAnsi="Calibri" w:cs="Calibri"/>
        </w:rPr>
        <w:t>ää</w:t>
      </w:r>
      <w:r w:rsidR="005C56AE">
        <w:t xml:space="preserve"> lis</w:t>
      </w:r>
      <w:r w:rsidR="005C56AE">
        <w:rPr>
          <w:rFonts w:ascii="Calibri" w:hAnsi="Calibri" w:cs="Calibri"/>
        </w:rPr>
        <w:t>ä</w:t>
      </w:r>
      <w:r w:rsidR="005C56AE">
        <w:t>rahoitusta, kustannukset nyky</w:t>
      </w:r>
      <w:r w:rsidR="005C56AE">
        <w:rPr>
          <w:rFonts w:ascii="Calibri" w:hAnsi="Calibri" w:cs="Calibri"/>
        </w:rPr>
        <w:t>ää</w:t>
      </w:r>
      <w:r w:rsidR="005C56AE">
        <w:t>n n. 3 milj. e)</w:t>
      </w:r>
    </w:p>
    <w:p w:rsidR="005C56AE" w:rsidRDefault="00A51F44" w:rsidP="005C56AE">
      <w:pPr>
        <w:spacing w:after="0"/>
      </w:pPr>
      <w:r>
        <w:rPr>
          <w:rFonts w:ascii="Calibri" w:hAnsi="Calibri" w:cs="Calibri"/>
        </w:rPr>
        <w:t>-</w:t>
      </w:r>
      <w:r w:rsidR="005C56AE">
        <w:t>tarjotaan Uusi suunta -ohjelmaa henkilöille, jotka eivät vielä ole syyllistyneet seksuaalirikoksiin (0,8—2,7 milj. e) ja laajennetaan muutoinkin seksuaalirikoksia ennaltaehkäiseviä palveluita ja kuntoutusta rangaistusjärjestelmän ulkopuolella (STM, maakunnat)</w:t>
      </w:r>
    </w:p>
    <w:p w:rsidR="00A51F44" w:rsidRDefault="00A51F44" w:rsidP="005C56AE">
      <w:pPr>
        <w:spacing w:after="0"/>
      </w:pPr>
      <w:r>
        <w:rPr>
          <w:rFonts w:ascii="Calibri" w:hAnsi="Calibri" w:cs="Calibri"/>
        </w:rPr>
        <w:t>-</w:t>
      </w:r>
      <w:r w:rsidR="005C56AE">
        <w:t>ensisijaisesti selvitetään aikaisempien lainsäädäntömuutosten vaikutukset ja oikeuskäytäntö rikostilastoista ilmeneviä lukumäärätietoja laajemmin; toissijaisesti</w:t>
      </w:r>
    </w:p>
    <w:p w:rsidR="005C56AE" w:rsidRDefault="005C56AE" w:rsidP="00A51F44">
      <w:pPr>
        <w:spacing w:after="0"/>
        <w:ind w:left="1304"/>
      </w:pPr>
      <w:r>
        <w:t>◦korotetaan lapsen seksuaalisen hyväksikäytön enimmäisrangaistus 4 vuodesta 6 vuoteen vankeutta (0,6 milj. e)</w:t>
      </w:r>
    </w:p>
    <w:p w:rsidR="005C56AE" w:rsidRDefault="005C56AE" w:rsidP="00A51F44">
      <w:pPr>
        <w:spacing w:after="0"/>
        <w:ind w:left="1304"/>
      </w:pPr>
      <w:r>
        <w:t>◦säädetään erillinen rangaistussäännös (törkeä lapsen raiskaus, rangaistusasteikko 4—12 vuotta vankeutta) tapauksiin, joissa nykyi­sin sovelletaan samanaikaisesti raiskausta ja lapsen seksuaalista hyväksikäyttöä koskevia säännöksiä (0,24 milj. e).</w:t>
      </w:r>
    </w:p>
    <w:p w:rsidR="005C56AE" w:rsidRDefault="005C56AE" w:rsidP="00987F9D">
      <w:pPr>
        <w:spacing w:after="0"/>
      </w:pPr>
    </w:p>
    <w:p w:rsidR="005C56AE" w:rsidRDefault="005C56AE" w:rsidP="00987F9D">
      <w:pPr>
        <w:spacing w:after="0"/>
      </w:pPr>
      <w:r>
        <w:t>Näkemykse</w:t>
      </w:r>
      <w:r w:rsidR="00906F35">
        <w:t>nn</w:t>
      </w:r>
      <w:r>
        <w:t>e seksuaalirikoksia koskevasta arvioista ja ehdotuksista:</w:t>
      </w:r>
    </w:p>
    <w:p w:rsidR="005C56AE" w:rsidRDefault="005C56AE" w:rsidP="00987F9D">
      <w:pPr>
        <w:spacing w:after="0"/>
      </w:pPr>
      <w:r w:rsidRPr="005C56AE">
        <w:t>Hovioikeus pitää muistion ensisijaista ehdotusta sopivimpana toimintatapana nykyisessä tilanteessa. Myös esitetyt rikoksia ennalta ehkäisevät toimet ovat kannatettavia.</w:t>
      </w:r>
    </w:p>
    <w:p w:rsidR="00A51F44" w:rsidRDefault="00A51F44" w:rsidP="00987F9D">
      <w:pPr>
        <w:spacing w:after="0"/>
      </w:pPr>
    </w:p>
    <w:p w:rsidR="00495DBA" w:rsidRDefault="00495DBA" w:rsidP="00987F9D">
      <w:pPr>
        <w:spacing w:after="0"/>
      </w:pPr>
    </w:p>
    <w:p w:rsidR="00495DBA" w:rsidRPr="00495DBA" w:rsidRDefault="00495DBA" w:rsidP="00987F9D">
      <w:pPr>
        <w:spacing w:after="0"/>
        <w:rPr>
          <w:b/>
        </w:rPr>
      </w:pPr>
      <w:r w:rsidRPr="00495DBA">
        <w:rPr>
          <w:b/>
        </w:rPr>
        <w:t>Väkivaltarikokset</w:t>
      </w:r>
    </w:p>
    <w:p w:rsidR="00A51F44" w:rsidRDefault="00A51F44" w:rsidP="00A51F44">
      <w:pPr>
        <w:spacing w:after="0"/>
      </w:pPr>
    </w:p>
    <w:p w:rsidR="00A51F44" w:rsidRDefault="00A51F44" w:rsidP="00A51F44">
      <w:pPr>
        <w:spacing w:after="0"/>
      </w:pPr>
      <w:r>
        <w:t>Muistio sisältää seuraavat ehdotukset:</w:t>
      </w:r>
    </w:p>
    <w:p w:rsidR="00A51F44" w:rsidRDefault="00A51F44" w:rsidP="00A51F44">
      <w:pPr>
        <w:spacing w:after="0"/>
      </w:pPr>
      <w:r>
        <w:t>-pannaan t</w:t>
      </w:r>
      <w:r>
        <w:rPr>
          <w:rFonts w:ascii="Calibri" w:hAnsi="Calibri" w:cs="Calibri"/>
        </w:rPr>
        <w:t>ä</w:t>
      </w:r>
      <w:r>
        <w:t>yt</w:t>
      </w:r>
      <w:r>
        <w:rPr>
          <w:rFonts w:ascii="Calibri" w:hAnsi="Calibri" w:cs="Calibri"/>
        </w:rPr>
        <w:t>ä</w:t>
      </w:r>
      <w:r>
        <w:t>nt</w:t>
      </w:r>
      <w:r>
        <w:rPr>
          <w:rFonts w:ascii="Calibri" w:hAnsi="Calibri" w:cs="Calibri"/>
        </w:rPr>
        <w:t>öö</w:t>
      </w:r>
      <w:r>
        <w:t>n yhdistelm</w:t>
      </w:r>
      <w:r>
        <w:rPr>
          <w:rFonts w:ascii="Calibri" w:hAnsi="Calibri" w:cs="Calibri"/>
        </w:rPr>
        <w:t>ä</w:t>
      </w:r>
      <w:r>
        <w:t>rangaistusta koskeva lains</w:t>
      </w:r>
      <w:r>
        <w:rPr>
          <w:rFonts w:ascii="Calibri" w:hAnsi="Calibri" w:cs="Calibri"/>
        </w:rPr>
        <w:t>ää</w:t>
      </w:r>
      <w:r>
        <w:t>d</w:t>
      </w:r>
      <w:r>
        <w:rPr>
          <w:rFonts w:ascii="Calibri" w:hAnsi="Calibri" w:cs="Calibri"/>
        </w:rPr>
        <w:t>ä</w:t>
      </w:r>
      <w:r>
        <w:t>nt</w:t>
      </w:r>
      <w:r>
        <w:rPr>
          <w:rFonts w:ascii="Calibri" w:hAnsi="Calibri" w:cs="Calibri"/>
        </w:rPr>
        <w:t>ö</w:t>
      </w:r>
      <w:r>
        <w:t xml:space="preserve"> </w:t>
      </w:r>
    </w:p>
    <w:p w:rsidR="00A51F44" w:rsidRDefault="00A51F44" w:rsidP="00A51F44">
      <w:pPr>
        <w:spacing w:after="0"/>
      </w:pPr>
      <w:r>
        <w:rPr>
          <w:rFonts w:ascii="Calibri" w:hAnsi="Calibri" w:cs="Calibri"/>
        </w:rPr>
        <w:t>-</w:t>
      </w:r>
      <w:r>
        <w:t>tiukennetaan ehdonalaisen vapauden valvontaa (riskiarvioinnin tehostaminen mm. vakavien väkivalta- ja seksuaalirikosten uusijoilla sekä tiukennettu valvonta; 1,34 milj. e)</w:t>
      </w:r>
    </w:p>
    <w:p w:rsidR="00A51F44" w:rsidRDefault="00A51F44" w:rsidP="00A51F44">
      <w:pPr>
        <w:spacing w:after="0"/>
      </w:pPr>
      <w:r>
        <w:rPr>
          <w:rFonts w:ascii="Calibri" w:hAnsi="Calibri" w:cs="Calibri"/>
        </w:rPr>
        <w:t>-</w:t>
      </w:r>
      <w:r>
        <w:t xml:space="preserve">tehostetaan ehdollista vankeutta valvonnalla ja yhdyskuntapalvelulla (3,2 milj. e, kustannukset kohdistuvat osin </w:t>
      </w:r>
      <w:proofErr w:type="spellStart"/>
      <w:r>
        <w:t>STM:n</w:t>
      </w:r>
      <w:proofErr w:type="spellEnd"/>
      <w:r>
        <w:t xml:space="preserve"> hallinnonalalle)</w:t>
      </w:r>
    </w:p>
    <w:p w:rsidR="00A51F44" w:rsidRDefault="00A51F44" w:rsidP="00A51F44">
      <w:pPr>
        <w:spacing w:after="0"/>
      </w:pPr>
      <w:r>
        <w:rPr>
          <w:rFonts w:ascii="Calibri" w:hAnsi="Calibri" w:cs="Calibri"/>
        </w:rPr>
        <w:t>-</w:t>
      </w:r>
      <w:r>
        <w:t xml:space="preserve">kehitetään ja lisätään väkivaltarikollisille tarkoitettua </w:t>
      </w:r>
      <w:proofErr w:type="spellStart"/>
      <w:r>
        <w:t>Aggredi</w:t>
      </w:r>
      <w:proofErr w:type="spellEnd"/>
      <w:r>
        <w:t>-tyyppistä ohjelmaa valtakunnallisesti (1,5 milj. e; STM, maakunnat).</w:t>
      </w:r>
    </w:p>
    <w:p w:rsidR="00A51F44" w:rsidRDefault="00A51F44" w:rsidP="00A51F44">
      <w:pPr>
        <w:spacing w:after="0"/>
      </w:pPr>
    </w:p>
    <w:p w:rsidR="00495DBA" w:rsidRDefault="00495DBA" w:rsidP="00987F9D">
      <w:pPr>
        <w:spacing w:after="0"/>
      </w:pPr>
      <w:r>
        <w:t>Näkemykse</w:t>
      </w:r>
      <w:r w:rsidR="00906F35">
        <w:t>nn</w:t>
      </w:r>
      <w:r>
        <w:t>e väkivaltarikoksia koskevasta arviosta ja ehdotuksista:</w:t>
      </w:r>
    </w:p>
    <w:p w:rsidR="00495DBA" w:rsidRDefault="00495DBA" w:rsidP="00987F9D">
      <w:pPr>
        <w:spacing w:after="0"/>
      </w:pPr>
      <w:r w:rsidRPr="00495DBA">
        <w:t xml:space="preserve">Hovioikeus pitää hyvinä muistion ehdotuksia ehdonalaisen vapauden valvonnan tiukentamisesta, ehdollisen vankeuden valvonnan laajentamisesta samoin kuin muistiossa esitettyjä keinoja väkivaltarikosten ennalta ehkäisemiseksi. Ehdollisen vankeuden tehosteeksi ehdotetun yhdyskuntapalvelun tuomitsemisen edellytyksenä on nykyisellään, että asianomainen on antanut suostumuksensa ja että hänen voidaan olettaa suoriutuvan kyseisestä rangaistuksesta. Hovioikeus huomauttaa, että </w:t>
      </w:r>
      <w:r w:rsidRPr="00495DBA">
        <w:lastRenderedPageBreak/>
        <w:t>yhdyskuntapalvelurangaistuksen tuomisemisen esteenä on usein henkilön puuttuva kyky suoriutua rangaistuksesta. Ehdotetun tehosteen voidaan odottaa kohdistuvan harvoihin rikoksentekijöihin, minkä vuoksi tehosteen vaikuttavuus tullee olemaan kyseenalainen.</w:t>
      </w:r>
    </w:p>
    <w:p w:rsidR="00DD6674" w:rsidRDefault="00DD6674" w:rsidP="00987F9D">
      <w:pPr>
        <w:spacing w:after="0"/>
      </w:pPr>
    </w:p>
    <w:p w:rsidR="00906F35" w:rsidRDefault="00906F35" w:rsidP="00987F9D">
      <w:pPr>
        <w:spacing w:after="0"/>
      </w:pPr>
    </w:p>
    <w:p w:rsidR="00906F35" w:rsidRPr="00906F35" w:rsidRDefault="00906F35" w:rsidP="00987F9D">
      <w:pPr>
        <w:spacing w:after="0"/>
        <w:rPr>
          <w:b/>
        </w:rPr>
      </w:pPr>
      <w:r w:rsidRPr="00906F35">
        <w:rPr>
          <w:b/>
        </w:rPr>
        <w:t>Talousrikokset</w:t>
      </w:r>
    </w:p>
    <w:p w:rsidR="00D81A1C" w:rsidRDefault="00D81A1C" w:rsidP="003D1A09">
      <w:pPr>
        <w:spacing w:after="0"/>
      </w:pPr>
    </w:p>
    <w:p w:rsidR="003D1A09" w:rsidRDefault="003D1A09" w:rsidP="003D1A09">
      <w:pPr>
        <w:spacing w:after="0"/>
      </w:pPr>
      <w:r>
        <w:t>Muistio sisältää seuraavat ehdotukset:</w:t>
      </w:r>
    </w:p>
    <w:p w:rsidR="003D1A09" w:rsidRDefault="003D1A09" w:rsidP="003D1A09">
      <w:pPr>
        <w:spacing w:after="0"/>
      </w:pPr>
      <w:r>
        <w:t>-korotetaan yhteis</w:t>
      </w:r>
      <w:r>
        <w:rPr>
          <w:rFonts w:ascii="Calibri" w:hAnsi="Calibri" w:cs="Calibri"/>
        </w:rPr>
        <w:t>ö</w:t>
      </w:r>
      <w:r>
        <w:t xml:space="preserve">sakon asteikkoa (HE 1/2016 vp) </w:t>
      </w:r>
    </w:p>
    <w:p w:rsidR="003D1A09" w:rsidRDefault="003D1A09" w:rsidP="003D1A09">
      <w:pPr>
        <w:spacing w:after="0"/>
      </w:pPr>
      <w:r>
        <w:rPr>
          <w:rFonts w:ascii="Calibri" w:hAnsi="Calibri" w:cs="Calibri"/>
        </w:rPr>
        <w:t>-</w:t>
      </w:r>
      <w:r>
        <w:t xml:space="preserve">arvioidaan arvopaperimarkkinoita koskevan tiedottamisrikoksen törkeän tekomuodon tarvetta (törkeä arvopaperimarkkinoita koskeva tiedottamisrikos); päävastuullisena VM, yhteistyössä </w:t>
      </w:r>
      <w:proofErr w:type="spellStart"/>
      <w:r>
        <w:t>OM:n</w:t>
      </w:r>
      <w:proofErr w:type="spellEnd"/>
      <w:r>
        <w:t xml:space="preserve"> kanssa</w:t>
      </w:r>
    </w:p>
    <w:p w:rsidR="00DD6674" w:rsidRDefault="003D1A09" w:rsidP="003D1A09">
      <w:pPr>
        <w:spacing w:after="0"/>
      </w:pPr>
      <w:r>
        <w:rPr>
          <w:rFonts w:ascii="Calibri" w:hAnsi="Calibri" w:cs="Calibri"/>
        </w:rPr>
        <w:t>-</w:t>
      </w:r>
      <w:r>
        <w:t>pannaan täytäntöön EU:n taloudellisiin etuihin kohdistuvia petoksia koskeva direktiivi (PIF):</w:t>
      </w:r>
    </w:p>
    <w:p w:rsidR="003D1A09" w:rsidRDefault="003D1A09" w:rsidP="00DD6674">
      <w:pPr>
        <w:spacing w:after="0"/>
        <w:ind w:left="1304"/>
      </w:pPr>
      <w:r>
        <w:t>◦säädetään avustuksen väärinkäyttöä koskeva törkeä tekomuoto (törkeä avustuksen väärinkäyttö)</w:t>
      </w:r>
    </w:p>
    <w:p w:rsidR="003D1A09" w:rsidRDefault="003D1A09" w:rsidP="003D1A09">
      <w:pPr>
        <w:spacing w:after="0"/>
        <w:ind w:left="1304"/>
      </w:pPr>
      <w:r>
        <w:t>◦kiristetään luottamusaseman väärinkäyttöä tai virka-aseman väärinkäyttöä koskevaa sääntelyä</w:t>
      </w:r>
    </w:p>
    <w:p w:rsidR="003D1A09" w:rsidRDefault="003D1A09" w:rsidP="003D1A09">
      <w:pPr>
        <w:spacing w:after="0"/>
        <w:ind w:firstLine="1304"/>
      </w:pPr>
      <w:r>
        <w:t xml:space="preserve">◦laajennetaan oikeushenkilön rangaistusvastuuta </w:t>
      </w:r>
    </w:p>
    <w:p w:rsidR="003D1A09" w:rsidRDefault="003D1A09" w:rsidP="003D1A09">
      <w:pPr>
        <w:spacing w:after="0"/>
        <w:ind w:firstLine="1304"/>
      </w:pPr>
      <w:r>
        <w:t>◦arvioidaan veropetossäännösten riittävyyttä muun muassa arvonlisäveron osalta</w:t>
      </w:r>
    </w:p>
    <w:p w:rsidR="003D1A09" w:rsidRDefault="003D1A09" w:rsidP="003D1A09">
      <w:pPr>
        <w:spacing w:after="0"/>
      </w:pPr>
      <w:r>
        <w:rPr>
          <w:rFonts w:ascii="Calibri" w:hAnsi="Calibri" w:cs="Calibri"/>
        </w:rPr>
        <w:t>-</w:t>
      </w:r>
      <w:r>
        <w:t>pannaan täytäntöön tuleva maksuvälinepetosdirektiivi, joka on toistaiseksi neuvotteluvaiheessa</w:t>
      </w:r>
    </w:p>
    <w:p w:rsidR="003D1A09" w:rsidRDefault="003D1A09" w:rsidP="003D1A09">
      <w:pPr>
        <w:spacing w:after="0"/>
      </w:pPr>
      <w:r>
        <w:rPr>
          <w:rFonts w:ascii="Calibri" w:hAnsi="Calibri" w:cs="Calibri"/>
        </w:rPr>
        <w:t>-</w:t>
      </w:r>
      <w:r>
        <w:t>korotetaan eräiden maksuvälineisiin liittyvien rikosten enimmäisrangaistuksia.</w:t>
      </w:r>
    </w:p>
    <w:p w:rsidR="003D1A09" w:rsidRDefault="003D1A09" w:rsidP="003D1A09">
      <w:pPr>
        <w:spacing w:after="0"/>
      </w:pPr>
    </w:p>
    <w:p w:rsidR="00906F35" w:rsidRDefault="00906F35" w:rsidP="003D1A09">
      <w:pPr>
        <w:spacing w:after="0"/>
      </w:pPr>
      <w:r>
        <w:t xml:space="preserve">Näkemyksenne </w:t>
      </w:r>
      <w:r w:rsidR="007C270C">
        <w:t>talousrikoksia</w:t>
      </w:r>
      <w:r>
        <w:t xml:space="preserve"> koskevasta arviosta ja ehdotuksista:</w:t>
      </w:r>
    </w:p>
    <w:p w:rsidR="00906F35" w:rsidRDefault="00906F35" w:rsidP="00987F9D">
      <w:pPr>
        <w:spacing w:after="0"/>
      </w:pPr>
      <w:r w:rsidRPr="00906F35">
        <w:t>Muistion talousrikoksia koskevat ehdotukset ovat sinänsä perusteltuja eikä niistä ole erityistä lausuttavaa.</w:t>
      </w:r>
    </w:p>
    <w:p w:rsidR="004A5BA9" w:rsidRDefault="004A5BA9" w:rsidP="00987F9D">
      <w:pPr>
        <w:spacing w:after="0"/>
      </w:pPr>
    </w:p>
    <w:p w:rsidR="00D81A1C" w:rsidRDefault="00D81A1C" w:rsidP="00987F9D">
      <w:pPr>
        <w:spacing w:after="0"/>
      </w:pPr>
    </w:p>
    <w:p w:rsidR="004A5BA9" w:rsidRPr="000A128F" w:rsidRDefault="004A5BA9" w:rsidP="00987F9D">
      <w:pPr>
        <w:spacing w:after="0"/>
        <w:rPr>
          <w:b/>
        </w:rPr>
      </w:pPr>
      <w:r w:rsidRPr="000A128F">
        <w:rPr>
          <w:b/>
        </w:rPr>
        <w:t>Rattijuopumusrikokset</w:t>
      </w:r>
    </w:p>
    <w:p w:rsidR="00D81A1C" w:rsidRDefault="00D81A1C" w:rsidP="000A128F">
      <w:pPr>
        <w:spacing w:after="0"/>
      </w:pPr>
    </w:p>
    <w:p w:rsidR="000A128F" w:rsidRDefault="000A128F" w:rsidP="000A128F">
      <w:pPr>
        <w:spacing w:after="0"/>
      </w:pPr>
      <w:r>
        <w:t>Muistio sisältää seuraavat ehdotukset:</w:t>
      </w:r>
    </w:p>
    <w:p w:rsidR="000A128F" w:rsidRDefault="000A128F" w:rsidP="000A128F">
      <w:pPr>
        <w:spacing w:after="0"/>
      </w:pPr>
      <w:r>
        <w:t xml:space="preserve">-tehostetaan ehdollista vankeutta valvonnalla (3,2 milj. e, kustannukset kohdistuvat osin </w:t>
      </w:r>
      <w:proofErr w:type="spellStart"/>
      <w:r>
        <w:t>STM:n</w:t>
      </w:r>
      <w:proofErr w:type="spellEnd"/>
      <w:r>
        <w:t xml:space="preserve"> hallinnonalalle; kustannukset sis</w:t>
      </w:r>
      <w:r>
        <w:rPr>
          <w:rFonts w:ascii="Calibri" w:hAnsi="Calibri" w:cs="Calibri"/>
        </w:rPr>
        <w:t>ä</w:t>
      </w:r>
      <w:r>
        <w:t>lt</w:t>
      </w:r>
      <w:r>
        <w:rPr>
          <w:rFonts w:ascii="Calibri" w:hAnsi="Calibri" w:cs="Calibri"/>
        </w:rPr>
        <w:t>ä</w:t>
      </w:r>
      <w:r>
        <w:t>v</w:t>
      </w:r>
      <w:r>
        <w:rPr>
          <w:rFonts w:ascii="Calibri" w:hAnsi="Calibri" w:cs="Calibri"/>
        </w:rPr>
        <w:t>ä</w:t>
      </w:r>
      <w:r>
        <w:t>t yhdyskuntapalvelua koskevan muutoksen)</w:t>
      </w:r>
    </w:p>
    <w:p w:rsidR="000A128F" w:rsidRDefault="00CB6695" w:rsidP="000A128F">
      <w:pPr>
        <w:spacing w:after="0"/>
      </w:pPr>
      <w:r>
        <w:rPr>
          <w:rFonts w:ascii="Calibri" w:hAnsi="Calibri" w:cs="Calibri"/>
        </w:rPr>
        <w:t>-</w:t>
      </w:r>
      <w:r w:rsidR="000A128F">
        <w:t xml:space="preserve">saatetaan voimaan ajon keskeyttämistä koskeva säännös HE 180/2017 </w:t>
      </w:r>
      <w:proofErr w:type="spellStart"/>
      <w:r w:rsidR="000A128F">
        <w:t>vp:n</w:t>
      </w:r>
      <w:proofErr w:type="spellEnd"/>
      <w:r w:rsidR="000A128F">
        <w:t xml:space="preserve"> mukaisesti (LVM)</w:t>
      </w:r>
    </w:p>
    <w:p w:rsidR="000A128F" w:rsidRDefault="00CB6695" w:rsidP="000A128F">
      <w:pPr>
        <w:spacing w:after="0"/>
      </w:pPr>
      <w:r>
        <w:rPr>
          <w:rFonts w:ascii="Calibri" w:hAnsi="Calibri" w:cs="Calibri"/>
        </w:rPr>
        <w:t>-</w:t>
      </w:r>
      <w:r w:rsidR="000A128F">
        <w:t>jatketaan alkolukkoja koskevaa uudistamistyötä jo toteutetun lainmuutoksen suuntaviivojen mukaisesti (alennetaan alkolukko-ohjelman kustannuksia; LVM)</w:t>
      </w:r>
    </w:p>
    <w:p w:rsidR="000A128F" w:rsidRDefault="00CB6695" w:rsidP="000A128F">
      <w:pPr>
        <w:spacing w:after="0"/>
      </w:pPr>
      <w:r>
        <w:rPr>
          <w:rFonts w:ascii="Calibri" w:hAnsi="Calibri" w:cs="Calibri"/>
        </w:rPr>
        <w:t>-</w:t>
      </w:r>
      <w:r w:rsidR="000A128F">
        <w:t>varmistetaan Tie selväksi -mallin toteuttaminen sosiaali- ja terveydenhuollon ohjauksen yhteydessä (STM, maakunnat).</w:t>
      </w:r>
    </w:p>
    <w:p w:rsidR="000A128F" w:rsidRDefault="000A128F" w:rsidP="000A128F">
      <w:pPr>
        <w:spacing w:after="0"/>
      </w:pPr>
    </w:p>
    <w:p w:rsidR="004A5BA9" w:rsidRDefault="004A5BA9" w:rsidP="000A128F">
      <w:pPr>
        <w:spacing w:after="0"/>
      </w:pPr>
      <w:r>
        <w:t>Näkemyksenne rattijuopumusrikoksia koskevasta arviosta ja ehdotuksista:</w:t>
      </w:r>
    </w:p>
    <w:p w:rsidR="004A5BA9" w:rsidRDefault="004A5BA9" w:rsidP="00987F9D">
      <w:pPr>
        <w:spacing w:after="0"/>
      </w:pPr>
      <w:r w:rsidRPr="004A5BA9">
        <w:t>Hovioikeus katsoo, että muistion rattijuopumusrikoksia koskevat ehdotukset ovat sinänsä perusteltuja eikä niistä ole erityistä lausuttavaa.</w:t>
      </w:r>
    </w:p>
    <w:p w:rsidR="00D81A1C" w:rsidRDefault="00D81A1C" w:rsidP="00987F9D">
      <w:pPr>
        <w:spacing w:after="0"/>
      </w:pPr>
    </w:p>
    <w:p w:rsidR="0019608C" w:rsidRDefault="0019608C" w:rsidP="00987F9D">
      <w:pPr>
        <w:spacing w:after="0"/>
      </w:pPr>
    </w:p>
    <w:p w:rsidR="0019608C" w:rsidRPr="0019608C" w:rsidRDefault="0019608C" w:rsidP="00987F9D">
      <w:pPr>
        <w:spacing w:after="0"/>
        <w:rPr>
          <w:b/>
        </w:rPr>
      </w:pPr>
      <w:r w:rsidRPr="0019608C">
        <w:rPr>
          <w:b/>
        </w:rPr>
        <w:t>Muut huomiot</w:t>
      </w:r>
    </w:p>
    <w:p w:rsidR="0019608C" w:rsidRDefault="0019608C" w:rsidP="00987F9D">
      <w:pPr>
        <w:spacing w:after="0"/>
      </w:pPr>
    </w:p>
    <w:p w:rsidR="0019608C" w:rsidRDefault="0019608C" w:rsidP="00987F9D">
      <w:pPr>
        <w:spacing w:after="0"/>
      </w:pPr>
      <w:r>
        <w:t>Muut arviomuistiota koskevat huomiot:</w:t>
      </w:r>
    </w:p>
    <w:p w:rsidR="0019608C" w:rsidRDefault="0019608C" w:rsidP="00987F9D">
      <w:pPr>
        <w:spacing w:after="0"/>
      </w:pPr>
      <w:r w:rsidRPr="0019608C">
        <w:t>Monet muistiossa esitetyistä toimenpiteistä ovat jo joko valmisteilla, hallituksen esityksenä tai jopa lakina voimassa tai niihin liittyy EU:n direktiivi, jonka täytäntöönpanoon on ryhdyttävä. Näihin toimiin ryhtyminen jo ennen arviomuistion laatimista osoittaa, että nyt esitettyihin toimenpide-ehdotuksiin johtaneisiin seikkoihin on jo kiinnitetty vakavasti huomiota.</w:t>
      </w:r>
    </w:p>
    <w:p w:rsidR="00D81A1C" w:rsidRDefault="00D81A1C" w:rsidP="00987F9D">
      <w:pPr>
        <w:spacing w:after="0"/>
      </w:pPr>
    </w:p>
    <w:p w:rsidR="00D81A1C" w:rsidRDefault="00D81A1C" w:rsidP="00987F9D">
      <w:pPr>
        <w:spacing w:after="0"/>
      </w:pPr>
    </w:p>
    <w:p w:rsidR="00987F9D" w:rsidRDefault="000A74E2" w:rsidP="000A74E2">
      <w:pPr>
        <w:spacing w:after="0"/>
      </w:pPr>
      <w:r>
        <w:t xml:space="preserve">Lausunnon ovat laatineet hovioikeudenlaamanni Riitta-Liisa </w:t>
      </w:r>
      <w:proofErr w:type="spellStart"/>
      <w:r>
        <w:t>Rautsi</w:t>
      </w:r>
      <w:proofErr w:type="spellEnd"/>
      <w:r>
        <w:t xml:space="preserve">, hovioikeudenneuvos Kari </w:t>
      </w:r>
      <w:proofErr w:type="spellStart"/>
      <w:r>
        <w:t>Puukka</w:t>
      </w:r>
      <w:proofErr w:type="spellEnd"/>
      <w:r>
        <w:t xml:space="preserve"> ja asessori Johanna Kantanen sekä hovioikeuden esittelijä Eeva Nurmela. Lausunnon on hyväksynyt presidentti Pertti Nieminen.</w:t>
      </w:r>
    </w:p>
    <w:sectPr w:rsidR="00987F9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9D"/>
    <w:rsid w:val="00076B0D"/>
    <w:rsid w:val="000A128F"/>
    <w:rsid w:val="000A74E2"/>
    <w:rsid w:val="000F3F77"/>
    <w:rsid w:val="001939B5"/>
    <w:rsid w:val="0019608C"/>
    <w:rsid w:val="00273D02"/>
    <w:rsid w:val="003C00E4"/>
    <w:rsid w:val="003D1A09"/>
    <w:rsid w:val="00495DBA"/>
    <w:rsid w:val="004A5BA9"/>
    <w:rsid w:val="005C56AE"/>
    <w:rsid w:val="005D3D38"/>
    <w:rsid w:val="007C270C"/>
    <w:rsid w:val="00896CA3"/>
    <w:rsid w:val="008B3723"/>
    <w:rsid w:val="00906F35"/>
    <w:rsid w:val="00987F9D"/>
    <w:rsid w:val="009D6293"/>
    <w:rsid w:val="00A51F44"/>
    <w:rsid w:val="00AC7024"/>
    <w:rsid w:val="00BC0D2E"/>
    <w:rsid w:val="00C367AB"/>
    <w:rsid w:val="00CB6695"/>
    <w:rsid w:val="00D81A1C"/>
    <w:rsid w:val="00DD66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AD01"/>
  <w15:chartTrackingRefBased/>
  <w15:docId w15:val="{DBEEAA82-CB1E-4C06-91A8-B414FBFA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6884</Characters>
  <Application>Microsoft Office Word</Application>
  <DocSecurity>4</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Nurmela Eeva</dc:creator>
  <cp:keywords/>
  <dc:description/>
  <cp:lastModifiedBy>Turtiainen Pekka</cp:lastModifiedBy>
  <cp:revision>2</cp:revision>
  <dcterms:created xsi:type="dcterms:W3CDTF">2018-08-14T06:10:00Z</dcterms:created>
  <dcterms:modified xsi:type="dcterms:W3CDTF">2018-08-14T06:10:00Z</dcterms:modified>
</cp:coreProperties>
</file>