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9B" w:rsidRDefault="00BB3D9B" w:rsidP="004B2B85">
      <w:pPr>
        <w:pStyle w:val="Otsikko"/>
      </w:pPr>
      <w:bookmarkStart w:id="0" w:name="_Toc98488887"/>
    </w:p>
    <w:p w:rsidR="004B2B85" w:rsidRDefault="004B2B85" w:rsidP="004B2B85">
      <w:pPr>
        <w:pStyle w:val="Otsikko"/>
      </w:pPr>
      <w:r w:rsidRPr="004B2B85">
        <w:t>VALTIONEUVOSTON PERIAATEPÄÄTÖS TEKNOLOGIAPOLITIIKASTA</w:t>
      </w:r>
      <w:bookmarkEnd w:id="0"/>
      <w:r>
        <w:t xml:space="preserve"> </w:t>
      </w:r>
    </w:p>
    <w:p w:rsidR="004B2B85" w:rsidRPr="004B2B85" w:rsidRDefault="004B2B85" w:rsidP="004B2B85">
      <w:pPr>
        <w:pStyle w:val="Leipteksti"/>
        <w:ind w:left="0"/>
      </w:pPr>
    </w:p>
    <w:sdt>
      <w:sdtPr>
        <w:rPr>
          <w:rFonts w:asciiTheme="minorHAnsi" w:eastAsiaTheme="minorHAnsi" w:hAnsiTheme="minorHAnsi" w:cstheme="minorHAnsi"/>
          <w:color w:val="auto"/>
          <w:sz w:val="21"/>
          <w:szCs w:val="22"/>
          <w:lang w:eastAsia="en-US"/>
        </w:rPr>
        <w:id w:val="1347828473"/>
        <w:docPartObj>
          <w:docPartGallery w:val="Table of Contents"/>
          <w:docPartUnique/>
        </w:docPartObj>
      </w:sdtPr>
      <w:sdtEndPr>
        <w:rPr>
          <w:b/>
          <w:bCs/>
        </w:rPr>
      </w:sdtEndPr>
      <w:sdtContent>
        <w:p w:rsidR="004B2B85" w:rsidRPr="004B2B85" w:rsidRDefault="004B2B85">
          <w:pPr>
            <w:pStyle w:val="Sisllysluettelonotsikko"/>
            <w:rPr>
              <w:color w:val="auto"/>
              <w:sz w:val="24"/>
            </w:rPr>
          </w:pPr>
          <w:r w:rsidRPr="004B2B85">
            <w:rPr>
              <w:color w:val="auto"/>
              <w:sz w:val="24"/>
            </w:rPr>
            <w:t>Sisällys</w:t>
          </w:r>
        </w:p>
        <w:p w:rsidR="00BB3D9B" w:rsidRDefault="004B2B85">
          <w:pPr>
            <w:pStyle w:val="Sisluet1"/>
            <w:tabs>
              <w:tab w:val="right" w:pos="10195"/>
            </w:tabs>
            <w:rPr>
              <w:rFonts w:eastAsiaTheme="minorEastAsia" w:cstheme="minorBidi"/>
              <w:noProof/>
              <w:sz w:val="22"/>
              <w:lang w:eastAsia="fi-FI"/>
            </w:rPr>
          </w:pPr>
          <w:r>
            <w:fldChar w:fldCharType="begin"/>
          </w:r>
          <w:r>
            <w:instrText xml:space="preserve"> TOC \o "1-3" \h \z \u </w:instrText>
          </w:r>
          <w:r>
            <w:fldChar w:fldCharType="separate"/>
          </w:r>
          <w:hyperlink w:anchor="_Toc98488887" w:history="1">
            <w:r w:rsidR="00BB3D9B" w:rsidRPr="000E3E52">
              <w:rPr>
                <w:rStyle w:val="Hyperlinkki"/>
                <w:noProof/>
              </w:rPr>
              <w:t>VALTIONEUVOSTON PERIAATEPÄÄTÖS TEKNOLOGIAPOLITIIKASTA</w:t>
            </w:r>
            <w:r w:rsidR="00BB3D9B">
              <w:rPr>
                <w:noProof/>
                <w:webHidden/>
              </w:rPr>
              <w:tab/>
            </w:r>
            <w:r w:rsidR="00BB3D9B">
              <w:rPr>
                <w:noProof/>
                <w:webHidden/>
              </w:rPr>
              <w:fldChar w:fldCharType="begin"/>
            </w:r>
            <w:r w:rsidR="00BB3D9B">
              <w:rPr>
                <w:noProof/>
                <w:webHidden/>
              </w:rPr>
              <w:instrText xml:space="preserve"> PAGEREF _Toc98488887 \h </w:instrText>
            </w:r>
            <w:r w:rsidR="00BB3D9B">
              <w:rPr>
                <w:noProof/>
                <w:webHidden/>
              </w:rPr>
            </w:r>
            <w:r w:rsidR="00BB3D9B">
              <w:rPr>
                <w:noProof/>
                <w:webHidden/>
              </w:rPr>
              <w:fldChar w:fldCharType="separate"/>
            </w:r>
            <w:r w:rsidR="002256D9">
              <w:rPr>
                <w:noProof/>
                <w:webHidden/>
              </w:rPr>
              <w:t>1</w:t>
            </w:r>
            <w:r w:rsidR="00BB3D9B">
              <w:rPr>
                <w:noProof/>
                <w:webHidden/>
              </w:rPr>
              <w:fldChar w:fldCharType="end"/>
            </w:r>
          </w:hyperlink>
        </w:p>
        <w:p w:rsidR="00BB3D9B" w:rsidRDefault="00D953E3">
          <w:pPr>
            <w:pStyle w:val="Sisluet1"/>
            <w:tabs>
              <w:tab w:val="left" w:pos="440"/>
              <w:tab w:val="right" w:pos="10195"/>
            </w:tabs>
            <w:rPr>
              <w:rFonts w:eastAsiaTheme="minorEastAsia" w:cstheme="minorBidi"/>
              <w:noProof/>
              <w:sz w:val="22"/>
              <w:lang w:eastAsia="fi-FI"/>
            </w:rPr>
          </w:pPr>
          <w:hyperlink w:anchor="_Toc98488888" w:history="1">
            <w:r w:rsidR="00BB3D9B" w:rsidRPr="000E3E52">
              <w:rPr>
                <w:rStyle w:val="Hyperlinkki"/>
                <w:noProof/>
              </w:rPr>
              <w:t>1.</w:t>
            </w:r>
            <w:r w:rsidR="00BB3D9B">
              <w:rPr>
                <w:rFonts w:eastAsiaTheme="minorEastAsia" w:cstheme="minorBidi"/>
                <w:noProof/>
                <w:sz w:val="22"/>
                <w:lang w:eastAsia="fi-FI"/>
              </w:rPr>
              <w:tab/>
            </w:r>
            <w:r w:rsidR="00BB3D9B" w:rsidRPr="000E3E52">
              <w:rPr>
                <w:rStyle w:val="Hyperlinkki"/>
                <w:noProof/>
              </w:rPr>
              <w:t>Teknologiapolitiikan periaatepäätöksen tarkoitus</w:t>
            </w:r>
            <w:r w:rsidR="00BB3D9B">
              <w:rPr>
                <w:noProof/>
                <w:webHidden/>
              </w:rPr>
              <w:tab/>
            </w:r>
            <w:r w:rsidR="00BB3D9B">
              <w:rPr>
                <w:noProof/>
                <w:webHidden/>
              </w:rPr>
              <w:fldChar w:fldCharType="begin"/>
            </w:r>
            <w:r w:rsidR="00BB3D9B">
              <w:rPr>
                <w:noProof/>
                <w:webHidden/>
              </w:rPr>
              <w:instrText xml:space="preserve"> PAGEREF _Toc98488888 \h </w:instrText>
            </w:r>
            <w:r w:rsidR="00BB3D9B">
              <w:rPr>
                <w:noProof/>
                <w:webHidden/>
              </w:rPr>
            </w:r>
            <w:r w:rsidR="00BB3D9B">
              <w:rPr>
                <w:noProof/>
                <w:webHidden/>
              </w:rPr>
              <w:fldChar w:fldCharType="separate"/>
            </w:r>
            <w:r w:rsidR="002256D9">
              <w:rPr>
                <w:noProof/>
                <w:webHidden/>
              </w:rPr>
              <w:t>2</w:t>
            </w:r>
            <w:r w:rsidR="00BB3D9B">
              <w:rPr>
                <w:noProof/>
                <w:webHidden/>
              </w:rPr>
              <w:fldChar w:fldCharType="end"/>
            </w:r>
          </w:hyperlink>
        </w:p>
        <w:p w:rsidR="00BB3D9B" w:rsidRDefault="00D953E3">
          <w:pPr>
            <w:pStyle w:val="Sisluet1"/>
            <w:tabs>
              <w:tab w:val="left" w:pos="440"/>
              <w:tab w:val="right" w:pos="10195"/>
            </w:tabs>
            <w:rPr>
              <w:rFonts w:eastAsiaTheme="minorEastAsia" w:cstheme="minorBidi"/>
              <w:noProof/>
              <w:sz w:val="22"/>
              <w:lang w:eastAsia="fi-FI"/>
            </w:rPr>
          </w:pPr>
          <w:hyperlink w:anchor="_Toc98488889" w:history="1">
            <w:r w:rsidR="00BB3D9B" w:rsidRPr="000E3E52">
              <w:rPr>
                <w:rStyle w:val="Hyperlinkki"/>
                <w:noProof/>
              </w:rPr>
              <w:t>2.</w:t>
            </w:r>
            <w:r w:rsidR="00BB3D9B">
              <w:rPr>
                <w:rFonts w:eastAsiaTheme="minorEastAsia" w:cstheme="minorBidi"/>
                <w:noProof/>
                <w:sz w:val="22"/>
                <w:lang w:eastAsia="fi-FI"/>
              </w:rPr>
              <w:tab/>
            </w:r>
            <w:r w:rsidR="00BB3D9B" w:rsidRPr="000E3E52">
              <w:rPr>
                <w:rStyle w:val="Hyperlinkki"/>
                <w:noProof/>
              </w:rPr>
              <w:t>Teknologiapolitiikan periaatepäätöksen tausta</w:t>
            </w:r>
            <w:r w:rsidR="00BB3D9B">
              <w:rPr>
                <w:noProof/>
                <w:webHidden/>
              </w:rPr>
              <w:tab/>
            </w:r>
            <w:r w:rsidR="00BB3D9B">
              <w:rPr>
                <w:noProof/>
                <w:webHidden/>
              </w:rPr>
              <w:fldChar w:fldCharType="begin"/>
            </w:r>
            <w:r w:rsidR="00BB3D9B">
              <w:rPr>
                <w:noProof/>
                <w:webHidden/>
              </w:rPr>
              <w:instrText xml:space="preserve"> PAGEREF _Toc98488889 \h </w:instrText>
            </w:r>
            <w:r w:rsidR="00BB3D9B">
              <w:rPr>
                <w:noProof/>
                <w:webHidden/>
              </w:rPr>
            </w:r>
            <w:r w:rsidR="00BB3D9B">
              <w:rPr>
                <w:noProof/>
                <w:webHidden/>
              </w:rPr>
              <w:fldChar w:fldCharType="separate"/>
            </w:r>
            <w:r w:rsidR="002256D9">
              <w:rPr>
                <w:noProof/>
                <w:webHidden/>
              </w:rPr>
              <w:t>3</w:t>
            </w:r>
            <w:r w:rsidR="00BB3D9B">
              <w:rPr>
                <w:noProof/>
                <w:webHidden/>
              </w:rPr>
              <w:fldChar w:fldCharType="end"/>
            </w:r>
          </w:hyperlink>
        </w:p>
        <w:p w:rsidR="00BB3D9B" w:rsidRDefault="00D953E3">
          <w:pPr>
            <w:pStyle w:val="Sisluet2"/>
            <w:tabs>
              <w:tab w:val="left" w:pos="880"/>
              <w:tab w:val="right" w:pos="10195"/>
            </w:tabs>
            <w:rPr>
              <w:rFonts w:eastAsiaTheme="minorEastAsia" w:cstheme="minorBidi"/>
              <w:noProof/>
              <w:sz w:val="22"/>
              <w:lang w:eastAsia="fi-FI"/>
            </w:rPr>
          </w:pPr>
          <w:hyperlink w:anchor="_Toc98488890" w:history="1">
            <w:r w:rsidR="00BB3D9B" w:rsidRPr="000E3E52">
              <w:rPr>
                <w:rStyle w:val="Hyperlinkki"/>
                <w:noProof/>
              </w:rPr>
              <w:t>2.1.</w:t>
            </w:r>
            <w:r w:rsidR="00BB3D9B">
              <w:rPr>
                <w:rFonts w:eastAsiaTheme="minorEastAsia" w:cstheme="minorBidi"/>
                <w:noProof/>
                <w:sz w:val="22"/>
                <w:lang w:eastAsia="fi-FI"/>
              </w:rPr>
              <w:tab/>
            </w:r>
            <w:r w:rsidR="00BB3D9B" w:rsidRPr="000E3E52">
              <w:rPr>
                <w:rStyle w:val="Hyperlinkki"/>
                <w:noProof/>
              </w:rPr>
              <w:t>Teknologiapolitiikan lähtökohdat</w:t>
            </w:r>
            <w:r w:rsidR="00BB3D9B">
              <w:rPr>
                <w:noProof/>
                <w:webHidden/>
              </w:rPr>
              <w:tab/>
            </w:r>
            <w:r w:rsidR="00BB3D9B">
              <w:rPr>
                <w:noProof/>
                <w:webHidden/>
              </w:rPr>
              <w:fldChar w:fldCharType="begin"/>
            </w:r>
            <w:r w:rsidR="00BB3D9B">
              <w:rPr>
                <w:noProof/>
                <w:webHidden/>
              </w:rPr>
              <w:instrText xml:space="preserve"> PAGEREF _Toc98488890 \h </w:instrText>
            </w:r>
            <w:r w:rsidR="00BB3D9B">
              <w:rPr>
                <w:noProof/>
                <w:webHidden/>
              </w:rPr>
            </w:r>
            <w:r w:rsidR="00BB3D9B">
              <w:rPr>
                <w:noProof/>
                <w:webHidden/>
              </w:rPr>
              <w:fldChar w:fldCharType="separate"/>
            </w:r>
            <w:r w:rsidR="002256D9">
              <w:rPr>
                <w:noProof/>
                <w:webHidden/>
              </w:rPr>
              <w:t>3</w:t>
            </w:r>
            <w:r w:rsidR="00BB3D9B">
              <w:rPr>
                <w:noProof/>
                <w:webHidden/>
              </w:rPr>
              <w:fldChar w:fldCharType="end"/>
            </w:r>
          </w:hyperlink>
        </w:p>
        <w:p w:rsidR="00BB3D9B" w:rsidRDefault="00D953E3">
          <w:pPr>
            <w:pStyle w:val="Sisluet2"/>
            <w:tabs>
              <w:tab w:val="left" w:pos="880"/>
              <w:tab w:val="right" w:pos="10195"/>
            </w:tabs>
            <w:rPr>
              <w:rFonts w:eastAsiaTheme="minorEastAsia" w:cstheme="minorBidi"/>
              <w:noProof/>
              <w:sz w:val="22"/>
              <w:lang w:eastAsia="fi-FI"/>
            </w:rPr>
          </w:pPr>
          <w:hyperlink w:anchor="_Toc98488891" w:history="1">
            <w:r w:rsidR="00BB3D9B" w:rsidRPr="000E3E52">
              <w:rPr>
                <w:rStyle w:val="Hyperlinkki"/>
                <w:noProof/>
              </w:rPr>
              <w:t>2.2.</w:t>
            </w:r>
            <w:r w:rsidR="00BB3D9B">
              <w:rPr>
                <w:rFonts w:eastAsiaTheme="minorEastAsia" w:cstheme="minorBidi"/>
                <w:noProof/>
                <w:sz w:val="22"/>
                <w:lang w:eastAsia="fi-FI"/>
              </w:rPr>
              <w:tab/>
            </w:r>
            <w:r w:rsidR="00BB3D9B" w:rsidRPr="000E3E52">
              <w:rPr>
                <w:rStyle w:val="Hyperlinkki"/>
                <w:noProof/>
              </w:rPr>
              <w:t>Hyvinvointia teknologiaa kehittämällä</w:t>
            </w:r>
            <w:r w:rsidR="00BB3D9B">
              <w:rPr>
                <w:noProof/>
                <w:webHidden/>
              </w:rPr>
              <w:tab/>
            </w:r>
            <w:r w:rsidR="00BB3D9B">
              <w:rPr>
                <w:noProof/>
                <w:webHidden/>
              </w:rPr>
              <w:fldChar w:fldCharType="begin"/>
            </w:r>
            <w:r w:rsidR="00BB3D9B">
              <w:rPr>
                <w:noProof/>
                <w:webHidden/>
              </w:rPr>
              <w:instrText xml:space="preserve"> PAGEREF _Toc98488891 \h </w:instrText>
            </w:r>
            <w:r w:rsidR="00BB3D9B">
              <w:rPr>
                <w:noProof/>
                <w:webHidden/>
              </w:rPr>
            </w:r>
            <w:r w:rsidR="00BB3D9B">
              <w:rPr>
                <w:noProof/>
                <w:webHidden/>
              </w:rPr>
              <w:fldChar w:fldCharType="separate"/>
            </w:r>
            <w:r w:rsidR="002256D9">
              <w:rPr>
                <w:noProof/>
                <w:webHidden/>
              </w:rPr>
              <w:t>3</w:t>
            </w:r>
            <w:r w:rsidR="00BB3D9B">
              <w:rPr>
                <w:noProof/>
                <w:webHidden/>
              </w:rPr>
              <w:fldChar w:fldCharType="end"/>
            </w:r>
          </w:hyperlink>
        </w:p>
        <w:p w:rsidR="00BB3D9B" w:rsidRDefault="00D953E3">
          <w:pPr>
            <w:pStyle w:val="Sisluet1"/>
            <w:tabs>
              <w:tab w:val="left" w:pos="440"/>
              <w:tab w:val="right" w:pos="10195"/>
            </w:tabs>
            <w:rPr>
              <w:rFonts w:eastAsiaTheme="minorEastAsia" w:cstheme="minorBidi"/>
              <w:noProof/>
              <w:sz w:val="22"/>
              <w:lang w:eastAsia="fi-FI"/>
            </w:rPr>
          </w:pPr>
          <w:hyperlink w:anchor="_Toc98488892" w:history="1">
            <w:r w:rsidR="00BB3D9B" w:rsidRPr="000E3E52">
              <w:rPr>
                <w:rStyle w:val="Hyperlinkki"/>
                <w:noProof/>
              </w:rPr>
              <w:t>3.</w:t>
            </w:r>
            <w:r w:rsidR="00BB3D9B">
              <w:rPr>
                <w:rFonts w:eastAsiaTheme="minorEastAsia" w:cstheme="minorBidi"/>
                <w:noProof/>
                <w:sz w:val="22"/>
                <w:lang w:eastAsia="fi-FI"/>
              </w:rPr>
              <w:tab/>
            </w:r>
            <w:r w:rsidR="00BB3D9B" w:rsidRPr="000E3E52">
              <w:rPr>
                <w:rStyle w:val="Hyperlinkki"/>
                <w:noProof/>
              </w:rPr>
              <w:t>Suomen teknologiapolitiikan keskeiset tavoitteet</w:t>
            </w:r>
            <w:r w:rsidR="00BB3D9B">
              <w:rPr>
                <w:noProof/>
                <w:webHidden/>
              </w:rPr>
              <w:tab/>
            </w:r>
            <w:r w:rsidR="00BB3D9B">
              <w:rPr>
                <w:noProof/>
                <w:webHidden/>
              </w:rPr>
              <w:fldChar w:fldCharType="begin"/>
            </w:r>
            <w:r w:rsidR="00BB3D9B">
              <w:rPr>
                <w:noProof/>
                <w:webHidden/>
              </w:rPr>
              <w:instrText xml:space="preserve"> PAGEREF _Toc98488892 \h </w:instrText>
            </w:r>
            <w:r w:rsidR="00BB3D9B">
              <w:rPr>
                <w:noProof/>
                <w:webHidden/>
              </w:rPr>
            </w:r>
            <w:r w:rsidR="00BB3D9B">
              <w:rPr>
                <w:noProof/>
                <w:webHidden/>
              </w:rPr>
              <w:fldChar w:fldCharType="separate"/>
            </w:r>
            <w:r w:rsidR="002256D9">
              <w:rPr>
                <w:noProof/>
                <w:webHidden/>
              </w:rPr>
              <w:t>4</w:t>
            </w:r>
            <w:r w:rsidR="00BB3D9B">
              <w:rPr>
                <w:noProof/>
                <w:webHidden/>
              </w:rPr>
              <w:fldChar w:fldCharType="end"/>
            </w:r>
          </w:hyperlink>
        </w:p>
        <w:p w:rsidR="00BB3D9B" w:rsidRDefault="00D953E3">
          <w:pPr>
            <w:pStyle w:val="Sisluet2"/>
            <w:tabs>
              <w:tab w:val="left" w:pos="880"/>
              <w:tab w:val="right" w:pos="10195"/>
            </w:tabs>
            <w:rPr>
              <w:rFonts w:eastAsiaTheme="minorEastAsia" w:cstheme="minorBidi"/>
              <w:noProof/>
              <w:sz w:val="22"/>
              <w:lang w:eastAsia="fi-FI"/>
            </w:rPr>
          </w:pPr>
          <w:hyperlink w:anchor="_Toc98488893" w:history="1">
            <w:r w:rsidR="00BB3D9B" w:rsidRPr="000E3E52">
              <w:rPr>
                <w:rStyle w:val="Hyperlinkki"/>
                <w:noProof/>
              </w:rPr>
              <w:t>3.1.</w:t>
            </w:r>
            <w:r w:rsidR="00BB3D9B">
              <w:rPr>
                <w:rFonts w:eastAsiaTheme="minorEastAsia" w:cstheme="minorBidi"/>
                <w:noProof/>
                <w:sz w:val="22"/>
                <w:lang w:eastAsia="fi-FI"/>
              </w:rPr>
              <w:tab/>
            </w:r>
            <w:r w:rsidR="00BB3D9B" w:rsidRPr="000E3E52">
              <w:rPr>
                <w:rStyle w:val="Hyperlinkki"/>
                <w:noProof/>
              </w:rPr>
              <w:t>Teknologiapolitiikan perimmäinen päämäärä</w:t>
            </w:r>
            <w:r w:rsidR="00BB3D9B">
              <w:rPr>
                <w:noProof/>
                <w:webHidden/>
              </w:rPr>
              <w:tab/>
            </w:r>
            <w:r w:rsidR="00BB3D9B">
              <w:rPr>
                <w:noProof/>
                <w:webHidden/>
              </w:rPr>
              <w:fldChar w:fldCharType="begin"/>
            </w:r>
            <w:r w:rsidR="00BB3D9B">
              <w:rPr>
                <w:noProof/>
                <w:webHidden/>
              </w:rPr>
              <w:instrText xml:space="preserve"> PAGEREF _Toc98488893 \h </w:instrText>
            </w:r>
            <w:r w:rsidR="00BB3D9B">
              <w:rPr>
                <w:noProof/>
                <w:webHidden/>
              </w:rPr>
            </w:r>
            <w:r w:rsidR="00BB3D9B">
              <w:rPr>
                <w:noProof/>
                <w:webHidden/>
              </w:rPr>
              <w:fldChar w:fldCharType="separate"/>
            </w:r>
            <w:r w:rsidR="002256D9">
              <w:rPr>
                <w:noProof/>
                <w:webHidden/>
              </w:rPr>
              <w:t>4</w:t>
            </w:r>
            <w:r w:rsidR="00BB3D9B">
              <w:rPr>
                <w:noProof/>
                <w:webHidden/>
              </w:rPr>
              <w:fldChar w:fldCharType="end"/>
            </w:r>
          </w:hyperlink>
        </w:p>
        <w:p w:rsidR="00BB3D9B" w:rsidRDefault="00D953E3">
          <w:pPr>
            <w:pStyle w:val="Sisluet2"/>
            <w:tabs>
              <w:tab w:val="left" w:pos="880"/>
              <w:tab w:val="right" w:pos="10195"/>
            </w:tabs>
            <w:rPr>
              <w:rFonts w:eastAsiaTheme="minorEastAsia" w:cstheme="minorBidi"/>
              <w:noProof/>
              <w:sz w:val="22"/>
              <w:lang w:eastAsia="fi-FI"/>
            </w:rPr>
          </w:pPr>
          <w:hyperlink w:anchor="_Toc98488894" w:history="1">
            <w:r w:rsidR="00BB3D9B" w:rsidRPr="000E3E52">
              <w:rPr>
                <w:rStyle w:val="Hyperlinkki"/>
                <w:noProof/>
              </w:rPr>
              <w:t>3.2.</w:t>
            </w:r>
            <w:r w:rsidR="00BB3D9B">
              <w:rPr>
                <w:rFonts w:eastAsiaTheme="minorEastAsia" w:cstheme="minorBidi"/>
                <w:noProof/>
                <w:sz w:val="22"/>
                <w:lang w:eastAsia="fi-FI"/>
              </w:rPr>
              <w:tab/>
            </w:r>
            <w:r w:rsidR="00BB3D9B" w:rsidRPr="000E3E52">
              <w:rPr>
                <w:rStyle w:val="Hyperlinkki"/>
                <w:noProof/>
              </w:rPr>
              <w:t>Tavoitteet, joiden myötä Suomi nousee teknologian ja tiedon avulla maailman kärkeen</w:t>
            </w:r>
            <w:r w:rsidR="00BB3D9B">
              <w:rPr>
                <w:noProof/>
                <w:webHidden/>
              </w:rPr>
              <w:tab/>
            </w:r>
            <w:r w:rsidR="00BB3D9B">
              <w:rPr>
                <w:noProof/>
                <w:webHidden/>
              </w:rPr>
              <w:fldChar w:fldCharType="begin"/>
            </w:r>
            <w:r w:rsidR="00BB3D9B">
              <w:rPr>
                <w:noProof/>
                <w:webHidden/>
              </w:rPr>
              <w:instrText xml:space="preserve"> PAGEREF _Toc98488894 \h </w:instrText>
            </w:r>
            <w:r w:rsidR="00BB3D9B">
              <w:rPr>
                <w:noProof/>
                <w:webHidden/>
              </w:rPr>
            </w:r>
            <w:r w:rsidR="00BB3D9B">
              <w:rPr>
                <w:noProof/>
                <w:webHidden/>
              </w:rPr>
              <w:fldChar w:fldCharType="separate"/>
            </w:r>
            <w:r w:rsidR="002256D9">
              <w:rPr>
                <w:noProof/>
                <w:webHidden/>
              </w:rPr>
              <w:t>5</w:t>
            </w:r>
            <w:r w:rsidR="00BB3D9B">
              <w:rPr>
                <w:noProof/>
                <w:webHidden/>
              </w:rPr>
              <w:fldChar w:fldCharType="end"/>
            </w:r>
          </w:hyperlink>
        </w:p>
        <w:p w:rsidR="00BB3D9B" w:rsidRDefault="00D953E3">
          <w:pPr>
            <w:pStyle w:val="Sisluet3"/>
            <w:tabs>
              <w:tab w:val="left" w:pos="1320"/>
              <w:tab w:val="right" w:pos="10195"/>
            </w:tabs>
            <w:rPr>
              <w:noProof/>
            </w:rPr>
          </w:pPr>
          <w:hyperlink w:anchor="_Toc98488895" w:history="1">
            <w:r w:rsidR="00BB3D9B" w:rsidRPr="000E3E52">
              <w:rPr>
                <w:rStyle w:val="Hyperlinkki"/>
                <w:noProof/>
              </w:rPr>
              <w:t>3.2.1.</w:t>
            </w:r>
            <w:r w:rsidR="00BB3D9B">
              <w:rPr>
                <w:noProof/>
              </w:rPr>
              <w:tab/>
            </w:r>
            <w:r w:rsidR="00BB3D9B" w:rsidRPr="000E3E52">
              <w:rPr>
                <w:rStyle w:val="Hyperlinkki"/>
                <w:noProof/>
              </w:rPr>
              <w:t>Tavoite 1: Suomi on maailman kilpailukykyisimpiä valtioita ja maailman paras paikka teknologiayrityksille</w:t>
            </w:r>
            <w:r w:rsidR="00BB3D9B">
              <w:rPr>
                <w:noProof/>
                <w:webHidden/>
              </w:rPr>
              <w:tab/>
            </w:r>
            <w:r w:rsidR="00BB3D9B">
              <w:rPr>
                <w:noProof/>
                <w:webHidden/>
              </w:rPr>
              <w:fldChar w:fldCharType="begin"/>
            </w:r>
            <w:r w:rsidR="00BB3D9B">
              <w:rPr>
                <w:noProof/>
                <w:webHidden/>
              </w:rPr>
              <w:instrText xml:space="preserve"> PAGEREF _Toc98488895 \h </w:instrText>
            </w:r>
            <w:r w:rsidR="00BB3D9B">
              <w:rPr>
                <w:noProof/>
                <w:webHidden/>
              </w:rPr>
            </w:r>
            <w:r w:rsidR="00BB3D9B">
              <w:rPr>
                <w:noProof/>
                <w:webHidden/>
              </w:rPr>
              <w:fldChar w:fldCharType="separate"/>
            </w:r>
            <w:r w:rsidR="002256D9">
              <w:rPr>
                <w:noProof/>
                <w:webHidden/>
              </w:rPr>
              <w:t>5</w:t>
            </w:r>
            <w:r w:rsidR="00BB3D9B">
              <w:rPr>
                <w:noProof/>
                <w:webHidden/>
              </w:rPr>
              <w:fldChar w:fldCharType="end"/>
            </w:r>
          </w:hyperlink>
        </w:p>
        <w:p w:rsidR="00BB3D9B" w:rsidRDefault="00D953E3">
          <w:pPr>
            <w:pStyle w:val="Sisluet3"/>
            <w:tabs>
              <w:tab w:val="left" w:pos="1320"/>
              <w:tab w:val="right" w:pos="10195"/>
            </w:tabs>
            <w:rPr>
              <w:noProof/>
            </w:rPr>
          </w:pPr>
          <w:hyperlink w:anchor="_Toc98488896" w:history="1">
            <w:r w:rsidR="00BB3D9B" w:rsidRPr="000E3E52">
              <w:rPr>
                <w:rStyle w:val="Hyperlinkki"/>
                <w:noProof/>
              </w:rPr>
              <w:t>3.2.2.</w:t>
            </w:r>
            <w:r w:rsidR="00BB3D9B">
              <w:rPr>
                <w:noProof/>
              </w:rPr>
              <w:tab/>
            </w:r>
            <w:r w:rsidR="00BB3D9B" w:rsidRPr="000E3E52">
              <w:rPr>
                <w:rStyle w:val="Hyperlinkki"/>
                <w:noProof/>
              </w:rPr>
              <w:t>Tavoite 2: Suomessa on maailman tunnetuimpia ja houkuttelevimpia teknologia-alan koulutuksen, tutkimuksen, osaajien ja investointien keskuksia</w:t>
            </w:r>
            <w:r w:rsidR="00BB3D9B">
              <w:rPr>
                <w:noProof/>
                <w:webHidden/>
              </w:rPr>
              <w:tab/>
            </w:r>
            <w:r w:rsidR="00BB3D9B">
              <w:rPr>
                <w:noProof/>
                <w:webHidden/>
              </w:rPr>
              <w:fldChar w:fldCharType="begin"/>
            </w:r>
            <w:r w:rsidR="00BB3D9B">
              <w:rPr>
                <w:noProof/>
                <w:webHidden/>
              </w:rPr>
              <w:instrText xml:space="preserve"> PAGEREF _Toc98488896 \h </w:instrText>
            </w:r>
            <w:r w:rsidR="00BB3D9B">
              <w:rPr>
                <w:noProof/>
                <w:webHidden/>
              </w:rPr>
            </w:r>
            <w:r w:rsidR="00BB3D9B">
              <w:rPr>
                <w:noProof/>
                <w:webHidden/>
              </w:rPr>
              <w:fldChar w:fldCharType="separate"/>
            </w:r>
            <w:r w:rsidR="002256D9">
              <w:rPr>
                <w:noProof/>
                <w:webHidden/>
              </w:rPr>
              <w:t>6</w:t>
            </w:r>
            <w:r w:rsidR="00BB3D9B">
              <w:rPr>
                <w:noProof/>
                <w:webHidden/>
              </w:rPr>
              <w:fldChar w:fldCharType="end"/>
            </w:r>
          </w:hyperlink>
        </w:p>
        <w:p w:rsidR="00BB3D9B" w:rsidRDefault="00D953E3">
          <w:pPr>
            <w:pStyle w:val="Sisluet3"/>
            <w:tabs>
              <w:tab w:val="left" w:pos="1320"/>
              <w:tab w:val="right" w:pos="10195"/>
            </w:tabs>
            <w:rPr>
              <w:noProof/>
            </w:rPr>
          </w:pPr>
          <w:hyperlink w:anchor="_Toc98488897" w:history="1">
            <w:r w:rsidR="00BB3D9B" w:rsidRPr="000E3E52">
              <w:rPr>
                <w:rStyle w:val="Hyperlinkki"/>
                <w:noProof/>
              </w:rPr>
              <w:t>3.2.3.</w:t>
            </w:r>
            <w:r w:rsidR="00BB3D9B">
              <w:rPr>
                <w:noProof/>
              </w:rPr>
              <w:tab/>
            </w:r>
            <w:r w:rsidR="00BB3D9B" w:rsidRPr="000E3E52">
              <w:rPr>
                <w:rStyle w:val="Hyperlinkki"/>
                <w:noProof/>
              </w:rPr>
              <w:t>Tavoite 3: Suomessa on maailman teknologia- ja innovaatiomyönteisin julkinen sektori, joka mahdollistaa ihmisten ja yritysten hyvinvoinnin</w:t>
            </w:r>
            <w:r w:rsidR="00BB3D9B">
              <w:rPr>
                <w:noProof/>
                <w:webHidden/>
              </w:rPr>
              <w:tab/>
            </w:r>
            <w:r w:rsidR="00BB3D9B">
              <w:rPr>
                <w:noProof/>
                <w:webHidden/>
              </w:rPr>
              <w:fldChar w:fldCharType="begin"/>
            </w:r>
            <w:r w:rsidR="00BB3D9B">
              <w:rPr>
                <w:noProof/>
                <w:webHidden/>
              </w:rPr>
              <w:instrText xml:space="preserve"> PAGEREF _Toc98488897 \h </w:instrText>
            </w:r>
            <w:r w:rsidR="00BB3D9B">
              <w:rPr>
                <w:noProof/>
                <w:webHidden/>
              </w:rPr>
            </w:r>
            <w:r w:rsidR="00BB3D9B">
              <w:rPr>
                <w:noProof/>
                <w:webHidden/>
              </w:rPr>
              <w:fldChar w:fldCharType="separate"/>
            </w:r>
            <w:r w:rsidR="002256D9">
              <w:rPr>
                <w:noProof/>
                <w:webHidden/>
              </w:rPr>
              <w:t>7</w:t>
            </w:r>
            <w:r w:rsidR="00BB3D9B">
              <w:rPr>
                <w:noProof/>
                <w:webHidden/>
              </w:rPr>
              <w:fldChar w:fldCharType="end"/>
            </w:r>
          </w:hyperlink>
        </w:p>
        <w:p w:rsidR="00BB3D9B" w:rsidRDefault="00D953E3">
          <w:pPr>
            <w:pStyle w:val="Sisluet3"/>
            <w:tabs>
              <w:tab w:val="left" w:pos="1320"/>
              <w:tab w:val="right" w:pos="10195"/>
            </w:tabs>
            <w:rPr>
              <w:noProof/>
            </w:rPr>
          </w:pPr>
          <w:hyperlink w:anchor="_Toc98488898" w:history="1">
            <w:r w:rsidR="00BB3D9B" w:rsidRPr="000E3E52">
              <w:rPr>
                <w:rStyle w:val="Hyperlinkki"/>
                <w:noProof/>
              </w:rPr>
              <w:t>3.2.4.</w:t>
            </w:r>
            <w:r w:rsidR="00BB3D9B">
              <w:rPr>
                <w:noProof/>
              </w:rPr>
              <w:tab/>
            </w:r>
            <w:r w:rsidR="00BB3D9B" w:rsidRPr="000E3E52">
              <w:rPr>
                <w:rStyle w:val="Hyperlinkki"/>
                <w:noProof/>
              </w:rPr>
              <w:t>Tavoite 4: Suomi hyötyy laajalti globaaleihin haasteisii</w:t>
            </w:r>
            <w:r w:rsidR="00AE4E2C">
              <w:rPr>
                <w:rStyle w:val="Hyperlinkki"/>
                <w:noProof/>
              </w:rPr>
              <w:t>n vastaavien teknologioiden roh</w:t>
            </w:r>
            <w:r w:rsidR="00BB3D9B" w:rsidRPr="000E3E52">
              <w:rPr>
                <w:rStyle w:val="Hyperlinkki"/>
                <w:noProof/>
              </w:rPr>
              <w:t>keasta kehittämisestä ja soveltamisesta</w:t>
            </w:r>
            <w:r w:rsidR="00BB3D9B">
              <w:rPr>
                <w:noProof/>
                <w:webHidden/>
              </w:rPr>
              <w:tab/>
            </w:r>
            <w:r w:rsidR="00BB3D9B">
              <w:rPr>
                <w:noProof/>
                <w:webHidden/>
              </w:rPr>
              <w:fldChar w:fldCharType="begin"/>
            </w:r>
            <w:r w:rsidR="00BB3D9B">
              <w:rPr>
                <w:noProof/>
                <w:webHidden/>
              </w:rPr>
              <w:instrText xml:space="preserve"> PAGEREF _Toc98488898 \h </w:instrText>
            </w:r>
            <w:r w:rsidR="00BB3D9B">
              <w:rPr>
                <w:noProof/>
                <w:webHidden/>
              </w:rPr>
            </w:r>
            <w:r w:rsidR="00BB3D9B">
              <w:rPr>
                <w:noProof/>
                <w:webHidden/>
              </w:rPr>
              <w:fldChar w:fldCharType="separate"/>
            </w:r>
            <w:r w:rsidR="002256D9">
              <w:rPr>
                <w:noProof/>
                <w:webHidden/>
              </w:rPr>
              <w:t>9</w:t>
            </w:r>
            <w:r w:rsidR="00BB3D9B">
              <w:rPr>
                <w:noProof/>
                <w:webHidden/>
              </w:rPr>
              <w:fldChar w:fldCharType="end"/>
            </w:r>
          </w:hyperlink>
        </w:p>
        <w:p w:rsidR="00BB3D9B" w:rsidRDefault="00D953E3">
          <w:pPr>
            <w:pStyle w:val="Sisluet1"/>
            <w:tabs>
              <w:tab w:val="left" w:pos="420"/>
              <w:tab w:val="right" w:pos="10195"/>
            </w:tabs>
            <w:rPr>
              <w:rFonts w:eastAsiaTheme="minorEastAsia" w:cstheme="minorBidi"/>
              <w:noProof/>
              <w:sz w:val="22"/>
              <w:lang w:eastAsia="fi-FI"/>
            </w:rPr>
          </w:pPr>
          <w:hyperlink w:anchor="_Toc98488899" w:history="1">
            <w:r w:rsidR="00BB3D9B" w:rsidRPr="000E3E52">
              <w:rPr>
                <w:rStyle w:val="Hyperlinkki"/>
                <w:noProof/>
              </w:rPr>
              <w:t>4.</w:t>
            </w:r>
            <w:r w:rsidR="00BB3D9B">
              <w:rPr>
                <w:rFonts w:eastAsiaTheme="minorEastAsia" w:cstheme="minorBidi"/>
                <w:noProof/>
                <w:sz w:val="22"/>
                <w:lang w:eastAsia="fi-FI"/>
              </w:rPr>
              <w:tab/>
            </w:r>
            <w:r w:rsidR="00BB3D9B" w:rsidRPr="000E3E52">
              <w:rPr>
                <w:rStyle w:val="Hyperlinkki"/>
                <w:noProof/>
              </w:rPr>
              <w:t>Periaatepäätöksen toteuttaminen, seuranta ja mittarit</w:t>
            </w:r>
            <w:r w:rsidR="00BB3D9B">
              <w:rPr>
                <w:noProof/>
                <w:webHidden/>
              </w:rPr>
              <w:tab/>
            </w:r>
            <w:r w:rsidR="00BB3D9B">
              <w:rPr>
                <w:noProof/>
                <w:webHidden/>
              </w:rPr>
              <w:fldChar w:fldCharType="begin"/>
            </w:r>
            <w:r w:rsidR="00BB3D9B">
              <w:rPr>
                <w:noProof/>
                <w:webHidden/>
              </w:rPr>
              <w:instrText xml:space="preserve"> PAGEREF _Toc98488899 \h </w:instrText>
            </w:r>
            <w:r w:rsidR="00BB3D9B">
              <w:rPr>
                <w:noProof/>
                <w:webHidden/>
              </w:rPr>
            </w:r>
            <w:r w:rsidR="00BB3D9B">
              <w:rPr>
                <w:noProof/>
                <w:webHidden/>
              </w:rPr>
              <w:fldChar w:fldCharType="separate"/>
            </w:r>
            <w:r w:rsidR="002256D9">
              <w:rPr>
                <w:noProof/>
                <w:webHidden/>
              </w:rPr>
              <w:t>9</w:t>
            </w:r>
            <w:r w:rsidR="00BB3D9B">
              <w:rPr>
                <w:noProof/>
                <w:webHidden/>
              </w:rPr>
              <w:fldChar w:fldCharType="end"/>
            </w:r>
          </w:hyperlink>
        </w:p>
        <w:p w:rsidR="00BB3D9B" w:rsidRDefault="00D953E3">
          <w:pPr>
            <w:pStyle w:val="Sisluet1"/>
            <w:tabs>
              <w:tab w:val="left" w:pos="420"/>
              <w:tab w:val="right" w:pos="10195"/>
            </w:tabs>
            <w:rPr>
              <w:rFonts w:eastAsiaTheme="minorEastAsia" w:cstheme="minorBidi"/>
              <w:noProof/>
              <w:sz w:val="22"/>
              <w:lang w:eastAsia="fi-FI"/>
            </w:rPr>
          </w:pPr>
          <w:hyperlink w:anchor="_Toc98488900" w:history="1">
            <w:r w:rsidR="00BB3D9B" w:rsidRPr="000E3E52">
              <w:rPr>
                <w:rStyle w:val="Hyperlinkki"/>
                <w:noProof/>
              </w:rPr>
              <w:t>5.</w:t>
            </w:r>
            <w:r w:rsidR="00BB3D9B">
              <w:rPr>
                <w:rFonts w:eastAsiaTheme="minorEastAsia" w:cstheme="minorBidi"/>
                <w:noProof/>
                <w:sz w:val="22"/>
                <w:lang w:eastAsia="fi-FI"/>
              </w:rPr>
              <w:tab/>
            </w:r>
            <w:r w:rsidR="00BB3D9B" w:rsidRPr="000E3E52">
              <w:rPr>
                <w:rStyle w:val="Hyperlinkki"/>
                <w:noProof/>
              </w:rPr>
              <w:t>Liitteet</w:t>
            </w:r>
            <w:r w:rsidR="00BB3D9B">
              <w:rPr>
                <w:noProof/>
                <w:webHidden/>
              </w:rPr>
              <w:tab/>
            </w:r>
            <w:r w:rsidR="00BB3D9B">
              <w:rPr>
                <w:noProof/>
                <w:webHidden/>
              </w:rPr>
              <w:fldChar w:fldCharType="begin"/>
            </w:r>
            <w:r w:rsidR="00BB3D9B">
              <w:rPr>
                <w:noProof/>
                <w:webHidden/>
              </w:rPr>
              <w:instrText xml:space="preserve"> PAGEREF _Toc98488900 \h </w:instrText>
            </w:r>
            <w:r w:rsidR="00BB3D9B">
              <w:rPr>
                <w:noProof/>
                <w:webHidden/>
              </w:rPr>
            </w:r>
            <w:r w:rsidR="00BB3D9B">
              <w:rPr>
                <w:noProof/>
                <w:webHidden/>
              </w:rPr>
              <w:fldChar w:fldCharType="separate"/>
            </w:r>
            <w:r w:rsidR="002256D9">
              <w:rPr>
                <w:noProof/>
                <w:webHidden/>
              </w:rPr>
              <w:t>10</w:t>
            </w:r>
            <w:r w:rsidR="00BB3D9B">
              <w:rPr>
                <w:noProof/>
                <w:webHidden/>
              </w:rPr>
              <w:fldChar w:fldCharType="end"/>
            </w:r>
          </w:hyperlink>
        </w:p>
        <w:p w:rsidR="004B2B85" w:rsidRDefault="004B2B85">
          <w:r>
            <w:rPr>
              <w:b/>
              <w:bCs/>
            </w:rPr>
            <w:fldChar w:fldCharType="end"/>
          </w:r>
        </w:p>
      </w:sdtContent>
    </w:sdt>
    <w:p w:rsidR="004B2B85" w:rsidRDefault="00326CC7" w:rsidP="00326CC7">
      <w:pPr>
        <w:tabs>
          <w:tab w:val="clear" w:pos="2608"/>
          <w:tab w:val="clear" w:pos="5670"/>
        </w:tabs>
      </w:pPr>
      <w:r>
        <w:br w:type="page"/>
      </w:r>
    </w:p>
    <w:p w:rsidR="004B2B85" w:rsidRDefault="004B2B85" w:rsidP="004B2B85">
      <w:pPr>
        <w:pStyle w:val="Otsikko1"/>
      </w:pPr>
      <w:bookmarkStart w:id="1" w:name="_Toc98488888"/>
      <w:r w:rsidRPr="004B2B85">
        <w:lastRenderedPageBreak/>
        <w:t>Teknologiapolitiikan periaatepäätöksen tarkoitus</w:t>
      </w:r>
      <w:bookmarkEnd w:id="1"/>
    </w:p>
    <w:p w:rsidR="004B2B85" w:rsidRPr="003C0C60" w:rsidRDefault="004B2B85" w:rsidP="006E46D8">
      <w:pPr>
        <w:pStyle w:val="Leipteksti"/>
        <w:ind w:left="0"/>
      </w:pPr>
      <w:r w:rsidRPr="003C0C60">
        <w:t xml:space="preserve">Elinvoimainen Suomi on osa pääministeri Sanna </w:t>
      </w:r>
      <w:proofErr w:type="spellStart"/>
      <w:r w:rsidRPr="003C0C60">
        <w:t>Marinin</w:t>
      </w:r>
      <w:proofErr w:type="spellEnd"/>
      <w:r w:rsidRPr="003C0C60">
        <w:t xml:space="preserve"> hallitusohjelman strategista kokonaisuutta. Suomen tunnettuus teknologisen kehityksen, innovatiivisten hankintojen ja kokeilukulttuurin edelläkävijänä on yksi tämän strategisen kokonaisuuden tavoitteista. Tätä tavoitetta tukemaan asetettiin 16.9.2020 hallitusohjelman mukaisesti julkisen ja yksityisen sektorin yhteinen teknologianeuvottelukunta, jonka tehtäväksi annettiin</w:t>
      </w:r>
      <w:r w:rsidRPr="003C0C60">
        <w:rPr>
          <w:color w:val="0F0F0F"/>
          <w:shd w:val="clear" w:color="auto" w:fill="FFFFFF"/>
        </w:rPr>
        <w:t xml:space="preserve"> valmistella Suomelle hyvinvointia luova ja kilpailukykyä ohjaava, digitalisaatioon nojaava teknologiapolitiikka.</w:t>
      </w:r>
      <w:r w:rsidRPr="003C0C60">
        <w:t xml:space="preserve"> Neuvottelukunta julkaisi raporttinsa ”Suomen teknologiapolitiikka 2020-luvulla – Teknologialla ja tiedolla maailman kärkeen”</w:t>
      </w:r>
      <w:r w:rsidRPr="003C0C60">
        <w:rPr>
          <w:rStyle w:val="Alaviitteenviite"/>
          <w:color w:val="000000"/>
          <w:sz w:val="22"/>
        </w:rPr>
        <w:footnoteReference w:id="1"/>
      </w:r>
      <w:r w:rsidRPr="003C0C60">
        <w:t xml:space="preserve"> 1.6.2021. Raportin ehdotuksia on hyödynnetty periaatepäätöstä laadittaessa.</w:t>
      </w:r>
    </w:p>
    <w:p w:rsidR="004B2B85" w:rsidRPr="00294EC0" w:rsidRDefault="004B2B85" w:rsidP="00294EC0">
      <w:pPr>
        <w:pStyle w:val="Leipteksti"/>
        <w:ind w:left="0"/>
      </w:pPr>
      <w:r w:rsidRPr="00903D99">
        <w:t>Toiminta- ja kilpailuympäristömme on muuttunut ja teknologialla on ollut muutoksessa merkittävä rooli. Teknologia ei edusta vain konetta, laitetta tai tekniikan alan oppisuuntaa, vaan lukuisten teknologi</w:t>
      </w:r>
      <w:r>
        <w:t xml:space="preserve">sten </w:t>
      </w:r>
      <w:r w:rsidRPr="00903D99">
        <w:t>murrosten myötä teknologiasta on tullut arkinen osa elinympäristöämme. Teknologian vaikutukset ja hyödyt ulottuvat eri hallinnonaloille ja eri sektoreille ja teknologiapolitiikkaa toteutetaan kaikilla hallinnonaloilla. Tästä johtuen myös teknologian kehittämiseen ja hyödyntämiseen liittyvät päätökset ja panokset jakaantuvat Suomessa useiden toimijoiden vastuulle. Suomi on vahva teknologiamaa ja meillä on erinomainen perusta kehittää ja hyödyntää teknologiaa entistä määrätietoisemmin ja luoda hyvinvointiyhteiskunnalle puitteet myös tulevaisuudessa. Määrätietoinen ja laaja-alainen teknologian kehittäminen ja hyödyntäminen edellyttävät, että Suomella on yhteinen, eri hallinnonaloja yhdistävä teknologiavisio. Kuinka pääsemme teknologiaa hyödyntämällä haluttuun tulevaisuuteen? Yhteinen visio mahdollistaa strategisesti yhtenäisen teknologian kehittämisen ja hyödyntämisen Suomessa. Pienelle maalle yhtenäisyys on voimavara maailmantalouden muutoksissa.</w:t>
      </w:r>
    </w:p>
    <w:p w:rsidR="00294EC0" w:rsidRDefault="004B2B85" w:rsidP="006E46D8">
      <w:pPr>
        <w:pStyle w:val="Leipteksti"/>
        <w:ind w:left="0"/>
      </w:pPr>
      <w:r w:rsidRPr="00903D99">
        <w:t>Tässä periaatepäätöksessä linjataan Suomen teknologiapolitiikan yhteinen päämäärä ja tavoitteet, joihin hallitus ja ministeriöt yhdessä sitoutuvat. Periaatepäätöksessä linjataan keskeiset keinot, joilla asetettuja tavoitteita edistetään ja joita ministeriöt sitoutuvat toteuttama</w:t>
      </w:r>
      <w:r>
        <w:t>an vastuualueillaan vuosina 2022</w:t>
      </w:r>
      <w:r w:rsidRPr="00903D99">
        <w:t>-2023 siinä määrin, kuin se on niiden resurssien puitteissa mahdollista. Rahoitusta vaativat toimenpiteet käsitellään ja niistä päätetään erikseen ta</w:t>
      </w:r>
      <w:r w:rsidR="007D4CE4">
        <w:t xml:space="preserve">lousarvio- ja JTS-prosesseissa. </w:t>
      </w:r>
      <w:r w:rsidRPr="00903D99">
        <w:t>Tässä periaatepäätöksessä esitettyjen tavoitteiden toteutumiseen vaikuttavat myös useat jo aiemmin käynnistetyt tai vireillä olevat hankkeet</w:t>
      </w:r>
      <w:r w:rsidRPr="00903D99">
        <w:rPr>
          <w:rStyle w:val="Alaviitteenviite"/>
          <w:sz w:val="22"/>
        </w:rPr>
        <w:footnoteReference w:id="2"/>
      </w:r>
      <w:r w:rsidRPr="00903D99">
        <w:t>. Tarkoituksena on, että tässä periaatepäätöksessä linjattuja teknologiapolitiikan tavoitteita edistetään yli hallituskausien ja pitkäjänteisen työskentelyn tueksi asetetun päämäärän saavuttami</w:t>
      </w:r>
      <w:r>
        <w:t>seksi on luotava seurantamalli.</w:t>
      </w:r>
    </w:p>
    <w:p w:rsidR="004B2B85" w:rsidRDefault="004B2B85" w:rsidP="006E46D8">
      <w:pPr>
        <w:pStyle w:val="Leipteksti"/>
        <w:ind w:left="0"/>
      </w:pPr>
      <w:r w:rsidRPr="00903D99">
        <w:t>Periaatepäätöksen toteutumisen seurannassa ja ohjauksessa hyödynnetään teknologianeuvottelukunnan sihteeristöä sekä ministeriryhmiä, joiden toimialalle toimenpiteet ja tavoitteet liittyvät. Digitalisaation, datatalouden ja julkisen hallinnon kehittämisen ministeriryhmä digitoimiston avustuksella seuraa kokonaisuuden etenemistä. Periaatepäätöksen toteutumista seurataan vuosittain myös osana ministeriöiden toiminnan ja talouden suunnittelua.</w:t>
      </w:r>
    </w:p>
    <w:p w:rsidR="004B2B85" w:rsidRDefault="004B2B85" w:rsidP="004B2B85">
      <w:pPr>
        <w:pStyle w:val="Otsikko1"/>
      </w:pPr>
      <w:bookmarkStart w:id="2" w:name="_Toc98488889"/>
      <w:r w:rsidRPr="00BA329C">
        <w:lastRenderedPageBreak/>
        <w:t>Teknologiapolitiikan periaatepäätöksen tausta</w:t>
      </w:r>
      <w:bookmarkEnd w:id="2"/>
    </w:p>
    <w:p w:rsidR="004B2B85" w:rsidRDefault="004B2B85" w:rsidP="004B2B85">
      <w:pPr>
        <w:pStyle w:val="Otsikko2"/>
      </w:pPr>
      <w:bookmarkStart w:id="3" w:name="_Toc98470267"/>
      <w:bookmarkStart w:id="4" w:name="_Toc98488890"/>
      <w:r w:rsidRPr="00BA329C">
        <w:t>Teknologiapolitiikan lähtökohdat</w:t>
      </w:r>
      <w:bookmarkEnd w:id="3"/>
      <w:bookmarkEnd w:id="4"/>
    </w:p>
    <w:p w:rsidR="004B2B85" w:rsidRPr="003D5890" w:rsidRDefault="004B2B85" w:rsidP="006E46D8">
      <w:pPr>
        <w:pStyle w:val="Leipteksti"/>
        <w:ind w:left="0"/>
      </w:pPr>
      <w:r w:rsidRPr="003D5890">
        <w:t>Teknologiapolitiikalla pyritään parantamaan teknologioiden kehittämistä ja hyödyntämistä sekä niitä tukevaa toimintaympäristöä yritykselle ja kansalaisyhteiskunnalle. Teknologiapolitiikan lähtökohtana on teknologiavalintojen tapahtuminen markkinavetoisesti, eli teknologianeutraalius. Tässä periaatepäätöksessä linjataan erityisesti digitalisaatioon nojaavaa teknologiapolitiikkaa. Yrityksillä on tärkeä rooli teknologian kehittämisessä ja soveltamisessa, mutta se ei onnistu ilman osaavia, koulutettuja ihmisiä. Muun muassa tästä syystä vaikuttava teknologiapolitiikka edellyttää tiivistä julkisen ja yksityisen sektorin yhteistyötä. Myös julkinen hallinto osallistuu teknologian kehittämiseen ja hyödyntämiseen monin tavoin. Teknologiapolitiikka on luonteeltaan poikkihallinnollista. Samalla se tarkoittaa sitä, että teknologiapolitiikalla voidaan vahvistaa ja parantaa koko yhteiskunnan turvallisuutta ja hyvinvointia.</w:t>
      </w:r>
    </w:p>
    <w:p w:rsidR="006D4A7F" w:rsidRDefault="004B2B85" w:rsidP="006E46D8">
      <w:pPr>
        <w:pStyle w:val="Leipteksti"/>
        <w:ind w:left="0"/>
      </w:pPr>
      <w:r w:rsidRPr="003D5890">
        <w:t>Kilpajuoksu maailmalla teknologian kehittämisessä ja hyödyntämisessä ko</w:t>
      </w:r>
      <w:r w:rsidR="008C3391">
        <w:t xml:space="preserve">venee koko </w:t>
      </w:r>
      <w:proofErr w:type="gramStart"/>
      <w:r w:rsidR="008C3391">
        <w:t>ajan sekä valtioiden</w:t>
      </w:r>
      <w:proofErr w:type="gramEnd"/>
      <w:r w:rsidRPr="003D5890">
        <w:t xml:space="preserve"> että yritysten välillä. Teknologisella kehityksellä on ulko- ja turvallisuuspoliittisia vaikutuksia. Teknologiat luovat uusia haavoittuvuuksia, kuten kyberuhkat. Suomen tulisi pystyä hyödyntämään kansainvälisiä kumppanuuksia, EU:n sisämarkkinoita ja Schengen-maiden </w:t>
      </w:r>
      <w:r w:rsidRPr="00CA5987">
        <w:t>yhteistyötä kilpailussa menestymiseksi sekä edelleen vahvistamaan näkyvyyttään teknologiakysymyksissä keskeisillä kansainväli</w:t>
      </w:r>
      <w:r>
        <w:t>si</w:t>
      </w:r>
      <w:r w:rsidRPr="00CA5987">
        <w:t>llä foorumeilla. Tulevina vuosina ratkaistaan Suomen ja suomalaisyritysten asemoituminen globaa</w:t>
      </w:r>
      <w:r w:rsidR="006D4A7F">
        <w:t>lissa teknologiapoliittisessa va</w:t>
      </w:r>
      <w:r w:rsidRPr="00CA5987">
        <w:t>ikuttamisessa sekä kilpailussa. Suomella on aito mahdollisuus profiloitua vahvana teknologiaosaajana ja mielipidevaikuttajana kansainvälisessä teknologiapolitiikassa. Vahva valtiollinen profiili tukee myös yritysten kansainvälistymis- ja yhteistyömahdollisuuksia sekä toimii Suomen vetovoimatekijänä.</w:t>
      </w:r>
    </w:p>
    <w:p w:rsidR="006D4A7F" w:rsidRDefault="004B2B85" w:rsidP="006E46D8">
      <w:pPr>
        <w:pStyle w:val="Leipteksti"/>
        <w:ind w:left="0"/>
      </w:pPr>
      <w:r w:rsidRPr="00903D99">
        <w:t>Teknologiakehityksen vauhdittaminen edellyttää myös siihen liittyvien riskien tunnistamista ja hallintaa muun muassa sääntelyllä. Esimerkiksi digitalisaatio edellyttää tietoturvasta huolehtimista ja terve kilpailu markkinoilla on varmistettava ehkäisemällä muun muassa markkinoiden haitallista keskittymistä. Myös yritysvastuun rooli korostuu. Suomen on osallistuttava aktiivisesti teknologiaa koskevan sääntelyn ja toimintaympäristön kehittämiseen myös kansainvälisesti muun muassa EU:ssa.</w:t>
      </w:r>
    </w:p>
    <w:p w:rsidR="004B2B85" w:rsidRDefault="004B2B85" w:rsidP="006E46D8">
      <w:pPr>
        <w:pStyle w:val="Leipteksti"/>
        <w:ind w:left="0"/>
      </w:pPr>
      <w:r w:rsidRPr="00903D99">
        <w:t xml:space="preserve">Kansainvälisesti korkean teknologiaprofiilin saavuttaminen edellyttää pitkäjänteistä yli hallituskausien ulottuvaa politiikkaa ja hallinnonalojen rajat ylittävää yhteistyötä yhteisten tavoitteiden eteen. Esimerkiksi digitalisaation, datatalouden ja julkisen hallinnon ministeriryhmän tehtävä on koordinoida digitalisaatioon liittyvää politiikkaa ja vastaavia rakenteita tarvitaan jatkossakin. </w:t>
      </w:r>
    </w:p>
    <w:p w:rsidR="004B2B85" w:rsidRDefault="004B2B85" w:rsidP="004B2B85">
      <w:pPr>
        <w:pStyle w:val="Otsikko2"/>
      </w:pPr>
      <w:bookmarkStart w:id="5" w:name="_Toc98488891"/>
      <w:r>
        <w:t>Hyvinvointia teknologiaa kehittämällä</w:t>
      </w:r>
      <w:bookmarkEnd w:id="5"/>
    </w:p>
    <w:p w:rsidR="006D4A7F" w:rsidRDefault="006D4A7F" w:rsidP="006D4A7F">
      <w:pPr>
        <w:pStyle w:val="Leipteksti"/>
        <w:ind w:left="0"/>
      </w:pPr>
      <w:r w:rsidRPr="00BA329C">
        <w:t>Haast</w:t>
      </w:r>
      <w:r w:rsidRPr="00903D99">
        <w:t xml:space="preserve">eista huolimatta on moni asia Suomessa erinomaisen hyvin; meillä on esimerkiksi vakaa ja ennustettava toimintaympäristö, korkea koulutus- ja osaamistaso, olemme hyvinvointiyhteiskunta ja useissa vertailuissa maailman onnellisin kansa. Digitalisaatiossa olemme Euroopan kärkeä ja teknologialla on perinteikäs, vahva asema hyvinvoinnin rakentajana. Tämä tarjoaa erinomaisen perustan ratkoa olemassa olevia haasteita muuttuvassa maailmassa teknologiaa hyödyntäen, sillä </w:t>
      </w:r>
      <w:r w:rsidRPr="00903D99">
        <w:rPr>
          <w:shd w:val="clear" w:color="auto" w:fill="FFFFFF"/>
        </w:rPr>
        <w:t>menestyksen avain on kyvyssä tarttua muutoksen tarjoamiin mahdollisuuksiin ja tarjota niihin ratkaisuja.</w:t>
      </w:r>
      <w:r w:rsidRPr="00903D99">
        <w:t xml:space="preserve"> Ratkaisuja tarjoamalla Suomella on kaikki mahdollisuudet olla pysyvästi teknologian kehityksen kärkimaa.</w:t>
      </w:r>
    </w:p>
    <w:p w:rsidR="006D4A7F" w:rsidRDefault="006D4A7F" w:rsidP="006D4A7F">
      <w:pPr>
        <w:pStyle w:val="Leipteksti"/>
        <w:ind w:left="0"/>
      </w:pPr>
      <w:r w:rsidRPr="00903D99">
        <w:t>Teknologiamurrokset ovat aina muuttaneet toimintaympäristöämme, ajatteluamme ja toimintaamme. Merkittävä ero aiempiin teknologiamurroksiin on, että nykyiset edistykselliset teknologiat ja teknologiset ratkaisut perustuvat miltei aina ky</w:t>
      </w:r>
      <w:r w:rsidR="00326CC7">
        <w:t>kyyn hyödyntää tietoa osana rat</w:t>
      </w:r>
      <w:r w:rsidRPr="00903D99">
        <w:t xml:space="preserve">kaisua. Tämä pätee niin perinteiseen </w:t>
      </w:r>
      <w:r w:rsidRPr="00903D99">
        <w:lastRenderedPageBreak/>
        <w:t>teollisuuteen, digiajan yrityksiin kuin palveluihinkin. Keskeinen kysymys on, kuinka teknologiaa ja dataa hyödyntämällä ratkaisemme haasteet ja pääsemme kansaku</w:t>
      </w:r>
      <w:r>
        <w:t>ntana haluttuun tulevaisuuteen.</w:t>
      </w:r>
    </w:p>
    <w:p w:rsidR="006D4A7F" w:rsidRPr="00903D99" w:rsidRDefault="006D4A7F" w:rsidP="006D4A7F">
      <w:pPr>
        <w:pStyle w:val="Leipteksti"/>
        <w:ind w:left="0"/>
      </w:pPr>
      <w:r w:rsidRPr="00903D99">
        <w:t>Teknologiaa</w:t>
      </w:r>
      <w:r w:rsidR="00326CC7">
        <w:t>, osaavaa työvoimaa, teknologia</w:t>
      </w:r>
      <w:r w:rsidRPr="00903D99">
        <w:t>kehitystä ja teknologiayrityksiä tarvitaan luomaan uutta työtä ja hyvinvointia. Teknologian, datan sekä korkeatasoisen osaamisen myötä voimme tuottaa myös korkeamman arvonlisän tuotteita ja palveluja, jolloin yritysten on kannattavaa kasvaa ja investoida Suomessa. Tuottavuus ja entistä korkeampi arvonlisä syntyvät tukemalla nykyistä enemmän yritysten innovaatiotoimintaa, nostamalla tutkimuksen tasoa ja tutkimusteemojen relevanssia yrityksille, kannustamalla yrityksiä ja tutkimustahoja yhteistyöhön, sekä huolehtimalla osaavan ja hyvinvoivan työvoiman sa</w:t>
      </w:r>
      <w:r>
        <w:t>atavuudesta.</w:t>
      </w:r>
    </w:p>
    <w:p w:rsidR="004912BA" w:rsidRDefault="006D4A7F" w:rsidP="004912BA">
      <w:pPr>
        <w:pStyle w:val="Leipteksti"/>
        <w:ind w:left="0"/>
      </w:pPr>
      <w:r w:rsidRPr="00903D99">
        <w:t>Teknologinen kehitys tuo lukuisia mahdollisuuksia myös ihmiskeskeisten, laadukkaiden ja tehokkaiden julkisten palveluiden tuottamiseen. Esimerkiksi hyödyntämällä dataa ja tekoälyä voidaan ennakoivilla ja ihmislähtöisillä palveluilla jopa ehkäistä sairauksia kokonaan, pidentää kotona asumisen mahdollisuuksia ja esimerkiksi hoidon varhaisen vaiheen tehostumisen kautta vähentää myöhemmän vaiheen palvelutarvetta. Teknologian hyödyntämisen keskeinen vaikutus on hyvinvoinnin kasvu.</w:t>
      </w:r>
    </w:p>
    <w:p w:rsidR="004B2B85" w:rsidRPr="004B2B85" w:rsidRDefault="006D4A7F" w:rsidP="00E409CE">
      <w:pPr>
        <w:pStyle w:val="Leipteksti"/>
        <w:ind w:left="0"/>
      </w:pPr>
      <w:r w:rsidRPr="00903D99">
        <w:t xml:space="preserve">Ilmastonmuutoksen ja luontokadon torjunta ovat keskeisiä globaaleja haasteita ja samalla tutkimus- ja innovaatiotoiminnan teemoja, joissa Suomella on edellytykset nousta kokoaan merkittävästi suuremmaksi toimijaksi. Suomella on esimerkiksi yhdet maailman kunnianhimoisimmista hiilineutraalisuustavoitteista. Suomalaisella teknologialla voidaan kuitenkin vähentää ilmastokuormitusta moninkertaisesti verrattuna Suomen oman hiilijalanjäljen nollaamiseen. Tämän ns. hiilikädenjäljen kasvattamisen tulisikin olla yksi suomalaisen teknologiapolitiikan tärkeitä tavoitteita. Edelläkävijyys digivihreässä siirtymässä luo Suomeen uutta korkean lisäarvon </w:t>
      </w:r>
      <w:r w:rsidR="00326CC7">
        <w:t>vientiä, kasvua ja työpaikkoja.</w:t>
      </w:r>
    </w:p>
    <w:p w:rsidR="004B2B85" w:rsidRPr="004B2B85" w:rsidRDefault="004912BA" w:rsidP="004912BA">
      <w:pPr>
        <w:pStyle w:val="Otsikko1"/>
      </w:pPr>
      <w:bookmarkStart w:id="6" w:name="_Toc98488892"/>
      <w:r w:rsidRPr="004912BA">
        <w:t>Suomen teknologiapolitiikan keskeiset tavoitteet</w:t>
      </w:r>
      <w:bookmarkEnd w:id="6"/>
    </w:p>
    <w:p w:rsidR="00812483" w:rsidRDefault="004912BA" w:rsidP="00C12F9B">
      <w:pPr>
        <w:pStyle w:val="Leipteksti"/>
        <w:ind w:left="0"/>
      </w:pPr>
      <w:r w:rsidRPr="004912BA">
        <w:t>Valtioneuvosto sitoutuu edistämään tässä periaatepäätöksessä asetettuja teknologiapolitiikan tavoitteita ja ministeriöt ryhtyvät toteuttamaan niiden toimeenpanoa koko julkisella sektorilla. Tarkoituksena on, että tässä periaatepäätöksessä linjattuja teknologiapolitiikan tavoitteita edistetään yli hallituskausien.</w:t>
      </w:r>
    </w:p>
    <w:p w:rsidR="00177539" w:rsidRPr="00177539" w:rsidRDefault="00177539" w:rsidP="00177539">
      <w:pPr>
        <w:pStyle w:val="Otsikko2"/>
      </w:pPr>
      <w:bookmarkStart w:id="7" w:name="_Toc98488893"/>
      <w:r w:rsidRPr="00177539">
        <w:t>Teknologiapolitiikan perimmäinen päämäärä</w:t>
      </w:r>
      <w:bookmarkEnd w:id="7"/>
      <w:r w:rsidRPr="00177539">
        <w:t xml:space="preserve"> </w:t>
      </w:r>
    </w:p>
    <w:p w:rsidR="00177539" w:rsidRPr="00903D99" w:rsidRDefault="00177539" w:rsidP="00C12F9B">
      <w:pPr>
        <w:pStyle w:val="Leipteksti"/>
        <w:ind w:left="0"/>
      </w:pPr>
      <w:r w:rsidRPr="00903D99">
        <w:t xml:space="preserve">Teknologiapolitiikan perimmäisenä päämääränä on, että Suomi on vuonna 2030 maailman menestyksellisin ja tunnetuin </w:t>
      </w:r>
      <w:r w:rsidRPr="003D5890">
        <w:t xml:space="preserve">teknologian tutkimuksesta, kehittämisestä </w:t>
      </w:r>
      <w:r w:rsidRPr="00903D99">
        <w:t>ja hyödyntämise</w:t>
      </w:r>
      <w:r>
        <w:t>stä hyvinvointia ammentava maa.</w:t>
      </w:r>
    </w:p>
    <w:p w:rsidR="00177539" w:rsidRPr="00903D99" w:rsidRDefault="00177539" w:rsidP="00C12F9B">
      <w:pPr>
        <w:pStyle w:val="Leipteksti"/>
        <w:ind w:left="0"/>
      </w:pPr>
      <w:r w:rsidRPr="00903D99">
        <w:t>Päämäärän saavuttamiseksi on asetettu neljä tavoitetta (kuva 1):</w:t>
      </w:r>
    </w:p>
    <w:p w:rsidR="007D4CE4" w:rsidRDefault="00177539" w:rsidP="007D4CE4">
      <w:pPr>
        <w:pStyle w:val="Leipteksti"/>
        <w:numPr>
          <w:ilvl w:val="0"/>
          <w:numId w:val="42"/>
        </w:numPr>
      </w:pPr>
      <w:r w:rsidRPr="00C12F9B">
        <w:t>Suomi on maailman kilpailukykyisimpiä valtioita ja maailman paras paikka teknologiayrityksille.</w:t>
      </w:r>
    </w:p>
    <w:p w:rsidR="007D4CE4" w:rsidRDefault="00177539" w:rsidP="007D4CE4">
      <w:pPr>
        <w:pStyle w:val="Leipteksti"/>
        <w:numPr>
          <w:ilvl w:val="0"/>
          <w:numId w:val="42"/>
        </w:numPr>
      </w:pPr>
      <w:r w:rsidRPr="00C12F9B">
        <w:t>Suomessa on maailman tunnetuimpia ja houkuttelevimpia teknologia-alan koulutuksen, tutkimuksen, osaajien ja investointien keskuksia.</w:t>
      </w:r>
    </w:p>
    <w:p w:rsidR="007D4CE4" w:rsidRDefault="00177539" w:rsidP="007D4CE4">
      <w:pPr>
        <w:pStyle w:val="Leipteksti"/>
        <w:numPr>
          <w:ilvl w:val="0"/>
          <w:numId w:val="42"/>
        </w:numPr>
      </w:pPr>
      <w:r w:rsidRPr="00C12F9B">
        <w:t>Suomessa on maailman teknologia- ja innovaatiomyönteisin julkinen sektori, joka mahdollistaa ihmisten ja yritysten hyvinvoinnin.</w:t>
      </w:r>
    </w:p>
    <w:p w:rsidR="00177539" w:rsidRPr="007D4CE4" w:rsidRDefault="00177539" w:rsidP="007D4CE4">
      <w:pPr>
        <w:pStyle w:val="Leipteksti"/>
        <w:numPr>
          <w:ilvl w:val="0"/>
          <w:numId w:val="42"/>
        </w:numPr>
      </w:pPr>
      <w:r w:rsidRPr="00C12F9B">
        <w:t>Suomi hyötyy laajalti globaaleihin haasteisiin vastaavien teknologioiden roh</w:t>
      </w:r>
      <w:r w:rsidRPr="00C12F9B">
        <w:softHyphen/>
        <w:t>keasta kehittämisestä ja soveltamis</w:t>
      </w:r>
      <w:r w:rsidRPr="007D4CE4">
        <w:rPr>
          <w:color w:val="000000"/>
        </w:rPr>
        <w:t>esta.</w:t>
      </w:r>
    </w:p>
    <w:p w:rsidR="00177539" w:rsidRDefault="00177539" w:rsidP="00177539">
      <w:pPr>
        <w:pStyle w:val="VMluettelonumeroin"/>
        <w:numPr>
          <w:ilvl w:val="0"/>
          <w:numId w:val="0"/>
        </w:numPr>
        <w:rPr>
          <w:rFonts w:asciiTheme="majorHAnsi" w:hAnsiTheme="majorHAnsi" w:cstheme="majorHAnsi"/>
          <w:color w:val="000000"/>
          <w:sz w:val="21"/>
          <w:szCs w:val="21"/>
        </w:rPr>
      </w:pPr>
    </w:p>
    <w:p w:rsidR="00177539" w:rsidRDefault="00B41ADA" w:rsidP="00177539">
      <w:pPr>
        <w:pStyle w:val="VMluettelonumeroin"/>
        <w:numPr>
          <w:ilvl w:val="0"/>
          <w:numId w:val="0"/>
        </w:numPr>
        <w:rPr>
          <w:rFonts w:asciiTheme="majorHAnsi" w:hAnsiTheme="majorHAnsi" w:cstheme="majorHAnsi"/>
          <w:color w:val="000000"/>
          <w:sz w:val="21"/>
          <w:szCs w:val="21"/>
        </w:rPr>
      </w:pPr>
      <w:r>
        <w:rPr>
          <w:rFonts w:asciiTheme="majorHAnsi" w:hAnsiTheme="majorHAnsi" w:cstheme="majorHAnsi"/>
          <w:noProof/>
          <w:color w:val="000000"/>
          <w:sz w:val="21"/>
          <w:szCs w:val="21"/>
        </w:rPr>
        <w:lastRenderedPageBreak/>
        <w:drawing>
          <wp:inline distT="0" distB="0" distL="0" distR="0">
            <wp:extent cx="6480175" cy="2780030"/>
            <wp:effectExtent l="0" t="0" r="0" b="1270"/>
            <wp:docPr id="1" name="Kuva 1" title="Kuva 1. Tavoitteet, joiden myötä Suomi nousee teknologian ja tiedon avulla maailman kärk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png"/>
                    <pic:cNvPicPr/>
                  </pic:nvPicPr>
                  <pic:blipFill>
                    <a:blip r:embed="rId11">
                      <a:extLst>
                        <a:ext uri="{28A0092B-C50C-407E-A947-70E740481C1C}">
                          <a14:useLocalDpi xmlns:a14="http://schemas.microsoft.com/office/drawing/2010/main" val="0"/>
                        </a:ext>
                      </a:extLst>
                    </a:blip>
                    <a:stretch>
                      <a:fillRect/>
                    </a:stretch>
                  </pic:blipFill>
                  <pic:spPr>
                    <a:xfrm>
                      <a:off x="0" y="0"/>
                      <a:ext cx="6480175" cy="2780030"/>
                    </a:xfrm>
                    <a:prstGeom prst="rect">
                      <a:avLst/>
                    </a:prstGeom>
                  </pic:spPr>
                </pic:pic>
              </a:graphicData>
            </a:graphic>
          </wp:inline>
        </w:drawing>
      </w:r>
    </w:p>
    <w:p w:rsidR="00177539" w:rsidRDefault="00177539" w:rsidP="00177539">
      <w:pPr>
        <w:pStyle w:val="Leipteksti"/>
        <w:ind w:left="0"/>
        <w:rPr>
          <w:rFonts w:asciiTheme="majorHAnsi" w:hAnsiTheme="majorHAnsi" w:cstheme="majorHAnsi"/>
          <w:color w:val="000000"/>
          <w:szCs w:val="21"/>
        </w:rPr>
      </w:pPr>
      <w:r w:rsidRPr="00177539">
        <w:rPr>
          <w:rFonts w:asciiTheme="majorHAnsi" w:hAnsiTheme="majorHAnsi" w:cstheme="majorHAnsi"/>
          <w:b/>
          <w:color w:val="000000"/>
          <w:szCs w:val="21"/>
        </w:rPr>
        <w:t>Kuva 1.</w:t>
      </w:r>
      <w:r w:rsidRPr="00177539">
        <w:rPr>
          <w:rFonts w:asciiTheme="majorHAnsi" w:hAnsiTheme="majorHAnsi" w:cstheme="majorHAnsi"/>
          <w:color w:val="000000"/>
          <w:szCs w:val="21"/>
        </w:rPr>
        <w:t xml:space="preserve"> Tavoitteet, joiden myötä Suomi nousee teknologian ja tiedon avulla maailman kärkeen</w:t>
      </w:r>
      <w:r w:rsidR="005B4E0E">
        <w:rPr>
          <w:rFonts w:asciiTheme="majorHAnsi" w:hAnsiTheme="majorHAnsi" w:cstheme="majorHAnsi"/>
          <w:color w:val="000000"/>
          <w:szCs w:val="21"/>
        </w:rPr>
        <w:t xml:space="preserve"> </w:t>
      </w:r>
    </w:p>
    <w:p w:rsidR="00BB3D9B" w:rsidRDefault="00BB3D9B" w:rsidP="00C12F9B">
      <w:pPr>
        <w:pStyle w:val="Leipteksti"/>
        <w:ind w:left="0"/>
        <w:rPr>
          <w:color w:val="000000"/>
        </w:rPr>
      </w:pPr>
    </w:p>
    <w:p w:rsidR="00177539" w:rsidRPr="00903D99" w:rsidRDefault="00177539" w:rsidP="00C12F9B">
      <w:pPr>
        <w:pStyle w:val="Leipteksti"/>
        <w:ind w:left="0"/>
        <w:rPr>
          <w:color w:val="000000"/>
        </w:rPr>
      </w:pPr>
      <w:r w:rsidRPr="00903D99">
        <w:rPr>
          <w:color w:val="000000"/>
        </w:rPr>
        <w:t xml:space="preserve">Näiden tavoitteiden konkretisoimiseksi kukin tavoite on pilkottu kolmeen toimenpidealueeseen, jotka esitellään luvussa 3.2. </w:t>
      </w:r>
      <w:r w:rsidRPr="00903D99">
        <w:t>Kyse on pitkäaikaisesta, laaja-alaisesta kehittämisestä, jonka tulisi jatkua yli vaalikausien ja toimenpiteiden</w:t>
      </w:r>
      <w:r w:rsidRPr="00903D99">
        <w:rPr>
          <w:rStyle w:val="Alaviitteenviite"/>
          <w:sz w:val="22"/>
        </w:rPr>
        <w:footnoteReference w:id="3"/>
      </w:r>
      <w:r w:rsidRPr="00903D99">
        <w:t xml:space="preserve"> täsmentyä kehityksen myötä. </w:t>
      </w:r>
      <w:r w:rsidRPr="00903D99">
        <w:rPr>
          <w:color w:val="000000"/>
        </w:rPr>
        <w:t>Tavoitteiden asettamisen ohella on tärkeää seurata niiden toteutumista ja luoda tähän tarkoitukseen seurantamalli (</w:t>
      </w:r>
      <w:r>
        <w:rPr>
          <w:color w:val="000000"/>
        </w:rPr>
        <w:t>luku 4</w:t>
      </w:r>
      <w:r w:rsidRPr="00903D99">
        <w:rPr>
          <w:color w:val="000000"/>
        </w:rPr>
        <w:t>).</w:t>
      </w:r>
    </w:p>
    <w:p w:rsidR="00177539" w:rsidRPr="00C12F9B" w:rsidRDefault="00177539" w:rsidP="00C12F9B">
      <w:pPr>
        <w:pStyle w:val="Leipteksti"/>
        <w:ind w:left="0"/>
      </w:pPr>
      <w:r w:rsidRPr="00903D99">
        <w:t>Asetettujen tavoitteiden saavuttamiseksi tehtävät panostukset ja toimenpiteet ovat kunkin toimivaltaisen hallinnonalan vastuulla. Periaatepäätöksen tavoitteiden edellyttämiä toimia toteutetaan valtion budjettiraamien sekä olemassa olevien määrärahojen puitteissa. Määrärahalisäyksiä tai muita budjettivaikutuksia vaativista toimenpiteistä päätetään erikseen valtiontalouden kehyksissä ja vuosittaisissa talousarvioissa.</w:t>
      </w:r>
    </w:p>
    <w:p w:rsidR="00177539" w:rsidRDefault="00177539" w:rsidP="00177539">
      <w:pPr>
        <w:pStyle w:val="Otsikko2"/>
      </w:pPr>
      <w:bookmarkStart w:id="8" w:name="_Toc98488894"/>
      <w:r w:rsidRPr="00177539">
        <w:t>Tavoitteet, joiden myötä Suomi nousee teknologian ja tiedon avulla maailman kärkeen</w:t>
      </w:r>
      <w:bookmarkEnd w:id="8"/>
    </w:p>
    <w:p w:rsidR="00177539" w:rsidRPr="00177539" w:rsidRDefault="00177539" w:rsidP="00177539">
      <w:pPr>
        <w:pStyle w:val="Otsikko3"/>
      </w:pPr>
      <w:bookmarkStart w:id="9" w:name="_Toc98488895"/>
      <w:r w:rsidRPr="00177539">
        <w:t>Tavoite 1: Suomi on maailman kilpailukykyisimpiä valtioita ja maailman paras paikka teknologiayrityksille</w:t>
      </w:r>
      <w:bookmarkEnd w:id="9"/>
    </w:p>
    <w:p w:rsidR="00C12F9B" w:rsidRPr="00903D99" w:rsidRDefault="00C12F9B" w:rsidP="00C12F9B">
      <w:pPr>
        <w:pStyle w:val="Leipteksti"/>
        <w:ind w:left="0"/>
      </w:pPr>
      <w:r w:rsidRPr="00903D99">
        <w:t>Suomessa tulee jatkossakin olla teknologiayrityksille kilpailukykyinen toimintaympäristö, joka tukee Suomen tavoitetta olla pysyvästi maailman kilpailukykyisimpien valtioiden kärjessä. Tavoitteen saavuttamiseksi on määritelty kolme keinoa teknologiayrityksille suotuisan toimintaympäristön luomiseksi (kuva 2):</w:t>
      </w:r>
    </w:p>
    <w:p w:rsidR="007D4CE4" w:rsidRDefault="00C12F9B" w:rsidP="007D4CE4">
      <w:pPr>
        <w:pStyle w:val="Luettelokappale"/>
        <w:numPr>
          <w:ilvl w:val="0"/>
          <w:numId w:val="38"/>
        </w:numPr>
      </w:pPr>
      <w:r w:rsidRPr="00C12F9B">
        <w:t>Innovaatio- ja teknologiamyönteinen julkinen sektori ja sääntely</w:t>
      </w:r>
    </w:p>
    <w:p w:rsidR="007D4CE4" w:rsidRDefault="00C12F9B" w:rsidP="007D4CE4">
      <w:pPr>
        <w:pStyle w:val="Luettelokappale"/>
        <w:numPr>
          <w:ilvl w:val="0"/>
          <w:numId w:val="38"/>
        </w:numPr>
      </w:pPr>
      <w:r w:rsidRPr="00C12F9B">
        <w:t>Vahva panostus T&amp;K-toimintaan ja tutkimuksen kaupallistamiseen</w:t>
      </w:r>
    </w:p>
    <w:p w:rsidR="00C12F9B" w:rsidRPr="00C12F9B" w:rsidRDefault="00C12F9B" w:rsidP="007D4CE4">
      <w:pPr>
        <w:pStyle w:val="Luettelokappale"/>
        <w:numPr>
          <w:ilvl w:val="0"/>
          <w:numId w:val="38"/>
        </w:numPr>
      </w:pPr>
      <w:r w:rsidRPr="00C12F9B">
        <w:t>Innovaatioiden ja investointien kannusteet</w:t>
      </w:r>
    </w:p>
    <w:p w:rsidR="00177539" w:rsidRDefault="00C12F9B" w:rsidP="00C12F9B">
      <w:pPr>
        <w:pStyle w:val="VMluettelonumeroin"/>
        <w:numPr>
          <w:ilvl w:val="0"/>
          <w:numId w:val="0"/>
        </w:numPr>
      </w:pPr>
      <w:r>
        <w:rPr>
          <w:noProof/>
          <w:sz w:val="22"/>
          <w:szCs w:val="22"/>
        </w:rPr>
        <w:lastRenderedPageBreak/>
        <w:drawing>
          <wp:inline distT="0" distB="0" distL="0" distR="0" wp14:anchorId="166F6A4D" wp14:editId="4B4DCAE9">
            <wp:extent cx="6120130" cy="1742440"/>
            <wp:effectExtent l="0" t="0" r="0" b="0"/>
            <wp:docPr id="51" name="Kuva 51" title="Kuva 2. Tavoite 1: kilpailukykyinen toimintaympäristö teknologiayrityks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NPP Kuva2.JPG"/>
                    <pic:cNvPicPr/>
                  </pic:nvPicPr>
                  <pic:blipFill>
                    <a:blip r:embed="rId12">
                      <a:extLst>
                        <a:ext uri="{28A0092B-C50C-407E-A947-70E740481C1C}">
                          <a14:useLocalDpi xmlns:a14="http://schemas.microsoft.com/office/drawing/2010/main" val="0"/>
                        </a:ext>
                      </a:extLst>
                    </a:blip>
                    <a:stretch>
                      <a:fillRect/>
                    </a:stretch>
                  </pic:blipFill>
                  <pic:spPr>
                    <a:xfrm>
                      <a:off x="0" y="0"/>
                      <a:ext cx="6120130" cy="1742440"/>
                    </a:xfrm>
                    <a:prstGeom prst="rect">
                      <a:avLst/>
                    </a:prstGeom>
                  </pic:spPr>
                </pic:pic>
              </a:graphicData>
            </a:graphic>
          </wp:inline>
        </w:drawing>
      </w:r>
    </w:p>
    <w:p w:rsidR="00C12F9B" w:rsidRPr="00EE581B" w:rsidRDefault="00C12F9B" w:rsidP="00C12F9B">
      <w:pPr>
        <w:pStyle w:val="Leipteksti"/>
        <w:ind w:left="0"/>
      </w:pPr>
      <w:r>
        <w:rPr>
          <w:b/>
        </w:rPr>
        <w:t xml:space="preserve">Kuva 2. </w:t>
      </w:r>
      <w:r w:rsidRPr="00EE581B">
        <w:t>Tavoite 1: kilpailukykyinen toimintaympäristö teknologiayrityksille</w:t>
      </w:r>
    </w:p>
    <w:p w:rsidR="00C12F9B" w:rsidRDefault="00C12F9B" w:rsidP="00C12F9B">
      <w:pPr>
        <w:pStyle w:val="VMluettelonumeroin"/>
        <w:numPr>
          <w:ilvl w:val="0"/>
          <w:numId w:val="0"/>
        </w:numPr>
        <w:rPr>
          <w:sz w:val="22"/>
          <w:szCs w:val="22"/>
        </w:rPr>
      </w:pPr>
    </w:p>
    <w:p w:rsidR="00C12F9B" w:rsidRPr="003D5890" w:rsidRDefault="00C12F9B" w:rsidP="00C12F9B">
      <w:pPr>
        <w:pStyle w:val="Leipteksti"/>
        <w:ind w:left="0"/>
      </w:pPr>
      <w:r w:rsidRPr="0016719E">
        <w:t>Toimintaympäristön tulee tukea teknologian laaja-alaista hyödyntämistä</w:t>
      </w:r>
      <w:r>
        <w:t xml:space="preserve"> julkisella sektorilla sekä pal</w:t>
      </w:r>
      <w:r w:rsidR="000A776B">
        <w:t xml:space="preserve">veluiden parantamiseksi </w:t>
      </w:r>
      <w:r w:rsidRPr="0016719E">
        <w:t xml:space="preserve">että toiminnan tehostamiseksi. Lisäksi toimintaympäristön </w:t>
      </w:r>
      <w:r w:rsidRPr="003D5890">
        <w:t>tulee tukea kaiken kokoisten teknologiayritysten ja innovaatioiden syntyä sekä suomalaista teknologiavientiä. Teknologian kehittäminen koko yhteiskunnan hyödyksi, mukaan lukien tuottavuuskehityksen ja ilmastonmuutoksen ratkaisemiseksi sekä luontokadon torjumiseksi, edellyttää kulttuurista ja asenteellista muutosta, joka mahdollistaa asioiden tekemisen kokonaan uudella tavalla voimavarat yhdistäen. Teknologiaratkaisujen tulee olla ekologisesti kestäviä ja niitä tarvitaan myös rajallisten luonnonvarojen riittävyyden varmistamiseksi. Lisäksi tarvitaan mahdollistavaa säädösympäristöä esimerkiksi datan hankintaan, hyödyntämiseen ja hallintaan liittyen, sillä teknologian hyödyntäminen ja kehittäminen on riippuvaista digitaalisen tiedon saatavuudesta.</w:t>
      </w:r>
    </w:p>
    <w:p w:rsidR="00C12F9B" w:rsidRPr="00903D99" w:rsidRDefault="00C12F9B" w:rsidP="00C12F9B">
      <w:pPr>
        <w:pStyle w:val="Leipteksti"/>
        <w:ind w:left="0"/>
        <w:rPr>
          <w:sz w:val="22"/>
        </w:rPr>
      </w:pPr>
      <w:r w:rsidRPr="003D5890">
        <w:rPr>
          <w:sz w:val="22"/>
        </w:rPr>
        <w:t>Panostukset yritysten innovaatioympäristöön tukevat kansainvälisesti kilpailukykyisen, houkuttelevan ja kasvavan innovaatioekosysteemin syntyä Suomeen. Julkisella sektorilla on merkittävä mahdollistava rooli, esimerkiksi innovatiiviset julkiset hankinnat voidaan nähdä strategisena työkaluna uusien teknologisten innovaatioiden kaupallistamisessa.</w:t>
      </w:r>
      <w:r w:rsidRPr="003D5890">
        <w:t xml:space="preserve"> </w:t>
      </w:r>
      <w:r w:rsidRPr="003D5890">
        <w:rPr>
          <w:sz w:val="22"/>
        </w:rPr>
        <w:t>Julkisen sektorin tulee luoda edellytykset markkinaehtoiselle teknologioiden kehittämiselle ja eri teknologioiden ja liiketoimintamallien nopearytmisille kokeilulle. Tähän tarvitaan myös kunnianhimoinen T&amp;K-tavoite ja vahva panostus perustutkimukseen. Hallitus on asettanut tavoitteeksi nostaa Suomen tutkimus- ja kehittämismenot neljään prosenttiin suhteessa bruttokansantuotteeseen vuoteen 2030 mennessä</w:t>
      </w:r>
      <w:r w:rsidRPr="00903D99">
        <w:rPr>
          <w:sz w:val="22"/>
        </w:rPr>
        <w:t>. Sama tavoite otettiin myös parlamentaarisen TKI-työryhmän loppuraportissa joulukuussa 2021</w:t>
      </w:r>
      <w:r w:rsidRPr="00903D99">
        <w:rPr>
          <w:rStyle w:val="Alaviitteenviite"/>
          <w:sz w:val="22"/>
        </w:rPr>
        <w:footnoteReference w:id="4"/>
      </w:r>
      <w:r w:rsidRPr="00903D99">
        <w:rPr>
          <w:sz w:val="22"/>
        </w:rPr>
        <w:t>. Aktiivinen ja avoin teknologiapolitiikka on omiaan myös houkuttelemaan ulkomaisia investointeja Suomeen, mikä kehittää erityisesti teknologiayritysten toimintaympäristöä.</w:t>
      </w:r>
    </w:p>
    <w:p w:rsidR="00C12F9B" w:rsidRDefault="00C12F9B" w:rsidP="00C12F9B">
      <w:pPr>
        <w:pStyle w:val="Otsikko3"/>
      </w:pPr>
      <w:bookmarkStart w:id="10" w:name="_Toc98488896"/>
      <w:r w:rsidRPr="00C12F9B">
        <w:t>Tavoite 2: Suomessa on maailman tunnetuimpia ja houkuttelevimpia teknologia-alan koulutuksen, tutkimuksen, osaajien ja investointien keskuksia</w:t>
      </w:r>
      <w:bookmarkEnd w:id="10"/>
    </w:p>
    <w:p w:rsidR="00C12F9B" w:rsidRPr="00903D99" w:rsidRDefault="00C12F9B" w:rsidP="00C12F9B">
      <w:pPr>
        <w:pStyle w:val="Leipteksti"/>
        <w:ind w:left="0"/>
        <w:rPr>
          <w:sz w:val="22"/>
        </w:rPr>
      </w:pPr>
      <w:r w:rsidRPr="00903D99">
        <w:rPr>
          <w:sz w:val="22"/>
        </w:rPr>
        <w:t>Suomen tulee pyrkiä laajalti eri politiikkatoimilla kohti osaamisyhteiskuntaa, jotta Suomesta kehittyy maailman houkuttelevin teknol</w:t>
      </w:r>
      <w:r>
        <w:rPr>
          <w:sz w:val="22"/>
        </w:rPr>
        <w:t>ogia-alan osaamiskeskittymä ja -</w:t>
      </w:r>
      <w:r w:rsidRPr="00903D99">
        <w:rPr>
          <w:sz w:val="22"/>
        </w:rPr>
        <w:t xml:space="preserve">viejä. Tavoitteena on myös, että </w:t>
      </w:r>
      <w:r w:rsidRPr="003D5890">
        <w:rPr>
          <w:sz w:val="22"/>
        </w:rPr>
        <w:t xml:space="preserve">kansalaiset ja yritykset pääsevät </w:t>
      </w:r>
      <w:r w:rsidRPr="00903D99">
        <w:rPr>
          <w:sz w:val="22"/>
        </w:rPr>
        <w:t>mahdollisimman laajasti osalliseksi teknologisen kehityksen hyödyistä. Tavoitteiden saavuttamiseksi on määritelty kolme keinoa, joiden avulla Suomesta luodaan osaamisyhteiskunta, jossa on maailman parhaat teknologia-alan osaajat (kuva 3):</w:t>
      </w:r>
    </w:p>
    <w:p w:rsidR="007D4CE4" w:rsidRDefault="00C12F9B" w:rsidP="007D4CE4">
      <w:pPr>
        <w:pStyle w:val="Luettelokappale"/>
        <w:numPr>
          <w:ilvl w:val="0"/>
          <w:numId w:val="39"/>
        </w:numPr>
      </w:pPr>
      <w:r w:rsidRPr="00C12F9B">
        <w:t>Osaamistason nosto ja oppimisen digiloikka</w:t>
      </w:r>
    </w:p>
    <w:p w:rsidR="007D4CE4" w:rsidRDefault="00C12F9B" w:rsidP="007D4CE4">
      <w:pPr>
        <w:pStyle w:val="Luettelokappale"/>
        <w:numPr>
          <w:ilvl w:val="0"/>
          <w:numId w:val="39"/>
        </w:numPr>
      </w:pPr>
      <w:r w:rsidRPr="00C12F9B">
        <w:t>Työ- ja koulutusperäinen maahanmuutto houkuttelevaksi ja sujuvaksi</w:t>
      </w:r>
    </w:p>
    <w:p w:rsidR="00C12F9B" w:rsidRPr="00C12F9B" w:rsidRDefault="00C12F9B" w:rsidP="007D4CE4">
      <w:pPr>
        <w:pStyle w:val="Luettelokappale"/>
        <w:numPr>
          <w:ilvl w:val="0"/>
          <w:numId w:val="39"/>
        </w:numPr>
      </w:pPr>
      <w:r w:rsidRPr="00C12F9B">
        <w:t>Suomi profiloituu kansainvälisesti korkean teknologian maana</w:t>
      </w:r>
    </w:p>
    <w:p w:rsidR="00C12F9B" w:rsidRDefault="00C12F9B" w:rsidP="00C12F9B">
      <w:pPr>
        <w:pStyle w:val="Leipteksti"/>
        <w:ind w:left="0"/>
      </w:pPr>
      <w:r>
        <w:rPr>
          <w:bCs/>
          <w:noProof/>
          <w:sz w:val="22"/>
          <w:lang w:eastAsia="fi-FI"/>
        </w:rPr>
        <w:lastRenderedPageBreak/>
        <w:drawing>
          <wp:inline distT="0" distB="0" distL="0" distR="0" wp14:anchorId="6B7687B0" wp14:editId="3D404E71">
            <wp:extent cx="6120130" cy="1659255"/>
            <wp:effectExtent l="0" t="0" r="0" b="0"/>
            <wp:docPr id="52" name="Kuva 52" title="Kuva 3. Tavoite 2: maailman houkuttelevin teknologia-alan osaamiskeskittym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VNPP Kuva3.JPG"/>
                    <pic:cNvPicPr/>
                  </pic:nvPicPr>
                  <pic:blipFill>
                    <a:blip r:embed="rId13">
                      <a:extLst>
                        <a:ext uri="{28A0092B-C50C-407E-A947-70E740481C1C}">
                          <a14:useLocalDpi xmlns:a14="http://schemas.microsoft.com/office/drawing/2010/main" val="0"/>
                        </a:ext>
                      </a:extLst>
                    </a:blip>
                    <a:stretch>
                      <a:fillRect/>
                    </a:stretch>
                  </pic:blipFill>
                  <pic:spPr>
                    <a:xfrm>
                      <a:off x="0" y="0"/>
                      <a:ext cx="6120130" cy="1659255"/>
                    </a:xfrm>
                    <a:prstGeom prst="rect">
                      <a:avLst/>
                    </a:prstGeom>
                  </pic:spPr>
                </pic:pic>
              </a:graphicData>
            </a:graphic>
          </wp:inline>
        </w:drawing>
      </w:r>
    </w:p>
    <w:p w:rsidR="00C12F9B" w:rsidRPr="008C6FC3" w:rsidRDefault="00C12F9B" w:rsidP="00E409CE">
      <w:pPr>
        <w:pStyle w:val="Leipteksti"/>
        <w:ind w:left="0"/>
        <w:rPr>
          <w:b/>
          <w:sz w:val="22"/>
        </w:rPr>
      </w:pPr>
      <w:r>
        <w:rPr>
          <w:b/>
          <w:sz w:val="22"/>
        </w:rPr>
        <w:t xml:space="preserve">Kuva 3. </w:t>
      </w:r>
      <w:r w:rsidRPr="00EE581B">
        <w:rPr>
          <w:sz w:val="22"/>
        </w:rPr>
        <w:t>Tavoite 2: maailman houkuttelevin teknologia-alan osaamiskeskittymä</w:t>
      </w:r>
    </w:p>
    <w:p w:rsidR="00C12F9B" w:rsidRDefault="00C12F9B" w:rsidP="00C12F9B">
      <w:pPr>
        <w:pStyle w:val="Leipteksti"/>
        <w:ind w:left="0"/>
      </w:pPr>
    </w:p>
    <w:p w:rsidR="00C12F9B" w:rsidRPr="003D5890" w:rsidRDefault="00C12F9B" w:rsidP="00C12F9B">
      <w:pPr>
        <w:pStyle w:val="Leipteksti"/>
        <w:ind w:left="0"/>
        <w:rPr>
          <w:sz w:val="22"/>
        </w:rPr>
      </w:pPr>
      <w:r w:rsidRPr="008C6FC3">
        <w:rPr>
          <w:sz w:val="22"/>
        </w:rPr>
        <w:t xml:space="preserve">Suomalaisen koulutusjärjestelmän tulee kaikilla koulutusasteilla kannustaa ja tukea oppilaita ja opiskelijoita kehittämään osaamistaan niin, että teknologioiden kehittämisen ja hyödyntämisen edellytykset </w:t>
      </w:r>
      <w:r w:rsidRPr="003D5890">
        <w:rPr>
          <w:sz w:val="22"/>
        </w:rPr>
        <w:t xml:space="preserve">vahvistuvat. </w:t>
      </w:r>
      <w:proofErr w:type="spellStart"/>
      <w:r w:rsidRPr="003D5890">
        <w:rPr>
          <w:sz w:val="22"/>
        </w:rPr>
        <w:t>Matemaattis</w:t>
      </w:r>
      <w:proofErr w:type="spellEnd"/>
      <w:r w:rsidRPr="003D5890">
        <w:rPr>
          <w:sz w:val="22"/>
        </w:rPr>
        <w:t xml:space="preserve">-luonnontieteellisten (LUMA)-aineiden lisäksi, on tärkeää panostaa myös </w:t>
      </w:r>
      <w:proofErr w:type="spellStart"/>
      <w:r w:rsidRPr="003D5890">
        <w:rPr>
          <w:sz w:val="22"/>
        </w:rPr>
        <w:t>ihmis</w:t>
      </w:r>
      <w:proofErr w:type="spellEnd"/>
      <w:r w:rsidRPr="003D5890">
        <w:rPr>
          <w:sz w:val="22"/>
        </w:rPr>
        <w:t>- ja yhteiskuntatieteisiin. Suomen tulee tarjota kehittymismahdollisuuksia huippuosaajille sekä edistää digitaalista tasa-arvoa ja saavutettavuutta. Korkeakoulutuksen digiloikka ja massiivinen jatkuvan oppimisen panostus tarvitaan vastaamaan työn muutoksesta seuraaviin uusiin osaamistarpeisiin</w:t>
      </w:r>
      <w:r w:rsidRPr="003D5890">
        <w:rPr>
          <w:rStyle w:val="Alaviitteenviite"/>
          <w:sz w:val="22"/>
        </w:rPr>
        <w:footnoteReference w:id="5"/>
      </w:r>
      <w:r w:rsidRPr="003D5890">
        <w:rPr>
          <w:sz w:val="22"/>
        </w:rPr>
        <w:t xml:space="preserve">. On varmistettava laaja ja korkeatasoinen koulutus niin eri teknologia-aloilla kuin teknologian kehittämistä tukevilla aloilla ja huolehdittava myös kansallisesti kriittisen osaamispääoman ylläpitämisestä ja kehittämisestä. Työvoiman korkea ja osuva osaamistaso ja T&amp;K-investoinnit edistävät tuottavuuden kasvua lisäämällä innovointia. Korkeakouluilla sekä yritysten ja korkeakoulujen yhteistyöllä on tässä tärkeä rooli. Teknologian kehittämiseen tarvitaan nykytilanteeseen verrattuna huomattavasti enemmän osaajia myös ulkomailta. Työ- ja koulutusperäisen maahanmuuton tulee olla helppoa ja houkuttelevaa sujuvien lupamenettelyjen ja digitaalisen palvelupolun kautta. </w:t>
      </w:r>
    </w:p>
    <w:p w:rsidR="00C12F9B" w:rsidRDefault="00C12F9B" w:rsidP="00C12F9B">
      <w:pPr>
        <w:pStyle w:val="Leipteksti"/>
        <w:ind w:left="0"/>
        <w:rPr>
          <w:sz w:val="22"/>
        </w:rPr>
      </w:pPr>
      <w:r w:rsidRPr="003D5890">
        <w:rPr>
          <w:sz w:val="22"/>
        </w:rPr>
        <w:t xml:space="preserve">Vahva valtiollinen teknologiaprofiili toimii sekä käyntikorttina että vaikuttamisen välineenä kansainvälisessä yhteistyössä ja luo mahdollisuuksia yrityksille, suomalaisille tuotteille ja palveluille sekä houkuttelee kansainvälisiä investointeja Suomeen. Teknologinen </w:t>
      </w:r>
      <w:proofErr w:type="spellStart"/>
      <w:r w:rsidRPr="003D5890">
        <w:rPr>
          <w:sz w:val="22"/>
        </w:rPr>
        <w:t>edelläkävijyys</w:t>
      </w:r>
      <w:proofErr w:type="spellEnd"/>
      <w:r w:rsidRPr="003D5890">
        <w:rPr>
          <w:sz w:val="22"/>
        </w:rPr>
        <w:t xml:space="preserve"> edellyttää vahvaa perustutkimusta, erityisesti LUMA-aloilla, teknologioiden syväosaamista sekä korkeatasoista soveltavaa tutkimusta. Lisäksi tarvitaan tutkimuspohjaisia osaamisekosysteemejä, jotka houkuttelevat osaajia Suomeen ja pysymään täällä. Teknologinen </w:t>
      </w:r>
      <w:proofErr w:type="spellStart"/>
      <w:r w:rsidRPr="003D5890">
        <w:rPr>
          <w:sz w:val="22"/>
        </w:rPr>
        <w:t>edelläkävijyys</w:t>
      </w:r>
      <w:proofErr w:type="spellEnd"/>
      <w:r w:rsidRPr="003D5890">
        <w:rPr>
          <w:sz w:val="22"/>
        </w:rPr>
        <w:t xml:space="preserve"> edellyttää kansainvälisiä kumppanuuksia, aktiivista politiikkatyötä kansainvälisillä foorumeilla</w:t>
      </w:r>
      <w:r w:rsidRPr="008C6FC3">
        <w:rPr>
          <w:sz w:val="22"/>
        </w:rPr>
        <w:t>, vahvaa asemaa kansainvälisissä organisaatioissa sekä kansainvälisten organisaatioiden toi</w:t>
      </w:r>
      <w:r>
        <w:rPr>
          <w:sz w:val="22"/>
        </w:rPr>
        <w:t>mintojen sijoittumista Suomeen.</w:t>
      </w:r>
    </w:p>
    <w:p w:rsidR="00C12F9B" w:rsidRPr="00C12F9B" w:rsidRDefault="00C12F9B" w:rsidP="00C12F9B">
      <w:pPr>
        <w:pStyle w:val="Otsikko3"/>
      </w:pPr>
      <w:bookmarkStart w:id="11" w:name="_Toc98488897"/>
      <w:r w:rsidRPr="00C12F9B">
        <w:t>Tavoite 3: Suomessa on maailman teknologia- ja innovaatiomyönteisin julkinen sektori, joka mahdollistaa ihmisten ja yritysten hyvinvoinnin</w:t>
      </w:r>
      <w:bookmarkEnd w:id="11"/>
    </w:p>
    <w:p w:rsidR="00C12F9B" w:rsidRPr="003D5890" w:rsidRDefault="00C12F9B" w:rsidP="00C12F9B">
      <w:pPr>
        <w:pStyle w:val="Leipteksti"/>
        <w:ind w:left="0"/>
        <w:rPr>
          <w:sz w:val="22"/>
        </w:rPr>
      </w:pPr>
      <w:r w:rsidRPr="008C6FC3">
        <w:rPr>
          <w:sz w:val="22"/>
        </w:rPr>
        <w:t>Suomen tulee olla turvallinen, osallistava ja ennakoiva yhteiskunta, joka palvelee kaikkien kansalaisten ja</w:t>
      </w:r>
      <w:r>
        <w:rPr>
          <w:sz w:val="22"/>
        </w:rPr>
        <w:t xml:space="preserve"> yritysten tarpeita </w:t>
      </w:r>
      <w:r w:rsidRPr="003D5890">
        <w:rPr>
          <w:sz w:val="22"/>
        </w:rPr>
        <w:t>sujuvasti, saumattomasti ja tehokkaasti. Tavoitteen saavuttamiseksi on määritelty kolme keinoa, joiden avulla luomme maailman teknologia- ja innovaatiomyönteisimmän julkisen sektorin (kuva 4):</w:t>
      </w:r>
    </w:p>
    <w:p w:rsidR="007D4CE4" w:rsidRPr="003D5890" w:rsidRDefault="00C12F9B" w:rsidP="007D4CE4">
      <w:pPr>
        <w:pStyle w:val="Luettelokappale"/>
        <w:numPr>
          <w:ilvl w:val="0"/>
          <w:numId w:val="40"/>
        </w:numPr>
      </w:pPr>
      <w:r w:rsidRPr="003D5890">
        <w:t>Julkisen sektorin ja palveluiden automatisointi</w:t>
      </w:r>
      <w:r w:rsidR="00FE7A83" w:rsidRPr="003D5890">
        <w:t xml:space="preserve"> ihmiskeskeisesti</w:t>
      </w:r>
    </w:p>
    <w:p w:rsidR="007D4CE4" w:rsidRDefault="00C12F9B" w:rsidP="007D4CE4">
      <w:pPr>
        <w:pStyle w:val="Luettelokappale"/>
        <w:numPr>
          <w:ilvl w:val="0"/>
          <w:numId w:val="40"/>
        </w:numPr>
      </w:pPr>
      <w:r w:rsidRPr="00C12F9B">
        <w:lastRenderedPageBreak/>
        <w:t>Digitaalisiin palveluihin ja järjestelmiin liittyvän pehmeän infrastruktuurin</w:t>
      </w:r>
      <w:r w:rsidRPr="00F3135B">
        <w:rPr>
          <w:rStyle w:val="Alaviitteenviite"/>
          <w:rFonts w:asciiTheme="majorHAnsi" w:hAnsiTheme="majorHAnsi"/>
          <w:color w:val="000000"/>
        </w:rPr>
        <w:footnoteReference w:id="6"/>
      </w:r>
      <w:r w:rsidRPr="00C12F9B">
        <w:t xml:space="preserve"> kehittäminen</w:t>
      </w:r>
    </w:p>
    <w:p w:rsidR="00C12F9B" w:rsidRPr="00C12F9B" w:rsidRDefault="00C12F9B" w:rsidP="007D4CE4">
      <w:pPr>
        <w:pStyle w:val="Luettelokappale"/>
        <w:numPr>
          <w:ilvl w:val="0"/>
          <w:numId w:val="40"/>
        </w:numPr>
      </w:pPr>
      <w:r w:rsidRPr="00C12F9B">
        <w:t>Datatalouden toimintaympäristön rakentaminen</w:t>
      </w:r>
    </w:p>
    <w:p w:rsidR="00C12F9B" w:rsidRDefault="00B81B4A" w:rsidP="00C12F9B">
      <w:pPr>
        <w:pStyle w:val="Leipteksti"/>
        <w:ind w:left="0"/>
      </w:pPr>
      <w:r>
        <w:rPr>
          <w:noProof/>
          <w:lang w:eastAsia="fi-FI"/>
        </w:rPr>
        <w:drawing>
          <wp:inline distT="0" distB="0" distL="0" distR="0">
            <wp:extent cx="6480175" cy="1703705"/>
            <wp:effectExtent l="0" t="0" r="0" b="0"/>
            <wp:docPr id="5" name="Kuva 5" title="Kuva 4. Tavoite 3: Maailman teknologia- ja innovaatiomyönteisin julkinen sektori mahdollistaa ihmisten ja yritysten hyvinvoinn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4_tavoite3.png"/>
                    <pic:cNvPicPr/>
                  </pic:nvPicPr>
                  <pic:blipFill>
                    <a:blip r:embed="rId14">
                      <a:extLst>
                        <a:ext uri="{28A0092B-C50C-407E-A947-70E740481C1C}">
                          <a14:useLocalDpi xmlns:a14="http://schemas.microsoft.com/office/drawing/2010/main" val="0"/>
                        </a:ext>
                      </a:extLst>
                    </a:blip>
                    <a:stretch>
                      <a:fillRect/>
                    </a:stretch>
                  </pic:blipFill>
                  <pic:spPr>
                    <a:xfrm>
                      <a:off x="0" y="0"/>
                      <a:ext cx="6480175" cy="1703705"/>
                    </a:xfrm>
                    <a:prstGeom prst="rect">
                      <a:avLst/>
                    </a:prstGeom>
                  </pic:spPr>
                </pic:pic>
              </a:graphicData>
            </a:graphic>
          </wp:inline>
        </w:drawing>
      </w:r>
    </w:p>
    <w:p w:rsidR="00E409CE" w:rsidRPr="00EE581B" w:rsidRDefault="00E409CE" w:rsidP="00E409CE">
      <w:pPr>
        <w:pStyle w:val="Leipteksti"/>
        <w:ind w:left="0"/>
        <w:rPr>
          <w:sz w:val="22"/>
        </w:rPr>
      </w:pPr>
      <w:r w:rsidRPr="008C6FC3">
        <w:rPr>
          <w:b/>
          <w:sz w:val="22"/>
        </w:rPr>
        <w:t xml:space="preserve">Kuva 4. </w:t>
      </w:r>
      <w:r w:rsidRPr="00EE581B">
        <w:rPr>
          <w:sz w:val="22"/>
        </w:rPr>
        <w:t xml:space="preserve">Tavoite 3: </w:t>
      </w:r>
      <w:r>
        <w:rPr>
          <w:sz w:val="22"/>
        </w:rPr>
        <w:t>Maa</w:t>
      </w:r>
      <w:r w:rsidRPr="0016719E">
        <w:rPr>
          <w:sz w:val="22"/>
        </w:rPr>
        <w:t>ilman teknologia- ja innovaatiomyönteisin julki</w:t>
      </w:r>
      <w:r w:rsidRPr="00EE581B">
        <w:rPr>
          <w:sz w:val="22"/>
        </w:rPr>
        <w:t>nen sektori mahdollistaa ihmisten ja yritysten hyvinvoinnin</w:t>
      </w:r>
      <w:r w:rsidR="005B4E0E">
        <w:rPr>
          <w:sz w:val="22"/>
        </w:rPr>
        <w:t xml:space="preserve"> </w:t>
      </w:r>
    </w:p>
    <w:p w:rsidR="00E409CE" w:rsidRDefault="00E409CE" w:rsidP="00C12F9B">
      <w:pPr>
        <w:pStyle w:val="Leipteksti"/>
        <w:ind w:left="0"/>
      </w:pPr>
    </w:p>
    <w:p w:rsidR="00E409CE" w:rsidRPr="003D5890" w:rsidRDefault="00E409CE" w:rsidP="00E409CE">
      <w:pPr>
        <w:pStyle w:val="Leipteksti"/>
        <w:ind w:left="0"/>
        <w:rPr>
          <w:sz w:val="22"/>
        </w:rPr>
      </w:pPr>
      <w:r w:rsidRPr="008C6FC3">
        <w:rPr>
          <w:sz w:val="22"/>
        </w:rPr>
        <w:t xml:space="preserve">Suomen tulee </w:t>
      </w:r>
      <w:r w:rsidRPr="003D5890">
        <w:rPr>
          <w:sz w:val="22"/>
        </w:rPr>
        <w:t>aktiivisesti</w:t>
      </w:r>
      <w:r w:rsidRPr="003D5890">
        <w:rPr>
          <w:bCs/>
          <w:sz w:val="22"/>
        </w:rPr>
        <w:t xml:space="preserve"> automatisoida julkista hallint</w:t>
      </w:r>
      <w:r w:rsidR="00447752" w:rsidRPr="003D5890">
        <w:rPr>
          <w:bCs/>
          <w:sz w:val="22"/>
        </w:rPr>
        <w:t>oa ja palveluja</w:t>
      </w:r>
      <w:r w:rsidRPr="003D5890">
        <w:rPr>
          <w:bCs/>
          <w:sz w:val="22"/>
        </w:rPr>
        <w:t>, sillä</w:t>
      </w:r>
      <w:r w:rsidRPr="003D5890">
        <w:rPr>
          <w:sz w:val="22"/>
        </w:rPr>
        <w:t xml:space="preserve"> teknologia</w:t>
      </w:r>
      <w:r w:rsidR="00447752" w:rsidRPr="003D5890">
        <w:rPr>
          <w:sz w:val="22"/>
        </w:rPr>
        <w:t>lla</w:t>
      </w:r>
      <w:r w:rsidRPr="003D5890">
        <w:rPr>
          <w:sz w:val="22"/>
        </w:rPr>
        <w:t xml:space="preserve"> voidaan tehostaa ja parantaa</w:t>
      </w:r>
      <w:r w:rsidR="00447752" w:rsidRPr="003D5890">
        <w:rPr>
          <w:sz w:val="22"/>
        </w:rPr>
        <w:t xml:space="preserve"> julkisia palveluja</w:t>
      </w:r>
      <w:r w:rsidRPr="003D5890">
        <w:rPr>
          <w:sz w:val="22"/>
        </w:rPr>
        <w:t xml:space="preserve"> ja prosesseja.</w:t>
      </w:r>
      <w:r w:rsidRPr="003D5890">
        <w:rPr>
          <w:bCs/>
          <w:sz w:val="22"/>
        </w:rPr>
        <w:t xml:space="preserve"> </w:t>
      </w:r>
      <w:r w:rsidRPr="003D5890">
        <w:rPr>
          <w:sz w:val="22"/>
        </w:rPr>
        <w:t xml:space="preserve">Automaatiota ja </w:t>
      </w:r>
      <w:proofErr w:type="spellStart"/>
      <w:r w:rsidRPr="003D5890">
        <w:rPr>
          <w:sz w:val="22"/>
        </w:rPr>
        <w:t>digitalisaatiota</w:t>
      </w:r>
      <w:proofErr w:type="spellEnd"/>
      <w:r w:rsidR="00447752" w:rsidRPr="003D5890">
        <w:rPr>
          <w:sz w:val="22"/>
        </w:rPr>
        <w:t xml:space="preserve"> tulee hyödyntää ihmis</w:t>
      </w:r>
      <w:r w:rsidR="00FE7A83" w:rsidRPr="003D5890">
        <w:rPr>
          <w:sz w:val="22"/>
        </w:rPr>
        <w:t>keskeisissä</w:t>
      </w:r>
      <w:r w:rsidR="00447752" w:rsidRPr="003D5890">
        <w:rPr>
          <w:sz w:val="22"/>
        </w:rPr>
        <w:t xml:space="preserve"> sujuvissa palveluissa, kun tavoitteena</w:t>
      </w:r>
      <w:r w:rsidR="00FE7A83" w:rsidRPr="003D5890">
        <w:rPr>
          <w:sz w:val="22"/>
        </w:rPr>
        <w:t xml:space="preserve"> on </w:t>
      </w:r>
      <w:r w:rsidR="00447752" w:rsidRPr="003D5890">
        <w:rPr>
          <w:sz w:val="22"/>
        </w:rPr>
        <w:t xml:space="preserve">edistää </w:t>
      </w:r>
      <w:r w:rsidRPr="003D5890">
        <w:rPr>
          <w:sz w:val="22"/>
        </w:rPr>
        <w:t xml:space="preserve">hyvinvointia sekä demokratian ja perusoikeuksien toteutumista. Julkisten palvelujen digitalisaatio ei saa aiheuttaa esteitä palvelujen saavuttamiselle ja eri väestöryhmien kuten ikääntyneiden ja sairaiden tarpeet on otettava huomioon palveluissa. Myös ihmisten digitaitojen kehittämiseen on tarjottava tukea niin oppilaitoksissa, kuin jatkuvaa oppimista edistäen esimerkiksi digituen toimintamallin kautta. </w:t>
      </w:r>
      <w:r w:rsidRPr="003D5890">
        <w:rPr>
          <w:bCs/>
          <w:sz w:val="22"/>
        </w:rPr>
        <w:t>Poikkihallinnollisuus ja tiivis hallinnonalojen välinen yhteistyö ovat edellytys teknologian hyödyntämiselle julkishallinnossa. Tähän tarvitaan myös teknologiaosaamista, joka luo pohjan teknologia- ja innovaatiomyönteisen kulttuurin rakentamiselle</w:t>
      </w:r>
      <w:r w:rsidR="00DF7AA1">
        <w:rPr>
          <w:bCs/>
          <w:sz w:val="22"/>
        </w:rPr>
        <w:t>.</w:t>
      </w:r>
    </w:p>
    <w:p w:rsidR="00E409CE" w:rsidRPr="003D5890" w:rsidRDefault="00E409CE" w:rsidP="00C12F9B">
      <w:pPr>
        <w:pStyle w:val="Leipteksti"/>
        <w:ind w:left="0"/>
        <w:rPr>
          <w:sz w:val="22"/>
        </w:rPr>
      </w:pPr>
      <w:r w:rsidRPr="003D5890">
        <w:rPr>
          <w:sz w:val="22"/>
        </w:rPr>
        <w:t xml:space="preserve">Julkisen sektorin ja yritysten digitalisaatio ja teknologioiden hyödyntäminen edellyttävät investointeja digitaaliseen pehmeään infrastruktuuriin eli esimerkiksi digitaalisen identiteetin kaltaisiin luottamuspalveluihin, </w:t>
      </w:r>
      <w:proofErr w:type="spellStart"/>
      <w:r w:rsidRPr="003D5890">
        <w:rPr>
          <w:sz w:val="22"/>
        </w:rPr>
        <w:t>yhteentoimivuuden</w:t>
      </w:r>
      <w:proofErr w:type="spellEnd"/>
      <w:r w:rsidRPr="003D5890">
        <w:rPr>
          <w:sz w:val="22"/>
        </w:rPr>
        <w:t xml:space="preserve"> varmistaviin rajapintoihin ja tiedon laadun ja luotettavuuden rakenteisiin sekä tietoturvan korkean tason varmistamiseen. Kehittäminen tulee tehdä sektorirajat ylittäen julkisen ja yksityisen sektorin yhteistyönä kansainvälisten standardien mukaisesti. Suomen tulee huomioida myös, että eurooppalainen datatalouden perusta luodaan tulevina vuosina, mikä vaatii Suomelta aktiivista vaikuttamista muun muassa pehmeää infrastruktuuria koskevaan EU-sääntelyyn. Aktiivisella vaikuttamisella Suomi voi olla luomassa eurooppalaista </w:t>
      </w:r>
      <w:proofErr w:type="spellStart"/>
      <w:r w:rsidRPr="003D5890">
        <w:rPr>
          <w:sz w:val="22"/>
        </w:rPr>
        <w:t>digitalisaatiota</w:t>
      </w:r>
      <w:proofErr w:type="spellEnd"/>
      <w:r w:rsidRPr="003D5890">
        <w:rPr>
          <w:sz w:val="22"/>
        </w:rPr>
        <w:t xml:space="preserve"> suomalaisten ratkaisujen pohjalta ja varmista</w:t>
      </w:r>
      <w:r w:rsidR="00FE7A83" w:rsidRPr="003D5890">
        <w:rPr>
          <w:sz w:val="22"/>
        </w:rPr>
        <w:t>m</w:t>
      </w:r>
      <w:r w:rsidRPr="003D5890">
        <w:rPr>
          <w:sz w:val="22"/>
        </w:rPr>
        <w:t>a</w:t>
      </w:r>
      <w:r w:rsidR="00FE7A83" w:rsidRPr="003D5890">
        <w:rPr>
          <w:sz w:val="22"/>
        </w:rPr>
        <w:t>ssa</w:t>
      </w:r>
      <w:r w:rsidRPr="003D5890">
        <w:rPr>
          <w:sz w:val="22"/>
        </w:rPr>
        <w:t xml:space="preserve"> datan</w:t>
      </w:r>
      <w:r w:rsidR="00FE7A83" w:rsidRPr="003D5890">
        <w:rPr>
          <w:sz w:val="22"/>
        </w:rPr>
        <w:t xml:space="preserve"> parempaa käyttöä.</w:t>
      </w:r>
      <w:r w:rsidRPr="003D5890">
        <w:rPr>
          <w:sz w:val="22"/>
        </w:rPr>
        <w:t xml:space="preserve"> Suomen tulee mahdollistaa muun muassa lainsäädännön avulla kilpailukykyinen, suuria data-aineistoja tehokkaasti hyödyntävän alustatalouden liiketoiminnan kehitys-, kokeilu- ja toimintaympäristö, missä tutkimuksella ja sen infrastruktuureilla on roolinsa. Lisäksi on olennaista hyödyntää olemassa olevia infrastruktuureja ja varmistaa niiden pitkäjänteinen kehittäminen.</w:t>
      </w:r>
    </w:p>
    <w:p w:rsidR="004F6171" w:rsidRDefault="004F6171" w:rsidP="00C12F9B">
      <w:pPr>
        <w:pStyle w:val="Leipteksti"/>
        <w:ind w:left="0"/>
        <w:rPr>
          <w:sz w:val="22"/>
        </w:rPr>
      </w:pPr>
    </w:p>
    <w:p w:rsidR="00E409CE" w:rsidRDefault="00E409CE" w:rsidP="00E409CE">
      <w:pPr>
        <w:pStyle w:val="Otsikko3"/>
      </w:pPr>
      <w:bookmarkStart w:id="12" w:name="_Toc98488898"/>
      <w:r w:rsidRPr="00E409CE">
        <w:lastRenderedPageBreak/>
        <w:t>Tavoite 4: Suomi hyötyy laajalti globaaleihin haasteisii</w:t>
      </w:r>
      <w:r w:rsidR="00FE7A83">
        <w:t>n vastaavien teknologioiden roh</w:t>
      </w:r>
      <w:r w:rsidRPr="00E409CE">
        <w:t>keasta kehittämisestä ja soveltamisesta</w:t>
      </w:r>
      <w:bookmarkEnd w:id="12"/>
    </w:p>
    <w:p w:rsidR="00E409CE" w:rsidRPr="008C6FC3" w:rsidRDefault="00E409CE" w:rsidP="00E409CE">
      <w:pPr>
        <w:pStyle w:val="Leipteksti"/>
        <w:ind w:left="0"/>
        <w:rPr>
          <w:sz w:val="22"/>
        </w:rPr>
      </w:pPr>
      <w:r w:rsidRPr="008C6FC3">
        <w:rPr>
          <w:sz w:val="22"/>
        </w:rPr>
        <w:t>Suomen tulee olla aktiivisesti ratkomassa globaaleja haasteita teknologian keinoin ja luoda sosiaalisesti, ekologisesti ja taloudellisesti kestävää hyvinvointia Suomen lisäksi globaalisti. Tavoitteen saavuttamiseksi on määritelty kolme keinoa, joiden avulla Suomi hyötyy globaaleihin haasteisiin vastaavien teknologioiden kehittämisestä ja soveltamisesta (kuva 5):</w:t>
      </w:r>
    </w:p>
    <w:p w:rsidR="007D4CE4" w:rsidRDefault="00E409CE" w:rsidP="007D4CE4">
      <w:pPr>
        <w:pStyle w:val="Luettelokappale"/>
        <w:numPr>
          <w:ilvl w:val="0"/>
          <w:numId w:val="41"/>
        </w:numPr>
      </w:pPr>
      <w:r w:rsidRPr="00E409CE">
        <w:t>Uusien teknologioiden määrätietoinen hyödyntäminen</w:t>
      </w:r>
    </w:p>
    <w:p w:rsidR="007D4CE4" w:rsidRDefault="00E409CE" w:rsidP="007D4CE4">
      <w:pPr>
        <w:pStyle w:val="Luettelokappale"/>
        <w:numPr>
          <w:ilvl w:val="0"/>
          <w:numId w:val="41"/>
        </w:numPr>
      </w:pPr>
      <w:r w:rsidRPr="00E409CE">
        <w:t xml:space="preserve">Ilmasto- ja ympäristöratkaisujen </w:t>
      </w:r>
      <w:proofErr w:type="spellStart"/>
      <w:r w:rsidRPr="00E409CE">
        <w:t>edelläkävijyys</w:t>
      </w:r>
      <w:proofErr w:type="spellEnd"/>
    </w:p>
    <w:p w:rsidR="00E409CE" w:rsidRPr="004F6171" w:rsidRDefault="00E409CE" w:rsidP="004F6171">
      <w:pPr>
        <w:pStyle w:val="Luettelokappale"/>
        <w:numPr>
          <w:ilvl w:val="0"/>
          <w:numId w:val="41"/>
        </w:numPr>
      </w:pPr>
      <w:r w:rsidRPr="00E409CE">
        <w:t>Teknologioilla tuetaan huoltovarmuutta</w:t>
      </w:r>
    </w:p>
    <w:p w:rsidR="00E409CE" w:rsidRDefault="007D4CE4" w:rsidP="00E409CE">
      <w:pPr>
        <w:pStyle w:val="Leipteksti"/>
        <w:ind w:left="0"/>
      </w:pPr>
      <w:r>
        <w:rPr>
          <w:noProof/>
          <w:lang w:eastAsia="fi-FI"/>
        </w:rPr>
        <w:drawing>
          <wp:inline distT="0" distB="0" distL="0" distR="0">
            <wp:extent cx="6480175" cy="1773555"/>
            <wp:effectExtent l="0" t="0" r="0" b="0"/>
            <wp:docPr id="2" name="Kuva 2" title="Kuva 5. Tavoite 4: Suomi hyötyy globaaleihin haasteisiin vastaavien teknologioiden soveltamis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5_Tavoite 4.JPG"/>
                    <pic:cNvPicPr/>
                  </pic:nvPicPr>
                  <pic:blipFill>
                    <a:blip r:embed="rId15">
                      <a:extLst>
                        <a:ext uri="{28A0092B-C50C-407E-A947-70E740481C1C}">
                          <a14:useLocalDpi xmlns:a14="http://schemas.microsoft.com/office/drawing/2010/main" val="0"/>
                        </a:ext>
                      </a:extLst>
                    </a:blip>
                    <a:stretch>
                      <a:fillRect/>
                    </a:stretch>
                  </pic:blipFill>
                  <pic:spPr>
                    <a:xfrm>
                      <a:off x="0" y="0"/>
                      <a:ext cx="6480175" cy="1773555"/>
                    </a:xfrm>
                    <a:prstGeom prst="rect">
                      <a:avLst/>
                    </a:prstGeom>
                  </pic:spPr>
                </pic:pic>
              </a:graphicData>
            </a:graphic>
          </wp:inline>
        </w:drawing>
      </w:r>
    </w:p>
    <w:p w:rsidR="003A2894" w:rsidRPr="003A2894" w:rsidRDefault="003A2894" w:rsidP="003A2894">
      <w:pPr>
        <w:pStyle w:val="Leipteksti"/>
        <w:ind w:left="0"/>
        <w:rPr>
          <w:sz w:val="22"/>
        </w:rPr>
      </w:pPr>
      <w:r w:rsidRPr="003A2894">
        <w:rPr>
          <w:b/>
          <w:sz w:val="22"/>
        </w:rPr>
        <w:t xml:space="preserve">Kuva 5. </w:t>
      </w:r>
      <w:r w:rsidRPr="003A2894">
        <w:rPr>
          <w:sz w:val="22"/>
        </w:rPr>
        <w:t>Tavoite 4: Suomi hyötyy globaaleihin haasteisiin vastaavien teknologioiden soveltamisesta</w:t>
      </w:r>
    </w:p>
    <w:p w:rsidR="00BB3D9B" w:rsidRDefault="00BB3D9B" w:rsidP="003A2894">
      <w:pPr>
        <w:pStyle w:val="Leipteksti"/>
        <w:ind w:left="0"/>
        <w:rPr>
          <w:sz w:val="22"/>
        </w:rPr>
      </w:pPr>
    </w:p>
    <w:p w:rsidR="003A2894" w:rsidRPr="003D5890" w:rsidRDefault="003A2894" w:rsidP="003A2894">
      <w:pPr>
        <w:pStyle w:val="Leipteksti"/>
        <w:ind w:left="0"/>
        <w:rPr>
          <w:sz w:val="22"/>
        </w:rPr>
      </w:pPr>
      <w:r w:rsidRPr="003A2894">
        <w:rPr>
          <w:sz w:val="22"/>
        </w:rPr>
        <w:t xml:space="preserve">Suomalaisten korkeakoulujen, tutkimuslaitosten ja yritysten </w:t>
      </w:r>
      <w:r w:rsidRPr="003A2894">
        <w:rPr>
          <w:color w:val="000000"/>
          <w:sz w:val="22"/>
        </w:rPr>
        <w:t xml:space="preserve">tulee kehittää maailman huippuluokan osaamista, sillä </w:t>
      </w:r>
      <w:r w:rsidRPr="003A2894">
        <w:rPr>
          <w:sz w:val="22"/>
        </w:rPr>
        <w:t xml:space="preserve">Suomen kasvu ja uudistuminen edellyttävät hyvää teknologista, mutta myös liiketoiminnallista sekä luovaa osaamista. </w:t>
      </w:r>
      <w:r w:rsidRPr="003A2894">
        <w:rPr>
          <w:color w:val="000000"/>
          <w:sz w:val="22"/>
        </w:rPr>
        <w:t xml:space="preserve">Suomessa tulee kehittää ja ottaa nopeasti käyttöön teknologiaa ja kokonaisratkaisuja, joiden avulla Suomesta tulee maailman ensimmäinen hiilineutraali </w:t>
      </w:r>
      <w:r w:rsidRPr="003D5890">
        <w:rPr>
          <w:sz w:val="22"/>
        </w:rPr>
        <w:t>kiertotalousyhteiskunta samalla kun suojaamme luonnon monimuotoisuutta ja Suomen hiilikädenjälki kasvaa. Suomella on kaikki edellytykset nousta kokoaan suuremmaksi toimijaksi tämän teeman ympärillä.</w:t>
      </w:r>
    </w:p>
    <w:p w:rsidR="003A2894" w:rsidRPr="003D5890" w:rsidRDefault="003A2894" w:rsidP="00E409CE">
      <w:pPr>
        <w:pStyle w:val="Leipteksti"/>
        <w:ind w:left="0"/>
        <w:rPr>
          <w:sz w:val="22"/>
        </w:rPr>
      </w:pPr>
      <w:r w:rsidRPr="003D5890">
        <w:rPr>
          <w:sz w:val="22"/>
        </w:rPr>
        <w:t xml:space="preserve">Suomen tulee olla aktiivisesti mukana eurooppalaisten teknologisten vahvuusalueiden kehittämisessä ja vaikuttaa toimivien ja kansainvälisesti kilpailukykyisten sisämarkkinoiden syntymiseen. On tärkeää, että myös yksityinen </w:t>
      </w:r>
      <w:r w:rsidR="00FE7A83" w:rsidRPr="003D5890">
        <w:rPr>
          <w:sz w:val="22"/>
        </w:rPr>
        <w:t>ja kansalaisjärjestösektori ovat aktiivisia toimijoita</w:t>
      </w:r>
      <w:r w:rsidRPr="003D5890">
        <w:rPr>
          <w:sz w:val="22"/>
        </w:rPr>
        <w:t xml:space="preserve"> EU-va</w:t>
      </w:r>
      <w:r w:rsidR="00FE7A83" w:rsidRPr="003D5890">
        <w:rPr>
          <w:sz w:val="22"/>
        </w:rPr>
        <w:t>ikuttamistavoitteiden luomisessa</w:t>
      </w:r>
      <w:r w:rsidRPr="003D5890">
        <w:rPr>
          <w:sz w:val="22"/>
        </w:rPr>
        <w:t xml:space="preserve">. Tämä auttaa kasvattamaan Suomen </w:t>
      </w:r>
      <w:proofErr w:type="spellStart"/>
      <w:r w:rsidRPr="003D5890">
        <w:rPr>
          <w:sz w:val="22"/>
        </w:rPr>
        <w:t>resiliens</w:t>
      </w:r>
      <w:r w:rsidR="00FE7A83" w:rsidRPr="003D5890">
        <w:rPr>
          <w:sz w:val="22"/>
        </w:rPr>
        <w:t>siä</w:t>
      </w:r>
      <w:proofErr w:type="spellEnd"/>
      <w:r w:rsidR="00FE7A83" w:rsidRPr="003D5890">
        <w:rPr>
          <w:sz w:val="22"/>
        </w:rPr>
        <w:t xml:space="preserve"> ja </w:t>
      </w:r>
      <w:r w:rsidRPr="003D5890">
        <w:rPr>
          <w:sz w:val="22"/>
        </w:rPr>
        <w:t>kyky</w:t>
      </w:r>
      <w:r w:rsidR="00FE7A83" w:rsidRPr="003D5890">
        <w:rPr>
          <w:sz w:val="22"/>
        </w:rPr>
        <w:t>ä</w:t>
      </w:r>
      <w:r w:rsidRPr="003D5890">
        <w:rPr>
          <w:sz w:val="22"/>
        </w:rPr>
        <w:t xml:space="preserve"> nousta kriiseistä</w:t>
      </w:r>
      <w:r w:rsidR="00FE7A83" w:rsidRPr="003D5890">
        <w:rPr>
          <w:sz w:val="22"/>
        </w:rPr>
        <w:t>.</w:t>
      </w:r>
      <w:r w:rsidRPr="003D5890">
        <w:rPr>
          <w:sz w:val="22"/>
        </w:rPr>
        <w:t xml:space="preserve"> Suomella tule</w:t>
      </w:r>
      <w:r w:rsidR="00006B34">
        <w:rPr>
          <w:sz w:val="22"/>
        </w:rPr>
        <w:t>e olla erilaisiin kriisitilanteisii</w:t>
      </w:r>
      <w:bookmarkStart w:id="13" w:name="_GoBack"/>
      <w:bookmarkEnd w:id="13"/>
      <w:r w:rsidRPr="003D5890">
        <w:rPr>
          <w:sz w:val="22"/>
        </w:rPr>
        <w:t>n ja poikkeusoloihin sopiva</w:t>
      </w:r>
      <w:r w:rsidR="00FE7A83" w:rsidRPr="003D5890">
        <w:rPr>
          <w:sz w:val="22"/>
        </w:rPr>
        <w:t>,</w:t>
      </w:r>
      <w:r w:rsidRPr="003D5890">
        <w:rPr>
          <w:sz w:val="22"/>
        </w:rPr>
        <w:t xml:space="preserve"> huoltovarmuuden, tietoturvallisuuden sekä hallinnon rajat ylittävän tehokkaan koordinaation mahdollistava toimintamalli ja teknologinen kyvykkyys. Tämä edellyttää kokonaisturvallisuuden huomioimista teknologiapolitiikassa, erityisesti kyberturvallisuuden osalta.</w:t>
      </w:r>
    </w:p>
    <w:p w:rsidR="00A847B3" w:rsidRDefault="00A847B3" w:rsidP="00A847B3">
      <w:pPr>
        <w:pStyle w:val="Otsikko1"/>
      </w:pPr>
      <w:bookmarkStart w:id="14" w:name="_Toc98488899"/>
      <w:r w:rsidRPr="00BA329C">
        <w:t>Periaatepäätöksen toteuttaminen, seuranta ja mittarit</w:t>
      </w:r>
      <w:bookmarkEnd w:id="14"/>
    </w:p>
    <w:p w:rsidR="00A847B3" w:rsidRPr="008C6FC3" w:rsidRDefault="00A847B3" w:rsidP="00A847B3">
      <w:pPr>
        <w:pStyle w:val="Leipteksti"/>
        <w:ind w:left="0"/>
        <w:rPr>
          <w:sz w:val="22"/>
        </w:rPr>
      </w:pPr>
      <w:r w:rsidRPr="00A847B3">
        <w:rPr>
          <w:sz w:val="22"/>
        </w:rPr>
        <w:t>Periaatepäätöksessä määritellyn teknologiapolitiikan päämäärän sekä sen saavuttamiseksi asetettujen tavoitteiden toteutumisen varmistamiseksi on luotava seurantamalli. Tavoitteiden saavuttamisen seuranta edellyttää tavoiteltujen avaintulosten sekä kvantitatiivisten mittareiden määrittelyä ja seurantamallin tulee mahdollistaa tavoitteiden etenemisen seuranta kahdella tasolla:</w:t>
      </w:r>
    </w:p>
    <w:p w:rsidR="00A847B3" w:rsidRPr="008C6FC3" w:rsidRDefault="00A847B3" w:rsidP="00A847B3">
      <w:pPr>
        <w:pStyle w:val="Leipteksti"/>
        <w:ind w:left="0"/>
        <w:rPr>
          <w:sz w:val="22"/>
        </w:rPr>
      </w:pPr>
      <w:r w:rsidRPr="00A847B3">
        <w:rPr>
          <w:sz w:val="22"/>
        </w:rPr>
        <w:lastRenderedPageBreak/>
        <w:t xml:space="preserve">1) </w:t>
      </w:r>
      <w:r w:rsidRPr="00A847B3">
        <w:rPr>
          <w:i/>
          <w:sz w:val="22"/>
        </w:rPr>
        <w:t>Toimenpiteiden seuranta</w:t>
      </w:r>
      <w:r w:rsidRPr="00A847B3">
        <w:rPr>
          <w:sz w:val="22"/>
        </w:rPr>
        <w:t>. Periaatepäätös ei sisällä erillistä toimenpideohjelmaa, mutta siihen liittyviä toimenpiteitä on toteutettu ja tarkoitus käynnistää eri ministeriöissä, jotka myös seuraavat niiden etenemistä</w:t>
      </w:r>
      <w:r w:rsidRPr="00A847B3">
        <w:rPr>
          <w:rStyle w:val="Alaviitteenviite"/>
          <w:sz w:val="22"/>
        </w:rPr>
        <w:footnoteReference w:id="7"/>
      </w:r>
      <w:r w:rsidRPr="00A847B3">
        <w:rPr>
          <w:sz w:val="22"/>
        </w:rPr>
        <w:t>. Näiden toimenpiteiden etenemisen seurannan koonti mahdollistaa kokonaiskuvan saamisen periaatepäätöksen tavoitteiden toteutumisesta. Seurantatieto mahdollistaa nopean reagoinnin, mikäli tavoitteista ollaan jäämässä sekä auttaa vastaamaan toimintaympäristön muutoksiin.</w:t>
      </w:r>
    </w:p>
    <w:p w:rsidR="00A847B3" w:rsidRPr="008C6FC3" w:rsidRDefault="00A847B3" w:rsidP="00A847B3">
      <w:pPr>
        <w:pStyle w:val="Leipteksti"/>
        <w:ind w:left="0"/>
        <w:rPr>
          <w:sz w:val="22"/>
        </w:rPr>
      </w:pPr>
      <w:r w:rsidRPr="00A847B3">
        <w:rPr>
          <w:sz w:val="22"/>
        </w:rPr>
        <w:t xml:space="preserve">2) </w:t>
      </w:r>
      <w:r w:rsidRPr="00A847B3">
        <w:rPr>
          <w:i/>
          <w:sz w:val="22"/>
        </w:rPr>
        <w:t>Tavoitteiden seuranta</w:t>
      </w:r>
      <w:r w:rsidRPr="00A847B3">
        <w:rPr>
          <w:sz w:val="22"/>
        </w:rPr>
        <w:t xml:space="preserve"> määriteltyjen avaintulosten ja kvantitatiivisten mittareiden avulla. Avaintulokset ja mittarit on asetettava kunnianhimoisesti siten, että ne kuvaavat valittujen tavoitteiden toteutumista ja mahdollistavat myös kansainvälisen vertailun. </w:t>
      </w:r>
      <w:r w:rsidRPr="00A847B3">
        <w:rPr>
          <w:color w:val="000000"/>
          <w:sz w:val="22"/>
        </w:rPr>
        <w:t>Koska avaintulosten saavuttaminen näkyy pääsään</w:t>
      </w:r>
      <w:r w:rsidRPr="00A847B3">
        <w:rPr>
          <w:color w:val="000000"/>
          <w:sz w:val="22"/>
        </w:rPr>
        <w:softHyphen/>
        <w:t>töisesti viiveellä, tulee tavoitteiden saavuttamista seurata myös erikseen asetettavien ennakoivien mittareiden kautta.</w:t>
      </w:r>
    </w:p>
    <w:p w:rsidR="00A847B3" w:rsidRPr="008C6FC3" w:rsidRDefault="00A847B3" w:rsidP="00A847B3">
      <w:pPr>
        <w:pStyle w:val="Leipteksti"/>
        <w:ind w:left="0"/>
        <w:rPr>
          <w:sz w:val="22"/>
        </w:rPr>
      </w:pPr>
      <w:r w:rsidRPr="00A847B3">
        <w:rPr>
          <w:sz w:val="22"/>
        </w:rPr>
        <w:t xml:space="preserve">Seurantamalli parantaa teknologiapolitiikan ja muidenkin politiikkalohkojen tavoitteiden toteutumisen todennäköisyyttä mahdollistamalla systemaattisemman ja läpinäkyvämmän seurannan. Seurantamalli tehostaa eri hankkeissa tehtyjen ehdotusten koordinointia ja toimeenpanoa tuomalla eri hankkeissa tehdyt ehdotukset yhdelle </w:t>
      </w:r>
      <w:r w:rsidRPr="003D5890">
        <w:rPr>
          <w:sz w:val="22"/>
        </w:rPr>
        <w:t xml:space="preserve">alustalle, joka mahdollistaa seurantanäkymän myös kansalaisille ja sidosryhmille. Tämä mahdollistaa nykyistä helpomman ja tehokkaamman aiemman työn päälle rakentamisen. Lisäksi seurantamalli </w:t>
      </w:r>
      <w:r w:rsidRPr="00A847B3">
        <w:rPr>
          <w:sz w:val="22"/>
        </w:rPr>
        <w:t>lisää avoimuutta, tuo päättäjille ja virkakunnalle uuden tietovaraston käyttöön ja antaa paremman kokonaiskuvan uudistuksista kaikille osapuolille.</w:t>
      </w:r>
    </w:p>
    <w:p w:rsidR="00A847B3" w:rsidRDefault="00A847B3" w:rsidP="00A847B3">
      <w:pPr>
        <w:pStyle w:val="Leipteksti"/>
        <w:ind w:left="0"/>
        <w:rPr>
          <w:sz w:val="22"/>
        </w:rPr>
      </w:pPr>
      <w:r w:rsidRPr="00A847B3">
        <w:rPr>
          <w:sz w:val="22"/>
        </w:rPr>
        <w:t>Seurannassa ja ohjauksessa hyödynnetään teknologianeuvottelukunnan sihteeristöä sekä ministeriryhmiä, joiden toimialalle toimenpiteet ja tavoitteet liittyvät. Digitalisaation, datatalouden ja julkisen hallinnon kehittämisen ministeriryhmä digitoimiston avustuksella seuraa kokonaisuuden etenemistä. Periaatepäätöksen toteutumista seurataan vuosittain myös osana ministeriöiden toiminnan ja talouden suunnittelua.</w:t>
      </w:r>
    </w:p>
    <w:p w:rsidR="00A847B3" w:rsidRDefault="00A847B3" w:rsidP="00A847B3">
      <w:pPr>
        <w:pStyle w:val="Otsikko1"/>
      </w:pPr>
      <w:bookmarkStart w:id="15" w:name="_Toc98488900"/>
      <w:r>
        <w:t>Liitteet</w:t>
      </w:r>
      <w:bookmarkEnd w:id="15"/>
    </w:p>
    <w:p w:rsidR="00A847B3" w:rsidRPr="00A847B3" w:rsidRDefault="00A847B3" w:rsidP="00A847B3">
      <w:pPr>
        <w:pStyle w:val="Leipteksti"/>
        <w:ind w:left="0"/>
        <w:rPr>
          <w:sz w:val="22"/>
        </w:rPr>
      </w:pPr>
      <w:r w:rsidRPr="00A847B3">
        <w:rPr>
          <w:sz w:val="22"/>
        </w:rPr>
        <w:t>Liite 1. Tavoite 1 - Vireillä olevat teknologianeuvottelukunnan esittämät toimenpide-ehdotukset</w:t>
      </w:r>
    </w:p>
    <w:p w:rsidR="00A847B3" w:rsidRPr="00A847B3" w:rsidRDefault="00A847B3" w:rsidP="00A847B3">
      <w:pPr>
        <w:pStyle w:val="Leipteksti"/>
        <w:ind w:left="0"/>
        <w:rPr>
          <w:sz w:val="22"/>
        </w:rPr>
      </w:pPr>
      <w:r w:rsidRPr="00A847B3">
        <w:rPr>
          <w:sz w:val="22"/>
        </w:rPr>
        <w:t xml:space="preserve">Liite 2. Tavoite 2 - Vireillä olevat teknologianeuvottelukunnan esittämät toimenpide-ehdotukset </w:t>
      </w:r>
    </w:p>
    <w:p w:rsidR="00A847B3" w:rsidRPr="00A847B3" w:rsidRDefault="00A847B3" w:rsidP="00A847B3">
      <w:pPr>
        <w:pStyle w:val="Leipteksti"/>
        <w:ind w:left="0"/>
        <w:rPr>
          <w:sz w:val="22"/>
        </w:rPr>
      </w:pPr>
      <w:r w:rsidRPr="00A847B3">
        <w:rPr>
          <w:sz w:val="22"/>
        </w:rPr>
        <w:t xml:space="preserve">Liite 3. Tavoite 3 - Vireillä olevat teknologianeuvottelukunnan esittämät toimenpide-ehdotukset </w:t>
      </w:r>
    </w:p>
    <w:p w:rsidR="00A847B3" w:rsidRPr="00A847B3" w:rsidRDefault="00A847B3" w:rsidP="00A847B3">
      <w:pPr>
        <w:pStyle w:val="Leipteksti"/>
        <w:ind w:left="0"/>
        <w:rPr>
          <w:sz w:val="22"/>
        </w:rPr>
      </w:pPr>
      <w:r w:rsidRPr="00A847B3">
        <w:rPr>
          <w:sz w:val="22"/>
        </w:rPr>
        <w:t xml:space="preserve">Liite 4. Tavoite 4 - Vireillä olevat teknologianeuvottelukunnan esittämät toimenpide-ehdotukset </w:t>
      </w:r>
    </w:p>
    <w:p w:rsidR="00A847B3" w:rsidRDefault="00A847B3">
      <w:pPr>
        <w:tabs>
          <w:tab w:val="clear" w:pos="2608"/>
          <w:tab w:val="clear" w:pos="5670"/>
        </w:tabs>
        <w:rPr>
          <w:sz w:val="22"/>
        </w:rPr>
      </w:pPr>
      <w:r>
        <w:rPr>
          <w:sz w:val="22"/>
        </w:rPr>
        <w:br w:type="page"/>
      </w:r>
    </w:p>
    <w:p w:rsidR="00A847B3" w:rsidRDefault="00A847B3" w:rsidP="00A847B3">
      <w:pPr>
        <w:pStyle w:val="Leipteksti"/>
        <w:ind w:left="0"/>
        <w:rPr>
          <w:sz w:val="22"/>
        </w:rPr>
      </w:pPr>
      <w:r w:rsidRPr="00BA329C">
        <w:rPr>
          <w:b/>
          <w:sz w:val="22"/>
        </w:rPr>
        <w:lastRenderedPageBreak/>
        <w:t xml:space="preserve">Liite 1. </w:t>
      </w:r>
      <w:r w:rsidRPr="004E793F">
        <w:rPr>
          <w:sz w:val="22"/>
        </w:rPr>
        <w:t xml:space="preserve">Tavoite 1 - Vireillä olevat teknologianeuvottelukunnan esittämät toimenpide-ehdotukset </w:t>
      </w:r>
      <w:r w:rsidRPr="008C6FC3">
        <w:rPr>
          <w:sz w:val="22"/>
        </w:rPr>
        <w:t>(tilanne joulukuu 2021)</w:t>
      </w:r>
    </w:p>
    <w:tbl>
      <w:tblPr>
        <w:tblStyle w:val="Vaalearuudukkotaulukko1-korostus1"/>
        <w:tblW w:w="0" w:type="auto"/>
        <w:tblLook w:val="04A0" w:firstRow="1" w:lastRow="0" w:firstColumn="1" w:lastColumn="0" w:noHBand="0" w:noVBand="1"/>
        <w:tblCaption w:val="Liite 1. Tavoite 1 - Vireillä olevat teknologianeuvottelukunnan esittämät toimenpide-ehdotukset     "/>
      </w:tblPr>
      <w:tblGrid>
        <w:gridCol w:w="4962"/>
        <w:gridCol w:w="4666"/>
      </w:tblGrid>
      <w:tr w:rsidR="00A847B3" w:rsidRPr="00BA329C" w:rsidTr="003368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sz w:val="20"/>
                <w:szCs w:val="22"/>
              </w:rPr>
            </w:pPr>
            <w:r w:rsidRPr="00BA329C">
              <w:rPr>
                <w:sz w:val="20"/>
                <w:szCs w:val="22"/>
              </w:rPr>
              <w:t>Toimenpide</w:t>
            </w:r>
          </w:p>
        </w:tc>
        <w:tc>
          <w:tcPr>
            <w:tcW w:w="4666" w:type="dxa"/>
          </w:tcPr>
          <w:p w:rsidR="00A847B3" w:rsidRPr="00BA329C" w:rsidRDefault="00A847B3" w:rsidP="00336873">
            <w:pPr>
              <w:pStyle w:val="VMleipteksti"/>
              <w:ind w:left="0"/>
              <w:cnfStyle w:val="100000000000" w:firstRow="1" w:lastRow="0" w:firstColumn="0" w:lastColumn="0" w:oddVBand="0" w:evenVBand="0" w:oddHBand="0" w:evenHBand="0" w:firstRowFirstColumn="0" w:firstRowLastColumn="0" w:lastRowFirstColumn="0" w:lastRowLastColumn="0"/>
              <w:rPr>
                <w:sz w:val="20"/>
                <w:szCs w:val="22"/>
              </w:rPr>
            </w:pPr>
            <w:r w:rsidRPr="00BA329C">
              <w:rPr>
                <w:sz w:val="20"/>
                <w:szCs w:val="22"/>
              </w:rPr>
              <w:t>Vastuutaho</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Tehostetaan rakenteita rahoituksen parantamiseksi.</w:t>
            </w:r>
          </w:p>
          <w:p w:rsidR="00A847B3" w:rsidRPr="00161324" w:rsidRDefault="00A847B3" w:rsidP="00336873">
            <w:pPr>
              <w:pStyle w:val="VMleipteksti"/>
            </w:pP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Viennin ja </w:t>
            </w:r>
            <w:proofErr w:type="spellStart"/>
            <w:r w:rsidRPr="00BA329C">
              <w:rPr>
                <w:sz w:val="20"/>
                <w:szCs w:val="22"/>
              </w:rPr>
              <w:t>kv</w:t>
            </w:r>
            <w:proofErr w:type="spellEnd"/>
            <w:r w:rsidRPr="00BA329C">
              <w:rPr>
                <w:sz w:val="20"/>
                <w:szCs w:val="22"/>
              </w:rPr>
              <w:t xml:space="preserve">-kasvun ohjelmassa, Suomen kestävän kasvun ohjelmassa, TKI-tiekartassa </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OKM ja UM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sz w:val="20"/>
                <w:szCs w:val="22"/>
              </w:rPr>
            </w:pPr>
            <w:r w:rsidRPr="00BA329C">
              <w:rPr>
                <w:b w:val="0"/>
                <w:sz w:val="20"/>
                <w:szCs w:val="22"/>
              </w:rPr>
              <w:t>Lisätään julkishallinnon ja päättäjien teknologiaosaamista.</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TKI-tiekartassa sekä vireillä yhteistyö- ja teemaverkostoja teknologiaosaamisen lisäämiseksi, esim. </w:t>
            </w:r>
            <w:proofErr w:type="spellStart"/>
            <w:r w:rsidRPr="00BA329C">
              <w:rPr>
                <w:sz w:val="20"/>
                <w:szCs w:val="22"/>
              </w:rPr>
              <w:t>Geoforum</w:t>
            </w:r>
            <w:proofErr w:type="spellEnd"/>
            <w:r w:rsidRPr="00BA329C">
              <w:rPr>
                <w:sz w:val="20"/>
                <w:szCs w:val="22"/>
              </w:rPr>
              <w:t xml:space="preserve"> Finland, </w:t>
            </w:r>
            <w:proofErr w:type="spellStart"/>
            <w:r w:rsidRPr="00BA329C">
              <w:rPr>
                <w:sz w:val="20"/>
                <w:szCs w:val="22"/>
              </w:rPr>
              <w:t>Agrihubi</w:t>
            </w:r>
            <w:proofErr w:type="spellEnd"/>
            <w:r w:rsidRPr="00BA329C">
              <w:rPr>
                <w:sz w:val="20"/>
                <w:szCs w:val="22"/>
              </w:rPr>
              <w:t xml:space="preserve"> Älymaatalouden teemaryhmä</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ja ministeriöt</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Varmistetaan teknologianeutraali ja laajalti automaation mahdollistava kansallinen lainsäädäntö.</w:t>
            </w:r>
          </w:p>
          <w:p w:rsidR="00A847B3" w:rsidRPr="00BA329C" w:rsidRDefault="00A847B3" w:rsidP="00336873">
            <w:pPr>
              <w:pStyle w:val="VMleipteksti"/>
              <w:ind w:left="0"/>
              <w:rPr>
                <w:b w:val="0"/>
                <w:sz w:val="20"/>
                <w:szCs w:val="22"/>
              </w:rPr>
            </w:pP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0"/>
              </w:rPr>
              <w:t xml:space="preserve">Toteutuksessa: Pilotti sääntelyn tutkimus- ja innovaatiovaikutusten arvioinnin kehittämiseksi. Vireillä: Automaattisen päätöksenteon mahdollistava yleislainsäädäntö-hanke, </w:t>
            </w:r>
            <w:proofErr w:type="spellStart"/>
            <w:r w:rsidRPr="00BA329C">
              <w:rPr>
                <w:sz w:val="20"/>
                <w:szCs w:val="20"/>
              </w:rPr>
              <w:t>Sote</w:t>
            </w:r>
            <w:proofErr w:type="spellEnd"/>
            <w:r w:rsidRPr="00BA329C">
              <w:rPr>
                <w:sz w:val="20"/>
                <w:szCs w:val="20"/>
              </w:rPr>
              <w:t xml:space="preserve"> alan tutkimuslainsäädännön kehittäminen, Lainsäädännön vaikutusten arvioinnin uudistaminen, </w:t>
            </w:r>
            <w:proofErr w:type="spellStart"/>
            <w:r w:rsidRPr="00BA329C">
              <w:rPr>
                <w:sz w:val="20"/>
                <w:szCs w:val="22"/>
              </w:rPr>
              <w:t>Agrihubi</w:t>
            </w:r>
            <w:proofErr w:type="spellEnd"/>
            <w:r w:rsidRPr="00BA329C">
              <w:rPr>
                <w:sz w:val="20"/>
                <w:szCs w:val="22"/>
              </w:rPr>
              <w:t xml:space="preserve"> Älymaatalouden teemaryhmä</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0"/>
              </w:rPr>
            </w:pPr>
            <w:r w:rsidRPr="00BA329C">
              <w:rPr>
                <w:sz w:val="20"/>
                <w:szCs w:val="20"/>
              </w:rPr>
              <w:t>Vastuuministeriöinä TEM, VM, STM, OKM, OM ja muut vastuuministeriöt</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Vaikutetaan demokratia- ja ihmisoikeusperiaatteiden pohjalta teknologiamyönteisen sääntelyn ja toimintaympäristön kehittymiseksi ennakollisesti ja aktiivisesti EU- ja kansainväliseen sääntelyyn, rahoitukseen ja tutkimusohjelmiin ja vahvistetaan kansallista yhteistyötä vaikuttamisen tueksi.</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Vaikuttamistyötä tehdään laajasti kaikissa ministeriöissä </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OM, LVM, TEM, VM, OKM, UM, MMM, kaikki sektoriministeriöt,</w:t>
            </w:r>
            <w:r w:rsidRPr="00BA329C">
              <w:rPr>
                <w:sz w:val="16"/>
                <w:szCs w:val="22"/>
              </w:rPr>
              <w:t xml:space="preserve"> </w:t>
            </w:r>
            <w:r w:rsidRPr="00BA329C">
              <w:rPr>
                <w:sz w:val="20"/>
              </w:rPr>
              <w:t>Digitalisaation, datatalouden ja julkisen hallinnon kehittämisen ministerityöryhmä, digitoimisto</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Asetetaan kunnianhimoinen numeerinen T&amp;K-tavoite.</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Toteutuksessa: Parlamentaarisessa TKI-työryhmässä ja TKI-tiekartan päivityksessä linjattiin joulukuussa 2021 tavoitteeksi nostaa Suom</w:t>
            </w:r>
            <w:r w:rsidR="00330236">
              <w:rPr>
                <w:sz w:val="20"/>
                <w:szCs w:val="22"/>
              </w:rPr>
              <w:t xml:space="preserve">en tutkimus- ja </w:t>
            </w:r>
            <w:r w:rsidR="00330236" w:rsidRPr="003D5890">
              <w:rPr>
                <w:sz w:val="20"/>
                <w:szCs w:val="22"/>
              </w:rPr>
              <w:t xml:space="preserve">kehittämismenojen BKT-osuus </w:t>
            </w:r>
            <w:r w:rsidRPr="003D5890">
              <w:rPr>
                <w:sz w:val="20"/>
                <w:szCs w:val="22"/>
              </w:rPr>
              <w:t xml:space="preserve">neljään </w:t>
            </w:r>
            <w:r w:rsidRPr="00BA329C">
              <w:rPr>
                <w:sz w:val="20"/>
                <w:szCs w:val="22"/>
              </w:rPr>
              <w:t xml:space="preserve">prosenttiin vuoteen 2030 mennessä. </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OKM ja TEM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Lisätään rahoitusta ja kehitetään toimintamalleja kansainvälisen tason tutkimus- ja innovaatioekosysteemien rakentamiseen ja vahvistamiseen.</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Toteutunut: YK:n innovaatiotoimintojen keskus Suomeen, Business Finlandin EU-rahoitusinstrumentit</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Kansallisen TKI-työryhmän ja TKI-tiekartan päivityksessä, Viennin ja </w:t>
            </w:r>
            <w:proofErr w:type="spellStart"/>
            <w:r w:rsidRPr="00BA329C">
              <w:rPr>
                <w:sz w:val="20"/>
                <w:szCs w:val="22"/>
              </w:rPr>
              <w:t>kv</w:t>
            </w:r>
            <w:proofErr w:type="spellEnd"/>
            <w:r w:rsidRPr="00BA329C">
              <w:rPr>
                <w:sz w:val="20"/>
                <w:szCs w:val="22"/>
              </w:rPr>
              <w:t xml:space="preserve">-kasvun ohjelmassa, </w:t>
            </w:r>
            <w:proofErr w:type="spellStart"/>
            <w:r w:rsidRPr="00BA329C">
              <w:rPr>
                <w:sz w:val="20"/>
                <w:szCs w:val="22"/>
              </w:rPr>
              <w:t>WEF:n</w:t>
            </w:r>
            <w:proofErr w:type="spellEnd"/>
            <w:r w:rsidRPr="00BA329C">
              <w:rPr>
                <w:sz w:val="20"/>
                <w:szCs w:val="22"/>
              </w:rPr>
              <w:t xml:space="preserve"> C4IR-sivutoimipisteen perustaminen Suomeen, </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TEM, OKM ja UM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 xml:space="preserve">Otetaan käyttöön uusi kumppanuusmalli vahvojen tutkimuksen ja yritysten </w:t>
            </w:r>
            <w:proofErr w:type="spellStart"/>
            <w:r w:rsidRPr="00BA329C">
              <w:rPr>
                <w:b w:val="0"/>
                <w:sz w:val="20"/>
                <w:szCs w:val="22"/>
              </w:rPr>
              <w:t>yhteisrahoitteisten</w:t>
            </w:r>
            <w:proofErr w:type="spellEnd"/>
            <w:r w:rsidRPr="00BA329C">
              <w:rPr>
                <w:b w:val="0"/>
                <w:sz w:val="20"/>
                <w:szCs w:val="22"/>
              </w:rPr>
              <w:t xml:space="preserve"> ja yhteiskäyttöisten tutkimus-, </w:t>
            </w:r>
            <w:proofErr w:type="spellStart"/>
            <w:r w:rsidRPr="00BA329C">
              <w:rPr>
                <w:b w:val="0"/>
                <w:sz w:val="20"/>
                <w:szCs w:val="22"/>
              </w:rPr>
              <w:t>kehittämis</w:t>
            </w:r>
            <w:proofErr w:type="spellEnd"/>
            <w:r w:rsidRPr="00BA329C">
              <w:rPr>
                <w:b w:val="0"/>
                <w:sz w:val="20"/>
                <w:szCs w:val="22"/>
              </w:rPr>
              <w:t>- ja kokeiluinfrastruktuurikeskittymien sekä testausalustojen luomiseksi ja pitkäjänteiseksi kehittämiseksi.</w:t>
            </w:r>
          </w:p>
        </w:tc>
        <w:tc>
          <w:tcPr>
            <w:tcW w:w="4666" w:type="dxa"/>
          </w:tcPr>
          <w:p w:rsidR="00A847B3"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TKI-tiekartassa kumppanuusmallina, Suomen kestävän kasvun ohjelmassa sekä Kansallisten tutkimusinfrastruktuurien strategiassa.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Vastuuministeriöinä TEM, OKM ja UM </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Lisätään Business Finlandin yrityksille suunnattavaa T&amp;K-rahoitusta pitkäjänteisesti kohdistettuna tutkimus- ja innovaatioyhteistyöhön korkeakoulujen ja tutkimuslaitosten kanssa.</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Suomen kestävän kasvun ohjelmassa, TKI-tiekartassa, Parlamentaarisessa TKI-työryhmässä.</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OKM, UM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Arvioidaan tarpeet yritysten T&amp;K-toiminnan kasvattamiseksi ja</w:t>
            </w:r>
          </w:p>
          <w:p w:rsidR="00A847B3" w:rsidRPr="00BA329C" w:rsidRDefault="00A847B3" w:rsidP="00336873">
            <w:pPr>
              <w:pStyle w:val="VMleipteksti"/>
              <w:ind w:left="0"/>
              <w:rPr>
                <w:b w:val="0"/>
                <w:sz w:val="20"/>
                <w:szCs w:val="22"/>
              </w:rPr>
            </w:pPr>
            <w:r w:rsidRPr="00BA329C">
              <w:rPr>
                <w:b w:val="0"/>
                <w:sz w:val="20"/>
                <w:szCs w:val="22"/>
              </w:rPr>
              <w:t>teknologiayritysten houkuttelemiseksi Suomeen verotuksen keinoin sekä kestävän digitalisaation edistämiseksi.</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Parlamentaarisessa TKI-työryhmässä ja TKI-tiekartan päivityksessä.</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VM, TEM, OKM, VNK</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Vauhditetaan investointeja ja omistajuutta laajalla keinovalikoimalla.</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Kotimaisen omistajuuden ohjelmassa, Yrittäjyysstrategiassa ja Uudistuvan teollisuuden strategiassa. </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TEM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Lisätään pk-yritysten innovaatiotoimintaa ja kyvykkyyttä digitalisaation hyödyntämiseen.</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Tekoäly 4.0-ohjelmassa, </w:t>
            </w:r>
            <w:proofErr w:type="spellStart"/>
            <w:r w:rsidRPr="00BA329C">
              <w:rPr>
                <w:sz w:val="20"/>
                <w:szCs w:val="22"/>
              </w:rPr>
              <w:t>EDIH:ssa</w:t>
            </w:r>
            <w:proofErr w:type="spellEnd"/>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TEM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Hyödynnetään julkisia hankintoja uusien teknologioiden ja niiden mahdollistamien toimintamallien käyttöönotossa ja kehitetään malleja innovaatioriskin vähentämiseen</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Hankinta-Suomi, KEINO, Innovatiivisten julkisten hankintojen toimenpideohjelma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Vastuuministeriönä VM ja TEM </w:t>
            </w:r>
          </w:p>
        </w:tc>
      </w:tr>
    </w:tbl>
    <w:p w:rsidR="00A847B3" w:rsidRPr="00A847B3" w:rsidRDefault="00A847B3" w:rsidP="00A847B3">
      <w:pPr>
        <w:pStyle w:val="Leipteksti"/>
        <w:ind w:left="0"/>
        <w:rPr>
          <w:b/>
          <w:sz w:val="22"/>
        </w:rPr>
      </w:pPr>
      <w:r w:rsidRPr="00A847B3">
        <w:rPr>
          <w:b/>
          <w:sz w:val="22"/>
        </w:rPr>
        <w:lastRenderedPageBreak/>
        <w:t xml:space="preserve">Liite 2. </w:t>
      </w:r>
      <w:r w:rsidRPr="00A847B3">
        <w:rPr>
          <w:sz w:val="22"/>
        </w:rPr>
        <w:t>Tavoite 2 - Vireillä olevat teknologianeuvottelukunnan esittämät toimenpide-ehdotukset (tilanne joulukuu 2021)</w:t>
      </w:r>
    </w:p>
    <w:tbl>
      <w:tblPr>
        <w:tblStyle w:val="Vaalearuudukkotaulukko1-korostus1"/>
        <w:tblW w:w="0" w:type="auto"/>
        <w:tblLook w:val="04A0" w:firstRow="1" w:lastRow="0" w:firstColumn="1" w:lastColumn="0" w:noHBand="0" w:noVBand="1"/>
        <w:tblCaption w:val="Liite 2. Tavoite 2 - Vireillä olevat teknologianeuvottelukunnan esittämät toimenpide-ehdotukset"/>
      </w:tblPr>
      <w:tblGrid>
        <w:gridCol w:w="4962"/>
        <w:gridCol w:w="4666"/>
      </w:tblGrid>
      <w:tr w:rsidR="00A847B3" w:rsidRPr="00BA329C" w:rsidTr="003368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sz w:val="20"/>
                <w:szCs w:val="22"/>
              </w:rPr>
            </w:pPr>
            <w:r w:rsidRPr="00BA329C">
              <w:rPr>
                <w:sz w:val="20"/>
                <w:szCs w:val="22"/>
              </w:rPr>
              <w:t>Toimenpide</w:t>
            </w:r>
          </w:p>
        </w:tc>
        <w:tc>
          <w:tcPr>
            <w:tcW w:w="4666" w:type="dxa"/>
          </w:tcPr>
          <w:p w:rsidR="00A847B3" w:rsidRPr="00BA329C" w:rsidRDefault="00A847B3" w:rsidP="00336873">
            <w:pPr>
              <w:pStyle w:val="VMleipteksti"/>
              <w:ind w:left="0"/>
              <w:cnfStyle w:val="100000000000" w:firstRow="1" w:lastRow="0" w:firstColumn="0" w:lastColumn="0" w:oddVBand="0" w:evenVBand="0" w:oddHBand="0" w:evenHBand="0" w:firstRowFirstColumn="0" w:firstRowLastColumn="0" w:lastRowFirstColumn="0" w:lastRowLastColumn="0"/>
              <w:rPr>
                <w:sz w:val="20"/>
                <w:szCs w:val="22"/>
              </w:rPr>
            </w:pPr>
            <w:r w:rsidRPr="00BA329C">
              <w:rPr>
                <w:sz w:val="20"/>
                <w:szCs w:val="22"/>
              </w:rPr>
              <w:t>Vastuutaho</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 xml:space="preserve">Luodaan pitkäjänteinen kansallinen LUMA-STEAM (Science, Technology, Engineering, </w:t>
            </w:r>
            <w:proofErr w:type="spellStart"/>
            <w:r w:rsidRPr="00BA329C">
              <w:rPr>
                <w:b w:val="0"/>
                <w:sz w:val="20"/>
                <w:szCs w:val="22"/>
              </w:rPr>
              <w:t>Arts</w:t>
            </w:r>
            <w:proofErr w:type="spellEnd"/>
            <w:r w:rsidRPr="00BA329C">
              <w:rPr>
                <w:b w:val="0"/>
                <w:sz w:val="20"/>
                <w:szCs w:val="22"/>
              </w:rPr>
              <w:t xml:space="preserve">, </w:t>
            </w:r>
            <w:proofErr w:type="spellStart"/>
            <w:r w:rsidRPr="00BA329C">
              <w:rPr>
                <w:b w:val="0"/>
                <w:sz w:val="20"/>
                <w:szCs w:val="22"/>
              </w:rPr>
              <w:t>Mathematics</w:t>
            </w:r>
            <w:proofErr w:type="spellEnd"/>
            <w:r w:rsidRPr="00BA329C">
              <w:rPr>
                <w:b w:val="0"/>
                <w:sz w:val="20"/>
                <w:szCs w:val="22"/>
              </w:rPr>
              <w:t>) -</w:t>
            </w:r>
            <w:r w:rsidRPr="00BA329C">
              <w:rPr>
                <w:b w:val="0"/>
                <w:sz w:val="20"/>
              </w:rPr>
              <w:t>strategian pohjalta toimeenpanosuunnitelma</w:t>
            </w:r>
            <w:r w:rsidRPr="00BA329C">
              <w:rPr>
                <w:b w:val="0"/>
                <w:sz w:val="20"/>
                <w:szCs w:val="22"/>
              </w:rPr>
              <w:t xml:space="preserve"> varmistamaan osaajat ja edellytykset innovaatioiden tuottamiseen ja teknologian laajamittaiseen hyödyntämiseen.</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Toteutunut: Kansallinen LUMA-strategia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Osaamisen ennakointifoorumissa ja luovan talouiden tiekartassa, koulutuspoliittisessa selonteossa, Luovan talouden tiekartassa.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OKM, TEM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Tarkastellaan osaamisen kehittymisen ja leviämisen kannalta tarvittavia toimia laaja-alaisesti eri sektoreilla ja lisätään jatkuvan oppimisen mahdollisuuksia tekniikan aloilla sekä tarjontaa teknologiaymmärryksen ja osaamistason nostamiseksi kaikilla aloilla.</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Suomen kestävän kasvun ohjelmassa, Selvitys vihreän siirtymän aiheuttamista osaamistarpeiden muutoksista.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OKM, TEM, YM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Lisätään korkeakoulujen profiloitumista ja keskinäistä yhteistyötä kansainvälisesti erottuvien ja houkuttelevien profiilien luomiseksi sekä kannustetaan yritysyhteistyöhön ja tutkimuksen kaupallistamiseen vaikuttavuuden parantamiseksi.</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Digitaalisen hyvinvoinnin oppilaitosverkosto yliopisto, IPR-strategia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OKM, UM, SM, PLM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Asetetaan selkeät ja kunnianhimoiset määrälliset tavoitteet työ- ja koulutusperäisen maahanmuuton merkittävälle lisäämiselle ja tehdään työtä hallinnonalojen yli tavoitteen saavuttamiseksi.</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Seurannan ja mittareiden laatiminen työ- ja koulutusperäiselle maahanmuutolle.</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UM, SM ja OKM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rPr>
                <w:b w:val="0"/>
                <w:bCs w:val="0"/>
                <w:color w:val="000000"/>
                <w:sz w:val="20"/>
                <w:szCs w:val="22"/>
              </w:rPr>
            </w:pPr>
            <w:r w:rsidRPr="00BA329C">
              <w:rPr>
                <w:b w:val="0"/>
                <w:bCs w:val="0"/>
                <w:color w:val="000000"/>
                <w:sz w:val="20"/>
                <w:szCs w:val="22"/>
              </w:rPr>
              <w:t>Tehdään ja työ- ja koulutusperäisestä maahanmuutosta kokonaisuutena helppo ja houkutteleva.</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D-viisumin laajennus tutkijoihin ja opiskelijoihin. </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UM, SM ja OKM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Parannetaan työ- ja koulutusperäisten maahanmuuttajien ja heidän perheidensä integroitumista Suomeen</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w:t>
            </w:r>
            <w:proofErr w:type="spellStart"/>
            <w:r w:rsidRPr="00BA329C">
              <w:rPr>
                <w:sz w:val="20"/>
                <w:szCs w:val="22"/>
              </w:rPr>
              <w:t>Talent</w:t>
            </w:r>
            <w:proofErr w:type="spellEnd"/>
            <w:r w:rsidRPr="00BA329C">
              <w:rPr>
                <w:sz w:val="20"/>
                <w:szCs w:val="22"/>
              </w:rPr>
              <w:t xml:space="preserve"> </w:t>
            </w:r>
            <w:proofErr w:type="spellStart"/>
            <w:r w:rsidRPr="00BA329C">
              <w:rPr>
                <w:sz w:val="20"/>
                <w:szCs w:val="22"/>
              </w:rPr>
              <w:t>Boost</w:t>
            </w:r>
            <w:proofErr w:type="spellEnd"/>
            <w:r w:rsidRPr="00BA329C">
              <w:rPr>
                <w:sz w:val="20"/>
                <w:szCs w:val="22"/>
              </w:rPr>
              <w:t>-hankkeessa.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OKM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Laaditaan poikkihallinnollinen strategia Suomen kansainvälisen teknologiaprofiilin nostamiseksi ja keskeisten kansainvälisten toimintojen saamiseksi Suomeen.</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Toteutunut: GAIA-X </w:t>
            </w:r>
            <w:proofErr w:type="spellStart"/>
            <w:r w:rsidRPr="00BA329C">
              <w:rPr>
                <w:sz w:val="20"/>
                <w:szCs w:val="22"/>
              </w:rPr>
              <w:t>hub</w:t>
            </w:r>
            <w:proofErr w:type="spellEnd"/>
            <w:r w:rsidRPr="00BA329C">
              <w:rPr>
                <w:sz w:val="20"/>
                <w:szCs w:val="22"/>
              </w:rPr>
              <w:t>, ELLIS-instituutti, YK:n innovaatiotoimintojen keskus</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Tekoäly 4.0 –ohjelmassa, EU-selonteossa ja virkatyönä. </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VNK, TEM, UM ja muut ministeriöt</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Panostetaan teknologiavientiä tukevaan sekä alan osaajia ja investointeja houkuttelevaan maakuvatyöhön Suomen omilla vahvuuksilla.</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Toteutunut: #</w:t>
            </w:r>
            <w:proofErr w:type="spellStart"/>
            <w:r w:rsidRPr="00BA329C">
              <w:rPr>
                <w:sz w:val="20"/>
                <w:szCs w:val="22"/>
              </w:rPr>
              <w:t>Finlandworks</w:t>
            </w:r>
            <w:proofErr w:type="spellEnd"/>
            <w:r w:rsidRPr="00BA329C">
              <w:rPr>
                <w:sz w:val="20"/>
                <w:szCs w:val="22"/>
              </w:rPr>
              <w:t>-maakuvaviestintä</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Viennin- ja </w:t>
            </w:r>
            <w:proofErr w:type="spellStart"/>
            <w:r w:rsidRPr="00BA329C">
              <w:rPr>
                <w:sz w:val="20"/>
                <w:szCs w:val="22"/>
              </w:rPr>
              <w:t>kv</w:t>
            </w:r>
            <w:proofErr w:type="spellEnd"/>
            <w:r w:rsidRPr="00BA329C">
              <w:rPr>
                <w:sz w:val="20"/>
                <w:szCs w:val="22"/>
              </w:rPr>
              <w:t>-kasvun ohjelmassa.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UM, TEM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Luodaan toimintamallit ja sääntely tukemaan kansallista ja rajat ylittävää etätyötä sekä uuden työn ja alustatyön mahdollisuuksia.</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Työ2030-ohjelmassa.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STM, TEM</w:t>
            </w:r>
          </w:p>
        </w:tc>
      </w:tr>
    </w:tbl>
    <w:p w:rsidR="00A847B3" w:rsidRDefault="00A847B3" w:rsidP="00A847B3">
      <w:pPr>
        <w:pStyle w:val="Leipteksti"/>
        <w:ind w:left="0"/>
        <w:rPr>
          <w:sz w:val="22"/>
        </w:rPr>
      </w:pPr>
    </w:p>
    <w:p w:rsidR="00A847B3" w:rsidRDefault="00A847B3">
      <w:pPr>
        <w:tabs>
          <w:tab w:val="clear" w:pos="2608"/>
          <w:tab w:val="clear" w:pos="5670"/>
        </w:tabs>
        <w:rPr>
          <w:sz w:val="22"/>
        </w:rPr>
      </w:pPr>
      <w:r>
        <w:rPr>
          <w:sz w:val="22"/>
        </w:rPr>
        <w:br w:type="page"/>
      </w:r>
    </w:p>
    <w:p w:rsidR="00A847B3" w:rsidRPr="00A847B3" w:rsidRDefault="00A847B3" w:rsidP="00A847B3">
      <w:pPr>
        <w:pStyle w:val="Leipteksti"/>
        <w:ind w:left="0"/>
        <w:rPr>
          <w:b/>
          <w:sz w:val="22"/>
        </w:rPr>
      </w:pPr>
      <w:r w:rsidRPr="00A847B3">
        <w:rPr>
          <w:b/>
          <w:sz w:val="22"/>
        </w:rPr>
        <w:lastRenderedPageBreak/>
        <w:t xml:space="preserve">Liite 3. </w:t>
      </w:r>
      <w:r w:rsidRPr="00A847B3">
        <w:rPr>
          <w:sz w:val="22"/>
        </w:rPr>
        <w:t>Tavoite 3 - Vireillä olevat teknologianeuvottelukunnan esittämät toimenpide-ehdotukset (tilanne joulukuu 2021)</w:t>
      </w:r>
    </w:p>
    <w:tbl>
      <w:tblPr>
        <w:tblStyle w:val="Vaalearuudukkotaulukko1-korostus1"/>
        <w:tblW w:w="0" w:type="auto"/>
        <w:tblLook w:val="04A0" w:firstRow="1" w:lastRow="0" w:firstColumn="1" w:lastColumn="0" w:noHBand="0" w:noVBand="1"/>
        <w:tblCaption w:val="Liite 3. Tavoite 3 - Vireillä olevat teknologianeuvottelukunnan esittämät toimenpide-ehdotukset   "/>
      </w:tblPr>
      <w:tblGrid>
        <w:gridCol w:w="4962"/>
        <w:gridCol w:w="4666"/>
      </w:tblGrid>
      <w:tr w:rsidR="00A847B3" w:rsidRPr="00BA329C" w:rsidTr="003368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sz w:val="20"/>
                <w:szCs w:val="22"/>
              </w:rPr>
            </w:pPr>
            <w:r w:rsidRPr="00BA329C">
              <w:rPr>
                <w:sz w:val="20"/>
                <w:szCs w:val="22"/>
              </w:rPr>
              <w:t>Toimenpide</w:t>
            </w:r>
          </w:p>
        </w:tc>
        <w:tc>
          <w:tcPr>
            <w:tcW w:w="4666" w:type="dxa"/>
          </w:tcPr>
          <w:p w:rsidR="00A847B3" w:rsidRPr="00BA329C" w:rsidRDefault="00A847B3" w:rsidP="00336873">
            <w:pPr>
              <w:pStyle w:val="VMleipteksti"/>
              <w:ind w:left="0"/>
              <w:cnfStyle w:val="100000000000" w:firstRow="1" w:lastRow="0" w:firstColumn="0" w:lastColumn="0" w:oddVBand="0" w:evenVBand="0" w:oddHBand="0" w:evenHBand="0" w:firstRowFirstColumn="0" w:firstRowLastColumn="0" w:lastRowFirstColumn="0" w:lastRowLastColumn="0"/>
              <w:rPr>
                <w:sz w:val="20"/>
                <w:szCs w:val="22"/>
              </w:rPr>
            </w:pPr>
            <w:r w:rsidRPr="00BA329C">
              <w:rPr>
                <w:sz w:val="20"/>
                <w:szCs w:val="22"/>
              </w:rPr>
              <w:t>Vastuutaho</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Otetaan käyttöön elämäntilannelähtöisiä ja ennakoivia palveluita saumattomasti yli organisaatiorajojen.</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Valmistelussa hallinnon yleislainsäädäntöön tarvittavat säännökset automaattiseen päätöksentekoon, Aurora AI, </w:t>
            </w:r>
            <w:proofErr w:type="spellStart"/>
            <w:r w:rsidRPr="00BA329C">
              <w:rPr>
                <w:sz w:val="20"/>
                <w:szCs w:val="22"/>
              </w:rPr>
              <w:t>Sosiaali</w:t>
            </w:r>
            <w:proofErr w:type="spellEnd"/>
            <w:r w:rsidRPr="00BA329C">
              <w:rPr>
                <w:sz w:val="20"/>
                <w:szCs w:val="22"/>
              </w:rPr>
              <w:t xml:space="preserve">- ja terveydenhuollon tiedonhallinnan lainsäädännön kokonaisuudistus, Sosiaaliturvan uudistamisen parlamentaarisen </w:t>
            </w:r>
            <w:r w:rsidRPr="003D5890">
              <w:rPr>
                <w:sz w:val="20"/>
                <w:szCs w:val="22"/>
              </w:rPr>
              <w:t xml:space="preserve">komitean </w:t>
            </w:r>
            <w:r w:rsidRPr="00BA329C">
              <w:rPr>
                <w:sz w:val="20"/>
                <w:szCs w:val="22"/>
              </w:rPr>
              <w:t>digitalisaation hyödyntämiseen tähtäävä työskentely.</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STM, OM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Otetaan käyttöön automaatiota julkisen sektorin omissa prosesseissa sovelletaan avoimesti uusien teknologioiden mahdollisuuksia ja analytiikkaa toiminnan kehittämiseen.</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Digitaalisten palveluiden kehittäminen osana </w:t>
            </w:r>
            <w:proofErr w:type="spellStart"/>
            <w:r w:rsidRPr="00BA329C">
              <w:rPr>
                <w:sz w:val="20"/>
                <w:szCs w:val="22"/>
              </w:rPr>
              <w:t>sote</w:t>
            </w:r>
            <w:proofErr w:type="spellEnd"/>
            <w:r w:rsidRPr="00BA329C">
              <w:rPr>
                <w:sz w:val="20"/>
                <w:szCs w:val="22"/>
              </w:rPr>
              <w:t>-uudistusta. Tiedolla johtamisen ratkaisujen kehittäminen, Peltojen monitorointi hyödyntäen satelliittikuvia, paikkaan sidottuja kuvia ja niiden tekoälypohjaista analysointia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STM, MMM, sektoriministeriöt</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Varmistetaan, että digitaalinen yhteydenotto- ja asiointitapa on julkishallinnossa tosiasiallinen ensisijainen asiointimuoto niin</w:t>
            </w:r>
            <w:r>
              <w:rPr>
                <w:b w:val="0"/>
                <w:sz w:val="20"/>
                <w:szCs w:val="22"/>
              </w:rPr>
              <w:t xml:space="preserve"> </w:t>
            </w:r>
            <w:r w:rsidRPr="00BA329C">
              <w:rPr>
                <w:b w:val="0"/>
                <w:sz w:val="20"/>
                <w:szCs w:val="22"/>
              </w:rPr>
              <w:t>yksityishenkilöille kuin yrityksille.</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Hallitusohjelmassa ja vireillä palvelu- ja toimitilaverkkohankkeessa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TEM, STM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 xml:space="preserve">Kehitetään digitaalisen henkilöllisyyden käyttöön ottoa yksityishenkilöille ja yrityksille sekä sähköistä </w:t>
            </w:r>
            <w:proofErr w:type="spellStart"/>
            <w:r w:rsidRPr="00BA329C">
              <w:rPr>
                <w:b w:val="0"/>
                <w:sz w:val="20"/>
                <w:szCs w:val="22"/>
              </w:rPr>
              <w:t>tunnistautumista</w:t>
            </w:r>
            <w:proofErr w:type="spellEnd"/>
            <w:r w:rsidRPr="00BA329C">
              <w:rPr>
                <w:b w:val="0"/>
                <w:sz w:val="20"/>
                <w:szCs w:val="22"/>
              </w:rPr>
              <w:t xml:space="preserve"> yli rajojen.</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Digitaalisen henkilöllisyyden kehittämisen hanke</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LVM, SM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Otetaan käyttöön ihmislähtöiset tietojen hallinnointi- ja valtuutuspalvelut.</w:t>
            </w:r>
          </w:p>
        </w:tc>
        <w:tc>
          <w:tcPr>
            <w:tcW w:w="4666" w:type="dxa"/>
          </w:tcPr>
          <w:p w:rsidR="00A847B3" w:rsidRPr="00BA329C" w:rsidRDefault="00A847B3" w:rsidP="00336873">
            <w:pPr>
              <w:cnfStyle w:val="000000000000" w:firstRow="0" w:lastRow="0" w:firstColumn="0" w:lastColumn="0" w:oddVBand="0" w:evenVBand="0" w:oddHBand="0" w:evenHBand="0" w:firstRowFirstColumn="0" w:firstRowLastColumn="0" w:lastRowFirstColumn="0" w:lastRowLastColumn="0"/>
              <w:rPr>
                <w:sz w:val="20"/>
              </w:rPr>
            </w:pPr>
            <w:r w:rsidRPr="00BA329C">
              <w:rPr>
                <w:sz w:val="20"/>
              </w:rPr>
              <w:t>Toteutunut: Suomi.fi valtuutuspalvelut</w:t>
            </w:r>
          </w:p>
          <w:p w:rsidR="00A847B3" w:rsidRPr="00BA329C" w:rsidRDefault="00A847B3" w:rsidP="0033687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BA329C">
              <w:rPr>
                <w:sz w:val="20"/>
              </w:rPr>
              <w:t xml:space="preserve">Vireillä: Digitaalinen henkilöllisyys ja </w:t>
            </w:r>
            <w:proofErr w:type="spellStart"/>
            <w:r w:rsidRPr="00BA329C">
              <w:rPr>
                <w:sz w:val="20"/>
              </w:rPr>
              <w:t>eIDAS</w:t>
            </w:r>
            <w:proofErr w:type="spellEnd"/>
            <w:r w:rsidRPr="00BA329C">
              <w:rPr>
                <w:sz w:val="20"/>
              </w:rPr>
              <w:t xml:space="preserve"> 2.0 identiteettilompakko</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LVM, SM, TEM, OM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Rakennetaan edellytykset digitaalisen talousdatan hyödyntämisestä reaaliaikatalouden pohjana.</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Toteutus aloitettu: Yrityksen digitalous –hanke.</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Suomen kestävän kasvun ohjelma, </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TEM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 xml:space="preserve">Varmistetaan julkisen sektorin datan laadukkuus, käytettävyys ja </w:t>
            </w:r>
            <w:proofErr w:type="spellStart"/>
            <w:r w:rsidRPr="00BA329C">
              <w:rPr>
                <w:b w:val="0"/>
                <w:sz w:val="20"/>
                <w:szCs w:val="22"/>
              </w:rPr>
              <w:t>yhteentoimivuus</w:t>
            </w:r>
            <w:proofErr w:type="spellEnd"/>
            <w:r w:rsidRPr="00BA329C">
              <w:rPr>
                <w:b w:val="0"/>
                <w:sz w:val="20"/>
                <w:szCs w:val="22"/>
              </w:rPr>
              <w:t>.</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w:t>
            </w:r>
            <w:r w:rsidRPr="00BA329C">
              <w:rPr>
                <w:sz w:val="20"/>
              </w:rPr>
              <w:t xml:space="preserve">Tiedon avaamisen ja hyödyntämisen-hanke, Paikkatietoaineistot/INSPIRE-direktiivi, EU-peltolohkotiedot, Huoneistotiedot, </w:t>
            </w:r>
            <w:proofErr w:type="spellStart"/>
            <w:r w:rsidRPr="00BA329C">
              <w:rPr>
                <w:sz w:val="20"/>
              </w:rPr>
              <w:t>Sote</w:t>
            </w:r>
            <w:proofErr w:type="spellEnd"/>
            <w:r w:rsidRPr="00BA329C">
              <w:rPr>
                <w:sz w:val="20"/>
              </w:rPr>
              <w:t>-tiedon toissijaisen käytön lainsäädännön toimeenpano.</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MMM, STM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Suunnataan rahoitusta ja kehitetään toimintamalleja datan sektorirajat ylittävän hyödyntämisen ja ekosysteemikehityksen tueksi.</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w:t>
            </w:r>
            <w:proofErr w:type="spellStart"/>
            <w:r w:rsidRPr="00BA329C">
              <w:rPr>
                <w:sz w:val="20"/>
                <w:szCs w:val="22"/>
              </w:rPr>
              <w:t>Fintrafficin</w:t>
            </w:r>
            <w:proofErr w:type="spellEnd"/>
            <w:r w:rsidRPr="00BA329C">
              <w:rPr>
                <w:sz w:val="20"/>
                <w:szCs w:val="22"/>
              </w:rPr>
              <w:t xml:space="preserve"> liikenteen tietoekosysteemi,</w:t>
            </w:r>
            <w:r w:rsidRPr="00BA329C">
              <w:t xml:space="preserve"> </w:t>
            </w:r>
            <w:r w:rsidRPr="00BA329C">
              <w:rPr>
                <w:sz w:val="20"/>
                <w:szCs w:val="22"/>
              </w:rPr>
              <w:t>Ruokajärjestelmän data-avaruuden rakentaminen.</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LVM, VM, TEM, STM, UM, MMM ja OKM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962" w:type="dxa"/>
          </w:tcPr>
          <w:p w:rsidR="00A847B3" w:rsidRPr="00BA329C" w:rsidRDefault="00A847B3" w:rsidP="00336873">
            <w:pPr>
              <w:pStyle w:val="VMleipteksti"/>
              <w:ind w:left="0"/>
              <w:rPr>
                <w:b w:val="0"/>
                <w:sz w:val="20"/>
                <w:szCs w:val="22"/>
              </w:rPr>
            </w:pPr>
            <w:r w:rsidRPr="00BA329C">
              <w:rPr>
                <w:b w:val="0"/>
                <w:sz w:val="20"/>
                <w:szCs w:val="22"/>
              </w:rPr>
              <w:t>Varmistetaan korkea tietoturvan taso laajalti yhteiskunnassa.</w:t>
            </w:r>
          </w:p>
        </w:tc>
        <w:tc>
          <w:tcPr>
            <w:tcW w:w="4666"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Päätös toteutuksesta: Valtioneuvoston periaatepäätös tietoturvan ja tietosuojan parantamiseksi yhteiskunnan kriittisillä toimialoilla</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Kyberturvallisuuden kehittämisohjelma, Elintarvikeketjun kyberturvallisuus –hanke.</w:t>
            </w:r>
          </w:p>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Vastuuministeriönä LVM, VM, UM</w:t>
            </w:r>
          </w:p>
        </w:tc>
      </w:tr>
    </w:tbl>
    <w:p w:rsidR="00A847B3" w:rsidRDefault="00A847B3" w:rsidP="00A847B3">
      <w:pPr>
        <w:pStyle w:val="Leipteksti"/>
        <w:ind w:left="0"/>
        <w:rPr>
          <w:sz w:val="22"/>
        </w:rPr>
      </w:pPr>
    </w:p>
    <w:p w:rsidR="00A847B3" w:rsidRDefault="00A847B3" w:rsidP="00A847B3">
      <w:pPr>
        <w:pStyle w:val="Leipteksti"/>
      </w:pPr>
      <w:r>
        <w:br w:type="page"/>
      </w:r>
    </w:p>
    <w:p w:rsidR="00A847B3" w:rsidRPr="00A847B3" w:rsidRDefault="00A847B3" w:rsidP="00A847B3">
      <w:pPr>
        <w:pStyle w:val="Leipteksti"/>
        <w:ind w:left="0"/>
        <w:rPr>
          <w:b/>
          <w:sz w:val="22"/>
        </w:rPr>
      </w:pPr>
      <w:r w:rsidRPr="00A847B3">
        <w:rPr>
          <w:b/>
          <w:sz w:val="22"/>
        </w:rPr>
        <w:lastRenderedPageBreak/>
        <w:t xml:space="preserve">Liite 4. </w:t>
      </w:r>
      <w:r w:rsidRPr="00A847B3">
        <w:rPr>
          <w:sz w:val="22"/>
        </w:rPr>
        <w:t>Tavoite 4 - Vireillä olevat teknologianeuvottelukunnan esittämät toimenpide-ehdotukset (tilanne joulukuu 2021)</w:t>
      </w:r>
    </w:p>
    <w:tbl>
      <w:tblPr>
        <w:tblStyle w:val="Vaalearuudukkotaulukko1-korostus1"/>
        <w:tblW w:w="0" w:type="auto"/>
        <w:tblLook w:val="04A0" w:firstRow="1" w:lastRow="0" w:firstColumn="1" w:lastColumn="0" w:noHBand="0" w:noVBand="1"/>
        <w:tblCaption w:val="Liite 4. Tavoite 4 - Vireillä olevat teknologianeuvottelukunnan esittämät toimenpide-ehdotukset       "/>
      </w:tblPr>
      <w:tblGrid>
        <w:gridCol w:w="4814"/>
        <w:gridCol w:w="4814"/>
      </w:tblGrid>
      <w:tr w:rsidR="00A847B3" w:rsidRPr="00BA329C" w:rsidTr="003368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4" w:type="dxa"/>
          </w:tcPr>
          <w:p w:rsidR="00A847B3" w:rsidRPr="00BA329C" w:rsidRDefault="00A847B3" w:rsidP="00336873">
            <w:pPr>
              <w:rPr>
                <w:sz w:val="20"/>
                <w:szCs w:val="22"/>
              </w:rPr>
            </w:pPr>
            <w:r w:rsidRPr="00BA329C">
              <w:rPr>
                <w:sz w:val="20"/>
                <w:szCs w:val="22"/>
              </w:rPr>
              <w:t>Toimenpide</w:t>
            </w:r>
          </w:p>
        </w:tc>
        <w:tc>
          <w:tcPr>
            <w:tcW w:w="4814" w:type="dxa"/>
          </w:tcPr>
          <w:p w:rsidR="00A847B3" w:rsidRPr="00BA329C" w:rsidRDefault="00A847B3" w:rsidP="00336873">
            <w:pPr>
              <w:cnfStyle w:val="100000000000" w:firstRow="1" w:lastRow="0" w:firstColumn="0" w:lastColumn="0" w:oddVBand="0" w:evenVBand="0" w:oddHBand="0" w:evenHBand="0" w:firstRowFirstColumn="0" w:firstRowLastColumn="0" w:lastRowFirstColumn="0" w:lastRowLastColumn="0"/>
              <w:rPr>
                <w:sz w:val="20"/>
                <w:szCs w:val="22"/>
              </w:rPr>
            </w:pPr>
            <w:r w:rsidRPr="00BA329C">
              <w:rPr>
                <w:sz w:val="20"/>
                <w:szCs w:val="22"/>
              </w:rPr>
              <w:t>Vastuutaho</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814" w:type="dxa"/>
          </w:tcPr>
          <w:p w:rsidR="00A847B3" w:rsidRPr="00BA329C" w:rsidRDefault="00A847B3" w:rsidP="00336873">
            <w:pPr>
              <w:rPr>
                <w:b w:val="0"/>
                <w:sz w:val="20"/>
                <w:szCs w:val="22"/>
              </w:rPr>
            </w:pPr>
            <w:r w:rsidRPr="00BA329C">
              <w:rPr>
                <w:b w:val="0"/>
                <w:sz w:val="20"/>
              </w:rPr>
              <w:t>Kohdennetaan vuosina 2021–2030 julkisia panostuksia nouseviin teknologia-alueisiin.</w:t>
            </w:r>
          </w:p>
        </w:tc>
        <w:tc>
          <w:tcPr>
            <w:tcW w:w="4814" w:type="dxa"/>
          </w:tcPr>
          <w:p w:rsidR="00A847B3" w:rsidRPr="00BA329C" w:rsidRDefault="00A847B3" w:rsidP="00336873">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Terveysalan TKI kasvustrategian </w:t>
            </w:r>
            <w:proofErr w:type="spellStart"/>
            <w:r w:rsidRPr="00BA329C">
              <w:rPr>
                <w:sz w:val="20"/>
                <w:szCs w:val="22"/>
              </w:rPr>
              <w:t>toimeenpan</w:t>
            </w:r>
            <w:proofErr w:type="spellEnd"/>
            <w:r w:rsidRPr="00BA329C">
              <w:rPr>
                <w:sz w:val="20"/>
                <w:szCs w:val="22"/>
              </w:rPr>
              <w:t>.</w:t>
            </w:r>
          </w:p>
          <w:p w:rsidR="00A847B3" w:rsidRPr="00BA329C" w:rsidRDefault="00A847B3" w:rsidP="00336873">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seuraavien teknologia-alueiden edistäminen eri ohjelmissa: Tekoäly, seuraavan sukupolven ruokateknologia, Health Tech, Pharma Tech, Hiilineutraali energia ja energian varastointi, Autonomista liikennettä tukeva paikkatietotekniikan tutkimus.</w:t>
            </w:r>
          </w:p>
          <w:p w:rsidR="00A847B3" w:rsidRPr="00BA329C" w:rsidRDefault="00A847B3" w:rsidP="00336873">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ainakin STM, TEM, OKM, MMM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814" w:type="dxa"/>
          </w:tcPr>
          <w:p w:rsidR="00A847B3" w:rsidRPr="00BA329C" w:rsidRDefault="00A847B3" w:rsidP="00336873">
            <w:pPr>
              <w:rPr>
                <w:b w:val="0"/>
                <w:sz w:val="20"/>
                <w:szCs w:val="22"/>
              </w:rPr>
            </w:pPr>
            <w:r w:rsidRPr="00BA329C">
              <w:rPr>
                <w:b w:val="0"/>
                <w:sz w:val="20"/>
                <w:szCs w:val="22"/>
              </w:rPr>
              <w:t xml:space="preserve">Hyödynnetään tietoa ja teknologiakehitystä varmistamaan Suomen </w:t>
            </w:r>
            <w:proofErr w:type="spellStart"/>
            <w:r w:rsidRPr="00BA329C">
              <w:rPr>
                <w:b w:val="0"/>
                <w:sz w:val="20"/>
                <w:szCs w:val="22"/>
              </w:rPr>
              <w:t>edelläkävijyys</w:t>
            </w:r>
            <w:proofErr w:type="spellEnd"/>
            <w:r w:rsidRPr="00BA329C">
              <w:rPr>
                <w:b w:val="0"/>
                <w:sz w:val="20"/>
                <w:szCs w:val="22"/>
              </w:rPr>
              <w:t xml:space="preserve"> teollisuuden ja ICT-alan hiilineutraaliudessa ja kiertotalousratkaisuissa.</w:t>
            </w:r>
          </w:p>
        </w:tc>
        <w:tc>
          <w:tcPr>
            <w:tcW w:w="4814" w:type="dxa"/>
          </w:tcPr>
          <w:p w:rsidR="00A847B3" w:rsidRPr="00BA329C" w:rsidRDefault="00A847B3" w:rsidP="00336873">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Vireillä: Suomen kiertotalouden strategisessa ohjelmassa ja osana ICT ilmastostrategiaa.</w:t>
            </w:r>
          </w:p>
          <w:p w:rsidR="00A847B3" w:rsidRPr="00BA329C" w:rsidRDefault="00A847B3" w:rsidP="00336873">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LVM, VM, YM, TEM, UM</w:t>
            </w:r>
          </w:p>
        </w:tc>
      </w:tr>
      <w:tr w:rsidR="00A847B3" w:rsidRPr="00BA329C" w:rsidTr="00336873">
        <w:tc>
          <w:tcPr>
            <w:cnfStyle w:val="001000000000" w:firstRow="0" w:lastRow="0" w:firstColumn="1" w:lastColumn="0" w:oddVBand="0" w:evenVBand="0" w:oddHBand="0" w:evenHBand="0" w:firstRowFirstColumn="0" w:firstRowLastColumn="0" w:lastRowFirstColumn="0" w:lastRowLastColumn="0"/>
            <w:tcW w:w="4814" w:type="dxa"/>
          </w:tcPr>
          <w:p w:rsidR="00A847B3" w:rsidRPr="00BA329C" w:rsidRDefault="00A847B3" w:rsidP="00336873">
            <w:pPr>
              <w:rPr>
                <w:b w:val="0"/>
                <w:sz w:val="20"/>
                <w:szCs w:val="22"/>
              </w:rPr>
            </w:pPr>
            <w:r w:rsidRPr="00BA329C">
              <w:rPr>
                <w:b w:val="0"/>
                <w:sz w:val="20"/>
                <w:szCs w:val="22"/>
              </w:rPr>
              <w:t xml:space="preserve">Rakennetaan datapohja ilmasto- ja ympäristötilannekuvan seurantaan </w:t>
            </w:r>
            <w:r w:rsidRPr="00BA329C">
              <w:rPr>
                <w:b w:val="0"/>
                <w:sz w:val="20"/>
              </w:rPr>
              <w:t xml:space="preserve">laajaa tutkimusinfrastruktuuria hyödyntämällä </w:t>
            </w:r>
            <w:r w:rsidRPr="00BA329C">
              <w:rPr>
                <w:b w:val="0"/>
                <w:sz w:val="20"/>
                <w:szCs w:val="22"/>
              </w:rPr>
              <w:t>ja varmistetaan julkisten palvelujen kestävä digitalisaatio.</w:t>
            </w:r>
          </w:p>
        </w:tc>
        <w:tc>
          <w:tcPr>
            <w:tcW w:w="4814" w:type="dxa"/>
          </w:tcPr>
          <w:p w:rsidR="00A847B3" w:rsidRPr="00BA329C" w:rsidRDefault="00A847B3" w:rsidP="00336873">
            <w:pPr>
              <w:pStyle w:val="VMleipteksti"/>
              <w:ind w:left="0"/>
              <w:cnfStyle w:val="000000000000" w:firstRow="0" w:lastRow="0" w:firstColumn="0" w:lastColumn="0" w:oddVBand="0" w:evenVBand="0" w:oddHBand="0" w:evenHBand="0" w:firstRowFirstColumn="0" w:firstRowLastColumn="0" w:lastRowFirstColumn="0" w:lastRowLastColumn="0"/>
              <w:rPr>
                <w:sz w:val="20"/>
              </w:rPr>
            </w:pPr>
            <w:r w:rsidRPr="00BA329C">
              <w:rPr>
                <w:sz w:val="20"/>
              </w:rPr>
              <w:t>Vireillä: VN TEAS Julkisten palveluiden kestävä digitalisaatio: ilmasto- ja ympäristövaikutukset.</w:t>
            </w:r>
          </w:p>
          <w:p w:rsidR="00A847B3" w:rsidRPr="00BA329C" w:rsidRDefault="00A847B3" w:rsidP="00336873">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VM, YM, OKM ja MMM</w:t>
            </w:r>
          </w:p>
        </w:tc>
      </w:tr>
      <w:tr w:rsidR="00A847B3" w:rsidRPr="005B12F2" w:rsidTr="00336873">
        <w:tc>
          <w:tcPr>
            <w:cnfStyle w:val="001000000000" w:firstRow="0" w:lastRow="0" w:firstColumn="1" w:lastColumn="0" w:oddVBand="0" w:evenVBand="0" w:oddHBand="0" w:evenHBand="0" w:firstRowFirstColumn="0" w:firstRowLastColumn="0" w:lastRowFirstColumn="0" w:lastRowLastColumn="0"/>
            <w:tcW w:w="4814" w:type="dxa"/>
          </w:tcPr>
          <w:p w:rsidR="00A847B3" w:rsidRPr="00BA329C" w:rsidRDefault="00A847B3" w:rsidP="00336873">
            <w:pPr>
              <w:rPr>
                <w:b w:val="0"/>
                <w:sz w:val="20"/>
                <w:szCs w:val="22"/>
              </w:rPr>
            </w:pPr>
            <w:r w:rsidRPr="00BA329C">
              <w:rPr>
                <w:b w:val="0"/>
                <w:sz w:val="20"/>
                <w:szCs w:val="22"/>
              </w:rPr>
              <w:t>Varmistetaan digitaalisen perustan vastaaminen huoltovarmuuden tarpeisiin sekä kyvykkyys uusien teknologioiden hyödyntämiseen osana</w:t>
            </w:r>
          </w:p>
          <w:p w:rsidR="00A847B3" w:rsidRPr="00BA329C" w:rsidRDefault="00A847B3" w:rsidP="00336873">
            <w:pPr>
              <w:rPr>
                <w:b w:val="0"/>
                <w:sz w:val="20"/>
                <w:szCs w:val="22"/>
              </w:rPr>
            </w:pPr>
            <w:r w:rsidRPr="00BA329C">
              <w:rPr>
                <w:b w:val="0"/>
                <w:sz w:val="20"/>
                <w:szCs w:val="22"/>
              </w:rPr>
              <w:t>huoltovarmuutta.</w:t>
            </w:r>
          </w:p>
        </w:tc>
        <w:tc>
          <w:tcPr>
            <w:tcW w:w="4814" w:type="dxa"/>
          </w:tcPr>
          <w:p w:rsidR="00A847B3" w:rsidRPr="00BA329C" w:rsidRDefault="00A847B3" w:rsidP="00336873">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 xml:space="preserve">Vireillä: </w:t>
            </w:r>
            <w:proofErr w:type="spellStart"/>
            <w:r w:rsidRPr="00BA329C">
              <w:rPr>
                <w:sz w:val="20"/>
                <w:szCs w:val="22"/>
              </w:rPr>
              <w:t>HVK:ssa</w:t>
            </w:r>
            <w:proofErr w:type="spellEnd"/>
            <w:r w:rsidRPr="00BA329C">
              <w:rPr>
                <w:sz w:val="20"/>
                <w:szCs w:val="22"/>
              </w:rPr>
              <w:t xml:space="preserve"> ohjelmatyö meneillään: Energia 2030, Digitaalinen turvallisuus 2030, Logistiikka 2030, Alue 2030.</w:t>
            </w:r>
          </w:p>
          <w:p w:rsidR="00A847B3" w:rsidRPr="005B12F2" w:rsidRDefault="00A847B3" w:rsidP="00336873">
            <w:pPr>
              <w:cnfStyle w:val="000000000000" w:firstRow="0" w:lastRow="0" w:firstColumn="0" w:lastColumn="0" w:oddVBand="0" w:evenVBand="0" w:oddHBand="0" w:evenHBand="0" w:firstRowFirstColumn="0" w:firstRowLastColumn="0" w:lastRowFirstColumn="0" w:lastRowLastColumn="0"/>
              <w:rPr>
                <w:sz w:val="20"/>
                <w:szCs w:val="22"/>
              </w:rPr>
            </w:pPr>
            <w:r w:rsidRPr="00BA329C">
              <w:rPr>
                <w:sz w:val="20"/>
                <w:szCs w:val="22"/>
              </w:rPr>
              <w:t>Vastuuministeriöinä TEM, LVM, UM, SM,</w:t>
            </w:r>
          </w:p>
        </w:tc>
      </w:tr>
    </w:tbl>
    <w:p w:rsidR="00A847B3" w:rsidRPr="00A847B3" w:rsidRDefault="00A847B3" w:rsidP="00A847B3">
      <w:pPr>
        <w:pStyle w:val="Leipteksti"/>
        <w:ind w:left="0"/>
        <w:rPr>
          <w:sz w:val="22"/>
        </w:rPr>
      </w:pPr>
    </w:p>
    <w:sectPr w:rsidR="00A847B3" w:rsidRPr="00A847B3" w:rsidSect="00A847B3">
      <w:headerReference w:type="default" r:id="rId16"/>
      <w:headerReference w:type="first" r:id="rId17"/>
      <w:footerReference w:type="first" r:id="rId18"/>
      <w:pgSz w:w="11906" w:h="16838" w:code="9"/>
      <w:pgMar w:top="1134"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E3" w:rsidRDefault="00D953E3" w:rsidP="00AC7BC5">
      <w:r>
        <w:separator/>
      </w:r>
    </w:p>
    <w:p w:rsidR="00D953E3" w:rsidRDefault="00D953E3"/>
    <w:p w:rsidR="00D953E3" w:rsidRDefault="00D953E3"/>
  </w:endnote>
  <w:endnote w:type="continuationSeparator" w:id="0">
    <w:p w:rsidR="00D953E3" w:rsidRDefault="00D953E3" w:rsidP="00AC7BC5">
      <w:r>
        <w:continuationSeparator/>
      </w:r>
    </w:p>
    <w:p w:rsidR="00D953E3" w:rsidRDefault="00D953E3"/>
    <w:p w:rsidR="00D953E3" w:rsidRDefault="00D95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D" w:rsidRPr="00287385" w:rsidRDefault="00BF430D" w:rsidP="00287385">
    <w:pPr>
      <w:pStyle w:val="Alatunniste"/>
    </w:pPr>
  </w:p>
  <w:p w:rsidR="009939B4" w:rsidRPr="00287385" w:rsidRDefault="009939B4" w:rsidP="002873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E3" w:rsidRDefault="00D953E3" w:rsidP="00AC7BC5">
      <w:r>
        <w:separator/>
      </w:r>
    </w:p>
    <w:p w:rsidR="00D953E3" w:rsidRDefault="00D953E3"/>
    <w:p w:rsidR="00D953E3" w:rsidRDefault="00D953E3"/>
  </w:footnote>
  <w:footnote w:type="continuationSeparator" w:id="0">
    <w:p w:rsidR="00D953E3" w:rsidRDefault="00D953E3" w:rsidP="00AC7BC5">
      <w:r>
        <w:continuationSeparator/>
      </w:r>
    </w:p>
    <w:p w:rsidR="00D953E3" w:rsidRDefault="00D953E3"/>
    <w:p w:rsidR="00D953E3" w:rsidRDefault="00D953E3"/>
  </w:footnote>
  <w:footnote w:id="1">
    <w:p w:rsidR="004B2B85" w:rsidRPr="003D5890" w:rsidRDefault="004B2B85" w:rsidP="004B2B85">
      <w:pPr>
        <w:pStyle w:val="Alaviitteenteksti"/>
        <w:rPr>
          <w:rFonts w:ascii="Arial" w:hAnsi="Arial" w:cs="Arial"/>
          <w:sz w:val="16"/>
          <w:szCs w:val="16"/>
        </w:rPr>
      </w:pPr>
      <w:r w:rsidRPr="003D5890">
        <w:rPr>
          <w:rStyle w:val="Alaviitteenviite"/>
          <w:rFonts w:ascii="Arial" w:hAnsi="Arial" w:cs="Arial"/>
          <w:sz w:val="16"/>
          <w:szCs w:val="16"/>
        </w:rPr>
        <w:footnoteRef/>
      </w:r>
      <w:r w:rsidRPr="003D5890">
        <w:rPr>
          <w:rFonts w:ascii="Arial" w:hAnsi="Arial" w:cs="Arial"/>
          <w:sz w:val="16"/>
          <w:szCs w:val="16"/>
        </w:rPr>
        <w:t xml:space="preserve"> </w:t>
      </w:r>
      <w:hyperlink r:id="rId1" w:history="1">
        <w:r w:rsidRPr="003D5890">
          <w:rPr>
            <w:rStyle w:val="Hyperlinkki"/>
            <w:rFonts w:ascii="Arial" w:hAnsi="Arial" w:cs="Arial"/>
            <w:sz w:val="16"/>
            <w:szCs w:val="16"/>
          </w:rPr>
          <w:t>Suomen teknologiapolitiikka 2020-luvulla – Teknologialla ja tiedolla maailman kärkeen</w:t>
        </w:r>
      </w:hyperlink>
    </w:p>
  </w:footnote>
  <w:footnote w:id="2">
    <w:p w:rsidR="004B2B85" w:rsidRPr="00E409CE" w:rsidRDefault="004B2B85" w:rsidP="004B2B85">
      <w:pPr>
        <w:pStyle w:val="Alaviitteenteksti"/>
        <w:rPr>
          <w:rFonts w:ascii="Arial" w:hAnsi="Arial" w:cs="Arial"/>
          <w:sz w:val="16"/>
          <w:szCs w:val="16"/>
        </w:rPr>
      </w:pPr>
      <w:r w:rsidRPr="00E409CE">
        <w:rPr>
          <w:rStyle w:val="Alaviitteenviite"/>
          <w:rFonts w:ascii="Arial" w:hAnsi="Arial" w:cs="Arial"/>
          <w:sz w:val="16"/>
          <w:szCs w:val="16"/>
        </w:rPr>
        <w:footnoteRef/>
      </w:r>
      <w:r w:rsidR="00330236">
        <w:rPr>
          <w:rFonts w:ascii="Arial" w:hAnsi="Arial" w:cs="Arial"/>
          <w:sz w:val="16"/>
          <w:szCs w:val="16"/>
        </w:rPr>
        <w:t xml:space="preserve"> Esimerkiksi</w:t>
      </w:r>
      <w:r w:rsidRPr="00E409CE">
        <w:rPr>
          <w:rFonts w:ascii="Arial" w:hAnsi="Arial" w:cs="Arial"/>
          <w:sz w:val="16"/>
          <w:szCs w:val="16"/>
        </w:rPr>
        <w:t xml:space="preserve"> Suomen kestävän kasvun ohjelman täytäntöönpano, parlamentaarisen TKI-työryhmän työ, TKI</w:t>
      </w:r>
      <w:r w:rsidR="00E409CE">
        <w:rPr>
          <w:rFonts w:ascii="Arial" w:hAnsi="Arial" w:cs="Arial"/>
          <w:sz w:val="16"/>
          <w:szCs w:val="16"/>
        </w:rPr>
        <w:t xml:space="preserve">-tiekartta, kestävyystiekartta, </w:t>
      </w:r>
      <w:r w:rsidRPr="003D5890">
        <w:rPr>
          <w:rFonts w:ascii="Arial" w:hAnsi="Arial" w:cs="Arial"/>
          <w:sz w:val="16"/>
          <w:szCs w:val="16"/>
        </w:rPr>
        <w:t>Suomen digitaalinen kompassi, viennin</w:t>
      </w:r>
      <w:r w:rsidRPr="00E409CE">
        <w:rPr>
          <w:rFonts w:ascii="Arial" w:hAnsi="Arial" w:cs="Arial"/>
          <w:sz w:val="16"/>
          <w:szCs w:val="16"/>
        </w:rPr>
        <w:t>- ja kansainvälisen kasvun ohjelma, uudistuvan teollisuuden strategia, yrittäjyysstrategia, valtioneuvoston periaatepäätökset tietoturvan ja tietosuojan parantamiseksi yhteiskunnan kriittisillä toimialoilla ja kyberturvallisuuden kehittämisohjelmasta, kiertotalouden strateginen ohjelma, koulutuspoliittinen selonteko, teollisuuden vähähiilitiekartat ja parlamentaarinen Veikkauksen kompensaatioita miettivä työryhmä</w:t>
      </w:r>
    </w:p>
  </w:footnote>
  <w:footnote w:id="3">
    <w:p w:rsidR="00177539" w:rsidRPr="00B81B4A" w:rsidRDefault="00177539" w:rsidP="00177539">
      <w:pPr>
        <w:pStyle w:val="Alaviitteenteksti"/>
        <w:rPr>
          <w:rFonts w:ascii="Arial" w:hAnsi="Arial" w:cs="Arial"/>
          <w:sz w:val="16"/>
          <w:szCs w:val="16"/>
        </w:rPr>
      </w:pPr>
      <w:r w:rsidRPr="00B81B4A">
        <w:rPr>
          <w:rStyle w:val="Alaviitteenviite"/>
          <w:rFonts w:ascii="Arial" w:hAnsi="Arial" w:cs="Arial"/>
          <w:sz w:val="16"/>
          <w:szCs w:val="16"/>
        </w:rPr>
        <w:footnoteRef/>
      </w:r>
      <w:r w:rsidRPr="00B81B4A">
        <w:rPr>
          <w:rFonts w:ascii="Arial" w:hAnsi="Arial" w:cs="Arial"/>
          <w:sz w:val="16"/>
          <w:szCs w:val="16"/>
        </w:rPr>
        <w:t xml:space="preserve"> Teknologianeuvottelukunnan raportissa on esitetty 42 toimenpide-ehdotusta, jotka edistävät asetettujen tavoitteiden saavuttamista </w:t>
      </w:r>
      <w:hyperlink r:id="rId2" w:history="1">
        <w:r w:rsidRPr="00B81B4A">
          <w:rPr>
            <w:rStyle w:val="Hyperlinkki"/>
            <w:rFonts w:ascii="Arial" w:hAnsi="Arial" w:cs="Arial"/>
            <w:sz w:val="16"/>
            <w:szCs w:val="16"/>
          </w:rPr>
          <w:t>Suomen teknologiapolitiikka 2020-luvulla : Teknologialla ja tiedolla maailman kärkeen - Valto (valtioneuvosto.fi)</w:t>
        </w:r>
      </w:hyperlink>
    </w:p>
  </w:footnote>
  <w:footnote w:id="4">
    <w:p w:rsidR="00C12F9B" w:rsidRPr="00E409CE" w:rsidRDefault="00C12F9B" w:rsidP="00C12F9B">
      <w:pPr>
        <w:pStyle w:val="Alaviitteenteksti"/>
        <w:rPr>
          <w:rFonts w:ascii="Arial" w:hAnsi="Arial" w:cs="Arial"/>
          <w:sz w:val="16"/>
          <w:szCs w:val="16"/>
        </w:rPr>
      </w:pPr>
      <w:r w:rsidRPr="00E409CE">
        <w:rPr>
          <w:rStyle w:val="Alaviitteenviite"/>
          <w:rFonts w:ascii="Arial" w:hAnsi="Arial" w:cs="Arial"/>
          <w:sz w:val="16"/>
          <w:szCs w:val="16"/>
        </w:rPr>
        <w:footnoteRef/>
      </w:r>
      <w:r w:rsidRPr="00E409CE">
        <w:rPr>
          <w:rFonts w:ascii="Arial" w:hAnsi="Arial" w:cs="Arial"/>
          <w:sz w:val="16"/>
          <w:szCs w:val="16"/>
        </w:rPr>
        <w:t xml:space="preserve"> </w:t>
      </w:r>
      <w:hyperlink r:id="rId3" w:history="1">
        <w:r w:rsidRPr="00E409CE">
          <w:rPr>
            <w:rStyle w:val="Hyperlinkki"/>
            <w:rFonts w:ascii="Arial" w:hAnsi="Arial" w:cs="Arial"/>
            <w:sz w:val="16"/>
            <w:szCs w:val="16"/>
          </w:rPr>
          <w:t>Parlamentaarisen TKI-työryhmän loppuraportti</w:t>
        </w:r>
      </w:hyperlink>
      <w:r w:rsidRPr="00E409CE">
        <w:rPr>
          <w:rFonts w:ascii="Arial" w:hAnsi="Arial" w:cs="Arial"/>
          <w:sz w:val="16"/>
          <w:szCs w:val="16"/>
        </w:rPr>
        <w:t>, 2021</w:t>
      </w:r>
    </w:p>
  </w:footnote>
  <w:footnote w:id="5">
    <w:p w:rsidR="00C12F9B" w:rsidRPr="00E409CE" w:rsidRDefault="00C12F9B" w:rsidP="00C12F9B">
      <w:pPr>
        <w:pStyle w:val="Alaviitteenteksti"/>
        <w:rPr>
          <w:rFonts w:ascii="Arial" w:hAnsi="Arial" w:cs="Arial"/>
          <w:sz w:val="16"/>
          <w:szCs w:val="16"/>
        </w:rPr>
      </w:pPr>
      <w:r w:rsidRPr="00E409CE">
        <w:rPr>
          <w:rStyle w:val="Alaviitteenviite"/>
          <w:rFonts w:ascii="Arial" w:hAnsi="Arial" w:cs="Arial"/>
          <w:sz w:val="16"/>
          <w:szCs w:val="16"/>
        </w:rPr>
        <w:footnoteRef/>
      </w:r>
      <w:r w:rsidRPr="00E409CE">
        <w:rPr>
          <w:rFonts w:ascii="Arial" w:hAnsi="Arial" w:cs="Arial"/>
          <w:sz w:val="16"/>
          <w:szCs w:val="16"/>
        </w:rPr>
        <w:t xml:space="preserve"> Panostukset osaajiin ja osaamisen kehittämiseen on nostettu myös työ- ja elinkeinoministeriön toteuttamassa selvityksessä keväällä 2021. </w:t>
      </w:r>
      <w:hyperlink r:id="rId4" w:history="1">
        <w:r w:rsidRPr="00E409CE">
          <w:rPr>
            <w:rStyle w:val="Hyperlinkki"/>
            <w:rFonts w:ascii="Arial" w:hAnsi="Arial" w:cs="Arial"/>
            <w:sz w:val="16"/>
            <w:szCs w:val="16"/>
          </w:rPr>
          <w:t xml:space="preserve">Kestävä talouskasvu ja hyvinvointimme tulevaisuus </w:t>
        </w:r>
      </w:hyperlink>
      <w:r w:rsidRPr="00E409CE">
        <w:rPr>
          <w:rFonts w:ascii="Arial" w:hAnsi="Arial" w:cs="Arial"/>
          <w:sz w:val="16"/>
          <w:szCs w:val="16"/>
        </w:rPr>
        <w:t xml:space="preserve"> s. 66-74</w:t>
      </w:r>
    </w:p>
  </w:footnote>
  <w:footnote w:id="6">
    <w:p w:rsidR="00C12F9B" w:rsidRPr="00374D7D" w:rsidRDefault="00C12F9B" w:rsidP="00C12F9B">
      <w:pPr>
        <w:rPr>
          <w:sz w:val="16"/>
        </w:rPr>
      </w:pPr>
      <w:r w:rsidRPr="00E409CE">
        <w:rPr>
          <w:rStyle w:val="Alaviitteenviite"/>
          <w:rFonts w:ascii="Arial" w:hAnsi="Arial" w:cs="Arial"/>
          <w:sz w:val="16"/>
          <w:szCs w:val="16"/>
        </w:rPr>
        <w:footnoteRef/>
      </w:r>
      <w:r w:rsidRPr="00E409CE">
        <w:rPr>
          <w:rFonts w:ascii="Arial" w:hAnsi="Arial" w:cs="Arial"/>
          <w:sz w:val="16"/>
          <w:szCs w:val="16"/>
        </w:rPr>
        <w:t xml:space="preserve"> Digitaalisella pehmeällä infrastruktuurilla tarkoitetaan digitaalisiin palveluihin ja järjestelmiin liittyvää infrastruktuuria, kuten instituutioita, palveluja, standardoituja määrittelyjä ja sopimuksia. Pehmeä digitaalinen infrastruktuuri, kuten luottamusinfrastruktuuri ja rajapinnat, on edellytys niin julkishallinnon kuin teollisuuden datan hyödyntämiselle sekä digitalisaation ja automaation etenemiselle. Pehmeä infrastruktuuri luo toimintaympäristön, jossa k</w:t>
      </w:r>
      <w:r w:rsidRPr="00E409CE">
        <w:rPr>
          <w:rFonts w:ascii="Arial" w:hAnsi="Arial" w:cs="Arial"/>
          <w:sz w:val="16"/>
          <w:szCs w:val="16"/>
          <w:shd w:val="clear" w:color="auto" w:fill="FFFFFF"/>
        </w:rPr>
        <w:t xml:space="preserve">aikki toimijat voivat rakentaa oman digitaalisen toimintansa saman perustan päälle sen sijaan, että toteuttaisivat sen itse ja taistelisivat vielä </w:t>
      </w:r>
      <w:proofErr w:type="spellStart"/>
      <w:r w:rsidRPr="00E409CE">
        <w:rPr>
          <w:rFonts w:ascii="Arial" w:hAnsi="Arial" w:cs="Arial"/>
          <w:sz w:val="16"/>
          <w:szCs w:val="16"/>
          <w:shd w:val="clear" w:color="auto" w:fill="FFFFFF"/>
        </w:rPr>
        <w:t>yhteentoimivuushaasteiden</w:t>
      </w:r>
      <w:proofErr w:type="spellEnd"/>
      <w:r w:rsidRPr="00E409CE">
        <w:rPr>
          <w:rFonts w:ascii="Arial" w:hAnsi="Arial" w:cs="Arial"/>
          <w:sz w:val="16"/>
          <w:szCs w:val="16"/>
          <w:shd w:val="clear" w:color="auto" w:fill="FFFFFF"/>
        </w:rPr>
        <w:t xml:space="preserve"> kanssa.</w:t>
      </w:r>
    </w:p>
  </w:footnote>
  <w:footnote w:id="7">
    <w:p w:rsidR="00A847B3" w:rsidRPr="007D4CE4" w:rsidRDefault="00A847B3" w:rsidP="00A847B3">
      <w:pPr>
        <w:pStyle w:val="Alaviitteenteksti"/>
        <w:rPr>
          <w:rFonts w:ascii="Arial" w:hAnsi="Arial" w:cs="Arial"/>
        </w:rPr>
      </w:pPr>
      <w:r w:rsidRPr="007D4CE4">
        <w:rPr>
          <w:rStyle w:val="Alaviitteenviite"/>
          <w:rFonts w:ascii="Arial" w:hAnsi="Arial" w:cs="Arial"/>
          <w:sz w:val="16"/>
        </w:rPr>
        <w:footnoteRef/>
      </w:r>
      <w:r w:rsidRPr="007D4CE4">
        <w:rPr>
          <w:rFonts w:ascii="Arial" w:hAnsi="Arial" w:cs="Arial"/>
          <w:sz w:val="16"/>
        </w:rPr>
        <w:t xml:space="preserve"> Periaatepäätöksen liitteissä on listattu eri ministeriöissä aiemmin käynnistetyt toimet, joita on ehdotettu myös teknologianeuvottelukunnan raportissa. Tämän lisäksi on käynnissä myös muita periaatepäätökseen liittyviä toimia.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F91" w:rsidRDefault="00F1568B" w:rsidP="00E409CE">
    <w:pPr>
      <w:pStyle w:val="Yltunniste"/>
    </w:pPr>
    <w:r w:rsidRPr="005D4C87">
      <w:fldChar w:fldCharType="begin"/>
    </w:r>
    <w:r w:rsidRPr="005D4C87">
      <w:instrText>PAGE</w:instrText>
    </w:r>
    <w:r w:rsidRPr="005D4C87">
      <w:fldChar w:fldCharType="separate"/>
    </w:r>
    <w:r w:rsidR="00006B34">
      <w:rPr>
        <w:noProof/>
      </w:rPr>
      <w:t>9</w:t>
    </w:r>
    <w:r w:rsidRPr="005D4C87">
      <w:fldChar w:fldCharType="end"/>
    </w:r>
    <w:r w:rsidRPr="005D4C87">
      <w:t xml:space="preserve"> (</w:t>
    </w:r>
    <w:r w:rsidRPr="005D4C87">
      <w:fldChar w:fldCharType="begin"/>
    </w:r>
    <w:r w:rsidRPr="005D4C87">
      <w:instrText>NUMPAGES</w:instrText>
    </w:r>
    <w:r w:rsidRPr="005D4C87">
      <w:fldChar w:fldCharType="separate"/>
    </w:r>
    <w:r w:rsidR="00006B34">
      <w:rPr>
        <w:noProof/>
      </w:rPr>
      <w:t>14</w:t>
    </w:r>
    <w:r w:rsidRPr="005D4C87">
      <w:fldChar w:fldCharType="end"/>
    </w:r>
    <w:r w:rsidRPr="005D4C87">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068927"/>
      <w:docPartObj>
        <w:docPartGallery w:val="Page Numbers (Top of Page)"/>
        <w:docPartUnique/>
      </w:docPartObj>
    </w:sdtPr>
    <w:sdtEndPr/>
    <w:sdtContent>
      <w:p w:rsidR="00A847B3" w:rsidRDefault="004B2B85" w:rsidP="00A847B3">
        <w:pPr>
          <w:pStyle w:val="Yltunniste"/>
        </w:pPr>
        <w:r>
          <w:fldChar w:fldCharType="begin"/>
        </w:r>
        <w:r>
          <w:instrText>PAGE   \* MERGEFORMAT</w:instrText>
        </w:r>
        <w:r>
          <w:fldChar w:fldCharType="separate"/>
        </w:r>
        <w:r w:rsidR="00006B34">
          <w:rPr>
            <w:noProof/>
          </w:rPr>
          <w:t>1</w:t>
        </w:r>
        <w:r>
          <w:fldChar w:fldCharType="end"/>
        </w:r>
      </w:p>
      <w:p w:rsidR="004B2B85" w:rsidRPr="00A847B3" w:rsidRDefault="00D953E3" w:rsidP="00A847B3">
        <w:pPr>
          <w:pStyle w:val="Yltunniste"/>
          <w:jc w:val="left"/>
          <w:rPr>
            <w:i/>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36C8F514"/>
    <w:lvl w:ilvl="0" w:tplc="040B000F">
      <w:start w:val="1"/>
      <w:numFmt w:val="decimal"/>
      <w:lvlText w:val="%1."/>
      <w:lvlJc w:val="left"/>
      <w:pPr>
        <w:ind w:left="360" w:hanging="360"/>
      </w:pPr>
      <w:rPr>
        <w:rFonts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2045F15"/>
    <w:multiLevelType w:val="hybridMultilevel"/>
    <w:tmpl w:val="03A665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AAC4B2E"/>
    <w:multiLevelType w:val="hybridMultilevel"/>
    <w:tmpl w:val="540A8756"/>
    <w:lvl w:ilvl="0" w:tplc="040B000F">
      <w:start w:val="1"/>
      <w:numFmt w:val="decimal"/>
      <w:lvlText w:val="%1."/>
      <w:lvlJc w:val="left"/>
      <w:pPr>
        <w:ind w:left="3612" w:hanging="360"/>
      </w:pPr>
    </w:lvl>
    <w:lvl w:ilvl="1" w:tplc="040B0019" w:tentative="1">
      <w:start w:val="1"/>
      <w:numFmt w:val="lowerLetter"/>
      <w:lvlText w:val="%2."/>
      <w:lvlJc w:val="left"/>
      <w:pPr>
        <w:ind w:left="4332" w:hanging="360"/>
      </w:pPr>
    </w:lvl>
    <w:lvl w:ilvl="2" w:tplc="040B001B" w:tentative="1">
      <w:start w:val="1"/>
      <w:numFmt w:val="lowerRoman"/>
      <w:lvlText w:val="%3."/>
      <w:lvlJc w:val="right"/>
      <w:pPr>
        <w:ind w:left="5052" w:hanging="180"/>
      </w:pPr>
    </w:lvl>
    <w:lvl w:ilvl="3" w:tplc="040B000F" w:tentative="1">
      <w:start w:val="1"/>
      <w:numFmt w:val="decimal"/>
      <w:lvlText w:val="%4."/>
      <w:lvlJc w:val="left"/>
      <w:pPr>
        <w:ind w:left="5772" w:hanging="360"/>
      </w:pPr>
    </w:lvl>
    <w:lvl w:ilvl="4" w:tplc="040B0019" w:tentative="1">
      <w:start w:val="1"/>
      <w:numFmt w:val="lowerLetter"/>
      <w:lvlText w:val="%5."/>
      <w:lvlJc w:val="left"/>
      <w:pPr>
        <w:ind w:left="6492" w:hanging="360"/>
      </w:pPr>
    </w:lvl>
    <w:lvl w:ilvl="5" w:tplc="040B001B" w:tentative="1">
      <w:start w:val="1"/>
      <w:numFmt w:val="lowerRoman"/>
      <w:lvlText w:val="%6."/>
      <w:lvlJc w:val="right"/>
      <w:pPr>
        <w:ind w:left="7212" w:hanging="180"/>
      </w:pPr>
    </w:lvl>
    <w:lvl w:ilvl="6" w:tplc="040B000F" w:tentative="1">
      <w:start w:val="1"/>
      <w:numFmt w:val="decimal"/>
      <w:lvlText w:val="%7."/>
      <w:lvlJc w:val="left"/>
      <w:pPr>
        <w:ind w:left="7932" w:hanging="360"/>
      </w:pPr>
    </w:lvl>
    <w:lvl w:ilvl="7" w:tplc="040B0019" w:tentative="1">
      <w:start w:val="1"/>
      <w:numFmt w:val="lowerLetter"/>
      <w:lvlText w:val="%8."/>
      <w:lvlJc w:val="left"/>
      <w:pPr>
        <w:ind w:left="8652" w:hanging="360"/>
      </w:pPr>
    </w:lvl>
    <w:lvl w:ilvl="8" w:tplc="040B001B" w:tentative="1">
      <w:start w:val="1"/>
      <w:numFmt w:val="lowerRoman"/>
      <w:lvlText w:val="%9."/>
      <w:lvlJc w:val="right"/>
      <w:pPr>
        <w:ind w:left="9372" w:hanging="180"/>
      </w:pPr>
    </w:lvl>
  </w:abstractNum>
  <w:abstractNum w:abstractNumId="13"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5D2077E"/>
    <w:multiLevelType w:val="hybridMultilevel"/>
    <w:tmpl w:val="54001D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9"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0"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3855097"/>
    <w:multiLevelType w:val="hybridMultilevel"/>
    <w:tmpl w:val="E230F1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FE1016F"/>
    <w:multiLevelType w:val="hybridMultilevel"/>
    <w:tmpl w:val="507AD6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9151071"/>
    <w:multiLevelType w:val="hybridMultilevel"/>
    <w:tmpl w:val="E974A27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D172237"/>
    <w:multiLevelType w:val="hybridMultilevel"/>
    <w:tmpl w:val="3EF00FD4"/>
    <w:lvl w:ilvl="0" w:tplc="A9243960">
      <w:start w:val="1"/>
      <w:numFmt w:val="decimal"/>
      <w:pStyle w:val="VMluettelonumeroin"/>
      <w:lvlText w:val="%1"/>
      <w:lvlJc w:val="left"/>
      <w:pPr>
        <w:ind w:left="3338"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0"/>
  </w:num>
  <w:num w:numId="2">
    <w:abstractNumId w:val="2"/>
  </w:num>
  <w:num w:numId="3">
    <w:abstractNumId w:val="28"/>
  </w:num>
  <w:num w:numId="4">
    <w:abstractNumId w:val="22"/>
  </w:num>
  <w:num w:numId="5">
    <w:abstractNumId w:val="9"/>
  </w:num>
  <w:num w:numId="6">
    <w:abstractNumId w:val="7"/>
  </w:num>
  <w:num w:numId="7">
    <w:abstractNumId w:val="30"/>
  </w:num>
  <w:num w:numId="8">
    <w:abstractNumId w:val="16"/>
  </w:num>
  <w:num w:numId="9">
    <w:abstractNumId w:val="14"/>
  </w:num>
  <w:num w:numId="10">
    <w:abstractNumId w:val="17"/>
  </w:num>
  <w:num w:numId="11">
    <w:abstractNumId w:val="13"/>
  </w:num>
  <w:num w:numId="12">
    <w:abstractNumId w:val="5"/>
  </w:num>
  <w:num w:numId="13">
    <w:abstractNumId w:val="26"/>
  </w:num>
  <w:num w:numId="14">
    <w:abstractNumId w:val="27"/>
  </w:num>
  <w:num w:numId="15">
    <w:abstractNumId w:val="8"/>
  </w:num>
  <w:num w:numId="16">
    <w:abstractNumId w:val="32"/>
  </w:num>
  <w:num w:numId="17">
    <w:abstractNumId w:val="4"/>
  </w:num>
  <w:num w:numId="18">
    <w:abstractNumId w:val="23"/>
  </w:num>
  <w:num w:numId="19">
    <w:abstractNumId w:val="11"/>
  </w:num>
  <w:num w:numId="20">
    <w:abstractNumId w:val="25"/>
  </w:num>
  <w:num w:numId="21">
    <w:abstractNumId w:val="3"/>
  </w:num>
  <w:num w:numId="22">
    <w:abstractNumId w:val="24"/>
  </w:num>
  <w:num w:numId="23">
    <w:abstractNumId w:val="10"/>
  </w:num>
  <w:num w:numId="24">
    <w:abstractNumId w:val="1"/>
  </w:num>
  <w:num w:numId="25">
    <w:abstractNumId w:val="20"/>
  </w:num>
  <w:num w:numId="26">
    <w:abstractNumId w:val="19"/>
  </w:num>
  <w:num w:numId="27">
    <w:abstractNumId w:val="18"/>
  </w:num>
  <w:num w:numId="28">
    <w:abstractNumId w:val="33"/>
  </w:num>
  <w:num w:numId="29">
    <w:abstractNumId w:val="33"/>
    <w:lvlOverride w:ilvl="0">
      <w:startOverride w:val="1"/>
    </w:lvlOverride>
  </w:num>
  <w:num w:numId="30">
    <w:abstractNumId w:val="33"/>
    <w:lvlOverride w:ilvl="0">
      <w:startOverride w:val="1"/>
    </w:lvlOverride>
  </w:num>
  <w:num w:numId="31">
    <w:abstractNumId w:val="33"/>
    <w:lvlOverride w:ilvl="0">
      <w:startOverride w:val="1"/>
    </w:lvlOverride>
  </w:num>
  <w:num w:numId="32">
    <w:abstractNumId w:val="33"/>
    <w:lvlOverride w:ilvl="0">
      <w:startOverride w:val="1"/>
    </w:lvlOverride>
  </w:num>
  <w:num w:numId="33">
    <w:abstractNumId w:val="33"/>
    <w:lvlOverride w:ilvl="0">
      <w:startOverride w:val="1"/>
    </w:lvlOverride>
  </w:num>
  <w:num w:numId="34">
    <w:abstractNumId w:val="33"/>
    <w:lvlOverride w:ilvl="0">
      <w:startOverride w:val="1"/>
    </w:lvlOverride>
  </w:num>
  <w:num w:numId="35">
    <w:abstractNumId w:val="33"/>
    <w:lvlOverride w:ilvl="0">
      <w:startOverride w:val="1"/>
    </w:lvlOverride>
  </w:num>
  <w:num w:numId="36">
    <w:abstractNumId w:val="33"/>
    <w:lvlOverride w:ilvl="0">
      <w:startOverride w:val="1"/>
    </w:lvlOverride>
  </w:num>
  <w:num w:numId="37">
    <w:abstractNumId w:val="12"/>
  </w:num>
  <w:num w:numId="38">
    <w:abstractNumId w:val="6"/>
  </w:num>
  <w:num w:numId="39">
    <w:abstractNumId w:val="31"/>
  </w:num>
  <w:num w:numId="40">
    <w:abstractNumId w:val="15"/>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85"/>
    <w:rsid w:val="00004A1C"/>
    <w:rsid w:val="000050CB"/>
    <w:rsid w:val="000058ED"/>
    <w:rsid w:val="00006B34"/>
    <w:rsid w:val="00007ED0"/>
    <w:rsid w:val="00032ADC"/>
    <w:rsid w:val="00033395"/>
    <w:rsid w:val="00047B49"/>
    <w:rsid w:val="000529F4"/>
    <w:rsid w:val="000639CC"/>
    <w:rsid w:val="0007264D"/>
    <w:rsid w:val="00074D1C"/>
    <w:rsid w:val="0009526F"/>
    <w:rsid w:val="000A776B"/>
    <w:rsid w:val="000B6E36"/>
    <w:rsid w:val="000C3BE9"/>
    <w:rsid w:val="000C42C2"/>
    <w:rsid w:val="000C7201"/>
    <w:rsid w:val="000C7E8C"/>
    <w:rsid w:val="000F4350"/>
    <w:rsid w:val="00110504"/>
    <w:rsid w:val="00117BC3"/>
    <w:rsid w:val="0013360B"/>
    <w:rsid w:val="0014405D"/>
    <w:rsid w:val="001703FE"/>
    <w:rsid w:val="00177539"/>
    <w:rsid w:val="00195851"/>
    <w:rsid w:val="001A3BD5"/>
    <w:rsid w:val="001B5CF2"/>
    <w:rsid w:val="001C40CB"/>
    <w:rsid w:val="001C52EA"/>
    <w:rsid w:val="001D0E58"/>
    <w:rsid w:val="001E296B"/>
    <w:rsid w:val="00201C58"/>
    <w:rsid w:val="00206450"/>
    <w:rsid w:val="00211D88"/>
    <w:rsid w:val="0022111F"/>
    <w:rsid w:val="002243A3"/>
    <w:rsid w:val="002256D9"/>
    <w:rsid w:val="00245231"/>
    <w:rsid w:val="00256D03"/>
    <w:rsid w:val="00272CE2"/>
    <w:rsid w:val="00287385"/>
    <w:rsid w:val="00294EC0"/>
    <w:rsid w:val="002A18F6"/>
    <w:rsid w:val="002D35A8"/>
    <w:rsid w:val="002F0E1A"/>
    <w:rsid w:val="0030101F"/>
    <w:rsid w:val="0030309C"/>
    <w:rsid w:val="0030345E"/>
    <w:rsid w:val="00311193"/>
    <w:rsid w:val="0031154F"/>
    <w:rsid w:val="003130AD"/>
    <w:rsid w:val="00313BCB"/>
    <w:rsid w:val="00316315"/>
    <w:rsid w:val="00317AA4"/>
    <w:rsid w:val="00326CC7"/>
    <w:rsid w:val="00330236"/>
    <w:rsid w:val="00351C7F"/>
    <w:rsid w:val="00356779"/>
    <w:rsid w:val="003606BB"/>
    <w:rsid w:val="00371133"/>
    <w:rsid w:val="003804DC"/>
    <w:rsid w:val="00382D7A"/>
    <w:rsid w:val="00393AA3"/>
    <w:rsid w:val="003A2894"/>
    <w:rsid w:val="003A34B9"/>
    <w:rsid w:val="003A4CBF"/>
    <w:rsid w:val="003B3274"/>
    <w:rsid w:val="003B7DD9"/>
    <w:rsid w:val="003C19EE"/>
    <w:rsid w:val="003D3C9B"/>
    <w:rsid w:val="003D5890"/>
    <w:rsid w:val="003D5E35"/>
    <w:rsid w:val="003E0879"/>
    <w:rsid w:val="003E10EB"/>
    <w:rsid w:val="003E24A7"/>
    <w:rsid w:val="003F6F08"/>
    <w:rsid w:val="004032EB"/>
    <w:rsid w:val="004145E6"/>
    <w:rsid w:val="00420D16"/>
    <w:rsid w:val="00434F82"/>
    <w:rsid w:val="00437D93"/>
    <w:rsid w:val="00447752"/>
    <w:rsid w:val="0045661C"/>
    <w:rsid w:val="00470141"/>
    <w:rsid w:val="0047520D"/>
    <w:rsid w:val="004912BA"/>
    <w:rsid w:val="004A30DB"/>
    <w:rsid w:val="004B2B85"/>
    <w:rsid w:val="004C2184"/>
    <w:rsid w:val="004E4505"/>
    <w:rsid w:val="004E79C5"/>
    <w:rsid w:val="004F4BAA"/>
    <w:rsid w:val="004F6171"/>
    <w:rsid w:val="005000CF"/>
    <w:rsid w:val="00511BE5"/>
    <w:rsid w:val="0054267A"/>
    <w:rsid w:val="00542CD9"/>
    <w:rsid w:val="00583670"/>
    <w:rsid w:val="005942E3"/>
    <w:rsid w:val="005A7BD8"/>
    <w:rsid w:val="005B4E0E"/>
    <w:rsid w:val="005B7196"/>
    <w:rsid w:val="005E48EA"/>
    <w:rsid w:val="00605ACB"/>
    <w:rsid w:val="0060724A"/>
    <w:rsid w:val="00612226"/>
    <w:rsid w:val="00620B47"/>
    <w:rsid w:val="0064290D"/>
    <w:rsid w:val="00653706"/>
    <w:rsid w:val="00667EDA"/>
    <w:rsid w:val="006739FF"/>
    <w:rsid w:val="00686635"/>
    <w:rsid w:val="006B426D"/>
    <w:rsid w:val="006D4A7F"/>
    <w:rsid w:val="006D657D"/>
    <w:rsid w:val="006D6722"/>
    <w:rsid w:val="006E46D8"/>
    <w:rsid w:val="006F36F8"/>
    <w:rsid w:val="0073191E"/>
    <w:rsid w:val="007364FE"/>
    <w:rsid w:val="00754E66"/>
    <w:rsid w:val="00754F91"/>
    <w:rsid w:val="00760947"/>
    <w:rsid w:val="007632A7"/>
    <w:rsid w:val="007727E6"/>
    <w:rsid w:val="00777ED2"/>
    <w:rsid w:val="007953B2"/>
    <w:rsid w:val="007A77BC"/>
    <w:rsid w:val="007C7C4F"/>
    <w:rsid w:val="007D4CE4"/>
    <w:rsid w:val="007E2486"/>
    <w:rsid w:val="007F6E11"/>
    <w:rsid w:val="00812483"/>
    <w:rsid w:val="00813C5F"/>
    <w:rsid w:val="008217E2"/>
    <w:rsid w:val="00830601"/>
    <w:rsid w:val="008349AE"/>
    <w:rsid w:val="00836D51"/>
    <w:rsid w:val="00843BF7"/>
    <w:rsid w:val="0084736C"/>
    <w:rsid w:val="00860E8C"/>
    <w:rsid w:val="00862C0C"/>
    <w:rsid w:val="00872D13"/>
    <w:rsid w:val="008B1667"/>
    <w:rsid w:val="008C3391"/>
    <w:rsid w:val="008C7B33"/>
    <w:rsid w:val="008E5DF6"/>
    <w:rsid w:val="008E71FB"/>
    <w:rsid w:val="008F78F1"/>
    <w:rsid w:val="009000A0"/>
    <w:rsid w:val="00902AED"/>
    <w:rsid w:val="009138B5"/>
    <w:rsid w:val="00920D1C"/>
    <w:rsid w:val="00967360"/>
    <w:rsid w:val="009939B4"/>
    <w:rsid w:val="0099556F"/>
    <w:rsid w:val="009B00F8"/>
    <w:rsid w:val="009D7BB0"/>
    <w:rsid w:val="009E27B5"/>
    <w:rsid w:val="009E40DA"/>
    <w:rsid w:val="00A0715C"/>
    <w:rsid w:val="00A11381"/>
    <w:rsid w:val="00A139D0"/>
    <w:rsid w:val="00A3260C"/>
    <w:rsid w:val="00A50B0A"/>
    <w:rsid w:val="00A604E4"/>
    <w:rsid w:val="00A6761B"/>
    <w:rsid w:val="00A71532"/>
    <w:rsid w:val="00A718BA"/>
    <w:rsid w:val="00A847B3"/>
    <w:rsid w:val="00A96880"/>
    <w:rsid w:val="00AA1E45"/>
    <w:rsid w:val="00AB3675"/>
    <w:rsid w:val="00AC7BC5"/>
    <w:rsid w:val="00AD071E"/>
    <w:rsid w:val="00AE4E2C"/>
    <w:rsid w:val="00AF69EA"/>
    <w:rsid w:val="00B06142"/>
    <w:rsid w:val="00B14070"/>
    <w:rsid w:val="00B33C74"/>
    <w:rsid w:val="00B361BA"/>
    <w:rsid w:val="00B41ADA"/>
    <w:rsid w:val="00B518F1"/>
    <w:rsid w:val="00B56BE8"/>
    <w:rsid w:val="00B81B4A"/>
    <w:rsid w:val="00BA7BA5"/>
    <w:rsid w:val="00BB1B52"/>
    <w:rsid w:val="00BB3D9B"/>
    <w:rsid w:val="00BC768D"/>
    <w:rsid w:val="00BD548F"/>
    <w:rsid w:val="00BF2587"/>
    <w:rsid w:val="00BF430D"/>
    <w:rsid w:val="00C10165"/>
    <w:rsid w:val="00C12F9B"/>
    <w:rsid w:val="00C164B8"/>
    <w:rsid w:val="00C20150"/>
    <w:rsid w:val="00C23806"/>
    <w:rsid w:val="00C257FC"/>
    <w:rsid w:val="00C44782"/>
    <w:rsid w:val="00C46D72"/>
    <w:rsid w:val="00C479A0"/>
    <w:rsid w:val="00C56D47"/>
    <w:rsid w:val="00C60F7A"/>
    <w:rsid w:val="00C635DE"/>
    <w:rsid w:val="00C71063"/>
    <w:rsid w:val="00C77D13"/>
    <w:rsid w:val="00C8584F"/>
    <w:rsid w:val="00C85D1C"/>
    <w:rsid w:val="00CB0DE5"/>
    <w:rsid w:val="00CD00CA"/>
    <w:rsid w:val="00CE2597"/>
    <w:rsid w:val="00CF347E"/>
    <w:rsid w:val="00CF4646"/>
    <w:rsid w:val="00D07AB2"/>
    <w:rsid w:val="00D108FC"/>
    <w:rsid w:val="00D30322"/>
    <w:rsid w:val="00D43B00"/>
    <w:rsid w:val="00D504FA"/>
    <w:rsid w:val="00D51F5E"/>
    <w:rsid w:val="00D67C9F"/>
    <w:rsid w:val="00D72A44"/>
    <w:rsid w:val="00D74B23"/>
    <w:rsid w:val="00D953E3"/>
    <w:rsid w:val="00DD3BA1"/>
    <w:rsid w:val="00DF0BB7"/>
    <w:rsid w:val="00DF5FF8"/>
    <w:rsid w:val="00DF7AA1"/>
    <w:rsid w:val="00E05681"/>
    <w:rsid w:val="00E178BA"/>
    <w:rsid w:val="00E409CE"/>
    <w:rsid w:val="00E64814"/>
    <w:rsid w:val="00E80176"/>
    <w:rsid w:val="00E81F28"/>
    <w:rsid w:val="00E83753"/>
    <w:rsid w:val="00E83BAA"/>
    <w:rsid w:val="00EB0060"/>
    <w:rsid w:val="00EB2C37"/>
    <w:rsid w:val="00EB3F49"/>
    <w:rsid w:val="00EF7807"/>
    <w:rsid w:val="00F1568B"/>
    <w:rsid w:val="00F3135B"/>
    <w:rsid w:val="00F40EEB"/>
    <w:rsid w:val="00F445A3"/>
    <w:rsid w:val="00F54179"/>
    <w:rsid w:val="00F54F99"/>
    <w:rsid w:val="00F84392"/>
    <w:rsid w:val="00F92DDB"/>
    <w:rsid w:val="00FA2919"/>
    <w:rsid w:val="00FB28E5"/>
    <w:rsid w:val="00FC241F"/>
    <w:rsid w:val="00FD70A1"/>
    <w:rsid w:val="00FE697A"/>
    <w:rsid w:val="00FE7A83"/>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6F6F"/>
  <w15:docId w15:val="{E6C6F295-1D82-4935-B962-ED039C71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lsdException w:name="Intense Quote" w:semiHidden="1"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1"/>
    <w:lsdException w:name="Subtle Reference" w:semiHidden="1" w:uiPriority="39"/>
    <w:lsdException w:name="Intense Reference" w:semiHidden="1" w:uiPriority="39"/>
    <w:lsdException w:name="Book Title" w:semiHidden="1" w:uiPriority="3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D108FC"/>
    <w:pPr>
      <w:tabs>
        <w:tab w:val="left" w:pos="2608"/>
        <w:tab w:val="left" w:pos="5670"/>
      </w:tabs>
    </w:pPr>
    <w:rPr>
      <w:sz w:val="21"/>
    </w:rPr>
  </w:style>
  <w:style w:type="paragraph" w:styleId="Otsikko1">
    <w:name w:val="heading 1"/>
    <w:aliases w:val="VM_Otsikko 1"/>
    <w:basedOn w:val="Normaali"/>
    <w:next w:val="Leipteksti"/>
    <w:link w:val="Otsikko1Char"/>
    <w:uiPriority w:val="14"/>
    <w:qFormat/>
    <w:rsid w:val="00287385"/>
    <w:pPr>
      <w:keepNext/>
      <w:keepLines/>
      <w:numPr>
        <w:numId w:val="27"/>
      </w:numPr>
      <w:spacing w:before="420" w:after="200" w:line="310" w:lineRule="exact"/>
      <w:outlineLvl w:val="0"/>
    </w:pPr>
    <w:rPr>
      <w:rFonts w:asciiTheme="majorHAnsi" w:eastAsiaTheme="majorEastAsia" w:hAnsiTheme="majorHAnsi" w:cstheme="majorHAnsi"/>
      <w:b/>
      <w:bCs/>
      <w:szCs w:val="28"/>
    </w:rPr>
  </w:style>
  <w:style w:type="paragraph" w:styleId="Otsikko2">
    <w:name w:val="heading 2"/>
    <w:aliases w:val="VM_Otsikko 2"/>
    <w:basedOn w:val="Normaali"/>
    <w:next w:val="Leipteksti"/>
    <w:link w:val="Otsikko2Char"/>
    <w:uiPriority w:val="14"/>
    <w:qFormat/>
    <w:rsid w:val="00211D88"/>
    <w:pPr>
      <w:keepNext/>
      <w:keepLines/>
      <w:numPr>
        <w:ilvl w:val="1"/>
        <w:numId w:val="27"/>
      </w:numPr>
      <w:spacing w:before="310" w:after="310" w:line="310" w:lineRule="exact"/>
      <w:outlineLvl w:val="1"/>
    </w:pPr>
    <w:rPr>
      <w:rFonts w:asciiTheme="majorHAnsi" w:eastAsiaTheme="majorEastAsia" w:hAnsiTheme="majorHAnsi" w:cstheme="majorHAnsi"/>
      <w:b/>
      <w:bCs/>
      <w:szCs w:val="26"/>
    </w:rPr>
  </w:style>
  <w:style w:type="paragraph" w:styleId="Otsikko3">
    <w:name w:val="heading 3"/>
    <w:aliases w:val="VM_Otsikko 3"/>
    <w:basedOn w:val="Otsikko2"/>
    <w:next w:val="Leipteksti"/>
    <w:link w:val="Otsikko3Char"/>
    <w:uiPriority w:val="14"/>
    <w:qFormat/>
    <w:rsid w:val="00211D88"/>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287385"/>
    <w:rPr>
      <w:rFonts w:asciiTheme="majorHAnsi" w:eastAsiaTheme="majorEastAsia" w:hAnsiTheme="majorHAnsi" w:cstheme="majorHAnsi"/>
      <w:b/>
      <w:bCs/>
      <w:sz w:val="21"/>
      <w:szCs w:val="28"/>
    </w:rPr>
  </w:style>
  <w:style w:type="paragraph" w:styleId="Yltunniste">
    <w:name w:val="header"/>
    <w:basedOn w:val="Normaali"/>
    <w:link w:val="YltunnisteChar"/>
    <w:uiPriority w:val="99"/>
    <w:rsid w:val="008E71FB"/>
    <w:pPr>
      <w:ind w:right="170"/>
      <w:jc w:val="right"/>
    </w:pPr>
  </w:style>
  <w:style w:type="paragraph" w:styleId="Leipteksti">
    <w:name w:val="Body Text"/>
    <w:aliases w:val="VM_Leipäteksti"/>
    <w:basedOn w:val="Normaali"/>
    <w:link w:val="LeiptekstiChar"/>
    <w:qFormat/>
    <w:rsid w:val="009000A0"/>
    <w:pPr>
      <w:spacing w:after="120" w:line="310" w:lineRule="atLeast"/>
      <w:ind w:left="2608"/>
    </w:pPr>
  </w:style>
  <w:style w:type="character" w:customStyle="1" w:styleId="LeiptekstiChar">
    <w:name w:val="Leipäteksti Char"/>
    <w:aliases w:val="VM_Leipäteksti Char"/>
    <w:basedOn w:val="Kappaleenoletusfontti"/>
    <w:link w:val="Leipteksti"/>
    <w:rsid w:val="009000A0"/>
    <w:rPr>
      <w:sz w:val="21"/>
    </w:rPr>
  </w:style>
  <w:style w:type="character" w:customStyle="1" w:styleId="YltunnisteChar">
    <w:name w:val="Ylätunniste Char"/>
    <w:basedOn w:val="Kappaleenoletusfontti"/>
    <w:link w:val="Yltunniste"/>
    <w:uiPriority w:val="99"/>
    <w:rsid w:val="00245231"/>
    <w:rPr>
      <w:sz w:val="21"/>
    </w:rPr>
  </w:style>
  <w:style w:type="paragraph" w:styleId="Alatunniste">
    <w:name w:val="footer"/>
    <w:link w:val="AlatunnisteChar"/>
    <w:uiPriority w:val="94"/>
    <w:semiHidden/>
    <w:rsid w:val="000B6E36"/>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245231"/>
    <w:rPr>
      <w:noProof/>
      <w:sz w:val="16"/>
    </w:rPr>
  </w:style>
  <w:style w:type="paragraph" w:styleId="Otsikko">
    <w:name w:val="Title"/>
    <w:aliases w:val="VM_Otsikko"/>
    <w:basedOn w:val="Normaali"/>
    <w:next w:val="Leipteksti"/>
    <w:link w:val="OtsikkoChar"/>
    <w:uiPriority w:val="10"/>
    <w:qFormat/>
    <w:locked/>
    <w:rsid w:val="00843BF7"/>
    <w:pPr>
      <w:spacing w:before="310" w:after="240" w:line="360" w:lineRule="exact"/>
      <w:contextualSpacing/>
      <w:outlineLvl w:val="0"/>
    </w:pPr>
    <w:rPr>
      <w:rFonts w:asciiTheme="majorHAnsi" w:eastAsiaTheme="majorEastAsia" w:hAnsiTheme="majorHAnsi" w:cstheme="majorHAnsi"/>
      <w:b/>
      <w:kern w:val="28"/>
      <w:sz w:val="24"/>
      <w:szCs w:val="52"/>
    </w:rPr>
  </w:style>
  <w:style w:type="character" w:customStyle="1" w:styleId="OtsikkoChar">
    <w:name w:val="Otsikko Char"/>
    <w:aliases w:val="VM_Otsikko Char"/>
    <w:basedOn w:val="Kappaleenoletusfontti"/>
    <w:link w:val="Otsikko"/>
    <w:uiPriority w:val="10"/>
    <w:rsid w:val="00843BF7"/>
    <w:rPr>
      <w:rFonts w:asciiTheme="majorHAnsi" w:eastAsiaTheme="majorEastAsia" w:hAnsiTheme="majorHAnsi" w:cstheme="majorHAnsi"/>
      <w:b/>
      <w:kern w:val="28"/>
      <w:sz w:val="24"/>
      <w:szCs w:val="52"/>
    </w:rPr>
  </w:style>
  <w:style w:type="character" w:customStyle="1" w:styleId="Otsikko2Char">
    <w:name w:val="Otsikko 2 Char"/>
    <w:aliases w:val="VM_Otsikko 2 Char"/>
    <w:basedOn w:val="Kappaleenoletusfontti"/>
    <w:link w:val="Otsikko2"/>
    <w:uiPriority w:val="14"/>
    <w:rsid w:val="00211D88"/>
    <w:rPr>
      <w:rFonts w:asciiTheme="majorHAnsi" w:eastAsiaTheme="majorEastAsia" w:hAnsiTheme="majorHAnsi" w:cstheme="majorHAnsi"/>
      <w:b/>
      <w:bCs/>
      <w:sz w:val="21"/>
      <w:szCs w:val="26"/>
    </w:rPr>
  </w:style>
  <w:style w:type="paragraph" w:styleId="Alaotsikko">
    <w:name w:val="Subtitle"/>
    <w:aliases w:val="VM_Alaotsikko"/>
    <w:basedOn w:val="Normaali"/>
    <w:next w:val="Leipteksti"/>
    <w:link w:val="AlaotsikkoChar"/>
    <w:uiPriority w:val="11"/>
    <w:qFormat/>
    <w:rsid w:val="00317AA4"/>
    <w:pPr>
      <w:numPr>
        <w:ilvl w:val="1"/>
      </w:numPr>
      <w:spacing w:before="310" w:after="310" w:line="310" w:lineRule="exact"/>
    </w:pPr>
    <w:rPr>
      <w:rFonts w:asciiTheme="majorHAnsi" w:eastAsiaTheme="majorEastAsia" w:hAnsiTheme="majorHAnsi" w:cstheme="majorHAnsi"/>
      <w:b/>
      <w:iCs/>
      <w:szCs w:val="24"/>
    </w:rPr>
  </w:style>
  <w:style w:type="character" w:customStyle="1" w:styleId="AlaotsikkoChar">
    <w:name w:val="Alaotsikko Char"/>
    <w:aliases w:val="VM_Alaotsikko Char"/>
    <w:basedOn w:val="Kappaleenoletusfontti"/>
    <w:link w:val="Alaotsikko"/>
    <w:uiPriority w:val="11"/>
    <w:rsid w:val="00317AA4"/>
    <w:rPr>
      <w:rFonts w:asciiTheme="majorHAnsi" w:eastAsiaTheme="majorEastAsia" w:hAnsiTheme="majorHAnsi" w:cstheme="majorHAnsi"/>
      <w:b/>
      <w:iCs/>
      <w:sz w:val="21"/>
      <w:szCs w:val="24"/>
    </w:rPr>
  </w:style>
  <w:style w:type="paragraph" w:styleId="Luettelokappale">
    <w:name w:val="List Paragraph"/>
    <w:aliases w:val="VM_Luettelokappale"/>
    <w:basedOn w:val="Leipteksti"/>
    <w:uiPriority w:val="2"/>
    <w:qFormat/>
    <w:rsid w:val="003E0879"/>
    <w:pPr>
      <w:ind w:left="0"/>
      <w:contextualSpacing/>
    </w:pPr>
  </w:style>
  <w:style w:type="paragraph" w:styleId="Eivli">
    <w:name w:val="No Spacing"/>
    <w:uiPriority w:val="7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14"/>
    <w:rsid w:val="00211D88"/>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0C42C2"/>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0C42C2"/>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0C42C2"/>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qFormat/>
    <w:rsid w:val="004A30DB"/>
    <w:pPr>
      <w:spacing w:before="310"/>
      <w:ind w:hanging="2608"/>
    </w:pPr>
  </w:style>
  <w:style w:type="paragraph" w:customStyle="1" w:styleId="VMLaatija">
    <w:name w:val="VM_Laatija"/>
    <w:basedOn w:val="Normaali"/>
    <w:uiPriority w:val="31"/>
    <w:rsid w:val="009D7BB0"/>
    <w:pPr>
      <w:spacing w:line="300" w:lineRule="exact"/>
    </w:pPr>
  </w:style>
  <w:style w:type="paragraph" w:customStyle="1" w:styleId="VMOsallistujat">
    <w:name w:val="VM_Osallistujat"/>
    <w:basedOn w:val="VMRiippuva"/>
    <w:uiPriority w:val="32"/>
    <w:rsid w:val="00287385"/>
    <w:pPr>
      <w:tabs>
        <w:tab w:val="clear" w:pos="5670"/>
        <w:tab w:val="left" w:pos="6521"/>
      </w:tabs>
      <w:spacing w:before="0" w:after="420"/>
    </w:pPr>
  </w:style>
  <w:style w:type="paragraph" w:customStyle="1" w:styleId="VMVastaanottaja">
    <w:name w:val="VM_Vastaanottaja"/>
    <w:basedOn w:val="Normaali"/>
    <w:uiPriority w:val="30"/>
    <w:qFormat/>
    <w:rsid w:val="00110504"/>
    <w:pPr>
      <w:spacing w:line="310" w:lineRule="exact"/>
    </w:pPr>
  </w:style>
  <w:style w:type="paragraph" w:customStyle="1" w:styleId="VMAllekirjoitus">
    <w:name w:val="VM_Allekirjoitus"/>
    <w:basedOn w:val="Normaali"/>
    <w:uiPriority w:val="89"/>
    <w:qFormat/>
    <w:rsid w:val="00D30322"/>
    <w:pPr>
      <w:tabs>
        <w:tab w:val="clear" w:pos="5670"/>
        <w:tab w:val="left" w:pos="1304"/>
        <w:tab w:val="left" w:pos="3912"/>
        <w:tab w:val="left" w:pos="5216"/>
      </w:tabs>
      <w:spacing w:before="960"/>
      <w:ind w:left="2608"/>
    </w:pPr>
    <w:rPr>
      <w:rFonts w:eastAsia="Times New Roman"/>
      <w:szCs w:val="24"/>
      <w:lang w:eastAsia="fi-FI"/>
    </w:rPr>
  </w:style>
  <w:style w:type="paragraph" w:customStyle="1" w:styleId="VMViite">
    <w:name w:val="VM_Viite"/>
    <w:basedOn w:val="VMVastaanottaja"/>
    <w:uiPriority w:val="89"/>
    <w:rsid w:val="004A30DB"/>
    <w:pPr>
      <w:spacing w:before="310" w:after="310"/>
    </w:pPr>
  </w:style>
  <w:style w:type="paragraph" w:customStyle="1" w:styleId="VMLiitteet">
    <w:name w:val="VM_Liitteet"/>
    <w:basedOn w:val="Normaali"/>
    <w:uiPriority w:val="89"/>
    <w:rsid w:val="00FB28E5"/>
    <w:pPr>
      <w:spacing w:before="360" w:after="120" w:line="310" w:lineRule="atLeast"/>
      <w:ind w:left="2608" w:hanging="2608"/>
    </w:pPr>
  </w:style>
  <w:style w:type="table" w:customStyle="1" w:styleId="VMtunniste">
    <w:name w:val="VMtunniste"/>
    <w:basedOn w:val="Normaalitaulukko"/>
    <w:uiPriority w:val="99"/>
    <w:rsid w:val="002D35A8"/>
    <w:rPr>
      <w:sz w:val="21"/>
    </w:rPr>
    <w:tblPr/>
    <w:tcPr>
      <w:tcMar>
        <w:left w:w="0" w:type="dxa"/>
        <w:right w:w="0" w:type="dxa"/>
      </w:tcMar>
    </w:tcPr>
  </w:style>
  <w:style w:type="paragraph" w:customStyle="1" w:styleId="VMNormaaliSisentmtn">
    <w:name w:val="VM_Normaali_Sisentämätön"/>
    <w:qFormat/>
    <w:rsid w:val="004B2B85"/>
    <w:rPr>
      <w:rFonts w:ascii="Times New Roman" w:eastAsia="Times New Roman" w:hAnsi="Times New Roman" w:cs="Times New Roman"/>
      <w:sz w:val="24"/>
      <w:szCs w:val="20"/>
      <w:lang w:eastAsia="fi-FI"/>
    </w:rPr>
  </w:style>
  <w:style w:type="paragraph" w:customStyle="1" w:styleId="Pa22">
    <w:name w:val="Pa22"/>
    <w:basedOn w:val="Normaali"/>
    <w:next w:val="Normaali"/>
    <w:uiPriority w:val="99"/>
    <w:rsid w:val="004B2B85"/>
    <w:pPr>
      <w:tabs>
        <w:tab w:val="clear" w:pos="2608"/>
        <w:tab w:val="clear" w:pos="5670"/>
      </w:tabs>
      <w:autoSpaceDE w:val="0"/>
      <w:autoSpaceDN w:val="0"/>
      <w:adjustRightInd w:val="0"/>
      <w:spacing w:line="205" w:lineRule="atLeast"/>
    </w:pPr>
    <w:rPr>
      <w:rFonts w:ascii="Myriad Pro" w:eastAsia="Times New Roman" w:hAnsi="Myriad Pro" w:cs="Times New Roman"/>
      <w:sz w:val="24"/>
      <w:szCs w:val="24"/>
      <w:lang w:eastAsia="fi-FI"/>
    </w:rPr>
  </w:style>
  <w:style w:type="paragraph" w:styleId="Alaviitteenteksti">
    <w:name w:val="footnote text"/>
    <w:basedOn w:val="Normaali"/>
    <w:link w:val="AlaviitteentekstiChar"/>
    <w:uiPriority w:val="99"/>
    <w:semiHidden/>
    <w:unhideWhenUsed/>
    <w:rsid w:val="004B2B85"/>
    <w:pPr>
      <w:tabs>
        <w:tab w:val="clear" w:pos="2608"/>
        <w:tab w:val="clear" w:pos="5670"/>
      </w:tabs>
    </w:pPr>
    <w:rPr>
      <w:rFonts w:ascii="Times New Roman" w:eastAsia="Times New Roman" w:hAnsi="Times New Roman" w:cs="Times New Roman"/>
      <w:sz w:val="20"/>
      <w:szCs w:val="20"/>
    </w:rPr>
  </w:style>
  <w:style w:type="character" w:customStyle="1" w:styleId="AlaviitteentekstiChar">
    <w:name w:val="Alaviitteen teksti Char"/>
    <w:basedOn w:val="Kappaleenoletusfontti"/>
    <w:link w:val="Alaviitteenteksti"/>
    <w:uiPriority w:val="99"/>
    <w:semiHidden/>
    <w:rsid w:val="004B2B85"/>
    <w:rPr>
      <w:rFonts w:ascii="Times New Roman" w:eastAsia="Times New Roman" w:hAnsi="Times New Roman" w:cs="Times New Roman"/>
      <w:sz w:val="20"/>
      <w:szCs w:val="20"/>
    </w:rPr>
  </w:style>
  <w:style w:type="character" w:styleId="Alaviitteenviite">
    <w:name w:val="footnote reference"/>
    <w:basedOn w:val="Kappaleenoletusfontti"/>
    <w:uiPriority w:val="99"/>
    <w:semiHidden/>
    <w:unhideWhenUsed/>
    <w:rsid w:val="004B2B85"/>
    <w:rPr>
      <w:vertAlign w:val="superscript"/>
    </w:rPr>
  </w:style>
  <w:style w:type="paragraph" w:styleId="Sisllysluettelonotsikko">
    <w:name w:val="TOC Heading"/>
    <w:basedOn w:val="Otsikko1"/>
    <w:next w:val="Normaali"/>
    <w:uiPriority w:val="39"/>
    <w:unhideWhenUsed/>
    <w:qFormat/>
    <w:rsid w:val="004B2B85"/>
    <w:pPr>
      <w:numPr>
        <w:numId w:val="0"/>
      </w:numPr>
      <w:tabs>
        <w:tab w:val="clear" w:pos="2608"/>
        <w:tab w:val="clear" w:pos="5670"/>
      </w:tabs>
      <w:spacing w:before="240" w:after="0" w:line="259" w:lineRule="auto"/>
      <w:outlineLvl w:val="9"/>
    </w:pPr>
    <w:rPr>
      <w:rFonts w:cstheme="majorBidi"/>
      <w:b w:val="0"/>
      <w:bCs w:val="0"/>
      <w:color w:val="28438D" w:themeColor="accent1" w:themeShade="BF"/>
      <w:sz w:val="32"/>
      <w:szCs w:val="32"/>
      <w:lang w:eastAsia="fi-FI"/>
    </w:rPr>
  </w:style>
  <w:style w:type="paragraph" w:styleId="Sisluet1">
    <w:name w:val="toc 1"/>
    <w:basedOn w:val="Normaali"/>
    <w:next w:val="Normaali"/>
    <w:autoRedefine/>
    <w:uiPriority w:val="39"/>
    <w:unhideWhenUsed/>
    <w:rsid w:val="004B2B85"/>
    <w:pPr>
      <w:tabs>
        <w:tab w:val="clear" w:pos="2608"/>
        <w:tab w:val="clear" w:pos="5670"/>
      </w:tabs>
      <w:spacing w:after="100"/>
    </w:pPr>
  </w:style>
  <w:style w:type="paragraph" w:styleId="Sisluet2">
    <w:name w:val="toc 2"/>
    <w:basedOn w:val="Normaali"/>
    <w:next w:val="Normaali"/>
    <w:autoRedefine/>
    <w:uiPriority w:val="39"/>
    <w:unhideWhenUsed/>
    <w:rsid w:val="004B2B85"/>
    <w:pPr>
      <w:tabs>
        <w:tab w:val="clear" w:pos="2608"/>
        <w:tab w:val="clear" w:pos="5670"/>
      </w:tabs>
      <w:spacing w:after="100"/>
      <w:ind w:left="210"/>
    </w:pPr>
  </w:style>
  <w:style w:type="paragraph" w:customStyle="1" w:styleId="VMluettelonumeroin">
    <w:name w:val="VM_luettelo_numeroin"/>
    <w:basedOn w:val="Leipteksti"/>
    <w:qFormat/>
    <w:rsid w:val="00177539"/>
    <w:pPr>
      <w:numPr>
        <w:numId w:val="28"/>
      </w:numPr>
      <w:tabs>
        <w:tab w:val="clear" w:pos="2608"/>
        <w:tab w:val="clear" w:pos="5670"/>
      </w:tabs>
      <w:spacing w:after="0" w:line="240" w:lineRule="auto"/>
      <w:ind w:left="2965" w:hanging="357"/>
    </w:pPr>
    <w:rPr>
      <w:rFonts w:ascii="Times New Roman" w:eastAsia="Times New Roman" w:hAnsi="Times New Roman" w:cs="Times New Roman"/>
      <w:sz w:val="24"/>
      <w:szCs w:val="24"/>
      <w:lang w:eastAsia="fi-FI"/>
    </w:rPr>
  </w:style>
  <w:style w:type="paragraph" w:customStyle="1" w:styleId="VMleipteksti">
    <w:name w:val="VM_leipäteksti"/>
    <w:basedOn w:val="VMNormaaliSisentmtn"/>
    <w:qFormat/>
    <w:rsid w:val="00C12F9B"/>
    <w:pPr>
      <w:ind w:left="2608"/>
    </w:pPr>
    <w:rPr>
      <w:szCs w:val="24"/>
    </w:rPr>
  </w:style>
  <w:style w:type="table" w:styleId="Vaalearuudukkotaulukko1-korostus1">
    <w:name w:val="Grid Table 1 Light Accent 1"/>
    <w:basedOn w:val="Normaalitaulukko"/>
    <w:uiPriority w:val="46"/>
    <w:rsid w:val="00A847B3"/>
    <w:rPr>
      <w:rFonts w:ascii="Times New Roman" w:eastAsia="Times New Roman" w:hAnsi="Times New Roman" w:cs="Times New Roman"/>
      <w:sz w:val="20"/>
      <w:szCs w:val="20"/>
      <w:lang w:eastAsia="fi-FI"/>
    </w:rPr>
    <w:tblPr>
      <w:tblStyleRowBandSize w:val="1"/>
      <w:tblStyleColBandSize w:val="1"/>
      <w:tblBorders>
        <w:insideH w:val="single" w:sz="4" w:space="0" w:color="auto"/>
        <w:insideV w:val="single" w:sz="4" w:space="0" w:color="auto"/>
      </w:tblBorders>
    </w:tblPr>
    <w:tblStylePr w:type="firstRow">
      <w:rPr>
        <w:b/>
        <w:bCs/>
      </w:rPr>
      <w:tblPr/>
      <w:tcPr>
        <w:tcBorders>
          <w:bottom w:val="single" w:sz="12" w:space="0" w:color="8299DB" w:themeColor="accent1" w:themeTint="99"/>
        </w:tcBorders>
      </w:tcPr>
    </w:tblStylePr>
    <w:tblStylePr w:type="lastRow">
      <w:rPr>
        <w:b/>
        <w:bCs/>
      </w:rPr>
      <w:tblPr/>
      <w:tcPr>
        <w:tcBorders>
          <w:top w:val="double" w:sz="2" w:space="0" w:color="8299DB" w:themeColor="accent1" w:themeTint="99"/>
        </w:tcBorders>
      </w:tcPr>
    </w:tblStylePr>
    <w:tblStylePr w:type="firstCol">
      <w:rPr>
        <w:b/>
        <w:bCs/>
      </w:rPr>
    </w:tblStylePr>
    <w:tblStylePr w:type="lastCol">
      <w:rPr>
        <w:b/>
        <w:bCs/>
      </w:rPr>
    </w:tblStylePr>
  </w:style>
  <w:style w:type="paragraph" w:styleId="Sisluet3">
    <w:name w:val="toc 3"/>
    <w:basedOn w:val="Normaali"/>
    <w:next w:val="Normaali"/>
    <w:autoRedefine/>
    <w:uiPriority w:val="39"/>
    <w:unhideWhenUsed/>
    <w:rsid w:val="00BB3D9B"/>
    <w:pPr>
      <w:tabs>
        <w:tab w:val="clear" w:pos="2608"/>
        <w:tab w:val="clear" w:pos="5670"/>
      </w:tabs>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bitstream/handle/10024/163709/VN_2021_95.pdf?sequence=1&amp;isAllowed=y" TargetMode="External"/><Relationship Id="rId2" Type="http://schemas.openxmlformats.org/officeDocument/2006/relationships/hyperlink" Target="https://julkaisut.valtioneuvosto.fi/handle/10024/163185" TargetMode="External"/><Relationship Id="rId1" Type="http://schemas.openxmlformats.org/officeDocument/2006/relationships/hyperlink" Target="https://julkaisut.valtioneuvosto.fi/bitstream/handle/10024/163185/VM_2021_30.pdf?sequence=1&amp;isAllowed=y" TargetMode="External"/><Relationship Id="rId4" Type="http://schemas.openxmlformats.org/officeDocument/2006/relationships/hyperlink" Target="https://julkaisut.valtioneuvosto.fi/handle/10024/1628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9933\AppData\Roaming\Microsoft\Mallit\Valtiovarainministeri&#246;n%20viralliset%20pohjat\Word\VM_paatos_FI.dotx" TargetMode="External"/></Relationships>
</file>

<file path=word/theme/theme1.xml><?xml version="1.0" encoding="utf-8"?>
<a:theme xmlns:a="http://schemas.openxmlformats.org/drawingml/2006/main" name="Office-teema">
  <a:themeElements>
    <a:clrScheme name="VM2019">
      <a:dk1>
        <a:sysClr val="windowText" lastClr="000000"/>
      </a:dk1>
      <a:lt1>
        <a:sysClr val="window" lastClr="FFFFFF"/>
      </a:lt1>
      <a:dk2>
        <a:srgbClr val="365ABD"/>
      </a:dk2>
      <a:lt2>
        <a:srgbClr val="E7E6E6"/>
      </a:lt2>
      <a:accent1>
        <a:srgbClr val="365ABD"/>
      </a:accent1>
      <a:accent2>
        <a:srgbClr val="1B365D"/>
      </a:accent2>
      <a:accent3>
        <a:srgbClr val="A34E96"/>
      </a:accent3>
      <a:accent4>
        <a:srgbClr val="479A36"/>
      </a:accent4>
      <a:accent5>
        <a:srgbClr val="728CD1"/>
      </a:accent5>
      <a:accent6>
        <a:srgbClr val="6D6E7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C16FD-B814-4F47-BD79-FCD6F0303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8A64D8-8071-4D26-875E-D4C18FB70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42DB7-45C9-4197-824E-AD9EE7AB2C86}">
  <ds:schemaRefs>
    <ds:schemaRef ds:uri="http://schemas.microsoft.com/sharepoint/v3/contenttype/forms"/>
  </ds:schemaRefs>
</ds:datastoreItem>
</file>

<file path=customXml/itemProps4.xml><?xml version="1.0" encoding="utf-8"?>
<ds:datastoreItem xmlns:ds="http://schemas.openxmlformats.org/officeDocument/2006/customXml" ds:itemID="{2B97F3EF-22BD-46E0-A467-3A969976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VM_paatos_FI.dotx</Template>
  <TotalTime>124</TotalTime>
  <Pages>14</Pages>
  <Words>4153</Words>
  <Characters>33640</Characters>
  <Application>Microsoft Office Word</Application>
  <DocSecurity>0</DocSecurity>
  <Lines>280</Lines>
  <Paragraphs>75</Paragraphs>
  <ScaleCrop>false</ScaleCrop>
  <HeadingPairs>
    <vt:vector size="2" baseType="variant">
      <vt:variant>
        <vt:lpstr>Otsikko</vt:lpstr>
      </vt:variant>
      <vt:variant>
        <vt:i4>1</vt:i4>
      </vt:variant>
    </vt:vector>
  </HeadingPairs>
  <TitlesOfParts>
    <vt:vector size="1" baseType="lpstr">
      <vt:lpstr>VALTIONEUVOSTON PERIAATEPÄÄTÖS TEKNOLOGIAPOLITIIKASTA</vt:lpstr>
    </vt:vector>
  </TitlesOfParts>
  <Company>Valtiovarainministeriö</Company>
  <LinksUpToDate>false</LinksUpToDate>
  <CharactersWithSpaces>37718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VALTIONEUVOSTON PERIAATEPÄÄTÖS TEKNOLOGIAPOLITIIKASTA</dc:title>
  <dc:creator>VM</dc:creator>
  <cp:lastModifiedBy>Laaksonen Pirre (VM)</cp:lastModifiedBy>
  <cp:revision>28</cp:revision>
  <cp:lastPrinted>2022-03-23T14:12:00Z</cp:lastPrinted>
  <dcterms:created xsi:type="dcterms:W3CDTF">2022-03-18T10:54:00Z</dcterms:created>
  <dcterms:modified xsi:type="dcterms:W3CDTF">2022-03-25T14:07:00Z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