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43" w:rsidRDefault="00B13243" w:rsidP="00A44949">
      <w:pPr>
        <w:rPr>
          <w:szCs w:val="22"/>
        </w:rPr>
      </w:pPr>
      <w:r>
        <w:rPr>
          <w:szCs w:val="22"/>
        </w:rPr>
        <w:t>Turun seudun maistraatti</w:t>
      </w:r>
      <w:r>
        <w:rPr>
          <w:szCs w:val="22"/>
        </w:rPr>
        <w:tab/>
      </w:r>
      <w:r>
        <w:rPr>
          <w:szCs w:val="22"/>
        </w:rPr>
        <w:tab/>
      </w:r>
      <w:r>
        <w:rPr>
          <w:szCs w:val="22"/>
        </w:rPr>
        <w:tab/>
      </w:r>
      <w:r>
        <w:rPr>
          <w:szCs w:val="22"/>
        </w:rPr>
        <w:tab/>
      </w:r>
      <w:r>
        <w:rPr>
          <w:szCs w:val="22"/>
        </w:rPr>
        <w:tab/>
        <w:t>19.3.2010</w:t>
      </w:r>
    </w:p>
    <w:p w:rsidR="00B13243" w:rsidRDefault="00B13243" w:rsidP="00A44949">
      <w:pPr>
        <w:rPr>
          <w:szCs w:val="22"/>
        </w:rPr>
      </w:pPr>
      <w:r>
        <w:rPr>
          <w:szCs w:val="22"/>
        </w:rPr>
        <w:t>Holhoustoimi</w:t>
      </w:r>
    </w:p>
    <w:p w:rsidR="00B13243" w:rsidRDefault="00B13243" w:rsidP="00A44949">
      <w:pPr>
        <w:rPr>
          <w:szCs w:val="22"/>
        </w:rPr>
      </w:pPr>
    </w:p>
    <w:p w:rsidR="00B13243" w:rsidRDefault="00B13243" w:rsidP="00A44949">
      <w:pPr>
        <w:rPr>
          <w:szCs w:val="22"/>
        </w:rPr>
      </w:pPr>
    </w:p>
    <w:p w:rsidR="00B13243" w:rsidRDefault="00B13243" w:rsidP="004566E8">
      <w:pPr>
        <w:rPr>
          <w:szCs w:val="22"/>
        </w:rPr>
      </w:pPr>
      <w:r>
        <w:rPr>
          <w:szCs w:val="22"/>
        </w:rPr>
        <w:t>Lausunnon antaminen edunvalvojien valvonnan ajanmukaistamista koskevasta oikeusministeriön mietinnöstä (Julkaisu 4/2010 - mietintöjä ja lausuntoja)</w:t>
      </w:r>
    </w:p>
    <w:p w:rsidR="00B13243" w:rsidRDefault="00B13243" w:rsidP="00A44949">
      <w:pPr>
        <w:rPr>
          <w:szCs w:val="22"/>
        </w:rPr>
      </w:pPr>
    </w:p>
    <w:p w:rsidR="00B13243" w:rsidRDefault="00B13243" w:rsidP="00A44949">
      <w:pPr>
        <w:rPr>
          <w:szCs w:val="22"/>
        </w:rPr>
      </w:pPr>
    </w:p>
    <w:p w:rsidR="00B13243" w:rsidRPr="00076B92" w:rsidRDefault="00B13243" w:rsidP="00A44949">
      <w:pPr>
        <w:rPr>
          <w:i/>
        </w:rPr>
      </w:pPr>
      <w:r w:rsidRPr="00076B92">
        <w:rPr>
          <w:i/>
        </w:rPr>
        <w:t>Yleistä</w:t>
      </w:r>
      <w:r w:rsidRPr="00076B92">
        <w:rPr>
          <w:i/>
        </w:rPr>
        <w:tab/>
      </w:r>
    </w:p>
    <w:p w:rsidR="00B13243" w:rsidRPr="004566E8" w:rsidRDefault="00B13243" w:rsidP="00A44949"/>
    <w:p w:rsidR="00B13243" w:rsidRDefault="00B13243" w:rsidP="004566E8">
      <w:r w:rsidRPr="004566E8">
        <w:t xml:space="preserve">Turun seudun maistraatti pitää myönteisenä sitä, että edunvalvojien valvontaa pyritään uudistamaan ja tehostamaan niin, että </w:t>
      </w:r>
      <w:r>
        <w:t xml:space="preserve">viranomaisten </w:t>
      </w:r>
      <w:r w:rsidRPr="004566E8">
        <w:t>väheneviä resursseja voidaan käyttää tarkoituksenmukaiseen toimintaan</w:t>
      </w:r>
      <w:r>
        <w:t xml:space="preserve">. </w:t>
      </w:r>
      <w:r w:rsidRPr="004566E8">
        <w:t xml:space="preserve"> </w:t>
      </w:r>
    </w:p>
    <w:p w:rsidR="00B13243" w:rsidRDefault="00B13243" w:rsidP="004566E8"/>
    <w:p w:rsidR="00B13243" w:rsidRDefault="00B13243" w:rsidP="004566E8">
      <w:r>
        <w:t xml:space="preserve">Niiltä osin kuin maistraatti ei erikseen ole kommentoinut työryhmän mietinnössä olevia ehdotuksia ja näkemyksiä, maistraatti pitää niitä kannatettavina. </w:t>
      </w:r>
    </w:p>
    <w:p w:rsidR="00B13243" w:rsidRDefault="00B13243" w:rsidP="004566E8"/>
    <w:p w:rsidR="00B13243" w:rsidRDefault="00B13243" w:rsidP="004566E8"/>
    <w:p w:rsidR="00B13243" w:rsidRPr="00076B92" w:rsidRDefault="00B13243" w:rsidP="004566E8">
      <w:pPr>
        <w:rPr>
          <w:i/>
        </w:rPr>
      </w:pPr>
      <w:r w:rsidRPr="00076B92">
        <w:rPr>
          <w:i/>
        </w:rPr>
        <w:t>Tilivelvollisuus, kun edunvalvojana on alaikäisen vanhempi</w:t>
      </w:r>
    </w:p>
    <w:p w:rsidR="00B13243" w:rsidRDefault="00B13243" w:rsidP="004566E8"/>
    <w:p w:rsidR="00B13243" w:rsidRDefault="00B13243" w:rsidP="004566E8">
      <w:r>
        <w:t xml:space="preserve">Maistraatti pitää alaikäisten lakimääräisten edunvalvojien holhousrekisteriin merkitsemisen tulorajan nostamista 20.000 euroon kyseenalaisena keinona keventää tiettyjen edunvalvojien ja toisaalta maistraattien vuositileihin liittyviä velvoitteita. Maistraatin käsityksen mukaan rajan nostaminen vaarantaisi erityisesti vähävaraisten alaikäisten päämiesten oikeusturvaa entisestään. </w:t>
      </w:r>
    </w:p>
    <w:p w:rsidR="00B13243" w:rsidRDefault="00B13243" w:rsidP="004566E8"/>
    <w:p w:rsidR="00B13243" w:rsidRDefault="00B13243" w:rsidP="004566E8">
      <w:r>
        <w:t xml:space="preserve">Kymmenessä vuoden ajalta tilintarkastuksessa saadun käytännön kokemuksen perusteella näyttäisi siltä, että kaikista edunvalvonnoista eniten päämiehen omaisuuden väärinkäyttöön liittyviä ongelmia ilmenee alaikäisten päämiesten lakimääräisissä edunvalvonnoissa, erityisesti tilanteissa, joissa lapset saavat vakuutuskorvauksia tai perintöä. </w:t>
      </w:r>
    </w:p>
    <w:p w:rsidR="00B13243" w:rsidRDefault="00B13243" w:rsidP="004566E8"/>
    <w:p w:rsidR="00B13243" w:rsidRDefault="00B13243" w:rsidP="004566E8">
      <w:r>
        <w:t xml:space="preserve">Työryhmä on mietinnössään käynyt läpi vanhempien tilivelvollisuutta koskevia pääperiaatteita, jotka lähtevät lapsen edun suojaamisesta. Näistä periaatteista ja käytännön valvontatoiminnassa ilmi tulleista ongelmista huolimatta työryhmä esittää vanhemman valvonnan alarajan korottamista. Perusteluina esitetään rahan reaaliarvon muutosta, ihmisten lisääntyneen varallisuuden valvonnan aiheuttamaa työtaakkaa sekä sitä, että vanhempien vastuukykyisyys on lisääntynyt. Vanhempien vastuukykyisyyden vuoksi voidaan työryhmän mielestä hyväksyä aikaisempaa jossakin määrin suuremmat riskit. Maistraatin käsityksen mukaan yleinen vanhempien vastuukykyisyyden kasvu ei auta nimenomaan niihin tilanteisiin, joissa suurimmat riskit esiintyvät. Yleensä niillä vanhemmilla, jotka päätyvät käyttämään lastensa varoja väärin, vastuukykyisyys on päinvastoin keskimääräistä huonompi. </w:t>
      </w:r>
    </w:p>
    <w:p w:rsidR="00B13243" w:rsidRDefault="00B13243" w:rsidP="004566E8"/>
    <w:p w:rsidR="00B13243" w:rsidRDefault="00B13243" w:rsidP="004566E8">
      <w:r>
        <w:t xml:space="preserve">Valtaosa alaikäisten vanhemmista hoitaa lastensa tuloja ja varoja erinomaisen hyvin, ja on luonnollista, että he kyseenalaistavat viranomaisvalvonnan perusteet esimerkiksi silloin, kun he itse ovat kartuttamassa lapsensa varoja. Viime kädessä joudutaankin punnitsemaan sitä, mikä on suurempi paha: se, että hyvin asiansa hoitavat vanhemmat joutuvat tekemään tiliä lapsensa asioidensa hoidosta, vai se, että ilman tätä valvontaa tiedetään ei-aivan-merkityksettömän joukon alaikäisiä joutuvan kokemaan sen, että heidän varansa käytetään muihin kuin heidän omiin tarpeisiinsa.   </w:t>
      </w:r>
    </w:p>
    <w:p w:rsidR="00B13243" w:rsidRDefault="00B13243" w:rsidP="004566E8"/>
    <w:p w:rsidR="00B13243" w:rsidRDefault="00B13243" w:rsidP="004566E8">
      <w:r>
        <w:t xml:space="preserve">Miksi ainoastaan alaikäisten päämiesten alle 20.000 euron omaisuus halutaan jättää valvomatta? Miten tämä on suhteutettavissa lapsioikeuden kantavaan periaatteeseen siitä, että lapsen etu tulee häntä koskevissa asioissa ottaa aina ensisijaiseksi harkintakriteeriksi? Entä tasa-arvonäkökulma? Jos tehdään periaatteellinen päätös siitä, ettei vähäisten (onko 19.999 euroa vähäinen summa?) varojen säilymistä tarvitse valvoa, miksei tätä uloteta koskemaan sekä täysi- että alaikäisiä päämiehiä? </w:t>
      </w:r>
    </w:p>
    <w:p w:rsidR="00B13243" w:rsidRDefault="00B13243" w:rsidP="004566E8"/>
    <w:p w:rsidR="00B13243" w:rsidRDefault="00B13243" w:rsidP="004566E8">
      <w:r>
        <w:t xml:space="preserve">Täysi-ikäisten edunvalvonnoissa edunvalvojalle on mahdollista kertoa etukäteen varojen erillisyyden periaatteesta sekä siitä, miten päämiehen tuloja ja varoja saa käyttää. Silti täysi-ikäistenkin tilivalvonnan yhteydessä havaitaan, että yksityisten läheisedunvalvojien saattaa olla yhtä lailla vaikeaa muistaa, että päämiehen varoja saa käyttää vain hänen omiin tarpeisiinsa. Täysi-ikäisten päämiesten kuoleman jälkeen edunvalvojan toimia ovat useimmiten asettamassa vastuuseen (maistraatin tuella ja päätöstilin avulla) aikuiset, täysivaltaiset pesän osakkaat, toisin kuin vasta täysi-ikäistyneiden nuorten tapauksessa.  </w:t>
      </w:r>
    </w:p>
    <w:p w:rsidR="00B13243" w:rsidRDefault="00B13243" w:rsidP="004566E8"/>
    <w:p w:rsidR="00B13243" w:rsidRDefault="00B13243" w:rsidP="004566E8">
      <w:r>
        <w:t xml:space="preserve">Alaikäisten edunvalvojien valvontaa tulisi mieluummin kehittää väärinymmärryksiä ja väärinkäytöksiä ennalta ehkäisevään suuntaan, luoden samalla edellytyksiä helpottaa valvontaa yksilöllisesti silloin, kun se on ilmeisen tarpeetonta. Tämän lisäksi pitäisi panostaa lakimääräisten edunvalvojien opastamiseen erityisesti niissä tilanteissa, kun lapsi esimerkiksi vanhemman kuoleman tai perinnöstä luopumisen jälkeen saa äkillisesti varoja. </w:t>
      </w:r>
    </w:p>
    <w:p w:rsidR="00B13243" w:rsidRDefault="00B13243" w:rsidP="004566E8"/>
    <w:p w:rsidR="00B13243" w:rsidRDefault="00B13243" w:rsidP="000D5A73">
      <w:r>
        <w:t xml:space="preserve">Alarajaa ei myöskään tulisi korottaa hätiköiden, ennen kuin asiaa on selvitetty paremmin tekemällä esimerkiksi maistraateille kysely siitä, kuinka paljon väärinkäytöksiä alaikäisten edunvalvonnoissa tapahtuu ja minkälaisissa tilanteissa niitä ilmenee.  </w:t>
      </w:r>
    </w:p>
    <w:p w:rsidR="00B13243" w:rsidRDefault="00B13243" w:rsidP="004566E8"/>
    <w:p w:rsidR="00B13243" w:rsidRDefault="00B13243" w:rsidP="004566E8"/>
    <w:p w:rsidR="00B13243" w:rsidRPr="00076B92" w:rsidRDefault="00B13243" w:rsidP="004566E8">
      <w:pPr>
        <w:rPr>
          <w:i/>
        </w:rPr>
      </w:pPr>
      <w:r w:rsidRPr="00076B92">
        <w:rPr>
          <w:i/>
        </w:rPr>
        <w:t>Käytännön ehdotuksia alaikäisten valvontaan</w:t>
      </w:r>
    </w:p>
    <w:p w:rsidR="00B13243" w:rsidRDefault="00B13243" w:rsidP="004566E8"/>
    <w:p w:rsidR="00B13243" w:rsidRDefault="00B13243" w:rsidP="004566E8">
      <w:r>
        <w:t xml:space="preserve">Alaikäisten valvonnan rekisteröinnin alaraja tulisi säilyttää. Lisäksi voitaisiin säätää mahdollisuus jättää rekisteröinti tekemättä suurin piirtein samoilla perusteilla kuin edunvalvoja voidaan vapauttaa tilivelvollisuudesta. Eli jos alaikäisen varat on talletettu estotilille tai hänen omaisuutensa on muutoin sen laatuista, ettei valvonta ole tarpeen (omaisuus on esim. maistraatin luvan varaista), ja hänen mahdolliset tulonsa ovat sen suuruisia, että niiden voidaan katsoa menevän elämiseen, rekisteröintiä ei tarvittaisi. Ei tunnu järkevältä, että edunvalvojan toiminnan valvomiseksi alaikäisen edunvalvonta ensin merkitään rekisteriin, ja sen jälkeen heti tehdään päätös tilivelvollisuudesta vapauttamisesta. Mikä rekisteröinnin funktio olisi tällaisessa tapauksessa? Edellä mainitulla tavalla alaikäisten edunvalvojien velvoitteita ja maistraatin tarkastustyötä voitaisiin keventää oikeista paikoista, eli sieltä, missä riskit ovat vähäisimmät.  </w:t>
      </w:r>
    </w:p>
    <w:p w:rsidR="00B13243" w:rsidRDefault="00B13243" w:rsidP="004566E8"/>
    <w:p w:rsidR="00B13243" w:rsidRDefault="00B13243" w:rsidP="004566E8">
      <w:r>
        <w:t>Mietinnössä on ehdotettu, että alaikäisen edunvalvonta voitaisiin poistaa holhousasioiden rekisteristä, kun alaikäisen omaisuuden arvo on pysyväisluontoisesti vähentynyt selvästi alle sen määrän, jonka johdosta edunvalvonta rekisteröitiin. Ehdotus on periaatteeltaan kannatettava. Maistraatti ehdottaa lisäksi, että alaikäisen edunvalvonta voitaisiin poistaa rekisteristä myös siinä tapauksessa, että päämiehen likvidi omaisuus laskee alle alarajan, ja muut varat on sijoitettu esimerkiksi estotilille tai on sen laatuista, että sen luovuttamiseen vaaditaan maistraatin lupa. Käytännössä nämä olisivat jälleen periaatteessa samat edellytykset, jolloin päämies yleensä voitaisiin vapauttaa tilintarkastuksesta, tai maistraatin edellisessä kappaleessa tekemän ehdotuksen mukaan edunvalvonnan rekisteröinti voitaisiin jättää tekemättä alarajan ylittymisestä huolimatta.</w:t>
      </w:r>
    </w:p>
    <w:p w:rsidR="00B13243" w:rsidRDefault="00B13243" w:rsidP="004566E8"/>
    <w:p w:rsidR="00B13243" w:rsidRDefault="00B13243" w:rsidP="004566E8">
      <w:r>
        <w:t xml:space="preserve">Olisi myös tarpeen selvittää, onko syytä ohjata suoraan estotileille tyypillisesti kaikkein riskialtteimmat lapsille tulevat rahasuoritukset (esim. henkivakuutuskorvaukset). Estotileillä olevien varojen hoitoa ei tarvitse erikseen valvoa, jos niihin ei kosketa. Jos vanhemmalla on tarve käyttää näitä varoja lapsen tarpeisiin, hän samalla ohjautuisi alusta lähtien holhousviranomaisen opastuksen piiriin, jolloin jälkiselvittelyjen tarve tilintarkastuksen yhteydessä voisi vähentyä huomattavastikin. Samalla voitaisiin estää lapsen varojen lopulliset menetykset tilanteissa, joissa edunvalvojalla ei ole mahdollisuutta maksaa takaisin väärin käyttämiään varoja. Luonnollisesti estotilien käyttö lisäisi maistraatin etukäteistä tarkoituksenmukaisuusharkintaa lupa-asioiden lisääntymisenä. Samalla kuitenkin päämiehen menojen </w:t>
      </w:r>
      <w:r w:rsidRPr="00723CCE">
        <w:rPr>
          <w:i/>
        </w:rPr>
        <w:t xml:space="preserve">tarkoituksenmukaisuuden </w:t>
      </w:r>
      <w:r>
        <w:t xml:space="preserve">tarkastaminen, joka nyt tehdään vasta jälkikäteen tilintarkastuksen yhteydessä, tulisi tehtyä. Jälkikäteisessä tilintarkastuksessa tehtäväksi jäisi lähinnä tositteen olemassaolon tarkastaminen. </w:t>
      </w:r>
    </w:p>
    <w:p w:rsidR="00B13243" w:rsidRDefault="00B13243" w:rsidP="004566E8"/>
    <w:p w:rsidR="00B13243" w:rsidRDefault="00B13243" w:rsidP="004566E8"/>
    <w:p w:rsidR="00B13243" w:rsidRPr="00076B92" w:rsidRDefault="00B13243" w:rsidP="004C1243">
      <w:pPr>
        <w:rPr>
          <w:i/>
        </w:rPr>
      </w:pPr>
      <w:r w:rsidRPr="00076B92">
        <w:rPr>
          <w:i/>
        </w:rPr>
        <w:t>Tilintarkastuksen keventäminen ja tilivelvollisuudesta vapauttaminen</w:t>
      </w:r>
    </w:p>
    <w:p w:rsidR="00B13243" w:rsidRDefault="00B13243" w:rsidP="004C1243"/>
    <w:p w:rsidR="00B13243" w:rsidRDefault="00B13243" w:rsidP="00F166A5">
      <w:r>
        <w:t xml:space="preserve">Valvonnan ja tilintarkastuksen keventäminen säilyttämällä nykyiset rakenteet ja toimintatavat, ja samalla juustohöylänomaisesti kaikkea tilintarkastusta tasaisesti huonontamalla tulee ennen pitkää vaarantamaan päämiesten oikeusturvan. Jossakin kohtaa useimmissa järjestelmissä tulee eteen tilanne, jossa ne eivät enää pysty kantamaan jatkuvaa määrien kasvua ja romahtavat, jos ei itse rakenteita muuteta. Hallittu rakenteiden muuttaminen lienee parempi vaihtoehto kuin se, että annetaan vanhan järjestelmän luuhistua oman painonsa alle?    </w:t>
      </w:r>
    </w:p>
    <w:p w:rsidR="00B13243" w:rsidRDefault="00B13243" w:rsidP="00F166A5"/>
    <w:p w:rsidR="00B13243" w:rsidRDefault="00B13243" w:rsidP="00F166A5">
      <w:r>
        <w:t>Yleispiirteisemmän tilintarkastuksen ja hyvän tilintarkastustavan kehittäminen on tarkoituksenmukaista, kunhan kartoitetaan riskit, jotka liittyvät toisaalta tiettyihin tilanteisiin ja päämies-/edunvalvojaryhmiin, ja toisaalta yksittäisiin edunvalvontoihin, sekä luonnollisesti kaavailtuihin tarkastustapoihin. Kartoituksen pohjalta on mietittävissä systeemejä, joiden avulla riskialttiit oikeustoimet saadaan kiinni. Hyvä tilintarkastustapa ei saisi tarkoittaa sitä, että kaikkien kanssa toimitaan samalla tavalla (kuten nykyisin), vaan että erilaisiin tilanteisiin ja päämiesryhmiin sovelletaan kullekin tarkoituksenmukaisia tapoja. Ehdotetut lainsäädännön muutokset näyttäisivät antavan hyviä mahdollisuuksia tällaiseen toimintaan.</w:t>
      </w:r>
    </w:p>
    <w:p w:rsidR="00B13243" w:rsidRDefault="00B13243" w:rsidP="004C1243"/>
    <w:p w:rsidR="00B13243" w:rsidRDefault="00B13243" w:rsidP="004C1243">
      <w:r>
        <w:t xml:space="preserve">Maistraatti esittää, että holhousviranomaisella voisi tietyissä tilanteissa olla mahdollisuus vapauttaa yleinen edunvalvoja säännöllisestä tilinvelvollisuudesta, vaikka omaisuuden määrään tai laatuun liittyvät vapauttamiskriteerit eivät täyttyisikään. Vapauttaminen olisi mahdollista, jos tilintarkastus järjestettäisiin suunnitelmallisesti ja vuorotellen osin erilaisiin päämiehen talouteen liittyviin teemoihin keskittyen, osin pistokokeita ja osin tietotekniikkaan perustuvaa automaattista tilintarkastusta hyödyntäen. Tällaiset päätökset olisi mahdollista tehdä siten, että ne koskisivat joko tietyn oikeusaputoimiston kaikkia yleisiä edunvalvojia, tai jopa laajempaa joukkoa yleisiä edunvalvojia. Päätökset voisivat olla sen kaltaisia, että esimerkiksi vuosittain tai muun ajanjakson välein maistraatti voisi ilmoittaa, mihin kyseisenä vuonna keskitytään tai mitkä muut määräykset koskevat kyseisen vuoden /ajanjakson tilintarkastusta.   </w:t>
      </w:r>
    </w:p>
    <w:p w:rsidR="00B13243" w:rsidRDefault="00B13243" w:rsidP="004C1243"/>
    <w:p w:rsidR="00B13243" w:rsidRDefault="00B13243" w:rsidP="004C1243">
      <w:r>
        <w:t xml:space="preserve">Päätöstilin osalta maistraatti esittää, että jos edunvalvoja on vapautettu vuositilin antamisesta sillä perusteella, että hoidettavat tulot ja varat ovat vähäiset, edunvalvoja voisi antaa päätöstilin sijaan ”päätösomaisuusluettelon”. Lisäksi edunvalvoja voisi antaa yleispiirteisen, sanallisen selvityksen päämiehen tilanteesta ja olosuhteista edunvalvonnan aikana, sekä sinä aika tapahtuneista merkittävämmistä asioista. Vähävaraisen ja pienituloisen päämiehen edunvalvojan tehtävä käsittää lähinnä huolehtimista päämiehen jokapäiväisistä tarpeista ja hyvinvoinnista, ja niihin liittyvien laskujen maksamisesta. Jos holhousviranomaisen tulee siihen tulokseen, että edunvalvojan voidaan luottaa hoitavan nämä asiat ilman valvontaakin, edunvalvoja voidaan vapauttaa tilivelvollisuudesta. Jos kävisi niin, ettei edunvalvoja olekaan huolehtinut näistä asioista, ja tämä seikka ilmenee vasta päämiehen kuoleman jälkeen, ei jälkikäteen tapahtuvalla kontrollilla enää voida poistaa tapahtunutta vahinkoa. </w:t>
      </w:r>
    </w:p>
    <w:p w:rsidR="00B13243" w:rsidRDefault="00B13243" w:rsidP="004C1243"/>
    <w:p w:rsidR="00B13243" w:rsidRDefault="00B13243" w:rsidP="004C1243">
      <w:r w:rsidRPr="00076B92">
        <w:rPr>
          <w:i/>
        </w:rPr>
        <w:t>Allekirjoittaneen henkikirjoittajan ehdotuksia tulevaisuuden tilintarkastuksen pohjaksi</w:t>
      </w:r>
      <w:r>
        <w:t>.</w:t>
      </w:r>
    </w:p>
    <w:p w:rsidR="00B13243" w:rsidRDefault="00B13243" w:rsidP="004C1243"/>
    <w:p w:rsidR="00B13243" w:rsidRDefault="00B13243" w:rsidP="004C1243">
      <w:r>
        <w:t xml:space="preserve">Katson, että todellisia resurssisäästöjä saavutettaisiin todellisilla rakenteellisilla muutoksilla, joista alla on esitetty ehdotuksia mietinnän pohjaksi. Lausunto on alun perin tarkoitettu kommentiksi ja ehdotuksiksi holhoustoimen tehtävien erikoistumiseen ja keskittämiseen. </w:t>
      </w:r>
    </w:p>
    <w:p w:rsidR="00B13243" w:rsidRPr="00076B92" w:rsidRDefault="00B13243" w:rsidP="00076B92">
      <w:r>
        <w:t xml:space="preserve">” </w:t>
      </w:r>
      <w:r w:rsidRPr="00076B92">
        <w:t xml:space="preserve">Tilintarkastusta ja valvontaa tulisi tarkastella kokonaan uudella tavalla. Vanhan mallinen, kaikille tiettyä lomaketta käyttävä tilin tekeminen ei ole käsittääkseni kovinkaan yksinkertaisesti – jos ollenkaan - keskitettävissä tai tehostettavissa niin, että se oikeasti säästäisi resursseja ja olisi laadukasta. </w:t>
      </w:r>
    </w:p>
    <w:p w:rsidR="00B13243" w:rsidRPr="00076B92" w:rsidRDefault="00B13243" w:rsidP="00076B92">
      <w:r w:rsidRPr="00076B92">
        <w:t xml:space="preserve">Yleisten edunvalvojien tilintarkastus voidaan ensinnäkin eriyttää yksityisten tilintarkastuksesta, ja kehittää kummallekin omat järjestelmänsä, joita tarkastetaan eri tavoin. Nämä tavat voisivat sisältyä hyvää tilintarkastustapaa koskevaan ohjeistukseen. Lisäksi kumpaankin tapaan tulisi kehittää mahdollisimman hyviä sähköisiä ja pitkälle automatisoituja järjestelmiä.     </w:t>
      </w:r>
    </w:p>
    <w:p w:rsidR="00B13243" w:rsidRDefault="00B13243" w:rsidP="00076B92"/>
    <w:p w:rsidR="00B13243" w:rsidRPr="009B1B52" w:rsidRDefault="00B13243" w:rsidP="00076B92">
      <w:pPr>
        <w:rPr>
          <w:b/>
        </w:rPr>
      </w:pPr>
      <w:r w:rsidRPr="009B1B52">
        <w:rPr>
          <w:b/>
        </w:rPr>
        <w:t xml:space="preserve">Yleisten edunvalvojien tilintarkastus </w:t>
      </w:r>
    </w:p>
    <w:p w:rsidR="00B13243" w:rsidRDefault="00B13243" w:rsidP="00076B92"/>
    <w:p w:rsidR="00B13243" w:rsidRDefault="00B13243" w:rsidP="00076B92">
      <w:r w:rsidRPr="00076B92">
        <w:t>On syytä tutkia, voisiko yleisten edunvalvojien osalta omaisuutta koskevan, sekä toisaalta tuloja ja menoja koskevan kirjanpidon eriyttää ja tarkastaa erikseen. Koska yleisten edunvalvojien omaisuus ja rahaliikenne joka tapauksessa kirjataan heidän asianhallintajärjestelmäänsä, voitaneen se saman tien rakentaa sellaiseksi, että omaisuutta koskeva kirjanpito tarkastetaan yhtenä kokonaisuutena, konsernikirjanpidon tapaisesti. Valvova maistraatti/tarkastusyksikkö voisi valvoa ja tarkastaa toimintaa lisäksi esimerkiksi edunvalvontatoimiston prosesseja ja rutiineja läpi käymällä, joko säännöllisesti tai pistokoepohjalta. Ja sen sijaan, että nykyisin ilmeisesti mietitään kokonaisten yleisten edunvalvojien yksiköiden yksityistämistä tai ulkoistamista, voitaisiinkin yksityistää/ulkoistaa pelkkä omaisuudenhoito (vrt. Tanskan malli). Tai oikeusaputoimistojen sisällä olisi omat omaisuudenhoitoyksiköt, jotka myös vastaisivat kyseisen yksikön kirjanpidosta ja tilien tekemisestä maistraatille.</w:t>
      </w:r>
    </w:p>
    <w:p w:rsidR="00B13243" w:rsidRPr="00076B92" w:rsidRDefault="00B13243" w:rsidP="00076B92"/>
    <w:p w:rsidR="00B13243" w:rsidRDefault="00B13243" w:rsidP="00076B92">
      <w:r w:rsidRPr="00076B92">
        <w:t>Vastaavasti tulo- ja menoliikennettä koskeva tilintarkastus voitaisiin systematisoida siten, että se rakennettaisiin esimerkiksi kahden tilintarkastustason pohjalta. Normaalitason tarkastus olisi yleispiirteisempää, ja sitä varten voitaisiin luoda sähköinen järjestelmä, joka automaattisesti kiinnittäisi huomion esimerkiksi tilin sisäisiin epäloogisuuksiin, ja tarkastaisi tietyt, tarkkaan mietityt asiat lomakkeista. Järjestelmä voisi siten jo poimia tarkempaa tarkastusta varten ne tilit, joissa on epäselviä kohtia. Tai näitä voitaisiin muulla tavoin katsoa yleispiirteisesti. Järjestelmään voitaisiin integroida esimerkiksi suorayhteyksiä pankkeihin, ulosottoon, lainhuutorekisteriin, verottajaan jne. Tämä integrointi tulisi tehdä myös omaisuuskirjanpitojärjestelmässä.</w:t>
      </w:r>
    </w:p>
    <w:p w:rsidR="00B13243" w:rsidRPr="00076B92" w:rsidRDefault="00B13243" w:rsidP="00076B92"/>
    <w:p w:rsidR="00B13243" w:rsidRDefault="00B13243" w:rsidP="00076B92">
      <w:r w:rsidRPr="00076B92">
        <w:t>Syvätason tilintarkastusta varten voitaisiin kehittää joko esimerkiksi määrävuosittaista ja/tai pistokokeenomaista tositteiden tarkastusta, sekä tiettyihin teemoihin (esimerkiksi käyttöraha, verotus, päämiehelle kuuluvat tuet jne), jolloin oikeasti päästäisiin tarkastamaan tarkemmin myös sellaisia asioita, joita nykyisenkaltaisessa tilintarkastuksessa ei pystytä tekemään kuin satunnaisesti. Eli samalla kuin tilintarkastus tehostuisi, myös se laatu paranisi.</w:t>
      </w:r>
    </w:p>
    <w:p w:rsidR="00B13243" w:rsidRPr="00076B92" w:rsidRDefault="00B13243" w:rsidP="00076B92"/>
    <w:p w:rsidR="00B13243" w:rsidRPr="00076B92" w:rsidRDefault="00B13243" w:rsidP="00076B92">
      <w:r w:rsidRPr="00076B92">
        <w:t xml:space="preserve">Norjassa ja Tanskassa päämiesten varoja hallinnoidaan holhousviranomaisessa vs. yksityisessä rahalaitoksessa. Näitä järjestelmiä kannattaisi tutkia tarkemmin sen selvittämiseksi, löytyykö sieltä käyttökelpoisia ideoita. Vastaavasti Ruotsissa muutamat suurimmat yliholhoojat ovat kehitelleet tilintarkastuksen systematisointia järjestelmässä, jossa päämiehen varoja ei hallinnoida viranomaisessa. </w:t>
      </w:r>
    </w:p>
    <w:p w:rsidR="00B13243" w:rsidRPr="00076B92" w:rsidRDefault="00B13243" w:rsidP="00076B92"/>
    <w:p w:rsidR="00B13243" w:rsidRPr="009B1B52" w:rsidRDefault="00B13243" w:rsidP="00076B92">
      <w:pPr>
        <w:rPr>
          <w:b/>
        </w:rPr>
      </w:pPr>
      <w:r w:rsidRPr="009B1B52">
        <w:rPr>
          <w:b/>
        </w:rPr>
        <w:t>Erikoistuminen ja keskittäminen</w:t>
      </w:r>
    </w:p>
    <w:p w:rsidR="00B13243" w:rsidRDefault="00B13243" w:rsidP="00076B92"/>
    <w:p w:rsidR="00B13243" w:rsidRPr="00076B92" w:rsidRDefault="00B13243" w:rsidP="00076B92">
      <w:r w:rsidRPr="00076B92">
        <w:t>Yllä esitetyn kaltaista valvontaa ja tilintarkastusta, kuten myös yksityisten edunvalvojien tilejä koskevaa ohjausta / tarkastusta voitaisiin keskittää siihen erikoistuvaan tai erikoistuviin maistraatteihin. Myös valvonnan ja tilintarkastuksen sekä edunvalvojan palkkioihin liittyvä ohjaus ja kaikenlainen tilintarkastukseen liittyvä sisäinen valvonta voitaisiin näin keskittää. Ohjaava ja valvova maistraatti voisi sitten ohjeistaa ja suunnitella lähimaistraateissa tapahtuvaa toimintaa. Yksi vaihtoehto voisi olla yksi isompi valvontaa ohjaavaa ja mahdollisesti osin tekevä yksikkö, jonka alla voisi olla joitakin eri alueille sijoittuvia tilintarkastusta suorittavia yksiköitä, esimerkiksi jokaisessa oikeusapupiirissä yksi.   Tai maistraattien kehittämisyksikkö on se keskusyksikkö, jonne tietysti varataan tarpeeksi henkilöresursseja.</w:t>
      </w:r>
    </w:p>
    <w:p w:rsidR="00B13243" w:rsidRDefault="00B13243" w:rsidP="00076B92"/>
    <w:p w:rsidR="00B13243" w:rsidRPr="009B1B52" w:rsidRDefault="00B13243" w:rsidP="00076B92">
      <w:pPr>
        <w:rPr>
          <w:b/>
        </w:rPr>
      </w:pPr>
      <w:r w:rsidRPr="009B1B52">
        <w:rPr>
          <w:b/>
        </w:rPr>
        <w:t>Yksityisten tilintarkastus</w:t>
      </w:r>
    </w:p>
    <w:p w:rsidR="00B13243" w:rsidRDefault="00B13243" w:rsidP="00076B92"/>
    <w:p w:rsidR="00B13243" w:rsidRPr="00076B92" w:rsidRDefault="00B13243" w:rsidP="00076B92">
      <w:r w:rsidRPr="00076B92">
        <w:t xml:space="preserve">Voisi olla järkevää pitää lähimaistraateissa. Lähinnä yksityisten edunvalvojien tilintarkastuksen ohjaus, systematisointi jne. voisi olla keskitetty, jolloin keskuspaikka voisi myös kouluttaa lähimaistraattien väkeä. Jos tätäkin lähdettäisiin keskittämään, lyhyellä aikavälillä syntyisi ongelmia siitä, että holhoustoimen henkilökuntaa on väärissä paikoissa, eikä henkilökunnan siirtyminen alueellistettuihin yksiköihin näytä muuallakaan olleen aivan yksinkertainen asia. </w:t>
      </w:r>
      <w:r>
        <w:t>”</w:t>
      </w:r>
    </w:p>
    <w:p w:rsidR="00B13243" w:rsidRPr="00076B92" w:rsidRDefault="00B13243" w:rsidP="00076B92"/>
    <w:p w:rsidR="00B13243" w:rsidRDefault="00B13243" w:rsidP="004C1243"/>
    <w:p w:rsidR="00B13243" w:rsidRPr="009B1B52" w:rsidRDefault="00B13243" w:rsidP="004C1243">
      <w:pPr>
        <w:rPr>
          <w:i/>
        </w:rPr>
      </w:pPr>
      <w:r w:rsidRPr="009B1B52">
        <w:rPr>
          <w:i/>
        </w:rPr>
        <w:t>Ehtotilit</w:t>
      </w:r>
    </w:p>
    <w:p w:rsidR="00B13243" w:rsidRDefault="00B13243" w:rsidP="004C1243"/>
    <w:p w:rsidR="00B13243" w:rsidRDefault="00B13243" w:rsidP="004C1243">
      <w:r>
        <w:t xml:space="preserve">Työryhmä on esittänyt ehtotilien (sulkutili) rajoitettua käyttöön ottamista. Edunvalvojan olisi mahdollista vapautua vuositilin tekemisestä, jos päämiehen varat on talletettu tilille sellaisin ehdoin, ettei edunvalvoja voi niistä nostaa ilman maistraatin lupaa. Maistraatti pitää esitystä kannatettavana. Ehtotilit voisivat olla käyttökelpoisia paljon laajemmassa määrin kuin mietinnössä on mainittu. Esimerkiksi sellaisten vanhusten asioiden hoidossa, joiden varallisuus koostuu lähinnä pankkitalletuksista ja laitosmaksun ja/tai muiden tavanomaisten laskujen maksusta, tilivelvollisuudesta voitaisiin vapauttaa sekä omaisuuden että vaatimattomien juoksevien asioiden hoidon osalta, tai tilikautta voitaisiin pidentää. </w:t>
      </w:r>
    </w:p>
    <w:p w:rsidR="00B13243" w:rsidRDefault="00B13243" w:rsidP="004C1243"/>
    <w:p w:rsidR="00B13243" w:rsidRDefault="00B13243" w:rsidP="004C1243">
      <w:r>
        <w:t xml:space="preserve">Lisäksi maistraatti ehdottaa, että myös holhousviranomainen voisi poikkeustapauksessa päättää ja ilmoittaa pankille ehdon asettamisesta tiliin. Näin voitaisiin menetellä, jos valvonnan yhteydessä on voitu havaita, ettei edunvalvoja ei ole maistraatin kehotuksen jälkeenkään antanut selvitystä päämiehen varojen käytöstä, tai on ilmennyt, että hän väärinkäyttänyt päämiehen varoja. </w:t>
      </w:r>
    </w:p>
    <w:p w:rsidR="00B13243" w:rsidRDefault="00B13243" w:rsidP="004C1243"/>
    <w:p w:rsidR="00B13243" w:rsidRDefault="00B13243" w:rsidP="004C1243">
      <w:r>
        <w:t xml:space="preserve">Estotiliä voitaisiin käyttää myös vaihtoehtona alaikäisen edunvalvonnan rekisteröinnille. Jos alaikäisen tilivarat ylittäisivät säädetyn alarajan, rekisterimerkintää ei tarvitsisi tehdä, jos edunvalvoja tallettaa rahat estolla varustetulle tilille. Vastaavasti rekisterimerkintä voitaisiin poistaa, jos varat valvonnan aikana sijoitetaan ehtotilille. </w:t>
      </w:r>
    </w:p>
    <w:p w:rsidR="00B13243" w:rsidRDefault="00B13243" w:rsidP="004C1243"/>
    <w:p w:rsidR="00B13243" w:rsidRDefault="00B13243" w:rsidP="004C1243">
      <w:r>
        <w:t xml:space="preserve">Maistraatti esittää myös harkittavaksi ja selvitettäväksi sitä, olisiko alaikäisten oikeusturvan kannalta perusteltua, että ainakin heille maksettavat henkivakuutuskorvaukset ja muut (suuremmat) korvaukset tulisi maksajan maksaa suoraan estotilille, samalla kun edunvalvoja ohjataan maistraattiin hakemaan lisäohjausta, jos varoja halutaan käyttää. </w:t>
      </w:r>
    </w:p>
    <w:p w:rsidR="00B13243" w:rsidRDefault="00B13243" w:rsidP="004C1243"/>
    <w:p w:rsidR="00B13243" w:rsidRPr="009B1B52" w:rsidRDefault="00B13243" w:rsidP="004C1243">
      <w:pPr>
        <w:rPr>
          <w:i/>
        </w:rPr>
      </w:pPr>
      <w:r w:rsidRPr="009B1B52">
        <w:rPr>
          <w:i/>
        </w:rPr>
        <w:t>Edunvalvojan palkkion vahvistaminen</w:t>
      </w:r>
    </w:p>
    <w:p w:rsidR="00B13243" w:rsidRDefault="00B13243" w:rsidP="004C1243"/>
    <w:p w:rsidR="00B13243" w:rsidRDefault="00B13243" w:rsidP="004C1243">
      <w:r>
        <w:t xml:space="preserve">Maistraatti pitää nykyistä edunvalvojan palkkion vahvistamisjärjestystä käytännössä toimimattomana. Todellisuudessa palkkiosta valittaminen on sekä edunvalvojan että edunvalvonnasta vapautuneen päämiehen / kuolleen päämiehen oikeudenomistajien kannalta lähinnä teoreettinen vaihtoehto. Kuluriski tuomioistuimessa on merkittävä, mutta toisaalta osapuolten intressit yleensä suhteellisen pieniä.  </w:t>
      </w:r>
    </w:p>
    <w:p w:rsidR="00B13243" w:rsidRDefault="00B13243" w:rsidP="004C1243"/>
    <w:p w:rsidR="00B13243" w:rsidRDefault="00B13243" w:rsidP="004C1243">
      <w:r>
        <w:t>Maistraatti esittää, että oikeusministeriö selvittäisi mahdollisuudet säätää tilintarkastusta normaaliksi hallinnolliseksi päätökseksi, jolloin osapuolilla olisi käytettävinään normaali hallintovalitustie. Tällä taattaisiin todellinen ja kohtuuhintainen valitusmahdollisuus asian osapuolille.</w:t>
      </w:r>
    </w:p>
    <w:p w:rsidR="00B13243" w:rsidRDefault="00B13243" w:rsidP="004C1243"/>
    <w:p w:rsidR="00B13243" w:rsidRDefault="00B13243" w:rsidP="004C1243"/>
    <w:p w:rsidR="00B13243" w:rsidRDefault="00B13243" w:rsidP="004C1243"/>
    <w:p w:rsidR="00B13243" w:rsidRDefault="00B13243" w:rsidP="004C1243">
      <w:r>
        <w:t>Anne Oksanen</w:t>
      </w:r>
    </w:p>
    <w:p w:rsidR="00B13243" w:rsidRDefault="00B13243" w:rsidP="004C1243">
      <w:r>
        <w:t>Henkikirjoittaja / holhoustoimi</w:t>
      </w:r>
    </w:p>
    <w:p w:rsidR="00B13243" w:rsidRDefault="00B13243" w:rsidP="004C1243"/>
    <w:p w:rsidR="00B13243" w:rsidRDefault="00B13243" w:rsidP="004C1243"/>
    <w:p w:rsidR="00B13243" w:rsidRDefault="00B13243" w:rsidP="004C1243"/>
    <w:sectPr w:rsidR="00B13243" w:rsidSect="00DD5874">
      <w:headerReference w:type="default" r:id="rId6"/>
      <w:headerReference w:type="first" r:id="rId7"/>
      <w:footerReference w:type="first" r:id="rId8"/>
      <w:pgSz w:w="11906" w:h="16838" w:code="9"/>
      <w:pgMar w:top="1179" w:right="851" w:bottom="369" w:left="851" w:header="709"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243" w:rsidRDefault="00B13243" w:rsidP="002E2BCA">
      <w:r>
        <w:separator/>
      </w:r>
    </w:p>
  </w:endnote>
  <w:endnote w:type="continuationSeparator" w:id="1">
    <w:p w:rsidR="00B13243" w:rsidRDefault="00B13243" w:rsidP="002E2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1E0"/>
    </w:tblPr>
    <w:tblGrid>
      <w:gridCol w:w="1260"/>
      <w:gridCol w:w="2160"/>
      <w:gridCol w:w="3600"/>
      <w:gridCol w:w="1620"/>
      <w:gridCol w:w="1620"/>
    </w:tblGrid>
    <w:tr w:rsidR="00B13243" w:rsidRPr="002E2BCA" w:rsidTr="002E2BCA">
      <w:tc>
        <w:tcPr>
          <w:tcW w:w="3420" w:type="dxa"/>
          <w:gridSpan w:val="2"/>
          <w:tcBorders>
            <w:top w:val="single" w:sz="4" w:space="0" w:color="auto"/>
          </w:tcBorders>
        </w:tcPr>
        <w:p w:rsidR="00B13243" w:rsidRPr="002E2BCA" w:rsidRDefault="00B13243" w:rsidP="009278F5">
          <w:pPr>
            <w:pStyle w:val="Footer"/>
            <w:rPr>
              <w:rFonts w:ascii="Arial" w:hAnsi="Arial" w:cs="Arial"/>
              <w:sz w:val="18"/>
              <w:szCs w:val="18"/>
            </w:rPr>
          </w:pPr>
          <w:r w:rsidRPr="002E2BCA">
            <w:rPr>
              <w:rFonts w:ascii="Arial" w:hAnsi="Arial" w:cs="Arial"/>
              <w:sz w:val="18"/>
              <w:szCs w:val="18"/>
            </w:rPr>
            <w:t>Käyntiosoite:</w:t>
          </w:r>
        </w:p>
      </w:tc>
      <w:tc>
        <w:tcPr>
          <w:tcW w:w="3600" w:type="dxa"/>
          <w:tcBorders>
            <w:top w:val="single" w:sz="4" w:space="0" w:color="auto"/>
          </w:tcBorders>
        </w:tcPr>
        <w:p w:rsidR="00B13243" w:rsidRPr="002E2BCA" w:rsidRDefault="00B13243" w:rsidP="009278F5">
          <w:pPr>
            <w:pStyle w:val="Footer"/>
            <w:rPr>
              <w:rFonts w:ascii="Arial" w:hAnsi="Arial" w:cs="Arial"/>
              <w:sz w:val="18"/>
              <w:szCs w:val="18"/>
            </w:rPr>
          </w:pPr>
          <w:r w:rsidRPr="002E2BCA">
            <w:rPr>
              <w:rFonts w:ascii="Arial" w:hAnsi="Arial" w:cs="Arial"/>
              <w:sz w:val="18"/>
              <w:szCs w:val="18"/>
            </w:rPr>
            <w:t>Postiosoite:</w:t>
          </w:r>
        </w:p>
      </w:tc>
      <w:tc>
        <w:tcPr>
          <w:tcW w:w="1620" w:type="dxa"/>
          <w:tcBorders>
            <w:top w:val="single" w:sz="4" w:space="0" w:color="auto"/>
          </w:tcBorders>
        </w:tcPr>
        <w:p w:rsidR="00B13243" w:rsidRPr="002E2BCA" w:rsidRDefault="00B13243" w:rsidP="009278F5">
          <w:pPr>
            <w:pStyle w:val="Footer"/>
            <w:rPr>
              <w:rFonts w:ascii="Arial" w:hAnsi="Arial" w:cs="Arial"/>
              <w:sz w:val="18"/>
              <w:szCs w:val="18"/>
            </w:rPr>
          </w:pPr>
          <w:r w:rsidRPr="002E2BCA">
            <w:rPr>
              <w:rFonts w:ascii="Arial" w:hAnsi="Arial" w:cs="Arial"/>
              <w:sz w:val="18"/>
              <w:szCs w:val="18"/>
            </w:rPr>
            <w:t>Puhelin:</w:t>
          </w:r>
        </w:p>
      </w:tc>
      <w:tc>
        <w:tcPr>
          <w:tcW w:w="1620" w:type="dxa"/>
          <w:tcBorders>
            <w:top w:val="single" w:sz="4" w:space="0" w:color="auto"/>
          </w:tcBorders>
        </w:tcPr>
        <w:p w:rsidR="00B13243" w:rsidRPr="002E2BCA" w:rsidRDefault="00B13243" w:rsidP="009278F5">
          <w:pPr>
            <w:pStyle w:val="Footer"/>
            <w:rPr>
              <w:rFonts w:ascii="Arial" w:hAnsi="Arial" w:cs="Arial"/>
              <w:sz w:val="18"/>
              <w:szCs w:val="18"/>
            </w:rPr>
          </w:pPr>
          <w:r w:rsidRPr="002E2BCA">
            <w:rPr>
              <w:rFonts w:ascii="Arial" w:hAnsi="Arial" w:cs="Arial"/>
              <w:sz w:val="18"/>
              <w:szCs w:val="18"/>
            </w:rPr>
            <w:t>Telefax:</w:t>
          </w:r>
        </w:p>
      </w:tc>
    </w:tr>
    <w:tr w:rsidR="00B13243" w:rsidRPr="002E2BCA" w:rsidTr="002E2BCA">
      <w:tc>
        <w:tcPr>
          <w:tcW w:w="3420" w:type="dxa"/>
          <w:gridSpan w:val="2"/>
        </w:tcPr>
        <w:p w:rsidR="00B13243" w:rsidRPr="002E2BCA" w:rsidRDefault="00B13243" w:rsidP="009278F5">
          <w:pPr>
            <w:pStyle w:val="Footer"/>
            <w:rPr>
              <w:rFonts w:ascii="Arial" w:hAnsi="Arial" w:cs="Arial"/>
              <w:sz w:val="18"/>
              <w:szCs w:val="18"/>
            </w:rPr>
          </w:pPr>
          <w:bookmarkStart w:id="6" w:name="bkmKayntiLahiosoite"/>
          <w:bookmarkEnd w:id="6"/>
          <w:r w:rsidRPr="002E2BCA">
            <w:rPr>
              <w:rFonts w:ascii="Arial" w:hAnsi="Arial" w:cs="Arial"/>
              <w:sz w:val="18"/>
              <w:szCs w:val="18"/>
            </w:rPr>
            <w:t>Aurakatu 8, 5. krs</w:t>
          </w:r>
        </w:p>
      </w:tc>
      <w:tc>
        <w:tcPr>
          <w:tcW w:w="3600" w:type="dxa"/>
        </w:tcPr>
        <w:p w:rsidR="00B13243" w:rsidRPr="002E2BCA" w:rsidRDefault="00B13243" w:rsidP="009278F5">
          <w:pPr>
            <w:pStyle w:val="Footer"/>
            <w:rPr>
              <w:rFonts w:ascii="Arial" w:hAnsi="Arial" w:cs="Arial"/>
              <w:sz w:val="18"/>
              <w:szCs w:val="18"/>
            </w:rPr>
          </w:pPr>
          <w:bookmarkStart w:id="7" w:name="bkmPostiLahiosoite"/>
          <w:bookmarkEnd w:id="7"/>
          <w:r w:rsidRPr="002E2BCA">
            <w:rPr>
              <w:rFonts w:ascii="Arial" w:hAnsi="Arial" w:cs="Arial"/>
              <w:sz w:val="18"/>
              <w:szCs w:val="18"/>
            </w:rPr>
            <w:t>PL 372</w:t>
          </w:r>
        </w:p>
      </w:tc>
      <w:tc>
        <w:tcPr>
          <w:tcW w:w="1620" w:type="dxa"/>
        </w:tcPr>
        <w:p w:rsidR="00B13243" w:rsidRPr="002E2BCA" w:rsidRDefault="00B13243" w:rsidP="009278F5">
          <w:pPr>
            <w:pStyle w:val="Footer"/>
            <w:rPr>
              <w:rFonts w:ascii="Arial" w:hAnsi="Arial" w:cs="Arial"/>
              <w:sz w:val="18"/>
              <w:szCs w:val="18"/>
            </w:rPr>
          </w:pPr>
          <w:bookmarkStart w:id="8" w:name="bkmMaistraattiPuhelin"/>
          <w:bookmarkEnd w:id="8"/>
          <w:r w:rsidRPr="002E2BCA">
            <w:rPr>
              <w:rFonts w:ascii="Arial" w:hAnsi="Arial" w:cs="Arial"/>
              <w:sz w:val="18"/>
              <w:szCs w:val="18"/>
            </w:rPr>
            <w:t>071 87 40311</w:t>
          </w:r>
        </w:p>
      </w:tc>
      <w:tc>
        <w:tcPr>
          <w:tcW w:w="1620" w:type="dxa"/>
        </w:tcPr>
        <w:p w:rsidR="00B13243" w:rsidRPr="002E2BCA" w:rsidRDefault="00B13243" w:rsidP="009278F5">
          <w:pPr>
            <w:pStyle w:val="Footer"/>
            <w:rPr>
              <w:rFonts w:ascii="Arial" w:hAnsi="Arial" w:cs="Arial"/>
              <w:sz w:val="18"/>
              <w:szCs w:val="18"/>
            </w:rPr>
          </w:pPr>
          <w:bookmarkStart w:id="9" w:name="bkmMaistraattitelefax"/>
          <w:bookmarkEnd w:id="9"/>
          <w:r w:rsidRPr="002E2BCA">
            <w:rPr>
              <w:rFonts w:ascii="Arial" w:hAnsi="Arial" w:cs="Arial"/>
              <w:sz w:val="18"/>
              <w:szCs w:val="18"/>
            </w:rPr>
            <w:t>071 87 41371</w:t>
          </w:r>
        </w:p>
      </w:tc>
    </w:tr>
    <w:tr w:rsidR="00B13243" w:rsidRPr="002E2BCA" w:rsidTr="002E2BCA">
      <w:tc>
        <w:tcPr>
          <w:tcW w:w="3420" w:type="dxa"/>
          <w:gridSpan w:val="2"/>
        </w:tcPr>
        <w:p w:rsidR="00B13243" w:rsidRPr="002E2BCA" w:rsidRDefault="00B13243" w:rsidP="009278F5">
          <w:pPr>
            <w:pStyle w:val="Footer"/>
            <w:rPr>
              <w:rFonts w:ascii="Arial" w:hAnsi="Arial" w:cs="Arial"/>
              <w:sz w:val="18"/>
              <w:szCs w:val="18"/>
            </w:rPr>
          </w:pPr>
          <w:bookmarkStart w:id="10" w:name="bkmKayntiPostinumeroJaToimipaikka"/>
          <w:bookmarkEnd w:id="10"/>
          <w:r w:rsidRPr="002E2BCA">
            <w:rPr>
              <w:rFonts w:ascii="Arial" w:hAnsi="Arial" w:cs="Arial"/>
              <w:sz w:val="18"/>
              <w:szCs w:val="18"/>
            </w:rPr>
            <w:t>20100 TURKU</w:t>
          </w:r>
        </w:p>
      </w:tc>
      <w:tc>
        <w:tcPr>
          <w:tcW w:w="3600" w:type="dxa"/>
        </w:tcPr>
        <w:p w:rsidR="00B13243" w:rsidRPr="002E2BCA" w:rsidRDefault="00B13243" w:rsidP="009278F5">
          <w:pPr>
            <w:pStyle w:val="Footer"/>
            <w:rPr>
              <w:rFonts w:ascii="Arial" w:hAnsi="Arial" w:cs="Arial"/>
              <w:sz w:val="18"/>
              <w:szCs w:val="18"/>
            </w:rPr>
          </w:pPr>
          <w:bookmarkStart w:id="11" w:name="bkmPostiiPostinumeroJaToimipaikka"/>
          <w:bookmarkEnd w:id="11"/>
          <w:r w:rsidRPr="002E2BCA">
            <w:rPr>
              <w:rFonts w:ascii="Arial" w:hAnsi="Arial" w:cs="Arial"/>
              <w:sz w:val="18"/>
              <w:szCs w:val="18"/>
            </w:rPr>
            <w:t>20101 TURKU</w:t>
          </w:r>
        </w:p>
      </w:tc>
      <w:tc>
        <w:tcPr>
          <w:tcW w:w="1620" w:type="dxa"/>
        </w:tcPr>
        <w:p w:rsidR="00B13243" w:rsidRPr="002E2BCA" w:rsidRDefault="00B13243" w:rsidP="009278F5">
          <w:pPr>
            <w:pStyle w:val="Footer"/>
            <w:rPr>
              <w:rFonts w:ascii="Arial" w:hAnsi="Arial" w:cs="Arial"/>
              <w:sz w:val="18"/>
              <w:szCs w:val="18"/>
            </w:rPr>
          </w:pPr>
        </w:p>
      </w:tc>
      <w:tc>
        <w:tcPr>
          <w:tcW w:w="1620" w:type="dxa"/>
        </w:tcPr>
        <w:p w:rsidR="00B13243" w:rsidRPr="002E2BCA" w:rsidRDefault="00B13243" w:rsidP="009278F5">
          <w:pPr>
            <w:pStyle w:val="Footer"/>
            <w:rPr>
              <w:rFonts w:ascii="Arial" w:hAnsi="Arial" w:cs="Arial"/>
              <w:sz w:val="18"/>
              <w:szCs w:val="18"/>
            </w:rPr>
          </w:pPr>
        </w:p>
      </w:tc>
    </w:tr>
    <w:tr w:rsidR="00B13243" w:rsidRPr="002E2BCA" w:rsidTr="002E2BCA">
      <w:tc>
        <w:tcPr>
          <w:tcW w:w="10260" w:type="dxa"/>
          <w:gridSpan w:val="5"/>
        </w:tcPr>
        <w:p w:rsidR="00B13243" w:rsidRPr="002E2BCA" w:rsidRDefault="00B13243" w:rsidP="009278F5">
          <w:pPr>
            <w:pStyle w:val="Footer"/>
            <w:rPr>
              <w:rFonts w:ascii="Arial" w:hAnsi="Arial" w:cs="Arial"/>
              <w:sz w:val="10"/>
              <w:szCs w:val="10"/>
            </w:rPr>
          </w:pPr>
        </w:p>
      </w:tc>
    </w:tr>
    <w:tr w:rsidR="00B13243" w:rsidRPr="002E2BCA" w:rsidTr="002E2BCA">
      <w:tc>
        <w:tcPr>
          <w:tcW w:w="1260" w:type="dxa"/>
        </w:tcPr>
        <w:p w:rsidR="00B13243" w:rsidRPr="002E2BCA" w:rsidRDefault="00B13243" w:rsidP="009278F5">
          <w:pPr>
            <w:pStyle w:val="Footer"/>
            <w:rPr>
              <w:rFonts w:ascii="Arial" w:hAnsi="Arial" w:cs="Arial"/>
              <w:sz w:val="18"/>
              <w:szCs w:val="18"/>
            </w:rPr>
          </w:pPr>
          <w:r w:rsidRPr="002E2BCA">
            <w:rPr>
              <w:rFonts w:ascii="Arial" w:hAnsi="Arial" w:cs="Arial"/>
              <w:sz w:val="18"/>
              <w:szCs w:val="18"/>
            </w:rPr>
            <w:t>Sähköposti:</w:t>
          </w:r>
        </w:p>
      </w:tc>
      <w:tc>
        <w:tcPr>
          <w:tcW w:w="5760" w:type="dxa"/>
          <w:gridSpan w:val="2"/>
        </w:tcPr>
        <w:p w:rsidR="00B13243" w:rsidRPr="002E2BCA" w:rsidRDefault="00B13243" w:rsidP="009278F5">
          <w:pPr>
            <w:pStyle w:val="Footer"/>
            <w:rPr>
              <w:rFonts w:ascii="Arial" w:hAnsi="Arial" w:cs="Arial"/>
              <w:sz w:val="18"/>
              <w:szCs w:val="18"/>
            </w:rPr>
          </w:pPr>
          <w:bookmarkStart w:id="12" w:name="bkmMaistraattiEmail"/>
          <w:bookmarkEnd w:id="12"/>
          <w:r w:rsidRPr="002E2BCA">
            <w:rPr>
              <w:rFonts w:ascii="Arial" w:hAnsi="Arial" w:cs="Arial"/>
              <w:sz w:val="18"/>
              <w:szCs w:val="18"/>
            </w:rPr>
            <w:t>info.turku@maistraatti.fi</w:t>
          </w:r>
        </w:p>
      </w:tc>
      <w:tc>
        <w:tcPr>
          <w:tcW w:w="1620" w:type="dxa"/>
        </w:tcPr>
        <w:p w:rsidR="00B13243" w:rsidRPr="002E2BCA" w:rsidRDefault="00B13243" w:rsidP="009278F5">
          <w:pPr>
            <w:pStyle w:val="Footer"/>
            <w:rPr>
              <w:rFonts w:ascii="Arial" w:hAnsi="Arial" w:cs="Arial"/>
              <w:sz w:val="18"/>
              <w:szCs w:val="18"/>
            </w:rPr>
          </w:pPr>
        </w:p>
      </w:tc>
      <w:tc>
        <w:tcPr>
          <w:tcW w:w="1620" w:type="dxa"/>
        </w:tcPr>
        <w:p w:rsidR="00B13243" w:rsidRPr="002E2BCA" w:rsidRDefault="00B13243" w:rsidP="009278F5">
          <w:pPr>
            <w:pStyle w:val="Footer"/>
            <w:rPr>
              <w:rFonts w:ascii="Arial" w:hAnsi="Arial" w:cs="Arial"/>
              <w:sz w:val="18"/>
              <w:szCs w:val="18"/>
            </w:rPr>
          </w:pPr>
        </w:p>
      </w:tc>
    </w:tr>
  </w:tbl>
  <w:p w:rsidR="00B13243" w:rsidRPr="004715BC" w:rsidRDefault="00B13243" w:rsidP="009278F5">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243" w:rsidRDefault="00B13243" w:rsidP="002E2BCA">
      <w:r>
        <w:separator/>
      </w:r>
    </w:p>
  </w:footnote>
  <w:footnote w:type="continuationSeparator" w:id="1">
    <w:p w:rsidR="00B13243" w:rsidRDefault="00B13243" w:rsidP="002E2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1E0"/>
    </w:tblPr>
    <w:tblGrid>
      <w:gridCol w:w="5580"/>
      <w:gridCol w:w="1980"/>
      <w:gridCol w:w="2676"/>
    </w:tblGrid>
    <w:tr w:rsidR="00B13243" w:rsidRPr="002E2BCA" w:rsidTr="002E2BCA">
      <w:tc>
        <w:tcPr>
          <w:tcW w:w="5580" w:type="dxa"/>
        </w:tcPr>
        <w:p w:rsidR="00B13243" w:rsidRPr="002E2BCA" w:rsidRDefault="00B13243" w:rsidP="00C55E55">
          <w:pPr>
            <w:pStyle w:val="Header"/>
            <w:rPr>
              <w:rFonts w:ascii="Arial" w:hAnsi="Arial" w:cs="Arial"/>
              <w:b/>
              <w:sz w:val="22"/>
              <w:szCs w:val="22"/>
            </w:rPr>
          </w:pPr>
          <w:bookmarkStart w:id="0" w:name="bkmMaistraattinimi2"/>
          <w:bookmarkEnd w:id="0"/>
          <w:r w:rsidRPr="002E2BCA">
            <w:rPr>
              <w:rFonts w:ascii="Arial" w:hAnsi="Arial" w:cs="Arial"/>
              <w:b/>
              <w:sz w:val="22"/>
              <w:szCs w:val="22"/>
            </w:rPr>
            <w:t>Turun seudun maistraatti</w:t>
          </w:r>
        </w:p>
      </w:tc>
      <w:tc>
        <w:tcPr>
          <w:tcW w:w="1980" w:type="dxa"/>
        </w:tcPr>
        <w:p w:rsidR="00B13243" w:rsidRPr="002E2BCA" w:rsidRDefault="00B13243" w:rsidP="00C55E55">
          <w:pPr>
            <w:pStyle w:val="Header"/>
            <w:rPr>
              <w:rFonts w:ascii="Arial" w:hAnsi="Arial" w:cs="Arial"/>
              <w:b/>
              <w:sz w:val="22"/>
              <w:szCs w:val="22"/>
            </w:rPr>
          </w:pPr>
        </w:p>
      </w:tc>
      <w:tc>
        <w:tcPr>
          <w:tcW w:w="2676" w:type="dxa"/>
        </w:tcPr>
        <w:p w:rsidR="00B13243" w:rsidRPr="002E2BCA" w:rsidRDefault="00B13243" w:rsidP="00C55E55">
          <w:pPr>
            <w:pStyle w:val="Header"/>
            <w:rPr>
              <w:rFonts w:ascii="Arial" w:hAnsi="Arial" w:cs="Arial"/>
              <w:sz w:val="22"/>
              <w:szCs w:val="22"/>
            </w:rPr>
          </w:pPr>
          <w:bookmarkStart w:id="1" w:name="bkmDiaarinumero2"/>
          <w:bookmarkEnd w:id="1"/>
          <w:r w:rsidRPr="002E2BCA">
            <w:rPr>
              <w:rFonts w:ascii="Arial" w:hAnsi="Arial" w:cs="Arial"/>
              <w:sz w:val="22"/>
              <w:szCs w:val="22"/>
            </w:rPr>
            <w:t>776/2010/8/Ha-1</w:t>
          </w:r>
        </w:p>
      </w:tc>
    </w:tr>
    <w:tr w:rsidR="00B13243" w:rsidRPr="002E2BCA" w:rsidTr="002E2BCA">
      <w:trPr>
        <w:trHeight w:val="460"/>
      </w:trPr>
      <w:tc>
        <w:tcPr>
          <w:tcW w:w="5580" w:type="dxa"/>
        </w:tcPr>
        <w:p w:rsidR="00B13243" w:rsidRPr="002E2BCA" w:rsidRDefault="00B13243" w:rsidP="00C55E55">
          <w:pPr>
            <w:pStyle w:val="Header"/>
            <w:rPr>
              <w:szCs w:val="22"/>
            </w:rPr>
          </w:pPr>
        </w:p>
      </w:tc>
      <w:tc>
        <w:tcPr>
          <w:tcW w:w="1980" w:type="dxa"/>
        </w:tcPr>
        <w:p w:rsidR="00B13243" w:rsidRPr="002E2BCA" w:rsidRDefault="00B13243" w:rsidP="00C55E55">
          <w:pPr>
            <w:pStyle w:val="Header"/>
            <w:rPr>
              <w:szCs w:val="22"/>
            </w:rPr>
          </w:pPr>
        </w:p>
      </w:tc>
      <w:tc>
        <w:tcPr>
          <w:tcW w:w="2676" w:type="dxa"/>
        </w:tcPr>
        <w:p w:rsidR="00B13243" w:rsidRPr="002E2BCA" w:rsidRDefault="00B13243" w:rsidP="00C55E55">
          <w:pPr>
            <w:pStyle w:val="Header"/>
            <w:rPr>
              <w:szCs w:val="22"/>
            </w:rPr>
          </w:pPr>
        </w:p>
      </w:tc>
    </w:tr>
    <w:tr w:rsidR="00B13243" w:rsidRPr="002E2BCA" w:rsidTr="002E2BCA">
      <w:tc>
        <w:tcPr>
          <w:tcW w:w="5580" w:type="dxa"/>
        </w:tcPr>
        <w:p w:rsidR="00B13243" w:rsidRPr="002E2BCA" w:rsidRDefault="00B13243" w:rsidP="00C55E55">
          <w:pPr>
            <w:pStyle w:val="Header"/>
            <w:rPr>
              <w:szCs w:val="22"/>
            </w:rPr>
          </w:pPr>
        </w:p>
      </w:tc>
      <w:tc>
        <w:tcPr>
          <w:tcW w:w="1980" w:type="dxa"/>
        </w:tcPr>
        <w:p w:rsidR="00B13243" w:rsidRPr="002E2BCA" w:rsidRDefault="00B13243" w:rsidP="00C55E55">
          <w:pPr>
            <w:pStyle w:val="Header"/>
            <w:rPr>
              <w:rFonts w:ascii="Arial" w:hAnsi="Arial" w:cs="Arial"/>
              <w:sz w:val="22"/>
              <w:szCs w:val="22"/>
            </w:rPr>
          </w:pPr>
          <w:bookmarkStart w:id="2" w:name="bkmPvm2"/>
          <w:bookmarkEnd w:id="2"/>
          <w:r w:rsidRPr="002E2BCA">
            <w:rPr>
              <w:rFonts w:ascii="Arial" w:hAnsi="Arial" w:cs="Arial"/>
              <w:sz w:val="22"/>
              <w:szCs w:val="22"/>
            </w:rPr>
            <w:t>17.3.2010</w:t>
          </w:r>
        </w:p>
      </w:tc>
      <w:tc>
        <w:tcPr>
          <w:tcW w:w="2676" w:type="dxa"/>
        </w:tcPr>
        <w:p w:rsidR="00B13243" w:rsidRPr="002E2BCA" w:rsidRDefault="00B13243" w:rsidP="002E2BCA">
          <w:pPr>
            <w:pStyle w:val="Header"/>
            <w:jc w:val="right"/>
            <w:rPr>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rPr>
              <w:rStyle w:val="PageNumber"/>
            </w:rPr>
            <w:t>)</w:t>
          </w:r>
        </w:p>
      </w:tc>
    </w:tr>
  </w:tbl>
  <w:p w:rsidR="00B13243" w:rsidRPr="00C55E55" w:rsidRDefault="00B13243" w:rsidP="00C55E55">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1E0"/>
    </w:tblPr>
    <w:tblGrid>
      <w:gridCol w:w="5580"/>
      <w:gridCol w:w="1980"/>
      <w:gridCol w:w="2676"/>
    </w:tblGrid>
    <w:tr w:rsidR="00B13243" w:rsidRPr="002E2BCA" w:rsidTr="002E2BCA">
      <w:tc>
        <w:tcPr>
          <w:tcW w:w="5580" w:type="dxa"/>
        </w:tcPr>
        <w:p w:rsidR="00B13243" w:rsidRPr="002E2BCA" w:rsidRDefault="00B13243" w:rsidP="009278F5">
          <w:pPr>
            <w:pStyle w:val="Header"/>
            <w:rPr>
              <w:rFonts w:ascii="Arial" w:hAnsi="Arial" w:cs="Arial"/>
              <w:b/>
              <w:sz w:val="22"/>
              <w:szCs w:val="22"/>
            </w:rPr>
          </w:pPr>
          <w:bookmarkStart w:id="3" w:name="bkmMaistraattinimi"/>
          <w:bookmarkEnd w:id="3"/>
          <w:r w:rsidRPr="002E2BCA">
            <w:rPr>
              <w:rFonts w:ascii="Arial" w:hAnsi="Arial" w:cs="Arial"/>
              <w:b/>
              <w:sz w:val="22"/>
              <w:szCs w:val="22"/>
            </w:rPr>
            <w:t>Turun seudun maistraatti</w:t>
          </w:r>
        </w:p>
      </w:tc>
      <w:tc>
        <w:tcPr>
          <w:tcW w:w="1980" w:type="dxa"/>
        </w:tcPr>
        <w:p w:rsidR="00B13243" w:rsidRPr="002E2BCA" w:rsidRDefault="00B13243" w:rsidP="009278F5">
          <w:pPr>
            <w:pStyle w:val="Header"/>
            <w:rPr>
              <w:rFonts w:ascii="Arial" w:hAnsi="Arial" w:cs="Arial"/>
              <w:b/>
              <w:sz w:val="22"/>
              <w:szCs w:val="22"/>
            </w:rPr>
          </w:pPr>
          <w:r>
            <w:rPr>
              <w:rFonts w:ascii="Arial" w:hAnsi="Arial" w:cs="Arial"/>
              <w:b/>
              <w:sz w:val="22"/>
              <w:szCs w:val="22"/>
            </w:rPr>
            <w:t>LAUSUNTO</w:t>
          </w:r>
        </w:p>
      </w:tc>
      <w:tc>
        <w:tcPr>
          <w:tcW w:w="2676" w:type="dxa"/>
        </w:tcPr>
        <w:p w:rsidR="00B13243" w:rsidRPr="002E2BCA" w:rsidRDefault="00B13243" w:rsidP="009278F5">
          <w:pPr>
            <w:pStyle w:val="Header"/>
            <w:rPr>
              <w:rFonts w:ascii="Arial" w:hAnsi="Arial" w:cs="Arial"/>
              <w:sz w:val="22"/>
              <w:szCs w:val="22"/>
            </w:rPr>
          </w:pPr>
          <w:bookmarkStart w:id="4" w:name="bkmDiaarinumero"/>
          <w:bookmarkEnd w:id="4"/>
          <w:r w:rsidRPr="002E2BCA">
            <w:rPr>
              <w:rFonts w:ascii="Arial" w:hAnsi="Arial" w:cs="Arial"/>
              <w:sz w:val="22"/>
              <w:szCs w:val="22"/>
            </w:rPr>
            <w:t>776/2010/8/Ha-1</w:t>
          </w:r>
        </w:p>
      </w:tc>
    </w:tr>
    <w:tr w:rsidR="00B13243" w:rsidRPr="002E2BCA" w:rsidTr="002E2BCA">
      <w:trPr>
        <w:trHeight w:val="460"/>
      </w:trPr>
      <w:tc>
        <w:tcPr>
          <w:tcW w:w="5580" w:type="dxa"/>
        </w:tcPr>
        <w:p w:rsidR="00B13243" w:rsidRPr="002E2BCA" w:rsidRDefault="00B13243" w:rsidP="009278F5">
          <w:pPr>
            <w:pStyle w:val="Header"/>
            <w:rPr>
              <w:szCs w:val="22"/>
            </w:rPr>
          </w:pPr>
        </w:p>
      </w:tc>
      <w:tc>
        <w:tcPr>
          <w:tcW w:w="1980" w:type="dxa"/>
        </w:tcPr>
        <w:p w:rsidR="00B13243" w:rsidRPr="002E2BCA" w:rsidRDefault="00B13243" w:rsidP="009278F5">
          <w:pPr>
            <w:pStyle w:val="Header"/>
            <w:rPr>
              <w:szCs w:val="22"/>
            </w:rPr>
          </w:pPr>
        </w:p>
      </w:tc>
      <w:tc>
        <w:tcPr>
          <w:tcW w:w="2676" w:type="dxa"/>
        </w:tcPr>
        <w:p w:rsidR="00B13243" w:rsidRPr="002E2BCA" w:rsidRDefault="00B13243" w:rsidP="009278F5">
          <w:pPr>
            <w:pStyle w:val="Header"/>
            <w:rPr>
              <w:szCs w:val="22"/>
            </w:rPr>
          </w:pPr>
        </w:p>
      </w:tc>
    </w:tr>
    <w:tr w:rsidR="00B13243" w:rsidRPr="002E2BCA" w:rsidTr="002E2BCA">
      <w:tc>
        <w:tcPr>
          <w:tcW w:w="5580" w:type="dxa"/>
        </w:tcPr>
        <w:p w:rsidR="00B13243" w:rsidRPr="002E2BCA" w:rsidRDefault="00B13243" w:rsidP="009278F5">
          <w:pPr>
            <w:pStyle w:val="Header"/>
            <w:rPr>
              <w:szCs w:val="22"/>
            </w:rPr>
          </w:pPr>
        </w:p>
      </w:tc>
      <w:tc>
        <w:tcPr>
          <w:tcW w:w="1980" w:type="dxa"/>
        </w:tcPr>
        <w:p w:rsidR="00B13243" w:rsidRPr="002E2BCA" w:rsidRDefault="00B13243" w:rsidP="009278F5">
          <w:pPr>
            <w:pStyle w:val="Header"/>
            <w:rPr>
              <w:rFonts w:ascii="Arial" w:hAnsi="Arial" w:cs="Arial"/>
              <w:sz w:val="22"/>
              <w:szCs w:val="22"/>
            </w:rPr>
          </w:pPr>
          <w:bookmarkStart w:id="5" w:name="bkmPvm"/>
          <w:bookmarkEnd w:id="5"/>
        </w:p>
      </w:tc>
      <w:tc>
        <w:tcPr>
          <w:tcW w:w="2676" w:type="dxa"/>
        </w:tcPr>
        <w:p w:rsidR="00B13243" w:rsidRPr="002E2BCA" w:rsidRDefault="00B13243" w:rsidP="002E2BCA">
          <w:pPr>
            <w:pStyle w:val="Header"/>
            <w:jc w:val="right"/>
            <w:rPr>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rPr>
              <w:rStyle w:val="PageNumber"/>
            </w:rPr>
            <w:t>)</w:t>
          </w:r>
        </w:p>
      </w:tc>
    </w:tr>
  </w:tbl>
  <w:p w:rsidR="00B13243" w:rsidRDefault="00B132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35C2"/>
    <w:rsid w:val="000335C2"/>
    <w:rsid w:val="00057D19"/>
    <w:rsid w:val="0006766E"/>
    <w:rsid w:val="00076B92"/>
    <w:rsid w:val="000D5A73"/>
    <w:rsid w:val="000E4041"/>
    <w:rsid w:val="001425D6"/>
    <w:rsid w:val="001B47FD"/>
    <w:rsid w:val="001D349F"/>
    <w:rsid w:val="002348D1"/>
    <w:rsid w:val="00285D6B"/>
    <w:rsid w:val="002C46DB"/>
    <w:rsid w:val="002E2BCA"/>
    <w:rsid w:val="002F52B5"/>
    <w:rsid w:val="0030406A"/>
    <w:rsid w:val="00311E6C"/>
    <w:rsid w:val="003828F1"/>
    <w:rsid w:val="00394CAD"/>
    <w:rsid w:val="003B73B0"/>
    <w:rsid w:val="003C39BC"/>
    <w:rsid w:val="003C727D"/>
    <w:rsid w:val="00431D65"/>
    <w:rsid w:val="004412A6"/>
    <w:rsid w:val="004566E8"/>
    <w:rsid w:val="004715BC"/>
    <w:rsid w:val="004C1243"/>
    <w:rsid w:val="004D7E94"/>
    <w:rsid w:val="00586610"/>
    <w:rsid w:val="005C1F22"/>
    <w:rsid w:val="00696321"/>
    <w:rsid w:val="00696E92"/>
    <w:rsid w:val="006D5BB0"/>
    <w:rsid w:val="006F44C6"/>
    <w:rsid w:val="00706BD1"/>
    <w:rsid w:val="00715485"/>
    <w:rsid w:val="00723CCE"/>
    <w:rsid w:val="007B0956"/>
    <w:rsid w:val="0081386C"/>
    <w:rsid w:val="008152F7"/>
    <w:rsid w:val="00860E6C"/>
    <w:rsid w:val="00866BAD"/>
    <w:rsid w:val="00886AE7"/>
    <w:rsid w:val="00893621"/>
    <w:rsid w:val="009278F5"/>
    <w:rsid w:val="009551B2"/>
    <w:rsid w:val="0095563A"/>
    <w:rsid w:val="009846C0"/>
    <w:rsid w:val="009B1B52"/>
    <w:rsid w:val="00A03BA5"/>
    <w:rsid w:val="00A1671B"/>
    <w:rsid w:val="00A240C1"/>
    <w:rsid w:val="00A325C4"/>
    <w:rsid w:val="00A44949"/>
    <w:rsid w:val="00A8342F"/>
    <w:rsid w:val="00AB0D12"/>
    <w:rsid w:val="00B13243"/>
    <w:rsid w:val="00B42CAE"/>
    <w:rsid w:val="00B527E2"/>
    <w:rsid w:val="00BF5A3B"/>
    <w:rsid w:val="00C263E6"/>
    <w:rsid w:val="00C55E55"/>
    <w:rsid w:val="00CB1B8B"/>
    <w:rsid w:val="00D42AB2"/>
    <w:rsid w:val="00D82102"/>
    <w:rsid w:val="00DD5874"/>
    <w:rsid w:val="00DF7DE9"/>
    <w:rsid w:val="00E57364"/>
    <w:rsid w:val="00EC7167"/>
    <w:rsid w:val="00F166A5"/>
    <w:rsid w:val="00F65EE8"/>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49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7E94"/>
    <w:pPr>
      <w:tabs>
        <w:tab w:val="center" w:pos="4819"/>
        <w:tab w:val="right" w:pos="9638"/>
      </w:tabs>
    </w:pPr>
  </w:style>
  <w:style w:type="character" w:customStyle="1" w:styleId="HeaderChar">
    <w:name w:val="Header Char"/>
    <w:basedOn w:val="DefaultParagraphFont"/>
    <w:link w:val="Header"/>
    <w:uiPriority w:val="99"/>
    <w:semiHidden/>
    <w:rsid w:val="00C83147"/>
    <w:rPr>
      <w:sz w:val="24"/>
      <w:szCs w:val="24"/>
    </w:rPr>
  </w:style>
  <w:style w:type="paragraph" w:styleId="Footer">
    <w:name w:val="footer"/>
    <w:basedOn w:val="Normal"/>
    <w:link w:val="FooterChar"/>
    <w:uiPriority w:val="99"/>
    <w:rsid w:val="004D7E94"/>
    <w:pPr>
      <w:tabs>
        <w:tab w:val="center" w:pos="4819"/>
        <w:tab w:val="right" w:pos="9638"/>
      </w:tabs>
    </w:pPr>
  </w:style>
  <w:style w:type="character" w:customStyle="1" w:styleId="FooterChar">
    <w:name w:val="Footer Char"/>
    <w:basedOn w:val="DefaultParagraphFont"/>
    <w:link w:val="Footer"/>
    <w:uiPriority w:val="99"/>
    <w:semiHidden/>
    <w:rsid w:val="00C83147"/>
    <w:rPr>
      <w:sz w:val="24"/>
      <w:szCs w:val="24"/>
    </w:rPr>
  </w:style>
  <w:style w:type="table" w:styleId="TableGrid">
    <w:name w:val="Table Grid"/>
    <w:basedOn w:val="TableNormal"/>
    <w:uiPriority w:val="99"/>
    <w:rsid w:val="009846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42CAE"/>
    <w:rPr>
      <w:rFonts w:cs="Times New Roman"/>
      <w:color w:val="0000FF"/>
      <w:u w:val="single"/>
    </w:rPr>
  </w:style>
  <w:style w:type="character" w:styleId="PageNumber">
    <w:name w:val="page number"/>
    <w:basedOn w:val="DefaultParagraphFont"/>
    <w:uiPriority w:val="99"/>
    <w:rsid w:val="00E57364"/>
    <w:rPr>
      <w:rFonts w:cs="Times New Roman"/>
    </w:rPr>
  </w:style>
  <w:style w:type="paragraph" w:styleId="BalloonText">
    <w:name w:val="Balloon Text"/>
    <w:basedOn w:val="Normal"/>
    <w:link w:val="BalloonTextChar"/>
    <w:uiPriority w:val="99"/>
    <w:semiHidden/>
    <w:rsid w:val="00057D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7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8405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2037</Words>
  <Characters>16508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Tyhjä Word-asiakirjapohja</dc:title>
  <dc:subject/>
  <dc:creator>Oksanen Anne</dc:creator>
  <cp:keywords/>
  <dc:description>Maisaa varten tehty asiakirjapohja.</dc:description>
  <cp:lastModifiedBy>Irene Luomala</cp:lastModifiedBy>
  <cp:revision>2</cp:revision>
  <cp:lastPrinted>2010-03-22T06:07:00Z</cp:lastPrinted>
  <dcterms:created xsi:type="dcterms:W3CDTF">2010-03-22T06:07:00Z</dcterms:created>
  <dcterms:modified xsi:type="dcterms:W3CDTF">2010-03-22T06:07:00Z</dcterms:modified>
  <cp:category>Maisa asiakirjapohjat</cp:category>
</cp:coreProperties>
</file>