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4" w:type="dxa"/>
        <w:tblLayout w:type="fixed"/>
        <w:tblLook w:val="0000"/>
      </w:tblPr>
      <w:tblGrid>
        <w:gridCol w:w="4276"/>
        <w:gridCol w:w="3017"/>
        <w:gridCol w:w="2981"/>
      </w:tblGrid>
      <w:tr w:rsidR="007011D8" w:rsidRPr="00BD0D9E" w:rsidTr="00395193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:rsidR="007011D8" w:rsidRPr="00BD0D9E" w:rsidRDefault="0062705F" w:rsidP="00BD0D9E">
            <w:pPr>
              <w:keepLines/>
              <w:rPr>
                <w:b/>
                <w:bCs/>
                <w:lang w:val="fi-FI"/>
              </w:rPr>
            </w:pPr>
            <w:r>
              <w:rPr>
                <w:b/>
                <w:noProof/>
                <w:lang w:val="fi-FI"/>
              </w:rPr>
              <w:drawing>
                <wp:inline distT="0" distB="0" distL="0" distR="0">
                  <wp:extent cx="2505075" cy="647700"/>
                  <wp:effectExtent l="19050" t="0" r="9525" b="0"/>
                  <wp:docPr id="1" name="Kuva 1" descr="YM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" descr="YM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011D8" w:rsidRPr="00BD0D9E" w:rsidRDefault="007011D8" w:rsidP="00BD0D9E">
            <w:pPr>
              <w:keepLines/>
              <w:rPr>
                <w:lang w:val="fi-FI"/>
              </w:rPr>
            </w:pPr>
            <w:r w:rsidRPr="00BD0D9E">
              <w:rPr>
                <w:lang w:val="fi-FI"/>
              </w:rPr>
              <w:t>ASETTAMISPÄÄTÖS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7011D8" w:rsidRPr="00BD0D9E" w:rsidRDefault="000F4D3E" w:rsidP="00F527BD">
            <w:pPr>
              <w:keepLines/>
              <w:rPr>
                <w:i/>
                <w:iCs/>
                <w:color w:val="C0C0C0"/>
                <w:lang w:val="fi-FI"/>
              </w:rPr>
            </w:pPr>
            <w:r>
              <w:rPr>
                <w:lang w:val="fi-FI"/>
              </w:rPr>
              <w:t xml:space="preserve">YM    </w:t>
            </w:r>
            <w:r w:rsidR="00F527BD">
              <w:rPr>
                <w:lang w:val="fi-FI"/>
              </w:rPr>
              <w:t>018</w:t>
            </w:r>
            <w:r w:rsidR="007011D8" w:rsidRPr="00BD0D9E">
              <w:rPr>
                <w:lang w:val="fi-FI"/>
              </w:rPr>
              <w:t>:00/201</w:t>
            </w:r>
            <w:r w:rsidR="00166EDD">
              <w:rPr>
                <w:lang w:val="fi-FI"/>
              </w:rPr>
              <w:t>2</w:t>
            </w:r>
          </w:p>
        </w:tc>
      </w:tr>
      <w:tr w:rsidR="00395193" w:rsidRPr="00BD0D9E" w:rsidTr="00395193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:rsidR="00395193" w:rsidRPr="00BD0D9E" w:rsidRDefault="00395193" w:rsidP="00BD0D9E">
            <w:pPr>
              <w:keepLines/>
              <w:rPr>
                <w:lang w:val="fi-FI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395193" w:rsidRPr="00BD0D9E" w:rsidRDefault="00395193" w:rsidP="00F527BD">
            <w:pPr>
              <w:keepLines/>
            </w:pPr>
            <w:r>
              <w:t>27.3</w:t>
            </w:r>
            <w:r w:rsidRPr="00BD0D9E">
              <w:t>.201</w:t>
            </w:r>
            <w: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395193" w:rsidRPr="00BD0D9E" w:rsidRDefault="00395193" w:rsidP="00BD0D9E">
            <w:pPr>
              <w:keepLines/>
              <w:rPr>
                <w:lang w:val="fi-FI"/>
              </w:rPr>
            </w:pPr>
          </w:p>
        </w:tc>
      </w:tr>
      <w:tr w:rsidR="00395193" w:rsidRPr="00BD0D9E" w:rsidTr="00395193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:rsidR="00395193" w:rsidRPr="00BD0D9E" w:rsidRDefault="00395193" w:rsidP="00BD0D9E">
            <w:pPr>
              <w:keepLines/>
              <w:rPr>
                <w:lang w:val="fi-FI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395193" w:rsidRPr="00BD0D9E" w:rsidRDefault="00395193" w:rsidP="00BD0D9E">
            <w:pPr>
              <w:keepLines/>
              <w:rPr>
                <w:lang w:val="fi-FI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395193" w:rsidRPr="00BD0D9E" w:rsidRDefault="00395193" w:rsidP="00BD0D9E">
            <w:pPr>
              <w:keepLines/>
              <w:rPr>
                <w:lang w:val="fi-FI"/>
              </w:rPr>
            </w:pPr>
          </w:p>
        </w:tc>
      </w:tr>
      <w:tr w:rsidR="00395193" w:rsidRPr="00BD0D9E" w:rsidTr="00395193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:rsidR="00395193" w:rsidRPr="00BD0D9E" w:rsidRDefault="00395193" w:rsidP="00BD0D9E">
            <w:pPr>
              <w:keepLines/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395193" w:rsidRPr="00BD0D9E" w:rsidRDefault="00395193" w:rsidP="00BD0D9E">
            <w:pPr>
              <w:keepLines/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395193" w:rsidRPr="00BD0D9E" w:rsidRDefault="00395193" w:rsidP="00BD0D9E">
            <w:pPr>
              <w:keepLines/>
            </w:pPr>
          </w:p>
        </w:tc>
      </w:tr>
    </w:tbl>
    <w:p w:rsidR="008C6B0E" w:rsidRDefault="008C6B0E">
      <w:pPr>
        <w:rPr>
          <w:b/>
          <w:lang w:val="fi-FI"/>
        </w:rPr>
      </w:pPr>
    </w:p>
    <w:p w:rsidR="008C6B0E" w:rsidRDefault="008C6B0E">
      <w:pPr>
        <w:rPr>
          <w:b/>
          <w:lang w:val="fi-FI"/>
        </w:rPr>
      </w:pPr>
    </w:p>
    <w:p w:rsidR="008B0BBE" w:rsidRDefault="007011D8">
      <w:pPr>
        <w:rPr>
          <w:b/>
          <w:lang w:val="fi-FI"/>
        </w:rPr>
      </w:pPr>
      <w:r w:rsidRPr="007011D8">
        <w:rPr>
          <w:b/>
          <w:lang w:val="fi-FI"/>
        </w:rPr>
        <w:t>Asettaminen</w:t>
      </w:r>
    </w:p>
    <w:p w:rsidR="00CB7AAF" w:rsidRDefault="007011D8" w:rsidP="00D2101F">
      <w:pPr>
        <w:ind w:left="1304" w:firstLine="1"/>
        <w:rPr>
          <w:lang w:val="fi-FI"/>
        </w:rPr>
      </w:pPr>
      <w:r>
        <w:rPr>
          <w:lang w:val="fi-FI"/>
        </w:rPr>
        <w:t xml:space="preserve">Ympäristöministeriö kutsuu </w:t>
      </w:r>
      <w:r w:rsidR="00166EDD">
        <w:rPr>
          <w:lang w:val="fi-FI"/>
        </w:rPr>
        <w:t>oikeustieteen tohtori Olavi Syrjäsen</w:t>
      </w:r>
      <w:r w:rsidR="00D2101F" w:rsidRPr="005D41F3">
        <w:rPr>
          <w:b/>
          <w:lang w:val="fi-FI"/>
        </w:rPr>
        <w:t xml:space="preserve"> </w:t>
      </w:r>
      <w:r w:rsidR="00D2101F">
        <w:rPr>
          <w:lang w:val="fi-FI"/>
        </w:rPr>
        <w:t xml:space="preserve">selvityshenkilöksi, </w:t>
      </w:r>
      <w:r w:rsidR="00CB7AAF" w:rsidRPr="00F5322E">
        <w:rPr>
          <w:lang w:val="fi-FI"/>
        </w:rPr>
        <w:t xml:space="preserve">jonka tehtävänä on selvittää </w:t>
      </w:r>
      <w:r w:rsidR="00166EDD">
        <w:rPr>
          <w:lang w:val="fi-FI"/>
        </w:rPr>
        <w:t xml:space="preserve">Asumisen rahoitus- ja kehittämiskeskuksen </w:t>
      </w:r>
      <w:r w:rsidR="006245FA">
        <w:rPr>
          <w:lang w:val="fi-FI"/>
        </w:rPr>
        <w:t xml:space="preserve">(ARA) </w:t>
      </w:r>
      <w:r w:rsidR="00166EDD">
        <w:rPr>
          <w:lang w:val="fi-FI"/>
        </w:rPr>
        <w:t>to</w:t>
      </w:r>
      <w:r w:rsidR="00166EDD">
        <w:rPr>
          <w:lang w:val="fi-FI"/>
        </w:rPr>
        <w:t>i</w:t>
      </w:r>
      <w:r w:rsidR="00166EDD">
        <w:rPr>
          <w:lang w:val="fi-FI"/>
        </w:rPr>
        <w:t>minnan kehittämistä ottaen huomioon toimintaympäristön asettamat haa</w:t>
      </w:r>
      <w:r w:rsidR="00166EDD">
        <w:rPr>
          <w:lang w:val="fi-FI"/>
        </w:rPr>
        <w:t>s</w:t>
      </w:r>
      <w:r w:rsidR="00166EDD">
        <w:rPr>
          <w:lang w:val="fi-FI"/>
        </w:rPr>
        <w:t>teet.</w:t>
      </w:r>
    </w:p>
    <w:p w:rsidR="007011D8" w:rsidRDefault="007011D8">
      <w:pPr>
        <w:rPr>
          <w:lang w:val="fi-FI"/>
        </w:rPr>
      </w:pPr>
    </w:p>
    <w:p w:rsidR="007011D8" w:rsidRDefault="007011D8">
      <w:pPr>
        <w:rPr>
          <w:b/>
          <w:lang w:val="fi-FI"/>
        </w:rPr>
      </w:pPr>
      <w:r>
        <w:rPr>
          <w:b/>
          <w:lang w:val="fi-FI"/>
        </w:rPr>
        <w:t>Toimikausi</w:t>
      </w:r>
    </w:p>
    <w:p w:rsidR="007011D8" w:rsidRDefault="007011D8">
      <w:pPr>
        <w:rPr>
          <w:lang w:val="fi-FI"/>
        </w:rPr>
      </w:pPr>
      <w:r>
        <w:rPr>
          <w:b/>
          <w:lang w:val="fi-FI"/>
        </w:rPr>
        <w:tab/>
      </w:r>
      <w:r>
        <w:rPr>
          <w:lang w:val="fi-FI"/>
        </w:rPr>
        <w:t xml:space="preserve">Työn pitää olla valmis </w:t>
      </w:r>
      <w:r w:rsidR="00166EDD">
        <w:rPr>
          <w:lang w:val="fi-FI"/>
        </w:rPr>
        <w:t>31.8.2012</w:t>
      </w:r>
      <w:r>
        <w:rPr>
          <w:lang w:val="fi-FI"/>
        </w:rPr>
        <w:t xml:space="preserve"> mennessä.</w:t>
      </w:r>
    </w:p>
    <w:p w:rsidR="007011D8" w:rsidRDefault="007011D8">
      <w:pPr>
        <w:rPr>
          <w:lang w:val="fi-FI"/>
        </w:rPr>
      </w:pPr>
    </w:p>
    <w:p w:rsidR="005F1EF1" w:rsidRDefault="007011D8" w:rsidP="005F1EF1">
      <w:pPr>
        <w:pStyle w:val="Perustelut"/>
        <w:spacing w:line="240" w:lineRule="auto"/>
        <w:ind w:left="1276" w:hanging="1276"/>
        <w:rPr>
          <w:b/>
        </w:rPr>
      </w:pPr>
      <w:r>
        <w:rPr>
          <w:b/>
        </w:rPr>
        <w:t>Tausta</w:t>
      </w:r>
      <w:r w:rsidR="00CB7AAF">
        <w:rPr>
          <w:b/>
        </w:rPr>
        <w:tab/>
      </w:r>
    </w:p>
    <w:p w:rsidR="00166EDD" w:rsidRDefault="002F7505" w:rsidP="005F1EF1">
      <w:pPr>
        <w:pStyle w:val="Perustelut"/>
        <w:spacing w:line="240" w:lineRule="auto"/>
        <w:ind w:left="1276"/>
      </w:pPr>
      <w:r>
        <w:t>Hallitusohjelman mukaisesti hallituksen asuntopolitiikan tavoitteena on turvata sosia</w:t>
      </w:r>
      <w:r>
        <w:t>a</w:t>
      </w:r>
      <w:r>
        <w:t>lisesti ja alueellisesti tasapainoiset ja vakaat asuntomarkkinat, kiinnitettävä huomiota asumisen laatuun ja turvattava erityisryhmien asumistarpeita. Asuntopolitiikalla edi</w:t>
      </w:r>
      <w:r>
        <w:t>s</w:t>
      </w:r>
      <w:r>
        <w:t>tetään kohtuuhintaista asumista sekä kaikkien väestöryhmien mahdollisuuksia elämä</w:t>
      </w:r>
      <w:r>
        <w:t>n</w:t>
      </w:r>
      <w:r>
        <w:t>tilanteeseensa sopivaan asumiseen, kestävää kehitystä, työmarkkinoiden toimivuutta ja asukkaiden vaikutusmahdollisuuksia. Tavoitteena on lisätä erityisesti pieni- ja keskit</w:t>
      </w:r>
      <w:r>
        <w:t>u</w:t>
      </w:r>
      <w:r>
        <w:t>loisille suunnattua vuokra-asuntotuotantoa, parantaa asuinalueiden elinvoimaa ja e</w:t>
      </w:r>
      <w:r>
        <w:t>h</w:t>
      </w:r>
      <w:r>
        <w:t>käistä segregaatiota.</w:t>
      </w:r>
    </w:p>
    <w:p w:rsidR="006245FA" w:rsidRDefault="006245FA" w:rsidP="006245FA">
      <w:pPr>
        <w:rPr>
          <w:lang w:val="fi-FI" w:eastAsia="en-US"/>
        </w:rPr>
      </w:pPr>
    </w:p>
    <w:p w:rsidR="006245FA" w:rsidRDefault="006245FA" w:rsidP="006245FA">
      <w:pPr>
        <w:ind w:left="1276" w:hanging="1276"/>
        <w:rPr>
          <w:lang w:val="fi-FI" w:eastAsia="en-US"/>
        </w:rPr>
      </w:pPr>
      <w:r>
        <w:rPr>
          <w:lang w:val="fi-FI" w:eastAsia="en-US"/>
        </w:rPr>
        <w:tab/>
        <w:t>ARA:n tehtävänä on edistää kestävää ja kohtuuhintaista asumista vuorovaikutuksessa ja yhteistyökumppaniensa kanssa tukien toimeenpanolla, ohjauksella ja valvonnalla sekä niihin kytkeytyvällä kehittämistoiminnalla.</w:t>
      </w:r>
    </w:p>
    <w:p w:rsidR="006245FA" w:rsidRDefault="006245FA" w:rsidP="006245FA">
      <w:pPr>
        <w:ind w:left="1276" w:hanging="1276"/>
        <w:rPr>
          <w:lang w:val="fi-FI" w:eastAsia="en-US"/>
        </w:rPr>
      </w:pPr>
    </w:p>
    <w:p w:rsidR="006245FA" w:rsidRPr="006245FA" w:rsidRDefault="006245FA" w:rsidP="006245FA">
      <w:pPr>
        <w:ind w:left="1276" w:hanging="1276"/>
        <w:rPr>
          <w:lang w:val="fi-FI" w:eastAsia="en-US"/>
        </w:rPr>
      </w:pPr>
      <w:r>
        <w:rPr>
          <w:lang w:val="fi-FI" w:eastAsia="en-US"/>
        </w:rPr>
        <w:tab/>
        <w:t>Valtioneuvoston asuntopoliittista toimenpideohjelmaa valmistellut työryhmä luovutti ehdotuksensa ministeri Kiurulle 14.2.2012. Hallitusohjelmaa toteuttavien sisällöllisten ehdotusten lisäksi työryhmä ehdotti myös ARA:n toiminnan arvioimista ja kehittämi</w:t>
      </w:r>
      <w:r>
        <w:rPr>
          <w:lang w:val="fi-FI" w:eastAsia="en-US"/>
        </w:rPr>
        <w:t>s</w:t>
      </w:r>
      <w:r>
        <w:rPr>
          <w:lang w:val="fi-FI" w:eastAsia="en-US"/>
        </w:rPr>
        <w:t>tä.</w:t>
      </w:r>
    </w:p>
    <w:p w:rsidR="00251792" w:rsidRDefault="00251792" w:rsidP="005F1EF1">
      <w:pPr>
        <w:rPr>
          <w:lang w:val="fi-FI" w:eastAsia="en-US"/>
        </w:rPr>
      </w:pPr>
    </w:p>
    <w:p w:rsidR="005F1EF1" w:rsidRPr="00873E81" w:rsidRDefault="007011D8">
      <w:pPr>
        <w:rPr>
          <w:b/>
          <w:lang w:val="fi-FI"/>
        </w:rPr>
      </w:pPr>
      <w:r>
        <w:rPr>
          <w:b/>
          <w:lang w:val="fi-FI"/>
        </w:rPr>
        <w:t>Toimeksianto</w:t>
      </w:r>
    </w:p>
    <w:p w:rsidR="005F1EF1" w:rsidRDefault="005F1EF1" w:rsidP="008769E0">
      <w:pPr>
        <w:ind w:left="1276"/>
        <w:rPr>
          <w:lang w:val="fi-FI"/>
        </w:rPr>
      </w:pPr>
      <w:r>
        <w:rPr>
          <w:lang w:val="fi-FI"/>
        </w:rPr>
        <w:t xml:space="preserve">Selvityshenkilön tehtävänä on </w:t>
      </w:r>
      <w:r w:rsidR="008769E0">
        <w:rPr>
          <w:lang w:val="fi-FI"/>
        </w:rPr>
        <w:t>arvioida ja tehdä ehdotukset siitä</w:t>
      </w:r>
    </w:p>
    <w:p w:rsidR="008769E0" w:rsidRDefault="008769E0" w:rsidP="008769E0">
      <w:pPr>
        <w:pStyle w:val="Luettelokappale"/>
        <w:numPr>
          <w:ilvl w:val="0"/>
          <w:numId w:val="4"/>
        </w:numPr>
        <w:rPr>
          <w:lang w:val="fi-FI"/>
        </w:rPr>
      </w:pPr>
      <w:r>
        <w:rPr>
          <w:lang w:val="fi-FI"/>
        </w:rPr>
        <w:t>mikä on ARA:n rooli asunto-olojen kehittäjänä ja miten hyvin ARA:n toiminta ja sen organisaatio pystyvät vastaamaan yhteiskunnan harjoittaman asuntopol</w:t>
      </w:r>
      <w:r>
        <w:rPr>
          <w:lang w:val="fi-FI"/>
        </w:rPr>
        <w:t>i</w:t>
      </w:r>
      <w:r>
        <w:rPr>
          <w:lang w:val="fi-FI"/>
        </w:rPr>
        <w:t>tiikan tavoitteiden toteu</w:t>
      </w:r>
      <w:r>
        <w:rPr>
          <w:lang w:val="fi-FI"/>
        </w:rPr>
        <w:t>t</w:t>
      </w:r>
      <w:r>
        <w:rPr>
          <w:lang w:val="fi-FI"/>
        </w:rPr>
        <w:t xml:space="preserve">tamiseen </w:t>
      </w:r>
    </w:p>
    <w:p w:rsidR="008769E0" w:rsidRDefault="008769E0" w:rsidP="008769E0">
      <w:pPr>
        <w:pStyle w:val="Luettelokappale"/>
        <w:numPr>
          <w:ilvl w:val="0"/>
          <w:numId w:val="4"/>
        </w:numPr>
        <w:rPr>
          <w:lang w:val="fi-FI"/>
        </w:rPr>
      </w:pPr>
      <w:r w:rsidRPr="008769E0">
        <w:rPr>
          <w:lang w:val="fi-FI"/>
        </w:rPr>
        <w:t>miten ARA:n toimintakäytäntöjä voidaan kehittää asiakasnäkökulmasta tukiin liittyvän hallinnoinnin yksinkertaistamiseksi ja asioinnin sujuvuuden parant</w:t>
      </w:r>
      <w:r w:rsidRPr="008769E0">
        <w:rPr>
          <w:lang w:val="fi-FI"/>
        </w:rPr>
        <w:t>a</w:t>
      </w:r>
      <w:r w:rsidRPr="008769E0">
        <w:rPr>
          <w:lang w:val="fi-FI"/>
        </w:rPr>
        <w:t xml:space="preserve">miseksi sekä kuntien kanssa tehtävän yhteistyön edistämiseksi  </w:t>
      </w:r>
    </w:p>
    <w:p w:rsidR="008769E0" w:rsidRPr="008769E0" w:rsidRDefault="008769E0" w:rsidP="008769E0">
      <w:pPr>
        <w:pStyle w:val="Luettelokappale"/>
        <w:numPr>
          <w:ilvl w:val="0"/>
          <w:numId w:val="4"/>
        </w:numPr>
        <w:rPr>
          <w:lang w:val="fi-FI"/>
        </w:rPr>
      </w:pPr>
      <w:r w:rsidRPr="008769E0">
        <w:rPr>
          <w:lang w:val="fi-FI"/>
        </w:rPr>
        <w:t>millainen organisaatio olisi johtamisen kannalta toimivin ottaen huomioon t</w:t>
      </w:r>
      <w:r w:rsidRPr="008769E0">
        <w:rPr>
          <w:lang w:val="fi-FI"/>
        </w:rPr>
        <w:t>u</w:t>
      </w:r>
      <w:r w:rsidRPr="008769E0">
        <w:rPr>
          <w:lang w:val="fi-FI"/>
        </w:rPr>
        <w:t>kipäätösten la</w:t>
      </w:r>
      <w:r w:rsidRPr="008769E0">
        <w:rPr>
          <w:lang w:val="fi-FI"/>
        </w:rPr>
        <w:t>a</w:t>
      </w:r>
      <w:r w:rsidRPr="008769E0">
        <w:rPr>
          <w:lang w:val="fi-FI"/>
        </w:rPr>
        <w:t>jat vaikutukset, YM:n tulosohjauksen, ARA:n johtokunnan sekä Valtiokontt</w:t>
      </w:r>
      <w:r w:rsidRPr="008769E0">
        <w:rPr>
          <w:lang w:val="fi-FI"/>
        </w:rPr>
        <w:t>o</w:t>
      </w:r>
      <w:r w:rsidRPr="008769E0">
        <w:rPr>
          <w:lang w:val="fi-FI"/>
        </w:rPr>
        <w:t>rin roolin ja merkityksen</w:t>
      </w:r>
    </w:p>
    <w:p w:rsidR="008769E0" w:rsidRDefault="008769E0" w:rsidP="008769E0">
      <w:pPr>
        <w:pStyle w:val="Luettelokappale"/>
        <w:numPr>
          <w:ilvl w:val="0"/>
          <w:numId w:val="4"/>
        </w:numPr>
        <w:rPr>
          <w:lang w:val="fi-FI"/>
        </w:rPr>
      </w:pPr>
      <w:r>
        <w:rPr>
          <w:lang w:val="fi-FI"/>
        </w:rPr>
        <w:t>miten ARA:n t&amp;k-toiminta on toteutunut ja mitkä olisivat tarpeet</w:t>
      </w:r>
    </w:p>
    <w:p w:rsidR="008769E0" w:rsidRPr="008769E0" w:rsidRDefault="008769E0" w:rsidP="008769E0">
      <w:pPr>
        <w:pStyle w:val="Luettelokappale"/>
        <w:numPr>
          <w:ilvl w:val="0"/>
          <w:numId w:val="4"/>
        </w:numPr>
        <w:rPr>
          <w:lang w:val="fi-FI"/>
        </w:rPr>
      </w:pPr>
      <w:r>
        <w:rPr>
          <w:lang w:val="fi-FI"/>
        </w:rPr>
        <w:t>miten ARA:n resurssit tulisi mitoittaa ja suunnata suhteessa sen tehtäväken</w:t>
      </w:r>
      <w:r>
        <w:rPr>
          <w:lang w:val="fi-FI"/>
        </w:rPr>
        <w:t>t</w:t>
      </w:r>
      <w:r>
        <w:rPr>
          <w:lang w:val="fi-FI"/>
        </w:rPr>
        <w:t xml:space="preserve">tään erityisesti ottaen huomioon ARA:n valvontatehtävät </w:t>
      </w:r>
    </w:p>
    <w:p w:rsidR="005F1EF1" w:rsidRDefault="005F1EF1">
      <w:pPr>
        <w:rPr>
          <w:lang w:val="fi-FI"/>
        </w:rPr>
      </w:pPr>
    </w:p>
    <w:p w:rsidR="00395193" w:rsidRDefault="00395193" w:rsidP="00387852">
      <w:pPr>
        <w:ind w:left="1304"/>
        <w:rPr>
          <w:lang w:val="fi-FI"/>
        </w:rPr>
      </w:pPr>
    </w:p>
    <w:p w:rsidR="0001567D" w:rsidRDefault="00387852" w:rsidP="00387852">
      <w:pPr>
        <w:ind w:left="1304"/>
        <w:rPr>
          <w:lang w:val="fi-FI"/>
        </w:rPr>
      </w:pPr>
      <w:r>
        <w:rPr>
          <w:lang w:val="fi-FI"/>
        </w:rPr>
        <w:t xml:space="preserve">Työssään selvityshenkilö kuulee kaikkia tarpeelliseksi katsomiaan tahoja. </w:t>
      </w:r>
    </w:p>
    <w:p w:rsidR="007011D8" w:rsidRDefault="007011D8">
      <w:pPr>
        <w:rPr>
          <w:b/>
          <w:lang w:val="fi-FI"/>
        </w:rPr>
      </w:pPr>
    </w:p>
    <w:p w:rsidR="007011D8" w:rsidRDefault="00DA0DD1">
      <w:pPr>
        <w:rPr>
          <w:b/>
          <w:lang w:val="fi-FI"/>
        </w:rPr>
      </w:pPr>
      <w:r>
        <w:rPr>
          <w:b/>
          <w:lang w:val="fi-FI"/>
        </w:rPr>
        <w:t>Kustannukset ja rahoitus</w:t>
      </w:r>
    </w:p>
    <w:p w:rsidR="00251792" w:rsidRPr="00251792" w:rsidRDefault="00251792" w:rsidP="00251792">
      <w:pPr>
        <w:ind w:left="1304" w:firstLine="1"/>
        <w:rPr>
          <w:lang w:val="fi-FI"/>
        </w:rPr>
      </w:pPr>
      <w:r>
        <w:rPr>
          <w:lang w:val="fi-FI"/>
        </w:rPr>
        <w:t>Selvitystyöstä aiheutuvat matkakustannukset ja erillisen sopimuksen mukainen selv</w:t>
      </w:r>
      <w:r>
        <w:rPr>
          <w:lang w:val="fi-FI"/>
        </w:rPr>
        <w:t>i</w:t>
      </w:r>
      <w:r>
        <w:rPr>
          <w:lang w:val="fi-FI"/>
        </w:rPr>
        <w:t>tyshenkilön palkki</w:t>
      </w:r>
      <w:r w:rsidR="00236E42">
        <w:rPr>
          <w:lang w:val="fi-FI"/>
        </w:rPr>
        <w:t>o maksetaan momentilta 35.01.0</w:t>
      </w:r>
      <w:r w:rsidR="008769E0">
        <w:rPr>
          <w:lang w:val="fi-FI"/>
        </w:rPr>
        <w:t>1</w:t>
      </w:r>
      <w:r w:rsidR="00236E42">
        <w:rPr>
          <w:lang w:val="fi-FI"/>
        </w:rPr>
        <w:t>.</w:t>
      </w:r>
      <w:r>
        <w:rPr>
          <w:lang w:val="fi-FI"/>
        </w:rPr>
        <w:t xml:space="preserve"> </w:t>
      </w:r>
      <w:r w:rsidR="00C41ACD">
        <w:rPr>
          <w:lang w:val="fi-FI"/>
        </w:rPr>
        <w:t>Matkakustannukset korvataan laskua vastaan valtion matkustussäännön mukaan.</w:t>
      </w:r>
    </w:p>
    <w:p w:rsidR="007011D8" w:rsidRDefault="007011D8">
      <w:pPr>
        <w:rPr>
          <w:b/>
          <w:lang w:val="fi-FI"/>
        </w:rPr>
      </w:pPr>
    </w:p>
    <w:p w:rsidR="007011D8" w:rsidRDefault="007011D8">
      <w:pPr>
        <w:rPr>
          <w:b/>
          <w:lang w:val="fi-FI"/>
        </w:rPr>
      </w:pPr>
    </w:p>
    <w:p w:rsidR="007011D8" w:rsidRDefault="007011D8">
      <w:pPr>
        <w:rPr>
          <w:b/>
          <w:lang w:val="fi-FI"/>
        </w:rPr>
      </w:pPr>
    </w:p>
    <w:p w:rsidR="007011D8" w:rsidRDefault="007011D8">
      <w:pPr>
        <w:rPr>
          <w:b/>
          <w:lang w:val="fi-FI"/>
        </w:rPr>
      </w:pPr>
    </w:p>
    <w:p w:rsidR="007011D8" w:rsidRPr="008769E0" w:rsidRDefault="007011D8">
      <w:pPr>
        <w:rPr>
          <w:i/>
          <w:lang w:val="fi-FI"/>
        </w:rPr>
      </w:pPr>
      <w:r>
        <w:rPr>
          <w:b/>
          <w:lang w:val="fi-FI"/>
        </w:rPr>
        <w:tab/>
      </w:r>
      <w:r>
        <w:rPr>
          <w:lang w:val="fi-FI"/>
        </w:rPr>
        <w:t>Asunto</w:t>
      </w:r>
      <w:r w:rsidR="008769E0">
        <w:rPr>
          <w:lang w:val="fi-FI"/>
        </w:rPr>
        <w:t>- ja viestintä</w:t>
      </w:r>
      <w:r>
        <w:rPr>
          <w:lang w:val="fi-FI"/>
        </w:rPr>
        <w:t>mi</w:t>
      </w:r>
      <w:r w:rsidR="008769E0">
        <w:rPr>
          <w:lang w:val="fi-FI"/>
        </w:rPr>
        <w:t xml:space="preserve">nisteri </w:t>
      </w:r>
      <w:r w:rsidR="008769E0">
        <w:rPr>
          <w:lang w:val="fi-FI"/>
        </w:rPr>
        <w:tab/>
      </w:r>
      <w:r w:rsidR="008769E0">
        <w:rPr>
          <w:i/>
          <w:lang w:val="fi-FI"/>
        </w:rPr>
        <w:t>Krista Kiuru</w:t>
      </w:r>
    </w:p>
    <w:p w:rsidR="007011D8" w:rsidRDefault="007011D8">
      <w:pPr>
        <w:rPr>
          <w:i/>
          <w:lang w:val="fi-FI"/>
        </w:rPr>
      </w:pPr>
    </w:p>
    <w:p w:rsidR="007011D8" w:rsidRDefault="007011D8">
      <w:pPr>
        <w:rPr>
          <w:i/>
          <w:lang w:val="fi-FI"/>
        </w:rPr>
      </w:pPr>
    </w:p>
    <w:p w:rsidR="007011D8" w:rsidRDefault="007011D8">
      <w:pPr>
        <w:rPr>
          <w:i/>
          <w:lang w:val="fi-FI"/>
        </w:rPr>
      </w:pPr>
    </w:p>
    <w:p w:rsidR="007011D8" w:rsidRDefault="007011D8">
      <w:pPr>
        <w:rPr>
          <w:i/>
          <w:lang w:val="fi-FI"/>
        </w:rPr>
      </w:pPr>
    </w:p>
    <w:p w:rsidR="007011D8" w:rsidRDefault="007011D8">
      <w:pPr>
        <w:rPr>
          <w:i/>
          <w:lang w:val="fi-FI"/>
        </w:rPr>
      </w:pPr>
      <w:r>
        <w:rPr>
          <w:i/>
          <w:lang w:val="fi-FI"/>
        </w:rPr>
        <w:tab/>
      </w:r>
      <w:r w:rsidR="008769E0">
        <w:rPr>
          <w:lang w:val="fi-FI"/>
        </w:rPr>
        <w:t>Kansliapäällikkö</w:t>
      </w:r>
      <w:r>
        <w:rPr>
          <w:lang w:val="fi-FI"/>
        </w:rPr>
        <w:tab/>
      </w:r>
      <w:r>
        <w:rPr>
          <w:lang w:val="fi-FI"/>
        </w:rPr>
        <w:tab/>
      </w:r>
      <w:r w:rsidR="008769E0">
        <w:rPr>
          <w:i/>
          <w:lang w:val="fi-FI"/>
        </w:rPr>
        <w:t>Hannele Pokka</w:t>
      </w:r>
    </w:p>
    <w:p w:rsidR="007011D8" w:rsidRDefault="007011D8">
      <w:pPr>
        <w:rPr>
          <w:i/>
          <w:lang w:val="fi-FI"/>
        </w:rPr>
      </w:pPr>
    </w:p>
    <w:p w:rsidR="007011D8" w:rsidRDefault="007011D8">
      <w:pPr>
        <w:rPr>
          <w:i/>
          <w:lang w:val="fi-FI"/>
        </w:rPr>
      </w:pPr>
    </w:p>
    <w:p w:rsidR="007011D8" w:rsidRDefault="007011D8">
      <w:pPr>
        <w:rPr>
          <w:b/>
          <w:lang w:val="fi-FI"/>
        </w:rPr>
      </w:pPr>
    </w:p>
    <w:p w:rsidR="007011D8" w:rsidRDefault="007011D8">
      <w:pPr>
        <w:rPr>
          <w:b/>
          <w:lang w:val="fi-FI"/>
        </w:rPr>
      </w:pPr>
    </w:p>
    <w:p w:rsidR="007011D8" w:rsidRPr="008769E0" w:rsidRDefault="007011D8">
      <w:pPr>
        <w:rPr>
          <w:lang w:val="fi-FI"/>
        </w:rPr>
      </w:pPr>
      <w:r>
        <w:rPr>
          <w:b/>
          <w:lang w:val="fi-FI"/>
        </w:rPr>
        <w:t>JAKELU</w:t>
      </w:r>
      <w:r w:rsidR="008769E0">
        <w:rPr>
          <w:b/>
          <w:lang w:val="fi-FI"/>
        </w:rPr>
        <w:tab/>
      </w:r>
      <w:r w:rsidR="008769E0">
        <w:rPr>
          <w:lang w:val="fi-FI"/>
        </w:rPr>
        <w:t>Osalliset</w:t>
      </w:r>
    </w:p>
    <w:p w:rsidR="007011D8" w:rsidRDefault="007011D8">
      <w:pPr>
        <w:rPr>
          <w:b/>
          <w:lang w:val="fi-FI"/>
        </w:rPr>
      </w:pPr>
    </w:p>
    <w:p w:rsidR="007011D8" w:rsidRDefault="007011D8">
      <w:pPr>
        <w:rPr>
          <w:b/>
          <w:lang w:val="fi-FI"/>
        </w:rPr>
      </w:pPr>
    </w:p>
    <w:p w:rsidR="007011D8" w:rsidRDefault="007011D8">
      <w:pPr>
        <w:rPr>
          <w:b/>
          <w:lang w:val="fi-FI"/>
        </w:rPr>
      </w:pPr>
      <w:r>
        <w:rPr>
          <w:b/>
          <w:lang w:val="fi-FI"/>
        </w:rPr>
        <w:t>TIEDOKSI</w:t>
      </w:r>
    </w:p>
    <w:p w:rsidR="00DD7EFA" w:rsidRDefault="007011D8">
      <w:pPr>
        <w:rPr>
          <w:i/>
          <w:lang w:val="fi-FI"/>
        </w:rPr>
      </w:pPr>
      <w:r>
        <w:rPr>
          <w:b/>
          <w:lang w:val="fi-FI"/>
        </w:rPr>
        <w:tab/>
      </w:r>
      <w:r w:rsidR="00DD7EFA">
        <w:rPr>
          <w:lang w:val="fi-FI"/>
        </w:rPr>
        <w:t xml:space="preserve">Hallintojohtaja </w:t>
      </w:r>
      <w:r w:rsidR="00DD7EFA">
        <w:rPr>
          <w:i/>
          <w:lang w:val="fi-FI"/>
        </w:rPr>
        <w:t>Aino Jalonen</w:t>
      </w:r>
    </w:p>
    <w:p w:rsidR="00816573" w:rsidRDefault="00816573">
      <w:pPr>
        <w:rPr>
          <w:i/>
          <w:lang w:val="fi-FI"/>
        </w:rPr>
      </w:pPr>
      <w:r>
        <w:rPr>
          <w:i/>
          <w:lang w:val="fi-FI"/>
        </w:rPr>
        <w:tab/>
      </w:r>
      <w:r>
        <w:rPr>
          <w:lang w:val="fi-FI"/>
        </w:rPr>
        <w:t xml:space="preserve">Ylijohtaja </w:t>
      </w:r>
      <w:r>
        <w:rPr>
          <w:i/>
          <w:lang w:val="fi-FI"/>
        </w:rPr>
        <w:t>Helena Säteri</w:t>
      </w:r>
    </w:p>
    <w:p w:rsidR="008769E0" w:rsidRDefault="008769E0">
      <w:pPr>
        <w:rPr>
          <w:lang w:val="fi-FI"/>
        </w:rPr>
      </w:pPr>
      <w:r>
        <w:rPr>
          <w:i/>
          <w:lang w:val="fi-FI"/>
        </w:rPr>
        <w:tab/>
      </w:r>
      <w:r>
        <w:rPr>
          <w:lang w:val="fi-FI"/>
        </w:rPr>
        <w:t>RYMO:n ryhmäpäälliköt</w:t>
      </w:r>
    </w:p>
    <w:p w:rsidR="008769E0" w:rsidRPr="008769E0" w:rsidRDefault="008769E0">
      <w:pPr>
        <w:rPr>
          <w:lang w:val="fi-FI"/>
        </w:rPr>
      </w:pPr>
      <w:r>
        <w:rPr>
          <w:lang w:val="fi-FI"/>
        </w:rPr>
        <w:tab/>
        <w:t>ARA</w:t>
      </w:r>
    </w:p>
    <w:sectPr w:rsidR="008769E0" w:rsidRPr="008769E0" w:rsidSect="008B0B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00F5D"/>
    <w:multiLevelType w:val="hybridMultilevel"/>
    <w:tmpl w:val="4768EA96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29864611"/>
    <w:multiLevelType w:val="hybridMultilevel"/>
    <w:tmpl w:val="851056AE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2FDF3FE7"/>
    <w:multiLevelType w:val="hybridMultilevel"/>
    <w:tmpl w:val="9C9CB7E4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3BFA2116"/>
    <w:multiLevelType w:val="hybridMultilevel"/>
    <w:tmpl w:val="0AF46E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autoHyphenation/>
  <w:hyphenationZone w:val="425"/>
  <w:characterSpacingControl w:val="doNotCompress"/>
  <w:compat/>
  <w:rsids>
    <w:rsidRoot w:val="007011D8"/>
    <w:rsid w:val="0001567D"/>
    <w:rsid w:val="00044550"/>
    <w:rsid w:val="000A2CBB"/>
    <w:rsid w:val="000D5F01"/>
    <w:rsid w:val="000F4D3E"/>
    <w:rsid w:val="00105EE2"/>
    <w:rsid w:val="0014003D"/>
    <w:rsid w:val="00166EDD"/>
    <w:rsid w:val="00221CAC"/>
    <w:rsid w:val="00236E42"/>
    <w:rsid w:val="00251792"/>
    <w:rsid w:val="002553ED"/>
    <w:rsid w:val="00264268"/>
    <w:rsid w:val="002F7505"/>
    <w:rsid w:val="00387852"/>
    <w:rsid w:val="00395193"/>
    <w:rsid w:val="00482E78"/>
    <w:rsid w:val="004E10A7"/>
    <w:rsid w:val="004E25AB"/>
    <w:rsid w:val="004F13A4"/>
    <w:rsid w:val="00560F66"/>
    <w:rsid w:val="005D41F3"/>
    <w:rsid w:val="005E4AB9"/>
    <w:rsid w:val="005F1EF1"/>
    <w:rsid w:val="006245FA"/>
    <w:rsid w:val="0062705F"/>
    <w:rsid w:val="00644570"/>
    <w:rsid w:val="006521B7"/>
    <w:rsid w:val="007011D8"/>
    <w:rsid w:val="00786511"/>
    <w:rsid w:val="007E0FE5"/>
    <w:rsid w:val="007E4BF7"/>
    <w:rsid w:val="007F5065"/>
    <w:rsid w:val="00816573"/>
    <w:rsid w:val="008665B7"/>
    <w:rsid w:val="00873E81"/>
    <w:rsid w:val="008769E0"/>
    <w:rsid w:val="008B0BBE"/>
    <w:rsid w:val="008C6B0E"/>
    <w:rsid w:val="00965133"/>
    <w:rsid w:val="00984D8D"/>
    <w:rsid w:val="009A6A8C"/>
    <w:rsid w:val="00A31A32"/>
    <w:rsid w:val="00A57CDD"/>
    <w:rsid w:val="00AB77FE"/>
    <w:rsid w:val="00AF6C6B"/>
    <w:rsid w:val="00B82E84"/>
    <w:rsid w:val="00BD0D9E"/>
    <w:rsid w:val="00C3573E"/>
    <w:rsid w:val="00C40932"/>
    <w:rsid w:val="00C41ACD"/>
    <w:rsid w:val="00CB121F"/>
    <w:rsid w:val="00CB7AAF"/>
    <w:rsid w:val="00CC2F2F"/>
    <w:rsid w:val="00CE2C7B"/>
    <w:rsid w:val="00D2101F"/>
    <w:rsid w:val="00D66453"/>
    <w:rsid w:val="00DA0DD1"/>
    <w:rsid w:val="00DD7EFA"/>
    <w:rsid w:val="00DF32F7"/>
    <w:rsid w:val="00E707AD"/>
    <w:rsid w:val="00E81623"/>
    <w:rsid w:val="00EA44FF"/>
    <w:rsid w:val="00EF7BA0"/>
    <w:rsid w:val="00F527BD"/>
    <w:rsid w:val="00F870E7"/>
    <w:rsid w:val="00FC27DA"/>
    <w:rsid w:val="00FC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011D8"/>
    <w:rPr>
      <w:rFonts w:ascii="Times New Roman" w:hAnsi="Times New Roman"/>
      <w:sz w:val="24"/>
      <w:szCs w:val="24"/>
      <w:lang w:val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6453"/>
    <w:pPr>
      <w:ind w:left="1304"/>
    </w:pPr>
  </w:style>
  <w:style w:type="paragraph" w:customStyle="1" w:styleId="Perustelut">
    <w:name w:val="Perustelut"/>
    <w:next w:val="Normaali"/>
    <w:rsid w:val="00EF7BA0"/>
    <w:pPr>
      <w:spacing w:line="360" w:lineRule="auto"/>
    </w:pPr>
    <w:rPr>
      <w:rFonts w:ascii="Times New Roman" w:hAnsi="Times New Roman"/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162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162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C37E-B393-4F05-987D-FC7AD6FB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laitinen</dc:creator>
  <cp:lastModifiedBy>jarvenpaa</cp:lastModifiedBy>
  <cp:revision>2</cp:revision>
  <cp:lastPrinted>2012-03-27T04:01:00Z</cp:lastPrinted>
  <dcterms:created xsi:type="dcterms:W3CDTF">2012-03-27T06:57:00Z</dcterms:created>
  <dcterms:modified xsi:type="dcterms:W3CDTF">2012-03-27T06:57:00Z</dcterms:modified>
</cp:coreProperties>
</file>