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47" w:rsidRPr="006021F7" w:rsidRDefault="001623C9" w:rsidP="003C6F72">
      <w:pPr>
        <w:spacing w:line="220" w:lineRule="exact"/>
        <w:rPr>
          <w:rFonts w:ascii="Times New Roman" w:hAnsi="Times New Roman"/>
        </w:rPr>
      </w:pPr>
      <w:r w:rsidRPr="006021F7">
        <w:rPr>
          <w:rFonts w:ascii="Times New Roman" w:hAnsi="Times New Roman"/>
        </w:rPr>
        <w:t>TEM/TMO/SYL</w:t>
      </w:r>
      <w:r w:rsidR="00177030" w:rsidRPr="006021F7">
        <w:rPr>
          <w:rFonts w:ascii="Times New Roman" w:hAnsi="Times New Roman"/>
        </w:rPr>
        <w:tab/>
      </w:r>
      <w:r w:rsidR="00177030" w:rsidRPr="006021F7">
        <w:rPr>
          <w:rFonts w:ascii="Times New Roman" w:hAnsi="Times New Roman"/>
        </w:rPr>
        <w:tab/>
      </w:r>
      <w:r w:rsidR="00177030" w:rsidRPr="006021F7">
        <w:rPr>
          <w:rFonts w:ascii="Times New Roman" w:hAnsi="Times New Roman"/>
        </w:rPr>
        <w:tab/>
      </w:r>
      <w:r w:rsidR="00177030" w:rsidRPr="006021F7">
        <w:rPr>
          <w:rFonts w:ascii="Times New Roman" w:hAnsi="Times New Roman"/>
        </w:rPr>
        <w:tab/>
      </w:r>
      <w:r w:rsidR="00177030" w:rsidRPr="006021F7">
        <w:rPr>
          <w:rFonts w:ascii="Times New Roman" w:hAnsi="Times New Roman"/>
        </w:rPr>
        <w:tab/>
      </w:r>
      <w:r w:rsidR="00877A10">
        <w:rPr>
          <w:rFonts w:ascii="Times New Roman" w:hAnsi="Times New Roman"/>
        </w:rPr>
        <w:t>4</w:t>
      </w:r>
      <w:bookmarkStart w:id="0" w:name="_GoBack"/>
      <w:bookmarkEnd w:id="0"/>
      <w:r w:rsidR="003021A7" w:rsidRPr="006021F7">
        <w:rPr>
          <w:rFonts w:ascii="Times New Roman" w:hAnsi="Times New Roman"/>
        </w:rPr>
        <w:t>.</w:t>
      </w:r>
      <w:r w:rsidR="002D2A1E">
        <w:rPr>
          <w:rFonts w:ascii="Times New Roman" w:hAnsi="Times New Roman"/>
        </w:rPr>
        <w:t>10</w:t>
      </w:r>
      <w:r w:rsidR="00177030" w:rsidRPr="006021F7">
        <w:rPr>
          <w:rFonts w:ascii="Times New Roman" w:hAnsi="Times New Roman"/>
        </w:rPr>
        <w:t>.201</w:t>
      </w:r>
      <w:r w:rsidR="00692D47">
        <w:rPr>
          <w:rFonts w:ascii="Times New Roman" w:hAnsi="Times New Roman"/>
        </w:rPr>
        <w:t>7</w:t>
      </w:r>
    </w:p>
    <w:p w:rsidR="00177030" w:rsidRPr="006021F7" w:rsidRDefault="00692D47" w:rsidP="003C6F72">
      <w:pPr>
        <w:spacing w:line="220" w:lineRule="exact"/>
        <w:rPr>
          <w:rFonts w:ascii="Times New Roman" w:hAnsi="Times New Roman"/>
        </w:rPr>
      </w:pPr>
      <w:r>
        <w:rPr>
          <w:rFonts w:ascii="Times New Roman" w:hAnsi="Times New Roman"/>
        </w:rPr>
        <w:t>Mika Kotala</w:t>
      </w:r>
    </w:p>
    <w:p w:rsidR="00560347" w:rsidRPr="006021F7" w:rsidRDefault="00560347" w:rsidP="003C6F72">
      <w:pPr>
        <w:spacing w:line="220" w:lineRule="exact"/>
        <w:rPr>
          <w:rFonts w:ascii="Times New Roman" w:hAnsi="Times New Roman"/>
          <w:b/>
        </w:rPr>
      </w:pPr>
    </w:p>
    <w:p w:rsidR="00177030" w:rsidRPr="006021F7" w:rsidRDefault="00424283" w:rsidP="003C6F72">
      <w:pPr>
        <w:spacing w:line="220" w:lineRule="exact"/>
        <w:rPr>
          <w:rFonts w:ascii="Times New Roman" w:hAnsi="Times New Roman"/>
          <w:b/>
        </w:rPr>
      </w:pPr>
      <w:r>
        <w:rPr>
          <w:rFonts w:ascii="Times New Roman" w:hAnsi="Times New Roman"/>
          <w:b/>
        </w:rPr>
        <w:t xml:space="preserve">PERUSTELUMUISTIO </w:t>
      </w:r>
      <w:r w:rsidR="00C275D5" w:rsidRPr="006021F7">
        <w:rPr>
          <w:rFonts w:ascii="Times New Roman" w:hAnsi="Times New Roman"/>
          <w:b/>
        </w:rPr>
        <w:t xml:space="preserve">TYÖ- JA ELINKEINOMINISTERIÖN </w:t>
      </w:r>
      <w:r>
        <w:rPr>
          <w:rFonts w:ascii="Times New Roman" w:hAnsi="Times New Roman"/>
          <w:b/>
        </w:rPr>
        <w:t>ASETUKSESTA</w:t>
      </w:r>
      <w:r w:rsidR="00074D3B" w:rsidRPr="006021F7">
        <w:rPr>
          <w:rFonts w:ascii="Times New Roman" w:hAnsi="Times New Roman"/>
          <w:b/>
        </w:rPr>
        <w:t xml:space="preserve"> PRH:N MAKSULLISISTA SUORITTEISTA </w:t>
      </w:r>
    </w:p>
    <w:p w:rsidR="00177030" w:rsidRPr="006021F7" w:rsidRDefault="00177030" w:rsidP="003C6F72">
      <w:pPr>
        <w:spacing w:line="220" w:lineRule="exact"/>
        <w:rPr>
          <w:rFonts w:ascii="Times New Roman" w:hAnsi="Times New Roman"/>
          <w:b/>
        </w:rPr>
      </w:pPr>
    </w:p>
    <w:p w:rsidR="00897380" w:rsidRPr="006021F7" w:rsidRDefault="00897380" w:rsidP="003C6F72">
      <w:pPr>
        <w:spacing w:line="220" w:lineRule="exact"/>
        <w:rPr>
          <w:rFonts w:ascii="Times New Roman" w:hAnsi="Times New Roman"/>
          <w:b/>
        </w:rPr>
      </w:pPr>
      <w:r w:rsidRPr="006021F7">
        <w:rPr>
          <w:rFonts w:ascii="Times New Roman" w:hAnsi="Times New Roman"/>
          <w:b/>
        </w:rPr>
        <w:t xml:space="preserve">1. </w:t>
      </w:r>
      <w:r w:rsidR="00D63525">
        <w:rPr>
          <w:rFonts w:ascii="Times New Roman" w:hAnsi="Times New Roman"/>
          <w:b/>
        </w:rPr>
        <w:t>Johdanto ja n</w:t>
      </w:r>
      <w:r w:rsidRPr="006021F7">
        <w:rPr>
          <w:rFonts w:ascii="Times New Roman" w:hAnsi="Times New Roman"/>
          <w:b/>
        </w:rPr>
        <w:t>ykytila</w:t>
      </w:r>
    </w:p>
    <w:p w:rsidR="00DE003D" w:rsidRPr="006021F7" w:rsidRDefault="00DE003D" w:rsidP="003C6F72">
      <w:pPr>
        <w:spacing w:after="0" w:line="220" w:lineRule="exact"/>
        <w:jc w:val="both"/>
        <w:rPr>
          <w:rFonts w:ascii="Times New Roman" w:hAnsi="Times New Roman"/>
        </w:rPr>
      </w:pPr>
    </w:p>
    <w:p w:rsidR="004C0374" w:rsidRDefault="00897380" w:rsidP="0040797A">
      <w:pPr>
        <w:spacing w:after="0" w:line="220" w:lineRule="exact"/>
        <w:ind w:left="1304"/>
        <w:jc w:val="both"/>
        <w:rPr>
          <w:rFonts w:ascii="Times New Roman" w:hAnsi="Times New Roman"/>
          <w:color w:val="00B050"/>
        </w:rPr>
      </w:pPr>
      <w:r w:rsidRPr="0072396D">
        <w:rPr>
          <w:rFonts w:ascii="Times New Roman" w:hAnsi="Times New Roman"/>
          <w:color w:val="000000" w:themeColor="text1"/>
        </w:rPr>
        <w:t>Patentti- ja rekisterihallituksen</w:t>
      </w:r>
      <w:r w:rsidR="00074D3B" w:rsidRPr="0072396D">
        <w:rPr>
          <w:rFonts w:ascii="Times New Roman" w:hAnsi="Times New Roman"/>
          <w:color w:val="000000" w:themeColor="text1"/>
        </w:rPr>
        <w:t xml:space="preserve"> (PRH)</w:t>
      </w:r>
      <w:r w:rsidRPr="0072396D">
        <w:rPr>
          <w:rFonts w:ascii="Times New Roman" w:hAnsi="Times New Roman"/>
          <w:color w:val="000000" w:themeColor="text1"/>
        </w:rPr>
        <w:t xml:space="preserve"> perimisistä maksuista säädetään Patentti- ja rekisterihallituksen suoritteista perittävistä maksuista annetussa laissa (1032/1992)</w:t>
      </w:r>
      <w:r w:rsidR="001C2851" w:rsidRPr="0072396D">
        <w:rPr>
          <w:rFonts w:ascii="Times New Roman" w:hAnsi="Times New Roman"/>
          <w:color w:val="000000" w:themeColor="text1"/>
        </w:rPr>
        <w:t xml:space="preserve">, </w:t>
      </w:r>
      <w:r w:rsidRPr="0072396D">
        <w:rPr>
          <w:rFonts w:ascii="Times New Roman" w:hAnsi="Times New Roman"/>
          <w:color w:val="000000" w:themeColor="text1"/>
        </w:rPr>
        <w:t xml:space="preserve">ja sen nojalla annetussa </w:t>
      </w:r>
      <w:r w:rsidR="00E741AA">
        <w:rPr>
          <w:rFonts w:ascii="Times New Roman" w:hAnsi="Times New Roman"/>
          <w:color w:val="000000" w:themeColor="text1"/>
        </w:rPr>
        <w:t>T</w:t>
      </w:r>
      <w:r w:rsidR="00E741AA" w:rsidRPr="0072396D">
        <w:rPr>
          <w:rFonts w:ascii="Times New Roman" w:hAnsi="Times New Roman"/>
          <w:color w:val="000000" w:themeColor="text1"/>
        </w:rPr>
        <w:t xml:space="preserve">yö- ja elinkeinoministeriön asetuksessa </w:t>
      </w:r>
      <w:r w:rsidRPr="0072396D">
        <w:rPr>
          <w:rFonts w:ascii="Times New Roman" w:hAnsi="Times New Roman"/>
          <w:color w:val="000000" w:themeColor="text1"/>
        </w:rPr>
        <w:t>Patentti- ja rekisterihallituksen maksullista suoritteista (</w:t>
      </w:r>
      <w:r w:rsidR="00312FFE">
        <w:rPr>
          <w:rFonts w:ascii="Times New Roman" w:hAnsi="Times New Roman"/>
          <w:color w:val="000000" w:themeColor="text1"/>
        </w:rPr>
        <w:t xml:space="preserve">asetus </w:t>
      </w:r>
      <w:r w:rsidR="007F4CB8">
        <w:rPr>
          <w:rFonts w:ascii="Times New Roman" w:hAnsi="Times New Roman"/>
          <w:color w:val="000000" w:themeColor="text1"/>
        </w:rPr>
        <w:t>758</w:t>
      </w:r>
      <w:r w:rsidRPr="0072396D">
        <w:rPr>
          <w:rFonts w:ascii="Times New Roman" w:hAnsi="Times New Roman"/>
          <w:color w:val="000000" w:themeColor="text1"/>
        </w:rPr>
        <w:t>/201</w:t>
      </w:r>
      <w:r w:rsidR="007F4CB8">
        <w:rPr>
          <w:rFonts w:ascii="Times New Roman" w:hAnsi="Times New Roman"/>
          <w:color w:val="000000" w:themeColor="text1"/>
        </w:rPr>
        <w:t>6</w:t>
      </w:r>
      <w:r w:rsidR="00312FFE">
        <w:rPr>
          <w:rFonts w:ascii="Times New Roman" w:hAnsi="Times New Roman"/>
          <w:color w:val="000000" w:themeColor="text1"/>
        </w:rPr>
        <w:t>, muutosasetus 235/2017</w:t>
      </w:r>
      <w:r w:rsidRPr="0072396D">
        <w:rPr>
          <w:rFonts w:ascii="Times New Roman" w:hAnsi="Times New Roman"/>
          <w:color w:val="000000" w:themeColor="text1"/>
        </w:rPr>
        <w:t>).</w:t>
      </w:r>
      <w:r w:rsidR="001623C9" w:rsidRPr="0072396D">
        <w:rPr>
          <w:rFonts w:ascii="Times New Roman" w:hAnsi="Times New Roman"/>
          <w:color w:val="000000" w:themeColor="text1"/>
        </w:rPr>
        <w:t xml:space="preserve"> </w:t>
      </w:r>
      <w:r w:rsidR="00074D3B" w:rsidRPr="0072396D">
        <w:rPr>
          <w:rFonts w:ascii="Times New Roman" w:hAnsi="Times New Roman"/>
          <w:color w:val="000000" w:themeColor="text1"/>
        </w:rPr>
        <w:t xml:space="preserve">Asetus </w:t>
      </w:r>
      <w:r w:rsidR="00D63525">
        <w:rPr>
          <w:rFonts w:ascii="Times New Roman" w:hAnsi="Times New Roman"/>
          <w:color w:val="000000" w:themeColor="text1"/>
        </w:rPr>
        <w:t xml:space="preserve">annetaan </w:t>
      </w:r>
      <w:r w:rsidR="00074D3B" w:rsidRPr="0072396D">
        <w:rPr>
          <w:rFonts w:ascii="Times New Roman" w:hAnsi="Times New Roman"/>
          <w:color w:val="000000" w:themeColor="text1"/>
        </w:rPr>
        <w:t>määräa</w:t>
      </w:r>
      <w:r w:rsidR="00D63525">
        <w:rPr>
          <w:rFonts w:ascii="Times New Roman" w:hAnsi="Times New Roman"/>
          <w:color w:val="000000" w:themeColor="text1"/>
        </w:rPr>
        <w:t>jaksi</w:t>
      </w:r>
      <w:r w:rsidR="00074D3B" w:rsidRPr="0072396D">
        <w:rPr>
          <w:rFonts w:ascii="Times New Roman" w:hAnsi="Times New Roman"/>
          <w:color w:val="000000" w:themeColor="text1"/>
        </w:rPr>
        <w:t xml:space="preserve"> ja </w:t>
      </w:r>
      <w:r w:rsidR="00D63525">
        <w:rPr>
          <w:rFonts w:ascii="Times New Roman" w:hAnsi="Times New Roman"/>
          <w:color w:val="000000" w:themeColor="text1"/>
        </w:rPr>
        <w:t>nykyinen</w:t>
      </w:r>
      <w:r w:rsidR="00D55AEA" w:rsidRPr="0072396D">
        <w:rPr>
          <w:rFonts w:ascii="Times New Roman" w:hAnsi="Times New Roman"/>
          <w:color w:val="000000" w:themeColor="text1"/>
        </w:rPr>
        <w:t xml:space="preserve"> on voimassa</w:t>
      </w:r>
      <w:r w:rsidR="00FB150A" w:rsidRPr="0072396D">
        <w:rPr>
          <w:rFonts w:ascii="Times New Roman" w:hAnsi="Times New Roman"/>
          <w:color w:val="000000" w:themeColor="text1"/>
        </w:rPr>
        <w:t xml:space="preserve"> 31.12.2017</w:t>
      </w:r>
      <w:r w:rsidR="00D55AEA" w:rsidRPr="0072396D">
        <w:rPr>
          <w:rFonts w:ascii="Times New Roman" w:hAnsi="Times New Roman"/>
          <w:color w:val="000000" w:themeColor="text1"/>
        </w:rPr>
        <w:t xml:space="preserve"> saakka</w:t>
      </w:r>
      <w:r w:rsidR="00074D3B" w:rsidRPr="0072396D">
        <w:rPr>
          <w:rFonts w:ascii="Times New Roman" w:hAnsi="Times New Roman"/>
          <w:color w:val="000000" w:themeColor="text1"/>
        </w:rPr>
        <w:t xml:space="preserve">. Työ- ja elinkeinoministeriön on tarkoitus antaa uusi maksuasetus kaudelle </w:t>
      </w:r>
      <w:r w:rsidR="00FB150A" w:rsidRPr="0072396D">
        <w:rPr>
          <w:rFonts w:ascii="Times New Roman" w:hAnsi="Times New Roman"/>
          <w:color w:val="000000" w:themeColor="text1"/>
        </w:rPr>
        <w:t>1.1.2018 – 31.12.2019</w:t>
      </w:r>
      <w:r w:rsidR="00074D3B" w:rsidRPr="0040797A">
        <w:rPr>
          <w:rFonts w:ascii="Times New Roman" w:hAnsi="Times New Roman"/>
        </w:rPr>
        <w:t xml:space="preserve">. </w:t>
      </w:r>
      <w:r w:rsidR="00751A36" w:rsidRPr="0040797A">
        <w:rPr>
          <w:rFonts w:ascii="Times New Roman" w:hAnsi="Times New Roman"/>
        </w:rPr>
        <w:t>Asetusehdotus vastaa</w:t>
      </w:r>
      <w:r w:rsidR="00691F99" w:rsidRPr="0040797A">
        <w:rPr>
          <w:rFonts w:ascii="Times New Roman" w:hAnsi="Times New Roman"/>
        </w:rPr>
        <w:t xml:space="preserve"> </w:t>
      </w:r>
      <w:r w:rsidR="004C0374" w:rsidRPr="0040797A">
        <w:rPr>
          <w:rFonts w:ascii="Times New Roman" w:hAnsi="Times New Roman"/>
        </w:rPr>
        <w:t>voimassaolevaa m</w:t>
      </w:r>
      <w:r w:rsidR="00691F99" w:rsidRPr="0040797A">
        <w:rPr>
          <w:rFonts w:ascii="Times New Roman" w:hAnsi="Times New Roman"/>
        </w:rPr>
        <w:t xml:space="preserve">aksuasetusta. </w:t>
      </w:r>
      <w:r w:rsidR="004C0374" w:rsidRPr="0040797A">
        <w:rPr>
          <w:rFonts w:ascii="Times New Roman" w:hAnsi="Times New Roman"/>
        </w:rPr>
        <w:t xml:space="preserve">Ainoastaan asetuksen </w:t>
      </w:r>
      <w:r w:rsidR="00751A36" w:rsidRPr="0040797A">
        <w:rPr>
          <w:rFonts w:ascii="Times New Roman" w:hAnsi="Times New Roman"/>
        </w:rPr>
        <w:t xml:space="preserve">maksutaulukon </w:t>
      </w:r>
      <w:r w:rsidR="004C0374" w:rsidRPr="0040797A">
        <w:rPr>
          <w:rFonts w:ascii="Times New Roman" w:hAnsi="Times New Roman"/>
        </w:rPr>
        <w:t xml:space="preserve">3 </w:t>
      </w:r>
      <w:r w:rsidR="00691F99" w:rsidRPr="0040797A">
        <w:rPr>
          <w:rFonts w:ascii="Times New Roman" w:hAnsi="Times New Roman"/>
        </w:rPr>
        <w:t xml:space="preserve">§:ään ehdotetaan kahden </w:t>
      </w:r>
      <w:r w:rsidR="0092306B" w:rsidRPr="0040797A">
        <w:rPr>
          <w:rFonts w:ascii="Times New Roman" w:hAnsi="Times New Roman"/>
        </w:rPr>
        <w:t>tarpeettoman maksun poistamista sekä teknistä muutosta PCT-sääntöjen kopiomaksuihin.</w:t>
      </w:r>
    </w:p>
    <w:p w:rsidR="00691F99" w:rsidRPr="00691F99" w:rsidRDefault="00691F99" w:rsidP="00691F99">
      <w:pPr>
        <w:spacing w:after="0" w:line="220" w:lineRule="exact"/>
        <w:ind w:left="1304"/>
        <w:jc w:val="both"/>
        <w:rPr>
          <w:rFonts w:ascii="Times New Roman" w:hAnsi="Times New Roman"/>
          <w:color w:val="00B050"/>
        </w:rPr>
      </w:pPr>
    </w:p>
    <w:p w:rsidR="00FA7F6D" w:rsidRPr="0040797A" w:rsidRDefault="001C2851" w:rsidP="00FA7F6D">
      <w:pPr>
        <w:spacing w:after="0" w:line="220" w:lineRule="exact"/>
        <w:ind w:left="1304"/>
        <w:jc w:val="both"/>
        <w:rPr>
          <w:rFonts w:ascii="Times New Roman" w:hAnsi="Times New Roman"/>
        </w:rPr>
      </w:pPr>
      <w:r w:rsidRPr="0072396D">
        <w:rPr>
          <w:rFonts w:ascii="Times New Roman" w:hAnsi="Times New Roman"/>
          <w:color w:val="000000" w:themeColor="text1"/>
        </w:rPr>
        <w:t>PRH:n suoritteet hinnoitellaan suoriteryhmäkohtaisesti kustannusvastaaviks</w:t>
      </w:r>
      <w:r w:rsidR="00691F99" w:rsidRPr="0072396D">
        <w:rPr>
          <w:rFonts w:ascii="Times New Roman" w:hAnsi="Times New Roman"/>
          <w:color w:val="000000" w:themeColor="text1"/>
        </w:rPr>
        <w:t>i. Suoriteryhmällä tarkoitetaan kunkin</w:t>
      </w:r>
      <w:r w:rsidR="00A4389B" w:rsidRPr="0072396D">
        <w:rPr>
          <w:rFonts w:ascii="Times New Roman" w:hAnsi="Times New Roman"/>
          <w:color w:val="000000" w:themeColor="text1"/>
        </w:rPr>
        <w:t xml:space="preserve"> </w:t>
      </w:r>
      <w:r w:rsidRPr="0072396D">
        <w:rPr>
          <w:rFonts w:ascii="Times New Roman" w:hAnsi="Times New Roman"/>
          <w:color w:val="000000" w:themeColor="text1"/>
        </w:rPr>
        <w:t xml:space="preserve">Patentti- ja rekisterihallituksen ylläpitämän </w:t>
      </w:r>
      <w:r w:rsidR="00751A36" w:rsidRPr="00751A36">
        <w:rPr>
          <w:rFonts w:ascii="Times New Roman" w:hAnsi="Times New Roman"/>
          <w:color w:val="000000" w:themeColor="text1"/>
        </w:rPr>
        <w:t>rekisterin</w:t>
      </w:r>
      <w:r w:rsidR="00751A36">
        <w:rPr>
          <w:rFonts w:ascii="Times New Roman" w:hAnsi="Times New Roman"/>
          <w:color w:val="FF0000"/>
        </w:rPr>
        <w:t xml:space="preserve"> </w:t>
      </w:r>
      <w:r w:rsidRPr="0072396D">
        <w:rPr>
          <w:rFonts w:ascii="Times New Roman" w:hAnsi="Times New Roman"/>
          <w:color w:val="000000" w:themeColor="text1"/>
        </w:rPr>
        <w:t>julkisoikeudellisten suoritteiden muodostamaa kokonaisuutta (</w:t>
      </w:r>
      <w:r w:rsidR="0002750F" w:rsidRPr="0072396D">
        <w:rPr>
          <w:rFonts w:ascii="Times New Roman" w:hAnsi="Times New Roman"/>
          <w:color w:val="000000" w:themeColor="text1"/>
        </w:rPr>
        <w:t xml:space="preserve">PRH:n suoritteista perittävistä maksuista annettu laki, </w:t>
      </w:r>
      <w:r w:rsidRPr="0072396D">
        <w:rPr>
          <w:rFonts w:ascii="Times New Roman" w:hAnsi="Times New Roman"/>
          <w:color w:val="000000" w:themeColor="text1"/>
        </w:rPr>
        <w:t>2 §:n 1 momentin 3 kohta). Suoriteryhmäkohtaisella kustannusvastaavuudella tarkoitetaan</w:t>
      </w:r>
      <w:r w:rsidR="00AC6847" w:rsidRPr="0072396D">
        <w:rPr>
          <w:rFonts w:ascii="Times New Roman" w:hAnsi="Times New Roman"/>
          <w:color w:val="000000" w:themeColor="text1"/>
        </w:rPr>
        <w:t>, että PRH:n</w:t>
      </w:r>
      <w:r w:rsidRPr="0072396D">
        <w:rPr>
          <w:rFonts w:ascii="Times New Roman" w:hAnsi="Times New Roman"/>
          <w:color w:val="000000" w:themeColor="text1"/>
        </w:rPr>
        <w:t xml:space="preserve"> suoriteryhmiin </w:t>
      </w:r>
      <w:r w:rsidR="00AC6847" w:rsidRPr="0072396D">
        <w:rPr>
          <w:rFonts w:ascii="Times New Roman" w:hAnsi="Times New Roman"/>
          <w:color w:val="000000" w:themeColor="text1"/>
        </w:rPr>
        <w:t>kuuluvista suoritteista (</w:t>
      </w:r>
      <w:r w:rsidRPr="0072396D">
        <w:rPr>
          <w:rFonts w:ascii="Times New Roman" w:hAnsi="Times New Roman"/>
          <w:color w:val="000000" w:themeColor="text1"/>
        </w:rPr>
        <w:t>rekisteröimisestä, voimassapitämisestä sekä rekisterien käytöstä</w:t>
      </w:r>
      <w:r w:rsidR="00AC6847" w:rsidRPr="0072396D">
        <w:rPr>
          <w:rFonts w:ascii="Times New Roman" w:hAnsi="Times New Roman"/>
          <w:color w:val="000000" w:themeColor="text1"/>
        </w:rPr>
        <w:t>)</w:t>
      </w:r>
      <w:r w:rsidRPr="0072396D">
        <w:rPr>
          <w:rFonts w:ascii="Times New Roman" w:hAnsi="Times New Roman"/>
          <w:color w:val="000000" w:themeColor="text1"/>
        </w:rPr>
        <w:t xml:space="preserve"> perittävien maksujen kokonaismäärän </w:t>
      </w:r>
      <w:r w:rsidR="00AC6847" w:rsidRPr="0072396D">
        <w:rPr>
          <w:rFonts w:ascii="Times New Roman" w:hAnsi="Times New Roman"/>
          <w:color w:val="000000" w:themeColor="text1"/>
        </w:rPr>
        <w:t>tulisi vastata</w:t>
      </w:r>
      <w:r w:rsidRPr="0072396D">
        <w:rPr>
          <w:rFonts w:ascii="Times New Roman" w:hAnsi="Times New Roman"/>
          <w:color w:val="000000" w:themeColor="text1"/>
        </w:rPr>
        <w:t xml:space="preserve"> kyseisen suoriteryhmän ylläpitämisestä valtiolle aiheutuvien kokonaiskustannusten määrää. </w:t>
      </w:r>
      <w:r w:rsidR="00AC6847" w:rsidRPr="0072396D">
        <w:rPr>
          <w:rFonts w:ascii="Times New Roman" w:hAnsi="Times New Roman"/>
          <w:color w:val="000000" w:themeColor="text1"/>
        </w:rPr>
        <w:t>Toisin sanoen,</w:t>
      </w:r>
      <w:r w:rsidRPr="0072396D">
        <w:rPr>
          <w:rFonts w:ascii="Times New Roman" w:hAnsi="Times New Roman"/>
          <w:color w:val="000000" w:themeColor="text1"/>
        </w:rPr>
        <w:t xml:space="preserve"> kunkin PRH:n rekisterin aiheuttamat kustannukset katetaan rekisterinpidosta perittävillä asiakasmaksu</w:t>
      </w:r>
      <w:r w:rsidRPr="0040797A">
        <w:rPr>
          <w:rFonts w:ascii="Times New Roman" w:hAnsi="Times New Roman"/>
        </w:rPr>
        <w:t xml:space="preserve">illa. </w:t>
      </w:r>
      <w:r w:rsidR="0054046D" w:rsidRPr="0040797A">
        <w:rPr>
          <w:rFonts w:ascii="Times New Roman" w:hAnsi="Times New Roman"/>
        </w:rPr>
        <w:t xml:space="preserve">Käytännössä </w:t>
      </w:r>
      <w:r w:rsidR="00AC6847" w:rsidRPr="0040797A">
        <w:rPr>
          <w:rFonts w:ascii="Times New Roman" w:hAnsi="Times New Roman"/>
        </w:rPr>
        <w:t xml:space="preserve">yksittäisten </w:t>
      </w:r>
      <w:r w:rsidR="0054046D" w:rsidRPr="0040797A">
        <w:rPr>
          <w:rFonts w:ascii="Times New Roman" w:hAnsi="Times New Roman"/>
        </w:rPr>
        <w:t xml:space="preserve">suoritteiden hinnoittelu perustuu </w:t>
      </w:r>
      <w:r w:rsidR="00FA7F6D" w:rsidRPr="0040797A">
        <w:rPr>
          <w:rFonts w:ascii="Times New Roman" w:hAnsi="Times New Roman"/>
        </w:rPr>
        <w:t xml:space="preserve">pääasiassa </w:t>
      </w:r>
      <w:r w:rsidR="0054046D" w:rsidRPr="0040797A">
        <w:rPr>
          <w:rFonts w:ascii="Times New Roman" w:hAnsi="Times New Roman"/>
        </w:rPr>
        <w:t>suoritteen tuottamisesta aiheutuviin keskimääräisiin kustannuksiin.</w:t>
      </w:r>
      <w:r w:rsidR="00FA7F6D" w:rsidRPr="0040797A">
        <w:rPr>
          <w:rFonts w:ascii="Times New Roman" w:hAnsi="Times New Roman"/>
        </w:rPr>
        <w:t xml:space="preserve"> </w:t>
      </w:r>
    </w:p>
    <w:p w:rsidR="00074D3B" w:rsidRPr="00691F99" w:rsidRDefault="00074D3B" w:rsidP="00574592">
      <w:pPr>
        <w:spacing w:after="0" w:line="220" w:lineRule="exact"/>
        <w:ind w:left="1304"/>
        <w:jc w:val="both"/>
        <w:rPr>
          <w:rFonts w:ascii="Times New Roman" w:hAnsi="Times New Roman"/>
          <w:color w:val="00B0F0"/>
        </w:rPr>
      </w:pPr>
    </w:p>
    <w:p w:rsidR="00A205E1" w:rsidRPr="006021F7" w:rsidRDefault="00A205E1" w:rsidP="00574592">
      <w:pPr>
        <w:spacing w:after="0" w:line="220" w:lineRule="exact"/>
        <w:ind w:firstLine="170"/>
        <w:jc w:val="both"/>
        <w:rPr>
          <w:rFonts w:ascii="Times New Roman" w:hAnsi="Times New Roman"/>
        </w:rPr>
      </w:pPr>
    </w:p>
    <w:p w:rsidR="00074D3B" w:rsidRPr="006021F7" w:rsidRDefault="00074D3B" w:rsidP="00574592">
      <w:pPr>
        <w:spacing w:after="0" w:line="220" w:lineRule="exact"/>
        <w:ind w:firstLine="170"/>
        <w:jc w:val="both"/>
        <w:rPr>
          <w:rFonts w:ascii="Times New Roman" w:hAnsi="Times New Roman"/>
        </w:rPr>
      </w:pPr>
    </w:p>
    <w:p w:rsidR="001B6E5A" w:rsidRPr="006021F7" w:rsidRDefault="00692D47" w:rsidP="00574592">
      <w:pPr>
        <w:pStyle w:val="py"/>
        <w:spacing w:before="0" w:beforeAutospacing="0" w:after="0" w:afterAutospacing="0" w:line="220" w:lineRule="exact"/>
        <w:ind w:left="1304" w:firstLine="45"/>
        <w:jc w:val="both"/>
        <w:rPr>
          <w:i/>
          <w:sz w:val="22"/>
          <w:szCs w:val="22"/>
        </w:rPr>
      </w:pPr>
      <w:r>
        <w:rPr>
          <w:i/>
          <w:sz w:val="22"/>
          <w:szCs w:val="22"/>
        </w:rPr>
        <w:t>Patentti-,Eurooppapatentti-,</w:t>
      </w:r>
      <w:r w:rsidR="001B6E5A" w:rsidRPr="006021F7">
        <w:rPr>
          <w:i/>
          <w:sz w:val="22"/>
          <w:szCs w:val="22"/>
        </w:rPr>
        <w:t>lisäsuojatodistus- ja hyödyllisyysmalliasiat sekä integroidun piirin piirimalliasiat</w:t>
      </w:r>
    </w:p>
    <w:p w:rsidR="00AC6847" w:rsidRPr="006021F7" w:rsidRDefault="00AC6847" w:rsidP="00574592">
      <w:pPr>
        <w:pStyle w:val="py"/>
        <w:spacing w:before="0" w:beforeAutospacing="0" w:after="0" w:afterAutospacing="0" w:line="220" w:lineRule="exact"/>
        <w:ind w:left="1304" w:firstLine="45"/>
        <w:jc w:val="both"/>
        <w:rPr>
          <w:i/>
          <w:sz w:val="22"/>
          <w:szCs w:val="22"/>
        </w:rPr>
      </w:pPr>
    </w:p>
    <w:p w:rsidR="00C1593D" w:rsidRPr="0072396D" w:rsidRDefault="006F7EAD" w:rsidP="00574592">
      <w:pPr>
        <w:spacing w:after="0" w:line="220" w:lineRule="exact"/>
        <w:ind w:left="1304"/>
        <w:jc w:val="both"/>
        <w:rPr>
          <w:rFonts w:ascii="Times New Roman" w:hAnsi="Times New Roman"/>
          <w:color w:val="000000" w:themeColor="text1"/>
        </w:rPr>
      </w:pPr>
      <w:r w:rsidRPr="0072396D">
        <w:rPr>
          <w:rFonts w:ascii="Times New Roman" w:hAnsi="Times New Roman"/>
          <w:color w:val="000000" w:themeColor="text1"/>
        </w:rPr>
        <w:t>PRH käsittelee kansallista patenttia ja hyödyllisyysmallia koskevat asiat</w:t>
      </w:r>
      <w:r w:rsidR="005435B5" w:rsidRPr="0072396D">
        <w:rPr>
          <w:rFonts w:ascii="Times New Roman" w:hAnsi="Times New Roman"/>
          <w:color w:val="000000" w:themeColor="text1"/>
        </w:rPr>
        <w:t>.  Lisäksi PRH toimii patenttiyhteistyösopimuksen (</w:t>
      </w:r>
      <w:r w:rsidR="005435B5" w:rsidRPr="0072396D">
        <w:rPr>
          <w:rFonts w:ascii="Times New Roman" w:hAnsi="Times New Roman"/>
          <w:i/>
          <w:color w:val="000000" w:themeColor="text1"/>
        </w:rPr>
        <w:t>Patent Cooperation Treaty,</w:t>
      </w:r>
      <w:r w:rsidR="006772DC" w:rsidRPr="0072396D">
        <w:rPr>
          <w:rFonts w:ascii="Times New Roman" w:hAnsi="Times New Roman"/>
          <w:i/>
          <w:color w:val="000000" w:themeColor="text1"/>
        </w:rPr>
        <w:t xml:space="preserve"> </w:t>
      </w:r>
      <w:r w:rsidR="005435B5" w:rsidRPr="0072396D">
        <w:rPr>
          <w:rFonts w:ascii="Times New Roman" w:hAnsi="Times New Roman"/>
          <w:i/>
          <w:color w:val="000000" w:themeColor="text1"/>
        </w:rPr>
        <w:t>PCT</w:t>
      </w:r>
      <w:r w:rsidR="005435B5" w:rsidRPr="0072396D">
        <w:rPr>
          <w:rFonts w:ascii="Times New Roman" w:hAnsi="Times New Roman"/>
          <w:color w:val="000000" w:themeColor="text1"/>
        </w:rPr>
        <w:t>)</w:t>
      </w:r>
      <w:r w:rsidR="00A301BB" w:rsidRPr="0072396D">
        <w:rPr>
          <w:rFonts w:ascii="Times New Roman" w:hAnsi="Times New Roman"/>
          <w:color w:val="000000" w:themeColor="text1"/>
        </w:rPr>
        <w:t xml:space="preserve"> </w:t>
      </w:r>
      <w:r w:rsidR="00C1593D" w:rsidRPr="0072396D">
        <w:rPr>
          <w:rFonts w:ascii="Times New Roman" w:hAnsi="Times New Roman"/>
          <w:color w:val="000000" w:themeColor="text1"/>
        </w:rPr>
        <w:t xml:space="preserve">tarkoittamana </w:t>
      </w:r>
      <w:r w:rsidR="00A301BB" w:rsidRPr="0072396D">
        <w:rPr>
          <w:rFonts w:ascii="Times New Roman" w:hAnsi="Times New Roman"/>
          <w:color w:val="000000" w:themeColor="text1"/>
        </w:rPr>
        <w:t>kansallislainvälisenä</w:t>
      </w:r>
      <w:r w:rsidR="00C1593D" w:rsidRPr="0072396D">
        <w:rPr>
          <w:rFonts w:ascii="Times New Roman" w:hAnsi="Times New Roman"/>
          <w:color w:val="000000" w:themeColor="text1"/>
        </w:rPr>
        <w:t xml:space="preserve"> uutuustutkimusviranomaisena</w:t>
      </w:r>
      <w:r w:rsidR="005435B5" w:rsidRPr="0072396D">
        <w:rPr>
          <w:rFonts w:ascii="Times New Roman" w:hAnsi="Times New Roman"/>
          <w:color w:val="000000" w:themeColor="text1"/>
        </w:rPr>
        <w:t>. Järjestelmää hallinnoi Genevessä sijaitseva Maailman henkisen omaisuuden järjestö WIPO.</w:t>
      </w:r>
      <w:r w:rsidR="0041682D" w:rsidRPr="0072396D">
        <w:rPr>
          <w:rFonts w:ascii="Times New Roman" w:hAnsi="Times New Roman"/>
          <w:color w:val="000000" w:themeColor="text1"/>
        </w:rPr>
        <w:t xml:space="preserve"> Maksuasetuksessa on tarpeen säätää eräistä PCT – maksuista. Lisäksi Suomi on liittynyt</w:t>
      </w:r>
      <w:r w:rsidR="00A301BB" w:rsidRPr="0072396D">
        <w:rPr>
          <w:rFonts w:ascii="Times New Roman" w:hAnsi="Times New Roman"/>
          <w:color w:val="000000" w:themeColor="text1"/>
        </w:rPr>
        <w:t xml:space="preserve"> Euroopan patenttisopimukseen (</w:t>
      </w:r>
      <w:r w:rsidR="00A301BB" w:rsidRPr="0072396D">
        <w:rPr>
          <w:rFonts w:ascii="Times New Roman" w:hAnsi="Times New Roman"/>
          <w:i/>
          <w:color w:val="000000" w:themeColor="text1"/>
        </w:rPr>
        <w:t>European Patent Convention, EPC</w:t>
      </w:r>
      <w:r w:rsidR="00A301BB" w:rsidRPr="0072396D">
        <w:rPr>
          <w:rFonts w:ascii="Times New Roman" w:hAnsi="Times New Roman"/>
          <w:color w:val="000000" w:themeColor="text1"/>
        </w:rPr>
        <w:t>).</w:t>
      </w:r>
      <w:r w:rsidR="006772DC" w:rsidRPr="0072396D">
        <w:rPr>
          <w:rFonts w:ascii="Times New Roman" w:hAnsi="Times New Roman"/>
          <w:color w:val="000000" w:themeColor="text1"/>
        </w:rPr>
        <w:t xml:space="preserve"> Eurooppa-patenttihakemuksen käsittelee ja myöntää Euroopan patenttivirasto (</w:t>
      </w:r>
      <w:r w:rsidR="006772DC" w:rsidRPr="0072396D">
        <w:rPr>
          <w:rFonts w:ascii="Times New Roman" w:hAnsi="Times New Roman"/>
          <w:i/>
          <w:color w:val="000000" w:themeColor="text1"/>
        </w:rPr>
        <w:t>European Patent Office, EPO</w:t>
      </w:r>
      <w:r w:rsidR="006772DC" w:rsidRPr="0072396D">
        <w:rPr>
          <w:rFonts w:ascii="Times New Roman" w:hAnsi="Times New Roman"/>
          <w:color w:val="000000" w:themeColor="text1"/>
        </w:rPr>
        <w:t xml:space="preserve">). </w:t>
      </w:r>
      <w:r w:rsidR="0041682D" w:rsidRPr="0072396D">
        <w:rPr>
          <w:rFonts w:ascii="Times New Roman" w:hAnsi="Times New Roman"/>
          <w:color w:val="000000" w:themeColor="text1"/>
        </w:rPr>
        <w:t>M</w:t>
      </w:r>
      <w:r w:rsidR="006772DC" w:rsidRPr="0072396D">
        <w:rPr>
          <w:rFonts w:ascii="Times New Roman" w:hAnsi="Times New Roman"/>
          <w:color w:val="000000" w:themeColor="text1"/>
        </w:rPr>
        <w:t>aksuasetuksessa on tarpeen säätää eräistä Eurooppa-patentteja koskevista maksuista.</w:t>
      </w:r>
      <w:r w:rsidR="001B6E5A" w:rsidRPr="0072396D">
        <w:rPr>
          <w:rFonts w:ascii="Times New Roman" w:hAnsi="Times New Roman"/>
          <w:color w:val="000000" w:themeColor="text1"/>
        </w:rPr>
        <w:t xml:space="preserve"> PRH käsittelee myös lisäsuojatodistusta ja integroidun piirin piirimallia koskevat asiat</w:t>
      </w:r>
      <w:r w:rsidR="0041682D" w:rsidRPr="0072396D">
        <w:rPr>
          <w:rFonts w:ascii="Times New Roman" w:hAnsi="Times New Roman"/>
          <w:color w:val="000000" w:themeColor="text1"/>
        </w:rPr>
        <w:t>, joita koskevista maksuista säädetään maksuasetuksessa</w:t>
      </w:r>
      <w:r w:rsidR="001B6E5A" w:rsidRPr="0072396D">
        <w:rPr>
          <w:rFonts w:ascii="Times New Roman" w:hAnsi="Times New Roman"/>
          <w:color w:val="000000" w:themeColor="text1"/>
        </w:rPr>
        <w:t>.</w:t>
      </w:r>
    </w:p>
    <w:p w:rsidR="00C1593D" w:rsidRPr="0072396D" w:rsidRDefault="00C1593D" w:rsidP="00574592">
      <w:pPr>
        <w:spacing w:after="0" w:line="220" w:lineRule="exact"/>
        <w:ind w:firstLine="170"/>
        <w:jc w:val="both"/>
        <w:rPr>
          <w:rFonts w:ascii="Times New Roman" w:hAnsi="Times New Roman"/>
          <w:color w:val="000000" w:themeColor="text1"/>
        </w:rPr>
      </w:pPr>
    </w:p>
    <w:p w:rsidR="006F7EAD" w:rsidRPr="009F0025" w:rsidRDefault="0041682D" w:rsidP="00574592">
      <w:pPr>
        <w:spacing w:after="0" w:line="220" w:lineRule="exact"/>
        <w:ind w:left="1304"/>
        <w:jc w:val="both"/>
        <w:rPr>
          <w:rFonts w:ascii="Times New Roman" w:hAnsi="Times New Roman"/>
          <w:color w:val="000000" w:themeColor="text1"/>
        </w:rPr>
      </w:pPr>
      <w:r w:rsidRPr="0072396D">
        <w:rPr>
          <w:rFonts w:ascii="Times New Roman" w:hAnsi="Times New Roman"/>
          <w:color w:val="000000" w:themeColor="text1"/>
        </w:rPr>
        <w:t>PRH:n patenttiasioissa h</w:t>
      </w:r>
      <w:r w:rsidR="00AC3B06" w:rsidRPr="0072396D">
        <w:rPr>
          <w:rFonts w:ascii="Times New Roman" w:hAnsi="Times New Roman"/>
          <w:color w:val="000000" w:themeColor="text1"/>
        </w:rPr>
        <w:t xml:space="preserve">akemusten käsittelystä, ja rekisterien ylläpidosta aiheutuvat kustannukset katetaan käsittelymaksuilla ja vuosimaksuilla. </w:t>
      </w:r>
      <w:r w:rsidR="00887C73" w:rsidRPr="0040797A">
        <w:rPr>
          <w:rFonts w:ascii="Times New Roman" w:hAnsi="Times New Roman"/>
          <w:color w:val="000000" w:themeColor="text1"/>
        </w:rPr>
        <w:t xml:space="preserve">Suomessa on voimassa </w:t>
      </w:r>
      <w:r w:rsidR="0072396D" w:rsidRPr="0040797A">
        <w:rPr>
          <w:rFonts w:ascii="Times New Roman" w:hAnsi="Times New Roman"/>
          <w:color w:val="000000" w:themeColor="text1"/>
        </w:rPr>
        <w:t xml:space="preserve"> </w:t>
      </w:r>
      <w:r w:rsidR="00F4164C" w:rsidRPr="0040797A">
        <w:rPr>
          <w:rFonts w:ascii="Times New Roman" w:hAnsi="Times New Roman"/>
          <w:color w:val="000000" w:themeColor="text1"/>
        </w:rPr>
        <w:t xml:space="preserve">7800 </w:t>
      </w:r>
      <w:r w:rsidR="00887C73" w:rsidRPr="0040797A">
        <w:rPr>
          <w:rFonts w:ascii="Times New Roman" w:hAnsi="Times New Roman"/>
          <w:color w:val="000000" w:themeColor="text1"/>
        </w:rPr>
        <w:t xml:space="preserve"> PRH:</w:t>
      </w:r>
      <w:r w:rsidR="006F7EAD" w:rsidRPr="0040797A">
        <w:rPr>
          <w:rFonts w:ascii="Times New Roman" w:hAnsi="Times New Roman"/>
          <w:color w:val="000000" w:themeColor="text1"/>
        </w:rPr>
        <w:t>n myöntämää</w:t>
      </w:r>
      <w:r w:rsidR="00887C73" w:rsidRPr="0040797A">
        <w:rPr>
          <w:rFonts w:ascii="Times New Roman" w:hAnsi="Times New Roman"/>
          <w:color w:val="000000" w:themeColor="text1"/>
        </w:rPr>
        <w:t xml:space="preserve"> ja </w:t>
      </w:r>
      <w:r w:rsidR="001A4255" w:rsidRPr="0040797A">
        <w:rPr>
          <w:rFonts w:ascii="Times New Roman" w:hAnsi="Times New Roman"/>
          <w:color w:val="000000" w:themeColor="text1"/>
        </w:rPr>
        <w:t xml:space="preserve">41000 </w:t>
      </w:r>
      <w:r w:rsidR="006F7EAD" w:rsidRPr="0040797A">
        <w:rPr>
          <w:rFonts w:ascii="Times New Roman" w:hAnsi="Times New Roman"/>
          <w:color w:val="000000" w:themeColor="text1"/>
        </w:rPr>
        <w:t>Euroopan</w:t>
      </w:r>
      <w:r w:rsidR="00887C73" w:rsidRPr="0040797A">
        <w:rPr>
          <w:rFonts w:ascii="Times New Roman" w:hAnsi="Times New Roman"/>
          <w:color w:val="000000" w:themeColor="text1"/>
        </w:rPr>
        <w:t xml:space="preserve"> patenttiviraston myöntämää patenttia (</w:t>
      </w:r>
      <w:r w:rsidR="0072396D" w:rsidRPr="0040797A">
        <w:rPr>
          <w:rFonts w:ascii="Times New Roman" w:hAnsi="Times New Roman"/>
          <w:color w:val="000000" w:themeColor="text1"/>
        </w:rPr>
        <w:t>2016</w:t>
      </w:r>
      <w:r w:rsidR="00887C73" w:rsidRPr="0040797A">
        <w:rPr>
          <w:rFonts w:ascii="Times New Roman" w:hAnsi="Times New Roman"/>
          <w:color w:val="000000" w:themeColor="text1"/>
        </w:rPr>
        <w:t>).</w:t>
      </w:r>
      <w:r w:rsidR="00887C73" w:rsidRPr="009F0025">
        <w:rPr>
          <w:rFonts w:ascii="Times New Roman" w:hAnsi="Times New Roman"/>
          <w:color w:val="000000" w:themeColor="text1"/>
        </w:rPr>
        <w:t xml:space="preserve"> Kansallisia patenttihakemuksia tehdään vuosittain noin 1400 ja kans</w:t>
      </w:r>
      <w:r w:rsidR="008D10D8" w:rsidRPr="009F0025">
        <w:rPr>
          <w:rFonts w:ascii="Times New Roman" w:hAnsi="Times New Roman"/>
          <w:color w:val="000000" w:themeColor="text1"/>
        </w:rPr>
        <w:t xml:space="preserve">ainvälisiä </w:t>
      </w:r>
      <w:r w:rsidR="007310B6" w:rsidRPr="009F0025">
        <w:rPr>
          <w:rFonts w:ascii="Times New Roman" w:hAnsi="Times New Roman"/>
          <w:color w:val="000000" w:themeColor="text1"/>
        </w:rPr>
        <w:t>PCT-tutkimuspyyntöjä noin 500 kpl</w:t>
      </w:r>
      <w:r w:rsidR="0072396D" w:rsidRPr="009F0025">
        <w:rPr>
          <w:rFonts w:ascii="Times New Roman" w:hAnsi="Times New Roman"/>
          <w:color w:val="000000" w:themeColor="text1"/>
        </w:rPr>
        <w:t>.</w:t>
      </w:r>
      <w:r w:rsidR="00887C73" w:rsidRPr="009F0025">
        <w:rPr>
          <w:rFonts w:ascii="Times New Roman" w:hAnsi="Times New Roman"/>
          <w:color w:val="000000" w:themeColor="text1"/>
        </w:rPr>
        <w:t xml:space="preserve"> </w:t>
      </w:r>
      <w:r w:rsidR="00AC3B06" w:rsidRPr="009F0025">
        <w:rPr>
          <w:rFonts w:ascii="Times New Roman" w:hAnsi="Times New Roman"/>
          <w:color w:val="000000" w:themeColor="text1"/>
        </w:rPr>
        <w:t xml:space="preserve">Käsittelymaksuilla katetaan </w:t>
      </w:r>
      <w:r w:rsidRPr="009F0025">
        <w:rPr>
          <w:rFonts w:ascii="Times New Roman" w:hAnsi="Times New Roman"/>
          <w:color w:val="000000" w:themeColor="text1"/>
        </w:rPr>
        <w:t xml:space="preserve">noin </w:t>
      </w:r>
      <w:r w:rsidR="00AC3B06" w:rsidRPr="009F0025">
        <w:rPr>
          <w:rFonts w:ascii="Times New Roman" w:hAnsi="Times New Roman"/>
          <w:color w:val="000000" w:themeColor="text1"/>
        </w:rPr>
        <w:t xml:space="preserve">neljännes </w:t>
      </w:r>
      <w:r w:rsidRPr="009F0025">
        <w:rPr>
          <w:rFonts w:ascii="Times New Roman" w:hAnsi="Times New Roman"/>
          <w:color w:val="000000" w:themeColor="text1"/>
        </w:rPr>
        <w:t xml:space="preserve">patenttiasioiden </w:t>
      </w:r>
      <w:r w:rsidR="00AC3B06" w:rsidRPr="009F0025">
        <w:rPr>
          <w:rFonts w:ascii="Times New Roman" w:hAnsi="Times New Roman"/>
          <w:color w:val="000000" w:themeColor="text1"/>
        </w:rPr>
        <w:t xml:space="preserve">kokonaiskustannuksista ja vuosimaksuilla </w:t>
      </w:r>
      <w:r w:rsidR="00450AF5" w:rsidRPr="009F0025">
        <w:rPr>
          <w:rFonts w:ascii="Times New Roman" w:hAnsi="Times New Roman"/>
          <w:color w:val="000000" w:themeColor="text1"/>
        </w:rPr>
        <w:t xml:space="preserve">katetaan </w:t>
      </w:r>
      <w:r w:rsidR="00AC3B06" w:rsidRPr="009F0025">
        <w:rPr>
          <w:rFonts w:ascii="Times New Roman" w:hAnsi="Times New Roman"/>
          <w:color w:val="000000" w:themeColor="text1"/>
        </w:rPr>
        <w:t xml:space="preserve">kolme neljännestä. </w:t>
      </w:r>
      <w:r w:rsidR="00887C73" w:rsidRPr="009F0025">
        <w:rPr>
          <w:rFonts w:ascii="Times New Roman" w:hAnsi="Times New Roman"/>
          <w:color w:val="000000" w:themeColor="text1"/>
        </w:rPr>
        <w:t xml:space="preserve">Patentin hakemusmaksu on tällä hetkellä </w:t>
      </w:r>
      <w:r w:rsidR="008D10D8" w:rsidRPr="009F0025">
        <w:rPr>
          <w:rFonts w:ascii="Times New Roman" w:hAnsi="Times New Roman"/>
          <w:color w:val="000000" w:themeColor="text1"/>
        </w:rPr>
        <w:t xml:space="preserve">sähköisesti tehtynä 400 </w:t>
      </w:r>
      <w:r w:rsidR="00D63525">
        <w:rPr>
          <w:rFonts w:ascii="Times New Roman" w:hAnsi="Times New Roman"/>
          <w:color w:val="000000" w:themeColor="text1"/>
        </w:rPr>
        <w:t>euroa</w:t>
      </w:r>
      <w:r w:rsidR="008D10D8" w:rsidRPr="009F0025">
        <w:rPr>
          <w:rFonts w:ascii="Times New Roman" w:hAnsi="Times New Roman"/>
          <w:color w:val="000000" w:themeColor="text1"/>
        </w:rPr>
        <w:t xml:space="preserve">, muutoin 500 </w:t>
      </w:r>
      <w:r w:rsidR="00D63525">
        <w:rPr>
          <w:rFonts w:ascii="Times New Roman" w:hAnsi="Times New Roman"/>
          <w:color w:val="000000" w:themeColor="text1"/>
        </w:rPr>
        <w:t>euroa</w:t>
      </w:r>
      <w:r w:rsidR="0072396D" w:rsidRPr="009F0025">
        <w:rPr>
          <w:rFonts w:ascii="Times New Roman" w:hAnsi="Times New Roman"/>
          <w:color w:val="000000" w:themeColor="text1"/>
        </w:rPr>
        <w:t>.</w:t>
      </w:r>
      <w:r w:rsidR="00887C73" w:rsidRPr="009F0025">
        <w:rPr>
          <w:rFonts w:ascii="Times New Roman" w:hAnsi="Times New Roman"/>
          <w:color w:val="000000" w:themeColor="text1"/>
        </w:rPr>
        <w:t xml:space="preserve"> </w:t>
      </w:r>
      <w:r w:rsidR="00AC3B06" w:rsidRPr="009F0025">
        <w:rPr>
          <w:rFonts w:ascii="Times New Roman" w:hAnsi="Times New Roman"/>
          <w:color w:val="000000" w:themeColor="text1"/>
        </w:rPr>
        <w:t xml:space="preserve">Vuosimaksut on porrastettu niin, että ne nousevat suoja-ajan loppua kohden. </w:t>
      </w:r>
      <w:r w:rsidR="006F7EAD" w:rsidRPr="009F0025">
        <w:rPr>
          <w:rFonts w:ascii="Times New Roman" w:hAnsi="Times New Roman"/>
          <w:color w:val="000000" w:themeColor="text1"/>
        </w:rPr>
        <w:t xml:space="preserve">Patenttioikeus on voimassa </w:t>
      </w:r>
      <w:r w:rsidR="003C5497" w:rsidRPr="009F0025">
        <w:rPr>
          <w:rFonts w:ascii="Times New Roman" w:hAnsi="Times New Roman"/>
          <w:color w:val="000000" w:themeColor="text1"/>
        </w:rPr>
        <w:t>pääsääntöisesti</w:t>
      </w:r>
      <w:r w:rsidR="006F7EAD" w:rsidRPr="009F0025">
        <w:rPr>
          <w:rFonts w:ascii="Times New Roman" w:hAnsi="Times New Roman"/>
          <w:color w:val="000000" w:themeColor="text1"/>
        </w:rPr>
        <w:t xml:space="preserve"> enintään 20 vuotta, </w:t>
      </w:r>
      <w:r w:rsidRPr="009F0025">
        <w:rPr>
          <w:rFonts w:ascii="Times New Roman" w:hAnsi="Times New Roman"/>
          <w:color w:val="000000" w:themeColor="text1"/>
        </w:rPr>
        <w:t xml:space="preserve">sen </w:t>
      </w:r>
      <w:r w:rsidR="006F7EAD" w:rsidRPr="009F0025">
        <w:rPr>
          <w:rFonts w:ascii="Times New Roman" w:hAnsi="Times New Roman"/>
          <w:color w:val="000000" w:themeColor="text1"/>
        </w:rPr>
        <w:t>keskimääräinen voimassaoloaika on nykyisin noin 10,5 vuotta.</w:t>
      </w:r>
    </w:p>
    <w:p w:rsidR="00EC27F9" w:rsidRPr="009F0025" w:rsidRDefault="00EC27F9" w:rsidP="00574592">
      <w:pPr>
        <w:spacing w:after="0" w:line="220" w:lineRule="exact"/>
        <w:ind w:left="1304"/>
        <w:jc w:val="both"/>
        <w:rPr>
          <w:rFonts w:ascii="Times New Roman" w:hAnsi="Times New Roman"/>
          <w:color w:val="000000" w:themeColor="text1"/>
        </w:rPr>
      </w:pPr>
    </w:p>
    <w:p w:rsidR="00EC27F9" w:rsidRPr="009F0025" w:rsidRDefault="00EC27F9" w:rsidP="00574592">
      <w:pPr>
        <w:spacing w:after="0" w:line="220" w:lineRule="exact"/>
        <w:ind w:left="1304"/>
        <w:jc w:val="both"/>
        <w:rPr>
          <w:rFonts w:ascii="Times New Roman" w:hAnsi="Times New Roman"/>
          <w:color w:val="000000" w:themeColor="text1"/>
        </w:rPr>
      </w:pPr>
      <w:r w:rsidRPr="009F0025">
        <w:rPr>
          <w:rFonts w:ascii="Times New Roman" w:hAnsi="Times New Roman"/>
          <w:color w:val="000000" w:themeColor="text1"/>
        </w:rPr>
        <w:t>PRH:n patentti-, hyödyllisyysmalli-, tavaramerkki- ja malliasioihin käytettiin yhteensä 171,4 henkilötyövuotta vuonna 2016.</w:t>
      </w:r>
    </w:p>
    <w:p w:rsidR="006F7EAD" w:rsidRPr="006021F7" w:rsidRDefault="006F7EAD" w:rsidP="00574592">
      <w:pPr>
        <w:spacing w:after="0" w:line="220" w:lineRule="exact"/>
        <w:ind w:firstLine="170"/>
        <w:jc w:val="both"/>
        <w:rPr>
          <w:rFonts w:ascii="Times New Roman" w:hAnsi="Times New Roman"/>
        </w:rPr>
      </w:pPr>
    </w:p>
    <w:p w:rsidR="00AC3B06" w:rsidRPr="0072396D" w:rsidRDefault="0072396D" w:rsidP="00574592">
      <w:pPr>
        <w:spacing w:after="0" w:line="220" w:lineRule="exact"/>
        <w:ind w:left="1304"/>
        <w:jc w:val="both"/>
        <w:rPr>
          <w:rFonts w:ascii="Times New Roman" w:hAnsi="Times New Roman"/>
          <w:strike/>
          <w:color w:val="000000" w:themeColor="text1"/>
        </w:rPr>
      </w:pPr>
      <w:r w:rsidRPr="0072396D">
        <w:rPr>
          <w:rFonts w:ascii="Times New Roman" w:hAnsi="Times New Roman"/>
          <w:color w:val="000000" w:themeColor="text1"/>
        </w:rPr>
        <w:t xml:space="preserve">Patenttiasioiden </w:t>
      </w:r>
      <w:r w:rsidR="00AC3B06" w:rsidRPr="0072396D">
        <w:rPr>
          <w:rFonts w:ascii="Times New Roman" w:hAnsi="Times New Roman"/>
          <w:color w:val="000000" w:themeColor="text1"/>
        </w:rPr>
        <w:t xml:space="preserve">tulot olivat </w:t>
      </w:r>
      <w:r w:rsidR="00FB150A" w:rsidRPr="0072396D">
        <w:rPr>
          <w:rFonts w:ascii="Times New Roman" w:hAnsi="Times New Roman"/>
          <w:color w:val="000000" w:themeColor="text1"/>
        </w:rPr>
        <w:t>16 879 690 euroa vuonna 2016</w:t>
      </w:r>
      <w:r w:rsidR="00AC3B06" w:rsidRPr="0072396D">
        <w:rPr>
          <w:rFonts w:ascii="Times New Roman" w:hAnsi="Times New Roman"/>
          <w:color w:val="000000" w:themeColor="text1"/>
        </w:rPr>
        <w:t xml:space="preserve">, kokonaiskustannukset </w:t>
      </w:r>
      <w:r w:rsidR="00FB150A" w:rsidRPr="0072396D">
        <w:rPr>
          <w:rFonts w:ascii="Times New Roman" w:hAnsi="Times New Roman"/>
          <w:color w:val="000000" w:themeColor="text1"/>
        </w:rPr>
        <w:t xml:space="preserve">17 068 516 </w:t>
      </w:r>
      <w:r w:rsidR="00D63525">
        <w:rPr>
          <w:rFonts w:ascii="Times New Roman" w:hAnsi="Times New Roman"/>
          <w:color w:val="000000" w:themeColor="text1"/>
        </w:rPr>
        <w:t>euroa</w:t>
      </w:r>
      <w:r w:rsidR="00FB150A" w:rsidRPr="0072396D">
        <w:rPr>
          <w:rFonts w:ascii="Times New Roman" w:hAnsi="Times New Roman"/>
          <w:color w:val="000000" w:themeColor="text1"/>
        </w:rPr>
        <w:t xml:space="preserve"> ja kustannusvastaavuus 98,9</w:t>
      </w:r>
      <w:r w:rsidR="00AC3B06" w:rsidRPr="0072396D">
        <w:rPr>
          <w:rFonts w:ascii="Times New Roman" w:hAnsi="Times New Roman"/>
          <w:color w:val="000000" w:themeColor="text1"/>
        </w:rPr>
        <w:t xml:space="preserve"> prosenttia. </w:t>
      </w:r>
    </w:p>
    <w:p w:rsidR="00887C73" w:rsidRPr="0072396D" w:rsidRDefault="00887C73" w:rsidP="00574592">
      <w:pPr>
        <w:spacing w:after="0" w:line="220" w:lineRule="exact"/>
        <w:ind w:firstLine="170"/>
        <w:jc w:val="both"/>
        <w:rPr>
          <w:rFonts w:ascii="Times New Roman" w:hAnsi="Times New Roman"/>
          <w:color w:val="000000" w:themeColor="text1"/>
        </w:rPr>
      </w:pPr>
    </w:p>
    <w:p w:rsidR="00887C73" w:rsidRPr="0072396D" w:rsidRDefault="006772DC" w:rsidP="00574592">
      <w:pPr>
        <w:spacing w:after="0" w:line="220" w:lineRule="exact"/>
        <w:ind w:left="1304"/>
        <w:jc w:val="both"/>
        <w:rPr>
          <w:rFonts w:ascii="Times New Roman" w:hAnsi="Times New Roman"/>
          <w:strike/>
          <w:color w:val="000000" w:themeColor="text1"/>
        </w:rPr>
      </w:pPr>
      <w:r w:rsidRPr="0072396D">
        <w:rPr>
          <w:rFonts w:ascii="Times New Roman" w:hAnsi="Times New Roman"/>
          <w:color w:val="000000" w:themeColor="text1"/>
        </w:rPr>
        <w:t>Hyödyllisyysmallih</w:t>
      </w:r>
      <w:r w:rsidR="00887C73" w:rsidRPr="0072396D">
        <w:rPr>
          <w:rFonts w:ascii="Times New Roman" w:hAnsi="Times New Roman"/>
          <w:color w:val="000000" w:themeColor="text1"/>
        </w:rPr>
        <w:t xml:space="preserve">akemusten käsittelystä ja rekisterin ylläpidosta aiheutuvat kustannukset katetaan käsittelymaksuilla. </w:t>
      </w:r>
      <w:r w:rsidRPr="0072396D">
        <w:rPr>
          <w:rFonts w:ascii="Times New Roman" w:hAnsi="Times New Roman"/>
          <w:color w:val="000000" w:themeColor="text1"/>
        </w:rPr>
        <w:t>Hyödyllisyysma</w:t>
      </w:r>
      <w:r w:rsidR="00FB150A" w:rsidRPr="0072396D">
        <w:rPr>
          <w:rFonts w:ascii="Times New Roman" w:hAnsi="Times New Roman"/>
          <w:color w:val="000000" w:themeColor="text1"/>
        </w:rPr>
        <w:t xml:space="preserve">lliasioiden tulot olivat 230 584 </w:t>
      </w:r>
      <w:r w:rsidR="00D63525">
        <w:rPr>
          <w:rFonts w:ascii="Times New Roman" w:hAnsi="Times New Roman"/>
          <w:color w:val="000000" w:themeColor="text1"/>
        </w:rPr>
        <w:t>euroa</w:t>
      </w:r>
      <w:r w:rsidR="00FB150A" w:rsidRPr="0072396D">
        <w:rPr>
          <w:rFonts w:ascii="Times New Roman" w:hAnsi="Times New Roman"/>
          <w:color w:val="000000" w:themeColor="text1"/>
        </w:rPr>
        <w:t xml:space="preserve"> vuonna 2016 ja kokonaismenot 338 387</w:t>
      </w:r>
      <w:r w:rsidR="0072396D">
        <w:rPr>
          <w:rFonts w:ascii="Times New Roman" w:hAnsi="Times New Roman"/>
          <w:color w:val="000000" w:themeColor="text1"/>
        </w:rPr>
        <w:t xml:space="preserve"> </w:t>
      </w:r>
      <w:r w:rsidR="00D63525">
        <w:rPr>
          <w:rFonts w:ascii="Times New Roman" w:hAnsi="Times New Roman"/>
          <w:color w:val="000000" w:themeColor="text1"/>
        </w:rPr>
        <w:t>euroa</w:t>
      </w:r>
      <w:r w:rsidR="0072396D">
        <w:rPr>
          <w:rFonts w:ascii="Times New Roman" w:hAnsi="Times New Roman"/>
          <w:color w:val="000000" w:themeColor="text1"/>
        </w:rPr>
        <w:t>. Vuonna 2016 h</w:t>
      </w:r>
      <w:r w:rsidRPr="0072396D">
        <w:rPr>
          <w:rFonts w:ascii="Times New Roman" w:hAnsi="Times New Roman"/>
          <w:color w:val="000000" w:themeColor="text1"/>
        </w:rPr>
        <w:t>yödyllisyysmallien osalta toimin</w:t>
      </w:r>
      <w:r w:rsidR="00FB150A" w:rsidRPr="0072396D">
        <w:rPr>
          <w:rFonts w:ascii="Times New Roman" w:hAnsi="Times New Roman"/>
          <w:color w:val="000000" w:themeColor="text1"/>
        </w:rPr>
        <w:t>non kustannusvastaavuus oli 68,1</w:t>
      </w:r>
      <w:r w:rsidR="000C01C5" w:rsidRPr="0072396D">
        <w:rPr>
          <w:rFonts w:ascii="Times New Roman" w:hAnsi="Times New Roman"/>
          <w:color w:val="000000" w:themeColor="text1"/>
        </w:rPr>
        <w:t xml:space="preserve"> (v. 2015 kustannusvastaavuus oli n. 101</w:t>
      </w:r>
      <w:r w:rsidR="00D63525">
        <w:rPr>
          <w:rFonts w:ascii="Times New Roman" w:hAnsi="Times New Roman"/>
          <w:color w:val="000000" w:themeColor="text1"/>
        </w:rPr>
        <w:t xml:space="preserve"> </w:t>
      </w:r>
      <w:r w:rsidR="000C01C5" w:rsidRPr="0072396D">
        <w:rPr>
          <w:rFonts w:ascii="Times New Roman" w:hAnsi="Times New Roman"/>
          <w:color w:val="000000" w:themeColor="text1"/>
        </w:rPr>
        <w:t>%)</w:t>
      </w:r>
      <w:r w:rsidR="0072396D" w:rsidRPr="0072396D">
        <w:rPr>
          <w:rFonts w:ascii="Times New Roman" w:hAnsi="Times New Roman"/>
          <w:color w:val="000000" w:themeColor="text1"/>
        </w:rPr>
        <w:t>.</w:t>
      </w:r>
    </w:p>
    <w:p w:rsidR="0040744D" w:rsidRPr="0072396D" w:rsidRDefault="0040744D" w:rsidP="00574592">
      <w:pPr>
        <w:spacing w:after="0" w:line="220" w:lineRule="exact"/>
        <w:ind w:firstLine="170"/>
        <w:jc w:val="both"/>
        <w:rPr>
          <w:rFonts w:ascii="Times New Roman" w:hAnsi="Times New Roman"/>
          <w:color w:val="000000" w:themeColor="text1"/>
        </w:rPr>
      </w:pPr>
    </w:p>
    <w:p w:rsidR="006772DC" w:rsidRPr="006021F7" w:rsidRDefault="006772DC" w:rsidP="00574592">
      <w:pPr>
        <w:spacing w:after="0" w:line="220" w:lineRule="exact"/>
        <w:ind w:firstLine="170"/>
        <w:jc w:val="both"/>
        <w:rPr>
          <w:rFonts w:ascii="Times New Roman" w:hAnsi="Times New Roman"/>
        </w:rPr>
      </w:pPr>
    </w:p>
    <w:p w:rsidR="00AC3B06" w:rsidRPr="006021F7" w:rsidRDefault="0040744D" w:rsidP="00574592">
      <w:pPr>
        <w:spacing w:after="0" w:line="220" w:lineRule="exact"/>
        <w:ind w:firstLine="1304"/>
        <w:jc w:val="both"/>
        <w:rPr>
          <w:rFonts w:ascii="Times New Roman" w:hAnsi="Times New Roman"/>
          <w:i/>
        </w:rPr>
      </w:pPr>
      <w:r w:rsidRPr="006021F7">
        <w:rPr>
          <w:rFonts w:ascii="Times New Roman" w:hAnsi="Times New Roman"/>
          <w:i/>
        </w:rPr>
        <w:t>Teollisoikeusasiamiesasiat</w:t>
      </w:r>
    </w:p>
    <w:p w:rsidR="0040744D" w:rsidRPr="006021F7" w:rsidRDefault="0040744D" w:rsidP="00574592">
      <w:pPr>
        <w:spacing w:after="0" w:line="220" w:lineRule="exact"/>
        <w:ind w:firstLine="170"/>
        <w:jc w:val="both"/>
        <w:rPr>
          <w:rFonts w:ascii="Times New Roman" w:hAnsi="Times New Roman"/>
        </w:rPr>
      </w:pPr>
    </w:p>
    <w:p w:rsidR="0040744D" w:rsidRPr="0040797A" w:rsidRDefault="0040744D" w:rsidP="00574592">
      <w:pPr>
        <w:spacing w:after="0" w:line="220" w:lineRule="exact"/>
        <w:ind w:left="1304"/>
        <w:jc w:val="both"/>
        <w:rPr>
          <w:rFonts w:ascii="Times New Roman" w:hAnsi="Times New Roman"/>
        </w:rPr>
      </w:pPr>
      <w:r w:rsidRPr="0072396D">
        <w:rPr>
          <w:rFonts w:ascii="Times New Roman" w:hAnsi="Times New Roman"/>
          <w:color w:val="000000" w:themeColor="text1"/>
        </w:rPr>
        <w:t>PRH:n yhteydessä toimii teollisoikeusasiamieslautakunta</w:t>
      </w:r>
      <w:r w:rsidR="007C0372" w:rsidRPr="0072396D">
        <w:rPr>
          <w:rFonts w:ascii="Times New Roman" w:hAnsi="Times New Roman"/>
          <w:color w:val="000000" w:themeColor="text1"/>
        </w:rPr>
        <w:t xml:space="preserve">, jonka </w:t>
      </w:r>
      <w:r w:rsidRPr="0072396D">
        <w:rPr>
          <w:rFonts w:ascii="Times New Roman" w:hAnsi="Times New Roman"/>
          <w:color w:val="000000" w:themeColor="text1"/>
        </w:rPr>
        <w:t>toiminta rahoitetaan pääasiassa veroluonteisella</w:t>
      </w:r>
      <w:r w:rsidR="00052BE4" w:rsidRPr="0072396D">
        <w:rPr>
          <w:rFonts w:ascii="Times New Roman" w:hAnsi="Times New Roman"/>
          <w:color w:val="000000" w:themeColor="text1"/>
        </w:rPr>
        <w:t>,</w:t>
      </w:r>
      <w:r w:rsidRPr="0072396D">
        <w:rPr>
          <w:rFonts w:ascii="Times New Roman" w:hAnsi="Times New Roman"/>
          <w:color w:val="000000" w:themeColor="text1"/>
        </w:rPr>
        <w:t xml:space="preserve"> asiamiehiltä perittäv</w:t>
      </w:r>
      <w:r w:rsidR="00052BE4" w:rsidRPr="0072396D">
        <w:rPr>
          <w:rFonts w:ascii="Times New Roman" w:hAnsi="Times New Roman"/>
          <w:color w:val="000000" w:themeColor="text1"/>
        </w:rPr>
        <w:t>ä</w:t>
      </w:r>
      <w:r w:rsidRPr="0072396D">
        <w:rPr>
          <w:rFonts w:ascii="Times New Roman" w:hAnsi="Times New Roman"/>
          <w:color w:val="000000" w:themeColor="text1"/>
        </w:rPr>
        <w:t>llä vuosimaksulla</w:t>
      </w:r>
      <w:r w:rsidR="00052BE4" w:rsidRPr="0072396D">
        <w:rPr>
          <w:rFonts w:ascii="Times New Roman" w:hAnsi="Times New Roman"/>
          <w:color w:val="000000" w:themeColor="text1"/>
        </w:rPr>
        <w:t>, jo</w:t>
      </w:r>
      <w:r w:rsidR="00A205E1" w:rsidRPr="0072396D">
        <w:rPr>
          <w:rFonts w:ascii="Times New Roman" w:hAnsi="Times New Roman"/>
          <w:color w:val="000000" w:themeColor="text1"/>
        </w:rPr>
        <w:t>sta säädetään auktorisoiduista teollisoikeusasiamiehistä a</w:t>
      </w:r>
      <w:r w:rsidR="007C0372" w:rsidRPr="0072396D">
        <w:rPr>
          <w:rFonts w:ascii="Times New Roman" w:hAnsi="Times New Roman"/>
          <w:color w:val="000000" w:themeColor="text1"/>
        </w:rPr>
        <w:t>nnetussa laissa (22/2014</w:t>
      </w:r>
      <w:r w:rsidR="00A205E1" w:rsidRPr="0072396D">
        <w:rPr>
          <w:rFonts w:ascii="Times New Roman" w:hAnsi="Times New Roman"/>
          <w:color w:val="000000" w:themeColor="text1"/>
        </w:rPr>
        <w:t>)</w:t>
      </w:r>
      <w:r w:rsidRPr="0072396D">
        <w:rPr>
          <w:rFonts w:ascii="Times New Roman" w:hAnsi="Times New Roman"/>
          <w:color w:val="000000" w:themeColor="text1"/>
        </w:rPr>
        <w:t>.</w:t>
      </w:r>
      <w:r w:rsidR="009047A7" w:rsidRPr="0072396D">
        <w:rPr>
          <w:rFonts w:ascii="Times New Roman" w:hAnsi="Times New Roman"/>
          <w:color w:val="000000" w:themeColor="text1"/>
        </w:rPr>
        <w:t xml:space="preserve"> Valtion talousarviossa PRH:lle osoitettiin vuosimaksutuloja 55 000 euroa. </w:t>
      </w:r>
      <w:r w:rsidRPr="0072396D">
        <w:rPr>
          <w:rFonts w:ascii="Times New Roman" w:hAnsi="Times New Roman"/>
          <w:color w:val="000000" w:themeColor="text1"/>
        </w:rPr>
        <w:t>Teollisoikeusasiamieslautakunta järjestää asiamieskokeita, joista peritään maksuasetuksen mukaisia tutkintomaksuja. Sen lisäksi lautakunta perii eräitä rekisterinpitoon kuuluvia maksuja, joista säädetään maksuasetuksella. Teollisoikeusasiamieslautakunnan toi</w:t>
      </w:r>
      <w:r w:rsidR="000C01C5" w:rsidRPr="0072396D">
        <w:rPr>
          <w:rFonts w:ascii="Times New Roman" w:hAnsi="Times New Roman"/>
          <w:color w:val="000000" w:themeColor="text1"/>
        </w:rPr>
        <w:t>minnan tuotot olivat noin 16 407 euroa vuonna 2016 ja kokonaiskustannukset 69 916</w:t>
      </w:r>
      <w:r w:rsidRPr="0072396D">
        <w:rPr>
          <w:rFonts w:ascii="Times New Roman" w:hAnsi="Times New Roman"/>
          <w:color w:val="000000" w:themeColor="text1"/>
        </w:rPr>
        <w:t xml:space="preserve"> </w:t>
      </w:r>
      <w:r w:rsidR="00D63525">
        <w:rPr>
          <w:rFonts w:ascii="Times New Roman" w:hAnsi="Times New Roman"/>
          <w:color w:val="000000" w:themeColor="text1"/>
        </w:rPr>
        <w:t>euroa</w:t>
      </w:r>
      <w:r w:rsidRPr="0072396D">
        <w:rPr>
          <w:rFonts w:ascii="Times New Roman" w:hAnsi="Times New Roman"/>
          <w:color w:val="000000" w:themeColor="text1"/>
        </w:rPr>
        <w:t xml:space="preserve">. Lautakunnan toiminnan kustannusvastaavuus </w:t>
      </w:r>
      <w:r w:rsidR="000C01C5" w:rsidRPr="0072396D">
        <w:rPr>
          <w:rFonts w:ascii="Times New Roman" w:hAnsi="Times New Roman"/>
          <w:color w:val="000000" w:themeColor="text1"/>
        </w:rPr>
        <w:t>oli 1</w:t>
      </w:r>
      <w:r w:rsidR="000C01C5" w:rsidRPr="0040797A">
        <w:rPr>
          <w:rFonts w:ascii="Times New Roman" w:hAnsi="Times New Roman"/>
        </w:rPr>
        <w:t xml:space="preserve">02 %, kun huomioidaan </w:t>
      </w:r>
      <w:r w:rsidR="00003B8C" w:rsidRPr="0040797A">
        <w:rPr>
          <w:rFonts w:ascii="Times New Roman" w:hAnsi="Times New Roman"/>
        </w:rPr>
        <w:t>budjettirahoitus</w:t>
      </w:r>
      <w:r w:rsidR="000C01C5" w:rsidRPr="0040797A">
        <w:rPr>
          <w:rFonts w:ascii="Times New Roman" w:hAnsi="Times New Roman"/>
        </w:rPr>
        <w:t xml:space="preserve"> 55</w:t>
      </w:r>
      <w:r w:rsidR="0040797A">
        <w:rPr>
          <w:rFonts w:ascii="Times New Roman" w:hAnsi="Times New Roman"/>
        </w:rPr>
        <w:t> </w:t>
      </w:r>
      <w:r w:rsidR="000C01C5" w:rsidRPr="0040797A">
        <w:rPr>
          <w:rFonts w:ascii="Times New Roman" w:hAnsi="Times New Roman"/>
        </w:rPr>
        <w:t>000</w:t>
      </w:r>
      <w:r w:rsidR="0040797A">
        <w:rPr>
          <w:rFonts w:ascii="Times New Roman" w:hAnsi="Times New Roman"/>
        </w:rPr>
        <w:t xml:space="preserve"> </w:t>
      </w:r>
      <w:r w:rsidR="00D63525">
        <w:rPr>
          <w:rFonts w:ascii="Times New Roman" w:hAnsi="Times New Roman"/>
        </w:rPr>
        <w:t>euroa</w:t>
      </w:r>
      <w:r w:rsidR="0040797A">
        <w:rPr>
          <w:rFonts w:ascii="Times New Roman" w:hAnsi="Times New Roman"/>
        </w:rPr>
        <w:t>.</w:t>
      </w:r>
    </w:p>
    <w:p w:rsidR="0040744D" w:rsidRPr="00005C01" w:rsidRDefault="0040744D" w:rsidP="00574592">
      <w:pPr>
        <w:spacing w:after="0" w:line="220" w:lineRule="exact"/>
        <w:ind w:firstLine="170"/>
        <w:jc w:val="both"/>
        <w:rPr>
          <w:rFonts w:ascii="Times New Roman" w:hAnsi="Times New Roman"/>
          <w:color w:val="FF0000"/>
        </w:rPr>
      </w:pPr>
    </w:p>
    <w:p w:rsidR="0040744D" w:rsidRPr="006021F7" w:rsidRDefault="0040744D" w:rsidP="00574592">
      <w:pPr>
        <w:spacing w:after="0" w:line="220" w:lineRule="exact"/>
        <w:ind w:firstLine="170"/>
        <w:jc w:val="both"/>
        <w:rPr>
          <w:rFonts w:ascii="Times New Roman" w:hAnsi="Times New Roman"/>
        </w:rPr>
      </w:pPr>
    </w:p>
    <w:p w:rsidR="007C1C06" w:rsidRPr="006021F7" w:rsidRDefault="0040744D" w:rsidP="00574592">
      <w:pPr>
        <w:pStyle w:val="LLNormaali"/>
        <w:ind w:firstLine="1304"/>
        <w:jc w:val="both"/>
        <w:rPr>
          <w:i/>
          <w:szCs w:val="22"/>
        </w:rPr>
      </w:pPr>
      <w:r w:rsidRPr="006021F7">
        <w:rPr>
          <w:i/>
          <w:szCs w:val="22"/>
        </w:rPr>
        <w:t>Tavaramerkki</w:t>
      </w:r>
      <w:r w:rsidR="00C52104" w:rsidRPr="006021F7">
        <w:rPr>
          <w:i/>
          <w:szCs w:val="22"/>
        </w:rPr>
        <w:t>- ja malli</w:t>
      </w:r>
      <w:r w:rsidRPr="006021F7">
        <w:rPr>
          <w:i/>
          <w:szCs w:val="22"/>
        </w:rPr>
        <w:t>asiat</w:t>
      </w:r>
    </w:p>
    <w:p w:rsidR="0040744D" w:rsidRPr="006021F7" w:rsidRDefault="0040744D" w:rsidP="00574592">
      <w:pPr>
        <w:pStyle w:val="LLNormaali"/>
        <w:ind w:firstLine="170"/>
        <w:jc w:val="both"/>
        <w:rPr>
          <w:szCs w:val="22"/>
        </w:rPr>
      </w:pPr>
    </w:p>
    <w:p w:rsidR="0040744D" w:rsidRPr="0072396D" w:rsidRDefault="0040744D" w:rsidP="00574592">
      <w:pPr>
        <w:pStyle w:val="LLNormaali"/>
        <w:ind w:left="1304"/>
        <w:jc w:val="both"/>
        <w:rPr>
          <w:color w:val="000000" w:themeColor="text1"/>
          <w:szCs w:val="22"/>
        </w:rPr>
      </w:pPr>
      <w:r w:rsidRPr="0072396D">
        <w:rPr>
          <w:color w:val="000000" w:themeColor="text1"/>
          <w:szCs w:val="22"/>
        </w:rPr>
        <w:t>PRH käsittelee kansallista tavaramerkkiä</w:t>
      </w:r>
      <w:r w:rsidR="00C52104" w:rsidRPr="0072396D">
        <w:rPr>
          <w:color w:val="000000" w:themeColor="text1"/>
          <w:szCs w:val="22"/>
        </w:rPr>
        <w:t xml:space="preserve">, </w:t>
      </w:r>
      <w:r w:rsidRPr="0072396D">
        <w:rPr>
          <w:color w:val="000000" w:themeColor="text1"/>
          <w:szCs w:val="22"/>
        </w:rPr>
        <w:t>yhteismerkkiä</w:t>
      </w:r>
      <w:r w:rsidR="00C52104" w:rsidRPr="0072396D">
        <w:rPr>
          <w:color w:val="000000" w:themeColor="text1"/>
          <w:szCs w:val="22"/>
        </w:rPr>
        <w:t xml:space="preserve"> ja mallioikeutta</w:t>
      </w:r>
      <w:r w:rsidRPr="0072396D">
        <w:rPr>
          <w:color w:val="000000" w:themeColor="text1"/>
          <w:szCs w:val="22"/>
        </w:rPr>
        <w:t xml:space="preserve"> koskevat asiat. Hakemusten käsittelystä ja rekisterin ylläpidosta aiheutuvia kustannuksia katetaan käsittely- ja uudistusmaksuilla</w:t>
      </w:r>
      <w:r w:rsidRPr="009F0025">
        <w:rPr>
          <w:color w:val="000000" w:themeColor="text1"/>
          <w:szCs w:val="22"/>
        </w:rPr>
        <w:t xml:space="preserve">. </w:t>
      </w:r>
      <w:r w:rsidR="00C52104" w:rsidRPr="009F0025">
        <w:rPr>
          <w:color w:val="000000" w:themeColor="text1"/>
          <w:szCs w:val="22"/>
        </w:rPr>
        <w:t xml:space="preserve">Kansallisia tavaramerkkejä on </w:t>
      </w:r>
      <w:r w:rsidR="00C52104" w:rsidRPr="0040797A">
        <w:rPr>
          <w:color w:val="000000" w:themeColor="text1"/>
          <w:szCs w:val="22"/>
        </w:rPr>
        <w:t xml:space="preserve">voimassa </w:t>
      </w:r>
      <w:r w:rsidR="00247291" w:rsidRPr="0040797A">
        <w:rPr>
          <w:color w:val="000000" w:themeColor="text1"/>
          <w:szCs w:val="22"/>
        </w:rPr>
        <w:t>104 000 kpl</w:t>
      </w:r>
      <w:r w:rsidR="0040797A">
        <w:rPr>
          <w:color w:val="000000" w:themeColor="text1"/>
          <w:szCs w:val="22"/>
        </w:rPr>
        <w:t xml:space="preserve"> (2016)</w:t>
      </w:r>
      <w:r w:rsidR="0072396D" w:rsidRPr="009F0025">
        <w:rPr>
          <w:color w:val="000000" w:themeColor="text1"/>
          <w:szCs w:val="22"/>
        </w:rPr>
        <w:t>.</w:t>
      </w:r>
      <w:r w:rsidR="0027181E" w:rsidRPr="009F0025">
        <w:rPr>
          <w:color w:val="000000" w:themeColor="text1"/>
          <w:szCs w:val="22"/>
        </w:rPr>
        <w:t xml:space="preserve"> </w:t>
      </w:r>
      <w:r w:rsidR="000B1831" w:rsidRPr="009F0025">
        <w:rPr>
          <w:color w:val="000000" w:themeColor="text1"/>
          <w:szCs w:val="22"/>
        </w:rPr>
        <w:t xml:space="preserve">Kansallisia tavaramerkkihakemuksia </w:t>
      </w:r>
      <w:r w:rsidR="000B1831" w:rsidRPr="009F0025">
        <w:rPr>
          <w:color w:val="000000" w:themeColor="text1"/>
        </w:rPr>
        <w:t xml:space="preserve">tehdään </w:t>
      </w:r>
      <w:r w:rsidR="0027181E" w:rsidRPr="009F0025">
        <w:rPr>
          <w:color w:val="000000" w:themeColor="text1"/>
        </w:rPr>
        <w:t>vuosittain noin</w:t>
      </w:r>
      <w:r w:rsidR="000B1831" w:rsidRPr="009F0025">
        <w:rPr>
          <w:color w:val="000000" w:themeColor="text1"/>
        </w:rPr>
        <w:t xml:space="preserve"> </w:t>
      </w:r>
      <w:r w:rsidR="000B1831" w:rsidRPr="009F0025">
        <w:rPr>
          <w:color w:val="000000" w:themeColor="text1"/>
          <w:szCs w:val="22"/>
        </w:rPr>
        <w:t xml:space="preserve">3500 kpl </w:t>
      </w:r>
      <w:r w:rsidR="00C52104" w:rsidRPr="009F0025">
        <w:rPr>
          <w:color w:val="000000" w:themeColor="text1"/>
          <w:szCs w:val="22"/>
        </w:rPr>
        <w:t xml:space="preserve">ja </w:t>
      </w:r>
      <w:r w:rsidR="000B1831" w:rsidRPr="009F0025">
        <w:rPr>
          <w:color w:val="000000" w:themeColor="text1"/>
          <w:szCs w:val="22"/>
        </w:rPr>
        <w:t xml:space="preserve">kansallisia </w:t>
      </w:r>
      <w:r w:rsidR="00C52104" w:rsidRPr="009F0025">
        <w:rPr>
          <w:color w:val="000000" w:themeColor="text1"/>
          <w:szCs w:val="22"/>
        </w:rPr>
        <w:t xml:space="preserve">mallioikeushakemuksia </w:t>
      </w:r>
      <w:r w:rsidR="0027181E" w:rsidRPr="009F0025">
        <w:rPr>
          <w:color w:val="000000" w:themeColor="text1"/>
          <w:szCs w:val="22"/>
        </w:rPr>
        <w:t xml:space="preserve">noin </w:t>
      </w:r>
      <w:r w:rsidR="000B1831" w:rsidRPr="009F0025">
        <w:rPr>
          <w:color w:val="000000" w:themeColor="text1"/>
          <w:szCs w:val="22"/>
        </w:rPr>
        <w:t>300</w:t>
      </w:r>
      <w:r w:rsidR="0027181E" w:rsidRPr="009F0025">
        <w:rPr>
          <w:color w:val="000000" w:themeColor="text1"/>
          <w:szCs w:val="22"/>
        </w:rPr>
        <w:t xml:space="preserve"> kpl</w:t>
      </w:r>
      <w:r w:rsidR="0072396D" w:rsidRPr="009F0025">
        <w:rPr>
          <w:color w:val="000000" w:themeColor="text1"/>
          <w:szCs w:val="22"/>
        </w:rPr>
        <w:t>.</w:t>
      </w:r>
      <w:r w:rsidRPr="009F0025">
        <w:rPr>
          <w:color w:val="000000" w:themeColor="text1"/>
          <w:szCs w:val="22"/>
        </w:rPr>
        <w:t xml:space="preserve"> </w:t>
      </w:r>
      <w:r w:rsidR="00EB649B" w:rsidRPr="009F0025">
        <w:rPr>
          <w:color w:val="000000" w:themeColor="text1"/>
          <w:szCs w:val="22"/>
        </w:rPr>
        <w:t>Tav</w:t>
      </w:r>
      <w:r w:rsidR="0072396D" w:rsidRPr="009F0025">
        <w:rPr>
          <w:color w:val="000000" w:themeColor="text1"/>
          <w:szCs w:val="22"/>
        </w:rPr>
        <w:t>a</w:t>
      </w:r>
      <w:r w:rsidR="00EB649B" w:rsidRPr="009F0025">
        <w:rPr>
          <w:color w:val="000000" w:themeColor="text1"/>
          <w:szCs w:val="22"/>
        </w:rPr>
        <w:t>ramerkkiasioiden</w:t>
      </w:r>
      <w:r w:rsidR="00801CB0" w:rsidRPr="009F0025">
        <w:rPr>
          <w:color w:val="000000" w:themeColor="text1"/>
          <w:szCs w:val="22"/>
        </w:rPr>
        <w:t xml:space="preserve"> tuotot olivat 4 145 925</w:t>
      </w:r>
      <w:r w:rsidR="001B6E5A" w:rsidRPr="009F0025">
        <w:rPr>
          <w:color w:val="000000" w:themeColor="text1"/>
          <w:szCs w:val="22"/>
        </w:rPr>
        <w:t xml:space="preserve"> euroa vuonna </w:t>
      </w:r>
      <w:r w:rsidR="00801CB0" w:rsidRPr="009F0025">
        <w:rPr>
          <w:color w:val="000000" w:themeColor="text1"/>
          <w:szCs w:val="22"/>
        </w:rPr>
        <w:t>2016</w:t>
      </w:r>
      <w:r w:rsidR="00052BE4" w:rsidRPr="009F0025">
        <w:rPr>
          <w:color w:val="000000" w:themeColor="text1"/>
          <w:szCs w:val="22"/>
        </w:rPr>
        <w:t>, kokonaiskustannukset</w:t>
      </w:r>
      <w:r w:rsidR="00801CB0" w:rsidRPr="009F0025">
        <w:rPr>
          <w:color w:val="000000" w:themeColor="text1"/>
          <w:szCs w:val="22"/>
        </w:rPr>
        <w:t xml:space="preserve"> 3 421 611</w:t>
      </w:r>
      <w:r w:rsidR="001B6E5A" w:rsidRPr="009F0025">
        <w:rPr>
          <w:color w:val="000000" w:themeColor="text1"/>
          <w:szCs w:val="22"/>
        </w:rPr>
        <w:t xml:space="preserve"> euroa ja kustan</w:t>
      </w:r>
      <w:r w:rsidR="00801CB0" w:rsidRPr="009F0025">
        <w:rPr>
          <w:color w:val="000000" w:themeColor="text1"/>
          <w:szCs w:val="22"/>
        </w:rPr>
        <w:t>nusvastaavuus 121</w:t>
      </w:r>
      <w:r w:rsidR="001B6E5A" w:rsidRPr="009F0025">
        <w:rPr>
          <w:color w:val="000000" w:themeColor="text1"/>
          <w:szCs w:val="22"/>
        </w:rPr>
        <w:t xml:space="preserve"> %. </w:t>
      </w:r>
      <w:r w:rsidR="00BD184A" w:rsidRPr="009F0025">
        <w:rPr>
          <w:color w:val="000000" w:themeColor="text1"/>
          <w:szCs w:val="22"/>
        </w:rPr>
        <w:t xml:space="preserve">Kustannusvastaavuutta selittää EUIPO:n maksamat PRH:n suorittamaan kehitystyöhön liittyvät korvaukset, jotka olivat poikkeuksellisen suuria vuonna 2016. </w:t>
      </w:r>
      <w:r w:rsidR="001B6E5A" w:rsidRPr="009F0025">
        <w:rPr>
          <w:color w:val="000000" w:themeColor="text1"/>
          <w:szCs w:val="22"/>
        </w:rPr>
        <w:t xml:space="preserve">Vastaavasti </w:t>
      </w:r>
      <w:r w:rsidR="0072396D" w:rsidRPr="009F0025">
        <w:rPr>
          <w:color w:val="000000" w:themeColor="text1"/>
          <w:szCs w:val="22"/>
        </w:rPr>
        <w:t xml:space="preserve">mallioikeusasioiden </w:t>
      </w:r>
      <w:r w:rsidR="00801CB0" w:rsidRPr="009F0025">
        <w:rPr>
          <w:color w:val="000000" w:themeColor="text1"/>
          <w:szCs w:val="22"/>
        </w:rPr>
        <w:t>tuotot olivat 294 355 vuonna 2016, kokonaiskustannukset 348 718</w:t>
      </w:r>
      <w:r w:rsidR="001B6E5A" w:rsidRPr="009F0025">
        <w:rPr>
          <w:color w:val="000000" w:themeColor="text1"/>
          <w:szCs w:val="22"/>
        </w:rPr>
        <w:t xml:space="preserve"> e</w:t>
      </w:r>
      <w:r w:rsidR="00801CB0" w:rsidRPr="009F0025">
        <w:rPr>
          <w:color w:val="000000" w:themeColor="text1"/>
          <w:szCs w:val="22"/>
        </w:rPr>
        <w:t xml:space="preserve">uroa ja </w:t>
      </w:r>
      <w:r w:rsidR="00801CB0" w:rsidRPr="0072396D">
        <w:rPr>
          <w:color w:val="000000" w:themeColor="text1"/>
          <w:szCs w:val="22"/>
        </w:rPr>
        <w:t>kustannusvastaavuus 84,4</w:t>
      </w:r>
      <w:r w:rsidR="001B6E5A" w:rsidRPr="0072396D">
        <w:rPr>
          <w:color w:val="000000" w:themeColor="text1"/>
          <w:szCs w:val="22"/>
        </w:rPr>
        <w:t xml:space="preserve"> %. </w:t>
      </w:r>
    </w:p>
    <w:p w:rsidR="0040744D" w:rsidRPr="0072396D" w:rsidRDefault="000B1831" w:rsidP="00574592">
      <w:pPr>
        <w:pStyle w:val="LLNormaali"/>
        <w:ind w:firstLine="170"/>
        <w:jc w:val="both"/>
        <w:rPr>
          <w:color w:val="000000" w:themeColor="text1"/>
          <w:szCs w:val="22"/>
        </w:rPr>
      </w:pPr>
      <w:r w:rsidRPr="0072396D">
        <w:rPr>
          <w:color w:val="000000" w:themeColor="text1"/>
          <w:szCs w:val="22"/>
        </w:rPr>
        <w:t xml:space="preserve">  </w:t>
      </w:r>
    </w:p>
    <w:p w:rsidR="0040744D" w:rsidRPr="006021F7" w:rsidRDefault="0040744D" w:rsidP="00574592">
      <w:pPr>
        <w:pStyle w:val="LLNormaali"/>
        <w:ind w:firstLine="170"/>
        <w:jc w:val="both"/>
        <w:rPr>
          <w:szCs w:val="22"/>
        </w:rPr>
      </w:pPr>
    </w:p>
    <w:p w:rsidR="001B6E5A" w:rsidRPr="006021F7" w:rsidRDefault="001B6E5A" w:rsidP="00574592">
      <w:pPr>
        <w:pStyle w:val="LLNormaali"/>
        <w:ind w:firstLine="1304"/>
        <w:jc w:val="both"/>
        <w:rPr>
          <w:i/>
          <w:color w:val="000000"/>
          <w:szCs w:val="22"/>
        </w:rPr>
      </w:pPr>
      <w:r w:rsidRPr="006021F7">
        <w:rPr>
          <w:i/>
          <w:color w:val="000000"/>
          <w:szCs w:val="22"/>
        </w:rPr>
        <w:t>Kaupparekisteriasiat</w:t>
      </w:r>
      <w:r w:rsidR="00E91129">
        <w:rPr>
          <w:i/>
          <w:color w:val="000000"/>
          <w:szCs w:val="22"/>
        </w:rPr>
        <w:t xml:space="preserve"> </w:t>
      </w:r>
    </w:p>
    <w:p w:rsidR="001B6E5A" w:rsidRPr="009F0025" w:rsidRDefault="001B6E5A" w:rsidP="00574592">
      <w:pPr>
        <w:pStyle w:val="LLNormaali"/>
        <w:ind w:firstLine="170"/>
        <w:jc w:val="both"/>
        <w:rPr>
          <w:color w:val="000000" w:themeColor="text1"/>
          <w:szCs w:val="22"/>
        </w:rPr>
      </w:pPr>
    </w:p>
    <w:p w:rsidR="001B6E5A" w:rsidRPr="0040797A" w:rsidRDefault="001B6E5A" w:rsidP="00574592">
      <w:pPr>
        <w:spacing w:after="0" w:line="220" w:lineRule="exact"/>
        <w:ind w:left="1304"/>
        <w:jc w:val="both"/>
        <w:rPr>
          <w:rFonts w:ascii="Times New Roman" w:hAnsi="Times New Roman"/>
        </w:rPr>
      </w:pPr>
      <w:r w:rsidRPr="009F0025">
        <w:rPr>
          <w:rFonts w:ascii="Times New Roman" w:hAnsi="Times New Roman"/>
          <w:color w:val="000000" w:themeColor="text1"/>
        </w:rPr>
        <w:t xml:space="preserve">PRH ylläpitää kaupparekisteriä ja käsittelee tilinpäätösasiat. Kaupparekisterissä on noin </w:t>
      </w:r>
      <w:r w:rsidR="0072396D" w:rsidRPr="009F0025">
        <w:rPr>
          <w:rFonts w:ascii="Times New Roman" w:hAnsi="Times New Roman"/>
          <w:color w:val="000000" w:themeColor="text1"/>
        </w:rPr>
        <w:t>606</w:t>
      </w:r>
      <w:r w:rsidR="006D2630">
        <w:rPr>
          <w:rFonts w:ascii="Times New Roman" w:hAnsi="Times New Roman"/>
          <w:color w:val="000000" w:themeColor="text1"/>
        </w:rPr>
        <w:t xml:space="preserve"> </w:t>
      </w:r>
      <w:r w:rsidR="0072396D" w:rsidRPr="009F0025">
        <w:rPr>
          <w:rFonts w:ascii="Times New Roman" w:hAnsi="Times New Roman"/>
          <w:color w:val="000000" w:themeColor="text1"/>
        </w:rPr>
        <w:t>000</w:t>
      </w:r>
      <w:r w:rsidR="00B32830" w:rsidRPr="009F0025">
        <w:rPr>
          <w:rFonts w:ascii="Times New Roman" w:hAnsi="Times New Roman"/>
          <w:color w:val="000000" w:themeColor="text1"/>
        </w:rPr>
        <w:t xml:space="preserve"> </w:t>
      </w:r>
      <w:r w:rsidRPr="009F0025">
        <w:rPr>
          <w:rFonts w:ascii="Times New Roman" w:hAnsi="Times New Roman"/>
          <w:color w:val="000000" w:themeColor="text1"/>
        </w:rPr>
        <w:t>yritystä ja yhteisöä</w:t>
      </w:r>
      <w:r w:rsidR="0072396D" w:rsidRPr="009F0025">
        <w:rPr>
          <w:rFonts w:ascii="Times New Roman" w:hAnsi="Times New Roman"/>
          <w:color w:val="000000" w:themeColor="text1"/>
        </w:rPr>
        <w:t>, joista osakeyhtiöitä 272</w:t>
      </w:r>
      <w:r w:rsidR="006D2630">
        <w:rPr>
          <w:rFonts w:ascii="Times New Roman" w:hAnsi="Times New Roman"/>
          <w:color w:val="000000" w:themeColor="text1"/>
        </w:rPr>
        <w:t xml:space="preserve"> </w:t>
      </w:r>
      <w:r w:rsidR="00691477" w:rsidRPr="009F0025">
        <w:rPr>
          <w:rFonts w:ascii="Times New Roman" w:hAnsi="Times New Roman"/>
          <w:color w:val="000000" w:themeColor="text1"/>
        </w:rPr>
        <w:t>000, yk</w:t>
      </w:r>
      <w:r w:rsidR="0072396D" w:rsidRPr="009F0025">
        <w:rPr>
          <w:rFonts w:ascii="Times New Roman" w:hAnsi="Times New Roman"/>
          <w:color w:val="000000" w:themeColor="text1"/>
        </w:rPr>
        <w:t>sityisiä elinkeinonharjoittajia 201 000, asunto-osakeyhtiöitä 88</w:t>
      </w:r>
      <w:r w:rsidR="006D2630">
        <w:rPr>
          <w:rFonts w:ascii="Times New Roman" w:hAnsi="Times New Roman"/>
          <w:color w:val="000000" w:themeColor="text1"/>
        </w:rPr>
        <w:t xml:space="preserve"> </w:t>
      </w:r>
      <w:r w:rsidR="0072396D" w:rsidRPr="009F0025">
        <w:rPr>
          <w:rFonts w:ascii="Times New Roman" w:hAnsi="Times New Roman"/>
          <w:color w:val="000000" w:themeColor="text1"/>
        </w:rPr>
        <w:t>000</w:t>
      </w:r>
      <w:r w:rsidRPr="009F0025">
        <w:rPr>
          <w:rFonts w:ascii="Times New Roman" w:hAnsi="Times New Roman"/>
          <w:color w:val="000000" w:themeColor="text1"/>
        </w:rPr>
        <w:t>. Kaupparekisteri-ilmoi</w:t>
      </w:r>
      <w:r w:rsidR="0072396D" w:rsidRPr="009F0025">
        <w:rPr>
          <w:rFonts w:ascii="Times New Roman" w:hAnsi="Times New Roman"/>
          <w:color w:val="000000" w:themeColor="text1"/>
        </w:rPr>
        <w:t>tuksia jätetään vuosittain noin 170</w:t>
      </w:r>
      <w:r w:rsidR="006D2630">
        <w:rPr>
          <w:rFonts w:ascii="Times New Roman" w:hAnsi="Times New Roman"/>
          <w:color w:val="000000" w:themeColor="text1"/>
        </w:rPr>
        <w:t xml:space="preserve"> </w:t>
      </w:r>
      <w:r w:rsidR="0072396D" w:rsidRPr="009F0025">
        <w:rPr>
          <w:rFonts w:ascii="Times New Roman" w:hAnsi="Times New Roman"/>
          <w:color w:val="000000" w:themeColor="text1"/>
        </w:rPr>
        <w:t>000</w:t>
      </w:r>
      <w:r w:rsidRPr="009F0025">
        <w:rPr>
          <w:rFonts w:ascii="Times New Roman" w:hAnsi="Times New Roman"/>
          <w:color w:val="000000" w:themeColor="text1"/>
        </w:rPr>
        <w:t xml:space="preserve"> ja tilinpäätösilmoituksia noin </w:t>
      </w:r>
      <w:r w:rsidR="0072396D" w:rsidRPr="009F0025">
        <w:rPr>
          <w:rFonts w:ascii="Times New Roman" w:hAnsi="Times New Roman"/>
          <w:color w:val="000000" w:themeColor="text1"/>
        </w:rPr>
        <w:t>216</w:t>
      </w:r>
      <w:r w:rsidR="006D2630">
        <w:rPr>
          <w:rFonts w:ascii="Times New Roman" w:hAnsi="Times New Roman"/>
          <w:color w:val="000000" w:themeColor="text1"/>
        </w:rPr>
        <w:t xml:space="preserve"> </w:t>
      </w:r>
      <w:r w:rsidR="0072396D" w:rsidRPr="009F0025">
        <w:rPr>
          <w:rFonts w:ascii="Times New Roman" w:hAnsi="Times New Roman"/>
          <w:color w:val="000000" w:themeColor="text1"/>
        </w:rPr>
        <w:t>000</w:t>
      </w:r>
      <w:r w:rsidRPr="009F0025">
        <w:rPr>
          <w:rFonts w:ascii="Times New Roman" w:hAnsi="Times New Roman"/>
          <w:color w:val="000000" w:themeColor="text1"/>
        </w:rPr>
        <w:t xml:space="preserve">. </w:t>
      </w:r>
      <w:r w:rsidR="00251603" w:rsidRPr="009F0025">
        <w:rPr>
          <w:rFonts w:ascii="Times New Roman" w:hAnsi="Times New Roman"/>
          <w:color w:val="000000" w:themeColor="text1"/>
        </w:rPr>
        <w:t xml:space="preserve">Lisäksi PRH käsittelee yrityskiinnitysasiat ja yritys- ja yhteisötunnusrekisteriä koskevat asiat. </w:t>
      </w:r>
      <w:r w:rsidR="00691477" w:rsidRPr="009F0025">
        <w:rPr>
          <w:rFonts w:ascii="Times New Roman" w:hAnsi="Times New Roman"/>
          <w:color w:val="000000" w:themeColor="text1"/>
        </w:rPr>
        <w:t xml:space="preserve">Ilmoitusten ja hakemusten käsittelystä ja rekisterin ylläpidosta aiheutuvia kustannuksia katetaan </w:t>
      </w:r>
      <w:r w:rsidR="0041682D" w:rsidRPr="009F0025">
        <w:rPr>
          <w:rFonts w:ascii="Times New Roman" w:hAnsi="Times New Roman"/>
          <w:color w:val="000000" w:themeColor="text1"/>
        </w:rPr>
        <w:t xml:space="preserve">ilmoitusten </w:t>
      </w:r>
      <w:r w:rsidR="00691477" w:rsidRPr="009F0025">
        <w:rPr>
          <w:rFonts w:ascii="Times New Roman" w:hAnsi="Times New Roman"/>
          <w:color w:val="000000" w:themeColor="text1"/>
        </w:rPr>
        <w:t xml:space="preserve">käsittelymaksuilla. </w:t>
      </w:r>
      <w:r w:rsidR="007D4B07" w:rsidRPr="009F0025">
        <w:rPr>
          <w:rFonts w:ascii="Times New Roman" w:hAnsi="Times New Roman"/>
          <w:color w:val="000000" w:themeColor="text1"/>
        </w:rPr>
        <w:t>PRH:lle on kuulunut vuoden 2016 alusta myös te</w:t>
      </w:r>
      <w:r w:rsidR="00751A36" w:rsidRPr="009F0025">
        <w:rPr>
          <w:rFonts w:ascii="Times New Roman" w:hAnsi="Times New Roman"/>
          <w:color w:val="000000" w:themeColor="text1"/>
        </w:rPr>
        <w:t xml:space="preserve">kijänoikeuksien yhteishallinnoinnin </w:t>
      </w:r>
      <w:r w:rsidR="007D4B07" w:rsidRPr="009F0025">
        <w:rPr>
          <w:rFonts w:ascii="Times New Roman" w:hAnsi="Times New Roman"/>
          <w:color w:val="000000" w:themeColor="text1"/>
        </w:rPr>
        <w:t>valvonta</w:t>
      </w:r>
      <w:r w:rsidR="00636BED" w:rsidRPr="009F0025">
        <w:rPr>
          <w:rFonts w:ascii="Times New Roman" w:hAnsi="Times New Roman"/>
          <w:color w:val="000000" w:themeColor="text1"/>
        </w:rPr>
        <w:t xml:space="preserve">. </w:t>
      </w:r>
      <w:r w:rsidR="00691477" w:rsidRPr="009F0025">
        <w:rPr>
          <w:rFonts w:ascii="Times New Roman" w:hAnsi="Times New Roman"/>
          <w:color w:val="000000" w:themeColor="text1"/>
        </w:rPr>
        <w:t>Kaupparekisteri</w:t>
      </w:r>
      <w:r w:rsidR="00A205E1" w:rsidRPr="009F0025">
        <w:rPr>
          <w:rFonts w:ascii="Times New Roman" w:hAnsi="Times New Roman"/>
          <w:color w:val="000000" w:themeColor="text1"/>
        </w:rPr>
        <w:t>asioissa</w:t>
      </w:r>
      <w:r w:rsidR="00691477" w:rsidRPr="009F0025">
        <w:rPr>
          <w:rFonts w:ascii="Times New Roman" w:hAnsi="Times New Roman"/>
          <w:color w:val="000000" w:themeColor="text1"/>
        </w:rPr>
        <w:t xml:space="preserve"> käytettiin vuonna </w:t>
      </w:r>
      <w:r w:rsidR="00B32830" w:rsidRPr="009F0025">
        <w:rPr>
          <w:rFonts w:ascii="Times New Roman" w:hAnsi="Times New Roman"/>
          <w:color w:val="000000" w:themeColor="text1"/>
        </w:rPr>
        <w:t xml:space="preserve">2016 </w:t>
      </w:r>
      <w:r w:rsidR="00691477" w:rsidRPr="009F0025">
        <w:rPr>
          <w:rFonts w:ascii="Times New Roman" w:hAnsi="Times New Roman"/>
          <w:color w:val="000000" w:themeColor="text1"/>
        </w:rPr>
        <w:t xml:space="preserve">yhteensä </w:t>
      </w:r>
      <w:r w:rsidR="00B32830" w:rsidRPr="009F0025">
        <w:rPr>
          <w:rFonts w:ascii="Times New Roman" w:hAnsi="Times New Roman"/>
          <w:color w:val="000000" w:themeColor="text1"/>
        </w:rPr>
        <w:t xml:space="preserve">98 </w:t>
      </w:r>
      <w:r w:rsidR="00A205E1" w:rsidRPr="009F0025">
        <w:rPr>
          <w:rFonts w:ascii="Times New Roman" w:hAnsi="Times New Roman"/>
          <w:color w:val="000000" w:themeColor="text1"/>
        </w:rPr>
        <w:t xml:space="preserve">ja yrityskiinnitysasioissa </w:t>
      </w:r>
      <w:r w:rsidR="00C35479" w:rsidRPr="009F0025">
        <w:rPr>
          <w:rFonts w:ascii="Times New Roman" w:hAnsi="Times New Roman"/>
          <w:color w:val="000000" w:themeColor="text1"/>
        </w:rPr>
        <w:t>3</w:t>
      </w:r>
      <w:r w:rsidR="00A205E1" w:rsidRPr="009F0025">
        <w:rPr>
          <w:rFonts w:ascii="Times New Roman" w:hAnsi="Times New Roman"/>
          <w:color w:val="000000" w:themeColor="text1"/>
        </w:rPr>
        <w:t xml:space="preserve"> henkilötyövuotta</w:t>
      </w:r>
      <w:r w:rsidR="00691477" w:rsidRPr="009F0025">
        <w:rPr>
          <w:rFonts w:ascii="Times New Roman" w:hAnsi="Times New Roman"/>
          <w:color w:val="000000" w:themeColor="text1"/>
        </w:rPr>
        <w:t>. Kaupparek</w:t>
      </w:r>
      <w:r w:rsidR="00AD4CBE" w:rsidRPr="009F0025">
        <w:rPr>
          <w:rFonts w:ascii="Times New Roman" w:hAnsi="Times New Roman"/>
          <w:color w:val="000000" w:themeColor="text1"/>
        </w:rPr>
        <w:t>isterin tuotot olivat 26 470 618 euroa vuonna 2016</w:t>
      </w:r>
      <w:r w:rsidR="00691477" w:rsidRPr="009F0025">
        <w:rPr>
          <w:rFonts w:ascii="Times New Roman" w:hAnsi="Times New Roman"/>
          <w:color w:val="000000" w:themeColor="text1"/>
        </w:rPr>
        <w:t xml:space="preserve">, </w:t>
      </w:r>
      <w:r w:rsidR="00AD4CBE" w:rsidRPr="00B32830">
        <w:rPr>
          <w:rFonts w:ascii="Times New Roman" w:hAnsi="Times New Roman"/>
          <w:color w:val="000000" w:themeColor="text1"/>
        </w:rPr>
        <w:t>kokonaiskustannukset 24 172 061</w:t>
      </w:r>
      <w:r w:rsidR="00691477" w:rsidRPr="00B32830">
        <w:rPr>
          <w:rFonts w:ascii="Times New Roman" w:hAnsi="Times New Roman"/>
          <w:color w:val="000000" w:themeColor="text1"/>
        </w:rPr>
        <w:t xml:space="preserve"> e</w:t>
      </w:r>
      <w:r w:rsidR="00AD4CBE" w:rsidRPr="00B32830">
        <w:rPr>
          <w:rFonts w:ascii="Times New Roman" w:hAnsi="Times New Roman"/>
          <w:color w:val="000000" w:themeColor="text1"/>
        </w:rPr>
        <w:t>uroa ja kustannusvastaavuus 110</w:t>
      </w:r>
      <w:r w:rsidR="00691477" w:rsidRPr="00B32830">
        <w:rPr>
          <w:rFonts w:ascii="Times New Roman" w:hAnsi="Times New Roman"/>
          <w:color w:val="000000" w:themeColor="text1"/>
        </w:rPr>
        <w:t xml:space="preserve"> prosenttia.</w:t>
      </w:r>
      <w:r w:rsidR="00A205E1" w:rsidRPr="00B32830">
        <w:rPr>
          <w:rFonts w:ascii="Times New Roman" w:hAnsi="Times New Roman"/>
          <w:color w:val="000000" w:themeColor="text1"/>
        </w:rPr>
        <w:t xml:space="preserve"> Yrityskiinnitysa</w:t>
      </w:r>
      <w:r w:rsidR="00AD4CBE" w:rsidRPr="00B32830">
        <w:rPr>
          <w:rFonts w:ascii="Times New Roman" w:hAnsi="Times New Roman"/>
          <w:color w:val="000000" w:themeColor="text1"/>
        </w:rPr>
        <w:t>sioiden tuotot olivat 672 855</w:t>
      </w:r>
      <w:r w:rsidR="00A205E1" w:rsidRPr="00B32830">
        <w:rPr>
          <w:rFonts w:ascii="Times New Roman" w:hAnsi="Times New Roman"/>
          <w:color w:val="000000" w:themeColor="text1"/>
        </w:rPr>
        <w:t xml:space="preserve"> eur</w:t>
      </w:r>
      <w:r w:rsidR="00AD4CBE" w:rsidRPr="00B32830">
        <w:rPr>
          <w:rFonts w:ascii="Times New Roman" w:hAnsi="Times New Roman"/>
          <w:color w:val="000000" w:themeColor="text1"/>
        </w:rPr>
        <w:t>oa, kokonaiskustannukset 548 284</w:t>
      </w:r>
      <w:r w:rsidR="00A205E1" w:rsidRPr="00B32830">
        <w:rPr>
          <w:rFonts w:ascii="Times New Roman" w:hAnsi="Times New Roman"/>
          <w:color w:val="000000" w:themeColor="text1"/>
        </w:rPr>
        <w:t xml:space="preserve"> eu</w:t>
      </w:r>
      <w:r w:rsidR="00AD4CBE" w:rsidRPr="00B32830">
        <w:rPr>
          <w:rFonts w:ascii="Times New Roman" w:hAnsi="Times New Roman"/>
          <w:color w:val="000000" w:themeColor="text1"/>
        </w:rPr>
        <w:t>roa ja kustannusvastaavuus 110</w:t>
      </w:r>
      <w:r w:rsidR="00A205E1" w:rsidRPr="00B32830">
        <w:rPr>
          <w:rFonts w:ascii="Times New Roman" w:hAnsi="Times New Roman"/>
          <w:color w:val="000000" w:themeColor="text1"/>
        </w:rPr>
        <w:t xml:space="preserve"> </w:t>
      </w:r>
      <w:r w:rsidR="00D63525">
        <w:rPr>
          <w:rFonts w:ascii="Times New Roman" w:hAnsi="Times New Roman"/>
          <w:color w:val="000000" w:themeColor="text1"/>
        </w:rPr>
        <w:t>%</w:t>
      </w:r>
      <w:r w:rsidR="00A205E1" w:rsidRPr="00AD4CBE">
        <w:rPr>
          <w:rFonts w:ascii="Times New Roman" w:hAnsi="Times New Roman"/>
          <w:color w:val="00B050"/>
        </w:rPr>
        <w:t>.</w:t>
      </w:r>
      <w:r w:rsidR="00AD4CBE">
        <w:rPr>
          <w:rFonts w:ascii="Times New Roman" w:hAnsi="Times New Roman"/>
          <w:color w:val="00B050"/>
        </w:rPr>
        <w:t xml:space="preserve"> </w:t>
      </w:r>
      <w:r w:rsidR="00AD4CBE" w:rsidRPr="0040797A">
        <w:rPr>
          <w:rFonts w:ascii="Times New Roman" w:hAnsi="Times New Roman"/>
        </w:rPr>
        <w:t>Normaalia parempi kustannusvastaavuus johtui investointien väliaika</w:t>
      </w:r>
      <w:r w:rsidR="00925697" w:rsidRPr="0040797A">
        <w:rPr>
          <w:rFonts w:ascii="Times New Roman" w:hAnsi="Times New Roman"/>
        </w:rPr>
        <w:t>i</w:t>
      </w:r>
      <w:r w:rsidR="00AD4CBE" w:rsidRPr="0040797A">
        <w:rPr>
          <w:rFonts w:ascii="Times New Roman" w:hAnsi="Times New Roman"/>
        </w:rPr>
        <w:t>sesta laskemisesta.</w:t>
      </w:r>
    </w:p>
    <w:p w:rsidR="00251603" w:rsidRPr="006021F7" w:rsidRDefault="00251603" w:rsidP="00574592">
      <w:pPr>
        <w:spacing w:after="0" w:line="220" w:lineRule="exact"/>
        <w:ind w:firstLine="170"/>
        <w:jc w:val="both"/>
        <w:rPr>
          <w:rFonts w:ascii="Times New Roman" w:hAnsi="Times New Roman"/>
        </w:rPr>
      </w:pPr>
    </w:p>
    <w:p w:rsidR="001B6E5A" w:rsidRPr="006021F7" w:rsidRDefault="001B6E5A" w:rsidP="00574592">
      <w:pPr>
        <w:spacing w:after="0" w:line="220" w:lineRule="exact"/>
        <w:ind w:firstLine="170"/>
        <w:jc w:val="both"/>
        <w:rPr>
          <w:rFonts w:ascii="Times New Roman" w:hAnsi="Times New Roman"/>
          <w:i/>
        </w:rPr>
      </w:pPr>
    </w:p>
    <w:p w:rsidR="00263960" w:rsidRPr="00BF1F63" w:rsidRDefault="00263960" w:rsidP="00574592">
      <w:pPr>
        <w:spacing w:after="0" w:line="220" w:lineRule="exact"/>
        <w:ind w:firstLine="1304"/>
        <w:jc w:val="both"/>
        <w:rPr>
          <w:rFonts w:ascii="Times New Roman" w:hAnsi="Times New Roman"/>
          <w:i/>
          <w:color w:val="7030A0"/>
        </w:rPr>
      </w:pPr>
      <w:r w:rsidRPr="006021F7">
        <w:rPr>
          <w:rFonts w:ascii="Times New Roman" w:hAnsi="Times New Roman"/>
          <w:i/>
        </w:rPr>
        <w:t>Säätiöasiat</w:t>
      </w:r>
      <w:r w:rsidR="00E91129">
        <w:rPr>
          <w:rFonts w:ascii="Times New Roman" w:hAnsi="Times New Roman"/>
          <w:i/>
        </w:rPr>
        <w:t xml:space="preserve"> </w:t>
      </w:r>
    </w:p>
    <w:p w:rsidR="00052BE4" w:rsidRPr="006021F7" w:rsidRDefault="00052BE4" w:rsidP="00574592">
      <w:pPr>
        <w:spacing w:after="0" w:line="220" w:lineRule="exact"/>
        <w:ind w:firstLine="170"/>
        <w:jc w:val="both"/>
        <w:rPr>
          <w:rFonts w:ascii="Times New Roman" w:hAnsi="Times New Roman"/>
          <w:i/>
        </w:rPr>
      </w:pPr>
    </w:p>
    <w:p w:rsidR="00263960" w:rsidRPr="00424283" w:rsidRDefault="00263960" w:rsidP="00424283">
      <w:pPr>
        <w:spacing w:after="0" w:line="220" w:lineRule="exact"/>
        <w:ind w:left="1304"/>
        <w:jc w:val="both"/>
        <w:rPr>
          <w:rFonts w:ascii="Times New Roman" w:hAnsi="Times New Roman"/>
          <w:color w:val="000000" w:themeColor="text1"/>
        </w:rPr>
      </w:pPr>
      <w:r w:rsidRPr="009F0025">
        <w:rPr>
          <w:rFonts w:ascii="Times New Roman" w:hAnsi="Times New Roman"/>
          <w:color w:val="000000" w:themeColor="text1"/>
        </w:rPr>
        <w:t xml:space="preserve">PRH käsittelee säätiörekisteriasiat sekä suorittaa säätiöiden valvontaa. </w:t>
      </w:r>
      <w:r w:rsidR="00A205E1" w:rsidRPr="009F0025">
        <w:rPr>
          <w:rFonts w:ascii="Times New Roman" w:hAnsi="Times New Roman"/>
          <w:color w:val="000000" w:themeColor="text1"/>
        </w:rPr>
        <w:t>Säätiörekisterissä käytettii</w:t>
      </w:r>
      <w:r w:rsidR="00B32830" w:rsidRPr="009F0025">
        <w:rPr>
          <w:rFonts w:ascii="Times New Roman" w:hAnsi="Times New Roman"/>
          <w:color w:val="000000" w:themeColor="text1"/>
        </w:rPr>
        <w:t xml:space="preserve">n 11 </w:t>
      </w:r>
      <w:r w:rsidR="00003B8C" w:rsidRPr="009F0025">
        <w:rPr>
          <w:rFonts w:ascii="Times New Roman" w:hAnsi="Times New Roman"/>
          <w:color w:val="000000" w:themeColor="text1"/>
        </w:rPr>
        <w:t>henkilötyövuotta vuonna 2016</w:t>
      </w:r>
      <w:r w:rsidR="00A205E1" w:rsidRPr="009F0025">
        <w:rPr>
          <w:rFonts w:ascii="Times New Roman" w:hAnsi="Times New Roman"/>
          <w:color w:val="000000" w:themeColor="text1"/>
        </w:rPr>
        <w:t xml:space="preserve">. </w:t>
      </w:r>
      <w:r w:rsidRPr="009F0025">
        <w:rPr>
          <w:rFonts w:ascii="Times New Roman" w:hAnsi="Times New Roman"/>
          <w:color w:val="000000" w:themeColor="text1"/>
        </w:rPr>
        <w:t>Säätiörekisterin menoista valtaosa katetaan veroluonteisella säätiön valvontamaksulla, josta säädetään säätiön valvontamaksusta annetussa laissa (</w:t>
      </w:r>
      <w:r w:rsidR="00123A00" w:rsidRPr="009F0025">
        <w:rPr>
          <w:rFonts w:ascii="Times New Roman" w:hAnsi="Times New Roman"/>
          <w:color w:val="000000" w:themeColor="text1"/>
        </w:rPr>
        <w:t>1048/2012</w:t>
      </w:r>
      <w:r w:rsidRPr="009F0025">
        <w:rPr>
          <w:rFonts w:ascii="Times New Roman" w:hAnsi="Times New Roman"/>
          <w:color w:val="000000" w:themeColor="text1"/>
        </w:rPr>
        <w:t xml:space="preserve">). </w:t>
      </w:r>
      <w:r w:rsidR="00251603" w:rsidRPr="009F0025">
        <w:rPr>
          <w:rFonts w:ascii="Times New Roman" w:hAnsi="Times New Roman"/>
          <w:color w:val="000000" w:themeColor="text1"/>
        </w:rPr>
        <w:t xml:space="preserve">Sen lisäksi säätiörekisterin pidosta peritään </w:t>
      </w:r>
      <w:r w:rsidR="004D0AC8" w:rsidRPr="009F0025">
        <w:rPr>
          <w:rFonts w:ascii="Times New Roman" w:hAnsi="Times New Roman"/>
          <w:color w:val="000000" w:themeColor="text1"/>
        </w:rPr>
        <w:t xml:space="preserve">suoriteperusteisia </w:t>
      </w:r>
      <w:r w:rsidR="00251603" w:rsidRPr="009F0025">
        <w:rPr>
          <w:rFonts w:ascii="Times New Roman" w:hAnsi="Times New Roman"/>
          <w:color w:val="000000" w:themeColor="text1"/>
        </w:rPr>
        <w:t>käsittelymaksuja, joilla säätiörekisterin toiminta katetaan muilta osin. Säätiörekisterin kokon</w:t>
      </w:r>
      <w:r w:rsidR="00003B8C" w:rsidRPr="009F0025">
        <w:rPr>
          <w:rFonts w:ascii="Times New Roman" w:hAnsi="Times New Roman"/>
          <w:color w:val="000000" w:themeColor="text1"/>
        </w:rPr>
        <w:t>aiskustannukset olivat 1 318 606</w:t>
      </w:r>
      <w:r w:rsidR="00251603" w:rsidRPr="009F0025">
        <w:rPr>
          <w:rFonts w:ascii="Times New Roman" w:hAnsi="Times New Roman"/>
          <w:color w:val="000000" w:themeColor="text1"/>
        </w:rPr>
        <w:t xml:space="preserve"> euroa ja maksu</w:t>
      </w:r>
      <w:r w:rsidR="00003B8C" w:rsidRPr="009F0025">
        <w:rPr>
          <w:rFonts w:ascii="Times New Roman" w:hAnsi="Times New Roman"/>
          <w:color w:val="000000" w:themeColor="text1"/>
        </w:rPr>
        <w:t>asetuksen mukaiset tulot 534 033</w:t>
      </w:r>
      <w:r w:rsidR="00251603" w:rsidRPr="009F0025">
        <w:rPr>
          <w:rFonts w:ascii="Times New Roman" w:hAnsi="Times New Roman"/>
          <w:color w:val="000000" w:themeColor="text1"/>
        </w:rPr>
        <w:t xml:space="preserve"> </w:t>
      </w:r>
      <w:r w:rsidR="00251603" w:rsidRPr="009F0025">
        <w:rPr>
          <w:rFonts w:ascii="Times New Roman" w:hAnsi="Times New Roman"/>
          <w:color w:val="000000" w:themeColor="text1"/>
        </w:rPr>
        <w:lastRenderedPageBreak/>
        <w:t xml:space="preserve">euroa. </w:t>
      </w:r>
      <w:r w:rsidR="005666EB" w:rsidRPr="009F0025">
        <w:rPr>
          <w:rFonts w:ascii="Times New Roman" w:hAnsi="Times New Roman"/>
          <w:color w:val="000000" w:themeColor="text1"/>
        </w:rPr>
        <w:t>Valtion talousarviossa 2016 PRH:lle osoitettiin s</w:t>
      </w:r>
      <w:r w:rsidR="00251603" w:rsidRPr="009F0025">
        <w:rPr>
          <w:rFonts w:ascii="Times New Roman" w:hAnsi="Times New Roman"/>
          <w:color w:val="000000" w:themeColor="text1"/>
        </w:rPr>
        <w:t xml:space="preserve">äätiön valvontamaksutuloja </w:t>
      </w:r>
      <w:r w:rsidR="009047A7" w:rsidRPr="009F0025">
        <w:rPr>
          <w:rFonts w:ascii="Times New Roman" w:hAnsi="Times New Roman"/>
          <w:color w:val="000000" w:themeColor="text1"/>
        </w:rPr>
        <w:t>6</w:t>
      </w:r>
      <w:r w:rsidR="00251603" w:rsidRPr="009F0025">
        <w:rPr>
          <w:rFonts w:ascii="Times New Roman" w:hAnsi="Times New Roman"/>
          <w:color w:val="000000" w:themeColor="text1"/>
        </w:rPr>
        <w:t>50 000 euroa.</w:t>
      </w:r>
      <w:r w:rsidR="00003B8C" w:rsidRPr="009F0025">
        <w:rPr>
          <w:rFonts w:ascii="Times New Roman" w:hAnsi="Times New Roman"/>
          <w:color w:val="000000" w:themeColor="text1"/>
        </w:rPr>
        <w:t xml:space="preserve"> Budjettirahoituksen jälkeen kustannusvastaavuus oli 89,9</w:t>
      </w:r>
      <w:r w:rsidR="00C35479" w:rsidRPr="009F0025">
        <w:rPr>
          <w:rFonts w:ascii="Times New Roman" w:hAnsi="Times New Roman"/>
          <w:color w:val="000000" w:themeColor="text1"/>
        </w:rPr>
        <w:t xml:space="preserve"> </w:t>
      </w:r>
      <w:r w:rsidR="00003B8C" w:rsidRPr="009F0025">
        <w:rPr>
          <w:rFonts w:ascii="Times New Roman" w:hAnsi="Times New Roman"/>
          <w:color w:val="000000" w:themeColor="text1"/>
        </w:rPr>
        <w:t>%</w:t>
      </w:r>
      <w:r w:rsidR="00EF4759">
        <w:rPr>
          <w:rFonts w:ascii="Times New Roman" w:hAnsi="Times New Roman"/>
          <w:color w:val="000000" w:themeColor="text1"/>
        </w:rPr>
        <w:t>.</w:t>
      </w:r>
    </w:p>
    <w:p w:rsidR="00263960" w:rsidRPr="006021F7" w:rsidRDefault="00263960" w:rsidP="00574592">
      <w:pPr>
        <w:spacing w:after="0" w:line="220" w:lineRule="exact"/>
        <w:ind w:firstLine="170"/>
        <w:jc w:val="both"/>
        <w:rPr>
          <w:rFonts w:ascii="Times New Roman" w:hAnsi="Times New Roman"/>
          <w:i/>
        </w:rPr>
      </w:pPr>
    </w:p>
    <w:p w:rsidR="00251603" w:rsidRPr="006021F7" w:rsidRDefault="00251603" w:rsidP="00574592">
      <w:pPr>
        <w:spacing w:after="0" w:line="220" w:lineRule="exact"/>
        <w:ind w:firstLine="170"/>
        <w:jc w:val="both"/>
        <w:rPr>
          <w:rFonts w:ascii="Times New Roman" w:hAnsi="Times New Roman"/>
          <w:i/>
        </w:rPr>
      </w:pPr>
    </w:p>
    <w:p w:rsidR="00251603" w:rsidRPr="006021F7" w:rsidRDefault="00251603" w:rsidP="00574592">
      <w:pPr>
        <w:spacing w:after="0" w:line="220" w:lineRule="exact"/>
        <w:ind w:firstLine="1304"/>
        <w:jc w:val="both"/>
        <w:rPr>
          <w:rFonts w:ascii="Times New Roman" w:hAnsi="Times New Roman"/>
          <w:i/>
        </w:rPr>
      </w:pPr>
      <w:r w:rsidRPr="006021F7">
        <w:rPr>
          <w:rFonts w:ascii="Times New Roman" w:hAnsi="Times New Roman"/>
          <w:i/>
        </w:rPr>
        <w:t>Yhdistysrekisteriasiat</w:t>
      </w:r>
    </w:p>
    <w:p w:rsidR="00052BE4" w:rsidRPr="006021F7" w:rsidRDefault="00052BE4" w:rsidP="00574592">
      <w:pPr>
        <w:spacing w:after="0" w:line="220" w:lineRule="exact"/>
        <w:ind w:firstLine="170"/>
        <w:jc w:val="both"/>
        <w:rPr>
          <w:rFonts w:ascii="Times New Roman" w:hAnsi="Times New Roman"/>
          <w:i/>
        </w:rPr>
      </w:pPr>
    </w:p>
    <w:p w:rsidR="00052BE4" w:rsidRPr="009F0025" w:rsidRDefault="00251603" w:rsidP="006021F7">
      <w:pPr>
        <w:spacing w:after="0" w:line="220" w:lineRule="exact"/>
        <w:ind w:left="1304"/>
        <w:jc w:val="both"/>
        <w:rPr>
          <w:rFonts w:ascii="Times New Roman" w:hAnsi="Times New Roman"/>
          <w:color w:val="000000" w:themeColor="text1"/>
        </w:rPr>
      </w:pPr>
      <w:r w:rsidRPr="001A27F9">
        <w:rPr>
          <w:rFonts w:ascii="Times New Roman" w:hAnsi="Times New Roman"/>
          <w:color w:val="000000" w:themeColor="text1"/>
        </w:rPr>
        <w:t>PRH pitää yhdistysrekisteriä ja käsittelee yhdistysten rekisteröintiä koskevat asiat. Yhdistysrekisterin suoritteet hinnoitellaan alle omakustannusarvoon yhteiskunnallisin perustein. Erotus katetaan valtion talousarviosta PRH:lle osoitettavalla määrärahalla</w:t>
      </w:r>
      <w:r w:rsidR="00123A00" w:rsidRPr="001A27F9">
        <w:rPr>
          <w:rFonts w:ascii="Times New Roman" w:hAnsi="Times New Roman"/>
          <w:color w:val="000000" w:themeColor="text1"/>
        </w:rPr>
        <w:t xml:space="preserve">. </w:t>
      </w:r>
      <w:r w:rsidR="00123A00" w:rsidRPr="0040797A">
        <w:rPr>
          <w:rFonts w:ascii="Times New Roman" w:hAnsi="Times New Roman"/>
          <w:color w:val="000000" w:themeColor="text1"/>
        </w:rPr>
        <w:t>Vuoden 201</w:t>
      </w:r>
      <w:r w:rsidR="0040797A" w:rsidRPr="0040797A">
        <w:rPr>
          <w:rFonts w:ascii="Times New Roman" w:hAnsi="Times New Roman"/>
          <w:color w:val="000000" w:themeColor="text1"/>
        </w:rPr>
        <w:t>7</w:t>
      </w:r>
      <w:r w:rsidR="00123A00" w:rsidRPr="009F0025">
        <w:rPr>
          <w:rFonts w:ascii="Times New Roman" w:hAnsi="Times New Roman"/>
          <w:color w:val="000000" w:themeColor="text1"/>
        </w:rPr>
        <w:t xml:space="preserve"> määrärahasta on osoitettu 1 217 000 euroa kattamaan yhdistysasioiden alijäämää</w:t>
      </w:r>
      <w:r w:rsidR="00052BE4" w:rsidRPr="009F0025">
        <w:rPr>
          <w:rFonts w:ascii="Times New Roman" w:hAnsi="Times New Roman"/>
          <w:color w:val="000000" w:themeColor="text1"/>
        </w:rPr>
        <w:t xml:space="preserve">. Rekisteröityjä yhdistyksiä on </w:t>
      </w:r>
      <w:r w:rsidR="001A27F9" w:rsidRPr="009F0025">
        <w:rPr>
          <w:rFonts w:ascii="Times New Roman" w:hAnsi="Times New Roman"/>
          <w:color w:val="000000" w:themeColor="text1"/>
        </w:rPr>
        <w:t>105</w:t>
      </w:r>
      <w:r w:rsidR="003B4FEF">
        <w:rPr>
          <w:rFonts w:ascii="Times New Roman" w:hAnsi="Times New Roman"/>
          <w:color w:val="000000" w:themeColor="text1"/>
        </w:rPr>
        <w:t xml:space="preserve"> </w:t>
      </w:r>
      <w:r w:rsidR="001A27F9" w:rsidRPr="009F0025">
        <w:rPr>
          <w:rFonts w:ascii="Times New Roman" w:hAnsi="Times New Roman"/>
          <w:color w:val="000000" w:themeColor="text1"/>
        </w:rPr>
        <w:t>000</w:t>
      </w:r>
      <w:r w:rsidR="00052BE4" w:rsidRPr="009F0025">
        <w:rPr>
          <w:rFonts w:ascii="Times New Roman" w:hAnsi="Times New Roman"/>
          <w:color w:val="000000" w:themeColor="text1"/>
        </w:rPr>
        <w:t xml:space="preserve"> ja uskonnollisia yhdyskuntia</w:t>
      </w:r>
      <w:r w:rsidR="001A27F9" w:rsidRPr="009F0025">
        <w:rPr>
          <w:rFonts w:ascii="Times New Roman" w:hAnsi="Times New Roman"/>
          <w:color w:val="000000" w:themeColor="text1"/>
        </w:rPr>
        <w:t xml:space="preserve"> 434</w:t>
      </w:r>
      <w:r w:rsidR="00E741AA">
        <w:rPr>
          <w:rFonts w:ascii="Times New Roman" w:hAnsi="Times New Roman"/>
          <w:color w:val="000000" w:themeColor="text1"/>
        </w:rPr>
        <w:t>.</w:t>
      </w:r>
      <w:r w:rsidR="00052BE4" w:rsidRPr="009F0025">
        <w:rPr>
          <w:rFonts w:ascii="Times New Roman" w:hAnsi="Times New Roman"/>
          <w:color w:val="000000" w:themeColor="text1"/>
        </w:rPr>
        <w:t xml:space="preserve"> Yhdistysrekisteriin tehdään vuosittain noin </w:t>
      </w:r>
      <w:r w:rsidR="001A27F9" w:rsidRPr="009F0025">
        <w:rPr>
          <w:rFonts w:ascii="Times New Roman" w:hAnsi="Times New Roman"/>
          <w:color w:val="000000" w:themeColor="text1"/>
        </w:rPr>
        <w:t xml:space="preserve">3000 </w:t>
      </w:r>
      <w:r w:rsidR="00052BE4" w:rsidRPr="009F0025">
        <w:rPr>
          <w:rFonts w:ascii="Times New Roman" w:hAnsi="Times New Roman"/>
          <w:color w:val="000000" w:themeColor="text1"/>
        </w:rPr>
        <w:t xml:space="preserve">ilmoitusta, joista perustamisilmoituksia noin </w:t>
      </w:r>
      <w:r w:rsidR="001A27F9" w:rsidRPr="009F0025">
        <w:rPr>
          <w:rFonts w:ascii="Times New Roman" w:hAnsi="Times New Roman"/>
          <w:color w:val="000000" w:themeColor="text1"/>
        </w:rPr>
        <w:t>2400.</w:t>
      </w:r>
      <w:r w:rsidR="00052BE4" w:rsidRPr="009F0025">
        <w:rPr>
          <w:rFonts w:ascii="Times New Roman" w:hAnsi="Times New Roman"/>
          <w:color w:val="000000" w:themeColor="text1"/>
        </w:rPr>
        <w:t xml:space="preserve"> Yhdistysrekisterin pitoon käytettiin vuonna </w:t>
      </w:r>
      <w:r w:rsidR="001A27F9" w:rsidRPr="009F0025">
        <w:rPr>
          <w:rFonts w:ascii="Times New Roman" w:hAnsi="Times New Roman"/>
          <w:color w:val="000000" w:themeColor="text1"/>
        </w:rPr>
        <w:t xml:space="preserve">2016 </w:t>
      </w:r>
      <w:r w:rsidR="00052BE4" w:rsidRPr="009F0025">
        <w:rPr>
          <w:rFonts w:ascii="Times New Roman" w:hAnsi="Times New Roman"/>
          <w:color w:val="000000" w:themeColor="text1"/>
        </w:rPr>
        <w:t xml:space="preserve">yhteensä </w:t>
      </w:r>
      <w:r w:rsidR="001A27F9" w:rsidRPr="009F0025">
        <w:rPr>
          <w:rFonts w:ascii="Times New Roman" w:hAnsi="Times New Roman"/>
          <w:color w:val="000000" w:themeColor="text1"/>
        </w:rPr>
        <w:t>11,6</w:t>
      </w:r>
      <w:r w:rsidR="00052BE4" w:rsidRPr="009F0025">
        <w:rPr>
          <w:rFonts w:ascii="Times New Roman" w:hAnsi="Times New Roman"/>
          <w:color w:val="000000" w:themeColor="text1"/>
        </w:rPr>
        <w:t xml:space="preserve"> henkilötyövuotta. </w:t>
      </w:r>
    </w:p>
    <w:p w:rsidR="00052BE4" w:rsidRPr="009F0025" w:rsidRDefault="00052BE4" w:rsidP="006021F7">
      <w:pPr>
        <w:spacing w:after="0" w:line="220" w:lineRule="exact"/>
        <w:ind w:firstLine="170"/>
        <w:jc w:val="both"/>
        <w:rPr>
          <w:rFonts w:ascii="Times New Roman" w:hAnsi="Times New Roman"/>
          <w:i/>
          <w:color w:val="000000" w:themeColor="text1"/>
        </w:rPr>
      </w:pPr>
    </w:p>
    <w:p w:rsidR="00052BE4" w:rsidRPr="001A27F9" w:rsidRDefault="00052BE4" w:rsidP="006021F7">
      <w:pPr>
        <w:spacing w:after="0" w:line="220" w:lineRule="exact"/>
        <w:ind w:left="1304"/>
        <w:jc w:val="both"/>
        <w:rPr>
          <w:rFonts w:ascii="Times New Roman" w:hAnsi="Times New Roman"/>
          <w:color w:val="000000" w:themeColor="text1"/>
        </w:rPr>
      </w:pPr>
      <w:r w:rsidRPr="001A27F9">
        <w:rPr>
          <w:rFonts w:ascii="Times New Roman" w:hAnsi="Times New Roman"/>
          <w:color w:val="000000" w:themeColor="text1"/>
        </w:rPr>
        <w:t xml:space="preserve">Yhdistysrekisterin </w:t>
      </w:r>
      <w:r w:rsidR="00EE2F44" w:rsidRPr="001A27F9">
        <w:rPr>
          <w:rFonts w:ascii="Times New Roman" w:hAnsi="Times New Roman"/>
          <w:color w:val="000000" w:themeColor="text1"/>
        </w:rPr>
        <w:t>maksu</w:t>
      </w:r>
      <w:r w:rsidRPr="001A27F9">
        <w:rPr>
          <w:rFonts w:ascii="Times New Roman" w:hAnsi="Times New Roman"/>
          <w:color w:val="000000" w:themeColor="text1"/>
        </w:rPr>
        <w:t>tulot olivat 1</w:t>
      </w:r>
      <w:r w:rsidR="006D7B30" w:rsidRPr="001A27F9">
        <w:rPr>
          <w:rFonts w:ascii="Times New Roman" w:hAnsi="Times New Roman"/>
          <w:color w:val="000000" w:themeColor="text1"/>
        </w:rPr>
        <w:t> 203 511 euroa vuonna 2016, kokonaiskustannukset 2 049 163</w:t>
      </w:r>
      <w:r w:rsidRPr="001A27F9">
        <w:rPr>
          <w:rFonts w:ascii="Times New Roman" w:hAnsi="Times New Roman"/>
          <w:color w:val="000000" w:themeColor="text1"/>
        </w:rPr>
        <w:t xml:space="preserve"> e</w:t>
      </w:r>
      <w:r w:rsidR="006D7B30" w:rsidRPr="001A27F9">
        <w:rPr>
          <w:rFonts w:ascii="Times New Roman" w:hAnsi="Times New Roman"/>
          <w:color w:val="000000" w:themeColor="text1"/>
        </w:rPr>
        <w:t xml:space="preserve">uroa ja kustannusvastaavuus 118 </w:t>
      </w:r>
      <w:r w:rsidR="003B4FEF">
        <w:rPr>
          <w:rFonts w:ascii="Times New Roman" w:hAnsi="Times New Roman"/>
          <w:color w:val="000000" w:themeColor="text1"/>
        </w:rPr>
        <w:t>%</w:t>
      </w:r>
      <w:r w:rsidR="006D7B30" w:rsidRPr="001A27F9">
        <w:rPr>
          <w:rFonts w:ascii="Times New Roman" w:hAnsi="Times New Roman"/>
          <w:color w:val="000000" w:themeColor="text1"/>
        </w:rPr>
        <w:t>, kun huomioidaan budjettirahoitus.</w:t>
      </w:r>
    </w:p>
    <w:p w:rsidR="00052BE4" w:rsidRPr="006021F7" w:rsidRDefault="00052BE4" w:rsidP="006021F7">
      <w:pPr>
        <w:spacing w:after="0" w:line="220" w:lineRule="exact"/>
        <w:ind w:firstLine="170"/>
        <w:jc w:val="both"/>
        <w:rPr>
          <w:rFonts w:ascii="Times New Roman" w:hAnsi="Times New Roman"/>
        </w:rPr>
      </w:pPr>
    </w:p>
    <w:p w:rsidR="001B6E5A" w:rsidRPr="006021F7" w:rsidRDefault="00052BE4" w:rsidP="006021F7">
      <w:pPr>
        <w:spacing w:after="0" w:line="220" w:lineRule="exact"/>
        <w:ind w:firstLine="170"/>
        <w:jc w:val="both"/>
        <w:rPr>
          <w:rFonts w:ascii="Times New Roman" w:hAnsi="Times New Roman"/>
          <w:i/>
        </w:rPr>
      </w:pPr>
      <w:r w:rsidRPr="006021F7">
        <w:rPr>
          <w:rFonts w:ascii="Times New Roman" w:hAnsi="Times New Roman"/>
          <w:i/>
        </w:rPr>
        <w:t xml:space="preserve"> </w:t>
      </w:r>
    </w:p>
    <w:p w:rsidR="00A703E1" w:rsidRPr="006021F7" w:rsidRDefault="00A703E1" w:rsidP="006021F7">
      <w:pPr>
        <w:spacing w:after="0" w:line="220" w:lineRule="exact"/>
        <w:ind w:firstLine="1304"/>
        <w:jc w:val="both"/>
        <w:rPr>
          <w:rFonts w:ascii="Times New Roman" w:hAnsi="Times New Roman"/>
          <w:i/>
        </w:rPr>
      </w:pPr>
      <w:r w:rsidRPr="006021F7">
        <w:rPr>
          <w:rFonts w:ascii="Times New Roman" w:hAnsi="Times New Roman"/>
          <w:i/>
        </w:rPr>
        <w:t>Tilintarkastusasiat</w:t>
      </w:r>
    </w:p>
    <w:p w:rsidR="00A703E1" w:rsidRPr="006021F7" w:rsidRDefault="00A703E1" w:rsidP="006021F7">
      <w:pPr>
        <w:spacing w:after="0" w:line="220" w:lineRule="exact"/>
        <w:ind w:firstLine="170"/>
        <w:jc w:val="both"/>
        <w:rPr>
          <w:rFonts w:ascii="Times New Roman" w:hAnsi="Times New Roman"/>
        </w:rPr>
      </w:pPr>
    </w:p>
    <w:p w:rsidR="00962365" w:rsidRPr="002B09CA" w:rsidRDefault="0092473B" w:rsidP="002B09CA">
      <w:pPr>
        <w:spacing w:line="220" w:lineRule="exact"/>
        <w:ind w:left="1304"/>
        <w:jc w:val="both"/>
        <w:rPr>
          <w:rFonts w:ascii="Times New Roman" w:hAnsi="Times New Roman"/>
          <w:iCs/>
        </w:rPr>
      </w:pPr>
      <w:r w:rsidRPr="001A27F9">
        <w:rPr>
          <w:rFonts w:ascii="Times New Roman" w:hAnsi="Times New Roman"/>
          <w:iCs/>
          <w:color w:val="000000" w:themeColor="text1"/>
        </w:rPr>
        <w:t xml:space="preserve">PRH:ssa toimii vuoden 2016 alusta lukien Tilintarkastusvalvonta, jossa toimii </w:t>
      </w:r>
      <w:r w:rsidR="00274F19" w:rsidRPr="001A27F9">
        <w:rPr>
          <w:rFonts w:ascii="Times New Roman" w:hAnsi="Times New Roman"/>
          <w:iCs/>
          <w:color w:val="000000" w:themeColor="text1"/>
        </w:rPr>
        <w:t>ratkaisutoiminnassaan</w:t>
      </w:r>
      <w:r w:rsidRPr="001A27F9">
        <w:rPr>
          <w:rFonts w:ascii="Times New Roman" w:hAnsi="Times New Roman"/>
          <w:iCs/>
          <w:color w:val="000000" w:themeColor="text1"/>
        </w:rPr>
        <w:t xml:space="preserve"> itsenäinen tilintarkastuslautakunta. </w:t>
      </w:r>
      <w:proofErr w:type="spellStart"/>
      <w:r w:rsidRPr="001A27F9">
        <w:rPr>
          <w:rFonts w:ascii="Times New Roman" w:hAnsi="Times New Roman"/>
          <w:iCs/>
          <w:color w:val="000000" w:themeColor="text1"/>
        </w:rPr>
        <w:t>PRH:lle</w:t>
      </w:r>
      <w:proofErr w:type="spellEnd"/>
      <w:r w:rsidRPr="001A27F9">
        <w:rPr>
          <w:rFonts w:ascii="Times New Roman" w:hAnsi="Times New Roman"/>
          <w:iCs/>
          <w:color w:val="000000" w:themeColor="text1"/>
        </w:rPr>
        <w:t xml:space="preserve"> on osoitettu </w:t>
      </w:r>
      <w:r w:rsidRPr="003B4FEF">
        <w:rPr>
          <w:rFonts w:ascii="Times New Roman" w:hAnsi="Times New Roman"/>
          <w:iCs/>
          <w:color w:val="000000" w:themeColor="text1"/>
        </w:rPr>
        <w:t>vuoden 201</w:t>
      </w:r>
      <w:r w:rsidR="003B4FEF" w:rsidRPr="00950B90">
        <w:rPr>
          <w:rFonts w:ascii="Times New Roman" w:hAnsi="Times New Roman"/>
          <w:iCs/>
          <w:color w:val="000000" w:themeColor="text1"/>
        </w:rPr>
        <w:t>7</w:t>
      </w:r>
      <w:r w:rsidRPr="003B4FEF">
        <w:rPr>
          <w:rFonts w:ascii="Times New Roman" w:hAnsi="Times New Roman"/>
          <w:iCs/>
          <w:color w:val="000000" w:themeColor="text1"/>
        </w:rPr>
        <w:t xml:space="preserve"> talousarviossa maksutulojen arvioitua kokonaismäärää vastaava määräraha, yhteensä 2 260 000 euroa. Tämä summa katetaan tilintarkastajilta perittävillä veroluonteisilla vuosimaksuilla,</w:t>
      </w:r>
      <w:r w:rsidRPr="001A27F9">
        <w:rPr>
          <w:rFonts w:ascii="Times New Roman" w:hAnsi="Times New Roman"/>
          <w:iCs/>
          <w:color w:val="000000" w:themeColor="text1"/>
        </w:rPr>
        <w:t xml:space="preserve"> joista säädetään tilintarkastajan vuosimaksusta ja laadunvalvonnan maksuista annetussa laissa (1512/2015). Tilintarkastajatutkinnoista ja -rekisteristä aiheutuvat maksut katetaan TEM maksuasetuksen mukaisilla maksuilla. </w:t>
      </w:r>
      <w:r w:rsidRPr="006D2630">
        <w:rPr>
          <w:rFonts w:ascii="Times New Roman" w:hAnsi="Times New Roman"/>
          <w:iCs/>
          <w:color w:val="000000" w:themeColor="text1"/>
        </w:rPr>
        <w:t>Tilintark</w:t>
      </w:r>
      <w:r w:rsidR="006D7B30" w:rsidRPr="00E268FB">
        <w:rPr>
          <w:rFonts w:ascii="Times New Roman" w:hAnsi="Times New Roman"/>
          <w:iCs/>
          <w:color w:val="000000" w:themeColor="text1"/>
        </w:rPr>
        <w:t>astajatutkintomaksukertymä oli</w:t>
      </w:r>
      <w:r w:rsidRPr="00E268FB">
        <w:rPr>
          <w:rFonts w:ascii="Times New Roman" w:hAnsi="Times New Roman"/>
          <w:iCs/>
          <w:color w:val="000000" w:themeColor="text1"/>
        </w:rPr>
        <w:t xml:space="preserve"> vuo</w:t>
      </w:r>
      <w:r w:rsidR="006F43F7" w:rsidRPr="00950B90">
        <w:rPr>
          <w:rFonts w:ascii="Times New Roman" w:hAnsi="Times New Roman"/>
          <w:iCs/>
          <w:color w:val="000000" w:themeColor="text1"/>
        </w:rPr>
        <w:t>nna</w:t>
      </w:r>
      <w:r w:rsidRPr="00E268FB">
        <w:rPr>
          <w:rFonts w:ascii="Times New Roman" w:hAnsi="Times New Roman"/>
          <w:iCs/>
          <w:color w:val="000000" w:themeColor="text1"/>
        </w:rPr>
        <w:t xml:space="preserve"> 2016 </w:t>
      </w:r>
      <w:r w:rsidR="006D7B30" w:rsidRPr="00E268FB">
        <w:rPr>
          <w:rFonts w:ascii="Times New Roman" w:hAnsi="Times New Roman"/>
          <w:iCs/>
          <w:color w:val="000000" w:themeColor="text1"/>
        </w:rPr>
        <w:t>noin 189 000 euroa ja kustannusvastaavuus oli 140</w:t>
      </w:r>
      <w:r w:rsidR="004C384D">
        <w:rPr>
          <w:rFonts w:ascii="Times New Roman" w:hAnsi="Times New Roman"/>
          <w:iCs/>
          <w:color w:val="000000" w:themeColor="text1"/>
        </w:rPr>
        <w:t xml:space="preserve"> </w:t>
      </w:r>
      <w:r w:rsidR="006D7B30" w:rsidRPr="00E268FB">
        <w:rPr>
          <w:rFonts w:ascii="Times New Roman" w:hAnsi="Times New Roman"/>
          <w:iCs/>
          <w:color w:val="000000" w:themeColor="text1"/>
        </w:rPr>
        <w:t>%.</w:t>
      </w:r>
      <w:r w:rsidR="006D7B30" w:rsidRPr="00E268FB">
        <w:rPr>
          <w:rFonts w:ascii="Times New Roman" w:hAnsi="Times New Roman"/>
          <w:iCs/>
          <w:color w:val="FF0000"/>
        </w:rPr>
        <w:t xml:space="preserve"> </w:t>
      </w:r>
      <w:r w:rsidR="006D7B30" w:rsidRPr="00D63525">
        <w:rPr>
          <w:rFonts w:ascii="Times New Roman" w:hAnsi="Times New Roman"/>
          <w:iCs/>
        </w:rPr>
        <w:t>Kustannusvastaavuuden suuruutta selittää se, että</w:t>
      </w:r>
      <w:r w:rsidR="00DC3BE6" w:rsidRPr="00D63525">
        <w:rPr>
          <w:rFonts w:ascii="Times New Roman" w:hAnsi="Times New Roman"/>
          <w:iCs/>
        </w:rPr>
        <w:t xml:space="preserve"> tilintarkastusvalvonta ei ensimmäisenä toimintavuotenaan saavuttanut täyttää laajuuttaan.</w:t>
      </w:r>
      <w:r w:rsidR="00636BED" w:rsidRPr="00D63525">
        <w:rPr>
          <w:rFonts w:ascii="Times New Roman" w:hAnsi="Times New Roman"/>
          <w:iCs/>
        </w:rPr>
        <w:t xml:space="preserve"> </w:t>
      </w:r>
      <w:r w:rsidR="001A27F9" w:rsidRPr="00D63525">
        <w:rPr>
          <w:rFonts w:ascii="Times New Roman" w:hAnsi="Times New Roman"/>
          <w:iCs/>
        </w:rPr>
        <w:t>Lisäksi Kauppakamari korvasi siirtyneiden työntekijöiden pitämätt</w:t>
      </w:r>
      <w:r w:rsidR="00751A36" w:rsidRPr="00D63525">
        <w:rPr>
          <w:rFonts w:ascii="Times New Roman" w:hAnsi="Times New Roman"/>
          <w:iCs/>
        </w:rPr>
        <w:t xml:space="preserve">ömien lomien palkat </w:t>
      </w:r>
      <w:proofErr w:type="spellStart"/>
      <w:r w:rsidR="00751A36" w:rsidRPr="00D63525">
        <w:rPr>
          <w:rFonts w:ascii="Times New Roman" w:hAnsi="Times New Roman"/>
          <w:iCs/>
        </w:rPr>
        <w:t>PRH:lle</w:t>
      </w:r>
      <w:proofErr w:type="spellEnd"/>
      <w:r w:rsidR="00751A36" w:rsidRPr="00D63525">
        <w:rPr>
          <w:rFonts w:ascii="Times New Roman" w:hAnsi="Times New Roman"/>
          <w:iCs/>
        </w:rPr>
        <w:t xml:space="preserve"> (136</w:t>
      </w:r>
      <w:r w:rsidR="001A27F9" w:rsidRPr="00D63525">
        <w:rPr>
          <w:rFonts w:ascii="Times New Roman" w:hAnsi="Times New Roman"/>
          <w:iCs/>
        </w:rPr>
        <w:t>t</w:t>
      </w:r>
      <w:r w:rsidR="002B09CA">
        <w:rPr>
          <w:rFonts w:ascii="Times New Roman" w:hAnsi="Times New Roman"/>
          <w:iCs/>
        </w:rPr>
        <w:t xml:space="preserve"> €</w:t>
      </w:r>
      <w:r w:rsidR="001A27F9" w:rsidRPr="00D63525">
        <w:rPr>
          <w:rFonts w:ascii="Times New Roman" w:hAnsi="Times New Roman"/>
          <w:iCs/>
        </w:rPr>
        <w:t>)</w:t>
      </w:r>
      <w:r w:rsidR="00D63525">
        <w:rPr>
          <w:rFonts w:ascii="Times New Roman" w:hAnsi="Times New Roman"/>
          <w:iCs/>
        </w:rPr>
        <w:t>.</w:t>
      </w:r>
    </w:p>
    <w:p w:rsidR="00A703E1" w:rsidRPr="006021F7" w:rsidRDefault="00A703E1" w:rsidP="003C6F72">
      <w:pPr>
        <w:spacing w:after="0" w:line="220" w:lineRule="exact"/>
        <w:ind w:firstLine="1304"/>
        <w:jc w:val="both"/>
        <w:rPr>
          <w:rFonts w:ascii="Times New Roman" w:hAnsi="Times New Roman"/>
          <w:color w:val="000000"/>
        </w:rPr>
      </w:pPr>
    </w:p>
    <w:p w:rsidR="00897380" w:rsidRPr="006021F7" w:rsidRDefault="001C2851" w:rsidP="003C6F72">
      <w:pPr>
        <w:spacing w:after="0" w:line="220" w:lineRule="exact"/>
        <w:jc w:val="both"/>
        <w:rPr>
          <w:rFonts w:ascii="Times New Roman" w:hAnsi="Times New Roman"/>
          <w:b/>
        </w:rPr>
      </w:pPr>
      <w:r w:rsidRPr="006021F7">
        <w:rPr>
          <w:rFonts w:ascii="Times New Roman" w:hAnsi="Times New Roman"/>
          <w:b/>
        </w:rPr>
        <w:t>2</w:t>
      </w:r>
      <w:r w:rsidR="00897380" w:rsidRPr="006021F7">
        <w:rPr>
          <w:rFonts w:ascii="Times New Roman" w:hAnsi="Times New Roman"/>
          <w:b/>
        </w:rPr>
        <w:t>. Asetusehdotuksen perustelut</w:t>
      </w:r>
    </w:p>
    <w:p w:rsidR="00897380" w:rsidRPr="006021F7" w:rsidRDefault="00897380" w:rsidP="003C6F72">
      <w:pPr>
        <w:spacing w:after="0" w:line="220" w:lineRule="exact"/>
        <w:ind w:firstLine="1304"/>
        <w:jc w:val="both"/>
        <w:rPr>
          <w:rFonts w:ascii="Times New Roman" w:hAnsi="Times New Roman"/>
        </w:rPr>
      </w:pPr>
    </w:p>
    <w:p w:rsidR="00574592" w:rsidRPr="003B4FEF" w:rsidRDefault="00574592" w:rsidP="00574592">
      <w:pPr>
        <w:spacing w:after="0" w:line="220" w:lineRule="exact"/>
        <w:ind w:left="1304"/>
        <w:jc w:val="both"/>
        <w:rPr>
          <w:rFonts w:ascii="Times New Roman" w:hAnsi="Times New Roman"/>
        </w:rPr>
      </w:pPr>
      <w:r w:rsidRPr="003B4FEF">
        <w:rPr>
          <w:rFonts w:ascii="Times New Roman" w:hAnsi="Times New Roman"/>
          <w:b/>
        </w:rPr>
        <w:t xml:space="preserve">1 §. </w:t>
      </w:r>
      <w:r w:rsidRPr="003B4FEF">
        <w:rPr>
          <w:rFonts w:ascii="Times New Roman" w:hAnsi="Times New Roman"/>
          <w:i/>
        </w:rPr>
        <w:t>M</w:t>
      </w:r>
      <w:r w:rsidRPr="007B28D4">
        <w:rPr>
          <w:rFonts w:ascii="Times New Roman" w:hAnsi="Times New Roman"/>
          <w:i/>
          <w:color w:val="000000" w:themeColor="text1"/>
        </w:rPr>
        <w:t>aksulliset julkisoikeudelliset suoritteet</w:t>
      </w:r>
      <w:r w:rsidRPr="007B28D4">
        <w:rPr>
          <w:rFonts w:ascii="Times New Roman" w:hAnsi="Times New Roman"/>
          <w:color w:val="000000" w:themeColor="text1"/>
        </w:rPr>
        <w:t xml:space="preserve">. PRH:n maksulaissa tarkoitettuihin </w:t>
      </w:r>
      <w:r w:rsidRPr="007B28D4">
        <w:rPr>
          <w:rFonts w:ascii="Times New Roman" w:eastAsia="Times New Roman" w:hAnsi="Times New Roman"/>
          <w:color w:val="000000" w:themeColor="text1"/>
          <w:lang w:eastAsia="fi-FI"/>
        </w:rPr>
        <w:t xml:space="preserve">suoriteryhmiin kuuluvista suoritteista, kuten rekisteröimisestä, rekisteröintien voimassapitämisestä sekä rekisterien käytöstä perittävien maksujen suuruus määrätään suoriteryhmäkohtaisen kustannusvastaavuuden perusteella. Maksuasetuksen 1 § sisältää luettelon PRH:n suoriteryhmistä. </w:t>
      </w:r>
      <w:r w:rsidR="00306F75" w:rsidRPr="007B28D4">
        <w:rPr>
          <w:rFonts w:ascii="Times New Roman" w:eastAsia="Times New Roman" w:hAnsi="Times New Roman"/>
          <w:color w:val="000000" w:themeColor="text1"/>
          <w:lang w:eastAsia="fi-FI"/>
        </w:rPr>
        <w:t xml:space="preserve">Suoriteryhmiä ovat PRH:n kunkin rekisterin muodostamat kokonaisuudet. </w:t>
      </w:r>
      <w:r w:rsidRPr="007B28D4">
        <w:rPr>
          <w:rFonts w:ascii="Times New Roman" w:eastAsia="Times New Roman" w:hAnsi="Times New Roman"/>
          <w:color w:val="000000" w:themeColor="text1"/>
          <w:lang w:eastAsia="fi-FI"/>
        </w:rPr>
        <w:t>Rekistereistä säädetään niitä koskevissa erityislaeissa, kuten patenttilaissa (</w:t>
      </w:r>
      <w:r w:rsidR="00885F12" w:rsidRPr="007B28D4">
        <w:rPr>
          <w:rFonts w:ascii="Times New Roman" w:eastAsia="Times New Roman" w:hAnsi="Times New Roman"/>
          <w:color w:val="000000" w:themeColor="text1"/>
          <w:lang w:eastAsia="fi-FI"/>
        </w:rPr>
        <w:t>550</w:t>
      </w:r>
      <w:r w:rsidRPr="007B28D4">
        <w:rPr>
          <w:rFonts w:ascii="Times New Roman" w:eastAsia="Times New Roman" w:hAnsi="Times New Roman"/>
          <w:color w:val="000000" w:themeColor="text1"/>
          <w:lang w:eastAsia="fi-FI"/>
        </w:rPr>
        <w:t>/</w:t>
      </w:r>
      <w:r w:rsidR="00885F12" w:rsidRPr="007B28D4">
        <w:rPr>
          <w:rFonts w:ascii="Times New Roman" w:eastAsia="Times New Roman" w:hAnsi="Times New Roman"/>
          <w:color w:val="000000" w:themeColor="text1"/>
          <w:lang w:eastAsia="fi-FI"/>
        </w:rPr>
        <w:t>1967</w:t>
      </w:r>
      <w:r w:rsidRPr="007B28D4">
        <w:rPr>
          <w:rFonts w:ascii="Times New Roman" w:eastAsia="Times New Roman" w:hAnsi="Times New Roman"/>
          <w:color w:val="000000" w:themeColor="text1"/>
          <w:lang w:eastAsia="fi-FI"/>
        </w:rPr>
        <w:t xml:space="preserve">), </w:t>
      </w:r>
      <w:r w:rsidRPr="003B4FEF">
        <w:rPr>
          <w:rFonts w:ascii="Times New Roman" w:eastAsia="Times New Roman" w:hAnsi="Times New Roman"/>
          <w:lang w:eastAsia="fi-FI"/>
        </w:rPr>
        <w:t>kaupparekisterilaissa</w:t>
      </w:r>
      <w:r w:rsidR="00885F12" w:rsidRPr="003B4FEF">
        <w:rPr>
          <w:rFonts w:ascii="Times New Roman" w:eastAsia="Times New Roman" w:hAnsi="Times New Roman"/>
          <w:lang w:eastAsia="fi-FI"/>
        </w:rPr>
        <w:t xml:space="preserve"> (</w:t>
      </w:r>
      <w:r w:rsidR="0092473B" w:rsidRPr="003B4FEF">
        <w:rPr>
          <w:rFonts w:ascii="Times New Roman" w:eastAsia="Times New Roman" w:hAnsi="Times New Roman"/>
          <w:lang w:eastAsia="fi-FI"/>
        </w:rPr>
        <w:t>129</w:t>
      </w:r>
      <w:r w:rsidR="00885F12" w:rsidRPr="003B4FEF">
        <w:rPr>
          <w:rFonts w:ascii="Times New Roman" w:eastAsia="Times New Roman" w:hAnsi="Times New Roman"/>
          <w:lang w:eastAsia="fi-FI"/>
        </w:rPr>
        <w:t>/1979)</w:t>
      </w:r>
      <w:r w:rsidRPr="003B4FEF">
        <w:rPr>
          <w:rFonts w:ascii="Times New Roman" w:eastAsia="Times New Roman" w:hAnsi="Times New Roman"/>
          <w:lang w:eastAsia="fi-FI"/>
        </w:rPr>
        <w:t xml:space="preserve"> ja säätiölaissa (</w:t>
      </w:r>
      <w:r w:rsidR="00885F12" w:rsidRPr="003B4FEF">
        <w:rPr>
          <w:rFonts w:ascii="Times New Roman" w:eastAsia="Times New Roman" w:hAnsi="Times New Roman"/>
          <w:lang w:eastAsia="fi-FI"/>
        </w:rPr>
        <w:t>487</w:t>
      </w:r>
      <w:r w:rsidRPr="003B4FEF">
        <w:rPr>
          <w:rFonts w:ascii="Times New Roman" w:eastAsia="Times New Roman" w:hAnsi="Times New Roman"/>
          <w:lang w:eastAsia="fi-FI"/>
        </w:rPr>
        <w:t>/</w:t>
      </w:r>
      <w:r w:rsidR="00885F12" w:rsidRPr="003B4FEF">
        <w:rPr>
          <w:rFonts w:ascii="Times New Roman" w:eastAsia="Times New Roman" w:hAnsi="Times New Roman"/>
          <w:lang w:eastAsia="fi-FI"/>
        </w:rPr>
        <w:t>2015</w:t>
      </w:r>
      <w:r w:rsidR="007B28D4" w:rsidRPr="003B4FEF">
        <w:rPr>
          <w:rFonts w:ascii="Times New Roman" w:eastAsia="Times New Roman" w:hAnsi="Times New Roman"/>
          <w:lang w:eastAsia="fi-FI"/>
        </w:rPr>
        <w:t>)</w:t>
      </w:r>
      <w:r w:rsidR="00E741AA">
        <w:rPr>
          <w:rFonts w:ascii="Times New Roman" w:eastAsia="Times New Roman" w:hAnsi="Times New Roman"/>
          <w:lang w:eastAsia="fi-FI"/>
        </w:rPr>
        <w:t>.</w:t>
      </w:r>
    </w:p>
    <w:p w:rsidR="00574592" w:rsidRPr="007B28D4" w:rsidRDefault="00574592" w:rsidP="00574592">
      <w:pPr>
        <w:spacing w:after="0" w:line="220" w:lineRule="exact"/>
        <w:ind w:firstLine="1304"/>
        <w:jc w:val="both"/>
        <w:rPr>
          <w:rFonts w:ascii="Times New Roman" w:hAnsi="Times New Roman"/>
          <w:b/>
          <w:color w:val="000000" w:themeColor="text1"/>
        </w:rPr>
      </w:pPr>
    </w:p>
    <w:p w:rsidR="00574592" w:rsidRPr="003B4FEF" w:rsidRDefault="00574592" w:rsidP="00574592">
      <w:pPr>
        <w:spacing w:after="0" w:line="220" w:lineRule="exact"/>
        <w:ind w:left="1304"/>
        <w:jc w:val="both"/>
        <w:rPr>
          <w:rFonts w:ascii="Times New Roman" w:hAnsi="Times New Roman"/>
        </w:rPr>
      </w:pPr>
      <w:r w:rsidRPr="007B28D4">
        <w:rPr>
          <w:rFonts w:ascii="Times New Roman" w:hAnsi="Times New Roman"/>
          <w:b/>
          <w:color w:val="000000" w:themeColor="text1"/>
        </w:rPr>
        <w:t xml:space="preserve">2 §. </w:t>
      </w:r>
      <w:r w:rsidRPr="007B28D4">
        <w:rPr>
          <w:rFonts w:ascii="Times New Roman" w:hAnsi="Times New Roman"/>
          <w:i/>
          <w:color w:val="000000" w:themeColor="text1"/>
        </w:rPr>
        <w:t>Alle omakustannusarvon hinnoitellut julkisoikeudelliset suoritteet</w:t>
      </w:r>
      <w:r w:rsidRPr="007B28D4">
        <w:rPr>
          <w:rFonts w:ascii="Times New Roman" w:hAnsi="Times New Roman"/>
          <w:color w:val="000000" w:themeColor="text1"/>
        </w:rPr>
        <w:t xml:space="preserve">. PRH:n maksulain 3 §:n 4 momentti sisältää säännökset niistä tilanteista, joissa julkisoikeudellisesta suoritteesta perittävä maksu voidaan tai se tulee määrätä alle omakustannusarvoon. Yhdistyksen rekisteröimistä koskevassa asiassa maksu on määrättävä omakustannusarvoa alempana, jos se on tarpeen yhdistymisvapauden turvaamiseksi. Lisäksi maksu voidaan määrätä alle omakustannusarvon teollisuuspoliittisista tai oikeudenhoitoon, uuden suoritteen käyttöönottoon tai rekisteritietojen ajan tasalla pitoon liittyvistä taikka kansainvälisistä sopimuksista tai käytännöstä johtuvista syistä taikka silloin, kun käsitellään säätiölaista (487/2015), yhdistyslaista (503/1989) tai uskonnonvapauslaista (453/2003) johtuvia asioita. Nykyisin ainoastaan yhdistysrekisterin ja uskonnollisten yhdyskuntien rekisterin suoritteet hinnoitellaan alle omakustannusarvoon ja </w:t>
      </w:r>
      <w:r w:rsidR="005B0062" w:rsidRPr="007B28D4">
        <w:rPr>
          <w:rFonts w:ascii="Times New Roman" w:hAnsi="Times New Roman"/>
          <w:color w:val="000000" w:themeColor="text1"/>
        </w:rPr>
        <w:t>erotus katetaan budjettivaroin.</w:t>
      </w:r>
      <w:r w:rsidR="005B0062">
        <w:rPr>
          <w:rFonts w:ascii="Times New Roman" w:hAnsi="Times New Roman"/>
          <w:color w:val="00B050"/>
        </w:rPr>
        <w:t xml:space="preserve"> </w:t>
      </w:r>
      <w:r w:rsidR="005B0062" w:rsidRPr="003B4FEF">
        <w:rPr>
          <w:rFonts w:ascii="Times New Roman" w:hAnsi="Times New Roman"/>
        </w:rPr>
        <w:t xml:space="preserve">Tässä </w:t>
      </w:r>
      <w:r w:rsidR="001D2C4C" w:rsidRPr="003B4FEF">
        <w:rPr>
          <w:rFonts w:ascii="Times New Roman" w:hAnsi="Times New Roman"/>
        </w:rPr>
        <w:t>e</w:t>
      </w:r>
      <w:r w:rsidR="005B0062" w:rsidRPr="003B4FEF">
        <w:rPr>
          <w:rFonts w:ascii="Times New Roman" w:hAnsi="Times New Roman"/>
        </w:rPr>
        <w:t xml:space="preserve">sityksessä ehdotetaan </w:t>
      </w:r>
      <w:r w:rsidRPr="003B4FEF">
        <w:rPr>
          <w:rFonts w:ascii="Times New Roman" w:hAnsi="Times New Roman"/>
        </w:rPr>
        <w:t>nykytilaa vastaavaa säännöstä, jossa nämä suoritteet hinnoiteltaisiin jatkossakin alle omakustannusarvon.</w:t>
      </w:r>
    </w:p>
    <w:p w:rsidR="00574592" w:rsidRPr="00005C01" w:rsidRDefault="00574592" w:rsidP="00574592">
      <w:pPr>
        <w:spacing w:after="0" w:line="220" w:lineRule="exact"/>
        <w:ind w:firstLine="1304"/>
        <w:jc w:val="both"/>
        <w:rPr>
          <w:rFonts w:ascii="Times New Roman" w:hAnsi="Times New Roman"/>
          <w:b/>
          <w:color w:val="00B0F0"/>
        </w:rPr>
      </w:pPr>
    </w:p>
    <w:p w:rsidR="00574592" w:rsidRPr="002B09CA" w:rsidRDefault="00574592" w:rsidP="002B09CA">
      <w:pPr>
        <w:pStyle w:val="py"/>
        <w:spacing w:before="0" w:beforeAutospacing="0" w:after="0" w:afterAutospacing="0" w:line="220" w:lineRule="exact"/>
        <w:ind w:left="1304"/>
        <w:jc w:val="both"/>
        <w:rPr>
          <w:color w:val="000000" w:themeColor="text1"/>
          <w:sz w:val="22"/>
          <w:szCs w:val="22"/>
        </w:rPr>
      </w:pPr>
      <w:r w:rsidRPr="0036470B">
        <w:rPr>
          <w:b/>
          <w:color w:val="000000" w:themeColor="text1"/>
          <w:sz w:val="22"/>
          <w:szCs w:val="22"/>
        </w:rPr>
        <w:t xml:space="preserve">3 §. </w:t>
      </w:r>
      <w:r w:rsidRPr="005B0062">
        <w:rPr>
          <w:i/>
          <w:color w:val="000000" w:themeColor="text1"/>
          <w:sz w:val="22"/>
          <w:szCs w:val="22"/>
        </w:rPr>
        <w:t>Maksuttomat suoritteet</w:t>
      </w:r>
      <w:r w:rsidRPr="005B0062">
        <w:rPr>
          <w:b/>
          <w:color w:val="000000" w:themeColor="text1"/>
          <w:sz w:val="22"/>
          <w:szCs w:val="22"/>
        </w:rPr>
        <w:t xml:space="preserve">. </w:t>
      </w:r>
      <w:r w:rsidRPr="005B0062">
        <w:rPr>
          <w:color w:val="000000" w:themeColor="text1"/>
          <w:sz w:val="22"/>
          <w:szCs w:val="22"/>
        </w:rPr>
        <w:t xml:space="preserve">Lain 3 §:n 4 momentin mukaan teollisuuspoliittisista tai oikeudenhoitoon, uuden suoritteen käyttöönottoon tai rekisteritietojen ajan tasalla pitoon liittyvistä taikka kansainvälisistä sopimuksista tai käytännöstä johtuvista syistä taikka silloin, kun käsitellään säätiölaista (487/2015), yhdistyslaista (503/1989) tai uskonnonvapauslaista (453/2003) johtuvia asioita, maksu voidaan määrätä perittäväksi yleisesti suoritteen </w:t>
      </w:r>
      <w:r w:rsidRPr="002B09CA">
        <w:rPr>
          <w:color w:val="000000" w:themeColor="text1"/>
          <w:sz w:val="22"/>
          <w:szCs w:val="22"/>
        </w:rPr>
        <w:t xml:space="preserve">omakustannusarvoa alempana tai jättää se kokonaan perimättä. Lain 5 §:n mukaan Työ- ja </w:t>
      </w:r>
      <w:r w:rsidRPr="002B09CA">
        <w:rPr>
          <w:color w:val="000000" w:themeColor="text1"/>
          <w:sz w:val="22"/>
          <w:szCs w:val="22"/>
        </w:rPr>
        <w:lastRenderedPageBreak/>
        <w:t xml:space="preserve">elinkeinoministeriö päättää noudattaen mitä </w:t>
      </w:r>
      <w:r w:rsidR="00254181" w:rsidRPr="002B09CA">
        <w:rPr>
          <w:color w:val="000000" w:themeColor="text1"/>
          <w:sz w:val="22"/>
          <w:szCs w:val="22"/>
        </w:rPr>
        <w:t xml:space="preserve">laissa </w:t>
      </w:r>
      <w:proofErr w:type="spellStart"/>
      <w:r w:rsidR="00254181" w:rsidRPr="002B09CA">
        <w:rPr>
          <w:sz w:val="22"/>
          <w:szCs w:val="22"/>
        </w:rPr>
        <w:t>PRH:n</w:t>
      </w:r>
      <w:proofErr w:type="spellEnd"/>
      <w:r w:rsidR="00254181" w:rsidRPr="002B09CA">
        <w:rPr>
          <w:sz w:val="22"/>
          <w:szCs w:val="22"/>
        </w:rPr>
        <w:t xml:space="preserve"> maksullisista suoritteista (305/2013</w:t>
      </w:r>
      <w:r w:rsidRPr="002B09CA">
        <w:rPr>
          <w:sz w:val="22"/>
          <w:szCs w:val="22"/>
        </w:rPr>
        <w:t>) säädetään, mitkä Patentti- ja rekisterihallituksen ja tämän lain 1 §:ssä tarkoitetut muun viranomaisen suorittee</w:t>
      </w:r>
      <w:r w:rsidRPr="002B09CA">
        <w:rPr>
          <w:color w:val="000000" w:themeColor="text1"/>
          <w:sz w:val="22"/>
          <w:szCs w:val="22"/>
        </w:rPr>
        <w:t xml:space="preserve">t tai suoriteryhmät ovat maksullisia ja mistä suoritteesta tai suoriteryhmästä maksu määrätään omakustannusarvon, mistä suoriteryhmäkohtaisen kustannusvastaavuuden perusteella ja mistä liiketaloudellisin perustein. </w:t>
      </w:r>
      <w:r w:rsidR="002B09CA" w:rsidRPr="002B09CA">
        <w:rPr>
          <w:color w:val="000000" w:themeColor="text1"/>
          <w:sz w:val="22"/>
          <w:szCs w:val="22"/>
        </w:rPr>
        <w:t xml:space="preserve"> </w:t>
      </w:r>
      <w:r w:rsidR="00DC3BE6" w:rsidRPr="002B09CA">
        <w:rPr>
          <w:color w:val="000000" w:themeColor="text1"/>
          <w:sz w:val="22"/>
          <w:szCs w:val="22"/>
        </w:rPr>
        <w:t>Asetuksen 3 § sisältää</w:t>
      </w:r>
      <w:r w:rsidRPr="002B09CA">
        <w:rPr>
          <w:color w:val="000000" w:themeColor="text1"/>
          <w:sz w:val="22"/>
          <w:szCs w:val="22"/>
        </w:rPr>
        <w:t xml:space="preserve"> luettelon maksuttomista suoritteista</w:t>
      </w:r>
      <w:r w:rsidR="005B0062" w:rsidRPr="002B09CA">
        <w:rPr>
          <w:color w:val="000000" w:themeColor="text1"/>
          <w:sz w:val="22"/>
          <w:szCs w:val="22"/>
        </w:rPr>
        <w:t>.</w:t>
      </w:r>
    </w:p>
    <w:p w:rsidR="00306F75" w:rsidRPr="008E5911" w:rsidRDefault="00306F75" w:rsidP="00574592">
      <w:pPr>
        <w:spacing w:after="0" w:line="220" w:lineRule="exact"/>
        <w:ind w:left="1304"/>
        <w:jc w:val="both"/>
        <w:rPr>
          <w:rFonts w:ascii="Times New Roman" w:hAnsi="Times New Roman"/>
        </w:rPr>
      </w:pPr>
    </w:p>
    <w:p w:rsidR="00574592" w:rsidRPr="00312FFE" w:rsidRDefault="00574592" w:rsidP="00E741AA">
      <w:pPr>
        <w:pStyle w:val="py"/>
        <w:spacing w:before="0" w:beforeAutospacing="0" w:after="0" w:afterAutospacing="0" w:line="220" w:lineRule="exact"/>
        <w:ind w:left="1304"/>
        <w:jc w:val="both"/>
        <w:rPr>
          <w:color w:val="000000" w:themeColor="text1"/>
        </w:rPr>
      </w:pPr>
      <w:r w:rsidRPr="00E741AA">
        <w:rPr>
          <w:b/>
          <w:color w:val="000000" w:themeColor="text1"/>
          <w:sz w:val="22"/>
          <w:szCs w:val="22"/>
        </w:rPr>
        <w:t>4 §.</w:t>
      </w:r>
      <w:r w:rsidRPr="00E741AA">
        <w:rPr>
          <w:color w:val="000000" w:themeColor="text1"/>
          <w:sz w:val="22"/>
          <w:szCs w:val="22"/>
        </w:rPr>
        <w:t xml:space="preserve"> </w:t>
      </w:r>
      <w:r w:rsidRPr="00E741AA">
        <w:rPr>
          <w:i/>
          <w:color w:val="000000" w:themeColor="text1"/>
          <w:sz w:val="22"/>
          <w:szCs w:val="22"/>
        </w:rPr>
        <w:t>Liiketaloudelliset suoritteet</w:t>
      </w:r>
      <w:r w:rsidRPr="00E741AA">
        <w:rPr>
          <w:color w:val="000000" w:themeColor="text1"/>
          <w:sz w:val="22"/>
          <w:szCs w:val="22"/>
        </w:rPr>
        <w:t>. Lain 4 §:n mukaan Patentti- ja rekisterihallituksen muiden kuin 3 §:ssä tarkoitettujen suoritteiden hinnoista päätetään liiketaloudellisin perustein. Valtion talousarviossa voidaan osoittaa määräraha liiketaloudellisin perustein hinnoiteltujen suoritteiden hintojen alentamiseksi. Tätä vastaavasti</w:t>
      </w:r>
      <w:r w:rsidR="00DC3BE6" w:rsidRPr="00950B90">
        <w:rPr>
          <w:color w:val="000000" w:themeColor="text1"/>
          <w:sz w:val="22"/>
          <w:szCs w:val="22"/>
        </w:rPr>
        <w:t xml:space="preserve"> asetuksen 4 §:ssä säädetään</w:t>
      </w:r>
      <w:r w:rsidRPr="00950B90">
        <w:rPr>
          <w:color w:val="000000" w:themeColor="text1"/>
          <w:sz w:val="22"/>
          <w:szCs w:val="22"/>
        </w:rPr>
        <w:t xml:space="preserve"> niistä suoritteista, jotka Patentti- ja rekisterihallitus hinnoittelee liiketaloudellisin perustein. Tällaisia suoritteita olisivat selvitykset ja tutkimukset, koulutus- ja konsultointipalvelut, julkaisut, jäljenteet, rekisteri- ja tietokantapalvelut, Patentti- ja rekisterihallituksen hallinnassa olevien laitteiden ja tilojen käyttö sekä muut tilaukseen tai toimeksiantoon perustuvat palvelut ja suoritteet. Säännös vastaisi voimassaolevaa asetusta.</w:t>
      </w:r>
      <w:r w:rsidR="00EE2F44" w:rsidRPr="00E741AA">
        <w:rPr>
          <w:color w:val="000000" w:themeColor="text1"/>
          <w:sz w:val="22"/>
          <w:szCs w:val="22"/>
        </w:rPr>
        <w:t xml:space="preserve"> PRH:n liiketaloudellisten suoritteiden kokona</w:t>
      </w:r>
      <w:r w:rsidR="00DC3BE6" w:rsidRPr="00E741AA">
        <w:rPr>
          <w:color w:val="000000" w:themeColor="text1"/>
          <w:sz w:val="22"/>
          <w:szCs w:val="22"/>
        </w:rPr>
        <w:t>iskertymä oli viime vuonna (2016) yhteensä 3 804 682</w:t>
      </w:r>
      <w:r w:rsidR="00EE2F44" w:rsidRPr="00E741AA">
        <w:rPr>
          <w:color w:val="000000" w:themeColor="text1"/>
          <w:sz w:val="22"/>
          <w:szCs w:val="22"/>
        </w:rPr>
        <w:t xml:space="preserve"> euroa, josta suurin osa</w:t>
      </w:r>
      <w:r w:rsidR="00DC3BE6" w:rsidRPr="00E741AA">
        <w:rPr>
          <w:color w:val="000000" w:themeColor="text1"/>
          <w:sz w:val="22"/>
          <w:szCs w:val="22"/>
        </w:rPr>
        <w:t xml:space="preserve"> (3 371 699</w:t>
      </w:r>
      <w:r w:rsidR="004D0AC8" w:rsidRPr="00E741AA">
        <w:rPr>
          <w:color w:val="000000" w:themeColor="text1"/>
          <w:sz w:val="22"/>
          <w:szCs w:val="22"/>
        </w:rPr>
        <w:t xml:space="preserve"> euroa)</w:t>
      </w:r>
      <w:r w:rsidR="00EE2F44" w:rsidRPr="00E741AA">
        <w:rPr>
          <w:color w:val="000000" w:themeColor="text1"/>
          <w:sz w:val="22"/>
          <w:szCs w:val="22"/>
        </w:rPr>
        <w:t xml:space="preserve"> oli kaupparekisterin tietopalvelutuloja.</w:t>
      </w:r>
    </w:p>
    <w:p w:rsidR="00574592" w:rsidRPr="00950B90" w:rsidRDefault="00574592" w:rsidP="00574592">
      <w:pPr>
        <w:spacing w:after="0" w:line="220" w:lineRule="exact"/>
        <w:ind w:firstLine="1304"/>
        <w:jc w:val="both"/>
        <w:rPr>
          <w:rFonts w:ascii="Times New Roman" w:hAnsi="Times New Roman"/>
          <w:b/>
          <w:color w:val="000000" w:themeColor="text1"/>
        </w:rPr>
      </w:pPr>
    </w:p>
    <w:p w:rsidR="00105C63" w:rsidRPr="00424283" w:rsidRDefault="00574592" w:rsidP="00574592">
      <w:pPr>
        <w:spacing w:after="0" w:line="220" w:lineRule="exact"/>
        <w:ind w:left="1304"/>
        <w:jc w:val="both"/>
        <w:rPr>
          <w:rFonts w:ascii="Times New Roman" w:hAnsi="Times New Roman"/>
          <w:color w:val="000000" w:themeColor="text1"/>
        </w:rPr>
      </w:pPr>
      <w:r w:rsidRPr="005B0062">
        <w:rPr>
          <w:rFonts w:ascii="Times New Roman" w:hAnsi="Times New Roman"/>
          <w:b/>
          <w:color w:val="000000" w:themeColor="text1"/>
        </w:rPr>
        <w:t>5 §</w:t>
      </w:r>
      <w:r w:rsidRPr="005B0062">
        <w:rPr>
          <w:rFonts w:ascii="Times New Roman" w:hAnsi="Times New Roman"/>
          <w:color w:val="000000" w:themeColor="text1"/>
        </w:rPr>
        <w:t xml:space="preserve">. </w:t>
      </w:r>
      <w:r w:rsidRPr="005B0062">
        <w:rPr>
          <w:rFonts w:ascii="Times New Roman" w:hAnsi="Times New Roman"/>
          <w:i/>
          <w:color w:val="000000" w:themeColor="text1"/>
        </w:rPr>
        <w:t>Julkisoikeudellisten suoritteiden hinnoittelu</w:t>
      </w:r>
      <w:r w:rsidRPr="005B0062">
        <w:rPr>
          <w:rFonts w:ascii="Times New Roman" w:hAnsi="Times New Roman"/>
          <w:color w:val="000000" w:themeColor="text1"/>
        </w:rPr>
        <w:t>. Julkisoikeudellisten suoritteiden hinnoitteluperusteista säädetään laissa ja tässä asetuksessa. Yksittäisistä suoritteista perittävät maksut sisältyvät asetuksen liitteenä olevaan maksutaulu</w:t>
      </w:r>
      <w:r w:rsidR="00DC3BE6" w:rsidRPr="005B0062">
        <w:rPr>
          <w:rFonts w:ascii="Times New Roman" w:hAnsi="Times New Roman"/>
          <w:color w:val="000000" w:themeColor="text1"/>
        </w:rPr>
        <w:t xml:space="preserve">kkoon. Asetuksen 5 § sisältää </w:t>
      </w:r>
      <w:r w:rsidRPr="005B0062">
        <w:rPr>
          <w:rFonts w:ascii="Times New Roman" w:hAnsi="Times New Roman"/>
          <w:color w:val="000000" w:themeColor="text1"/>
        </w:rPr>
        <w:t>selvyyden vuoksi säännöksen siitä, että pykälissä 1 ja 2 tarkoitetut maksut sisältyvät tämän asetuksen liitteenä olevaan taulukkoon</w:t>
      </w:r>
      <w:r w:rsidR="00EE2F44" w:rsidRPr="005B0062">
        <w:rPr>
          <w:rFonts w:ascii="Times New Roman" w:hAnsi="Times New Roman"/>
          <w:color w:val="000000" w:themeColor="text1"/>
        </w:rPr>
        <w:t>. Julkisoikeudellisten suoritteiden kokonaiskertymä oli viime vu</w:t>
      </w:r>
      <w:r w:rsidR="00DC3BE6" w:rsidRPr="005B0062">
        <w:rPr>
          <w:rFonts w:ascii="Times New Roman" w:hAnsi="Times New Roman"/>
          <w:color w:val="000000" w:themeColor="text1"/>
        </w:rPr>
        <w:t>onna (2016) yhteensä noin 46 644 869</w:t>
      </w:r>
      <w:r w:rsidR="00EE2F44" w:rsidRPr="005B0062">
        <w:rPr>
          <w:rFonts w:ascii="Times New Roman" w:hAnsi="Times New Roman"/>
          <w:color w:val="000000" w:themeColor="text1"/>
        </w:rPr>
        <w:t xml:space="preserve"> euroa, josta patenttias</w:t>
      </w:r>
      <w:r w:rsidR="00DC3BE6" w:rsidRPr="005B0062">
        <w:rPr>
          <w:rFonts w:ascii="Times New Roman" w:hAnsi="Times New Roman"/>
          <w:color w:val="000000" w:themeColor="text1"/>
        </w:rPr>
        <w:t>ioiden osuus oli 16 879 690</w:t>
      </w:r>
      <w:r w:rsidR="00EE2F44" w:rsidRPr="005B0062">
        <w:rPr>
          <w:rFonts w:ascii="Times New Roman" w:hAnsi="Times New Roman"/>
          <w:color w:val="000000" w:themeColor="text1"/>
        </w:rPr>
        <w:t xml:space="preserve"> euroa ja kaupparekiste</w:t>
      </w:r>
      <w:r w:rsidR="00424283">
        <w:rPr>
          <w:rFonts w:ascii="Times New Roman" w:hAnsi="Times New Roman"/>
          <w:color w:val="000000" w:themeColor="text1"/>
        </w:rPr>
        <w:t>riasioiden osuus</w:t>
      </w:r>
      <w:r w:rsidR="00DC3BE6" w:rsidRPr="005B0062">
        <w:rPr>
          <w:rFonts w:ascii="Times New Roman" w:hAnsi="Times New Roman"/>
          <w:color w:val="000000" w:themeColor="text1"/>
        </w:rPr>
        <w:t xml:space="preserve"> 26 470 618</w:t>
      </w:r>
      <w:r w:rsidR="00EE2F44" w:rsidRPr="005B0062">
        <w:rPr>
          <w:rFonts w:ascii="Times New Roman" w:hAnsi="Times New Roman"/>
          <w:color w:val="000000" w:themeColor="text1"/>
        </w:rPr>
        <w:t xml:space="preserve"> euroa.</w:t>
      </w:r>
    </w:p>
    <w:p w:rsidR="00574592" w:rsidRPr="006021F7" w:rsidRDefault="00574592" w:rsidP="00574592">
      <w:pPr>
        <w:spacing w:after="0" w:line="220" w:lineRule="exact"/>
        <w:ind w:firstLine="1304"/>
        <w:jc w:val="both"/>
        <w:rPr>
          <w:rFonts w:ascii="Times New Roman" w:hAnsi="Times New Roman"/>
          <w:b/>
        </w:rPr>
      </w:pPr>
    </w:p>
    <w:p w:rsidR="00574592" w:rsidRPr="00DC5C91" w:rsidRDefault="00574592" w:rsidP="00574592">
      <w:pPr>
        <w:spacing w:after="0" w:line="220" w:lineRule="exact"/>
        <w:ind w:left="1304"/>
        <w:jc w:val="both"/>
        <w:rPr>
          <w:rFonts w:ascii="Times New Roman" w:hAnsi="Times New Roman"/>
        </w:rPr>
      </w:pPr>
      <w:r w:rsidRPr="006021F7">
        <w:rPr>
          <w:rFonts w:ascii="Times New Roman" w:hAnsi="Times New Roman"/>
          <w:b/>
        </w:rPr>
        <w:t>6 §</w:t>
      </w:r>
      <w:r w:rsidRPr="006021F7">
        <w:rPr>
          <w:rFonts w:ascii="Times New Roman" w:hAnsi="Times New Roman"/>
        </w:rPr>
        <w:t xml:space="preserve">. </w:t>
      </w:r>
      <w:r w:rsidR="008A52E5" w:rsidRPr="0093554D">
        <w:rPr>
          <w:rFonts w:ascii="Times New Roman" w:hAnsi="Times New Roman"/>
          <w:color w:val="000000" w:themeColor="text1"/>
        </w:rPr>
        <w:t>Uusi a</w:t>
      </w:r>
      <w:r w:rsidRPr="0093554D">
        <w:rPr>
          <w:rFonts w:ascii="Times New Roman" w:hAnsi="Times New Roman"/>
          <w:color w:val="000000" w:themeColor="text1"/>
        </w:rPr>
        <w:t xml:space="preserve">setus ja sen maksutaulukko tulisivat voimaan </w:t>
      </w:r>
      <w:r w:rsidR="00DC3BE6" w:rsidRPr="0093554D">
        <w:rPr>
          <w:rFonts w:ascii="Times New Roman" w:hAnsi="Times New Roman"/>
          <w:color w:val="000000" w:themeColor="text1"/>
        </w:rPr>
        <w:t>1.1.2018</w:t>
      </w:r>
      <w:r w:rsidRPr="0093554D">
        <w:rPr>
          <w:rFonts w:ascii="Times New Roman" w:hAnsi="Times New Roman"/>
          <w:color w:val="000000" w:themeColor="text1"/>
        </w:rPr>
        <w:t xml:space="preserve">, jolloin nykyisen maksuasetuksen voimassaolo päättyy. </w:t>
      </w:r>
      <w:r w:rsidR="008A52E5" w:rsidRPr="0093554D">
        <w:rPr>
          <w:rFonts w:ascii="Times New Roman" w:hAnsi="Times New Roman"/>
          <w:color w:val="000000" w:themeColor="text1"/>
        </w:rPr>
        <w:t>Uusi a</w:t>
      </w:r>
      <w:r w:rsidR="00DC3BE6" w:rsidRPr="0093554D">
        <w:rPr>
          <w:rFonts w:ascii="Times New Roman" w:hAnsi="Times New Roman"/>
          <w:color w:val="000000" w:themeColor="text1"/>
        </w:rPr>
        <w:t>setus olisi voimassa 31.12.2019</w:t>
      </w:r>
      <w:r w:rsidRPr="0093554D">
        <w:rPr>
          <w:rFonts w:ascii="Times New Roman" w:hAnsi="Times New Roman"/>
          <w:color w:val="000000" w:themeColor="text1"/>
        </w:rPr>
        <w:t xml:space="preserve"> saakk</w:t>
      </w:r>
      <w:r w:rsidRPr="00DC5C91">
        <w:rPr>
          <w:rFonts w:ascii="Times New Roman" w:hAnsi="Times New Roman"/>
        </w:rPr>
        <w:t xml:space="preserve">a. </w:t>
      </w:r>
    </w:p>
    <w:p w:rsidR="00897380" w:rsidRPr="006021F7" w:rsidRDefault="00897380" w:rsidP="003C6F72">
      <w:pPr>
        <w:spacing w:after="0" w:line="220" w:lineRule="exact"/>
        <w:ind w:firstLine="1304"/>
        <w:jc w:val="both"/>
        <w:rPr>
          <w:rFonts w:ascii="Times New Roman" w:hAnsi="Times New Roman"/>
        </w:rPr>
      </w:pPr>
    </w:p>
    <w:p w:rsidR="00897380" w:rsidRPr="006021F7" w:rsidRDefault="00897380" w:rsidP="003C6F72">
      <w:pPr>
        <w:spacing w:after="0" w:line="220" w:lineRule="exact"/>
        <w:ind w:firstLine="1304"/>
        <w:jc w:val="both"/>
        <w:rPr>
          <w:rFonts w:ascii="Times New Roman" w:hAnsi="Times New Roman"/>
        </w:rPr>
      </w:pPr>
    </w:p>
    <w:p w:rsidR="00C275D5" w:rsidRPr="002B09CA" w:rsidRDefault="002B09CA" w:rsidP="003C6F72">
      <w:pPr>
        <w:spacing w:after="0" w:line="220" w:lineRule="exact"/>
        <w:jc w:val="both"/>
        <w:rPr>
          <w:rFonts w:ascii="Times New Roman" w:hAnsi="Times New Roman"/>
          <w:b/>
        </w:rPr>
      </w:pPr>
      <w:r>
        <w:rPr>
          <w:rFonts w:ascii="Times New Roman" w:hAnsi="Times New Roman"/>
          <w:b/>
        </w:rPr>
        <w:t>3</w:t>
      </w:r>
      <w:r w:rsidR="00C275D5" w:rsidRPr="002B09CA">
        <w:rPr>
          <w:rFonts w:ascii="Times New Roman" w:hAnsi="Times New Roman"/>
          <w:b/>
        </w:rPr>
        <w:t>. Asian valmistelu</w:t>
      </w:r>
      <w:r w:rsidR="00E91129" w:rsidRPr="002B09CA">
        <w:rPr>
          <w:rFonts w:ascii="Times New Roman" w:hAnsi="Times New Roman"/>
          <w:b/>
        </w:rPr>
        <w:t xml:space="preserve"> </w:t>
      </w:r>
      <w:r w:rsidR="00DC5C91" w:rsidRPr="002B09CA">
        <w:rPr>
          <w:rFonts w:ascii="Times New Roman" w:hAnsi="Times New Roman"/>
          <w:b/>
        </w:rPr>
        <w:t>[</w:t>
      </w:r>
      <w:r w:rsidR="00950B90" w:rsidRPr="002B09CA">
        <w:rPr>
          <w:rFonts w:ascii="Times New Roman" w:hAnsi="Times New Roman"/>
          <w:b/>
        </w:rPr>
        <w:t>tämä kohta täydennetään</w:t>
      </w:r>
      <w:r w:rsidR="00DC5C91" w:rsidRPr="002B09CA">
        <w:rPr>
          <w:rFonts w:ascii="Times New Roman" w:hAnsi="Times New Roman"/>
          <w:b/>
        </w:rPr>
        <w:t xml:space="preserve"> </w:t>
      </w:r>
      <w:r w:rsidR="00636BED" w:rsidRPr="002B09CA">
        <w:rPr>
          <w:rFonts w:ascii="Times New Roman" w:hAnsi="Times New Roman"/>
          <w:b/>
        </w:rPr>
        <w:t>lausuntojen saamisen jälkeen</w:t>
      </w:r>
      <w:r w:rsidR="00950B90" w:rsidRPr="002B09CA">
        <w:rPr>
          <w:rFonts w:ascii="Times New Roman" w:hAnsi="Times New Roman"/>
          <w:b/>
        </w:rPr>
        <w:t>]</w:t>
      </w:r>
    </w:p>
    <w:p w:rsidR="00C275D5" w:rsidRPr="002B09CA" w:rsidRDefault="00C275D5" w:rsidP="003C6F72">
      <w:pPr>
        <w:spacing w:after="0" w:line="220" w:lineRule="exact"/>
        <w:ind w:firstLine="1304"/>
        <w:jc w:val="both"/>
        <w:rPr>
          <w:rFonts w:ascii="Times New Roman" w:hAnsi="Times New Roman"/>
        </w:rPr>
      </w:pPr>
      <w:r w:rsidRPr="002B09CA">
        <w:rPr>
          <w:rFonts w:ascii="Times New Roman" w:hAnsi="Times New Roman"/>
        </w:rPr>
        <w:tab/>
      </w:r>
    </w:p>
    <w:p w:rsidR="003466D0" w:rsidRPr="002B09CA" w:rsidRDefault="00697929">
      <w:pPr>
        <w:spacing w:after="0" w:line="220" w:lineRule="exact"/>
        <w:ind w:left="1304"/>
        <w:jc w:val="both"/>
        <w:rPr>
          <w:rFonts w:ascii="Times New Roman" w:hAnsi="Times New Roman"/>
          <w:strike/>
        </w:rPr>
      </w:pPr>
      <w:r w:rsidRPr="002B09CA">
        <w:rPr>
          <w:rFonts w:ascii="Times New Roman" w:hAnsi="Times New Roman"/>
        </w:rPr>
        <w:t>Patentti- ja rekisterihallitus teki työ- ja elinkeinoministeriölle esityksen</w:t>
      </w:r>
      <w:r w:rsidR="00072E2B" w:rsidRPr="002B09CA">
        <w:rPr>
          <w:rFonts w:ascii="Times New Roman" w:hAnsi="Times New Roman"/>
        </w:rPr>
        <w:t xml:space="preserve"> maksuasetuksen muuttamisesta 25.9.2017</w:t>
      </w:r>
      <w:r w:rsidRPr="002B09CA">
        <w:rPr>
          <w:rFonts w:ascii="Times New Roman" w:hAnsi="Times New Roman"/>
        </w:rPr>
        <w:t xml:space="preserve">. </w:t>
      </w:r>
      <w:r w:rsidR="006D2630" w:rsidRPr="002B09CA">
        <w:rPr>
          <w:rFonts w:ascii="Times New Roman" w:hAnsi="Times New Roman"/>
        </w:rPr>
        <w:t>Esitys uudeksi maksuasetukseksi toimitettiin lausuntokierrokselle</w:t>
      </w:r>
      <w:r w:rsidR="002B09CA">
        <w:rPr>
          <w:rFonts w:ascii="Times New Roman" w:hAnsi="Times New Roman"/>
        </w:rPr>
        <w:t xml:space="preserve"> 3</w:t>
      </w:r>
      <w:r w:rsidR="00C5454E" w:rsidRPr="002B09CA">
        <w:rPr>
          <w:rFonts w:ascii="Times New Roman" w:hAnsi="Times New Roman"/>
        </w:rPr>
        <w:t>.10.2017</w:t>
      </w:r>
      <w:r w:rsidR="006D2630" w:rsidRPr="002B09CA">
        <w:rPr>
          <w:rFonts w:ascii="Times New Roman" w:hAnsi="Times New Roman"/>
        </w:rPr>
        <w:t>. Lausuntoja pyydettiin [</w:t>
      </w:r>
      <w:r w:rsidR="00C5454E" w:rsidRPr="002B09CA">
        <w:rPr>
          <w:rFonts w:ascii="Times New Roman" w:hAnsi="Times New Roman"/>
        </w:rPr>
        <w:t xml:space="preserve"> </w:t>
      </w:r>
      <w:r w:rsidR="006D2630" w:rsidRPr="002B09CA">
        <w:rPr>
          <w:rFonts w:ascii="Times New Roman" w:hAnsi="Times New Roman"/>
        </w:rPr>
        <w:t>] tahoilta, ja lausuntoja saatiin [</w:t>
      </w:r>
      <w:r w:rsidR="00C5454E" w:rsidRPr="002B09CA">
        <w:rPr>
          <w:rFonts w:ascii="Times New Roman" w:hAnsi="Times New Roman"/>
        </w:rPr>
        <w:t xml:space="preserve"> </w:t>
      </w:r>
      <w:r w:rsidR="006D2630" w:rsidRPr="002B09CA">
        <w:rPr>
          <w:rFonts w:ascii="Times New Roman" w:hAnsi="Times New Roman"/>
        </w:rPr>
        <w:t xml:space="preserve">] taholta. </w:t>
      </w:r>
      <w:r w:rsidR="00312FFE" w:rsidRPr="002B09CA">
        <w:rPr>
          <w:rFonts w:ascii="Times New Roman" w:hAnsi="Times New Roman"/>
        </w:rPr>
        <w:t xml:space="preserve">[Mahdollisia kommentteja.] </w:t>
      </w:r>
    </w:p>
    <w:p w:rsidR="00A07618" w:rsidRPr="00636BED" w:rsidRDefault="00A07618" w:rsidP="003C6F72">
      <w:pPr>
        <w:spacing w:after="0" w:line="220" w:lineRule="exact"/>
        <w:ind w:left="1304"/>
        <w:jc w:val="both"/>
        <w:rPr>
          <w:rFonts w:ascii="Times New Roman" w:hAnsi="Times New Roman"/>
          <w:color w:val="FF0000"/>
        </w:rPr>
      </w:pPr>
    </w:p>
    <w:p w:rsidR="007C1C06" w:rsidRPr="00636BED" w:rsidRDefault="00885F12" w:rsidP="003C6F72">
      <w:pPr>
        <w:spacing w:after="0" w:line="220" w:lineRule="exact"/>
        <w:ind w:left="1304"/>
        <w:jc w:val="both"/>
        <w:rPr>
          <w:rFonts w:ascii="Times New Roman" w:hAnsi="Times New Roman"/>
          <w:color w:val="000000" w:themeColor="text1"/>
        </w:rPr>
      </w:pPr>
      <w:r w:rsidRPr="00636BED">
        <w:rPr>
          <w:rFonts w:ascii="Times New Roman" w:hAnsi="Times New Roman"/>
          <w:color w:val="000000" w:themeColor="text1"/>
        </w:rPr>
        <w:t>Asetusehdotus käsitellään valtioneuvoston raha-asiainvaliokunnassa ennen sen antamista.</w:t>
      </w:r>
    </w:p>
    <w:p w:rsidR="00C275D5" w:rsidRPr="006021F7" w:rsidRDefault="00C275D5" w:rsidP="003C6F72">
      <w:pPr>
        <w:spacing w:after="0" w:line="220" w:lineRule="exact"/>
        <w:ind w:firstLine="1304"/>
        <w:jc w:val="both"/>
        <w:rPr>
          <w:rFonts w:ascii="Times New Roman" w:hAnsi="Times New Roman"/>
        </w:rPr>
      </w:pPr>
    </w:p>
    <w:p w:rsidR="00C275D5" w:rsidRPr="006021F7" w:rsidRDefault="00C275D5" w:rsidP="003C6F72">
      <w:pPr>
        <w:spacing w:after="0" w:line="220" w:lineRule="exact"/>
        <w:ind w:firstLine="1304"/>
        <w:jc w:val="both"/>
        <w:rPr>
          <w:rFonts w:ascii="Times New Roman" w:hAnsi="Times New Roman"/>
        </w:rPr>
      </w:pPr>
    </w:p>
    <w:p w:rsidR="00897380" w:rsidRPr="005742C7" w:rsidRDefault="002B09CA" w:rsidP="003C6F72">
      <w:pPr>
        <w:pStyle w:val="LLNormaali"/>
        <w:jc w:val="both"/>
        <w:rPr>
          <w:b/>
          <w:szCs w:val="22"/>
        </w:rPr>
      </w:pPr>
      <w:r>
        <w:rPr>
          <w:b/>
          <w:szCs w:val="22"/>
        </w:rPr>
        <w:t>4</w:t>
      </w:r>
      <w:r w:rsidR="00897380" w:rsidRPr="005742C7">
        <w:rPr>
          <w:b/>
          <w:szCs w:val="22"/>
        </w:rPr>
        <w:t>. Vaikutukset</w:t>
      </w:r>
    </w:p>
    <w:p w:rsidR="00774FDD" w:rsidRPr="00072E2B" w:rsidRDefault="00774FDD" w:rsidP="003C6F72">
      <w:pPr>
        <w:pStyle w:val="LLNormaali"/>
        <w:ind w:firstLine="1304"/>
        <w:jc w:val="both"/>
        <w:rPr>
          <w:szCs w:val="22"/>
          <w:highlight w:val="yellow"/>
        </w:rPr>
      </w:pPr>
    </w:p>
    <w:p w:rsidR="00636BED" w:rsidRPr="00DC5C91" w:rsidRDefault="00CB33F8" w:rsidP="00CB33F8">
      <w:pPr>
        <w:spacing w:after="0" w:line="220" w:lineRule="exact"/>
        <w:ind w:left="1304"/>
        <w:jc w:val="both"/>
        <w:rPr>
          <w:rFonts w:ascii="Times New Roman" w:hAnsi="Times New Roman"/>
        </w:rPr>
      </w:pPr>
      <w:r w:rsidRPr="00DC5C91">
        <w:rPr>
          <w:rFonts w:ascii="Times New Roman" w:hAnsi="Times New Roman"/>
        </w:rPr>
        <w:t xml:space="preserve">Esityksellä pidetään voimassa PRH:n suoritteista nykyisin perittävät maksut, joten </w:t>
      </w:r>
      <w:r w:rsidR="00885F12" w:rsidRPr="00DC5C91">
        <w:rPr>
          <w:rFonts w:ascii="Times New Roman" w:hAnsi="Times New Roman"/>
        </w:rPr>
        <w:t>esityksestä ei aiheudu muutoksia</w:t>
      </w:r>
      <w:r w:rsidR="00241132" w:rsidRPr="00DC5C91">
        <w:rPr>
          <w:rFonts w:ascii="Times New Roman" w:hAnsi="Times New Roman"/>
        </w:rPr>
        <w:t xml:space="preserve"> suhteessa nykytilaan.</w:t>
      </w:r>
    </w:p>
    <w:p w:rsidR="00241132" w:rsidRPr="00DC5C91" w:rsidRDefault="00241132" w:rsidP="00CB33F8">
      <w:pPr>
        <w:spacing w:after="0" w:line="220" w:lineRule="exact"/>
        <w:ind w:left="1304"/>
        <w:jc w:val="both"/>
        <w:rPr>
          <w:rFonts w:ascii="Times New Roman" w:hAnsi="Times New Roman"/>
        </w:rPr>
      </w:pPr>
    </w:p>
    <w:p w:rsidR="00241132" w:rsidRPr="00DC5C91" w:rsidRDefault="00254181" w:rsidP="00CB33F8">
      <w:pPr>
        <w:spacing w:after="0" w:line="220" w:lineRule="exact"/>
        <w:ind w:left="1304"/>
        <w:jc w:val="both"/>
        <w:rPr>
          <w:rFonts w:ascii="Times New Roman" w:hAnsi="Times New Roman"/>
        </w:rPr>
      </w:pPr>
      <w:r w:rsidRPr="00DC5C91">
        <w:rPr>
          <w:rFonts w:ascii="Times New Roman" w:hAnsi="Times New Roman"/>
        </w:rPr>
        <w:t xml:space="preserve">Tämän esityksen liitteenä on </w:t>
      </w:r>
      <w:r w:rsidR="00241132" w:rsidRPr="00DC5C91">
        <w:rPr>
          <w:rFonts w:ascii="Times New Roman" w:hAnsi="Times New Roman"/>
        </w:rPr>
        <w:t>laskelmat, joissa on esitetty arvioitu</w:t>
      </w:r>
      <w:r w:rsidR="00F16F8D" w:rsidRPr="00DC5C91">
        <w:rPr>
          <w:rFonts w:ascii="Times New Roman" w:hAnsi="Times New Roman"/>
        </w:rPr>
        <w:t xml:space="preserve">un </w:t>
      </w:r>
      <w:r w:rsidR="00241132" w:rsidRPr="00DC5C91">
        <w:rPr>
          <w:rFonts w:ascii="Times New Roman" w:hAnsi="Times New Roman"/>
        </w:rPr>
        <w:t xml:space="preserve"> kysyntä</w:t>
      </w:r>
      <w:r w:rsidR="00F16F8D" w:rsidRPr="00DC5C91">
        <w:rPr>
          <w:rFonts w:ascii="Times New Roman" w:hAnsi="Times New Roman"/>
        </w:rPr>
        <w:t>än</w:t>
      </w:r>
      <w:r w:rsidR="00241132" w:rsidRPr="00DC5C91">
        <w:rPr>
          <w:rFonts w:ascii="Times New Roman" w:hAnsi="Times New Roman"/>
        </w:rPr>
        <w:t xml:space="preserve"> ja  </w:t>
      </w:r>
      <w:r w:rsidR="00F16F8D" w:rsidRPr="00DC5C91">
        <w:rPr>
          <w:rFonts w:ascii="Times New Roman" w:hAnsi="Times New Roman"/>
        </w:rPr>
        <w:t>vahvis</w:t>
      </w:r>
      <w:r w:rsidR="00A77DF5" w:rsidRPr="00DC5C91">
        <w:rPr>
          <w:rFonts w:ascii="Times New Roman" w:hAnsi="Times New Roman"/>
        </w:rPr>
        <w:t>tettavaksi esitett</w:t>
      </w:r>
      <w:r w:rsidR="00F16F8D" w:rsidRPr="00DC5C91">
        <w:rPr>
          <w:rFonts w:ascii="Times New Roman" w:hAnsi="Times New Roman"/>
        </w:rPr>
        <w:t>y</w:t>
      </w:r>
      <w:r w:rsidR="00A77DF5" w:rsidRPr="00DC5C91">
        <w:rPr>
          <w:rFonts w:ascii="Times New Roman" w:hAnsi="Times New Roman"/>
        </w:rPr>
        <w:t>y</w:t>
      </w:r>
      <w:r w:rsidR="00F16F8D" w:rsidRPr="00DC5C91">
        <w:rPr>
          <w:rFonts w:ascii="Times New Roman" w:hAnsi="Times New Roman"/>
        </w:rPr>
        <w:t>n maksutaulukkoon perustuva kustannusvastaavuus</w:t>
      </w:r>
      <w:r w:rsidR="00241132" w:rsidRPr="00DC5C91">
        <w:rPr>
          <w:rFonts w:ascii="Times New Roman" w:hAnsi="Times New Roman"/>
        </w:rPr>
        <w:t xml:space="preserve"> vuosille 2018-2019.</w:t>
      </w:r>
    </w:p>
    <w:p w:rsidR="00AF488F" w:rsidRPr="00DC5C91" w:rsidRDefault="00AF488F" w:rsidP="00CB33F8">
      <w:pPr>
        <w:spacing w:after="0" w:line="220" w:lineRule="exact"/>
        <w:ind w:left="1304"/>
        <w:jc w:val="both"/>
        <w:rPr>
          <w:rFonts w:ascii="Times New Roman" w:hAnsi="Times New Roman"/>
        </w:rPr>
      </w:pPr>
    </w:p>
    <w:p w:rsidR="00AF488F" w:rsidRPr="00DC5C91" w:rsidRDefault="00AF488F" w:rsidP="00CB33F8">
      <w:pPr>
        <w:spacing w:after="0" w:line="220" w:lineRule="exact"/>
        <w:ind w:left="1304"/>
        <w:jc w:val="both"/>
        <w:rPr>
          <w:rFonts w:ascii="Times New Roman" w:hAnsi="Times New Roman"/>
        </w:rPr>
      </w:pPr>
      <w:r w:rsidRPr="00DC5C91">
        <w:rPr>
          <w:rFonts w:ascii="Times New Roman" w:hAnsi="Times New Roman"/>
        </w:rPr>
        <w:t>Patentti- ja tavaramerkkiasioiden kustannusvastaavuus on tarkastelujaksolla n. 100</w:t>
      </w:r>
      <w:r w:rsidR="006D2630" w:rsidRPr="00DC5C91">
        <w:rPr>
          <w:rFonts w:ascii="Times New Roman" w:hAnsi="Times New Roman"/>
        </w:rPr>
        <w:t xml:space="preserve"> </w:t>
      </w:r>
      <w:r w:rsidRPr="00DC5C91">
        <w:rPr>
          <w:rFonts w:ascii="Times New Roman" w:hAnsi="Times New Roman"/>
        </w:rPr>
        <w:t>%, kun huomioidaan allijäämä ja siihen saatava budjettikompensaatio. Yhteisöpatenin arvioidaan laskelmissa tulevan voimaan 1.7.2018.</w:t>
      </w:r>
      <w:r w:rsidR="00C00D18" w:rsidRPr="00DC5C91">
        <w:rPr>
          <w:rFonts w:ascii="Times New Roman" w:hAnsi="Times New Roman"/>
        </w:rPr>
        <w:t xml:space="preserve"> Liitteenä I </w:t>
      </w:r>
      <w:r w:rsidR="006D2630" w:rsidRPr="00DC5C91">
        <w:rPr>
          <w:rFonts w:ascii="Times New Roman" w:hAnsi="Times New Roman"/>
        </w:rPr>
        <w:t xml:space="preserve">on </w:t>
      </w:r>
      <w:r w:rsidR="00C00D18" w:rsidRPr="00DC5C91">
        <w:rPr>
          <w:rFonts w:ascii="Times New Roman" w:hAnsi="Times New Roman"/>
        </w:rPr>
        <w:t xml:space="preserve">ennustettu </w:t>
      </w:r>
      <w:r w:rsidR="009F0025" w:rsidRPr="00DC5C91">
        <w:rPr>
          <w:rFonts w:ascii="Times New Roman" w:hAnsi="Times New Roman"/>
        </w:rPr>
        <w:t>kustannusv</w:t>
      </w:r>
      <w:r w:rsidR="00C00D18" w:rsidRPr="00DC5C91">
        <w:rPr>
          <w:rFonts w:ascii="Times New Roman" w:hAnsi="Times New Roman"/>
        </w:rPr>
        <w:t xml:space="preserve">astaavuuslaskelma kaudelle </w:t>
      </w:r>
      <w:proofErr w:type="gramStart"/>
      <w:r w:rsidR="00C00D18" w:rsidRPr="00DC5C91">
        <w:rPr>
          <w:rFonts w:ascii="Times New Roman" w:hAnsi="Times New Roman"/>
        </w:rPr>
        <w:t>2018-2019</w:t>
      </w:r>
      <w:proofErr w:type="gramEnd"/>
      <w:r w:rsidR="00C00D18" w:rsidRPr="00DC5C91">
        <w:rPr>
          <w:rFonts w:ascii="Times New Roman" w:hAnsi="Times New Roman"/>
        </w:rPr>
        <w:t>.</w:t>
      </w:r>
    </w:p>
    <w:p w:rsidR="00C20891" w:rsidRPr="00DC5C91" w:rsidRDefault="00C20891" w:rsidP="009F0025">
      <w:pPr>
        <w:spacing w:after="0" w:line="220" w:lineRule="exact"/>
        <w:jc w:val="both"/>
        <w:rPr>
          <w:rFonts w:ascii="Times New Roman" w:hAnsi="Times New Roman"/>
        </w:rPr>
      </w:pPr>
    </w:p>
    <w:p w:rsidR="008C4E2C" w:rsidRPr="00DC5C91" w:rsidRDefault="00C00D18" w:rsidP="00CB33F8">
      <w:pPr>
        <w:spacing w:after="0" w:line="220" w:lineRule="exact"/>
        <w:ind w:left="1304"/>
        <w:jc w:val="both"/>
        <w:rPr>
          <w:rFonts w:ascii="Times New Roman" w:hAnsi="Times New Roman"/>
        </w:rPr>
      </w:pPr>
      <w:r w:rsidRPr="00DC5C91">
        <w:rPr>
          <w:rFonts w:ascii="Times New Roman" w:hAnsi="Times New Roman"/>
        </w:rPr>
        <w:t>Kauppar</w:t>
      </w:r>
      <w:r w:rsidR="008C4E2C" w:rsidRPr="00DC5C91">
        <w:rPr>
          <w:rFonts w:ascii="Times New Roman" w:hAnsi="Times New Roman"/>
        </w:rPr>
        <w:t>ekisterin</w:t>
      </w:r>
      <w:r w:rsidRPr="00DC5C91">
        <w:rPr>
          <w:rFonts w:ascii="Times New Roman" w:hAnsi="Times New Roman"/>
        </w:rPr>
        <w:t xml:space="preserve"> </w:t>
      </w:r>
      <w:r w:rsidR="008C4E2C" w:rsidRPr="00DC5C91">
        <w:rPr>
          <w:rFonts w:ascii="Times New Roman" w:hAnsi="Times New Roman"/>
        </w:rPr>
        <w:t>kustannusvastaavuus nousee tarkastelujaksolla huomattavan korkeaksi, mutta sitä tulee heikentämään kaupparekisterin sähköisen asioinnin uudistaminen vuodesta 2019 alkaen.</w:t>
      </w:r>
    </w:p>
    <w:p w:rsidR="008C4E2C" w:rsidRPr="00DC5C91" w:rsidRDefault="008C4E2C" w:rsidP="00CB33F8">
      <w:pPr>
        <w:spacing w:after="0" w:line="220" w:lineRule="exact"/>
        <w:ind w:left="1304"/>
        <w:jc w:val="both"/>
        <w:rPr>
          <w:rFonts w:ascii="Times New Roman" w:hAnsi="Times New Roman"/>
        </w:rPr>
      </w:pPr>
    </w:p>
    <w:p w:rsidR="008C4E2C" w:rsidRPr="00DC5C91" w:rsidRDefault="008C4E2C" w:rsidP="00CB33F8">
      <w:pPr>
        <w:spacing w:after="0" w:line="220" w:lineRule="exact"/>
        <w:ind w:left="1304"/>
        <w:jc w:val="both"/>
        <w:rPr>
          <w:rFonts w:ascii="Times New Roman" w:hAnsi="Times New Roman"/>
        </w:rPr>
      </w:pPr>
      <w:r w:rsidRPr="00DC5C91">
        <w:rPr>
          <w:rFonts w:ascii="Times New Roman" w:hAnsi="Times New Roman"/>
        </w:rPr>
        <w:t>Yhdistysrekisterin kustannusvastaavuus on kolmen vuoden tarkastelujaksolla noin -1,1 milj. euroa, joka on vain hivenen pienempi kuin siihen saatava määräraha 1,2 milj. euroa.</w:t>
      </w:r>
    </w:p>
    <w:p w:rsidR="008C4E2C" w:rsidRPr="00DC5C91" w:rsidRDefault="008C4E2C" w:rsidP="00CB33F8">
      <w:pPr>
        <w:spacing w:after="0" w:line="220" w:lineRule="exact"/>
        <w:ind w:left="1304"/>
        <w:jc w:val="both"/>
        <w:rPr>
          <w:rFonts w:ascii="Times New Roman" w:hAnsi="Times New Roman"/>
        </w:rPr>
      </w:pPr>
    </w:p>
    <w:p w:rsidR="008C4E2C" w:rsidRPr="00DC5C91" w:rsidRDefault="008C4E2C" w:rsidP="00CB33F8">
      <w:pPr>
        <w:spacing w:after="0" w:line="220" w:lineRule="exact"/>
        <w:ind w:left="1304"/>
        <w:jc w:val="both"/>
        <w:rPr>
          <w:rFonts w:ascii="Times New Roman" w:hAnsi="Times New Roman"/>
        </w:rPr>
      </w:pPr>
      <w:r w:rsidRPr="00DC5C91">
        <w:rPr>
          <w:rFonts w:ascii="Times New Roman" w:hAnsi="Times New Roman"/>
        </w:rPr>
        <w:lastRenderedPageBreak/>
        <w:t>Säätiörekisterin kustannusvastaavuus on koko tarkastelujakson noin -0,8 milj. euroa, jota vastaan saadaan budjettikompensaatiota 650</w:t>
      </w:r>
      <w:r w:rsidR="00DC5C91" w:rsidRPr="00DC5C91">
        <w:rPr>
          <w:rFonts w:ascii="Times New Roman" w:hAnsi="Times New Roman"/>
        </w:rPr>
        <w:t> 000 euroa</w:t>
      </w:r>
      <w:r w:rsidRPr="00DC5C91">
        <w:rPr>
          <w:rFonts w:ascii="Times New Roman" w:hAnsi="Times New Roman"/>
        </w:rPr>
        <w:t>.</w:t>
      </w:r>
    </w:p>
    <w:p w:rsidR="008C4E2C" w:rsidRPr="00DC5C91" w:rsidRDefault="008C4E2C" w:rsidP="00CB33F8">
      <w:pPr>
        <w:spacing w:after="0" w:line="220" w:lineRule="exact"/>
        <w:ind w:left="1304"/>
        <w:jc w:val="both"/>
        <w:rPr>
          <w:rFonts w:ascii="Times New Roman" w:hAnsi="Times New Roman"/>
        </w:rPr>
      </w:pPr>
    </w:p>
    <w:p w:rsidR="008C4E2C" w:rsidRPr="00DC5C91" w:rsidRDefault="008C4E2C" w:rsidP="00DC5C91">
      <w:pPr>
        <w:spacing w:after="0" w:line="220" w:lineRule="exact"/>
        <w:ind w:left="1304"/>
        <w:jc w:val="both"/>
        <w:rPr>
          <w:rFonts w:ascii="Times New Roman" w:hAnsi="Times New Roman"/>
        </w:rPr>
      </w:pPr>
      <w:r w:rsidRPr="00DC5C91">
        <w:rPr>
          <w:rFonts w:ascii="Times New Roman" w:hAnsi="Times New Roman"/>
        </w:rPr>
        <w:t>Yrityskiinnityksen kustannusvastaavuus on tarkastelujaksolla n. 120</w:t>
      </w:r>
      <w:r w:rsidR="00DC5C91">
        <w:rPr>
          <w:rFonts w:ascii="Times New Roman" w:hAnsi="Times New Roman"/>
        </w:rPr>
        <w:t xml:space="preserve"> </w:t>
      </w:r>
      <w:r w:rsidRPr="00DC5C91">
        <w:rPr>
          <w:rFonts w:ascii="Times New Roman" w:hAnsi="Times New Roman"/>
        </w:rPr>
        <w:t>%, mutta on kokonaisuutena vain vähän yli 100</w:t>
      </w:r>
      <w:r w:rsidR="00DC5C91" w:rsidRPr="00DC5C91">
        <w:rPr>
          <w:rFonts w:ascii="Times New Roman" w:hAnsi="Times New Roman"/>
        </w:rPr>
        <w:t> 000 euroa</w:t>
      </w:r>
      <w:r w:rsidRPr="00DC5C91">
        <w:rPr>
          <w:rFonts w:ascii="Times New Roman" w:hAnsi="Times New Roman"/>
        </w:rPr>
        <w:t>.</w:t>
      </w:r>
    </w:p>
    <w:p w:rsidR="009F0025" w:rsidRPr="00DC5C91" w:rsidRDefault="009F0025" w:rsidP="00C40131">
      <w:pPr>
        <w:spacing w:after="0" w:line="220" w:lineRule="exact"/>
        <w:jc w:val="both"/>
        <w:rPr>
          <w:rFonts w:ascii="Times New Roman" w:hAnsi="Times New Roman"/>
        </w:rPr>
      </w:pPr>
    </w:p>
    <w:p w:rsidR="009F0025" w:rsidRPr="00DC5C91" w:rsidRDefault="00C40131" w:rsidP="00CB33F8">
      <w:pPr>
        <w:spacing w:after="0" w:line="220" w:lineRule="exact"/>
        <w:ind w:left="1304"/>
        <w:jc w:val="both"/>
        <w:rPr>
          <w:rFonts w:ascii="Times New Roman" w:hAnsi="Times New Roman"/>
        </w:rPr>
      </w:pPr>
      <w:r w:rsidRPr="00DC5C91">
        <w:rPr>
          <w:rFonts w:ascii="Times New Roman" w:hAnsi="Times New Roman"/>
        </w:rPr>
        <w:t>Kustannusvast</w:t>
      </w:r>
      <w:r w:rsidR="009F0025" w:rsidRPr="00DC5C91">
        <w:rPr>
          <w:rFonts w:ascii="Times New Roman" w:hAnsi="Times New Roman"/>
        </w:rPr>
        <w:t>aavuuden a</w:t>
      </w:r>
      <w:r w:rsidRPr="00DC5C91">
        <w:rPr>
          <w:rFonts w:ascii="Times New Roman" w:hAnsi="Times New Roman"/>
        </w:rPr>
        <w:t>rv</w:t>
      </w:r>
      <w:r w:rsidR="009F0025" w:rsidRPr="00DC5C91">
        <w:rPr>
          <w:rFonts w:ascii="Times New Roman" w:hAnsi="Times New Roman"/>
        </w:rPr>
        <w:t>i</w:t>
      </w:r>
      <w:r w:rsidRPr="00DC5C91">
        <w:rPr>
          <w:rFonts w:ascii="Times New Roman" w:hAnsi="Times New Roman"/>
        </w:rPr>
        <w:t>oi</w:t>
      </w:r>
      <w:r w:rsidR="009F0025" w:rsidRPr="00DC5C91">
        <w:rPr>
          <w:rFonts w:ascii="Times New Roman" w:hAnsi="Times New Roman"/>
        </w:rPr>
        <w:t>ntia vaikeuttaa etenkin sähköisen kysynnän tuleva kehitys (matalampi hinta suhteessa manuaaliprosessiin) sekä nykyisen noususuhdanteeseen perustuvan kysynnän jatkuminen</w:t>
      </w:r>
      <w:r w:rsidR="00E268FB" w:rsidRPr="00DC5C91">
        <w:rPr>
          <w:rFonts w:ascii="Times New Roman" w:hAnsi="Times New Roman"/>
        </w:rPr>
        <w:t>.</w:t>
      </w:r>
    </w:p>
    <w:p w:rsidR="009F0025" w:rsidRPr="00DC5C91" w:rsidRDefault="009F0025" w:rsidP="00CB33F8">
      <w:pPr>
        <w:spacing w:after="0" w:line="220" w:lineRule="exact"/>
        <w:ind w:left="1304"/>
        <w:jc w:val="both"/>
        <w:rPr>
          <w:rFonts w:ascii="Times New Roman" w:hAnsi="Times New Roman"/>
        </w:rPr>
      </w:pPr>
    </w:p>
    <w:p w:rsidR="00EE2F44" w:rsidRPr="00DC5C91" w:rsidRDefault="009F0025" w:rsidP="00CB33F8">
      <w:pPr>
        <w:spacing w:after="0" w:line="220" w:lineRule="exact"/>
        <w:ind w:left="1304"/>
        <w:jc w:val="both"/>
        <w:rPr>
          <w:rFonts w:ascii="Times New Roman" w:hAnsi="Times New Roman"/>
        </w:rPr>
      </w:pPr>
      <w:r w:rsidRPr="00DC5C91">
        <w:rPr>
          <w:rFonts w:ascii="Times New Roman" w:hAnsi="Times New Roman"/>
        </w:rPr>
        <w:t xml:space="preserve">Määrärahoja ei huomioida kustannusvastaavuutta laskettaessa. </w:t>
      </w:r>
    </w:p>
    <w:p w:rsidR="002B09CA" w:rsidRDefault="002B09CA" w:rsidP="003C6F72">
      <w:pPr>
        <w:spacing w:after="0" w:line="220" w:lineRule="exact"/>
        <w:ind w:firstLine="1304"/>
        <w:jc w:val="both"/>
        <w:rPr>
          <w:rFonts w:ascii="Times New Roman" w:hAnsi="Times New Roman"/>
          <w:color w:val="00B0F0"/>
        </w:rPr>
      </w:pPr>
    </w:p>
    <w:p w:rsidR="00CB33F8" w:rsidRPr="001C048B" w:rsidRDefault="00005C01" w:rsidP="003C6F72">
      <w:pPr>
        <w:spacing w:after="0" w:line="220" w:lineRule="exact"/>
        <w:ind w:firstLine="1304"/>
        <w:jc w:val="both"/>
        <w:rPr>
          <w:rFonts w:ascii="Times New Roman" w:hAnsi="Times New Roman"/>
          <w:color w:val="00B0F0"/>
        </w:rPr>
      </w:pPr>
      <w:r w:rsidRPr="001C048B">
        <w:rPr>
          <w:rFonts w:ascii="Times New Roman" w:hAnsi="Times New Roman"/>
          <w:color w:val="00B0F0"/>
        </w:rPr>
        <w:t xml:space="preserve"> </w:t>
      </w:r>
    </w:p>
    <w:p w:rsidR="00962365" w:rsidRDefault="002B09CA" w:rsidP="003C6F72">
      <w:pPr>
        <w:pStyle w:val="py"/>
        <w:spacing w:before="0" w:beforeAutospacing="0" w:after="0" w:afterAutospacing="0" w:line="220" w:lineRule="exact"/>
        <w:jc w:val="both"/>
        <w:rPr>
          <w:b/>
          <w:sz w:val="22"/>
          <w:szCs w:val="22"/>
        </w:rPr>
      </w:pPr>
      <w:r>
        <w:rPr>
          <w:b/>
          <w:sz w:val="22"/>
          <w:szCs w:val="22"/>
        </w:rPr>
        <w:t>5</w:t>
      </w:r>
      <w:r w:rsidR="00962365" w:rsidRPr="006021F7">
        <w:rPr>
          <w:b/>
          <w:sz w:val="22"/>
          <w:szCs w:val="22"/>
        </w:rPr>
        <w:t>. Toimivalta</w:t>
      </w:r>
      <w:r w:rsidR="00005C01">
        <w:rPr>
          <w:b/>
          <w:sz w:val="22"/>
          <w:szCs w:val="22"/>
        </w:rPr>
        <w:t xml:space="preserve"> (TEM)</w:t>
      </w:r>
    </w:p>
    <w:p w:rsidR="00424283" w:rsidRPr="002B09CA" w:rsidRDefault="00424283" w:rsidP="003C6F72">
      <w:pPr>
        <w:pStyle w:val="py"/>
        <w:spacing w:before="0" w:beforeAutospacing="0" w:after="0" w:afterAutospacing="0" w:line="220" w:lineRule="exact"/>
        <w:jc w:val="both"/>
        <w:rPr>
          <w:b/>
          <w:sz w:val="22"/>
          <w:szCs w:val="22"/>
        </w:rPr>
      </w:pPr>
    </w:p>
    <w:p w:rsidR="00F221FB" w:rsidRDefault="00962365" w:rsidP="00424283">
      <w:pPr>
        <w:pStyle w:val="py"/>
        <w:spacing w:before="0" w:beforeAutospacing="0" w:after="0" w:afterAutospacing="0" w:line="220" w:lineRule="exact"/>
        <w:ind w:left="1304"/>
        <w:jc w:val="both"/>
        <w:rPr>
          <w:color w:val="000000" w:themeColor="text1"/>
          <w:sz w:val="22"/>
          <w:szCs w:val="22"/>
        </w:rPr>
      </w:pPr>
      <w:r w:rsidRPr="00636BED">
        <w:rPr>
          <w:color w:val="000000" w:themeColor="text1"/>
          <w:sz w:val="22"/>
          <w:szCs w:val="22"/>
        </w:rPr>
        <w:t xml:space="preserve">Patentti- ja rekisterihallituksen suoritteista perittävistä maksuista annetun lain (1032/1992) 5 §:n mukaan työ- ja elinkeinoministeriö päättää noudattaen mitä valtion maksuperustelaissa (150/92) säädetään, mitkä </w:t>
      </w:r>
      <w:r w:rsidR="00A44DF6" w:rsidRPr="00636BED">
        <w:rPr>
          <w:color w:val="000000" w:themeColor="text1"/>
          <w:sz w:val="22"/>
          <w:szCs w:val="22"/>
        </w:rPr>
        <w:t>P</w:t>
      </w:r>
      <w:r w:rsidRPr="00636BED">
        <w:rPr>
          <w:color w:val="000000" w:themeColor="text1"/>
          <w:sz w:val="22"/>
          <w:szCs w:val="22"/>
        </w:rPr>
        <w:t xml:space="preserve">atentti- ja rekisterihallituksen ja 1 §:ssä tarkoitetut muun viranomaisen suoritteet tai suoriteryhmät ovat maksullisia ja mistä suoritteesta tai suoriteryhmästä maksu määrätään omakustannusarvon, mistä suoriteryhmäkohtaisen kustannusvastaavuuden perusteella ja mistä liiketaloudellisin perustein. </w:t>
      </w:r>
      <w:r w:rsidR="00A44DF6" w:rsidRPr="00636BED">
        <w:rPr>
          <w:color w:val="000000" w:themeColor="text1"/>
          <w:sz w:val="22"/>
          <w:szCs w:val="22"/>
        </w:rPr>
        <w:t>T</w:t>
      </w:r>
      <w:r w:rsidRPr="00636BED">
        <w:rPr>
          <w:color w:val="000000" w:themeColor="text1"/>
          <w:sz w:val="22"/>
          <w:szCs w:val="22"/>
        </w:rPr>
        <w:t>yö- ja elinkeinoministeriö päättää myös lain 3 §:n 3 momentissa tarkoitetuista kiinteistä maksuista. Lisäksi ministeriö päättää, mistä suoritteesta tai suoriteryhmästä ja millä 3 §:n 4 momentissa sanotulla perusteella sekä miten maksun suuruus voidaan määrätä suoritteen omakustannusarvosta tai suoriteryhmäkohtaisesta kustannusvastaavuudesta poiketen.</w:t>
      </w:r>
    </w:p>
    <w:p w:rsidR="00424283" w:rsidRPr="00636BED" w:rsidRDefault="00424283" w:rsidP="00424283">
      <w:pPr>
        <w:pStyle w:val="py"/>
        <w:spacing w:before="0" w:beforeAutospacing="0" w:after="0" w:afterAutospacing="0" w:line="220" w:lineRule="exact"/>
        <w:ind w:left="1304"/>
        <w:jc w:val="both"/>
        <w:rPr>
          <w:color w:val="000000" w:themeColor="text1"/>
          <w:sz w:val="22"/>
          <w:szCs w:val="22"/>
        </w:rPr>
      </w:pPr>
    </w:p>
    <w:p w:rsidR="00775B8D" w:rsidRPr="002B09CA" w:rsidRDefault="00F221FB" w:rsidP="00424283">
      <w:pPr>
        <w:pStyle w:val="py"/>
        <w:spacing w:before="0" w:beforeAutospacing="0" w:after="0" w:afterAutospacing="0" w:line="220" w:lineRule="exact"/>
        <w:ind w:left="1304"/>
        <w:jc w:val="both"/>
        <w:rPr>
          <w:color w:val="000000" w:themeColor="text1"/>
          <w:sz w:val="22"/>
          <w:szCs w:val="22"/>
        </w:rPr>
      </w:pPr>
      <w:r w:rsidRPr="00636BED">
        <w:rPr>
          <w:color w:val="000000" w:themeColor="text1"/>
          <w:sz w:val="22"/>
          <w:szCs w:val="22"/>
        </w:rPr>
        <w:t xml:space="preserve">Valtion maksuperustelain (150/1992) 8 §:n 2 momentin mukaan </w:t>
      </w:r>
      <w:r w:rsidR="00E268FB">
        <w:rPr>
          <w:color w:val="000000" w:themeColor="text1"/>
          <w:sz w:val="22"/>
          <w:szCs w:val="22"/>
        </w:rPr>
        <w:t>a</w:t>
      </w:r>
      <w:r w:rsidRPr="00636BED">
        <w:rPr>
          <w:color w:val="000000" w:themeColor="text1"/>
          <w:sz w:val="22"/>
          <w:szCs w:val="22"/>
        </w:rPr>
        <w:t>sianomainen ministeriö päättää, mitkä ministeriön ja hallinnonalan muiden viranomaisten suoritteet tai suoriteryhmät ovat maksullisia ja mistä suoritteesta tai suoriteryhmästä maksu määrätään omakustannusarvon perusteella sekä mitkä suoritteet hinnoitellaan liiketaloudellisin perustein. Pykälän 3 momentin mukaan ministeriö päättää 2 momentissa tarkoitetuissa tapauksissa myös lain 6 §:n 2 momentissa tarkoitetuista kiinteistä maksuista sekä mistä suoritteesta tai suoriteryhmästä, millä 6 §:n 3 tai 4 momentissa sanotulla perusteella ja miten maksun suuruus voidaan määrätä suoritteen omakustannusarvosta poiketen.</w:t>
      </w:r>
    </w:p>
    <w:p w:rsidR="00962365" w:rsidRDefault="00962365" w:rsidP="003C6F72">
      <w:pPr>
        <w:spacing w:after="0" w:line="220" w:lineRule="exact"/>
        <w:ind w:firstLine="1304"/>
        <w:jc w:val="both"/>
        <w:rPr>
          <w:rFonts w:ascii="Times New Roman" w:hAnsi="Times New Roman"/>
        </w:rPr>
      </w:pPr>
    </w:p>
    <w:p w:rsidR="00424283" w:rsidRPr="006021F7" w:rsidRDefault="00424283" w:rsidP="003C6F72">
      <w:pPr>
        <w:spacing w:after="0" w:line="220" w:lineRule="exact"/>
        <w:ind w:firstLine="1304"/>
        <w:jc w:val="both"/>
        <w:rPr>
          <w:rFonts w:ascii="Times New Roman" w:hAnsi="Times New Roman"/>
        </w:rPr>
      </w:pPr>
    </w:p>
    <w:p w:rsidR="00DE003D" w:rsidRPr="006021F7" w:rsidRDefault="002B09CA" w:rsidP="003C6F72">
      <w:pPr>
        <w:spacing w:after="0" w:line="220" w:lineRule="exact"/>
        <w:jc w:val="both"/>
        <w:rPr>
          <w:rFonts w:ascii="Times New Roman" w:hAnsi="Times New Roman"/>
          <w:b/>
        </w:rPr>
      </w:pPr>
      <w:r>
        <w:rPr>
          <w:rFonts w:ascii="Times New Roman" w:hAnsi="Times New Roman"/>
          <w:b/>
        </w:rPr>
        <w:t>6</w:t>
      </w:r>
      <w:r w:rsidR="002E723F" w:rsidRPr="006021F7">
        <w:rPr>
          <w:rFonts w:ascii="Times New Roman" w:hAnsi="Times New Roman"/>
          <w:b/>
        </w:rPr>
        <w:t>. Voimaantulo</w:t>
      </w:r>
    </w:p>
    <w:p w:rsidR="002E723F" w:rsidRPr="006021F7" w:rsidRDefault="002E723F" w:rsidP="003C6F72">
      <w:pPr>
        <w:spacing w:after="0" w:line="220" w:lineRule="exact"/>
        <w:jc w:val="both"/>
        <w:rPr>
          <w:rFonts w:ascii="Times New Roman" w:hAnsi="Times New Roman"/>
        </w:rPr>
      </w:pPr>
    </w:p>
    <w:p w:rsidR="00636BED" w:rsidRPr="002B09CA" w:rsidRDefault="00D51789" w:rsidP="002B09CA">
      <w:pPr>
        <w:spacing w:after="0" w:line="220" w:lineRule="exact"/>
        <w:ind w:left="1304" w:firstLine="1"/>
        <w:jc w:val="both"/>
        <w:rPr>
          <w:rFonts w:ascii="Times New Roman" w:hAnsi="Times New Roman"/>
          <w:color w:val="000000" w:themeColor="text1"/>
        </w:rPr>
      </w:pPr>
      <w:r w:rsidRPr="00636BED">
        <w:rPr>
          <w:rFonts w:ascii="Times New Roman" w:hAnsi="Times New Roman"/>
          <w:color w:val="000000" w:themeColor="text1"/>
        </w:rPr>
        <w:t>Asetuksen ja sen liitteenä olevan maksutaulukon ehdotetaan tulevan voimaan</w:t>
      </w:r>
      <w:r w:rsidR="002E723F" w:rsidRPr="00636BED">
        <w:rPr>
          <w:rFonts w:ascii="Times New Roman" w:hAnsi="Times New Roman"/>
          <w:color w:val="000000" w:themeColor="text1"/>
        </w:rPr>
        <w:t xml:space="preserve"> </w:t>
      </w:r>
      <w:r w:rsidR="00072E2B" w:rsidRPr="00636BED">
        <w:rPr>
          <w:rFonts w:ascii="Times New Roman" w:hAnsi="Times New Roman"/>
          <w:color w:val="000000" w:themeColor="text1"/>
        </w:rPr>
        <w:t>1</w:t>
      </w:r>
      <w:r w:rsidR="002E723F" w:rsidRPr="00636BED">
        <w:rPr>
          <w:rFonts w:ascii="Times New Roman" w:hAnsi="Times New Roman"/>
          <w:color w:val="000000" w:themeColor="text1"/>
        </w:rPr>
        <w:t>.</w:t>
      </w:r>
      <w:r w:rsidR="00072E2B" w:rsidRPr="00636BED">
        <w:rPr>
          <w:rFonts w:ascii="Times New Roman" w:hAnsi="Times New Roman"/>
          <w:color w:val="000000" w:themeColor="text1"/>
        </w:rPr>
        <w:t>1.2018</w:t>
      </w:r>
      <w:r w:rsidRPr="00636BED">
        <w:rPr>
          <w:rFonts w:ascii="Times New Roman" w:hAnsi="Times New Roman"/>
          <w:color w:val="000000" w:themeColor="text1"/>
        </w:rPr>
        <w:t>. Asetukse</w:t>
      </w:r>
      <w:r w:rsidR="00072E2B" w:rsidRPr="00636BED">
        <w:rPr>
          <w:rFonts w:ascii="Times New Roman" w:hAnsi="Times New Roman"/>
          <w:color w:val="000000" w:themeColor="text1"/>
        </w:rPr>
        <w:t>n voimassaolo päättyy 31.12.2019</w:t>
      </w:r>
      <w:r w:rsidRPr="00636BED">
        <w:rPr>
          <w:rFonts w:ascii="Times New Roman" w:hAnsi="Times New Roman"/>
          <w:color w:val="000000" w:themeColor="text1"/>
        </w:rPr>
        <w:t>.</w:t>
      </w:r>
    </w:p>
    <w:p w:rsidR="00636BED" w:rsidRPr="006021F7" w:rsidRDefault="00636BED" w:rsidP="003C6F72">
      <w:pPr>
        <w:spacing w:after="0" w:line="220" w:lineRule="exact"/>
        <w:jc w:val="both"/>
        <w:rPr>
          <w:rFonts w:ascii="Times New Roman" w:hAnsi="Times New Roman"/>
        </w:rPr>
      </w:pPr>
    </w:p>
    <w:sectPr w:rsidR="00636BED" w:rsidRPr="006021F7" w:rsidSect="006550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kka Heikkinen">
    <w15:presenceInfo w15:providerId="AD" w15:userId="S-1-5-21-854245398-1844823847-839522115-9175"/>
  </w15:person>
  <w15:person w15:author="Juha Järvenpää">
    <w15:presenceInfo w15:providerId="AD" w15:userId="S-1-5-21-854245398-1844823847-839522115-3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80"/>
    <w:rsid w:val="00002CE0"/>
    <w:rsid w:val="00003B8C"/>
    <w:rsid w:val="000057E7"/>
    <w:rsid w:val="00005C01"/>
    <w:rsid w:val="00006F1D"/>
    <w:rsid w:val="000171CE"/>
    <w:rsid w:val="0002014E"/>
    <w:rsid w:val="000268B8"/>
    <w:rsid w:val="0002750F"/>
    <w:rsid w:val="00044757"/>
    <w:rsid w:val="00052BE4"/>
    <w:rsid w:val="00055828"/>
    <w:rsid w:val="000621C2"/>
    <w:rsid w:val="000668DC"/>
    <w:rsid w:val="00071A3B"/>
    <w:rsid w:val="000720BB"/>
    <w:rsid w:val="00072E2B"/>
    <w:rsid w:val="00074D3B"/>
    <w:rsid w:val="00075F26"/>
    <w:rsid w:val="00077EBD"/>
    <w:rsid w:val="000B1831"/>
    <w:rsid w:val="000C01C5"/>
    <w:rsid w:val="000D10DF"/>
    <w:rsid w:val="000D2810"/>
    <w:rsid w:val="000D5876"/>
    <w:rsid w:val="000E0AB4"/>
    <w:rsid w:val="000F2D88"/>
    <w:rsid w:val="00104752"/>
    <w:rsid w:val="00105C63"/>
    <w:rsid w:val="001067C2"/>
    <w:rsid w:val="00123A00"/>
    <w:rsid w:val="0013614B"/>
    <w:rsid w:val="00157D11"/>
    <w:rsid w:val="001623C9"/>
    <w:rsid w:val="00163C78"/>
    <w:rsid w:val="00164887"/>
    <w:rsid w:val="00170A4E"/>
    <w:rsid w:val="00177030"/>
    <w:rsid w:val="00190883"/>
    <w:rsid w:val="001A27F9"/>
    <w:rsid w:val="001A4255"/>
    <w:rsid w:val="001A773F"/>
    <w:rsid w:val="001B2B97"/>
    <w:rsid w:val="001B5A6C"/>
    <w:rsid w:val="001B6E5A"/>
    <w:rsid w:val="001C048B"/>
    <w:rsid w:val="001C2851"/>
    <w:rsid w:val="001D2C4C"/>
    <w:rsid w:val="001E102F"/>
    <w:rsid w:val="001E53EE"/>
    <w:rsid w:val="001F1B9D"/>
    <w:rsid w:val="001F3E13"/>
    <w:rsid w:val="001F71F3"/>
    <w:rsid w:val="002023CB"/>
    <w:rsid w:val="00215F3F"/>
    <w:rsid w:val="00224CBA"/>
    <w:rsid w:val="002257B4"/>
    <w:rsid w:val="00241132"/>
    <w:rsid w:val="00247291"/>
    <w:rsid w:val="00251603"/>
    <w:rsid w:val="00254181"/>
    <w:rsid w:val="002554D4"/>
    <w:rsid w:val="00263960"/>
    <w:rsid w:val="00267B41"/>
    <w:rsid w:val="0027181E"/>
    <w:rsid w:val="00274F19"/>
    <w:rsid w:val="002A1D44"/>
    <w:rsid w:val="002B09CA"/>
    <w:rsid w:val="002D2A1E"/>
    <w:rsid w:val="002E1A1D"/>
    <w:rsid w:val="002E1AE5"/>
    <w:rsid w:val="002E5980"/>
    <w:rsid w:val="002E723F"/>
    <w:rsid w:val="003021A7"/>
    <w:rsid w:val="00306F75"/>
    <w:rsid w:val="00312FFE"/>
    <w:rsid w:val="003218B7"/>
    <w:rsid w:val="00322A1D"/>
    <w:rsid w:val="0032655E"/>
    <w:rsid w:val="003466D0"/>
    <w:rsid w:val="0036470B"/>
    <w:rsid w:val="003B4E91"/>
    <w:rsid w:val="003B4FEF"/>
    <w:rsid w:val="003C5497"/>
    <w:rsid w:val="003C6F72"/>
    <w:rsid w:val="003D2640"/>
    <w:rsid w:val="00405A88"/>
    <w:rsid w:val="00406A43"/>
    <w:rsid w:val="0040744D"/>
    <w:rsid w:val="0040797A"/>
    <w:rsid w:val="0041682D"/>
    <w:rsid w:val="00424283"/>
    <w:rsid w:val="00450AF5"/>
    <w:rsid w:val="00470395"/>
    <w:rsid w:val="00485280"/>
    <w:rsid w:val="004908FC"/>
    <w:rsid w:val="004A2B39"/>
    <w:rsid w:val="004C0374"/>
    <w:rsid w:val="004C384D"/>
    <w:rsid w:val="004D0326"/>
    <w:rsid w:val="004D0AC8"/>
    <w:rsid w:val="004D35FB"/>
    <w:rsid w:val="005041EF"/>
    <w:rsid w:val="005064D6"/>
    <w:rsid w:val="00512CAE"/>
    <w:rsid w:val="0054046D"/>
    <w:rsid w:val="005435B5"/>
    <w:rsid w:val="00556DC5"/>
    <w:rsid w:val="00557448"/>
    <w:rsid w:val="00560347"/>
    <w:rsid w:val="005666EB"/>
    <w:rsid w:val="005742C7"/>
    <w:rsid w:val="00574592"/>
    <w:rsid w:val="005A33C0"/>
    <w:rsid w:val="005A606F"/>
    <w:rsid w:val="005A731E"/>
    <w:rsid w:val="005B0062"/>
    <w:rsid w:val="005C1EE4"/>
    <w:rsid w:val="005D7436"/>
    <w:rsid w:val="005F284D"/>
    <w:rsid w:val="005F61E0"/>
    <w:rsid w:val="006021F7"/>
    <w:rsid w:val="00631EAF"/>
    <w:rsid w:val="006359EA"/>
    <w:rsid w:val="00636BED"/>
    <w:rsid w:val="0065238D"/>
    <w:rsid w:val="0065492E"/>
    <w:rsid w:val="006550C1"/>
    <w:rsid w:val="00657A8F"/>
    <w:rsid w:val="0067337A"/>
    <w:rsid w:val="00673BF7"/>
    <w:rsid w:val="006772DC"/>
    <w:rsid w:val="00691477"/>
    <w:rsid w:val="00691F99"/>
    <w:rsid w:val="00692D47"/>
    <w:rsid w:val="00697929"/>
    <w:rsid w:val="006A0F77"/>
    <w:rsid w:val="006C3771"/>
    <w:rsid w:val="006C5F5E"/>
    <w:rsid w:val="006D2630"/>
    <w:rsid w:val="006D7B30"/>
    <w:rsid w:val="006E490E"/>
    <w:rsid w:val="006F43F7"/>
    <w:rsid w:val="006F7EAD"/>
    <w:rsid w:val="007043AE"/>
    <w:rsid w:val="00710D6E"/>
    <w:rsid w:val="0072396D"/>
    <w:rsid w:val="007310B6"/>
    <w:rsid w:val="00742141"/>
    <w:rsid w:val="00751881"/>
    <w:rsid w:val="00751A36"/>
    <w:rsid w:val="00753733"/>
    <w:rsid w:val="00774FDD"/>
    <w:rsid w:val="00775B8D"/>
    <w:rsid w:val="00784FE1"/>
    <w:rsid w:val="007A0212"/>
    <w:rsid w:val="007B28D4"/>
    <w:rsid w:val="007C0372"/>
    <w:rsid w:val="007C1C06"/>
    <w:rsid w:val="007D4B07"/>
    <w:rsid w:val="007F4CB8"/>
    <w:rsid w:val="00801CB0"/>
    <w:rsid w:val="008224E6"/>
    <w:rsid w:val="008577C7"/>
    <w:rsid w:val="0086617D"/>
    <w:rsid w:val="00877A10"/>
    <w:rsid w:val="00885F12"/>
    <w:rsid w:val="00887C73"/>
    <w:rsid w:val="008934DE"/>
    <w:rsid w:val="00896612"/>
    <w:rsid w:val="00897380"/>
    <w:rsid w:val="008A52E5"/>
    <w:rsid w:val="008B2CA4"/>
    <w:rsid w:val="008B32DA"/>
    <w:rsid w:val="008C4E2C"/>
    <w:rsid w:val="008D10D8"/>
    <w:rsid w:val="008D3D89"/>
    <w:rsid w:val="008E5911"/>
    <w:rsid w:val="00901286"/>
    <w:rsid w:val="009047A7"/>
    <w:rsid w:val="00922867"/>
    <w:rsid w:val="0092306B"/>
    <w:rsid w:val="0092473B"/>
    <w:rsid w:val="00925697"/>
    <w:rsid w:val="0093554D"/>
    <w:rsid w:val="00950B90"/>
    <w:rsid w:val="00957A4F"/>
    <w:rsid w:val="00962365"/>
    <w:rsid w:val="009652F5"/>
    <w:rsid w:val="00976215"/>
    <w:rsid w:val="00992D92"/>
    <w:rsid w:val="009964E9"/>
    <w:rsid w:val="009B771C"/>
    <w:rsid w:val="009E4CE5"/>
    <w:rsid w:val="009F0025"/>
    <w:rsid w:val="009F59CA"/>
    <w:rsid w:val="00A07618"/>
    <w:rsid w:val="00A205E1"/>
    <w:rsid w:val="00A301BB"/>
    <w:rsid w:val="00A33D00"/>
    <w:rsid w:val="00A4389B"/>
    <w:rsid w:val="00A442C5"/>
    <w:rsid w:val="00A44DF6"/>
    <w:rsid w:val="00A703E1"/>
    <w:rsid w:val="00A77DF5"/>
    <w:rsid w:val="00A903C9"/>
    <w:rsid w:val="00A97EA7"/>
    <w:rsid w:val="00AA7404"/>
    <w:rsid w:val="00AC11A6"/>
    <w:rsid w:val="00AC3B06"/>
    <w:rsid w:val="00AC6847"/>
    <w:rsid w:val="00AD4CBE"/>
    <w:rsid w:val="00AD5A0C"/>
    <w:rsid w:val="00AE2D05"/>
    <w:rsid w:val="00AF0D2C"/>
    <w:rsid w:val="00AF488F"/>
    <w:rsid w:val="00AF7A43"/>
    <w:rsid w:val="00B123DB"/>
    <w:rsid w:val="00B32830"/>
    <w:rsid w:val="00B371EE"/>
    <w:rsid w:val="00B46EAE"/>
    <w:rsid w:val="00B7612E"/>
    <w:rsid w:val="00B76D72"/>
    <w:rsid w:val="00B96075"/>
    <w:rsid w:val="00BA2B6E"/>
    <w:rsid w:val="00BA638E"/>
    <w:rsid w:val="00BD184A"/>
    <w:rsid w:val="00BD1D07"/>
    <w:rsid w:val="00BD2FF3"/>
    <w:rsid w:val="00BF1F63"/>
    <w:rsid w:val="00BF321A"/>
    <w:rsid w:val="00C00D18"/>
    <w:rsid w:val="00C14AF3"/>
    <w:rsid w:val="00C1593D"/>
    <w:rsid w:val="00C20891"/>
    <w:rsid w:val="00C24202"/>
    <w:rsid w:val="00C275D5"/>
    <w:rsid w:val="00C35479"/>
    <w:rsid w:val="00C40131"/>
    <w:rsid w:val="00C5065C"/>
    <w:rsid w:val="00C52104"/>
    <w:rsid w:val="00C52EE4"/>
    <w:rsid w:val="00C5454E"/>
    <w:rsid w:val="00C823A9"/>
    <w:rsid w:val="00CA4636"/>
    <w:rsid w:val="00CB33F8"/>
    <w:rsid w:val="00CB55D4"/>
    <w:rsid w:val="00CC7D8E"/>
    <w:rsid w:val="00CE1093"/>
    <w:rsid w:val="00CE19B2"/>
    <w:rsid w:val="00CE711F"/>
    <w:rsid w:val="00CF3EE7"/>
    <w:rsid w:val="00D25ACE"/>
    <w:rsid w:val="00D51789"/>
    <w:rsid w:val="00D55AEA"/>
    <w:rsid w:val="00D63525"/>
    <w:rsid w:val="00D873FD"/>
    <w:rsid w:val="00DB04A9"/>
    <w:rsid w:val="00DB7D0D"/>
    <w:rsid w:val="00DC3BE6"/>
    <w:rsid w:val="00DC5C91"/>
    <w:rsid w:val="00DD5D31"/>
    <w:rsid w:val="00DE003D"/>
    <w:rsid w:val="00DF3B28"/>
    <w:rsid w:val="00E10018"/>
    <w:rsid w:val="00E268FB"/>
    <w:rsid w:val="00E741AA"/>
    <w:rsid w:val="00E91129"/>
    <w:rsid w:val="00EA1F6C"/>
    <w:rsid w:val="00EB649B"/>
    <w:rsid w:val="00EC27F9"/>
    <w:rsid w:val="00ED6AF4"/>
    <w:rsid w:val="00EE2F44"/>
    <w:rsid w:val="00EF4759"/>
    <w:rsid w:val="00F16F8D"/>
    <w:rsid w:val="00F221FB"/>
    <w:rsid w:val="00F4164C"/>
    <w:rsid w:val="00F5137D"/>
    <w:rsid w:val="00F8189D"/>
    <w:rsid w:val="00FA7F6D"/>
    <w:rsid w:val="00FB004A"/>
    <w:rsid w:val="00FB150A"/>
    <w:rsid w:val="00FC5CF3"/>
    <w:rsid w:val="00FC6D80"/>
    <w:rsid w:val="00FF07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7380"/>
    <w:pPr>
      <w:spacing w:after="160" w:line="259" w:lineRule="auto"/>
    </w:pPr>
    <w:rPr>
      <w:rFonts w:ascii="Calibri" w:eastAsia="Calibri" w:hAnsi="Calibri" w:cs="Times New Roman"/>
    </w:rPr>
  </w:style>
  <w:style w:type="paragraph" w:styleId="Otsikko5">
    <w:name w:val="heading 5"/>
    <w:basedOn w:val="Normaali"/>
    <w:link w:val="Otsikko5Char"/>
    <w:uiPriority w:val="9"/>
    <w:qFormat/>
    <w:rsid w:val="0065492E"/>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897380"/>
    <w:pPr>
      <w:spacing w:after="0" w:line="220" w:lineRule="exact"/>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A703E1"/>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py">
    <w:name w:val="py"/>
    <w:basedOn w:val="Normaali"/>
    <w:rsid w:val="005C1EE4"/>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Otsikko5Char">
    <w:name w:val="Otsikko 5 Char"/>
    <w:basedOn w:val="Kappaleenoletusfontti"/>
    <w:link w:val="Otsikko5"/>
    <w:uiPriority w:val="9"/>
    <w:rsid w:val="0065492E"/>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65492E"/>
    <w:rPr>
      <w:i/>
      <w:iCs/>
    </w:rPr>
  </w:style>
  <w:style w:type="paragraph" w:customStyle="1" w:styleId="Default">
    <w:name w:val="Default"/>
    <w:rsid w:val="0092473B"/>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A438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389B"/>
    <w:rPr>
      <w:rFonts w:ascii="Segoe UI" w:eastAsia="Calibri" w:hAnsi="Segoe UI" w:cs="Segoe UI"/>
      <w:sz w:val="18"/>
      <w:szCs w:val="18"/>
    </w:rPr>
  </w:style>
  <w:style w:type="character" w:styleId="Kommentinviite">
    <w:name w:val="annotation reference"/>
    <w:basedOn w:val="Kappaleenoletusfontti"/>
    <w:uiPriority w:val="99"/>
    <w:semiHidden/>
    <w:unhideWhenUsed/>
    <w:rsid w:val="00E268FB"/>
    <w:rPr>
      <w:sz w:val="16"/>
      <w:szCs w:val="16"/>
    </w:rPr>
  </w:style>
  <w:style w:type="paragraph" w:styleId="Kommentinteksti">
    <w:name w:val="annotation text"/>
    <w:basedOn w:val="Normaali"/>
    <w:link w:val="KommentintekstiChar"/>
    <w:uiPriority w:val="99"/>
    <w:semiHidden/>
    <w:unhideWhenUsed/>
    <w:rsid w:val="00E268F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268FB"/>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E268FB"/>
    <w:rPr>
      <w:b/>
      <w:bCs/>
    </w:rPr>
  </w:style>
  <w:style w:type="character" w:customStyle="1" w:styleId="KommentinotsikkoChar">
    <w:name w:val="Kommentin otsikko Char"/>
    <w:basedOn w:val="KommentintekstiChar"/>
    <w:link w:val="Kommentinotsikko"/>
    <w:uiPriority w:val="99"/>
    <w:semiHidden/>
    <w:rsid w:val="00E268F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7380"/>
    <w:pPr>
      <w:spacing w:after="160" w:line="259" w:lineRule="auto"/>
    </w:pPr>
    <w:rPr>
      <w:rFonts w:ascii="Calibri" w:eastAsia="Calibri" w:hAnsi="Calibri" w:cs="Times New Roman"/>
    </w:rPr>
  </w:style>
  <w:style w:type="paragraph" w:styleId="Otsikko5">
    <w:name w:val="heading 5"/>
    <w:basedOn w:val="Normaali"/>
    <w:link w:val="Otsikko5Char"/>
    <w:uiPriority w:val="9"/>
    <w:qFormat/>
    <w:rsid w:val="0065492E"/>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897380"/>
    <w:pPr>
      <w:spacing w:after="0" w:line="220" w:lineRule="exact"/>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A703E1"/>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py">
    <w:name w:val="py"/>
    <w:basedOn w:val="Normaali"/>
    <w:rsid w:val="005C1EE4"/>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Otsikko5Char">
    <w:name w:val="Otsikko 5 Char"/>
    <w:basedOn w:val="Kappaleenoletusfontti"/>
    <w:link w:val="Otsikko5"/>
    <w:uiPriority w:val="9"/>
    <w:rsid w:val="0065492E"/>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65492E"/>
    <w:rPr>
      <w:i/>
      <w:iCs/>
    </w:rPr>
  </w:style>
  <w:style w:type="paragraph" w:customStyle="1" w:styleId="Default">
    <w:name w:val="Default"/>
    <w:rsid w:val="0092473B"/>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A438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389B"/>
    <w:rPr>
      <w:rFonts w:ascii="Segoe UI" w:eastAsia="Calibri" w:hAnsi="Segoe UI" w:cs="Segoe UI"/>
      <w:sz w:val="18"/>
      <w:szCs w:val="18"/>
    </w:rPr>
  </w:style>
  <w:style w:type="character" w:styleId="Kommentinviite">
    <w:name w:val="annotation reference"/>
    <w:basedOn w:val="Kappaleenoletusfontti"/>
    <w:uiPriority w:val="99"/>
    <w:semiHidden/>
    <w:unhideWhenUsed/>
    <w:rsid w:val="00E268FB"/>
    <w:rPr>
      <w:sz w:val="16"/>
      <w:szCs w:val="16"/>
    </w:rPr>
  </w:style>
  <w:style w:type="paragraph" w:styleId="Kommentinteksti">
    <w:name w:val="annotation text"/>
    <w:basedOn w:val="Normaali"/>
    <w:link w:val="KommentintekstiChar"/>
    <w:uiPriority w:val="99"/>
    <w:semiHidden/>
    <w:unhideWhenUsed/>
    <w:rsid w:val="00E268F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268FB"/>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E268FB"/>
    <w:rPr>
      <w:b/>
      <w:bCs/>
    </w:rPr>
  </w:style>
  <w:style w:type="character" w:customStyle="1" w:styleId="KommentinotsikkoChar">
    <w:name w:val="Kommentin otsikko Char"/>
    <w:basedOn w:val="KommentintekstiChar"/>
    <w:link w:val="Kommentinotsikko"/>
    <w:uiPriority w:val="99"/>
    <w:semiHidden/>
    <w:rsid w:val="00E268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832">
      <w:bodyDiv w:val="1"/>
      <w:marLeft w:val="0"/>
      <w:marRight w:val="0"/>
      <w:marTop w:val="0"/>
      <w:marBottom w:val="0"/>
      <w:divBdr>
        <w:top w:val="none" w:sz="0" w:space="0" w:color="auto"/>
        <w:left w:val="none" w:sz="0" w:space="0" w:color="auto"/>
        <w:bottom w:val="none" w:sz="0" w:space="0" w:color="auto"/>
        <w:right w:val="none" w:sz="0" w:space="0" w:color="auto"/>
      </w:divBdr>
      <w:divsChild>
        <w:div w:id="326443561">
          <w:marLeft w:val="0"/>
          <w:marRight w:val="0"/>
          <w:marTop w:val="0"/>
          <w:marBottom w:val="0"/>
          <w:divBdr>
            <w:top w:val="none" w:sz="0" w:space="0" w:color="auto"/>
            <w:left w:val="none" w:sz="0" w:space="0" w:color="auto"/>
            <w:bottom w:val="none" w:sz="0" w:space="0" w:color="auto"/>
            <w:right w:val="none" w:sz="0" w:space="0" w:color="auto"/>
          </w:divBdr>
          <w:divsChild>
            <w:div w:id="1724673322">
              <w:marLeft w:val="0"/>
              <w:marRight w:val="0"/>
              <w:marTop w:val="0"/>
              <w:marBottom w:val="0"/>
              <w:divBdr>
                <w:top w:val="none" w:sz="0" w:space="0" w:color="auto"/>
                <w:left w:val="none" w:sz="0" w:space="0" w:color="auto"/>
                <w:bottom w:val="none" w:sz="0" w:space="0" w:color="auto"/>
                <w:right w:val="none" w:sz="0" w:space="0" w:color="auto"/>
              </w:divBdr>
              <w:divsChild>
                <w:div w:id="1259943622">
                  <w:marLeft w:val="0"/>
                  <w:marRight w:val="0"/>
                  <w:marTop w:val="0"/>
                  <w:marBottom w:val="0"/>
                  <w:divBdr>
                    <w:top w:val="none" w:sz="0" w:space="0" w:color="auto"/>
                    <w:left w:val="none" w:sz="0" w:space="0" w:color="auto"/>
                    <w:bottom w:val="none" w:sz="0" w:space="0" w:color="auto"/>
                    <w:right w:val="none" w:sz="0" w:space="0" w:color="auto"/>
                  </w:divBdr>
                  <w:divsChild>
                    <w:div w:id="358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9300">
      <w:bodyDiv w:val="1"/>
      <w:marLeft w:val="0"/>
      <w:marRight w:val="0"/>
      <w:marTop w:val="0"/>
      <w:marBottom w:val="0"/>
      <w:divBdr>
        <w:top w:val="none" w:sz="0" w:space="0" w:color="auto"/>
        <w:left w:val="none" w:sz="0" w:space="0" w:color="auto"/>
        <w:bottom w:val="none" w:sz="0" w:space="0" w:color="auto"/>
        <w:right w:val="none" w:sz="0" w:space="0" w:color="auto"/>
      </w:divBdr>
      <w:divsChild>
        <w:div w:id="1762019853">
          <w:marLeft w:val="0"/>
          <w:marRight w:val="0"/>
          <w:marTop w:val="0"/>
          <w:marBottom w:val="0"/>
          <w:divBdr>
            <w:top w:val="none" w:sz="0" w:space="0" w:color="auto"/>
            <w:left w:val="none" w:sz="0" w:space="0" w:color="auto"/>
            <w:bottom w:val="none" w:sz="0" w:space="0" w:color="auto"/>
            <w:right w:val="none" w:sz="0" w:space="0" w:color="auto"/>
          </w:divBdr>
          <w:divsChild>
            <w:div w:id="2028288404">
              <w:marLeft w:val="0"/>
              <w:marRight w:val="0"/>
              <w:marTop w:val="0"/>
              <w:marBottom w:val="0"/>
              <w:divBdr>
                <w:top w:val="none" w:sz="0" w:space="0" w:color="auto"/>
                <w:left w:val="none" w:sz="0" w:space="0" w:color="auto"/>
                <w:bottom w:val="none" w:sz="0" w:space="0" w:color="auto"/>
                <w:right w:val="none" w:sz="0" w:space="0" w:color="auto"/>
              </w:divBdr>
              <w:divsChild>
                <w:div w:id="1534726542">
                  <w:marLeft w:val="0"/>
                  <w:marRight w:val="0"/>
                  <w:marTop w:val="0"/>
                  <w:marBottom w:val="0"/>
                  <w:divBdr>
                    <w:top w:val="none" w:sz="0" w:space="0" w:color="auto"/>
                    <w:left w:val="none" w:sz="0" w:space="0" w:color="auto"/>
                    <w:bottom w:val="none" w:sz="0" w:space="0" w:color="auto"/>
                    <w:right w:val="none" w:sz="0" w:space="0" w:color="auto"/>
                  </w:divBdr>
                  <w:divsChild>
                    <w:div w:id="1032077179">
                      <w:marLeft w:val="0"/>
                      <w:marRight w:val="0"/>
                      <w:marTop w:val="0"/>
                      <w:marBottom w:val="0"/>
                      <w:divBdr>
                        <w:top w:val="none" w:sz="0" w:space="0" w:color="auto"/>
                        <w:left w:val="none" w:sz="0" w:space="0" w:color="auto"/>
                        <w:bottom w:val="none" w:sz="0" w:space="0" w:color="auto"/>
                        <w:right w:val="none" w:sz="0" w:space="0" w:color="auto"/>
                      </w:divBdr>
                      <w:divsChild>
                        <w:div w:id="5572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84531">
      <w:bodyDiv w:val="1"/>
      <w:marLeft w:val="0"/>
      <w:marRight w:val="0"/>
      <w:marTop w:val="0"/>
      <w:marBottom w:val="0"/>
      <w:divBdr>
        <w:top w:val="none" w:sz="0" w:space="0" w:color="auto"/>
        <w:left w:val="none" w:sz="0" w:space="0" w:color="auto"/>
        <w:bottom w:val="none" w:sz="0" w:space="0" w:color="auto"/>
        <w:right w:val="none" w:sz="0" w:space="0" w:color="auto"/>
      </w:divBdr>
      <w:divsChild>
        <w:div w:id="228469009">
          <w:marLeft w:val="0"/>
          <w:marRight w:val="0"/>
          <w:marTop w:val="0"/>
          <w:marBottom w:val="0"/>
          <w:divBdr>
            <w:top w:val="none" w:sz="0" w:space="0" w:color="auto"/>
            <w:left w:val="none" w:sz="0" w:space="0" w:color="auto"/>
            <w:bottom w:val="none" w:sz="0" w:space="0" w:color="auto"/>
            <w:right w:val="none" w:sz="0" w:space="0" w:color="auto"/>
          </w:divBdr>
          <w:divsChild>
            <w:div w:id="1531528140">
              <w:marLeft w:val="0"/>
              <w:marRight w:val="0"/>
              <w:marTop w:val="0"/>
              <w:marBottom w:val="0"/>
              <w:divBdr>
                <w:top w:val="none" w:sz="0" w:space="0" w:color="auto"/>
                <w:left w:val="none" w:sz="0" w:space="0" w:color="auto"/>
                <w:bottom w:val="none" w:sz="0" w:space="0" w:color="auto"/>
                <w:right w:val="none" w:sz="0" w:space="0" w:color="auto"/>
              </w:divBdr>
              <w:divsChild>
                <w:div w:id="1103302910">
                  <w:marLeft w:val="0"/>
                  <w:marRight w:val="0"/>
                  <w:marTop w:val="0"/>
                  <w:marBottom w:val="0"/>
                  <w:divBdr>
                    <w:top w:val="none" w:sz="0" w:space="0" w:color="auto"/>
                    <w:left w:val="none" w:sz="0" w:space="0" w:color="auto"/>
                    <w:bottom w:val="none" w:sz="0" w:space="0" w:color="auto"/>
                    <w:right w:val="none" w:sz="0" w:space="0" w:color="auto"/>
                  </w:divBdr>
                  <w:divsChild>
                    <w:div w:id="12296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8580">
      <w:bodyDiv w:val="1"/>
      <w:marLeft w:val="0"/>
      <w:marRight w:val="0"/>
      <w:marTop w:val="0"/>
      <w:marBottom w:val="0"/>
      <w:divBdr>
        <w:top w:val="none" w:sz="0" w:space="0" w:color="auto"/>
        <w:left w:val="none" w:sz="0" w:space="0" w:color="auto"/>
        <w:bottom w:val="none" w:sz="0" w:space="0" w:color="auto"/>
        <w:right w:val="none" w:sz="0" w:space="0" w:color="auto"/>
      </w:divBdr>
      <w:divsChild>
        <w:div w:id="1207177307">
          <w:marLeft w:val="0"/>
          <w:marRight w:val="0"/>
          <w:marTop w:val="0"/>
          <w:marBottom w:val="0"/>
          <w:divBdr>
            <w:top w:val="none" w:sz="0" w:space="0" w:color="auto"/>
            <w:left w:val="none" w:sz="0" w:space="0" w:color="auto"/>
            <w:bottom w:val="none" w:sz="0" w:space="0" w:color="auto"/>
            <w:right w:val="none" w:sz="0" w:space="0" w:color="auto"/>
          </w:divBdr>
          <w:divsChild>
            <w:div w:id="218636339">
              <w:marLeft w:val="0"/>
              <w:marRight w:val="0"/>
              <w:marTop w:val="0"/>
              <w:marBottom w:val="0"/>
              <w:divBdr>
                <w:top w:val="none" w:sz="0" w:space="0" w:color="auto"/>
                <w:left w:val="none" w:sz="0" w:space="0" w:color="auto"/>
                <w:bottom w:val="none" w:sz="0" w:space="0" w:color="auto"/>
                <w:right w:val="none" w:sz="0" w:space="0" w:color="auto"/>
              </w:divBdr>
              <w:divsChild>
                <w:div w:id="799304315">
                  <w:marLeft w:val="0"/>
                  <w:marRight w:val="0"/>
                  <w:marTop w:val="0"/>
                  <w:marBottom w:val="0"/>
                  <w:divBdr>
                    <w:top w:val="none" w:sz="0" w:space="0" w:color="auto"/>
                    <w:left w:val="none" w:sz="0" w:space="0" w:color="auto"/>
                    <w:bottom w:val="none" w:sz="0" w:space="0" w:color="auto"/>
                    <w:right w:val="none" w:sz="0" w:space="0" w:color="auto"/>
                  </w:divBdr>
                  <w:divsChild>
                    <w:div w:id="19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56231">
      <w:bodyDiv w:val="1"/>
      <w:marLeft w:val="0"/>
      <w:marRight w:val="0"/>
      <w:marTop w:val="0"/>
      <w:marBottom w:val="0"/>
      <w:divBdr>
        <w:top w:val="none" w:sz="0" w:space="0" w:color="auto"/>
        <w:left w:val="none" w:sz="0" w:space="0" w:color="auto"/>
        <w:bottom w:val="none" w:sz="0" w:space="0" w:color="auto"/>
        <w:right w:val="none" w:sz="0" w:space="0" w:color="auto"/>
      </w:divBdr>
      <w:divsChild>
        <w:div w:id="1510872701">
          <w:marLeft w:val="0"/>
          <w:marRight w:val="0"/>
          <w:marTop w:val="0"/>
          <w:marBottom w:val="0"/>
          <w:divBdr>
            <w:top w:val="none" w:sz="0" w:space="0" w:color="auto"/>
            <w:left w:val="none" w:sz="0" w:space="0" w:color="auto"/>
            <w:bottom w:val="none" w:sz="0" w:space="0" w:color="auto"/>
            <w:right w:val="none" w:sz="0" w:space="0" w:color="auto"/>
          </w:divBdr>
          <w:divsChild>
            <w:div w:id="190191440">
              <w:marLeft w:val="0"/>
              <w:marRight w:val="0"/>
              <w:marTop w:val="0"/>
              <w:marBottom w:val="0"/>
              <w:divBdr>
                <w:top w:val="none" w:sz="0" w:space="0" w:color="auto"/>
                <w:left w:val="none" w:sz="0" w:space="0" w:color="auto"/>
                <w:bottom w:val="none" w:sz="0" w:space="0" w:color="auto"/>
                <w:right w:val="none" w:sz="0" w:space="0" w:color="auto"/>
              </w:divBdr>
              <w:divsChild>
                <w:div w:id="2023241989">
                  <w:marLeft w:val="0"/>
                  <w:marRight w:val="0"/>
                  <w:marTop w:val="0"/>
                  <w:marBottom w:val="0"/>
                  <w:divBdr>
                    <w:top w:val="none" w:sz="0" w:space="0" w:color="auto"/>
                    <w:left w:val="none" w:sz="0" w:space="0" w:color="auto"/>
                    <w:bottom w:val="none" w:sz="0" w:space="0" w:color="auto"/>
                    <w:right w:val="none" w:sz="0" w:space="0" w:color="auto"/>
                  </w:divBdr>
                  <w:divsChild>
                    <w:div w:id="947544037">
                      <w:marLeft w:val="0"/>
                      <w:marRight w:val="0"/>
                      <w:marTop w:val="0"/>
                      <w:marBottom w:val="0"/>
                      <w:divBdr>
                        <w:top w:val="none" w:sz="0" w:space="0" w:color="auto"/>
                        <w:left w:val="none" w:sz="0" w:space="0" w:color="auto"/>
                        <w:bottom w:val="none" w:sz="0" w:space="0" w:color="auto"/>
                        <w:right w:val="none" w:sz="0" w:space="0" w:color="auto"/>
                      </w:divBdr>
                      <w:divsChild>
                        <w:div w:id="1696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08446">
      <w:bodyDiv w:val="1"/>
      <w:marLeft w:val="0"/>
      <w:marRight w:val="0"/>
      <w:marTop w:val="0"/>
      <w:marBottom w:val="0"/>
      <w:divBdr>
        <w:top w:val="none" w:sz="0" w:space="0" w:color="auto"/>
        <w:left w:val="none" w:sz="0" w:space="0" w:color="auto"/>
        <w:bottom w:val="none" w:sz="0" w:space="0" w:color="auto"/>
        <w:right w:val="none" w:sz="0" w:space="0" w:color="auto"/>
      </w:divBdr>
    </w:div>
    <w:div w:id="2004509002">
      <w:bodyDiv w:val="1"/>
      <w:marLeft w:val="0"/>
      <w:marRight w:val="0"/>
      <w:marTop w:val="0"/>
      <w:marBottom w:val="0"/>
      <w:divBdr>
        <w:top w:val="none" w:sz="0" w:space="0" w:color="auto"/>
        <w:left w:val="none" w:sz="0" w:space="0" w:color="auto"/>
        <w:bottom w:val="none" w:sz="0" w:space="0" w:color="auto"/>
        <w:right w:val="none" w:sz="0" w:space="0" w:color="auto"/>
      </w:divBdr>
      <w:divsChild>
        <w:div w:id="222562668">
          <w:marLeft w:val="0"/>
          <w:marRight w:val="0"/>
          <w:marTop w:val="0"/>
          <w:marBottom w:val="0"/>
          <w:divBdr>
            <w:top w:val="none" w:sz="0" w:space="0" w:color="auto"/>
            <w:left w:val="none" w:sz="0" w:space="0" w:color="auto"/>
            <w:bottom w:val="none" w:sz="0" w:space="0" w:color="auto"/>
            <w:right w:val="none" w:sz="0" w:space="0" w:color="auto"/>
          </w:divBdr>
          <w:divsChild>
            <w:div w:id="1741707177">
              <w:marLeft w:val="0"/>
              <w:marRight w:val="0"/>
              <w:marTop w:val="0"/>
              <w:marBottom w:val="0"/>
              <w:divBdr>
                <w:top w:val="none" w:sz="0" w:space="0" w:color="auto"/>
                <w:left w:val="none" w:sz="0" w:space="0" w:color="auto"/>
                <w:bottom w:val="none" w:sz="0" w:space="0" w:color="auto"/>
                <w:right w:val="none" w:sz="0" w:space="0" w:color="auto"/>
              </w:divBdr>
              <w:divsChild>
                <w:div w:id="1319961846">
                  <w:marLeft w:val="0"/>
                  <w:marRight w:val="0"/>
                  <w:marTop w:val="0"/>
                  <w:marBottom w:val="0"/>
                  <w:divBdr>
                    <w:top w:val="none" w:sz="0" w:space="0" w:color="auto"/>
                    <w:left w:val="none" w:sz="0" w:space="0" w:color="auto"/>
                    <w:bottom w:val="none" w:sz="0" w:space="0" w:color="auto"/>
                    <w:right w:val="none" w:sz="0" w:space="0" w:color="auto"/>
                  </w:divBdr>
                  <w:divsChild>
                    <w:div w:id="1963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15413">
      <w:bodyDiv w:val="1"/>
      <w:marLeft w:val="0"/>
      <w:marRight w:val="0"/>
      <w:marTop w:val="0"/>
      <w:marBottom w:val="0"/>
      <w:divBdr>
        <w:top w:val="none" w:sz="0" w:space="0" w:color="auto"/>
        <w:left w:val="none" w:sz="0" w:space="0" w:color="auto"/>
        <w:bottom w:val="none" w:sz="0" w:space="0" w:color="auto"/>
        <w:right w:val="none" w:sz="0" w:space="0" w:color="auto"/>
      </w:divBdr>
      <w:divsChild>
        <w:div w:id="872885454">
          <w:marLeft w:val="0"/>
          <w:marRight w:val="0"/>
          <w:marTop w:val="0"/>
          <w:marBottom w:val="0"/>
          <w:divBdr>
            <w:top w:val="none" w:sz="0" w:space="0" w:color="auto"/>
            <w:left w:val="none" w:sz="0" w:space="0" w:color="auto"/>
            <w:bottom w:val="none" w:sz="0" w:space="0" w:color="auto"/>
            <w:right w:val="none" w:sz="0" w:space="0" w:color="auto"/>
          </w:divBdr>
          <w:divsChild>
            <w:div w:id="2102291815">
              <w:marLeft w:val="0"/>
              <w:marRight w:val="0"/>
              <w:marTop w:val="0"/>
              <w:marBottom w:val="0"/>
              <w:divBdr>
                <w:top w:val="none" w:sz="0" w:space="0" w:color="auto"/>
                <w:left w:val="none" w:sz="0" w:space="0" w:color="auto"/>
                <w:bottom w:val="none" w:sz="0" w:space="0" w:color="auto"/>
                <w:right w:val="none" w:sz="0" w:space="0" w:color="auto"/>
              </w:divBdr>
              <w:divsChild>
                <w:div w:id="603148550">
                  <w:marLeft w:val="0"/>
                  <w:marRight w:val="0"/>
                  <w:marTop w:val="0"/>
                  <w:marBottom w:val="0"/>
                  <w:divBdr>
                    <w:top w:val="none" w:sz="0" w:space="0" w:color="auto"/>
                    <w:left w:val="none" w:sz="0" w:space="0" w:color="auto"/>
                    <w:bottom w:val="none" w:sz="0" w:space="0" w:color="auto"/>
                    <w:right w:val="none" w:sz="0" w:space="0" w:color="auto"/>
                  </w:divBdr>
                  <w:divsChild>
                    <w:div w:id="3012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7270">
      <w:bodyDiv w:val="1"/>
      <w:marLeft w:val="0"/>
      <w:marRight w:val="0"/>
      <w:marTop w:val="0"/>
      <w:marBottom w:val="0"/>
      <w:divBdr>
        <w:top w:val="none" w:sz="0" w:space="0" w:color="auto"/>
        <w:left w:val="none" w:sz="0" w:space="0" w:color="auto"/>
        <w:bottom w:val="none" w:sz="0" w:space="0" w:color="auto"/>
        <w:right w:val="none" w:sz="0" w:space="0" w:color="auto"/>
      </w:divBdr>
      <w:divsChild>
        <w:div w:id="1393769720">
          <w:marLeft w:val="0"/>
          <w:marRight w:val="0"/>
          <w:marTop w:val="0"/>
          <w:marBottom w:val="0"/>
          <w:divBdr>
            <w:top w:val="none" w:sz="0" w:space="0" w:color="auto"/>
            <w:left w:val="none" w:sz="0" w:space="0" w:color="auto"/>
            <w:bottom w:val="none" w:sz="0" w:space="0" w:color="auto"/>
            <w:right w:val="none" w:sz="0" w:space="0" w:color="auto"/>
          </w:divBdr>
          <w:divsChild>
            <w:div w:id="5641843">
              <w:marLeft w:val="0"/>
              <w:marRight w:val="0"/>
              <w:marTop w:val="0"/>
              <w:marBottom w:val="0"/>
              <w:divBdr>
                <w:top w:val="none" w:sz="0" w:space="0" w:color="auto"/>
                <w:left w:val="none" w:sz="0" w:space="0" w:color="auto"/>
                <w:bottom w:val="none" w:sz="0" w:space="0" w:color="auto"/>
                <w:right w:val="none" w:sz="0" w:space="0" w:color="auto"/>
              </w:divBdr>
              <w:divsChild>
                <w:div w:id="1734228999">
                  <w:marLeft w:val="0"/>
                  <w:marRight w:val="0"/>
                  <w:marTop w:val="0"/>
                  <w:marBottom w:val="0"/>
                  <w:divBdr>
                    <w:top w:val="none" w:sz="0" w:space="0" w:color="auto"/>
                    <w:left w:val="none" w:sz="0" w:space="0" w:color="auto"/>
                    <w:bottom w:val="none" w:sz="0" w:space="0" w:color="auto"/>
                    <w:right w:val="none" w:sz="0" w:space="0" w:color="auto"/>
                  </w:divBdr>
                  <w:divsChild>
                    <w:div w:id="632977976">
                      <w:marLeft w:val="0"/>
                      <w:marRight w:val="0"/>
                      <w:marTop w:val="0"/>
                      <w:marBottom w:val="0"/>
                      <w:divBdr>
                        <w:top w:val="none" w:sz="0" w:space="0" w:color="auto"/>
                        <w:left w:val="none" w:sz="0" w:space="0" w:color="auto"/>
                        <w:bottom w:val="none" w:sz="0" w:space="0" w:color="auto"/>
                        <w:right w:val="none" w:sz="0" w:space="0" w:color="auto"/>
                      </w:divBdr>
                      <w:divsChild>
                        <w:div w:id="7968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C627-7BB1-43C4-9355-DFCDAB2A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15563</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temkotalmi1</dc:creator>
  <cp:lastModifiedBy>Hellberg-Lindqvist Nadine TEM</cp:lastModifiedBy>
  <cp:revision>3</cp:revision>
  <cp:lastPrinted>2016-08-23T07:02:00Z</cp:lastPrinted>
  <dcterms:created xsi:type="dcterms:W3CDTF">2017-10-03T12:10:00Z</dcterms:created>
  <dcterms:modified xsi:type="dcterms:W3CDTF">2017-10-03T13:00:00Z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1621906156</vt:i4>
  </property>
  <property fmtid="{D5CDD505-2E9C-101B-9397-08002B2CF9AE}" pid="3" name="_NewReviewCycle">
    <vt:lpwstr/>
  </property>
  <property fmtid="{D5CDD505-2E9C-101B-9397-08002B2CF9AE}" pid="4" name="_EmailSubject">
    <vt:lpwstr>PRH:n maksuasetus</vt:lpwstr>
  </property>
  <property fmtid="{D5CDD505-2E9C-101B-9397-08002B2CF9AE}" pid="5" name="_AuthorEmail">
    <vt:lpwstr>Nadine.Hellberg-Lindqvist@tem.fi</vt:lpwstr>
  </property>
  <property fmtid="{D5CDD505-2E9C-101B-9397-08002B2CF9AE}" pid="6" name="_AuthorEmailDisplayName">
    <vt:lpwstr>Hellberg-Lindqvist Nadine TEM</vt:lpwstr>
  </property>
</Properties>
</file>