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6F0" w:rsidRDefault="0096167E" w:rsidP="00FC36F0">
      <w:pPr>
        <w:pStyle w:val="TwebTeksti"/>
        <w:tabs>
          <w:tab w:val="clear" w:pos="1298"/>
          <w:tab w:val="clear" w:pos="2591"/>
          <w:tab w:val="clear" w:pos="3890"/>
          <w:tab w:val="clear" w:pos="5182"/>
          <w:tab w:val="clear" w:pos="6481"/>
          <w:tab w:val="clear" w:pos="7774"/>
          <w:tab w:val="clear" w:pos="9072"/>
        </w:tabs>
      </w:pPr>
      <w:r>
        <w:t>Liikenne- ja viestintäministeriö</w:t>
      </w:r>
    </w:p>
    <w:p w:rsidR="0096167E" w:rsidRPr="000110DE" w:rsidRDefault="0096167E" w:rsidP="00FC36F0">
      <w:pPr>
        <w:pStyle w:val="TwebTeksti"/>
        <w:tabs>
          <w:tab w:val="clear" w:pos="1298"/>
          <w:tab w:val="clear" w:pos="2591"/>
          <w:tab w:val="clear" w:pos="3890"/>
          <w:tab w:val="clear" w:pos="5182"/>
          <w:tab w:val="clear" w:pos="6481"/>
          <w:tab w:val="clear" w:pos="7774"/>
          <w:tab w:val="clear" w:pos="9072"/>
        </w:tabs>
      </w:pPr>
      <w:r>
        <w:t>kirjaamo@lvm.fi</w:t>
      </w:r>
    </w:p>
    <w:p w:rsidR="00FC36F0" w:rsidRDefault="00FC36F0" w:rsidP="00FC36F0">
      <w:pPr>
        <w:pStyle w:val="TwebTeksti"/>
        <w:tabs>
          <w:tab w:val="clear" w:pos="1298"/>
          <w:tab w:val="clear" w:pos="2591"/>
          <w:tab w:val="clear" w:pos="3890"/>
          <w:tab w:val="clear" w:pos="5182"/>
          <w:tab w:val="clear" w:pos="6481"/>
          <w:tab w:val="clear" w:pos="7774"/>
          <w:tab w:val="clear" w:pos="9072"/>
        </w:tabs>
      </w:pPr>
    </w:p>
    <w:p w:rsidR="00FC36F0" w:rsidRDefault="00FC36F0" w:rsidP="00FC36F0">
      <w:pPr>
        <w:pStyle w:val="TwebTeksti"/>
        <w:tabs>
          <w:tab w:val="clear" w:pos="1298"/>
          <w:tab w:val="clear" w:pos="2591"/>
          <w:tab w:val="clear" w:pos="3890"/>
          <w:tab w:val="clear" w:pos="5182"/>
          <w:tab w:val="clear" w:pos="6481"/>
          <w:tab w:val="clear" w:pos="7774"/>
          <w:tab w:val="clear" w:pos="9072"/>
        </w:tabs>
      </w:pPr>
    </w:p>
    <w:p w:rsidR="00FC36F0" w:rsidRPr="0096167E" w:rsidRDefault="00FC36F0" w:rsidP="00FC36F0">
      <w:pPr>
        <w:pStyle w:val="TwebTeksti"/>
        <w:tabs>
          <w:tab w:val="clear" w:pos="1298"/>
          <w:tab w:val="clear" w:pos="2591"/>
          <w:tab w:val="clear" w:pos="3890"/>
          <w:tab w:val="clear" w:pos="5182"/>
          <w:tab w:val="clear" w:pos="6481"/>
          <w:tab w:val="clear" w:pos="7774"/>
          <w:tab w:val="clear" w:pos="9072"/>
        </w:tabs>
        <w:rPr>
          <w:szCs w:val="22"/>
        </w:rPr>
      </w:pPr>
    </w:p>
    <w:p w:rsidR="00FC36F0" w:rsidRPr="0096167E" w:rsidRDefault="00FC36F0" w:rsidP="00FC36F0">
      <w:pPr>
        <w:pStyle w:val="TwebTeksti"/>
        <w:tabs>
          <w:tab w:val="clear" w:pos="1298"/>
          <w:tab w:val="clear" w:pos="2591"/>
          <w:tab w:val="clear" w:pos="3890"/>
          <w:tab w:val="clear" w:pos="5182"/>
          <w:tab w:val="clear" w:pos="6481"/>
          <w:tab w:val="clear" w:pos="7774"/>
          <w:tab w:val="clear" w:pos="9072"/>
        </w:tabs>
        <w:rPr>
          <w:szCs w:val="22"/>
        </w:rPr>
      </w:pPr>
      <w:r w:rsidRPr="0096167E">
        <w:rPr>
          <w:szCs w:val="22"/>
        </w:rPr>
        <w:t>Viite</w:t>
      </w:r>
      <w:r w:rsidR="0096167E" w:rsidRPr="0096167E">
        <w:rPr>
          <w:szCs w:val="22"/>
        </w:rPr>
        <w:t xml:space="preserve"> LVM/2242/03/2015</w:t>
      </w:r>
    </w:p>
    <w:p w:rsidR="00FC36F0" w:rsidRPr="0096167E" w:rsidRDefault="00FC36F0" w:rsidP="00FC36F0">
      <w:pPr>
        <w:pStyle w:val="TwebTeksti"/>
        <w:tabs>
          <w:tab w:val="clear" w:pos="1298"/>
          <w:tab w:val="clear" w:pos="2591"/>
          <w:tab w:val="clear" w:pos="3890"/>
          <w:tab w:val="clear" w:pos="5182"/>
          <w:tab w:val="clear" w:pos="6481"/>
          <w:tab w:val="clear" w:pos="7774"/>
          <w:tab w:val="clear" w:pos="9072"/>
        </w:tabs>
        <w:rPr>
          <w:szCs w:val="22"/>
        </w:rPr>
      </w:pPr>
    </w:p>
    <w:p w:rsidR="00FC36F0" w:rsidRPr="0096167E" w:rsidRDefault="00FC36F0" w:rsidP="00FC36F0">
      <w:pPr>
        <w:pStyle w:val="TwebAsiateksti1"/>
        <w:rPr>
          <w:szCs w:val="22"/>
        </w:rPr>
      </w:pPr>
    </w:p>
    <w:p w:rsidR="0096167E" w:rsidRPr="0096167E" w:rsidRDefault="0096167E" w:rsidP="0096167E">
      <w:pPr>
        <w:autoSpaceDE w:val="0"/>
        <w:autoSpaceDN w:val="0"/>
        <w:adjustRightInd w:val="0"/>
        <w:rPr>
          <w:b/>
          <w:szCs w:val="22"/>
        </w:rPr>
      </w:pPr>
      <w:r w:rsidRPr="0096167E">
        <w:rPr>
          <w:b/>
          <w:bCs/>
          <w:szCs w:val="22"/>
        </w:rPr>
        <w:t>T</w:t>
      </w:r>
      <w:r w:rsidRPr="0096167E">
        <w:rPr>
          <w:b/>
          <w:szCs w:val="22"/>
        </w:rPr>
        <w:t>ietoyhteiskuntakaaren (917/2014) muuttaminen verkkoneutraliteettia koskevan uuden EU-asetuksen 2015/2120 johdosta</w:t>
      </w:r>
    </w:p>
    <w:p w:rsidR="0096167E" w:rsidRPr="0096167E" w:rsidRDefault="0096167E" w:rsidP="0096167E">
      <w:pPr>
        <w:autoSpaceDE w:val="0"/>
        <w:autoSpaceDN w:val="0"/>
        <w:adjustRightInd w:val="0"/>
        <w:rPr>
          <w:b/>
          <w:szCs w:val="22"/>
        </w:rPr>
      </w:pPr>
    </w:p>
    <w:p w:rsidR="0096167E" w:rsidRPr="0096167E" w:rsidRDefault="0096167E" w:rsidP="0096167E">
      <w:pPr>
        <w:autoSpaceDE w:val="0"/>
        <w:autoSpaceDN w:val="0"/>
        <w:adjustRightInd w:val="0"/>
        <w:ind w:left="2608"/>
        <w:rPr>
          <w:szCs w:val="22"/>
        </w:rPr>
      </w:pPr>
      <w:r w:rsidRPr="0096167E">
        <w:rPr>
          <w:szCs w:val="22"/>
        </w:rPr>
        <w:t>Liikenne- ja viestintäministeriö on pyytänyt lausuntoa 15.12.2015 arvio</w:t>
      </w:r>
      <w:r>
        <w:rPr>
          <w:szCs w:val="22"/>
        </w:rPr>
        <w:softHyphen/>
      </w:r>
      <w:r w:rsidRPr="0096167E">
        <w:rPr>
          <w:szCs w:val="22"/>
        </w:rPr>
        <w:t>muis</w:t>
      </w:r>
      <w:r>
        <w:rPr>
          <w:szCs w:val="22"/>
        </w:rPr>
        <w:softHyphen/>
      </w:r>
      <w:r w:rsidRPr="0096167E">
        <w:rPr>
          <w:szCs w:val="22"/>
        </w:rPr>
        <w:t>tiosta. Kilpailu- ja kuluttajavirasto (KKV) esittää lausuntonaan seu</w:t>
      </w:r>
      <w:r>
        <w:rPr>
          <w:szCs w:val="22"/>
        </w:rPr>
        <w:softHyphen/>
      </w:r>
      <w:r w:rsidRPr="0096167E">
        <w:rPr>
          <w:szCs w:val="22"/>
        </w:rPr>
        <w:t>raavaa:</w:t>
      </w:r>
    </w:p>
    <w:p w:rsidR="0096167E" w:rsidRPr="0096167E" w:rsidRDefault="0096167E" w:rsidP="0096167E">
      <w:pPr>
        <w:autoSpaceDE w:val="0"/>
        <w:autoSpaceDN w:val="0"/>
        <w:adjustRightInd w:val="0"/>
        <w:ind w:left="1304"/>
        <w:rPr>
          <w:szCs w:val="22"/>
        </w:rPr>
      </w:pPr>
    </w:p>
    <w:p w:rsidR="0096167E" w:rsidRPr="0096167E" w:rsidRDefault="0096167E" w:rsidP="0096167E">
      <w:pPr>
        <w:autoSpaceDE w:val="0"/>
        <w:autoSpaceDN w:val="0"/>
        <w:adjustRightInd w:val="0"/>
        <w:rPr>
          <w:b/>
          <w:szCs w:val="22"/>
        </w:rPr>
      </w:pPr>
      <w:r w:rsidRPr="0096167E">
        <w:rPr>
          <w:b/>
          <w:szCs w:val="22"/>
        </w:rPr>
        <w:t>Verkkoneutraliteetti loppukäyttäjien oikeutena</w:t>
      </w:r>
    </w:p>
    <w:p w:rsidR="0096167E" w:rsidRPr="0096167E" w:rsidRDefault="0096167E" w:rsidP="0096167E">
      <w:pPr>
        <w:autoSpaceDE w:val="0"/>
        <w:autoSpaceDN w:val="0"/>
        <w:adjustRightInd w:val="0"/>
        <w:ind w:left="1304"/>
        <w:rPr>
          <w:szCs w:val="22"/>
        </w:rPr>
      </w:pPr>
    </w:p>
    <w:p w:rsidR="006D4E82" w:rsidRDefault="0096167E" w:rsidP="0096167E">
      <w:pPr>
        <w:autoSpaceDE w:val="0"/>
        <w:autoSpaceDN w:val="0"/>
        <w:adjustRightInd w:val="0"/>
        <w:ind w:left="2608"/>
        <w:rPr>
          <w:szCs w:val="22"/>
        </w:rPr>
      </w:pPr>
      <w:r>
        <w:rPr>
          <w:szCs w:val="22"/>
        </w:rPr>
        <w:t>Liikenne- ja viestintäministeriön muistio</w:t>
      </w:r>
      <w:r w:rsidR="00AE65A5">
        <w:rPr>
          <w:szCs w:val="22"/>
        </w:rPr>
        <w:t>n</w:t>
      </w:r>
      <w:r w:rsidR="006D4E82">
        <w:rPr>
          <w:szCs w:val="22"/>
        </w:rPr>
        <w:t xml:space="preserve"> (s. 2) mukaan </w:t>
      </w:r>
      <w:r w:rsidR="00AE65A5">
        <w:rPr>
          <w:szCs w:val="22"/>
        </w:rPr>
        <w:t xml:space="preserve">siinä </w:t>
      </w:r>
      <w:r w:rsidR="006D4E82">
        <w:rPr>
          <w:szCs w:val="22"/>
        </w:rPr>
        <w:t>esitetyt arviot perustuvat</w:t>
      </w:r>
      <w:r>
        <w:rPr>
          <w:szCs w:val="22"/>
        </w:rPr>
        <w:t xml:space="preserve"> </w:t>
      </w:r>
      <w:r w:rsidR="0074033B">
        <w:rPr>
          <w:szCs w:val="22"/>
        </w:rPr>
        <w:t>EU-</w:t>
      </w:r>
      <w:r>
        <w:rPr>
          <w:szCs w:val="22"/>
        </w:rPr>
        <w:t xml:space="preserve">asetuksen </w:t>
      </w:r>
      <w:r w:rsidR="0074033B">
        <w:rPr>
          <w:szCs w:val="22"/>
        </w:rPr>
        <w:t xml:space="preserve">2015/2120 </w:t>
      </w:r>
      <w:r>
        <w:rPr>
          <w:szCs w:val="22"/>
        </w:rPr>
        <w:t>artikla</w:t>
      </w:r>
      <w:r w:rsidR="006D4E82">
        <w:rPr>
          <w:szCs w:val="22"/>
        </w:rPr>
        <w:softHyphen/>
      </w:r>
      <w:r>
        <w:rPr>
          <w:szCs w:val="22"/>
        </w:rPr>
        <w:t>tekstiin ja sen johdanto-osaan. KKV</w:t>
      </w:r>
      <w:r w:rsidR="006D4E82">
        <w:rPr>
          <w:szCs w:val="22"/>
        </w:rPr>
        <w:t xml:space="preserve"> pitääkin yllättävänä sitä, ett</w:t>
      </w:r>
      <w:r w:rsidR="0074033B" w:rsidRPr="0074033B">
        <w:rPr>
          <w:szCs w:val="22"/>
        </w:rPr>
        <w:t>ä</w:t>
      </w:r>
      <w:r w:rsidRPr="0074033B">
        <w:rPr>
          <w:szCs w:val="22"/>
        </w:rPr>
        <w:t xml:space="preserve"> </w:t>
      </w:r>
      <w:r w:rsidRPr="0096167E">
        <w:rPr>
          <w:b/>
          <w:szCs w:val="22"/>
        </w:rPr>
        <w:t>arviomuistios</w:t>
      </w:r>
      <w:r w:rsidR="006D4E82">
        <w:rPr>
          <w:b/>
          <w:szCs w:val="22"/>
        </w:rPr>
        <w:t>s</w:t>
      </w:r>
      <w:r w:rsidRPr="0096167E">
        <w:rPr>
          <w:b/>
          <w:szCs w:val="22"/>
        </w:rPr>
        <w:t xml:space="preserve">a </w:t>
      </w:r>
      <w:r w:rsidR="0074033B">
        <w:rPr>
          <w:b/>
          <w:szCs w:val="22"/>
        </w:rPr>
        <w:t xml:space="preserve">ei </w:t>
      </w:r>
      <w:r w:rsidR="006D4E82">
        <w:rPr>
          <w:b/>
          <w:szCs w:val="22"/>
        </w:rPr>
        <w:t>tuoda esiin</w:t>
      </w:r>
      <w:r w:rsidRPr="0096167E">
        <w:rPr>
          <w:b/>
          <w:szCs w:val="22"/>
        </w:rPr>
        <w:t xml:space="preserve"> </w:t>
      </w:r>
      <w:r>
        <w:rPr>
          <w:b/>
          <w:szCs w:val="22"/>
        </w:rPr>
        <w:t xml:space="preserve">EU-asetuksen </w:t>
      </w:r>
      <w:r w:rsidRPr="0096167E">
        <w:rPr>
          <w:b/>
          <w:szCs w:val="22"/>
        </w:rPr>
        <w:t>verkkoneut</w:t>
      </w:r>
      <w:r>
        <w:rPr>
          <w:b/>
          <w:szCs w:val="22"/>
        </w:rPr>
        <w:softHyphen/>
      </w:r>
      <w:r w:rsidRPr="0096167E">
        <w:rPr>
          <w:b/>
          <w:szCs w:val="22"/>
        </w:rPr>
        <w:t>rali</w:t>
      </w:r>
      <w:r>
        <w:rPr>
          <w:b/>
          <w:szCs w:val="22"/>
        </w:rPr>
        <w:softHyphen/>
      </w:r>
      <w:r w:rsidRPr="0096167E">
        <w:rPr>
          <w:b/>
          <w:szCs w:val="22"/>
        </w:rPr>
        <w:t>teett</w:t>
      </w:r>
      <w:r w:rsidR="006D4E82">
        <w:rPr>
          <w:b/>
          <w:szCs w:val="22"/>
        </w:rPr>
        <w:t xml:space="preserve">isääntelyn tavoitteita ja perustaa (säädöksen </w:t>
      </w:r>
      <w:proofErr w:type="spellStart"/>
      <w:r w:rsidR="006D4E82">
        <w:rPr>
          <w:b/>
          <w:szCs w:val="22"/>
        </w:rPr>
        <w:t>ratio</w:t>
      </w:r>
      <w:proofErr w:type="spellEnd"/>
      <w:r w:rsidR="006D4E82">
        <w:rPr>
          <w:b/>
          <w:szCs w:val="22"/>
        </w:rPr>
        <w:t>)</w:t>
      </w:r>
      <w:r w:rsidRPr="0096167E">
        <w:rPr>
          <w:szCs w:val="22"/>
        </w:rPr>
        <w:t xml:space="preserve">. </w:t>
      </w:r>
    </w:p>
    <w:p w:rsidR="006D4E82" w:rsidRDefault="006D4E82" w:rsidP="0096167E">
      <w:pPr>
        <w:autoSpaceDE w:val="0"/>
        <w:autoSpaceDN w:val="0"/>
        <w:adjustRightInd w:val="0"/>
        <w:ind w:left="2608"/>
        <w:rPr>
          <w:szCs w:val="22"/>
        </w:rPr>
      </w:pPr>
    </w:p>
    <w:p w:rsidR="006D4E82" w:rsidRPr="0096167E" w:rsidRDefault="006D4E82" w:rsidP="006D4E82">
      <w:pPr>
        <w:autoSpaceDE w:val="0"/>
        <w:autoSpaceDN w:val="0"/>
        <w:adjustRightInd w:val="0"/>
        <w:ind w:left="2608"/>
        <w:rPr>
          <w:b/>
          <w:szCs w:val="22"/>
        </w:rPr>
      </w:pPr>
      <w:r>
        <w:rPr>
          <w:szCs w:val="22"/>
        </w:rPr>
        <w:t xml:space="preserve">Ensinnäkin </w:t>
      </w:r>
      <w:r w:rsidRPr="0096167E">
        <w:rPr>
          <w:szCs w:val="22"/>
        </w:rPr>
        <w:t>EU-asetus takaa kuluttajille mahdollisuuden vedota verkko</w:t>
      </w:r>
      <w:r>
        <w:rPr>
          <w:szCs w:val="22"/>
        </w:rPr>
        <w:softHyphen/>
      </w:r>
      <w:r w:rsidRPr="0096167E">
        <w:rPr>
          <w:szCs w:val="22"/>
        </w:rPr>
        <w:t>neutraliteetin toteutumiseen sekä vaatia oikeuksiensa loukkaamisen lopettamista tai hyvittämistä. Tietoyhteiskuntakaaren nykyinen säännös ei samalla tavoin selkeäsanaisesti totea, että verkkoneutraliteetin loukkaa</w:t>
      </w:r>
      <w:r>
        <w:rPr>
          <w:szCs w:val="22"/>
        </w:rPr>
        <w:softHyphen/>
      </w:r>
      <w:r w:rsidRPr="0096167E">
        <w:rPr>
          <w:szCs w:val="22"/>
        </w:rPr>
        <w:t>minen tarkoittaa kuluttajien oikeuksien loukkaamista.</w:t>
      </w:r>
    </w:p>
    <w:p w:rsidR="006D4E82" w:rsidRDefault="006D4E82" w:rsidP="0096167E">
      <w:pPr>
        <w:autoSpaceDE w:val="0"/>
        <w:autoSpaceDN w:val="0"/>
        <w:adjustRightInd w:val="0"/>
        <w:ind w:left="2608"/>
        <w:rPr>
          <w:szCs w:val="22"/>
        </w:rPr>
      </w:pPr>
    </w:p>
    <w:p w:rsidR="0096167E" w:rsidRPr="0096167E" w:rsidRDefault="0096167E" w:rsidP="0096167E">
      <w:pPr>
        <w:autoSpaceDE w:val="0"/>
        <w:autoSpaceDN w:val="0"/>
        <w:adjustRightInd w:val="0"/>
        <w:ind w:left="2608"/>
        <w:rPr>
          <w:szCs w:val="22"/>
        </w:rPr>
      </w:pPr>
      <w:r w:rsidRPr="0096167E">
        <w:rPr>
          <w:szCs w:val="22"/>
        </w:rPr>
        <w:t>Kuten EU-asetuk</w:t>
      </w:r>
      <w:r w:rsidR="006D4E82">
        <w:rPr>
          <w:szCs w:val="22"/>
        </w:rPr>
        <w:softHyphen/>
      </w:r>
      <w:r w:rsidRPr="0096167E">
        <w:rPr>
          <w:szCs w:val="22"/>
        </w:rPr>
        <w:t>sen johdanto-osan 1 kohdassa todetaan, EU-asetuksen ensisijaisiin tavoit</w:t>
      </w:r>
      <w:r w:rsidR="006D4E82">
        <w:rPr>
          <w:szCs w:val="22"/>
        </w:rPr>
        <w:softHyphen/>
      </w:r>
      <w:r w:rsidRPr="0096167E">
        <w:rPr>
          <w:szCs w:val="22"/>
        </w:rPr>
        <w:t>teisiin kuuluu turvata loppukäyttäjien oikeudet ja suojella loppukäyttäjiä.</w:t>
      </w:r>
      <w:r w:rsidRPr="0096167E">
        <w:rPr>
          <w:b/>
          <w:szCs w:val="22"/>
        </w:rPr>
        <w:t xml:space="preserve"> </w:t>
      </w:r>
      <w:r w:rsidRPr="0096167E">
        <w:rPr>
          <w:szCs w:val="22"/>
        </w:rPr>
        <w:t>EU-asetuksen ensimmäisessä substanssisäännöksessä, 3 artiklassa joka on otsikoitu ”Avoimen internetyhteyden turvaaminen”, todetaan heti ensimmäisenä verkkoneutraliteetin yhteys loppukäyttäjien oikeuksiin. 3 artiklan 1 kohdan mukaan:</w:t>
      </w:r>
    </w:p>
    <w:p w:rsidR="0096167E" w:rsidRPr="0096167E" w:rsidRDefault="0096167E" w:rsidP="0096167E">
      <w:pPr>
        <w:autoSpaceDE w:val="0"/>
        <w:autoSpaceDN w:val="0"/>
        <w:adjustRightInd w:val="0"/>
        <w:ind w:left="1304"/>
        <w:rPr>
          <w:b/>
          <w:szCs w:val="22"/>
        </w:rPr>
      </w:pPr>
    </w:p>
    <w:p w:rsidR="0096167E" w:rsidRPr="0096167E" w:rsidRDefault="0096167E" w:rsidP="0096167E">
      <w:pPr>
        <w:autoSpaceDE w:val="0"/>
        <w:autoSpaceDN w:val="0"/>
        <w:adjustRightInd w:val="0"/>
        <w:ind w:left="3912"/>
        <w:rPr>
          <w:szCs w:val="22"/>
        </w:rPr>
      </w:pPr>
      <w:r w:rsidRPr="0096167E">
        <w:rPr>
          <w:b/>
          <w:szCs w:val="22"/>
        </w:rPr>
        <w:t>Loppukäyttäjillä on oikeus</w:t>
      </w:r>
      <w:r w:rsidRPr="0096167E">
        <w:rPr>
          <w:szCs w:val="22"/>
        </w:rPr>
        <w:t xml:space="preserve"> saada ja välittää tietoa ja sisältöjä, käyttää ja tarjota valitsemiaan sovelluksia ja palveluja sekä käyttää valitsemiaan päätelaitteita riippumatta loppukäyttäjän tai palveluntarjoajan sijaintipaikasta taikka tiedon, sisällön, sovelluksen tai palvelun alkuperästä tai määränpäästä, internetyhteyspalvelunsa kautta.</w:t>
      </w:r>
    </w:p>
    <w:p w:rsidR="0096167E" w:rsidRPr="0096167E" w:rsidRDefault="006D4E82" w:rsidP="0096167E">
      <w:pPr>
        <w:pStyle w:val="CM1"/>
        <w:spacing w:before="200" w:after="200"/>
        <w:ind w:left="2608"/>
        <w:rPr>
          <w:rFonts w:ascii="Arial" w:hAnsi="Arial" w:cs="Arial"/>
          <w:sz w:val="22"/>
          <w:szCs w:val="22"/>
        </w:rPr>
      </w:pPr>
      <w:r>
        <w:rPr>
          <w:rFonts w:ascii="Arial" w:hAnsi="Arial" w:cs="Arial"/>
          <w:sz w:val="22"/>
          <w:szCs w:val="22"/>
          <w:lang w:eastAsia="en-US"/>
        </w:rPr>
        <w:t xml:space="preserve">Lisäksi </w:t>
      </w:r>
      <w:r w:rsidR="0096167E" w:rsidRPr="0096167E">
        <w:rPr>
          <w:rFonts w:ascii="Arial" w:hAnsi="Arial" w:cs="Arial"/>
          <w:sz w:val="22"/>
          <w:szCs w:val="22"/>
          <w:lang w:eastAsia="en-US"/>
        </w:rPr>
        <w:t>EU-a</w:t>
      </w:r>
      <w:r w:rsidR="0096167E" w:rsidRPr="0096167E">
        <w:rPr>
          <w:rFonts w:ascii="Arial" w:hAnsi="Arial" w:cs="Arial"/>
          <w:color w:val="19161B"/>
          <w:sz w:val="22"/>
          <w:szCs w:val="22"/>
        </w:rPr>
        <w:t xml:space="preserve">setuksen johdanto-osassa tuodaan esiin se, että </w:t>
      </w:r>
      <w:r>
        <w:rPr>
          <w:rFonts w:ascii="Arial" w:hAnsi="Arial" w:cs="Arial"/>
          <w:color w:val="19161B"/>
          <w:sz w:val="22"/>
          <w:szCs w:val="22"/>
        </w:rPr>
        <w:t xml:space="preserve">kuluttajien oikeus </w:t>
      </w:r>
      <w:r w:rsidR="0096167E" w:rsidRPr="0096167E">
        <w:rPr>
          <w:rFonts w:ascii="Arial" w:hAnsi="Arial" w:cs="Arial"/>
          <w:color w:val="19161B"/>
          <w:sz w:val="22"/>
          <w:szCs w:val="22"/>
        </w:rPr>
        <w:t>verkko</w:t>
      </w:r>
      <w:r>
        <w:rPr>
          <w:rFonts w:ascii="Arial" w:hAnsi="Arial" w:cs="Arial"/>
          <w:color w:val="19161B"/>
          <w:sz w:val="22"/>
          <w:szCs w:val="22"/>
        </w:rPr>
        <w:softHyphen/>
      </w:r>
      <w:r w:rsidR="0096167E" w:rsidRPr="0096167E">
        <w:rPr>
          <w:rFonts w:ascii="Arial" w:hAnsi="Arial" w:cs="Arial"/>
          <w:color w:val="19161B"/>
          <w:sz w:val="22"/>
          <w:szCs w:val="22"/>
        </w:rPr>
        <w:t>neutraliteet</w:t>
      </w:r>
      <w:r>
        <w:rPr>
          <w:rFonts w:ascii="Arial" w:hAnsi="Arial" w:cs="Arial"/>
          <w:color w:val="19161B"/>
          <w:sz w:val="22"/>
          <w:szCs w:val="22"/>
        </w:rPr>
        <w:t xml:space="preserve">in mukaiseen kohteluun </w:t>
      </w:r>
      <w:r w:rsidR="0096167E" w:rsidRPr="0096167E">
        <w:rPr>
          <w:rFonts w:ascii="Arial" w:hAnsi="Arial" w:cs="Arial"/>
          <w:color w:val="19161B"/>
          <w:sz w:val="22"/>
          <w:szCs w:val="22"/>
        </w:rPr>
        <w:t xml:space="preserve">liittyy </w:t>
      </w:r>
      <w:r w:rsidR="0096167E" w:rsidRPr="0096167E">
        <w:rPr>
          <w:rFonts w:ascii="Arial" w:hAnsi="Arial" w:cs="Arial"/>
          <w:b/>
          <w:color w:val="19161B"/>
          <w:sz w:val="22"/>
          <w:szCs w:val="22"/>
        </w:rPr>
        <w:t>perusoikeuksien turvaami</w:t>
      </w:r>
      <w:r w:rsidR="0096167E">
        <w:rPr>
          <w:rFonts w:ascii="Arial" w:hAnsi="Arial" w:cs="Arial"/>
          <w:b/>
          <w:color w:val="19161B"/>
          <w:sz w:val="22"/>
          <w:szCs w:val="22"/>
        </w:rPr>
        <w:softHyphen/>
      </w:r>
      <w:r w:rsidR="0096167E" w:rsidRPr="0096167E">
        <w:rPr>
          <w:rFonts w:ascii="Arial" w:hAnsi="Arial" w:cs="Arial"/>
          <w:b/>
          <w:color w:val="19161B"/>
          <w:sz w:val="22"/>
          <w:szCs w:val="22"/>
        </w:rPr>
        <w:t>seen</w:t>
      </w:r>
      <w:r w:rsidR="0096167E" w:rsidRPr="0096167E">
        <w:rPr>
          <w:rFonts w:ascii="Arial" w:hAnsi="Arial" w:cs="Arial"/>
          <w:color w:val="19161B"/>
          <w:sz w:val="22"/>
          <w:szCs w:val="22"/>
        </w:rPr>
        <w:t>. Johdanto-osan 13 kohdan mukaan vaatimus EU-oikeuden noudat</w:t>
      </w:r>
      <w:r w:rsidR="0096167E">
        <w:rPr>
          <w:rFonts w:ascii="Arial" w:hAnsi="Arial" w:cs="Arial"/>
          <w:color w:val="19161B"/>
          <w:sz w:val="22"/>
          <w:szCs w:val="22"/>
        </w:rPr>
        <w:softHyphen/>
      </w:r>
      <w:r w:rsidR="0096167E" w:rsidRPr="0096167E">
        <w:rPr>
          <w:rFonts w:ascii="Arial" w:hAnsi="Arial" w:cs="Arial"/>
          <w:color w:val="19161B"/>
          <w:sz w:val="22"/>
          <w:szCs w:val="22"/>
        </w:rPr>
        <w:t>tamisesta koskee Euroopan unionin perus</w:t>
      </w:r>
      <w:r w:rsidR="0096167E" w:rsidRPr="0096167E">
        <w:rPr>
          <w:rFonts w:ascii="Arial" w:hAnsi="Arial" w:cs="Arial"/>
          <w:color w:val="19161B"/>
          <w:sz w:val="22"/>
          <w:szCs w:val="22"/>
        </w:rPr>
        <w:softHyphen/>
        <w:t>oikeus</w:t>
      </w:r>
      <w:r w:rsidR="0096167E" w:rsidRPr="0096167E">
        <w:rPr>
          <w:rFonts w:ascii="Arial" w:hAnsi="Arial" w:cs="Arial"/>
          <w:color w:val="19161B"/>
          <w:sz w:val="22"/>
          <w:szCs w:val="22"/>
        </w:rPr>
        <w:softHyphen/>
        <w:t>kir</w:t>
      </w:r>
      <w:r w:rsidR="0096167E" w:rsidRPr="0096167E">
        <w:rPr>
          <w:rFonts w:ascii="Arial" w:hAnsi="Arial" w:cs="Arial"/>
          <w:sz w:val="22"/>
          <w:szCs w:val="22"/>
        </w:rPr>
        <w:t>jassa vahvistet</w:t>
      </w:r>
      <w:r>
        <w:rPr>
          <w:rFonts w:ascii="Arial" w:hAnsi="Arial" w:cs="Arial"/>
          <w:sz w:val="22"/>
          <w:szCs w:val="22"/>
        </w:rPr>
        <w:softHyphen/>
      </w:r>
      <w:r w:rsidR="0096167E" w:rsidRPr="0096167E">
        <w:rPr>
          <w:rFonts w:ascii="Arial" w:hAnsi="Arial" w:cs="Arial"/>
          <w:sz w:val="22"/>
          <w:szCs w:val="22"/>
        </w:rPr>
        <w:t>tujen vaatimusten noudatta</w:t>
      </w:r>
      <w:r w:rsidR="0096167E" w:rsidRPr="0096167E">
        <w:rPr>
          <w:rFonts w:ascii="Arial" w:hAnsi="Arial" w:cs="Arial"/>
          <w:sz w:val="22"/>
          <w:szCs w:val="22"/>
        </w:rPr>
        <w:softHyphen/>
        <w:t xml:space="preserve">mista perusoikeuksien ja </w:t>
      </w:r>
      <w:proofErr w:type="gramStart"/>
      <w:r w:rsidR="0096167E" w:rsidRPr="0096167E">
        <w:rPr>
          <w:rFonts w:ascii="Arial" w:hAnsi="Arial" w:cs="Arial"/>
          <w:sz w:val="22"/>
          <w:szCs w:val="22"/>
        </w:rPr>
        <w:t>–vapauk</w:t>
      </w:r>
      <w:r w:rsidR="0096167E" w:rsidRPr="0096167E">
        <w:rPr>
          <w:rFonts w:ascii="Arial" w:hAnsi="Arial" w:cs="Arial"/>
          <w:sz w:val="22"/>
          <w:szCs w:val="22"/>
        </w:rPr>
        <w:softHyphen/>
        <w:t>sien</w:t>
      </w:r>
      <w:proofErr w:type="gramEnd"/>
      <w:r w:rsidR="0096167E" w:rsidRPr="0096167E">
        <w:rPr>
          <w:rFonts w:ascii="Arial" w:hAnsi="Arial" w:cs="Arial"/>
          <w:sz w:val="22"/>
          <w:szCs w:val="22"/>
        </w:rPr>
        <w:t xml:space="preserve"> osalta. EU-asetuksen johdanto-osan 33 kohdan mukaan asetuksessa kunnioite</w:t>
      </w:r>
      <w:r>
        <w:rPr>
          <w:rFonts w:ascii="Arial" w:hAnsi="Arial" w:cs="Arial"/>
          <w:sz w:val="22"/>
          <w:szCs w:val="22"/>
        </w:rPr>
        <w:softHyphen/>
      </w:r>
      <w:r w:rsidR="0096167E" w:rsidRPr="0096167E">
        <w:rPr>
          <w:rFonts w:ascii="Arial" w:hAnsi="Arial" w:cs="Arial"/>
          <w:sz w:val="22"/>
          <w:szCs w:val="22"/>
        </w:rPr>
        <w:t>taan perus</w:t>
      </w:r>
      <w:r w:rsidR="0096167E" w:rsidRPr="0096167E">
        <w:rPr>
          <w:rFonts w:ascii="Arial" w:hAnsi="Arial" w:cs="Arial"/>
          <w:sz w:val="22"/>
          <w:szCs w:val="22"/>
        </w:rPr>
        <w:softHyphen/>
        <w:t>oikeuksia ja otetaan huomioon periaatteet, jotka on vahvistettu eri</w:t>
      </w:r>
      <w:r w:rsidR="0096167E">
        <w:rPr>
          <w:rFonts w:ascii="Arial" w:hAnsi="Arial" w:cs="Arial"/>
          <w:sz w:val="22"/>
          <w:szCs w:val="22"/>
        </w:rPr>
        <w:softHyphen/>
      </w:r>
      <w:r w:rsidR="0096167E" w:rsidRPr="0096167E">
        <w:rPr>
          <w:rFonts w:ascii="Arial" w:hAnsi="Arial" w:cs="Arial"/>
          <w:sz w:val="22"/>
          <w:szCs w:val="22"/>
        </w:rPr>
        <w:t>tyisesti perusoikeus</w:t>
      </w:r>
      <w:r w:rsidR="0096167E" w:rsidRPr="0096167E">
        <w:rPr>
          <w:rFonts w:ascii="Arial" w:hAnsi="Arial" w:cs="Arial"/>
          <w:sz w:val="22"/>
          <w:szCs w:val="22"/>
        </w:rPr>
        <w:softHyphen/>
        <w:t>kirjassa ja joita ovat erityisesti henkilötietojen suoja, sananvapaus ja tiedonvälityksen vapaus, elinkeinovapaus, syrjintäkielto ja kuluttajansuoja.</w:t>
      </w:r>
    </w:p>
    <w:p w:rsidR="0096167E" w:rsidRPr="0096167E" w:rsidRDefault="0096167E" w:rsidP="006D4E82">
      <w:pPr>
        <w:autoSpaceDE w:val="0"/>
        <w:autoSpaceDN w:val="0"/>
        <w:adjustRightInd w:val="0"/>
        <w:ind w:left="2608"/>
        <w:rPr>
          <w:szCs w:val="22"/>
        </w:rPr>
      </w:pPr>
      <w:r w:rsidRPr="0096167E">
        <w:rPr>
          <w:szCs w:val="22"/>
        </w:rPr>
        <w:t>Suomen perustuslain 22 §:n mukaan julkisen vallan on turvattava perus</w:t>
      </w:r>
      <w:r w:rsidR="006D4E82">
        <w:rPr>
          <w:szCs w:val="22"/>
        </w:rPr>
        <w:softHyphen/>
      </w:r>
      <w:r w:rsidRPr="0096167E">
        <w:rPr>
          <w:szCs w:val="22"/>
        </w:rPr>
        <w:t>oikeuksien ja ihmisoi</w:t>
      </w:r>
      <w:r w:rsidRPr="0096167E">
        <w:rPr>
          <w:szCs w:val="22"/>
        </w:rPr>
        <w:softHyphen/>
        <w:t>keuksien toteutuminen. Perustuslain esitöiden (HE 309/1993) mukaan vuoden 1995 perus</w:t>
      </w:r>
      <w:r w:rsidRPr="0096167E">
        <w:rPr>
          <w:szCs w:val="22"/>
        </w:rPr>
        <w:softHyphen/>
        <w:t>oikeusuudistuksen tärkeimpänä tavoitteena oli yksilön oikeuksien perustuslaintasoisen tur</w:t>
      </w:r>
      <w:r w:rsidRPr="0096167E">
        <w:rPr>
          <w:szCs w:val="22"/>
        </w:rPr>
        <w:softHyphen/>
        <w:t>van laajentaminen ja vahvistaminen. Laintulkinnassa on noudatettava perusoikeus</w:t>
      </w:r>
      <w:r w:rsidRPr="0096167E">
        <w:rPr>
          <w:szCs w:val="22"/>
        </w:rPr>
        <w:softHyphen/>
        <w:t>myön</w:t>
      </w:r>
      <w:r w:rsidRPr="0096167E">
        <w:rPr>
          <w:szCs w:val="22"/>
        </w:rPr>
        <w:softHyphen/>
        <w:t>teistä laintulkintaa ja perusoikeuksilla on vaikutusta myös yksityisten välisissä oikeussuh</w:t>
      </w:r>
      <w:r w:rsidRPr="0096167E">
        <w:rPr>
          <w:szCs w:val="22"/>
        </w:rPr>
        <w:softHyphen/>
        <w:t>teissa (ns. horisontaalivaikutus). Nämä periaatteet on myös Korkein oikeus ratkaisukäytän</w:t>
      </w:r>
      <w:r w:rsidRPr="0096167E">
        <w:rPr>
          <w:szCs w:val="22"/>
        </w:rPr>
        <w:softHyphen/>
        <w:t>nössään vahvistanut (esim. KKO 2013:5).</w:t>
      </w:r>
    </w:p>
    <w:p w:rsidR="0096167E" w:rsidRPr="0096167E" w:rsidRDefault="0096167E" w:rsidP="0096167E">
      <w:pPr>
        <w:autoSpaceDE w:val="0"/>
        <w:autoSpaceDN w:val="0"/>
        <w:adjustRightInd w:val="0"/>
        <w:rPr>
          <w:szCs w:val="22"/>
        </w:rPr>
      </w:pPr>
    </w:p>
    <w:p w:rsidR="0096167E" w:rsidRPr="0096167E" w:rsidRDefault="0096167E" w:rsidP="006D4E82">
      <w:pPr>
        <w:autoSpaceDE w:val="0"/>
        <w:autoSpaceDN w:val="0"/>
        <w:adjustRightInd w:val="0"/>
        <w:ind w:left="2608"/>
        <w:rPr>
          <w:szCs w:val="22"/>
        </w:rPr>
      </w:pPr>
      <w:r w:rsidRPr="0096167E">
        <w:rPr>
          <w:szCs w:val="22"/>
        </w:rPr>
        <w:t xml:space="preserve">KKV kiinnittää huomiota myös siihen, että arviomuistiossa liikenne- ja viestintäministeriö on pyytänyt näkemyksiä erityisesti liittyen yritysten tai toimialan toimintaedellytyksiin tai asemaan sähköisten viestintäpalvelujen käyttäjänä tai tuottajana. Kysymyksenasetteluun ei ole lainkaan sisällytetty kuluttajavaikutuksia, vaikka sekä tietoyhteiskuntakaaren että EU-asetuksen säännökset liittyvät välittömästi yksityishenkilöiden asemaan ja oikeuksiin. </w:t>
      </w:r>
    </w:p>
    <w:p w:rsidR="0096167E" w:rsidRPr="0096167E" w:rsidRDefault="0096167E" w:rsidP="0096167E">
      <w:pPr>
        <w:autoSpaceDE w:val="0"/>
        <w:autoSpaceDN w:val="0"/>
        <w:adjustRightInd w:val="0"/>
        <w:rPr>
          <w:szCs w:val="22"/>
        </w:rPr>
      </w:pPr>
    </w:p>
    <w:p w:rsidR="0096167E" w:rsidRPr="0096167E" w:rsidRDefault="0096167E" w:rsidP="0096167E">
      <w:pPr>
        <w:autoSpaceDE w:val="0"/>
        <w:autoSpaceDN w:val="0"/>
        <w:adjustRightInd w:val="0"/>
        <w:rPr>
          <w:b/>
          <w:szCs w:val="22"/>
        </w:rPr>
      </w:pPr>
      <w:r w:rsidRPr="0096167E">
        <w:rPr>
          <w:b/>
          <w:szCs w:val="22"/>
        </w:rPr>
        <w:t>EU-asetus ja kuluttajavalitukset</w:t>
      </w:r>
    </w:p>
    <w:p w:rsidR="0096167E" w:rsidRPr="0096167E" w:rsidRDefault="0096167E" w:rsidP="0096167E">
      <w:pPr>
        <w:autoSpaceDE w:val="0"/>
        <w:autoSpaceDN w:val="0"/>
        <w:adjustRightInd w:val="0"/>
        <w:ind w:left="1304"/>
        <w:rPr>
          <w:szCs w:val="22"/>
        </w:rPr>
      </w:pPr>
    </w:p>
    <w:p w:rsidR="0096167E" w:rsidRPr="0096167E" w:rsidRDefault="0096167E" w:rsidP="006D4E82">
      <w:pPr>
        <w:autoSpaceDE w:val="0"/>
        <w:autoSpaceDN w:val="0"/>
        <w:adjustRightInd w:val="0"/>
        <w:ind w:left="2608"/>
        <w:rPr>
          <w:szCs w:val="22"/>
        </w:rPr>
      </w:pPr>
      <w:r w:rsidRPr="0096167E">
        <w:rPr>
          <w:szCs w:val="22"/>
        </w:rPr>
        <w:t>Arviomuistiossa olisi syytä tuoda esiin, että EU-asetus sisältää kuluttajien reklamaatioihin liittyviä säännöksiä. EU-asetuksen 4 artiklan 2 kohta aset</w:t>
      </w:r>
      <w:r w:rsidR="006D4E82">
        <w:rPr>
          <w:szCs w:val="22"/>
        </w:rPr>
        <w:softHyphen/>
      </w:r>
      <w:r w:rsidRPr="0096167E">
        <w:rPr>
          <w:szCs w:val="22"/>
        </w:rPr>
        <w:t>taa palveluntarjoajille nimenomai</w:t>
      </w:r>
      <w:r w:rsidRPr="0096167E">
        <w:rPr>
          <w:szCs w:val="22"/>
        </w:rPr>
        <w:softHyphen/>
        <w:t>sen velvoitteen ottaa käyttöön läpinäkyvät, yksinkertaiset ja tehokkaat menettelyt loppu</w:t>
      </w:r>
      <w:r w:rsidRPr="0096167E">
        <w:rPr>
          <w:szCs w:val="22"/>
        </w:rPr>
        <w:softHyphen/>
        <w:t>käyt</w:t>
      </w:r>
      <w:r w:rsidRPr="0096167E">
        <w:rPr>
          <w:szCs w:val="22"/>
        </w:rPr>
        <w:softHyphen/>
        <w:t>täjien valitusten käsittele</w:t>
      </w:r>
      <w:r w:rsidR="006D4E82">
        <w:rPr>
          <w:szCs w:val="22"/>
        </w:rPr>
        <w:softHyphen/>
      </w:r>
      <w:r w:rsidRPr="0096167E">
        <w:rPr>
          <w:szCs w:val="22"/>
        </w:rPr>
        <w:t xml:space="preserve">miseksi. </w:t>
      </w:r>
    </w:p>
    <w:p w:rsidR="0096167E" w:rsidRPr="0096167E" w:rsidRDefault="0096167E" w:rsidP="0096167E">
      <w:pPr>
        <w:autoSpaceDE w:val="0"/>
        <w:autoSpaceDN w:val="0"/>
        <w:adjustRightInd w:val="0"/>
        <w:ind w:left="1304"/>
        <w:rPr>
          <w:szCs w:val="22"/>
        </w:rPr>
      </w:pPr>
    </w:p>
    <w:p w:rsidR="0096167E" w:rsidRPr="0096167E" w:rsidRDefault="0096167E" w:rsidP="006D4E82">
      <w:pPr>
        <w:autoSpaceDE w:val="0"/>
        <w:autoSpaceDN w:val="0"/>
        <w:adjustRightInd w:val="0"/>
        <w:ind w:left="2608"/>
        <w:rPr>
          <w:szCs w:val="22"/>
        </w:rPr>
      </w:pPr>
      <w:r w:rsidRPr="0096167E">
        <w:rPr>
          <w:szCs w:val="22"/>
        </w:rPr>
        <w:t>KKV toteaa, että kuluttajavalituksiin liittyviä elinkeinonharjoittajien tiedon</w:t>
      </w:r>
      <w:r w:rsidR="006D4E82">
        <w:rPr>
          <w:szCs w:val="22"/>
        </w:rPr>
        <w:softHyphen/>
      </w:r>
      <w:r w:rsidRPr="0096167E">
        <w:rPr>
          <w:szCs w:val="22"/>
        </w:rPr>
        <w:t>antovelvoitteita on EU:n antamissa kuluttajaoikeudellisissa säädöksissä, esimerkiksi vaihtoehtoisen riidanratkai</w:t>
      </w:r>
      <w:r w:rsidRPr="0096167E">
        <w:rPr>
          <w:szCs w:val="22"/>
        </w:rPr>
        <w:softHyphen/>
        <w:t xml:space="preserve">sun </w:t>
      </w:r>
      <w:proofErr w:type="spellStart"/>
      <w:r w:rsidRPr="0096167E">
        <w:rPr>
          <w:szCs w:val="22"/>
        </w:rPr>
        <w:t>ADR-direktiivin</w:t>
      </w:r>
      <w:proofErr w:type="spellEnd"/>
      <w:r w:rsidRPr="0096167E">
        <w:rPr>
          <w:szCs w:val="22"/>
        </w:rPr>
        <w:t xml:space="preserve"> (2013/11/EU) 13 artiklassa ja </w:t>
      </w:r>
      <w:proofErr w:type="spellStart"/>
      <w:r w:rsidRPr="0096167E">
        <w:rPr>
          <w:szCs w:val="22"/>
        </w:rPr>
        <w:t>ODR-asetuksen</w:t>
      </w:r>
      <w:proofErr w:type="spellEnd"/>
      <w:r w:rsidRPr="0096167E">
        <w:rPr>
          <w:szCs w:val="22"/>
        </w:rPr>
        <w:t xml:space="preserve"> (</w:t>
      </w:r>
      <w:proofErr w:type="spellStart"/>
      <w:r w:rsidRPr="0096167E">
        <w:rPr>
          <w:szCs w:val="22"/>
        </w:rPr>
        <w:t>Regulation</w:t>
      </w:r>
      <w:proofErr w:type="spellEnd"/>
      <w:r w:rsidRPr="0096167E">
        <w:rPr>
          <w:szCs w:val="22"/>
        </w:rPr>
        <w:t xml:space="preserve"> (EU) No 524/2013 of the </w:t>
      </w:r>
      <w:proofErr w:type="spellStart"/>
      <w:r w:rsidRPr="0096167E">
        <w:rPr>
          <w:szCs w:val="22"/>
        </w:rPr>
        <w:t>European</w:t>
      </w:r>
      <w:proofErr w:type="spellEnd"/>
      <w:r w:rsidRPr="0096167E">
        <w:rPr>
          <w:szCs w:val="22"/>
        </w:rPr>
        <w:t xml:space="preserve"> </w:t>
      </w:r>
      <w:proofErr w:type="spellStart"/>
      <w:r w:rsidRPr="0096167E">
        <w:rPr>
          <w:szCs w:val="22"/>
        </w:rPr>
        <w:t>Parliament</w:t>
      </w:r>
      <w:proofErr w:type="spellEnd"/>
      <w:r w:rsidRPr="0096167E">
        <w:rPr>
          <w:szCs w:val="22"/>
        </w:rPr>
        <w:t xml:space="preserve"> and of the </w:t>
      </w:r>
      <w:proofErr w:type="spellStart"/>
      <w:r w:rsidRPr="0096167E">
        <w:rPr>
          <w:szCs w:val="22"/>
        </w:rPr>
        <w:t>Council</w:t>
      </w:r>
      <w:proofErr w:type="spellEnd"/>
      <w:r w:rsidRPr="0096167E">
        <w:rPr>
          <w:szCs w:val="22"/>
        </w:rPr>
        <w:t xml:space="preserve"> of 21 </w:t>
      </w:r>
      <w:proofErr w:type="spellStart"/>
      <w:r w:rsidRPr="0096167E">
        <w:rPr>
          <w:szCs w:val="22"/>
        </w:rPr>
        <w:t>May</w:t>
      </w:r>
      <w:proofErr w:type="spellEnd"/>
      <w:r w:rsidRPr="0096167E">
        <w:rPr>
          <w:szCs w:val="22"/>
        </w:rPr>
        <w:t xml:space="preserve"> 2013 on </w:t>
      </w:r>
      <w:proofErr w:type="spellStart"/>
      <w:r w:rsidRPr="0096167E">
        <w:rPr>
          <w:szCs w:val="22"/>
        </w:rPr>
        <w:t>online</w:t>
      </w:r>
      <w:proofErr w:type="spellEnd"/>
      <w:r w:rsidRPr="0096167E">
        <w:rPr>
          <w:szCs w:val="22"/>
        </w:rPr>
        <w:t xml:space="preserve"> </w:t>
      </w:r>
      <w:proofErr w:type="spellStart"/>
      <w:r w:rsidRPr="0096167E">
        <w:rPr>
          <w:szCs w:val="22"/>
        </w:rPr>
        <w:t>dispute</w:t>
      </w:r>
      <w:proofErr w:type="spellEnd"/>
      <w:r w:rsidRPr="0096167E">
        <w:rPr>
          <w:szCs w:val="22"/>
        </w:rPr>
        <w:t xml:space="preserve"> </w:t>
      </w:r>
      <w:proofErr w:type="spellStart"/>
      <w:r w:rsidRPr="0096167E">
        <w:rPr>
          <w:szCs w:val="22"/>
        </w:rPr>
        <w:t>resolution</w:t>
      </w:r>
      <w:proofErr w:type="spellEnd"/>
      <w:r w:rsidRPr="0096167E">
        <w:rPr>
          <w:szCs w:val="22"/>
        </w:rPr>
        <w:t xml:space="preserve"> for </w:t>
      </w:r>
      <w:proofErr w:type="spellStart"/>
      <w:r w:rsidRPr="0096167E">
        <w:rPr>
          <w:szCs w:val="22"/>
        </w:rPr>
        <w:t>consumer</w:t>
      </w:r>
      <w:proofErr w:type="spellEnd"/>
      <w:r w:rsidRPr="0096167E">
        <w:rPr>
          <w:szCs w:val="22"/>
        </w:rPr>
        <w:t xml:space="preserve"> </w:t>
      </w:r>
      <w:proofErr w:type="spellStart"/>
      <w:r w:rsidRPr="0096167E">
        <w:rPr>
          <w:szCs w:val="22"/>
        </w:rPr>
        <w:t>disputes</w:t>
      </w:r>
      <w:proofErr w:type="spellEnd"/>
      <w:r w:rsidRPr="0096167E">
        <w:rPr>
          <w:szCs w:val="22"/>
        </w:rPr>
        <w:t>) 14 artiklassa.</w:t>
      </w:r>
    </w:p>
    <w:p w:rsidR="0096167E" w:rsidRPr="0096167E" w:rsidRDefault="0096167E" w:rsidP="0096167E">
      <w:pPr>
        <w:autoSpaceDE w:val="0"/>
        <w:autoSpaceDN w:val="0"/>
        <w:adjustRightInd w:val="0"/>
        <w:ind w:left="1304"/>
        <w:rPr>
          <w:szCs w:val="22"/>
        </w:rPr>
      </w:pPr>
    </w:p>
    <w:p w:rsidR="0096167E" w:rsidRPr="0096167E" w:rsidRDefault="0096167E" w:rsidP="006D4E82">
      <w:pPr>
        <w:autoSpaceDE w:val="0"/>
        <w:autoSpaceDN w:val="0"/>
        <w:adjustRightInd w:val="0"/>
        <w:ind w:left="2608"/>
        <w:rPr>
          <w:szCs w:val="22"/>
        </w:rPr>
      </w:pPr>
      <w:r w:rsidRPr="0096167E">
        <w:rPr>
          <w:szCs w:val="22"/>
        </w:rPr>
        <w:t>EU-asetuksen 4 artiklan 4 kohdan mukaan virheenä on pidettävä nettiyh</w:t>
      </w:r>
      <w:r w:rsidR="006D4E82">
        <w:rPr>
          <w:szCs w:val="22"/>
        </w:rPr>
        <w:softHyphen/>
      </w:r>
      <w:r w:rsidRPr="0096167E">
        <w:rPr>
          <w:szCs w:val="22"/>
        </w:rPr>
        <w:t>teyden tosiasiallisen suorituskyvyn merkittäviä, jatkuvia tai säännöllisesti toistuvia, poikkeamia, jos asianomaiset tosiasiat todetaan kansallisen sään</w:t>
      </w:r>
      <w:r w:rsidR="006D4E82">
        <w:rPr>
          <w:szCs w:val="22"/>
        </w:rPr>
        <w:softHyphen/>
      </w:r>
      <w:r w:rsidRPr="0096167E">
        <w:rPr>
          <w:szCs w:val="22"/>
        </w:rPr>
        <w:t>telyviranomaisen hyväksymän valvontamekanismin avulla. Säännöksestä seuraa, että kuluttajien mahdollisuudet vedota virheeseen ja reklamoida ovat sidoksissa heidän mahdollisuuksiinsa käyttää viranomaisen hyväksy</w:t>
      </w:r>
      <w:r w:rsidR="006D4E82">
        <w:rPr>
          <w:szCs w:val="22"/>
        </w:rPr>
        <w:softHyphen/>
      </w:r>
      <w:r w:rsidRPr="0096167E">
        <w:rPr>
          <w:szCs w:val="22"/>
        </w:rPr>
        <w:t>mää valvontamekanis</w:t>
      </w:r>
      <w:r w:rsidRPr="0096167E">
        <w:rPr>
          <w:szCs w:val="22"/>
        </w:rPr>
        <w:softHyphen/>
        <w:t xml:space="preserve">mia.  </w:t>
      </w:r>
      <w:proofErr w:type="spellStart"/>
      <w:r w:rsidRPr="0096167E">
        <w:rPr>
          <w:szCs w:val="22"/>
        </w:rPr>
        <w:t>KKV:n</w:t>
      </w:r>
      <w:proofErr w:type="spellEnd"/>
      <w:r w:rsidRPr="0096167E">
        <w:rPr>
          <w:szCs w:val="22"/>
        </w:rPr>
        <w:t xml:space="preserve"> näkemys on, että näin ollen kansallisen sääntelyviranomaisen tehtäviin kuuluu var</w:t>
      </w:r>
      <w:r w:rsidRPr="0096167E">
        <w:rPr>
          <w:szCs w:val="22"/>
        </w:rPr>
        <w:softHyphen/>
        <w:t>mistua siitä, että kuluttajille on tarjolla ja tosiasiassa saatavilla viranomaisen hyväksymä valvontameka</w:t>
      </w:r>
      <w:r w:rsidR="006D4E82">
        <w:rPr>
          <w:szCs w:val="22"/>
        </w:rPr>
        <w:softHyphen/>
      </w:r>
      <w:r w:rsidRPr="0096167E">
        <w:rPr>
          <w:szCs w:val="22"/>
        </w:rPr>
        <w:t>nismi.</w:t>
      </w:r>
    </w:p>
    <w:p w:rsidR="0096167E" w:rsidRPr="0096167E" w:rsidRDefault="0096167E" w:rsidP="0096167E">
      <w:pPr>
        <w:autoSpaceDE w:val="0"/>
        <w:autoSpaceDN w:val="0"/>
        <w:adjustRightInd w:val="0"/>
        <w:ind w:left="1304"/>
        <w:rPr>
          <w:szCs w:val="22"/>
        </w:rPr>
      </w:pPr>
    </w:p>
    <w:p w:rsidR="0096167E" w:rsidRPr="0096167E" w:rsidRDefault="0096167E" w:rsidP="006D4E82">
      <w:pPr>
        <w:autoSpaceDE w:val="0"/>
        <w:autoSpaceDN w:val="0"/>
        <w:adjustRightInd w:val="0"/>
        <w:ind w:left="2608"/>
        <w:rPr>
          <w:szCs w:val="22"/>
        </w:rPr>
      </w:pPr>
      <w:r w:rsidRPr="0096167E">
        <w:rPr>
          <w:szCs w:val="22"/>
        </w:rPr>
        <w:t>Kuluttajien oikeusturvan kannalta keskeistä on varsinaisten kuluttajavali</w:t>
      </w:r>
      <w:r w:rsidR="006D4E82">
        <w:rPr>
          <w:szCs w:val="22"/>
        </w:rPr>
        <w:softHyphen/>
      </w:r>
      <w:r w:rsidRPr="0096167E">
        <w:rPr>
          <w:szCs w:val="22"/>
        </w:rPr>
        <w:t>tusten käsittely ja yksittäisen kuluttajan oikeus saada hyvitystä omassa asiassaan (</w:t>
      </w:r>
      <w:proofErr w:type="spellStart"/>
      <w:r w:rsidRPr="0096167E">
        <w:rPr>
          <w:szCs w:val="22"/>
        </w:rPr>
        <w:t>access</w:t>
      </w:r>
      <w:proofErr w:type="spellEnd"/>
      <w:r w:rsidRPr="0096167E">
        <w:rPr>
          <w:szCs w:val="22"/>
        </w:rPr>
        <w:t xml:space="preserve"> to </w:t>
      </w:r>
      <w:proofErr w:type="spellStart"/>
      <w:r w:rsidRPr="0096167E">
        <w:rPr>
          <w:szCs w:val="22"/>
        </w:rPr>
        <w:t>justice</w:t>
      </w:r>
      <w:proofErr w:type="spellEnd"/>
      <w:r w:rsidRPr="0096167E">
        <w:rPr>
          <w:szCs w:val="22"/>
        </w:rPr>
        <w:t xml:space="preserve">, </w:t>
      </w:r>
      <w:proofErr w:type="spellStart"/>
      <w:r w:rsidRPr="0096167E">
        <w:rPr>
          <w:szCs w:val="22"/>
        </w:rPr>
        <w:t>remedies</w:t>
      </w:r>
      <w:proofErr w:type="spellEnd"/>
      <w:r w:rsidRPr="0096167E">
        <w:rPr>
          <w:szCs w:val="22"/>
        </w:rPr>
        <w:t xml:space="preserve">). Viestintäviraston ratkaisuvaltaan eivät kuulu yrityksen ja tilaajan välistä sopimussuhdetta tai korvausvastuuta koskevat asiat (tietoyhteiskuntakaaren 303 §). Kuluttajilla on oikeus saattaa tällainen asia käsiteltäväksi Kuluttajariitalautakunnassa. Lisäksi </w:t>
      </w:r>
      <w:proofErr w:type="spellStart"/>
      <w:r w:rsidRPr="0096167E">
        <w:rPr>
          <w:szCs w:val="22"/>
        </w:rPr>
        <w:t>K</w:t>
      </w:r>
      <w:r w:rsidR="006D4E82">
        <w:rPr>
          <w:szCs w:val="22"/>
        </w:rPr>
        <w:t>KV:</w:t>
      </w:r>
      <w:r w:rsidRPr="0096167E">
        <w:rPr>
          <w:szCs w:val="22"/>
        </w:rPr>
        <w:t>ssa</w:t>
      </w:r>
      <w:proofErr w:type="spellEnd"/>
      <w:r w:rsidRPr="0096167E">
        <w:rPr>
          <w:szCs w:val="22"/>
        </w:rPr>
        <w:t xml:space="preserve"> toimivalla kuluttaja-asiamiehellä on toimivalta ryhmävali</w:t>
      </w:r>
      <w:r w:rsidR="006D4E82">
        <w:rPr>
          <w:szCs w:val="22"/>
        </w:rPr>
        <w:softHyphen/>
      </w:r>
      <w:r w:rsidRPr="0096167E">
        <w:rPr>
          <w:szCs w:val="22"/>
        </w:rPr>
        <w:t>tuksen tai ryhmä</w:t>
      </w:r>
      <w:r w:rsidR="006D4E82">
        <w:rPr>
          <w:szCs w:val="22"/>
        </w:rPr>
        <w:softHyphen/>
      </w:r>
      <w:r w:rsidRPr="0096167E">
        <w:rPr>
          <w:szCs w:val="22"/>
        </w:rPr>
        <w:t>kan</w:t>
      </w:r>
      <w:r w:rsidR="006D4E82">
        <w:rPr>
          <w:szCs w:val="22"/>
        </w:rPr>
        <w:softHyphen/>
      </w:r>
      <w:r w:rsidRPr="0096167E">
        <w:rPr>
          <w:szCs w:val="22"/>
        </w:rPr>
        <w:t>teen ajamiseen kuluttajien puolesta taikka yksittäisen kuluttajan avus</w:t>
      </w:r>
      <w:r w:rsidR="006D4E82">
        <w:rPr>
          <w:szCs w:val="22"/>
        </w:rPr>
        <w:softHyphen/>
      </w:r>
      <w:r w:rsidRPr="0096167E">
        <w:rPr>
          <w:szCs w:val="22"/>
        </w:rPr>
        <w:t>tamiseen riita-asiassa yleisissä tuomio</w:t>
      </w:r>
      <w:r w:rsidRPr="0096167E">
        <w:rPr>
          <w:szCs w:val="22"/>
        </w:rPr>
        <w:softHyphen/>
        <w:t>is</w:t>
      </w:r>
      <w:r w:rsidRPr="0096167E">
        <w:rPr>
          <w:szCs w:val="22"/>
        </w:rPr>
        <w:softHyphen/>
      </w:r>
      <w:r w:rsidRPr="0096167E">
        <w:rPr>
          <w:szCs w:val="22"/>
        </w:rPr>
        <w:softHyphen/>
        <w:t>tui</w:t>
      </w:r>
      <w:r w:rsidRPr="0096167E">
        <w:rPr>
          <w:szCs w:val="22"/>
        </w:rPr>
        <w:softHyphen/>
        <w:t>missa.</w:t>
      </w:r>
    </w:p>
    <w:p w:rsidR="0096167E" w:rsidRPr="0096167E" w:rsidRDefault="0096167E" w:rsidP="0096167E">
      <w:pPr>
        <w:autoSpaceDE w:val="0"/>
        <w:autoSpaceDN w:val="0"/>
        <w:adjustRightInd w:val="0"/>
        <w:ind w:left="1304"/>
        <w:rPr>
          <w:szCs w:val="22"/>
        </w:rPr>
      </w:pPr>
    </w:p>
    <w:p w:rsidR="0096167E" w:rsidRPr="0096167E" w:rsidRDefault="0096167E" w:rsidP="0096167E">
      <w:pPr>
        <w:autoSpaceDE w:val="0"/>
        <w:autoSpaceDN w:val="0"/>
        <w:adjustRightInd w:val="0"/>
        <w:rPr>
          <w:b/>
          <w:szCs w:val="22"/>
        </w:rPr>
      </w:pPr>
      <w:r w:rsidRPr="0096167E">
        <w:rPr>
          <w:b/>
          <w:szCs w:val="22"/>
        </w:rPr>
        <w:t>EU-asetuksen huomioiminen tietoyhteiskuntakaaressa</w:t>
      </w:r>
    </w:p>
    <w:p w:rsidR="0096167E" w:rsidRPr="0096167E" w:rsidRDefault="0096167E" w:rsidP="0096167E">
      <w:pPr>
        <w:autoSpaceDE w:val="0"/>
        <w:autoSpaceDN w:val="0"/>
        <w:adjustRightInd w:val="0"/>
        <w:rPr>
          <w:b/>
          <w:szCs w:val="22"/>
        </w:rPr>
      </w:pPr>
    </w:p>
    <w:p w:rsidR="0096167E" w:rsidRPr="0096167E" w:rsidRDefault="0096167E" w:rsidP="006D4E82">
      <w:pPr>
        <w:autoSpaceDE w:val="0"/>
        <w:autoSpaceDN w:val="0"/>
        <w:adjustRightInd w:val="0"/>
        <w:ind w:left="2608"/>
        <w:rPr>
          <w:szCs w:val="22"/>
        </w:rPr>
      </w:pPr>
      <w:r w:rsidRPr="0096167E">
        <w:rPr>
          <w:szCs w:val="22"/>
        </w:rPr>
        <w:t>KKV pitää hyvänä lainsäädäntötekniikkana sitä, että viittaus EU-asetukseen tuotaisiin arvio</w:t>
      </w:r>
      <w:r w:rsidRPr="0096167E">
        <w:rPr>
          <w:szCs w:val="22"/>
        </w:rPr>
        <w:softHyphen/>
        <w:t>muistiossa kuvatulla tavalla näkyviin tietoyhteiskuntakaaren 110 §:n tekstissä. Tämä edistää oikeusvarmuutta ja lainsäädännön läpinäkyvyyttä.</w:t>
      </w:r>
    </w:p>
    <w:p w:rsidR="0096167E" w:rsidRPr="0096167E" w:rsidRDefault="0096167E" w:rsidP="0096167E">
      <w:pPr>
        <w:autoSpaceDE w:val="0"/>
        <w:autoSpaceDN w:val="0"/>
        <w:adjustRightInd w:val="0"/>
        <w:ind w:left="1304"/>
        <w:rPr>
          <w:szCs w:val="22"/>
        </w:rPr>
      </w:pPr>
    </w:p>
    <w:p w:rsidR="0096167E" w:rsidRPr="0096167E" w:rsidRDefault="0096167E" w:rsidP="006D4E82">
      <w:pPr>
        <w:autoSpaceDE w:val="0"/>
        <w:autoSpaceDN w:val="0"/>
        <w:adjustRightInd w:val="0"/>
        <w:ind w:left="2608"/>
        <w:rPr>
          <w:szCs w:val="22"/>
        </w:rPr>
      </w:pPr>
      <w:r w:rsidRPr="0096167E">
        <w:rPr>
          <w:szCs w:val="22"/>
        </w:rPr>
        <w:t>Myös 108 §:ään tulisi sisällyttää 2 momentin 2-kohdan muuttamisen yhteydessä viittaus EU-asetukseen. Näin vältettäisiin vaikutelma siitä, ettei tiedonsiirtonopeudesta sopiminen kuuluisi enää sääntelyn piiriin. EU-asetuksen 4 artiklan säännökset sopimuksessa mainitta</w:t>
      </w:r>
      <w:r w:rsidRPr="0096167E">
        <w:rPr>
          <w:szCs w:val="22"/>
        </w:rPr>
        <w:softHyphen/>
        <w:t>vista seikoista kattavat myös internetyhteys</w:t>
      </w:r>
      <w:r w:rsidRPr="0096167E">
        <w:rPr>
          <w:szCs w:val="22"/>
        </w:rPr>
        <w:softHyphen/>
      </w:r>
      <w:r w:rsidRPr="0096167E">
        <w:rPr>
          <w:szCs w:val="22"/>
        </w:rPr>
        <w:softHyphen/>
        <w:t>palvelun nopeudesta kertomisen ja asettavat muutoinkin yksityiskohtaisia tiedonantovelvoitteita.</w:t>
      </w:r>
    </w:p>
    <w:p w:rsidR="0096167E" w:rsidRPr="0096167E" w:rsidRDefault="0096167E" w:rsidP="0096167E">
      <w:pPr>
        <w:autoSpaceDE w:val="0"/>
        <w:autoSpaceDN w:val="0"/>
        <w:adjustRightInd w:val="0"/>
        <w:ind w:left="1664"/>
        <w:rPr>
          <w:szCs w:val="22"/>
        </w:rPr>
      </w:pPr>
    </w:p>
    <w:p w:rsidR="0096167E" w:rsidRPr="0096167E" w:rsidRDefault="0096167E" w:rsidP="0096167E">
      <w:pPr>
        <w:autoSpaceDE w:val="0"/>
        <w:autoSpaceDN w:val="0"/>
        <w:adjustRightInd w:val="0"/>
        <w:rPr>
          <w:b/>
          <w:szCs w:val="22"/>
        </w:rPr>
      </w:pPr>
      <w:r w:rsidRPr="0096167E">
        <w:rPr>
          <w:b/>
          <w:szCs w:val="22"/>
        </w:rPr>
        <w:t>Liittymien ja palvelujen tuotteistus ja sopimusvapaus</w:t>
      </w:r>
    </w:p>
    <w:p w:rsidR="0096167E" w:rsidRPr="0096167E" w:rsidRDefault="0096167E" w:rsidP="0096167E">
      <w:pPr>
        <w:autoSpaceDE w:val="0"/>
        <w:autoSpaceDN w:val="0"/>
        <w:adjustRightInd w:val="0"/>
        <w:rPr>
          <w:szCs w:val="22"/>
        </w:rPr>
      </w:pPr>
    </w:p>
    <w:p w:rsidR="0096167E" w:rsidRPr="0096167E" w:rsidRDefault="0096167E" w:rsidP="006D4E82">
      <w:pPr>
        <w:autoSpaceDE w:val="0"/>
        <w:autoSpaceDN w:val="0"/>
        <w:adjustRightInd w:val="0"/>
        <w:ind w:left="2608"/>
        <w:rPr>
          <w:szCs w:val="22"/>
        </w:rPr>
      </w:pPr>
      <w:r w:rsidRPr="0096167E">
        <w:rPr>
          <w:szCs w:val="22"/>
        </w:rPr>
        <w:t xml:space="preserve">Arviomuistiossa (s. 5) todetaan, että liikenne- ja viestintäministeriö on </w:t>
      </w:r>
      <w:proofErr w:type="spellStart"/>
      <w:r w:rsidRPr="0096167E">
        <w:rPr>
          <w:szCs w:val="22"/>
        </w:rPr>
        <w:t>TSM-asetuksen</w:t>
      </w:r>
      <w:proofErr w:type="spellEnd"/>
      <w:r w:rsidRPr="0096167E">
        <w:rPr>
          <w:szCs w:val="22"/>
        </w:rPr>
        <w:t xml:space="preserve"> val</w:t>
      </w:r>
      <w:r w:rsidRPr="0096167E">
        <w:rPr>
          <w:szCs w:val="22"/>
        </w:rPr>
        <w:softHyphen/>
        <w:t>mistelun yhteydessä arvioinut, että asetus ei enää samalla tavalla mahdollistaisi teleyri</w:t>
      </w:r>
      <w:r w:rsidRPr="0096167E">
        <w:rPr>
          <w:szCs w:val="22"/>
        </w:rPr>
        <w:softHyphen/>
        <w:t xml:space="preserve">tyksille kaupallisin perustein rajoitettujen liittymien tuotteistamista. Arviomuistion mukaan asetus saattaisi edellyttää, että teleyritykset muuttavat sopimusehtojaan joltain osin. </w:t>
      </w:r>
    </w:p>
    <w:p w:rsidR="0096167E" w:rsidRPr="0096167E" w:rsidRDefault="0096167E" w:rsidP="0096167E">
      <w:pPr>
        <w:autoSpaceDE w:val="0"/>
        <w:autoSpaceDN w:val="0"/>
        <w:adjustRightInd w:val="0"/>
        <w:ind w:left="1440"/>
        <w:rPr>
          <w:szCs w:val="22"/>
        </w:rPr>
      </w:pPr>
    </w:p>
    <w:p w:rsidR="0096167E" w:rsidRPr="0096167E" w:rsidRDefault="0096167E" w:rsidP="006D4E82">
      <w:pPr>
        <w:autoSpaceDE w:val="0"/>
        <w:autoSpaceDN w:val="0"/>
        <w:adjustRightInd w:val="0"/>
        <w:ind w:left="2608"/>
        <w:rPr>
          <w:szCs w:val="22"/>
        </w:rPr>
      </w:pPr>
      <w:r w:rsidRPr="0096167E">
        <w:rPr>
          <w:szCs w:val="22"/>
        </w:rPr>
        <w:t>Sopimusvapauden osalta KKV toteaa, että EU-asetus sisältää useita kohtia (esim. 3 artiklan 2 ja 5 kohdat), joissa nimenomaisesti korostetaan sopi</w:t>
      </w:r>
      <w:r w:rsidR="006D4E82">
        <w:rPr>
          <w:szCs w:val="22"/>
        </w:rPr>
        <w:softHyphen/>
      </w:r>
      <w:r w:rsidRPr="0096167E">
        <w:rPr>
          <w:szCs w:val="22"/>
        </w:rPr>
        <w:t>mus</w:t>
      </w:r>
      <w:r w:rsidR="006D4E82">
        <w:rPr>
          <w:szCs w:val="22"/>
        </w:rPr>
        <w:softHyphen/>
      </w:r>
      <w:r w:rsidRPr="0096167E">
        <w:rPr>
          <w:szCs w:val="22"/>
        </w:rPr>
        <w:t>vapautta lähtökohtana.  EU-asetuk</w:t>
      </w:r>
      <w:r w:rsidRPr="0096167E">
        <w:rPr>
          <w:szCs w:val="22"/>
        </w:rPr>
        <w:softHyphen/>
        <w:t>sen johdanto</w:t>
      </w:r>
      <w:r w:rsidRPr="0096167E">
        <w:rPr>
          <w:szCs w:val="22"/>
        </w:rPr>
        <w:softHyphen/>
        <w:t>tekstin 7 k</w:t>
      </w:r>
      <w:r w:rsidR="0074033B">
        <w:rPr>
          <w:szCs w:val="22"/>
        </w:rPr>
        <w:t xml:space="preserve">ohdassa on </w:t>
      </w:r>
      <w:r w:rsidRPr="0096167E">
        <w:rPr>
          <w:szCs w:val="22"/>
        </w:rPr>
        <w:t>tulkintaohje, joka painottaa sopimusten arvioin</w:t>
      </w:r>
      <w:r w:rsidRPr="0096167E">
        <w:rPr>
          <w:szCs w:val="22"/>
        </w:rPr>
        <w:softHyphen/>
        <w:t>nissa erityisesti sään</w:t>
      </w:r>
      <w:r w:rsidR="004E3045">
        <w:rPr>
          <w:szCs w:val="22"/>
        </w:rPr>
        <w:softHyphen/>
      </w:r>
      <w:r w:rsidRPr="0096167E">
        <w:rPr>
          <w:szCs w:val="22"/>
        </w:rPr>
        <w:t xml:space="preserve">telyn kiertämisen </w:t>
      </w:r>
      <w:r w:rsidR="004E3045">
        <w:rPr>
          <w:szCs w:val="22"/>
        </w:rPr>
        <w:t>estämistä</w:t>
      </w:r>
      <w:r w:rsidRPr="0096167E">
        <w:rPr>
          <w:szCs w:val="22"/>
        </w:rPr>
        <w:t>:</w:t>
      </w:r>
    </w:p>
    <w:p w:rsidR="0096167E" w:rsidRPr="0096167E" w:rsidRDefault="0096167E" w:rsidP="0096167E">
      <w:pPr>
        <w:autoSpaceDE w:val="0"/>
        <w:autoSpaceDN w:val="0"/>
        <w:adjustRightInd w:val="0"/>
        <w:ind w:left="1440"/>
        <w:rPr>
          <w:szCs w:val="22"/>
        </w:rPr>
      </w:pPr>
    </w:p>
    <w:p w:rsidR="0096167E" w:rsidRPr="0096167E" w:rsidRDefault="0096167E" w:rsidP="006D4E82">
      <w:pPr>
        <w:autoSpaceDE w:val="0"/>
        <w:autoSpaceDN w:val="0"/>
        <w:adjustRightInd w:val="0"/>
        <w:ind w:left="3912"/>
        <w:rPr>
          <w:szCs w:val="22"/>
        </w:rPr>
      </w:pPr>
      <w:r w:rsidRPr="0096167E">
        <w:rPr>
          <w:color w:val="19161B"/>
          <w:szCs w:val="22"/>
        </w:rPr>
        <w:t xml:space="preserve">Jotta loppukäyttäjät voivat harjoittaa oikeuksiaan saada ja välittää tietoa ja sisältöjä sekä käyttää ja tarjota valitsemiaan sovelluksia ja palveluja, heidän </w:t>
      </w:r>
      <w:r w:rsidRPr="0096167E">
        <w:rPr>
          <w:szCs w:val="22"/>
        </w:rPr>
        <w:t xml:space="preserve">olisi oltava </w:t>
      </w:r>
      <w:r w:rsidRPr="0096167E">
        <w:rPr>
          <w:b/>
          <w:szCs w:val="22"/>
        </w:rPr>
        <w:t>vapaita sopimaan</w:t>
      </w:r>
      <w:r w:rsidRPr="0096167E">
        <w:rPr>
          <w:szCs w:val="22"/>
        </w:rPr>
        <w:t xml:space="preserve"> internetyhteyspalvelujen tarjoajien kanssa tiettyjä datan</w:t>
      </w:r>
      <w:r w:rsidR="006D4E82">
        <w:rPr>
          <w:szCs w:val="22"/>
        </w:rPr>
        <w:softHyphen/>
      </w:r>
      <w:r w:rsidRPr="0096167E">
        <w:rPr>
          <w:szCs w:val="22"/>
        </w:rPr>
        <w:t>siirto</w:t>
      </w:r>
      <w:r w:rsidR="006D4E82">
        <w:rPr>
          <w:szCs w:val="22"/>
        </w:rPr>
        <w:softHyphen/>
      </w:r>
      <w:r w:rsidRPr="0096167E">
        <w:rPr>
          <w:szCs w:val="22"/>
        </w:rPr>
        <w:t>määriä ja internetyhteys</w:t>
      </w:r>
      <w:r w:rsidRPr="0096167E">
        <w:rPr>
          <w:szCs w:val="22"/>
        </w:rPr>
        <w:softHyphen/>
        <w:t xml:space="preserve">palvelujen nopeuksia koskevista hinnoista. Tällaisten </w:t>
      </w:r>
      <w:r w:rsidRPr="0096167E">
        <w:rPr>
          <w:b/>
          <w:szCs w:val="22"/>
        </w:rPr>
        <w:t>sopimusten</w:t>
      </w:r>
      <w:r w:rsidRPr="0096167E">
        <w:rPr>
          <w:szCs w:val="22"/>
        </w:rPr>
        <w:t>, samoin kuin mahdollisten internetyhteyspal</w:t>
      </w:r>
      <w:r w:rsidRPr="0096167E">
        <w:rPr>
          <w:szCs w:val="22"/>
        </w:rPr>
        <w:softHyphen/>
        <w:t xml:space="preserve">velujen tarjoajien soveltamien kaupallisten käytäntöjen, </w:t>
      </w:r>
      <w:r w:rsidRPr="0096167E">
        <w:rPr>
          <w:b/>
          <w:szCs w:val="22"/>
        </w:rPr>
        <w:t xml:space="preserve">ei tulisi rajoittaa </w:t>
      </w:r>
      <w:r w:rsidRPr="0096167E">
        <w:rPr>
          <w:szCs w:val="22"/>
        </w:rPr>
        <w:t>näiden</w:t>
      </w:r>
      <w:r w:rsidRPr="0096167E">
        <w:rPr>
          <w:b/>
          <w:szCs w:val="22"/>
        </w:rPr>
        <w:t xml:space="preserve"> oikeuksien harjoitta</w:t>
      </w:r>
      <w:r w:rsidR="006D4E82">
        <w:rPr>
          <w:b/>
          <w:szCs w:val="22"/>
        </w:rPr>
        <w:softHyphen/>
      </w:r>
      <w:r w:rsidRPr="0096167E">
        <w:rPr>
          <w:b/>
          <w:szCs w:val="22"/>
        </w:rPr>
        <w:t>mista ja siten kiertää</w:t>
      </w:r>
      <w:r w:rsidRPr="0096167E">
        <w:rPr>
          <w:szCs w:val="22"/>
        </w:rPr>
        <w:t xml:space="preserve"> </w:t>
      </w:r>
      <w:r w:rsidRPr="0096167E">
        <w:rPr>
          <w:color w:val="19161B"/>
          <w:szCs w:val="22"/>
        </w:rPr>
        <w:t>tämän asetuksen avoimen internetyh</w:t>
      </w:r>
      <w:r w:rsidRPr="0096167E">
        <w:rPr>
          <w:color w:val="19161B"/>
          <w:szCs w:val="22"/>
        </w:rPr>
        <w:softHyphen/>
        <w:t>teyden turvaamista koskevia säännöksiä.</w:t>
      </w:r>
    </w:p>
    <w:p w:rsidR="0096167E" w:rsidRPr="0096167E" w:rsidRDefault="0096167E" w:rsidP="0096167E">
      <w:pPr>
        <w:autoSpaceDE w:val="0"/>
        <w:autoSpaceDN w:val="0"/>
        <w:adjustRightInd w:val="0"/>
        <w:ind w:left="1304"/>
        <w:rPr>
          <w:szCs w:val="22"/>
        </w:rPr>
      </w:pPr>
    </w:p>
    <w:p w:rsidR="0096167E" w:rsidRPr="0096167E" w:rsidRDefault="0096167E" w:rsidP="006D4E82">
      <w:pPr>
        <w:autoSpaceDE w:val="0"/>
        <w:autoSpaceDN w:val="0"/>
        <w:adjustRightInd w:val="0"/>
        <w:ind w:left="2608"/>
        <w:rPr>
          <w:szCs w:val="22"/>
        </w:rPr>
      </w:pPr>
      <w:proofErr w:type="spellStart"/>
      <w:r w:rsidRPr="0096167E">
        <w:rPr>
          <w:szCs w:val="22"/>
        </w:rPr>
        <w:t>KKV:n</w:t>
      </w:r>
      <w:proofErr w:type="spellEnd"/>
      <w:r w:rsidRPr="0096167E">
        <w:rPr>
          <w:szCs w:val="22"/>
        </w:rPr>
        <w:t xml:space="preserve"> näkemys on, ettei arviota sopimusvapauden laajuudesta tai kapeu</w:t>
      </w:r>
      <w:r w:rsidR="0074033B">
        <w:rPr>
          <w:szCs w:val="22"/>
        </w:rPr>
        <w:softHyphen/>
      </w:r>
      <w:r w:rsidRPr="0096167E">
        <w:rPr>
          <w:szCs w:val="22"/>
        </w:rPr>
        <w:t>desta voida esittää ennen kuin säännöksistä on viranomaisten ja tuomio</w:t>
      </w:r>
      <w:r w:rsidR="0074033B">
        <w:rPr>
          <w:szCs w:val="22"/>
        </w:rPr>
        <w:softHyphen/>
      </w:r>
      <w:r w:rsidRPr="0096167E">
        <w:rPr>
          <w:szCs w:val="22"/>
        </w:rPr>
        <w:t>istuinten ratkaisukäytäntöä. Kun kyse on EU-taustaisesta säädöksestä, EU-tuomioistuimen tulevalla ratkaisukäytännöllä on keskeinen asema säädök</w:t>
      </w:r>
      <w:r w:rsidR="0074033B">
        <w:rPr>
          <w:szCs w:val="22"/>
        </w:rPr>
        <w:softHyphen/>
      </w:r>
      <w:r w:rsidRPr="0096167E">
        <w:rPr>
          <w:szCs w:val="22"/>
        </w:rPr>
        <w:t>sen tulkinnassa. Tietoyhteiskuntakaaren osalta ratkaisukäytäntöä ei ehtinyt muodostua, sillä 110 § tuli voimaan vasta 1.7.2015 ja silloin oli jo tiedossa, että pitkään valmisteltu EU-säädös oli valmistumassa.</w:t>
      </w:r>
    </w:p>
    <w:p w:rsidR="0096167E" w:rsidRPr="0096167E" w:rsidRDefault="0096167E" w:rsidP="0096167E">
      <w:pPr>
        <w:autoSpaceDE w:val="0"/>
        <w:autoSpaceDN w:val="0"/>
        <w:adjustRightInd w:val="0"/>
        <w:ind w:left="1304"/>
        <w:rPr>
          <w:szCs w:val="22"/>
        </w:rPr>
      </w:pPr>
    </w:p>
    <w:p w:rsidR="0096167E" w:rsidRPr="0096167E" w:rsidRDefault="0096167E" w:rsidP="0074033B">
      <w:pPr>
        <w:pStyle w:val="Perusteksti"/>
        <w:jc w:val="both"/>
      </w:pPr>
      <w:r w:rsidRPr="0096167E">
        <w:t>Kilpailun näkökulmasta arvioiden verkkoneutraliteettiin</w:t>
      </w:r>
      <w:r w:rsidR="00BC79BC">
        <w:t xml:space="preserve"> liittyvän ns. </w:t>
      </w:r>
      <w:proofErr w:type="spellStart"/>
      <w:r w:rsidR="00BC79BC">
        <w:t>zero</w:t>
      </w:r>
      <w:proofErr w:type="spellEnd"/>
      <w:r w:rsidR="00BC79BC">
        <w:t xml:space="preserve"> rating -käytännö</w:t>
      </w:r>
      <w:r w:rsidRPr="0096167E">
        <w:t>n hyvinvointi</w:t>
      </w:r>
      <w:r w:rsidRPr="0096167E">
        <w:softHyphen/>
        <w:t>vai</w:t>
      </w:r>
      <w:r w:rsidRPr="0096167E">
        <w:softHyphen/>
        <w:t xml:space="preserve">kutukset eivät ole yksiselitteisiä, vaan tässä yhteydessä verkkoneutraliteetin periaatteen toteuttamisella voi olla kuluttajien hyvinvointia lisääviä tai sitä vähentäviä vaikutuksia. Yritykset kilpailevat esimerkiksi erilaistamalla tuotteita ja hintoja, tarjoamalla kuluttajille uusia palveluita ja kehittämällä uusia ansaintamalleja. Esimerkiksi Yhdysvalloissa tietyt teleoperaattorit erottautuvat kilpailijoistaan tarjoamalla kuluttajille joitakin ulkopuolisten tarjoajien palveluita ilman datamaksua. Edellisen kaltainen diskriminaatio johtaa usein palveluiden kulutuksen ja kuluttajien </w:t>
      </w:r>
      <w:proofErr w:type="spellStart"/>
      <w:r w:rsidRPr="0096167E">
        <w:t>kokonaishyvinvoinnin</w:t>
      </w:r>
      <w:proofErr w:type="spellEnd"/>
      <w:r w:rsidRPr="0096167E">
        <w:t xml:space="preserve"> kasvuun. Zero rating</w:t>
      </w:r>
      <w:r w:rsidR="00BC79BC">
        <w:t xml:space="preserve"> </w:t>
      </w:r>
      <w:r w:rsidRPr="0096167E">
        <w:t>-</w:t>
      </w:r>
      <w:r w:rsidR="00BC79BC">
        <w:t>käytännöll</w:t>
      </w:r>
      <w:r w:rsidRPr="0096167E">
        <w:t>ä voi olla myös kuluttajien hyvinvointia vähentäviä vaikutuksia, jos yritykset käyttävät edellä mainittuja menettelyjä rajoittaakseen kilpailua. Tällaisia voisivat olla esimerkiksi tilanteet, joissa määräävässä markkina-asemassa olevan operaattorin oma palvelu ei aiheuta datamaksua, mutta kilpai</w:t>
      </w:r>
      <w:r w:rsidRPr="0096167E">
        <w:softHyphen/>
        <w:t>leva palvelu aiheuttaa. Verkkoneutraliteetin vastainen menettely voisi tässä tapauksessa tietyillä edellytyksillä rajoittaa kilpailua ja olla kuluttajille haitallista.</w:t>
      </w:r>
    </w:p>
    <w:p w:rsidR="0096167E" w:rsidRPr="0096167E" w:rsidRDefault="0096167E" w:rsidP="0074033B">
      <w:pPr>
        <w:pStyle w:val="Perusteksti"/>
        <w:jc w:val="both"/>
      </w:pPr>
      <w:r w:rsidRPr="0096167E">
        <w:t xml:space="preserve">Kuten arviomuistiossa (s. 5-6) todetaan, kysymys </w:t>
      </w:r>
      <w:proofErr w:type="spellStart"/>
      <w:r w:rsidRPr="0096167E">
        <w:t>zero</w:t>
      </w:r>
      <w:proofErr w:type="spellEnd"/>
      <w:r w:rsidRPr="0096167E">
        <w:t xml:space="preserve"> rating </w:t>
      </w:r>
      <w:proofErr w:type="gramStart"/>
      <w:r w:rsidRPr="0096167E">
        <w:t>–käytännön</w:t>
      </w:r>
      <w:proofErr w:type="gramEnd"/>
      <w:r w:rsidRPr="0096167E">
        <w:t xml:space="preserve"> sekä muiden niin kutsuttujen positiivista hintasyrjintää aiheuttavien liiketoimintamallien sallimisesta on mukana </w:t>
      </w:r>
      <w:proofErr w:type="spellStart"/>
      <w:r w:rsidRPr="0096167E">
        <w:t>BEREC:in</w:t>
      </w:r>
      <w:proofErr w:type="spellEnd"/>
      <w:r w:rsidRPr="0096167E">
        <w:t xml:space="preserve"> </w:t>
      </w:r>
      <w:r w:rsidRPr="0096167E">
        <w:rPr>
          <w:lang w:eastAsia="fi-FI"/>
        </w:rPr>
        <w:t>soveltamisohjeiden valmistelutyössä.</w:t>
      </w:r>
      <w:r w:rsidRPr="0096167E">
        <w:t xml:space="preserve"> </w:t>
      </w:r>
      <w:proofErr w:type="spellStart"/>
      <w:r w:rsidRPr="0096167E">
        <w:t>KKV:n</w:t>
      </w:r>
      <w:proofErr w:type="spellEnd"/>
      <w:r w:rsidRPr="0096167E">
        <w:t xml:space="preserve"> näkemyksen mukaan </w:t>
      </w:r>
      <w:proofErr w:type="spellStart"/>
      <w:r w:rsidRPr="0096167E">
        <w:t>zero</w:t>
      </w:r>
      <w:proofErr w:type="spellEnd"/>
      <w:r w:rsidRPr="0096167E">
        <w:t xml:space="preserve"> rating -käytäntöä on </w:t>
      </w:r>
      <w:r w:rsidR="0074033B">
        <w:t xml:space="preserve">lähtökohtaisesti </w:t>
      </w:r>
      <w:r w:rsidRPr="0096167E">
        <w:t>parempi arvioida tapauskohtaisesti viranomaisten valvonta</w:t>
      </w:r>
      <w:r w:rsidR="0074033B">
        <w:softHyphen/>
      </w:r>
      <w:r w:rsidRPr="0096167E">
        <w:t>toi</w:t>
      </w:r>
      <w:r w:rsidR="0074033B">
        <w:softHyphen/>
      </w:r>
      <w:r w:rsidRPr="0096167E">
        <w:t>min</w:t>
      </w:r>
      <w:r w:rsidR="0074033B">
        <w:softHyphen/>
      </w:r>
      <w:r w:rsidRPr="0096167E">
        <w:t>nassa, mukaan lukien yleinen kilpailu</w:t>
      </w:r>
      <w:r w:rsidRPr="0096167E">
        <w:softHyphen/>
        <w:t xml:space="preserve">valvonta, kuin laatia ilmiöstä sääntelyä. </w:t>
      </w:r>
      <w:r w:rsidR="0074033B" w:rsidRPr="0096167E">
        <w:t xml:space="preserve">Nopeasti kehittyvillä markkinoilla sääntely voi vähentää innovaatioita ja heikentää alalle tulon houkuttelevuutta. </w:t>
      </w:r>
      <w:r w:rsidR="0074033B">
        <w:t>Toisaalta myös v</w:t>
      </w:r>
      <w:r w:rsidRPr="0096167E">
        <w:t>erkkoneutraliteetti</w:t>
      </w:r>
      <w:r w:rsidRPr="0096167E">
        <w:softHyphen/>
        <w:t xml:space="preserve">sääntelyn tiukat tulkinnat voivat heikentää yritysten mahdollisuuksia kilpailla erilaistamalla kuluttajille tarjoamiaan tuotteita, palveluita ja hintoja. </w:t>
      </w:r>
      <w:proofErr w:type="spellStart"/>
      <w:r w:rsidRPr="0096167E">
        <w:t>KKV:n</w:t>
      </w:r>
      <w:proofErr w:type="spellEnd"/>
      <w:r w:rsidRPr="0096167E">
        <w:t xml:space="preserve"> arvion mukaan sääntelyn soveltamiseen liittyy lisäksi huomattavaa tulkinnanvaraisuutta (esim. tarjoajien ”markkina-aseman” arvioiminen).</w:t>
      </w:r>
    </w:p>
    <w:p w:rsidR="0096167E" w:rsidRPr="0096167E" w:rsidRDefault="0096167E" w:rsidP="0096167E">
      <w:pPr>
        <w:autoSpaceDE w:val="0"/>
        <w:autoSpaceDN w:val="0"/>
        <w:adjustRightInd w:val="0"/>
        <w:rPr>
          <w:b/>
          <w:szCs w:val="22"/>
        </w:rPr>
      </w:pPr>
      <w:r w:rsidRPr="0096167E">
        <w:rPr>
          <w:b/>
          <w:szCs w:val="22"/>
        </w:rPr>
        <w:t>Sopimusehtoja koskevat läpinäkyvyysvelvoitteet</w:t>
      </w:r>
    </w:p>
    <w:p w:rsidR="0096167E" w:rsidRPr="0096167E" w:rsidRDefault="0096167E" w:rsidP="0096167E">
      <w:pPr>
        <w:autoSpaceDE w:val="0"/>
        <w:autoSpaceDN w:val="0"/>
        <w:adjustRightInd w:val="0"/>
        <w:rPr>
          <w:szCs w:val="22"/>
        </w:rPr>
      </w:pPr>
    </w:p>
    <w:p w:rsidR="0096167E" w:rsidRPr="0096167E" w:rsidRDefault="0096167E" w:rsidP="0074033B">
      <w:pPr>
        <w:autoSpaceDE w:val="0"/>
        <w:autoSpaceDN w:val="0"/>
        <w:adjustRightInd w:val="0"/>
        <w:ind w:left="2608"/>
        <w:rPr>
          <w:szCs w:val="22"/>
        </w:rPr>
      </w:pPr>
      <w:r w:rsidRPr="0096167E">
        <w:rPr>
          <w:szCs w:val="22"/>
        </w:rPr>
        <w:t>Arviomuistiossa (s. 11) on huomioitu se, että EU-asetuksen erityisvelvoit</w:t>
      </w:r>
      <w:r w:rsidR="0074033B">
        <w:rPr>
          <w:szCs w:val="22"/>
        </w:rPr>
        <w:softHyphen/>
      </w:r>
      <w:r w:rsidRPr="0096167E">
        <w:rPr>
          <w:szCs w:val="22"/>
        </w:rPr>
        <w:t>teita sovelletaan yleispalveludirektiivissä säädettyjen viestintäpalveluso</w:t>
      </w:r>
      <w:r w:rsidR="0074033B">
        <w:rPr>
          <w:szCs w:val="22"/>
        </w:rPr>
        <w:softHyphen/>
      </w:r>
      <w:r w:rsidRPr="0096167E">
        <w:rPr>
          <w:szCs w:val="22"/>
        </w:rPr>
        <w:t>pimusten sisältöä</w:t>
      </w:r>
      <w:r w:rsidRPr="0096167E">
        <w:rPr>
          <w:color w:val="FF0000"/>
          <w:szCs w:val="22"/>
        </w:rPr>
        <w:t xml:space="preserve"> </w:t>
      </w:r>
      <w:r w:rsidRPr="0096167E">
        <w:rPr>
          <w:szCs w:val="22"/>
        </w:rPr>
        <w:t>koskevien säännösten lisäksi.  Jäsenvaltioilla on myös mahdollisuus säilyttää tai hyväksyä pidemmälle meneviä toimenpiteitä.</w:t>
      </w:r>
    </w:p>
    <w:p w:rsidR="0096167E" w:rsidRPr="0096167E" w:rsidRDefault="0096167E" w:rsidP="0096167E">
      <w:pPr>
        <w:autoSpaceDE w:val="0"/>
        <w:autoSpaceDN w:val="0"/>
        <w:adjustRightInd w:val="0"/>
        <w:ind w:left="720"/>
        <w:rPr>
          <w:szCs w:val="22"/>
        </w:rPr>
      </w:pPr>
    </w:p>
    <w:p w:rsidR="0096167E" w:rsidRPr="0096167E" w:rsidRDefault="0096167E" w:rsidP="0074033B">
      <w:pPr>
        <w:autoSpaceDE w:val="0"/>
        <w:autoSpaceDN w:val="0"/>
        <w:adjustRightInd w:val="0"/>
        <w:ind w:left="2608"/>
        <w:rPr>
          <w:szCs w:val="22"/>
        </w:rPr>
      </w:pPr>
      <w:r w:rsidRPr="0096167E">
        <w:rPr>
          <w:szCs w:val="22"/>
        </w:rPr>
        <w:t>KKV toteaa, että arviomuistiossa olisi syytä mainita, että lisäksi sovelle</w:t>
      </w:r>
      <w:r w:rsidRPr="0096167E">
        <w:rPr>
          <w:szCs w:val="22"/>
        </w:rPr>
        <w:softHyphen/>
        <w:t>taan pakottavaa kuluttajaoikeudellista sääntelyä ja sen tiedonantovelvoitteita. Kuten yleispal</w:t>
      </w:r>
      <w:r w:rsidRPr="0096167E">
        <w:rPr>
          <w:szCs w:val="22"/>
        </w:rPr>
        <w:softHyphen/>
        <w:t>veludirektiivin kohdalla, tältäkään osin kyse ei ole kansalli</w:t>
      </w:r>
      <w:r w:rsidR="0074033B">
        <w:rPr>
          <w:szCs w:val="22"/>
        </w:rPr>
        <w:softHyphen/>
      </w:r>
      <w:r w:rsidRPr="0096167E">
        <w:rPr>
          <w:szCs w:val="22"/>
        </w:rPr>
        <w:t>sesti säädetyistä velvoit</w:t>
      </w:r>
      <w:r w:rsidRPr="0096167E">
        <w:rPr>
          <w:szCs w:val="22"/>
        </w:rPr>
        <w:softHyphen/>
        <w:t xml:space="preserve">teista. EU:n </w:t>
      </w:r>
      <w:proofErr w:type="spellStart"/>
      <w:r w:rsidRPr="0096167E">
        <w:rPr>
          <w:szCs w:val="22"/>
        </w:rPr>
        <w:t>maksimihar</w:t>
      </w:r>
      <w:r w:rsidRPr="0096167E">
        <w:rPr>
          <w:szCs w:val="22"/>
        </w:rPr>
        <w:softHyphen/>
        <w:t>moni</w:t>
      </w:r>
      <w:r w:rsidRPr="0096167E">
        <w:rPr>
          <w:szCs w:val="22"/>
        </w:rPr>
        <w:softHyphen/>
        <w:t>saatiolla</w:t>
      </w:r>
      <w:proofErr w:type="spellEnd"/>
      <w:r w:rsidRPr="0096167E">
        <w:rPr>
          <w:szCs w:val="22"/>
        </w:rPr>
        <w:t xml:space="preserve"> kulutus</w:t>
      </w:r>
      <w:r w:rsidRPr="0096167E">
        <w:rPr>
          <w:szCs w:val="22"/>
        </w:rPr>
        <w:softHyphen/>
        <w:t>hyödyk</w:t>
      </w:r>
      <w:r w:rsidRPr="0096167E">
        <w:rPr>
          <w:szCs w:val="22"/>
        </w:rPr>
        <w:softHyphen/>
      </w:r>
      <w:r w:rsidRPr="0096167E">
        <w:rPr>
          <w:szCs w:val="22"/>
        </w:rPr>
        <w:softHyphen/>
        <w:t>keitä koskevia läpinäkyvyysvel</w:t>
      </w:r>
      <w:r w:rsidRPr="0096167E">
        <w:rPr>
          <w:szCs w:val="22"/>
        </w:rPr>
        <w:softHyphen/>
        <w:t>voit</w:t>
      </w:r>
      <w:r w:rsidRPr="0096167E">
        <w:rPr>
          <w:szCs w:val="22"/>
        </w:rPr>
        <w:softHyphen/>
        <w:t>teita on asetettu sopimatto</w:t>
      </w:r>
      <w:r w:rsidRPr="0096167E">
        <w:rPr>
          <w:szCs w:val="22"/>
        </w:rPr>
        <w:softHyphen/>
        <w:t>mien kaupallisten menette</w:t>
      </w:r>
      <w:r w:rsidRPr="0096167E">
        <w:rPr>
          <w:szCs w:val="22"/>
        </w:rPr>
        <w:softHyphen/>
        <w:t xml:space="preserve">lyjen direktiivissä </w:t>
      </w:r>
      <w:r w:rsidRPr="0096167E">
        <w:rPr>
          <w:rStyle w:val="Voimakas"/>
          <w:b w:val="0"/>
          <w:szCs w:val="22"/>
        </w:rPr>
        <w:t xml:space="preserve">2005/29/EC </w:t>
      </w:r>
      <w:r w:rsidRPr="0096167E">
        <w:rPr>
          <w:szCs w:val="22"/>
        </w:rPr>
        <w:t>ja kuluttajan oikeuksien direktiivissä 2011/83/EC. EU-säädökset on saatettu kansallisesti voimaan kuluttajansuojalain 2 ja 6 lukujen säännöksin.</w:t>
      </w:r>
    </w:p>
    <w:p w:rsidR="0096167E" w:rsidRPr="0096167E" w:rsidRDefault="0096167E" w:rsidP="0096167E">
      <w:pPr>
        <w:autoSpaceDE w:val="0"/>
        <w:autoSpaceDN w:val="0"/>
        <w:adjustRightInd w:val="0"/>
        <w:ind w:left="1080"/>
        <w:rPr>
          <w:szCs w:val="22"/>
        </w:rPr>
      </w:pPr>
    </w:p>
    <w:p w:rsidR="0096167E" w:rsidRPr="0096167E" w:rsidRDefault="0096167E" w:rsidP="0074033B">
      <w:pPr>
        <w:autoSpaceDE w:val="0"/>
        <w:autoSpaceDN w:val="0"/>
        <w:adjustRightInd w:val="0"/>
        <w:ind w:left="2608"/>
        <w:rPr>
          <w:szCs w:val="22"/>
        </w:rPr>
      </w:pPr>
      <w:r w:rsidRPr="0096167E">
        <w:rPr>
          <w:szCs w:val="22"/>
        </w:rPr>
        <w:t>Arviomuistiossa (s. 13) viitataan myös tietoyhteiskuntakaaren 107 §:n kohtuuttomien sopi</w:t>
      </w:r>
      <w:r w:rsidRPr="0096167E">
        <w:rPr>
          <w:szCs w:val="22"/>
        </w:rPr>
        <w:softHyphen/>
        <w:t>mus</w:t>
      </w:r>
      <w:r w:rsidRPr="0096167E">
        <w:rPr>
          <w:szCs w:val="22"/>
        </w:rPr>
        <w:softHyphen/>
        <w:t>ehtojen kieltoon ja Viestintäviraston toimivaltaan. Arviomuistiossa voitaisiin todeta, että kuluttaja-asiamies valvoo kulutta</w:t>
      </w:r>
      <w:r w:rsidR="0074033B">
        <w:rPr>
          <w:szCs w:val="22"/>
        </w:rPr>
        <w:softHyphen/>
      </w:r>
      <w:r w:rsidRPr="0096167E">
        <w:rPr>
          <w:szCs w:val="22"/>
        </w:rPr>
        <w:t>jansuojalain nojalla myös sopimusehtojen lainmukaisuutta (tietoyhteiskun</w:t>
      </w:r>
      <w:r w:rsidR="0074033B">
        <w:rPr>
          <w:szCs w:val="22"/>
        </w:rPr>
        <w:softHyphen/>
      </w:r>
      <w:r w:rsidRPr="0096167E">
        <w:rPr>
          <w:szCs w:val="22"/>
        </w:rPr>
        <w:t>takaaren 306 §). Kuluttajansuojalain 3 luvun säädöksiin sopimusehtojen kohtuuttomuudesta on implementoitu myös EU:n minimidirektiivi kuluttaja</w:t>
      </w:r>
      <w:r w:rsidR="0074033B">
        <w:rPr>
          <w:szCs w:val="22"/>
        </w:rPr>
        <w:softHyphen/>
      </w:r>
      <w:r w:rsidRPr="0096167E">
        <w:rPr>
          <w:szCs w:val="22"/>
        </w:rPr>
        <w:t>so</w:t>
      </w:r>
      <w:r w:rsidR="0074033B">
        <w:rPr>
          <w:szCs w:val="22"/>
        </w:rPr>
        <w:softHyphen/>
      </w:r>
      <w:r w:rsidRPr="0096167E">
        <w:rPr>
          <w:szCs w:val="22"/>
        </w:rPr>
        <w:t>pimusten kohtuuttomista ehdoista 93/13/EY.</w:t>
      </w:r>
    </w:p>
    <w:p w:rsidR="0096167E" w:rsidRPr="0096167E" w:rsidRDefault="0096167E" w:rsidP="0096167E">
      <w:pPr>
        <w:autoSpaceDE w:val="0"/>
        <w:autoSpaceDN w:val="0"/>
        <w:adjustRightInd w:val="0"/>
        <w:ind w:left="1304"/>
        <w:rPr>
          <w:szCs w:val="22"/>
        </w:rPr>
      </w:pPr>
    </w:p>
    <w:p w:rsidR="0096167E" w:rsidRPr="0096167E" w:rsidRDefault="0096167E" w:rsidP="0074033B">
      <w:pPr>
        <w:autoSpaceDE w:val="0"/>
        <w:autoSpaceDN w:val="0"/>
        <w:adjustRightInd w:val="0"/>
        <w:ind w:left="2608"/>
        <w:rPr>
          <w:szCs w:val="22"/>
        </w:rPr>
      </w:pPr>
      <w:r w:rsidRPr="0096167E">
        <w:rPr>
          <w:szCs w:val="22"/>
        </w:rPr>
        <w:t xml:space="preserve">Useat loppukäyttäjien oikeuksien kannalta merkitykselliset EU-asetuksen säännökset ovat tällä hetkellä keskusteltavana </w:t>
      </w:r>
      <w:proofErr w:type="spellStart"/>
      <w:r w:rsidRPr="0096167E">
        <w:rPr>
          <w:szCs w:val="22"/>
        </w:rPr>
        <w:t>BEREC:n</w:t>
      </w:r>
      <w:proofErr w:type="spellEnd"/>
      <w:r w:rsidRPr="0096167E">
        <w:rPr>
          <w:szCs w:val="22"/>
        </w:rPr>
        <w:t xml:space="preserve"> soveltamisoh</w:t>
      </w:r>
      <w:r w:rsidR="0074033B">
        <w:rPr>
          <w:szCs w:val="22"/>
        </w:rPr>
        <w:softHyphen/>
      </w:r>
      <w:r w:rsidRPr="0096167E">
        <w:rPr>
          <w:szCs w:val="22"/>
        </w:rPr>
        <w:t>jei</w:t>
      </w:r>
      <w:r w:rsidR="0074033B">
        <w:rPr>
          <w:szCs w:val="22"/>
        </w:rPr>
        <w:softHyphen/>
      </w:r>
      <w:r w:rsidRPr="0096167E">
        <w:rPr>
          <w:szCs w:val="22"/>
        </w:rPr>
        <w:t>den valmistelutyössä. KKV pitää hyvä</w:t>
      </w:r>
      <w:r w:rsidRPr="0096167E">
        <w:rPr>
          <w:szCs w:val="22"/>
        </w:rPr>
        <w:softHyphen/>
        <w:t xml:space="preserve">nä ja tärkeänä, että Viestintävirasto osallistuu aktiivisesti </w:t>
      </w:r>
      <w:proofErr w:type="spellStart"/>
      <w:r w:rsidRPr="0096167E">
        <w:rPr>
          <w:szCs w:val="22"/>
        </w:rPr>
        <w:t>BEREC:in</w:t>
      </w:r>
      <w:proofErr w:type="spellEnd"/>
      <w:r w:rsidRPr="0096167E">
        <w:rPr>
          <w:szCs w:val="22"/>
        </w:rPr>
        <w:t xml:space="preserve"> valmistelu</w:t>
      </w:r>
      <w:r w:rsidRPr="0096167E">
        <w:rPr>
          <w:szCs w:val="22"/>
        </w:rPr>
        <w:softHyphen/>
        <w:t>työhön. Koska verkkoneutrali</w:t>
      </w:r>
      <w:r w:rsidR="0074033B">
        <w:rPr>
          <w:szCs w:val="22"/>
        </w:rPr>
        <w:softHyphen/>
      </w:r>
      <w:r w:rsidRPr="0096167E">
        <w:rPr>
          <w:szCs w:val="22"/>
        </w:rPr>
        <w:t>teetti</w:t>
      </w:r>
      <w:r w:rsidR="0074033B">
        <w:rPr>
          <w:szCs w:val="22"/>
        </w:rPr>
        <w:softHyphen/>
      </w:r>
      <w:r w:rsidRPr="0096167E">
        <w:rPr>
          <w:szCs w:val="22"/>
        </w:rPr>
        <w:t>sääntelyn tavoitteena on turvata loppukäyttäjinä olevien kuluttajien oikeuksia ja sääntely sisältää sopimusehtoihin ja tiedonantovelvoitteisiin liittyviä säännöksiä, joilla on yhtymäkohtia kuluttajaoikeudelliseen sään</w:t>
      </w:r>
      <w:r w:rsidR="0074033B">
        <w:rPr>
          <w:szCs w:val="22"/>
        </w:rPr>
        <w:softHyphen/>
      </w:r>
      <w:r w:rsidRPr="0096167E">
        <w:rPr>
          <w:szCs w:val="22"/>
        </w:rPr>
        <w:t>telyyn, yhteistyötä tarvitaan nyt ja jatkos</w:t>
      </w:r>
      <w:r w:rsidRPr="0096167E">
        <w:rPr>
          <w:szCs w:val="22"/>
        </w:rPr>
        <w:softHyphen/>
        <w:t>sa myös kuluttajaviranomaisten kanssa.</w:t>
      </w:r>
    </w:p>
    <w:p w:rsidR="0096167E" w:rsidRPr="0096167E" w:rsidRDefault="0096167E" w:rsidP="0096167E">
      <w:pPr>
        <w:autoSpaceDE w:val="0"/>
        <w:autoSpaceDN w:val="0"/>
        <w:adjustRightInd w:val="0"/>
        <w:ind w:left="1304"/>
        <w:rPr>
          <w:szCs w:val="22"/>
        </w:rPr>
      </w:pPr>
    </w:p>
    <w:p w:rsidR="0096167E" w:rsidRPr="0096167E" w:rsidRDefault="0096167E" w:rsidP="0096167E">
      <w:pPr>
        <w:autoSpaceDE w:val="0"/>
        <w:autoSpaceDN w:val="0"/>
        <w:adjustRightInd w:val="0"/>
        <w:rPr>
          <w:b/>
          <w:szCs w:val="22"/>
        </w:rPr>
      </w:pPr>
      <w:r w:rsidRPr="0096167E">
        <w:rPr>
          <w:b/>
          <w:szCs w:val="22"/>
        </w:rPr>
        <w:t>Viestintäviraston toimivalta</w:t>
      </w:r>
    </w:p>
    <w:p w:rsidR="0096167E" w:rsidRPr="0096167E" w:rsidRDefault="0096167E" w:rsidP="0096167E">
      <w:pPr>
        <w:autoSpaceDE w:val="0"/>
        <w:autoSpaceDN w:val="0"/>
        <w:adjustRightInd w:val="0"/>
        <w:rPr>
          <w:szCs w:val="22"/>
        </w:rPr>
      </w:pPr>
    </w:p>
    <w:p w:rsidR="0096167E" w:rsidRPr="0096167E" w:rsidRDefault="0096167E" w:rsidP="0074033B">
      <w:pPr>
        <w:autoSpaceDE w:val="0"/>
        <w:autoSpaceDN w:val="0"/>
        <w:adjustRightInd w:val="0"/>
        <w:ind w:left="2608"/>
        <w:rPr>
          <w:szCs w:val="22"/>
        </w:rPr>
      </w:pPr>
      <w:r w:rsidRPr="0096167E">
        <w:rPr>
          <w:szCs w:val="22"/>
        </w:rPr>
        <w:t>Siltä osin kuin kyse on Viestintäviraston toimivaltuuksista, KKV pitää kansallisesti voimassa olevia tietoyhteiskuntakaaren seuraamussäännöksiä sopivina ja kannattaa niiden sovelta</w:t>
      </w:r>
      <w:r w:rsidRPr="0096167E">
        <w:rPr>
          <w:szCs w:val="22"/>
        </w:rPr>
        <w:softHyphen/>
        <w:t>mista myös EU-asetuksen valvontaan. Viestintävirastolle tulisi säätää mahdollisuus soveltaa myös tietoyhteis</w:t>
      </w:r>
      <w:r w:rsidR="0074033B">
        <w:rPr>
          <w:szCs w:val="22"/>
        </w:rPr>
        <w:softHyphen/>
      </w:r>
      <w:r w:rsidRPr="0096167E">
        <w:rPr>
          <w:szCs w:val="22"/>
        </w:rPr>
        <w:t>kunta</w:t>
      </w:r>
      <w:r w:rsidR="0074033B">
        <w:rPr>
          <w:szCs w:val="22"/>
        </w:rPr>
        <w:softHyphen/>
      </w:r>
      <w:r w:rsidRPr="0096167E">
        <w:rPr>
          <w:szCs w:val="22"/>
        </w:rPr>
        <w:t xml:space="preserve">kaaren määräyksenantovaltuuksia EU-asetuksen yhteydessä. </w:t>
      </w:r>
    </w:p>
    <w:p w:rsidR="00FC36F0" w:rsidRPr="0096167E" w:rsidRDefault="00FC36F0" w:rsidP="00FC36F0">
      <w:pPr>
        <w:pStyle w:val="TwebAsiateksti1"/>
        <w:rPr>
          <w:szCs w:val="22"/>
        </w:rPr>
      </w:pPr>
    </w:p>
    <w:p w:rsidR="00FC36F0" w:rsidRDefault="00982EC3" w:rsidP="00FC36F0">
      <w:pPr>
        <w:pStyle w:val="TwebAsiateksti1"/>
        <w:jc w:val="both"/>
        <w:rPr>
          <w:szCs w:val="22"/>
        </w:rPr>
      </w:pPr>
      <w:r>
        <w:rPr>
          <w:noProof/>
          <w:szCs w:val="22"/>
          <w:lang w:eastAsia="fi-FI"/>
        </w:rPr>
        <w:drawing>
          <wp:inline distT="0" distB="0" distL="0" distR="0">
            <wp:extent cx="1851127" cy="588396"/>
            <wp:effectExtent l="0" t="0" r="0" b="2540"/>
            <wp:docPr id="2" name="Kuva 2" descr="jokin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jokin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519" cy="588521"/>
                    </a:xfrm>
                    <a:prstGeom prst="rect">
                      <a:avLst/>
                    </a:prstGeom>
                    <a:noFill/>
                    <a:ln>
                      <a:noFill/>
                    </a:ln>
                  </pic:spPr>
                </pic:pic>
              </a:graphicData>
            </a:graphic>
          </wp:inline>
        </w:drawing>
      </w:r>
      <w:r>
        <w:rPr>
          <w:szCs w:val="22"/>
        </w:rPr>
        <w:tab/>
      </w:r>
      <w:r>
        <w:rPr>
          <w:noProof/>
          <w:szCs w:val="22"/>
          <w:lang w:eastAsia="fi-FI"/>
        </w:rPr>
        <w:drawing>
          <wp:inline distT="0" distB="0" distL="0" distR="0">
            <wp:extent cx="818984" cy="618112"/>
            <wp:effectExtent l="0" t="0" r="635" b="0"/>
            <wp:docPr id="5" name="Kuva 5" descr="Riikka Rosenda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ikka Rosendah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083" cy="618187"/>
                    </a:xfrm>
                    <a:prstGeom prst="rect">
                      <a:avLst/>
                    </a:prstGeom>
                    <a:noFill/>
                    <a:ln>
                      <a:noFill/>
                    </a:ln>
                  </pic:spPr>
                </pic:pic>
              </a:graphicData>
            </a:graphic>
          </wp:inline>
        </w:drawing>
      </w:r>
    </w:p>
    <w:p w:rsidR="00FC36F0" w:rsidRPr="0096167E" w:rsidRDefault="0096167E" w:rsidP="0074033B">
      <w:pPr>
        <w:pStyle w:val="TwebAsiateksti1"/>
        <w:tabs>
          <w:tab w:val="clear" w:pos="3890"/>
          <w:tab w:val="clear" w:pos="5182"/>
          <w:tab w:val="clear" w:pos="7774"/>
          <w:tab w:val="clear" w:pos="9072"/>
        </w:tabs>
        <w:ind w:left="2608"/>
        <w:jc w:val="both"/>
        <w:rPr>
          <w:szCs w:val="22"/>
        </w:rPr>
      </w:pPr>
      <w:r w:rsidRPr="0096167E">
        <w:rPr>
          <w:szCs w:val="22"/>
        </w:rPr>
        <w:t>Juhani Jokinen</w:t>
      </w:r>
      <w:r>
        <w:rPr>
          <w:szCs w:val="22"/>
        </w:rPr>
        <w:t xml:space="preserve"> </w:t>
      </w:r>
      <w:r>
        <w:rPr>
          <w:szCs w:val="22"/>
        </w:rPr>
        <w:tab/>
        <w:t>R</w:t>
      </w:r>
      <w:r w:rsidRPr="0096167E">
        <w:rPr>
          <w:szCs w:val="22"/>
        </w:rPr>
        <w:t>iikka Rosendahl</w:t>
      </w:r>
    </w:p>
    <w:p w:rsidR="00570C20" w:rsidRPr="0096167E" w:rsidRDefault="0096167E" w:rsidP="0074033B">
      <w:pPr>
        <w:pStyle w:val="TwebAsiateksti1"/>
        <w:tabs>
          <w:tab w:val="clear" w:pos="3890"/>
          <w:tab w:val="clear" w:pos="5182"/>
          <w:tab w:val="clear" w:pos="7774"/>
          <w:tab w:val="clear" w:pos="9072"/>
        </w:tabs>
        <w:ind w:left="2608"/>
        <w:jc w:val="both"/>
        <w:rPr>
          <w:szCs w:val="22"/>
        </w:rPr>
      </w:pPr>
      <w:r w:rsidRPr="0096167E">
        <w:rPr>
          <w:szCs w:val="22"/>
        </w:rPr>
        <w:t>pääjohtaja</w:t>
      </w:r>
      <w:r w:rsidRPr="0096167E">
        <w:rPr>
          <w:szCs w:val="22"/>
        </w:rPr>
        <w:tab/>
        <w:t>lakimies</w:t>
      </w:r>
    </w:p>
    <w:sectPr w:rsidR="00570C20" w:rsidRPr="0096167E" w:rsidSect="00EC0139">
      <w:headerReference w:type="even" r:id="rId10"/>
      <w:headerReference w:type="default" r:id="rId11"/>
      <w:footerReference w:type="even" r:id="rId12"/>
      <w:footerReference w:type="default" r:id="rId13"/>
      <w:headerReference w:type="first" r:id="rId14"/>
      <w:footerReference w:type="first" r:id="rId15"/>
      <w:pgSz w:w="11906" w:h="16838" w:code="9"/>
      <w:pgMar w:top="2268" w:right="680" w:bottom="1871" w:left="1247" w:header="680"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932" w:rsidRDefault="006B6932">
      <w:r>
        <w:separator/>
      </w:r>
    </w:p>
  </w:endnote>
  <w:endnote w:type="continuationSeparator" w:id="0">
    <w:p w:rsidR="006B6932" w:rsidRDefault="006B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BC" w:rsidRDefault="00BC79BC">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BC" w:rsidRDefault="00BC79BC">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124" w:type="dxa"/>
      <w:tblLayout w:type="fixed"/>
      <w:tblCellMar>
        <w:left w:w="28" w:type="dxa"/>
        <w:right w:w="28" w:type="dxa"/>
      </w:tblCellMar>
      <w:tblLook w:val="04A0" w:firstRow="1" w:lastRow="0" w:firstColumn="1" w:lastColumn="0" w:noHBand="0" w:noVBand="1"/>
    </w:tblPr>
    <w:tblGrid>
      <w:gridCol w:w="6124"/>
    </w:tblGrid>
    <w:tr w:rsidR="00EC0139" w:rsidRPr="00287522" w:rsidTr="005F124B">
      <w:trPr>
        <w:trHeight w:val="283"/>
      </w:trPr>
      <w:tc>
        <w:tcPr>
          <w:tcW w:w="6124" w:type="dxa"/>
        </w:tcPr>
        <w:p w:rsidR="00EC0139" w:rsidRPr="00FB65EA" w:rsidRDefault="00EC0139" w:rsidP="005F124B">
          <w:pPr>
            <w:pStyle w:val="Alatunniste"/>
            <w:rPr>
              <w:b/>
              <w:sz w:val="18"/>
              <w:szCs w:val="18"/>
            </w:rPr>
          </w:pPr>
          <w:r>
            <w:rPr>
              <w:b/>
              <w:sz w:val="18"/>
              <w:szCs w:val="18"/>
            </w:rPr>
            <w:t>Kilpailu- ja kuluttajavirasto</w:t>
          </w:r>
        </w:p>
      </w:tc>
    </w:tr>
    <w:tr w:rsidR="00EC0139" w:rsidRPr="00C7202B" w:rsidTr="005F124B">
      <w:trPr>
        <w:trHeight w:val="198"/>
      </w:trPr>
      <w:tc>
        <w:tcPr>
          <w:tcW w:w="6124" w:type="dxa"/>
          <w:shd w:val="clear" w:color="auto" w:fill="auto"/>
        </w:tcPr>
        <w:p w:rsidR="00EC0139" w:rsidRPr="00C7202B" w:rsidRDefault="00EC0139" w:rsidP="005F124B">
          <w:pPr>
            <w:pStyle w:val="Alatunniste"/>
            <w:jc w:val="both"/>
            <w:rPr>
              <w:sz w:val="14"/>
              <w:szCs w:val="14"/>
            </w:rPr>
          </w:pPr>
          <w:r w:rsidRPr="00C7202B">
            <w:rPr>
              <w:b/>
              <w:sz w:val="14"/>
              <w:szCs w:val="14"/>
            </w:rPr>
            <w:t xml:space="preserve">Postiosoite </w:t>
          </w:r>
          <w:r w:rsidRPr="00C7202B">
            <w:rPr>
              <w:sz w:val="14"/>
              <w:szCs w:val="14"/>
            </w:rPr>
            <w:t xml:space="preserve">PL 5, 00531 Helsinki </w:t>
          </w:r>
          <w:r w:rsidRPr="00C7202B">
            <w:rPr>
              <w:b/>
              <w:color w:val="4BACC6" w:themeColor="accent5"/>
              <w:sz w:val="14"/>
              <w:szCs w:val="14"/>
            </w:rPr>
            <w:t>•</w:t>
          </w:r>
          <w:r w:rsidRPr="00C7202B">
            <w:rPr>
              <w:sz w:val="14"/>
              <w:szCs w:val="14"/>
            </w:rPr>
            <w:t xml:space="preserve"> </w:t>
          </w:r>
          <w:r w:rsidRPr="00C7202B">
            <w:rPr>
              <w:b/>
              <w:sz w:val="14"/>
              <w:szCs w:val="14"/>
            </w:rPr>
            <w:t>Puhelin</w:t>
          </w:r>
          <w:r w:rsidRPr="00C7202B">
            <w:rPr>
              <w:sz w:val="14"/>
              <w:szCs w:val="14"/>
            </w:rPr>
            <w:t xml:space="preserve"> 029</w:t>
          </w:r>
          <w:r>
            <w:rPr>
              <w:sz w:val="14"/>
              <w:szCs w:val="14"/>
            </w:rPr>
            <w:t> </w:t>
          </w:r>
          <w:r w:rsidRPr="00C7202B">
            <w:rPr>
              <w:sz w:val="14"/>
              <w:szCs w:val="14"/>
            </w:rPr>
            <w:t>505 3000</w:t>
          </w:r>
          <w:r w:rsidR="00AD34C3">
            <w:rPr>
              <w:sz w:val="14"/>
              <w:szCs w:val="14"/>
            </w:rPr>
            <w:t xml:space="preserve"> (</w:t>
          </w:r>
          <w:proofErr w:type="spellStart"/>
          <w:r w:rsidR="00AD34C3">
            <w:rPr>
              <w:sz w:val="14"/>
              <w:szCs w:val="14"/>
            </w:rPr>
            <w:t>pvm/mpm</w:t>
          </w:r>
          <w:proofErr w:type="spellEnd"/>
          <w:r w:rsidR="00AD34C3">
            <w:rPr>
              <w:sz w:val="14"/>
              <w:szCs w:val="14"/>
            </w:rPr>
            <w:t>)</w:t>
          </w:r>
          <w:r w:rsidRPr="00C7202B">
            <w:rPr>
              <w:sz w:val="14"/>
              <w:szCs w:val="14"/>
            </w:rPr>
            <w:t xml:space="preserve"> </w:t>
          </w:r>
          <w:r w:rsidRPr="00C7202B">
            <w:rPr>
              <w:b/>
              <w:color w:val="4BACC6" w:themeColor="accent5"/>
              <w:sz w:val="14"/>
              <w:szCs w:val="14"/>
            </w:rPr>
            <w:t>•</w:t>
          </w:r>
          <w:r w:rsidRPr="00C7202B">
            <w:rPr>
              <w:sz w:val="14"/>
              <w:szCs w:val="14"/>
            </w:rPr>
            <w:t xml:space="preserve"> </w:t>
          </w:r>
          <w:r w:rsidRPr="00C7202B">
            <w:rPr>
              <w:b/>
              <w:sz w:val="14"/>
              <w:szCs w:val="14"/>
            </w:rPr>
            <w:t>Faksi</w:t>
          </w:r>
          <w:r w:rsidRPr="00C7202B">
            <w:rPr>
              <w:sz w:val="14"/>
              <w:szCs w:val="14"/>
            </w:rPr>
            <w:t xml:space="preserve"> 09 8764 398</w:t>
          </w:r>
        </w:p>
      </w:tc>
    </w:tr>
    <w:tr w:rsidR="00EC0139" w:rsidRPr="00C7202B" w:rsidTr="005F124B">
      <w:trPr>
        <w:trHeight w:val="198"/>
      </w:trPr>
      <w:tc>
        <w:tcPr>
          <w:tcW w:w="6124" w:type="dxa"/>
          <w:shd w:val="clear" w:color="auto" w:fill="auto"/>
        </w:tcPr>
        <w:p w:rsidR="00EC0139" w:rsidRPr="00C7202B" w:rsidRDefault="00EC0139" w:rsidP="005F124B">
          <w:pPr>
            <w:pStyle w:val="Alatunniste"/>
            <w:jc w:val="both"/>
            <w:rPr>
              <w:b/>
              <w:sz w:val="14"/>
              <w:szCs w:val="14"/>
            </w:rPr>
          </w:pPr>
          <w:r w:rsidRPr="00C7202B">
            <w:rPr>
              <w:b/>
              <w:sz w:val="14"/>
              <w:szCs w:val="14"/>
            </w:rPr>
            <w:t>Y-tunnus</w:t>
          </w:r>
          <w:r w:rsidRPr="00C7202B">
            <w:rPr>
              <w:sz w:val="14"/>
              <w:szCs w:val="14"/>
            </w:rPr>
            <w:t xml:space="preserve"> 2502067-3 </w:t>
          </w:r>
          <w:r w:rsidRPr="00C7202B">
            <w:rPr>
              <w:b/>
              <w:color w:val="4BACC6" w:themeColor="accent5"/>
              <w:sz w:val="14"/>
              <w:szCs w:val="14"/>
            </w:rPr>
            <w:t>•</w:t>
          </w:r>
          <w:r w:rsidRPr="00C7202B">
            <w:rPr>
              <w:sz w:val="14"/>
              <w:szCs w:val="14"/>
            </w:rPr>
            <w:t xml:space="preserve"> </w:t>
          </w:r>
          <w:r w:rsidRPr="00C7202B">
            <w:rPr>
              <w:b/>
              <w:sz w:val="14"/>
              <w:szCs w:val="14"/>
            </w:rPr>
            <w:t xml:space="preserve">Sähköposti </w:t>
          </w:r>
          <w:r w:rsidRPr="00C7202B">
            <w:rPr>
              <w:sz w:val="14"/>
              <w:szCs w:val="14"/>
            </w:rPr>
            <w:t xml:space="preserve">kirjaamo@kkv.fi </w:t>
          </w:r>
          <w:r w:rsidRPr="00612B69">
            <w:rPr>
              <w:b/>
              <w:color w:val="4BACC6" w:themeColor="accent5"/>
              <w:sz w:val="14"/>
              <w:szCs w:val="14"/>
            </w:rPr>
            <w:t>•</w:t>
          </w:r>
          <w:r w:rsidRPr="00612B69">
            <w:rPr>
              <w:color w:val="4BACC6" w:themeColor="accent5"/>
              <w:sz w:val="14"/>
              <w:szCs w:val="14"/>
            </w:rPr>
            <w:t xml:space="preserve"> </w:t>
          </w:r>
          <w:hyperlink r:id="rId1" w:history="1">
            <w:r w:rsidRPr="00C7202B">
              <w:rPr>
                <w:rStyle w:val="Hyperlinkki"/>
                <w:b/>
                <w:color w:val="4BACC6" w:themeColor="accent5"/>
                <w:sz w:val="14"/>
                <w:szCs w:val="14"/>
              </w:rPr>
              <w:t>www.kkv.fi</w:t>
            </w:r>
          </w:hyperlink>
        </w:p>
      </w:tc>
    </w:tr>
  </w:tbl>
  <w:p w:rsidR="00EC0139" w:rsidRPr="00C7202B" w:rsidRDefault="00EC0139" w:rsidP="00EC0139">
    <w:pPr>
      <w:pStyle w:val="Alatunniste"/>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932" w:rsidRDefault="006B6932">
      <w:r>
        <w:separator/>
      </w:r>
    </w:p>
  </w:footnote>
  <w:footnote w:type="continuationSeparator" w:id="0">
    <w:p w:rsidR="006B6932" w:rsidRDefault="006B6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BC" w:rsidRDefault="00BC79BC">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5" w:type="dxa"/>
      <w:tblLayout w:type="fixed"/>
      <w:tblCellMar>
        <w:left w:w="28" w:type="dxa"/>
        <w:right w:w="28" w:type="dxa"/>
      </w:tblCellMar>
      <w:tblLook w:val="04A0" w:firstRow="1" w:lastRow="0" w:firstColumn="1" w:lastColumn="0" w:noHBand="0" w:noVBand="1"/>
    </w:tblPr>
    <w:tblGrid>
      <w:gridCol w:w="5216"/>
      <w:gridCol w:w="1475"/>
      <w:gridCol w:w="2267"/>
      <w:gridCol w:w="737"/>
    </w:tblGrid>
    <w:tr w:rsidR="00EC0139" w:rsidRPr="00001F7B" w:rsidTr="005F124B">
      <w:tc>
        <w:tcPr>
          <w:tcW w:w="5216" w:type="dxa"/>
          <w:shd w:val="clear" w:color="auto" w:fill="auto"/>
        </w:tcPr>
        <w:p w:rsidR="00EC0139" w:rsidRPr="00001F7B" w:rsidRDefault="00EC0139" w:rsidP="005F124B">
          <w:pPr>
            <w:pStyle w:val="Yltunniste"/>
            <w:rPr>
              <w:szCs w:val="22"/>
            </w:rPr>
          </w:pPr>
          <w:r>
            <w:rPr>
              <w:noProof/>
              <w:szCs w:val="22"/>
            </w:rPr>
            <w:drawing>
              <wp:anchor distT="0" distB="0" distL="114300" distR="114300" simplePos="0" relativeHeight="251659264" behindDoc="1" locked="0" layoutInCell="1" allowOverlap="1" wp14:anchorId="51A4913E" wp14:editId="3164E3DF">
                <wp:simplePos x="0" y="0"/>
                <wp:positionH relativeFrom="column">
                  <wp:posOffset>-179070</wp:posOffset>
                </wp:positionH>
                <wp:positionV relativeFrom="paragraph">
                  <wp:posOffset>-193675</wp:posOffset>
                </wp:positionV>
                <wp:extent cx="2540000" cy="702310"/>
                <wp:effectExtent l="19050" t="0" r="0" b="0"/>
                <wp:wrapNone/>
                <wp:docPr id="1" name="Kuva 3" descr="KKV_logo_FI_rgb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descr="KKV_logo_FI_rgb_large"/>
                        <pic:cNvPicPr>
                          <a:picLocks noChangeAspect="1" noChangeArrowheads="1"/>
                        </pic:cNvPicPr>
                      </pic:nvPicPr>
                      <pic:blipFill>
                        <a:blip r:embed="rId1"/>
                        <a:srcRect/>
                        <a:stretch>
                          <a:fillRect/>
                        </a:stretch>
                      </pic:blipFill>
                      <pic:spPr bwMode="auto">
                        <a:xfrm>
                          <a:off x="0" y="0"/>
                          <a:ext cx="2540000" cy="702310"/>
                        </a:xfrm>
                        <a:prstGeom prst="rect">
                          <a:avLst/>
                        </a:prstGeom>
                        <a:noFill/>
                        <a:ln w="9525">
                          <a:noFill/>
                          <a:miter lim="800000"/>
                          <a:headEnd/>
                          <a:tailEnd/>
                        </a:ln>
                      </pic:spPr>
                    </pic:pic>
                  </a:graphicData>
                </a:graphic>
              </wp:anchor>
            </w:drawing>
          </w:r>
        </w:p>
      </w:tc>
      <w:tc>
        <w:tcPr>
          <w:tcW w:w="3742" w:type="dxa"/>
          <w:gridSpan w:val="2"/>
          <w:shd w:val="clear" w:color="auto" w:fill="auto"/>
        </w:tcPr>
        <w:p w:rsidR="00EC0139" w:rsidRPr="00001F7B" w:rsidRDefault="00FC36F0" w:rsidP="005F124B">
          <w:pPr>
            <w:pStyle w:val="Yltunniste"/>
            <w:rPr>
              <w:b/>
              <w:szCs w:val="22"/>
            </w:rPr>
          </w:pPr>
          <w:r>
            <w:rPr>
              <w:b/>
              <w:szCs w:val="22"/>
            </w:rPr>
            <w:t>Lausunto</w:t>
          </w:r>
        </w:p>
      </w:tc>
      <w:tc>
        <w:tcPr>
          <w:tcW w:w="737" w:type="dxa"/>
          <w:shd w:val="clear" w:color="auto" w:fill="auto"/>
        </w:tcPr>
        <w:p w:rsidR="00EC0139" w:rsidRPr="00001F7B" w:rsidRDefault="00011315" w:rsidP="005F124B">
          <w:pPr>
            <w:pStyle w:val="Yltunniste"/>
            <w:jc w:val="right"/>
            <w:rPr>
              <w:szCs w:val="22"/>
            </w:rPr>
          </w:pPr>
          <w:r w:rsidRPr="00001F7B">
            <w:rPr>
              <w:szCs w:val="22"/>
            </w:rPr>
            <w:fldChar w:fldCharType="begin"/>
          </w:r>
          <w:r w:rsidR="00EC0139" w:rsidRPr="00001F7B">
            <w:rPr>
              <w:szCs w:val="22"/>
            </w:rPr>
            <w:instrText xml:space="preserve"> PAGE  \* MERGEFORMAT </w:instrText>
          </w:r>
          <w:r w:rsidRPr="00001F7B">
            <w:rPr>
              <w:szCs w:val="22"/>
            </w:rPr>
            <w:fldChar w:fldCharType="separate"/>
          </w:r>
          <w:r w:rsidR="00C324B0">
            <w:rPr>
              <w:noProof/>
              <w:szCs w:val="22"/>
            </w:rPr>
            <w:t>5</w:t>
          </w:r>
          <w:r w:rsidRPr="00001F7B">
            <w:rPr>
              <w:szCs w:val="22"/>
            </w:rPr>
            <w:fldChar w:fldCharType="end"/>
          </w:r>
          <w:r w:rsidR="00EC0139" w:rsidRPr="00001F7B">
            <w:rPr>
              <w:szCs w:val="22"/>
            </w:rPr>
            <w:t xml:space="preserve"> (</w:t>
          </w:r>
          <w:fldSimple w:instr=" NUMPAGES  \* MERGEFORMAT ">
            <w:r w:rsidR="00C324B0" w:rsidRPr="00C324B0">
              <w:rPr>
                <w:noProof/>
                <w:szCs w:val="22"/>
              </w:rPr>
              <w:t>5</w:t>
            </w:r>
          </w:fldSimple>
          <w:r w:rsidR="00EC0139" w:rsidRPr="00001F7B">
            <w:rPr>
              <w:szCs w:val="22"/>
            </w:rPr>
            <w:t>)</w:t>
          </w:r>
        </w:p>
      </w:tc>
    </w:tr>
    <w:tr w:rsidR="00EC0139" w:rsidRPr="00001F7B" w:rsidTr="005F124B">
      <w:tc>
        <w:tcPr>
          <w:tcW w:w="5216" w:type="dxa"/>
          <w:shd w:val="clear" w:color="auto" w:fill="auto"/>
        </w:tcPr>
        <w:p w:rsidR="00EC0139" w:rsidRPr="00001F7B" w:rsidRDefault="00EC0139" w:rsidP="005F124B">
          <w:pPr>
            <w:pStyle w:val="Yltunniste"/>
            <w:rPr>
              <w:szCs w:val="22"/>
            </w:rPr>
          </w:pPr>
        </w:p>
      </w:tc>
      <w:tc>
        <w:tcPr>
          <w:tcW w:w="4479" w:type="dxa"/>
          <w:gridSpan w:val="3"/>
          <w:shd w:val="clear" w:color="auto" w:fill="auto"/>
        </w:tcPr>
        <w:p w:rsidR="00EC0139" w:rsidRPr="00001F7B" w:rsidRDefault="00011315" w:rsidP="005F124B">
          <w:pPr>
            <w:pStyle w:val="Yltunniste"/>
            <w:rPr>
              <w:szCs w:val="22"/>
            </w:rPr>
          </w:pPr>
          <w:r w:rsidRPr="00671E4A">
            <w:fldChar w:fldCharType="begin"/>
          </w:r>
          <w:r w:rsidR="00EC0139" w:rsidRPr="00671E4A">
            <w:instrText xml:space="preserve"> DO</w:instrText>
          </w:r>
          <w:r w:rsidR="00EC0139">
            <w:instrText>CPROPERTY "tweb_doc_identifier</w:instrText>
          </w:r>
          <w:r w:rsidR="00EC0139" w:rsidRPr="00671E4A">
            <w:instrText xml:space="preserve">" </w:instrText>
          </w:r>
          <w:r w:rsidRPr="00671E4A">
            <w:fldChar w:fldCharType="separate"/>
          </w:r>
          <w:r w:rsidR="00982EC3">
            <w:t>KKV/1626/03.02/2015</w:t>
          </w:r>
          <w:r w:rsidRPr="00671E4A">
            <w:fldChar w:fldCharType="end"/>
          </w:r>
        </w:p>
      </w:tc>
    </w:tr>
    <w:tr w:rsidR="00EC0139" w:rsidRPr="00001F7B" w:rsidTr="005F124B">
      <w:tc>
        <w:tcPr>
          <w:tcW w:w="5216" w:type="dxa"/>
          <w:shd w:val="clear" w:color="auto" w:fill="auto"/>
        </w:tcPr>
        <w:p w:rsidR="00EC0139" w:rsidRPr="00001F7B" w:rsidRDefault="00EC0139" w:rsidP="005F124B">
          <w:pPr>
            <w:pStyle w:val="Yltunniste"/>
            <w:rPr>
              <w:szCs w:val="22"/>
            </w:rPr>
          </w:pPr>
        </w:p>
      </w:tc>
      <w:tc>
        <w:tcPr>
          <w:tcW w:w="4479" w:type="dxa"/>
          <w:gridSpan w:val="3"/>
          <w:shd w:val="clear" w:color="auto" w:fill="auto"/>
        </w:tcPr>
        <w:p w:rsidR="00EC0139" w:rsidRPr="00001F7B" w:rsidRDefault="00EC0139" w:rsidP="005F124B">
          <w:pPr>
            <w:pStyle w:val="Yltunniste"/>
            <w:rPr>
              <w:szCs w:val="22"/>
            </w:rPr>
          </w:pPr>
        </w:p>
      </w:tc>
    </w:tr>
    <w:tr w:rsidR="00EC0139" w:rsidRPr="00001F7B" w:rsidTr="005F124B">
      <w:tc>
        <w:tcPr>
          <w:tcW w:w="5216" w:type="dxa"/>
          <w:shd w:val="clear" w:color="auto" w:fill="auto"/>
        </w:tcPr>
        <w:p w:rsidR="00EC0139" w:rsidRPr="00001F7B" w:rsidRDefault="00EC0139" w:rsidP="005F124B">
          <w:pPr>
            <w:pStyle w:val="Yltunniste"/>
            <w:rPr>
              <w:szCs w:val="22"/>
            </w:rPr>
          </w:pPr>
        </w:p>
      </w:tc>
      <w:tc>
        <w:tcPr>
          <w:tcW w:w="1475" w:type="dxa"/>
          <w:shd w:val="clear" w:color="auto" w:fill="auto"/>
        </w:tcPr>
        <w:p w:rsidR="00EC0139" w:rsidRPr="00001F7B" w:rsidRDefault="00011315" w:rsidP="005F124B">
          <w:pPr>
            <w:pStyle w:val="Yltunniste"/>
            <w:rPr>
              <w:szCs w:val="22"/>
            </w:rPr>
          </w:pPr>
          <w:r>
            <w:fldChar w:fldCharType="begin"/>
          </w:r>
          <w:r w:rsidR="00EC0139">
            <w:instrText xml:space="preserve"> DOCPROPERTY "tweb_doc_modified"  </w:instrText>
          </w:r>
          <w:r w:rsidR="00EC0139">
            <w:rPr>
              <w:rFonts w:ascii="Times" w:hAnsi="Times"/>
            </w:rPr>
            <w:instrText>\@ "d.M.yyyy"</w:instrText>
          </w:r>
          <w:r>
            <w:fldChar w:fldCharType="separate"/>
          </w:r>
          <w:r w:rsidR="00982EC3">
            <w:t>15.1.2016</w:t>
          </w:r>
          <w:r>
            <w:fldChar w:fldCharType="end"/>
          </w:r>
        </w:p>
      </w:tc>
      <w:tc>
        <w:tcPr>
          <w:tcW w:w="3004" w:type="dxa"/>
          <w:gridSpan w:val="2"/>
          <w:shd w:val="clear" w:color="auto" w:fill="auto"/>
        </w:tcPr>
        <w:p w:rsidR="00EC0139" w:rsidRPr="00001F7B" w:rsidRDefault="00EC0139" w:rsidP="005F124B">
          <w:pPr>
            <w:pStyle w:val="Yltunniste"/>
            <w:jc w:val="right"/>
            <w:rPr>
              <w:b/>
              <w:color w:val="4BACC6" w:themeColor="accent5"/>
              <w:szCs w:val="22"/>
            </w:rPr>
          </w:pPr>
        </w:p>
      </w:tc>
    </w:tr>
  </w:tbl>
  <w:p w:rsidR="00EC0139" w:rsidRDefault="00EC0139" w:rsidP="00EC013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5" w:type="dxa"/>
      <w:tblLayout w:type="fixed"/>
      <w:tblCellMar>
        <w:left w:w="28" w:type="dxa"/>
        <w:right w:w="28" w:type="dxa"/>
      </w:tblCellMar>
      <w:tblLook w:val="04A0" w:firstRow="1" w:lastRow="0" w:firstColumn="1" w:lastColumn="0" w:noHBand="0" w:noVBand="1"/>
    </w:tblPr>
    <w:tblGrid>
      <w:gridCol w:w="5216"/>
      <w:gridCol w:w="1475"/>
      <w:gridCol w:w="2267"/>
      <w:gridCol w:w="737"/>
    </w:tblGrid>
    <w:tr w:rsidR="00EC0139" w:rsidRPr="00001F7B" w:rsidTr="005F124B">
      <w:tc>
        <w:tcPr>
          <w:tcW w:w="5216" w:type="dxa"/>
          <w:shd w:val="clear" w:color="auto" w:fill="auto"/>
        </w:tcPr>
        <w:p w:rsidR="00EC0139" w:rsidRPr="00001F7B" w:rsidRDefault="00EC0139" w:rsidP="005F124B">
          <w:pPr>
            <w:pStyle w:val="Yltunniste"/>
            <w:rPr>
              <w:szCs w:val="22"/>
            </w:rPr>
          </w:pPr>
          <w:r>
            <w:rPr>
              <w:noProof/>
              <w:szCs w:val="22"/>
            </w:rPr>
            <w:drawing>
              <wp:anchor distT="0" distB="0" distL="114300" distR="114300" simplePos="0" relativeHeight="251661312" behindDoc="1" locked="0" layoutInCell="1" allowOverlap="1" wp14:anchorId="518BCCF0" wp14:editId="7B41E322">
                <wp:simplePos x="0" y="0"/>
                <wp:positionH relativeFrom="column">
                  <wp:posOffset>-179070</wp:posOffset>
                </wp:positionH>
                <wp:positionV relativeFrom="paragraph">
                  <wp:posOffset>-193675</wp:posOffset>
                </wp:positionV>
                <wp:extent cx="2540000" cy="702310"/>
                <wp:effectExtent l="19050" t="0" r="0" b="0"/>
                <wp:wrapNone/>
                <wp:docPr id="3" name="Kuva 3" descr="KKV_logo_FI_rgb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descr="KKV_logo_FI_rgb_large"/>
                        <pic:cNvPicPr>
                          <a:picLocks noChangeAspect="1" noChangeArrowheads="1"/>
                        </pic:cNvPicPr>
                      </pic:nvPicPr>
                      <pic:blipFill>
                        <a:blip r:embed="rId1"/>
                        <a:srcRect/>
                        <a:stretch>
                          <a:fillRect/>
                        </a:stretch>
                      </pic:blipFill>
                      <pic:spPr bwMode="auto">
                        <a:xfrm>
                          <a:off x="0" y="0"/>
                          <a:ext cx="2540000" cy="702310"/>
                        </a:xfrm>
                        <a:prstGeom prst="rect">
                          <a:avLst/>
                        </a:prstGeom>
                        <a:noFill/>
                        <a:ln w="9525">
                          <a:noFill/>
                          <a:miter lim="800000"/>
                          <a:headEnd/>
                          <a:tailEnd/>
                        </a:ln>
                      </pic:spPr>
                    </pic:pic>
                  </a:graphicData>
                </a:graphic>
              </wp:anchor>
            </w:drawing>
          </w:r>
        </w:p>
      </w:tc>
      <w:tc>
        <w:tcPr>
          <w:tcW w:w="3742" w:type="dxa"/>
          <w:gridSpan w:val="2"/>
          <w:shd w:val="clear" w:color="auto" w:fill="auto"/>
        </w:tcPr>
        <w:p w:rsidR="00EC0139" w:rsidRPr="00001F7B" w:rsidRDefault="00FC36F0" w:rsidP="005F124B">
          <w:pPr>
            <w:pStyle w:val="Yltunniste"/>
            <w:rPr>
              <w:b/>
              <w:szCs w:val="22"/>
            </w:rPr>
          </w:pPr>
          <w:r>
            <w:rPr>
              <w:b/>
              <w:szCs w:val="22"/>
            </w:rPr>
            <w:t>Lausunto</w:t>
          </w:r>
        </w:p>
      </w:tc>
      <w:tc>
        <w:tcPr>
          <w:tcW w:w="737" w:type="dxa"/>
          <w:shd w:val="clear" w:color="auto" w:fill="auto"/>
        </w:tcPr>
        <w:p w:rsidR="00EC0139" w:rsidRPr="00001F7B" w:rsidRDefault="00011315" w:rsidP="005F124B">
          <w:pPr>
            <w:pStyle w:val="Yltunniste"/>
            <w:jc w:val="right"/>
            <w:rPr>
              <w:szCs w:val="22"/>
            </w:rPr>
          </w:pPr>
          <w:r w:rsidRPr="00001F7B">
            <w:rPr>
              <w:szCs w:val="22"/>
            </w:rPr>
            <w:fldChar w:fldCharType="begin"/>
          </w:r>
          <w:r w:rsidR="00EC0139" w:rsidRPr="00001F7B">
            <w:rPr>
              <w:szCs w:val="22"/>
            </w:rPr>
            <w:instrText xml:space="preserve"> PAGE  \* MERGEFORMAT </w:instrText>
          </w:r>
          <w:r w:rsidRPr="00001F7B">
            <w:rPr>
              <w:szCs w:val="22"/>
            </w:rPr>
            <w:fldChar w:fldCharType="separate"/>
          </w:r>
          <w:r w:rsidR="00C324B0">
            <w:rPr>
              <w:noProof/>
              <w:szCs w:val="22"/>
            </w:rPr>
            <w:t>1</w:t>
          </w:r>
          <w:r w:rsidRPr="00001F7B">
            <w:rPr>
              <w:szCs w:val="22"/>
            </w:rPr>
            <w:fldChar w:fldCharType="end"/>
          </w:r>
          <w:r w:rsidR="00EC0139" w:rsidRPr="00001F7B">
            <w:rPr>
              <w:szCs w:val="22"/>
            </w:rPr>
            <w:t xml:space="preserve"> (</w:t>
          </w:r>
          <w:fldSimple w:instr=" NUMPAGES  \* MERGEFORMAT ">
            <w:r w:rsidR="00C324B0" w:rsidRPr="00C324B0">
              <w:rPr>
                <w:noProof/>
                <w:szCs w:val="22"/>
              </w:rPr>
              <w:t>5</w:t>
            </w:r>
          </w:fldSimple>
          <w:r w:rsidR="00EC0139" w:rsidRPr="00001F7B">
            <w:rPr>
              <w:szCs w:val="22"/>
            </w:rPr>
            <w:t>)</w:t>
          </w:r>
        </w:p>
      </w:tc>
    </w:tr>
    <w:tr w:rsidR="00EC0139" w:rsidRPr="00001F7B" w:rsidTr="005F124B">
      <w:tc>
        <w:tcPr>
          <w:tcW w:w="5216" w:type="dxa"/>
          <w:shd w:val="clear" w:color="auto" w:fill="auto"/>
        </w:tcPr>
        <w:p w:rsidR="00EC0139" w:rsidRPr="00001F7B" w:rsidRDefault="00EC0139" w:rsidP="005F124B">
          <w:pPr>
            <w:pStyle w:val="Yltunniste"/>
            <w:rPr>
              <w:szCs w:val="22"/>
            </w:rPr>
          </w:pPr>
        </w:p>
      </w:tc>
      <w:tc>
        <w:tcPr>
          <w:tcW w:w="4479" w:type="dxa"/>
          <w:gridSpan w:val="3"/>
          <w:shd w:val="clear" w:color="auto" w:fill="auto"/>
        </w:tcPr>
        <w:p w:rsidR="00EC0139" w:rsidRPr="00001F7B" w:rsidRDefault="00011315" w:rsidP="005F124B">
          <w:pPr>
            <w:pStyle w:val="Yltunniste"/>
            <w:rPr>
              <w:szCs w:val="22"/>
            </w:rPr>
          </w:pPr>
          <w:r w:rsidRPr="00671E4A">
            <w:fldChar w:fldCharType="begin"/>
          </w:r>
          <w:r w:rsidR="00EC0139" w:rsidRPr="00671E4A">
            <w:instrText xml:space="preserve"> DO</w:instrText>
          </w:r>
          <w:r w:rsidR="00EC0139">
            <w:instrText>CPROPERTY "tweb_doc_identifier</w:instrText>
          </w:r>
          <w:r w:rsidR="00EC0139" w:rsidRPr="00671E4A">
            <w:instrText xml:space="preserve">" </w:instrText>
          </w:r>
          <w:r w:rsidRPr="00671E4A">
            <w:fldChar w:fldCharType="separate"/>
          </w:r>
          <w:r w:rsidR="00982EC3">
            <w:t>KKV/1626/03.02/2015</w:t>
          </w:r>
          <w:r w:rsidRPr="00671E4A">
            <w:fldChar w:fldCharType="end"/>
          </w:r>
        </w:p>
      </w:tc>
    </w:tr>
    <w:tr w:rsidR="00EC0139" w:rsidRPr="00001F7B" w:rsidTr="005F124B">
      <w:tc>
        <w:tcPr>
          <w:tcW w:w="5216" w:type="dxa"/>
          <w:shd w:val="clear" w:color="auto" w:fill="auto"/>
        </w:tcPr>
        <w:p w:rsidR="00EC0139" w:rsidRPr="00001F7B" w:rsidRDefault="00EC0139" w:rsidP="005F124B">
          <w:pPr>
            <w:pStyle w:val="Yltunniste"/>
            <w:rPr>
              <w:szCs w:val="22"/>
            </w:rPr>
          </w:pPr>
        </w:p>
      </w:tc>
      <w:tc>
        <w:tcPr>
          <w:tcW w:w="4479" w:type="dxa"/>
          <w:gridSpan w:val="3"/>
          <w:shd w:val="clear" w:color="auto" w:fill="auto"/>
        </w:tcPr>
        <w:p w:rsidR="00EC0139" w:rsidRPr="00001F7B" w:rsidRDefault="00EC0139" w:rsidP="005F124B">
          <w:pPr>
            <w:pStyle w:val="Yltunniste"/>
            <w:rPr>
              <w:szCs w:val="22"/>
            </w:rPr>
          </w:pPr>
        </w:p>
      </w:tc>
    </w:tr>
    <w:tr w:rsidR="00EC0139" w:rsidRPr="00001F7B" w:rsidTr="005F124B">
      <w:tc>
        <w:tcPr>
          <w:tcW w:w="5216" w:type="dxa"/>
          <w:shd w:val="clear" w:color="auto" w:fill="auto"/>
        </w:tcPr>
        <w:p w:rsidR="00EC0139" w:rsidRPr="00001F7B" w:rsidRDefault="00EC0139" w:rsidP="005F124B">
          <w:pPr>
            <w:pStyle w:val="Yltunniste"/>
            <w:rPr>
              <w:szCs w:val="22"/>
            </w:rPr>
          </w:pPr>
        </w:p>
      </w:tc>
      <w:tc>
        <w:tcPr>
          <w:tcW w:w="1475" w:type="dxa"/>
          <w:shd w:val="clear" w:color="auto" w:fill="auto"/>
        </w:tcPr>
        <w:p w:rsidR="00EC0139" w:rsidRPr="00001F7B" w:rsidRDefault="00011315" w:rsidP="005F124B">
          <w:pPr>
            <w:pStyle w:val="Yltunniste"/>
            <w:rPr>
              <w:szCs w:val="22"/>
            </w:rPr>
          </w:pPr>
          <w:r>
            <w:fldChar w:fldCharType="begin"/>
          </w:r>
          <w:r w:rsidR="00EC0139">
            <w:instrText xml:space="preserve"> DOCPROPERTY "tweb_doc_modified"  </w:instrText>
          </w:r>
          <w:r w:rsidR="00EC0139">
            <w:rPr>
              <w:rFonts w:ascii="Times" w:hAnsi="Times"/>
            </w:rPr>
            <w:instrText>\@ "d.M.yyyy"</w:instrText>
          </w:r>
          <w:r>
            <w:fldChar w:fldCharType="separate"/>
          </w:r>
          <w:r w:rsidR="00982EC3">
            <w:t>15.1.2016</w:t>
          </w:r>
          <w:r>
            <w:fldChar w:fldCharType="end"/>
          </w:r>
        </w:p>
      </w:tc>
      <w:tc>
        <w:tcPr>
          <w:tcW w:w="3004" w:type="dxa"/>
          <w:gridSpan w:val="2"/>
          <w:shd w:val="clear" w:color="auto" w:fill="auto"/>
        </w:tcPr>
        <w:p w:rsidR="00EC0139" w:rsidRPr="00001F7B" w:rsidRDefault="00EC0139" w:rsidP="005F124B">
          <w:pPr>
            <w:pStyle w:val="Yltunniste"/>
            <w:jc w:val="right"/>
            <w:rPr>
              <w:b/>
              <w:color w:val="4BACC6" w:themeColor="accent5"/>
              <w:szCs w:val="22"/>
            </w:rPr>
          </w:pPr>
        </w:p>
      </w:tc>
    </w:tr>
  </w:tbl>
  <w:p w:rsidR="00EC0139" w:rsidRDefault="00EC0139" w:rsidP="00EC01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2D2E"/>
    <w:multiLevelType w:val="singleLevel"/>
    <w:tmpl w:val="5CCC5352"/>
    <w:lvl w:ilvl="0">
      <w:start w:val="1"/>
      <w:numFmt w:val="decimal"/>
      <w:lvlText w:val="%1."/>
      <w:lvlJc w:val="left"/>
      <w:pPr>
        <w:tabs>
          <w:tab w:val="num" w:pos="360"/>
        </w:tabs>
        <w:ind w:left="340" w:hanging="340"/>
      </w:pPr>
    </w:lvl>
  </w:abstractNum>
  <w:abstractNum w:abstractNumId="1">
    <w:nsid w:val="26096B5B"/>
    <w:multiLevelType w:val="singleLevel"/>
    <w:tmpl w:val="C65C4BCA"/>
    <w:lvl w:ilvl="0">
      <w:start w:val="1"/>
      <w:numFmt w:val="decimal"/>
      <w:lvlText w:val="%1"/>
      <w:lvlJc w:val="left"/>
      <w:pPr>
        <w:tabs>
          <w:tab w:val="num" w:pos="360"/>
        </w:tabs>
        <w:ind w:left="0" w:firstLine="0"/>
      </w:pPr>
    </w:lvl>
  </w:abstractNum>
  <w:abstractNum w:abstractNumId="2">
    <w:nsid w:val="27E71311"/>
    <w:multiLevelType w:val="singleLevel"/>
    <w:tmpl w:val="DB8C19F2"/>
    <w:lvl w:ilvl="0">
      <w:start w:val="1"/>
      <w:numFmt w:val="decimal"/>
      <w:lvlText w:val="%1"/>
      <w:lvlJc w:val="left"/>
      <w:pPr>
        <w:tabs>
          <w:tab w:val="num" w:pos="360"/>
        </w:tabs>
        <w:ind w:left="0" w:firstLine="0"/>
      </w:pPr>
    </w:lvl>
  </w:abstractNum>
  <w:abstractNum w:abstractNumId="3">
    <w:nsid w:val="2DC10249"/>
    <w:multiLevelType w:val="singleLevel"/>
    <w:tmpl w:val="818C4314"/>
    <w:lvl w:ilvl="0">
      <w:start w:val="1"/>
      <w:numFmt w:val="bullet"/>
      <w:pStyle w:val="Viiva2"/>
      <w:lvlText w:val="-"/>
      <w:lvlJc w:val="left"/>
      <w:pPr>
        <w:tabs>
          <w:tab w:val="num" w:pos="2965"/>
        </w:tabs>
        <w:ind w:left="2965" w:hanging="357"/>
      </w:pPr>
      <w:rPr>
        <w:rFonts w:ascii="Garamond" w:hAnsi="Garamond" w:hint="default"/>
      </w:rPr>
    </w:lvl>
  </w:abstractNum>
  <w:abstractNum w:abstractNumId="4">
    <w:nsid w:val="32995B75"/>
    <w:multiLevelType w:val="singleLevel"/>
    <w:tmpl w:val="C032AE32"/>
    <w:lvl w:ilvl="0">
      <w:start w:val="1"/>
      <w:numFmt w:val="decimal"/>
      <w:lvlText w:val="%1"/>
      <w:lvlJc w:val="left"/>
      <w:pPr>
        <w:tabs>
          <w:tab w:val="num" w:pos="360"/>
        </w:tabs>
        <w:ind w:left="340" w:hanging="340"/>
      </w:pPr>
    </w:lvl>
  </w:abstractNum>
  <w:abstractNum w:abstractNumId="5">
    <w:nsid w:val="356B1339"/>
    <w:multiLevelType w:val="singleLevel"/>
    <w:tmpl w:val="5FFA9228"/>
    <w:lvl w:ilvl="0">
      <w:start w:val="1"/>
      <w:numFmt w:val="bullet"/>
      <w:lvlRestart w:val="0"/>
      <w:pStyle w:val="Luettelomerkki2"/>
      <w:lvlText w:val=""/>
      <w:lvlJc w:val="left"/>
      <w:pPr>
        <w:tabs>
          <w:tab w:val="num" w:pos="2965"/>
        </w:tabs>
        <w:ind w:left="2965" w:hanging="357"/>
      </w:pPr>
      <w:rPr>
        <w:rFonts w:ascii="Symbol" w:hAnsi="Symbol" w:hint="default"/>
      </w:rPr>
    </w:lvl>
  </w:abstractNum>
  <w:abstractNum w:abstractNumId="6">
    <w:nsid w:val="4B331A12"/>
    <w:multiLevelType w:val="singleLevel"/>
    <w:tmpl w:val="B4BC27BA"/>
    <w:lvl w:ilvl="0">
      <w:start w:val="1"/>
      <w:numFmt w:val="decimal"/>
      <w:lvlText w:val="%1"/>
      <w:lvlJc w:val="left"/>
      <w:pPr>
        <w:tabs>
          <w:tab w:val="num" w:pos="360"/>
        </w:tabs>
        <w:ind w:left="340" w:hanging="340"/>
      </w:pPr>
    </w:lvl>
  </w:abstractNum>
  <w:abstractNum w:abstractNumId="7">
    <w:nsid w:val="5A872D8B"/>
    <w:multiLevelType w:val="singleLevel"/>
    <w:tmpl w:val="E40C5112"/>
    <w:lvl w:ilvl="0">
      <w:start w:val="1"/>
      <w:numFmt w:val="decimal"/>
      <w:lvlRestart w:val="0"/>
      <w:pStyle w:val="Numeroitu2"/>
      <w:lvlText w:val="%1"/>
      <w:lvlJc w:val="left"/>
      <w:pPr>
        <w:tabs>
          <w:tab w:val="num" w:pos="2965"/>
        </w:tabs>
        <w:ind w:left="2965" w:hanging="357"/>
      </w:pPr>
      <w:rPr>
        <w:rFonts w:ascii="Garamond" w:hAnsi="Garamond"/>
      </w:rPr>
    </w:lvl>
  </w:abstractNum>
  <w:abstractNum w:abstractNumId="8">
    <w:nsid w:val="5E511475"/>
    <w:multiLevelType w:val="singleLevel"/>
    <w:tmpl w:val="62001FD0"/>
    <w:lvl w:ilvl="0">
      <w:start w:val="1"/>
      <w:numFmt w:val="decimal"/>
      <w:lvlText w:val="%1."/>
      <w:lvlJc w:val="left"/>
      <w:pPr>
        <w:tabs>
          <w:tab w:val="num" w:pos="360"/>
        </w:tabs>
        <w:ind w:left="340" w:hanging="340"/>
      </w:pPr>
    </w:lvl>
  </w:abstractNum>
  <w:num w:numId="1">
    <w:abstractNumId w:val="6"/>
  </w:num>
  <w:num w:numId="2">
    <w:abstractNumId w:val="0"/>
  </w:num>
  <w:num w:numId="3">
    <w:abstractNumId w:val="4"/>
  </w:num>
  <w:num w:numId="4">
    <w:abstractNumId w:val="8"/>
  </w:num>
  <w:num w:numId="5">
    <w:abstractNumId w:val="2"/>
  </w:num>
  <w:num w:numId="6">
    <w:abstractNumId w:val="1"/>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1304"/>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39"/>
    <w:rsid w:val="00011315"/>
    <w:rsid w:val="00037F9D"/>
    <w:rsid w:val="000B5C0D"/>
    <w:rsid w:val="00172D01"/>
    <w:rsid w:val="001D30D8"/>
    <w:rsid w:val="001F0B66"/>
    <w:rsid w:val="00234BFD"/>
    <w:rsid w:val="002634BE"/>
    <w:rsid w:val="002E17B7"/>
    <w:rsid w:val="00334DCD"/>
    <w:rsid w:val="003A5615"/>
    <w:rsid w:val="003A6FE6"/>
    <w:rsid w:val="003F237B"/>
    <w:rsid w:val="004E3045"/>
    <w:rsid w:val="00570C20"/>
    <w:rsid w:val="006B6932"/>
    <w:rsid w:val="006D4E82"/>
    <w:rsid w:val="0074033B"/>
    <w:rsid w:val="00760D7A"/>
    <w:rsid w:val="00947400"/>
    <w:rsid w:val="00954B92"/>
    <w:rsid w:val="0096167E"/>
    <w:rsid w:val="00982EC3"/>
    <w:rsid w:val="00A604E7"/>
    <w:rsid w:val="00A63B5A"/>
    <w:rsid w:val="00AD34C3"/>
    <w:rsid w:val="00AE65A5"/>
    <w:rsid w:val="00B42D34"/>
    <w:rsid w:val="00B75CD8"/>
    <w:rsid w:val="00BC79BC"/>
    <w:rsid w:val="00BE1FB9"/>
    <w:rsid w:val="00C324B0"/>
    <w:rsid w:val="00C5383F"/>
    <w:rsid w:val="00CE6608"/>
    <w:rsid w:val="00D62391"/>
    <w:rsid w:val="00D669B2"/>
    <w:rsid w:val="00DF102A"/>
    <w:rsid w:val="00E0141A"/>
    <w:rsid w:val="00E40B85"/>
    <w:rsid w:val="00EC0139"/>
    <w:rsid w:val="00FC36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C0139"/>
    <w:rPr>
      <w:rFonts w:ascii="Arial" w:hAnsi="Arial" w:cs="Arial"/>
      <w:sz w:val="22"/>
      <w:szCs w:val="24"/>
    </w:rPr>
  </w:style>
  <w:style w:type="paragraph" w:styleId="Otsikko1">
    <w:name w:val="heading 1"/>
    <w:basedOn w:val="Normaali"/>
    <w:next w:val="Normaali"/>
    <w:qFormat/>
    <w:rsid w:val="00B75CD8"/>
    <w:pPr>
      <w:keepNext/>
      <w:spacing w:before="240" w:after="60"/>
      <w:outlineLvl w:val="0"/>
    </w:pPr>
    <w:rPr>
      <w:b/>
      <w:bCs/>
      <w:kern w:val="32"/>
      <w:sz w:val="32"/>
      <w:szCs w:val="32"/>
    </w:rPr>
  </w:style>
  <w:style w:type="paragraph" w:styleId="Otsikko2">
    <w:name w:val="heading 2"/>
    <w:basedOn w:val="Normaali"/>
    <w:next w:val="Normaali"/>
    <w:link w:val="Otsikko2Char"/>
    <w:uiPriority w:val="9"/>
    <w:semiHidden/>
    <w:unhideWhenUsed/>
    <w:qFormat/>
    <w:rsid w:val="00EC0139"/>
    <w:pPr>
      <w:keepNext/>
      <w:keepLines/>
      <w:spacing w:before="200"/>
      <w:outlineLvl w:val="1"/>
    </w:pPr>
    <w:rPr>
      <w:rFonts w:eastAsiaTheme="majorEastAsia" w:cstheme="majorBidi"/>
      <w:b/>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B75CD8"/>
    <w:pPr>
      <w:tabs>
        <w:tab w:val="center" w:pos="4819"/>
        <w:tab w:val="right" w:pos="9638"/>
      </w:tabs>
    </w:pPr>
  </w:style>
  <w:style w:type="paragraph" w:styleId="Alatunniste">
    <w:name w:val="footer"/>
    <w:basedOn w:val="Normaali"/>
    <w:link w:val="AlatunnisteChar"/>
    <w:uiPriority w:val="99"/>
    <w:rsid w:val="00B75CD8"/>
    <w:pPr>
      <w:tabs>
        <w:tab w:val="center" w:pos="4819"/>
        <w:tab w:val="right" w:pos="9638"/>
      </w:tabs>
    </w:pPr>
  </w:style>
  <w:style w:type="character" w:styleId="Sivunumero">
    <w:name w:val="page number"/>
    <w:basedOn w:val="Kappaleenoletusfontti"/>
    <w:semiHidden/>
    <w:rsid w:val="00B75CD8"/>
  </w:style>
  <w:style w:type="paragraph" w:customStyle="1" w:styleId="Asialuettelo">
    <w:name w:val="Asialuettelo"/>
    <w:basedOn w:val="Normaali"/>
    <w:rsid w:val="00B75CD8"/>
    <w:pPr>
      <w:ind w:left="3912" w:hanging="1304"/>
    </w:pPr>
  </w:style>
  <w:style w:type="paragraph" w:styleId="Sisluet1">
    <w:name w:val="toc 1"/>
    <w:basedOn w:val="TwebTeksti"/>
    <w:autoRedefine/>
    <w:semiHidden/>
    <w:rsid w:val="00B75CD8"/>
    <w:pPr>
      <w:tabs>
        <w:tab w:val="left" w:pos="1077"/>
        <w:tab w:val="left" w:pos="2722"/>
      </w:tabs>
      <w:spacing w:after="120"/>
      <w:ind w:right="851"/>
    </w:pPr>
    <w:rPr>
      <w:szCs w:val="22"/>
    </w:rPr>
  </w:style>
  <w:style w:type="paragraph" w:customStyle="1" w:styleId="TwebTeksti">
    <w:name w:val="TwebTeksti"/>
    <w:basedOn w:val="Normaali"/>
    <w:qFormat/>
    <w:rsid w:val="00B75CD8"/>
    <w:pPr>
      <w:tabs>
        <w:tab w:val="left" w:pos="1298"/>
        <w:tab w:val="left" w:pos="2591"/>
        <w:tab w:val="left" w:pos="3890"/>
        <w:tab w:val="left" w:pos="5182"/>
        <w:tab w:val="left" w:pos="6481"/>
        <w:tab w:val="left" w:pos="7774"/>
        <w:tab w:val="left" w:pos="9072"/>
      </w:tabs>
    </w:pPr>
  </w:style>
  <w:style w:type="paragraph" w:customStyle="1" w:styleId="TwebAlatunniste">
    <w:name w:val="TwebAlatunniste"/>
    <w:basedOn w:val="TwebTeksti"/>
    <w:rsid w:val="00B75CD8"/>
    <w:rPr>
      <w:sz w:val="20"/>
      <w:lang w:eastAsia="en-US"/>
    </w:rPr>
  </w:style>
  <w:style w:type="paragraph" w:customStyle="1" w:styleId="TwebAsiateksti1">
    <w:name w:val="TwebAsiateksti1"/>
    <w:basedOn w:val="TwebTeksti"/>
    <w:qFormat/>
    <w:rsid w:val="00B75CD8"/>
    <w:pPr>
      <w:tabs>
        <w:tab w:val="clear" w:pos="1298"/>
        <w:tab w:val="clear" w:pos="2591"/>
      </w:tabs>
      <w:ind w:left="2591"/>
    </w:pPr>
    <w:rPr>
      <w:lang w:eastAsia="en-US"/>
    </w:rPr>
  </w:style>
  <w:style w:type="paragraph" w:customStyle="1" w:styleId="TwebOtsikko">
    <w:name w:val="TwebOtsikko"/>
    <w:basedOn w:val="TwebTeksti"/>
    <w:next w:val="TwebAsiateksti1"/>
    <w:rsid w:val="00B75CD8"/>
    <w:rPr>
      <w:rFonts w:cs="Times New Roman"/>
      <w:b/>
      <w:szCs w:val="20"/>
      <w:lang w:eastAsia="en-US"/>
    </w:rPr>
  </w:style>
  <w:style w:type="paragraph" w:customStyle="1" w:styleId="TwebYltunniste">
    <w:name w:val="TwebYlätunniste"/>
    <w:basedOn w:val="TwebTeksti"/>
    <w:rsid w:val="00B75CD8"/>
    <w:rPr>
      <w:sz w:val="20"/>
      <w:lang w:eastAsia="en-US"/>
    </w:rPr>
  </w:style>
  <w:style w:type="character" w:styleId="Hyperlinkki">
    <w:name w:val="Hyperlink"/>
    <w:basedOn w:val="Kappaleenoletusfontti"/>
    <w:uiPriority w:val="99"/>
    <w:rsid w:val="00B75CD8"/>
    <w:rPr>
      <w:color w:val="0000FF"/>
      <w:u w:val="single"/>
    </w:rPr>
  </w:style>
  <w:style w:type="character" w:customStyle="1" w:styleId="Otsikko2Char">
    <w:name w:val="Otsikko 2 Char"/>
    <w:basedOn w:val="Kappaleenoletusfontti"/>
    <w:link w:val="Otsikko2"/>
    <w:uiPriority w:val="9"/>
    <w:semiHidden/>
    <w:rsid w:val="00EC0139"/>
    <w:rPr>
      <w:rFonts w:ascii="Arial" w:eastAsiaTheme="majorEastAsia" w:hAnsi="Arial" w:cstheme="majorBidi"/>
      <w:b/>
      <w:bCs/>
      <w:sz w:val="22"/>
      <w:szCs w:val="26"/>
    </w:rPr>
  </w:style>
  <w:style w:type="character" w:customStyle="1" w:styleId="AlatunnisteChar">
    <w:name w:val="Alatunniste Char"/>
    <w:basedOn w:val="Kappaleenoletusfontti"/>
    <w:link w:val="Alatunniste"/>
    <w:uiPriority w:val="99"/>
    <w:rsid w:val="00EC0139"/>
    <w:rPr>
      <w:rFonts w:ascii="Arial" w:hAnsi="Arial" w:cs="Arial"/>
      <w:sz w:val="22"/>
      <w:szCs w:val="24"/>
    </w:rPr>
  </w:style>
  <w:style w:type="character" w:customStyle="1" w:styleId="YltunnisteChar">
    <w:name w:val="Ylätunniste Char"/>
    <w:basedOn w:val="Kappaleenoletusfontti"/>
    <w:link w:val="Yltunniste"/>
    <w:uiPriority w:val="99"/>
    <w:rsid w:val="00EC0139"/>
    <w:rPr>
      <w:rFonts w:ascii="Arial" w:hAnsi="Arial" w:cs="Arial"/>
      <w:sz w:val="22"/>
      <w:szCs w:val="24"/>
    </w:rPr>
  </w:style>
  <w:style w:type="paragraph" w:customStyle="1" w:styleId="Luettelomerkki2">
    <w:name w:val="Luettelomerkki 2"/>
    <w:basedOn w:val="Normaali"/>
    <w:rsid w:val="00570C20"/>
    <w:pPr>
      <w:numPr>
        <w:numId w:val="7"/>
      </w:numPr>
    </w:pPr>
    <w:rPr>
      <w:rFonts w:eastAsia="Calibri"/>
      <w:szCs w:val="22"/>
      <w:lang w:eastAsia="en-US"/>
    </w:rPr>
  </w:style>
  <w:style w:type="paragraph" w:customStyle="1" w:styleId="Viiva2">
    <w:name w:val="Viiva 2"/>
    <w:basedOn w:val="Normaali"/>
    <w:qFormat/>
    <w:rsid w:val="00570C20"/>
    <w:pPr>
      <w:numPr>
        <w:numId w:val="9"/>
      </w:numPr>
    </w:pPr>
    <w:rPr>
      <w:rFonts w:eastAsia="Calibri"/>
      <w:szCs w:val="22"/>
      <w:lang w:eastAsia="en-US"/>
    </w:rPr>
  </w:style>
  <w:style w:type="paragraph" w:customStyle="1" w:styleId="Numeroitu2">
    <w:name w:val="Numeroitu 2"/>
    <w:basedOn w:val="Normaali"/>
    <w:qFormat/>
    <w:rsid w:val="00570C20"/>
    <w:pPr>
      <w:numPr>
        <w:numId w:val="8"/>
      </w:numPr>
    </w:pPr>
    <w:rPr>
      <w:rFonts w:cs="Times New Roman"/>
      <w:lang w:eastAsia="en-US"/>
    </w:rPr>
  </w:style>
  <w:style w:type="paragraph" w:customStyle="1" w:styleId="CM1">
    <w:name w:val="CM1"/>
    <w:basedOn w:val="Normaali"/>
    <w:next w:val="Normaali"/>
    <w:uiPriority w:val="99"/>
    <w:rsid w:val="0096167E"/>
    <w:pPr>
      <w:autoSpaceDE w:val="0"/>
      <w:autoSpaceDN w:val="0"/>
      <w:adjustRightInd w:val="0"/>
    </w:pPr>
    <w:rPr>
      <w:rFonts w:ascii="EUAlbertina" w:eastAsia="Calibri" w:hAnsi="EUAlbertina" w:cs="Times New Roman"/>
      <w:sz w:val="24"/>
    </w:rPr>
  </w:style>
  <w:style w:type="character" w:styleId="Voimakas">
    <w:name w:val="Strong"/>
    <w:uiPriority w:val="22"/>
    <w:qFormat/>
    <w:rsid w:val="0096167E"/>
    <w:rPr>
      <w:b/>
      <w:bCs/>
    </w:rPr>
  </w:style>
  <w:style w:type="paragraph" w:customStyle="1" w:styleId="Perusteksti">
    <w:name w:val="Perusteksti"/>
    <w:basedOn w:val="Normaali"/>
    <w:rsid w:val="0096167E"/>
    <w:pPr>
      <w:spacing w:after="240"/>
      <w:ind w:left="2608"/>
    </w:pPr>
    <w:rPr>
      <w:rFonts w:eastAsia="Calibri"/>
      <w:szCs w:val="22"/>
      <w:lang w:eastAsia="en-US"/>
    </w:rPr>
  </w:style>
  <w:style w:type="paragraph" w:styleId="Seliteteksti">
    <w:name w:val="Balloon Text"/>
    <w:basedOn w:val="Normaali"/>
    <w:link w:val="SelitetekstiChar"/>
    <w:uiPriority w:val="99"/>
    <w:semiHidden/>
    <w:unhideWhenUsed/>
    <w:rsid w:val="00982EC3"/>
    <w:rPr>
      <w:rFonts w:ascii="Tahoma" w:hAnsi="Tahoma" w:cs="Tahoma"/>
      <w:sz w:val="16"/>
      <w:szCs w:val="16"/>
    </w:rPr>
  </w:style>
  <w:style w:type="character" w:customStyle="1" w:styleId="SelitetekstiChar">
    <w:name w:val="Seliteteksti Char"/>
    <w:basedOn w:val="Kappaleenoletusfontti"/>
    <w:link w:val="Seliteteksti"/>
    <w:uiPriority w:val="99"/>
    <w:semiHidden/>
    <w:rsid w:val="00982E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C0139"/>
    <w:rPr>
      <w:rFonts w:ascii="Arial" w:hAnsi="Arial" w:cs="Arial"/>
      <w:sz w:val="22"/>
      <w:szCs w:val="24"/>
    </w:rPr>
  </w:style>
  <w:style w:type="paragraph" w:styleId="Otsikko1">
    <w:name w:val="heading 1"/>
    <w:basedOn w:val="Normaali"/>
    <w:next w:val="Normaali"/>
    <w:qFormat/>
    <w:rsid w:val="00B75CD8"/>
    <w:pPr>
      <w:keepNext/>
      <w:spacing w:before="240" w:after="60"/>
      <w:outlineLvl w:val="0"/>
    </w:pPr>
    <w:rPr>
      <w:b/>
      <w:bCs/>
      <w:kern w:val="32"/>
      <w:sz w:val="32"/>
      <w:szCs w:val="32"/>
    </w:rPr>
  </w:style>
  <w:style w:type="paragraph" w:styleId="Otsikko2">
    <w:name w:val="heading 2"/>
    <w:basedOn w:val="Normaali"/>
    <w:next w:val="Normaali"/>
    <w:link w:val="Otsikko2Char"/>
    <w:uiPriority w:val="9"/>
    <w:semiHidden/>
    <w:unhideWhenUsed/>
    <w:qFormat/>
    <w:rsid w:val="00EC0139"/>
    <w:pPr>
      <w:keepNext/>
      <w:keepLines/>
      <w:spacing w:before="200"/>
      <w:outlineLvl w:val="1"/>
    </w:pPr>
    <w:rPr>
      <w:rFonts w:eastAsiaTheme="majorEastAsia" w:cstheme="majorBidi"/>
      <w:b/>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B75CD8"/>
    <w:pPr>
      <w:tabs>
        <w:tab w:val="center" w:pos="4819"/>
        <w:tab w:val="right" w:pos="9638"/>
      </w:tabs>
    </w:pPr>
  </w:style>
  <w:style w:type="paragraph" w:styleId="Alatunniste">
    <w:name w:val="footer"/>
    <w:basedOn w:val="Normaali"/>
    <w:link w:val="AlatunnisteChar"/>
    <w:uiPriority w:val="99"/>
    <w:rsid w:val="00B75CD8"/>
    <w:pPr>
      <w:tabs>
        <w:tab w:val="center" w:pos="4819"/>
        <w:tab w:val="right" w:pos="9638"/>
      </w:tabs>
    </w:pPr>
  </w:style>
  <w:style w:type="character" w:styleId="Sivunumero">
    <w:name w:val="page number"/>
    <w:basedOn w:val="Kappaleenoletusfontti"/>
    <w:semiHidden/>
    <w:rsid w:val="00B75CD8"/>
  </w:style>
  <w:style w:type="paragraph" w:customStyle="1" w:styleId="Asialuettelo">
    <w:name w:val="Asialuettelo"/>
    <w:basedOn w:val="Normaali"/>
    <w:rsid w:val="00B75CD8"/>
    <w:pPr>
      <w:ind w:left="3912" w:hanging="1304"/>
    </w:pPr>
  </w:style>
  <w:style w:type="paragraph" w:styleId="Sisluet1">
    <w:name w:val="toc 1"/>
    <w:basedOn w:val="TwebTeksti"/>
    <w:autoRedefine/>
    <w:semiHidden/>
    <w:rsid w:val="00B75CD8"/>
    <w:pPr>
      <w:tabs>
        <w:tab w:val="left" w:pos="1077"/>
        <w:tab w:val="left" w:pos="2722"/>
      </w:tabs>
      <w:spacing w:after="120"/>
      <w:ind w:right="851"/>
    </w:pPr>
    <w:rPr>
      <w:szCs w:val="22"/>
    </w:rPr>
  </w:style>
  <w:style w:type="paragraph" w:customStyle="1" w:styleId="TwebTeksti">
    <w:name w:val="TwebTeksti"/>
    <w:basedOn w:val="Normaali"/>
    <w:qFormat/>
    <w:rsid w:val="00B75CD8"/>
    <w:pPr>
      <w:tabs>
        <w:tab w:val="left" w:pos="1298"/>
        <w:tab w:val="left" w:pos="2591"/>
        <w:tab w:val="left" w:pos="3890"/>
        <w:tab w:val="left" w:pos="5182"/>
        <w:tab w:val="left" w:pos="6481"/>
        <w:tab w:val="left" w:pos="7774"/>
        <w:tab w:val="left" w:pos="9072"/>
      </w:tabs>
    </w:pPr>
  </w:style>
  <w:style w:type="paragraph" w:customStyle="1" w:styleId="TwebAlatunniste">
    <w:name w:val="TwebAlatunniste"/>
    <w:basedOn w:val="TwebTeksti"/>
    <w:rsid w:val="00B75CD8"/>
    <w:rPr>
      <w:sz w:val="20"/>
      <w:lang w:eastAsia="en-US"/>
    </w:rPr>
  </w:style>
  <w:style w:type="paragraph" w:customStyle="1" w:styleId="TwebAsiateksti1">
    <w:name w:val="TwebAsiateksti1"/>
    <w:basedOn w:val="TwebTeksti"/>
    <w:qFormat/>
    <w:rsid w:val="00B75CD8"/>
    <w:pPr>
      <w:tabs>
        <w:tab w:val="clear" w:pos="1298"/>
        <w:tab w:val="clear" w:pos="2591"/>
      </w:tabs>
      <w:ind w:left="2591"/>
    </w:pPr>
    <w:rPr>
      <w:lang w:eastAsia="en-US"/>
    </w:rPr>
  </w:style>
  <w:style w:type="paragraph" w:customStyle="1" w:styleId="TwebOtsikko">
    <w:name w:val="TwebOtsikko"/>
    <w:basedOn w:val="TwebTeksti"/>
    <w:next w:val="TwebAsiateksti1"/>
    <w:rsid w:val="00B75CD8"/>
    <w:rPr>
      <w:rFonts w:cs="Times New Roman"/>
      <w:b/>
      <w:szCs w:val="20"/>
      <w:lang w:eastAsia="en-US"/>
    </w:rPr>
  </w:style>
  <w:style w:type="paragraph" w:customStyle="1" w:styleId="TwebYltunniste">
    <w:name w:val="TwebYlätunniste"/>
    <w:basedOn w:val="TwebTeksti"/>
    <w:rsid w:val="00B75CD8"/>
    <w:rPr>
      <w:sz w:val="20"/>
      <w:lang w:eastAsia="en-US"/>
    </w:rPr>
  </w:style>
  <w:style w:type="character" w:styleId="Hyperlinkki">
    <w:name w:val="Hyperlink"/>
    <w:basedOn w:val="Kappaleenoletusfontti"/>
    <w:uiPriority w:val="99"/>
    <w:rsid w:val="00B75CD8"/>
    <w:rPr>
      <w:color w:val="0000FF"/>
      <w:u w:val="single"/>
    </w:rPr>
  </w:style>
  <w:style w:type="character" w:customStyle="1" w:styleId="Otsikko2Char">
    <w:name w:val="Otsikko 2 Char"/>
    <w:basedOn w:val="Kappaleenoletusfontti"/>
    <w:link w:val="Otsikko2"/>
    <w:uiPriority w:val="9"/>
    <w:semiHidden/>
    <w:rsid w:val="00EC0139"/>
    <w:rPr>
      <w:rFonts w:ascii="Arial" w:eastAsiaTheme="majorEastAsia" w:hAnsi="Arial" w:cstheme="majorBidi"/>
      <w:b/>
      <w:bCs/>
      <w:sz w:val="22"/>
      <w:szCs w:val="26"/>
    </w:rPr>
  </w:style>
  <w:style w:type="character" w:customStyle="1" w:styleId="AlatunnisteChar">
    <w:name w:val="Alatunniste Char"/>
    <w:basedOn w:val="Kappaleenoletusfontti"/>
    <w:link w:val="Alatunniste"/>
    <w:uiPriority w:val="99"/>
    <w:rsid w:val="00EC0139"/>
    <w:rPr>
      <w:rFonts w:ascii="Arial" w:hAnsi="Arial" w:cs="Arial"/>
      <w:sz w:val="22"/>
      <w:szCs w:val="24"/>
    </w:rPr>
  </w:style>
  <w:style w:type="character" w:customStyle="1" w:styleId="YltunnisteChar">
    <w:name w:val="Ylätunniste Char"/>
    <w:basedOn w:val="Kappaleenoletusfontti"/>
    <w:link w:val="Yltunniste"/>
    <w:uiPriority w:val="99"/>
    <w:rsid w:val="00EC0139"/>
    <w:rPr>
      <w:rFonts w:ascii="Arial" w:hAnsi="Arial" w:cs="Arial"/>
      <w:sz w:val="22"/>
      <w:szCs w:val="24"/>
    </w:rPr>
  </w:style>
  <w:style w:type="paragraph" w:customStyle="1" w:styleId="Luettelomerkki2">
    <w:name w:val="Luettelomerkki 2"/>
    <w:basedOn w:val="Normaali"/>
    <w:rsid w:val="00570C20"/>
    <w:pPr>
      <w:numPr>
        <w:numId w:val="7"/>
      </w:numPr>
    </w:pPr>
    <w:rPr>
      <w:rFonts w:eastAsia="Calibri"/>
      <w:szCs w:val="22"/>
      <w:lang w:eastAsia="en-US"/>
    </w:rPr>
  </w:style>
  <w:style w:type="paragraph" w:customStyle="1" w:styleId="Viiva2">
    <w:name w:val="Viiva 2"/>
    <w:basedOn w:val="Normaali"/>
    <w:qFormat/>
    <w:rsid w:val="00570C20"/>
    <w:pPr>
      <w:numPr>
        <w:numId w:val="9"/>
      </w:numPr>
    </w:pPr>
    <w:rPr>
      <w:rFonts w:eastAsia="Calibri"/>
      <w:szCs w:val="22"/>
      <w:lang w:eastAsia="en-US"/>
    </w:rPr>
  </w:style>
  <w:style w:type="paragraph" w:customStyle="1" w:styleId="Numeroitu2">
    <w:name w:val="Numeroitu 2"/>
    <w:basedOn w:val="Normaali"/>
    <w:qFormat/>
    <w:rsid w:val="00570C20"/>
    <w:pPr>
      <w:numPr>
        <w:numId w:val="8"/>
      </w:numPr>
    </w:pPr>
    <w:rPr>
      <w:rFonts w:cs="Times New Roman"/>
      <w:lang w:eastAsia="en-US"/>
    </w:rPr>
  </w:style>
  <w:style w:type="paragraph" w:customStyle="1" w:styleId="CM1">
    <w:name w:val="CM1"/>
    <w:basedOn w:val="Normaali"/>
    <w:next w:val="Normaali"/>
    <w:uiPriority w:val="99"/>
    <w:rsid w:val="0096167E"/>
    <w:pPr>
      <w:autoSpaceDE w:val="0"/>
      <w:autoSpaceDN w:val="0"/>
      <w:adjustRightInd w:val="0"/>
    </w:pPr>
    <w:rPr>
      <w:rFonts w:ascii="EUAlbertina" w:eastAsia="Calibri" w:hAnsi="EUAlbertina" w:cs="Times New Roman"/>
      <w:sz w:val="24"/>
    </w:rPr>
  </w:style>
  <w:style w:type="character" w:styleId="Voimakas">
    <w:name w:val="Strong"/>
    <w:uiPriority w:val="22"/>
    <w:qFormat/>
    <w:rsid w:val="0096167E"/>
    <w:rPr>
      <w:b/>
      <w:bCs/>
    </w:rPr>
  </w:style>
  <w:style w:type="paragraph" w:customStyle="1" w:styleId="Perusteksti">
    <w:name w:val="Perusteksti"/>
    <w:basedOn w:val="Normaali"/>
    <w:rsid w:val="0096167E"/>
    <w:pPr>
      <w:spacing w:after="240"/>
      <w:ind w:left="2608"/>
    </w:pPr>
    <w:rPr>
      <w:rFonts w:eastAsia="Calibri"/>
      <w:szCs w:val="22"/>
      <w:lang w:eastAsia="en-US"/>
    </w:rPr>
  </w:style>
  <w:style w:type="paragraph" w:styleId="Seliteteksti">
    <w:name w:val="Balloon Text"/>
    <w:basedOn w:val="Normaali"/>
    <w:link w:val="SelitetekstiChar"/>
    <w:uiPriority w:val="99"/>
    <w:semiHidden/>
    <w:unhideWhenUsed/>
    <w:rsid w:val="00982EC3"/>
    <w:rPr>
      <w:rFonts w:ascii="Tahoma" w:hAnsi="Tahoma" w:cs="Tahoma"/>
      <w:sz w:val="16"/>
      <w:szCs w:val="16"/>
    </w:rPr>
  </w:style>
  <w:style w:type="character" w:customStyle="1" w:styleId="SelitetekstiChar">
    <w:name w:val="Seliteteksti Char"/>
    <w:basedOn w:val="Kappaleenoletusfontti"/>
    <w:link w:val="Seliteteksti"/>
    <w:uiPriority w:val="99"/>
    <w:semiHidden/>
    <w:rsid w:val="00982E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kkv.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Q:\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TWeb</Template>
  <TotalTime>3</TotalTime>
  <Pages>1</Pages>
  <Words>1391</Words>
  <Characters>11269</Characters>
  <Application>Microsoft Office Word</Application>
  <DocSecurity>0</DocSecurity>
  <Lines>93</Lines>
  <Paragraphs>25</Paragraphs>
  <ScaleCrop>false</ScaleCrop>
  <HeadingPairs>
    <vt:vector size="2" baseType="variant">
      <vt:variant>
        <vt:lpstr>Otsikko</vt:lpstr>
      </vt:variant>
      <vt:variant>
        <vt:i4>1</vt:i4>
      </vt:variant>
    </vt:vector>
  </HeadingPairs>
  <TitlesOfParts>
    <vt:vector size="1" baseType="lpstr">
      <vt:lpstr>Tweb-malli 2007</vt:lpstr>
    </vt:vector>
  </TitlesOfParts>
  <Company>Kuluttajavirasto</Company>
  <LinksUpToDate>false</LinksUpToDate>
  <CharactersWithSpaces>12635</CharactersWithSpaces>
  <SharedDoc>false</SharedDoc>
  <HLinks>
    <vt:vector size="6" baseType="variant">
      <vt:variant>
        <vt:i4>458785</vt:i4>
      </vt:variant>
      <vt:variant>
        <vt:i4>-1</vt:i4>
      </vt:variant>
      <vt:variant>
        <vt:i4>2050</vt:i4>
      </vt:variant>
      <vt:variant>
        <vt:i4>1</vt:i4>
      </vt:variant>
      <vt:variant>
        <vt:lpwstr>O:\ATK\LOGO99KV\SUOTUMV.JPG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Tweb-malli 2007</dc:title>
  <dc:creator>Tietohallinto</dc:creator>
  <dc:description>KKV-logo ym. 10.1.2013, Kuvitw1\office\Tweb2007.dotm</dc:description>
  <cp:lastModifiedBy>Riikka Rosendahl</cp:lastModifiedBy>
  <cp:revision>4</cp:revision>
  <dcterms:created xsi:type="dcterms:W3CDTF">2016-01-15T07:28:00Z</dcterms:created>
  <dcterms:modified xsi:type="dcterms:W3CDTF">2016-01-15T07:47:00Z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Lausunto. Kansallisen verkkoneutraliteettisääntelyn muuttaminen EU-asetuksen johdosta.</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Rosendahl Riikka</vt:lpwstr>
  </property>
  <property fmtid="{D5CDD505-2E9C-101B-9397-08002B2CF9AE}" pid="10" name="tweb_doc_publisher">
    <vt:lpwstr>Kilpailu- ja kuluttajavirasto/Kuluttajansuoja 3</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DOCX</vt:lpwstr>
  </property>
  <property fmtid="{D5CDD505-2E9C-101B-9397-08002B2CF9AE}" pid="14" name="tweb_doc_description">
    <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15.01.2016</vt:lpwstr>
  </property>
  <property fmtid="{D5CDD505-2E9C-101B-9397-08002B2CF9AE}" pid="18" name="tweb_doc_modified">
    <vt:lpwstr>15.01.2016</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Ei suojeluluokiteltu</vt:lpwstr>
  </property>
  <property fmtid="{D5CDD505-2E9C-101B-9397-08002B2CF9AE}" pid="26" name="tweb_doc_retentionperiodend">
    <vt:lpwstr/>
  </property>
  <property fmtid="{D5CDD505-2E9C-101B-9397-08002B2CF9AE}" pid="27" name="tweb_doc_storagelocation">
    <vt:lpwstr>Tweb</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51516</vt:lpwstr>
  </property>
  <property fmtid="{D5CDD505-2E9C-101B-9397-08002B2CF9AE}" pid="32" name="tweb_doc_securityclass">
    <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3</vt:lpwstr>
  </property>
  <property fmtid="{D5CDD505-2E9C-101B-9397-08002B2CF9AE}" pid="37" name="tweb_user_name">
    <vt:lpwstr>Rosendahl Riikka</vt:lpwstr>
  </property>
  <property fmtid="{D5CDD505-2E9C-101B-9397-08002B2CF9AE}" pid="38" name="tweb_user_surname">
    <vt:lpwstr>Rosendahl</vt:lpwstr>
  </property>
  <property fmtid="{D5CDD505-2E9C-101B-9397-08002B2CF9AE}" pid="39" name="tweb_user_givenname">
    <vt:lpwstr>Riikka</vt:lpwstr>
  </property>
  <property fmtid="{D5CDD505-2E9C-101B-9397-08002B2CF9AE}" pid="40" name="tweb_user_title">
    <vt:lpwstr/>
  </property>
  <property fmtid="{D5CDD505-2E9C-101B-9397-08002B2CF9AE}" pid="41" name="tweb_user_telephonenumber">
    <vt:lpwstr/>
  </property>
  <property fmtid="{D5CDD505-2E9C-101B-9397-08002B2CF9AE}" pid="42" name="tweb_user_facsimiletelephonenumber">
    <vt:lpwstr/>
  </property>
  <property fmtid="{D5CDD505-2E9C-101B-9397-08002B2CF9AE}" pid="43" name="tweb_user_rfc822mailbox">
    <vt:lpwstr>riikka.rosendahl@kkv.fi</vt:lpwstr>
  </property>
  <property fmtid="{D5CDD505-2E9C-101B-9397-08002B2CF9AE}" pid="44" name="tweb_user_roomnumber">
    <vt:lpwstr/>
  </property>
  <property fmtid="{D5CDD505-2E9C-101B-9397-08002B2CF9AE}" pid="45" name="tweb_user_organization">
    <vt:lpwstr>Kilpailu- ja kuluttajavirasto</vt:lpwstr>
  </property>
  <property fmtid="{D5CDD505-2E9C-101B-9397-08002B2CF9AE}" pid="46" name="tweb_user_department">
    <vt:lpwstr>Kuluttajansuoja 3</vt:lpwstr>
  </property>
  <property fmtid="{D5CDD505-2E9C-101B-9397-08002B2CF9AE}" pid="47" name="tweb_user_group">
    <vt:lpwstr/>
  </property>
  <property fmtid="{D5CDD505-2E9C-101B-9397-08002B2CF9AE}" pid="48" name="tweb_user_postaladdress">
    <vt:lpwstr/>
  </property>
  <property fmtid="{D5CDD505-2E9C-101B-9397-08002B2CF9AE}" pid="49" name="tweb_user_postalcode">
    <vt:lpwstr/>
  </property>
  <property fmtid="{D5CDD505-2E9C-101B-9397-08002B2CF9AE}" pid="50" name="tweb_doc_identifier">
    <vt:lpwstr>KKV/1626/03.02/2015</vt:lpwstr>
  </property>
  <property fmtid="{D5CDD505-2E9C-101B-9397-08002B2CF9AE}" pid="51" name="tweb_doc_typename">
    <vt:lpwstr>Lausunto/kannanotto</vt:lpwstr>
  </property>
  <property fmtid="{D5CDD505-2E9C-101B-9397-08002B2CF9AE}" pid="52" name="tweb_doc_typecode">
    <vt:lpwstr>03.02.02</vt:lpwstr>
  </property>
  <property fmtid="{D5CDD505-2E9C-101B-9397-08002B2CF9AE}" pid="53" name="tweb_doc_owner">
    <vt:lpwstr>Rosendahl Riikka</vt:lpwstr>
  </property>
  <property fmtid="{D5CDD505-2E9C-101B-9397-08002B2CF9AE}" pid="54" name="tweb_doc_xsubjectlist">
    <vt:lpwstr>lausuntopyyntö /Yleiset ja yhteiset - asiasanat</vt:lpwstr>
  </property>
  <property fmtid="{D5CDD505-2E9C-101B-9397-08002B2CF9AE}" pid="55" name="tweb_doc_securityperiodstart">
    <vt:lpwstr/>
  </property>
  <property fmtid="{D5CDD505-2E9C-101B-9397-08002B2CF9AE}" pid="56" name="tweb_doc_decisionnumber">
    <vt:lpwstr/>
  </property>
  <property fmtid="{D5CDD505-2E9C-101B-9397-08002B2CF9AE}" pid="57" name="tweb_doc_decisionyear">
    <vt:lpwstr>0</vt:lpwstr>
  </property>
  <property fmtid="{D5CDD505-2E9C-101B-9397-08002B2CF9AE}" pid="58" name="tweb_doc_agent_type">
    <vt:lpwstr>Osapuoli, rooli</vt:lpwstr>
  </property>
  <property fmtid="{D5CDD505-2E9C-101B-9397-08002B2CF9AE}" pid="59" name="tweb_doc_agent_personalname">
    <vt:lpwstr>Osapuoli, henkilö</vt:lpwstr>
  </property>
  <property fmtid="{D5CDD505-2E9C-101B-9397-08002B2CF9AE}" pid="60" name="tweb_doc_agent_corporatename">
    <vt:lpwstr>Osapuoli, yhteisö</vt:lpwstr>
  </property>
  <property fmtid="{D5CDD505-2E9C-101B-9397-08002B2CF9AE}" pid="61" name="tweb_doc_agent_ssn">
    <vt:lpwstr>Osapuoli, hetu</vt:lpwstr>
  </property>
  <property fmtid="{D5CDD505-2E9C-101B-9397-08002B2CF9AE}" pid="62" name="tweb_doc_agent_street">
    <vt:lpwstr>Osapuoli, lähiosoite</vt:lpwstr>
  </property>
  <property fmtid="{D5CDD505-2E9C-101B-9397-08002B2CF9AE}" pid="63" name="tweb_doc_agent_postcode">
    <vt:lpwstr>Osapuoli, postinumero</vt:lpwstr>
  </property>
  <property fmtid="{D5CDD505-2E9C-101B-9397-08002B2CF9AE}" pid="64" name="tweb_doc_agent_city">
    <vt:lpwstr>Osapuoli, postitoimipaikka</vt:lpwstr>
  </property>
  <property fmtid="{D5CDD505-2E9C-101B-9397-08002B2CF9AE}" pid="65" name="tweb_doc_agent_telephone">
    <vt:lpwstr>Osapuoli, puhelin</vt:lpwstr>
  </property>
  <property fmtid="{D5CDD505-2E9C-101B-9397-08002B2CF9AE}" pid="66" name="tweb_doc_agent_telefax">
    <vt:lpwstr>Osapuoli, fax</vt:lpwstr>
  </property>
  <property fmtid="{D5CDD505-2E9C-101B-9397-08002B2CF9AE}" pid="67" name="tweb_doc_agent_email">
    <vt:lpwstr>Osapuoli, sähköposti</vt:lpwstr>
  </property>
  <property fmtid="{D5CDD505-2E9C-101B-9397-08002B2CF9AE}" pid="68" name="tweb_doc_agent_www">
    <vt:lpwstr>Osapuoli, www</vt:lpwstr>
  </property>
  <property fmtid="{D5CDD505-2E9C-101B-9397-08002B2CF9AE}" pid="69" name="tweb_doc_presenter">
    <vt:lpwstr/>
  </property>
  <property fmtid="{D5CDD505-2E9C-101B-9397-08002B2CF9AE}" pid="70" name="tweb_doc_solver">
    <vt:lpwstr/>
  </property>
  <property fmtid="{D5CDD505-2E9C-101B-9397-08002B2CF9AE}" pid="71" name="tweb_doc_otherid">
    <vt:lpwstr/>
  </property>
  <property fmtid="{D5CDD505-2E9C-101B-9397-08002B2CF9AE}" pid="72" name="tweb_doc_deadline">
    <vt:lpwstr/>
  </property>
  <property fmtid="{D5CDD505-2E9C-101B-9397-08002B2CF9AE}" pid="73" name="tweb_doc_mamiversion">
    <vt:lpwstr>0.2</vt:lpwstr>
  </property>
  <property fmtid="{D5CDD505-2E9C-101B-9397-08002B2CF9AE}" pid="74" name="tweb_doc_atts">
    <vt:lpwstr/>
  </property>
  <property fmtid="{D5CDD505-2E9C-101B-9397-08002B2CF9AE}" pid="75" name="tweb_doc_eoperators">
    <vt:lpwstr/>
  </property>
  <property fmtid="{D5CDD505-2E9C-101B-9397-08002B2CF9AE}" pid="76" name="TwebKey">
    <vt:lpwstr>df30e77c93dbd995dd4da3d361be735e#sinkki.ad.kuluttajavirasto.fi!/TWeb/toaxfront!8080!0</vt:lpwstr>
  </property>
  <property fmtid="{D5CDD505-2E9C-101B-9397-08002B2CF9AE}" pid="77" name="tweb_doc_alternativetitle">
    <vt:lpwstr/>
  </property>
</Properties>
</file>