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D" w:rsidRDefault="00D2056D" w:rsidP="00956511">
      <w:pPr>
        <w:jc w:val="both"/>
        <w:rPr>
          <w:b/>
          <w:sz w:val="28"/>
        </w:rPr>
      </w:pPr>
      <w:r>
        <w:rPr>
          <w:b/>
          <w:sz w:val="28"/>
        </w:rPr>
        <w:t>TUTKE2-ohjausryhmä 1</w:t>
      </w:r>
      <w:r w:rsidR="003C499C">
        <w:rPr>
          <w:b/>
          <w:sz w:val="28"/>
        </w:rPr>
        <w:t>6</w:t>
      </w:r>
      <w:r>
        <w:rPr>
          <w:b/>
          <w:sz w:val="28"/>
        </w:rPr>
        <w:t>.</w:t>
      </w:r>
      <w:r w:rsidR="003C499C">
        <w:rPr>
          <w:b/>
          <w:sz w:val="28"/>
        </w:rPr>
        <w:t>10</w:t>
      </w:r>
      <w:r>
        <w:rPr>
          <w:b/>
          <w:sz w:val="28"/>
        </w:rPr>
        <w:t>.2013</w:t>
      </w:r>
    </w:p>
    <w:p w:rsidR="00956511" w:rsidRPr="00956511" w:rsidRDefault="003C499C" w:rsidP="00956511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Kuulemistilaisuudessa ja lausunnoissa esiin nousseet muutostarpeet</w:t>
      </w:r>
      <w:proofErr w:type="gramEnd"/>
    </w:p>
    <w:p w:rsidR="003C499C" w:rsidRPr="003C499C" w:rsidRDefault="003C499C" w:rsidP="003C499C">
      <w:pPr>
        <w:spacing w:after="0" w:line="240" w:lineRule="auto"/>
        <w:rPr>
          <w:b/>
        </w:rPr>
      </w:pPr>
      <w:r w:rsidRPr="003C499C">
        <w:rPr>
          <w:b/>
        </w:rPr>
        <w:t>Voimaantulo yhde</w:t>
      </w:r>
      <w:r w:rsidR="00BA3F55">
        <w:rPr>
          <w:b/>
        </w:rPr>
        <w:t>llä kertaa, 1.8.2014 liian pian</w:t>
      </w:r>
    </w:p>
    <w:p w:rsidR="003C499C" w:rsidRDefault="003C499C" w:rsidP="003C499C">
      <w:pPr>
        <w:pStyle w:val="Eivli"/>
        <w:numPr>
          <w:ilvl w:val="0"/>
          <w:numId w:val="1"/>
        </w:numPr>
      </w:pPr>
      <w:r>
        <w:t xml:space="preserve">Voimaantulo yhdellä kertaa helpottaa </w:t>
      </w:r>
      <w:r w:rsidR="00BA3F55">
        <w:t xml:space="preserve">huomattavasti </w:t>
      </w:r>
      <w:r>
        <w:t>koulutuksen järjestäjien toimintaa</w:t>
      </w:r>
      <w:r w:rsidR="00BA3F55">
        <w:t xml:space="preserve"> ja vähentää päällekkäistä työtä</w:t>
      </w:r>
      <w:r>
        <w:t>.</w:t>
      </w:r>
    </w:p>
    <w:p w:rsidR="003C499C" w:rsidRDefault="003C499C" w:rsidP="003C499C">
      <w:pPr>
        <w:pStyle w:val="Eivli"/>
        <w:numPr>
          <w:ilvl w:val="0"/>
          <w:numId w:val="1"/>
        </w:numPr>
      </w:pPr>
      <w:r>
        <w:t>Elokuu 2014 on liian pian yhteisiä tutkinnon osia koskevien perustemääräysten valmistelun</w:t>
      </w:r>
      <w:r w:rsidR="00D30A82">
        <w:t>, uudi</w:t>
      </w:r>
      <w:r w:rsidR="00D30A82">
        <w:t>s</w:t>
      </w:r>
      <w:r w:rsidR="00D30A82">
        <w:t xml:space="preserve">tusten </w:t>
      </w:r>
      <w:r>
        <w:t xml:space="preserve">toimeenpanon </w:t>
      </w:r>
      <w:r w:rsidR="00D30A82">
        <w:t xml:space="preserve">ja </w:t>
      </w:r>
      <w:r>
        <w:t>perusopetuksen opinto-ohjauksen näkökulmasta.</w:t>
      </w:r>
    </w:p>
    <w:p w:rsidR="003C499C" w:rsidRDefault="003C499C" w:rsidP="003C499C">
      <w:pPr>
        <w:pStyle w:val="Eivli"/>
        <w:numPr>
          <w:ilvl w:val="0"/>
          <w:numId w:val="1"/>
        </w:numPr>
        <w:rPr>
          <w:color w:val="FF0000"/>
        </w:rPr>
      </w:pPr>
      <w:r w:rsidRPr="00593C65">
        <w:rPr>
          <w:color w:val="FF0000"/>
        </w:rPr>
        <w:t>TUTKE2-työryhmä esittää</w:t>
      </w:r>
      <w:r w:rsidR="00D30A82" w:rsidRPr="00593C65">
        <w:rPr>
          <w:color w:val="FF0000"/>
        </w:rPr>
        <w:t>, että kaikki esitetyt säädösmuuto</w:t>
      </w:r>
      <w:r w:rsidR="00971E58" w:rsidRPr="00593C65">
        <w:rPr>
          <w:color w:val="FF0000"/>
        </w:rPr>
        <w:t>k</w:t>
      </w:r>
      <w:r w:rsidR="00D30A82" w:rsidRPr="00593C65">
        <w:rPr>
          <w:color w:val="FF0000"/>
        </w:rPr>
        <w:t xml:space="preserve">set tulevat voimaan yhdellä kertaa </w:t>
      </w:r>
      <w:r w:rsidR="004C070B" w:rsidRPr="00593C65">
        <w:rPr>
          <w:color w:val="FF0000"/>
        </w:rPr>
        <w:t>1.8.2015</w:t>
      </w:r>
      <w:r w:rsidRPr="00593C65">
        <w:rPr>
          <w:color w:val="FF0000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A276A" w:rsidTr="002A276A">
        <w:tc>
          <w:tcPr>
            <w:tcW w:w="4889" w:type="dxa"/>
          </w:tcPr>
          <w:p w:rsidR="002A276A" w:rsidRDefault="002A276A" w:rsidP="002A276A">
            <w:pPr>
              <w:pStyle w:val="Eivli"/>
              <w:rPr>
                <w:color w:val="FF0000"/>
              </w:rPr>
            </w:pPr>
          </w:p>
        </w:tc>
        <w:tc>
          <w:tcPr>
            <w:tcW w:w="4889" w:type="dxa"/>
          </w:tcPr>
          <w:p w:rsidR="002A276A" w:rsidRDefault="002A276A" w:rsidP="002A276A">
            <w:pPr>
              <w:pStyle w:val="LLNormaali"/>
              <w:jc w:val="center"/>
            </w:pPr>
            <w:r>
              <w:t>———</w:t>
            </w:r>
          </w:p>
          <w:p w:rsidR="002A276A" w:rsidRDefault="002A276A" w:rsidP="002A276A">
            <w:pPr>
              <w:spacing w:line="220" w:lineRule="exact"/>
              <w:ind w:firstLine="170"/>
              <w:jc w:val="both"/>
              <w:rPr>
                <w:rStyle w:val="LLKursivointi"/>
              </w:rPr>
            </w:pPr>
          </w:p>
          <w:p w:rsidR="002A276A" w:rsidRDefault="002A276A" w:rsidP="002A276A">
            <w:pPr>
              <w:spacing w:line="220" w:lineRule="exact"/>
              <w:ind w:firstLine="170"/>
              <w:jc w:val="both"/>
              <w:rPr>
                <w:rStyle w:val="LLKursivointi"/>
              </w:rPr>
            </w:pPr>
            <w:r>
              <w:rPr>
                <w:rStyle w:val="LLKursivointi"/>
              </w:rPr>
              <w:t xml:space="preserve">Tämä laki tulee voimaan </w:t>
            </w:r>
            <w:r w:rsidRPr="002A276A">
              <w:rPr>
                <w:rStyle w:val="LLKursivointi"/>
                <w:highlight w:val="yellow"/>
              </w:rPr>
              <w:t>1 päivänä eloku</w:t>
            </w:r>
            <w:r w:rsidRPr="002A276A">
              <w:rPr>
                <w:rStyle w:val="LLKursivointi"/>
                <w:highlight w:val="yellow"/>
              </w:rPr>
              <w:t>u</w:t>
            </w:r>
            <w:r w:rsidRPr="002A276A">
              <w:rPr>
                <w:rStyle w:val="LLKursivointi"/>
                <w:highlight w:val="yellow"/>
              </w:rPr>
              <w:t>ta 2015</w:t>
            </w:r>
            <w:r>
              <w:rPr>
                <w:rStyle w:val="LLKursivointi"/>
              </w:rPr>
              <w:t>.</w:t>
            </w:r>
          </w:p>
          <w:p w:rsidR="002A276A" w:rsidRDefault="002A276A" w:rsidP="002A276A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r w:rsidRPr="00F732F9">
              <w:rPr>
                <w:i/>
                <w:sz w:val="22"/>
              </w:rPr>
              <w:t xml:space="preserve">Opetushallituksen tulee määrätä </w:t>
            </w:r>
            <w:r w:rsidRPr="002A276A">
              <w:rPr>
                <w:i/>
                <w:sz w:val="22"/>
                <w:highlight w:val="yellow"/>
              </w:rPr>
              <w:t>tutkinnon osien laajuuksista osaamispisteinä sekä yhteisistä tutki</w:t>
            </w:r>
            <w:r w:rsidRPr="002A276A">
              <w:rPr>
                <w:i/>
                <w:sz w:val="22"/>
                <w:highlight w:val="yellow"/>
              </w:rPr>
              <w:t>n</w:t>
            </w:r>
            <w:r w:rsidRPr="002A276A">
              <w:rPr>
                <w:i/>
                <w:sz w:val="22"/>
                <w:highlight w:val="yellow"/>
              </w:rPr>
              <w:t>non osista siten, että koulutu</w:t>
            </w:r>
            <w:r w:rsidRPr="002A276A">
              <w:rPr>
                <w:i/>
                <w:sz w:val="22"/>
                <w:highlight w:val="yellow"/>
              </w:rPr>
              <w:t>k</w:t>
            </w:r>
            <w:r w:rsidRPr="002A276A">
              <w:rPr>
                <w:i/>
                <w:sz w:val="22"/>
                <w:highlight w:val="yellow"/>
              </w:rPr>
              <w:t>sen järjestäjät voivat ottaa osaamispisteet ja uudet opetussuunnitelmat käyttöön 1 päivänä elokuuta 2015</w:t>
            </w:r>
            <w:r w:rsidRPr="00F732F9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</w:p>
          <w:p w:rsidR="002A276A" w:rsidRDefault="002A276A" w:rsidP="002A276A">
            <w:pPr>
              <w:pStyle w:val="Eivli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2A276A" w:rsidRPr="00593C65" w:rsidRDefault="002A276A" w:rsidP="002A276A">
      <w:pPr>
        <w:pStyle w:val="Eivli"/>
        <w:rPr>
          <w:color w:val="FF0000"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  <w:r w:rsidRPr="003C499C">
        <w:rPr>
          <w:b/>
        </w:rPr>
        <w:t>Voimaantulo kaikille opiskelijoille yhtä aikaa</w:t>
      </w:r>
    </w:p>
    <w:p w:rsidR="00BA3F55" w:rsidRDefault="003C499C" w:rsidP="003C499C">
      <w:pPr>
        <w:pStyle w:val="Eivli"/>
        <w:numPr>
          <w:ilvl w:val="0"/>
          <w:numId w:val="1"/>
        </w:numPr>
      </w:pPr>
      <w:r>
        <w:t>Voimaantulo yh</w:t>
      </w:r>
      <w:r w:rsidR="00D30A82">
        <w:t>tä aikaa</w:t>
      </w:r>
      <w:r>
        <w:t xml:space="preserve"> kaikille opiskelijoille </w:t>
      </w:r>
      <w:r w:rsidR="00BA3F55" w:rsidRPr="00BA3F55">
        <w:t>(aiemmin aloittaneet + syksyllä 2015 aloittavat)</w:t>
      </w:r>
      <w:r w:rsidR="00BA3F55" w:rsidRPr="003C499C">
        <w:rPr>
          <w:b/>
        </w:rPr>
        <w:t xml:space="preserve"> </w:t>
      </w:r>
      <w:r>
        <w:t>he</w:t>
      </w:r>
      <w:r>
        <w:t>l</w:t>
      </w:r>
      <w:r>
        <w:t>pottaa koulutuksen järjestäjien toimintaa</w:t>
      </w:r>
      <w:r w:rsidR="00BA3F55">
        <w:t xml:space="preserve"> ja vähentää kustannuksia</w:t>
      </w:r>
      <w:r w:rsidR="00D30A82">
        <w:t xml:space="preserve">. Koulutuksen järjestäjien </w:t>
      </w:r>
      <w:r w:rsidR="00BA3F55">
        <w:t>ei ta</w:t>
      </w:r>
      <w:r w:rsidR="00BA3F55">
        <w:t>r</w:t>
      </w:r>
      <w:r w:rsidR="00BA3F55">
        <w:t>vitse ylläpitää kahta rinnakkaista laajuusmittajärjestelmää.</w:t>
      </w:r>
    </w:p>
    <w:p w:rsidR="003C499C" w:rsidRDefault="00971E58" w:rsidP="003C499C">
      <w:pPr>
        <w:pStyle w:val="Eivli"/>
        <w:numPr>
          <w:ilvl w:val="0"/>
          <w:numId w:val="1"/>
        </w:numPr>
      </w:pPr>
      <w:r>
        <w:t>Voimaantulo yhtä aikaa kaikille opiskelijoille v</w:t>
      </w:r>
      <w:r w:rsidR="003C499C">
        <w:t xml:space="preserve">oi olla </w:t>
      </w:r>
      <w:r>
        <w:t xml:space="preserve">ongelmallinen </w:t>
      </w:r>
      <w:r w:rsidR="00D30A82">
        <w:t xml:space="preserve">ennen 1.8.2013 aloittaneille </w:t>
      </w:r>
      <w:r w:rsidR="003C499C">
        <w:t>opiskelijoi</w:t>
      </w:r>
      <w:r w:rsidR="00D30A82">
        <w:t>lle</w:t>
      </w:r>
      <w:r w:rsidR="003C499C">
        <w:t>.</w:t>
      </w:r>
    </w:p>
    <w:p w:rsidR="003C499C" w:rsidRDefault="003C499C" w:rsidP="003C499C">
      <w:pPr>
        <w:pStyle w:val="Eivli"/>
        <w:numPr>
          <w:ilvl w:val="0"/>
          <w:numId w:val="1"/>
        </w:numPr>
        <w:rPr>
          <w:color w:val="FF0000"/>
        </w:rPr>
      </w:pPr>
      <w:r w:rsidRPr="00BA3F55">
        <w:rPr>
          <w:color w:val="FF0000"/>
        </w:rPr>
        <w:t xml:space="preserve">TUTKE2-työryhmä esittää, että siirtymäsäännöksiä muutetaan niin, että ennen 1.8.2015 aloittaneet opiskelijat voivat </w:t>
      </w:r>
      <w:r w:rsidR="004C070B" w:rsidRPr="00BA3F55">
        <w:rPr>
          <w:color w:val="FF0000"/>
        </w:rPr>
        <w:t xml:space="preserve">31.7.2017 saakka suorittaa tutkinnon loppuun aiempien tutkinnon perusteiden mukaisesti </w:t>
      </w:r>
      <w:r w:rsidR="00971E58">
        <w:rPr>
          <w:color w:val="FF0000"/>
        </w:rPr>
        <w:t xml:space="preserve">siten, että </w:t>
      </w:r>
      <w:r w:rsidR="00BA3F55">
        <w:rPr>
          <w:color w:val="FF0000"/>
        </w:rPr>
        <w:t xml:space="preserve">myös </w:t>
      </w:r>
      <w:r w:rsidR="004C070B" w:rsidRPr="00BA3F55">
        <w:rPr>
          <w:color w:val="FF0000"/>
        </w:rPr>
        <w:t xml:space="preserve">laajuusmitta on aiempien perusteiden mukainen </w:t>
      </w:r>
      <w:r w:rsidR="00971E58">
        <w:rPr>
          <w:color w:val="FF0000"/>
        </w:rPr>
        <w:t>opintoviikko</w:t>
      </w:r>
      <w:r w:rsidR="004C070B" w:rsidRPr="00BA3F55">
        <w:rPr>
          <w:color w:val="FF0000"/>
        </w:rPr>
        <w:t>. Opiskel</w:t>
      </w:r>
      <w:r w:rsidR="004C070B" w:rsidRPr="00BA3F55">
        <w:rPr>
          <w:color w:val="FF0000"/>
        </w:rPr>
        <w:t>i</w:t>
      </w:r>
      <w:r w:rsidR="004C070B" w:rsidRPr="00BA3F55">
        <w:rPr>
          <w:color w:val="FF0000"/>
        </w:rPr>
        <w:t xml:space="preserve">jalla on </w:t>
      </w:r>
      <w:r w:rsidR="00BA3F55">
        <w:rPr>
          <w:color w:val="FF0000"/>
        </w:rPr>
        <w:t xml:space="preserve">halutessaan </w:t>
      </w:r>
      <w:r w:rsidR="004C070B" w:rsidRPr="00BA3F55">
        <w:rPr>
          <w:color w:val="FF0000"/>
        </w:rPr>
        <w:t>oikeus siirtyä uuteen järjestelmään (</w:t>
      </w:r>
      <w:r w:rsidR="00971E58">
        <w:rPr>
          <w:color w:val="FF0000"/>
        </w:rPr>
        <w:t xml:space="preserve">= uudet tutkinnon </w:t>
      </w:r>
      <w:proofErr w:type="gramStart"/>
      <w:r w:rsidR="00971E58">
        <w:rPr>
          <w:color w:val="FF0000"/>
        </w:rPr>
        <w:t>perusteet  +</w:t>
      </w:r>
      <w:proofErr w:type="gramEnd"/>
      <w:r w:rsidR="00971E58">
        <w:rPr>
          <w:color w:val="FF0000"/>
        </w:rPr>
        <w:t xml:space="preserve"> laajuusmi</w:t>
      </w:r>
      <w:r w:rsidR="00971E58">
        <w:rPr>
          <w:color w:val="FF0000"/>
        </w:rPr>
        <w:t>t</w:t>
      </w:r>
      <w:r w:rsidR="00971E58">
        <w:rPr>
          <w:color w:val="FF0000"/>
        </w:rPr>
        <w:t xml:space="preserve">tana </w:t>
      </w:r>
      <w:r w:rsidR="004C070B" w:rsidRPr="00BA3F55">
        <w:rPr>
          <w:color w:val="FF0000"/>
        </w:rPr>
        <w:t>osaamispisteet</w:t>
      </w:r>
      <w:r w:rsidR="00BA3F55">
        <w:rPr>
          <w:color w:val="FF0000"/>
        </w:rPr>
        <w:t>)</w:t>
      </w:r>
      <w:r w:rsidR="002A276A">
        <w:rPr>
          <w:color w:val="FF0000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A276A" w:rsidTr="002A276A">
        <w:tc>
          <w:tcPr>
            <w:tcW w:w="4889" w:type="dxa"/>
          </w:tcPr>
          <w:p w:rsidR="002A276A" w:rsidRDefault="002A276A" w:rsidP="002A276A">
            <w:pPr>
              <w:pStyle w:val="Eivli"/>
              <w:rPr>
                <w:color w:val="FF0000"/>
              </w:rPr>
            </w:pPr>
          </w:p>
        </w:tc>
        <w:tc>
          <w:tcPr>
            <w:tcW w:w="4889" w:type="dxa"/>
          </w:tcPr>
          <w:p w:rsidR="002A276A" w:rsidRDefault="002A276A" w:rsidP="002A276A">
            <w:pPr>
              <w:pStyle w:val="Eivli"/>
              <w:rPr>
                <w:color w:val="FF0000"/>
              </w:rPr>
            </w:pPr>
          </w:p>
          <w:p w:rsidR="002A276A" w:rsidRDefault="002A276A" w:rsidP="002A276A">
            <w:pPr>
              <w:pStyle w:val="LLNormaali"/>
              <w:jc w:val="center"/>
            </w:pPr>
            <w:r>
              <w:t>———</w:t>
            </w:r>
          </w:p>
          <w:p w:rsidR="002A276A" w:rsidRDefault="002A276A" w:rsidP="002A276A">
            <w:pPr>
              <w:pStyle w:val="Eivli"/>
              <w:rPr>
                <w:color w:val="FF0000"/>
              </w:rPr>
            </w:pPr>
          </w:p>
          <w:p w:rsidR="002A276A" w:rsidRDefault="002A276A" w:rsidP="002A276A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r w:rsidRPr="002A276A">
              <w:rPr>
                <w:i/>
                <w:sz w:val="22"/>
                <w:highlight w:val="yellow"/>
              </w:rPr>
              <w:t>Jos opiskelija on aloittanut tutkinnon suorittam</w:t>
            </w:r>
            <w:r w:rsidRPr="002A276A">
              <w:rPr>
                <w:i/>
                <w:sz w:val="22"/>
                <w:highlight w:val="yellow"/>
              </w:rPr>
              <w:t>i</w:t>
            </w:r>
            <w:r w:rsidRPr="002A276A">
              <w:rPr>
                <w:i/>
                <w:sz w:val="22"/>
                <w:highlight w:val="yellow"/>
              </w:rPr>
              <w:t>sen ennen 1 päivää elokuuta 2015, hänellä on oikeus vali</w:t>
            </w:r>
            <w:r w:rsidRPr="002A276A">
              <w:rPr>
                <w:i/>
                <w:sz w:val="22"/>
                <w:highlight w:val="yellow"/>
              </w:rPr>
              <w:t>n</w:t>
            </w:r>
            <w:r w:rsidRPr="002A276A">
              <w:rPr>
                <w:i/>
                <w:sz w:val="22"/>
                <w:highlight w:val="yellow"/>
              </w:rPr>
              <w:t>tansa mukaan siirtyä opiskelemaan tämän lain ja sen nojalla annettavien säännösten ja määräysten mukaan tai jatkaa tutkinnon su</w:t>
            </w:r>
            <w:r w:rsidRPr="002A276A">
              <w:rPr>
                <w:i/>
                <w:sz w:val="22"/>
                <w:highlight w:val="yellow"/>
              </w:rPr>
              <w:t>o</w:t>
            </w:r>
            <w:r w:rsidRPr="002A276A">
              <w:rPr>
                <w:i/>
                <w:sz w:val="22"/>
                <w:highlight w:val="yellow"/>
              </w:rPr>
              <w:t>rittamista ennen tämän lain voimaantuloa voimassa olleiden sää</w:t>
            </w:r>
            <w:r w:rsidRPr="002A276A">
              <w:rPr>
                <w:i/>
                <w:sz w:val="22"/>
                <w:highlight w:val="yellow"/>
              </w:rPr>
              <w:t>n</w:t>
            </w:r>
            <w:r w:rsidRPr="002A276A">
              <w:rPr>
                <w:i/>
                <w:sz w:val="22"/>
                <w:highlight w:val="yellow"/>
              </w:rPr>
              <w:t>nösten ja määräysten mukaan. Opiskelija siirtyy kuitenkin jatk</w:t>
            </w:r>
            <w:r w:rsidRPr="002A276A">
              <w:rPr>
                <w:i/>
                <w:sz w:val="22"/>
                <w:highlight w:val="yellow"/>
              </w:rPr>
              <w:t>a</w:t>
            </w:r>
            <w:r w:rsidRPr="002A276A">
              <w:rPr>
                <w:i/>
                <w:sz w:val="22"/>
                <w:highlight w:val="yellow"/>
              </w:rPr>
              <w:t>maan opintojaan tämän lain ja sen nojalla annettavien säännösten ja määräysten m</w:t>
            </w:r>
            <w:r w:rsidRPr="002A276A">
              <w:rPr>
                <w:i/>
                <w:sz w:val="22"/>
                <w:highlight w:val="yellow"/>
              </w:rPr>
              <w:t>u</w:t>
            </w:r>
            <w:r w:rsidRPr="002A276A">
              <w:rPr>
                <w:i/>
                <w:sz w:val="22"/>
                <w:highlight w:val="yellow"/>
              </w:rPr>
              <w:t>kaan, jollei hän ole suorittanut tutkintoaan viimei</w:t>
            </w:r>
            <w:r w:rsidRPr="002A276A">
              <w:rPr>
                <w:i/>
                <w:sz w:val="22"/>
                <w:highlight w:val="yellow"/>
              </w:rPr>
              <w:t>s</w:t>
            </w:r>
            <w:r w:rsidRPr="002A276A">
              <w:rPr>
                <w:i/>
                <w:sz w:val="22"/>
                <w:highlight w:val="yellow"/>
              </w:rPr>
              <w:t>tään 31 päivänä heinäkuuta 2017. Opetushallitus määrää siirtymiseen liittyvistä järjestelyistä.</w:t>
            </w:r>
          </w:p>
          <w:p w:rsidR="002A276A" w:rsidRDefault="002A276A" w:rsidP="002A276A">
            <w:pPr>
              <w:pStyle w:val="Eivli"/>
              <w:rPr>
                <w:color w:val="FF0000"/>
              </w:rPr>
            </w:pPr>
          </w:p>
        </w:tc>
      </w:tr>
    </w:tbl>
    <w:p w:rsidR="002A276A" w:rsidRPr="00BA3F55" w:rsidRDefault="002A276A" w:rsidP="002A276A">
      <w:pPr>
        <w:pStyle w:val="Eivli"/>
        <w:rPr>
          <w:color w:val="FF0000"/>
        </w:rPr>
      </w:pPr>
    </w:p>
    <w:p w:rsidR="00BA3F55" w:rsidRDefault="00BA3F55" w:rsidP="003C499C">
      <w:pPr>
        <w:spacing w:after="0" w:line="240" w:lineRule="auto"/>
        <w:rPr>
          <w:b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  <w:r w:rsidRPr="003C499C">
        <w:rPr>
          <w:b/>
        </w:rPr>
        <w:t>Yrittäjyyden edistäminen lisättävä koulutuksen tarkoitukseen (</w:t>
      </w:r>
      <w:r w:rsidR="000973F3">
        <w:rPr>
          <w:b/>
        </w:rPr>
        <w:t xml:space="preserve">L </w:t>
      </w:r>
      <w:r w:rsidRPr="003C499C">
        <w:rPr>
          <w:b/>
        </w:rPr>
        <w:t>2 §)</w:t>
      </w:r>
    </w:p>
    <w:p w:rsidR="004C070B" w:rsidRDefault="00971E58" w:rsidP="004C070B">
      <w:pPr>
        <w:pStyle w:val="Eivli"/>
        <w:numPr>
          <w:ilvl w:val="0"/>
          <w:numId w:val="1"/>
        </w:numPr>
        <w:rPr>
          <w:color w:val="FF0000"/>
        </w:rPr>
      </w:pPr>
      <w:r w:rsidRPr="00593C65">
        <w:rPr>
          <w:color w:val="FF0000"/>
        </w:rPr>
        <w:t>TUTKE2-työryhmä esittää, että m</w:t>
      </w:r>
      <w:r w:rsidR="004C070B" w:rsidRPr="00593C65">
        <w:rPr>
          <w:color w:val="FF0000"/>
        </w:rPr>
        <w:t>uutetaan ammatillisesta peruskoulutuksesta annetun lain 2 §:ää niin, että koulutuksen tarkoituksena on edistää työllisyyttä ja yrittäjyyttä</w:t>
      </w:r>
      <w:r w:rsidR="004C070B" w:rsidRPr="00593C65">
        <w:rPr>
          <w:b/>
          <w:color w:val="FF0000"/>
        </w:rPr>
        <w:t xml:space="preserve"> </w:t>
      </w:r>
      <w:r w:rsidR="004C070B" w:rsidRPr="00593C65">
        <w:rPr>
          <w:color w:val="FF0000"/>
        </w:rPr>
        <w:t>sekä tukea elinikäistä o</w:t>
      </w:r>
      <w:r w:rsidR="004C070B" w:rsidRPr="00593C65">
        <w:rPr>
          <w:color w:val="FF0000"/>
        </w:rPr>
        <w:t>p</w:t>
      </w:r>
      <w:r w:rsidR="004C070B" w:rsidRPr="00593C65">
        <w:rPr>
          <w:color w:val="FF0000"/>
        </w:rPr>
        <w:t>pimista.</w:t>
      </w:r>
    </w:p>
    <w:p w:rsidR="00424FF0" w:rsidRDefault="00424FF0" w:rsidP="00424FF0">
      <w:pPr>
        <w:pStyle w:val="Eivli"/>
        <w:ind w:left="720"/>
        <w:rPr>
          <w:color w:val="FF000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3"/>
        <w:gridCol w:w="4243"/>
      </w:tblGrid>
      <w:tr w:rsidR="002A276A" w:rsidRPr="00F732F9" w:rsidTr="00C84929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  <w:jc w:val="center"/>
              <w:rPr>
                <w:sz w:val="22"/>
              </w:rPr>
            </w:pPr>
            <w:bookmarkStart w:id="0" w:name="P2"/>
          </w:p>
          <w:p w:rsidR="002A276A" w:rsidRPr="00F732F9" w:rsidRDefault="002A276A" w:rsidP="00C84929">
            <w:pPr>
              <w:spacing w:line="220" w:lineRule="exact"/>
              <w:jc w:val="center"/>
              <w:rPr>
                <w:sz w:val="22"/>
              </w:rPr>
            </w:pPr>
            <w:hyperlink r:id="rId6" w:anchor="a630-1998" w:tooltip="Linkki voimaantulosäännökseen" w:history="1">
              <w:r w:rsidRPr="00F732F9">
                <w:rPr>
                  <w:sz w:val="22"/>
                </w:rPr>
                <w:t>2</w:t>
              </w:r>
              <w:proofErr w:type="gramStart"/>
              <w:r w:rsidRPr="00F732F9">
                <w:rPr>
                  <w:sz w:val="22"/>
                </w:rPr>
                <w:t xml:space="preserve"> §</w:t>
              </w:r>
              <w:bookmarkEnd w:id="0"/>
            </w:hyperlink>
            <w:proofErr w:type="gramEnd"/>
          </w:p>
          <w:p w:rsidR="002A276A" w:rsidRPr="00F732F9" w:rsidRDefault="002A276A" w:rsidP="00C84929">
            <w:pPr>
              <w:spacing w:before="220" w:after="220" w:line="220" w:lineRule="exact"/>
              <w:jc w:val="center"/>
              <w:rPr>
                <w:i/>
                <w:sz w:val="22"/>
              </w:rPr>
            </w:pPr>
            <w:r w:rsidRPr="00F732F9">
              <w:rPr>
                <w:i/>
                <w:sz w:val="22"/>
              </w:rPr>
              <w:t>Koulutuksen tarkoitus</w:t>
            </w: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sz w:val="22"/>
              </w:rPr>
            </w:pPr>
            <w:r w:rsidRPr="00F732F9">
              <w:rPr>
                <w:sz w:val="22"/>
              </w:rPr>
              <w:t>Ammatillisen koulutuksen tarkoituksena on kohottaa väestön ammatillista osaamista, kehittää työelämää ja vastata sen osaamista</w:t>
            </w:r>
            <w:r w:rsidRPr="00F732F9">
              <w:rPr>
                <w:sz w:val="22"/>
              </w:rPr>
              <w:t>r</w:t>
            </w:r>
            <w:r w:rsidRPr="00F732F9">
              <w:rPr>
                <w:sz w:val="22"/>
              </w:rPr>
              <w:t>pe</w:t>
            </w:r>
            <w:r w:rsidRPr="00F732F9">
              <w:rPr>
                <w:sz w:val="22"/>
              </w:rPr>
              <w:t>i</w:t>
            </w:r>
            <w:r w:rsidRPr="00F732F9">
              <w:rPr>
                <w:sz w:val="22"/>
              </w:rPr>
              <w:t>ta sekä edistää työllisyyttä.</w:t>
            </w:r>
          </w:p>
          <w:p w:rsidR="002A276A" w:rsidRDefault="002A276A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2A276A" w:rsidRDefault="002A276A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  <w:jc w:val="center"/>
              <w:rPr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jc w:val="center"/>
              <w:rPr>
                <w:sz w:val="22"/>
              </w:rPr>
            </w:pPr>
            <w:hyperlink r:id="rId7" w:anchor="a630-1998" w:tooltip="Linkki voimaantulosäännökseen" w:history="1">
              <w:r w:rsidRPr="00F732F9">
                <w:rPr>
                  <w:sz w:val="22"/>
                </w:rPr>
                <w:t>2</w:t>
              </w:r>
              <w:proofErr w:type="gramStart"/>
              <w:r w:rsidRPr="00F732F9">
                <w:rPr>
                  <w:sz w:val="22"/>
                </w:rPr>
                <w:t xml:space="preserve"> §</w:t>
              </w:r>
            </w:hyperlink>
            <w:proofErr w:type="gramEnd"/>
          </w:p>
          <w:p w:rsidR="002A276A" w:rsidRPr="00F732F9" w:rsidRDefault="002A276A" w:rsidP="00C84929">
            <w:pPr>
              <w:spacing w:before="220" w:after="220" w:line="220" w:lineRule="exact"/>
              <w:jc w:val="center"/>
              <w:rPr>
                <w:i/>
                <w:sz w:val="22"/>
              </w:rPr>
            </w:pPr>
            <w:r w:rsidRPr="00F732F9">
              <w:rPr>
                <w:i/>
                <w:sz w:val="22"/>
              </w:rPr>
              <w:t xml:space="preserve">  Koulutuksen tarkoitus</w:t>
            </w: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sz w:val="22"/>
              </w:rPr>
            </w:pPr>
            <w:r w:rsidRPr="00F732F9">
              <w:rPr>
                <w:i/>
                <w:sz w:val="22"/>
              </w:rPr>
              <w:t>Tässä laissa tarkoitetun</w:t>
            </w:r>
            <w:r w:rsidRPr="00F732F9">
              <w:rPr>
                <w:sz w:val="22"/>
              </w:rPr>
              <w:t xml:space="preserve"> koulutuksen ta</w:t>
            </w:r>
            <w:r w:rsidRPr="00F732F9">
              <w:rPr>
                <w:sz w:val="22"/>
              </w:rPr>
              <w:t>r</w:t>
            </w:r>
            <w:r w:rsidRPr="00F732F9">
              <w:rPr>
                <w:sz w:val="22"/>
              </w:rPr>
              <w:t>koituksena on kohottaa väestön ammatillista osaamista, kehittää työelämää ja vastata sen osaamistarpei</w:t>
            </w:r>
            <w:r w:rsidRPr="00F732F9">
              <w:rPr>
                <w:i/>
                <w:sz w:val="22"/>
              </w:rPr>
              <w:t>siin</w:t>
            </w:r>
            <w:r w:rsidRPr="00F732F9">
              <w:rPr>
                <w:sz w:val="22"/>
              </w:rPr>
              <w:t xml:space="preserve"> sekä edistää työllisyyttä </w:t>
            </w:r>
            <w:r w:rsidRPr="00F732F9">
              <w:rPr>
                <w:i/>
                <w:sz w:val="22"/>
              </w:rPr>
              <w:t>ja</w:t>
            </w:r>
            <w:r>
              <w:rPr>
                <w:i/>
                <w:sz w:val="22"/>
              </w:rPr>
              <w:t xml:space="preserve"> </w:t>
            </w:r>
            <w:r w:rsidRPr="002A276A">
              <w:rPr>
                <w:i/>
                <w:sz w:val="22"/>
                <w:highlight w:val="yellow"/>
              </w:rPr>
              <w:t>yrittäjyyttä</w:t>
            </w:r>
            <w:r>
              <w:rPr>
                <w:i/>
                <w:sz w:val="22"/>
              </w:rPr>
              <w:t xml:space="preserve"> sekä</w:t>
            </w:r>
            <w:r w:rsidRPr="00F732F9">
              <w:rPr>
                <w:i/>
                <w:sz w:val="22"/>
              </w:rPr>
              <w:t xml:space="preserve"> tukea elinikäistä oppimista</w:t>
            </w:r>
            <w:r w:rsidRPr="00F732F9">
              <w:rPr>
                <w:sz w:val="22"/>
              </w:rPr>
              <w:t>.</w:t>
            </w:r>
          </w:p>
          <w:p w:rsidR="002A276A" w:rsidRPr="00F732F9" w:rsidRDefault="002A276A" w:rsidP="00C84929">
            <w:pPr>
              <w:spacing w:line="220" w:lineRule="exact"/>
              <w:rPr>
                <w:i/>
                <w:sz w:val="22"/>
              </w:rPr>
            </w:pPr>
          </w:p>
        </w:tc>
      </w:tr>
    </w:tbl>
    <w:p w:rsidR="002A276A" w:rsidRPr="00593C65" w:rsidRDefault="002A276A" w:rsidP="002A276A">
      <w:pPr>
        <w:pStyle w:val="Eivli"/>
        <w:rPr>
          <w:color w:val="FF0000"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  <w:proofErr w:type="gramStart"/>
      <w:r w:rsidRPr="003C499C">
        <w:rPr>
          <w:b/>
        </w:rPr>
        <w:t>Yhteisten tutkinnon osien kokoaminen laajemmiksi kokonaisuuksiksi hyvä asia.</w:t>
      </w:r>
      <w:proofErr w:type="gramEnd"/>
      <w:r w:rsidRPr="003C499C">
        <w:rPr>
          <w:b/>
        </w:rPr>
        <w:t xml:space="preserve"> Esitetään kuitenkin mu</w:t>
      </w:r>
      <w:r w:rsidRPr="003C499C">
        <w:rPr>
          <w:b/>
        </w:rPr>
        <w:t>u</w:t>
      </w:r>
      <w:r w:rsidRPr="003C499C">
        <w:rPr>
          <w:b/>
        </w:rPr>
        <w:t>toksia painotukseen (enemmän osaamispisteitä matemaattis-luonnontieteelliseen osaamiseen), pakoll</w:t>
      </w:r>
      <w:r w:rsidRPr="003C499C">
        <w:rPr>
          <w:b/>
        </w:rPr>
        <w:t>i</w:t>
      </w:r>
      <w:r w:rsidRPr="003C499C">
        <w:rPr>
          <w:b/>
        </w:rPr>
        <w:t>suuteen (taide ja kulttuuri pakolliseksi)</w:t>
      </w:r>
      <w:r w:rsidR="00D30A82">
        <w:rPr>
          <w:b/>
        </w:rPr>
        <w:t>, tutkinnon osien nimiin</w:t>
      </w:r>
      <w:r w:rsidRPr="003C499C">
        <w:rPr>
          <w:b/>
        </w:rPr>
        <w:t xml:space="preserve"> ja osa-alueiden sijoitteluun tutkinnon osien alle (kulttuurien tuntemus vieraiden kielten yhteyteen, tieto- ja viestintätekniikka viestintä- ja </w:t>
      </w:r>
      <w:proofErr w:type="gramStart"/>
      <w:r w:rsidRPr="003C499C">
        <w:rPr>
          <w:b/>
        </w:rPr>
        <w:t>vu</w:t>
      </w:r>
      <w:r w:rsidRPr="003C499C">
        <w:rPr>
          <w:b/>
        </w:rPr>
        <w:t>o</w:t>
      </w:r>
      <w:r w:rsidRPr="003C499C">
        <w:rPr>
          <w:b/>
        </w:rPr>
        <w:t>rovaikutusosaamiseen)  (</w:t>
      </w:r>
      <w:r w:rsidR="000973F3">
        <w:rPr>
          <w:b/>
        </w:rPr>
        <w:t>L</w:t>
      </w:r>
      <w:proofErr w:type="gramEnd"/>
      <w:r w:rsidR="000973F3">
        <w:rPr>
          <w:b/>
        </w:rPr>
        <w:t xml:space="preserve"> </w:t>
      </w:r>
      <w:r w:rsidRPr="003C499C">
        <w:rPr>
          <w:b/>
        </w:rPr>
        <w:t>12 a § ja uusi valtioneuvoston asetus ammatillisen perustutkinnon muodo</w:t>
      </w:r>
      <w:r w:rsidRPr="003C499C">
        <w:rPr>
          <w:b/>
        </w:rPr>
        <w:t>s</w:t>
      </w:r>
      <w:r w:rsidRPr="003C499C">
        <w:rPr>
          <w:b/>
        </w:rPr>
        <w:t>tumisesta)</w:t>
      </w:r>
    </w:p>
    <w:p w:rsidR="004C070B" w:rsidRDefault="004C070B" w:rsidP="004C070B">
      <w:pPr>
        <w:pStyle w:val="Eivli"/>
        <w:numPr>
          <w:ilvl w:val="0"/>
          <w:numId w:val="1"/>
        </w:numPr>
      </w:pPr>
      <w:r>
        <w:t>Yhteisiä tutkinnon osia koskevat muutosesitykset ovat keskenään vastakkaisia</w:t>
      </w:r>
      <w:r w:rsidR="00BA3F55">
        <w:t>,</w:t>
      </w:r>
      <w:r>
        <w:t xml:space="preserve"> ja niissä tarkaste</w:t>
      </w:r>
      <w:r>
        <w:t>l</w:t>
      </w:r>
      <w:r>
        <w:t xml:space="preserve">laan </w:t>
      </w:r>
      <w:r w:rsidR="00BA3F55">
        <w:t xml:space="preserve">tutkinnon osaa tai sen osa-alueita </w:t>
      </w:r>
      <w:r>
        <w:t>varsin kapeasti oman alan tai oppiaineen näkökulmasta.</w:t>
      </w:r>
    </w:p>
    <w:p w:rsidR="004C070B" w:rsidRPr="00BA3F55" w:rsidRDefault="004C070B" w:rsidP="004C070B">
      <w:pPr>
        <w:pStyle w:val="Eivli"/>
        <w:numPr>
          <w:ilvl w:val="0"/>
          <w:numId w:val="1"/>
        </w:numPr>
        <w:rPr>
          <w:color w:val="FF0000"/>
        </w:rPr>
      </w:pPr>
      <w:r w:rsidRPr="00BA3F55">
        <w:rPr>
          <w:color w:val="FF0000"/>
        </w:rPr>
        <w:t>TUTKE2-työryhmä esittää, että yhteiset tutkinnon osat pidetään ennallaan.</w:t>
      </w:r>
    </w:p>
    <w:p w:rsidR="003C499C" w:rsidRPr="003C499C" w:rsidRDefault="003C499C" w:rsidP="003C499C">
      <w:pPr>
        <w:spacing w:after="0" w:line="240" w:lineRule="auto"/>
        <w:rPr>
          <w:b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  <w:r w:rsidRPr="003C499C">
        <w:rPr>
          <w:b/>
        </w:rPr>
        <w:t>Lähiopetus ja opintojen ohjaus turvattava (</w:t>
      </w:r>
      <w:r w:rsidR="000973F3">
        <w:rPr>
          <w:b/>
        </w:rPr>
        <w:t xml:space="preserve">L </w:t>
      </w:r>
      <w:r w:rsidRPr="003C499C">
        <w:rPr>
          <w:b/>
        </w:rPr>
        <w:t xml:space="preserve">15 §, </w:t>
      </w:r>
      <w:r w:rsidR="000973F3">
        <w:rPr>
          <w:b/>
        </w:rPr>
        <w:t xml:space="preserve">L </w:t>
      </w:r>
      <w:r w:rsidRPr="003C499C">
        <w:rPr>
          <w:b/>
        </w:rPr>
        <w:t>29 §)</w:t>
      </w:r>
      <w:r w:rsidR="000973F3">
        <w:rPr>
          <w:b/>
        </w:rPr>
        <w:t>, opinto-ohjaus-termi ei sovellu aikuiskoulutu</w:t>
      </w:r>
      <w:r w:rsidR="000973F3">
        <w:rPr>
          <w:b/>
        </w:rPr>
        <w:t>k</w:t>
      </w:r>
      <w:r w:rsidR="000973F3">
        <w:rPr>
          <w:b/>
        </w:rPr>
        <w:t>seen (</w:t>
      </w:r>
      <w:proofErr w:type="spellStart"/>
      <w:r w:rsidR="000973F3">
        <w:rPr>
          <w:b/>
        </w:rPr>
        <w:t>aikL</w:t>
      </w:r>
      <w:proofErr w:type="spellEnd"/>
      <w:r w:rsidR="000973F3">
        <w:rPr>
          <w:b/>
        </w:rPr>
        <w:t xml:space="preserve"> 9 b §)</w:t>
      </w:r>
      <w:r w:rsidRPr="003C499C">
        <w:rPr>
          <w:b/>
        </w:rPr>
        <w:t>.</w:t>
      </w:r>
    </w:p>
    <w:p w:rsidR="000973F3" w:rsidRDefault="000973F3" w:rsidP="000973F3">
      <w:pPr>
        <w:pStyle w:val="Eivli"/>
        <w:numPr>
          <w:ilvl w:val="0"/>
          <w:numId w:val="1"/>
        </w:numPr>
      </w:pPr>
      <w:r>
        <w:t xml:space="preserve">Lähiopetuksen ja ohjauksen määrän pelätään vähenevän, jos sitä ei säädellä millään tavoin. </w:t>
      </w:r>
      <w:r w:rsidR="00971E58">
        <w:t>Lisäksi a</w:t>
      </w:r>
      <w:r>
        <w:t xml:space="preserve">mmatillisen peruskoulutuksen opiskelijat </w:t>
      </w:r>
      <w:r w:rsidR="00971E58">
        <w:t xml:space="preserve">ovat lähiopetuksen turvaamisen osalta </w:t>
      </w:r>
      <w:r>
        <w:t>eri asemassa kuin lukio</w:t>
      </w:r>
      <w:r w:rsidR="00971E58">
        <w:t>laiset</w:t>
      </w:r>
      <w:r>
        <w:t>.</w:t>
      </w:r>
    </w:p>
    <w:p w:rsidR="000973F3" w:rsidRPr="00BA3F55" w:rsidRDefault="000973F3" w:rsidP="000973F3">
      <w:pPr>
        <w:pStyle w:val="Eivli"/>
        <w:numPr>
          <w:ilvl w:val="0"/>
          <w:numId w:val="1"/>
        </w:numPr>
        <w:rPr>
          <w:color w:val="FF0000"/>
        </w:rPr>
      </w:pPr>
      <w:proofErr w:type="gramStart"/>
      <w:r w:rsidRPr="00BA3F55">
        <w:rPr>
          <w:color w:val="FF0000"/>
        </w:rPr>
        <w:t xml:space="preserve">TUTKE2-työryhmä esittää, että muutetaan L 29 §:n 1 momentin muotoilua niin, että </w:t>
      </w:r>
      <w:r w:rsidR="00971E58">
        <w:rPr>
          <w:color w:val="FF0000"/>
        </w:rPr>
        <w:t xml:space="preserve">siinä </w:t>
      </w:r>
      <w:r w:rsidRPr="00BA3F55">
        <w:rPr>
          <w:color w:val="FF0000"/>
        </w:rPr>
        <w:t xml:space="preserve">todetaan, että opiskelijalla on oikeus saada </w:t>
      </w:r>
      <w:r w:rsidR="00D30A82">
        <w:rPr>
          <w:color w:val="FF0000"/>
        </w:rPr>
        <w:t xml:space="preserve">opetusta, joka mahdollistaa </w:t>
      </w:r>
      <w:r w:rsidRPr="00BA3F55">
        <w:rPr>
          <w:color w:val="FF0000"/>
        </w:rPr>
        <w:t>tutkinnon perusteiden mukaisen ammattitaidon ja osaamistavoitteiden saavuttamisen.</w:t>
      </w:r>
      <w:proofErr w:type="gramEnd"/>
    </w:p>
    <w:p w:rsidR="000973F3" w:rsidRPr="002A276A" w:rsidRDefault="000973F3" w:rsidP="000973F3">
      <w:pPr>
        <w:pStyle w:val="Eivli"/>
        <w:numPr>
          <w:ilvl w:val="0"/>
          <w:numId w:val="1"/>
        </w:numPr>
      </w:pPr>
      <w:r w:rsidRPr="00BA3F55">
        <w:rPr>
          <w:color w:val="FF0000"/>
        </w:rPr>
        <w:t xml:space="preserve">TUTKE2-työryhmä esittää, että käytetään </w:t>
      </w:r>
      <w:proofErr w:type="spellStart"/>
      <w:r w:rsidRPr="00BA3F55">
        <w:rPr>
          <w:color w:val="FF0000"/>
        </w:rPr>
        <w:t>aikL</w:t>
      </w:r>
      <w:proofErr w:type="spellEnd"/>
      <w:r w:rsidRPr="00BA3F55">
        <w:rPr>
          <w:color w:val="FF0000"/>
        </w:rPr>
        <w:t xml:space="preserve"> 9 b §:ssä käsitettä </w:t>
      </w:r>
      <w:r w:rsidR="00D30A82">
        <w:rPr>
          <w:color w:val="FF0000"/>
        </w:rPr>
        <w:t>’</w:t>
      </w:r>
      <w:r w:rsidRPr="00BA3F55">
        <w:rPr>
          <w:color w:val="FF0000"/>
        </w:rPr>
        <w:t>opintojen ohjaus</w:t>
      </w:r>
      <w:r w:rsidR="00D30A82">
        <w:rPr>
          <w:color w:val="FF0000"/>
        </w:rPr>
        <w:t>’</w:t>
      </w:r>
      <w:r w:rsidRPr="00BA3F55">
        <w:rPr>
          <w:color w:val="FF0000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3"/>
        <w:gridCol w:w="4243"/>
      </w:tblGrid>
      <w:tr w:rsidR="002A276A" w:rsidRPr="00F732F9" w:rsidTr="00C84929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  <w:rPr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rPr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jc w:val="center"/>
              <w:rPr>
                <w:sz w:val="22"/>
              </w:rPr>
            </w:pPr>
            <w:hyperlink r:id="rId8" w:anchor="a630-1998" w:tooltip="Linkki voimaantulosäännökseen" w:history="1">
              <w:r w:rsidRPr="00F732F9">
                <w:rPr>
                  <w:sz w:val="22"/>
                </w:rPr>
                <w:t>29</w:t>
              </w:r>
              <w:proofErr w:type="gramStart"/>
              <w:r w:rsidRPr="00F732F9">
                <w:rPr>
                  <w:sz w:val="22"/>
                </w:rPr>
                <w:t xml:space="preserve"> §</w:t>
              </w:r>
            </w:hyperlink>
            <w:proofErr w:type="gramEnd"/>
          </w:p>
          <w:p w:rsidR="002A276A" w:rsidRPr="00F732F9" w:rsidRDefault="002A276A" w:rsidP="00C84929">
            <w:pPr>
              <w:spacing w:before="220" w:after="220" w:line="220" w:lineRule="exact"/>
              <w:jc w:val="center"/>
              <w:rPr>
                <w:i/>
                <w:sz w:val="22"/>
              </w:rPr>
            </w:pPr>
            <w:r w:rsidRPr="00F732F9">
              <w:rPr>
                <w:i/>
                <w:sz w:val="22"/>
              </w:rPr>
              <w:t>Oikeus saada opetusta</w:t>
            </w: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sz w:val="22"/>
              </w:rPr>
            </w:pPr>
            <w:r w:rsidRPr="00F732F9">
              <w:rPr>
                <w:sz w:val="22"/>
              </w:rPr>
              <w:t>Opiskelijalla on oikeus saada opetussuu</w:t>
            </w:r>
            <w:r w:rsidRPr="00F732F9">
              <w:rPr>
                <w:sz w:val="22"/>
              </w:rPr>
              <w:t>n</w:t>
            </w:r>
            <w:r w:rsidRPr="00F732F9">
              <w:rPr>
                <w:sz w:val="22"/>
              </w:rPr>
              <w:t>nitelman mukaista opetusta ja opinto-ohjausta.</w:t>
            </w:r>
          </w:p>
          <w:p w:rsidR="002A276A" w:rsidRPr="00D62C7E" w:rsidRDefault="002A276A" w:rsidP="00C84929">
            <w:pPr>
              <w:spacing w:line="220" w:lineRule="exact"/>
              <w:ind w:firstLine="170"/>
              <w:jc w:val="both"/>
              <w:rPr>
                <w:rStyle w:val="LLNormaaliKirjasin"/>
              </w:rPr>
            </w:pPr>
            <w:r w:rsidRPr="00D62C7E">
              <w:rPr>
                <w:rStyle w:val="LLNormaaliKirjasin"/>
              </w:rPr>
              <w:t>Opinto-ohjauksesta säädetään tarkemmin asetuksella.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  <w:rPr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rPr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jc w:val="center"/>
              <w:rPr>
                <w:sz w:val="22"/>
              </w:rPr>
            </w:pPr>
            <w:hyperlink r:id="rId9" w:anchor="a630-1998" w:tooltip="Linkki voimaantulosäännökseen" w:history="1">
              <w:r w:rsidRPr="00F732F9">
                <w:rPr>
                  <w:sz w:val="22"/>
                </w:rPr>
                <w:t>29</w:t>
              </w:r>
              <w:proofErr w:type="gramStart"/>
              <w:r w:rsidRPr="00F732F9">
                <w:rPr>
                  <w:sz w:val="22"/>
                </w:rPr>
                <w:t xml:space="preserve"> §</w:t>
              </w:r>
            </w:hyperlink>
            <w:proofErr w:type="gramEnd"/>
          </w:p>
          <w:p w:rsidR="002A276A" w:rsidRPr="00F732F9" w:rsidRDefault="002A276A" w:rsidP="00C84929">
            <w:pPr>
              <w:spacing w:before="220" w:after="220" w:line="220" w:lineRule="exact"/>
              <w:jc w:val="center"/>
              <w:rPr>
                <w:i/>
                <w:sz w:val="22"/>
              </w:rPr>
            </w:pPr>
            <w:r w:rsidRPr="00F732F9">
              <w:rPr>
                <w:i/>
                <w:sz w:val="22"/>
              </w:rPr>
              <w:t xml:space="preserve">Oikeus saada opetusta </w:t>
            </w:r>
            <w:r w:rsidRPr="00F732F9">
              <w:rPr>
                <w:b/>
                <w:i/>
                <w:sz w:val="22"/>
              </w:rPr>
              <w:t>ja opinto-ohjausta</w:t>
            </w: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sz w:val="22"/>
              </w:rPr>
            </w:pPr>
            <w:r w:rsidRPr="00F732F9">
              <w:rPr>
                <w:sz w:val="22"/>
              </w:rPr>
              <w:t>Opiskelijalla on oikeus saada</w:t>
            </w:r>
            <w:r>
              <w:rPr>
                <w:sz w:val="22"/>
              </w:rPr>
              <w:t xml:space="preserve"> </w:t>
            </w:r>
            <w:r w:rsidRPr="002A276A">
              <w:rPr>
                <w:i/>
                <w:sz w:val="22"/>
                <w:highlight w:val="yellow"/>
              </w:rPr>
              <w:t>opetusta, j</w:t>
            </w:r>
            <w:r w:rsidRPr="002A276A">
              <w:rPr>
                <w:i/>
                <w:sz w:val="22"/>
                <w:highlight w:val="yellow"/>
              </w:rPr>
              <w:t>o</w:t>
            </w:r>
            <w:r w:rsidRPr="002A276A">
              <w:rPr>
                <w:i/>
                <w:sz w:val="22"/>
                <w:highlight w:val="yellow"/>
              </w:rPr>
              <w:t>ka mahdollistaa tutkinnon perusteiden m</w:t>
            </w:r>
            <w:r w:rsidRPr="002A276A">
              <w:rPr>
                <w:i/>
                <w:sz w:val="22"/>
                <w:highlight w:val="yellow"/>
              </w:rPr>
              <w:t>u</w:t>
            </w:r>
            <w:r w:rsidRPr="002A276A">
              <w:rPr>
                <w:i/>
                <w:sz w:val="22"/>
                <w:highlight w:val="yellow"/>
              </w:rPr>
              <w:t>kaisten ammattitaitovaatimusten ja osaami</w:t>
            </w:r>
            <w:r w:rsidRPr="002A276A">
              <w:rPr>
                <w:i/>
                <w:sz w:val="22"/>
                <w:highlight w:val="yellow"/>
              </w:rPr>
              <w:t>s</w:t>
            </w:r>
            <w:r w:rsidRPr="002A276A">
              <w:rPr>
                <w:i/>
                <w:sz w:val="22"/>
                <w:highlight w:val="yellow"/>
              </w:rPr>
              <w:t>tavoitteiden saavuttamisen.</w:t>
            </w: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Opiskelijalla on oikeus saada opinto-ohjausta. </w:t>
            </w:r>
            <w:r w:rsidRPr="00F732F9">
              <w:rPr>
                <w:i/>
                <w:sz w:val="22"/>
              </w:rPr>
              <w:t>Opinto-ohjauksena opiskelijalle annetaan henkilökohtaista ja muuta tarpee</w:t>
            </w:r>
            <w:r w:rsidRPr="00F732F9">
              <w:rPr>
                <w:i/>
                <w:sz w:val="22"/>
              </w:rPr>
              <w:t>l</w:t>
            </w:r>
            <w:r w:rsidRPr="00F732F9">
              <w:rPr>
                <w:i/>
                <w:sz w:val="22"/>
              </w:rPr>
              <w:t>lista opintojen ohjausta. Opetushallitus voi antaa tarkempia määräyksiä opinto-ohjauksen tavoitteista ja järjestämisestä sekä henkilökohtaisesta opiskelusuunnitelmasta.</w:t>
            </w:r>
          </w:p>
          <w:p w:rsidR="002A276A" w:rsidRDefault="002A276A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424FF0" w:rsidRDefault="00424FF0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424FF0" w:rsidRDefault="00424FF0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424FF0" w:rsidRDefault="00424FF0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424FF0" w:rsidRDefault="00424FF0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</w:p>
          <w:p w:rsidR="00424FF0" w:rsidRPr="00F732F9" w:rsidRDefault="00424FF0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bookmarkStart w:id="1" w:name="_GoBack"/>
            <w:bookmarkEnd w:id="1"/>
          </w:p>
        </w:tc>
      </w:tr>
      <w:tr w:rsidR="002A276A" w:rsidRPr="00F732F9" w:rsidTr="00C84929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Default="002A276A" w:rsidP="00C84929">
            <w:pPr>
              <w:spacing w:line="220" w:lineRule="exact"/>
            </w:pPr>
          </w:p>
          <w:p w:rsidR="002A276A" w:rsidRPr="004C6298" w:rsidRDefault="002A276A" w:rsidP="002A276A">
            <w:pPr>
              <w:spacing w:line="220" w:lineRule="exact"/>
              <w:jc w:val="center"/>
              <w:rPr>
                <w:b/>
                <w:i/>
                <w:sz w:val="22"/>
              </w:rPr>
            </w:pPr>
            <w:r w:rsidRPr="004C6298">
              <w:rPr>
                <w:b/>
                <w:i/>
                <w:sz w:val="22"/>
              </w:rPr>
              <w:t>9 b §</w:t>
            </w:r>
          </w:p>
          <w:p w:rsidR="002A276A" w:rsidRPr="004C6298" w:rsidRDefault="002A276A" w:rsidP="002A276A">
            <w:pPr>
              <w:spacing w:before="220" w:after="220" w:line="220" w:lineRule="exact"/>
              <w:jc w:val="center"/>
              <w:rPr>
                <w:i/>
                <w:sz w:val="22"/>
              </w:rPr>
            </w:pPr>
            <w:r w:rsidRPr="004C6298">
              <w:rPr>
                <w:b/>
                <w:i/>
                <w:sz w:val="22"/>
              </w:rPr>
              <w:t>Oikeus saada opetusta</w:t>
            </w:r>
            <w:r w:rsidRPr="004C6298">
              <w:rPr>
                <w:i/>
                <w:sz w:val="22"/>
              </w:rPr>
              <w:t xml:space="preserve"> </w:t>
            </w:r>
            <w:r w:rsidRPr="004C6298">
              <w:rPr>
                <w:b/>
                <w:i/>
                <w:sz w:val="22"/>
              </w:rPr>
              <w:t>ja opinto</w:t>
            </w:r>
            <w:r>
              <w:rPr>
                <w:b/>
                <w:i/>
                <w:sz w:val="22"/>
              </w:rPr>
              <w:t xml:space="preserve">jen </w:t>
            </w:r>
            <w:r w:rsidRPr="004C6298">
              <w:rPr>
                <w:b/>
                <w:i/>
                <w:sz w:val="22"/>
              </w:rPr>
              <w:t>ohjausta</w:t>
            </w:r>
          </w:p>
          <w:p w:rsidR="002A276A" w:rsidRPr="004C6298" w:rsidRDefault="002A276A" w:rsidP="002A276A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r w:rsidRPr="004C6298">
              <w:rPr>
                <w:i/>
                <w:sz w:val="22"/>
              </w:rPr>
              <w:t xml:space="preserve">Opiskelijalla on oikeus saada opetusta ja </w:t>
            </w:r>
            <w:r w:rsidRPr="002A276A">
              <w:rPr>
                <w:i/>
                <w:sz w:val="22"/>
                <w:highlight w:val="yellow"/>
              </w:rPr>
              <w:t>opintojen ohjausta</w:t>
            </w:r>
            <w:r w:rsidRPr="004C6298">
              <w:rPr>
                <w:i/>
                <w:sz w:val="22"/>
              </w:rPr>
              <w:t>.</w:t>
            </w:r>
          </w:p>
          <w:p w:rsidR="002A276A" w:rsidRPr="004C6298" w:rsidRDefault="002A276A" w:rsidP="002A276A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r w:rsidRPr="002A276A">
              <w:rPr>
                <w:i/>
                <w:sz w:val="22"/>
                <w:highlight w:val="yellow"/>
              </w:rPr>
              <w:t>Opintojen ohjauksena</w:t>
            </w:r>
            <w:r w:rsidRPr="004C6298">
              <w:rPr>
                <w:i/>
                <w:sz w:val="22"/>
              </w:rPr>
              <w:t xml:space="preserve"> opiskelijalle ann</w:t>
            </w:r>
            <w:r w:rsidRPr="004C6298">
              <w:rPr>
                <w:i/>
                <w:sz w:val="22"/>
              </w:rPr>
              <w:t>e</w:t>
            </w:r>
            <w:r w:rsidRPr="004C6298">
              <w:rPr>
                <w:i/>
                <w:sz w:val="22"/>
              </w:rPr>
              <w:t>taan henkilökohtaista ja muuta tarpeellista opinto</w:t>
            </w:r>
            <w:r>
              <w:rPr>
                <w:i/>
                <w:sz w:val="22"/>
              </w:rPr>
              <w:t>jen ohjausta.</w:t>
            </w:r>
          </w:p>
          <w:p w:rsidR="002A276A" w:rsidRDefault="002A276A" w:rsidP="00C84929">
            <w:pPr>
              <w:spacing w:line="220" w:lineRule="exact"/>
            </w:pPr>
          </w:p>
          <w:p w:rsidR="002A276A" w:rsidRPr="00F732F9" w:rsidRDefault="002A276A" w:rsidP="00C84929">
            <w:pPr>
              <w:spacing w:line="220" w:lineRule="exact"/>
            </w:pPr>
          </w:p>
        </w:tc>
      </w:tr>
    </w:tbl>
    <w:p w:rsidR="00971E58" w:rsidRDefault="00971E58">
      <w:pPr>
        <w:rPr>
          <w:b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  <w:r w:rsidRPr="003C499C">
        <w:rPr>
          <w:b/>
        </w:rPr>
        <w:t>Osaamispisteet myös näyttötutkintoihin</w:t>
      </w:r>
      <w:r w:rsidR="008D06D4">
        <w:rPr>
          <w:b/>
        </w:rPr>
        <w:t>, osaamispiste v</w:t>
      </w:r>
      <w:r w:rsidR="00584B44">
        <w:rPr>
          <w:b/>
        </w:rPr>
        <w:t>s.</w:t>
      </w:r>
      <w:r w:rsidR="008D06D4">
        <w:rPr>
          <w:b/>
        </w:rPr>
        <w:t xml:space="preserve"> opintopiste</w:t>
      </w:r>
      <w:r w:rsidRPr="003C499C">
        <w:rPr>
          <w:b/>
        </w:rPr>
        <w:t>.</w:t>
      </w:r>
    </w:p>
    <w:p w:rsidR="008D06D4" w:rsidRPr="00971E58" w:rsidRDefault="008D06D4" w:rsidP="008D06D4">
      <w:pPr>
        <w:pStyle w:val="Eivli"/>
        <w:numPr>
          <w:ilvl w:val="0"/>
          <w:numId w:val="1"/>
        </w:numPr>
      </w:pPr>
      <w:proofErr w:type="gramStart"/>
      <w:r w:rsidRPr="0054070D">
        <w:rPr>
          <w:color w:val="FF0000"/>
        </w:rPr>
        <w:t>TUTKE2-työryhmä esittää, että pitäydytään ’</w:t>
      </w:r>
      <w:proofErr w:type="spellStart"/>
      <w:r w:rsidRPr="0054070D">
        <w:rPr>
          <w:color w:val="FF0000"/>
        </w:rPr>
        <w:t>osaamispiste’</w:t>
      </w:r>
      <w:proofErr w:type="gramEnd"/>
      <w:r w:rsidRPr="0054070D">
        <w:rPr>
          <w:color w:val="FF0000"/>
        </w:rPr>
        <w:t>-termissä</w:t>
      </w:r>
      <w:proofErr w:type="spellEnd"/>
      <w:r w:rsidRPr="0054070D">
        <w:rPr>
          <w:color w:val="FF0000"/>
        </w:rPr>
        <w:t xml:space="preserve">. </w:t>
      </w:r>
      <w:r w:rsidRPr="00971E58">
        <w:t>Korkeakoulutuksessa käytössä olevat opintopisteet ovat aikaperusteisia, eivät osaamisperusteisia, joten piste</w:t>
      </w:r>
      <w:r w:rsidR="00D30A82" w:rsidRPr="00971E58">
        <w:t>et</w:t>
      </w:r>
      <w:r w:rsidRPr="00971E58">
        <w:t xml:space="preserve"> eivät tarkoita s</w:t>
      </w:r>
      <w:r w:rsidRPr="00971E58">
        <w:t>a</w:t>
      </w:r>
      <w:r w:rsidRPr="00971E58">
        <w:t>maa.</w:t>
      </w:r>
    </w:p>
    <w:p w:rsidR="008D06D4" w:rsidRPr="0054070D" w:rsidRDefault="008D06D4" w:rsidP="008D06D4">
      <w:pPr>
        <w:pStyle w:val="Eivli"/>
        <w:numPr>
          <w:ilvl w:val="0"/>
          <w:numId w:val="1"/>
        </w:numPr>
        <w:rPr>
          <w:color w:val="FF0000"/>
        </w:rPr>
      </w:pPr>
      <w:r w:rsidRPr="0054070D">
        <w:rPr>
          <w:color w:val="FF0000"/>
        </w:rPr>
        <w:t xml:space="preserve">TUTKE2-työryhmä esittää, että </w:t>
      </w:r>
      <w:r w:rsidR="0054070D" w:rsidRPr="0054070D">
        <w:rPr>
          <w:color w:val="FF0000"/>
        </w:rPr>
        <w:t>näyttötutkintojärjestelmän kehittämistyön yhteydessä arvioidaan tarvetta ottaa laajuusmitta käyttöön näyttötutkinnoissa.</w:t>
      </w:r>
    </w:p>
    <w:p w:rsidR="003C499C" w:rsidRPr="003C499C" w:rsidRDefault="003C499C" w:rsidP="003C499C">
      <w:pPr>
        <w:spacing w:after="0" w:line="240" w:lineRule="auto"/>
        <w:rPr>
          <w:b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  <w:proofErr w:type="gramStart"/>
      <w:r w:rsidRPr="003C499C">
        <w:rPr>
          <w:b/>
        </w:rPr>
        <w:t>Suorituksen uusimista täsmennettävä, termi osaamisperusteiseksi.</w:t>
      </w:r>
      <w:proofErr w:type="gramEnd"/>
      <w:r w:rsidRPr="003C499C">
        <w:rPr>
          <w:b/>
        </w:rPr>
        <w:t xml:space="preserve"> (25 e §)</w:t>
      </w:r>
    </w:p>
    <w:p w:rsidR="0054070D" w:rsidRPr="00593C65" w:rsidRDefault="0054070D" w:rsidP="0054070D">
      <w:pPr>
        <w:pStyle w:val="Eivli"/>
        <w:numPr>
          <w:ilvl w:val="0"/>
          <w:numId w:val="1"/>
        </w:numPr>
        <w:rPr>
          <w:color w:val="FF0000"/>
        </w:rPr>
      </w:pPr>
      <w:r w:rsidRPr="00593C65">
        <w:rPr>
          <w:color w:val="FF0000"/>
        </w:rPr>
        <w:t>TUTKE2-työryhmä esittää, että suorituksen uusimisen asemesta puhutaan osaamisen osoittamisen uusimisesta.</w:t>
      </w:r>
    </w:p>
    <w:p w:rsidR="0054070D" w:rsidRDefault="0054070D" w:rsidP="0054070D">
      <w:pPr>
        <w:pStyle w:val="Eivli"/>
        <w:numPr>
          <w:ilvl w:val="0"/>
          <w:numId w:val="1"/>
        </w:numPr>
      </w:pPr>
      <w:r>
        <w:t>Tarvittaessa täsmennetään perusteluissa, mitä osaamisen osoittaminen voi olla.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3"/>
        <w:gridCol w:w="4243"/>
      </w:tblGrid>
      <w:tr w:rsidR="002A276A" w:rsidRPr="00F732F9" w:rsidTr="00C84929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  <w:rPr>
                <w:sz w:val="22"/>
              </w:rPr>
            </w:pPr>
          </w:p>
          <w:p w:rsidR="002A276A" w:rsidRPr="00001753" w:rsidRDefault="002A276A" w:rsidP="00C84929">
            <w:pPr>
              <w:spacing w:line="220" w:lineRule="exact"/>
              <w:jc w:val="center"/>
              <w:rPr>
                <w:rStyle w:val="LLLihavointi"/>
              </w:rPr>
            </w:pPr>
            <w:hyperlink r:id="rId10" w:anchor="a630-1998" w:tooltip="Linkki voimaantulosäännökseen" w:history="1">
              <w:r w:rsidRPr="00001753">
                <w:rPr>
                  <w:rStyle w:val="LLLihavointi"/>
                </w:rPr>
                <w:t>25 e</w:t>
              </w:r>
              <w:proofErr w:type="gramStart"/>
              <w:r w:rsidRPr="00001753">
                <w:rPr>
                  <w:rStyle w:val="LLLihavointi"/>
                </w:rPr>
                <w:t xml:space="preserve"> §</w:t>
              </w:r>
            </w:hyperlink>
            <w:proofErr w:type="gramEnd"/>
          </w:p>
          <w:p w:rsidR="002A276A" w:rsidRPr="00F732F9" w:rsidRDefault="002A276A" w:rsidP="00C84929">
            <w:pPr>
              <w:spacing w:line="220" w:lineRule="exact"/>
              <w:rPr>
                <w:sz w:val="22"/>
              </w:rPr>
            </w:pPr>
          </w:p>
          <w:p w:rsidR="002A276A" w:rsidRPr="00F732F9" w:rsidRDefault="002A276A" w:rsidP="00C84929">
            <w:pPr>
              <w:spacing w:line="220" w:lineRule="exact"/>
              <w:jc w:val="center"/>
              <w:rPr>
                <w:b/>
                <w:i/>
                <w:sz w:val="22"/>
              </w:rPr>
            </w:pPr>
            <w:r w:rsidRPr="002A276A">
              <w:rPr>
                <w:b/>
                <w:i/>
                <w:sz w:val="22"/>
                <w:highlight w:val="yellow"/>
              </w:rPr>
              <w:t>Osaamisen osoittamisen</w:t>
            </w:r>
            <w:r w:rsidRPr="00F732F9">
              <w:rPr>
                <w:b/>
                <w:i/>
                <w:sz w:val="22"/>
              </w:rPr>
              <w:t xml:space="preserve"> uusiminen ja a</w:t>
            </w:r>
            <w:r w:rsidRPr="00F732F9">
              <w:rPr>
                <w:b/>
                <w:i/>
                <w:sz w:val="22"/>
              </w:rPr>
              <w:t>r</w:t>
            </w:r>
            <w:r w:rsidRPr="00F732F9">
              <w:rPr>
                <w:b/>
                <w:i/>
                <w:sz w:val="22"/>
              </w:rPr>
              <w:t>vosanan korottaminen</w:t>
            </w:r>
          </w:p>
          <w:p w:rsidR="002A276A" w:rsidRPr="00F732F9" w:rsidRDefault="002A276A" w:rsidP="00C84929">
            <w:pPr>
              <w:spacing w:line="220" w:lineRule="exact"/>
              <w:jc w:val="both"/>
              <w:rPr>
                <w:i/>
                <w:sz w:val="22"/>
              </w:rPr>
            </w:pPr>
          </w:p>
          <w:p w:rsidR="002A276A" w:rsidRPr="00F732F9" w:rsidRDefault="002A276A" w:rsidP="002A276A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r w:rsidRPr="00F732F9">
              <w:rPr>
                <w:i/>
                <w:sz w:val="22"/>
              </w:rPr>
              <w:t xml:space="preserve">Koulutuksen järjestäjän tulee järjestää mahdollisuus hylätyn </w:t>
            </w:r>
            <w:r w:rsidRPr="002A276A">
              <w:rPr>
                <w:i/>
                <w:sz w:val="22"/>
                <w:highlight w:val="yellow"/>
              </w:rPr>
              <w:t>osaamisen osoittam</w:t>
            </w:r>
            <w:r w:rsidRPr="002A276A">
              <w:rPr>
                <w:i/>
                <w:sz w:val="22"/>
                <w:highlight w:val="yellow"/>
              </w:rPr>
              <w:t>i</w:t>
            </w:r>
            <w:r w:rsidRPr="002A276A">
              <w:rPr>
                <w:i/>
                <w:sz w:val="22"/>
                <w:highlight w:val="yellow"/>
              </w:rPr>
              <w:t>sen</w:t>
            </w:r>
            <w:r w:rsidRPr="00F732F9">
              <w:rPr>
                <w:i/>
                <w:sz w:val="22"/>
              </w:rPr>
              <w:t xml:space="preserve"> uusimiseen tai hyväksytyn a</w:t>
            </w:r>
            <w:r w:rsidRPr="00F732F9">
              <w:rPr>
                <w:i/>
                <w:sz w:val="22"/>
              </w:rPr>
              <w:t>r</w:t>
            </w:r>
            <w:r w:rsidRPr="00F732F9">
              <w:rPr>
                <w:i/>
                <w:sz w:val="22"/>
              </w:rPr>
              <w:t>vosanan korottamiseen.</w:t>
            </w: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i/>
                <w:sz w:val="16"/>
                <w:szCs w:val="16"/>
              </w:rPr>
            </w:pPr>
            <w:r w:rsidRPr="00F732F9">
              <w:rPr>
                <w:i/>
                <w:sz w:val="22"/>
              </w:rPr>
              <w:t xml:space="preserve">Jos opiskelijan </w:t>
            </w:r>
            <w:r w:rsidRPr="002A276A">
              <w:rPr>
                <w:i/>
                <w:sz w:val="22"/>
                <w:highlight w:val="yellow"/>
              </w:rPr>
              <w:t>osaamisen arviointi</w:t>
            </w:r>
            <w:r w:rsidRPr="00F732F9">
              <w:rPr>
                <w:i/>
                <w:sz w:val="22"/>
              </w:rPr>
              <w:t xml:space="preserve"> on h</w:t>
            </w:r>
            <w:r w:rsidRPr="00F732F9">
              <w:rPr>
                <w:i/>
                <w:sz w:val="22"/>
              </w:rPr>
              <w:t>y</w:t>
            </w:r>
            <w:r w:rsidRPr="00F732F9">
              <w:rPr>
                <w:i/>
                <w:sz w:val="22"/>
              </w:rPr>
              <w:t>lätty, koulutuksen järjestäjän tulee tarvittae</w:t>
            </w:r>
            <w:r w:rsidRPr="00F732F9">
              <w:rPr>
                <w:i/>
                <w:sz w:val="22"/>
              </w:rPr>
              <w:t>s</w:t>
            </w:r>
            <w:r w:rsidRPr="00F732F9">
              <w:rPr>
                <w:i/>
                <w:sz w:val="22"/>
              </w:rPr>
              <w:t>sa varata opiskelijalle mahdollisuus muutoin osoittaa sellainen osaaminen, joka mahdo</w:t>
            </w:r>
            <w:r w:rsidRPr="00F732F9">
              <w:rPr>
                <w:i/>
                <w:sz w:val="22"/>
              </w:rPr>
              <w:t>l</w:t>
            </w:r>
            <w:r w:rsidRPr="00F732F9">
              <w:rPr>
                <w:i/>
                <w:sz w:val="22"/>
              </w:rPr>
              <w:t>listaa opiskelun etenemisen.</w:t>
            </w:r>
          </w:p>
          <w:p w:rsidR="002A276A" w:rsidRDefault="002A276A" w:rsidP="00C84929">
            <w:pPr>
              <w:spacing w:line="220" w:lineRule="exact"/>
              <w:ind w:firstLine="170"/>
              <w:jc w:val="both"/>
              <w:rPr>
                <w:i/>
                <w:sz w:val="22"/>
              </w:rPr>
            </w:pPr>
            <w:r w:rsidRPr="00F732F9">
              <w:rPr>
                <w:i/>
                <w:sz w:val="22"/>
              </w:rPr>
              <w:t>Opetushallitus voi antaa tarkempia määr</w:t>
            </w:r>
            <w:r w:rsidRPr="00F732F9">
              <w:rPr>
                <w:i/>
                <w:sz w:val="22"/>
              </w:rPr>
              <w:t>ä</w:t>
            </w:r>
            <w:r w:rsidRPr="00F732F9">
              <w:rPr>
                <w:i/>
                <w:sz w:val="22"/>
              </w:rPr>
              <w:t xml:space="preserve">yksiä </w:t>
            </w:r>
            <w:r>
              <w:rPr>
                <w:i/>
                <w:sz w:val="22"/>
              </w:rPr>
              <w:t xml:space="preserve">osaamisen osoittamisen </w:t>
            </w:r>
            <w:r w:rsidRPr="00F732F9">
              <w:rPr>
                <w:i/>
                <w:sz w:val="22"/>
              </w:rPr>
              <w:t>uusimisesta ja arvosanan koro</w:t>
            </w:r>
            <w:r w:rsidRPr="00F732F9">
              <w:rPr>
                <w:i/>
                <w:sz w:val="22"/>
              </w:rPr>
              <w:t>t</w:t>
            </w:r>
            <w:r w:rsidRPr="00F732F9">
              <w:rPr>
                <w:i/>
                <w:sz w:val="22"/>
              </w:rPr>
              <w:t>tamisesta</w:t>
            </w:r>
            <w:r>
              <w:rPr>
                <w:i/>
                <w:sz w:val="22"/>
              </w:rPr>
              <w:t>.</w:t>
            </w:r>
          </w:p>
          <w:p w:rsidR="002A276A" w:rsidRPr="00F732F9" w:rsidRDefault="002A276A" w:rsidP="00C84929">
            <w:pPr>
              <w:spacing w:line="220" w:lineRule="exact"/>
              <w:ind w:firstLine="170"/>
              <w:jc w:val="both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A276A" w:rsidRPr="00F732F9" w:rsidTr="00C84929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Pr="00F732F9" w:rsidRDefault="002A276A" w:rsidP="00C84929">
            <w:pPr>
              <w:spacing w:line="220" w:lineRule="exact"/>
              <w:ind w:firstLine="170"/>
              <w:jc w:val="both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A" w:rsidRDefault="002A276A" w:rsidP="002A276A">
            <w:pPr>
              <w:spacing w:line="220" w:lineRule="exact"/>
              <w:jc w:val="center"/>
            </w:pPr>
          </w:p>
          <w:p w:rsidR="002A276A" w:rsidRPr="004C6298" w:rsidRDefault="002A276A" w:rsidP="002A276A">
            <w:pPr>
              <w:spacing w:line="220" w:lineRule="exact"/>
              <w:jc w:val="center"/>
              <w:rPr>
                <w:b/>
                <w:sz w:val="22"/>
              </w:rPr>
            </w:pPr>
            <w:hyperlink r:id="rId11" w:anchor="a631-1998" w:tooltip="Linkki voimaantulosäännökseen" w:history="1">
              <w:r w:rsidRPr="004C6298">
                <w:rPr>
                  <w:b/>
                  <w:sz w:val="22"/>
                </w:rPr>
                <w:t>6</w:t>
              </w:r>
              <w:proofErr w:type="gramStart"/>
              <w:r w:rsidRPr="004C6298">
                <w:rPr>
                  <w:b/>
                  <w:sz w:val="22"/>
                </w:rPr>
                <w:t xml:space="preserve"> §</w:t>
              </w:r>
            </w:hyperlink>
            <w:proofErr w:type="gramEnd"/>
          </w:p>
          <w:p w:rsidR="002A276A" w:rsidRPr="004C6298" w:rsidRDefault="002A276A" w:rsidP="002A276A">
            <w:pPr>
              <w:spacing w:line="220" w:lineRule="exact"/>
              <w:rPr>
                <w:sz w:val="22"/>
              </w:rPr>
            </w:pPr>
          </w:p>
          <w:p w:rsidR="002A276A" w:rsidRPr="004C6298" w:rsidRDefault="002A276A" w:rsidP="002A276A">
            <w:pPr>
              <w:spacing w:line="220" w:lineRule="exact"/>
              <w:ind w:firstLine="170"/>
              <w:jc w:val="both"/>
              <w:rPr>
                <w:i/>
                <w:sz w:val="22"/>
                <w:highlight w:val="yellow"/>
              </w:rPr>
            </w:pPr>
            <w:r w:rsidRPr="004C6298">
              <w:rPr>
                <w:b/>
                <w:i/>
                <w:sz w:val="22"/>
              </w:rPr>
              <w:t>Tutkinnon suorittamismahdollisuudet</w:t>
            </w:r>
          </w:p>
          <w:p w:rsidR="002A276A" w:rsidRDefault="002A276A" w:rsidP="002A276A">
            <w:pPr>
              <w:spacing w:line="220" w:lineRule="exact"/>
              <w:ind w:firstLine="170"/>
              <w:jc w:val="both"/>
              <w:rPr>
                <w:i/>
                <w:sz w:val="22"/>
                <w:highlight w:val="yellow"/>
              </w:rPr>
            </w:pPr>
          </w:p>
          <w:p w:rsidR="002A276A" w:rsidRPr="002A276A" w:rsidRDefault="002A276A" w:rsidP="002A276A">
            <w:pPr>
              <w:spacing w:line="220" w:lineRule="exact"/>
              <w:ind w:firstLine="1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— — — — — — — — — — — — — — </w:t>
            </w:r>
          </w:p>
          <w:p w:rsidR="002A276A" w:rsidRDefault="002A276A" w:rsidP="002A276A">
            <w:pPr>
              <w:spacing w:line="220" w:lineRule="exact"/>
              <w:ind w:firstLine="170"/>
              <w:jc w:val="both"/>
              <w:rPr>
                <w:rStyle w:val="LLKursivointi"/>
              </w:rPr>
            </w:pPr>
            <w:r w:rsidRPr="004C6298">
              <w:rPr>
                <w:rStyle w:val="LLKursivointi"/>
              </w:rPr>
              <w:t>Koulutuksen järjestäjä vastaa siitä, että näyttötutkintoon valmistavaan koulutukseen osallistuvalle järjestetään osana koulutusta mahdollisuus suorittaa näyttötutkinto.</w:t>
            </w:r>
            <w:r>
              <w:rPr>
                <w:rStyle w:val="LLKursivointi"/>
              </w:rPr>
              <w:t xml:space="preserve"> </w:t>
            </w:r>
            <w:r w:rsidRPr="002A276A">
              <w:rPr>
                <w:rStyle w:val="LLKursivointi"/>
                <w:highlight w:val="yellow"/>
              </w:rPr>
              <w:t>Koul</w:t>
            </w:r>
            <w:r w:rsidRPr="002A276A">
              <w:rPr>
                <w:rStyle w:val="LLKursivointi"/>
                <w:highlight w:val="yellow"/>
              </w:rPr>
              <w:t>u</w:t>
            </w:r>
            <w:r w:rsidRPr="002A276A">
              <w:rPr>
                <w:rStyle w:val="LLKursivointi"/>
                <w:highlight w:val="yellow"/>
              </w:rPr>
              <w:t>tuksen järjestäjän tulee järjestää myös ma</w:t>
            </w:r>
            <w:r w:rsidRPr="002A276A">
              <w:rPr>
                <w:rStyle w:val="LLKursivointi"/>
                <w:highlight w:val="yellow"/>
              </w:rPr>
              <w:t>h</w:t>
            </w:r>
            <w:r w:rsidRPr="002A276A">
              <w:rPr>
                <w:rStyle w:val="LLKursivointi"/>
                <w:highlight w:val="yellow"/>
              </w:rPr>
              <w:t>dollisuus hylätyn suorituksen uusimiseen tai hyväksytyn arvosanan korottamiseen</w:t>
            </w:r>
            <w:r>
              <w:rPr>
                <w:rStyle w:val="LLKursivointi"/>
              </w:rPr>
              <w:t>.</w:t>
            </w:r>
          </w:p>
          <w:p w:rsidR="002A276A" w:rsidRDefault="002A276A" w:rsidP="002A276A">
            <w:pPr>
              <w:spacing w:line="220" w:lineRule="exact"/>
              <w:ind w:firstLine="1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— — — — — — — — — — — — — — </w:t>
            </w:r>
          </w:p>
          <w:p w:rsidR="002A276A" w:rsidRPr="004C6298" w:rsidRDefault="002A276A" w:rsidP="002A276A">
            <w:pPr>
              <w:spacing w:line="220" w:lineRule="exact"/>
              <w:ind w:firstLine="170"/>
              <w:jc w:val="both"/>
              <w:rPr>
                <w:rStyle w:val="LLKursivointi"/>
              </w:rPr>
            </w:pPr>
          </w:p>
          <w:p w:rsidR="002A276A" w:rsidRPr="00F732F9" w:rsidRDefault="002A276A" w:rsidP="00C84929">
            <w:pPr>
              <w:spacing w:line="220" w:lineRule="exact"/>
            </w:pPr>
          </w:p>
        </w:tc>
      </w:tr>
    </w:tbl>
    <w:p w:rsidR="002A276A" w:rsidRDefault="002A276A" w:rsidP="002A276A">
      <w:pPr>
        <w:pStyle w:val="Eivli"/>
      </w:pPr>
    </w:p>
    <w:p w:rsidR="003C499C" w:rsidRPr="003C499C" w:rsidRDefault="003C499C" w:rsidP="003C499C">
      <w:pPr>
        <w:spacing w:after="0" w:line="240" w:lineRule="auto"/>
        <w:rPr>
          <w:b/>
        </w:rPr>
      </w:pPr>
    </w:p>
    <w:p w:rsidR="003C499C" w:rsidRPr="003C499C" w:rsidRDefault="003C499C" w:rsidP="003C499C">
      <w:pPr>
        <w:spacing w:after="0" w:line="240" w:lineRule="auto"/>
        <w:rPr>
          <w:b/>
        </w:rPr>
      </w:pPr>
      <w:proofErr w:type="spellStart"/>
      <w:r w:rsidRPr="003C499C">
        <w:rPr>
          <w:b/>
        </w:rPr>
        <w:t>OPH:n</w:t>
      </w:r>
      <w:proofErr w:type="spellEnd"/>
      <w:r w:rsidRPr="003C499C">
        <w:rPr>
          <w:b/>
        </w:rPr>
        <w:t xml:space="preserve"> määräysten tarpeellisuus (esim. oppimisen ja osaamisen arviointi, suorituksen uusiminen ja a</w:t>
      </w:r>
      <w:r w:rsidRPr="003C499C">
        <w:rPr>
          <w:b/>
        </w:rPr>
        <w:t>r</w:t>
      </w:r>
      <w:r w:rsidRPr="003C499C">
        <w:rPr>
          <w:b/>
        </w:rPr>
        <w:t>vosanan korottaminen, oikeus turvalliseen opiskeluympäristöön, oikeus saada opetusta ja ohjausta)</w:t>
      </w:r>
    </w:p>
    <w:p w:rsidR="00971E58" w:rsidRPr="00971E58" w:rsidRDefault="0054070D" w:rsidP="00956511">
      <w:pPr>
        <w:pStyle w:val="Eivli"/>
        <w:numPr>
          <w:ilvl w:val="0"/>
          <w:numId w:val="1"/>
        </w:numPr>
        <w:rPr>
          <w:color w:val="FF0000"/>
        </w:rPr>
      </w:pPr>
      <w:r w:rsidRPr="00971E58">
        <w:rPr>
          <w:color w:val="FF0000"/>
        </w:rPr>
        <w:t xml:space="preserve">TUTKE2-työryhmä käy läpi </w:t>
      </w:r>
      <w:r w:rsidR="00971E58">
        <w:rPr>
          <w:color w:val="FF0000"/>
        </w:rPr>
        <w:t xml:space="preserve">Opetushallituksen </w:t>
      </w:r>
      <w:r w:rsidRPr="00971E58">
        <w:rPr>
          <w:color w:val="FF0000"/>
        </w:rPr>
        <w:t>määräyksenantovaltuudet ja nykyiset määräykset</w:t>
      </w:r>
      <w:r w:rsidR="00971E58">
        <w:rPr>
          <w:color w:val="FF0000"/>
        </w:rPr>
        <w:t>. Työryhmä</w:t>
      </w:r>
      <w:r w:rsidRPr="00971E58">
        <w:rPr>
          <w:color w:val="FF0000"/>
        </w:rPr>
        <w:t xml:space="preserve"> arvioi </w:t>
      </w:r>
      <w:r w:rsidR="00971E58">
        <w:rPr>
          <w:color w:val="FF0000"/>
        </w:rPr>
        <w:t>tältä</w:t>
      </w:r>
      <w:r w:rsidRPr="00971E58">
        <w:rPr>
          <w:color w:val="FF0000"/>
        </w:rPr>
        <w:t xml:space="preserve"> pohjalta, miltä osin asiasta säädetään riittävän selkeästi laissa tai asetuksessa ja mi</w:t>
      </w:r>
      <w:r w:rsidR="00971E58">
        <w:rPr>
          <w:color w:val="FF0000"/>
        </w:rPr>
        <w:t>ltä osin</w:t>
      </w:r>
      <w:r w:rsidRPr="00971E58">
        <w:rPr>
          <w:color w:val="FF0000"/>
        </w:rPr>
        <w:t xml:space="preserve"> määräyksenantovaltuudet on tarpeen säilyttää. Lisäksi arvioidaan, onko tarve nostaa joitakin nyt määräyksissä olevia asioita </w:t>
      </w:r>
      <w:r w:rsidR="00971E58" w:rsidRPr="00971E58">
        <w:rPr>
          <w:color w:val="FF0000"/>
        </w:rPr>
        <w:t>asetu</w:t>
      </w:r>
      <w:r w:rsidR="00971E58">
        <w:rPr>
          <w:color w:val="FF0000"/>
        </w:rPr>
        <w:t>stasolle</w:t>
      </w:r>
      <w:r w:rsidR="00971E58" w:rsidRPr="00971E58">
        <w:rPr>
          <w:color w:val="FF0000"/>
        </w:rPr>
        <w:t xml:space="preserve">. </w:t>
      </w:r>
    </w:p>
    <w:p w:rsidR="00956511" w:rsidRDefault="00971E58" w:rsidP="00956511">
      <w:pPr>
        <w:pStyle w:val="Eivli"/>
        <w:numPr>
          <w:ilvl w:val="0"/>
          <w:numId w:val="1"/>
        </w:numPr>
      </w:pPr>
      <w:r>
        <w:t>Työryhmän ehdotusta käsitellään ohjausryhmän kokouksessa 21.11.2013.</w:t>
      </w:r>
    </w:p>
    <w:p w:rsidR="0054070D" w:rsidRDefault="0054070D" w:rsidP="00956511">
      <w:pPr>
        <w:pStyle w:val="Eivli"/>
      </w:pPr>
    </w:p>
    <w:p w:rsidR="0054070D" w:rsidRPr="003C499C" w:rsidRDefault="00971E58" w:rsidP="0054070D">
      <w:pPr>
        <w:spacing w:after="0" w:line="240" w:lineRule="auto"/>
        <w:rPr>
          <w:b/>
        </w:rPr>
      </w:pPr>
      <w:proofErr w:type="gramStart"/>
      <w:r>
        <w:rPr>
          <w:b/>
        </w:rPr>
        <w:t>Perusteluja ja v</w:t>
      </w:r>
      <w:r w:rsidR="0054070D" w:rsidRPr="003C499C">
        <w:rPr>
          <w:b/>
        </w:rPr>
        <w:t>aikutusten arviointia täsmennettävä, kustannusvaikutusten arvioinnissa puutteita.</w:t>
      </w:r>
      <w:proofErr w:type="gramEnd"/>
    </w:p>
    <w:p w:rsidR="00971E58" w:rsidRDefault="00971E58" w:rsidP="0054070D">
      <w:pPr>
        <w:pStyle w:val="Eivli"/>
        <w:numPr>
          <w:ilvl w:val="0"/>
          <w:numId w:val="1"/>
        </w:numPr>
      </w:pPr>
      <w:r>
        <w:t xml:space="preserve">Perusteluihin lisätään kappale, jossa kuvataan </w:t>
      </w:r>
      <w:proofErr w:type="spellStart"/>
      <w:r>
        <w:t>ECVET:n</w:t>
      </w:r>
      <w:proofErr w:type="spellEnd"/>
      <w:r>
        <w:t xml:space="preserve"> käyttöönottotilanne muissa EU-maissa.</w:t>
      </w:r>
    </w:p>
    <w:p w:rsidR="00BA3F55" w:rsidRDefault="00971E58" w:rsidP="00956511">
      <w:pPr>
        <w:pStyle w:val="Eivli"/>
        <w:numPr>
          <w:ilvl w:val="0"/>
          <w:numId w:val="1"/>
        </w:numPr>
      </w:pPr>
      <w:r>
        <w:t xml:space="preserve">Vaikutusten arviointia täsmennetään lausuntojen perusteella. </w:t>
      </w:r>
    </w:p>
    <w:p w:rsidR="00BA3F55" w:rsidRDefault="00BA3F55" w:rsidP="00956511">
      <w:pPr>
        <w:pStyle w:val="Eivli"/>
      </w:pPr>
    </w:p>
    <w:p w:rsidR="00BA3F55" w:rsidRPr="003C499C" w:rsidRDefault="00BA3F55" w:rsidP="00BA3F55">
      <w:pPr>
        <w:spacing w:after="0" w:line="240" w:lineRule="auto"/>
        <w:rPr>
          <w:b/>
        </w:rPr>
      </w:pPr>
      <w:r w:rsidRPr="003C499C">
        <w:rPr>
          <w:b/>
        </w:rPr>
        <w:t>Ketteryyttä tutkintojärjestelmään, uudistamisprosessi vieläkin liian hidas.</w:t>
      </w:r>
    </w:p>
    <w:p w:rsidR="0054070D" w:rsidRDefault="00584B44" w:rsidP="0054070D">
      <w:pPr>
        <w:pStyle w:val="Eivli"/>
        <w:numPr>
          <w:ilvl w:val="0"/>
          <w:numId w:val="1"/>
        </w:numPr>
      </w:pPr>
      <w:r>
        <w:t xml:space="preserve">Ei edellytä muutoksia </w:t>
      </w:r>
      <w:proofErr w:type="spellStart"/>
      <w:r>
        <w:t>HE:hen</w:t>
      </w:r>
      <w:proofErr w:type="spellEnd"/>
      <w:r>
        <w:t>. Ketteryyttä voidaan lisätä toimintatapoja muuttamalla.</w:t>
      </w:r>
    </w:p>
    <w:sectPr w:rsidR="005407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1B86"/>
    <w:multiLevelType w:val="hybridMultilevel"/>
    <w:tmpl w:val="DCBA8F14"/>
    <w:lvl w:ilvl="0" w:tplc="85FEE9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29BF"/>
    <w:multiLevelType w:val="hybridMultilevel"/>
    <w:tmpl w:val="7C14A42E"/>
    <w:lvl w:ilvl="0" w:tplc="13E6B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A228E5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95447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D0C6D86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B486103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BD6003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8AE7E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E44480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3C2706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59"/>
    <w:rsid w:val="00023206"/>
    <w:rsid w:val="000973F3"/>
    <w:rsid w:val="00173728"/>
    <w:rsid w:val="00227323"/>
    <w:rsid w:val="002A276A"/>
    <w:rsid w:val="002C5A90"/>
    <w:rsid w:val="003C499C"/>
    <w:rsid w:val="00424FF0"/>
    <w:rsid w:val="004C070B"/>
    <w:rsid w:val="004D2D02"/>
    <w:rsid w:val="0054070D"/>
    <w:rsid w:val="00542DC1"/>
    <w:rsid w:val="00584B44"/>
    <w:rsid w:val="00593C65"/>
    <w:rsid w:val="0063197F"/>
    <w:rsid w:val="00650EC2"/>
    <w:rsid w:val="006E628D"/>
    <w:rsid w:val="007152A6"/>
    <w:rsid w:val="007C7DFF"/>
    <w:rsid w:val="008246AA"/>
    <w:rsid w:val="008D06D4"/>
    <w:rsid w:val="00943574"/>
    <w:rsid w:val="00956511"/>
    <w:rsid w:val="00971E58"/>
    <w:rsid w:val="009C2C84"/>
    <w:rsid w:val="009F6C6E"/>
    <w:rsid w:val="00B74046"/>
    <w:rsid w:val="00BA3F55"/>
    <w:rsid w:val="00C746F1"/>
    <w:rsid w:val="00CA0B69"/>
    <w:rsid w:val="00CE49C5"/>
    <w:rsid w:val="00D2056D"/>
    <w:rsid w:val="00D30A82"/>
    <w:rsid w:val="00DB1159"/>
    <w:rsid w:val="00D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B1159"/>
    <w:pPr>
      <w:spacing w:after="0" w:line="240" w:lineRule="auto"/>
    </w:pPr>
  </w:style>
  <w:style w:type="table" w:styleId="TaulukkoRuudukko">
    <w:name w:val="Table Grid"/>
    <w:basedOn w:val="Normaalitaulukko"/>
    <w:rsid w:val="002A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Lihavointi">
    <w:name w:val="LLLihavointi"/>
    <w:basedOn w:val="Kappaleenoletusfontti"/>
    <w:rsid w:val="002A276A"/>
    <w:rPr>
      <w:b/>
      <w:sz w:val="22"/>
      <w:lang w:val="fi-FI"/>
    </w:rPr>
  </w:style>
  <w:style w:type="character" w:customStyle="1" w:styleId="LLNormaaliKirjasin">
    <w:name w:val="LLNormaaliKirjasin"/>
    <w:basedOn w:val="Kappaleenoletusfontti"/>
    <w:rsid w:val="002A276A"/>
    <w:rPr>
      <w:rFonts w:ascii="Times New Roman" w:hAnsi="Times New Roman"/>
      <w:sz w:val="22"/>
      <w:lang w:val="fi-FI"/>
    </w:rPr>
  </w:style>
  <w:style w:type="character" w:customStyle="1" w:styleId="LLKursivointi">
    <w:name w:val="LLKursivointi"/>
    <w:basedOn w:val="Kappaleenoletusfontti"/>
    <w:rsid w:val="002A276A"/>
    <w:rPr>
      <w:rFonts w:ascii="Times New Roman" w:hAnsi="Times New Roman"/>
      <w:i/>
      <w:sz w:val="22"/>
      <w:lang w:val="fi-FI"/>
    </w:rPr>
  </w:style>
  <w:style w:type="paragraph" w:customStyle="1" w:styleId="LLNormaali">
    <w:name w:val="LLNormaali"/>
    <w:rsid w:val="002A276A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Kommentinviite">
    <w:name w:val="annotation reference"/>
    <w:uiPriority w:val="99"/>
    <w:unhideWhenUsed/>
    <w:rsid w:val="002A27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A276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A276A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2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B1159"/>
    <w:pPr>
      <w:spacing w:after="0" w:line="240" w:lineRule="auto"/>
    </w:pPr>
  </w:style>
  <w:style w:type="table" w:styleId="TaulukkoRuudukko">
    <w:name w:val="Table Grid"/>
    <w:basedOn w:val="Normaalitaulukko"/>
    <w:rsid w:val="002A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Lihavointi">
    <w:name w:val="LLLihavointi"/>
    <w:basedOn w:val="Kappaleenoletusfontti"/>
    <w:rsid w:val="002A276A"/>
    <w:rPr>
      <w:b/>
      <w:sz w:val="22"/>
      <w:lang w:val="fi-FI"/>
    </w:rPr>
  </w:style>
  <w:style w:type="character" w:customStyle="1" w:styleId="LLNormaaliKirjasin">
    <w:name w:val="LLNormaaliKirjasin"/>
    <w:basedOn w:val="Kappaleenoletusfontti"/>
    <w:rsid w:val="002A276A"/>
    <w:rPr>
      <w:rFonts w:ascii="Times New Roman" w:hAnsi="Times New Roman"/>
      <w:sz w:val="22"/>
      <w:lang w:val="fi-FI"/>
    </w:rPr>
  </w:style>
  <w:style w:type="character" w:customStyle="1" w:styleId="LLKursivointi">
    <w:name w:val="LLKursivointi"/>
    <w:basedOn w:val="Kappaleenoletusfontti"/>
    <w:rsid w:val="002A276A"/>
    <w:rPr>
      <w:rFonts w:ascii="Times New Roman" w:hAnsi="Times New Roman"/>
      <w:i/>
      <w:sz w:val="22"/>
      <w:lang w:val="fi-FI"/>
    </w:rPr>
  </w:style>
  <w:style w:type="paragraph" w:customStyle="1" w:styleId="LLNormaali">
    <w:name w:val="LLNormaali"/>
    <w:rsid w:val="002A276A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Kommentinviite">
    <w:name w:val="annotation reference"/>
    <w:uiPriority w:val="99"/>
    <w:unhideWhenUsed/>
    <w:rsid w:val="002A27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A276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A276A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ex.fi/fi/laki/ajantasa/1998/199806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inlex.fi/fi/laki/ajantasa/1998/199806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lex.fi/fi/laki/ajantasa/1998/19980630" TargetMode="External"/><Relationship Id="rId11" Type="http://schemas.openxmlformats.org/officeDocument/2006/relationships/hyperlink" Target="http://www.finlex.fi/fi/laki/ajantasa/1998/199806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lex.fi/fi/laki/ajantasa/1998/19980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lex.fi/fi/laki/ajantasa/1998/1998063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951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Ville</dc:creator>
  <cp:lastModifiedBy>Väinölä Piritta</cp:lastModifiedBy>
  <cp:revision>3</cp:revision>
  <dcterms:created xsi:type="dcterms:W3CDTF">2013-10-14T06:07:00Z</dcterms:created>
  <dcterms:modified xsi:type="dcterms:W3CDTF">2013-10-14T06:36:00Z</dcterms:modified>
</cp:coreProperties>
</file>