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B1" w:rsidRDefault="008224B1" w:rsidP="008224B1">
      <w:pPr>
        <w:ind w:left="5216"/>
        <w:rPr>
          <w:b/>
        </w:rPr>
      </w:pPr>
      <w:bookmarkStart w:id="0" w:name="_GoBack"/>
      <w:bookmarkEnd w:id="0"/>
      <w:r>
        <w:rPr>
          <w:b/>
        </w:rPr>
        <w:t>Bakgrundspromemoria</w:t>
      </w:r>
      <w:r>
        <w:rPr>
          <w:b/>
        </w:rPr>
        <w:tab/>
      </w:r>
      <w:r>
        <w:rPr>
          <w:b/>
        </w:rPr>
        <w:tab/>
      </w:r>
    </w:p>
    <w:p w:rsidR="009B230C" w:rsidRPr="002A4F22" w:rsidRDefault="002A4F22" w:rsidP="008224B1">
      <w:pPr>
        <w:ind w:left="5216"/>
        <w:rPr>
          <w:b/>
        </w:rPr>
      </w:pPr>
      <w:r>
        <w:rPr>
          <w:b/>
        </w:rPr>
        <w:t>Utkast 27.6.2017</w:t>
      </w:r>
    </w:p>
    <w:p w:rsidR="002A4F22" w:rsidRPr="002A4F22" w:rsidRDefault="002A4F22" w:rsidP="00446E3A">
      <w:pPr>
        <w:rPr>
          <w:b/>
        </w:rPr>
      </w:pPr>
    </w:p>
    <w:p w:rsidR="002A4F22" w:rsidRPr="002A4F22" w:rsidRDefault="002A4F22" w:rsidP="00446E3A">
      <w:pPr>
        <w:rPr>
          <w:b/>
        </w:rPr>
      </w:pPr>
    </w:p>
    <w:p w:rsidR="00EC1566" w:rsidRDefault="00EC1566" w:rsidP="00446E3A">
      <w:pPr>
        <w:rPr>
          <w:b/>
        </w:rPr>
      </w:pPr>
    </w:p>
    <w:p w:rsidR="002A4F22" w:rsidRPr="002A4F22" w:rsidRDefault="00D23DB5" w:rsidP="00446E3A">
      <w:pPr>
        <w:rPr>
          <w:b/>
        </w:rPr>
      </w:pPr>
      <w:r>
        <w:rPr>
          <w:b/>
        </w:rPr>
        <w:t>STATSRÅDETS FÖRORDNING OM DE UPPGIFTER SOM SKA TAS UPP I LAN</w:t>
      </w:r>
      <w:r>
        <w:rPr>
          <w:b/>
        </w:rPr>
        <w:t>D</w:t>
      </w:r>
      <w:r>
        <w:rPr>
          <w:b/>
        </w:rPr>
        <w:t>SKAPETS BOKSLUT</w:t>
      </w:r>
    </w:p>
    <w:p w:rsidR="002A4F22" w:rsidRDefault="002A4F22" w:rsidP="002A4F22">
      <w:pPr>
        <w:rPr>
          <w:szCs w:val="24"/>
        </w:rPr>
      </w:pPr>
    </w:p>
    <w:p w:rsidR="002A4F22" w:rsidRPr="002A4F22" w:rsidRDefault="002A4F22" w:rsidP="002A4F22">
      <w:pPr>
        <w:rPr>
          <w:szCs w:val="24"/>
        </w:rPr>
      </w:pPr>
    </w:p>
    <w:p w:rsidR="002A4F22" w:rsidRPr="002A4F22" w:rsidRDefault="008224B1" w:rsidP="002A4F22">
      <w:pPr>
        <w:pStyle w:val="LLKappalejako"/>
        <w:ind w:left="0"/>
      </w:pPr>
      <w:r>
        <w:t>Bakgrund</w:t>
      </w:r>
    </w:p>
    <w:p w:rsidR="002A4F22" w:rsidRPr="002A4F22" w:rsidRDefault="002A4F22" w:rsidP="002A4F22">
      <w:pPr>
        <w:pStyle w:val="LLKappalejako"/>
      </w:pPr>
    </w:p>
    <w:p w:rsidR="002A4F22" w:rsidRPr="002A4F22" w:rsidRDefault="008224B1" w:rsidP="002A4F22">
      <w:pPr>
        <w:pStyle w:val="LLKappalejako"/>
        <w:rPr>
          <w:b w:val="0"/>
        </w:rPr>
      </w:pPr>
      <w:r>
        <w:rPr>
          <w:b w:val="0"/>
        </w:rPr>
        <w:t>Enligt 98 § i landskapslagen som för närvarande är under behandling i riksdagen ti</w:t>
      </w:r>
      <w:r>
        <w:rPr>
          <w:b w:val="0"/>
        </w:rPr>
        <w:t>l</w:t>
      </w:r>
      <w:r>
        <w:rPr>
          <w:b w:val="0"/>
        </w:rPr>
        <w:t>lämpas utöver landskapslagen även bokföringslagen på landskapets bokföringssky</w:t>
      </w:r>
      <w:r>
        <w:rPr>
          <w:b w:val="0"/>
        </w:rPr>
        <w:t>l</w:t>
      </w:r>
      <w:r>
        <w:rPr>
          <w:b w:val="0"/>
        </w:rPr>
        <w:t>dighet, bokföring och bokslut. Närmare bestämmelser om landskapets bokslut och verksamhetsberättelse, bokslutsnoterna, resultaträkningen, finansieringsanalysen, b</w:t>
      </w:r>
      <w:r>
        <w:rPr>
          <w:b w:val="0"/>
        </w:rPr>
        <w:t>a</w:t>
      </w:r>
      <w:r>
        <w:rPr>
          <w:b w:val="0"/>
        </w:rPr>
        <w:t>lansräkningen, koncernbokslutet och dess noter, delårsbokslutet kalkylerings- och kontosystemet och uppgifter om kostnaderna för enskilda tjänster får utfärdas genom förordning av statsrådet. Bokföringsnämndens landskaps- och kommunsektion medd</w:t>
      </w:r>
      <w:r>
        <w:rPr>
          <w:b w:val="0"/>
        </w:rPr>
        <w:t>e</w:t>
      </w:r>
      <w:r>
        <w:rPr>
          <w:b w:val="0"/>
        </w:rPr>
        <w:t>lar anvisningar och avger utlåtanden om tillämpningen av bokföringslagen med stöd av landskapslagen och förordningar som utfärdats med stöd av landskapslagen.</w:t>
      </w:r>
    </w:p>
    <w:p w:rsidR="002A4F22" w:rsidRDefault="002A4F22" w:rsidP="002A4F22">
      <w:pPr>
        <w:rPr>
          <w:szCs w:val="24"/>
        </w:rPr>
      </w:pPr>
    </w:p>
    <w:p w:rsidR="00CA3817" w:rsidRDefault="00CA3817" w:rsidP="00CA3817">
      <w:pPr>
        <w:ind w:left="1304"/>
        <w:rPr>
          <w:szCs w:val="24"/>
        </w:rPr>
      </w:pPr>
      <w:r>
        <w:t xml:space="preserve">Den förordning av statsrådet som avses i 98 § i landskapslagen har beretts av en grupp som har i uppdrag att definiera landskapens gemensamma ekonomiska uppgifter (maakuntien yhteisten taloustietojen määrittelyryhmä) som finansministeriet inrättat. </w:t>
      </w:r>
    </w:p>
    <w:p w:rsidR="00CA3817" w:rsidRDefault="00CA3817" w:rsidP="00CA3817">
      <w:pPr>
        <w:ind w:left="1304"/>
        <w:rPr>
          <w:szCs w:val="24"/>
        </w:rPr>
      </w:pPr>
    </w:p>
    <w:p w:rsidR="000420AA" w:rsidRPr="000420AA" w:rsidRDefault="00D23DB5" w:rsidP="000420AA">
      <w:pPr>
        <w:rPr>
          <w:b/>
          <w:szCs w:val="24"/>
        </w:rPr>
      </w:pPr>
      <w:r>
        <w:rPr>
          <w:b/>
          <w:szCs w:val="24"/>
        </w:rPr>
        <w:t xml:space="preserve">Undantag från bokföringslagen </w:t>
      </w:r>
    </w:p>
    <w:p w:rsidR="000420AA" w:rsidRDefault="000420AA" w:rsidP="000420AA">
      <w:pPr>
        <w:rPr>
          <w:szCs w:val="24"/>
        </w:rPr>
      </w:pPr>
    </w:p>
    <w:p w:rsidR="00CA3817" w:rsidRDefault="00CA3817" w:rsidP="000420AA">
      <w:pPr>
        <w:ind w:left="1304"/>
      </w:pPr>
      <w:r>
        <w:t>Utgångspunkten i förordningsutkastet är att 4 kap. 5 § 2 och 3 mom., 5 kap. 2 a, 2 b, 4, 5 b, 15 och 17 § eller 7 a kap. i bokföringslagen (1336/1997) inte ska tillämpas vid u</w:t>
      </w:r>
      <w:r>
        <w:t>t</w:t>
      </w:r>
      <w:r>
        <w:t xml:space="preserve">arbetandet av landskapets bokslut och koncernbokslut.  </w:t>
      </w:r>
    </w:p>
    <w:p w:rsidR="00A6719B" w:rsidRDefault="00A6719B" w:rsidP="000420AA">
      <w:pPr>
        <w:ind w:left="1304"/>
        <w:rPr>
          <w:szCs w:val="24"/>
        </w:rPr>
      </w:pPr>
    </w:p>
    <w:p w:rsidR="00141456" w:rsidRDefault="00141456" w:rsidP="000420AA">
      <w:pPr>
        <w:ind w:left="1304"/>
        <w:rPr>
          <w:szCs w:val="24"/>
        </w:rPr>
      </w:pPr>
      <w:r>
        <w:t>Genom att begränsa de valfria förfaringssätten som avses i bokföringslagen strävar man efter att förbättra jämförbarheten hos landskapens bokslutsuppgifter.  Landskapen behöver inte heller tillämpa sådana bestämmelser i bokföringslagen som är avsedda för företag som tillämpar IFRS-standarderna.</w:t>
      </w:r>
    </w:p>
    <w:p w:rsidR="00A6719B" w:rsidRDefault="00A6719B" w:rsidP="00A6719B">
      <w:pPr>
        <w:pStyle w:val="py"/>
        <w:ind w:left="1304"/>
      </w:pPr>
      <w:r>
        <w:t xml:space="preserve">I </w:t>
      </w:r>
      <w:r>
        <w:rPr>
          <w:i/>
        </w:rPr>
        <w:t>4 kap. 5 §</w:t>
      </w:r>
      <w:r>
        <w:t xml:space="preserve"> i bokföringslagen föreskrivs det om anskaffningsutgifter. Enligt 2 mom. får en rimlig andel av de indirekta utgifterna för anskaffning och tillverkning räknas in i anskaffningsutgiften för en tillgång, till den del som dessa utgifter hänför sig till pr</w:t>
      </w:r>
      <w:r>
        <w:t>o</w:t>
      </w:r>
      <w:r>
        <w:t>duktionsperioden. Dessa indirekta utgifter måste kunna utredas med stöd av kostnad</w:t>
      </w:r>
      <w:r>
        <w:t>s</w:t>
      </w:r>
      <w:r>
        <w:t>beräkning eller kostnadskalkyler. Enligt 3 mom. får ränteutgifterna för lån som under produktionsperioden kan hänföras till produktionen av en tillgång får räknas in i a</w:t>
      </w:r>
      <w:r>
        <w:t>n</w:t>
      </w:r>
      <w:r>
        <w:t xml:space="preserve">skaffningsutgiften. En tillämpning av dessa moment på landskapen är inte nödvändig eller motiverad med hänsyn till verksamhetens art. </w:t>
      </w:r>
    </w:p>
    <w:p w:rsidR="00141456" w:rsidRDefault="00E500B2" w:rsidP="00E500B2">
      <w:pPr>
        <w:pStyle w:val="py"/>
        <w:ind w:left="1304"/>
      </w:pPr>
      <w:r>
        <w:t xml:space="preserve">I </w:t>
      </w:r>
      <w:r>
        <w:rPr>
          <w:i/>
        </w:rPr>
        <w:t>5 kap. 2 a §</w:t>
      </w:r>
      <w:r>
        <w:t xml:space="preserve"> i bokföringslagen föreskrivs det om upptagande av finansiella instr</w:t>
      </w:r>
      <w:r>
        <w:t>u</w:t>
      </w:r>
      <w:r>
        <w:t xml:space="preserve">ment till verkligt värde samt om fonden för verkligt värde. Bestämmelsen är avsedd att tillämpas på företagsverksamhet och lämpar sig inte som sådan för landskapens verksamhet. I </w:t>
      </w:r>
      <w:r>
        <w:rPr>
          <w:i/>
        </w:rPr>
        <w:t>5 kap. 2 b §</w:t>
      </w:r>
      <w:r>
        <w:t xml:space="preserve"> i bokföringslagen föreskrivs det om upptagande av förval</w:t>
      </w:r>
      <w:r>
        <w:t>t</w:t>
      </w:r>
      <w:r>
        <w:t xml:space="preserve">ningsfastigheter till verkligt värde. Bestämmelsen är avsedd att tillämpas i enlighet med IFRS-standarderna. </w:t>
      </w:r>
    </w:p>
    <w:p w:rsidR="00A6719B" w:rsidRDefault="00E500B2" w:rsidP="00E500B2">
      <w:pPr>
        <w:pStyle w:val="py"/>
        <w:ind w:left="1304"/>
      </w:pPr>
      <w:r>
        <w:lastRenderedPageBreak/>
        <w:t xml:space="preserve">I </w:t>
      </w:r>
      <w:r>
        <w:rPr>
          <w:i/>
        </w:rPr>
        <w:t>5 kap. 4 §</w:t>
      </w:r>
      <w:r>
        <w:t xml:space="preserve"> i lagen föreskrivs det om redovisning av inkomst som intäkt enligt til</w:t>
      </w:r>
      <w:r>
        <w:t>l</w:t>
      </w:r>
      <w:r>
        <w:t>verkningsgrad. Bestämmelsen är avsedd att tillämpas i verksamhet där det produceras krävande produkter med lång framställningstid och lämpar sig därför inte för lan</w:t>
      </w:r>
      <w:r>
        <w:t>d</w:t>
      </w:r>
      <w:r>
        <w:t xml:space="preserve">skapens verksamhet. </w:t>
      </w:r>
    </w:p>
    <w:p w:rsidR="00E500B2" w:rsidRDefault="00E500B2" w:rsidP="00E500B2">
      <w:pPr>
        <w:pStyle w:val="py"/>
        <w:ind w:left="1304"/>
      </w:pPr>
      <w:r>
        <w:t xml:space="preserve">I </w:t>
      </w:r>
      <w:r>
        <w:rPr>
          <w:i/>
        </w:rPr>
        <w:t>5 kap. 5 b §</w:t>
      </w:r>
      <w:r>
        <w:t xml:space="preserve"> i bokföringslagen föreskrivs det om upptagande av tillgångar som fö</w:t>
      </w:r>
      <w:r>
        <w:t>r</w:t>
      </w:r>
      <w:r>
        <w:t>värvats genom finansiella leasingavtal. Bestämmelsen ska tillämpas i enlighet med IFRS-standarderna.</w:t>
      </w:r>
    </w:p>
    <w:p w:rsidR="00E500B2" w:rsidRPr="00A6719B" w:rsidRDefault="004D30DC" w:rsidP="000420AA">
      <w:pPr>
        <w:ind w:left="1304"/>
        <w:rPr>
          <w:szCs w:val="24"/>
        </w:rPr>
      </w:pPr>
      <w:r>
        <w:t xml:space="preserve">I </w:t>
      </w:r>
      <w:r>
        <w:rPr>
          <w:i/>
        </w:rPr>
        <w:t>5 kap. 15 §</w:t>
      </w:r>
      <w:r>
        <w:t xml:space="preserve"> i bokföringslagen föreskrivs det om skattemässiga reserver. I kommuner och samkommuner har de reserver som avses i bestämmelsen använts, särskilt invest</w:t>
      </w:r>
      <w:r>
        <w:t>e</w:t>
      </w:r>
      <w:r>
        <w:t>ringsreserver, även om varken kommunerna eller samkommunerna har beskattnin</w:t>
      </w:r>
      <w:r>
        <w:t>g</w:t>
      </w:r>
      <w:r>
        <w:t>mässiga behov att göra överföringar till reserver.  Landskapens verksamhetsprinciper som gäller investeringar kommer att avvika från kommuner och samkommuner. Lan</w:t>
      </w:r>
      <w:r>
        <w:t>d</w:t>
      </w:r>
      <w:r>
        <w:t>skapen gör inte över huvud taget sådana betydande investeringar, dvs. investeringar i lokaler, som tas upp i den egna balansräkningen. Investeringar i lokaler görs av lan</w:t>
      </w:r>
      <w:r>
        <w:t>d</w:t>
      </w:r>
      <w:r>
        <w:t>skapens gemensamma servicecenter för lokal- och fastighetsförvaltning (Maakuntien tilakeskus Oy) och investeringarna syns i landskapens ekonomi som driftsekonomiska utgifter. För större och ekonomiskt betydande IKT-investeringar kommer konceptet förmodligen att vara liknande.  Till följd av det som anförts ovan kommer landskapen inte att ha behov av att göra överföringar till investeringsreserver. Syftet är också att få landskapens bokslut så jämförbara och enhetliga som möjligt, och möjligheten till användning av investeringsreserver och andra skattemässiga reserver skulle fördunkla den här målsättningen.</w:t>
      </w:r>
    </w:p>
    <w:p w:rsidR="00A6719B" w:rsidRDefault="00A6719B" w:rsidP="000420AA">
      <w:pPr>
        <w:ind w:left="1304"/>
        <w:rPr>
          <w:szCs w:val="24"/>
        </w:rPr>
      </w:pPr>
    </w:p>
    <w:p w:rsidR="00F03EC1" w:rsidRDefault="00F03EC1" w:rsidP="000420AA">
      <w:pPr>
        <w:ind w:left="1304"/>
        <w:rPr>
          <w:szCs w:val="24"/>
        </w:rPr>
      </w:pPr>
      <w:r>
        <w:t xml:space="preserve">I </w:t>
      </w:r>
      <w:r>
        <w:rPr>
          <w:i/>
        </w:rPr>
        <w:t>5 kap. 17 §</w:t>
      </w:r>
      <w:r>
        <w:t xml:space="preserve"> i bokföringslagen föreskrivs det om uppskrivning och uppskrivningsfo</w:t>
      </w:r>
      <w:r>
        <w:t>n</w:t>
      </w:r>
      <w:r>
        <w:t>den. För att säkerställa enhetlig praxis för landskapen föreslås att bestämmelsen inte ska tillämpas på landskapens verksamhet. Dessutom kommer den lokal- och jord</w:t>
      </w:r>
      <w:r>
        <w:t>e</w:t>
      </w:r>
      <w:r>
        <w:t xml:space="preserve">gendom som används av landskapen att ägas av Maakuntien tilakeskus Oy.  </w:t>
      </w:r>
    </w:p>
    <w:p w:rsidR="00F03EC1" w:rsidRDefault="00F03EC1" w:rsidP="000420AA">
      <w:pPr>
        <w:ind w:left="1304"/>
        <w:rPr>
          <w:szCs w:val="24"/>
        </w:rPr>
      </w:pPr>
    </w:p>
    <w:p w:rsidR="00F03EC1" w:rsidRDefault="00F03EC1" w:rsidP="000420AA">
      <w:pPr>
        <w:ind w:left="1304"/>
        <w:rPr>
          <w:szCs w:val="24"/>
        </w:rPr>
      </w:pPr>
      <w:r>
        <w:t xml:space="preserve">I </w:t>
      </w:r>
      <w:r>
        <w:rPr>
          <w:i/>
        </w:rPr>
        <w:t>7 a kap</w:t>
      </w:r>
      <w:r>
        <w:t>. i bokföringslagen föreskrivs det om tillämpningen av internationella red</w:t>
      </w:r>
      <w:r>
        <w:t>o</w:t>
      </w:r>
      <w:r>
        <w:t xml:space="preserve">visningsstandarder.  Som ovan redan konstaterats är det inte motiverat att tillämpa dessa standarder på landskapens verksamhet. </w:t>
      </w:r>
    </w:p>
    <w:p w:rsidR="005761DF" w:rsidRDefault="005761DF" w:rsidP="000420AA">
      <w:pPr>
        <w:ind w:left="1304"/>
        <w:rPr>
          <w:szCs w:val="24"/>
        </w:rPr>
      </w:pPr>
    </w:p>
    <w:p w:rsidR="005761DF" w:rsidRDefault="005761DF" w:rsidP="000420AA">
      <w:pPr>
        <w:ind w:left="1304"/>
        <w:rPr>
          <w:szCs w:val="24"/>
        </w:rPr>
      </w:pPr>
      <w:r>
        <w:t>Av det ovan anförda följer att även i 57 § (landskapets affärsverks ekonomi) i lan</w:t>
      </w:r>
      <w:r>
        <w:t>d</w:t>
      </w:r>
      <w:r>
        <w:t xml:space="preserve">skapslagen bör särskilt beaktas att när det gäller landskapens verksamhet ska 5 kap. 15 § i bokföringslagen (skattemässiga reserver)  lämnas utanför tillämpningsområdet. </w:t>
      </w:r>
    </w:p>
    <w:p w:rsidR="00F03EC1" w:rsidRPr="000420AA" w:rsidRDefault="00F03EC1" w:rsidP="000420AA">
      <w:pPr>
        <w:ind w:left="1304"/>
        <w:rPr>
          <w:szCs w:val="24"/>
        </w:rPr>
      </w:pPr>
    </w:p>
    <w:p w:rsidR="007B0ED1" w:rsidRDefault="00CA3817" w:rsidP="007B0ED1">
      <w:pPr>
        <w:rPr>
          <w:b/>
          <w:szCs w:val="24"/>
        </w:rPr>
      </w:pPr>
      <w:r>
        <w:rPr>
          <w:b/>
          <w:szCs w:val="24"/>
        </w:rPr>
        <w:t>Förordningsutkast</w:t>
      </w:r>
    </w:p>
    <w:p w:rsidR="007B0ED1" w:rsidRDefault="007B0ED1" w:rsidP="007B0ED1">
      <w:pPr>
        <w:rPr>
          <w:b/>
          <w:szCs w:val="24"/>
        </w:rPr>
      </w:pPr>
    </w:p>
    <w:p w:rsidR="005761DF" w:rsidRPr="007B0ED1" w:rsidRDefault="00F03EC1" w:rsidP="00F03EC1">
      <w:pPr>
        <w:ind w:left="1304"/>
        <w:rPr>
          <w:szCs w:val="24"/>
        </w:rPr>
      </w:pPr>
      <w:r>
        <w:t>Det bifogade utkastet till statsrådets förordning om de uppgifter som ska tas upp i landskapets bokslut har utarbetats med antagandet att de ovannämnda bestämmelserna i bokföringslagen inte tillämpas i landskapens verksamhet.  Landskapets affärsverk är en del av landskapets organisation, och därför ska enligt förslaget förordningen ti</w:t>
      </w:r>
      <w:r>
        <w:t>l</w:t>
      </w:r>
      <w:r>
        <w:t xml:space="preserve">lämpas som sådan också på landskapets affärsverk. </w:t>
      </w:r>
    </w:p>
    <w:p w:rsidR="007B0ED1" w:rsidRDefault="007B0ED1" w:rsidP="007B0ED1">
      <w:pPr>
        <w:rPr>
          <w:szCs w:val="24"/>
        </w:rPr>
      </w:pPr>
    </w:p>
    <w:p w:rsidR="005761DF" w:rsidRDefault="005761DF" w:rsidP="005761DF">
      <w:pPr>
        <w:ind w:left="1304"/>
        <w:rPr>
          <w:szCs w:val="24"/>
        </w:rPr>
      </w:pPr>
      <w:r>
        <w:t>Genom förordningen föreskrivs om landskapets eget kapital och grundkapitalets art. Landskapets eget kapital ska endast bestå av grundkapital, tidigare räkenskapsp</w:t>
      </w:r>
      <w:r>
        <w:t>e</w:t>
      </w:r>
      <w:r>
        <w:t xml:space="preserve">rioders över-/underskott och räkenskapsperiodens över-/underskott. Grundkapitalet är </w:t>
      </w:r>
      <w:r>
        <w:lastRenderedPageBreak/>
        <w:t>avsett att till sin natur vara bestående och det kan utökas eller reduceras endast på b</w:t>
      </w:r>
      <w:r>
        <w:t>a</w:t>
      </w:r>
      <w:r>
        <w:t>sis av en betydande förändring i landskapets verksamhet eller uppgifter. Grundkap</w:t>
      </w:r>
      <w:r>
        <w:t>i</w:t>
      </w:r>
      <w:r>
        <w:t xml:space="preserve">talet ska inte användas för att täcka ett underskott. </w:t>
      </w:r>
    </w:p>
    <w:p w:rsidR="007B0ED1" w:rsidRDefault="007B0ED1" w:rsidP="007B0ED1">
      <w:pPr>
        <w:rPr>
          <w:szCs w:val="24"/>
        </w:rPr>
      </w:pPr>
    </w:p>
    <w:p w:rsidR="005761DF" w:rsidRDefault="005761DF" w:rsidP="005761DF">
      <w:pPr>
        <w:ind w:left="1304"/>
        <w:rPr>
          <w:szCs w:val="24"/>
        </w:rPr>
      </w:pPr>
      <w:r>
        <w:t xml:space="preserve">Genom förordningen föreskrivs om de scheman som landskapets bokslut grundar sig på och utfärdas bestämmelser om bokslutets noter.   </w:t>
      </w:r>
    </w:p>
    <w:p w:rsidR="006D16FC" w:rsidRDefault="006D16FC" w:rsidP="005761DF">
      <w:pPr>
        <w:ind w:left="1304"/>
        <w:rPr>
          <w:szCs w:val="24"/>
        </w:rPr>
      </w:pPr>
    </w:p>
    <w:p w:rsidR="005761DF" w:rsidRDefault="005761DF" w:rsidP="005761DF">
      <w:pPr>
        <w:ind w:left="1304"/>
        <w:rPr>
          <w:szCs w:val="24"/>
        </w:rPr>
      </w:pPr>
      <w:r>
        <w:t>Landskapets scheman för resultaträkning, finansieringsanalys och balansräkning ska basera sig på de scheman som används av kommunerna och samkommunerna. I dessa ska dock tas i beaktande de skillnader i jämförelse med kommuneranas verksamhet som beror på landskapens finansieringsmodell och verksamhet. Landskapens finansi</w:t>
      </w:r>
      <w:r>
        <w:t>e</w:t>
      </w:r>
      <w:r>
        <w:t>ring baserar sig på statlig finansiering men landskapen får också in kundavgifter. Landskapen har enligt 97 § i landskapslagen inte rätt att uppta långfristiga lån.  Till landskapen överflyttas ändå baserat på införandelagens bestämmelser långfristiga lån från lagstadgade samkommuner och sannolikt även obligationslån.  En betydande del av de långfristiga lånen flyttas sannolikt enligt bestämmelserna i införandelagen v</w:t>
      </w:r>
      <w:r>
        <w:t>i</w:t>
      </w:r>
      <w:r>
        <w:t>dare över till Maakuntien tilakeskus Oy, men i synnerhet lån upptagna för maskiner och apparater blir kvar på landskapens ansvar. I anslutning till detta har posterna i fråga lämnats kvar i modellerna för finansieringsanalysen och balansräkningens pa</w:t>
      </w:r>
      <w:r>
        <w:t>s</w:t>
      </w:r>
      <w:r>
        <w:t xml:space="preserve">siva.  </w:t>
      </w:r>
    </w:p>
    <w:p w:rsidR="002A4F22" w:rsidRDefault="002A4F22" w:rsidP="002A4F22">
      <w:pPr>
        <w:rPr>
          <w:szCs w:val="24"/>
        </w:rPr>
      </w:pPr>
    </w:p>
    <w:p w:rsidR="00214980" w:rsidRDefault="00214980" w:rsidP="00214980">
      <w:pPr>
        <w:ind w:left="1304"/>
        <w:rPr>
          <w:szCs w:val="24"/>
        </w:rPr>
      </w:pPr>
      <w:r>
        <w:t>Enligt förordningsutkastet sammanställs de nationella servicecentren enligt ägarandel med landskapens koncernbokslut genom en sådan så kallad proportionell samma</w:t>
      </w:r>
      <w:r>
        <w:t>n</w:t>
      </w:r>
      <w:r>
        <w:t>ställning som avses i 6 kap. 15 § i bokföringslagen.  På motsvarande sätt sammanställs samkommunerna med kommunernas koncernbokslut.  Lösningen är motiverad med tanke på att det stärker avsikten att av landskapens bokslut få en så korrekt och til</w:t>
      </w:r>
      <w:r>
        <w:t>l</w:t>
      </w:r>
      <w:r>
        <w:t>räcklig bild som möjligt. En sammanställning kan ändå bli problematisk med tanke på det om utvärderingsförfarande för lanskapen som föreskrivs i landskapslagen eftersom de ekonomiska nyckeltal som initieras med utvärderingsförfarandet grundar sig på landskapens uppgifter på koncernnivå.  Å andra sidan minskas problemet av minist</w:t>
      </w:r>
      <w:r>
        <w:t>e</w:t>
      </w:r>
      <w:r>
        <w:t>riets prövningsrätt i anslutning till inledandet av utvärderingsförfarandet.</w:t>
      </w:r>
    </w:p>
    <w:p w:rsidR="00214980" w:rsidRDefault="00214980" w:rsidP="00214980">
      <w:pPr>
        <w:ind w:left="1304"/>
        <w:rPr>
          <w:szCs w:val="24"/>
        </w:rPr>
      </w:pPr>
    </w:p>
    <w:p w:rsidR="006D16FC" w:rsidRDefault="006D16FC" w:rsidP="006D16FC">
      <w:pPr>
        <w:ind w:left="1304"/>
        <w:rPr>
          <w:szCs w:val="24"/>
        </w:rPr>
      </w:pPr>
      <w:r>
        <w:t>På grund av landskapens finansiering, verksamhetsmodell, koncernstruktur och lan</w:t>
      </w:r>
      <w:r>
        <w:t>d</w:t>
      </w:r>
      <w:r>
        <w:t>skapens gemensamt ägda nationella servicecenter kommer betydelsen av noterna till bokslutet att accentueras.  Landskapen kommer att i huvudsak verka i utrymmen som ägs av Maakuntien tilakeskus Oy och investeringsbesluten kanaliseras i form av h</w:t>
      </w:r>
      <w:r>
        <w:t>y</w:t>
      </w:r>
      <w:r>
        <w:t>resavtal till driftsekonomiska utgifter.  Dessutom leder landskapens finansieringsm</w:t>
      </w:r>
      <w:r>
        <w:t>o</w:t>
      </w:r>
      <w:r>
        <w:t>dell och lagen om landskapens finansiering antagligen till att anskaffningen och fina</w:t>
      </w:r>
      <w:r>
        <w:t>n</w:t>
      </w:r>
      <w:r>
        <w:t>sieringen av maskiner, apparater och annat material till betydande del sker med hjälp av leasingavtal. Landskapens finansiering bygger nästan i sin helhet på statlig fina</w:t>
      </w:r>
      <w:r>
        <w:t>n</w:t>
      </w:r>
      <w:r>
        <w:t>siering, vilket leder till att det i noterna ska fästas uppmärksamhet vid informationsb</w:t>
      </w:r>
      <w:r>
        <w:t>e</w:t>
      </w:r>
      <w:r>
        <w:t xml:space="preserve">hovet för såväl landskapets egna beslutsfattare som finansiären, dvs. staten. </w:t>
      </w:r>
    </w:p>
    <w:p w:rsidR="00B06ACD" w:rsidRDefault="00B06ACD" w:rsidP="006D16FC">
      <w:pPr>
        <w:ind w:left="1304"/>
        <w:rPr>
          <w:szCs w:val="24"/>
        </w:rPr>
      </w:pPr>
    </w:p>
    <w:p w:rsidR="00B06ACD" w:rsidRDefault="00B06ACD" w:rsidP="006D16FC">
      <w:pPr>
        <w:ind w:left="1304"/>
        <w:rPr>
          <w:szCs w:val="24"/>
        </w:rPr>
      </w:pPr>
      <w:r>
        <w:t xml:space="preserve">Genom förordningen föreskrivs också om landskapets delårsbokslut som upprättas både för landskapet och på koncernnivå.  Delårsbokslut ska upprättas kvartalsvis.  Vid rytmiseringen av delårsbokslutet ska man beakta planen för de offentliga finanserna, uppgörandet av statsbudgeten, de samråd mellan landskapet och staten som föreskrivs i landskapslagen och de informationsbehov och tidtabellskrav för styrningen inom social- och hälsovården som föreskrivs i lagen om ordnande av social- och hälsovård.   </w:t>
      </w:r>
    </w:p>
    <w:p w:rsidR="00D23DB5" w:rsidRDefault="00D23DB5" w:rsidP="006D16FC">
      <w:pPr>
        <w:ind w:left="1304"/>
        <w:rPr>
          <w:szCs w:val="24"/>
        </w:rPr>
      </w:pPr>
    </w:p>
    <w:p w:rsidR="00D23DB5" w:rsidRPr="002A4F22" w:rsidRDefault="00D23DB5" w:rsidP="006D16FC">
      <w:pPr>
        <w:ind w:left="1304"/>
        <w:rPr>
          <w:szCs w:val="24"/>
        </w:rPr>
      </w:pPr>
    </w:p>
    <w:sectPr w:rsidR="00D23DB5" w:rsidRPr="002A4F22"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9A" w:rsidRDefault="00230C9A" w:rsidP="008E0F4A">
      <w:r>
        <w:separator/>
      </w:r>
    </w:p>
  </w:endnote>
  <w:endnote w:type="continuationSeparator" w:id="0">
    <w:p w:rsidR="00230C9A" w:rsidRDefault="00230C9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CE" w:rsidRDefault="00FA6ACE" w:rsidP="00FA6ACE">
    <w:pPr>
      <w:pStyle w:val="Alatunniste"/>
      <w:ind w:right="2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9A" w:rsidRDefault="00230C9A" w:rsidP="008E0F4A">
      <w:r>
        <w:separator/>
      </w:r>
    </w:p>
  </w:footnote>
  <w:footnote w:type="continuationSeparator" w:id="0">
    <w:p w:rsidR="00230C9A" w:rsidRDefault="00230C9A" w:rsidP="008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399"/>
      <w:docPartObj>
        <w:docPartGallery w:val="Page Numbers (Top of Page)"/>
        <w:docPartUnique/>
      </w:docPartObj>
    </w:sdtPr>
    <w:sdtEndPr/>
    <w:sdtContent>
      <w:p w:rsidR="008E0F4A" w:rsidRDefault="005E06F4" w:rsidP="00562E6B">
        <w:pPr>
          <w:ind w:right="-143" w:firstLine="8789"/>
          <w:jc w:val="center"/>
        </w:pPr>
        <w:r>
          <w:t>(</w:t>
        </w:r>
        <w:fldSimple w:instr=" NUMPAGES   \* MERGEFORMAT ">
          <w:r w:rsidR="004A26F4">
            <w:rPr>
              <w:noProof/>
            </w:rPr>
            <w:t>4</w:t>
          </w:r>
        </w:fldSimple>
        <w:r>
          <w:t>)</w:t>
        </w:r>
      </w:p>
      <w:p w:rsidR="008E0F4A" w:rsidRDefault="008E0F4A" w:rsidP="00562E6B">
        <w:pPr>
          <w:tabs>
            <w:tab w:val="left" w:pos="5245"/>
          </w:tabs>
        </w:pPr>
        <w:r>
          <w:tab/>
        </w:r>
      </w:p>
      <w:p w:rsidR="00FA6ACE" w:rsidRDefault="00FA6ACE" w:rsidP="00562E6B"/>
      <w:p w:rsidR="008E0F4A" w:rsidRDefault="00230C9A" w:rsidP="00562E6B"/>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400"/>
      <w:docPartObj>
        <w:docPartGallery w:val="Page Numbers (Top of Page)"/>
        <w:docPartUnique/>
      </w:docPartObj>
    </w:sdtPr>
    <w:sdtEndPr/>
    <w:sdtContent>
      <w:p w:rsidR="00FA6ACE" w:rsidRDefault="005E06F4" w:rsidP="00562E6B">
        <w:pPr>
          <w:ind w:right="-143" w:firstLine="8789"/>
          <w:jc w:val="right"/>
        </w:pPr>
        <w:r>
          <w:t>(</w:t>
        </w:r>
        <w:fldSimple w:instr=" NUMPAGES   \* MERGEFORMAT ">
          <w:r w:rsidR="004A26F4">
            <w:rPr>
              <w:noProof/>
            </w:rPr>
            <w:t>4</w:t>
          </w:r>
        </w:fldSimple>
        <w:r>
          <w:t>)</w:t>
        </w:r>
      </w:p>
      <w:p w:rsidR="00FA6ACE" w:rsidRDefault="00230C9A"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22"/>
    <w:rsid w:val="00016E55"/>
    <w:rsid w:val="00020721"/>
    <w:rsid w:val="0003182E"/>
    <w:rsid w:val="000420AA"/>
    <w:rsid w:val="00053D44"/>
    <w:rsid w:val="00063ECB"/>
    <w:rsid w:val="00075991"/>
    <w:rsid w:val="000B3024"/>
    <w:rsid w:val="000C272A"/>
    <w:rsid w:val="000D3235"/>
    <w:rsid w:val="00141456"/>
    <w:rsid w:val="001431B7"/>
    <w:rsid w:val="00144D34"/>
    <w:rsid w:val="00147111"/>
    <w:rsid w:val="00155F3B"/>
    <w:rsid w:val="001776E9"/>
    <w:rsid w:val="001B078B"/>
    <w:rsid w:val="001E5F86"/>
    <w:rsid w:val="001F70AF"/>
    <w:rsid w:val="00210152"/>
    <w:rsid w:val="00214980"/>
    <w:rsid w:val="00230C9A"/>
    <w:rsid w:val="002373F4"/>
    <w:rsid w:val="00292DED"/>
    <w:rsid w:val="002979F5"/>
    <w:rsid w:val="002A13C4"/>
    <w:rsid w:val="002A4F22"/>
    <w:rsid w:val="002D31CC"/>
    <w:rsid w:val="002D3D2E"/>
    <w:rsid w:val="002D72CF"/>
    <w:rsid w:val="00307C47"/>
    <w:rsid w:val="003268C9"/>
    <w:rsid w:val="00346B03"/>
    <w:rsid w:val="00367C90"/>
    <w:rsid w:val="00393411"/>
    <w:rsid w:val="003A2869"/>
    <w:rsid w:val="00446E3A"/>
    <w:rsid w:val="0047233E"/>
    <w:rsid w:val="00486BE8"/>
    <w:rsid w:val="004A196F"/>
    <w:rsid w:val="004A26F4"/>
    <w:rsid w:val="004C5212"/>
    <w:rsid w:val="004C6B33"/>
    <w:rsid w:val="004D30DC"/>
    <w:rsid w:val="005146D4"/>
    <w:rsid w:val="0051596E"/>
    <w:rsid w:val="005448B0"/>
    <w:rsid w:val="00550D0B"/>
    <w:rsid w:val="005512A4"/>
    <w:rsid w:val="00562E6B"/>
    <w:rsid w:val="005761DF"/>
    <w:rsid w:val="005834E9"/>
    <w:rsid w:val="0059671F"/>
    <w:rsid w:val="005E06F4"/>
    <w:rsid w:val="006131C2"/>
    <w:rsid w:val="00687FBF"/>
    <w:rsid w:val="006A4A91"/>
    <w:rsid w:val="006B678F"/>
    <w:rsid w:val="006D16FC"/>
    <w:rsid w:val="006D40F8"/>
    <w:rsid w:val="006D6C2D"/>
    <w:rsid w:val="00722420"/>
    <w:rsid w:val="00757536"/>
    <w:rsid w:val="0076257D"/>
    <w:rsid w:val="007729CF"/>
    <w:rsid w:val="00783B52"/>
    <w:rsid w:val="00785D97"/>
    <w:rsid w:val="007A5508"/>
    <w:rsid w:val="007A74D4"/>
    <w:rsid w:val="007B0ED1"/>
    <w:rsid w:val="007B4560"/>
    <w:rsid w:val="007B4E42"/>
    <w:rsid w:val="007C2B22"/>
    <w:rsid w:val="00811D8D"/>
    <w:rsid w:val="008200A9"/>
    <w:rsid w:val="008224B1"/>
    <w:rsid w:val="008559F2"/>
    <w:rsid w:val="00885EDF"/>
    <w:rsid w:val="008A0773"/>
    <w:rsid w:val="008A2F24"/>
    <w:rsid w:val="008A4280"/>
    <w:rsid w:val="008E0F4A"/>
    <w:rsid w:val="00906E49"/>
    <w:rsid w:val="009B230C"/>
    <w:rsid w:val="009B6311"/>
    <w:rsid w:val="009D222E"/>
    <w:rsid w:val="00A135F7"/>
    <w:rsid w:val="00A24604"/>
    <w:rsid w:val="00A51D73"/>
    <w:rsid w:val="00A612FC"/>
    <w:rsid w:val="00A64BD2"/>
    <w:rsid w:val="00A6719B"/>
    <w:rsid w:val="00A75231"/>
    <w:rsid w:val="00A90735"/>
    <w:rsid w:val="00AA5350"/>
    <w:rsid w:val="00AF2EBD"/>
    <w:rsid w:val="00AF3346"/>
    <w:rsid w:val="00B06ACD"/>
    <w:rsid w:val="00B36E64"/>
    <w:rsid w:val="00B37553"/>
    <w:rsid w:val="00B42986"/>
    <w:rsid w:val="00B54FF1"/>
    <w:rsid w:val="00BB011E"/>
    <w:rsid w:val="00BE4CA3"/>
    <w:rsid w:val="00BF06A8"/>
    <w:rsid w:val="00C21181"/>
    <w:rsid w:val="00CA3817"/>
    <w:rsid w:val="00CB4C78"/>
    <w:rsid w:val="00CD4A95"/>
    <w:rsid w:val="00D05785"/>
    <w:rsid w:val="00D23DB5"/>
    <w:rsid w:val="00D25AD2"/>
    <w:rsid w:val="00D35E49"/>
    <w:rsid w:val="00D44B33"/>
    <w:rsid w:val="00D60C53"/>
    <w:rsid w:val="00D76D7A"/>
    <w:rsid w:val="00D87C57"/>
    <w:rsid w:val="00DE107F"/>
    <w:rsid w:val="00DE217C"/>
    <w:rsid w:val="00E07440"/>
    <w:rsid w:val="00E2160A"/>
    <w:rsid w:val="00E330A7"/>
    <w:rsid w:val="00E44094"/>
    <w:rsid w:val="00E45484"/>
    <w:rsid w:val="00E500B2"/>
    <w:rsid w:val="00EC1566"/>
    <w:rsid w:val="00EE4996"/>
    <w:rsid w:val="00F03EC1"/>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Kappalejako">
    <w:name w:val="LLKappalejako"/>
    <w:link w:val="LLKappalejakoChar"/>
    <w:autoRedefine/>
    <w:rsid w:val="002A4F22"/>
    <w:pPr>
      <w:ind w:left="1304"/>
    </w:pPr>
    <w:rPr>
      <w:b/>
      <w:sz w:val="24"/>
      <w:szCs w:val="24"/>
    </w:rPr>
  </w:style>
  <w:style w:type="character" w:customStyle="1" w:styleId="LLKappalejakoChar">
    <w:name w:val="LLKappalejako Char"/>
    <w:link w:val="LLKappalejako"/>
    <w:locked/>
    <w:rsid w:val="002A4F22"/>
    <w:rPr>
      <w:b/>
      <w:sz w:val="24"/>
      <w:szCs w:val="24"/>
    </w:rPr>
  </w:style>
  <w:style w:type="paragraph" w:styleId="Kommentinteksti">
    <w:name w:val="annotation text"/>
    <w:link w:val="KommentintekstiChar"/>
    <w:uiPriority w:val="99"/>
    <w:semiHidden/>
    <w:unhideWhenUsed/>
  </w:style>
  <w:style w:type="character" w:customStyle="1" w:styleId="KommentintekstiChar">
    <w:name w:val="Kommentin teksti Char"/>
    <w:basedOn w:val="Kappaleenoletusfontti"/>
    <w:link w:val="Kommentinteksti"/>
    <w:uiPriority w:val="99"/>
    <w:rsid w:val="00A6719B"/>
    <w:rPr>
      <w:lang w:eastAsia="en-US"/>
    </w:rPr>
  </w:style>
  <w:style w:type="character" w:styleId="Kommentinviite">
    <w:name w:val="annotation reference"/>
    <w:uiPriority w:val="99"/>
    <w:semiHidden/>
    <w:unhideWhenUsed/>
    <w:rPr>
      <w:sz w:val="16"/>
      <w:szCs w:val="16"/>
    </w:rPr>
  </w:style>
  <w:style w:type="paragraph" w:customStyle="1" w:styleId="py">
    <w:name w:val="py"/>
    <w:basedOn w:val="Normaali"/>
    <w:rsid w:val="00A6719B"/>
    <w:pPr>
      <w:spacing w:before="100" w:beforeAutospacing="1" w:after="100" w:afterAutospacing="1"/>
    </w:pPr>
    <w:rPr>
      <w:szCs w:val="24"/>
      <w:lang w:eastAsia="fi-FI"/>
    </w:rPr>
  </w:style>
  <w:style w:type="paragraph" w:styleId="Kommentinotsikko">
    <w:name w:val="annotation subject"/>
    <w:basedOn w:val="Kommentinteksti"/>
    <w:next w:val="Kommentinteksti"/>
    <w:link w:val="KommentinotsikkoChar"/>
    <w:uiPriority w:val="99"/>
    <w:semiHidden/>
    <w:unhideWhenUsed/>
    <w:rsid w:val="004D30DC"/>
    <w:rPr>
      <w:b/>
      <w:bCs/>
    </w:rPr>
  </w:style>
  <w:style w:type="character" w:customStyle="1" w:styleId="KommentinotsikkoChar">
    <w:name w:val="Kommentin otsikko Char"/>
    <w:basedOn w:val="KommentintekstiChar"/>
    <w:link w:val="Kommentinotsikko"/>
    <w:uiPriority w:val="99"/>
    <w:semiHidden/>
    <w:rsid w:val="004D30D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Kappalejako">
    <w:name w:val="LLKappalejako"/>
    <w:link w:val="LLKappalejakoChar"/>
    <w:autoRedefine/>
    <w:rsid w:val="002A4F22"/>
    <w:pPr>
      <w:ind w:left="1304"/>
    </w:pPr>
    <w:rPr>
      <w:b/>
      <w:sz w:val="24"/>
      <w:szCs w:val="24"/>
    </w:rPr>
  </w:style>
  <w:style w:type="character" w:customStyle="1" w:styleId="LLKappalejakoChar">
    <w:name w:val="LLKappalejako Char"/>
    <w:link w:val="LLKappalejako"/>
    <w:locked/>
    <w:rsid w:val="002A4F22"/>
    <w:rPr>
      <w:b/>
      <w:sz w:val="24"/>
      <w:szCs w:val="24"/>
    </w:rPr>
  </w:style>
  <w:style w:type="paragraph" w:styleId="Kommentinteksti">
    <w:name w:val="annotation text"/>
    <w:link w:val="KommentintekstiChar"/>
    <w:uiPriority w:val="99"/>
    <w:semiHidden/>
    <w:unhideWhenUsed/>
  </w:style>
  <w:style w:type="character" w:customStyle="1" w:styleId="KommentintekstiChar">
    <w:name w:val="Kommentin teksti Char"/>
    <w:basedOn w:val="Kappaleenoletusfontti"/>
    <w:link w:val="Kommentinteksti"/>
    <w:uiPriority w:val="99"/>
    <w:rsid w:val="00A6719B"/>
    <w:rPr>
      <w:lang w:eastAsia="en-US"/>
    </w:rPr>
  </w:style>
  <w:style w:type="character" w:styleId="Kommentinviite">
    <w:name w:val="annotation reference"/>
    <w:uiPriority w:val="99"/>
    <w:semiHidden/>
    <w:unhideWhenUsed/>
    <w:rPr>
      <w:sz w:val="16"/>
      <w:szCs w:val="16"/>
    </w:rPr>
  </w:style>
  <w:style w:type="paragraph" w:customStyle="1" w:styleId="py">
    <w:name w:val="py"/>
    <w:basedOn w:val="Normaali"/>
    <w:rsid w:val="00A6719B"/>
    <w:pPr>
      <w:spacing w:before="100" w:beforeAutospacing="1" w:after="100" w:afterAutospacing="1"/>
    </w:pPr>
    <w:rPr>
      <w:szCs w:val="24"/>
      <w:lang w:eastAsia="fi-FI"/>
    </w:rPr>
  </w:style>
  <w:style w:type="paragraph" w:styleId="Kommentinotsikko">
    <w:name w:val="annotation subject"/>
    <w:basedOn w:val="Kommentinteksti"/>
    <w:next w:val="Kommentinteksti"/>
    <w:link w:val="KommentinotsikkoChar"/>
    <w:uiPriority w:val="99"/>
    <w:semiHidden/>
    <w:unhideWhenUsed/>
    <w:rsid w:val="004D30DC"/>
    <w:rPr>
      <w:b/>
      <w:bCs/>
    </w:rPr>
  </w:style>
  <w:style w:type="character" w:customStyle="1" w:styleId="KommentinotsikkoChar">
    <w:name w:val="Kommentin otsikko Char"/>
    <w:basedOn w:val="KommentintekstiChar"/>
    <w:link w:val="Kommentinotsikko"/>
    <w:uiPriority w:val="99"/>
    <w:semiHidden/>
    <w:rsid w:val="004D30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7613">
      <w:bodyDiv w:val="1"/>
      <w:marLeft w:val="0"/>
      <w:marRight w:val="0"/>
      <w:marTop w:val="0"/>
      <w:marBottom w:val="0"/>
      <w:divBdr>
        <w:top w:val="none" w:sz="0" w:space="0" w:color="auto"/>
        <w:left w:val="none" w:sz="0" w:space="0" w:color="auto"/>
        <w:bottom w:val="none" w:sz="0" w:space="0" w:color="auto"/>
        <w:right w:val="none" w:sz="0" w:space="0" w:color="auto"/>
      </w:divBdr>
      <w:divsChild>
        <w:div w:id="1780418040">
          <w:marLeft w:val="0"/>
          <w:marRight w:val="0"/>
          <w:marTop w:val="0"/>
          <w:marBottom w:val="0"/>
          <w:divBdr>
            <w:top w:val="none" w:sz="0" w:space="0" w:color="auto"/>
            <w:left w:val="none" w:sz="0" w:space="0" w:color="auto"/>
            <w:bottom w:val="none" w:sz="0" w:space="0" w:color="auto"/>
            <w:right w:val="none" w:sz="0" w:space="0" w:color="auto"/>
          </w:divBdr>
          <w:divsChild>
            <w:div w:id="408307913">
              <w:marLeft w:val="0"/>
              <w:marRight w:val="0"/>
              <w:marTop w:val="0"/>
              <w:marBottom w:val="0"/>
              <w:divBdr>
                <w:top w:val="none" w:sz="0" w:space="0" w:color="auto"/>
                <w:left w:val="none" w:sz="0" w:space="0" w:color="auto"/>
                <w:bottom w:val="none" w:sz="0" w:space="0" w:color="auto"/>
                <w:right w:val="none" w:sz="0" w:space="0" w:color="auto"/>
              </w:divBdr>
              <w:divsChild>
                <w:div w:id="1569613278">
                  <w:marLeft w:val="0"/>
                  <w:marRight w:val="0"/>
                  <w:marTop w:val="0"/>
                  <w:marBottom w:val="0"/>
                  <w:divBdr>
                    <w:top w:val="none" w:sz="0" w:space="0" w:color="auto"/>
                    <w:left w:val="none" w:sz="0" w:space="0" w:color="auto"/>
                    <w:bottom w:val="none" w:sz="0" w:space="0" w:color="auto"/>
                    <w:right w:val="none" w:sz="0" w:space="0" w:color="auto"/>
                  </w:divBdr>
                  <w:divsChild>
                    <w:div w:id="11351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8353</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Jokinen Minna-Marja VM</dc:creator>
  <cp:lastModifiedBy>Karlsson Aija VM</cp:lastModifiedBy>
  <cp:revision>2</cp:revision>
  <cp:lastPrinted>2017-06-27T07:03:00Z</cp:lastPrinted>
  <dcterms:created xsi:type="dcterms:W3CDTF">2017-09-04T09:10:00Z</dcterms:created>
  <dcterms:modified xsi:type="dcterms:W3CDTF">2017-09-04T09:10:00Z</dcterms:modified>
</cp:coreProperties>
</file>