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EB2" w:rsidRDefault="009D0EB2" w:rsidP="003F5918"/>
    <w:p w:rsidR="009D0EB2" w:rsidRDefault="009D0EB2" w:rsidP="003F5918"/>
    <w:p w:rsidR="009D0EB2" w:rsidRDefault="009D0EB2" w:rsidP="003F5918"/>
    <w:p w:rsidR="009D0EB2" w:rsidRDefault="009D0EB2" w:rsidP="003F5918"/>
    <w:p w:rsidR="003F5918" w:rsidRPr="009D0EB2" w:rsidRDefault="003F5918" w:rsidP="003F5918">
      <w:r w:rsidRPr="009D0EB2">
        <w:t>Työ- ja elinkeinoministeriölle</w:t>
      </w:r>
    </w:p>
    <w:p w:rsidR="003F5918" w:rsidRPr="00E51969" w:rsidRDefault="003F5918" w:rsidP="003F5918">
      <w:pPr>
        <w:rPr>
          <w:b/>
        </w:rPr>
      </w:pPr>
    </w:p>
    <w:p w:rsidR="003F5918" w:rsidRPr="00E51969" w:rsidRDefault="003F5918" w:rsidP="003F5918">
      <w:pPr>
        <w:rPr>
          <w:b/>
        </w:rPr>
      </w:pPr>
    </w:p>
    <w:p w:rsidR="003F5918" w:rsidRPr="00E51969" w:rsidRDefault="003F5918" w:rsidP="003F5918"/>
    <w:p w:rsidR="009D0EB2" w:rsidRDefault="009D0EB2" w:rsidP="003F5918">
      <w:pPr>
        <w:ind w:left="2608" w:hanging="2608"/>
        <w:jc w:val="both"/>
      </w:pPr>
    </w:p>
    <w:p w:rsidR="009D0EB2" w:rsidRDefault="009D0EB2" w:rsidP="003F5918">
      <w:pPr>
        <w:ind w:left="2608" w:hanging="2608"/>
        <w:jc w:val="both"/>
      </w:pPr>
    </w:p>
    <w:p w:rsidR="003F5918" w:rsidRPr="00E51969" w:rsidRDefault="003F5918" w:rsidP="003F5918">
      <w:pPr>
        <w:ind w:left="2608" w:hanging="2608"/>
        <w:jc w:val="both"/>
      </w:pPr>
      <w:r w:rsidRPr="009D0EB2">
        <w:t>Asia:</w:t>
      </w:r>
      <w:r>
        <w:tab/>
        <w:t>Lausunto tavaramerkkilain kokonaisuudistusta valmistelevan työryhmän mietinnöstä</w:t>
      </w:r>
    </w:p>
    <w:p w:rsidR="003F5918" w:rsidRPr="00E51969" w:rsidRDefault="003F5918" w:rsidP="003F5918">
      <w:pPr>
        <w:ind w:left="2608" w:hanging="2608"/>
        <w:rPr>
          <w:b/>
        </w:rPr>
      </w:pPr>
    </w:p>
    <w:p w:rsidR="003F5918" w:rsidRPr="00E51969" w:rsidRDefault="003F5918" w:rsidP="003F5918">
      <w:pPr>
        <w:ind w:left="2608" w:hanging="2608"/>
      </w:pPr>
      <w:r w:rsidRPr="009D0EB2">
        <w:t>Viite:</w:t>
      </w:r>
      <w:r>
        <w:tab/>
        <w:t>Lausuntopyyntö 20.3.2018 TEM/912/00.04.01/2016</w:t>
      </w:r>
    </w:p>
    <w:p w:rsidR="003F5918" w:rsidRPr="00E51969" w:rsidRDefault="003F5918" w:rsidP="003F5918">
      <w:pPr>
        <w:rPr>
          <w:sz w:val="28"/>
        </w:rPr>
      </w:pPr>
    </w:p>
    <w:p w:rsidR="003F5918" w:rsidRPr="009D0EB2" w:rsidRDefault="009D0EB2" w:rsidP="003F5918">
      <w:r>
        <w:t>Lausunto:</w:t>
      </w:r>
      <w:r>
        <w:tab/>
      </w:r>
      <w:r>
        <w:tab/>
      </w:r>
    </w:p>
    <w:p w:rsidR="003F5918" w:rsidRPr="00E51969" w:rsidRDefault="003F5918" w:rsidP="009D0EB2"/>
    <w:p w:rsidR="003F5918" w:rsidRPr="008B7224" w:rsidRDefault="003F5918" w:rsidP="003F5918">
      <w:pPr>
        <w:rPr>
          <w:i/>
        </w:rPr>
      </w:pPr>
      <w:r w:rsidRPr="008B7224">
        <w:rPr>
          <w:i/>
        </w:rPr>
        <w:t>Ylei</w:t>
      </w:r>
      <w:r w:rsidR="00183DEE" w:rsidRPr="008B7224">
        <w:rPr>
          <w:i/>
        </w:rPr>
        <w:t>stä</w:t>
      </w:r>
    </w:p>
    <w:p w:rsidR="003F5918" w:rsidRPr="008B7224" w:rsidRDefault="003F5918" w:rsidP="003F5918">
      <w:pPr>
        <w:ind w:left="2608"/>
      </w:pPr>
    </w:p>
    <w:p w:rsidR="00183DEE" w:rsidRPr="008B7224" w:rsidRDefault="00291774" w:rsidP="00291774">
      <w:pPr>
        <w:ind w:left="2608"/>
        <w:jc w:val="both"/>
      </w:pPr>
      <w:r w:rsidRPr="008B7224">
        <w:t>Tavaramerkkilain kokonaisuudistusta valmistelevan työryhmän mietintö sisältää luonnoksen hallituksen esitykseksi</w:t>
      </w:r>
      <w:r w:rsidR="00183DEE" w:rsidRPr="008B7224">
        <w:t xml:space="preserve"> uudeksi tavaramerkkilaiksi (jäljempänä myös luonnos), jolla pantaisiin täytäntöön </w:t>
      </w:r>
      <w:r w:rsidR="008B7224" w:rsidRPr="008B7224">
        <w:t xml:space="preserve">jäsenvaltioiden </w:t>
      </w:r>
      <w:r w:rsidR="00183DEE" w:rsidRPr="008B7224">
        <w:t xml:space="preserve">tavaramerkkilainsäädännön lähentämisestä 16.12.2015 annettu Euroopan parlamentin ja neuvoston direktiivi (EU) 2015/2436 (jäljempänä myös tavaramerkkidirektiivi tai direktiivi). </w:t>
      </w:r>
    </w:p>
    <w:p w:rsidR="00183DEE" w:rsidRPr="008B7224" w:rsidRDefault="00183DEE" w:rsidP="00291774">
      <w:pPr>
        <w:ind w:left="2608"/>
        <w:jc w:val="both"/>
      </w:pPr>
    </w:p>
    <w:p w:rsidR="00183DEE" w:rsidRPr="008B7224" w:rsidRDefault="00183DEE" w:rsidP="00291774">
      <w:pPr>
        <w:ind w:left="2608"/>
        <w:jc w:val="both"/>
      </w:pPr>
      <w:r w:rsidRPr="008B7224">
        <w:t xml:space="preserve">Markkinaoikeus pitää sinänsä kannatettavana, että direktiivin täytäntöönpanemisen yhteydessä suoritetaan tavaramerkkilain uudistaminen kokonaisuudessaan. </w:t>
      </w:r>
    </w:p>
    <w:p w:rsidR="00183DEE" w:rsidRPr="008B7224" w:rsidRDefault="00183DEE" w:rsidP="00291774">
      <w:pPr>
        <w:ind w:left="2608"/>
        <w:jc w:val="both"/>
      </w:pPr>
    </w:p>
    <w:p w:rsidR="00291774" w:rsidRDefault="00183DEE" w:rsidP="00291774">
      <w:pPr>
        <w:ind w:left="2608"/>
        <w:jc w:val="both"/>
      </w:pPr>
      <w:r w:rsidRPr="008B7224">
        <w:t>Markkina</w:t>
      </w:r>
      <w:r w:rsidR="00291774" w:rsidRPr="008B7224">
        <w:t xml:space="preserve">oikeus </w:t>
      </w:r>
      <w:r w:rsidRPr="008B7224">
        <w:t xml:space="preserve">lausuu </w:t>
      </w:r>
      <w:r w:rsidR="00291774" w:rsidRPr="008B7224">
        <w:t xml:space="preserve">seuraavassa </w:t>
      </w:r>
      <w:r w:rsidR="00CF56F6" w:rsidRPr="008B7224">
        <w:t>ensi</w:t>
      </w:r>
      <w:r w:rsidRPr="008B7224">
        <w:t xml:space="preserve">ksi muutamista yleisistä kysymyksistä. Tämän jälkeen markkinaoikeus esittää </w:t>
      </w:r>
      <w:r w:rsidR="00CF56F6" w:rsidRPr="008B7224">
        <w:t>lukukohtais</w:t>
      </w:r>
      <w:r w:rsidRPr="008B7224">
        <w:t xml:space="preserve">esti eräitä pykäläkohtaisia kommentteja. </w:t>
      </w:r>
      <w:r w:rsidR="00291774" w:rsidRPr="008B7224">
        <w:t>Se, että jostain pykälästä tai sen perusteluista ei ole lausuttu, ei tarkoita, että markkinaoikeus pitäisi kyseistä pykälää tai perusteluja ongelmattomina.</w:t>
      </w:r>
    </w:p>
    <w:p w:rsidR="003F5918" w:rsidRDefault="003F5918" w:rsidP="00291774">
      <w:pPr>
        <w:jc w:val="both"/>
      </w:pPr>
    </w:p>
    <w:p w:rsidR="00291774" w:rsidRPr="008B7224" w:rsidRDefault="00291774" w:rsidP="00291774">
      <w:pPr>
        <w:jc w:val="both"/>
        <w:rPr>
          <w:i/>
        </w:rPr>
      </w:pPr>
      <w:r w:rsidRPr="00291774">
        <w:rPr>
          <w:i/>
        </w:rPr>
        <w:t xml:space="preserve">Ehdotetun lain </w:t>
      </w:r>
      <w:r w:rsidRPr="008B7224">
        <w:rPr>
          <w:i/>
        </w:rPr>
        <w:t>raken</w:t>
      </w:r>
      <w:r w:rsidR="00183DEE" w:rsidRPr="008B7224">
        <w:rPr>
          <w:i/>
        </w:rPr>
        <w:t>teesta</w:t>
      </w:r>
    </w:p>
    <w:p w:rsidR="00291774" w:rsidRPr="008B7224" w:rsidRDefault="00291774" w:rsidP="00291774">
      <w:pPr>
        <w:jc w:val="both"/>
      </w:pPr>
    </w:p>
    <w:p w:rsidR="00183DEE" w:rsidRDefault="00183DEE" w:rsidP="00CC5DDE">
      <w:pPr>
        <w:ind w:left="2608"/>
        <w:jc w:val="both"/>
      </w:pPr>
      <w:r w:rsidRPr="008B7224">
        <w:t xml:space="preserve">Kuten luonnoksessakin todetaan, nykyinen tavaramerkkilaki </w:t>
      </w:r>
      <w:r w:rsidR="00935B21" w:rsidRPr="008B7224">
        <w:t xml:space="preserve">kaipaa, muun ohella useista </w:t>
      </w:r>
      <w:r w:rsidRPr="008B7224">
        <w:t>osittaisuudistu</w:t>
      </w:r>
      <w:r w:rsidR="008B7224">
        <w:t>ksista</w:t>
      </w:r>
      <w:r w:rsidR="00935B21" w:rsidRPr="008B7224">
        <w:t xml:space="preserve"> johtuen</w:t>
      </w:r>
      <w:r w:rsidR="008B7224">
        <w:t>,</w:t>
      </w:r>
      <w:r w:rsidR="00935B21" w:rsidRPr="008B7224">
        <w:t xml:space="preserve"> jo rakenteeltaan kokonaisuudistusta.</w:t>
      </w:r>
      <w:r>
        <w:t xml:space="preserve"> </w:t>
      </w:r>
    </w:p>
    <w:p w:rsidR="00183DEE" w:rsidRDefault="00183DEE" w:rsidP="00CC5DDE">
      <w:pPr>
        <w:ind w:left="2608"/>
        <w:jc w:val="both"/>
      </w:pPr>
    </w:p>
    <w:p w:rsidR="00935B21" w:rsidRDefault="00935B21" w:rsidP="00935B21">
      <w:pPr>
        <w:ind w:left="2608"/>
        <w:jc w:val="both"/>
      </w:pPr>
      <w:r w:rsidRPr="008B7224">
        <w:t>Ehdotettu laki voisi systematiikaltaan ja rakenteeltaan olla vielä huomattavasti selkeämpi ja loogisempi.</w:t>
      </w:r>
      <w:r w:rsidR="00F430FA" w:rsidRPr="008B7224">
        <w:t xml:space="preserve"> Esimerkiksi tuomioistuinmenettelyä koskevat säännökset ovat ehdotetussa laissa hajallaan eri kohdissa.</w:t>
      </w:r>
      <w:r w:rsidRPr="008B7224">
        <w:t xml:space="preserve"> Paikoitellen ehdotetun lain rakennetta olisi ollut </w:t>
      </w:r>
      <w:r w:rsidR="00F430FA" w:rsidRPr="008B7224">
        <w:t xml:space="preserve">myös </w:t>
      </w:r>
      <w:r w:rsidRPr="008B7224">
        <w:t xml:space="preserve">mahdollista saattaa vastaamaan </w:t>
      </w:r>
      <w:r w:rsidRPr="008B7224">
        <w:lastRenderedPageBreak/>
        <w:t xml:space="preserve">huomattavastikin lähemmin uutta tavaramerkkidirektiiviä. </w:t>
      </w:r>
      <w:r w:rsidRPr="008B7224">
        <w:rPr>
          <w:rFonts w:cs="Times New Roman"/>
        </w:rPr>
        <w:t>Myös luonnoksessa käytetty otsikointi on paikoitellen ongelmallista.</w:t>
      </w:r>
    </w:p>
    <w:p w:rsidR="00935B21" w:rsidRDefault="00935B21" w:rsidP="00CC5DDE">
      <w:pPr>
        <w:ind w:left="2608"/>
        <w:jc w:val="both"/>
      </w:pPr>
    </w:p>
    <w:p w:rsidR="00935B21" w:rsidRDefault="00935B21" w:rsidP="00CC5DDE">
      <w:pPr>
        <w:ind w:left="2608"/>
        <w:jc w:val="both"/>
      </w:pPr>
      <w:r w:rsidRPr="008B7224">
        <w:t>Markkinaoikeus pitäisi parempana, että ehdotetussa laissa pyrittäisiin</w:t>
      </w:r>
      <w:r w:rsidR="00F430FA" w:rsidRPr="008B7224">
        <w:t xml:space="preserve"> ensinnäkin</w:t>
      </w:r>
      <w:r w:rsidRPr="008B7224">
        <w:t xml:space="preserve"> </w:t>
      </w:r>
      <w:r w:rsidR="00F430FA" w:rsidRPr="008B7224">
        <w:t xml:space="preserve">rakenteellisesti </w:t>
      </w:r>
      <w:r w:rsidRPr="008B7224">
        <w:t xml:space="preserve">erottamaan aineellista oikeutta koskevat säännökset ja </w:t>
      </w:r>
      <w:r w:rsidR="008B7224">
        <w:t xml:space="preserve">menettelylliset </w:t>
      </w:r>
      <w:r w:rsidRPr="008B7224">
        <w:t>säännökset</w:t>
      </w:r>
      <w:r w:rsidR="00F430FA" w:rsidRPr="008B7224">
        <w:t xml:space="preserve"> täysin toisistaan</w:t>
      </w:r>
      <w:r w:rsidRPr="008B7224">
        <w:t>.</w:t>
      </w:r>
    </w:p>
    <w:p w:rsidR="00935B21" w:rsidRDefault="00935B21" w:rsidP="00CC5DDE">
      <w:pPr>
        <w:ind w:left="2608"/>
        <w:jc w:val="both"/>
      </w:pPr>
    </w:p>
    <w:p w:rsidR="00DF2095" w:rsidRDefault="00F430FA" w:rsidP="000060AB">
      <w:pPr>
        <w:ind w:left="2608"/>
        <w:jc w:val="both"/>
      </w:pPr>
      <w:r w:rsidRPr="008B7224">
        <w:t>Muutoin markkinaoikeus katsoo, että e</w:t>
      </w:r>
      <w:r w:rsidR="00661855" w:rsidRPr="008B7224">
        <w:t>nsinnäkin lain a</w:t>
      </w:r>
      <w:r w:rsidR="00BB5447" w:rsidRPr="008B7224">
        <w:t xml:space="preserve">lussa </w:t>
      </w:r>
      <w:r w:rsidRPr="008B7224">
        <w:t xml:space="preserve">voisi olla paikallaan olla </w:t>
      </w:r>
      <w:r w:rsidR="00BB5447" w:rsidRPr="008B7224">
        <w:t xml:space="preserve">oma </w:t>
      </w:r>
      <w:r w:rsidR="00661855" w:rsidRPr="008B7224">
        <w:t>osionsa/</w:t>
      </w:r>
      <w:r w:rsidR="00BB5447" w:rsidRPr="008B7224">
        <w:t>lukunsa esimerkiksi otsikolla ”Yleiset säännökset”.</w:t>
      </w:r>
      <w:r w:rsidR="00661855" w:rsidRPr="008B7224">
        <w:t xml:space="preserve"> Tämän alla voisivat olla muun ohella ehdotetun 2 §:n määritelmät, jotka eivät lainkaan sovi ehdotetun 1 luvun ”Yksinoikeuden sisältö” alle, kuten ei myöskään ehdotettu 1 §.</w:t>
      </w:r>
      <w:r w:rsidR="00DF2095" w:rsidRPr="008B7224">
        <w:t xml:space="preserve"> </w:t>
      </w:r>
      <w:r w:rsidR="00406363" w:rsidRPr="008B7224">
        <w:t>On myös kyseenalaista, että sekä 1 luvun että 5 §:n nimi on ”Yksinoikeuden sisältö”.</w:t>
      </w:r>
    </w:p>
    <w:p w:rsidR="00947055" w:rsidRDefault="00947055" w:rsidP="00CC5DDE">
      <w:pPr>
        <w:ind w:left="2608"/>
        <w:jc w:val="both"/>
      </w:pPr>
    </w:p>
    <w:p w:rsidR="00841520" w:rsidRDefault="00C06CB1" w:rsidP="00CC5DDE">
      <w:pPr>
        <w:ind w:left="2608"/>
        <w:jc w:val="both"/>
      </w:pPr>
      <w:r>
        <w:t xml:space="preserve">Aineellista oikeutta </w:t>
      </w:r>
      <w:r w:rsidRPr="008B7224">
        <w:t xml:space="preserve">käsittelevässä </w:t>
      </w:r>
      <w:r w:rsidR="00F430FA" w:rsidRPr="008B7224">
        <w:t>jaksossa</w:t>
      </w:r>
      <w:r w:rsidR="00F430FA">
        <w:t xml:space="preserve"> </w:t>
      </w:r>
      <w:r w:rsidR="00CC5DDE">
        <w:t>olisi loogisempaa ja tavaramerkkidirektiivin rakenteen kanssa yhteensopivampaa käsitellä ensin, mikä ylipäänsä voi olla tavaramerkkinä sekä hylkäys- ja mitättömyysperusteet, ja vasta tämän jälkeen määritellä tavaramerkin antamat oike</w:t>
      </w:r>
      <w:r w:rsidR="00841520">
        <w:t>udet ja oikeuksien rajoitukset.</w:t>
      </w:r>
      <w:r w:rsidR="00DF2095">
        <w:t xml:space="preserve"> </w:t>
      </w:r>
      <w:r w:rsidR="004016B9" w:rsidRPr="008B7224">
        <w:t xml:space="preserve">Tähän </w:t>
      </w:r>
      <w:r w:rsidR="00F430FA" w:rsidRPr="008B7224">
        <w:t xml:space="preserve">jaksoon </w:t>
      </w:r>
      <w:r w:rsidR="004016B9" w:rsidRPr="008B7224">
        <w:t>sopisi</w:t>
      </w:r>
      <w:r w:rsidR="00F430FA" w:rsidRPr="008B7224">
        <w:t>vat</w:t>
      </w:r>
      <w:r w:rsidR="004016B9" w:rsidRPr="008B7224">
        <w:t xml:space="preserve"> myös </w:t>
      </w:r>
      <w:r w:rsidR="00F430FA" w:rsidRPr="008B7224">
        <w:t xml:space="preserve">säännökset </w:t>
      </w:r>
      <w:r w:rsidR="004016B9" w:rsidRPr="008B7224">
        <w:t>tavaramerkeistä omistusoikeuden kohteina (luovutus, panttaus ym.).</w:t>
      </w:r>
      <w:r w:rsidR="000060AB" w:rsidRPr="008B7224">
        <w:t xml:space="preserve"> </w:t>
      </w:r>
      <w:r w:rsidR="00F430FA" w:rsidRPr="008B7224">
        <w:t>Jaksossa voisi lopuksi säätää myös menettämisperusteista.</w:t>
      </w:r>
      <w:r w:rsidR="00F430FA" w:rsidRPr="004016B9">
        <w:t xml:space="preserve"> </w:t>
      </w:r>
    </w:p>
    <w:p w:rsidR="00841520" w:rsidRDefault="00841520" w:rsidP="00CC5DDE">
      <w:pPr>
        <w:ind w:left="2608"/>
        <w:jc w:val="both"/>
      </w:pPr>
    </w:p>
    <w:p w:rsidR="00841520" w:rsidRDefault="000060AB" w:rsidP="00CC5DDE">
      <w:pPr>
        <w:ind w:left="2608"/>
        <w:jc w:val="both"/>
      </w:pPr>
      <w:r w:rsidRPr="008B7224">
        <w:t xml:space="preserve">Menettelyjä </w:t>
      </w:r>
      <w:r w:rsidR="00F430FA" w:rsidRPr="008B7224">
        <w:t xml:space="preserve">koskevat säännökset olisi syytä jakaa kahteen eri jaksoon – yhtäältä säännöksiin koskien menettelyä rekisteriviranomaisessa sekä toisaalta </w:t>
      </w:r>
      <w:r w:rsidRPr="008B7224">
        <w:t>tuomioistuinmenettely</w:t>
      </w:r>
      <w:r w:rsidR="00F430FA" w:rsidRPr="008B7224">
        <w:t>ä koskeviin säännöksiin</w:t>
      </w:r>
      <w:r w:rsidRPr="008B7224">
        <w:t>.</w:t>
      </w:r>
      <w:r w:rsidR="00E836C1" w:rsidRPr="008B7224">
        <w:t xml:space="preserve"> Ensin mainituissa </w:t>
      </w:r>
      <w:r w:rsidR="00F430FA" w:rsidRPr="008B7224">
        <w:t xml:space="preserve">jaksossa </w:t>
      </w:r>
      <w:r w:rsidR="00E836C1" w:rsidRPr="008B7224">
        <w:t>voitaisiin säätää tavaramerkin hakemisesta ja sen rekisteröinnistä, väite</w:t>
      </w:r>
      <w:r w:rsidR="00F430FA" w:rsidRPr="008B7224">
        <w:t>menettelystä</w:t>
      </w:r>
      <w:r w:rsidR="00E836C1" w:rsidRPr="008B7224">
        <w:t>, menettämis- ja mitättömyysmenettelyistä sekä rekisteröinnin kestosta ja uudistamisesta.</w:t>
      </w:r>
    </w:p>
    <w:p w:rsidR="009E5A5A" w:rsidRDefault="009E5A5A" w:rsidP="00CC5DDE">
      <w:pPr>
        <w:ind w:left="2608"/>
        <w:jc w:val="both"/>
      </w:pPr>
    </w:p>
    <w:p w:rsidR="00B56423" w:rsidRDefault="009E5A5A" w:rsidP="00B56423">
      <w:pPr>
        <w:ind w:left="2608"/>
        <w:jc w:val="both"/>
      </w:pPr>
      <w:r>
        <w:t>Tuomioistuimenette</w:t>
      </w:r>
      <w:r w:rsidRPr="008B7224">
        <w:t>lyä koskev</w:t>
      </w:r>
      <w:r w:rsidR="00F430FA" w:rsidRPr="008B7224">
        <w:t xml:space="preserve">aan jaksoon </w:t>
      </w:r>
      <w:r w:rsidRPr="008B7224">
        <w:t xml:space="preserve">tulisi </w:t>
      </w:r>
      <w:r w:rsidR="00F430FA" w:rsidRPr="008B7224">
        <w:t xml:space="preserve">puolestaan sisällytettäväksi säännökset toimivaltaisesta </w:t>
      </w:r>
      <w:r w:rsidRPr="008B7224">
        <w:t>tuomioistuime</w:t>
      </w:r>
      <w:r w:rsidR="00F430FA" w:rsidRPr="008B7224">
        <w:t xml:space="preserve">sta, mahdolliset </w:t>
      </w:r>
      <w:r w:rsidR="002058D1" w:rsidRPr="008B7224">
        <w:t xml:space="preserve">itse tuomioistuinmenettelyyn liittyvät säännökset (kuten säännökset </w:t>
      </w:r>
      <w:r w:rsidRPr="008B7224">
        <w:t>tavaramerkin menettämis</w:t>
      </w:r>
      <w:r w:rsidR="002058D1" w:rsidRPr="008B7224">
        <w:t xml:space="preserve">tä </w:t>
      </w:r>
      <w:r w:rsidRPr="008B7224">
        <w:t>tai mitätöi</w:t>
      </w:r>
      <w:r w:rsidR="002058D1" w:rsidRPr="008B7224">
        <w:t xml:space="preserve">ntiä koskevien kanteiden nostamisesta) sekä </w:t>
      </w:r>
      <w:r w:rsidRPr="008B7224">
        <w:t>seuraamuksista.</w:t>
      </w:r>
      <w:r w:rsidR="002058D1">
        <w:t xml:space="preserve"> </w:t>
      </w:r>
    </w:p>
    <w:p w:rsidR="00B56423" w:rsidRDefault="00B56423" w:rsidP="00CC5DDE">
      <w:pPr>
        <w:ind w:left="2608"/>
        <w:jc w:val="both"/>
      </w:pPr>
    </w:p>
    <w:p w:rsidR="000060AB" w:rsidRDefault="000060AB" w:rsidP="00CC5DDE">
      <w:pPr>
        <w:ind w:left="2608"/>
        <w:jc w:val="both"/>
      </w:pPr>
      <w:r>
        <w:t xml:space="preserve">Kansainvälisiä rekisteröintejä koskeva </w:t>
      </w:r>
      <w:r w:rsidR="009E5A5A">
        <w:t>osio/luku</w:t>
      </w:r>
      <w:r>
        <w:t xml:space="preserve"> lienee selvintä pitää erillään </w:t>
      </w:r>
      <w:r w:rsidR="009E5A5A">
        <w:t>muista osioista/luvuista luonnoksen mukaisesti.</w:t>
      </w:r>
    </w:p>
    <w:p w:rsidR="009E5A5A" w:rsidRDefault="009E5A5A" w:rsidP="00CC5DDE">
      <w:pPr>
        <w:ind w:left="2608"/>
        <w:jc w:val="both"/>
      </w:pPr>
    </w:p>
    <w:p w:rsidR="009E5A5A" w:rsidRDefault="009E5A5A" w:rsidP="00CC5DDE">
      <w:pPr>
        <w:ind w:left="2608"/>
        <w:jc w:val="both"/>
      </w:pPr>
      <w:r>
        <w:t>Loppuun sopivat luontevasti erityisiä säännöksiä sekä voimaantuloa koskevat osiot/luvut.</w:t>
      </w:r>
    </w:p>
    <w:p w:rsidR="008B7224" w:rsidRDefault="008B7224" w:rsidP="00CC5DDE">
      <w:pPr>
        <w:ind w:left="2608"/>
        <w:jc w:val="both"/>
      </w:pPr>
    </w:p>
    <w:p w:rsidR="008B7224" w:rsidRDefault="008B7224" w:rsidP="00CC5DDE">
      <w:pPr>
        <w:ind w:left="2608"/>
        <w:jc w:val="both"/>
      </w:pPr>
      <w:r>
        <w:t>Markkinaoikeus pitäisi toivottavana, että säännöksistä kävisi selvemmin ilmi, miltä osin mitkäkin säännökset koskevat kansallisia tavaramerkkejä, EU-tavaramerkkejä tai kansainvälisiä rekisteröintejä.</w:t>
      </w:r>
    </w:p>
    <w:p w:rsidR="002058D1" w:rsidRDefault="002058D1" w:rsidP="002058D1">
      <w:pPr>
        <w:jc w:val="both"/>
      </w:pPr>
    </w:p>
    <w:p w:rsidR="002058D1" w:rsidRPr="00980C69" w:rsidRDefault="002058D1" w:rsidP="002058D1">
      <w:pPr>
        <w:jc w:val="both"/>
        <w:rPr>
          <w:i/>
        </w:rPr>
      </w:pPr>
      <w:r>
        <w:rPr>
          <w:i/>
        </w:rPr>
        <w:t>Hallinnollinen mitättömyys- ja menettämismenettely</w:t>
      </w:r>
    </w:p>
    <w:p w:rsidR="002058D1" w:rsidRDefault="002058D1" w:rsidP="002058D1">
      <w:pPr>
        <w:ind w:left="2608"/>
        <w:jc w:val="both"/>
      </w:pPr>
    </w:p>
    <w:p w:rsidR="002058D1" w:rsidRDefault="002058D1" w:rsidP="002058D1">
      <w:pPr>
        <w:ind w:left="2608"/>
        <w:jc w:val="both"/>
      </w:pPr>
      <w:r>
        <w:t>Lausuntopyynnössä on pyydetty erityisesti lausumaan ehdotetusta hallinnollista menettämistä ja mitättömyyttä koskevasta sääntelystä.</w:t>
      </w:r>
    </w:p>
    <w:p w:rsidR="002058D1" w:rsidRDefault="002058D1" w:rsidP="002058D1">
      <w:pPr>
        <w:ind w:left="2608"/>
        <w:jc w:val="both"/>
      </w:pPr>
    </w:p>
    <w:p w:rsidR="002058D1" w:rsidRDefault="002058D1" w:rsidP="002058D1">
      <w:pPr>
        <w:ind w:left="2608"/>
        <w:jc w:val="both"/>
      </w:pPr>
      <w:r>
        <w:t xml:space="preserve">Luonnoksessa todetaan, kuinka työryhmä on arvioinut sitä, soveltuisiko vastaavanlainen hallinnollinen menettely kuin Ruotsissa otettavaksi käytäntöön </w:t>
      </w:r>
      <w:r>
        <w:lastRenderedPageBreak/>
        <w:t xml:space="preserve">myös Suomessa vai tulisiko hallinnollisessa menettelyssä pystyä ratkaisemaan myös riitaiset asiat, sekä todettu edelleen, että työryhmä on pitänyt tärkeänä, että sinänsä myös riitaiset asiat voidaan käsitellä hallinnollisessa menettelyssä. </w:t>
      </w:r>
    </w:p>
    <w:p w:rsidR="002058D1" w:rsidRDefault="002058D1" w:rsidP="002058D1">
      <w:pPr>
        <w:ind w:left="2608"/>
        <w:jc w:val="both"/>
      </w:pPr>
    </w:p>
    <w:p w:rsidR="002058D1" w:rsidRDefault="002058D1" w:rsidP="002058D1">
      <w:pPr>
        <w:ind w:left="2608"/>
        <w:jc w:val="both"/>
      </w:pPr>
      <w:r>
        <w:t xml:space="preserve">On valitettavaa todeta, mutta työryhmän arviointi puheena olevan kysymyksen osalta ei suuresti vakuuta. </w:t>
      </w:r>
    </w:p>
    <w:p w:rsidR="002058D1" w:rsidRDefault="002058D1" w:rsidP="002058D1">
      <w:pPr>
        <w:ind w:left="2608"/>
        <w:jc w:val="both"/>
      </w:pPr>
    </w:p>
    <w:p w:rsidR="002058D1" w:rsidRDefault="002058D1" w:rsidP="002058D1">
      <w:pPr>
        <w:ind w:left="2608"/>
        <w:jc w:val="both"/>
      </w:pPr>
      <w:r>
        <w:t xml:space="preserve">On ensinnäkin yllättävää, että lausunnossa on kokonaan sivuutettu sen esiintuominen, minkä vuoksi Ruotsissa on päädytty ratkaisuun, jonka mukaan siellä ei ole katsottu asianmukaiseksi antaa rekisteriviranomaiselle toimivaltaa ratkaista hallinnollisessa menettelyssä niin sanottuja riitaisia asioita. Tältä osinhan Ruotsissa on lähdetty siitä, että mainittujen riitaisten asioiden osalta kyse on nimenomaan </w:t>
      </w:r>
      <w:r w:rsidRPr="00ED5776">
        <w:rPr>
          <w:u w:val="single"/>
        </w:rPr>
        <w:t>sanottujen asioiden luonteesta johtuen</w:t>
      </w:r>
      <w:r>
        <w:t xml:space="preserve"> tuomioistuimille kuuluvasta lainkäyttöasioista, ei hallintoviranomaisille kuuluvasta asiasta. </w:t>
      </w:r>
    </w:p>
    <w:p w:rsidR="002058D1" w:rsidRDefault="002058D1" w:rsidP="002058D1">
      <w:pPr>
        <w:ind w:left="2608"/>
        <w:jc w:val="both"/>
      </w:pPr>
    </w:p>
    <w:p w:rsidR="002058D1" w:rsidRDefault="002058D1" w:rsidP="002058D1">
      <w:pPr>
        <w:ind w:left="2608"/>
        <w:jc w:val="both"/>
      </w:pPr>
      <w:r>
        <w:t>Ottaen huomioon Suomen ja Ruotsin oikeusjärjestelmien huomattava samankaltaisuus ja yhdenmukaisuus, on hyvinkin esitettävissä, että edellä mainitun näkökohdan valossa asiaa tulisi arvioida Suomessa vastaavalla tavalla</w:t>
      </w:r>
      <w:r w:rsidR="00976B7B">
        <w:t xml:space="preserve"> kuin</w:t>
      </w:r>
      <w:r>
        <w:t xml:space="preserve"> Ruotsissa on tehty. Nyt työryhmä on kuitenkin täysin sivuuttanut koko arvioinnin suorittamisen. </w:t>
      </w:r>
    </w:p>
    <w:p w:rsidR="002058D1" w:rsidRDefault="002058D1" w:rsidP="002058D1">
      <w:pPr>
        <w:ind w:left="2608"/>
        <w:jc w:val="both"/>
      </w:pPr>
    </w:p>
    <w:p w:rsidR="002058D1" w:rsidRDefault="002058D1" w:rsidP="002058D1">
      <w:pPr>
        <w:ind w:left="2608"/>
        <w:jc w:val="both"/>
      </w:pPr>
      <w:r>
        <w:t xml:space="preserve">Markkinaoikeus katsoo, että asianmukainen jatkovalmistelu edellyttää ehdottomasti edellä mainitun </w:t>
      </w:r>
      <w:r w:rsidRPr="008B7224">
        <w:t xml:space="preserve">kysymyksen </w:t>
      </w:r>
      <w:r w:rsidR="0095276A" w:rsidRPr="008B7224">
        <w:t>huolellista ja perusteellista</w:t>
      </w:r>
      <w:r w:rsidRPr="008B7224">
        <w:t xml:space="preserve"> arviointia, mahdollisesti myös perustuslaillisista näkökohdista</w:t>
      </w:r>
      <w:r w:rsidR="00C17820" w:rsidRPr="008B7224">
        <w:t xml:space="preserve"> (luonnoksessahan asia</w:t>
      </w:r>
      <w:r w:rsidR="00976B7B">
        <w:t>a</w:t>
      </w:r>
      <w:r w:rsidR="00C17820" w:rsidRPr="008B7224">
        <w:t xml:space="preserve"> on arvioitu perustuslain 21 §:n näkökulmasta, muttei lainkaan </w:t>
      </w:r>
      <w:r w:rsidR="00976B7B">
        <w:t xml:space="preserve">perustuslain </w:t>
      </w:r>
      <w:r w:rsidR="00C17820" w:rsidRPr="008B7224">
        <w:t>3 ja 98 §:n näkökulmasta).</w:t>
      </w:r>
    </w:p>
    <w:p w:rsidR="002058D1" w:rsidRDefault="002058D1" w:rsidP="002058D1">
      <w:pPr>
        <w:ind w:left="2608"/>
        <w:jc w:val="both"/>
      </w:pPr>
    </w:p>
    <w:p w:rsidR="002058D1" w:rsidRDefault="002058D1" w:rsidP="002058D1">
      <w:pPr>
        <w:ind w:left="2608"/>
        <w:jc w:val="both"/>
      </w:pPr>
      <w:r>
        <w:t>Markkinaoikeuden näkemyksen mukaan työryhmän edellä mainittu näkemys, jonka mukaan työryhmän mielestä on ollut tärkeää, että</w:t>
      </w:r>
      <w:r w:rsidR="00976B7B">
        <w:t xml:space="preserve"> </w:t>
      </w:r>
      <w:r>
        <w:t xml:space="preserve">myös riitaiset asiat voidaan käsitellä hallinnollisessa menettelyssä, jää luonnoksessa esitetyn perusteella muutoinkin varsin perustelemattomaksi. Päinvastoin, luonnoksessakin todetaan, kuinka mainitulta osin kyse on luonteeltaan loppujen lopuksi yksityisoikeudellisen vaatimuksen ratkaisemisesta (joka luonnoksessa esitetynkin mukaan vaikuttaisi luonteeltaan kuuluvan </w:t>
      </w:r>
      <w:r w:rsidR="00976B7B">
        <w:t xml:space="preserve">nimenomaan </w:t>
      </w:r>
      <w:r>
        <w:t xml:space="preserve">tuomioistuimille ja johon hallintomenettely ei tyypillisesti edes sovellu), minkä lisäksi lausunnossakin tuodaan esiin, ettei suullisen todistelun esittäminen hallinnollisessa menettelyssä ole mahdollista samassa laajuudessa kuin tuomioistuinmenettelyssä. Markkinaoikeus katsookin, ettei luonnoksessa vaikutettaisi esitetyn minkäänlaisia todellisia perusteita sille, minkä vuoksi hallinnollinen mitättömyys- ja menettämismenettely tulisi kattaa käsittämään myös ns. riitaiset asiat. </w:t>
      </w:r>
    </w:p>
    <w:p w:rsidR="002058D1" w:rsidRDefault="002058D1" w:rsidP="002058D1">
      <w:pPr>
        <w:ind w:left="2608"/>
        <w:jc w:val="both"/>
      </w:pPr>
    </w:p>
    <w:p w:rsidR="002058D1" w:rsidRDefault="00976B7B" w:rsidP="002058D1">
      <w:pPr>
        <w:ind w:left="2608"/>
        <w:jc w:val="both"/>
      </w:pPr>
      <w:r>
        <w:t xml:space="preserve">Viimeksi mainittuun liittyen </w:t>
      </w:r>
      <w:r w:rsidR="002058D1">
        <w:t xml:space="preserve">on myös huomattava, ettei luonnoksessa vaikutettaisi lainkaan arvioidun sitä, mikä on Patentti- ja rekisterihallituksen kyky käsitellä mainittuja riitaisia asioita ja tehdä niissä asianmukaisesti perusteltu ratkaisu. Patentti- ja rekisterihallituksellahan ei käytännössä ole minkäänlaista kokemusta näyttöratkaisujen tekemisestä ja perustelemisesta. </w:t>
      </w:r>
    </w:p>
    <w:p w:rsidR="002058D1" w:rsidRDefault="002058D1" w:rsidP="002058D1">
      <w:pPr>
        <w:ind w:left="2608"/>
        <w:jc w:val="both"/>
      </w:pPr>
    </w:p>
    <w:p w:rsidR="002058D1" w:rsidRDefault="002058D1" w:rsidP="002058D1">
      <w:pPr>
        <w:ind w:left="2608"/>
        <w:jc w:val="both"/>
      </w:pPr>
      <w:r>
        <w:t xml:space="preserve">Markkinaoikeus pitää jo periaatteellisessa mielessä ongelmallisena myös ajatusta siitä, että tilanteessa, jossa rekisteröinti on kumottu puhtaasti merkin haltijan vastaamattomuuden perusteella, asia tulisi ensimmäisen kerran asiallisesti arvioitavaksi vasta markkinaoikeudessa. Markkinaoikeuden </w:t>
      </w:r>
      <w:r>
        <w:lastRenderedPageBreak/>
        <w:t xml:space="preserve">näkemyksen mukaan sanottu ei vastaa lainkaan sitä, että markkinaoikeuden tulisi toimia valitustuomioistuimena Patentti- ja rekisterihallituksen tekemistä päätöksistä. </w:t>
      </w:r>
    </w:p>
    <w:p w:rsidR="002058D1" w:rsidRDefault="002058D1" w:rsidP="002058D1">
      <w:pPr>
        <w:jc w:val="both"/>
      </w:pPr>
    </w:p>
    <w:p w:rsidR="002058D1" w:rsidRPr="00980C69" w:rsidRDefault="002058D1" w:rsidP="002058D1">
      <w:pPr>
        <w:jc w:val="both"/>
        <w:rPr>
          <w:i/>
        </w:rPr>
      </w:pPr>
      <w:r>
        <w:rPr>
          <w:i/>
        </w:rPr>
        <w:t xml:space="preserve">Tavara- ja palveluluettelojen täsmennysmenettely </w:t>
      </w:r>
    </w:p>
    <w:p w:rsidR="002058D1" w:rsidRDefault="002058D1" w:rsidP="002058D1">
      <w:pPr>
        <w:jc w:val="both"/>
      </w:pPr>
    </w:p>
    <w:p w:rsidR="002058D1" w:rsidRDefault="002058D1" w:rsidP="002058D1">
      <w:pPr>
        <w:ind w:left="2596"/>
        <w:jc w:val="both"/>
      </w:pPr>
      <w:r w:rsidRPr="00E442A5">
        <w:t xml:space="preserve">Luonnoksessa </w:t>
      </w:r>
      <w:r w:rsidR="00C17820" w:rsidRPr="00E442A5">
        <w:t xml:space="preserve">ehdotetaan </w:t>
      </w:r>
      <w:r w:rsidRPr="00E442A5">
        <w:t>tavara</w:t>
      </w:r>
      <w:r w:rsidRPr="00F748EC">
        <w:t>- ja palvelul</w:t>
      </w:r>
      <w:r>
        <w:t>uettelojen täsmennysmenettelyä viimeistään tavara</w:t>
      </w:r>
      <w:r w:rsidR="008B7224">
        <w:t>merkin uudistamisen yhteydessä.</w:t>
      </w:r>
      <w:r w:rsidR="00C17820">
        <w:t xml:space="preserve"> </w:t>
      </w:r>
      <w:r w:rsidR="008B7224">
        <w:t xml:space="preserve">Ehdotuksen taustalla on </w:t>
      </w:r>
      <w:r>
        <w:t>unionin t</w:t>
      </w:r>
      <w:r w:rsidR="008B7224">
        <w:t>uomioistuimen 19.6.2012 antama tuomio</w:t>
      </w:r>
      <w:r>
        <w:t xml:space="preserve"> Chartered Institute of Patent Attorneys (C-307/10, EU:C:2012:361; jäljempänä tuomio IP Translator).</w:t>
      </w:r>
    </w:p>
    <w:p w:rsidR="002058D1" w:rsidRDefault="002058D1" w:rsidP="002058D1">
      <w:pPr>
        <w:ind w:left="2596"/>
        <w:jc w:val="both"/>
      </w:pPr>
    </w:p>
    <w:p w:rsidR="002058D1" w:rsidRDefault="00C17820" w:rsidP="002058D1">
      <w:pPr>
        <w:ind w:left="2596"/>
        <w:jc w:val="both"/>
      </w:pPr>
      <w:r w:rsidRPr="008B7224">
        <w:t xml:space="preserve">Ehdotusta voidaan pitää useammassakin suhteessa ongelmallisena. </w:t>
      </w:r>
      <w:r w:rsidR="002058D1" w:rsidRPr="008B7224">
        <w:t>Ensinnäkin</w:t>
      </w:r>
      <w:r w:rsidR="002058D1">
        <w:t xml:space="preserve"> ehdotus loisi lain voimaantuloa seuraavien lähes kymmenen vuoden ajalle oikeudellisen epävarmuuden tilan, kun täsmennysilmoituksia voisi tulla kymmenen vuoden </w:t>
      </w:r>
      <w:r w:rsidR="008B7224">
        <w:t>ajan uuden lain voimaantulosta.</w:t>
      </w:r>
    </w:p>
    <w:p w:rsidR="002058D1" w:rsidRDefault="002058D1" w:rsidP="002058D1">
      <w:pPr>
        <w:ind w:left="2596"/>
        <w:jc w:val="both"/>
      </w:pPr>
    </w:p>
    <w:p w:rsidR="002058D1" w:rsidRDefault="002058D1" w:rsidP="002058D1">
      <w:pPr>
        <w:ind w:left="2596"/>
        <w:jc w:val="both"/>
      </w:pPr>
      <w:r>
        <w:t>Toiseksi säännöksellä vaikutetaan takautuvasti tavaramerkin haltijoiden suojan laajuuteen</w:t>
      </w:r>
      <w:r w:rsidR="00C17820" w:rsidRPr="008B7224">
        <w:t xml:space="preserve">. Tämä voi olla ongelmallista jo perustuslain omaisuuden suojan kannalta, minkä lisäksi se </w:t>
      </w:r>
      <w:r w:rsidRPr="008B7224">
        <w:t>saattaa herättää kysymyksiä s</w:t>
      </w:r>
      <w:r w:rsidR="00C17820" w:rsidRPr="008B7224">
        <w:t xml:space="preserve">ääntelyn </w:t>
      </w:r>
      <w:r w:rsidRPr="008B7224">
        <w:t>yhdenmukaisuudesta unio</w:t>
      </w:r>
      <w:r w:rsidR="00976B7B">
        <w:t>n</w:t>
      </w:r>
      <w:r w:rsidRPr="008B7224">
        <w:t>in oikeuden kanssa.</w:t>
      </w:r>
    </w:p>
    <w:p w:rsidR="002058D1" w:rsidRDefault="002058D1" w:rsidP="002058D1">
      <w:pPr>
        <w:ind w:left="2596"/>
        <w:jc w:val="both"/>
      </w:pPr>
    </w:p>
    <w:p w:rsidR="002058D1" w:rsidRDefault="00E92CBB" w:rsidP="00CC41EF">
      <w:pPr>
        <w:ind w:left="2596"/>
        <w:jc w:val="both"/>
      </w:pPr>
      <w:r>
        <w:t xml:space="preserve">Unionin tuomioistuin on </w:t>
      </w:r>
      <w:r w:rsidRPr="00E92CBB">
        <w:t>tuomion IP Translator jälkeen antamassa</w:t>
      </w:r>
      <w:r>
        <w:t>an</w:t>
      </w:r>
      <w:r w:rsidR="00CC41EF">
        <w:t>, EU-tavaramerkkejä koskevassa</w:t>
      </w:r>
      <w:r w:rsidRPr="00E92CBB">
        <w:t xml:space="preserve"> oikeuskäytännössä täsmentänyt, että mainitussa tuomiossa tehtiin tarkennuksia vain uusia tavaramerkkihakemuksia koskeviin vaatimuksiin, eikä siinä annettuja oikeusohjeita sovelleta aiempiin tavaramerkkeihin</w:t>
      </w:r>
      <w:r w:rsidR="00CC41EF">
        <w:t xml:space="preserve"> (tuomio 16.2.2017, </w:t>
      </w:r>
      <w:r w:rsidR="00CC41EF" w:rsidRPr="00DB1CBD">
        <w:t>Brandconc</w:t>
      </w:r>
      <w:r w:rsidR="00CC41EF">
        <w:t>ern v. EUIPO ja Scooters India, C-</w:t>
      </w:r>
      <w:r w:rsidR="00CC41EF" w:rsidRPr="00DB1CBD">
        <w:t>577/14 P, EU:C:2017:122</w:t>
      </w:r>
      <w:r w:rsidR="00CC41EF">
        <w:t xml:space="preserve"> ja tuomio 11.10.2017, EUIPO v. Cactus, C-501/15 P, </w:t>
      </w:r>
      <w:r w:rsidR="00CC41EF" w:rsidRPr="00DB1CBD">
        <w:t>EU:C:2017:750</w:t>
      </w:r>
      <w:r w:rsidR="00CC41EF">
        <w:t>).</w:t>
      </w:r>
    </w:p>
    <w:p w:rsidR="008B7224" w:rsidRDefault="008B7224" w:rsidP="002058D1">
      <w:pPr>
        <w:ind w:left="2596"/>
        <w:jc w:val="both"/>
      </w:pPr>
    </w:p>
    <w:p w:rsidR="008B7224" w:rsidRDefault="008B7224" w:rsidP="00A42C05">
      <w:pPr>
        <w:ind w:left="2596"/>
        <w:jc w:val="both"/>
      </w:pPr>
      <w:r w:rsidRPr="00CC41EF">
        <w:t xml:space="preserve">Euroopan unionin </w:t>
      </w:r>
      <w:r w:rsidR="00CC41EF" w:rsidRPr="00CC41EF">
        <w:t>tavaramerkistä 14.6.2017 annetussa</w:t>
      </w:r>
      <w:r w:rsidRPr="00CC41EF">
        <w:t xml:space="preserve"> Euroopan pa</w:t>
      </w:r>
      <w:r w:rsidR="00CC41EF" w:rsidRPr="00CC41EF">
        <w:t>rlamentin ja neuvoston asetuksessa</w:t>
      </w:r>
      <w:r w:rsidRPr="00CC41EF">
        <w:t xml:space="preserve"> (EU) 2017/1001 (jäljempänä EU-tavaramerkkiasetus)</w:t>
      </w:r>
      <w:r w:rsidR="00CC41EF" w:rsidRPr="00CC41EF">
        <w:t xml:space="preserve"> on säädetty täsmennysmenettelystä EU-tavaramerkkien osalta. Markkinaoikeus</w:t>
      </w:r>
      <w:r w:rsidR="00CC41EF">
        <w:t xml:space="preserve"> toteaa, että tavaramerkkidirektiivissä ei ole säännöstä jo rekisteröityjen tavaramerkkien tavara- ja palveluluokkien täsmennyksestä tai sellaisen takautuvasta soveltamisesta. Herääkin kysymys, voidaanko pelkän </w:t>
      </w:r>
      <w:r w:rsidR="00A42C05">
        <w:t>EU-tavaramerkki</w:t>
      </w:r>
      <w:r w:rsidR="00CC41EF">
        <w:t xml:space="preserve">asetuksen </w:t>
      </w:r>
      <w:r w:rsidR="00A42C05">
        <w:t>perusteella kansallisesti ottaa käyttöön vastaava täsmennysmenettely.</w:t>
      </w:r>
    </w:p>
    <w:p w:rsidR="002058D1" w:rsidRDefault="002058D1" w:rsidP="002058D1">
      <w:pPr>
        <w:ind w:left="2596"/>
        <w:jc w:val="both"/>
      </w:pPr>
    </w:p>
    <w:p w:rsidR="002058D1" w:rsidRDefault="002058D1" w:rsidP="00A42C05">
      <w:pPr>
        <w:ind w:left="2596"/>
        <w:jc w:val="both"/>
      </w:pPr>
      <w:r>
        <w:t xml:space="preserve">Markkinaoikeus toteaa, että </w:t>
      </w:r>
      <w:r w:rsidR="00FC3B48">
        <w:t xml:space="preserve">luonnoksen </w:t>
      </w:r>
      <w:r>
        <w:t>yleisperustelujen luvussa</w:t>
      </w:r>
      <w:r w:rsidR="00FC3B48">
        <w:t> </w:t>
      </w:r>
      <w:r>
        <w:t>3 on hieman avattu eri toteuttamisvaihtoehtoja ja sitä, miksi t</w:t>
      </w:r>
      <w:r w:rsidRPr="00587B2A">
        <w:t xml:space="preserve">äsmennysmenettelyn käyttöönottoa </w:t>
      </w:r>
      <w:r>
        <w:t xml:space="preserve">ehdotetaan. </w:t>
      </w:r>
      <w:r w:rsidR="00A42C05">
        <w:t>Luonnoksen yksityiskohtaisissa perusteluissa</w:t>
      </w:r>
      <w:r w:rsidR="00A42C05" w:rsidRPr="00A42C05">
        <w:t xml:space="preserve"> </w:t>
      </w:r>
      <w:r w:rsidR="00A42C05">
        <w:t xml:space="preserve">suhteesta perustuslakiin </w:t>
      </w:r>
      <w:r>
        <w:t xml:space="preserve">todetaan, </w:t>
      </w:r>
      <w:r w:rsidRPr="00A42C05">
        <w:t xml:space="preserve">että </w:t>
      </w:r>
      <w:r w:rsidR="00FC3B48" w:rsidRPr="00A42C05">
        <w:t xml:space="preserve">ehdotettu </w:t>
      </w:r>
      <w:r w:rsidRPr="00A42C05">
        <w:t>muutos ei olisi takautuva</w:t>
      </w:r>
      <w:r>
        <w:t xml:space="preserve">, vaan tulkinnan muutos vaikuttaisi asioihin, jotka tulevat vireille sen jälkeen, kun tavaramerkin voimassaolo tulisi uudistaa ensimmäisen kerran lain voimaantultua. Markkinaoikeuden käsityksen mukaan muutos kuitenkin olisi takautuva, koska uudistamisen jälkeen merkin suoja-ala voisi supistua </w:t>
      </w:r>
      <w:r w:rsidRPr="00A42C05">
        <w:t xml:space="preserve">huomattavastikin, </w:t>
      </w:r>
      <w:r w:rsidR="00FC3B48" w:rsidRPr="00A42C05">
        <w:t xml:space="preserve">esimerkiksi </w:t>
      </w:r>
      <w:r w:rsidRPr="00A42C05">
        <w:t>jos merkin haltija</w:t>
      </w:r>
      <w:r>
        <w:t xml:space="preserve"> ei ole huomannut samalla ilmoittaa täsmennyksestä.</w:t>
      </w:r>
    </w:p>
    <w:p w:rsidR="002058D1" w:rsidRDefault="002058D1" w:rsidP="00AE2973"/>
    <w:p w:rsidR="00A42C05" w:rsidRPr="00E51969" w:rsidRDefault="00A42C05" w:rsidP="00AE2973"/>
    <w:p w:rsidR="004A264C" w:rsidRDefault="004A264C">
      <w:pPr>
        <w:spacing w:after="160" w:line="259" w:lineRule="auto"/>
        <w:rPr>
          <w:i/>
        </w:rPr>
      </w:pPr>
      <w:r>
        <w:rPr>
          <w:i/>
        </w:rPr>
        <w:br w:type="page"/>
      </w:r>
    </w:p>
    <w:p w:rsidR="003F5918" w:rsidRDefault="00DF2095" w:rsidP="003F5918">
      <w:pPr>
        <w:rPr>
          <w:i/>
        </w:rPr>
      </w:pPr>
      <w:r>
        <w:rPr>
          <w:i/>
        </w:rPr>
        <w:lastRenderedPageBreak/>
        <w:t>1 luku Yksinoikeuden sisältö</w:t>
      </w:r>
    </w:p>
    <w:p w:rsidR="003F5918" w:rsidRPr="00E51969" w:rsidRDefault="003F5918" w:rsidP="003F5918"/>
    <w:p w:rsidR="00AE2973" w:rsidRPr="00AE2973" w:rsidRDefault="00AE2973" w:rsidP="003F5918">
      <w:pPr>
        <w:ind w:left="2608"/>
        <w:jc w:val="both"/>
        <w:rPr>
          <w:u w:val="single"/>
        </w:rPr>
      </w:pPr>
      <w:r w:rsidRPr="00AE2973">
        <w:rPr>
          <w:u w:val="single"/>
        </w:rPr>
        <w:t>5 § Yksinoikeuden sisältö</w:t>
      </w:r>
    </w:p>
    <w:p w:rsidR="00AE2973" w:rsidRDefault="00AE2973" w:rsidP="003F5918">
      <w:pPr>
        <w:ind w:left="2608"/>
        <w:jc w:val="both"/>
      </w:pPr>
    </w:p>
    <w:p w:rsidR="00AE2973" w:rsidRDefault="00AE2973" w:rsidP="003F5918">
      <w:pPr>
        <w:ind w:left="2608"/>
        <w:jc w:val="both"/>
      </w:pPr>
      <w:r>
        <w:t>Kuten on jo edellä todettu, on kyseenalaista, että sekä 1 luvun että 5 §:n nimi on ”Yksinoikeuden sisältö”.</w:t>
      </w:r>
    </w:p>
    <w:p w:rsidR="00AE2973" w:rsidRDefault="00AE2973" w:rsidP="003F5918">
      <w:pPr>
        <w:ind w:left="2608"/>
        <w:jc w:val="both"/>
      </w:pPr>
    </w:p>
    <w:p w:rsidR="00AE2973" w:rsidRDefault="00AE2973" w:rsidP="003F5918">
      <w:pPr>
        <w:ind w:left="2608"/>
        <w:jc w:val="both"/>
      </w:pPr>
      <w:r>
        <w:t xml:space="preserve">Ehdotetussa säännöksessä puhutaan ”suojatusta” tavaramerkistä. Tätä ei kuitenkaan ole missään määritelty. </w:t>
      </w:r>
      <w:r w:rsidR="00976B7B">
        <w:t>Markkinaoikeus esittää myös pohdittavaksi, p</w:t>
      </w:r>
      <w:r w:rsidR="008769C1">
        <w:t xml:space="preserve">itäisikö </w:t>
      </w:r>
      <w:r w:rsidR="00976B7B">
        <w:t>pykälään myös</w:t>
      </w:r>
      <w:r w:rsidR="008769C1">
        <w:t xml:space="preserve"> </w:t>
      </w:r>
      <w:r w:rsidR="00A42C05">
        <w:t>lisätä tavaramerkkidirektiivin 10 artiklan 2 kohdasta</w:t>
      </w:r>
      <w:r w:rsidR="008769C1">
        <w:t xml:space="preserve"> ”rajoittamatta ennen rekisteröidyn tavaramerkin hakemis- tai etuoikeuspäivää saatujen haltijoiden oikeuksien soveltamista”?</w:t>
      </w:r>
    </w:p>
    <w:p w:rsidR="008769C1" w:rsidRDefault="008769C1" w:rsidP="003F5918">
      <w:pPr>
        <w:ind w:left="2608"/>
        <w:jc w:val="both"/>
      </w:pPr>
    </w:p>
    <w:p w:rsidR="008769C1" w:rsidRDefault="008769C1" w:rsidP="003F5918">
      <w:pPr>
        <w:ind w:left="2608"/>
        <w:jc w:val="both"/>
      </w:pPr>
      <w:r>
        <w:t xml:space="preserve">Ehdotetun säännöksen 3 kohdassa on jaoteltu laajalti tunnetulle tavaramerkille annettavan suojan neljä eri tilannetta kahteen eri alakohtaan eli a ja b alakohtaan. </w:t>
      </w:r>
      <w:r w:rsidR="00976B7B">
        <w:t>Markkinaoikeus esittää harkittavaksi, o</w:t>
      </w:r>
      <w:r>
        <w:t>lisiko kuitenkin selvempää kirjoittaa kaikki yhteen, kuitenkin siten, että kaikki neljä tilannetta auki?</w:t>
      </w:r>
    </w:p>
    <w:p w:rsidR="00AE2973" w:rsidRDefault="00AE2973" w:rsidP="003F5918">
      <w:pPr>
        <w:ind w:left="2608"/>
        <w:jc w:val="both"/>
      </w:pPr>
    </w:p>
    <w:p w:rsidR="003F5918" w:rsidRPr="001D48C4" w:rsidRDefault="00A42C05" w:rsidP="003F5918">
      <w:pPr>
        <w:ind w:left="2608"/>
        <w:jc w:val="both"/>
        <w:rPr>
          <w:u w:val="single"/>
        </w:rPr>
      </w:pPr>
      <w:r>
        <w:rPr>
          <w:u w:val="single"/>
        </w:rPr>
        <w:t>6 </w:t>
      </w:r>
      <w:r w:rsidR="001D48C4">
        <w:rPr>
          <w:u w:val="single"/>
        </w:rPr>
        <w:t>§</w:t>
      </w:r>
      <w:r w:rsidR="008769C1">
        <w:rPr>
          <w:u w:val="single"/>
        </w:rPr>
        <w:t xml:space="preserve"> Yksinoikeuteen kuuluvat merkin käyttötavat</w:t>
      </w:r>
    </w:p>
    <w:p w:rsidR="001D48C4" w:rsidRDefault="001D48C4" w:rsidP="003F5918">
      <w:pPr>
        <w:ind w:left="2608"/>
        <w:jc w:val="both"/>
      </w:pPr>
    </w:p>
    <w:p w:rsidR="001D48C4" w:rsidRDefault="001D48C4" w:rsidP="00DA20D3">
      <w:pPr>
        <w:ind w:left="2608"/>
        <w:jc w:val="both"/>
      </w:pPr>
      <w:r>
        <w:t>Luonnoksen 6 </w:t>
      </w:r>
      <w:r w:rsidR="00A445A4">
        <w:t>§:n 1 momentin mukaan ”edellä 5 </w:t>
      </w:r>
      <w:r>
        <w:t xml:space="preserve">§:ssä tarkoitetuksi </w:t>
      </w:r>
      <w:r w:rsidRPr="001D48C4">
        <w:rPr>
          <w:u w:val="single"/>
        </w:rPr>
        <w:t>merkin käyttämiseksi elinkeinotoiminnassa</w:t>
      </w:r>
      <w:r>
        <w:t xml:space="preserve"> katsotaan:</w:t>
      </w:r>
      <w:r w:rsidR="00976B7B">
        <w:t xml:space="preserve"> - -”. Markkinaoikeus toteaa, että mainitussa säännöksessä ei liene </w:t>
      </w:r>
      <w:r>
        <w:t>tarpeen määritellä, mikä katsotaan käyttämiseksi elinkeinotoiminnassa, vaan mitä voidaan kieltää. Luonnoksen 5 §:ssä on jo todettu edellytys siitä, että kielletyn käyttämisen on tap</w:t>
      </w:r>
      <w:r w:rsidR="00BE2325">
        <w:t>ahduttava elinkeinotoiminnassa; 6 §:ssä kaiketi</w:t>
      </w:r>
      <w:r w:rsidR="00A445A4">
        <w:t xml:space="preserve"> esitetään</w:t>
      </w:r>
      <w:r w:rsidR="00BE2325">
        <w:t xml:space="preserve"> erilaiset kielletyt käyttötavat.</w:t>
      </w:r>
    </w:p>
    <w:p w:rsidR="003F5918" w:rsidRDefault="003F5918" w:rsidP="003F5918">
      <w:pPr>
        <w:jc w:val="both"/>
        <w:rPr>
          <w:u w:val="single"/>
        </w:rPr>
      </w:pPr>
    </w:p>
    <w:p w:rsidR="00DF2095" w:rsidRPr="00DF2095" w:rsidRDefault="00DF2095" w:rsidP="003F5918">
      <w:pPr>
        <w:jc w:val="both"/>
        <w:rPr>
          <w:i/>
        </w:rPr>
      </w:pPr>
      <w:r>
        <w:rPr>
          <w:i/>
        </w:rPr>
        <w:t>2 luku Yksinoikeuden edellytykset</w:t>
      </w:r>
    </w:p>
    <w:p w:rsidR="003F5918" w:rsidRDefault="003F5918" w:rsidP="003F5918">
      <w:pPr>
        <w:jc w:val="both"/>
        <w:rPr>
          <w:u w:val="single"/>
        </w:rPr>
      </w:pPr>
    </w:p>
    <w:p w:rsidR="00DF2095" w:rsidRDefault="00A76692" w:rsidP="00DF2095">
      <w:pPr>
        <w:ind w:left="2608"/>
        <w:jc w:val="both"/>
      </w:pPr>
      <w:r>
        <w:t xml:space="preserve">Markkinaoikeus toteaa, että </w:t>
      </w:r>
      <w:r w:rsidR="00DF2095">
        <w:t>ehdottomat hylkäys- tai mitättömyysperusteet olisivat selkeämmät yhdessä pykälässä lueteltuina direktiivin tavalla eikä niin, että ne on ripoteltu kolmeen pykälään (10–12 §).</w:t>
      </w:r>
      <w:r>
        <w:t xml:space="preserve"> Lisäksi sekä 11 §:n että 12 §:n viimeisessä momentissa puhutaan käytön kautta saavutetusta erottamiskyvystä, ja näiden kahden säännöksen välinen suhde tai toisen tarpeellisuus herättää kysymyksiä.</w:t>
      </w:r>
    </w:p>
    <w:p w:rsidR="00A42C05" w:rsidRDefault="00A42C05" w:rsidP="00DF2095">
      <w:pPr>
        <w:ind w:left="2608"/>
        <w:jc w:val="both"/>
      </w:pPr>
    </w:p>
    <w:p w:rsidR="00A42C05" w:rsidRDefault="00A42C05" w:rsidP="0056254E">
      <w:pPr>
        <w:ind w:left="2608"/>
        <w:jc w:val="both"/>
      </w:pPr>
      <w:r>
        <w:t>Myös suostumuksenvaraiset hylkäys- ja mitättömyysperusteet olisi selvintä kirjoittaa kaikki auki yhteen säännökseen direktiivin tavoin. Pykäläteknisesti estemerkin aiemmuudesta</w:t>
      </w:r>
      <w:r w:rsidR="00976B7B">
        <w:t xml:space="preserve"> vaikutetaan säädettävän </w:t>
      </w:r>
      <w:r>
        <w:t>vasta ehdo</w:t>
      </w:r>
      <w:r w:rsidR="00976B7B">
        <w:t>te</w:t>
      </w:r>
      <w:r>
        <w:t xml:space="preserve">tussa 14 §:ssä, mikä </w:t>
      </w:r>
      <w:r w:rsidR="0056254E">
        <w:t>on kankeaa eikä välttämättä avaudu lain soveltajalle. Tä</w:t>
      </w:r>
      <w:r w:rsidR="00976B7B">
        <w:t xml:space="preserve">stä </w:t>
      </w:r>
      <w:r w:rsidR="0056254E">
        <w:t>aiheut</w:t>
      </w:r>
      <w:r w:rsidR="00976B7B">
        <w:t xml:space="preserve">uu </w:t>
      </w:r>
      <w:r w:rsidR="0056254E">
        <w:t>myös viittausongelmia.</w:t>
      </w:r>
    </w:p>
    <w:p w:rsidR="002C4D57" w:rsidRDefault="002C4D57" w:rsidP="00DF2095">
      <w:pPr>
        <w:ind w:left="2608"/>
        <w:jc w:val="both"/>
      </w:pPr>
    </w:p>
    <w:p w:rsidR="00476F20" w:rsidRPr="00476F20" w:rsidRDefault="00476F20" w:rsidP="00DF2095">
      <w:pPr>
        <w:ind w:left="2608"/>
        <w:jc w:val="both"/>
        <w:rPr>
          <w:u w:val="single"/>
        </w:rPr>
      </w:pPr>
      <w:r w:rsidRPr="00476F20">
        <w:rPr>
          <w:u w:val="single"/>
        </w:rPr>
        <w:t>10 § Merkit, jotka voivat muodostaa tavaramerkin</w:t>
      </w:r>
    </w:p>
    <w:p w:rsidR="00476F20" w:rsidRDefault="00476F20" w:rsidP="00DF2095">
      <w:pPr>
        <w:ind w:left="2608"/>
        <w:jc w:val="both"/>
      </w:pPr>
    </w:p>
    <w:p w:rsidR="002C4D57" w:rsidRDefault="002C4D57" w:rsidP="00DF2095">
      <w:pPr>
        <w:ind w:left="2608"/>
        <w:jc w:val="both"/>
      </w:pPr>
      <w:r>
        <w:t>Ehdotetun 10 §:n 1 momentti olisi selvempi omana säännöksenään ja täydennettynä siten kuin tavaramerkkidirektiivin 3 artiklassa säädetään</w:t>
      </w:r>
      <w:r w:rsidR="0056254E">
        <w:t>, esimerkkilista mukaan lukien</w:t>
      </w:r>
      <w:r>
        <w:t xml:space="preserve">. </w:t>
      </w:r>
      <w:r w:rsidR="004D0301">
        <w:rPr>
          <w:rFonts w:cs="Times New Roman"/>
        </w:rPr>
        <w:t>Lisäksi jo tähän olisi syytä kirjoittaa auki ”erottamiskykyisen” sijaan ”jos sillä voidaan erottaa yrityksen tavarat tai palvelut muiden yritysten tavaroista tai palveluista”.</w:t>
      </w:r>
    </w:p>
    <w:p w:rsidR="00DF2095" w:rsidRDefault="00DF2095" w:rsidP="00DF2095">
      <w:pPr>
        <w:ind w:left="2608"/>
        <w:jc w:val="both"/>
      </w:pPr>
    </w:p>
    <w:p w:rsidR="004A264C" w:rsidRDefault="004A264C">
      <w:pPr>
        <w:spacing w:after="160" w:line="259" w:lineRule="auto"/>
        <w:rPr>
          <w:u w:val="single"/>
        </w:rPr>
      </w:pPr>
      <w:r>
        <w:rPr>
          <w:u w:val="single"/>
        </w:rPr>
        <w:br w:type="page"/>
      </w:r>
    </w:p>
    <w:p w:rsidR="00476F20" w:rsidRPr="00476F20" w:rsidRDefault="00476F20" w:rsidP="00DF2095">
      <w:pPr>
        <w:ind w:left="2608"/>
        <w:jc w:val="both"/>
        <w:rPr>
          <w:u w:val="single"/>
        </w:rPr>
      </w:pPr>
      <w:r w:rsidRPr="00476F20">
        <w:rPr>
          <w:u w:val="single"/>
        </w:rPr>
        <w:lastRenderedPageBreak/>
        <w:t>13 § Suostumuksenvaraiset hylkäys- ja mitättömyysperusteet</w:t>
      </w:r>
    </w:p>
    <w:p w:rsidR="00476F20" w:rsidRDefault="00476F20" w:rsidP="00DF2095">
      <w:pPr>
        <w:ind w:left="2608"/>
        <w:jc w:val="both"/>
      </w:pPr>
    </w:p>
    <w:p w:rsidR="00476F20" w:rsidRDefault="00476F20" w:rsidP="00DF2095">
      <w:pPr>
        <w:ind w:left="2608"/>
        <w:jc w:val="both"/>
      </w:pPr>
      <w:r>
        <w:t xml:space="preserve">Ehdotetun </w:t>
      </w:r>
      <w:r w:rsidRPr="004A264C">
        <w:t>13 §:n 1 momentin 1 kohdan</w:t>
      </w:r>
      <w:r>
        <w:t xml:space="preserve"> mukaan tavaramerkkiä ei rekisteröidä, tai jos se on rekisteröity, se on mitätöitävä, jos </w:t>
      </w:r>
      <w:r w:rsidR="00E67FA4">
        <w:t>”</w:t>
      </w:r>
      <w:r>
        <w:t>jollain on yksinoikeus tavaramerkkiin siten kuin 5 §:ssä säädetään</w:t>
      </w:r>
      <w:r w:rsidR="00E67FA4">
        <w:t>”</w:t>
      </w:r>
      <w:r>
        <w:t xml:space="preserve">. Markkinaoikeus toteaa, että kierrättäminen yksinoikeuden sisältöä koskevan 5 §:n kautta on raskasta ja saattaa aiheuttaa hankaluuksia säännösten soveltamisessa ja niihin viittaamisessa. </w:t>
      </w:r>
      <w:r w:rsidR="00E67FA4">
        <w:t>Säännöksestä on myös kokonaan jätetty pois viittaus ”aikaisempaan” tavaramerkkiin, saati että siinä olisi avattu, mitä ylipäänsä tarkoitetaan aikaisemmalla tavaramerkillä. Jonkunlainen aiemmuus näyttäisi tulevan luonnoksen 14 §:stä, mutta selvempää olisi määritellä aikaisemmat tavaramerkit nimenomaisesti tämän säännöksen yhteydessä eikä vain perusteluissa.</w:t>
      </w:r>
    </w:p>
    <w:p w:rsidR="0056254E" w:rsidRDefault="0056254E" w:rsidP="00DF2095">
      <w:pPr>
        <w:ind w:left="2608"/>
        <w:jc w:val="both"/>
      </w:pPr>
    </w:p>
    <w:p w:rsidR="00E67FA4" w:rsidRDefault="0056254E" w:rsidP="0056254E">
      <w:pPr>
        <w:ind w:left="2608"/>
        <w:jc w:val="both"/>
      </w:pPr>
      <w:r>
        <w:t xml:space="preserve">Edellä todettu koskee myös ehdotettua </w:t>
      </w:r>
      <w:r w:rsidRPr="004A264C">
        <w:t>13 §:n 1 momentin 2 kohtaa.</w:t>
      </w:r>
    </w:p>
    <w:p w:rsidR="002C4D57" w:rsidRDefault="002C4D57" w:rsidP="00DF2095">
      <w:pPr>
        <w:ind w:left="2608"/>
        <w:jc w:val="both"/>
      </w:pPr>
    </w:p>
    <w:p w:rsidR="00CE0B90" w:rsidRDefault="00CE0B90" w:rsidP="00DF2095">
      <w:pPr>
        <w:ind w:left="2608"/>
        <w:jc w:val="both"/>
      </w:pPr>
      <w:r>
        <w:t>Markkinaoikeus toteaa, että suostumuksenvaraisissa hylkäys- ja mitättömyysperusteissa ei mainita lainkaan tavaramerkkidirektiivin 5 artiklan 3 kohdan c alakohdassa tarkoitettuja alkuperänimityksiä ja maantieteellisiä merkintöjä. Luonnoksen perusteluissa on todettu ehdottomia hylkäys- ja mitättömyysperusteita koskevan 12 §:n 1 </w:t>
      </w:r>
      <w:r w:rsidR="00CE7648">
        <w:t>momentin 8 kohdan kohdalla seuraavaa: ”</w:t>
      </w:r>
      <w:r w:rsidR="00CE7648" w:rsidRPr="00346656">
        <w:t>Säännöksellä täytäntöönpantaisiin tavaramerkkidirektiivin 4 artiklan 1 kohdan i–k alakohdat sekä 5 artiklan 3 kohdan c alakohta. Tavaramerkkidirektiivissä maantieteelliset merkinnät on mainittu sekä ehdottomien että suhteellisten hylkäys- ja mitättömyysperusteiden alla. Direktiivin johdanto</w:t>
      </w:r>
      <w:r w:rsidR="00CE7648">
        <w:t>-osan</w:t>
      </w:r>
      <w:r w:rsidR="00CE7648" w:rsidRPr="00346656">
        <w:t xml:space="preserve"> 15 </w:t>
      </w:r>
      <w:r w:rsidR="00CE7648">
        <w:t xml:space="preserve">perustelukappaleen </w:t>
      </w:r>
      <w:r w:rsidR="00CE7648" w:rsidRPr="00346656">
        <w:t>mukaan tarkoituksena on ollut varmistaa maantieteellisille merkinnöille annettavan suojatason yhdenmukainen ja kattava soveltaminen. Koska maantieteellistä merkintää koskeva</w:t>
      </w:r>
      <w:r w:rsidR="00CE7648">
        <w:t>n suojan toteuttamiseksi on riittävää, että maantieteelliset merkinnät mainitaan vain joko ehdottomina tai suostumuksenvaraisina hylkäys- ja mitätöintiperusteina</w:t>
      </w:r>
      <w:r w:rsidR="00CE7648" w:rsidRPr="00346656">
        <w:t xml:space="preserve">, on tämä esteperuste kirjattu ehdottomien </w:t>
      </w:r>
      <w:r w:rsidR="00CE7648">
        <w:t>hylkäys- ja mitätöintiperusteiden</w:t>
      </w:r>
      <w:r w:rsidR="00CE7648" w:rsidRPr="00346656">
        <w:t xml:space="preserve"> alle</w:t>
      </w:r>
      <w:r w:rsidR="00CE7648">
        <w:t>, kuten voimassaolevassa laissa</w:t>
      </w:r>
      <w:r w:rsidR="00CE7648" w:rsidRPr="00346656">
        <w:t>.</w:t>
      </w:r>
      <w:r w:rsidR="00CE7648">
        <w:t xml:space="preserve">” </w:t>
      </w:r>
    </w:p>
    <w:p w:rsidR="003A14D3" w:rsidRDefault="003A14D3" w:rsidP="00DF2095">
      <w:pPr>
        <w:ind w:left="2608"/>
        <w:jc w:val="both"/>
      </w:pPr>
    </w:p>
    <w:p w:rsidR="003A14D3" w:rsidRDefault="003A14D3" w:rsidP="00DF2095">
      <w:pPr>
        <w:ind w:left="2608"/>
        <w:jc w:val="both"/>
      </w:pPr>
      <w:r>
        <w:t>Tältä osin markkinaoikeus toteaa, että d</w:t>
      </w:r>
      <w:r w:rsidRPr="00346656">
        <w:t>irektiivin johdanto</w:t>
      </w:r>
      <w:r>
        <w:t>-osan</w:t>
      </w:r>
      <w:r w:rsidRPr="00346656">
        <w:t xml:space="preserve"> 15 </w:t>
      </w:r>
      <w:r>
        <w:t>perustelukappaleessa on todettu muun ohella seuraavaa: ”</w:t>
      </w:r>
      <w:r w:rsidRPr="003A14D3">
        <w:t xml:space="preserve">Unionin lainsäädännössä ja kansallisessa oikeudessa maantieteellisille merkinnöille annettavan suojatason yhdenmukaisen ja kattavan soveltamisen varmistamiseksi ehdottomien </w:t>
      </w:r>
      <w:r w:rsidRPr="003A14D3">
        <w:rPr>
          <w:u w:val="single"/>
        </w:rPr>
        <w:t>ja suhteellisten hylkäysperusteiden</w:t>
      </w:r>
      <w:r w:rsidRPr="003A14D3">
        <w:t xml:space="preserve"> tutkinnassa koko unionissa tässä direktiivissä olisi oltava samat maantieteellisiä merkintöjä koskevat säännökset kuin asetuksessa (EY) N:o 207/2009.</w:t>
      </w:r>
      <w:r>
        <w:t>” Herääkin kysymys, onko riittävää mainita alkuperänimitykset ja maantieteelliset merkinnät vain ehdottomissa hylkäys- ja mitättömyysperusteissa, vai tulisiko ne sisällyttää myös suostumuksenvaraisiin hylkäys- ja mitättömyysperusteisiin.</w:t>
      </w:r>
    </w:p>
    <w:p w:rsidR="00CE0B90" w:rsidRDefault="00CE0B90" w:rsidP="00DF2095">
      <w:pPr>
        <w:ind w:left="2608"/>
        <w:jc w:val="both"/>
      </w:pPr>
    </w:p>
    <w:p w:rsidR="008C635A" w:rsidRPr="008C635A" w:rsidRDefault="008C635A" w:rsidP="00DF2095">
      <w:pPr>
        <w:ind w:left="2608"/>
        <w:jc w:val="both"/>
        <w:rPr>
          <w:u w:val="single"/>
        </w:rPr>
      </w:pPr>
      <w:r w:rsidRPr="008C635A">
        <w:rPr>
          <w:u w:val="single"/>
        </w:rPr>
        <w:t>14 § Aikaisempi oikeusperuste</w:t>
      </w:r>
    </w:p>
    <w:p w:rsidR="008C635A" w:rsidRDefault="008C635A" w:rsidP="00DF2095">
      <w:pPr>
        <w:ind w:left="2608"/>
        <w:jc w:val="both"/>
      </w:pPr>
    </w:p>
    <w:p w:rsidR="008C635A" w:rsidRDefault="008C635A" w:rsidP="00DF2095">
      <w:pPr>
        <w:ind w:left="2608"/>
        <w:jc w:val="both"/>
      </w:pPr>
      <w:r>
        <w:t>Ehdotetussa 14 §:n 1 momentissa säädetään, että etusija on sillä, joka voi vedota aikaisimpaan oikeusperusteeseen. Luonnoksen perustelujen mukaan t</w:t>
      </w:r>
      <w:r w:rsidRPr="00346656">
        <w:t>avaramerkkien kollisiotilanteessa tai rekisteröintiesteiden arvioinnissa etusija on pääsääntöisesti sillä, jonka tavaramerkki on rekisteröity aiemman hakemuksen perusteella.</w:t>
      </w:r>
      <w:r>
        <w:t xml:space="preserve"> Kuten markkinaoikeus on jo edellä todennut, pelkästään tämän pykälän perusteella ei ehkä ole riittävän selvää, mitä </w:t>
      </w:r>
      <w:r>
        <w:lastRenderedPageBreak/>
        <w:t>aikaisemmalla tavaramerkillä tarkoitetaan ja mitä ne voivat olla rekisteröintiesteiden arvioinnissa.</w:t>
      </w:r>
    </w:p>
    <w:p w:rsidR="008C635A" w:rsidRDefault="008C635A" w:rsidP="00DF2095">
      <w:pPr>
        <w:ind w:left="2608"/>
        <w:jc w:val="both"/>
      </w:pPr>
    </w:p>
    <w:p w:rsidR="002C4D57" w:rsidRPr="008C635A" w:rsidRDefault="000C32A1" w:rsidP="00DF2095">
      <w:pPr>
        <w:ind w:left="2608"/>
        <w:jc w:val="both"/>
        <w:rPr>
          <w:u w:val="single"/>
        </w:rPr>
      </w:pPr>
      <w:r w:rsidRPr="008C635A">
        <w:rPr>
          <w:u w:val="single"/>
        </w:rPr>
        <w:t xml:space="preserve">15 § </w:t>
      </w:r>
      <w:r w:rsidR="008C635A" w:rsidRPr="008C635A">
        <w:rPr>
          <w:u w:val="single"/>
        </w:rPr>
        <w:t>Tavaramerkin haltijan passiivisuuden vaikutus</w:t>
      </w:r>
    </w:p>
    <w:p w:rsidR="008C635A" w:rsidRDefault="008C635A" w:rsidP="00DF2095">
      <w:pPr>
        <w:ind w:left="2608"/>
        <w:jc w:val="both"/>
      </w:pPr>
    </w:p>
    <w:p w:rsidR="008C635A" w:rsidRDefault="008C635A" w:rsidP="00DF2095">
      <w:pPr>
        <w:ind w:left="2608"/>
        <w:jc w:val="both"/>
      </w:pPr>
      <w:r>
        <w:t>Ehdotetussa säännöksessä puhutaan yhtäkkiä ”aikaisemmasta tavaramerkistä”, jota ei edellä todetusti ole luonnoksen säännöksissä määritelty.</w:t>
      </w:r>
      <w:r w:rsidR="005B0190">
        <w:t xml:space="preserve"> Säännöksen perustelujen mukaan sitä myös sovellettaisiin kaikkiin tavaramerkkeihin, kuten EU-tavaramerkkeihin. Kuten markkinaoikeus on edellä todennut, ehdotettujen säännösten perusteella jää epäselväksi, miltä osin lakia sovellettaisiin esimerkiksi juuri EU-tavaramerkkeihin. Tätäkin helpottaisi ”aikaisemman tavaramerkin” määrittely.</w:t>
      </w:r>
    </w:p>
    <w:p w:rsidR="00DF2095" w:rsidRDefault="00DF2095" w:rsidP="003F5918">
      <w:pPr>
        <w:jc w:val="both"/>
        <w:rPr>
          <w:u w:val="single"/>
        </w:rPr>
      </w:pPr>
    </w:p>
    <w:p w:rsidR="003F5918" w:rsidRPr="00980C69" w:rsidRDefault="005B0190" w:rsidP="003F5918">
      <w:pPr>
        <w:jc w:val="both"/>
        <w:rPr>
          <w:i/>
        </w:rPr>
      </w:pPr>
      <w:r>
        <w:rPr>
          <w:i/>
        </w:rPr>
        <w:t xml:space="preserve">5 luku </w:t>
      </w:r>
      <w:r w:rsidR="00980C69" w:rsidRPr="00980C69">
        <w:rPr>
          <w:i/>
        </w:rPr>
        <w:t>Tavaramerkin menettäminen ja mitätöinti</w:t>
      </w:r>
    </w:p>
    <w:p w:rsidR="003F5918" w:rsidRDefault="003F5918" w:rsidP="005B0190">
      <w:pPr>
        <w:jc w:val="both"/>
      </w:pPr>
    </w:p>
    <w:p w:rsidR="005B0190" w:rsidRPr="005B0190" w:rsidRDefault="005B0190" w:rsidP="005B0190">
      <w:pPr>
        <w:jc w:val="both"/>
        <w:rPr>
          <w:i/>
        </w:rPr>
      </w:pPr>
      <w:r w:rsidRPr="005B0190">
        <w:rPr>
          <w:i/>
        </w:rPr>
        <w:t>Menettämis- ja mitättömyysperusteet ja niiden vaikutukset</w:t>
      </w:r>
    </w:p>
    <w:p w:rsidR="00EB36A2" w:rsidRDefault="00EB36A2" w:rsidP="005B0190">
      <w:pPr>
        <w:jc w:val="both"/>
      </w:pPr>
    </w:p>
    <w:p w:rsidR="003603A9" w:rsidRDefault="00980C69" w:rsidP="003F5918">
      <w:pPr>
        <w:ind w:left="2608"/>
        <w:jc w:val="both"/>
      </w:pPr>
      <w:r>
        <w:t xml:space="preserve">Luonnoksen </w:t>
      </w:r>
      <w:r w:rsidR="00734631">
        <w:t xml:space="preserve">45 ja </w:t>
      </w:r>
      <w:r>
        <w:t>46 §:ssä säädetä</w:t>
      </w:r>
      <w:r w:rsidR="003603A9">
        <w:t>än tavaramerkin menettämisestä.</w:t>
      </w:r>
    </w:p>
    <w:p w:rsidR="003603A9" w:rsidRDefault="003603A9" w:rsidP="003F5918">
      <w:pPr>
        <w:ind w:left="2608"/>
        <w:jc w:val="both"/>
      </w:pPr>
    </w:p>
    <w:p w:rsidR="00734631" w:rsidRDefault="005B0190" w:rsidP="005B0190">
      <w:pPr>
        <w:ind w:left="2608"/>
        <w:jc w:val="both"/>
      </w:pPr>
      <w:r>
        <w:t xml:space="preserve">Luonnoksen </w:t>
      </w:r>
      <w:r w:rsidR="00734631">
        <w:t>perustelujen mukaan 46 §:n 1 momentin 1 kohta vastaa asiallisesti voimassa olevan lain 26 §:n 1 momentin 1 </w:t>
      </w:r>
      <w:r w:rsidR="00734631" w:rsidRPr="00734631">
        <w:t>kohtaa ja sillä pannaan täytäntöön tavaramerkkidirek</w:t>
      </w:r>
      <w:r w:rsidR="00216846">
        <w:t>tiivin 20 artiklan a </w:t>
      </w:r>
      <w:r w:rsidR="00734631">
        <w:t xml:space="preserve">alakohta. </w:t>
      </w:r>
    </w:p>
    <w:p w:rsidR="00734631" w:rsidRDefault="00734631" w:rsidP="003F5918">
      <w:pPr>
        <w:ind w:left="2608"/>
        <w:jc w:val="both"/>
      </w:pPr>
    </w:p>
    <w:p w:rsidR="00980C69" w:rsidRDefault="00980C69" w:rsidP="003F5918">
      <w:pPr>
        <w:ind w:left="2608"/>
        <w:jc w:val="both"/>
      </w:pPr>
      <w:r>
        <w:t xml:space="preserve">Tavaramerkkidirektiivin 20 artiklan a alakohdan mukaan </w:t>
      </w:r>
      <w:r w:rsidR="00734631">
        <w:t>t</w:t>
      </w:r>
      <w:r w:rsidRPr="00980C69">
        <w:t>avaramerkki voidaan julistaa menetetyksi myös</w:t>
      </w:r>
      <w:r w:rsidR="00734631">
        <w:t xml:space="preserve"> (eli tosiasiallisen käytön puuttumisen lisäksi)</w:t>
      </w:r>
      <w:r w:rsidRPr="00980C69">
        <w:t xml:space="preserve">, jos sen rekisteröintipäivän jälkeen siitä on </w:t>
      </w:r>
      <w:r w:rsidRPr="00734631">
        <w:rPr>
          <w:u w:val="single"/>
        </w:rPr>
        <w:t>tavaramerkin haltijan toiminnan tai toimimatta jättämisen</w:t>
      </w:r>
      <w:r w:rsidRPr="00980C69">
        <w:t xml:space="preserve"> vuoksi tullut elinkeinotoiminnassa sellaisesta tuotteesta tai palvelusta yleisesti käytetty nimitys, jota varten se on rekisteröity</w:t>
      </w:r>
      <w:r>
        <w:t>.</w:t>
      </w:r>
    </w:p>
    <w:p w:rsidR="00734631" w:rsidRDefault="00734631" w:rsidP="003F5918">
      <w:pPr>
        <w:ind w:left="2608"/>
        <w:jc w:val="both"/>
      </w:pPr>
    </w:p>
    <w:p w:rsidR="00734631" w:rsidRDefault="005B0190" w:rsidP="003F5918">
      <w:pPr>
        <w:ind w:left="2608"/>
        <w:jc w:val="both"/>
      </w:pPr>
      <w:r>
        <w:t xml:space="preserve">Luonnoksen </w:t>
      </w:r>
      <w:r w:rsidR="00E754C9" w:rsidRPr="0056254E">
        <w:t>y</w:t>
      </w:r>
      <w:r w:rsidR="00734631" w:rsidRPr="0056254E">
        <w:t>ksity</w:t>
      </w:r>
      <w:r w:rsidR="00734631">
        <w:t>iskohtaisten perustelujen mukaan s</w:t>
      </w:r>
      <w:r w:rsidR="00734631" w:rsidRPr="00734631">
        <w:t xml:space="preserve">äännöksessä ei </w:t>
      </w:r>
      <w:r w:rsidR="00734631">
        <w:t>tavaramerkki</w:t>
      </w:r>
      <w:r w:rsidR="00734631" w:rsidRPr="00734631">
        <w:t>direktiivistä poiketen erikseen korostettaisi, että merkki voi muodostua yleisesti käytetyksi nimitykseksi sekä haltijan toiminnan, että</w:t>
      </w:r>
      <w:r w:rsidR="00734631">
        <w:t xml:space="preserve"> toimimatta jättämisen vuoksi. Edelleen perustelujen mukaan s</w:t>
      </w:r>
      <w:r w:rsidR="00734631" w:rsidRPr="00734631">
        <w:t>äännöksen sanamuodon voidaan katsoa kattavan molemmat edellä mainitut tapaukset</w:t>
      </w:r>
      <w:r w:rsidR="00734631">
        <w:t>.</w:t>
      </w:r>
    </w:p>
    <w:p w:rsidR="006C3CC8" w:rsidRDefault="006C3CC8" w:rsidP="003F5918">
      <w:pPr>
        <w:ind w:left="2608"/>
        <w:jc w:val="both"/>
      </w:pPr>
    </w:p>
    <w:p w:rsidR="006A1565" w:rsidRDefault="006C3CC8" w:rsidP="003F5918">
      <w:pPr>
        <w:ind w:left="2608"/>
        <w:jc w:val="both"/>
      </w:pPr>
      <w:r>
        <w:t>Markkinaoikeus toteaa, että säännöksen sanamuoto kattaa toki molemmat tavaradirektiivin 20 artiklan a alakohdassa mainitut tapaukset. Sanamuoto kattaa kuitenkin myös esimerkiksi kolmannen tahon toiminnan, jota ei mainita direktiivin 20 artiklan a alak</w:t>
      </w:r>
      <w:r w:rsidR="0056254E">
        <w:t>ohdassa.</w:t>
      </w:r>
    </w:p>
    <w:p w:rsidR="006A1565" w:rsidRDefault="006A1565" w:rsidP="003F5918">
      <w:pPr>
        <w:ind w:left="2608"/>
        <w:jc w:val="both"/>
      </w:pPr>
    </w:p>
    <w:p w:rsidR="00DC4FB2" w:rsidRDefault="00DC4FB2" w:rsidP="003F5918">
      <w:pPr>
        <w:ind w:left="2608"/>
        <w:jc w:val="both"/>
      </w:pPr>
      <w:r>
        <w:t xml:space="preserve">Tavaramerkkidirektiivin 20 artiklan a alakohdan sanamuodon ja erityisesti sitä edeltävää </w:t>
      </w:r>
      <w:r w:rsidRPr="0056254E">
        <w:t xml:space="preserve">samansisältöistä </w:t>
      </w:r>
      <w:r w:rsidR="0056254E" w:rsidRPr="0056254E">
        <w:t xml:space="preserve">aiempien direktiivien säännöstä </w:t>
      </w:r>
      <w:r w:rsidRPr="0056254E">
        <w:t>koskevan oikeuskäytännön</w:t>
      </w:r>
      <w:r w:rsidR="001A3881" w:rsidRPr="0056254E">
        <w:t xml:space="preserve"> </w:t>
      </w:r>
      <w:r w:rsidR="0056254E" w:rsidRPr="0056254E">
        <w:t>(ks. esim. tuomio 27.4.2006,</w:t>
      </w:r>
      <w:r w:rsidR="001A3881" w:rsidRPr="0056254E">
        <w:t xml:space="preserve"> Le</w:t>
      </w:r>
      <w:r w:rsidR="0056254E" w:rsidRPr="0056254E">
        <w:t>vi Strauss, C-145/05, EU:C:2006:264 ja</w:t>
      </w:r>
      <w:r w:rsidR="001A3881" w:rsidRPr="0056254E">
        <w:t xml:space="preserve"> tuomio </w:t>
      </w:r>
      <w:r w:rsidR="0056254E" w:rsidRPr="0056254E">
        <w:t xml:space="preserve">6.3.2014, </w:t>
      </w:r>
      <w:r w:rsidR="001A3881" w:rsidRPr="0056254E">
        <w:t>Backaldrin Ös</w:t>
      </w:r>
      <w:r w:rsidR="0056254E" w:rsidRPr="0056254E">
        <w:t>terreich The Kornspitz Company, C-409/12, EU:C:2014:130</w:t>
      </w:r>
      <w:r w:rsidR="001A3881" w:rsidRPr="0056254E">
        <w:t>)</w:t>
      </w:r>
      <w:r w:rsidRPr="0056254E">
        <w:t xml:space="preserve"> perusteella herää </w:t>
      </w:r>
      <w:r w:rsidR="001A3881" w:rsidRPr="0056254E">
        <w:t xml:space="preserve">kuitenkin </w:t>
      </w:r>
      <w:r w:rsidRPr="0056254E">
        <w:t>kysymys, onko ehdotettu 46 §:n 1 momentin 1 kohdan säännös, joka</w:t>
      </w:r>
      <w:r>
        <w:t xml:space="preserve"> antaa mahdollisuuden tavaramerkin menettämiselle myös muun kuin tavaramerkin haltijan toiminnan tai toimimatta jättämisen vuoksi eli laajemmin kuin direktiivi, direktiivin mukainen.</w:t>
      </w:r>
    </w:p>
    <w:p w:rsidR="00DC4FB2" w:rsidRDefault="00DC4FB2" w:rsidP="003F5918">
      <w:pPr>
        <w:ind w:left="2608"/>
        <w:jc w:val="both"/>
      </w:pPr>
    </w:p>
    <w:p w:rsidR="00DC4FB2" w:rsidRDefault="00DC4FB2" w:rsidP="003F5918">
      <w:pPr>
        <w:ind w:left="2608"/>
        <w:jc w:val="both"/>
      </w:pPr>
      <w:r>
        <w:t>Sama kysymys herää myös 46 §:n 1 momentin 1</w:t>
      </w:r>
      <w:r w:rsidR="00146CBD">
        <w:t xml:space="preserve"> kohdassa maininnasta ”tai tavaramerkki on muuten menettänyt erottamiskykynsä”. Kuten </w:t>
      </w:r>
      <w:r w:rsidR="00146CBD">
        <w:lastRenderedPageBreak/>
        <w:t xml:space="preserve">yksityiskohtaisissa perusteluissa tältä osin todetaan, erottamiskyvyttömyyttä ei erikseen mainita direktiivin 20 artiklassa. Näin ollen ehdotetussa säännöksessä </w:t>
      </w:r>
      <w:r w:rsidR="001A3881" w:rsidRPr="0056254E">
        <w:t>vaikutettaisiin t</w:t>
      </w:r>
      <w:r w:rsidR="00146CBD" w:rsidRPr="0056254E">
        <w:t xml:space="preserve">ältäkin osin </w:t>
      </w:r>
      <w:r w:rsidR="001A3881" w:rsidRPr="0056254E">
        <w:t>annettavan</w:t>
      </w:r>
      <w:r w:rsidR="001A3881">
        <w:t xml:space="preserve"> </w:t>
      </w:r>
      <w:r w:rsidR="00146CBD">
        <w:t>direktiiviä laajempi mahdollisuus vaatia tavaramerkin menettämistä.</w:t>
      </w:r>
    </w:p>
    <w:p w:rsidR="00DC4FB2" w:rsidRDefault="00DC4FB2" w:rsidP="003F5918">
      <w:pPr>
        <w:ind w:left="2608"/>
        <w:jc w:val="both"/>
      </w:pPr>
    </w:p>
    <w:p w:rsidR="00146CBD" w:rsidRDefault="0056254E" w:rsidP="003F5918">
      <w:pPr>
        <w:ind w:left="2608"/>
        <w:jc w:val="both"/>
      </w:pPr>
      <w:r w:rsidRPr="0056254E">
        <w:t>Luonnoksen</w:t>
      </w:r>
      <w:r w:rsidR="00146CBD" w:rsidRPr="0056254E">
        <w:t xml:space="preserve"> </w:t>
      </w:r>
      <w:r w:rsidR="001A3881" w:rsidRPr="0056254E">
        <w:t>y</w:t>
      </w:r>
      <w:r w:rsidR="00503026" w:rsidRPr="0056254E">
        <w:t xml:space="preserve">ksityiskohtaisten perustelujen mukaan </w:t>
      </w:r>
      <w:r w:rsidR="001A3881" w:rsidRPr="0056254E">
        <w:t xml:space="preserve">46 §:n 1 momentin 2 kohdan </w:t>
      </w:r>
      <w:r w:rsidR="00503026" w:rsidRPr="0056254E">
        <w:t>säännös vastaa</w:t>
      </w:r>
      <w:r w:rsidR="00503026" w:rsidRPr="00503026">
        <w:t xml:space="preserve"> harhaanjohtavuuden osalta voimassa olevan lain 26 §:n 1 momentin 2 kohtaa ja sillä pannaan täytän</w:t>
      </w:r>
      <w:r w:rsidR="00216846">
        <w:t>töön tavaramerkkidirektiivin 20 artiklan b </w:t>
      </w:r>
      <w:r w:rsidR="00503026" w:rsidRPr="00503026">
        <w:t>alakohta</w:t>
      </w:r>
      <w:r w:rsidR="00216846">
        <w:t>.</w:t>
      </w:r>
    </w:p>
    <w:p w:rsidR="00216846" w:rsidRDefault="00216846" w:rsidP="003F5918">
      <w:pPr>
        <w:ind w:left="2608"/>
        <w:jc w:val="both"/>
      </w:pPr>
    </w:p>
    <w:p w:rsidR="00216846" w:rsidRDefault="00216846" w:rsidP="003F5918">
      <w:pPr>
        <w:ind w:left="2608"/>
        <w:jc w:val="both"/>
      </w:pPr>
      <w:r>
        <w:t>Tavaramerkkidirektiivin 20 artiklan b alakohdan mukaan t</w:t>
      </w:r>
      <w:r w:rsidRPr="00980C69">
        <w:t>avaramerkki voidaan julistaa menetetyksi</w:t>
      </w:r>
      <w:r>
        <w:t>,</w:t>
      </w:r>
      <w:r w:rsidRPr="00216846">
        <w:t xml:space="preserve"> jos sen rekisteröintipäivän jälkeen se on käytön seurauksena, kun </w:t>
      </w:r>
      <w:r w:rsidRPr="00216846">
        <w:rPr>
          <w:u w:val="single"/>
        </w:rPr>
        <w:t>tavaramerkin haltija tai haltijan suostumuksella joku muu</w:t>
      </w:r>
      <w:r w:rsidRPr="00216846">
        <w:t xml:space="preserve"> on käyttänyt tavaramerkkiä, tullut harhaanjohtavaksi, erityisesti tavaroiden tai palvelujen lajin, laadun tai maantieteellisen alkuperän osalta, koskien niitä tavaroita tai palveluita, joita varten se on rekisteröity</w:t>
      </w:r>
      <w:r>
        <w:t>.</w:t>
      </w:r>
    </w:p>
    <w:p w:rsidR="00216846" w:rsidRDefault="00216846" w:rsidP="003F5918">
      <w:pPr>
        <w:ind w:left="2608"/>
        <w:jc w:val="both"/>
      </w:pPr>
    </w:p>
    <w:p w:rsidR="00216846" w:rsidRDefault="00216846" w:rsidP="003F5918">
      <w:pPr>
        <w:ind w:left="2608"/>
        <w:jc w:val="both"/>
      </w:pPr>
      <w:r>
        <w:t>Yksityi</w:t>
      </w:r>
      <w:r w:rsidR="0056254E">
        <w:t>skohtaisten perustelujen mukaan</w:t>
      </w:r>
      <w:r w:rsidR="001A3881">
        <w:t xml:space="preserve"> </w:t>
      </w:r>
      <w:r w:rsidR="00F037DA">
        <w:t>e</w:t>
      </w:r>
      <w:r w:rsidRPr="00216846">
        <w:t>hdotettu säännös kattaisi</w:t>
      </w:r>
      <w:r w:rsidR="001A3881">
        <w:t xml:space="preserve"> </w:t>
      </w:r>
      <w:r w:rsidRPr="00216846">
        <w:t>voimassa</w:t>
      </w:r>
      <w:r w:rsidR="00F037DA">
        <w:t xml:space="preserve"> </w:t>
      </w:r>
      <w:r w:rsidRPr="00216846">
        <w:t>olevan lain mukaisesti myös muut tilanteet, joissa merkki on muuttunut rekisteröinnin tai vakiintumisen jälkeen harhaanjohtavaksi</w:t>
      </w:r>
      <w:r w:rsidR="0056254E">
        <w:t>,</w:t>
      </w:r>
      <w:r w:rsidRPr="00216846">
        <w:t xml:space="preserve"> eikä</w:t>
      </w:r>
      <w:r w:rsidR="00F037DA" w:rsidRPr="00F037DA">
        <w:t xml:space="preserve"> sen soveltaminen olisi sidottu haltijan tai hänen suostumuksensa välityksellä tapahtuneeseen käyttöön</w:t>
      </w:r>
      <w:r w:rsidR="00F037DA">
        <w:t>.</w:t>
      </w:r>
    </w:p>
    <w:p w:rsidR="003603A9" w:rsidRDefault="003603A9" w:rsidP="003F5918">
      <w:pPr>
        <w:ind w:left="2608"/>
        <w:jc w:val="both"/>
      </w:pPr>
    </w:p>
    <w:p w:rsidR="003603A9" w:rsidRDefault="003603A9" w:rsidP="003F5918">
      <w:pPr>
        <w:ind w:left="2608"/>
        <w:jc w:val="both"/>
      </w:pPr>
      <w:r>
        <w:t xml:space="preserve">Kuten edellä ehdotetun 46 §:n 1 momentin 1 kohdan osalta on todettu, myös 2 kohta herättää kysymyksen siitä, onko säännös tavaramerkkidirektiivin mukainen laajentaessaan tavaramerkin menettämismahdollisuuden myös muihin kuin niihin tilanteisiin, joissa tavaramerkki on tullut harhaanjohtavaksi </w:t>
      </w:r>
      <w:r w:rsidRPr="00216846">
        <w:t>tavaramerkin haltijan</w:t>
      </w:r>
      <w:r>
        <w:t xml:space="preserve"> käytön</w:t>
      </w:r>
      <w:r w:rsidRPr="00216846">
        <w:t xml:space="preserve"> tai haltijan suostumuksella</w:t>
      </w:r>
      <w:r>
        <w:t xml:space="preserve"> tapahtuneen </w:t>
      </w:r>
      <w:r w:rsidR="0056254E">
        <w:t>käytön johdosta.</w:t>
      </w:r>
    </w:p>
    <w:p w:rsidR="003603A9" w:rsidRDefault="003603A9" w:rsidP="003F5918">
      <w:pPr>
        <w:ind w:left="2608"/>
        <w:jc w:val="both"/>
      </w:pPr>
    </w:p>
    <w:p w:rsidR="003603A9" w:rsidRDefault="003603A9" w:rsidP="003F5918">
      <w:pPr>
        <w:ind w:left="2608"/>
        <w:jc w:val="both"/>
      </w:pPr>
      <w:r>
        <w:t>Edelleen luonnoksen 46 §:n 1 momentin 3 kohdan mukaan y</w:t>
      </w:r>
      <w:r w:rsidRPr="00734631">
        <w:t>ksinoikeus tavaramerkkiin menetetään, jos tavaramerkki on rekisteröinnin tai vakiintumisen jälkeen tullut</w:t>
      </w:r>
      <w:r w:rsidRPr="003603A9">
        <w:t xml:space="preserve"> </w:t>
      </w:r>
      <w:r w:rsidRPr="00734631">
        <w:t>lain, yleisen järjestyksen tai hyvän tavan vastaiseksi</w:t>
      </w:r>
      <w:r w:rsidR="0056254E">
        <w:t>.</w:t>
      </w:r>
    </w:p>
    <w:p w:rsidR="003603A9" w:rsidRDefault="003603A9" w:rsidP="003F5918">
      <w:pPr>
        <w:ind w:left="2608"/>
        <w:jc w:val="both"/>
      </w:pPr>
    </w:p>
    <w:p w:rsidR="003603A9" w:rsidRPr="00596772" w:rsidRDefault="003603A9" w:rsidP="003F5918">
      <w:pPr>
        <w:ind w:left="2608"/>
        <w:jc w:val="both"/>
        <w:rPr>
          <w:strike/>
        </w:rPr>
      </w:pPr>
      <w:r>
        <w:t>Markkinaoikeus toteaa, että tällaista menettämisperustetta ei sisälly lainkaan tavaramerkkidirektiiviin. Edellä todetuin tavoin herää kysymys myös tämän kohdan direktiivin mukaisuudesta</w:t>
      </w:r>
      <w:r w:rsidR="0056254E">
        <w:t>.</w:t>
      </w:r>
    </w:p>
    <w:p w:rsidR="005C6738" w:rsidRDefault="005C6738" w:rsidP="003F5918">
      <w:pPr>
        <w:ind w:left="2608"/>
        <w:jc w:val="both"/>
      </w:pPr>
    </w:p>
    <w:p w:rsidR="005C6738" w:rsidRDefault="005C6738" w:rsidP="005C6738">
      <w:pPr>
        <w:ind w:left="2608"/>
        <w:jc w:val="both"/>
      </w:pPr>
      <w:r>
        <w:t>Luonnoksen yksityiskohtaisissa perusteluissa on luvussa 4 ”Suhde perustuslakiin ja säätämisjärjestys”</w:t>
      </w:r>
      <w:r w:rsidR="00A9652C">
        <w:t xml:space="preserve"> alaotsikon ”H</w:t>
      </w:r>
      <w:r w:rsidR="00BE272B">
        <w:t>a</w:t>
      </w:r>
      <w:r>
        <w:t>llinnollinen menettämis- ja mitättömyysmenettely</w:t>
      </w:r>
      <w:r w:rsidR="00A9652C">
        <w:t>”</w:t>
      </w:r>
      <w:r>
        <w:t xml:space="preserve"> alla todettu seuraavaa: ”</w:t>
      </w:r>
      <w:r w:rsidRPr="005C6738">
        <w:t xml:space="preserve">Tavaramerkkidirektiivin 2 ja 3 kohdassa säädetään </w:t>
      </w:r>
      <w:r w:rsidRPr="00A9652C">
        <w:rPr>
          <w:u w:val="single"/>
        </w:rPr>
        <w:t>menettämis- ja mitättömyysperusteista</w:t>
      </w:r>
      <w:r w:rsidRPr="005C6738">
        <w:t xml:space="preserve">, joita hallinnollisessa menettelyssä on </w:t>
      </w:r>
      <w:r w:rsidRPr="00EB0741">
        <w:rPr>
          <w:u w:val="single"/>
        </w:rPr>
        <w:t>vähintään</w:t>
      </w:r>
      <w:r w:rsidRPr="00A9652C">
        <w:t xml:space="preserve"> </w:t>
      </w:r>
      <w:r w:rsidRPr="005C6738">
        <w:t>voitava käsitellä. Näitä ovat muun muassa tavaramerkin menettäminen sen tosiasiallisen käyttämättömyyden perustella (19 artikla) tai yleiseksi tai harhaanjohtavaksi nimitykseksi muuttumisen (20 artikla) perusteella tai mitätöiminen 4 artiklan mukaisten ehdottomien mitättömyysperusteiden tai aiempien tavaramerkkioikeuksien nojalla (5 artiklan 1–3 kohta).</w:t>
      </w:r>
      <w:r>
        <w:t>”</w:t>
      </w:r>
    </w:p>
    <w:p w:rsidR="005C6738" w:rsidRDefault="005C6738" w:rsidP="005C6738">
      <w:pPr>
        <w:ind w:left="2608"/>
        <w:jc w:val="both"/>
      </w:pPr>
    </w:p>
    <w:p w:rsidR="00A9652C" w:rsidRPr="00596772" w:rsidRDefault="005C6738" w:rsidP="005C6738">
      <w:pPr>
        <w:ind w:left="2608"/>
        <w:jc w:val="both"/>
        <w:rPr>
          <w:strike/>
        </w:rPr>
      </w:pPr>
      <w:r>
        <w:t xml:space="preserve">Markkinaoikeus toteaa, että ilmeisesti on tarkoitettu viitata tavaramerkkidirektiivin 45 artiklan 2 ja 3 kohtaan. Direktiivin 45 artiklan </w:t>
      </w:r>
      <w:r>
        <w:lastRenderedPageBreak/>
        <w:t>2 kohdan mukaan h</w:t>
      </w:r>
      <w:r w:rsidRPr="005C6738">
        <w:t>allinnollisessa menettämismenettelyssä on säädettävä, että tavaramerkki julistetaan menetetyksi 19 ja 20 artiklassa säädetyillä perusteilla</w:t>
      </w:r>
      <w:r>
        <w:t>. Artiklan 3 kohdan mukaan h</w:t>
      </w:r>
      <w:r w:rsidRPr="005C6738">
        <w:t xml:space="preserve">allinnollisessa mitättömäksi julistamista koskevassa menettelyssä on säädettävä, että tavaramerkki julistetaan mitättömäksi </w:t>
      </w:r>
      <w:r w:rsidRPr="00EB0741">
        <w:rPr>
          <w:u w:val="single"/>
        </w:rPr>
        <w:t>ainakin</w:t>
      </w:r>
      <w:r w:rsidRPr="005C6738">
        <w:t xml:space="preserve"> </w:t>
      </w:r>
      <w:r>
        <w:t xml:space="preserve">3 kohdan a ja b alakohdassa mainituilla </w:t>
      </w:r>
      <w:r w:rsidRPr="005C6738">
        <w:t>perusteilla</w:t>
      </w:r>
      <w:r>
        <w:t>.</w:t>
      </w:r>
      <w:r w:rsidR="00EB0741">
        <w:t xml:space="preserve"> </w:t>
      </w:r>
      <w:r w:rsidR="00A9652C">
        <w:t>Direktiiviin 45 artiklan 2 ja 3 kohdan sanamuodon perusteella vaikuttaisi siltä, että sallittuja menettämisperusteita ovat vain 2 kohdassa mainitut perusteet (19 ja 20 artikla), kun taas 3 kohdan nojalla jäsenvaltiot voivat säätää myös muista kuin kohdassa mainituista mitättömyysperusteista. Näin ollen luonnoksen lähtökohta, jonka mukaan myös muista kuin direktiivin 19 ja 20 artiklan mukaisista menettämisperusteista voidaan säätää, herättää kysymyksiä.</w:t>
      </w:r>
    </w:p>
    <w:p w:rsidR="005B0190" w:rsidRDefault="005B0190" w:rsidP="005D3026">
      <w:pPr>
        <w:jc w:val="both"/>
      </w:pPr>
    </w:p>
    <w:p w:rsidR="005D3026" w:rsidRPr="005D3026" w:rsidRDefault="005D3026" w:rsidP="005D3026">
      <w:pPr>
        <w:jc w:val="both"/>
        <w:rPr>
          <w:i/>
        </w:rPr>
      </w:pPr>
      <w:r w:rsidRPr="005D3026">
        <w:rPr>
          <w:i/>
        </w:rPr>
        <w:t>Kanne tavaramerkin menettämiseksi tai mitätöimiseksi</w:t>
      </w:r>
    </w:p>
    <w:p w:rsidR="00BE272B" w:rsidRDefault="00BE272B" w:rsidP="005B0190">
      <w:pPr>
        <w:ind w:left="2608"/>
        <w:jc w:val="both"/>
      </w:pPr>
    </w:p>
    <w:p w:rsidR="00596772" w:rsidRDefault="00304DF2" w:rsidP="005B0190">
      <w:pPr>
        <w:ind w:left="2608"/>
        <w:jc w:val="both"/>
      </w:pPr>
      <w:r w:rsidRPr="004A264C">
        <w:t xml:space="preserve">Ehdotettuja </w:t>
      </w:r>
      <w:r w:rsidR="00596772" w:rsidRPr="004A264C">
        <w:t xml:space="preserve">52–59 §:iä </w:t>
      </w:r>
      <w:r w:rsidRPr="004A264C">
        <w:t>koskevan rakenteen osalta markkinaoikeus viittaa edellä lausuttuun.</w:t>
      </w:r>
      <w:r>
        <w:t xml:space="preserve"> </w:t>
      </w:r>
    </w:p>
    <w:p w:rsidR="00596772" w:rsidRDefault="00596772" w:rsidP="005B0190">
      <w:pPr>
        <w:ind w:left="2608"/>
        <w:jc w:val="both"/>
      </w:pPr>
    </w:p>
    <w:p w:rsidR="00BE272B" w:rsidRPr="005D3026" w:rsidRDefault="005D3026" w:rsidP="005B0190">
      <w:pPr>
        <w:ind w:left="2608"/>
        <w:jc w:val="both"/>
        <w:rPr>
          <w:u w:val="single"/>
        </w:rPr>
      </w:pPr>
      <w:r w:rsidRPr="005D3026">
        <w:rPr>
          <w:u w:val="single"/>
        </w:rPr>
        <w:t>56 § Kanteen vireillepano</w:t>
      </w:r>
    </w:p>
    <w:p w:rsidR="005D3026" w:rsidRDefault="005D3026" w:rsidP="005B0190">
      <w:pPr>
        <w:ind w:left="2608"/>
        <w:jc w:val="both"/>
      </w:pPr>
    </w:p>
    <w:p w:rsidR="005D3026" w:rsidRDefault="005D3026" w:rsidP="005B0190">
      <w:pPr>
        <w:ind w:left="2608"/>
        <w:jc w:val="both"/>
      </w:pPr>
      <w:r>
        <w:t>Ehdotetun pykälän 1 momentin mukaan asia pannaan vireille nostamalla kanne tavaramerkin haltijaa vastaan. Ehkä olisi selvyyden vuoksi syytä mainita, missä kanne nostetaan, eli tuomioistuimessa.</w:t>
      </w:r>
    </w:p>
    <w:p w:rsidR="00B56423" w:rsidRDefault="00B56423" w:rsidP="005B0190">
      <w:pPr>
        <w:ind w:left="2608"/>
        <w:jc w:val="both"/>
      </w:pPr>
    </w:p>
    <w:p w:rsidR="00596772" w:rsidRPr="004A264C" w:rsidRDefault="00596772" w:rsidP="005B0190">
      <w:pPr>
        <w:ind w:left="2608"/>
        <w:jc w:val="both"/>
      </w:pPr>
      <w:r w:rsidRPr="004A264C">
        <w:t xml:space="preserve">Säännöksen yksityiskohtaisissa perusteluissa todetulla tavalla säännöksessä ei ehdoteta enää nimenomaisesti mainittavan sitä, että kantajan tulee kärsiä haittaa tavaramerkin rekisteröinnistä. Markkinaoikeus toteaa, että luonnoksessa ei mainitulta osin tuoda esiin ja selvitetä sitä, onko mainittu muutos katsottava ymmärrettävä jonkinlaiseksi muutokseksi nykyisen oikeustilan valossa. </w:t>
      </w:r>
    </w:p>
    <w:p w:rsidR="00596772" w:rsidRDefault="00596772" w:rsidP="005B0190">
      <w:pPr>
        <w:ind w:left="2608"/>
        <w:jc w:val="both"/>
        <w:rPr>
          <w:highlight w:val="cyan"/>
        </w:rPr>
      </w:pPr>
    </w:p>
    <w:p w:rsidR="005D3026" w:rsidRDefault="005D3026" w:rsidP="005B0190">
      <w:pPr>
        <w:ind w:left="2608"/>
        <w:jc w:val="both"/>
      </w:pPr>
      <w:r>
        <w:t>Ehdotetun pykälän 3 momentissa puhutaan yhtäkkiä markkinaoikeudesta, vaikka missään ei ole vielä ilmoitettu, että juuri markkinaoikeus</w:t>
      </w:r>
      <w:r w:rsidR="00E55FBC">
        <w:t xml:space="preserve"> on</w:t>
      </w:r>
      <w:r>
        <w:t xml:space="preserve"> toimivaltainen.</w:t>
      </w:r>
    </w:p>
    <w:p w:rsidR="00BE272B" w:rsidRDefault="00BE272B" w:rsidP="005B0190">
      <w:pPr>
        <w:ind w:left="2608"/>
        <w:jc w:val="both"/>
      </w:pPr>
    </w:p>
    <w:p w:rsidR="005D3026" w:rsidRPr="005D3026" w:rsidRDefault="005D3026" w:rsidP="005B0190">
      <w:pPr>
        <w:ind w:left="2608"/>
        <w:jc w:val="both"/>
        <w:rPr>
          <w:u w:val="single"/>
        </w:rPr>
      </w:pPr>
      <w:r w:rsidRPr="005D3026">
        <w:rPr>
          <w:u w:val="single"/>
        </w:rPr>
        <w:t>59 § Hakemuksen ja kanteen vireilläolovaikutus ja oikeusvoima</w:t>
      </w:r>
    </w:p>
    <w:p w:rsidR="005D3026" w:rsidRDefault="005D3026" w:rsidP="005B0190">
      <w:pPr>
        <w:ind w:left="2608"/>
        <w:jc w:val="both"/>
      </w:pPr>
    </w:p>
    <w:p w:rsidR="00304DF2" w:rsidRPr="004A264C" w:rsidRDefault="00304DF2" w:rsidP="005B0190">
      <w:pPr>
        <w:ind w:left="2608"/>
        <w:jc w:val="both"/>
      </w:pPr>
      <w:r w:rsidRPr="004A264C">
        <w:t xml:space="preserve">Ehdotetun pykälän 1 ja 2 momentin säännökset vaikuttaisivat koskevan enemmän rekisteriviranomaiselle tehtävän hakemuksen / tehdyn hakemuksen käsittelyä. Kyseisten säännösten paikka kuuluisi siten luontevimmin hallinnollisen menettelyn yhteyteen. </w:t>
      </w:r>
    </w:p>
    <w:p w:rsidR="00304DF2" w:rsidRPr="009466EB" w:rsidRDefault="00304DF2" w:rsidP="005B0190">
      <w:pPr>
        <w:ind w:left="2608"/>
        <w:jc w:val="both"/>
        <w:rPr>
          <w:highlight w:val="cyan"/>
        </w:rPr>
      </w:pPr>
    </w:p>
    <w:p w:rsidR="005D3026" w:rsidRDefault="00304DF2" w:rsidP="005B0190">
      <w:pPr>
        <w:ind w:left="2608"/>
        <w:jc w:val="both"/>
      </w:pPr>
      <w:r w:rsidRPr="004A264C">
        <w:t>Markkinaoikeus pitää kyseenlaisena</w:t>
      </w:r>
      <w:r w:rsidR="004A264C">
        <w:t>,</w:t>
      </w:r>
      <w:r w:rsidRPr="004A264C">
        <w:t xml:space="preserve"> onko ehdotetun pykälän 3 momentin säännökselle tarvetta. </w:t>
      </w:r>
      <w:r w:rsidR="005D3026" w:rsidRPr="004A264C">
        <w:t>Oikeusvoimasta</w:t>
      </w:r>
      <w:r w:rsidR="009466EB" w:rsidRPr="004A264C">
        <w:t>han</w:t>
      </w:r>
      <w:r w:rsidR="005D3026" w:rsidRPr="004A264C">
        <w:t xml:space="preserve"> ei </w:t>
      </w:r>
      <w:r w:rsidRPr="004A264C">
        <w:t xml:space="preserve">sisälly yleisiä </w:t>
      </w:r>
      <w:r w:rsidR="009466EB" w:rsidRPr="004A264C">
        <w:t>säännöksiä kirjoitettuun lakiin, eikä tästä ole katsottu aiheutuvan ongelmia. Päinvastoin, v</w:t>
      </w:r>
      <w:r w:rsidRPr="004A264C">
        <w:t>oidaan kysyä, mahdollistaa</w:t>
      </w:r>
      <w:r w:rsidR="009466EB" w:rsidRPr="004A264C">
        <w:t>ko</w:t>
      </w:r>
      <w:r w:rsidRPr="004A264C">
        <w:t xml:space="preserve"> ehdotettu säännös sisällöllisesti</w:t>
      </w:r>
      <w:r w:rsidR="009466EB" w:rsidRPr="004A264C">
        <w:t xml:space="preserve"> onnistuneimmalla tavalla sen </w:t>
      </w:r>
      <w:r w:rsidRPr="004A264C">
        <w:t>arvioi</w:t>
      </w:r>
      <w:r w:rsidR="009466EB" w:rsidRPr="004A264C">
        <w:t>nnin</w:t>
      </w:r>
      <w:r w:rsidRPr="004A264C">
        <w:t>, milloin kyse on sillä tavoin samasta asiasta, joka perustaa oikeusvoimavaikutuksen</w:t>
      </w:r>
      <w:r w:rsidR="009466EB" w:rsidRPr="004A264C">
        <w:t>. Säännöksessä ei nimittäin esimerkiksi näy</w:t>
      </w:r>
      <w:r w:rsidR="004A264C">
        <w:t>te</w:t>
      </w:r>
      <w:r w:rsidR="009466EB" w:rsidRPr="004A264C">
        <w:t>ttäisi lainkaan annettavan merkitystä sille, että kaksi asiaa, vaikka koskevatkin muodollisesti samaa merkkiä, eroavat toisistaan tavara- ja/tai palveluluokkien näkökulmasta.</w:t>
      </w:r>
    </w:p>
    <w:p w:rsidR="005B0190" w:rsidRDefault="005B0190" w:rsidP="005B0190">
      <w:pPr>
        <w:jc w:val="both"/>
        <w:rPr>
          <w:u w:val="single"/>
        </w:rPr>
      </w:pPr>
    </w:p>
    <w:p w:rsidR="004A264C" w:rsidRDefault="004A264C">
      <w:pPr>
        <w:spacing w:after="160" w:line="259" w:lineRule="auto"/>
        <w:rPr>
          <w:i/>
        </w:rPr>
      </w:pPr>
      <w:r>
        <w:rPr>
          <w:i/>
        </w:rPr>
        <w:br w:type="page"/>
      </w:r>
    </w:p>
    <w:p w:rsidR="003F5918" w:rsidRPr="005D3026" w:rsidRDefault="005D3026" w:rsidP="003F5918">
      <w:pPr>
        <w:jc w:val="both"/>
        <w:rPr>
          <w:i/>
        </w:rPr>
      </w:pPr>
      <w:r w:rsidRPr="005D3026">
        <w:rPr>
          <w:i/>
        </w:rPr>
        <w:lastRenderedPageBreak/>
        <w:t>6 luku Seuraamukset tavaramerkkioikeuden loukkauksesta ja tuomioistuimen toimivalta</w:t>
      </w:r>
    </w:p>
    <w:p w:rsidR="00146CBD" w:rsidRDefault="00146CBD" w:rsidP="003F5918">
      <w:pPr>
        <w:jc w:val="both"/>
        <w:rPr>
          <w:u w:val="single"/>
        </w:rPr>
      </w:pPr>
    </w:p>
    <w:p w:rsidR="00146CBD" w:rsidRPr="005D3026" w:rsidRDefault="00146CBD" w:rsidP="003F5918">
      <w:pPr>
        <w:jc w:val="both"/>
        <w:rPr>
          <w:i/>
        </w:rPr>
      </w:pPr>
      <w:r w:rsidRPr="00146CBD">
        <w:rPr>
          <w:i/>
        </w:rPr>
        <w:t>Seuraamukset</w:t>
      </w:r>
      <w:r w:rsidR="005D3026">
        <w:rPr>
          <w:i/>
        </w:rPr>
        <w:t xml:space="preserve"> tavaramerkkioikeuden loukkauksesta</w:t>
      </w:r>
    </w:p>
    <w:p w:rsidR="00146CBD" w:rsidRDefault="00146CBD" w:rsidP="00146CBD">
      <w:pPr>
        <w:ind w:left="2596"/>
        <w:jc w:val="both"/>
      </w:pPr>
    </w:p>
    <w:p w:rsidR="00EB36A2" w:rsidRPr="00C5785D" w:rsidRDefault="005D3026" w:rsidP="00EB36A2">
      <w:pPr>
        <w:ind w:left="2608"/>
        <w:jc w:val="both"/>
        <w:rPr>
          <w:u w:val="single"/>
        </w:rPr>
      </w:pPr>
      <w:r w:rsidRPr="00C5785D">
        <w:rPr>
          <w:u w:val="single"/>
        </w:rPr>
        <w:t>60 §</w:t>
      </w:r>
      <w:r>
        <w:rPr>
          <w:u w:val="single"/>
        </w:rPr>
        <w:t>Kielto</w:t>
      </w:r>
    </w:p>
    <w:p w:rsidR="00EB36A2" w:rsidRDefault="00EB36A2" w:rsidP="00EB36A2">
      <w:pPr>
        <w:ind w:left="2608"/>
        <w:jc w:val="both"/>
      </w:pPr>
    </w:p>
    <w:p w:rsidR="00EB36A2" w:rsidRDefault="00EB36A2" w:rsidP="00EB36A2">
      <w:pPr>
        <w:ind w:left="2608"/>
        <w:jc w:val="both"/>
      </w:pPr>
      <w:r>
        <w:t xml:space="preserve">Markkinaoikeus pitää tarpeettomana sisällyttää pykälään ehdotetun 3 momentin kaltaista </w:t>
      </w:r>
      <w:r w:rsidRPr="004A264C">
        <w:t>säännöstä</w:t>
      </w:r>
      <w:r w:rsidR="005D3026" w:rsidRPr="004A264C">
        <w:t xml:space="preserve"> väliaikaisesta kiellosta</w:t>
      </w:r>
      <w:r w:rsidRPr="004A264C">
        <w:t>. Sen suhteen, että oikeudenkäymiskaaren 7 luvun mukainen turvaamistoimisäännöstö on sovellettavissa, lienee pidettävä</w:t>
      </w:r>
      <w:r w:rsidR="009466EB" w:rsidRPr="004A264C">
        <w:t xml:space="preserve"> ilman minkäänlaista nimenomaista säännöstäkin </w:t>
      </w:r>
      <w:r w:rsidRPr="004A264C">
        <w:t>täysin itsestään selvänä</w:t>
      </w:r>
      <w:r w:rsidR="009466EB" w:rsidRPr="004A264C">
        <w:t>.</w:t>
      </w:r>
      <w:r w:rsidR="009466EB">
        <w:t xml:space="preserve"> </w:t>
      </w:r>
    </w:p>
    <w:p w:rsidR="009466EB" w:rsidRDefault="009466EB" w:rsidP="00EB36A2">
      <w:pPr>
        <w:ind w:left="2608"/>
        <w:jc w:val="both"/>
      </w:pPr>
    </w:p>
    <w:p w:rsidR="00EB36A2" w:rsidRDefault="00EB36A2" w:rsidP="00EB36A2">
      <w:pPr>
        <w:ind w:left="2608"/>
        <w:jc w:val="both"/>
      </w:pPr>
      <w:r>
        <w:t xml:space="preserve">Päinvastoin siihen nähden, että tavaramerkkilakiin sisältyi aiemmin oma väliaikaista kieltoa koskeva säännös, joka sittemmin niin sanotun IPR-tuomioistuinuudistuksen yhteydessä kumottiin tavaramerkkilaista, markkinaoikeus katsoo, että ehdotetun momentin kaltaisen säännöksen sisällyttäminen tavaramerkkilakiin olisi omiaan enemmän sekoittamaan oikeustilan ymmärtämistä. </w:t>
      </w:r>
    </w:p>
    <w:p w:rsidR="00EB36A2" w:rsidRDefault="00EB36A2" w:rsidP="00EB36A2">
      <w:pPr>
        <w:ind w:left="2608"/>
        <w:jc w:val="both"/>
      </w:pPr>
    </w:p>
    <w:p w:rsidR="00EB36A2" w:rsidRDefault="00EB36A2" w:rsidP="00EB36A2">
      <w:pPr>
        <w:ind w:left="2608"/>
        <w:jc w:val="both"/>
      </w:pPr>
      <w:r>
        <w:t xml:space="preserve">Vastaavasti markkinaoikeus pitää kyseenalaisena, onko ehdotetun 4 momentin kaltaisen säännöksen sisällyttämiseen tarvetta, edes </w:t>
      </w:r>
      <w:r w:rsidRPr="004A264C">
        <w:t xml:space="preserve">selkeyttämismielessä. </w:t>
      </w:r>
      <w:r w:rsidR="005D3026" w:rsidRPr="004A264C">
        <w:t>Siitä, kuka voi ajaa kannetta uhkasakkoon tuomitsemiseksi, on säädetty uhkasakkolaissa.</w:t>
      </w:r>
    </w:p>
    <w:p w:rsidR="00EB36A2" w:rsidRDefault="00EB36A2" w:rsidP="00EB36A2">
      <w:pPr>
        <w:ind w:left="2608"/>
        <w:jc w:val="both"/>
      </w:pPr>
    </w:p>
    <w:p w:rsidR="00B56423" w:rsidRPr="00B56423" w:rsidRDefault="00B56423" w:rsidP="00EB36A2">
      <w:pPr>
        <w:ind w:left="2608"/>
        <w:jc w:val="both"/>
        <w:rPr>
          <w:u w:val="single"/>
        </w:rPr>
      </w:pPr>
      <w:r w:rsidRPr="00B56423">
        <w:rPr>
          <w:u w:val="single"/>
        </w:rPr>
        <w:t>62 § Keskeyttämismääräys</w:t>
      </w:r>
    </w:p>
    <w:p w:rsidR="00B56423" w:rsidRDefault="00B56423" w:rsidP="00EB36A2">
      <w:pPr>
        <w:ind w:left="2608"/>
        <w:jc w:val="both"/>
      </w:pPr>
    </w:p>
    <w:p w:rsidR="004A264C" w:rsidRPr="004A264C" w:rsidRDefault="004A264C" w:rsidP="00EB36A2">
      <w:pPr>
        <w:ind w:left="2608"/>
        <w:jc w:val="both"/>
      </w:pPr>
      <w:r>
        <w:t xml:space="preserve">Ehdotetussa 1 momentissa mainitaan ”välittäjä”. Tätä ei ole kuitenkaan </w:t>
      </w:r>
      <w:r w:rsidRPr="004A264C">
        <w:t>mitenkään säännöksessä avattu.</w:t>
      </w:r>
    </w:p>
    <w:p w:rsidR="004A264C" w:rsidRPr="004A264C" w:rsidRDefault="004A264C" w:rsidP="00EB36A2">
      <w:pPr>
        <w:ind w:left="2608"/>
        <w:jc w:val="both"/>
      </w:pPr>
    </w:p>
    <w:p w:rsidR="00B56423" w:rsidRDefault="00B56423" w:rsidP="00EB36A2">
      <w:pPr>
        <w:ind w:left="2608"/>
        <w:jc w:val="both"/>
      </w:pPr>
      <w:r w:rsidRPr="004A264C">
        <w:t>Ehdotetun 7 momentin osalta markkinaoikeus viittaa siihen, mitä edellä on esitetty ehdotetun 60 §:n 4 momentin osalta.</w:t>
      </w:r>
    </w:p>
    <w:p w:rsidR="00EB36A2" w:rsidRDefault="00EB36A2" w:rsidP="00EB36A2">
      <w:pPr>
        <w:ind w:left="2608"/>
        <w:jc w:val="both"/>
      </w:pPr>
    </w:p>
    <w:p w:rsidR="00EB36A2" w:rsidRPr="00C5785D" w:rsidRDefault="00B56423" w:rsidP="00EB36A2">
      <w:pPr>
        <w:ind w:left="2608"/>
        <w:jc w:val="both"/>
        <w:rPr>
          <w:u w:val="single"/>
        </w:rPr>
      </w:pPr>
      <w:r>
        <w:rPr>
          <w:u w:val="single"/>
        </w:rPr>
        <w:t xml:space="preserve">63 § </w:t>
      </w:r>
      <w:r w:rsidR="00EB36A2" w:rsidRPr="00C5785D">
        <w:rPr>
          <w:u w:val="single"/>
        </w:rPr>
        <w:t>Harhaanjoh</w:t>
      </w:r>
      <w:r>
        <w:rPr>
          <w:u w:val="single"/>
        </w:rPr>
        <w:t>tavan merkin käytön kieltäminen</w:t>
      </w:r>
    </w:p>
    <w:p w:rsidR="00EB36A2" w:rsidRDefault="00EB36A2" w:rsidP="00EB36A2">
      <w:pPr>
        <w:ind w:left="2608"/>
        <w:jc w:val="both"/>
      </w:pPr>
    </w:p>
    <w:p w:rsidR="00EB36A2" w:rsidRDefault="00EB36A2" w:rsidP="00EB36A2">
      <w:pPr>
        <w:ind w:left="2608"/>
        <w:jc w:val="both"/>
      </w:pPr>
      <w:r>
        <w:t xml:space="preserve">Ehdotetun 2 ja 3 momentin osalta markkinaoikeus viittaa siihen, mitä edellä on esitetty ehdotetun 60 §:n 3 ja 4 momentin osalta. </w:t>
      </w:r>
    </w:p>
    <w:p w:rsidR="00EB36A2" w:rsidRDefault="00EB36A2" w:rsidP="00EB36A2">
      <w:pPr>
        <w:ind w:left="2608"/>
        <w:jc w:val="both"/>
      </w:pPr>
    </w:p>
    <w:p w:rsidR="00EB36A2" w:rsidRDefault="00B56423" w:rsidP="00146CBD">
      <w:pPr>
        <w:ind w:left="2596"/>
        <w:jc w:val="both"/>
      </w:pPr>
      <w:r w:rsidRPr="004A264C">
        <w:t>Markkinaoikeus myös toteaa, ettei harhaanjohtavan merkin käytön kieltäminen ole seuraamus tavaramerkkioikeuden loukkauksesta, eikä se siten sovi ehdotetun luvun otsikon ja sen alaotsikon alle.</w:t>
      </w:r>
    </w:p>
    <w:p w:rsidR="00EB36A2" w:rsidRDefault="00EB36A2" w:rsidP="00146CBD">
      <w:pPr>
        <w:ind w:left="2596"/>
        <w:jc w:val="both"/>
      </w:pPr>
    </w:p>
    <w:p w:rsidR="005D3F9E" w:rsidRPr="005D3F9E" w:rsidRDefault="005D3F9E" w:rsidP="005D3F9E">
      <w:pPr>
        <w:jc w:val="both"/>
        <w:rPr>
          <w:i/>
        </w:rPr>
      </w:pPr>
      <w:r w:rsidRPr="005D3F9E">
        <w:rPr>
          <w:i/>
        </w:rPr>
        <w:t>Tuomioistuimen toimivalta</w:t>
      </w:r>
    </w:p>
    <w:p w:rsidR="00EB36A2" w:rsidRDefault="00EB36A2" w:rsidP="00146CBD">
      <w:pPr>
        <w:ind w:left="2596"/>
        <w:jc w:val="both"/>
      </w:pPr>
    </w:p>
    <w:p w:rsidR="005D3F9E" w:rsidRPr="005D3F9E" w:rsidRDefault="005D3F9E" w:rsidP="00146CBD">
      <w:pPr>
        <w:ind w:left="2596"/>
        <w:jc w:val="both"/>
        <w:rPr>
          <w:u w:val="single"/>
        </w:rPr>
      </w:pPr>
      <w:r w:rsidRPr="005D3F9E">
        <w:rPr>
          <w:u w:val="single"/>
        </w:rPr>
        <w:t>73 § Markkinaoikeuden toimivalta</w:t>
      </w:r>
    </w:p>
    <w:p w:rsidR="00146CBD" w:rsidRDefault="00146CBD" w:rsidP="00146CBD">
      <w:pPr>
        <w:ind w:left="2596"/>
        <w:jc w:val="both"/>
      </w:pPr>
    </w:p>
    <w:p w:rsidR="005D3F9E" w:rsidRDefault="005D3F9E" w:rsidP="00146CBD">
      <w:pPr>
        <w:ind w:left="2596"/>
        <w:jc w:val="both"/>
      </w:pPr>
      <w:r>
        <w:t>Ehdotetun 1 momentin mukaan tähän lakiin perustuvat riita- ja hakemusasiat käsitellään markkinaoikeudessa.”</w:t>
      </w:r>
      <w:r w:rsidRPr="005D3F9E">
        <w:t xml:space="preserve"> </w:t>
      </w:r>
      <w:r>
        <w:t>Säännöksen on todettu vastaavan voimassa olevan lain 42 §:ää ja sitä on perusteltu seuraavasti: ”</w:t>
      </w:r>
      <w:r w:rsidRPr="00346656">
        <w:t xml:space="preserve">Tähän lakiin perustuvilla riita- ja hakemusasioilla viitataan kaikkiin riita- ja hakemusasioihin, joissa vaaditaan tavaramerkkilakiin perustuvaa seuraamusta tai joissa muutoin on kysymys mainittuun lakiin perustuvasta asiasta, esimerkiksi paremmasta oikeudesta tavaramerkkiin. Sen sijaan säännös ei kattaisi esimerkiksi asioita, </w:t>
      </w:r>
      <w:r w:rsidRPr="00346656">
        <w:lastRenderedPageBreak/>
        <w:t>joissa on kysymys sellaisesta sopimusoikeudellisesta riidasta, jossa ei edes väitetä loukatun tavaramerkkilain säännöksiä.</w:t>
      </w:r>
      <w:r>
        <w:t xml:space="preserve"> Tähän lakiin perustuvilla </w:t>
      </w:r>
      <w:r w:rsidRPr="00B26723">
        <w:rPr>
          <w:u w:val="single"/>
        </w:rPr>
        <w:t>hakemusasioilla</w:t>
      </w:r>
      <w:r>
        <w:t xml:space="preserve"> tarkoitetaan tavaramerkkeihin liittyviä hakemuksia, kuten tavaramerkkihakemuksia, väitteitä ja menettämis- ja mitätöintihakemuksia, joita koskevasta </w:t>
      </w:r>
      <w:r w:rsidRPr="00B26723">
        <w:rPr>
          <w:u w:val="single"/>
        </w:rPr>
        <w:t>PRH:n ratkaisusta valitetaan markkinaoikeudelle</w:t>
      </w:r>
      <w:r>
        <w:t xml:space="preserve"> ja jotka kuuluvat markkinaoikeuden toimivaltaan siten kuin oikeudenkäynnistä markkinaoi</w:t>
      </w:r>
      <w:r w:rsidR="004A264C">
        <w:t>keudessa annetun lain 4 luvun 1 </w:t>
      </w:r>
      <w:r>
        <w:t>§:ssä säädetään.”</w:t>
      </w:r>
    </w:p>
    <w:p w:rsidR="005D3F9E" w:rsidRDefault="005D3F9E" w:rsidP="00146CBD">
      <w:pPr>
        <w:ind w:left="2596"/>
        <w:jc w:val="both"/>
      </w:pPr>
    </w:p>
    <w:p w:rsidR="00146CBD" w:rsidRPr="00146CBD" w:rsidRDefault="005D3F9E" w:rsidP="00B26723">
      <w:pPr>
        <w:ind w:left="2596"/>
        <w:jc w:val="both"/>
      </w:pPr>
      <w:r>
        <w:t>Suurta ihmetystä herättää edellä kuvattujen</w:t>
      </w:r>
      <w:r w:rsidRPr="005D3F9E">
        <w:t xml:space="preserve"> </w:t>
      </w:r>
      <w:r>
        <w:t>perustelujen viimeinen virke</w:t>
      </w:r>
      <w:r w:rsidR="009466EB">
        <w:t xml:space="preserve">. </w:t>
      </w:r>
      <w:r w:rsidR="009466EB" w:rsidRPr="004A264C">
        <w:t xml:space="preserve">Oikeudenkäynnistä markkinaoikeudessa annetun lain 4 luvun 1 §:ssä tarkoitetuissa asioissa on kyse mainitussa </w:t>
      </w:r>
      <w:r w:rsidR="00251F03" w:rsidRPr="004A264C">
        <w:t xml:space="preserve">laissa tarkoitetuista valitusasioista, ei </w:t>
      </w:r>
      <w:r w:rsidRPr="004A264C">
        <w:t>hakemusasioi</w:t>
      </w:r>
      <w:r w:rsidR="00251F03" w:rsidRPr="004A264C">
        <w:t>s</w:t>
      </w:r>
      <w:r w:rsidRPr="004A264C">
        <w:t>ta</w:t>
      </w:r>
      <w:r w:rsidR="00555DBE" w:rsidRPr="004A264C">
        <w:t>. Kuten luonnoksen 97 §:</w:t>
      </w:r>
      <w:r w:rsidR="00555DBE">
        <w:t>n 1 momentissa todetaan, muutoksenhausta Patentti- ja rekisterihallituksen päätökseen tavaramerkkiä koskevassa asiassa säädetään Patentti- ja rekisterihallituksesta annetun lain 6 §:ssä.</w:t>
      </w:r>
      <w:r w:rsidR="00B26723">
        <w:t xml:space="preserve"> Mainitun pykälän 1 momentin 5 kohdan mukaan </w:t>
      </w:r>
      <w:r w:rsidR="00B26723" w:rsidRPr="00B26723">
        <w:t>Patentti- ja rekisterihallituksen päätökseen haetaan muutosta valittamalla markkinaoikeuteen siten kuin hallintolainkäyttölaissa säädetään, kun</w:t>
      </w:r>
      <w:r w:rsidR="00B26723">
        <w:t xml:space="preserve"> </w:t>
      </w:r>
      <w:r w:rsidR="00B26723" w:rsidRPr="00B26723">
        <w:t>päätöksellä on ratkaistu hakemus tavaramerkin tai yhteismerkin rekisteröimisestä taikka muu tavaramerkkiä tai yhteismerkkiä koskeva asia</w:t>
      </w:r>
      <w:r w:rsidR="00B26723">
        <w:t>.</w:t>
      </w:r>
    </w:p>
    <w:p w:rsidR="00146CBD" w:rsidRDefault="00146CBD" w:rsidP="003F5918">
      <w:pPr>
        <w:jc w:val="both"/>
        <w:rPr>
          <w:u w:val="single"/>
        </w:rPr>
      </w:pPr>
    </w:p>
    <w:p w:rsidR="009E5A5A" w:rsidRPr="009E5A5A" w:rsidRDefault="009E5A5A" w:rsidP="003F5918">
      <w:pPr>
        <w:jc w:val="both"/>
        <w:rPr>
          <w:i/>
        </w:rPr>
      </w:pPr>
      <w:r>
        <w:rPr>
          <w:i/>
        </w:rPr>
        <w:t>9 luku Erityiset säännökset</w:t>
      </w:r>
    </w:p>
    <w:p w:rsidR="009E5A5A" w:rsidRDefault="009E5A5A" w:rsidP="003F5918">
      <w:pPr>
        <w:jc w:val="both"/>
        <w:rPr>
          <w:u w:val="single"/>
        </w:rPr>
      </w:pPr>
    </w:p>
    <w:p w:rsidR="009E5A5A" w:rsidRPr="009E5A5A" w:rsidRDefault="009E5A5A" w:rsidP="009E5A5A">
      <w:pPr>
        <w:ind w:left="2596"/>
        <w:jc w:val="both"/>
        <w:rPr>
          <w:u w:val="single"/>
        </w:rPr>
      </w:pPr>
      <w:r w:rsidRPr="009E5A5A">
        <w:rPr>
          <w:u w:val="single"/>
        </w:rPr>
        <w:t>97 § Muutoksenhaku</w:t>
      </w:r>
    </w:p>
    <w:p w:rsidR="009E5A5A" w:rsidRDefault="009E5A5A" w:rsidP="009E5A5A">
      <w:pPr>
        <w:ind w:left="2596"/>
        <w:jc w:val="both"/>
      </w:pPr>
    </w:p>
    <w:p w:rsidR="009E5A5A" w:rsidRDefault="009E5A5A" w:rsidP="009E5A5A">
      <w:pPr>
        <w:ind w:left="2596"/>
        <w:jc w:val="both"/>
        <w:rPr>
          <w:lang w:eastAsia="fi-FI"/>
        </w:rPr>
      </w:pPr>
      <w:r>
        <w:t xml:space="preserve">Ehdotetun 97 §:n 2 momentin mukaan </w:t>
      </w:r>
      <w:r w:rsidRPr="00062060">
        <w:rPr>
          <w:lang w:eastAsia="fi-FI"/>
        </w:rPr>
        <w:t>Patentti- ja rekisterihallituksella on oikeus hakea valittamalla muutosta markkinaoikeuden päätökseen, jolla markkinaoikeus on kumonnut Patentti- ja rekisterihallituksen antaman päätöksen tai muuttanut sitä.</w:t>
      </w:r>
    </w:p>
    <w:p w:rsidR="0033752F" w:rsidRDefault="0033752F" w:rsidP="009E5A5A">
      <w:pPr>
        <w:ind w:left="2596"/>
        <w:jc w:val="both"/>
        <w:rPr>
          <w:lang w:eastAsia="fi-FI"/>
        </w:rPr>
      </w:pPr>
    </w:p>
    <w:p w:rsidR="0033752F" w:rsidRDefault="0033752F" w:rsidP="009E5A5A">
      <w:pPr>
        <w:ind w:left="2596"/>
        <w:jc w:val="both"/>
        <w:rPr>
          <w:lang w:eastAsia="fi-FI"/>
        </w:rPr>
      </w:pPr>
      <w:r w:rsidRPr="004A264C">
        <w:rPr>
          <w:lang w:eastAsia="fi-FI"/>
        </w:rPr>
        <w:t>Markkinaoikeu</w:t>
      </w:r>
      <w:r w:rsidR="00251F03" w:rsidRPr="004A264C">
        <w:rPr>
          <w:lang w:eastAsia="fi-FI"/>
        </w:rPr>
        <w:t xml:space="preserve">della ei sinänsä ole huomauttamista siitä, että </w:t>
      </w:r>
      <w:r w:rsidRPr="004A264C">
        <w:rPr>
          <w:lang w:eastAsia="fi-FI"/>
        </w:rPr>
        <w:t>Patentti- ja rekisterihallitukselle</w:t>
      </w:r>
      <w:r w:rsidR="00251F03" w:rsidRPr="004A264C">
        <w:rPr>
          <w:lang w:eastAsia="fi-FI"/>
        </w:rPr>
        <w:t xml:space="preserve"> annetaan muutoksenhakuoikeus</w:t>
      </w:r>
      <w:r w:rsidRPr="004A264C">
        <w:rPr>
          <w:lang w:eastAsia="fi-FI"/>
        </w:rPr>
        <w:t>.</w:t>
      </w:r>
      <w:r>
        <w:rPr>
          <w:lang w:eastAsia="fi-FI"/>
        </w:rPr>
        <w:t xml:space="preserve"> </w:t>
      </w:r>
      <w:r w:rsidR="00C5439F">
        <w:rPr>
          <w:lang w:eastAsia="fi-FI"/>
        </w:rPr>
        <w:t>Ihmetystä kuitenkin herättää se, ettei luonnoksen perusteluissa ole lainkaan avattu ehdotettua säännöstä.</w:t>
      </w:r>
      <w:r w:rsidR="00D90328">
        <w:rPr>
          <w:lang w:eastAsia="fi-FI"/>
        </w:rPr>
        <w:t xml:space="preserve"> Itse asiassa säännös näyttäisi kokonaan unohtuneen perusteluista.</w:t>
      </w:r>
    </w:p>
    <w:p w:rsidR="00C5439F" w:rsidRDefault="00C5439F" w:rsidP="009E5A5A">
      <w:pPr>
        <w:ind w:left="2596"/>
        <w:jc w:val="both"/>
        <w:rPr>
          <w:lang w:eastAsia="fi-FI"/>
        </w:rPr>
      </w:pPr>
    </w:p>
    <w:p w:rsidR="00C5439F" w:rsidRPr="009E5A5A" w:rsidRDefault="00D90328" w:rsidP="009E5A5A">
      <w:pPr>
        <w:ind w:left="2596"/>
        <w:jc w:val="both"/>
      </w:pPr>
      <w:r>
        <w:t>Tältä osin markkinaoikeus muistuttaa, että oikeudenkäynnistä markkinaoikeudessa annetun lain 7 luvun 2 §:n 1 momentin mukaan m</w:t>
      </w:r>
      <w:r w:rsidR="00C5439F" w:rsidRPr="00C5439F">
        <w:t xml:space="preserve">arkkinaoikeuden päätökseen valitusasiassa saa hakea </w:t>
      </w:r>
      <w:r w:rsidR="00C5439F">
        <w:t>muutosta korkeimmalta hallinto-</w:t>
      </w:r>
      <w:r w:rsidR="00C5439F" w:rsidRPr="00C5439F">
        <w:t>oikeudelta valittamalla vain, jos korkein hallinto-oikeus myöntää valitusluvan. Valitus on tehtävä 30 päivän kuluessa markkinaoikeuden päätöksen tiedoksisaannista</w:t>
      </w:r>
      <w:r w:rsidR="00C5439F">
        <w:t>.</w:t>
      </w:r>
      <w:r w:rsidR="00C5439F" w:rsidRPr="00C5439F">
        <w:t xml:space="preserve"> </w:t>
      </w:r>
      <w:r>
        <w:t>Mainitun pykälän 2 momentin mukaan v</w:t>
      </w:r>
      <w:r w:rsidR="00C5439F" w:rsidRPr="00C5439F">
        <w:t>alituksen tekemiseen sovelletaan muutoin, mitä hallintolainkäyttölaissa säädetään</w:t>
      </w:r>
      <w:r w:rsidR="00C5439F">
        <w:t>.</w:t>
      </w:r>
      <w:r>
        <w:t xml:space="preserve"> Herääkin kysymys, pitäisikö ehdotetussa säännöksessä </w:t>
      </w:r>
      <w:r w:rsidR="004D4171">
        <w:t>selvyyden v</w:t>
      </w:r>
      <w:r w:rsidR="00684045">
        <w:t xml:space="preserve">uoksi </w:t>
      </w:r>
      <w:r>
        <w:t>viitata oikeudenkäynnistä</w:t>
      </w:r>
      <w:r w:rsidR="00684045">
        <w:t xml:space="preserve"> markkin</w:t>
      </w:r>
      <w:r w:rsidR="00215E65">
        <w:t>aoikeudessa annettuun lakiin</w:t>
      </w:r>
      <w:r>
        <w:t>.</w:t>
      </w:r>
    </w:p>
    <w:p w:rsidR="00146CBD" w:rsidRDefault="00146CBD" w:rsidP="003F5918">
      <w:pPr>
        <w:jc w:val="both"/>
        <w:rPr>
          <w:u w:val="single"/>
        </w:rPr>
      </w:pPr>
    </w:p>
    <w:p w:rsidR="00B26723" w:rsidRPr="00B26723" w:rsidRDefault="00B26723" w:rsidP="003F5918">
      <w:pPr>
        <w:jc w:val="both"/>
        <w:rPr>
          <w:i/>
        </w:rPr>
      </w:pPr>
      <w:r w:rsidRPr="00B26723">
        <w:rPr>
          <w:i/>
        </w:rPr>
        <w:t>10 luku Voimaantulo</w:t>
      </w:r>
    </w:p>
    <w:p w:rsidR="00B26723" w:rsidRDefault="00B26723" w:rsidP="003F5918">
      <w:pPr>
        <w:jc w:val="both"/>
        <w:rPr>
          <w:u w:val="single"/>
        </w:rPr>
      </w:pPr>
    </w:p>
    <w:p w:rsidR="00146CBD" w:rsidRPr="004A264C" w:rsidRDefault="00B26723" w:rsidP="004A264C">
      <w:pPr>
        <w:ind w:left="2596"/>
        <w:jc w:val="both"/>
        <w:rPr>
          <w:u w:val="single"/>
        </w:rPr>
      </w:pPr>
      <w:r w:rsidRPr="004A264C">
        <w:rPr>
          <w:u w:val="single"/>
        </w:rPr>
        <w:t xml:space="preserve">103 § </w:t>
      </w:r>
      <w:r w:rsidR="00146CBD" w:rsidRPr="004A264C">
        <w:rPr>
          <w:u w:val="single"/>
        </w:rPr>
        <w:t>Siirtymäsäännökset</w:t>
      </w:r>
    </w:p>
    <w:p w:rsidR="00146CBD" w:rsidRDefault="00146CBD" w:rsidP="003F5918">
      <w:pPr>
        <w:jc w:val="both"/>
        <w:rPr>
          <w:u w:val="single"/>
        </w:rPr>
      </w:pPr>
    </w:p>
    <w:p w:rsidR="00146CBD" w:rsidRDefault="00F748EC" w:rsidP="00B26723">
      <w:pPr>
        <w:ind w:left="2596"/>
        <w:jc w:val="both"/>
      </w:pPr>
      <w:r>
        <w:t xml:space="preserve">Ehdotetussa 1 momentissa säädetään lain voimaan tullessa vireillä olleen </w:t>
      </w:r>
      <w:r w:rsidRPr="00F748EC">
        <w:rPr>
          <w:u w:val="single"/>
        </w:rPr>
        <w:t>hallintoasian</w:t>
      </w:r>
      <w:r>
        <w:t xml:space="preserve"> käsittelyssä sovellettavista säännöksistä. Markkinaoikeus toteaa, että siirtymäsäännöksissä ei säädetä lainkaan siitä, mitä </w:t>
      </w:r>
      <w:r w:rsidRPr="004A264C">
        <w:t xml:space="preserve">säännöksiä </w:t>
      </w:r>
      <w:r w:rsidRPr="004A264C">
        <w:lastRenderedPageBreak/>
        <w:t>markkinaoikeuden on sovellettava siellä vireillä olevissa valitusasioissa</w:t>
      </w:r>
      <w:r w:rsidR="00251F03" w:rsidRPr="004A264C">
        <w:t>, joihin sovelletaan hallintolainkäyttölakia ja joissa on kyse hallintolainkäyttöasiasta</w:t>
      </w:r>
      <w:r w:rsidRPr="004A264C">
        <w:t>.</w:t>
      </w:r>
    </w:p>
    <w:p w:rsidR="003F5918" w:rsidRDefault="003F5918" w:rsidP="003F5918">
      <w:pPr>
        <w:jc w:val="both"/>
        <w:rPr>
          <w:u w:val="single"/>
        </w:rPr>
      </w:pPr>
    </w:p>
    <w:p w:rsidR="003F5918" w:rsidRPr="00D40FC9" w:rsidRDefault="003F5918" w:rsidP="003F5918">
      <w:pPr>
        <w:jc w:val="both"/>
        <w:rPr>
          <w:i/>
        </w:rPr>
      </w:pPr>
      <w:r w:rsidRPr="00D40FC9">
        <w:rPr>
          <w:i/>
        </w:rPr>
        <w:t>Johtopäätös</w:t>
      </w:r>
    </w:p>
    <w:p w:rsidR="003F5918" w:rsidRDefault="003F5918" w:rsidP="003F5918">
      <w:pPr>
        <w:jc w:val="both"/>
      </w:pPr>
    </w:p>
    <w:p w:rsidR="00BB5447" w:rsidRDefault="003F5918" w:rsidP="003F5918">
      <w:pPr>
        <w:ind w:left="2608"/>
        <w:jc w:val="both"/>
      </w:pPr>
      <w:r>
        <w:t>Markkinaoikeus pitää sinänsä erittäin tärkeänä tavaramerkkilain</w:t>
      </w:r>
      <w:r w:rsidR="00BB5447">
        <w:t xml:space="preserve"> kokonaisuudistuksen tekemistä.</w:t>
      </w:r>
    </w:p>
    <w:p w:rsidR="00661855" w:rsidRDefault="00661855" w:rsidP="003F5918">
      <w:pPr>
        <w:ind w:left="2608"/>
        <w:jc w:val="both"/>
      </w:pPr>
    </w:p>
    <w:p w:rsidR="00661855" w:rsidRDefault="00661855" w:rsidP="003F5918">
      <w:pPr>
        <w:ind w:left="2608"/>
        <w:jc w:val="both"/>
      </w:pPr>
      <w:r>
        <w:t>Ehdotetussa luonnoksessa on kuitenkin valitettavasti vielä ongelmia ehdotetun lain rakenteesta alkaen.</w:t>
      </w:r>
    </w:p>
    <w:p w:rsidR="00BB5447" w:rsidRDefault="00BB5447" w:rsidP="003F5918">
      <w:pPr>
        <w:ind w:left="2608"/>
        <w:jc w:val="both"/>
      </w:pPr>
    </w:p>
    <w:p w:rsidR="003F5918" w:rsidRDefault="00661855" w:rsidP="003F5918">
      <w:pPr>
        <w:ind w:left="2608"/>
        <w:jc w:val="both"/>
      </w:pPr>
      <w:r>
        <w:t>Lisäksi t</w:t>
      </w:r>
      <w:r w:rsidR="00BB5447">
        <w:t xml:space="preserve">avaramerkkidirektiivin määräysten täytäntöönpanon </w:t>
      </w:r>
      <w:r>
        <w:t xml:space="preserve">tulisi </w:t>
      </w:r>
      <w:r w:rsidR="00BB5447">
        <w:t xml:space="preserve">olla tarkempaa ja huolellisempaa kuin nyt esitetyssä luonnoksessa. </w:t>
      </w:r>
      <w:r>
        <w:t>O</w:t>
      </w:r>
      <w:r w:rsidR="003F5918">
        <w:t>lisi tärkeä varmistaa, että tavaramerkkidirektiiv</w:t>
      </w:r>
      <w:r w:rsidR="00E55FBC">
        <w:t xml:space="preserve">i pannaan täytäntöön niin asianmukaisesti </w:t>
      </w:r>
      <w:bookmarkStart w:id="0" w:name="_GoBack"/>
      <w:bookmarkEnd w:id="0"/>
      <w:r w:rsidR="003F5918">
        <w:t xml:space="preserve"> kuin mahdollista. Tässä </w:t>
      </w:r>
      <w:r>
        <w:t>yhteydessä tulisi lisäksi</w:t>
      </w:r>
      <w:r w:rsidR="003F5918">
        <w:t xml:space="preserve"> tarkistaa kaikkien, myös jo olemassa olevien säännösten osalta, ovatko ne direktiivin mukaisia vai eivät.</w:t>
      </w:r>
    </w:p>
    <w:p w:rsidR="003F5918" w:rsidRDefault="003F5918" w:rsidP="003F5918">
      <w:pPr>
        <w:ind w:left="2608"/>
        <w:jc w:val="both"/>
      </w:pPr>
    </w:p>
    <w:p w:rsidR="00D95615" w:rsidRDefault="00D95615" w:rsidP="003F5918">
      <w:pPr>
        <w:ind w:left="2608"/>
        <w:jc w:val="both"/>
      </w:pPr>
    </w:p>
    <w:p w:rsidR="00D95615" w:rsidRDefault="00D95615" w:rsidP="003F5918">
      <w:pPr>
        <w:ind w:left="2608"/>
        <w:jc w:val="both"/>
      </w:pPr>
    </w:p>
    <w:p w:rsidR="00605EB9" w:rsidRPr="003955D1" w:rsidRDefault="00605EB9" w:rsidP="00605EB9">
      <w:pPr>
        <w:jc w:val="both"/>
      </w:pPr>
    </w:p>
    <w:p w:rsidR="003F5918" w:rsidRPr="003955D1" w:rsidRDefault="003F5918" w:rsidP="003F5918">
      <w:pPr>
        <w:ind w:left="2608"/>
        <w:jc w:val="both"/>
      </w:pPr>
    </w:p>
    <w:p w:rsidR="003F5918" w:rsidRDefault="003F5918" w:rsidP="00605EB9">
      <w:pPr>
        <w:ind w:left="2608"/>
      </w:pPr>
      <w:r>
        <w:t>Kimmo Mikkola</w:t>
      </w:r>
      <w:r w:rsidR="00605EB9">
        <w:tab/>
      </w:r>
      <w:r w:rsidR="00605EB9">
        <w:tab/>
        <w:t>Jussi Karttunen</w:t>
      </w:r>
    </w:p>
    <w:p w:rsidR="003F5918" w:rsidRDefault="003F5918" w:rsidP="003F5918">
      <w:pPr>
        <w:ind w:left="2608"/>
      </w:pPr>
      <w:r>
        <w:t>Markkinaoikeuden ylituomari</w:t>
      </w:r>
      <w:r w:rsidR="00605EB9">
        <w:tab/>
      </w:r>
      <w:r w:rsidR="00605EB9" w:rsidRPr="00E51969">
        <w:t>Markkinaoikeustuomari</w:t>
      </w:r>
    </w:p>
    <w:p w:rsidR="003F5918" w:rsidRDefault="003F5918" w:rsidP="003F5918">
      <w:pPr>
        <w:ind w:left="2608"/>
      </w:pPr>
    </w:p>
    <w:p w:rsidR="003F5918" w:rsidRDefault="003F5918" w:rsidP="003F5918">
      <w:pPr>
        <w:ind w:left="2608"/>
      </w:pPr>
    </w:p>
    <w:p w:rsidR="003F5918" w:rsidRDefault="003F5918" w:rsidP="003F5918">
      <w:pPr>
        <w:ind w:left="2608"/>
      </w:pPr>
    </w:p>
    <w:p w:rsidR="003F5918" w:rsidRDefault="003F5918" w:rsidP="003F5918">
      <w:pPr>
        <w:ind w:left="2608"/>
      </w:pPr>
      <w:r>
        <w:t>Nina Korjus</w:t>
      </w:r>
    </w:p>
    <w:p w:rsidR="003F5918" w:rsidRDefault="003F5918" w:rsidP="003F5918">
      <w:pPr>
        <w:ind w:left="2608"/>
      </w:pPr>
      <w:r>
        <w:t>Markkinaoikeustuomari</w:t>
      </w:r>
    </w:p>
    <w:p w:rsidR="003F5918" w:rsidRDefault="003F5918" w:rsidP="003F5918"/>
    <w:sectPr w:rsidR="003F5918" w:rsidSect="00A330B3">
      <w:headerReference w:type="default" r:id="rId8"/>
      <w:headerReference w:type="first" r:id="rId9"/>
      <w:footerReference w:type="first" r:id="rId10"/>
      <w:pgSz w:w="11906" w:h="16838" w:code="9"/>
      <w:pgMar w:top="1134" w:right="567"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2A5" w:rsidRDefault="00E442A5" w:rsidP="00C51815">
      <w:r>
        <w:separator/>
      </w:r>
    </w:p>
  </w:endnote>
  <w:endnote w:type="continuationSeparator" w:id="0">
    <w:p w:rsidR="00E442A5" w:rsidRDefault="00E442A5" w:rsidP="00C5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2A5" w:rsidRDefault="00E442A5"/>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8"/>
      <w:gridCol w:w="2438"/>
      <w:gridCol w:w="2438"/>
      <w:gridCol w:w="2438"/>
    </w:tblGrid>
    <w:tr w:rsidR="00E442A5" w:rsidRPr="0056283F" w:rsidTr="00915099">
      <w:trPr>
        <w:trHeight w:val="850"/>
      </w:trPr>
      <w:tc>
        <w:tcPr>
          <w:tcW w:w="2438" w:type="dxa"/>
          <w:tcBorders>
            <w:top w:val="single" w:sz="4" w:space="0" w:color="auto"/>
          </w:tcBorders>
          <w:vAlign w:val="bottom"/>
        </w:tcPr>
        <w:p w:rsidR="00E442A5" w:rsidRDefault="00E442A5" w:rsidP="00915099">
          <w:pPr>
            <w:pStyle w:val="Alatunniste"/>
            <w:rPr>
              <w:b/>
              <w:sz w:val="16"/>
              <w:szCs w:val="22"/>
            </w:rPr>
          </w:pPr>
          <w:r>
            <w:rPr>
              <w:b/>
              <w:sz w:val="16"/>
              <w:szCs w:val="22"/>
            </w:rPr>
            <w:t xml:space="preserve"> </w:t>
          </w:r>
        </w:p>
        <w:p w:rsidR="00E442A5" w:rsidRDefault="00E442A5" w:rsidP="00915099">
          <w:pPr>
            <w:pStyle w:val="Alatunniste"/>
            <w:rPr>
              <w:b/>
              <w:sz w:val="16"/>
              <w:szCs w:val="22"/>
            </w:rPr>
          </w:pPr>
          <w:r>
            <w:rPr>
              <w:b/>
              <w:sz w:val="16"/>
              <w:szCs w:val="22"/>
            </w:rPr>
            <w:t>Markkinaoikeus</w:t>
          </w:r>
        </w:p>
        <w:p w:rsidR="00E442A5" w:rsidRDefault="00E442A5" w:rsidP="00915099">
          <w:pPr>
            <w:pStyle w:val="Alatunniste"/>
            <w:rPr>
              <w:b/>
              <w:sz w:val="16"/>
              <w:szCs w:val="22"/>
            </w:rPr>
          </w:pPr>
        </w:p>
        <w:p w:rsidR="00E442A5" w:rsidRDefault="00E442A5" w:rsidP="00915099">
          <w:pPr>
            <w:pStyle w:val="Alatunniste"/>
            <w:rPr>
              <w:b/>
              <w:sz w:val="16"/>
              <w:szCs w:val="22"/>
            </w:rPr>
          </w:pPr>
        </w:p>
        <w:p w:rsidR="00E442A5" w:rsidRPr="00915099" w:rsidRDefault="00E442A5" w:rsidP="00915099">
          <w:pPr>
            <w:pStyle w:val="Alatunniste"/>
            <w:rPr>
              <w:b/>
              <w:sz w:val="16"/>
              <w:szCs w:val="22"/>
              <w:lang w:val="sv-SE"/>
            </w:rPr>
          </w:pPr>
          <w:r w:rsidRPr="00E23C58">
            <w:rPr>
              <w:b/>
              <w:sz w:val="16"/>
              <w:szCs w:val="22"/>
              <w:lang w:val="sv-SE"/>
            </w:rPr>
            <w:t>Marknadsdomstolen</w:t>
          </w:r>
        </w:p>
        <w:p w:rsidR="00E442A5" w:rsidRPr="008F7B2B" w:rsidRDefault="00E442A5" w:rsidP="00915099">
          <w:pPr>
            <w:pStyle w:val="Alatunniste"/>
            <w:rPr>
              <w:b/>
              <w:sz w:val="16"/>
              <w:szCs w:val="22"/>
            </w:rPr>
          </w:pPr>
        </w:p>
      </w:tc>
      <w:tc>
        <w:tcPr>
          <w:tcW w:w="2438" w:type="dxa"/>
          <w:tcBorders>
            <w:top w:val="single" w:sz="4" w:space="0" w:color="auto"/>
          </w:tcBorders>
          <w:vAlign w:val="bottom"/>
        </w:tcPr>
        <w:p w:rsidR="00E442A5" w:rsidRDefault="00E442A5" w:rsidP="00915099">
          <w:pPr>
            <w:pStyle w:val="Alatunniste"/>
            <w:rPr>
              <w:sz w:val="16"/>
              <w:szCs w:val="22"/>
            </w:rPr>
          </w:pPr>
          <w:r>
            <w:rPr>
              <w:sz w:val="16"/>
              <w:szCs w:val="22"/>
            </w:rPr>
            <w:t xml:space="preserve">Radanrakentajantie </w:t>
          </w:r>
          <w:r w:rsidRPr="00323FFE">
            <w:rPr>
              <w:sz w:val="16"/>
              <w:szCs w:val="22"/>
            </w:rPr>
            <w:t>5</w:t>
          </w:r>
        </w:p>
        <w:p w:rsidR="00E442A5" w:rsidRDefault="00E442A5" w:rsidP="00915099">
          <w:pPr>
            <w:pStyle w:val="Alatunniste"/>
            <w:rPr>
              <w:sz w:val="16"/>
              <w:szCs w:val="22"/>
            </w:rPr>
          </w:pPr>
          <w:r>
            <w:rPr>
              <w:sz w:val="16"/>
              <w:szCs w:val="22"/>
            </w:rPr>
            <w:t>00520 Helsinki</w:t>
          </w:r>
        </w:p>
        <w:p w:rsidR="00E442A5" w:rsidRDefault="00E442A5" w:rsidP="00915099">
          <w:pPr>
            <w:pStyle w:val="Alatunniste"/>
            <w:rPr>
              <w:sz w:val="16"/>
              <w:szCs w:val="22"/>
            </w:rPr>
          </w:pPr>
        </w:p>
        <w:p w:rsidR="00E442A5" w:rsidRDefault="00E442A5" w:rsidP="00915099">
          <w:pPr>
            <w:pStyle w:val="Alatunniste"/>
            <w:rPr>
              <w:sz w:val="16"/>
              <w:szCs w:val="22"/>
              <w:lang w:val="sv-SE"/>
            </w:rPr>
          </w:pPr>
          <w:r w:rsidRPr="00E23C58">
            <w:rPr>
              <w:sz w:val="16"/>
              <w:szCs w:val="22"/>
              <w:lang w:val="sv-SE"/>
            </w:rPr>
            <w:t>Banbyggarvägen 5</w:t>
          </w:r>
        </w:p>
        <w:p w:rsidR="00E442A5" w:rsidRPr="008F7B2B" w:rsidRDefault="00E442A5" w:rsidP="00915099">
          <w:pPr>
            <w:pStyle w:val="Alatunniste"/>
            <w:rPr>
              <w:b/>
              <w:sz w:val="16"/>
              <w:szCs w:val="22"/>
            </w:rPr>
          </w:pPr>
          <w:r w:rsidRPr="00E23C58">
            <w:rPr>
              <w:sz w:val="16"/>
              <w:szCs w:val="22"/>
              <w:lang w:val="sv-SE"/>
            </w:rPr>
            <w:t>00520 Helsingfors</w:t>
          </w:r>
        </w:p>
      </w:tc>
      <w:tc>
        <w:tcPr>
          <w:tcW w:w="2438" w:type="dxa"/>
          <w:tcBorders>
            <w:top w:val="single" w:sz="4" w:space="0" w:color="auto"/>
          </w:tcBorders>
          <w:vAlign w:val="bottom"/>
        </w:tcPr>
        <w:p w:rsidR="00E442A5" w:rsidRDefault="00E442A5" w:rsidP="00915099">
          <w:pPr>
            <w:pStyle w:val="Alatunniste"/>
            <w:rPr>
              <w:sz w:val="16"/>
              <w:szCs w:val="22"/>
            </w:rPr>
          </w:pPr>
          <w:r>
            <w:rPr>
              <w:sz w:val="16"/>
              <w:szCs w:val="22"/>
            </w:rPr>
            <w:t xml:space="preserve">Puhelin </w:t>
          </w:r>
          <w:r w:rsidRPr="00323FFE">
            <w:rPr>
              <w:sz w:val="16"/>
              <w:szCs w:val="22"/>
            </w:rPr>
            <w:t>029 564 3300</w:t>
          </w:r>
          <w:r w:rsidRPr="00DF41B0">
            <w:rPr>
              <w:sz w:val="16"/>
              <w:szCs w:val="22"/>
            </w:rPr>
            <w:t xml:space="preserve"> </w:t>
          </w:r>
        </w:p>
        <w:p w:rsidR="00E442A5" w:rsidRDefault="00E442A5" w:rsidP="00915099">
          <w:pPr>
            <w:pStyle w:val="Alatunniste"/>
            <w:rPr>
              <w:sz w:val="16"/>
              <w:szCs w:val="22"/>
            </w:rPr>
          </w:pPr>
          <w:r w:rsidRPr="00DF41B0">
            <w:rPr>
              <w:sz w:val="16"/>
              <w:szCs w:val="22"/>
            </w:rPr>
            <w:t xml:space="preserve">Faksi </w:t>
          </w:r>
          <w:r w:rsidRPr="00323FFE">
            <w:rPr>
              <w:sz w:val="16"/>
              <w:szCs w:val="22"/>
            </w:rPr>
            <w:t>029 564 3314</w:t>
          </w:r>
        </w:p>
        <w:p w:rsidR="00E442A5" w:rsidRDefault="00E442A5" w:rsidP="00915099">
          <w:pPr>
            <w:pStyle w:val="Alatunniste"/>
            <w:rPr>
              <w:sz w:val="16"/>
              <w:szCs w:val="22"/>
            </w:rPr>
          </w:pPr>
        </w:p>
        <w:p w:rsidR="00E442A5" w:rsidRDefault="00E442A5" w:rsidP="00915099">
          <w:pPr>
            <w:pStyle w:val="Alatunniste"/>
            <w:rPr>
              <w:sz w:val="16"/>
              <w:szCs w:val="22"/>
              <w:lang w:val="sv-SE"/>
            </w:rPr>
          </w:pPr>
          <w:r w:rsidRPr="00E23C58">
            <w:rPr>
              <w:sz w:val="16"/>
              <w:szCs w:val="22"/>
              <w:lang w:val="sv-SE"/>
            </w:rPr>
            <w:t xml:space="preserve">Telefon 029 564 3300 </w:t>
          </w:r>
        </w:p>
        <w:p w:rsidR="00E442A5" w:rsidRPr="008F7B2B" w:rsidRDefault="00E442A5" w:rsidP="00915099">
          <w:pPr>
            <w:pStyle w:val="Alatunniste"/>
            <w:rPr>
              <w:sz w:val="16"/>
              <w:szCs w:val="22"/>
            </w:rPr>
          </w:pPr>
          <w:r w:rsidRPr="00E23C58">
            <w:rPr>
              <w:sz w:val="16"/>
              <w:szCs w:val="22"/>
              <w:lang w:val="sv-SE"/>
            </w:rPr>
            <w:t>Fax 029 564 3314</w:t>
          </w:r>
        </w:p>
      </w:tc>
      <w:tc>
        <w:tcPr>
          <w:tcW w:w="2438" w:type="dxa"/>
          <w:tcBorders>
            <w:top w:val="single" w:sz="4" w:space="0" w:color="auto"/>
          </w:tcBorders>
          <w:vAlign w:val="bottom"/>
        </w:tcPr>
        <w:p w:rsidR="00E442A5" w:rsidRDefault="00E442A5" w:rsidP="00915099">
          <w:pPr>
            <w:pStyle w:val="Alatunniste"/>
            <w:rPr>
              <w:sz w:val="16"/>
              <w:szCs w:val="22"/>
            </w:rPr>
          </w:pPr>
          <w:r>
            <w:rPr>
              <w:sz w:val="16"/>
              <w:szCs w:val="22"/>
            </w:rPr>
            <w:t>markkinaoikeus@oikeus.fi</w:t>
          </w:r>
        </w:p>
        <w:p w:rsidR="00E442A5" w:rsidRDefault="00E442A5" w:rsidP="00915099">
          <w:pPr>
            <w:pStyle w:val="Alatunniste"/>
            <w:rPr>
              <w:sz w:val="16"/>
              <w:szCs w:val="22"/>
            </w:rPr>
          </w:pPr>
          <w:r>
            <w:rPr>
              <w:sz w:val="16"/>
              <w:szCs w:val="22"/>
            </w:rPr>
            <w:t>www.markkinaoikeus.fi</w:t>
          </w:r>
        </w:p>
        <w:p w:rsidR="00E442A5" w:rsidRDefault="00E442A5" w:rsidP="00915099">
          <w:pPr>
            <w:pStyle w:val="Alatunniste"/>
            <w:rPr>
              <w:sz w:val="16"/>
              <w:szCs w:val="22"/>
            </w:rPr>
          </w:pPr>
        </w:p>
        <w:p w:rsidR="00E442A5" w:rsidRDefault="00E442A5" w:rsidP="00915099">
          <w:pPr>
            <w:pStyle w:val="Alatunniste"/>
            <w:rPr>
              <w:sz w:val="16"/>
              <w:szCs w:val="22"/>
            </w:rPr>
          </w:pPr>
          <w:r w:rsidRPr="00B83497">
            <w:rPr>
              <w:sz w:val="16"/>
              <w:szCs w:val="22"/>
            </w:rPr>
            <w:t>mark</w:t>
          </w:r>
          <w:r>
            <w:rPr>
              <w:sz w:val="16"/>
              <w:szCs w:val="22"/>
            </w:rPr>
            <w:t>kinaoikeus@oikeus.fi</w:t>
          </w:r>
        </w:p>
        <w:p w:rsidR="00E442A5" w:rsidRPr="0056283F" w:rsidRDefault="00E442A5" w:rsidP="00915099">
          <w:pPr>
            <w:pStyle w:val="Alatunniste"/>
            <w:rPr>
              <w:sz w:val="16"/>
              <w:szCs w:val="22"/>
            </w:rPr>
          </w:pPr>
          <w:r>
            <w:rPr>
              <w:sz w:val="16"/>
              <w:szCs w:val="22"/>
            </w:rPr>
            <w:t>www.marknadsdomstolen</w:t>
          </w:r>
          <w:r w:rsidRPr="00B83497">
            <w:rPr>
              <w:sz w:val="16"/>
              <w:szCs w:val="22"/>
            </w:rPr>
            <w:t>.fi</w:t>
          </w:r>
        </w:p>
      </w:tc>
    </w:tr>
  </w:tbl>
  <w:p w:rsidR="00E442A5" w:rsidRPr="00B83497" w:rsidRDefault="00E442A5" w:rsidP="004015C4">
    <w:pPr>
      <w:pStyle w:val="Alatunniste"/>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2A5" w:rsidRDefault="00E442A5" w:rsidP="00C51815">
      <w:r>
        <w:separator/>
      </w:r>
    </w:p>
  </w:footnote>
  <w:footnote w:type="continuationSeparator" w:id="0">
    <w:p w:rsidR="00E442A5" w:rsidRDefault="00E442A5" w:rsidP="00C51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E442A5" w:rsidRPr="00107EE2" w:rsidRDefault="00E442A5" w:rsidP="00DD47F4">
        <w:pPr>
          <w:pStyle w:val="Yltunniste"/>
          <w:jc w:val="right"/>
        </w:pPr>
        <w:r w:rsidRPr="00DD47F4">
          <w:rPr>
            <w:bCs/>
          </w:rPr>
          <w:fldChar w:fldCharType="begin"/>
        </w:r>
        <w:r w:rsidRPr="00DD47F4">
          <w:rPr>
            <w:bCs/>
          </w:rPr>
          <w:instrText>PAGE</w:instrText>
        </w:r>
        <w:r w:rsidRPr="00DD47F4">
          <w:rPr>
            <w:bCs/>
          </w:rPr>
          <w:fldChar w:fldCharType="separate"/>
        </w:r>
        <w:r w:rsidR="00E55FBC">
          <w:rPr>
            <w:bCs/>
            <w:noProof/>
          </w:rPr>
          <w:t>12</w:t>
        </w:r>
        <w:r w:rsidRPr="00DD47F4">
          <w:rPr>
            <w:bCs/>
          </w:rPr>
          <w:fldChar w:fldCharType="end"/>
        </w:r>
        <w:r>
          <w:t xml:space="preserve"> (</w:t>
        </w:r>
        <w:r w:rsidRPr="00DD47F4">
          <w:rPr>
            <w:bCs/>
          </w:rPr>
          <w:fldChar w:fldCharType="begin"/>
        </w:r>
        <w:r w:rsidRPr="00DD47F4">
          <w:rPr>
            <w:bCs/>
          </w:rPr>
          <w:instrText>NUMPAGES</w:instrText>
        </w:r>
        <w:r w:rsidRPr="00DD47F4">
          <w:rPr>
            <w:bCs/>
          </w:rPr>
          <w:fldChar w:fldCharType="separate"/>
        </w:r>
        <w:r w:rsidR="00E55FBC">
          <w:rPr>
            <w:bCs/>
            <w:noProof/>
          </w:rPr>
          <w:t>12</w:t>
        </w:r>
        <w:r w:rsidRPr="00DD47F4">
          <w:rPr>
            <w:bCs/>
          </w:rPr>
          <w:fldChar w:fldCharType="end"/>
        </w:r>
        <w:r>
          <w: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2549"/>
      <w:gridCol w:w="1710"/>
      <w:gridCol w:w="839"/>
    </w:tblGrid>
    <w:tr w:rsidR="00E442A5" w:rsidTr="001474F1">
      <w:trPr>
        <w:trHeight w:val="726"/>
      </w:trPr>
      <w:tc>
        <w:tcPr>
          <w:tcW w:w="5097" w:type="dxa"/>
          <w:vMerge w:val="restart"/>
          <w:hideMark/>
        </w:tcPr>
        <w:p w:rsidR="00E442A5" w:rsidRDefault="00E442A5" w:rsidP="005768C7">
          <w:pPr>
            <w:pStyle w:val="Yltunniste"/>
            <w:tabs>
              <w:tab w:val="clear" w:pos="4819"/>
              <w:tab w:val="clear" w:pos="9638"/>
              <w:tab w:val="left" w:pos="1304"/>
              <w:tab w:val="left" w:pos="3748"/>
              <w:tab w:val="right" w:pos="4881"/>
            </w:tabs>
            <w:rPr>
              <w:rFonts w:eastAsia="Times New Roman" w:cs="Times New Roman"/>
              <w:b/>
              <w:noProof/>
              <w:lang w:eastAsia="fi-FI"/>
            </w:rPr>
          </w:pPr>
          <w:r w:rsidRPr="00264CB1">
            <w:rPr>
              <w:rFonts w:eastAsia="Times New Roman" w:cs="Times New Roman"/>
              <w:b/>
              <w:noProof/>
              <w:lang w:eastAsia="fi-FI"/>
            </w:rPr>
            <w:t>MARKKINAOIKEUS</w:t>
          </w:r>
        </w:p>
        <w:p w:rsidR="00E442A5" w:rsidRDefault="00E442A5" w:rsidP="00A330B3">
          <w:pPr>
            <w:pStyle w:val="Yltunniste"/>
            <w:tabs>
              <w:tab w:val="clear" w:pos="4819"/>
              <w:tab w:val="clear" w:pos="9638"/>
              <w:tab w:val="left" w:pos="1304"/>
              <w:tab w:val="left" w:pos="3748"/>
              <w:tab w:val="right" w:pos="4881"/>
            </w:tabs>
            <w:rPr>
              <w:b/>
            </w:rPr>
          </w:pPr>
          <w:r>
            <w:rPr>
              <w:rFonts w:eastAsia="Times New Roman" w:cs="Times New Roman"/>
              <w:b/>
              <w:noProof/>
              <w:lang w:eastAsia="fi-FI"/>
            </w:rPr>
            <w:t>MARKNADSDOMSTOLEN</w:t>
          </w:r>
        </w:p>
      </w:tc>
      <w:tc>
        <w:tcPr>
          <w:tcW w:w="2549" w:type="dxa"/>
          <w:vMerge w:val="restart"/>
          <w:hideMark/>
        </w:tcPr>
        <w:p w:rsidR="00E442A5" w:rsidRDefault="00E442A5" w:rsidP="005768C7">
          <w:pPr>
            <w:pStyle w:val="Riippuvasisennys1"/>
            <w:rPr>
              <w:b/>
            </w:rPr>
          </w:pPr>
          <w:r>
            <w:rPr>
              <w:b/>
            </w:rPr>
            <w:t>Lausunto</w:t>
          </w:r>
        </w:p>
      </w:tc>
      <w:tc>
        <w:tcPr>
          <w:tcW w:w="1710" w:type="dxa"/>
        </w:tcPr>
        <w:p w:rsidR="00E442A5" w:rsidRDefault="00E442A5" w:rsidP="005768C7">
          <w:pPr>
            <w:pStyle w:val="Yltunniste"/>
            <w:tabs>
              <w:tab w:val="left" w:pos="1304"/>
            </w:tabs>
            <w:jc w:val="right"/>
          </w:pPr>
        </w:p>
      </w:tc>
      <w:tc>
        <w:tcPr>
          <w:tcW w:w="839" w:type="dxa"/>
          <w:hideMark/>
        </w:tcPr>
        <w:p w:rsidR="00E442A5" w:rsidRDefault="00E442A5" w:rsidP="005768C7">
          <w:pPr>
            <w:pStyle w:val="Yltunniste"/>
            <w:tabs>
              <w:tab w:val="left" w:pos="1304"/>
            </w:tabs>
            <w:jc w:val="right"/>
          </w:pPr>
        </w:p>
      </w:tc>
    </w:tr>
    <w:tr w:rsidR="00E442A5" w:rsidTr="00EA68AB">
      <w:tc>
        <w:tcPr>
          <w:tcW w:w="5097" w:type="dxa"/>
          <w:vMerge/>
          <w:vAlign w:val="center"/>
          <w:hideMark/>
        </w:tcPr>
        <w:p w:rsidR="00E442A5" w:rsidRDefault="00E442A5" w:rsidP="005768C7">
          <w:pPr>
            <w:rPr>
              <w:b/>
            </w:rPr>
          </w:pPr>
        </w:p>
      </w:tc>
      <w:tc>
        <w:tcPr>
          <w:tcW w:w="2549" w:type="dxa"/>
          <w:vMerge/>
        </w:tcPr>
        <w:p w:rsidR="00E442A5" w:rsidRDefault="00E442A5" w:rsidP="005768C7">
          <w:pPr>
            <w:pStyle w:val="Yltunniste"/>
            <w:tabs>
              <w:tab w:val="left" w:pos="1304"/>
            </w:tabs>
          </w:pPr>
        </w:p>
      </w:tc>
      <w:tc>
        <w:tcPr>
          <w:tcW w:w="2549" w:type="dxa"/>
          <w:gridSpan w:val="2"/>
        </w:tcPr>
        <w:p w:rsidR="00E442A5" w:rsidRDefault="00E442A5" w:rsidP="005768C7">
          <w:pPr>
            <w:pStyle w:val="Yltunniste"/>
            <w:tabs>
              <w:tab w:val="left" w:pos="1304"/>
            </w:tabs>
          </w:pPr>
        </w:p>
      </w:tc>
    </w:tr>
    <w:tr w:rsidR="00E442A5" w:rsidTr="001474F1">
      <w:trPr>
        <w:trHeight w:val="278"/>
      </w:trPr>
      <w:tc>
        <w:tcPr>
          <w:tcW w:w="5097" w:type="dxa"/>
          <w:vMerge/>
          <w:vAlign w:val="center"/>
          <w:hideMark/>
        </w:tcPr>
        <w:p w:rsidR="00E442A5" w:rsidRDefault="00E442A5" w:rsidP="005768C7">
          <w:pPr>
            <w:rPr>
              <w:b/>
            </w:rPr>
          </w:pPr>
        </w:p>
      </w:tc>
      <w:tc>
        <w:tcPr>
          <w:tcW w:w="2549" w:type="dxa"/>
          <w:vAlign w:val="bottom"/>
        </w:tcPr>
        <w:p w:rsidR="00E442A5" w:rsidRDefault="00E442A5" w:rsidP="004158DC">
          <w:pPr>
            <w:pStyle w:val="Yltunniste"/>
            <w:tabs>
              <w:tab w:val="left" w:pos="1304"/>
            </w:tabs>
          </w:pPr>
          <w:r>
            <w:t>22.5.2018</w:t>
          </w:r>
        </w:p>
      </w:tc>
      <w:tc>
        <w:tcPr>
          <w:tcW w:w="2549" w:type="dxa"/>
          <w:gridSpan w:val="2"/>
          <w:vAlign w:val="bottom"/>
        </w:tcPr>
        <w:p w:rsidR="00E442A5" w:rsidRDefault="00E442A5" w:rsidP="004158DC">
          <w:pPr>
            <w:pStyle w:val="Yltunniste"/>
            <w:tabs>
              <w:tab w:val="left" w:pos="1304"/>
            </w:tabs>
          </w:pPr>
          <w:r>
            <w:t>Dnro H 00116/18</w:t>
          </w:r>
        </w:p>
      </w:tc>
    </w:tr>
  </w:tbl>
  <w:p w:rsidR="00E442A5" w:rsidRPr="005768C7" w:rsidRDefault="00E442A5" w:rsidP="00A330B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505E2"/>
    <w:multiLevelType w:val="hybridMultilevel"/>
    <w:tmpl w:val="61BAB004"/>
    <w:lvl w:ilvl="0" w:tplc="1BF6EDFC">
      <w:numFmt w:val="bullet"/>
      <w:lvlText w:val=""/>
      <w:lvlJc w:val="left"/>
      <w:pPr>
        <w:ind w:left="2956" w:hanging="360"/>
      </w:pPr>
      <w:rPr>
        <w:rFonts w:ascii="Times New Roman" w:eastAsiaTheme="minorHAnsi" w:hAnsi="Times New Roman" w:cs="Times New Roman" w:hint="default"/>
      </w:rPr>
    </w:lvl>
    <w:lvl w:ilvl="1" w:tplc="040B0003" w:tentative="1">
      <w:start w:val="1"/>
      <w:numFmt w:val="bullet"/>
      <w:lvlText w:val="o"/>
      <w:lvlJc w:val="left"/>
      <w:pPr>
        <w:ind w:left="3676" w:hanging="360"/>
      </w:pPr>
      <w:rPr>
        <w:rFonts w:ascii="Courier New" w:hAnsi="Courier New" w:cs="Courier New" w:hint="default"/>
      </w:rPr>
    </w:lvl>
    <w:lvl w:ilvl="2" w:tplc="040B0005" w:tentative="1">
      <w:start w:val="1"/>
      <w:numFmt w:val="bullet"/>
      <w:lvlText w:val=""/>
      <w:lvlJc w:val="left"/>
      <w:pPr>
        <w:ind w:left="4396" w:hanging="360"/>
      </w:pPr>
      <w:rPr>
        <w:rFonts w:ascii="Wingdings" w:hAnsi="Wingdings" w:hint="default"/>
      </w:rPr>
    </w:lvl>
    <w:lvl w:ilvl="3" w:tplc="040B0001" w:tentative="1">
      <w:start w:val="1"/>
      <w:numFmt w:val="bullet"/>
      <w:lvlText w:val=""/>
      <w:lvlJc w:val="left"/>
      <w:pPr>
        <w:ind w:left="5116" w:hanging="360"/>
      </w:pPr>
      <w:rPr>
        <w:rFonts w:ascii="Symbol" w:hAnsi="Symbol" w:hint="default"/>
      </w:rPr>
    </w:lvl>
    <w:lvl w:ilvl="4" w:tplc="040B0003" w:tentative="1">
      <w:start w:val="1"/>
      <w:numFmt w:val="bullet"/>
      <w:lvlText w:val="o"/>
      <w:lvlJc w:val="left"/>
      <w:pPr>
        <w:ind w:left="5836" w:hanging="360"/>
      </w:pPr>
      <w:rPr>
        <w:rFonts w:ascii="Courier New" w:hAnsi="Courier New" w:cs="Courier New" w:hint="default"/>
      </w:rPr>
    </w:lvl>
    <w:lvl w:ilvl="5" w:tplc="040B0005" w:tentative="1">
      <w:start w:val="1"/>
      <w:numFmt w:val="bullet"/>
      <w:lvlText w:val=""/>
      <w:lvlJc w:val="left"/>
      <w:pPr>
        <w:ind w:left="6556" w:hanging="360"/>
      </w:pPr>
      <w:rPr>
        <w:rFonts w:ascii="Wingdings" w:hAnsi="Wingdings" w:hint="default"/>
      </w:rPr>
    </w:lvl>
    <w:lvl w:ilvl="6" w:tplc="040B0001" w:tentative="1">
      <w:start w:val="1"/>
      <w:numFmt w:val="bullet"/>
      <w:lvlText w:val=""/>
      <w:lvlJc w:val="left"/>
      <w:pPr>
        <w:ind w:left="7276" w:hanging="360"/>
      </w:pPr>
      <w:rPr>
        <w:rFonts w:ascii="Symbol" w:hAnsi="Symbol" w:hint="default"/>
      </w:rPr>
    </w:lvl>
    <w:lvl w:ilvl="7" w:tplc="040B0003" w:tentative="1">
      <w:start w:val="1"/>
      <w:numFmt w:val="bullet"/>
      <w:lvlText w:val="o"/>
      <w:lvlJc w:val="left"/>
      <w:pPr>
        <w:ind w:left="7996" w:hanging="360"/>
      </w:pPr>
      <w:rPr>
        <w:rFonts w:ascii="Courier New" w:hAnsi="Courier New" w:cs="Courier New" w:hint="default"/>
      </w:rPr>
    </w:lvl>
    <w:lvl w:ilvl="8" w:tplc="040B0005" w:tentative="1">
      <w:start w:val="1"/>
      <w:numFmt w:val="bullet"/>
      <w:lvlText w:val=""/>
      <w:lvlJc w:val="left"/>
      <w:pPr>
        <w:ind w:left="8716" w:hanging="360"/>
      </w:pPr>
      <w:rPr>
        <w:rFonts w:ascii="Wingdings" w:hAnsi="Wingdings" w:hint="default"/>
      </w:rPr>
    </w:lvl>
  </w:abstractNum>
  <w:abstractNum w:abstractNumId="1" w15:restartNumberingAfterBreak="0">
    <w:nsid w:val="1FD15162"/>
    <w:multiLevelType w:val="hybridMultilevel"/>
    <w:tmpl w:val="482E6890"/>
    <w:lvl w:ilvl="0" w:tplc="78EC5C60">
      <w:numFmt w:val="bullet"/>
      <w:lvlText w:val="-"/>
      <w:lvlJc w:val="left"/>
      <w:pPr>
        <w:tabs>
          <w:tab w:val="num" w:pos="3289"/>
        </w:tabs>
        <w:ind w:left="3289" w:hanging="681"/>
      </w:pPr>
      <w:rPr>
        <w:rFonts w:ascii="Times New Roman" w:eastAsiaTheme="minorHAnsi" w:hAnsi="Times New Roman" w:cs="Times New Roman" w:hint="default"/>
      </w:rPr>
    </w:lvl>
    <w:lvl w:ilvl="1" w:tplc="040B0003" w:tentative="1">
      <w:start w:val="1"/>
      <w:numFmt w:val="bullet"/>
      <w:lvlText w:val="o"/>
      <w:lvlJc w:val="left"/>
      <w:pPr>
        <w:ind w:left="3676" w:hanging="360"/>
      </w:pPr>
      <w:rPr>
        <w:rFonts w:ascii="Courier New" w:hAnsi="Courier New" w:cs="Courier New" w:hint="default"/>
      </w:rPr>
    </w:lvl>
    <w:lvl w:ilvl="2" w:tplc="040B0005" w:tentative="1">
      <w:start w:val="1"/>
      <w:numFmt w:val="bullet"/>
      <w:lvlText w:val=""/>
      <w:lvlJc w:val="left"/>
      <w:pPr>
        <w:ind w:left="4396" w:hanging="360"/>
      </w:pPr>
      <w:rPr>
        <w:rFonts w:ascii="Wingdings" w:hAnsi="Wingdings" w:hint="default"/>
      </w:rPr>
    </w:lvl>
    <w:lvl w:ilvl="3" w:tplc="040B0001" w:tentative="1">
      <w:start w:val="1"/>
      <w:numFmt w:val="bullet"/>
      <w:lvlText w:val=""/>
      <w:lvlJc w:val="left"/>
      <w:pPr>
        <w:ind w:left="5116" w:hanging="360"/>
      </w:pPr>
      <w:rPr>
        <w:rFonts w:ascii="Symbol" w:hAnsi="Symbol" w:hint="default"/>
      </w:rPr>
    </w:lvl>
    <w:lvl w:ilvl="4" w:tplc="040B0003" w:tentative="1">
      <w:start w:val="1"/>
      <w:numFmt w:val="bullet"/>
      <w:lvlText w:val="o"/>
      <w:lvlJc w:val="left"/>
      <w:pPr>
        <w:ind w:left="5836" w:hanging="360"/>
      </w:pPr>
      <w:rPr>
        <w:rFonts w:ascii="Courier New" w:hAnsi="Courier New" w:cs="Courier New" w:hint="default"/>
      </w:rPr>
    </w:lvl>
    <w:lvl w:ilvl="5" w:tplc="040B0005" w:tentative="1">
      <w:start w:val="1"/>
      <w:numFmt w:val="bullet"/>
      <w:lvlText w:val=""/>
      <w:lvlJc w:val="left"/>
      <w:pPr>
        <w:ind w:left="6556" w:hanging="360"/>
      </w:pPr>
      <w:rPr>
        <w:rFonts w:ascii="Wingdings" w:hAnsi="Wingdings" w:hint="default"/>
      </w:rPr>
    </w:lvl>
    <w:lvl w:ilvl="6" w:tplc="040B0001" w:tentative="1">
      <w:start w:val="1"/>
      <w:numFmt w:val="bullet"/>
      <w:lvlText w:val=""/>
      <w:lvlJc w:val="left"/>
      <w:pPr>
        <w:ind w:left="7276" w:hanging="360"/>
      </w:pPr>
      <w:rPr>
        <w:rFonts w:ascii="Symbol" w:hAnsi="Symbol" w:hint="default"/>
      </w:rPr>
    </w:lvl>
    <w:lvl w:ilvl="7" w:tplc="040B0003" w:tentative="1">
      <w:start w:val="1"/>
      <w:numFmt w:val="bullet"/>
      <w:lvlText w:val="o"/>
      <w:lvlJc w:val="left"/>
      <w:pPr>
        <w:ind w:left="7996" w:hanging="360"/>
      </w:pPr>
      <w:rPr>
        <w:rFonts w:ascii="Courier New" w:hAnsi="Courier New" w:cs="Courier New" w:hint="default"/>
      </w:rPr>
    </w:lvl>
    <w:lvl w:ilvl="8" w:tplc="040B0005" w:tentative="1">
      <w:start w:val="1"/>
      <w:numFmt w:val="bullet"/>
      <w:lvlText w:val=""/>
      <w:lvlJc w:val="left"/>
      <w:pPr>
        <w:ind w:left="8716" w:hanging="360"/>
      </w:pPr>
      <w:rPr>
        <w:rFonts w:ascii="Wingdings" w:hAnsi="Wingdings" w:hint="default"/>
      </w:rPr>
    </w:lvl>
  </w:abstractNum>
  <w:abstractNum w:abstractNumId="2" w15:restartNumberingAfterBreak="0">
    <w:nsid w:val="41021F32"/>
    <w:multiLevelType w:val="hybridMultilevel"/>
    <w:tmpl w:val="DFD21C0E"/>
    <w:lvl w:ilvl="0" w:tplc="93024500">
      <w:numFmt w:val="bullet"/>
      <w:pStyle w:val="Ajatusviiva2"/>
      <w:lvlText w:val="–"/>
      <w:lvlJc w:val="left"/>
      <w:pPr>
        <w:ind w:left="2956" w:hanging="360"/>
      </w:pPr>
      <w:rPr>
        <w:rFonts w:ascii="Times New Roman" w:eastAsiaTheme="minorHAnsi" w:hAnsi="Times New Roman" w:cs="Times New Roman" w:hint="default"/>
      </w:rPr>
    </w:lvl>
    <w:lvl w:ilvl="1" w:tplc="040B0003" w:tentative="1">
      <w:start w:val="1"/>
      <w:numFmt w:val="bullet"/>
      <w:lvlText w:val="o"/>
      <w:lvlJc w:val="left"/>
      <w:pPr>
        <w:ind w:left="3676" w:hanging="360"/>
      </w:pPr>
      <w:rPr>
        <w:rFonts w:ascii="Courier New" w:hAnsi="Courier New" w:cs="Courier New" w:hint="default"/>
      </w:rPr>
    </w:lvl>
    <w:lvl w:ilvl="2" w:tplc="040B0005" w:tentative="1">
      <w:start w:val="1"/>
      <w:numFmt w:val="bullet"/>
      <w:lvlText w:val=""/>
      <w:lvlJc w:val="left"/>
      <w:pPr>
        <w:ind w:left="4396" w:hanging="360"/>
      </w:pPr>
      <w:rPr>
        <w:rFonts w:ascii="Wingdings" w:hAnsi="Wingdings" w:hint="default"/>
      </w:rPr>
    </w:lvl>
    <w:lvl w:ilvl="3" w:tplc="040B0001" w:tentative="1">
      <w:start w:val="1"/>
      <w:numFmt w:val="bullet"/>
      <w:lvlText w:val=""/>
      <w:lvlJc w:val="left"/>
      <w:pPr>
        <w:ind w:left="5116" w:hanging="360"/>
      </w:pPr>
      <w:rPr>
        <w:rFonts w:ascii="Symbol" w:hAnsi="Symbol" w:hint="default"/>
      </w:rPr>
    </w:lvl>
    <w:lvl w:ilvl="4" w:tplc="040B0003" w:tentative="1">
      <w:start w:val="1"/>
      <w:numFmt w:val="bullet"/>
      <w:lvlText w:val="o"/>
      <w:lvlJc w:val="left"/>
      <w:pPr>
        <w:ind w:left="5836" w:hanging="360"/>
      </w:pPr>
      <w:rPr>
        <w:rFonts w:ascii="Courier New" w:hAnsi="Courier New" w:cs="Courier New" w:hint="default"/>
      </w:rPr>
    </w:lvl>
    <w:lvl w:ilvl="5" w:tplc="040B0005" w:tentative="1">
      <w:start w:val="1"/>
      <w:numFmt w:val="bullet"/>
      <w:lvlText w:val=""/>
      <w:lvlJc w:val="left"/>
      <w:pPr>
        <w:ind w:left="6556" w:hanging="360"/>
      </w:pPr>
      <w:rPr>
        <w:rFonts w:ascii="Wingdings" w:hAnsi="Wingdings" w:hint="default"/>
      </w:rPr>
    </w:lvl>
    <w:lvl w:ilvl="6" w:tplc="040B0001" w:tentative="1">
      <w:start w:val="1"/>
      <w:numFmt w:val="bullet"/>
      <w:lvlText w:val=""/>
      <w:lvlJc w:val="left"/>
      <w:pPr>
        <w:ind w:left="7276" w:hanging="360"/>
      </w:pPr>
      <w:rPr>
        <w:rFonts w:ascii="Symbol" w:hAnsi="Symbol" w:hint="default"/>
      </w:rPr>
    </w:lvl>
    <w:lvl w:ilvl="7" w:tplc="040B0003" w:tentative="1">
      <w:start w:val="1"/>
      <w:numFmt w:val="bullet"/>
      <w:lvlText w:val="o"/>
      <w:lvlJc w:val="left"/>
      <w:pPr>
        <w:ind w:left="7996" w:hanging="360"/>
      </w:pPr>
      <w:rPr>
        <w:rFonts w:ascii="Courier New" w:hAnsi="Courier New" w:cs="Courier New" w:hint="default"/>
      </w:rPr>
    </w:lvl>
    <w:lvl w:ilvl="8" w:tplc="040B0005" w:tentative="1">
      <w:start w:val="1"/>
      <w:numFmt w:val="bullet"/>
      <w:lvlText w:val=""/>
      <w:lvlJc w:val="left"/>
      <w:pPr>
        <w:ind w:left="8716" w:hanging="360"/>
      </w:pPr>
      <w:rPr>
        <w:rFonts w:ascii="Wingdings" w:hAnsi="Wingdings" w:hint="default"/>
      </w:rPr>
    </w:lvl>
  </w:abstractNum>
  <w:abstractNum w:abstractNumId="3" w15:restartNumberingAfterBreak="0">
    <w:nsid w:val="41A62EE6"/>
    <w:multiLevelType w:val="multilevel"/>
    <w:tmpl w:val="040B0025"/>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4" w15:restartNumberingAfterBreak="0">
    <w:nsid w:val="430E3FAC"/>
    <w:multiLevelType w:val="hybridMultilevel"/>
    <w:tmpl w:val="BA8E49CC"/>
    <w:lvl w:ilvl="0" w:tplc="87707156">
      <w:numFmt w:val="bullet"/>
      <w:pStyle w:val="Ajatusviiva1"/>
      <w:lvlText w:val="–"/>
      <w:lvlJc w:val="left"/>
      <w:pPr>
        <w:ind w:left="2956" w:hanging="360"/>
      </w:pPr>
      <w:rPr>
        <w:rFonts w:ascii="Times New Roman" w:eastAsiaTheme="minorHAnsi" w:hAnsi="Times New Roman" w:cs="Times New Roman" w:hint="default"/>
      </w:rPr>
    </w:lvl>
    <w:lvl w:ilvl="1" w:tplc="040B0003" w:tentative="1">
      <w:start w:val="1"/>
      <w:numFmt w:val="bullet"/>
      <w:lvlText w:val="o"/>
      <w:lvlJc w:val="left"/>
      <w:pPr>
        <w:ind w:left="3676" w:hanging="360"/>
      </w:pPr>
      <w:rPr>
        <w:rFonts w:ascii="Courier New" w:hAnsi="Courier New" w:cs="Courier New" w:hint="default"/>
      </w:rPr>
    </w:lvl>
    <w:lvl w:ilvl="2" w:tplc="040B0005" w:tentative="1">
      <w:start w:val="1"/>
      <w:numFmt w:val="bullet"/>
      <w:lvlText w:val=""/>
      <w:lvlJc w:val="left"/>
      <w:pPr>
        <w:ind w:left="4396" w:hanging="360"/>
      </w:pPr>
      <w:rPr>
        <w:rFonts w:ascii="Wingdings" w:hAnsi="Wingdings" w:hint="default"/>
      </w:rPr>
    </w:lvl>
    <w:lvl w:ilvl="3" w:tplc="040B0001" w:tentative="1">
      <w:start w:val="1"/>
      <w:numFmt w:val="bullet"/>
      <w:lvlText w:val=""/>
      <w:lvlJc w:val="left"/>
      <w:pPr>
        <w:ind w:left="5116" w:hanging="360"/>
      </w:pPr>
      <w:rPr>
        <w:rFonts w:ascii="Symbol" w:hAnsi="Symbol" w:hint="default"/>
      </w:rPr>
    </w:lvl>
    <w:lvl w:ilvl="4" w:tplc="040B0003" w:tentative="1">
      <w:start w:val="1"/>
      <w:numFmt w:val="bullet"/>
      <w:lvlText w:val="o"/>
      <w:lvlJc w:val="left"/>
      <w:pPr>
        <w:ind w:left="5836" w:hanging="360"/>
      </w:pPr>
      <w:rPr>
        <w:rFonts w:ascii="Courier New" w:hAnsi="Courier New" w:cs="Courier New" w:hint="default"/>
      </w:rPr>
    </w:lvl>
    <w:lvl w:ilvl="5" w:tplc="040B0005" w:tentative="1">
      <w:start w:val="1"/>
      <w:numFmt w:val="bullet"/>
      <w:lvlText w:val=""/>
      <w:lvlJc w:val="left"/>
      <w:pPr>
        <w:ind w:left="6556" w:hanging="360"/>
      </w:pPr>
      <w:rPr>
        <w:rFonts w:ascii="Wingdings" w:hAnsi="Wingdings" w:hint="default"/>
      </w:rPr>
    </w:lvl>
    <w:lvl w:ilvl="6" w:tplc="040B0001" w:tentative="1">
      <w:start w:val="1"/>
      <w:numFmt w:val="bullet"/>
      <w:lvlText w:val=""/>
      <w:lvlJc w:val="left"/>
      <w:pPr>
        <w:ind w:left="7276" w:hanging="360"/>
      </w:pPr>
      <w:rPr>
        <w:rFonts w:ascii="Symbol" w:hAnsi="Symbol" w:hint="default"/>
      </w:rPr>
    </w:lvl>
    <w:lvl w:ilvl="7" w:tplc="040B0003" w:tentative="1">
      <w:start w:val="1"/>
      <w:numFmt w:val="bullet"/>
      <w:lvlText w:val="o"/>
      <w:lvlJc w:val="left"/>
      <w:pPr>
        <w:ind w:left="7996" w:hanging="360"/>
      </w:pPr>
      <w:rPr>
        <w:rFonts w:ascii="Courier New" w:hAnsi="Courier New" w:cs="Courier New" w:hint="default"/>
      </w:rPr>
    </w:lvl>
    <w:lvl w:ilvl="8" w:tplc="040B0005" w:tentative="1">
      <w:start w:val="1"/>
      <w:numFmt w:val="bullet"/>
      <w:lvlText w:val=""/>
      <w:lvlJc w:val="left"/>
      <w:pPr>
        <w:ind w:left="8716" w:hanging="360"/>
      </w:pPr>
      <w:rPr>
        <w:rFonts w:ascii="Wingdings" w:hAnsi="Wingdings" w:hint="default"/>
      </w:rPr>
    </w:lvl>
  </w:abstractNum>
  <w:abstractNum w:abstractNumId="5" w15:restartNumberingAfterBreak="0">
    <w:nsid w:val="7EEA2F06"/>
    <w:multiLevelType w:val="hybridMultilevel"/>
    <w:tmpl w:val="0C5A1B1C"/>
    <w:lvl w:ilvl="0" w:tplc="F1D07932">
      <w:numFmt w:val="bullet"/>
      <w:lvlText w:val="-"/>
      <w:lvlJc w:val="left"/>
      <w:pPr>
        <w:ind w:left="2956" w:hanging="360"/>
      </w:pPr>
      <w:rPr>
        <w:rFonts w:ascii="Times New Roman" w:eastAsiaTheme="minorHAnsi" w:hAnsi="Times New Roman" w:cs="Times New Roman" w:hint="default"/>
      </w:rPr>
    </w:lvl>
    <w:lvl w:ilvl="1" w:tplc="040B0003" w:tentative="1">
      <w:start w:val="1"/>
      <w:numFmt w:val="bullet"/>
      <w:lvlText w:val="o"/>
      <w:lvlJc w:val="left"/>
      <w:pPr>
        <w:ind w:left="3676" w:hanging="360"/>
      </w:pPr>
      <w:rPr>
        <w:rFonts w:ascii="Courier New" w:hAnsi="Courier New" w:cs="Courier New" w:hint="default"/>
      </w:rPr>
    </w:lvl>
    <w:lvl w:ilvl="2" w:tplc="040B0005" w:tentative="1">
      <w:start w:val="1"/>
      <w:numFmt w:val="bullet"/>
      <w:lvlText w:val=""/>
      <w:lvlJc w:val="left"/>
      <w:pPr>
        <w:ind w:left="4396" w:hanging="360"/>
      </w:pPr>
      <w:rPr>
        <w:rFonts w:ascii="Wingdings" w:hAnsi="Wingdings" w:hint="default"/>
      </w:rPr>
    </w:lvl>
    <w:lvl w:ilvl="3" w:tplc="040B0001" w:tentative="1">
      <w:start w:val="1"/>
      <w:numFmt w:val="bullet"/>
      <w:lvlText w:val=""/>
      <w:lvlJc w:val="left"/>
      <w:pPr>
        <w:ind w:left="5116" w:hanging="360"/>
      </w:pPr>
      <w:rPr>
        <w:rFonts w:ascii="Symbol" w:hAnsi="Symbol" w:hint="default"/>
      </w:rPr>
    </w:lvl>
    <w:lvl w:ilvl="4" w:tplc="040B0003" w:tentative="1">
      <w:start w:val="1"/>
      <w:numFmt w:val="bullet"/>
      <w:lvlText w:val="o"/>
      <w:lvlJc w:val="left"/>
      <w:pPr>
        <w:ind w:left="5836" w:hanging="360"/>
      </w:pPr>
      <w:rPr>
        <w:rFonts w:ascii="Courier New" w:hAnsi="Courier New" w:cs="Courier New" w:hint="default"/>
      </w:rPr>
    </w:lvl>
    <w:lvl w:ilvl="5" w:tplc="040B0005" w:tentative="1">
      <w:start w:val="1"/>
      <w:numFmt w:val="bullet"/>
      <w:lvlText w:val=""/>
      <w:lvlJc w:val="left"/>
      <w:pPr>
        <w:ind w:left="6556" w:hanging="360"/>
      </w:pPr>
      <w:rPr>
        <w:rFonts w:ascii="Wingdings" w:hAnsi="Wingdings" w:hint="default"/>
      </w:rPr>
    </w:lvl>
    <w:lvl w:ilvl="6" w:tplc="040B0001" w:tentative="1">
      <w:start w:val="1"/>
      <w:numFmt w:val="bullet"/>
      <w:lvlText w:val=""/>
      <w:lvlJc w:val="left"/>
      <w:pPr>
        <w:ind w:left="7276" w:hanging="360"/>
      </w:pPr>
      <w:rPr>
        <w:rFonts w:ascii="Symbol" w:hAnsi="Symbol" w:hint="default"/>
      </w:rPr>
    </w:lvl>
    <w:lvl w:ilvl="7" w:tplc="040B0003" w:tentative="1">
      <w:start w:val="1"/>
      <w:numFmt w:val="bullet"/>
      <w:lvlText w:val="o"/>
      <w:lvlJc w:val="left"/>
      <w:pPr>
        <w:ind w:left="7996" w:hanging="360"/>
      </w:pPr>
      <w:rPr>
        <w:rFonts w:ascii="Courier New" w:hAnsi="Courier New" w:cs="Courier New" w:hint="default"/>
      </w:rPr>
    </w:lvl>
    <w:lvl w:ilvl="8" w:tplc="040B0005" w:tentative="1">
      <w:start w:val="1"/>
      <w:numFmt w:val="bullet"/>
      <w:lvlText w:val=""/>
      <w:lvlJc w:val="left"/>
      <w:pPr>
        <w:ind w:left="8716"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129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E8"/>
    <w:rsid w:val="000060AB"/>
    <w:rsid w:val="000062EB"/>
    <w:rsid w:val="00025261"/>
    <w:rsid w:val="00075097"/>
    <w:rsid w:val="00085516"/>
    <w:rsid w:val="000A1748"/>
    <w:rsid w:val="000A2E7E"/>
    <w:rsid w:val="000A6253"/>
    <w:rsid w:val="000B505F"/>
    <w:rsid w:val="000C32A1"/>
    <w:rsid w:val="000E1673"/>
    <w:rsid w:val="001006AE"/>
    <w:rsid w:val="00107EE2"/>
    <w:rsid w:val="00146749"/>
    <w:rsid w:val="00146CBD"/>
    <w:rsid w:val="001474F1"/>
    <w:rsid w:val="00170D22"/>
    <w:rsid w:val="00173A5F"/>
    <w:rsid w:val="00181ED7"/>
    <w:rsid w:val="00183DEE"/>
    <w:rsid w:val="001A3881"/>
    <w:rsid w:val="001B62DE"/>
    <w:rsid w:val="001B7186"/>
    <w:rsid w:val="001C1ED0"/>
    <w:rsid w:val="001D149F"/>
    <w:rsid w:val="001D48C4"/>
    <w:rsid w:val="001F00F8"/>
    <w:rsid w:val="001F0ECD"/>
    <w:rsid w:val="001F7ECA"/>
    <w:rsid w:val="002058D1"/>
    <w:rsid w:val="0020622F"/>
    <w:rsid w:val="00215E65"/>
    <w:rsid w:val="00216846"/>
    <w:rsid w:val="00251F03"/>
    <w:rsid w:val="00255439"/>
    <w:rsid w:val="0025653E"/>
    <w:rsid w:val="00257040"/>
    <w:rsid w:val="00264024"/>
    <w:rsid w:val="00264CB1"/>
    <w:rsid w:val="00275776"/>
    <w:rsid w:val="00276B88"/>
    <w:rsid w:val="00291774"/>
    <w:rsid w:val="002C39AA"/>
    <w:rsid w:val="002C4D57"/>
    <w:rsid w:val="002F23E3"/>
    <w:rsid w:val="00300434"/>
    <w:rsid w:val="00304DF2"/>
    <w:rsid w:val="00305BAC"/>
    <w:rsid w:val="00323FFE"/>
    <w:rsid w:val="00336A82"/>
    <w:rsid w:val="0033752F"/>
    <w:rsid w:val="003603A9"/>
    <w:rsid w:val="00376BC3"/>
    <w:rsid w:val="003A14D3"/>
    <w:rsid w:val="003C7E41"/>
    <w:rsid w:val="003F5918"/>
    <w:rsid w:val="003F785D"/>
    <w:rsid w:val="004015C4"/>
    <w:rsid w:val="004016B9"/>
    <w:rsid w:val="00403BF6"/>
    <w:rsid w:val="00406363"/>
    <w:rsid w:val="00410CDA"/>
    <w:rsid w:val="004158DC"/>
    <w:rsid w:val="00462104"/>
    <w:rsid w:val="004717AF"/>
    <w:rsid w:val="00476F20"/>
    <w:rsid w:val="00484CF2"/>
    <w:rsid w:val="004A1DD9"/>
    <w:rsid w:val="004A264C"/>
    <w:rsid w:val="004B207C"/>
    <w:rsid w:val="004C4A59"/>
    <w:rsid w:val="004D0301"/>
    <w:rsid w:val="004D4171"/>
    <w:rsid w:val="004F5EDC"/>
    <w:rsid w:val="00503026"/>
    <w:rsid w:val="00517248"/>
    <w:rsid w:val="00522D52"/>
    <w:rsid w:val="00543A7E"/>
    <w:rsid w:val="00546218"/>
    <w:rsid w:val="00553954"/>
    <w:rsid w:val="00555DBE"/>
    <w:rsid w:val="00561715"/>
    <w:rsid w:val="0056254E"/>
    <w:rsid w:val="005768C7"/>
    <w:rsid w:val="00582C1C"/>
    <w:rsid w:val="00587B2A"/>
    <w:rsid w:val="005941E2"/>
    <w:rsid w:val="00596772"/>
    <w:rsid w:val="005B0190"/>
    <w:rsid w:val="005C6738"/>
    <w:rsid w:val="005D3026"/>
    <w:rsid w:val="005D3F9E"/>
    <w:rsid w:val="005F40E1"/>
    <w:rsid w:val="00605391"/>
    <w:rsid w:val="00605EB9"/>
    <w:rsid w:val="00612761"/>
    <w:rsid w:val="0061782E"/>
    <w:rsid w:val="0062711C"/>
    <w:rsid w:val="006469DA"/>
    <w:rsid w:val="0065121D"/>
    <w:rsid w:val="006543C0"/>
    <w:rsid w:val="00661855"/>
    <w:rsid w:val="006671CE"/>
    <w:rsid w:val="00672EC7"/>
    <w:rsid w:val="00684045"/>
    <w:rsid w:val="0068456E"/>
    <w:rsid w:val="006A1565"/>
    <w:rsid w:val="006C3CC8"/>
    <w:rsid w:val="006F535C"/>
    <w:rsid w:val="007003EC"/>
    <w:rsid w:val="0070544E"/>
    <w:rsid w:val="007104DA"/>
    <w:rsid w:val="00711969"/>
    <w:rsid w:val="00734631"/>
    <w:rsid w:val="00736711"/>
    <w:rsid w:val="00741667"/>
    <w:rsid w:val="00760932"/>
    <w:rsid w:val="007708BB"/>
    <w:rsid w:val="007A162F"/>
    <w:rsid w:val="007B49FA"/>
    <w:rsid w:val="007D12DC"/>
    <w:rsid w:val="007D59A1"/>
    <w:rsid w:val="007F0169"/>
    <w:rsid w:val="007F7412"/>
    <w:rsid w:val="00803FAE"/>
    <w:rsid w:val="00807F5C"/>
    <w:rsid w:val="008160E4"/>
    <w:rsid w:val="00836B8E"/>
    <w:rsid w:val="00841520"/>
    <w:rsid w:val="00855FD8"/>
    <w:rsid w:val="008769C1"/>
    <w:rsid w:val="00880864"/>
    <w:rsid w:val="00880A49"/>
    <w:rsid w:val="008B6F55"/>
    <w:rsid w:val="008B7224"/>
    <w:rsid w:val="008C57C4"/>
    <w:rsid w:val="008C635A"/>
    <w:rsid w:val="008D2E88"/>
    <w:rsid w:val="008F5D0F"/>
    <w:rsid w:val="008F7B2B"/>
    <w:rsid w:val="00903BCD"/>
    <w:rsid w:val="00904887"/>
    <w:rsid w:val="00915099"/>
    <w:rsid w:val="00935B21"/>
    <w:rsid w:val="009466EB"/>
    <w:rsid w:val="00947055"/>
    <w:rsid w:val="0095081B"/>
    <w:rsid w:val="0095276A"/>
    <w:rsid w:val="00976B7B"/>
    <w:rsid w:val="00980C69"/>
    <w:rsid w:val="009C35D7"/>
    <w:rsid w:val="009D0EB2"/>
    <w:rsid w:val="009E20A0"/>
    <w:rsid w:val="009E5A5A"/>
    <w:rsid w:val="009E5AFD"/>
    <w:rsid w:val="00A264AA"/>
    <w:rsid w:val="00A330B3"/>
    <w:rsid w:val="00A42C05"/>
    <w:rsid w:val="00A445A4"/>
    <w:rsid w:val="00A471C5"/>
    <w:rsid w:val="00A5030E"/>
    <w:rsid w:val="00A54F37"/>
    <w:rsid w:val="00A55538"/>
    <w:rsid w:val="00A76692"/>
    <w:rsid w:val="00A8705A"/>
    <w:rsid w:val="00A92FB5"/>
    <w:rsid w:val="00A9642B"/>
    <w:rsid w:val="00A9652C"/>
    <w:rsid w:val="00AD6B7A"/>
    <w:rsid w:val="00AD6E8A"/>
    <w:rsid w:val="00AD7EE4"/>
    <w:rsid w:val="00AE2973"/>
    <w:rsid w:val="00AE400E"/>
    <w:rsid w:val="00AF441E"/>
    <w:rsid w:val="00B00A8B"/>
    <w:rsid w:val="00B2191A"/>
    <w:rsid w:val="00B26723"/>
    <w:rsid w:val="00B354B2"/>
    <w:rsid w:val="00B40CB2"/>
    <w:rsid w:val="00B56423"/>
    <w:rsid w:val="00B605D0"/>
    <w:rsid w:val="00B611B0"/>
    <w:rsid w:val="00B70730"/>
    <w:rsid w:val="00B83497"/>
    <w:rsid w:val="00BB5447"/>
    <w:rsid w:val="00BC0B0A"/>
    <w:rsid w:val="00BD5900"/>
    <w:rsid w:val="00BD7A98"/>
    <w:rsid w:val="00BD7D82"/>
    <w:rsid w:val="00BE2325"/>
    <w:rsid w:val="00BE272B"/>
    <w:rsid w:val="00C06CB1"/>
    <w:rsid w:val="00C17820"/>
    <w:rsid w:val="00C218EF"/>
    <w:rsid w:val="00C31D86"/>
    <w:rsid w:val="00C51815"/>
    <w:rsid w:val="00C5439F"/>
    <w:rsid w:val="00C55196"/>
    <w:rsid w:val="00C72E95"/>
    <w:rsid w:val="00C733FD"/>
    <w:rsid w:val="00C754E9"/>
    <w:rsid w:val="00C75C4D"/>
    <w:rsid w:val="00C858D3"/>
    <w:rsid w:val="00CB2C67"/>
    <w:rsid w:val="00CC2104"/>
    <w:rsid w:val="00CC41EF"/>
    <w:rsid w:val="00CC5DDE"/>
    <w:rsid w:val="00CD50D7"/>
    <w:rsid w:val="00CE0B90"/>
    <w:rsid w:val="00CE6F98"/>
    <w:rsid w:val="00CE7648"/>
    <w:rsid w:val="00CF56F6"/>
    <w:rsid w:val="00D06C9F"/>
    <w:rsid w:val="00D3013A"/>
    <w:rsid w:val="00D41F9B"/>
    <w:rsid w:val="00D45904"/>
    <w:rsid w:val="00D810D0"/>
    <w:rsid w:val="00D813E5"/>
    <w:rsid w:val="00D821D9"/>
    <w:rsid w:val="00D90328"/>
    <w:rsid w:val="00D95615"/>
    <w:rsid w:val="00D96FE8"/>
    <w:rsid w:val="00DA0829"/>
    <w:rsid w:val="00DA20D3"/>
    <w:rsid w:val="00DB1CBD"/>
    <w:rsid w:val="00DB60FA"/>
    <w:rsid w:val="00DB6704"/>
    <w:rsid w:val="00DC227C"/>
    <w:rsid w:val="00DC4FB2"/>
    <w:rsid w:val="00DD47F4"/>
    <w:rsid w:val="00DD6D62"/>
    <w:rsid w:val="00DE3BAB"/>
    <w:rsid w:val="00DF2095"/>
    <w:rsid w:val="00DF279D"/>
    <w:rsid w:val="00E0282D"/>
    <w:rsid w:val="00E14E15"/>
    <w:rsid w:val="00E442A5"/>
    <w:rsid w:val="00E46AAA"/>
    <w:rsid w:val="00E50580"/>
    <w:rsid w:val="00E55FBC"/>
    <w:rsid w:val="00E67FA4"/>
    <w:rsid w:val="00E754C9"/>
    <w:rsid w:val="00E836C1"/>
    <w:rsid w:val="00E90089"/>
    <w:rsid w:val="00E92CBB"/>
    <w:rsid w:val="00E93C85"/>
    <w:rsid w:val="00EA68AB"/>
    <w:rsid w:val="00EA74B3"/>
    <w:rsid w:val="00EB0741"/>
    <w:rsid w:val="00EB36A2"/>
    <w:rsid w:val="00EB5A41"/>
    <w:rsid w:val="00EC6D35"/>
    <w:rsid w:val="00EE0D78"/>
    <w:rsid w:val="00EE1AF5"/>
    <w:rsid w:val="00EE7AB5"/>
    <w:rsid w:val="00F02222"/>
    <w:rsid w:val="00F037DA"/>
    <w:rsid w:val="00F03CD0"/>
    <w:rsid w:val="00F17CDC"/>
    <w:rsid w:val="00F3492D"/>
    <w:rsid w:val="00F430FA"/>
    <w:rsid w:val="00F45C43"/>
    <w:rsid w:val="00F46684"/>
    <w:rsid w:val="00F70E35"/>
    <w:rsid w:val="00F741D6"/>
    <w:rsid w:val="00F748EC"/>
    <w:rsid w:val="00F803C1"/>
    <w:rsid w:val="00F832EE"/>
    <w:rsid w:val="00FA1931"/>
    <w:rsid w:val="00FB0674"/>
    <w:rsid w:val="00FC3B48"/>
    <w:rsid w:val="00FC6807"/>
    <w:rsid w:val="00FD53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9ADA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HAnsi"/>
        <w:sz w:val="24"/>
        <w:szCs w:val="24"/>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locked="1"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B00A8B"/>
    <w:pPr>
      <w:spacing w:after="0" w:line="240" w:lineRule="auto"/>
    </w:pPr>
  </w:style>
  <w:style w:type="paragraph" w:styleId="Otsikko1">
    <w:name w:val="heading 1"/>
    <w:basedOn w:val="Normaali"/>
    <w:next w:val="Sisennys2"/>
    <w:link w:val="Otsikko1Char"/>
    <w:uiPriority w:val="9"/>
    <w:qFormat/>
    <w:rsid w:val="00B00A8B"/>
    <w:pPr>
      <w:keepNext/>
      <w:keepLines/>
      <w:numPr>
        <w:numId w:val="1"/>
      </w:numPr>
      <w:ind w:left="431" w:hanging="431"/>
      <w:outlineLvl w:val="0"/>
    </w:pPr>
    <w:rPr>
      <w:rFonts w:eastAsiaTheme="majorEastAsia" w:cstheme="majorBidi"/>
      <w:szCs w:val="32"/>
    </w:rPr>
  </w:style>
  <w:style w:type="paragraph" w:styleId="Otsikko2">
    <w:name w:val="heading 2"/>
    <w:basedOn w:val="Normaali"/>
    <w:next w:val="Sisennys2"/>
    <w:link w:val="Otsikko2Char"/>
    <w:uiPriority w:val="9"/>
    <w:unhideWhenUsed/>
    <w:qFormat/>
    <w:rsid w:val="00B00A8B"/>
    <w:pPr>
      <w:keepNext/>
      <w:keepLines/>
      <w:numPr>
        <w:ilvl w:val="1"/>
        <w:numId w:val="1"/>
      </w:numPr>
      <w:ind w:left="578" w:hanging="578"/>
      <w:outlineLvl w:val="1"/>
    </w:pPr>
    <w:rPr>
      <w:rFonts w:eastAsiaTheme="majorEastAsia" w:cstheme="majorBidi"/>
      <w:szCs w:val="26"/>
    </w:rPr>
  </w:style>
  <w:style w:type="paragraph" w:styleId="Otsikko3">
    <w:name w:val="heading 3"/>
    <w:basedOn w:val="Normaali"/>
    <w:next w:val="Sisennys2"/>
    <w:link w:val="Otsikko3Char"/>
    <w:uiPriority w:val="9"/>
    <w:unhideWhenUsed/>
    <w:qFormat/>
    <w:rsid w:val="00B00A8B"/>
    <w:pPr>
      <w:keepNext/>
      <w:keepLines/>
      <w:numPr>
        <w:ilvl w:val="2"/>
        <w:numId w:val="1"/>
      </w:numPr>
      <w:outlineLvl w:val="2"/>
    </w:pPr>
    <w:rPr>
      <w:rFonts w:eastAsiaTheme="majorEastAsia" w:cstheme="majorBidi"/>
    </w:rPr>
  </w:style>
  <w:style w:type="paragraph" w:styleId="Otsikko4">
    <w:name w:val="heading 4"/>
    <w:basedOn w:val="Normaali"/>
    <w:next w:val="Sisennys2"/>
    <w:link w:val="Otsikko4Char"/>
    <w:uiPriority w:val="9"/>
    <w:unhideWhenUsed/>
    <w:qFormat/>
    <w:rsid w:val="00B00A8B"/>
    <w:pPr>
      <w:keepNext/>
      <w:keepLines/>
      <w:numPr>
        <w:ilvl w:val="3"/>
        <w:numId w:val="1"/>
      </w:numPr>
      <w:ind w:left="862" w:hanging="862"/>
      <w:outlineLvl w:val="3"/>
    </w:pPr>
    <w:rPr>
      <w:rFonts w:eastAsiaTheme="majorEastAsia" w:cstheme="majorBidi"/>
      <w:iCs/>
    </w:rPr>
  </w:style>
  <w:style w:type="paragraph" w:styleId="Otsikko5">
    <w:name w:val="heading 5"/>
    <w:basedOn w:val="Normaali"/>
    <w:next w:val="Normaali"/>
    <w:link w:val="Otsikko5Char"/>
    <w:uiPriority w:val="9"/>
    <w:semiHidden/>
    <w:locked/>
    <w:rsid w:val="004C4A59"/>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Otsikko6">
    <w:name w:val="heading 6"/>
    <w:basedOn w:val="Normaali"/>
    <w:next w:val="Normaali"/>
    <w:link w:val="Otsikko6Char"/>
    <w:uiPriority w:val="9"/>
    <w:semiHidden/>
    <w:unhideWhenUsed/>
    <w:qFormat/>
    <w:locked/>
    <w:rsid w:val="004C4A59"/>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Otsikko7">
    <w:name w:val="heading 7"/>
    <w:basedOn w:val="Normaali"/>
    <w:next w:val="Normaali"/>
    <w:link w:val="Otsikko7Char"/>
    <w:uiPriority w:val="9"/>
    <w:semiHidden/>
    <w:unhideWhenUsed/>
    <w:qFormat/>
    <w:locked/>
    <w:rsid w:val="004C4A59"/>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Otsikko8">
    <w:name w:val="heading 8"/>
    <w:basedOn w:val="Normaali"/>
    <w:next w:val="Normaali"/>
    <w:link w:val="Otsikko8Char"/>
    <w:uiPriority w:val="9"/>
    <w:semiHidden/>
    <w:unhideWhenUsed/>
    <w:qFormat/>
    <w:locked/>
    <w:rsid w:val="004C4A5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locked/>
    <w:rsid w:val="004C4A5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51815"/>
    <w:pPr>
      <w:tabs>
        <w:tab w:val="center" w:pos="4819"/>
        <w:tab w:val="right" w:pos="9638"/>
      </w:tabs>
    </w:pPr>
  </w:style>
  <w:style w:type="character" w:customStyle="1" w:styleId="YltunnisteChar">
    <w:name w:val="Ylätunniste Char"/>
    <w:basedOn w:val="Kappaleenoletusfontti"/>
    <w:link w:val="Yltunniste"/>
    <w:uiPriority w:val="99"/>
    <w:rsid w:val="00C51815"/>
  </w:style>
  <w:style w:type="paragraph" w:styleId="Alatunniste">
    <w:name w:val="footer"/>
    <w:basedOn w:val="Normaali"/>
    <w:link w:val="AlatunnisteChar"/>
    <w:uiPriority w:val="99"/>
    <w:unhideWhenUsed/>
    <w:rsid w:val="00C51815"/>
    <w:pPr>
      <w:tabs>
        <w:tab w:val="center" w:pos="4819"/>
        <w:tab w:val="right" w:pos="9638"/>
      </w:tabs>
    </w:pPr>
  </w:style>
  <w:style w:type="character" w:customStyle="1" w:styleId="AlatunnisteChar">
    <w:name w:val="Alatunniste Char"/>
    <w:basedOn w:val="Kappaleenoletusfontti"/>
    <w:link w:val="Alatunniste"/>
    <w:uiPriority w:val="99"/>
    <w:rsid w:val="00C51815"/>
  </w:style>
  <w:style w:type="character" w:customStyle="1" w:styleId="Otsikko1Char">
    <w:name w:val="Otsikko 1 Char"/>
    <w:basedOn w:val="Kappaleenoletusfontti"/>
    <w:link w:val="Otsikko1"/>
    <w:uiPriority w:val="9"/>
    <w:rsid w:val="00B00A8B"/>
    <w:rPr>
      <w:rFonts w:eastAsiaTheme="majorEastAsia" w:cstheme="majorBidi"/>
      <w:szCs w:val="32"/>
    </w:rPr>
  </w:style>
  <w:style w:type="character" w:customStyle="1" w:styleId="Otsikko2Char">
    <w:name w:val="Otsikko 2 Char"/>
    <w:basedOn w:val="Kappaleenoletusfontti"/>
    <w:link w:val="Otsikko2"/>
    <w:uiPriority w:val="9"/>
    <w:rsid w:val="00B00A8B"/>
    <w:rPr>
      <w:rFonts w:eastAsiaTheme="majorEastAsia" w:cstheme="majorBidi"/>
      <w:szCs w:val="26"/>
    </w:rPr>
  </w:style>
  <w:style w:type="character" w:customStyle="1" w:styleId="Otsikko3Char">
    <w:name w:val="Otsikko 3 Char"/>
    <w:basedOn w:val="Kappaleenoletusfontti"/>
    <w:link w:val="Otsikko3"/>
    <w:uiPriority w:val="9"/>
    <w:rsid w:val="00B00A8B"/>
    <w:rPr>
      <w:rFonts w:eastAsiaTheme="majorEastAsia" w:cstheme="majorBidi"/>
    </w:rPr>
  </w:style>
  <w:style w:type="character" w:customStyle="1" w:styleId="Otsikko4Char">
    <w:name w:val="Otsikko 4 Char"/>
    <w:basedOn w:val="Kappaleenoletusfontti"/>
    <w:link w:val="Otsikko4"/>
    <w:uiPriority w:val="9"/>
    <w:rsid w:val="00B00A8B"/>
    <w:rPr>
      <w:rFonts w:eastAsiaTheme="majorEastAsia" w:cstheme="majorBidi"/>
      <w:iCs/>
    </w:rPr>
  </w:style>
  <w:style w:type="character" w:customStyle="1" w:styleId="Otsikko5Char">
    <w:name w:val="Otsikko 5 Char"/>
    <w:basedOn w:val="Kappaleenoletusfontti"/>
    <w:link w:val="Otsikko5"/>
    <w:uiPriority w:val="9"/>
    <w:semiHidden/>
    <w:rsid w:val="00B00A8B"/>
    <w:rPr>
      <w:rFonts w:asciiTheme="majorHAnsi" w:eastAsiaTheme="majorEastAsia" w:hAnsiTheme="majorHAnsi" w:cstheme="majorBidi"/>
      <w:color w:val="2F5496" w:themeColor="accent1" w:themeShade="BF"/>
    </w:rPr>
  </w:style>
  <w:style w:type="character" w:customStyle="1" w:styleId="Otsikko6Char">
    <w:name w:val="Otsikko 6 Char"/>
    <w:basedOn w:val="Kappaleenoletusfontti"/>
    <w:link w:val="Otsikko6"/>
    <w:uiPriority w:val="9"/>
    <w:semiHidden/>
    <w:rsid w:val="004C4A59"/>
    <w:rPr>
      <w:rFonts w:asciiTheme="majorHAnsi" w:eastAsiaTheme="majorEastAsia" w:hAnsiTheme="majorHAnsi" w:cstheme="majorBidi"/>
      <w:color w:val="1F3763" w:themeColor="accent1" w:themeShade="7F"/>
    </w:rPr>
  </w:style>
  <w:style w:type="character" w:customStyle="1" w:styleId="Otsikko7Char">
    <w:name w:val="Otsikko 7 Char"/>
    <w:basedOn w:val="Kappaleenoletusfontti"/>
    <w:link w:val="Otsikko7"/>
    <w:uiPriority w:val="9"/>
    <w:semiHidden/>
    <w:rsid w:val="004C4A59"/>
    <w:rPr>
      <w:rFonts w:asciiTheme="majorHAnsi" w:eastAsiaTheme="majorEastAsia" w:hAnsiTheme="majorHAnsi" w:cstheme="majorBidi"/>
      <w:i/>
      <w:iCs/>
      <w:color w:val="1F3763" w:themeColor="accent1" w:themeShade="7F"/>
    </w:rPr>
  </w:style>
  <w:style w:type="character" w:customStyle="1" w:styleId="Otsikko8Char">
    <w:name w:val="Otsikko 8 Char"/>
    <w:basedOn w:val="Kappaleenoletusfontti"/>
    <w:link w:val="Otsikko8"/>
    <w:uiPriority w:val="9"/>
    <w:semiHidden/>
    <w:rsid w:val="004C4A59"/>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4C4A59"/>
    <w:rPr>
      <w:rFonts w:asciiTheme="majorHAnsi" w:eastAsiaTheme="majorEastAsia" w:hAnsiTheme="majorHAnsi" w:cstheme="majorBidi"/>
      <w:i/>
      <w:iCs/>
      <w:color w:val="272727" w:themeColor="text1" w:themeTint="D8"/>
      <w:sz w:val="21"/>
      <w:szCs w:val="21"/>
    </w:rPr>
  </w:style>
  <w:style w:type="paragraph" w:styleId="Otsikko">
    <w:name w:val="Title"/>
    <w:basedOn w:val="Normaali"/>
    <w:next w:val="Sisennys2"/>
    <w:link w:val="OtsikkoChar"/>
    <w:uiPriority w:val="10"/>
    <w:qFormat/>
    <w:rsid w:val="008D2E88"/>
    <w:pPr>
      <w:contextualSpacing/>
    </w:pPr>
    <w:rPr>
      <w:rFonts w:eastAsiaTheme="majorEastAsia" w:cstheme="majorBidi"/>
      <w:b/>
      <w:spacing w:val="-10"/>
      <w:kern w:val="28"/>
      <w:szCs w:val="56"/>
    </w:rPr>
  </w:style>
  <w:style w:type="character" w:customStyle="1" w:styleId="OtsikkoChar">
    <w:name w:val="Otsikko Char"/>
    <w:basedOn w:val="Kappaleenoletusfontti"/>
    <w:link w:val="Otsikko"/>
    <w:uiPriority w:val="10"/>
    <w:rsid w:val="008D2E88"/>
    <w:rPr>
      <w:rFonts w:eastAsiaTheme="majorEastAsia" w:cstheme="majorBidi"/>
      <w:b/>
      <w:spacing w:val="-10"/>
      <w:kern w:val="28"/>
      <w:szCs w:val="56"/>
    </w:rPr>
  </w:style>
  <w:style w:type="paragraph" w:styleId="Alaotsikko">
    <w:name w:val="Subtitle"/>
    <w:basedOn w:val="Normaali"/>
    <w:next w:val="Sisennys2"/>
    <w:link w:val="AlaotsikkoChar"/>
    <w:uiPriority w:val="11"/>
    <w:qFormat/>
    <w:rsid w:val="008D2E88"/>
    <w:pPr>
      <w:numPr>
        <w:ilvl w:val="1"/>
      </w:numPr>
    </w:pPr>
    <w:rPr>
      <w:rFonts w:eastAsiaTheme="minorEastAsia" w:cstheme="minorBidi"/>
      <w:spacing w:val="15"/>
    </w:rPr>
  </w:style>
  <w:style w:type="character" w:customStyle="1" w:styleId="AlaotsikkoChar">
    <w:name w:val="Alaotsikko Char"/>
    <w:basedOn w:val="Kappaleenoletusfontti"/>
    <w:link w:val="Alaotsikko"/>
    <w:uiPriority w:val="11"/>
    <w:rsid w:val="008D2E88"/>
    <w:rPr>
      <w:rFonts w:eastAsiaTheme="minorEastAsia" w:cstheme="minorBidi"/>
      <w:spacing w:val="15"/>
    </w:rPr>
  </w:style>
  <w:style w:type="paragraph" w:customStyle="1" w:styleId="Sisennys1">
    <w:name w:val="Sisennys_1"/>
    <w:basedOn w:val="Normaali"/>
    <w:qFormat/>
    <w:rsid w:val="008D2E88"/>
    <w:pPr>
      <w:ind w:left="1298"/>
    </w:pPr>
  </w:style>
  <w:style w:type="paragraph" w:customStyle="1" w:styleId="Sisennys2">
    <w:name w:val="Sisennys_2"/>
    <w:basedOn w:val="Normaali"/>
    <w:qFormat/>
    <w:rsid w:val="008D2E88"/>
    <w:pPr>
      <w:ind w:left="2596"/>
    </w:pPr>
  </w:style>
  <w:style w:type="paragraph" w:customStyle="1" w:styleId="Ajatusviiva1">
    <w:name w:val="Ajatusviiva_1"/>
    <w:basedOn w:val="Normaali"/>
    <w:qFormat/>
    <w:rsid w:val="001F00F8"/>
    <w:pPr>
      <w:numPr>
        <w:numId w:val="2"/>
      </w:numPr>
      <w:ind w:left="1655" w:hanging="357"/>
      <w:contextualSpacing/>
    </w:pPr>
  </w:style>
  <w:style w:type="paragraph" w:customStyle="1" w:styleId="Ajatusviiva2">
    <w:name w:val="Ajatusviiva_2"/>
    <w:basedOn w:val="Normaali"/>
    <w:qFormat/>
    <w:rsid w:val="001F00F8"/>
    <w:pPr>
      <w:numPr>
        <w:numId w:val="3"/>
      </w:numPr>
      <w:contextualSpacing/>
    </w:pPr>
  </w:style>
  <w:style w:type="paragraph" w:customStyle="1" w:styleId="Riippuvasisennys1">
    <w:name w:val="Riippuva_sisennys_1"/>
    <w:basedOn w:val="Normaali"/>
    <w:qFormat/>
    <w:rsid w:val="007D59A1"/>
    <w:pPr>
      <w:ind w:left="1298" w:hanging="1298"/>
    </w:pPr>
  </w:style>
  <w:style w:type="paragraph" w:customStyle="1" w:styleId="Riippuvasisennys2">
    <w:name w:val="Riippuva_sisennys_2"/>
    <w:basedOn w:val="Normaali"/>
    <w:qFormat/>
    <w:rsid w:val="007D59A1"/>
    <w:pPr>
      <w:ind w:left="2596" w:hanging="2596"/>
    </w:pPr>
  </w:style>
  <w:style w:type="paragraph" w:styleId="Seliteteksti">
    <w:name w:val="Balloon Text"/>
    <w:basedOn w:val="Normaali"/>
    <w:link w:val="SelitetekstiChar"/>
    <w:uiPriority w:val="99"/>
    <w:semiHidden/>
    <w:unhideWhenUsed/>
    <w:rsid w:val="0070544E"/>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0544E"/>
    <w:rPr>
      <w:rFonts w:ascii="Segoe UI" w:hAnsi="Segoe UI" w:cs="Segoe UI"/>
      <w:sz w:val="18"/>
      <w:szCs w:val="18"/>
    </w:rPr>
  </w:style>
  <w:style w:type="table" w:styleId="TaulukkoRuudukko">
    <w:name w:val="Table Grid"/>
    <w:basedOn w:val="Normaalitaulukko"/>
    <w:uiPriority w:val="39"/>
    <w:rsid w:val="000E1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D810D0"/>
    <w:rPr>
      <w:color w:val="808080"/>
    </w:rPr>
  </w:style>
  <w:style w:type="paragraph" w:styleId="Luettelokappale">
    <w:name w:val="List Paragraph"/>
    <w:basedOn w:val="Normaali"/>
    <w:uiPriority w:val="34"/>
    <w:locked/>
    <w:rsid w:val="00255439"/>
    <w:pPr>
      <w:ind w:left="720"/>
      <w:contextualSpacing/>
    </w:pPr>
  </w:style>
  <w:style w:type="character" w:styleId="Hyperlinkki">
    <w:name w:val="Hyperlink"/>
    <w:basedOn w:val="Kappaleenoletusfontti"/>
    <w:uiPriority w:val="99"/>
    <w:unhideWhenUsed/>
    <w:rsid w:val="00903BCD"/>
    <w:rPr>
      <w:color w:val="0563C1" w:themeColor="hyperlink"/>
      <w:u w:val="single"/>
    </w:rPr>
  </w:style>
  <w:style w:type="paragraph" w:styleId="Alaviitteenteksti">
    <w:name w:val="footnote text"/>
    <w:basedOn w:val="Normaali"/>
    <w:link w:val="AlaviitteentekstiChar"/>
    <w:uiPriority w:val="99"/>
    <w:semiHidden/>
    <w:unhideWhenUsed/>
    <w:rsid w:val="00F430FA"/>
    <w:rPr>
      <w:sz w:val="20"/>
      <w:szCs w:val="20"/>
    </w:rPr>
  </w:style>
  <w:style w:type="character" w:customStyle="1" w:styleId="AlaviitteentekstiChar">
    <w:name w:val="Alaviitteen teksti Char"/>
    <w:basedOn w:val="Kappaleenoletusfontti"/>
    <w:link w:val="Alaviitteenteksti"/>
    <w:uiPriority w:val="99"/>
    <w:semiHidden/>
    <w:rsid w:val="00F430FA"/>
    <w:rPr>
      <w:sz w:val="20"/>
      <w:szCs w:val="20"/>
    </w:rPr>
  </w:style>
  <w:style w:type="character" w:styleId="Alaviitteenviite">
    <w:name w:val="footnote reference"/>
    <w:basedOn w:val="Kappaleenoletusfontti"/>
    <w:uiPriority w:val="99"/>
    <w:semiHidden/>
    <w:unhideWhenUsed/>
    <w:rsid w:val="00F430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6807">
      <w:bodyDiv w:val="1"/>
      <w:marLeft w:val="0"/>
      <w:marRight w:val="0"/>
      <w:marTop w:val="0"/>
      <w:marBottom w:val="0"/>
      <w:divBdr>
        <w:top w:val="none" w:sz="0" w:space="0" w:color="auto"/>
        <w:left w:val="none" w:sz="0" w:space="0" w:color="auto"/>
        <w:bottom w:val="none" w:sz="0" w:space="0" w:color="auto"/>
        <w:right w:val="none" w:sz="0" w:space="0" w:color="auto"/>
      </w:divBdr>
      <w:divsChild>
        <w:div w:id="2082631204">
          <w:marLeft w:val="0"/>
          <w:marRight w:val="0"/>
          <w:marTop w:val="0"/>
          <w:marBottom w:val="0"/>
          <w:divBdr>
            <w:top w:val="none" w:sz="0" w:space="0" w:color="auto"/>
            <w:left w:val="none" w:sz="0" w:space="0" w:color="auto"/>
            <w:bottom w:val="none" w:sz="0" w:space="0" w:color="auto"/>
            <w:right w:val="none" w:sz="0" w:space="0" w:color="auto"/>
          </w:divBdr>
        </w:div>
      </w:divsChild>
    </w:div>
    <w:div w:id="528492366">
      <w:bodyDiv w:val="1"/>
      <w:marLeft w:val="0"/>
      <w:marRight w:val="0"/>
      <w:marTop w:val="0"/>
      <w:marBottom w:val="0"/>
      <w:divBdr>
        <w:top w:val="none" w:sz="0" w:space="0" w:color="auto"/>
        <w:left w:val="none" w:sz="0" w:space="0" w:color="auto"/>
        <w:bottom w:val="none" w:sz="0" w:space="0" w:color="auto"/>
        <w:right w:val="none" w:sz="0" w:space="0" w:color="auto"/>
      </w:divBdr>
      <w:divsChild>
        <w:div w:id="288320520">
          <w:marLeft w:val="0"/>
          <w:marRight w:val="0"/>
          <w:marTop w:val="0"/>
          <w:marBottom w:val="0"/>
          <w:divBdr>
            <w:top w:val="none" w:sz="0" w:space="0" w:color="auto"/>
            <w:left w:val="none" w:sz="0" w:space="0" w:color="auto"/>
            <w:bottom w:val="none" w:sz="0" w:space="0" w:color="auto"/>
            <w:right w:val="none" w:sz="0" w:space="0" w:color="auto"/>
          </w:divBdr>
        </w:div>
      </w:divsChild>
    </w:div>
    <w:div w:id="670790385">
      <w:bodyDiv w:val="1"/>
      <w:marLeft w:val="0"/>
      <w:marRight w:val="0"/>
      <w:marTop w:val="0"/>
      <w:marBottom w:val="0"/>
      <w:divBdr>
        <w:top w:val="none" w:sz="0" w:space="0" w:color="auto"/>
        <w:left w:val="none" w:sz="0" w:space="0" w:color="auto"/>
        <w:bottom w:val="none" w:sz="0" w:space="0" w:color="auto"/>
        <w:right w:val="none" w:sz="0" w:space="0" w:color="auto"/>
      </w:divBdr>
    </w:div>
    <w:div w:id="1071076585">
      <w:bodyDiv w:val="1"/>
      <w:marLeft w:val="0"/>
      <w:marRight w:val="0"/>
      <w:marTop w:val="0"/>
      <w:marBottom w:val="0"/>
      <w:divBdr>
        <w:top w:val="none" w:sz="0" w:space="0" w:color="auto"/>
        <w:left w:val="none" w:sz="0" w:space="0" w:color="auto"/>
        <w:bottom w:val="none" w:sz="0" w:space="0" w:color="auto"/>
        <w:right w:val="none" w:sz="0" w:space="0" w:color="auto"/>
      </w:divBdr>
      <w:divsChild>
        <w:div w:id="1958022627">
          <w:marLeft w:val="0"/>
          <w:marRight w:val="0"/>
          <w:marTop w:val="0"/>
          <w:marBottom w:val="0"/>
          <w:divBdr>
            <w:top w:val="none" w:sz="0" w:space="0" w:color="auto"/>
            <w:left w:val="none" w:sz="0" w:space="0" w:color="auto"/>
            <w:bottom w:val="none" w:sz="0" w:space="0" w:color="auto"/>
            <w:right w:val="none" w:sz="0" w:space="0" w:color="auto"/>
          </w:divBdr>
        </w:div>
      </w:divsChild>
    </w:div>
    <w:div w:id="1893537122">
      <w:bodyDiv w:val="1"/>
      <w:marLeft w:val="0"/>
      <w:marRight w:val="0"/>
      <w:marTop w:val="0"/>
      <w:marBottom w:val="0"/>
      <w:divBdr>
        <w:top w:val="none" w:sz="0" w:space="0" w:color="auto"/>
        <w:left w:val="none" w:sz="0" w:space="0" w:color="auto"/>
        <w:bottom w:val="none" w:sz="0" w:space="0" w:color="auto"/>
        <w:right w:val="none" w:sz="0" w:space="0" w:color="auto"/>
      </w:divBdr>
      <w:divsChild>
        <w:div w:id="233469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025218\Desktop\Asiakirjapohjat\Kirje_geneerinen_TNR.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5DE0A-E2F0-4C81-803D-D7B3D070D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Kirje_geneerinen_TNR.dotx</Template>
  <TotalTime>0</TotalTime>
  <Pages>12</Pages>
  <Words>3305</Words>
  <Characters>26774</Characters>
  <Application>Microsoft Office Word</Application>
  <DocSecurity>0</DocSecurity>
  <Lines>223</Lines>
  <Paragraphs>60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2018-05-23T11:53:00Z</dcterms:created>
  <dcterms:modified xsi:type="dcterms:W3CDTF">2018-05-23T11:55:00Z</dcterms:modified>
</cp:coreProperties>
</file>