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05" w:rsidRDefault="00257205" w:rsidP="00257205">
      <w:pPr>
        <w:jc w:val="both"/>
        <w:rPr>
          <w:b/>
        </w:rPr>
      </w:pPr>
      <w:bookmarkStart w:id="0" w:name="_GoBack"/>
      <w:bookmarkEnd w:id="0"/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3B2792">
      <w:pPr>
        <w:ind w:firstLine="1418"/>
        <w:jc w:val="both"/>
        <w:rPr>
          <w:b/>
        </w:rPr>
      </w:pPr>
      <w:r>
        <w:rPr>
          <w:b/>
        </w:rPr>
        <w:t>OIKEUSMINISTERIÖLLE</w:t>
      </w: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257205">
      <w:pPr>
        <w:jc w:val="both"/>
        <w:rPr>
          <w:b/>
        </w:rPr>
      </w:pPr>
    </w:p>
    <w:p w:rsidR="00257205" w:rsidRDefault="00257205" w:rsidP="00A54CC6">
      <w:pPr>
        <w:spacing w:line="360" w:lineRule="auto"/>
        <w:jc w:val="both"/>
        <w:rPr>
          <w:b/>
        </w:rPr>
      </w:pPr>
    </w:p>
    <w:p w:rsidR="00257205" w:rsidRDefault="00257205" w:rsidP="00A54CC6">
      <w:pPr>
        <w:spacing w:line="360" w:lineRule="auto"/>
        <w:ind w:left="1440" w:hanging="1440"/>
        <w:jc w:val="both"/>
        <w:rPr>
          <w:b/>
        </w:rPr>
      </w:pPr>
      <w:proofErr w:type="gramStart"/>
      <w:r>
        <w:rPr>
          <w:b/>
        </w:rPr>
        <w:t>Asia:</w:t>
      </w:r>
      <w:r>
        <w:rPr>
          <w:b/>
        </w:rPr>
        <w:tab/>
        <w:t>Pyydetty lausuma vesilain käyttöoikeussääntelyn uudistamista koskevassa asiassa</w:t>
      </w:r>
      <w:proofErr w:type="gramEnd"/>
    </w:p>
    <w:p w:rsidR="00257205" w:rsidRDefault="00257205" w:rsidP="00A54CC6">
      <w:pPr>
        <w:spacing w:line="360" w:lineRule="auto"/>
        <w:ind w:left="1440" w:hanging="1440"/>
        <w:jc w:val="both"/>
        <w:rPr>
          <w:b/>
        </w:rPr>
      </w:pPr>
    </w:p>
    <w:p w:rsidR="00257205" w:rsidRDefault="00257205" w:rsidP="00A54CC6">
      <w:pPr>
        <w:spacing w:line="360" w:lineRule="auto"/>
        <w:ind w:left="1440" w:hanging="1440"/>
        <w:jc w:val="both"/>
        <w:rPr>
          <w:b/>
        </w:rPr>
      </w:pPr>
    </w:p>
    <w:p w:rsidR="00257205" w:rsidRDefault="00257205" w:rsidP="00A54CC6">
      <w:pPr>
        <w:spacing w:line="360" w:lineRule="auto"/>
        <w:ind w:left="1440" w:hanging="1440"/>
        <w:jc w:val="both"/>
      </w:pPr>
      <w:r>
        <w:rPr>
          <w:b/>
        </w:rPr>
        <w:tab/>
      </w:r>
    </w:p>
    <w:p w:rsidR="00257205" w:rsidRDefault="00257205" w:rsidP="00A54CC6">
      <w:pPr>
        <w:spacing w:line="360" w:lineRule="auto"/>
        <w:ind w:left="1440" w:hanging="1440"/>
        <w:jc w:val="both"/>
        <w:rPr>
          <w:b/>
        </w:rPr>
      </w:pPr>
      <w:r>
        <w:rPr>
          <w:b/>
        </w:rPr>
        <w:t>Lausuman antaja:</w:t>
      </w:r>
    </w:p>
    <w:p w:rsidR="00257205" w:rsidRPr="00257205" w:rsidRDefault="00257205" w:rsidP="00A54CC6">
      <w:pPr>
        <w:spacing w:line="360" w:lineRule="auto"/>
        <w:ind w:left="1440" w:hanging="1440"/>
        <w:jc w:val="both"/>
      </w:pPr>
    </w:p>
    <w:p w:rsidR="00257205" w:rsidRDefault="00257205" w:rsidP="00A54CC6">
      <w:pPr>
        <w:spacing w:line="360" w:lineRule="auto"/>
        <w:ind w:left="1440" w:hanging="22"/>
        <w:jc w:val="both"/>
      </w:pPr>
      <w:r w:rsidRPr="00257205">
        <w:t>Suomen Ammattikalastajaliitto</w:t>
      </w:r>
      <w:r>
        <w:t xml:space="preserve"> ry</w:t>
      </w:r>
      <w:r w:rsidR="009A0A59">
        <w:t xml:space="preserve"> (SAKL)</w:t>
      </w:r>
    </w:p>
    <w:p w:rsidR="00257205" w:rsidRDefault="00257205" w:rsidP="00A54CC6">
      <w:pPr>
        <w:spacing w:line="360" w:lineRule="auto"/>
        <w:ind w:left="1440" w:hanging="22"/>
        <w:jc w:val="both"/>
      </w:pPr>
      <w:proofErr w:type="spellStart"/>
      <w:r>
        <w:t>Finlands</w:t>
      </w:r>
      <w:proofErr w:type="spellEnd"/>
      <w:r>
        <w:t xml:space="preserve"> </w:t>
      </w:r>
      <w:proofErr w:type="spellStart"/>
      <w:r>
        <w:t>Yrkesfiskarförbund</w:t>
      </w:r>
      <w:proofErr w:type="spellEnd"/>
    </w:p>
    <w:p w:rsidR="00257205" w:rsidRDefault="00257205" w:rsidP="00A54CC6">
      <w:pPr>
        <w:spacing w:line="360" w:lineRule="auto"/>
        <w:ind w:left="1440" w:hanging="22"/>
        <w:jc w:val="both"/>
      </w:pPr>
    </w:p>
    <w:p w:rsidR="00257205" w:rsidRDefault="00257205" w:rsidP="00A54CC6">
      <w:pPr>
        <w:spacing w:line="360" w:lineRule="auto"/>
        <w:ind w:left="1440" w:hanging="22"/>
        <w:jc w:val="both"/>
      </w:pPr>
      <w:r>
        <w:t>Toiminnan johtaja Kim Jordas</w:t>
      </w:r>
    </w:p>
    <w:p w:rsidR="00257205" w:rsidRDefault="00257205" w:rsidP="00A54CC6">
      <w:pPr>
        <w:spacing w:line="360" w:lineRule="auto"/>
        <w:ind w:left="1440" w:hanging="22"/>
        <w:jc w:val="both"/>
      </w:pPr>
      <w:r>
        <w:t>puhelin: 0400 720690</w:t>
      </w:r>
    </w:p>
    <w:p w:rsidR="00257205" w:rsidRDefault="00257205" w:rsidP="00A54CC6">
      <w:pPr>
        <w:spacing w:line="360" w:lineRule="auto"/>
        <w:ind w:left="1440" w:hanging="22"/>
        <w:jc w:val="both"/>
      </w:pPr>
      <w:r>
        <w:t xml:space="preserve">sähköposti: </w:t>
      </w:r>
      <w:hyperlink r:id="rId7" w:history="1">
        <w:r w:rsidRPr="00A72C22">
          <w:rPr>
            <w:rStyle w:val="Hyperlinkki"/>
          </w:rPr>
          <w:t>kim.jordas@sakl.fi</w:t>
        </w:r>
      </w:hyperlink>
    </w:p>
    <w:p w:rsidR="00257205" w:rsidRPr="00257205" w:rsidRDefault="00257205" w:rsidP="00A54CC6">
      <w:pPr>
        <w:spacing w:line="360" w:lineRule="auto"/>
        <w:ind w:left="1440" w:hanging="22"/>
        <w:jc w:val="both"/>
      </w:pPr>
      <w:r>
        <w:t xml:space="preserve">osoite: </w:t>
      </w:r>
      <w:proofErr w:type="spellStart"/>
      <w:r>
        <w:t>Jordaksentie</w:t>
      </w:r>
      <w:proofErr w:type="spellEnd"/>
      <w:r>
        <w:t xml:space="preserve"> 124</w:t>
      </w:r>
    </w:p>
    <w:p w:rsidR="00236457" w:rsidRDefault="00236457" w:rsidP="00A54CC6">
      <w:pPr>
        <w:spacing w:line="360" w:lineRule="auto"/>
      </w:pPr>
    </w:p>
    <w:p w:rsidR="00257205" w:rsidRDefault="00257205" w:rsidP="00A54CC6">
      <w:pPr>
        <w:spacing w:line="360" w:lineRule="auto"/>
        <w:ind w:left="1418"/>
      </w:pPr>
      <w:r>
        <w:t>Tehtävänään Suomen Ammattikalastaj</w:t>
      </w:r>
      <w:r w:rsidR="008D5ED9">
        <w:t>aliiton lakiasioita hoitava ja S</w:t>
      </w:r>
      <w:r>
        <w:t>aaristomeren</w:t>
      </w:r>
      <w:r w:rsidR="008D5ED9">
        <w:t xml:space="preserve"> A</w:t>
      </w:r>
      <w:r>
        <w:t>mmattikalastajat ry:n sihteeri</w:t>
      </w:r>
      <w:r w:rsidR="008D5ED9">
        <w:t>,</w:t>
      </w:r>
      <w:r>
        <w:t xml:space="preserve"> AA Heikki Jalas</w:t>
      </w:r>
    </w:p>
    <w:p w:rsidR="00257205" w:rsidRDefault="00257205" w:rsidP="00A54CC6">
      <w:pPr>
        <w:spacing w:line="360" w:lineRule="auto"/>
        <w:ind w:left="1418"/>
      </w:pPr>
    </w:p>
    <w:p w:rsidR="00257205" w:rsidRDefault="00257205" w:rsidP="00A54CC6">
      <w:pPr>
        <w:spacing w:line="360" w:lineRule="auto"/>
        <w:ind w:left="1418" w:hanging="1418"/>
        <w:rPr>
          <w:b/>
        </w:rPr>
      </w:pPr>
    </w:p>
    <w:p w:rsidR="00257205" w:rsidRDefault="00257205" w:rsidP="00A54CC6">
      <w:pPr>
        <w:spacing w:line="360" w:lineRule="auto"/>
        <w:ind w:left="1418"/>
      </w:pPr>
    </w:p>
    <w:p w:rsidR="00257205" w:rsidRDefault="00257205" w:rsidP="00A54CC6">
      <w:pPr>
        <w:spacing w:line="360" w:lineRule="auto"/>
        <w:ind w:left="1418" w:hanging="1418"/>
      </w:pPr>
    </w:p>
    <w:p w:rsidR="00257205" w:rsidRDefault="00257205" w:rsidP="00A54CC6">
      <w:pPr>
        <w:spacing w:line="360" w:lineRule="auto"/>
        <w:ind w:left="1418" w:hanging="1418"/>
        <w:jc w:val="both"/>
      </w:pPr>
      <w:r>
        <w:rPr>
          <w:b/>
        </w:rPr>
        <w:t>Lausuma:</w:t>
      </w:r>
      <w:r w:rsidR="003B2792">
        <w:t xml:space="preserve"> Vaikka mietinnön sisältö ja lopputulos ei näyttäisi heikentävän ammattikalastajien elinkeinon harjoittamiseen liittyviä oikeuksia tai työnteon omaisuuden suojaa, kiinnitetään tässä kuitenkin huomiota eräisiin </w:t>
      </w:r>
      <w:r w:rsidR="003B2792">
        <w:lastRenderedPageBreak/>
        <w:t xml:space="preserve">näkökohtiin ja tilanteisiin, joiden osalta vähintäänkin on hyvä painottaa </w:t>
      </w:r>
      <w:r w:rsidR="00A54CC6">
        <w:t xml:space="preserve">tilanteita, joissa </w:t>
      </w:r>
      <w:r w:rsidR="003B2792">
        <w:t>hankkeet ja ylimalkaan vedenalaisten kaapelien, putkien ja muiden johtojen sijoittaminen vesia</w:t>
      </w:r>
      <w:r w:rsidR="00A54CC6">
        <w:t>lueelle koskevat</w:t>
      </w:r>
      <w:r w:rsidR="003B2792">
        <w:t xml:space="preserve"> ammattikalastajia ja joissa on käytännössä jouduttu kohtaamaan järeimmät Nord </w:t>
      </w:r>
      <w:proofErr w:type="spellStart"/>
      <w:r w:rsidR="003B2792">
        <w:t>Stream</w:t>
      </w:r>
      <w:proofErr w:type="spellEnd"/>
      <w:r w:rsidR="003B2792">
        <w:t xml:space="preserve"> </w:t>
      </w:r>
      <w:proofErr w:type="spellStart"/>
      <w:r w:rsidR="003B2792">
        <w:t>ag:n</w:t>
      </w:r>
      <w:proofErr w:type="spellEnd"/>
      <w:r w:rsidR="003B2792">
        <w:t xml:space="preserve"> itämeren kaasuputket</w:t>
      </w:r>
      <w:r w:rsidR="008D5ED9">
        <w:t>,</w:t>
      </w:r>
      <w:r w:rsidR="003B2792">
        <w:t xml:space="preserve"> </w:t>
      </w:r>
      <w:r w:rsidR="00A54CC6">
        <w:t>”</w:t>
      </w:r>
      <w:r w:rsidR="003B2792">
        <w:t>hennoimmat</w:t>
      </w:r>
      <w:r w:rsidR="00A54CC6">
        <w:t>”</w:t>
      </w:r>
      <w:r w:rsidR="003B2792">
        <w:t xml:space="preserve"> valokuitukaapelit ym. </w:t>
      </w:r>
    </w:p>
    <w:p w:rsidR="003B2792" w:rsidRDefault="003B2792" w:rsidP="00A54CC6">
      <w:pPr>
        <w:spacing w:line="360" w:lineRule="auto"/>
        <w:ind w:left="1418"/>
        <w:jc w:val="both"/>
        <w:rPr>
          <w:b/>
        </w:rPr>
      </w:pPr>
    </w:p>
    <w:p w:rsidR="003B2792" w:rsidRDefault="003B2792" w:rsidP="00A54CC6">
      <w:pPr>
        <w:spacing w:line="360" w:lineRule="auto"/>
        <w:ind w:left="1418"/>
        <w:jc w:val="both"/>
      </w:pPr>
      <w:r>
        <w:t>Kun asia samalla läheisesti sivuaa juuri vesilain 2 luvun 13 §:ää ja sen 1 momentin edellytyslausekettakin, kiinnitet</w:t>
      </w:r>
      <w:r w:rsidR="00A54CC6">
        <w:t>ään</w:t>
      </w:r>
      <w:r>
        <w:t xml:space="preserve"> huomiota siihen epäjohdonmukaisuuteen, joka vanhasta vesilaista periytyneenä on jälleen saanut ilmaisunsa sanotussa lainkohdassa.</w:t>
      </w:r>
    </w:p>
    <w:p w:rsidR="009A0A59" w:rsidRDefault="009A0A59" w:rsidP="00A54CC6">
      <w:pPr>
        <w:spacing w:line="360" w:lineRule="auto"/>
        <w:ind w:left="1418"/>
        <w:jc w:val="both"/>
      </w:pPr>
    </w:p>
    <w:p w:rsidR="009A0A59" w:rsidRDefault="009A0A59" w:rsidP="00A54CC6">
      <w:pPr>
        <w:spacing w:line="360" w:lineRule="auto"/>
        <w:ind w:left="1418"/>
        <w:jc w:val="both"/>
      </w:pPr>
      <w:r>
        <w:t>Silmällä pitäen</w:t>
      </w:r>
      <w:r w:rsidR="00A54CC6">
        <w:t xml:space="preserve"> - </w:t>
      </w:r>
      <w:r>
        <w:t xml:space="preserve">tässä kaikkia vesialueita, mutta myös valtaväylää ja VL 1 luvun 6 § 1 momentissa ja muita VL 1 luvun 6 §:n 1 momentissa tarkoitettuja valtaväylän luonteisia vesialueita, joita esimerkiksi saaristomeren alueella on </w:t>
      </w:r>
      <w:r w:rsidR="00A54CC6">
        <w:t>(</w:t>
      </w:r>
      <w:r>
        <w:t xml:space="preserve">tulkinnoista </w:t>
      </w:r>
      <w:r w:rsidR="00A54CC6">
        <w:t xml:space="preserve">riippuen) </w:t>
      </w:r>
      <w:r>
        <w:t>runsaasti</w:t>
      </w:r>
      <w:r w:rsidR="00275838">
        <w:t>,</w:t>
      </w:r>
      <w:r w:rsidR="00A54CC6">
        <w:t xml:space="preserve"> -</w:t>
      </w:r>
      <w:r>
        <w:t xml:space="preserve"> SAKL korostaa, että </w:t>
      </w:r>
      <w:r w:rsidRPr="00A54CC6">
        <w:rPr>
          <w:u w:val="single"/>
        </w:rPr>
        <w:t>vesitalousluvan tarve on sen mielestä</w:t>
      </w:r>
      <w:r w:rsidR="00A54CC6" w:rsidRPr="00A54CC6">
        <w:rPr>
          <w:u w:val="single"/>
        </w:rPr>
        <w:t xml:space="preserve"> aina</w:t>
      </w:r>
      <w:r w:rsidRPr="00A54CC6">
        <w:rPr>
          <w:u w:val="single"/>
        </w:rPr>
        <w:t xml:space="preserve"> välttämätön kaapeleiden, putkien ym. johtorakenteiden sijoittamiseen vesialueelle kaikkialla</w:t>
      </w:r>
      <w:r w:rsidR="00A54CC6" w:rsidRPr="00A54CC6">
        <w:rPr>
          <w:u w:val="single"/>
        </w:rPr>
        <w:t xml:space="preserve"> siellä</w:t>
      </w:r>
      <w:r>
        <w:t>, missä tapahtuu tai voi tapahtua troolikalastusta taikka nuottakalastusta, mikä jälkimmäinen on tietysti harvinaisempi ilmiö. Käytäntö on muodostunut sellaiseksi, että nämä kaap</w:t>
      </w:r>
      <w:r w:rsidR="00A54CC6">
        <w:t>elit ja johdot yleensä aurataan tai</w:t>
      </w:r>
      <w:r>
        <w:t xml:space="preserve"> muutoin upotetaan merenpohjan pinnan alapuolelle erilaisissa olosuhteissa. </w:t>
      </w:r>
    </w:p>
    <w:p w:rsidR="009A0A59" w:rsidRDefault="009A0A59" w:rsidP="00A54CC6">
      <w:pPr>
        <w:spacing w:line="360" w:lineRule="auto"/>
        <w:ind w:left="1418"/>
        <w:jc w:val="both"/>
      </w:pPr>
    </w:p>
    <w:p w:rsidR="009A0A59" w:rsidRDefault="009A0A59" w:rsidP="00A54CC6">
      <w:pPr>
        <w:spacing w:line="360" w:lineRule="auto"/>
        <w:ind w:left="1418"/>
        <w:jc w:val="both"/>
      </w:pPr>
      <w:r>
        <w:t>Ellei lupatarvetta olisi, muodostuisi hankalia jälkitilanteita</w:t>
      </w:r>
      <w:r w:rsidR="00A54CC6">
        <w:t>,</w:t>
      </w:r>
      <w:r>
        <w:t xml:space="preserve"> ja joskus käy näin vesitalouslupamenettelynkin yhteydessä</w:t>
      </w:r>
      <w:proofErr w:type="gramStart"/>
      <w:r>
        <w:t xml:space="preserve"> (esim. Särkänsalmen silta Naantalissa, joka oli pelkästään silloisen yleistietoimituksen</w:t>
      </w:r>
      <w:r w:rsidR="004E7C1C">
        <w:t xml:space="preserve"> toimitusmiesten</w:t>
      </w:r>
      <w:r w:rsidR="00D77C27">
        <w:t xml:space="preserve"> </w:t>
      </w:r>
      <w:r w:rsidR="00D77C27" w:rsidRPr="004E7C1C">
        <w:t>päätöksen</w:t>
      </w:r>
      <w:r>
        <w:t xml:space="preserve"> varassa ja siltapilari oli osunut keskelle </w:t>
      </w:r>
      <w:proofErr w:type="spellStart"/>
      <w:r>
        <w:t>nuottaluomaa</w:t>
      </w:r>
      <w:proofErr w:type="spellEnd"/>
      <w:r w:rsidR="00D77C27">
        <w:t>.</w:t>
      </w:r>
      <w:proofErr w:type="gramEnd"/>
      <w:r w:rsidR="00275838">
        <w:t xml:space="preserve"> </w:t>
      </w:r>
      <w:r w:rsidR="00D77C27">
        <w:t>Lupa</w:t>
      </w:r>
      <w:r>
        <w:t xml:space="preserve">prosessit jouduttiin käynnistämään </w:t>
      </w:r>
      <w:r w:rsidR="00D77C27">
        <w:t>jälkikäteen. Ajankohtaisena</w:t>
      </w:r>
      <w:r>
        <w:t xml:space="preserve"> tapauksena</w:t>
      </w:r>
      <w:r w:rsidR="00D77C27">
        <w:t xml:space="preserve"> mainitaan</w:t>
      </w:r>
      <w:r>
        <w:t xml:space="preserve"> </w:t>
      </w:r>
      <w:proofErr w:type="spellStart"/>
      <w:r>
        <w:t>Ål-Link</w:t>
      </w:r>
      <w:proofErr w:type="spellEnd"/>
      <w:r>
        <w:t>. Varavoimakaapeli, jossa myös ehti tulla lainvoimainen vesitalouslupa ennen kuin laajoille alueille kaapelilinjalla ulottuva troolikalastusintressi havaittiin. Valistunut</w:t>
      </w:r>
      <w:r w:rsidR="00D77C27">
        <w:t xml:space="preserve"> ja selvästi elinkeinoja ymmärtävä</w:t>
      </w:r>
      <w:r>
        <w:t xml:space="preserve"> hakija käynnisti uuden täydentävän lupamenettelyn kaapelin upottamiseksi merenpohjan pinnan alle troolikalastusalueella sekä myös työn aikaisten korvauskysymysten järjestämiseksi. Auraus on täydentävässä lupakäsittelyssä annettujen määräysten mukaisesti suoritettu ja työn aikainen </w:t>
      </w:r>
      <w:r>
        <w:lastRenderedPageBreak/>
        <w:t xml:space="preserve">korvausmenettelykin </w:t>
      </w:r>
      <w:r w:rsidR="00D77C27">
        <w:t xml:space="preserve">loppusuoralla - </w:t>
      </w:r>
      <w:r>
        <w:t>ensisijaisen vaihtoehdon mukaan asianosaisten neuvottelu</w:t>
      </w:r>
      <w:r w:rsidR="00D77C27">
        <w:t xml:space="preserve">jen pohjalta hoidettuna. </w:t>
      </w:r>
    </w:p>
    <w:p w:rsidR="009A0A59" w:rsidRDefault="009A0A59" w:rsidP="00A54CC6">
      <w:pPr>
        <w:spacing w:line="360" w:lineRule="auto"/>
        <w:ind w:left="1418"/>
        <w:jc w:val="both"/>
      </w:pPr>
    </w:p>
    <w:p w:rsidR="009A0A59" w:rsidRDefault="009A0A59" w:rsidP="00A54CC6">
      <w:pPr>
        <w:spacing w:line="360" w:lineRule="auto"/>
        <w:ind w:left="1418"/>
        <w:jc w:val="both"/>
      </w:pPr>
      <w:r>
        <w:t>Nämä – ja monet muut tapaukset – osoittavat sen, että ilmoitusmenettelyssä voi jäädä huomaamatta tärkeitä kalatalousintressejä ja sen vuoksi niiden olemassa ollessa lupatarve on (p</w:t>
      </w:r>
      <w:r w:rsidR="00275838">
        <w:t>ienissäkin väylänalituksissa ym.) tarpeen.</w:t>
      </w:r>
    </w:p>
    <w:p w:rsidR="00275838" w:rsidRDefault="00275838" w:rsidP="00A54CC6">
      <w:pPr>
        <w:spacing w:line="360" w:lineRule="auto"/>
        <w:ind w:left="1418"/>
        <w:jc w:val="both"/>
      </w:pPr>
    </w:p>
    <w:p w:rsidR="00275838" w:rsidRDefault="00275838" w:rsidP="00A54CC6">
      <w:pPr>
        <w:spacing w:line="360" w:lineRule="auto"/>
        <w:ind w:left="1418"/>
        <w:jc w:val="both"/>
      </w:pPr>
      <w:r>
        <w:t>Lausuntoa annettaessa ollaan tietoisia siitä, että edellä olevat näkökohdat ja esimerkit eivät suoraan osu käsiteltävinä oleviin kysymyksiin</w:t>
      </w:r>
      <w:r w:rsidR="00D77C27">
        <w:t xml:space="preserve"> </w:t>
      </w:r>
      <w:proofErr w:type="spellStart"/>
      <w:r w:rsidR="00D77C27">
        <w:t>VL:n</w:t>
      </w:r>
      <w:proofErr w:type="spellEnd"/>
      <w:r>
        <w:t xml:space="preserve"> säännösten </w:t>
      </w:r>
      <w:proofErr w:type="spellStart"/>
      <w:r>
        <w:t>peilaantumisesta</w:t>
      </w:r>
      <w:proofErr w:type="spellEnd"/>
      <w:r>
        <w:t xml:space="preserve"> perustuslakiin. Ne ovat kuitenkin ammattikalastuksen huomioimisen kannalta keskeisiä asioita ja myös oikeus elinkeinon harjoittamiseen sivuaa </w:t>
      </w:r>
      <w:proofErr w:type="spellStart"/>
      <w:r>
        <w:t>perustulakikysymyksiä</w:t>
      </w:r>
      <w:proofErr w:type="spellEnd"/>
      <w:r>
        <w:t>.</w:t>
      </w:r>
    </w:p>
    <w:p w:rsidR="00275838" w:rsidRDefault="00275838" w:rsidP="00A54CC6">
      <w:pPr>
        <w:spacing w:line="360" w:lineRule="auto"/>
        <w:ind w:left="1418"/>
        <w:jc w:val="both"/>
      </w:pPr>
    </w:p>
    <w:p w:rsidR="00275838" w:rsidRDefault="00275838" w:rsidP="00A54CC6">
      <w:pPr>
        <w:spacing w:line="360" w:lineRule="auto"/>
        <w:ind w:left="1418"/>
        <w:jc w:val="both"/>
      </w:pPr>
      <w:r>
        <w:t xml:space="preserve">Se mitä edellä on sanottu lupatarpeen korostamisesta koskee </w:t>
      </w:r>
      <w:proofErr w:type="gramStart"/>
      <w:r>
        <w:t>myös mietinnössäkin</w:t>
      </w:r>
      <w:proofErr w:type="gramEnd"/>
      <w:r>
        <w:t xml:space="preserve"> viitattuja kysymyksiä sääntelyn vaikutuksesta tilanteisiin, joissa keinotekoisesti vaikutettaisiin </w:t>
      </w:r>
      <w:r w:rsidRPr="00D77C27">
        <w:rPr>
          <w:u w:val="single"/>
        </w:rPr>
        <w:t>vedenpinnan</w:t>
      </w:r>
      <w:r>
        <w:t xml:space="preserve"> korkeuteen tai sen vaihteluihin. </w:t>
      </w:r>
    </w:p>
    <w:p w:rsidR="00275838" w:rsidRDefault="00275838" w:rsidP="00A54CC6">
      <w:pPr>
        <w:spacing w:line="360" w:lineRule="auto"/>
        <w:ind w:left="1418"/>
        <w:jc w:val="both"/>
      </w:pPr>
    </w:p>
    <w:p w:rsidR="00D77C27" w:rsidRDefault="00275838" w:rsidP="00A54CC6">
      <w:pPr>
        <w:spacing w:line="360" w:lineRule="auto"/>
        <w:ind w:left="1418"/>
        <w:jc w:val="both"/>
      </w:pPr>
      <w:r>
        <w:t xml:space="preserve">Toisena vielä yksityiskohtaisempana seikkana kiinnittyy huomio – ja on jo vanhan vesilain aikana kiinnittynyt - VL 2 luvun 13 §:n 1 momentin viimeiseen virkkeeseen, jossa </w:t>
      </w:r>
      <w:r w:rsidR="001F39F4">
        <w:t xml:space="preserve">käyttöoikeuden myöntämisen edellytyksenä siinä tilanteessa, että kysymys on hakijalla ja muille yhteisesti kuuluvasta vesialueesta, edellyttää ”että toimenpiteen kohteeksi joutuva </w:t>
      </w:r>
      <w:r w:rsidR="001F39F4">
        <w:rPr>
          <w:u w:val="single"/>
        </w:rPr>
        <w:t>alue</w:t>
      </w:r>
      <w:r w:rsidR="001F39F4">
        <w:t xml:space="preserve"> ei ole sanottavasti </w:t>
      </w:r>
      <w:r w:rsidR="001F39F4" w:rsidRPr="001F39F4">
        <w:rPr>
          <w:u w:val="single"/>
        </w:rPr>
        <w:t>suurempi</w:t>
      </w:r>
      <w:r w:rsidR="001F39F4">
        <w:rPr>
          <w:u w:val="single"/>
        </w:rPr>
        <w:t xml:space="preserve"> </w:t>
      </w:r>
      <w:r w:rsidR="001F39F4" w:rsidRPr="001F39F4">
        <w:rPr>
          <w:u w:val="single"/>
        </w:rPr>
        <w:t>hakijan osuutta vastaavaa osaa</w:t>
      </w:r>
      <w:r w:rsidR="001F39F4">
        <w:t xml:space="preserve"> yhteisestä vesialueesta”. Kun lainsäädäntöä</w:t>
      </w:r>
      <w:r w:rsidR="00D77C27">
        <w:t xml:space="preserve"> muutoinkin</w:t>
      </w:r>
      <w:r w:rsidR="001F39F4">
        <w:t xml:space="preserve"> tarkistetaan, olisi ehkä aika poistaa tämä epäjohdonmukaisuus, jossa osa ja alue </w:t>
      </w:r>
      <w:r w:rsidR="00D77C27">
        <w:t>luodaan</w:t>
      </w:r>
      <w:r w:rsidR="001F39F4">
        <w:t xml:space="preserve"> ikään kuin yhteneviksi käsitteiksi.</w:t>
      </w:r>
    </w:p>
    <w:p w:rsidR="00D77C27" w:rsidRDefault="00D77C27" w:rsidP="00A54CC6">
      <w:pPr>
        <w:spacing w:line="360" w:lineRule="auto"/>
        <w:ind w:left="1418"/>
        <w:jc w:val="both"/>
      </w:pPr>
    </w:p>
    <w:p w:rsidR="00275838" w:rsidRDefault="001F39F4" w:rsidP="00A54CC6">
      <w:pPr>
        <w:spacing w:line="360" w:lineRule="auto"/>
        <w:ind w:left="1418"/>
        <w:jc w:val="both"/>
      </w:pPr>
      <w:r>
        <w:t xml:space="preserve">Näinhän vesialueen osalta ei tietenkään ole, vaan esimerkiksi </w:t>
      </w:r>
      <w:proofErr w:type="gramStart"/>
      <w:r>
        <w:t>10%</w:t>
      </w:r>
      <w:proofErr w:type="gramEnd"/>
      <w:r>
        <w:t xml:space="preserve"> 100 </w:t>
      </w:r>
      <w:proofErr w:type="spellStart"/>
      <w:r>
        <w:t>ha:n</w:t>
      </w:r>
      <w:proofErr w:type="spellEnd"/>
      <w:r>
        <w:t xml:space="preserve"> vesialueesta saattaa vesialueen jollakin kohdalla merkitä esim. teoreettista 20 </w:t>
      </w:r>
      <w:proofErr w:type="spellStart"/>
      <w:r>
        <w:t>ha:n</w:t>
      </w:r>
      <w:proofErr w:type="spellEnd"/>
      <w:r>
        <w:t xml:space="preserve"> aluetta</w:t>
      </w:r>
      <w:r w:rsidR="00D77C27">
        <w:t xml:space="preserve"> </w:t>
      </w:r>
      <w:r>
        <w:t xml:space="preserve">ja jollakin kohdalla vaikkapa vain yhden </w:t>
      </w:r>
      <w:proofErr w:type="spellStart"/>
      <w:r>
        <w:t>ha:n</w:t>
      </w:r>
      <w:proofErr w:type="spellEnd"/>
      <w:r>
        <w:t xml:space="preserve"> aluetta</w:t>
      </w:r>
      <w:r w:rsidR="00D77C27">
        <w:t xml:space="preserve"> – jyvityksestä riippuen. </w:t>
      </w:r>
      <w:r>
        <w:t xml:space="preserve">Säännös jättää epäselväksi sen, tuleeko </w:t>
      </w:r>
      <w:r w:rsidR="00D77C27">
        <w:t>osuus/alue verrata</w:t>
      </w:r>
      <w:r>
        <w:t xml:space="preserve"> tällä tavoin reaalitilanteeseen</w:t>
      </w:r>
      <w:r w:rsidR="00D77C27">
        <w:t xml:space="preserve"> </w:t>
      </w:r>
      <w:proofErr w:type="spellStart"/>
      <w:r w:rsidR="00D77C27">
        <w:t>KML:n</w:t>
      </w:r>
      <w:proofErr w:type="spellEnd"/>
      <w:r w:rsidR="00D77C27">
        <w:t xml:space="preserve"> mukaan</w:t>
      </w:r>
      <w:r>
        <w:t xml:space="preserve"> vai tarkoitetaanko sitä, </w:t>
      </w:r>
      <w:r>
        <w:lastRenderedPageBreak/>
        <w:t>että vesialue olisi ”massatuote”, jonka hehtaarit olisivat kaikkialla samanarvoisia.</w:t>
      </w:r>
    </w:p>
    <w:p w:rsidR="001F39F4" w:rsidRDefault="001F39F4" w:rsidP="00A54CC6">
      <w:pPr>
        <w:spacing w:line="360" w:lineRule="auto"/>
        <w:ind w:left="1418"/>
        <w:jc w:val="both"/>
      </w:pPr>
    </w:p>
    <w:p w:rsidR="001F39F4" w:rsidRDefault="004E7C1C" w:rsidP="00A54CC6">
      <w:pPr>
        <w:spacing w:line="360" w:lineRule="auto"/>
        <w:ind w:left="1418"/>
        <w:jc w:val="both"/>
      </w:pPr>
      <w:r>
        <w:t>Tällä asialla saattaa olla suuri</w:t>
      </w:r>
      <w:r w:rsidR="001F39F4">
        <w:t xml:space="preserve"> merkitys, kun tuo ilmaisu on joka tapauksessa säilytetty laissa keskeisenä</w:t>
      </w:r>
      <w:r>
        <w:t xml:space="preserve"> niinkin merkittävän ilmiön</w:t>
      </w:r>
      <w:r w:rsidR="001F39F4">
        <w:t xml:space="preserve"> pysyvän käyttöoikeuden saamisen edellytyksenä</w:t>
      </w:r>
      <w:r>
        <w:t xml:space="preserve">. Osuus/alue </w:t>
      </w:r>
      <w:proofErr w:type="gramStart"/>
      <w:r>
        <w:t>–kysymys</w:t>
      </w:r>
      <w:proofErr w:type="gramEnd"/>
      <w:r>
        <w:t xml:space="preserve"> ei saisi olla ”harmaan logiikan varassa”.</w:t>
      </w:r>
    </w:p>
    <w:p w:rsidR="001F39F4" w:rsidRDefault="001F39F4" w:rsidP="00A54CC6">
      <w:pPr>
        <w:spacing w:line="360" w:lineRule="auto"/>
        <w:ind w:left="1418"/>
        <w:jc w:val="both"/>
      </w:pPr>
    </w:p>
    <w:p w:rsidR="004E7C1C" w:rsidRDefault="001F39F4" w:rsidP="00A54CC6">
      <w:pPr>
        <w:spacing w:line="360" w:lineRule="auto"/>
        <w:ind w:left="1418"/>
        <w:jc w:val="both"/>
      </w:pPr>
      <w:proofErr w:type="gramStart"/>
      <w:r>
        <w:t xml:space="preserve">Silmällä pitäen yhteisiä vesialueita, joissa ammattikalastajilla on osakaskunnan kanssa tehty vuokrasopimus toiminnan harjoittamiseen säännös saattaisi kohdistua vakavin seurauksin – paitsi </w:t>
      </w:r>
      <w:r w:rsidR="004E7C1C">
        <w:t xml:space="preserve">vesialueen </w:t>
      </w:r>
      <w:r>
        <w:t xml:space="preserve">muihin osakkaisiin – myös </w:t>
      </w:r>
      <w:r w:rsidR="004E7C1C">
        <w:t xml:space="preserve">vesialueella toimivaan </w:t>
      </w:r>
      <w:r>
        <w:t>ammattikalastajaan</w:t>
      </w:r>
      <w:r w:rsidR="004E7C1C">
        <w:t>.</w:t>
      </w:r>
      <w:proofErr w:type="gramEnd"/>
      <w:r>
        <w:t xml:space="preserve"> Varsinkin, jos se tulkittaisiin siten, että osuuteensa näin vetoavalla hakijalla olisi aina </w:t>
      </w:r>
      <w:r w:rsidR="004E7C1C">
        <w:t xml:space="preserve">suoraviivaisesti </w:t>
      </w:r>
      <w:r>
        <w:t xml:space="preserve">oikeus suhteelliseen osaansa vesialueen kokonaispinta-alasta. </w:t>
      </w:r>
    </w:p>
    <w:p w:rsidR="004E7C1C" w:rsidRDefault="004E7C1C" w:rsidP="00A54CC6">
      <w:pPr>
        <w:spacing w:line="360" w:lineRule="auto"/>
        <w:ind w:left="1418"/>
        <w:jc w:val="both"/>
      </w:pPr>
    </w:p>
    <w:p w:rsidR="001F39F4" w:rsidRDefault="001F39F4" w:rsidP="00A54CC6">
      <w:pPr>
        <w:spacing w:line="360" w:lineRule="auto"/>
        <w:ind w:left="1418"/>
        <w:jc w:val="both"/>
      </w:pPr>
      <w:r>
        <w:t>Tämän laatijalla,</w:t>
      </w:r>
      <w:r w:rsidR="004E7C1C">
        <w:t xml:space="preserve"> joka</w:t>
      </w:r>
      <w:r>
        <w:t xml:space="preserve"> aikanaan teki </w:t>
      </w:r>
      <w:r w:rsidR="004E7C1C">
        <w:t>syventävä</w:t>
      </w:r>
      <w:r>
        <w:t>n</w:t>
      </w:r>
      <w:r w:rsidR="004E7C1C">
        <w:t xml:space="preserve"> työnsä</w:t>
      </w:r>
      <w:r>
        <w:t xml:space="preserve"> </w:t>
      </w:r>
      <w:r w:rsidR="004E7C1C">
        <w:t>silloisesta</w:t>
      </w:r>
      <w:r>
        <w:t xml:space="preserve"> vesilaista sen voimaan astuessa, on ollut se käsitys, että säännöksessä oli, siinä käytettyjen </w:t>
      </w:r>
      <w:r w:rsidR="004E7C1C">
        <w:t xml:space="preserve">(ei yhteismitallisten) </w:t>
      </w:r>
      <w:r>
        <w:t xml:space="preserve">käsitteiden vuoksi korjaamisen/selventämisen varaa. </w:t>
      </w:r>
    </w:p>
    <w:p w:rsidR="00A54CC6" w:rsidRDefault="00A54CC6" w:rsidP="00A54CC6">
      <w:pPr>
        <w:spacing w:line="360" w:lineRule="auto"/>
        <w:ind w:left="1418"/>
        <w:jc w:val="both"/>
      </w:pPr>
    </w:p>
    <w:p w:rsidR="00A54CC6" w:rsidRDefault="00A54CC6" w:rsidP="00A54CC6">
      <w:pPr>
        <w:spacing w:line="360" w:lineRule="auto"/>
        <w:ind w:left="1418"/>
        <w:jc w:val="both"/>
      </w:pPr>
    </w:p>
    <w:p w:rsidR="00A54CC6" w:rsidRDefault="00A54CC6" w:rsidP="00A54CC6">
      <w:pPr>
        <w:spacing w:line="360" w:lineRule="auto"/>
        <w:ind w:left="1418"/>
        <w:jc w:val="both"/>
      </w:pPr>
      <w:r>
        <w:t>Turussa 22.4.2016</w:t>
      </w:r>
    </w:p>
    <w:p w:rsidR="004A3E29" w:rsidRDefault="004A3E29" w:rsidP="00A54CC6">
      <w:pPr>
        <w:spacing w:line="360" w:lineRule="auto"/>
        <w:ind w:left="1418"/>
        <w:jc w:val="both"/>
      </w:pPr>
    </w:p>
    <w:p w:rsidR="004A3E29" w:rsidRPr="001F39F4" w:rsidRDefault="004A3E29" w:rsidP="00A54CC6">
      <w:pPr>
        <w:spacing w:line="360" w:lineRule="auto"/>
        <w:ind w:left="1418"/>
        <w:jc w:val="both"/>
      </w:pPr>
      <w:r>
        <w:t>Heikki Jalas</w:t>
      </w:r>
    </w:p>
    <w:sectPr w:rsidR="004A3E29" w:rsidRPr="001F39F4" w:rsidSect="00502AAC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6039">
      <w:r>
        <w:separator/>
      </w:r>
    </w:p>
  </w:endnote>
  <w:endnote w:type="continuationSeparator" w:id="0">
    <w:p w:rsidR="00000000" w:rsidRDefault="0017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6039">
      <w:r>
        <w:separator/>
      </w:r>
    </w:p>
  </w:footnote>
  <w:footnote w:type="continuationSeparator" w:id="0">
    <w:p w:rsidR="00000000" w:rsidRDefault="0017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D3" w:rsidRDefault="004A3E29" w:rsidP="000F43C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470D3" w:rsidRDefault="00176039" w:rsidP="00502AA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D3" w:rsidRDefault="004A3E29" w:rsidP="000F43C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76039">
      <w:rPr>
        <w:rStyle w:val="Sivunumero"/>
        <w:noProof/>
      </w:rPr>
      <w:t>4</w:t>
    </w:r>
    <w:r>
      <w:rPr>
        <w:rStyle w:val="Sivunumero"/>
      </w:rPr>
      <w:fldChar w:fldCharType="end"/>
    </w:r>
  </w:p>
  <w:p w:rsidR="002470D3" w:rsidRDefault="00176039" w:rsidP="00502AAC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05"/>
    <w:rsid w:val="00176039"/>
    <w:rsid w:val="001D064A"/>
    <w:rsid w:val="001F39F4"/>
    <w:rsid w:val="00236457"/>
    <w:rsid w:val="00257205"/>
    <w:rsid w:val="00275838"/>
    <w:rsid w:val="003B2792"/>
    <w:rsid w:val="004A3E29"/>
    <w:rsid w:val="004E7C1C"/>
    <w:rsid w:val="008D5ED9"/>
    <w:rsid w:val="009A0A59"/>
    <w:rsid w:val="00A54CC6"/>
    <w:rsid w:val="00D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7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572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57205"/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257205"/>
  </w:style>
  <w:style w:type="character" w:styleId="Hyperlinkki">
    <w:name w:val="Hyperlink"/>
    <w:basedOn w:val="Kappaleenoletusfontti"/>
    <w:uiPriority w:val="99"/>
    <w:unhideWhenUsed/>
    <w:rsid w:val="0025720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4C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4CC6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7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2572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57205"/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257205"/>
  </w:style>
  <w:style w:type="character" w:styleId="Hyperlinkki">
    <w:name w:val="Hyperlink"/>
    <w:basedOn w:val="Kappaleenoletusfontti"/>
    <w:uiPriority w:val="99"/>
    <w:unhideWhenUsed/>
    <w:rsid w:val="0025720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4C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4CC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jordas@sakl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5200</Characters>
  <Application>Microsoft Office Word</Application>
  <DocSecurity>4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Anniina Huttunen</dc:creator>
  <cp:lastModifiedBy>Lakka Mari</cp:lastModifiedBy>
  <cp:revision>2</cp:revision>
  <cp:lastPrinted>2016-04-22T11:42:00Z</cp:lastPrinted>
  <dcterms:created xsi:type="dcterms:W3CDTF">2016-04-22T11:42:00Z</dcterms:created>
  <dcterms:modified xsi:type="dcterms:W3CDTF">2016-04-22T11:42:00Z</dcterms:modified>
</cp:coreProperties>
</file>