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5C" w:rsidRDefault="005B725C" w:rsidP="005B725C">
      <w:pPr>
        <w:pStyle w:val="ListParagraph"/>
      </w:pPr>
    </w:p>
    <w:p w:rsidR="005B725C" w:rsidRPr="005B725C" w:rsidRDefault="005B725C" w:rsidP="005B725C">
      <w:pPr>
        <w:pStyle w:val="ListParagraph"/>
        <w:rPr>
          <w:b/>
        </w:rPr>
      </w:pPr>
    </w:p>
    <w:p w:rsidR="005B725C" w:rsidRDefault="005B725C" w:rsidP="005B725C">
      <w:pPr>
        <w:pStyle w:val="ListParagraph"/>
      </w:pPr>
    </w:p>
    <w:p w:rsidR="00C67F47" w:rsidRDefault="00C67F47" w:rsidP="000777B9">
      <w:pPr>
        <w:jc w:val="both"/>
        <w:rPr>
          <w:rFonts w:ascii="Times New Roman" w:hAnsi="Times New Roman"/>
          <w:b/>
          <w:sz w:val="24"/>
          <w:szCs w:val="24"/>
        </w:rPr>
      </w:pPr>
    </w:p>
    <w:p w:rsidR="00C67F47" w:rsidRDefault="00C67F47" w:rsidP="000777B9">
      <w:pPr>
        <w:jc w:val="both"/>
        <w:rPr>
          <w:rFonts w:ascii="Times New Roman" w:hAnsi="Times New Roman"/>
          <w:b/>
          <w:sz w:val="24"/>
          <w:szCs w:val="24"/>
        </w:rPr>
      </w:pPr>
    </w:p>
    <w:p w:rsidR="000777B9" w:rsidRPr="00F10423" w:rsidRDefault="006B7DFB" w:rsidP="000777B9">
      <w:pPr>
        <w:jc w:val="both"/>
        <w:rPr>
          <w:rFonts w:ascii="Times New Roman" w:hAnsi="Times New Roman"/>
          <w:b/>
          <w:sz w:val="24"/>
          <w:szCs w:val="24"/>
        </w:rPr>
      </w:pPr>
      <w:r w:rsidRPr="00F10423">
        <w:rPr>
          <w:rFonts w:ascii="Times New Roman" w:hAnsi="Times New Roman"/>
          <w:b/>
          <w:sz w:val="24"/>
          <w:szCs w:val="24"/>
        </w:rPr>
        <w:t>OIKEUSMINISTERIÖLLE</w:t>
      </w:r>
    </w:p>
    <w:p w:rsidR="00C67F47" w:rsidRPr="00C67F47" w:rsidRDefault="00C67F47" w:rsidP="00C67F47">
      <w:pPr>
        <w:spacing w:before="630" w:after="315" w:line="240" w:lineRule="auto"/>
        <w:rPr>
          <w:rFonts w:ascii="Arial" w:hAnsi="Arial" w:cs="Arial"/>
          <w:b/>
          <w:bCs/>
          <w:i/>
          <w:color w:val="231F20"/>
          <w:sz w:val="24"/>
          <w:szCs w:val="24"/>
          <w:lang w:eastAsia="fi-FI"/>
        </w:rPr>
      </w:pPr>
      <w:proofErr w:type="gramStart"/>
      <w:r w:rsidRPr="00C67F47">
        <w:rPr>
          <w:rFonts w:ascii="Arial" w:hAnsi="Arial" w:cs="Arial"/>
          <w:b/>
          <w:bCs/>
          <w:i/>
          <w:color w:val="231F20"/>
          <w:sz w:val="24"/>
          <w:szCs w:val="24"/>
          <w:lang w:eastAsia="fi-FI"/>
        </w:rPr>
        <w:t xml:space="preserve">Suomen Perimistoimistojen Liitto ry:n lausunto </w:t>
      </w:r>
      <w:bookmarkStart w:id="0" w:name="_GoBack"/>
      <w:r w:rsidRPr="00C67F47">
        <w:rPr>
          <w:rFonts w:ascii="Arial" w:hAnsi="Arial" w:cs="Arial"/>
          <w:b/>
          <w:bCs/>
          <w:i/>
          <w:color w:val="231F20"/>
          <w:sz w:val="24"/>
          <w:szCs w:val="24"/>
          <w:lang w:eastAsia="fi-FI"/>
        </w:rPr>
        <w:t xml:space="preserve">uudelleenlaaditun maksukyvyttömyysasetuksen edellyttämistä lainsäädäntömuutoksista </w:t>
      </w:r>
      <w:bookmarkEnd w:id="0"/>
      <w:r w:rsidRPr="00C67F47">
        <w:rPr>
          <w:rFonts w:ascii="Arial" w:hAnsi="Arial" w:cs="Arial"/>
          <w:b/>
          <w:bCs/>
          <w:i/>
          <w:color w:val="231F20"/>
          <w:sz w:val="24"/>
          <w:szCs w:val="24"/>
          <w:lang w:eastAsia="fi-FI"/>
        </w:rPr>
        <w:t>(oikeusministeriön julkaisusarja Mietintöjä ja lausuntoja 31/2016)</w:t>
      </w:r>
      <w:proofErr w:type="gramEnd"/>
    </w:p>
    <w:p w:rsidR="00C67F47" w:rsidRDefault="00C67F47" w:rsidP="00C67F47">
      <w:pPr>
        <w:spacing w:before="100" w:beforeAutospacing="1" w:after="100" w:afterAutospacing="1" w:line="315" w:lineRule="atLeast"/>
        <w:rPr>
          <w:rFonts w:ascii="Arial" w:hAnsi="Arial" w:cs="Arial"/>
          <w:b/>
          <w:bCs/>
          <w:color w:val="231F20"/>
          <w:sz w:val="24"/>
          <w:szCs w:val="24"/>
          <w:lang w:eastAsia="fi-FI"/>
        </w:rPr>
      </w:pPr>
    </w:p>
    <w:p w:rsidR="00C67F47" w:rsidRDefault="00C67F47" w:rsidP="00C67F47">
      <w:pPr>
        <w:spacing w:before="100" w:beforeAutospacing="1" w:after="100" w:afterAutospacing="1" w:line="315" w:lineRule="atLeast"/>
        <w:rPr>
          <w:rFonts w:ascii="Arial" w:hAnsi="Arial" w:cs="Arial"/>
          <w:b/>
          <w:bCs/>
          <w:color w:val="231F20"/>
          <w:sz w:val="24"/>
          <w:szCs w:val="24"/>
          <w:lang w:eastAsia="fi-FI"/>
        </w:rPr>
      </w:pPr>
    </w:p>
    <w:p w:rsidR="00C67F47" w:rsidRPr="00C67F47" w:rsidRDefault="00C67F47" w:rsidP="00C67F47">
      <w:pPr>
        <w:spacing w:before="100" w:beforeAutospacing="1" w:after="100" w:afterAutospacing="1" w:line="315" w:lineRule="atLeast"/>
        <w:rPr>
          <w:rFonts w:ascii="Arial" w:hAnsi="Arial" w:cs="Arial"/>
          <w:color w:val="231F20"/>
          <w:sz w:val="24"/>
          <w:szCs w:val="24"/>
          <w:lang w:eastAsia="fi-FI"/>
        </w:rPr>
      </w:pPr>
      <w:r w:rsidRPr="00C67F47">
        <w:rPr>
          <w:rFonts w:ascii="Arial" w:hAnsi="Arial" w:cs="Arial"/>
          <w:b/>
          <w:bCs/>
          <w:color w:val="231F20"/>
          <w:sz w:val="24"/>
          <w:szCs w:val="24"/>
          <w:lang w:eastAsia="fi-FI"/>
        </w:rPr>
        <w:t>Muutoksen sisällöstä</w:t>
      </w:r>
    </w:p>
    <w:p w:rsidR="00C67F47" w:rsidRPr="00C67F47" w:rsidRDefault="00C67F47" w:rsidP="00C67F47">
      <w:pPr>
        <w:spacing w:after="0" w:line="315" w:lineRule="atLeast"/>
        <w:ind w:left="1304"/>
        <w:rPr>
          <w:rFonts w:ascii="Arial" w:hAnsi="Arial" w:cs="Arial"/>
          <w:sz w:val="24"/>
          <w:szCs w:val="24"/>
          <w:lang w:eastAsia="fi-FI"/>
        </w:rPr>
      </w:pPr>
      <w:r w:rsidRPr="00C67F47">
        <w:rPr>
          <w:rFonts w:ascii="Arial" w:hAnsi="Arial" w:cs="Arial"/>
          <w:sz w:val="24"/>
          <w:szCs w:val="24"/>
          <w:lang w:eastAsia="fi-FI"/>
        </w:rPr>
        <w:t>Mietinnössä esitetään muutoksia konkurssilakiin, yrityksen saneerauksesta annettuun lakiin, yksityishenkilön velkajärjestelystä annettuun lakiin, konkurssi- ja yrityssaneerausrekisteristä annettuun lakiin ja eräisiin muihin lakeihin. Lisäksi mietinnössä esitetään, että velkajärjestelyrekisteriä koskevat säännökset nostettaisiin lain tasolle säätämällä uusi laki velkajärjestelyrekisteristä. Suomen Perimistoimistojen Liitto ry (SPL) pitää mietinnössä olevia muutoksia pääosin kannatettavina.</w:t>
      </w:r>
    </w:p>
    <w:p w:rsidR="00C67F47" w:rsidRPr="00C67F47" w:rsidRDefault="00C67F47" w:rsidP="00C67F47">
      <w:pPr>
        <w:spacing w:before="100" w:beforeAutospacing="1" w:after="100" w:afterAutospacing="1" w:line="315" w:lineRule="atLeast"/>
        <w:rPr>
          <w:rFonts w:ascii="Arial" w:hAnsi="Arial" w:cs="Arial"/>
          <w:b/>
          <w:bCs/>
          <w:color w:val="231F20"/>
          <w:sz w:val="24"/>
          <w:szCs w:val="24"/>
          <w:lang w:eastAsia="fi-FI"/>
        </w:rPr>
      </w:pPr>
      <w:r w:rsidRPr="00C67F47">
        <w:rPr>
          <w:rFonts w:ascii="Arial" w:hAnsi="Arial" w:cs="Arial"/>
          <w:b/>
          <w:bCs/>
          <w:color w:val="231F20"/>
          <w:sz w:val="24"/>
          <w:szCs w:val="24"/>
          <w:lang w:eastAsia="fi-FI"/>
        </w:rPr>
        <w:t>Konkurssi- ja yrityssaneerausrekisterin laajennus ja julkisuus</w:t>
      </w:r>
    </w:p>
    <w:p w:rsidR="00C67F47" w:rsidRPr="00C67F47" w:rsidRDefault="00C67F47" w:rsidP="00C67F47">
      <w:pPr>
        <w:spacing w:before="100" w:beforeAutospacing="1" w:after="100" w:afterAutospacing="1" w:line="315" w:lineRule="atLeast"/>
        <w:ind w:left="1304"/>
        <w:rPr>
          <w:rFonts w:ascii="Arial" w:hAnsi="Arial" w:cs="Arial"/>
          <w:color w:val="231F20"/>
          <w:sz w:val="24"/>
          <w:szCs w:val="24"/>
          <w:lang w:eastAsia="fi-FI"/>
        </w:rPr>
      </w:pPr>
      <w:r w:rsidRPr="00C67F47">
        <w:rPr>
          <w:rFonts w:ascii="Arial" w:hAnsi="Arial" w:cs="Arial"/>
          <w:color w:val="231F20"/>
          <w:sz w:val="24"/>
          <w:szCs w:val="24"/>
          <w:lang w:eastAsia="fi-FI"/>
        </w:rPr>
        <w:t xml:space="preserve">Mietinnön mukaan konkurssi- ja yrityssaneerausrekisterin tietosisältöä laajennettaisiin ja rekisteriin merkityt tiedot siirrettäisiin saataville yleisen tietoverkon kautta maksutta. Lisäksi mietinnössä ehdotetaan, että kuuluttamisesta konkurssi- ja yrityssaneerausasioissa pääsääntönä luovuttaisiin. SPL pitää esitystä hyvänä ratkaisuna helpottaa ja yksinkertaistaa velkojien tiedonsaantia maksukyvyttömyysmenettelyistä. </w:t>
      </w:r>
    </w:p>
    <w:p w:rsidR="00C67F47" w:rsidRDefault="00C67F47" w:rsidP="00C67F47">
      <w:pPr>
        <w:spacing w:before="100" w:beforeAutospacing="1" w:after="100" w:afterAutospacing="1" w:line="315" w:lineRule="atLeast"/>
        <w:ind w:left="1304"/>
        <w:rPr>
          <w:rFonts w:ascii="Arial" w:hAnsi="Arial" w:cs="Arial"/>
          <w:color w:val="231F20"/>
          <w:sz w:val="24"/>
          <w:szCs w:val="24"/>
          <w:lang w:eastAsia="fi-FI"/>
        </w:rPr>
      </w:pPr>
      <w:r w:rsidRPr="00C67F47">
        <w:rPr>
          <w:rFonts w:ascii="Arial" w:hAnsi="Arial" w:cs="Arial"/>
          <w:color w:val="231F20"/>
          <w:sz w:val="24"/>
          <w:szCs w:val="24"/>
          <w:lang w:eastAsia="fi-FI"/>
        </w:rPr>
        <w:t xml:space="preserve">Velkajärjestelyä koskevat tiedot olisivat jatkossa saatavilla yleisessä tietoverkossa vain silloin, kun velkajärjestelyssä järjestellään elinkeinon- tai ammatinharjoittajana toimivan velallisen elinkeinotoiminnassa syntynyttä velkaa. Muilta osin velkajärjestelyrekisterin tietoja pyydettäisiin nykyiseen tapaan Oikeusrekisterikeskukselta. </w:t>
      </w:r>
      <w:proofErr w:type="spellStart"/>
      <w:r w:rsidRPr="00C67F47">
        <w:rPr>
          <w:rFonts w:ascii="Arial" w:hAnsi="Arial" w:cs="Arial"/>
          <w:color w:val="231F20"/>
          <w:sz w:val="24"/>
          <w:szCs w:val="24"/>
          <w:lang w:eastAsia="fi-FI"/>
        </w:rPr>
        <w:t>SPL:n</w:t>
      </w:r>
      <w:proofErr w:type="spellEnd"/>
      <w:r w:rsidRPr="00C67F47">
        <w:rPr>
          <w:rFonts w:ascii="Arial" w:hAnsi="Arial" w:cs="Arial"/>
          <w:color w:val="231F20"/>
          <w:sz w:val="24"/>
          <w:szCs w:val="24"/>
          <w:lang w:eastAsia="fi-FI"/>
        </w:rPr>
        <w:t xml:space="preserve"> mielestä kaikki velkajärjestelyasiat pitäisi olla samassa yleisessä tietoverkossa kaikkien velkojien käytettävissä. </w:t>
      </w:r>
    </w:p>
    <w:p w:rsidR="00C67F47" w:rsidRPr="00C67F47" w:rsidRDefault="00C67F47" w:rsidP="00C67F47">
      <w:pPr>
        <w:spacing w:before="100" w:beforeAutospacing="1" w:after="100" w:afterAutospacing="1" w:line="315" w:lineRule="atLeast"/>
        <w:ind w:left="1304"/>
        <w:rPr>
          <w:rFonts w:ascii="Arial" w:hAnsi="Arial" w:cs="Arial"/>
          <w:color w:val="231F20"/>
          <w:sz w:val="24"/>
          <w:szCs w:val="24"/>
          <w:lang w:eastAsia="fi-FI"/>
        </w:rPr>
      </w:pPr>
    </w:p>
    <w:p w:rsidR="00C67F47" w:rsidRDefault="00C67F47" w:rsidP="00C67F47">
      <w:pPr>
        <w:rPr>
          <w:rFonts w:ascii="Arial" w:hAnsi="Arial" w:cs="Arial"/>
          <w:b/>
          <w:bCs/>
          <w:color w:val="231F20"/>
          <w:sz w:val="24"/>
          <w:szCs w:val="24"/>
          <w:lang w:eastAsia="fi-FI"/>
        </w:rPr>
      </w:pPr>
    </w:p>
    <w:p w:rsidR="00C67F47" w:rsidRPr="00C67F47" w:rsidRDefault="00C67F47" w:rsidP="00C67F47">
      <w:pPr>
        <w:rPr>
          <w:rFonts w:ascii="Arial" w:hAnsi="Arial" w:cs="Arial"/>
          <w:b/>
          <w:bCs/>
          <w:color w:val="231F20"/>
          <w:sz w:val="24"/>
          <w:szCs w:val="24"/>
          <w:lang w:eastAsia="fi-FI"/>
        </w:rPr>
      </w:pPr>
      <w:r w:rsidRPr="00C67F47">
        <w:rPr>
          <w:rFonts w:ascii="Arial" w:hAnsi="Arial" w:cs="Arial"/>
          <w:b/>
          <w:bCs/>
          <w:color w:val="231F20"/>
          <w:sz w:val="24"/>
          <w:szCs w:val="24"/>
          <w:lang w:eastAsia="fi-FI"/>
        </w:rPr>
        <w:t>Saatavien ilmoittaminen</w:t>
      </w:r>
    </w:p>
    <w:p w:rsidR="00C67F47" w:rsidRPr="00C67F47" w:rsidRDefault="00C67F47" w:rsidP="00C67F47">
      <w:pPr>
        <w:spacing w:before="100" w:beforeAutospacing="1" w:after="100" w:afterAutospacing="1" w:line="315" w:lineRule="atLeast"/>
        <w:ind w:left="1304"/>
        <w:rPr>
          <w:rFonts w:ascii="Arial" w:hAnsi="Arial" w:cs="Arial"/>
          <w:color w:val="231F20"/>
          <w:sz w:val="24"/>
          <w:szCs w:val="24"/>
          <w:lang w:eastAsia="fi-FI"/>
        </w:rPr>
      </w:pPr>
      <w:r w:rsidRPr="00C67F47">
        <w:rPr>
          <w:rFonts w:ascii="Arial" w:hAnsi="Arial" w:cs="Arial"/>
          <w:color w:val="231F20"/>
          <w:sz w:val="24"/>
          <w:szCs w:val="24"/>
          <w:lang w:eastAsia="fi-FI"/>
        </w:rPr>
        <w:t xml:space="preserve">Mietinnön mukaan velkojat voisivat jatkossa ilmoittaa saatavansa konkurssissa, yrityssaneerauksessa ja yksityishenkilön velkajärjestelyssä suomen ja ruotsin kielen lisäksi englannin kielellä. SPL kannattaa sitä, että saatavat voidaan ilmoittaa myös englannin kielellä. </w:t>
      </w:r>
    </w:p>
    <w:p w:rsidR="00C67F47" w:rsidRPr="00C67F47" w:rsidRDefault="00C67F47" w:rsidP="00C67F47">
      <w:pPr>
        <w:spacing w:before="100" w:beforeAutospacing="1" w:after="100" w:afterAutospacing="1" w:line="315" w:lineRule="atLeast"/>
        <w:ind w:left="1304"/>
        <w:rPr>
          <w:rFonts w:ascii="Arial" w:hAnsi="Arial" w:cs="Arial"/>
          <w:color w:val="231F20"/>
          <w:sz w:val="24"/>
          <w:szCs w:val="24"/>
          <w:lang w:eastAsia="fi-FI"/>
        </w:rPr>
      </w:pPr>
      <w:r w:rsidRPr="00C67F47">
        <w:rPr>
          <w:rFonts w:ascii="Arial" w:hAnsi="Arial" w:cs="Arial"/>
          <w:color w:val="231F20"/>
          <w:sz w:val="24"/>
          <w:szCs w:val="24"/>
          <w:lang w:eastAsia="fi-FI"/>
        </w:rPr>
        <w:t xml:space="preserve">Esityksellä helpotetaan saatavien ilmoittamista rajat ylittävissä tilanteissa. Jatkossa saatavat voidaan ilmoittaa vakiolomakkeella, joka on saatavilla kaikilla EU:n virallisilla kielillä. </w:t>
      </w:r>
      <w:proofErr w:type="spellStart"/>
      <w:r w:rsidRPr="00C67F47">
        <w:rPr>
          <w:rFonts w:ascii="Arial" w:hAnsi="Arial" w:cs="Arial"/>
          <w:color w:val="231F20"/>
          <w:sz w:val="24"/>
          <w:szCs w:val="24"/>
          <w:lang w:eastAsia="fi-FI"/>
        </w:rPr>
        <w:t>SPL:n</w:t>
      </w:r>
      <w:proofErr w:type="spellEnd"/>
      <w:r w:rsidRPr="00C67F47">
        <w:rPr>
          <w:rFonts w:ascii="Arial" w:hAnsi="Arial" w:cs="Arial"/>
          <w:color w:val="231F20"/>
          <w:sz w:val="24"/>
          <w:szCs w:val="24"/>
          <w:lang w:eastAsia="fi-FI"/>
        </w:rPr>
        <w:t xml:space="preserve"> mielestä esitys on hyvä, koska esityksen mukaisella menettelyllä helpotetaan saatavien ilmoittamista silloin, kun yrityksellä on saatavia ulkomaiselta maksukyvyttömyysmenettelyyn joutuneelta yritykseltä tai yksityishenkilöltä. </w:t>
      </w:r>
    </w:p>
    <w:p w:rsidR="00CD7175" w:rsidRDefault="005B725C" w:rsidP="001F7D47">
      <w:pPr>
        <w:pStyle w:val="ListParagraph"/>
        <w:spacing w:line="240" w:lineRule="auto"/>
        <w:ind w:left="1173"/>
        <w:rPr>
          <w:rFonts w:ascii="Arial" w:hAnsi="Arial" w:cs="Arial"/>
          <w:sz w:val="24"/>
          <w:szCs w:val="24"/>
        </w:rPr>
      </w:pPr>
      <w:r w:rsidRPr="00CD7175">
        <w:rPr>
          <w:rStyle w:val="apple-converted-space"/>
          <w:rFonts w:ascii="Arial" w:hAnsi="Arial" w:cs="Arial"/>
          <w:color w:val="222222"/>
          <w:sz w:val="20"/>
          <w:szCs w:val="20"/>
          <w:shd w:val="clear" w:color="auto" w:fill="FFFFFF"/>
        </w:rPr>
        <w:t> </w:t>
      </w:r>
      <w:r w:rsidR="00CD7175">
        <w:rPr>
          <w:rFonts w:ascii="Arial" w:hAnsi="Arial" w:cs="Arial"/>
          <w:sz w:val="24"/>
          <w:szCs w:val="24"/>
        </w:rPr>
        <w:t xml:space="preserve">Helsingissä </w:t>
      </w:r>
      <w:r w:rsidR="00C67F47">
        <w:rPr>
          <w:rFonts w:ascii="Arial" w:hAnsi="Arial" w:cs="Arial"/>
          <w:sz w:val="24"/>
          <w:szCs w:val="24"/>
        </w:rPr>
        <w:t>9.9</w:t>
      </w:r>
      <w:r w:rsidR="00CD7175">
        <w:rPr>
          <w:rFonts w:ascii="Arial" w:hAnsi="Arial" w:cs="Arial"/>
          <w:sz w:val="24"/>
          <w:szCs w:val="24"/>
        </w:rPr>
        <w:t>.2016.</w:t>
      </w:r>
    </w:p>
    <w:p w:rsidR="00CD7175" w:rsidRPr="00F825F3" w:rsidRDefault="00CD7175" w:rsidP="00CD7175">
      <w:pPr>
        <w:spacing w:after="0" w:line="240" w:lineRule="auto"/>
        <w:ind w:left="1304"/>
        <w:rPr>
          <w:rFonts w:ascii="Arial" w:hAnsi="Arial" w:cs="Arial"/>
          <w:sz w:val="24"/>
          <w:szCs w:val="24"/>
        </w:rPr>
      </w:pPr>
    </w:p>
    <w:p w:rsidR="00CD7175" w:rsidRPr="00F825F3" w:rsidRDefault="00CD7175" w:rsidP="00CD7175">
      <w:pPr>
        <w:spacing w:after="0" w:line="240" w:lineRule="auto"/>
        <w:ind w:firstLine="1304"/>
        <w:rPr>
          <w:rFonts w:ascii="Arial" w:hAnsi="Arial" w:cs="Arial"/>
          <w:sz w:val="24"/>
          <w:szCs w:val="24"/>
        </w:rPr>
      </w:pPr>
      <w:r w:rsidRPr="00F825F3">
        <w:rPr>
          <w:rFonts w:ascii="Arial" w:hAnsi="Arial" w:cs="Arial"/>
          <w:sz w:val="24"/>
          <w:szCs w:val="24"/>
        </w:rPr>
        <w:t>Suomen Perimistoimistojen Liitto ry</w:t>
      </w:r>
    </w:p>
    <w:p w:rsidR="00386953" w:rsidRPr="00386953" w:rsidRDefault="00386953" w:rsidP="00386953">
      <w:r>
        <w:rPr>
          <w:color w:val="0E6463"/>
        </w:rPr>
        <w:t> </w:t>
      </w:r>
    </w:p>
    <w:p w:rsidR="00386953" w:rsidRPr="00386953" w:rsidRDefault="00386953" w:rsidP="001F7D47">
      <w:pPr>
        <w:ind w:left="1276"/>
      </w:pPr>
      <w:r>
        <w:rPr>
          <w:color w:val="0E6463"/>
        </w:rPr>
        <w:t> </w:t>
      </w:r>
      <w:r w:rsidR="001F7D47" w:rsidRPr="00F825F3">
        <w:rPr>
          <w:rFonts w:ascii="Arial" w:hAnsi="Arial" w:cs="Arial"/>
          <w:noProof/>
          <w:sz w:val="24"/>
          <w:szCs w:val="24"/>
          <w:lang w:eastAsia="fi-FI"/>
        </w:rPr>
        <w:drawing>
          <wp:inline distT="0" distB="0" distL="0" distR="0" wp14:anchorId="034DDC13" wp14:editId="5D007681">
            <wp:extent cx="2158365" cy="659130"/>
            <wp:effectExtent l="0" t="0" r="0" b="7620"/>
            <wp:docPr id="2" name="Picture 2" descr="JYRKI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YRKIS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659130"/>
                    </a:xfrm>
                    <a:prstGeom prst="rect">
                      <a:avLst/>
                    </a:prstGeom>
                    <a:noFill/>
                    <a:ln>
                      <a:noFill/>
                    </a:ln>
                  </pic:spPr>
                </pic:pic>
              </a:graphicData>
            </a:graphic>
          </wp:inline>
        </w:drawing>
      </w:r>
    </w:p>
    <w:p w:rsidR="001F7D47" w:rsidRPr="00F825F3" w:rsidRDefault="00386953" w:rsidP="001F7D47">
      <w:pPr>
        <w:spacing w:after="0" w:line="240" w:lineRule="auto"/>
        <w:ind w:firstLine="1304"/>
        <w:rPr>
          <w:rFonts w:ascii="Arial" w:hAnsi="Arial" w:cs="Arial"/>
          <w:sz w:val="24"/>
          <w:szCs w:val="24"/>
        </w:rPr>
      </w:pPr>
      <w:r>
        <w:rPr>
          <w:color w:val="0E6463"/>
        </w:rPr>
        <w:t> </w:t>
      </w:r>
      <w:r w:rsidR="001F7D47" w:rsidRPr="00F825F3">
        <w:rPr>
          <w:rFonts w:ascii="Arial" w:hAnsi="Arial" w:cs="Arial"/>
          <w:sz w:val="24"/>
          <w:szCs w:val="24"/>
        </w:rPr>
        <w:t>Jyrki Lindström</w:t>
      </w:r>
    </w:p>
    <w:p w:rsidR="001F7D47" w:rsidRPr="00F825F3" w:rsidRDefault="001F7D47" w:rsidP="001F7D47">
      <w:pPr>
        <w:spacing w:after="0" w:line="240" w:lineRule="auto"/>
        <w:ind w:firstLine="1304"/>
        <w:rPr>
          <w:rFonts w:ascii="Arial" w:hAnsi="Arial" w:cs="Arial"/>
          <w:sz w:val="24"/>
          <w:szCs w:val="24"/>
        </w:rPr>
      </w:pPr>
      <w:r w:rsidRPr="00F825F3">
        <w:rPr>
          <w:rFonts w:ascii="Arial" w:hAnsi="Arial" w:cs="Arial"/>
          <w:sz w:val="24"/>
          <w:szCs w:val="24"/>
        </w:rPr>
        <w:t xml:space="preserve">puheenjohtaja </w:t>
      </w:r>
    </w:p>
    <w:p w:rsidR="00386953" w:rsidRPr="00386953" w:rsidRDefault="00386953" w:rsidP="00386953">
      <w:r>
        <w:rPr>
          <w:color w:val="0E6463"/>
        </w:rPr>
        <w:t> </w:t>
      </w:r>
    </w:p>
    <w:sectPr w:rsidR="00386953" w:rsidRPr="00386953">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57" w:rsidRDefault="00B33657" w:rsidP="00CD7175">
      <w:pPr>
        <w:spacing w:after="0" w:line="240" w:lineRule="auto"/>
      </w:pPr>
      <w:r>
        <w:separator/>
      </w:r>
    </w:p>
  </w:endnote>
  <w:endnote w:type="continuationSeparator" w:id="0">
    <w:p w:rsidR="00B33657" w:rsidRDefault="00B33657" w:rsidP="00C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75" w:rsidRDefault="00CD7175">
    <w:pPr>
      <w:pStyle w:val="Footer"/>
      <w:jc w:val="right"/>
    </w:pPr>
  </w:p>
  <w:p w:rsidR="00CD7175" w:rsidRDefault="00CD7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57" w:rsidRDefault="00B33657" w:rsidP="00CD7175">
      <w:pPr>
        <w:spacing w:after="0" w:line="240" w:lineRule="auto"/>
      </w:pPr>
      <w:r>
        <w:separator/>
      </w:r>
    </w:p>
  </w:footnote>
  <w:footnote w:type="continuationSeparator" w:id="0">
    <w:p w:rsidR="00B33657" w:rsidRDefault="00B33657" w:rsidP="00CD7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57116"/>
      <w:docPartObj>
        <w:docPartGallery w:val="Page Numbers (Top of Page)"/>
        <w:docPartUnique/>
      </w:docPartObj>
    </w:sdtPr>
    <w:sdtEndPr/>
    <w:sdtContent>
      <w:p w:rsidR="00CD7175" w:rsidRDefault="00CD7175" w:rsidP="00CD7175">
        <w:pPr>
          <w:pStyle w:val="Header"/>
        </w:pPr>
        <w:r>
          <w:rPr>
            <w:noProof/>
            <w:lang w:eastAsia="fi-FI"/>
          </w:rPr>
          <w:drawing>
            <wp:inline distT="0" distB="0" distL="0" distR="0" wp14:anchorId="2EE69E6E" wp14:editId="6058A76B">
              <wp:extent cx="1711960" cy="425450"/>
              <wp:effectExtent l="0" t="0" r="2540" b="0"/>
              <wp:docPr id="1" name="Picture 1" descr="suomenperimistoimistojen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omenperimistoimistojenlii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425450"/>
                      </a:xfrm>
                      <a:prstGeom prst="rect">
                        <a:avLst/>
                      </a:prstGeom>
                      <a:noFill/>
                      <a:ln>
                        <a:noFill/>
                      </a:ln>
                    </pic:spPr>
                  </pic:pic>
                </a:graphicData>
              </a:graphic>
            </wp:inline>
          </w:drawing>
        </w:r>
        <w:r>
          <w:tab/>
        </w:r>
        <w:r>
          <w:tab/>
        </w:r>
        <w:r>
          <w:fldChar w:fldCharType="begin"/>
        </w:r>
        <w:r>
          <w:instrText>PAGE   \* MERGEFORMAT</w:instrText>
        </w:r>
        <w:r>
          <w:fldChar w:fldCharType="separate"/>
        </w:r>
        <w:r w:rsidR="00C67F47">
          <w:rPr>
            <w:noProof/>
          </w:rPr>
          <w:t>1</w:t>
        </w:r>
        <w:r>
          <w:fldChar w:fldCharType="end"/>
        </w:r>
        <w:r w:rsidR="00C67F47">
          <w:t xml:space="preserve"> (</w:t>
        </w:r>
        <w:proofErr w:type="spellStart"/>
        <w:r w:rsidR="00C67F47">
          <w:t>2</w:t>
        </w:r>
        <w:proofErr w:type="spellEnd"/>
        <w:r w:rsidR="001F7D47">
          <w:t>)</w:t>
        </w:r>
      </w:p>
    </w:sdtContent>
  </w:sdt>
  <w:p w:rsidR="00CD7175" w:rsidRDefault="00CD7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FD2"/>
    <w:multiLevelType w:val="hybridMultilevel"/>
    <w:tmpl w:val="10389FD6"/>
    <w:lvl w:ilvl="0" w:tplc="ACB07376">
      <w:start w:val="20"/>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06E230CF"/>
    <w:multiLevelType w:val="hybridMultilevel"/>
    <w:tmpl w:val="6F76A55E"/>
    <w:lvl w:ilvl="0" w:tplc="A80C5EB0">
      <w:start w:val="1"/>
      <w:numFmt w:val="bullet"/>
      <w:lvlText w:val="•"/>
      <w:lvlJc w:val="left"/>
      <w:pPr>
        <w:tabs>
          <w:tab w:val="num" w:pos="720"/>
        </w:tabs>
        <w:ind w:left="720" w:hanging="360"/>
      </w:pPr>
      <w:rPr>
        <w:rFonts w:ascii="Times New Roman" w:hAnsi="Times New Roman" w:hint="default"/>
      </w:rPr>
    </w:lvl>
    <w:lvl w:ilvl="1" w:tplc="07C4564C">
      <w:start w:val="2042"/>
      <w:numFmt w:val="bullet"/>
      <w:lvlText w:val="–"/>
      <w:lvlJc w:val="left"/>
      <w:pPr>
        <w:tabs>
          <w:tab w:val="num" w:pos="1440"/>
        </w:tabs>
        <w:ind w:left="1440" w:hanging="360"/>
      </w:pPr>
      <w:rPr>
        <w:rFonts w:ascii="Times New Roman" w:hAnsi="Times New Roman" w:hint="default"/>
      </w:rPr>
    </w:lvl>
    <w:lvl w:ilvl="2" w:tplc="0D76C82A" w:tentative="1">
      <w:start w:val="1"/>
      <w:numFmt w:val="bullet"/>
      <w:lvlText w:val="•"/>
      <w:lvlJc w:val="left"/>
      <w:pPr>
        <w:tabs>
          <w:tab w:val="num" w:pos="2160"/>
        </w:tabs>
        <w:ind w:left="2160" w:hanging="360"/>
      </w:pPr>
      <w:rPr>
        <w:rFonts w:ascii="Times New Roman" w:hAnsi="Times New Roman" w:hint="default"/>
      </w:rPr>
    </w:lvl>
    <w:lvl w:ilvl="3" w:tplc="7188FBD8" w:tentative="1">
      <w:start w:val="1"/>
      <w:numFmt w:val="bullet"/>
      <w:lvlText w:val="•"/>
      <w:lvlJc w:val="left"/>
      <w:pPr>
        <w:tabs>
          <w:tab w:val="num" w:pos="2880"/>
        </w:tabs>
        <w:ind w:left="2880" w:hanging="360"/>
      </w:pPr>
      <w:rPr>
        <w:rFonts w:ascii="Times New Roman" w:hAnsi="Times New Roman" w:hint="default"/>
      </w:rPr>
    </w:lvl>
    <w:lvl w:ilvl="4" w:tplc="4C00035E" w:tentative="1">
      <w:start w:val="1"/>
      <w:numFmt w:val="bullet"/>
      <w:lvlText w:val="•"/>
      <w:lvlJc w:val="left"/>
      <w:pPr>
        <w:tabs>
          <w:tab w:val="num" w:pos="3600"/>
        </w:tabs>
        <w:ind w:left="3600" w:hanging="360"/>
      </w:pPr>
      <w:rPr>
        <w:rFonts w:ascii="Times New Roman" w:hAnsi="Times New Roman" w:hint="default"/>
      </w:rPr>
    </w:lvl>
    <w:lvl w:ilvl="5" w:tplc="68EC9DB6" w:tentative="1">
      <w:start w:val="1"/>
      <w:numFmt w:val="bullet"/>
      <w:lvlText w:val="•"/>
      <w:lvlJc w:val="left"/>
      <w:pPr>
        <w:tabs>
          <w:tab w:val="num" w:pos="4320"/>
        </w:tabs>
        <w:ind w:left="4320" w:hanging="360"/>
      </w:pPr>
      <w:rPr>
        <w:rFonts w:ascii="Times New Roman" w:hAnsi="Times New Roman" w:hint="default"/>
      </w:rPr>
    </w:lvl>
    <w:lvl w:ilvl="6" w:tplc="DFFEAE7E" w:tentative="1">
      <w:start w:val="1"/>
      <w:numFmt w:val="bullet"/>
      <w:lvlText w:val="•"/>
      <w:lvlJc w:val="left"/>
      <w:pPr>
        <w:tabs>
          <w:tab w:val="num" w:pos="5040"/>
        </w:tabs>
        <w:ind w:left="5040" w:hanging="360"/>
      </w:pPr>
      <w:rPr>
        <w:rFonts w:ascii="Times New Roman" w:hAnsi="Times New Roman" w:hint="default"/>
      </w:rPr>
    </w:lvl>
    <w:lvl w:ilvl="7" w:tplc="C0D4357C" w:tentative="1">
      <w:start w:val="1"/>
      <w:numFmt w:val="bullet"/>
      <w:lvlText w:val="•"/>
      <w:lvlJc w:val="left"/>
      <w:pPr>
        <w:tabs>
          <w:tab w:val="num" w:pos="5760"/>
        </w:tabs>
        <w:ind w:left="5760" w:hanging="360"/>
      </w:pPr>
      <w:rPr>
        <w:rFonts w:ascii="Times New Roman" w:hAnsi="Times New Roman" w:hint="default"/>
      </w:rPr>
    </w:lvl>
    <w:lvl w:ilvl="8" w:tplc="377E5F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54E2FEA"/>
    <w:multiLevelType w:val="hybridMultilevel"/>
    <w:tmpl w:val="CE842686"/>
    <w:lvl w:ilvl="0" w:tplc="4232E3EE">
      <w:start w:val="1"/>
      <w:numFmt w:val="bullet"/>
      <w:lvlText w:val="•"/>
      <w:lvlJc w:val="left"/>
      <w:pPr>
        <w:tabs>
          <w:tab w:val="num" w:pos="720"/>
        </w:tabs>
        <w:ind w:left="720" w:hanging="360"/>
      </w:pPr>
      <w:rPr>
        <w:rFonts w:ascii="Times New Roman" w:hAnsi="Times New Roman" w:hint="default"/>
      </w:rPr>
    </w:lvl>
    <w:lvl w:ilvl="1" w:tplc="D67A9DEC">
      <w:start w:val="1393"/>
      <w:numFmt w:val="bullet"/>
      <w:lvlText w:val="–"/>
      <w:lvlJc w:val="left"/>
      <w:pPr>
        <w:tabs>
          <w:tab w:val="num" w:pos="1440"/>
        </w:tabs>
        <w:ind w:left="1440" w:hanging="360"/>
      </w:pPr>
      <w:rPr>
        <w:rFonts w:ascii="Times New Roman" w:hAnsi="Times New Roman" w:hint="default"/>
      </w:rPr>
    </w:lvl>
    <w:lvl w:ilvl="2" w:tplc="F334A7C8" w:tentative="1">
      <w:start w:val="1"/>
      <w:numFmt w:val="bullet"/>
      <w:lvlText w:val="•"/>
      <w:lvlJc w:val="left"/>
      <w:pPr>
        <w:tabs>
          <w:tab w:val="num" w:pos="2160"/>
        </w:tabs>
        <w:ind w:left="2160" w:hanging="360"/>
      </w:pPr>
      <w:rPr>
        <w:rFonts w:ascii="Times New Roman" w:hAnsi="Times New Roman" w:hint="default"/>
      </w:rPr>
    </w:lvl>
    <w:lvl w:ilvl="3" w:tplc="2C981B92" w:tentative="1">
      <w:start w:val="1"/>
      <w:numFmt w:val="bullet"/>
      <w:lvlText w:val="•"/>
      <w:lvlJc w:val="left"/>
      <w:pPr>
        <w:tabs>
          <w:tab w:val="num" w:pos="2880"/>
        </w:tabs>
        <w:ind w:left="2880" w:hanging="360"/>
      </w:pPr>
      <w:rPr>
        <w:rFonts w:ascii="Times New Roman" w:hAnsi="Times New Roman" w:hint="default"/>
      </w:rPr>
    </w:lvl>
    <w:lvl w:ilvl="4" w:tplc="EEE2EC36" w:tentative="1">
      <w:start w:val="1"/>
      <w:numFmt w:val="bullet"/>
      <w:lvlText w:val="•"/>
      <w:lvlJc w:val="left"/>
      <w:pPr>
        <w:tabs>
          <w:tab w:val="num" w:pos="3600"/>
        </w:tabs>
        <w:ind w:left="3600" w:hanging="360"/>
      </w:pPr>
      <w:rPr>
        <w:rFonts w:ascii="Times New Roman" w:hAnsi="Times New Roman" w:hint="default"/>
      </w:rPr>
    </w:lvl>
    <w:lvl w:ilvl="5" w:tplc="91725E08" w:tentative="1">
      <w:start w:val="1"/>
      <w:numFmt w:val="bullet"/>
      <w:lvlText w:val="•"/>
      <w:lvlJc w:val="left"/>
      <w:pPr>
        <w:tabs>
          <w:tab w:val="num" w:pos="4320"/>
        </w:tabs>
        <w:ind w:left="4320" w:hanging="360"/>
      </w:pPr>
      <w:rPr>
        <w:rFonts w:ascii="Times New Roman" w:hAnsi="Times New Roman" w:hint="default"/>
      </w:rPr>
    </w:lvl>
    <w:lvl w:ilvl="6" w:tplc="E460C212" w:tentative="1">
      <w:start w:val="1"/>
      <w:numFmt w:val="bullet"/>
      <w:lvlText w:val="•"/>
      <w:lvlJc w:val="left"/>
      <w:pPr>
        <w:tabs>
          <w:tab w:val="num" w:pos="5040"/>
        </w:tabs>
        <w:ind w:left="5040" w:hanging="360"/>
      </w:pPr>
      <w:rPr>
        <w:rFonts w:ascii="Times New Roman" w:hAnsi="Times New Roman" w:hint="default"/>
      </w:rPr>
    </w:lvl>
    <w:lvl w:ilvl="7" w:tplc="CBF2A880" w:tentative="1">
      <w:start w:val="1"/>
      <w:numFmt w:val="bullet"/>
      <w:lvlText w:val="•"/>
      <w:lvlJc w:val="left"/>
      <w:pPr>
        <w:tabs>
          <w:tab w:val="num" w:pos="5760"/>
        </w:tabs>
        <w:ind w:left="5760" w:hanging="360"/>
      </w:pPr>
      <w:rPr>
        <w:rFonts w:ascii="Times New Roman" w:hAnsi="Times New Roman" w:hint="default"/>
      </w:rPr>
    </w:lvl>
    <w:lvl w:ilvl="8" w:tplc="9F8A11C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5C"/>
    <w:rsid w:val="00004526"/>
    <w:rsid w:val="00033D4B"/>
    <w:rsid w:val="00053B73"/>
    <w:rsid w:val="00056284"/>
    <w:rsid w:val="00061925"/>
    <w:rsid w:val="00075075"/>
    <w:rsid w:val="000777B9"/>
    <w:rsid w:val="00086624"/>
    <w:rsid w:val="0008738E"/>
    <w:rsid w:val="00112ED5"/>
    <w:rsid w:val="001538D1"/>
    <w:rsid w:val="00160211"/>
    <w:rsid w:val="00182FDB"/>
    <w:rsid w:val="0018624D"/>
    <w:rsid w:val="0019530D"/>
    <w:rsid w:val="001A6FC4"/>
    <w:rsid w:val="001F7D47"/>
    <w:rsid w:val="002106D1"/>
    <w:rsid w:val="002216E9"/>
    <w:rsid w:val="0022371B"/>
    <w:rsid w:val="00224DA3"/>
    <w:rsid w:val="002548B3"/>
    <w:rsid w:val="002B536C"/>
    <w:rsid w:val="002D5722"/>
    <w:rsid w:val="002E65A7"/>
    <w:rsid w:val="00321457"/>
    <w:rsid w:val="003765CE"/>
    <w:rsid w:val="00380857"/>
    <w:rsid w:val="00381737"/>
    <w:rsid w:val="00386953"/>
    <w:rsid w:val="00413B2D"/>
    <w:rsid w:val="004178BB"/>
    <w:rsid w:val="004401B2"/>
    <w:rsid w:val="00444C2E"/>
    <w:rsid w:val="004713DC"/>
    <w:rsid w:val="004D217F"/>
    <w:rsid w:val="004F67A9"/>
    <w:rsid w:val="005019E5"/>
    <w:rsid w:val="005326E6"/>
    <w:rsid w:val="005B3BFF"/>
    <w:rsid w:val="005B725C"/>
    <w:rsid w:val="00611A7F"/>
    <w:rsid w:val="006151D4"/>
    <w:rsid w:val="006156EA"/>
    <w:rsid w:val="00631BB6"/>
    <w:rsid w:val="00680645"/>
    <w:rsid w:val="006A67A8"/>
    <w:rsid w:val="006A6D26"/>
    <w:rsid w:val="006B7DFB"/>
    <w:rsid w:val="006F0882"/>
    <w:rsid w:val="007365E4"/>
    <w:rsid w:val="00764B0F"/>
    <w:rsid w:val="00775B50"/>
    <w:rsid w:val="00794CEF"/>
    <w:rsid w:val="007A462F"/>
    <w:rsid w:val="007C3193"/>
    <w:rsid w:val="008152FB"/>
    <w:rsid w:val="00816A3F"/>
    <w:rsid w:val="008564FA"/>
    <w:rsid w:val="00860144"/>
    <w:rsid w:val="00877535"/>
    <w:rsid w:val="00893916"/>
    <w:rsid w:val="008C1355"/>
    <w:rsid w:val="008C1C00"/>
    <w:rsid w:val="008F51BD"/>
    <w:rsid w:val="0093756D"/>
    <w:rsid w:val="0094291A"/>
    <w:rsid w:val="0095798A"/>
    <w:rsid w:val="009B467F"/>
    <w:rsid w:val="009D41A7"/>
    <w:rsid w:val="009E5C43"/>
    <w:rsid w:val="00A41E77"/>
    <w:rsid w:val="00A53987"/>
    <w:rsid w:val="00A56929"/>
    <w:rsid w:val="00A56971"/>
    <w:rsid w:val="00A579AC"/>
    <w:rsid w:val="00A81FA2"/>
    <w:rsid w:val="00A86703"/>
    <w:rsid w:val="00A90EEE"/>
    <w:rsid w:val="00AB5A42"/>
    <w:rsid w:val="00AC7290"/>
    <w:rsid w:val="00AE2AE9"/>
    <w:rsid w:val="00B124F1"/>
    <w:rsid w:val="00B33657"/>
    <w:rsid w:val="00B953BA"/>
    <w:rsid w:val="00BA29E1"/>
    <w:rsid w:val="00BA2EC1"/>
    <w:rsid w:val="00BA79EA"/>
    <w:rsid w:val="00C36FC4"/>
    <w:rsid w:val="00C67F47"/>
    <w:rsid w:val="00C75A3B"/>
    <w:rsid w:val="00C83506"/>
    <w:rsid w:val="00C851B2"/>
    <w:rsid w:val="00CD678E"/>
    <w:rsid w:val="00CD7175"/>
    <w:rsid w:val="00D23793"/>
    <w:rsid w:val="00D25232"/>
    <w:rsid w:val="00D522F0"/>
    <w:rsid w:val="00D5351C"/>
    <w:rsid w:val="00D548BD"/>
    <w:rsid w:val="00D81A99"/>
    <w:rsid w:val="00D97C90"/>
    <w:rsid w:val="00DD3EB9"/>
    <w:rsid w:val="00E0394A"/>
    <w:rsid w:val="00E47B1F"/>
    <w:rsid w:val="00E80E32"/>
    <w:rsid w:val="00EC2C25"/>
    <w:rsid w:val="00ED4872"/>
    <w:rsid w:val="00EF6257"/>
    <w:rsid w:val="00F01B71"/>
    <w:rsid w:val="00F10423"/>
    <w:rsid w:val="00F57D43"/>
    <w:rsid w:val="00F7374E"/>
    <w:rsid w:val="00FF24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5C"/>
    <w:pPr>
      <w:spacing w:after="160" w:line="259" w:lineRule="auto"/>
      <w:ind w:left="720"/>
      <w:contextualSpacing/>
    </w:pPr>
  </w:style>
  <w:style w:type="character" w:customStyle="1" w:styleId="apple-converted-space">
    <w:name w:val="apple-converted-space"/>
    <w:basedOn w:val="DefaultParagraphFont"/>
    <w:rsid w:val="005B725C"/>
  </w:style>
  <w:style w:type="character" w:styleId="Hyperlink">
    <w:name w:val="Hyperlink"/>
    <w:basedOn w:val="DefaultParagraphFont"/>
    <w:uiPriority w:val="99"/>
    <w:semiHidden/>
    <w:unhideWhenUsed/>
    <w:rsid w:val="00386953"/>
    <w:rPr>
      <w:color w:val="0000FF"/>
      <w:u w:val="single"/>
    </w:rPr>
  </w:style>
  <w:style w:type="paragraph" w:styleId="BalloonText">
    <w:name w:val="Balloon Text"/>
    <w:basedOn w:val="Normal"/>
    <w:link w:val="BalloonTextChar"/>
    <w:uiPriority w:val="99"/>
    <w:semiHidden/>
    <w:unhideWhenUsed/>
    <w:rsid w:val="003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53"/>
    <w:rPr>
      <w:rFonts w:ascii="Tahoma" w:hAnsi="Tahoma" w:cs="Tahoma"/>
      <w:sz w:val="16"/>
      <w:szCs w:val="16"/>
    </w:rPr>
  </w:style>
  <w:style w:type="paragraph" w:styleId="Header">
    <w:name w:val="header"/>
    <w:basedOn w:val="Normal"/>
    <w:link w:val="HeaderChar"/>
    <w:uiPriority w:val="99"/>
    <w:unhideWhenUsed/>
    <w:rsid w:val="00CD71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D7175"/>
  </w:style>
  <w:style w:type="paragraph" w:styleId="Footer">
    <w:name w:val="footer"/>
    <w:basedOn w:val="Normal"/>
    <w:link w:val="FooterChar"/>
    <w:uiPriority w:val="99"/>
    <w:unhideWhenUsed/>
    <w:rsid w:val="00CD71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5C"/>
    <w:pPr>
      <w:spacing w:after="160" w:line="259" w:lineRule="auto"/>
      <w:ind w:left="720"/>
      <w:contextualSpacing/>
    </w:pPr>
  </w:style>
  <w:style w:type="character" w:customStyle="1" w:styleId="apple-converted-space">
    <w:name w:val="apple-converted-space"/>
    <w:basedOn w:val="DefaultParagraphFont"/>
    <w:rsid w:val="005B725C"/>
  </w:style>
  <w:style w:type="character" w:styleId="Hyperlink">
    <w:name w:val="Hyperlink"/>
    <w:basedOn w:val="DefaultParagraphFont"/>
    <w:uiPriority w:val="99"/>
    <w:semiHidden/>
    <w:unhideWhenUsed/>
    <w:rsid w:val="00386953"/>
    <w:rPr>
      <w:color w:val="0000FF"/>
      <w:u w:val="single"/>
    </w:rPr>
  </w:style>
  <w:style w:type="paragraph" w:styleId="BalloonText">
    <w:name w:val="Balloon Text"/>
    <w:basedOn w:val="Normal"/>
    <w:link w:val="BalloonTextChar"/>
    <w:uiPriority w:val="99"/>
    <w:semiHidden/>
    <w:unhideWhenUsed/>
    <w:rsid w:val="003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53"/>
    <w:rPr>
      <w:rFonts w:ascii="Tahoma" w:hAnsi="Tahoma" w:cs="Tahoma"/>
      <w:sz w:val="16"/>
      <w:szCs w:val="16"/>
    </w:rPr>
  </w:style>
  <w:style w:type="paragraph" w:styleId="Header">
    <w:name w:val="header"/>
    <w:basedOn w:val="Normal"/>
    <w:link w:val="HeaderChar"/>
    <w:uiPriority w:val="99"/>
    <w:unhideWhenUsed/>
    <w:rsid w:val="00CD71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D7175"/>
  </w:style>
  <w:style w:type="paragraph" w:styleId="Footer">
    <w:name w:val="footer"/>
    <w:basedOn w:val="Normal"/>
    <w:link w:val="FooterChar"/>
    <w:uiPriority w:val="99"/>
    <w:unhideWhenUsed/>
    <w:rsid w:val="00CD71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903">
      <w:bodyDiv w:val="1"/>
      <w:marLeft w:val="0"/>
      <w:marRight w:val="0"/>
      <w:marTop w:val="0"/>
      <w:marBottom w:val="0"/>
      <w:divBdr>
        <w:top w:val="none" w:sz="0" w:space="0" w:color="auto"/>
        <w:left w:val="none" w:sz="0" w:space="0" w:color="auto"/>
        <w:bottom w:val="none" w:sz="0" w:space="0" w:color="auto"/>
        <w:right w:val="none" w:sz="0" w:space="0" w:color="auto"/>
      </w:divBdr>
      <w:divsChild>
        <w:div w:id="1768428182">
          <w:marLeft w:val="547"/>
          <w:marRight w:val="0"/>
          <w:marTop w:val="86"/>
          <w:marBottom w:val="0"/>
          <w:divBdr>
            <w:top w:val="none" w:sz="0" w:space="0" w:color="auto"/>
            <w:left w:val="none" w:sz="0" w:space="0" w:color="auto"/>
            <w:bottom w:val="none" w:sz="0" w:space="0" w:color="auto"/>
            <w:right w:val="none" w:sz="0" w:space="0" w:color="auto"/>
          </w:divBdr>
        </w:div>
        <w:div w:id="752358822">
          <w:marLeft w:val="1166"/>
          <w:marRight w:val="0"/>
          <w:marTop w:val="67"/>
          <w:marBottom w:val="0"/>
          <w:divBdr>
            <w:top w:val="none" w:sz="0" w:space="0" w:color="auto"/>
            <w:left w:val="none" w:sz="0" w:space="0" w:color="auto"/>
            <w:bottom w:val="none" w:sz="0" w:space="0" w:color="auto"/>
            <w:right w:val="none" w:sz="0" w:space="0" w:color="auto"/>
          </w:divBdr>
        </w:div>
        <w:div w:id="1121388217">
          <w:marLeft w:val="1166"/>
          <w:marRight w:val="0"/>
          <w:marTop w:val="67"/>
          <w:marBottom w:val="0"/>
          <w:divBdr>
            <w:top w:val="none" w:sz="0" w:space="0" w:color="auto"/>
            <w:left w:val="none" w:sz="0" w:space="0" w:color="auto"/>
            <w:bottom w:val="none" w:sz="0" w:space="0" w:color="auto"/>
            <w:right w:val="none" w:sz="0" w:space="0" w:color="auto"/>
          </w:divBdr>
        </w:div>
        <w:div w:id="842671625">
          <w:marLeft w:val="1166"/>
          <w:marRight w:val="0"/>
          <w:marTop w:val="67"/>
          <w:marBottom w:val="0"/>
          <w:divBdr>
            <w:top w:val="none" w:sz="0" w:space="0" w:color="auto"/>
            <w:left w:val="none" w:sz="0" w:space="0" w:color="auto"/>
            <w:bottom w:val="none" w:sz="0" w:space="0" w:color="auto"/>
            <w:right w:val="none" w:sz="0" w:space="0" w:color="auto"/>
          </w:divBdr>
        </w:div>
        <w:div w:id="353387465">
          <w:marLeft w:val="547"/>
          <w:marRight w:val="0"/>
          <w:marTop w:val="86"/>
          <w:marBottom w:val="0"/>
          <w:divBdr>
            <w:top w:val="none" w:sz="0" w:space="0" w:color="auto"/>
            <w:left w:val="none" w:sz="0" w:space="0" w:color="auto"/>
            <w:bottom w:val="none" w:sz="0" w:space="0" w:color="auto"/>
            <w:right w:val="none" w:sz="0" w:space="0" w:color="auto"/>
          </w:divBdr>
        </w:div>
      </w:divsChild>
    </w:div>
    <w:div w:id="441727778">
      <w:bodyDiv w:val="1"/>
      <w:marLeft w:val="0"/>
      <w:marRight w:val="0"/>
      <w:marTop w:val="0"/>
      <w:marBottom w:val="0"/>
      <w:divBdr>
        <w:top w:val="none" w:sz="0" w:space="0" w:color="auto"/>
        <w:left w:val="none" w:sz="0" w:space="0" w:color="auto"/>
        <w:bottom w:val="none" w:sz="0" w:space="0" w:color="auto"/>
        <w:right w:val="none" w:sz="0" w:space="0" w:color="auto"/>
      </w:divBdr>
    </w:div>
    <w:div w:id="511919765">
      <w:bodyDiv w:val="1"/>
      <w:marLeft w:val="0"/>
      <w:marRight w:val="0"/>
      <w:marTop w:val="0"/>
      <w:marBottom w:val="0"/>
      <w:divBdr>
        <w:top w:val="none" w:sz="0" w:space="0" w:color="auto"/>
        <w:left w:val="none" w:sz="0" w:space="0" w:color="auto"/>
        <w:bottom w:val="none" w:sz="0" w:space="0" w:color="auto"/>
        <w:right w:val="none" w:sz="0" w:space="0" w:color="auto"/>
      </w:divBdr>
    </w:div>
    <w:div w:id="667751018">
      <w:bodyDiv w:val="1"/>
      <w:marLeft w:val="0"/>
      <w:marRight w:val="0"/>
      <w:marTop w:val="0"/>
      <w:marBottom w:val="0"/>
      <w:divBdr>
        <w:top w:val="none" w:sz="0" w:space="0" w:color="auto"/>
        <w:left w:val="none" w:sz="0" w:space="0" w:color="auto"/>
        <w:bottom w:val="none" w:sz="0" w:space="0" w:color="auto"/>
        <w:right w:val="none" w:sz="0" w:space="0" w:color="auto"/>
      </w:divBdr>
    </w:div>
    <w:div w:id="713895060">
      <w:bodyDiv w:val="1"/>
      <w:marLeft w:val="0"/>
      <w:marRight w:val="0"/>
      <w:marTop w:val="0"/>
      <w:marBottom w:val="0"/>
      <w:divBdr>
        <w:top w:val="none" w:sz="0" w:space="0" w:color="auto"/>
        <w:left w:val="none" w:sz="0" w:space="0" w:color="auto"/>
        <w:bottom w:val="none" w:sz="0" w:space="0" w:color="auto"/>
        <w:right w:val="none" w:sz="0" w:space="0" w:color="auto"/>
      </w:divBdr>
    </w:div>
    <w:div w:id="728918703">
      <w:bodyDiv w:val="1"/>
      <w:marLeft w:val="0"/>
      <w:marRight w:val="0"/>
      <w:marTop w:val="0"/>
      <w:marBottom w:val="0"/>
      <w:divBdr>
        <w:top w:val="none" w:sz="0" w:space="0" w:color="auto"/>
        <w:left w:val="none" w:sz="0" w:space="0" w:color="auto"/>
        <w:bottom w:val="none" w:sz="0" w:space="0" w:color="auto"/>
        <w:right w:val="none" w:sz="0" w:space="0" w:color="auto"/>
      </w:divBdr>
    </w:div>
    <w:div w:id="810026922">
      <w:bodyDiv w:val="1"/>
      <w:marLeft w:val="0"/>
      <w:marRight w:val="0"/>
      <w:marTop w:val="0"/>
      <w:marBottom w:val="0"/>
      <w:divBdr>
        <w:top w:val="none" w:sz="0" w:space="0" w:color="auto"/>
        <w:left w:val="none" w:sz="0" w:space="0" w:color="auto"/>
        <w:bottom w:val="none" w:sz="0" w:space="0" w:color="auto"/>
        <w:right w:val="none" w:sz="0" w:space="0" w:color="auto"/>
      </w:divBdr>
    </w:div>
    <w:div w:id="958806335">
      <w:bodyDiv w:val="1"/>
      <w:marLeft w:val="0"/>
      <w:marRight w:val="0"/>
      <w:marTop w:val="0"/>
      <w:marBottom w:val="0"/>
      <w:divBdr>
        <w:top w:val="none" w:sz="0" w:space="0" w:color="auto"/>
        <w:left w:val="none" w:sz="0" w:space="0" w:color="auto"/>
        <w:bottom w:val="none" w:sz="0" w:space="0" w:color="auto"/>
        <w:right w:val="none" w:sz="0" w:space="0" w:color="auto"/>
      </w:divBdr>
    </w:div>
    <w:div w:id="1008946223">
      <w:bodyDiv w:val="1"/>
      <w:marLeft w:val="0"/>
      <w:marRight w:val="0"/>
      <w:marTop w:val="0"/>
      <w:marBottom w:val="0"/>
      <w:divBdr>
        <w:top w:val="none" w:sz="0" w:space="0" w:color="auto"/>
        <w:left w:val="none" w:sz="0" w:space="0" w:color="auto"/>
        <w:bottom w:val="none" w:sz="0" w:space="0" w:color="auto"/>
        <w:right w:val="none" w:sz="0" w:space="0" w:color="auto"/>
      </w:divBdr>
    </w:div>
    <w:div w:id="1036078396">
      <w:bodyDiv w:val="1"/>
      <w:marLeft w:val="0"/>
      <w:marRight w:val="0"/>
      <w:marTop w:val="0"/>
      <w:marBottom w:val="0"/>
      <w:divBdr>
        <w:top w:val="none" w:sz="0" w:space="0" w:color="auto"/>
        <w:left w:val="none" w:sz="0" w:space="0" w:color="auto"/>
        <w:bottom w:val="none" w:sz="0" w:space="0" w:color="auto"/>
        <w:right w:val="none" w:sz="0" w:space="0" w:color="auto"/>
      </w:divBdr>
      <w:divsChild>
        <w:div w:id="923035016">
          <w:marLeft w:val="547"/>
          <w:marRight w:val="0"/>
          <w:marTop w:val="86"/>
          <w:marBottom w:val="0"/>
          <w:divBdr>
            <w:top w:val="none" w:sz="0" w:space="0" w:color="auto"/>
            <w:left w:val="none" w:sz="0" w:space="0" w:color="auto"/>
            <w:bottom w:val="none" w:sz="0" w:space="0" w:color="auto"/>
            <w:right w:val="none" w:sz="0" w:space="0" w:color="auto"/>
          </w:divBdr>
        </w:div>
        <w:div w:id="1115949871">
          <w:marLeft w:val="1166"/>
          <w:marRight w:val="0"/>
          <w:marTop w:val="77"/>
          <w:marBottom w:val="0"/>
          <w:divBdr>
            <w:top w:val="none" w:sz="0" w:space="0" w:color="auto"/>
            <w:left w:val="none" w:sz="0" w:space="0" w:color="auto"/>
            <w:bottom w:val="none" w:sz="0" w:space="0" w:color="auto"/>
            <w:right w:val="none" w:sz="0" w:space="0" w:color="auto"/>
          </w:divBdr>
        </w:div>
        <w:div w:id="840655020">
          <w:marLeft w:val="547"/>
          <w:marRight w:val="0"/>
          <w:marTop w:val="86"/>
          <w:marBottom w:val="0"/>
          <w:divBdr>
            <w:top w:val="none" w:sz="0" w:space="0" w:color="auto"/>
            <w:left w:val="none" w:sz="0" w:space="0" w:color="auto"/>
            <w:bottom w:val="none" w:sz="0" w:space="0" w:color="auto"/>
            <w:right w:val="none" w:sz="0" w:space="0" w:color="auto"/>
          </w:divBdr>
        </w:div>
        <w:div w:id="264846286">
          <w:marLeft w:val="1166"/>
          <w:marRight w:val="0"/>
          <w:marTop w:val="77"/>
          <w:marBottom w:val="0"/>
          <w:divBdr>
            <w:top w:val="none" w:sz="0" w:space="0" w:color="auto"/>
            <w:left w:val="none" w:sz="0" w:space="0" w:color="auto"/>
            <w:bottom w:val="none" w:sz="0" w:space="0" w:color="auto"/>
            <w:right w:val="none" w:sz="0" w:space="0" w:color="auto"/>
          </w:divBdr>
        </w:div>
        <w:div w:id="590742811">
          <w:marLeft w:val="1166"/>
          <w:marRight w:val="0"/>
          <w:marTop w:val="77"/>
          <w:marBottom w:val="0"/>
          <w:divBdr>
            <w:top w:val="none" w:sz="0" w:space="0" w:color="auto"/>
            <w:left w:val="none" w:sz="0" w:space="0" w:color="auto"/>
            <w:bottom w:val="none" w:sz="0" w:space="0" w:color="auto"/>
            <w:right w:val="none" w:sz="0" w:space="0" w:color="auto"/>
          </w:divBdr>
        </w:div>
        <w:div w:id="2045017020">
          <w:marLeft w:val="1166"/>
          <w:marRight w:val="0"/>
          <w:marTop w:val="77"/>
          <w:marBottom w:val="0"/>
          <w:divBdr>
            <w:top w:val="none" w:sz="0" w:space="0" w:color="auto"/>
            <w:left w:val="none" w:sz="0" w:space="0" w:color="auto"/>
            <w:bottom w:val="none" w:sz="0" w:space="0" w:color="auto"/>
            <w:right w:val="none" w:sz="0" w:space="0" w:color="auto"/>
          </w:divBdr>
        </w:div>
        <w:div w:id="1926303321">
          <w:marLeft w:val="547"/>
          <w:marRight w:val="0"/>
          <w:marTop w:val="86"/>
          <w:marBottom w:val="0"/>
          <w:divBdr>
            <w:top w:val="none" w:sz="0" w:space="0" w:color="auto"/>
            <w:left w:val="none" w:sz="0" w:space="0" w:color="auto"/>
            <w:bottom w:val="none" w:sz="0" w:space="0" w:color="auto"/>
            <w:right w:val="none" w:sz="0" w:space="0" w:color="auto"/>
          </w:divBdr>
        </w:div>
        <w:div w:id="598027318">
          <w:marLeft w:val="1166"/>
          <w:marRight w:val="0"/>
          <w:marTop w:val="67"/>
          <w:marBottom w:val="0"/>
          <w:divBdr>
            <w:top w:val="none" w:sz="0" w:space="0" w:color="auto"/>
            <w:left w:val="none" w:sz="0" w:space="0" w:color="auto"/>
            <w:bottom w:val="none" w:sz="0" w:space="0" w:color="auto"/>
            <w:right w:val="none" w:sz="0" w:space="0" w:color="auto"/>
          </w:divBdr>
        </w:div>
        <w:div w:id="1902013939">
          <w:marLeft w:val="1166"/>
          <w:marRight w:val="0"/>
          <w:marTop w:val="67"/>
          <w:marBottom w:val="0"/>
          <w:divBdr>
            <w:top w:val="none" w:sz="0" w:space="0" w:color="auto"/>
            <w:left w:val="none" w:sz="0" w:space="0" w:color="auto"/>
            <w:bottom w:val="none" w:sz="0" w:space="0" w:color="auto"/>
            <w:right w:val="none" w:sz="0" w:space="0" w:color="auto"/>
          </w:divBdr>
        </w:div>
      </w:divsChild>
    </w:div>
    <w:div w:id="1421829225">
      <w:bodyDiv w:val="1"/>
      <w:marLeft w:val="0"/>
      <w:marRight w:val="0"/>
      <w:marTop w:val="0"/>
      <w:marBottom w:val="0"/>
      <w:divBdr>
        <w:top w:val="none" w:sz="0" w:space="0" w:color="auto"/>
        <w:left w:val="none" w:sz="0" w:space="0" w:color="auto"/>
        <w:bottom w:val="none" w:sz="0" w:space="0" w:color="auto"/>
        <w:right w:val="none" w:sz="0" w:space="0" w:color="auto"/>
      </w:divBdr>
    </w:div>
    <w:div w:id="1444495254">
      <w:bodyDiv w:val="1"/>
      <w:marLeft w:val="0"/>
      <w:marRight w:val="0"/>
      <w:marTop w:val="0"/>
      <w:marBottom w:val="0"/>
      <w:divBdr>
        <w:top w:val="none" w:sz="0" w:space="0" w:color="auto"/>
        <w:left w:val="none" w:sz="0" w:space="0" w:color="auto"/>
        <w:bottom w:val="none" w:sz="0" w:space="0" w:color="auto"/>
        <w:right w:val="none" w:sz="0" w:space="0" w:color="auto"/>
      </w:divBdr>
    </w:div>
    <w:div w:id="1479496971">
      <w:bodyDiv w:val="1"/>
      <w:marLeft w:val="0"/>
      <w:marRight w:val="0"/>
      <w:marTop w:val="0"/>
      <w:marBottom w:val="0"/>
      <w:divBdr>
        <w:top w:val="none" w:sz="0" w:space="0" w:color="auto"/>
        <w:left w:val="none" w:sz="0" w:space="0" w:color="auto"/>
        <w:bottom w:val="none" w:sz="0" w:space="0" w:color="auto"/>
        <w:right w:val="none" w:sz="0" w:space="0" w:color="auto"/>
      </w:divBdr>
    </w:div>
    <w:div w:id="17487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2229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Intrum Justitia Oy</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Jyrki Lindström</dc:creator>
  <cp:lastModifiedBy>Mariaana Salmi</cp:lastModifiedBy>
  <cp:revision>2</cp:revision>
  <cp:lastPrinted>2016-06-23T05:36:00Z</cp:lastPrinted>
  <dcterms:created xsi:type="dcterms:W3CDTF">2016-09-09T12:29:00Z</dcterms:created>
  <dcterms:modified xsi:type="dcterms:W3CDTF">2016-09-09T12:29:00Z</dcterms:modified>
</cp:coreProperties>
</file>