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tblpY="-509"/>
        <w:tblW w:w="10348" w:type="dxa"/>
        <w:tblBorders>
          <w:bottom w:val="single" w:sz="4" w:space="0" w:color="auto"/>
        </w:tblBorders>
        <w:tblCellMar>
          <w:left w:w="0" w:type="dxa"/>
          <w:right w:w="0" w:type="dxa"/>
        </w:tblCellMar>
        <w:tblLook w:val="0000" w:firstRow="0" w:lastRow="0" w:firstColumn="0" w:lastColumn="0" w:noHBand="0" w:noVBand="0"/>
      </w:tblPr>
      <w:tblGrid>
        <w:gridCol w:w="5166"/>
        <w:gridCol w:w="2617"/>
        <w:gridCol w:w="2565"/>
      </w:tblGrid>
      <w:tr w:rsidR="00916620" w:rsidRPr="007458DE" w14:paraId="04A41C13" w14:textId="77777777" w:rsidTr="005C7446">
        <w:trPr>
          <w:cantSplit/>
          <w:trHeight w:hRule="exact" w:val="255"/>
        </w:trPr>
        <w:tc>
          <w:tcPr>
            <w:tcW w:w="5166" w:type="dxa"/>
            <w:tcBorders>
              <w:top w:val="nil"/>
              <w:left w:val="nil"/>
              <w:bottom w:val="nil"/>
              <w:right w:val="nil"/>
            </w:tcBorders>
          </w:tcPr>
          <w:p w14:paraId="769792DB" w14:textId="77777777" w:rsidR="00916620" w:rsidRPr="007458DE" w:rsidRDefault="00916620" w:rsidP="007458DE">
            <w:pPr>
              <w:pStyle w:val="Normaali9pt"/>
              <w:jc w:val="both"/>
              <w:rPr>
                <w:sz w:val="20"/>
              </w:rPr>
            </w:pPr>
          </w:p>
        </w:tc>
        <w:tc>
          <w:tcPr>
            <w:tcW w:w="2617" w:type="dxa"/>
            <w:tcBorders>
              <w:top w:val="nil"/>
              <w:left w:val="nil"/>
              <w:bottom w:val="nil"/>
              <w:right w:val="nil"/>
            </w:tcBorders>
          </w:tcPr>
          <w:p w14:paraId="2FE9DB9D" w14:textId="5AEC166C" w:rsidR="00916620" w:rsidRPr="007458DE" w:rsidRDefault="007458DE" w:rsidP="007458DE">
            <w:pPr>
              <w:pStyle w:val="Normaali9pt"/>
              <w:jc w:val="both"/>
              <w:rPr>
                <w:b/>
                <w:sz w:val="20"/>
              </w:rPr>
            </w:pPr>
            <w:r>
              <w:rPr>
                <w:b/>
                <w:sz w:val="20"/>
              </w:rPr>
              <w:t>Lausuntoyhteenveto</w:t>
            </w:r>
          </w:p>
        </w:tc>
        <w:tc>
          <w:tcPr>
            <w:tcW w:w="2565" w:type="dxa"/>
            <w:tcBorders>
              <w:top w:val="nil"/>
              <w:left w:val="nil"/>
              <w:bottom w:val="nil"/>
              <w:right w:val="nil"/>
            </w:tcBorders>
          </w:tcPr>
          <w:p w14:paraId="399AD9D9" w14:textId="77777777" w:rsidR="00916620" w:rsidRPr="007458DE" w:rsidRDefault="00BA55F9" w:rsidP="007458DE">
            <w:pPr>
              <w:pStyle w:val="Normaali9pt"/>
              <w:jc w:val="both"/>
              <w:rPr>
                <w:sz w:val="20"/>
              </w:rPr>
            </w:pPr>
            <w:r w:rsidRPr="007458DE">
              <w:rPr>
                <w:sz w:val="20"/>
              </w:rPr>
              <w:fldChar w:fldCharType="begin"/>
            </w:r>
            <w:r w:rsidRPr="007458DE">
              <w:rPr>
                <w:sz w:val="20"/>
              </w:rPr>
              <w:instrText xml:space="preserve"> DOCPROPERTY  tweb_doc_otherid  \* MERGEFORMAT </w:instrText>
            </w:r>
            <w:r w:rsidRPr="007458DE">
              <w:rPr>
                <w:sz w:val="20"/>
              </w:rPr>
              <w:fldChar w:fldCharType="separate"/>
            </w:r>
            <w:r w:rsidR="00B658A8" w:rsidRPr="007458DE">
              <w:rPr>
                <w:sz w:val="20"/>
              </w:rPr>
              <w:t>Muu tunnus</w:t>
            </w:r>
            <w:r w:rsidRPr="007458DE">
              <w:rPr>
                <w:sz w:val="20"/>
              </w:rPr>
              <w:fldChar w:fldCharType="end"/>
            </w:r>
          </w:p>
        </w:tc>
      </w:tr>
      <w:tr w:rsidR="00FE355C" w:rsidRPr="007458DE" w14:paraId="3EC3B0F6" w14:textId="77777777" w:rsidTr="005C7446">
        <w:trPr>
          <w:cantSplit/>
          <w:trHeight w:hRule="exact" w:val="255"/>
        </w:trPr>
        <w:tc>
          <w:tcPr>
            <w:tcW w:w="5166" w:type="dxa"/>
            <w:tcBorders>
              <w:top w:val="nil"/>
              <w:left w:val="nil"/>
              <w:bottom w:val="nil"/>
              <w:right w:val="nil"/>
            </w:tcBorders>
          </w:tcPr>
          <w:p w14:paraId="26D5A7E5" w14:textId="77777777" w:rsidR="00FE355C" w:rsidRPr="007458DE" w:rsidRDefault="00FE355C" w:rsidP="007458DE">
            <w:pPr>
              <w:pStyle w:val="Normaali9pt"/>
              <w:jc w:val="both"/>
              <w:rPr>
                <w:sz w:val="20"/>
              </w:rPr>
            </w:pPr>
          </w:p>
        </w:tc>
        <w:tc>
          <w:tcPr>
            <w:tcW w:w="2617" w:type="dxa"/>
            <w:tcBorders>
              <w:top w:val="nil"/>
              <w:left w:val="nil"/>
              <w:bottom w:val="nil"/>
              <w:right w:val="nil"/>
            </w:tcBorders>
          </w:tcPr>
          <w:p w14:paraId="6D96CF5C" w14:textId="77777777" w:rsidR="00FE355C" w:rsidRPr="007458DE" w:rsidRDefault="00FE355C" w:rsidP="007458DE">
            <w:pPr>
              <w:pStyle w:val="Normaali9pt"/>
              <w:jc w:val="both"/>
              <w:rPr>
                <w:sz w:val="20"/>
              </w:rPr>
            </w:pPr>
          </w:p>
        </w:tc>
        <w:tc>
          <w:tcPr>
            <w:tcW w:w="2565" w:type="dxa"/>
            <w:tcBorders>
              <w:top w:val="nil"/>
              <w:left w:val="nil"/>
              <w:bottom w:val="nil"/>
              <w:right w:val="nil"/>
            </w:tcBorders>
          </w:tcPr>
          <w:p w14:paraId="4D9DEE16" w14:textId="77777777" w:rsidR="00FE355C" w:rsidRPr="007458DE" w:rsidRDefault="00FE355C" w:rsidP="007458DE">
            <w:pPr>
              <w:pStyle w:val="Normaali9pt"/>
              <w:jc w:val="both"/>
              <w:rPr>
                <w:sz w:val="20"/>
              </w:rPr>
            </w:pPr>
            <w:r w:rsidRPr="007458DE">
              <w:rPr>
                <w:sz w:val="20"/>
              </w:rPr>
              <w:t>Liitetieto</w:t>
            </w:r>
          </w:p>
        </w:tc>
      </w:tr>
      <w:tr w:rsidR="00FE355C" w:rsidRPr="007458DE" w14:paraId="3C095898" w14:textId="77777777" w:rsidTr="005C7446">
        <w:trPr>
          <w:cantSplit/>
          <w:trHeight w:hRule="exact" w:val="255"/>
        </w:trPr>
        <w:tc>
          <w:tcPr>
            <w:tcW w:w="5166" w:type="dxa"/>
            <w:tcBorders>
              <w:top w:val="nil"/>
              <w:left w:val="nil"/>
              <w:bottom w:val="nil"/>
              <w:right w:val="nil"/>
            </w:tcBorders>
          </w:tcPr>
          <w:p w14:paraId="7468A794" w14:textId="3716C894" w:rsidR="00FE355C" w:rsidRPr="007458DE" w:rsidRDefault="007458DE" w:rsidP="007458DE">
            <w:pPr>
              <w:pStyle w:val="Normaali9pt"/>
              <w:jc w:val="both"/>
              <w:rPr>
                <w:sz w:val="20"/>
              </w:rPr>
            </w:pPr>
            <w:r>
              <w:rPr>
                <w:sz w:val="20"/>
              </w:rPr>
              <w:t>VEO</w:t>
            </w:r>
          </w:p>
        </w:tc>
        <w:tc>
          <w:tcPr>
            <w:tcW w:w="2617" w:type="dxa"/>
            <w:tcBorders>
              <w:top w:val="nil"/>
              <w:left w:val="nil"/>
              <w:bottom w:val="nil"/>
              <w:right w:val="nil"/>
            </w:tcBorders>
          </w:tcPr>
          <w:p w14:paraId="6DF1CD47" w14:textId="77777777" w:rsidR="00FE355C" w:rsidRPr="007458DE" w:rsidRDefault="00FE355C" w:rsidP="007458DE">
            <w:pPr>
              <w:pStyle w:val="Normaali9pt"/>
              <w:jc w:val="both"/>
              <w:rPr>
                <w:sz w:val="20"/>
              </w:rPr>
            </w:pPr>
          </w:p>
        </w:tc>
        <w:tc>
          <w:tcPr>
            <w:tcW w:w="2565" w:type="dxa"/>
            <w:tcBorders>
              <w:top w:val="nil"/>
              <w:left w:val="nil"/>
              <w:bottom w:val="nil"/>
              <w:right w:val="nil"/>
            </w:tcBorders>
          </w:tcPr>
          <w:p w14:paraId="705D0803" w14:textId="77777777" w:rsidR="00FE355C" w:rsidRPr="007458DE" w:rsidRDefault="00BA55F9" w:rsidP="007458DE">
            <w:pPr>
              <w:pStyle w:val="Normaali9pt"/>
              <w:jc w:val="both"/>
              <w:rPr>
                <w:sz w:val="20"/>
              </w:rPr>
            </w:pPr>
            <w:r w:rsidRPr="007458DE">
              <w:rPr>
                <w:sz w:val="20"/>
              </w:rPr>
              <w:fldChar w:fldCharType="begin"/>
            </w:r>
            <w:r w:rsidRPr="007458DE">
              <w:rPr>
                <w:sz w:val="20"/>
              </w:rPr>
              <w:instrText xml:space="preserve"> DOCPROPERTY  tweb_doc_identifier  \* MERGEFORMAT </w:instrText>
            </w:r>
            <w:r w:rsidRPr="007458DE">
              <w:rPr>
                <w:sz w:val="20"/>
              </w:rPr>
              <w:fldChar w:fldCharType="separate"/>
            </w:r>
            <w:r w:rsidR="00B658A8" w:rsidRPr="007458DE">
              <w:rPr>
                <w:sz w:val="20"/>
              </w:rPr>
              <w:t>Asianumero</w:t>
            </w:r>
            <w:r w:rsidRPr="007458DE">
              <w:rPr>
                <w:sz w:val="20"/>
              </w:rPr>
              <w:fldChar w:fldCharType="end"/>
            </w:r>
          </w:p>
        </w:tc>
      </w:tr>
      <w:tr w:rsidR="00FE355C" w:rsidRPr="007458DE" w14:paraId="13410AED" w14:textId="77777777" w:rsidTr="005C7446">
        <w:trPr>
          <w:cantSplit/>
          <w:trHeight w:hRule="exact" w:val="255"/>
        </w:trPr>
        <w:tc>
          <w:tcPr>
            <w:tcW w:w="5166" w:type="dxa"/>
            <w:tcBorders>
              <w:top w:val="nil"/>
              <w:left w:val="nil"/>
              <w:bottom w:val="nil"/>
              <w:right w:val="nil"/>
            </w:tcBorders>
          </w:tcPr>
          <w:p w14:paraId="4D98A2A6" w14:textId="7263D4F6" w:rsidR="00FE355C" w:rsidRPr="007458DE" w:rsidRDefault="00FE355C" w:rsidP="007458DE">
            <w:pPr>
              <w:pStyle w:val="Normaali9pt"/>
              <w:jc w:val="both"/>
              <w:rPr>
                <w:sz w:val="20"/>
              </w:rPr>
            </w:pPr>
          </w:p>
        </w:tc>
        <w:tc>
          <w:tcPr>
            <w:tcW w:w="2617" w:type="dxa"/>
            <w:tcBorders>
              <w:top w:val="nil"/>
              <w:left w:val="nil"/>
              <w:bottom w:val="nil"/>
              <w:right w:val="nil"/>
            </w:tcBorders>
          </w:tcPr>
          <w:p w14:paraId="73A49591" w14:textId="66B2176A" w:rsidR="00FE355C" w:rsidRPr="007458DE" w:rsidRDefault="007458DE" w:rsidP="007458DE">
            <w:pPr>
              <w:pStyle w:val="Normaali9pt"/>
              <w:jc w:val="both"/>
              <w:rPr>
                <w:sz w:val="20"/>
              </w:rPr>
            </w:pPr>
            <w:r>
              <w:rPr>
                <w:sz w:val="20"/>
              </w:rPr>
              <w:t>2.6.2021</w:t>
            </w:r>
          </w:p>
        </w:tc>
        <w:tc>
          <w:tcPr>
            <w:tcW w:w="2565" w:type="dxa"/>
            <w:tcBorders>
              <w:top w:val="nil"/>
              <w:left w:val="nil"/>
              <w:bottom w:val="nil"/>
              <w:right w:val="nil"/>
            </w:tcBorders>
          </w:tcPr>
          <w:p w14:paraId="0C0ABEA9" w14:textId="77777777" w:rsidR="00FE355C" w:rsidRPr="007458DE" w:rsidRDefault="00BA55F9" w:rsidP="007458DE">
            <w:pPr>
              <w:pStyle w:val="Normaali9pt"/>
              <w:jc w:val="both"/>
              <w:rPr>
                <w:sz w:val="20"/>
              </w:rPr>
            </w:pPr>
            <w:r w:rsidRPr="007458DE">
              <w:rPr>
                <w:sz w:val="20"/>
              </w:rPr>
              <w:fldChar w:fldCharType="begin"/>
            </w:r>
            <w:r w:rsidRPr="007458DE">
              <w:rPr>
                <w:sz w:val="20"/>
              </w:rPr>
              <w:instrText xml:space="preserve"> DOCPROPERTY  tweb_doc_publicityclass  \* MERGEFORMAT </w:instrText>
            </w:r>
            <w:r w:rsidRPr="007458DE">
              <w:rPr>
                <w:sz w:val="20"/>
              </w:rPr>
              <w:fldChar w:fldCharType="separate"/>
            </w:r>
            <w:r w:rsidR="00B658A8" w:rsidRPr="007458DE">
              <w:rPr>
                <w:sz w:val="20"/>
              </w:rPr>
              <w:t>Julkisuus</w:t>
            </w:r>
            <w:r w:rsidRPr="007458DE">
              <w:rPr>
                <w:sz w:val="20"/>
              </w:rPr>
              <w:fldChar w:fldCharType="end"/>
            </w:r>
          </w:p>
        </w:tc>
      </w:tr>
      <w:tr w:rsidR="00FE355C" w:rsidRPr="007458DE" w14:paraId="4BA7AA2A" w14:textId="77777777" w:rsidTr="005C7446">
        <w:trPr>
          <w:cantSplit/>
          <w:trHeight w:hRule="exact" w:val="624"/>
        </w:trPr>
        <w:tc>
          <w:tcPr>
            <w:tcW w:w="5166" w:type="dxa"/>
            <w:tcBorders>
              <w:top w:val="nil"/>
              <w:left w:val="nil"/>
              <w:bottom w:val="nil"/>
              <w:right w:val="nil"/>
            </w:tcBorders>
          </w:tcPr>
          <w:p w14:paraId="414CDC0C" w14:textId="77777777" w:rsidR="00FE355C" w:rsidRPr="007458DE" w:rsidRDefault="00FE355C" w:rsidP="007458DE">
            <w:pPr>
              <w:pStyle w:val="Normaali9pt"/>
              <w:jc w:val="both"/>
              <w:rPr>
                <w:sz w:val="20"/>
              </w:rPr>
            </w:pPr>
          </w:p>
        </w:tc>
        <w:tc>
          <w:tcPr>
            <w:tcW w:w="2617" w:type="dxa"/>
            <w:tcBorders>
              <w:top w:val="nil"/>
              <w:left w:val="nil"/>
              <w:bottom w:val="nil"/>
              <w:right w:val="nil"/>
            </w:tcBorders>
          </w:tcPr>
          <w:p w14:paraId="3CA289CF" w14:textId="77777777" w:rsidR="00FE355C" w:rsidRPr="007458DE" w:rsidRDefault="00FE355C" w:rsidP="007458DE">
            <w:pPr>
              <w:pStyle w:val="Normaali9pt"/>
              <w:jc w:val="both"/>
              <w:rPr>
                <w:sz w:val="20"/>
              </w:rPr>
            </w:pPr>
          </w:p>
        </w:tc>
        <w:tc>
          <w:tcPr>
            <w:tcW w:w="2565" w:type="dxa"/>
            <w:tcBorders>
              <w:top w:val="nil"/>
              <w:left w:val="nil"/>
              <w:bottom w:val="nil"/>
              <w:right w:val="nil"/>
            </w:tcBorders>
          </w:tcPr>
          <w:p w14:paraId="428D8EAF" w14:textId="77777777" w:rsidR="00FE355C" w:rsidRPr="007458DE" w:rsidRDefault="00BA55F9" w:rsidP="007458DE">
            <w:pPr>
              <w:pStyle w:val="Normaali9pt"/>
              <w:jc w:val="both"/>
              <w:rPr>
                <w:sz w:val="20"/>
              </w:rPr>
            </w:pPr>
            <w:r w:rsidRPr="007458DE">
              <w:rPr>
                <w:sz w:val="20"/>
              </w:rPr>
              <w:fldChar w:fldCharType="begin"/>
            </w:r>
            <w:r w:rsidRPr="007458DE">
              <w:rPr>
                <w:sz w:val="20"/>
              </w:rPr>
              <w:instrText xml:space="preserve"> DOCPROPERTY  tweb_doc_securityreason  \* MERGEFORMAT </w:instrText>
            </w:r>
            <w:r w:rsidRPr="007458DE">
              <w:rPr>
                <w:sz w:val="20"/>
              </w:rPr>
              <w:fldChar w:fldCharType="separate"/>
            </w:r>
            <w:r w:rsidR="00B658A8" w:rsidRPr="007458DE">
              <w:rPr>
                <w:sz w:val="20"/>
              </w:rPr>
              <w:t>Salassapitoperuste</w:t>
            </w:r>
            <w:r w:rsidRPr="007458DE">
              <w:rPr>
                <w:sz w:val="20"/>
              </w:rPr>
              <w:fldChar w:fldCharType="end"/>
            </w:r>
          </w:p>
        </w:tc>
      </w:tr>
    </w:tbl>
    <w:p w14:paraId="7A37D7E2" w14:textId="77777777" w:rsidR="000E60B6" w:rsidRPr="007458DE" w:rsidRDefault="000E60B6" w:rsidP="007458DE">
      <w:pPr>
        <w:jc w:val="both"/>
        <w:rPr>
          <w:sz w:val="20"/>
        </w:rPr>
        <w:sectPr w:rsidR="000E60B6" w:rsidRPr="007458DE" w:rsidSect="00F916C2">
          <w:headerReference w:type="default" r:id="rId8"/>
          <w:footerReference w:type="default" r:id="rId9"/>
          <w:headerReference w:type="first" r:id="rId10"/>
          <w:footerReference w:type="first" r:id="rId11"/>
          <w:pgSz w:w="11906" w:h="16838" w:code="9"/>
          <w:pgMar w:top="1134" w:right="567" w:bottom="1616" w:left="1134" w:header="612" w:footer="284" w:gutter="0"/>
          <w:cols w:space="720"/>
          <w:titlePg/>
          <w:docGrid w:linePitch="360"/>
        </w:sectPr>
      </w:pPr>
    </w:p>
    <w:p w14:paraId="33100AB3" w14:textId="7E133E89" w:rsidR="007458DE" w:rsidRPr="007458DE" w:rsidRDefault="007458DE" w:rsidP="007458DE">
      <w:pPr>
        <w:pStyle w:val="Otsikko"/>
        <w:jc w:val="both"/>
        <w:rPr>
          <w:rFonts w:ascii="Arial" w:hAnsi="Arial" w:cs="Arial"/>
          <w:sz w:val="20"/>
          <w:szCs w:val="20"/>
        </w:rPr>
      </w:pPr>
      <w:r w:rsidRPr="007458DE">
        <w:rPr>
          <w:rFonts w:ascii="Arial" w:hAnsi="Arial" w:cs="Arial"/>
          <w:sz w:val="20"/>
          <w:szCs w:val="20"/>
        </w:rPr>
        <w:t>Lausuntoyhteenveto</w:t>
      </w:r>
      <w:r>
        <w:rPr>
          <w:rFonts w:ascii="Arial" w:hAnsi="Arial" w:cs="Arial"/>
          <w:sz w:val="20"/>
          <w:szCs w:val="20"/>
        </w:rPr>
        <w:t>:</w:t>
      </w:r>
      <w:r w:rsidRPr="007458DE">
        <w:rPr>
          <w:rFonts w:ascii="Arial" w:hAnsi="Arial" w:cs="Arial"/>
          <w:sz w:val="20"/>
          <w:szCs w:val="20"/>
        </w:rPr>
        <w:t xml:space="preserve"> </w:t>
      </w:r>
      <w:r>
        <w:rPr>
          <w:rFonts w:ascii="Arial" w:hAnsi="Arial" w:cs="Arial"/>
          <w:sz w:val="20"/>
          <w:szCs w:val="20"/>
        </w:rPr>
        <w:t>luonnos hallituksen esitykseksi</w:t>
      </w:r>
      <w:r w:rsidRPr="007458DE">
        <w:rPr>
          <w:rFonts w:ascii="Arial" w:hAnsi="Arial" w:cs="Arial"/>
          <w:sz w:val="20"/>
          <w:szCs w:val="20"/>
        </w:rPr>
        <w:t xml:space="preserve"> liikennejärjestelmästä ja maanteistä annetun lain ja ratalain muuttamisesta</w:t>
      </w:r>
    </w:p>
    <w:p w14:paraId="09773C36" w14:textId="77777777" w:rsidR="007458DE" w:rsidRPr="007458DE" w:rsidRDefault="007458DE" w:rsidP="007458DE">
      <w:pPr>
        <w:pStyle w:val="Leipteksti"/>
        <w:jc w:val="both"/>
        <w:rPr>
          <w:rFonts w:ascii="Arial" w:hAnsi="Arial" w:cs="Arial"/>
          <w:sz w:val="20"/>
        </w:rPr>
      </w:pPr>
    </w:p>
    <w:p w14:paraId="3E4DAC86" w14:textId="77777777" w:rsidR="007458DE" w:rsidRPr="007458DE" w:rsidRDefault="007458DE" w:rsidP="007458DE">
      <w:pPr>
        <w:jc w:val="both"/>
        <w:rPr>
          <w:rFonts w:ascii="Arial" w:hAnsi="Arial" w:cs="Arial"/>
          <w:b/>
          <w:sz w:val="20"/>
        </w:rPr>
      </w:pPr>
      <w:r w:rsidRPr="007458DE">
        <w:rPr>
          <w:rFonts w:ascii="Arial" w:hAnsi="Arial" w:cs="Arial"/>
          <w:b/>
          <w:sz w:val="20"/>
        </w:rPr>
        <w:t xml:space="preserve">1 Yleistä lausunnoista ja keskeisiä huomioita </w:t>
      </w:r>
    </w:p>
    <w:p w14:paraId="44E06067" w14:textId="77777777" w:rsidR="007458DE" w:rsidRPr="007458DE" w:rsidRDefault="007458DE" w:rsidP="007458DE">
      <w:pPr>
        <w:jc w:val="both"/>
        <w:rPr>
          <w:rFonts w:ascii="Arial" w:hAnsi="Arial" w:cs="Arial"/>
          <w:sz w:val="20"/>
        </w:rPr>
      </w:pPr>
    </w:p>
    <w:p w14:paraId="6EDF3372" w14:textId="23DB236A" w:rsidR="007458DE" w:rsidRPr="007458DE" w:rsidRDefault="007458DE" w:rsidP="007458DE">
      <w:pPr>
        <w:jc w:val="both"/>
        <w:rPr>
          <w:rFonts w:ascii="Arial" w:hAnsi="Arial" w:cs="Arial"/>
          <w:sz w:val="20"/>
        </w:rPr>
      </w:pPr>
      <w:r w:rsidRPr="007458DE">
        <w:rPr>
          <w:rFonts w:ascii="Arial" w:hAnsi="Arial" w:cs="Arial"/>
          <w:sz w:val="20"/>
        </w:rPr>
        <w:t xml:space="preserve">Hallituksen esitys oli lausunnolla 04.03 – 16.4.2021. Lausuntoja vastaanotettiin yhteensä 25. Kaikki 21.4.2021 mennessä saapuneet lausunnot on otettu huomioon tässä lausuntoyhteenvedossa. </w:t>
      </w:r>
    </w:p>
    <w:p w14:paraId="03C58910" w14:textId="77777777" w:rsidR="007458DE" w:rsidRPr="007458DE" w:rsidRDefault="007458DE" w:rsidP="007458DE">
      <w:pPr>
        <w:jc w:val="both"/>
        <w:rPr>
          <w:rFonts w:ascii="Arial" w:hAnsi="Arial" w:cs="Arial"/>
          <w:sz w:val="20"/>
        </w:rPr>
      </w:pPr>
    </w:p>
    <w:p w14:paraId="4C27ECF9" w14:textId="77777777" w:rsidR="007458DE" w:rsidRPr="007458DE" w:rsidRDefault="007458DE" w:rsidP="007458DE">
      <w:pPr>
        <w:jc w:val="both"/>
        <w:rPr>
          <w:rFonts w:ascii="Arial" w:hAnsi="Arial" w:cs="Arial"/>
          <w:sz w:val="20"/>
        </w:rPr>
      </w:pPr>
      <w:r w:rsidRPr="007458DE">
        <w:rPr>
          <w:rFonts w:ascii="Arial" w:hAnsi="Arial" w:cs="Arial"/>
          <w:sz w:val="20"/>
        </w:rPr>
        <w:t>Useissa lausunnoissa tuotiin esiin yleisenä huomiona, että ehdotus on pääperiaatteiltaan kannatettava, koska tavoitteena on panna täytäntöön kansallisesti tieturvallisuusdirektiivin vaatimukset ja parantaa Suomen tieverkon turvallisuustilannetta aktiivisin toimin.</w:t>
      </w:r>
    </w:p>
    <w:p w14:paraId="32BAF535" w14:textId="77777777" w:rsidR="007458DE" w:rsidRPr="007458DE" w:rsidRDefault="007458DE" w:rsidP="007458DE">
      <w:pPr>
        <w:jc w:val="both"/>
        <w:rPr>
          <w:rFonts w:ascii="Arial" w:hAnsi="Arial" w:cs="Arial"/>
          <w:sz w:val="20"/>
        </w:rPr>
      </w:pPr>
    </w:p>
    <w:p w14:paraId="495DC98C" w14:textId="77777777" w:rsidR="007458DE" w:rsidRPr="007458DE" w:rsidRDefault="007458DE" w:rsidP="007458DE">
      <w:pPr>
        <w:jc w:val="both"/>
        <w:rPr>
          <w:rFonts w:ascii="Arial" w:hAnsi="Arial" w:cs="Arial"/>
          <w:sz w:val="20"/>
        </w:rPr>
      </w:pPr>
      <w:r w:rsidRPr="007458DE">
        <w:rPr>
          <w:rFonts w:ascii="Arial" w:hAnsi="Arial" w:cs="Arial"/>
          <w:sz w:val="20"/>
        </w:rPr>
        <w:t xml:space="preserve">Lausunnoissa esitettiin huomioita ehdotuksen rakenteesta. Katsottiin, että 3 a luvun alkuun tulisi sijoittaa yleiset säännökset, jotka koskevat kaikkia menettelyjä (soveltamisala, suojattomien tienkäyttäjien suojaaminen), niiden jälkeen sijoitettaisiin varsinaiset menettelysäännökset ja luvun loppuun tieturvallisuusarvioijia ja kustannuksia koskevat säännökset. Suojattomat tienkäyttäjät nähtiin ehdotuksessa läpileikkaavana ja tärkeänä painotuksena. </w:t>
      </w:r>
    </w:p>
    <w:p w14:paraId="2E09CACA" w14:textId="77777777" w:rsidR="007458DE" w:rsidRPr="007458DE" w:rsidRDefault="007458DE" w:rsidP="007458DE">
      <w:pPr>
        <w:jc w:val="both"/>
        <w:rPr>
          <w:rFonts w:ascii="Arial" w:hAnsi="Arial" w:cs="Arial"/>
          <w:sz w:val="20"/>
        </w:rPr>
      </w:pPr>
    </w:p>
    <w:p w14:paraId="48B5736F" w14:textId="77777777" w:rsidR="007458DE" w:rsidRPr="007458DE" w:rsidRDefault="007458DE" w:rsidP="007458DE">
      <w:pPr>
        <w:jc w:val="both"/>
        <w:rPr>
          <w:rFonts w:ascii="Arial" w:hAnsi="Arial" w:cs="Arial"/>
          <w:sz w:val="20"/>
        </w:rPr>
      </w:pPr>
      <w:r w:rsidRPr="007458DE">
        <w:rPr>
          <w:rFonts w:ascii="Arial" w:hAnsi="Arial" w:cs="Arial"/>
          <w:sz w:val="20"/>
        </w:rPr>
        <w:t>Ympäristöministeriö totesi lausunnossaan, että sillä ei ole hallituksen esitykseen huomautettavaa muutoin kuin ympäristövaikutusten arviointimenettelystä annettuun lakiin (252/2017) liittyvään sääntelyyn. Sisäministeriö, valtiovarainministeriö, Varsinais-Suomen liitto ja Kymenlaakson liitto totesivat, ettei niillä ole lausuttavaa luonnoksesta hallituksen esitykseksi.</w:t>
      </w:r>
    </w:p>
    <w:p w14:paraId="741A512C" w14:textId="77777777" w:rsidR="007458DE" w:rsidRPr="007458DE" w:rsidRDefault="007458DE" w:rsidP="007458DE">
      <w:pPr>
        <w:jc w:val="both"/>
        <w:rPr>
          <w:rFonts w:ascii="Arial" w:hAnsi="Arial" w:cs="Arial"/>
          <w:sz w:val="20"/>
        </w:rPr>
      </w:pPr>
    </w:p>
    <w:p w14:paraId="30A8FBBF" w14:textId="77777777" w:rsidR="007458DE" w:rsidRPr="007458DE" w:rsidRDefault="007458DE" w:rsidP="007458DE">
      <w:pPr>
        <w:jc w:val="both"/>
        <w:rPr>
          <w:rFonts w:ascii="Arial" w:hAnsi="Arial" w:cs="Arial"/>
          <w:sz w:val="20"/>
        </w:rPr>
      </w:pPr>
    </w:p>
    <w:p w14:paraId="5DCEA47A" w14:textId="77777777" w:rsidR="007458DE" w:rsidRPr="007458DE" w:rsidRDefault="007458DE" w:rsidP="007458DE">
      <w:pPr>
        <w:jc w:val="both"/>
        <w:rPr>
          <w:rFonts w:ascii="Arial" w:hAnsi="Arial" w:cs="Arial"/>
          <w:b/>
          <w:sz w:val="20"/>
        </w:rPr>
      </w:pPr>
      <w:r w:rsidRPr="007458DE">
        <w:rPr>
          <w:rFonts w:ascii="Arial" w:hAnsi="Arial" w:cs="Arial"/>
          <w:b/>
          <w:sz w:val="20"/>
        </w:rPr>
        <w:t>2 Soveltamisalan laajuus</w:t>
      </w:r>
    </w:p>
    <w:p w14:paraId="5B88D135" w14:textId="77777777" w:rsidR="007458DE" w:rsidRPr="007458DE" w:rsidRDefault="007458DE" w:rsidP="007458DE">
      <w:pPr>
        <w:jc w:val="both"/>
        <w:rPr>
          <w:rFonts w:ascii="Arial" w:hAnsi="Arial" w:cs="Arial"/>
          <w:sz w:val="20"/>
        </w:rPr>
      </w:pPr>
    </w:p>
    <w:p w14:paraId="2ACEC5E2" w14:textId="1FEF2AD5" w:rsidR="007458DE" w:rsidRPr="007458DE" w:rsidRDefault="007458DE" w:rsidP="007458DE">
      <w:pPr>
        <w:jc w:val="both"/>
        <w:rPr>
          <w:rFonts w:ascii="Arial" w:hAnsi="Arial" w:cs="Arial"/>
          <w:sz w:val="20"/>
        </w:rPr>
      </w:pPr>
      <w:r w:rsidRPr="007458DE">
        <w:rPr>
          <w:rFonts w:ascii="Arial" w:hAnsi="Arial" w:cs="Arial"/>
          <w:sz w:val="20"/>
        </w:rPr>
        <w:t xml:space="preserve">Hallituksen esitysluonnoksessa ehdotettua soveltamisalaa, jonka mukaan direktiivin soveltamisalaan kuuluisivat TEN-T-verkko, moottoritiet sekä pääväyläasetuksen mukainen tieverkko, kannatettiin laajasti. Lausunnoissa katsottiin, että tieverkon, jolle direktiiviä sovelletaan, tulee olla tarkoituksenmukainen ja tieverkolle vaadittavien turvallisuustoimien hyötykustannussuhteiltaan tehokkaita, ja joilla saavutetaan parhaalla mahdollisella tavalla direktiivin ja EU:n yleiset liikenneturvallisuuteen liittyvät tavoitteet. Soveltamisalan laajentaminen koskemaan nykyisen TEN-tieverkon lisäksi kaikkia moottoriteitä sekä pääväyläasetuksen mukaista maanteiden runkoverkkoa nähdään kannatettavana muun muassa Väyläviraston, Liikenne- ja viestintäviraston ja ELY-keskusten lausunnoissa. </w:t>
      </w:r>
    </w:p>
    <w:p w14:paraId="598A2A98" w14:textId="77777777" w:rsidR="007458DE" w:rsidRPr="007458DE" w:rsidRDefault="007458DE" w:rsidP="007458DE">
      <w:pPr>
        <w:jc w:val="both"/>
        <w:rPr>
          <w:rFonts w:ascii="Arial" w:hAnsi="Arial" w:cs="Arial"/>
          <w:sz w:val="20"/>
        </w:rPr>
      </w:pPr>
    </w:p>
    <w:p w14:paraId="2490EB9A" w14:textId="77777777" w:rsidR="007458DE" w:rsidRPr="007458DE" w:rsidRDefault="007458DE" w:rsidP="007458DE">
      <w:pPr>
        <w:jc w:val="both"/>
        <w:rPr>
          <w:rFonts w:ascii="Arial" w:hAnsi="Arial" w:cs="Arial"/>
          <w:sz w:val="20"/>
        </w:rPr>
      </w:pPr>
      <w:r w:rsidRPr="007458DE">
        <w:rPr>
          <w:rFonts w:ascii="Arial" w:hAnsi="Arial" w:cs="Arial"/>
          <w:sz w:val="20"/>
        </w:rPr>
        <w:t xml:space="preserve">Maakuntien liitoilta saaduissa lausunnoissa pidettiin hyvänä, että liikenneturvallisuutta ja kestävää liikkumista edistetään TEN-T-verkon lisäksi muilla vilkkaasti liikennöidyillä väylillä. Maakunnilta saaduissa lausunnoissa (esim. Etelä-Karjalan liitto ja Lapin liitto) todettiin, että liikenneturvallisuutta tulisi kehittää lisäksi myös alemmalla tieverkolla, johon kohdistuu paljon raskaan liikenteen kuljetuksia maakuntien alueella. </w:t>
      </w:r>
    </w:p>
    <w:p w14:paraId="66AB3960" w14:textId="77777777" w:rsidR="007458DE" w:rsidRPr="007458DE" w:rsidRDefault="007458DE" w:rsidP="007458DE">
      <w:pPr>
        <w:jc w:val="both"/>
        <w:rPr>
          <w:rFonts w:ascii="Arial" w:hAnsi="Arial" w:cs="Arial"/>
          <w:sz w:val="20"/>
        </w:rPr>
      </w:pPr>
    </w:p>
    <w:p w14:paraId="51C50E30" w14:textId="77777777" w:rsidR="007458DE" w:rsidRPr="007458DE" w:rsidRDefault="007458DE" w:rsidP="007458DE">
      <w:pPr>
        <w:jc w:val="both"/>
        <w:rPr>
          <w:rFonts w:ascii="Arial" w:hAnsi="Arial" w:cs="Arial"/>
          <w:sz w:val="20"/>
        </w:rPr>
      </w:pPr>
      <w:r w:rsidRPr="007458DE">
        <w:rPr>
          <w:rFonts w:ascii="Arial" w:hAnsi="Arial" w:cs="Arial"/>
          <w:sz w:val="20"/>
        </w:rPr>
        <w:t xml:space="preserve">Yhdistyksiltä saaduissa lausunnoissa (muun muassa Suomen Tieyhdistys ry ja Rahtarit ry) pidetään kannatettavana, että ehdotuksessa on laajennettu tarkastelualuetta TEN-T verkoston lisäksi myös muille vilkkaasti liikennöidyille väylille. Esitetty laajuus nähdään kustannukset huomioon otettuina sopivana. Samoin todettiin, että direktiivin mukaisten toimien koskiessa vain osaa tieverkkoa, ei tule unohtaa muuta maantie-, katu- ja yksityistieverkkoa liikenneturvallisuuden parantamisessa ja turvallisuustoimien rahoituksessa.  </w:t>
      </w:r>
    </w:p>
    <w:p w14:paraId="0FBE1A03" w14:textId="77777777" w:rsidR="007458DE" w:rsidRPr="007458DE" w:rsidRDefault="007458DE" w:rsidP="007458DE">
      <w:pPr>
        <w:jc w:val="both"/>
        <w:rPr>
          <w:rFonts w:ascii="Arial" w:hAnsi="Arial" w:cs="Arial"/>
          <w:sz w:val="20"/>
        </w:rPr>
      </w:pPr>
    </w:p>
    <w:p w14:paraId="0AF89F03" w14:textId="77777777" w:rsidR="007458DE" w:rsidRPr="007458DE" w:rsidRDefault="007458DE" w:rsidP="007458DE">
      <w:pPr>
        <w:jc w:val="both"/>
        <w:rPr>
          <w:rFonts w:ascii="Arial" w:hAnsi="Arial" w:cs="Arial"/>
          <w:sz w:val="20"/>
        </w:rPr>
      </w:pPr>
      <w:r w:rsidRPr="007458DE">
        <w:rPr>
          <w:rFonts w:ascii="Arial" w:hAnsi="Arial" w:cs="Arial"/>
          <w:sz w:val="20"/>
        </w:rPr>
        <w:t xml:space="preserve">Useat lausunnonantajat (muun muassa Liikenneturva ja Kuntaliitto) kannattavat näkemystä, jonka mukaan direktiivin vaatimuksia tulisi soveltaa TEN-T-verkoston lisäksi muilla vilkkaasti liikennöidyillä väylillä. Myös muiden vilkasliikenteisten teiden lisäämistä soveltamisalan piiriin ehdotettiin lausunnoissa. Nykyisellä pääväyläasetuksen määrittelyllä jää soveltamisalan ulkopuolelle, esimerkiksi Kehä I tai kantatie 51, eli Länsiväylä tai myös suurehkojen kaupunkien välisiä teitä, kuten valtatie 10 Turku-Hämeenlinna tai valtatie 11 </w:t>
      </w:r>
      <w:r w:rsidRPr="007458DE">
        <w:rPr>
          <w:rFonts w:ascii="Arial" w:hAnsi="Arial" w:cs="Arial"/>
          <w:sz w:val="20"/>
        </w:rPr>
        <w:lastRenderedPageBreak/>
        <w:t xml:space="preserve">Pori-Tampere .Muiden vilkkaasti liikennöityjen teiden osalta lausunnoissa katsottiin, että direktiivin soveltamisalan merkittävä laajentaminen niihin ei ole tarpeen, mikäli direktiiviin soveltamisalan ulkopuoliseen tieverkkoon sovellettaisiin direktiivin edellyttämiä toimia hyvinä käytänteinä vastuuviranomaisen toimesta ilman lakiin ja direktiiviin perustuvaa velvoitetta. </w:t>
      </w:r>
    </w:p>
    <w:p w14:paraId="7EF8F939" w14:textId="77777777" w:rsidR="007458DE" w:rsidRPr="007458DE" w:rsidRDefault="007458DE" w:rsidP="007458DE">
      <w:pPr>
        <w:jc w:val="both"/>
        <w:rPr>
          <w:rFonts w:ascii="Arial" w:hAnsi="Arial" w:cs="Arial"/>
          <w:sz w:val="20"/>
        </w:rPr>
      </w:pPr>
    </w:p>
    <w:p w14:paraId="307DF652" w14:textId="77777777" w:rsidR="007458DE" w:rsidRPr="007458DE" w:rsidRDefault="007458DE" w:rsidP="007458DE">
      <w:pPr>
        <w:jc w:val="both"/>
        <w:rPr>
          <w:rFonts w:ascii="Arial" w:hAnsi="Arial" w:cs="Arial"/>
          <w:sz w:val="20"/>
        </w:rPr>
      </w:pPr>
    </w:p>
    <w:p w14:paraId="6B5F6FF1" w14:textId="77777777" w:rsidR="007458DE" w:rsidRPr="007458DE" w:rsidRDefault="007458DE" w:rsidP="007458DE">
      <w:pPr>
        <w:jc w:val="both"/>
        <w:rPr>
          <w:rFonts w:ascii="Arial" w:hAnsi="Arial" w:cs="Arial"/>
          <w:b/>
          <w:sz w:val="20"/>
        </w:rPr>
      </w:pPr>
      <w:r w:rsidRPr="007458DE">
        <w:rPr>
          <w:rFonts w:ascii="Arial" w:hAnsi="Arial" w:cs="Arial"/>
          <w:b/>
          <w:sz w:val="20"/>
        </w:rPr>
        <w:t>3 Menettelysäännökset</w:t>
      </w:r>
    </w:p>
    <w:p w14:paraId="47566DAE" w14:textId="77777777" w:rsidR="007458DE" w:rsidRPr="007458DE" w:rsidRDefault="007458DE" w:rsidP="007458DE">
      <w:pPr>
        <w:jc w:val="both"/>
        <w:rPr>
          <w:rFonts w:ascii="Arial" w:hAnsi="Arial" w:cs="Arial"/>
          <w:sz w:val="20"/>
        </w:rPr>
      </w:pPr>
    </w:p>
    <w:p w14:paraId="59BA933C" w14:textId="77777777" w:rsidR="007458DE" w:rsidRPr="007458DE" w:rsidRDefault="007458DE" w:rsidP="007458DE">
      <w:pPr>
        <w:jc w:val="both"/>
        <w:rPr>
          <w:rFonts w:ascii="Arial" w:hAnsi="Arial" w:cs="Arial"/>
          <w:i/>
          <w:sz w:val="20"/>
        </w:rPr>
      </w:pPr>
      <w:r w:rsidRPr="007458DE">
        <w:rPr>
          <w:rFonts w:ascii="Arial" w:hAnsi="Arial" w:cs="Arial"/>
          <w:i/>
          <w:sz w:val="20"/>
        </w:rPr>
        <w:t>Yleistä</w:t>
      </w:r>
    </w:p>
    <w:p w14:paraId="65AF5BA2" w14:textId="77777777" w:rsidR="007458DE" w:rsidRPr="007458DE" w:rsidRDefault="007458DE" w:rsidP="007458DE">
      <w:pPr>
        <w:jc w:val="both"/>
        <w:rPr>
          <w:rFonts w:ascii="Arial" w:hAnsi="Arial" w:cs="Arial"/>
          <w:sz w:val="20"/>
        </w:rPr>
      </w:pPr>
    </w:p>
    <w:p w14:paraId="135B32D7" w14:textId="77777777" w:rsidR="007458DE" w:rsidRPr="007458DE" w:rsidRDefault="007458DE" w:rsidP="007458DE">
      <w:pPr>
        <w:jc w:val="both"/>
        <w:rPr>
          <w:rFonts w:ascii="Arial" w:hAnsi="Arial" w:cs="Arial"/>
          <w:sz w:val="20"/>
        </w:rPr>
      </w:pPr>
      <w:r w:rsidRPr="007458DE">
        <w:rPr>
          <w:rFonts w:ascii="Arial" w:hAnsi="Arial" w:cs="Arial"/>
          <w:sz w:val="20"/>
        </w:rPr>
        <w:t>Direktiivin mukaisten menettelyjen, niissä tehtävien turvallisuushavaintojen sekä korjaavien toimenpiteiden osalta pidettiin tärkeänä, että virastoille asetettavat tehtävät ovat selkeitä ja hallinnolliset prosessit tarkoituksenmukaisia, ettei turvallisuuden hallinnasta aiheudu tarpeetonta hallinnollista taakkaa. Samoin toivottiin selkeää toimijoiden roolien kuvausta, muun muassa Väyläviraston, Liikenne- ja viestintäviraston sekä ELY-keskusten välillä.</w:t>
      </w:r>
    </w:p>
    <w:p w14:paraId="2CBA258B" w14:textId="77777777" w:rsidR="007458DE" w:rsidRPr="007458DE" w:rsidRDefault="007458DE" w:rsidP="007458DE">
      <w:pPr>
        <w:jc w:val="both"/>
        <w:rPr>
          <w:rFonts w:ascii="Arial" w:hAnsi="Arial" w:cs="Arial"/>
          <w:sz w:val="20"/>
        </w:rPr>
      </w:pPr>
    </w:p>
    <w:p w14:paraId="7C3F0B40" w14:textId="77777777" w:rsidR="007458DE" w:rsidRPr="007458DE" w:rsidRDefault="007458DE" w:rsidP="007458DE">
      <w:pPr>
        <w:jc w:val="both"/>
        <w:rPr>
          <w:rFonts w:ascii="Arial" w:hAnsi="Arial" w:cs="Arial"/>
          <w:sz w:val="20"/>
        </w:rPr>
      </w:pPr>
      <w:r w:rsidRPr="007458DE">
        <w:rPr>
          <w:rFonts w:ascii="Arial" w:hAnsi="Arial" w:cs="Arial"/>
          <w:sz w:val="20"/>
        </w:rPr>
        <w:t>Maakuntien liittojen lausunnoissa esitettiin toivomus siitä, että alueelliset toimijat kytketään esimerkiksi kuntien osalta nykyistä vahvemmin mukaan tieturvallisuusauditointeihin, joka osaltaan saattaisi laadullisesti parantaa tiestön käytön alueellisen suunnittelun tasoa sekä lisätä turvallisuustietoisuutta erityisesti taajama-alueilla.</w:t>
      </w:r>
    </w:p>
    <w:p w14:paraId="199F9A93" w14:textId="77777777" w:rsidR="007458DE" w:rsidRPr="007458DE" w:rsidRDefault="007458DE" w:rsidP="007458DE">
      <w:pPr>
        <w:jc w:val="both"/>
        <w:rPr>
          <w:rFonts w:ascii="Arial" w:hAnsi="Arial" w:cs="Arial"/>
          <w:sz w:val="20"/>
        </w:rPr>
      </w:pPr>
    </w:p>
    <w:p w14:paraId="1AF9CADA" w14:textId="754E634B" w:rsidR="007458DE" w:rsidRPr="007458DE" w:rsidRDefault="007458DE" w:rsidP="007458DE">
      <w:pPr>
        <w:jc w:val="both"/>
        <w:rPr>
          <w:rFonts w:ascii="Arial" w:hAnsi="Arial" w:cs="Arial"/>
          <w:sz w:val="20"/>
        </w:rPr>
      </w:pPr>
      <w:r w:rsidRPr="007458DE">
        <w:rPr>
          <w:rFonts w:ascii="Arial" w:hAnsi="Arial" w:cs="Arial"/>
          <w:sz w:val="20"/>
        </w:rPr>
        <w:t>Väyläviraston näkemyksen mukaan esityksessä tulisi käsitellä myös, miten 3 a lukuun esitettävät muutokset suhteutuvat voimassa olevan lain 13 §:n yleisiä vaatimuksia ja palvelutasoa koskeviin säännöksiin</w:t>
      </w:r>
      <w:r w:rsidR="00310447">
        <w:rPr>
          <w:rFonts w:ascii="Arial" w:hAnsi="Arial" w:cs="Arial"/>
          <w:sz w:val="20"/>
        </w:rPr>
        <w:t xml:space="preserve"> ja että t</w:t>
      </w:r>
      <w:r w:rsidRPr="007458DE">
        <w:rPr>
          <w:rFonts w:ascii="Arial" w:hAnsi="Arial" w:cs="Arial"/>
          <w:sz w:val="20"/>
        </w:rPr>
        <w:t>arvittavia toimia ei tulisi käsitellä vain liikenneturvallisuusnäkökulmasta, muutoin toimenpiteet voivat olla ristiriidassa tienpidon yleisten vaat</w:t>
      </w:r>
      <w:r w:rsidR="00310447">
        <w:rPr>
          <w:rFonts w:ascii="Arial" w:hAnsi="Arial" w:cs="Arial"/>
          <w:sz w:val="20"/>
        </w:rPr>
        <w:t>imusten ja palvelutason kanssa</w:t>
      </w:r>
    </w:p>
    <w:p w14:paraId="0763DACE" w14:textId="259DBBF0" w:rsidR="007458DE" w:rsidRPr="007458DE" w:rsidRDefault="007458DE" w:rsidP="007458DE">
      <w:pPr>
        <w:jc w:val="both"/>
        <w:rPr>
          <w:rFonts w:ascii="Arial" w:hAnsi="Arial" w:cs="Arial"/>
          <w:sz w:val="20"/>
        </w:rPr>
      </w:pPr>
    </w:p>
    <w:p w14:paraId="1CCDB52E" w14:textId="51C6F77F" w:rsidR="007458DE" w:rsidRPr="007458DE" w:rsidRDefault="007458DE" w:rsidP="007458DE">
      <w:pPr>
        <w:jc w:val="both"/>
        <w:rPr>
          <w:rFonts w:ascii="Arial" w:hAnsi="Arial" w:cs="Arial"/>
          <w:i/>
          <w:sz w:val="20"/>
        </w:rPr>
      </w:pPr>
      <w:r w:rsidRPr="007458DE">
        <w:rPr>
          <w:rFonts w:ascii="Arial" w:hAnsi="Arial" w:cs="Arial"/>
          <w:i/>
          <w:sz w:val="20"/>
        </w:rPr>
        <w:t>Su</w:t>
      </w:r>
      <w:r>
        <w:rPr>
          <w:rFonts w:ascii="Arial" w:hAnsi="Arial" w:cs="Arial"/>
          <w:i/>
          <w:sz w:val="20"/>
        </w:rPr>
        <w:t>ojattomat tienkäyttäjät</w:t>
      </w:r>
    </w:p>
    <w:p w14:paraId="1AAC5CDC" w14:textId="77777777" w:rsidR="007458DE" w:rsidRPr="007458DE" w:rsidRDefault="007458DE" w:rsidP="007458DE">
      <w:pPr>
        <w:jc w:val="both"/>
        <w:rPr>
          <w:rFonts w:ascii="Arial" w:hAnsi="Arial" w:cs="Arial"/>
          <w:sz w:val="20"/>
        </w:rPr>
      </w:pPr>
    </w:p>
    <w:p w14:paraId="617331C5" w14:textId="703EB723" w:rsidR="007458DE" w:rsidRPr="007458DE" w:rsidRDefault="007458DE" w:rsidP="007458DE">
      <w:pPr>
        <w:jc w:val="both"/>
        <w:rPr>
          <w:rFonts w:ascii="Arial" w:hAnsi="Arial" w:cs="Arial"/>
          <w:sz w:val="20"/>
          <w:highlight w:val="yellow"/>
        </w:rPr>
      </w:pPr>
      <w:r w:rsidRPr="007458DE">
        <w:rPr>
          <w:rFonts w:ascii="Arial" w:hAnsi="Arial" w:cs="Arial"/>
          <w:sz w:val="20"/>
        </w:rPr>
        <w:t>Suojattomien tienkäyttäjien suojelua pidettiin lausunnoissa yleisesti tärkeänä teemana ja kannatettavana lisäyksenä. Suojattomien tienkäyttäjien suojelu on 3 a luvun menettelyissä läpileikkaavana teemana ja siksi</w:t>
      </w:r>
      <w:r w:rsidR="00310447">
        <w:rPr>
          <w:rFonts w:ascii="Arial" w:hAnsi="Arial" w:cs="Arial"/>
          <w:sz w:val="20"/>
        </w:rPr>
        <w:t xml:space="preserve"> Väylävirasto</w:t>
      </w:r>
      <w:r w:rsidRPr="007458DE">
        <w:rPr>
          <w:rFonts w:ascii="Arial" w:hAnsi="Arial" w:cs="Arial"/>
          <w:sz w:val="20"/>
        </w:rPr>
        <w:t xml:space="preserve"> e</w:t>
      </w:r>
      <w:r w:rsidR="00310447">
        <w:rPr>
          <w:rFonts w:ascii="Arial" w:hAnsi="Arial" w:cs="Arial"/>
          <w:sz w:val="20"/>
        </w:rPr>
        <w:t>hdotti</w:t>
      </w:r>
      <w:r w:rsidRPr="007458DE">
        <w:rPr>
          <w:rFonts w:ascii="Arial" w:hAnsi="Arial" w:cs="Arial"/>
          <w:sz w:val="20"/>
        </w:rPr>
        <w:t xml:space="preserve"> säännöksen sijoittamista 3 a luvun alkuun soveltamisalasäännöksen jälkeen.  Erittäin positiivisena asiana nähtiin suojattomien tienkäyttäjien huomiointi eri tason tarkastuksissa ja rakennusvaiheen liikenteenohjaussuunnitelmissa omana ryhmänään, koska tämä parantaisi näiden tienkäyttäjien liikenneturvallisuutta huomattavasti. </w:t>
      </w:r>
    </w:p>
    <w:p w14:paraId="1B494835" w14:textId="77777777" w:rsidR="007458DE" w:rsidRPr="007458DE" w:rsidRDefault="007458DE" w:rsidP="007458DE">
      <w:pPr>
        <w:jc w:val="both"/>
        <w:rPr>
          <w:rFonts w:ascii="Arial" w:hAnsi="Arial" w:cs="Arial"/>
          <w:sz w:val="20"/>
        </w:rPr>
      </w:pPr>
    </w:p>
    <w:p w14:paraId="6563D379" w14:textId="77777777" w:rsidR="007458DE" w:rsidRPr="007458DE" w:rsidRDefault="007458DE" w:rsidP="007458DE">
      <w:pPr>
        <w:jc w:val="both"/>
        <w:rPr>
          <w:rFonts w:ascii="Arial" w:hAnsi="Arial" w:cs="Arial"/>
          <w:sz w:val="20"/>
        </w:rPr>
      </w:pPr>
      <w:r w:rsidRPr="007458DE">
        <w:rPr>
          <w:rFonts w:ascii="Arial" w:hAnsi="Arial" w:cs="Arial"/>
          <w:sz w:val="20"/>
        </w:rPr>
        <w:t>Lausunnoissa todettiin kuitenkin myös, että on tärkeää, että tavaraliikenteen ajoneuvot ja yhdistelmät voivat liikkua turvallisesti ja taloudellisesti tieverkolla. Suojaamattomien tienkäyttäjien huomioiminen on kannatettavaa kokonaisturvallisuutta arvioitaessa.</w:t>
      </w:r>
    </w:p>
    <w:p w14:paraId="41B4A7F7" w14:textId="77777777" w:rsidR="007458DE" w:rsidRPr="007458DE" w:rsidRDefault="007458DE" w:rsidP="007458DE">
      <w:pPr>
        <w:jc w:val="both"/>
        <w:rPr>
          <w:rFonts w:ascii="Arial" w:hAnsi="Arial" w:cs="Arial"/>
          <w:sz w:val="20"/>
        </w:rPr>
      </w:pPr>
    </w:p>
    <w:p w14:paraId="4A9C94DB" w14:textId="154F8E2A" w:rsidR="007458DE" w:rsidRPr="007458DE" w:rsidRDefault="007458DE" w:rsidP="007458DE">
      <w:pPr>
        <w:jc w:val="both"/>
        <w:rPr>
          <w:rFonts w:ascii="Arial" w:hAnsi="Arial" w:cs="Arial"/>
          <w:i/>
          <w:sz w:val="20"/>
        </w:rPr>
      </w:pPr>
      <w:r w:rsidRPr="007458DE">
        <w:rPr>
          <w:rFonts w:ascii="Arial" w:hAnsi="Arial" w:cs="Arial"/>
          <w:i/>
          <w:sz w:val="20"/>
        </w:rPr>
        <w:t>Verkon laajuinen t</w:t>
      </w:r>
      <w:r>
        <w:rPr>
          <w:rFonts w:ascii="Arial" w:hAnsi="Arial" w:cs="Arial"/>
          <w:i/>
          <w:sz w:val="20"/>
        </w:rPr>
        <w:t>ieturvallisuusarviointi</w:t>
      </w:r>
    </w:p>
    <w:p w14:paraId="74078580" w14:textId="77777777" w:rsidR="007458DE" w:rsidRPr="007458DE" w:rsidRDefault="007458DE" w:rsidP="007458DE">
      <w:pPr>
        <w:jc w:val="both"/>
        <w:rPr>
          <w:rFonts w:ascii="Arial" w:hAnsi="Arial" w:cs="Arial"/>
          <w:sz w:val="20"/>
        </w:rPr>
      </w:pPr>
    </w:p>
    <w:p w14:paraId="5F996793" w14:textId="6C7F80B4" w:rsidR="007458DE" w:rsidRPr="007458DE" w:rsidRDefault="007458DE" w:rsidP="00A269C1">
      <w:pPr>
        <w:jc w:val="both"/>
        <w:rPr>
          <w:rFonts w:ascii="Arial" w:hAnsi="Arial" w:cs="Arial"/>
          <w:sz w:val="20"/>
        </w:rPr>
      </w:pPr>
      <w:r w:rsidRPr="007458DE">
        <w:rPr>
          <w:rFonts w:ascii="Arial" w:hAnsi="Arial" w:cs="Arial"/>
          <w:sz w:val="20"/>
        </w:rPr>
        <w:t xml:space="preserve">Lausunnoissa nähtiin positiivisena kehitysaskeleena ehdotettu tieosuuksien luokittelun korvaaminen koko verkon laajuisella tieturvallisuusarvioinnilla ja että vastuu verkon laajuisen tieturvallisuusarvioinnin toteuttamisesta on selkeästi Väylävirastolla, jolla katsottiin olevan parhaat valmiudet ja edellytykset verkon laajuisen turvallisuusarvioinnin tekemiseksi. </w:t>
      </w:r>
      <w:r w:rsidR="00A269C1">
        <w:rPr>
          <w:rFonts w:ascii="Arial" w:hAnsi="Arial" w:cs="Arial"/>
          <w:sz w:val="20"/>
        </w:rPr>
        <w:t xml:space="preserve">Samoin katsottiin, että </w:t>
      </w:r>
      <w:r w:rsidR="00A269C1" w:rsidRPr="00A269C1">
        <w:rPr>
          <w:rFonts w:ascii="Arial" w:hAnsi="Arial" w:cs="Arial"/>
          <w:sz w:val="20"/>
        </w:rPr>
        <w:t>ammattitaidolla tehtävä</w:t>
      </w:r>
      <w:r w:rsidR="00A269C1">
        <w:rPr>
          <w:rFonts w:ascii="Arial" w:hAnsi="Arial" w:cs="Arial"/>
          <w:sz w:val="20"/>
        </w:rPr>
        <w:t xml:space="preserve">t arvioinnit ja tarkastukset ovat suhteellisen </w:t>
      </w:r>
      <w:r w:rsidR="00A269C1" w:rsidRPr="00A269C1">
        <w:rPr>
          <w:rFonts w:ascii="Arial" w:hAnsi="Arial" w:cs="Arial"/>
          <w:sz w:val="20"/>
        </w:rPr>
        <w:t>pieni kustannuserä</w:t>
      </w:r>
      <w:r w:rsidR="00A269C1">
        <w:rPr>
          <w:rFonts w:ascii="Arial" w:hAnsi="Arial" w:cs="Arial"/>
          <w:sz w:val="20"/>
        </w:rPr>
        <w:t>, jos sillä vältetään suunnittel</w:t>
      </w:r>
      <w:r w:rsidR="00A269C1" w:rsidRPr="00A269C1">
        <w:rPr>
          <w:rFonts w:ascii="Arial" w:hAnsi="Arial" w:cs="Arial"/>
          <w:sz w:val="20"/>
        </w:rPr>
        <w:t>u- ja rakennus- ja</w:t>
      </w:r>
      <w:r w:rsidR="00A269C1">
        <w:rPr>
          <w:rFonts w:ascii="Arial" w:hAnsi="Arial" w:cs="Arial"/>
          <w:sz w:val="20"/>
        </w:rPr>
        <w:t xml:space="preserve"> käyttöönottovaiheessa tehtäviä </w:t>
      </w:r>
      <w:r w:rsidR="00A269C1" w:rsidRPr="00A269C1">
        <w:rPr>
          <w:rFonts w:ascii="Arial" w:hAnsi="Arial" w:cs="Arial"/>
          <w:sz w:val="20"/>
        </w:rPr>
        <w:t>turvallisuutta vaarantavia virheitä.</w:t>
      </w:r>
      <w:r w:rsidR="00A269C1" w:rsidRPr="00A269C1">
        <w:rPr>
          <w:rFonts w:ascii="Arial" w:hAnsi="Arial" w:cs="Arial"/>
          <w:sz w:val="20"/>
        </w:rPr>
        <w:cr/>
      </w:r>
    </w:p>
    <w:p w14:paraId="1B2757C8" w14:textId="77777777" w:rsidR="007458DE" w:rsidRPr="007458DE" w:rsidRDefault="007458DE" w:rsidP="007458DE">
      <w:pPr>
        <w:jc w:val="both"/>
        <w:rPr>
          <w:rFonts w:ascii="Arial" w:hAnsi="Arial" w:cs="Arial"/>
          <w:sz w:val="20"/>
        </w:rPr>
      </w:pPr>
    </w:p>
    <w:p w14:paraId="4F5F6447" w14:textId="621D3051" w:rsidR="007458DE" w:rsidRPr="007458DE" w:rsidRDefault="007458DE" w:rsidP="007458DE">
      <w:pPr>
        <w:jc w:val="both"/>
        <w:rPr>
          <w:rFonts w:ascii="Arial" w:hAnsi="Arial" w:cs="Arial"/>
          <w:i/>
          <w:sz w:val="20"/>
        </w:rPr>
      </w:pPr>
      <w:r w:rsidRPr="007458DE">
        <w:rPr>
          <w:rFonts w:ascii="Arial" w:hAnsi="Arial" w:cs="Arial"/>
          <w:i/>
          <w:sz w:val="20"/>
        </w:rPr>
        <w:t>Kohdennetut tiet</w:t>
      </w:r>
      <w:r>
        <w:rPr>
          <w:rFonts w:ascii="Arial" w:hAnsi="Arial" w:cs="Arial"/>
          <w:i/>
          <w:sz w:val="20"/>
        </w:rPr>
        <w:t xml:space="preserve">urvallisuustarkastukset </w:t>
      </w:r>
    </w:p>
    <w:p w14:paraId="1996E2B8" w14:textId="77777777" w:rsidR="007458DE" w:rsidRPr="007458DE" w:rsidRDefault="007458DE" w:rsidP="007458DE">
      <w:pPr>
        <w:jc w:val="both"/>
        <w:rPr>
          <w:rFonts w:ascii="Arial" w:hAnsi="Arial" w:cs="Arial"/>
          <w:sz w:val="20"/>
        </w:rPr>
      </w:pPr>
    </w:p>
    <w:p w14:paraId="4C846809" w14:textId="4A2A78BE" w:rsidR="007458DE" w:rsidRPr="007458DE" w:rsidRDefault="007458DE" w:rsidP="007458DE">
      <w:pPr>
        <w:jc w:val="both"/>
        <w:rPr>
          <w:rFonts w:ascii="Arial" w:hAnsi="Arial" w:cs="Arial"/>
          <w:sz w:val="20"/>
        </w:rPr>
      </w:pPr>
      <w:r w:rsidRPr="00DA5F39">
        <w:rPr>
          <w:rFonts w:ascii="Arial" w:hAnsi="Arial" w:cs="Arial"/>
          <w:sz w:val="20"/>
        </w:rPr>
        <w:t>Lausunnoissa katsottiin, että kohdennettujen tieturvallisuustarkastusten suhdetta määräaikaisiin tieturvallisuustarkastuksiin ja suunnitelmien yhteydessä tehtäviin auditointeihin olisi hyvä selkeyttää. Väyläviraston käsityksen mukaan kohdennettuja tarkastuksia tehtäisiin erityisesti tilanteessa, jossa tieosuudelle ei ole tulossa määräaikaistarkastusta tai hankesuunnitelmaa, jonka yhteydessä suoritettaisiin tieturvallisuusauditointi. Väyläviraston ja ELY-keskuksen lausunnoissa todetaan, että toimivaltainen ELY-keskus on varsinainen kohdennetun tieturvallisuustarkastuksen toteuttaja.</w:t>
      </w:r>
      <w:r w:rsidR="00F5281A" w:rsidRPr="00DA5F39">
        <w:rPr>
          <w:rFonts w:ascii="Arial" w:hAnsi="Arial" w:cs="Arial"/>
          <w:sz w:val="20"/>
        </w:rPr>
        <w:t xml:space="preserve"> Asia on huomioitu hallituksen esityksen perusteluissa.</w:t>
      </w:r>
    </w:p>
    <w:p w14:paraId="0E980E25" w14:textId="77777777" w:rsidR="007458DE" w:rsidRPr="00310447" w:rsidRDefault="007458DE" w:rsidP="007458DE">
      <w:pPr>
        <w:jc w:val="both"/>
        <w:rPr>
          <w:rFonts w:cstheme="minorHAnsi"/>
          <w:sz w:val="20"/>
        </w:rPr>
      </w:pPr>
    </w:p>
    <w:p w14:paraId="7A6351FE" w14:textId="453DBFEA" w:rsidR="007458DE" w:rsidRPr="00310447" w:rsidRDefault="007458DE" w:rsidP="007458DE">
      <w:pPr>
        <w:jc w:val="both"/>
        <w:rPr>
          <w:rFonts w:cstheme="minorHAnsi"/>
          <w:i/>
          <w:sz w:val="20"/>
        </w:rPr>
      </w:pPr>
      <w:r w:rsidRPr="00310447">
        <w:rPr>
          <w:rFonts w:cstheme="minorHAnsi"/>
          <w:i/>
          <w:sz w:val="20"/>
        </w:rPr>
        <w:t>Tieturvallisuusarvioija ja tieturvallisuusarvioijien koulutus</w:t>
      </w:r>
    </w:p>
    <w:p w14:paraId="4F4D7216" w14:textId="77777777" w:rsidR="007458DE" w:rsidRPr="00310447" w:rsidRDefault="007458DE" w:rsidP="007458DE">
      <w:pPr>
        <w:jc w:val="both"/>
        <w:rPr>
          <w:rFonts w:cstheme="minorHAnsi"/>
          <w:sz w:val="20"/>
        </w:rPr>
      </w:pPr>
    </w:p>
    <w:p w14:paraId="04F4C382" w14:textId="54049F98" w:rsidR="00310447" w:rsidRPr="00310447" w:rsidRDefault="007458DE" w:rsidP="00F5281A">
      <w:pPr>
        <w:pStyle w:val="LLKappalejako"/>
        <w:suppressAutoHyphens/>
        <w:ind w:firstLine="0"/>
        <w:rPr>
          <w:rFonts w:asciiTheme="minorHAnsi" w:hAnsiTheme="minorHAnsi" w:cstheme="minorHAnsi"/>
          <w:sz w:val="20"/>
          <w:szCs w:val="20"/>
        </w:rPr>
      </w:pPr>
      <w:r w:rsidRPr="00310447">
        <w:rPr>
          <w:rFonts w:asciiTheme="minorHAnsi" w:hAnsiTheme="minorHAnsi" w:cstheme="minorHAnsi"/>
          <w:sz w:val="20"/>
          <w:szCs w:val="20"/>
        </w:rPr>
        <w:lastRenderedPageBreak/>
        <w:t>Oikeusministeriö toteaa lausunnossa, että ehdotetun sääntelyn perusteella ei käy selkeästi ilmi, toteuttako Väylävirasto (kaikki) mainitut tarkastukset ja auditoinnit, joissa on kyse julkisen hallintotehtävän hoitamisesta vai hankkiiko se palvelun ulkopuolisilta asiantuntijoilta. Mikäli ar</w:t>
      </w:r>
      <w:r w:rsidR="00310447" w:rsidRPr="00310447">
        <w:rPr>
          <w:rFonts w:asciiTheme="minorHAnsi" w:hAnsiTheme="minorHAnsi" w:cstheme="minorHAnsi"/>
          <w:sz w:val="20"/>
          <w:szCs w:val="20"/>
        </w:rPr>
        <w:t>vioijat eivät ole viranomaistahoja</w:t>
      </w:r>
      <w:r w:rsidRPr="00310447">
        <w:rPr>
          <w:rFonts w:asciiTheme="minorHAnsi" w:hAnsiTheme="minorHAnsi" w:cstheme="minorHAnsi"/>
          <w:sz w:val="20"/>
          <w:szCs w:val="20"/>
        </w:rPr>
        <w:t>, sääntelyssä olisi arvioitava, onko arvioijien tehtävissä kyse julkisesta hallintotehtävästä ja jos on, huomioitava perustuslain 124 § ja sen asettamat reunaehdot julkisen hallintotehtävän s</w:t>
      </w:r>
      <w:r w:rsidR="00310447" w:rsidRPr="00310447">
        <w:rPr>
          <w:rFonts w:asciiTheme="minorHAnsi" w:hAnsiTheme="minorHAnsi" w:cstheme="minorHAnsi"/>
          <w:sz w:val="20"/>
          <w:szCs w:val="20"/>
        </w:rPr>
        <w:t>iirtämisessä ulkopuoliselle tahoille, jotka eivät ole viranomaisia.</w:t>
      </w:r>
      <w:r w:rsidRPr="00310447">
        <w:rPr>
          <w:rFonts w:asciiTheme="minorHAnsi" w:hAnsiTheme="minorHAnsi" w:cstheme="minorHAnsi"/>
          <w:sz w:val="20"/>
          <w:szCs w:val="20"/>
        </w:rPr>
        <w:t xml:space="preserve"> Säännöksessä esitetty sanamuoto </w:t>
      </w:r>
      <w:r w:rsidRPr="00310447">
        <w:rPr>
          <w:rFonts w:asciiTheme="minorHAnsi" w:hAnsiTheme="minorHAnsi" w:cstheme="minorHAnsi"/>
          <w:i/>
          <w:sz w:val="20"/>
          <w:szCs w:val="20"/>
        </w:rPr>
        <w:t>”tarvittavat palvelut</w:t>
      </w:r>
      <w:r w:rsidRPr="00310447">
        <w:rPr>
          <w:rFonts w:asciiTheme="minorHAnsi" w:hAnsiTheme="minorHAnsi" w:cstheme="minorHAnsi"/>
          <w:sz w:val="20"/>
          <w:szCs w:val="20"/>
        </w:rPr>
        <w:t>” jättää oikeusministeriön näkemyksen mukaan liian epämääräiseksi, onko kysymys julkisista hallintotehtävistä.</w:t>
      </w:r>
      <w:r w:rsidR="00310447" w:rsidRPr="00310447">
        <w:rPr>
          <w:rFonts w:asciiTheme="minorHAnsi" w:hAnsiTheme="minorHAnsi" w:cstheme="minorHAnsi"/>
          <w:sz w:val="20"/>
          <w:szCs w:val="20"/>
        </w:rPr>
        <w:t xml:space="preserve"> Hallituksen esityksen perusteluja on lausunnon johdosta täsmennetty ja todettu, että kyse on julkisen hallintotehtävän hoitamisesta, </w:t>
      </w:r>
      <w:r w:rsidR="00310447" w:rsidRPr="00310447">
        <w:rPr>
          <w:rFonts w:asciiTheme="minorHAnsi" w:hAnsiTheme="minorHAnsi" w:cstheme="minorHAnsi"/>
          <w:sz w:val="20"/>
          <w:szCs w:val="20"/>
        </w:rPr>
        <w:t>kuten on todettu myös pykälästä säädettäessä (HE 39</w:t>
      </w:r>
      <w:r w:rsidR="00310447" w:rsidRPr="00310447">
        <w:rPr>
          <w:rFonts w:asciiTheme="minorHAnsi" w:hAnsiTheme="minorHAnsi" w:cstheme="minorHAnsi"/>
          <w:sz w:val="20"/>
          <w:szCs w:val="20"/>
        </w:rPr>
        <w:t>/2012 vp). Laissa</w:t>
      </w:r>
      <w:r w:rsidR="00310447" w:rsidRPr="00310447">
        <w:rPr>
          <w:rFonts w:asciiTheme="minorHAnsi" w:hAnsiTheme="minorHAnsi" w:cstheme="minorHAnsi"/>
          <w:sz w:val="20"/>
          <w:szCs w:val="20"/>
        </w:rPr>
        <w:t xml:space="preserve"> on siksi myös säännökset hyvästä hallinnosta tehtävän suorittamisessa. Palvelun tuottajan on noudatettava, mitä hallintolaissa (434/2003), kielilaissa (423/2003), viranomaisten toiminnan julkisuudesta annetussa laissa (621/1999) ja arkistolaissa (831/1994) sekä yleisessä tietosuojalaissa (1050/2018) säädetään.</w:t>
      </w:r>
    </w:p>
    <w:p w14:paraId="55892427" w14:textId="7DC44641" w:rsidR="007458DE" w:rsidRPr="007458DE" w:rsidRDefault="007458DE" w:rsidP="007458DE">
      <w:pPr>
        <w:jc w:val="both"/>
        <w:rPr>
          <w:rFonts w:ascii="Arial" w:hAnsi="Arial" w:cs="Arial"/>
          <w:sz w:val="20"/>
        </w:rPr>
      </w:pPr>
    </w:p>
    <w:p w14:paraId="7D13D489" w14:textId="7A9FE8A5" w:rsidR="007458DE" w:rsidRPr="007458DE" w:rsidRDefault="007458DE" w:rsidP="007458DE">
      <w:pPr>
        <w:jc w:val="both"/>
        <w:rPr>
          <w:rFonts w:ascii="Arial" w:hAnsi="Arial" w:cs="Arial"/>
          <w:sz w:val="20"/>
        </w:rPr>
      </w:pPr>
      <w:r w:rsidRPr="007458DE">
        <w:rPr>
          <w:rFonts w:ascii="Arial" w:hAnsi="Arial" w:cs="Arial"/>
          <w:sz w:val="20"/>
        </w:rPr>
        <w:t xml:space="preserve">Toiseksi oikeusministeriön on lausunut erityisesti koskien tieturvallisuusarvioijien koulutukseen osallistuvien rekisterin pitämistä ja EU:n yleisen tietosuoja-asetuksen vaatimusten huomioonottamisesta rekisterin pitämistä koskevassa sääntelyssä (rekisterinpitäjä, julkinen tietopalvelu, henkilötietojen käsittelyä yleisessä tietoverkossa, PL 10 §:ssä turvatun yksityiselämän ja henkilötietojen suoja sekä tietojen säilytysajat).  Samoin voimassa olevan 43 f §:n pykälänumerointi muuttuu, jonka vuoksi myös muutoksenhakua koskevaa 105 a § olisi muutettava. </w:t>
      </w:r>
    </w:p>
    <w:p w14:paraId="7CCD94A9" w14:textId="77777777" w:rsidR="007458DE" w:rsidRPr="007458DE" w:rsidRDefault="007458DE" w:rsidP="007458DE">
      <w:pPr>
        <w:jc w:val="both"/>
        <w:rPr>
          <w:rFonts w:ascii="Arial" w:hAnsi="Arial" w:cs="Arial"/>
          <w:sz w:val="20"/>
        </w:rPr>
      </w:pPr>
    </w:p>
    <w:p w14:paraId="75CD1233" w14:textId="77777777" w:rsidR="007458DE" w:rsidRPr="007458DE" w:rsidRDefault="007458DE" w:rsidP="007458DE">
      <w:pPr>
        <w:jc w:val="both"/>
        <w:rPr>
          <w:rFonts w:ascii="Arial" w:hAnsi="Arial" w:cs="Arial"/>
          <w:sz w:val="20"/>
        </w:rPr>
      </w:pPr>
      <w:r w:rsidRPr="007458DE">
        <w:rPr>
          <w:rFonts w:ascii="Arial" w:hAnsi="Arial" w:cs="Arial"/>
          <w:sz w:val="20"/>
        </w:rPr>
        <w:t>Liikenne- ja viestintävirasto on pitänyt lausunnossaan kannatettavana ehdotusta pätevyyskoulutukseen osallistuvien rekisterin ylläpidosta ja pätevyyden omaavien nimien julkaisemisesta.</w:t>
      </w:r>
    </w:p>
    <w:p w14:paraId="574023A4" w14:textId="77777777" w:rsidR="007458DE" w:rsidRPr="007458DE" w:rsidRDefault="007458DE" w:rsidP="007458DE">
      <w:pPr>
        <w:jc w:val="both"/>
        <w:rPr>
          <w:rFonts w:ascii="Arial" w:hAnsi="Arial" w:cs="Arial"/>
          <w:sz w:val="20"/>
        </w:rPr>
      </w:pPr>
    </w:p>
    <w:p w14:paraId="52A420D2" w14:textId="77777777" w:rsidR="007458DE" w:rsidRPr="007458DE" w:rsidRDefault="007458DE" w:rsidP="007458DE">
      <w:pPr>
        <w:jc w:val="both"/>
        <w:rPr>
          <w:rFonts w:ascii="Arial" w:hAnsi="Arial" w:cs="Arial"/>
          <w:sz w:val="20"/>
        </w:rPr>
      </w:pPr>
    </w:p>
    <w:p w14:paraId="7D8BF4BF" w14:textId="77777777" w:rsidR="007458DE" w:rsidRPr="007458DE" w:rsidRDefault="007458DE" w:rsidP="007458DE">
      <w:pPr>
        <w:jc w:val="both"/>
        <w:rPr>
          <w:rFonts w:ascii="Arial" w:hAnsi="Arial" w:cs="Arial"/>
          <w:b/>
          <w:sz w:val="20"/>
        </w:rPr>
      </w:pPr>
      <w:r w:rsidRPr="007458DE">
        <w:rPr>
          <w:rFonts w:ascii="Arial" w:hAnsi="Arial" w:cs="Arial"/>
          <w:b/>
          <w:sz w:val="20"/>
        </w:rPr>
        <w:t xml:space="preserve">4 Keinot ja toimenpiteet </w:t>
      </w:r>
    </w:p>
    <w:p w14:paraId="7D394921" w14:textId="77777777" w:rsidR="007458DE" w:rsidRPr="007458DE" w:rsidRDefault="007458DE" w:rsidP="007458DE">
      <w:pPr>
        <w:jc w:val="both"/>
        <w:rPr>
          <w:rFonts w:ascii="Arial" w:hAnsi="Arial" w:cs="Arial"/>
          <w:sz w:val="20"/>
        </w:rPr>
      </w:pPr>
    </w:p>
    <w:p w14:paraId="19B78009" w14:textId="77777777" w:rsidR="007458DE" w:rsidRPr="007458DE" w:rsidRDefault="007458DE" w:rsidP="007458DE">
      <w:pPr>
        <w:jc w:val="both"/>
        <w:rPr>
          <w:rFonts w:ascii="Arial" w:hAnsi="Arial" w:cs="Arial"/>
          <w:i/>
          <w:sz w:val="20"/>
        </w:rPr>
      </w:pPr>
      <w:r w:rsidRPr="007458DE">
        <w:rPr>
          <w:rFonts w:ascii="Arial" w:hAnsi="Arial" w:cs="Arial"/>
          <w:i/>
          <w:sz w:val="20"/>
        </w:rPr>
        <w:t xml:space="preserve">Rahoitus </w:t>
      </w:r>
    </w:p>
    <w:p w14:paraId="2FB7954A" w14:textId="77777777" w:rsidR="007458DE" w:rsidRPr="007458DE" w:rsidRDefault="007458DE" w:rsidP="007458DE">
      <w:pPr>
        <w:jc w:val="both"/>
        <w:rPr>
          <w:rFonts w:ascii="Arial" w:hAnsi="Arial" w:cs="Arial"/>
          <w:sz w:val="20"/>
          <w:highlight w:val="yellow"/>
        </w:rPr>
      </w:pPr>
    </w:p>
    <w:p w14:paraId="1820EA73" w14:textId="5BD09E1E" w:rsidR="007458DE" w:rsidRPr="00DA5F39" w:rsidRDefault="007458DE" w:rsidP="007458DE">
      <w:pPr>
        <w:jc w:val="both"/>
        <w:rPr>
          <w:rFonts w:ascii="Arial" w:hAnsi="Arial" w:cs="Arial"/>
          <w:sz w:val="20"/>
        </w:rPr>
      </w:pPr>
      <w:r w:rsidRPr="00DA5F39">
        <w:rPr>
          <w:rFonts w:ascii="Arial" w:hAnsi="Arial" w:cs="Arial"/>
          <w:sz w:val="20"/>
        </w:rPr>
        <w:t xml:space="preserve">Useat lausunnonantajat katsovat, että tienpidon rahoituksen tasolla on selkeä yhteys mahdollisuuteen parantaa liikenneturvallisuutta. </w:t>
      </w:r>
      <w:r w:rsidR="00CD5409" w:rsidRPr="00DA5F39">
        <w:rPr>
          <w:rFonts w:ascii="Arial" w:hAnsi="Arial" w:cs="Arial"/>
          <w:sz w:val="20"/>
        </w:rPr>
        <w:t>L</w:t>
      </w:r>
      <w:r w:rsidR="00CD5409" w:rsidRPr="00DA5F39">
        <w:rPr>
          <w:rFonts w:ascii="Arial" w:hAnsi="Arial" w:cs="Arial"/>
          <w:sz w:val="20"/>
        </w:rPr>
        <w:t>iikenneturvallisuuden paraneminen riippuu maantieverkolla toteutt</w:t>
      </w:r>
      <w:r w:rsidR="00CD5409" w:rsidRPr="00DA5F39">
        <w:rPr>
          <w:rFonts w:ascii="Arial" w:hAnsi="Arial" w:cs="Arial"/>
          <w:sz w:val="20"/>
        </w:rPr>
        <w:t xml:space="preserve">avista konkreettisista </w:t>
      </w:r>
      <w:r w:rsidR="00CD5409" w:rsidRPr="00DA5F39">
        <w:rPr>
          <w:rFonts w:ascii="Arial" w:hAnsi="Arial" w:cs="Arial"/>
          <w:sz w:val="20"/>
        </w:rPr>
        <w:t>toimenpiteistä, jotka ovat sidoksissa tienpidon rahoitustasoon</w:t>
      </w:r>
      <w:r w:rsidR="00CD5409" w:rsidRPr="00DA5F39">
        <w:rPr>
          <w:rFonts w:ascii="Arial" w:hAnsi="Arial" w:cs="Arial"/>
          <w:sz w:val="20"/>
        </w:rPr>
        <w:t xml:space="preserve"> sekä siihen, miten direktiivin </w:t>
      </w:r>
      <w:r w:rsidR="00CD5409" w:rsidRPr="00DA5F39">
        <w:rPr>
          <w:rFonts w:ascii="Arial" w:hAnsi="Arial" w:cs="Arial"/>
          <w:sz w:val="20"/>
        </w:rPr>
        <w:t>edellyttämien toimenpiteiden tuottama tieto huomioidaan hankkeid</w:t>
      </w:r>
      <w:r w:rsidR="00CD5409" w:rsidRPr="00DA5F39">
        <w:rPr>
          <w:rFonts w:ascii="Arial" w:hAnsi="Arial" w:cs="Arial"/>
          <w:sz w:val="20"/>
        </w:rPr>
        <w:t xml:space="preserve">en valinnassa ja rahoituksessa. </w:t>
      </w:r>
      <w:r w:rsidRPr="00DA5F39">
        <w:rPr>
          <w:rFonts w:ascii="Arial" w:hAnsi="Arial" w:cs="Arial"/>
          <w:sz w:val="20"/>
        </w:rPr>
        <w:t xml:space="preserve">Joissakin lausunnoissa pidettiin huolestuttavana sitä, että valmisteilla olevan valtakunnallisen liikennejärjestelmäsuunnitelman rahoitusraami ei näytä tuovan resursseja liikenneturvallisuuden parantamistoimenpiteiden tehokkaaseen edistämiseen. </w:t>
      </w:r>
    </w:p>
    <w:p w14:paraId="6D4ED942" w14:textId="02291643" w:rsidR="00CD5409" w:rsidRPr="00DA5F39" w:rsidRDefault="00CD5409" w:rsidP="007458DE">
      <w:pPr>
        <w:jc w:val="both"/>
        <w:rPr>
          <w:rFonts w:ascii="Arial" w:hAnsi="Arial" w:cs="Arial"/>
          <w:sz w:val="20"/>
        </w:rPr>
      </w:pPr>
    </w:p>
    <w:p w14:paraId="7D47B8F7" w14:textId="751C196E" w:rsidR="00CD5409" w:rsidRPr="00DA5F39" w:rsidRDefault="00CD5409" w:rsidP="007458DE">
      <w:pPr>
        <w:jc w:val="both"/>
        <w:rPr>
          <w:rFonts w:ascii="Arial" w:hAnsi="Arial" w:cs="Arial"/>
          <w:sz w:val="20"/>
        </w:rPr>
      </w:pPr>
      <w:r w:rsidRPr="00DA5F39">
        <w:rPr>
          <w:sz w:val="20"/>
        </w:rPr>
        <w:t>T</w:t>
      </w:r>
      <w:r w:rsidR="00DA5F39">
        <w:rPr>
          <w:sz w:val="20"/>
        </w:rPr>
        <w:t>raficom</w:t>
      </w:r>
      <w:r w:rsidRPr="00DA5F39">
        <w:rPr>
          <w:sz w:val="20"/>
        </w:rPr>
        <w:t xml:space="preserve"> totesi direktiivin täytäntöönpanolla olevan resurssivaikutuksia</w:t>
      </w:r>
      <w:r w:rsidRPr="00DA5F39">
        <w:rPr>
          <w:sz w:val="20"/>
        </w:rPr>
        <w:t xml:space="preserve"> direktiivin mukaisten menettelyjen käyttöönottoon</w:t>
      </w:r>
      <w:r w:rsidR="00DA5F39" w:rsidRPr="00DA5F39">
        <w:rPr>
          <w:sz w:val="20"/>
        </w:rPr>
        <w:t xml:space="preserve"> sekä t</w:t>
      </w:r>
      <w:r w:rsidR="00DA5F39" w:rsidRPr="00DA5F39">
        <w:rPr>
          <w:sz w:val="20"/>
        </w:rPr>
        <w:t>ieturvallisuusarvioij</w:t>
      </w:r>
      <w:r w:rsidR="00DA5F39" w:rsidRPr="00DA5F39">
        <w:rPr>
          <w:sz w:val="20"/>
        </w:rPr>
        <w:t xml:space="preserve">an koulutuksen sisällön päivitykseen </w:t>
      </w:r>
      <w:r w:rsidRPr="00DA5F39">
        <w:rPr>
          <w:sz w:val="20"/>
        </w:rPr>
        <w:t>liittyen</w:t>
      </w:r>
      <w:r w:rsidRPr="00DA5F39">
        <w:rPr>
          <w:sz w:val="20"/>
        </w:rPr>
        <w:t xml:space="preserve">. </w:t>
      </w:r>
      <w:bookmarkStart w:id="0" w:name="_GoBack"/>
      <w:bookmarkEnd w:id="0"/>
    </w:p>
    <w:p w14:paraId="41CEF7B2" w14:textId="77777777" w:rsidR="007458DE" w:rsidRPr="007458DE" w:rsidRDefault="007458DE" w:rsidP="007458DE">
      <w:pPr>
        <w:jc w:val="both"/>
        <w:rPr>
          <w:rFonts w:ascii="Arial" w:hAnsi="Arial" w:cs="Arial"/>
          <w:sz w:val="20"/>
        </w:rPr>
      </w:pPr>
    </w:p>
    <w:p w14:paraId="3C01512A" w14:textId="77777777" w:rsidR="007458DE" w:rsidRPr="007458DE" w:rsidRDefault="007458DE" w:rsidP="007458DE">
      <w:pPr>
        <w:jc w:val="both"/>
        <w:rPr>
          <w:rFonts w:ascii="Arial" w:hAnsi="Arial" w:cs="Arial"/>
          <w:i/>
          <w:sz w:val="20"/>
        </w:rPr>
      </w:pPr>
      <w:r w:rsidRPr="007458DE">
        <w:rPr>
          <w:rFonts w:ascii="Arial" w:hAnsi="Arial" w:cs="Arial"/>
          <w:i/>
          <w:sz w:val="20"/>
        </w:rPr>
        <w:t>Tietopohja</w:t>
      </w:r>
    </w:p>
    <w:p w14:paraId="19938882" w14:textId="77777777" w:rsidR="007458DE" w:rsidRPr="007458DE" w:rsidRDefault="007458DE" w:rsidP="007458DE">
      <w:pPr>
        <w:jc w:val="both"/>
        <w:rPr>
          <w:rFonts w:ascii="Arial" w:hAnsi="Arial" w:cs="Arial"/>
          <w:sz w:val="20"/>
        </w:rPr>
      </w:pPr>
    </w:p>
    <w:p w14:paraId="4BE8AB4F" w14:textId="77777777" w:rsidR="007458DE" w:rsidRPr="007458DE" w:rsidRDefault="007458DE" w:rsidP="007458DE">
      <w:pPr>
        <w:jc w:val="both"/>
        <w:rPr>
          <w:rFonts w:ascii="Arial" w:hAnsi="Arial" w:cs="Arial"/>
          <w:sz w:val="20"/>
        </w:rPr>
      </w:pPr>
      <w:r w:rsidRPr="007458DE">
        <w:rPr>
          <w:rFonts w:ascii="Arial" w:hAnsi="Arial" w:cs="Arial"/>
          <w:sz w:val="20"/>
        </w:rPr>
        <w:t xml:space="preserve">Onnettomuustietoinstituutti korosti lausunnossaan turvallisuuden parantamiseksi käytettävissä olevia tietovarantoja, joita voidaan hyödyntää turvallisuusarvioinneissa. Liikenneonnettomuuksien tutkijalautakunnat tutkivat kaikki tie- ja maastoliikenteessä tapahtuneet kuolemaan johtaneet onnettomuudet. Tutkijalautakunnat keräävät monipuolisesti tietoa onnettomuuksista, arvioivat onnettomuuksien syntyyn ja seurauksiin vaikuttaneita riskitekijöitä sekä esittävät turvallisuuden parannusehdotuksia. Lisäksi on aloitettu kevyeen tutkintamenetelmään perustuva onnettomuustutkinta, jolla kerätään kattavaa tietoa tie- ja maastoliikenteessä tapahtuneista vakavaan vammautumiseen johtaneista onnettomuuksista. Menetelmällä saadaan aiempaa kattavampaa tietoa turvallisuuden parantamiseksi erityisesti suojattomien tienkäyttäjien onnettomuuksista. Onnettomuustutkinnassa kerätty tieto on käytettävissä liikenneturvallisuutta edistävään viranomaistyöhön, kuten tieverkon turvallisuusarviointeihin. </w:t>
      </w:r>
    </w:p>
    <w:p w14:paraId="3800C580" w14:textId="77777777" w:rsidR="007458DE" w:rsidRPr="007458DE" w:rsidRDefault="007458DE" w:rsidP="007458DE">
      <w:pPr>
        <w:jc w:val="both"/>
        <w:rPr>
          <w:rFonts w:ascii="Arial" w:hAnsi="Arial" w:cs="Arial"/>
          <w:sz w:val="20"/>
        </w:rPr>
      </w:pPr>
    </w:p>
    <w:p w14:paraId="10A58423" w14:textId="77777777" w:rsidR="007458DE" w:rsidRPr="007458DE" w:rsidRDefault="007458DE" w:rsidP="007458DE">
      <w:pPr>
        <w:jc w:val="both"/>
        <w:rPr>
          <w:rFonts w:ascii="Arial" w:hAnsi="Arial" w:cs="Arial"/>
          <w:i/>
          <w:sz w:val="20"/>
        </w:rPr>
      </w:pPr>
      <w:r w:rsidRPr="007458DE">
        <w:rPr>
          <w:rFonts w:ascii="Arial" w:hAnsi="Arial" w:cs="Arial"/>
          <w:i/>
          <w:sz w:val="20"/>
        </w:rPr>
        <w:t xml:space="preserve">Toimet liikenneturvallisuuden parantamiseksi </w:t>
      </w:r>
    </w:p>
    <w:p w14:paraId="38CAF4E1" w14:textId="77777777" w:rsidR="007458DE" w:rsidRPr="007458DE" w:rsidRDefault="007458DE" w:rsidP="007458DE">
      <w:pPr>
        <w:jc w:val="both"/>
        <w:rPr>
          <w:rFonts w:ascii="Arial" w:hAnsi="Arial" w:cs="Arial"/>
          <w:sz w:val="20"/>
          <w:highlight w:val="yellow"/>
        </w:rPr>
      </w:pPr>
    </w:p>
    <w:p w14:paraId="5D211E20" w14:textId="1501CAE6" w:rsidR="007458DE" w:rsidRPr="007458DE" w:rsidRDefault="007458DE" w:rsidP="007458DE">
      <w:pPr>
        <w:jc w:val="both"/>
        <w:rPr>
          <w:rFonts w:ascii="Arial" w:hAnsi="Arial" w:cs="Arial"/>
          <w:sz w:val="20"/>
        </w:rPr>
      </w:pPr>
      <w:r w:rsidRPr="007458DE">
        <w:rPr>
          <w:rFonts w:ascii="Arial" w:hAnsi="Arial" w:cs="Arial"/>
          <w:sz w:val="20"/>
        </w:rPr>
        <w:t>Muutamissa lausunnoissa</w:t>
      </w:r>
      <w:r w:rsidR="00343293">
        <w:rPr>
          <w:rFonts w:ascii="Arial" w:hAnsi="Arial" w:cs="Arial"/>
          <w:sz w:val="20"/>
        </w:rPr>
        <w:t xml:space="preserve"> (</w:t>
      </w:r>
      <w:r w:rsidR="00343293">
        <w:rPr>
          <w:rFonts w:ascii="Arial" w:hAnsi="Arial" w:cs="Arial"/>
        </w:rPr>
        <w:t>muun muassa Tieyhdistys, Rak</w:t>
      </w:r>
      <w:r w:rsidR="00343293">
        <w:rPr>
          <w:rFonts w:ascii="Arial" w:hAnsi="Arial" w:cs="Arial"/>
        </w:rPr>
        <w:t>ennusteollisuus RT ja INFRA ry)</w:t>
      </w:r>
      <w:r w:rsidRPr="007458DE">
        <w:rPr>
          <w:rFonts w:ascii="Arial" w:hAnsi="Arial" w:cs="Arial"/>
          <w:sz w:val="20"/>
        </w:rPr>
        <w:t xml:space="preserve"> katsottiin</w:t>
      </w:r>
      <w:r w:rsidR="00343293">
        <w:rPr>
          <w:rFonts w:ascii="Arial" w:hAnsi="Arial" w:cs="Arial"/>
          <w:sz w:val="20"/>
        </w:rPr>
        <w:t xml:space="preserve"> direktiivin mukaisten toteutettavien toimien osalta</w:t>
      </w:r>
      <w:r w:rsidRPr="007458DE">
        <w:rPr>
          <w:rFonts w:ascii="Arial" w:hAnsi="Arial" w:cs="Arial"/>
          <w:sz w:val="20"/>
        </w:rPr>
        <w:t>, että toimivin keino vähentää kuolonuhreja ja vakavia loukkaantumi</w:t>
      </w:r>
      <w:r w:rsidR="00343293">
        <w:rPr>
          <w:rFonts w:ascii="Arial" w:hAnsi="Arial" w:cs="Arial"/>
          <w:sz w:val="20"/>
        </w:rPr>
        <w:t>sia kohtaamisonnettomuuksissa olisi</w:t>
      </w:r>
      <w:r w:rsidRPr="007458DE">
        <w:rPr>
          <w:rFonts w:ascii="Arial" w:hAnsi="Arial" w:cs="Arial"/>
          <w:sz w:val="20"/>
        </w:rPr>
        <w:t xml:space="preserve"> parantaa tieverkon infrastruktuuria nykyisestä tasosta muun muassa lisäämällä riskialttiille kohteille keskikaideratkaisuja ajosuuntien erottamiseksi ja lisätä turvallisia ohituskaistaosuuksia. Koko liikennejärjestelmän kannalta katsottiin olevan olennaista, että tiet ovat sellaisessa kunnossa, että niillä voi liikkua turvallisesti. Joidenkin lausunnonantajien näkemyksen mukaan tehokkain keino vähentää kuolonuhreja ja kohtaamisonnettomuuksissa loukkaantuneiden määrää on modernisoida </w:t>
      </w:r>
      <w:r w:rsidRPr="007458DE">
        <w:rPr>
          <w:rFonts w:ascii="Arial" w:hAnsi="Arial" w:cs="Arial"/>
          <w:sz w:val="20"/>
        </w:rPr>
        <w:lastRenderedPageBreak/>
        <w:t>keskeisimmät ja vilkasliikenteisimmät maantieosuudet keskikaiteella tai keskikaistalla erotetuiksi nelikaistaisiksi moottoritie- tai moottoriliikennetietasoisiksi väyliksi.</w:t>
      </w:r>
    </w:p>
    <w:p w14:paraId="5A8D88EA" w14:textId="77777777" w:rsidR="007458DE" w:rsidRPr="007458DE" w:rsidRDefault="007458DE" w:rsidP="007458DE">
      <w:pPr>
        <w:jc w:val="both"/>
        <w:rPr>
          <w:rFonts w:ascii="Arial" w:hAnsi="Arial" w:cs="Arial"/>
          <w:sz w:val="20"/>
        </w:rPr>
      </w:pPr>
    </w:p>
    <w:p w14:paraId="02CA6A4E" w14:textId="77777777" w:rsidR="007458DE" w:rsidRPr="007458DE" w:rsidRDefault="007458DE" w:rsidP="007458DE">
      <w:pPr>
        <w:jc w:val="both"/>
        <w:rPr>
          <w:rFonts w:ascii="Arial" w:hAnsi="Arial" w:cs="Arial"/>
          <w:sz w:val="20"/>
        </w:rPr>
      </w:pPr>
      <w:r w:rsidRPr="007458DE">
        <w:rPr>
          <w:rFonts w:ascii="Arial" w:hAnsi="Arial" w:cs="Arial"/>
          <w:sz w:val="20"/>
        </w:rPr>
        <w:t>Lausunnoissa todettiin, että teiden kunnossapidon ja päivittäishoidon sekä paremman liikenneturvallisuuden välillä on korrelaatio. Useat toimijat pitävät perusteltuna esille tuotua kytkentää teiden kunnossapidon ja paremman liikenneturvallisuuden välillä. Samoin katsottiin, että kunnossapitotyötä suorittavilla yrityksillä on erittäin hyvät mahdollisuudet tehdä kattavia ja jatkuvia havaintoja väyläverkolla olevista turvallisuuspuutteista sekä esittää toimenpide-ehdotuksia turvallisuuspuitteiden poistamiseksi.</w:t>
      </w:r>
    </w:p>
    <w:p w14:paraId="2A5CD807" w14:textId="77777777" w:rsidR="007458DE" w:rsidRPr="007458DE" w:rsidRDefault="007458DE" w:rsidP="007458DE">
      <w:pPr>
        <w:jc w:val="both"/>
        <w:rPr>
          <w:rFonts w:ascii="Arial" w:hAnsi="Arial" w:cs="Arial"/>
          <w:sz w:val="20"/>
        </w:rPr>
      </w:pPr>
    </w:p>
    <w:p w14:paraId="46D84608" w14:textId="77777777" w:rsidR="007458DE" w:rsidRPr="007458DE" w:rsidRDefault="007458DE" w:rsidP="007458DE">
      <w:pPr>
        <w:jc w:val="both"/>
        <w:rPr>
          <w:rFonts w:ascii="Arial" w:hAnsi="Arial" w:cs="Arial"/>
          <w:i/>
          <w:sz w:val="20"/>
        </w:rPr>
      </w:pPr>
      <w:r w:rsidRPr="007458DE">
        <w:rPr>
          <w:rFonts w:ascii="Arial" w:hAnsi="Arial" w:cs="Arial"/>
          <w:i/>
          <w:sz w:val="20"/>
        </w:rPr>
        <w:t xml:space="preserve">Muuta </w:t>
      </w:r>
    </w:p>
    <w:p w14:paraId="7203884E" w14:textId="77777777" w:rsidR="007458DE" w:rsidRPr="007458DE" w:rsidRDefault="007458DE" w:rsidP="007458DE">
      <w:pPr>
        <w:jc w:val="both"/>
        <w:rPr>
          <w:rFonts w:ascii="Arial" w:hAnsi="Arial" w:cs="Arial"/>
          <w:sz w:val="20"/>
        </w:rPr>
      </w:pPr>
    </w:p>
    <w:p w14:paraId="0C910BA7" w14:textId="749E089C" w:rsidR="007458DE" w:rsidRPr="007458DE" w:rsidRDefault="007458DE" w:rsidP="00A269C1">
      <w:pPr>
        <w:jc w:val="both"/>
        <w:rPr>
          <w:rFonts w:ascii="Arial" w:hAnsi="Arial" w:cs="Arial"/>
          <w:sz w:val="20"/>
        </w:rPr>
      </w:pPr>
      <w:r w:rsidRPr="007458DE">
        <w:rPr>
          <w:rFonts w:ascii="Arial" w:hAnsi="Arial" w:cs="Arial"/>
          <w:sz w:val="20"/>
        </w:rPr>
        <w:t xml:space="preserve">Muutamat </w:t>
      </w:r>
      <w:r w:rsidRPr="00343293">
        <w:rPr>
          <w:rFonts w:ascii="Arial" w:hAnsi="Arial" w:cs="Arial"/>
          <w:sz w:val="20"/>
        </w:rPr>
        <w:t>lausunnonantajat</w:t>
      </w:r>
      <w:r w:rsidR="00310447" w:rsidRPr="00343293">
        <w:rPr>
          <w:rFonts w:ascii="Arial" w:hAnsi="Arial" w:cs="Arial"/>
          <w:sz w:val="20"/>
        </w:rPr>
        <w:t xml:space="preserve"> (</w:t>
      </w:r>
      <w:r w:rsidR="00343293" w:rsidRPr="00343293">
        <w:rPr>
          <w:rFonts w:ascii="Arial" w:hAnsi="Arial" w:cs="Arial"/>
          <w:sz w:val="20"/>
        </w:rPr>
        <w:t>muun muassa Metsäteollisuus ry, Rakennusteollisuus RT ja INFRA ry</w:t>
      </w:r>
      <w:r w:rsidR="00343293" w:rsidRPr="00343293">
        <w:rPr>
          <w:rFonts w:ascii="Arial" w:hAnsi="Arial" w:cs="Arial"/>
          <w:sz w:val="20"/>
        </w:rPr>
        <w:t>)</w:t>
      </w:r>
      <w:r w:rsidRPr="00343293">
        <w:rPr>
          <w:rFonts w:ascii="Arial" w:hAnsi="Arial" w:cs="Arial"/>
          <w:sz w:val="20"/>
        </w:rPr>
        <w:t xml:space="preserve"> esittivät 3.3 </w:t>
      </w:r>
      <w:r w:rsidRPr="00343293">
        <w:rPr>
          <w:rFonts w:ascii="Arial" w:hAnsi="Arial" w:cs="Arial"/>
          <w:i/>
          <w:sz w:val="20"/>
        </w:rPr>
        <w:t>Euroopan unionin lainsäädäntö</w:t>
      </w:r>
      <w:r w:rsidRPr="00343293">
        <w:rPr>
          <w:rFonts w:ascii="Arial" w:hAnsi="Arial" w:cs="Arial"/>
          <w:sz w:val="20"/>
        </w:rPr>
        <w:t xml:space="preserve"> kohdassa </w:t>
      </w:r>
      <w:r w:rsidR="00343293" w:rsidRPr="00343293">
        <w:rPr>
          <w:rFonts w:ascii="Arial" w:hAnsi="Arial" w:cs="Arial"/>
          <w:sz w:val="20"/>
        </w:rPr>
        <w:t xml:space="preserve">hallituksen esityksen perusteluissa </w:t>
      </w:r>
      <w:r w:rsidR="00A269C1">
        <w:rPr>
          <w:rFonts w:ascii="Arial" w:hAnsi="Arial" w:cs="Arial"/>
          <w:sz w:val="20"/>
        </w:rPr>
        <w:t xml:space="preserve">todetun poikkeushakemusta koskevan </w:t>
      </w:r>
      <w:r w:rsidRPr="00343293">
        <w:rPr>
          <w:rFonts w:ascii="Arial" w:hAnsi="Arial" w:cs="Arial"/>
          <w:sz w:val="20"/>
        </w:rPr>
        <w:t xml:space="preserve">maininnan poistamista liittyen mahdollisuuteen EU-lainsäädännön mukaan hakea poikkeusta TEN-T-verkolla asetetuista vaatimuksista. </w:t>
      </w:r>
      <w:r w:rsidR="00A269C1">
        <w:rPr>
          <w:rFonts w:ascii="Arial" w:hAnsi="Arial" w:cs="Arial"/>
          <w:sz w:val="20"/>
        </w:rPr>
        <w:t>Poikkeushakemuksen ennakoinnin katsottiin vaivan vaikuttaa</w:t>
      </w:r>
      <w:r w:rsidR="00A269C1" w:rsidRPr="00A269C1">
        <w:rPr>
          <w:rFonts w:ascii="Arial" w:hAnsi="Arial" w:cs="Arial"/>
          <w:sz w:val="20"/>
        </w:rPr>
        <w:t xml:space="preserve"> mahdollisuuksiin saada rahoitusta maan</w:t>
      </w:r>
      <w:r w:rsidR="00A269C1">
        <w:rPr>
          <w:rFonts w:ascii="Arial" w:hAnsi="Arial" w:cs="Arial"/>
          <w:sz w:val="20"/>
        </w:rPr>
        <w:t xml:space="preserve">teiden TEN-T-ydinverkolle </w:t>
      </w:r>
      <w:r w:rsidR="00A269C1" w:rsidRPr="00A269C1">
        <w:rPr>
          <w:rFonts w:ascii="Arial" w:hAnsi="Arial" w:cs="Arial"/>
          <w:sz w:val="20"/>
        </w:rPr>
        <w:t>alkaneella Verkkojen Eurooppa -rahoituskaudella.</w:t>
      </w:r>
      <w:r w:rsidR="00A269C1">
        <w:rPr>
          <w:rFonts w:ascii="Arial" w:hAnsi="Arial" w:cs="Arial"/>
          <w:sz w:val="20"/>
        </w:rPr>
        <w:t xml:space="preserve"> Lausunnoissa katsottiin, että h</w:t>
      </w:r>
      <w:r w:rsidR="00A269C1" w:rsidRPr="00A269C1">
        <w:rPr>
          <w:rFonts w:ascii="Arial" w:hAnsi="Arial" w:cs="Arial"/>
          <w:sz w:val="20"/>
        </w:rPr>
        <w:t>uomioiden esitetty investointitaso valtakunnallisen maantieverkon kehittämi</w:t>
      </w:r>
      <w:r w:rsidR="00A269C1">
        <w:rPr>
          <w:rFonts w:ascii="Arial" w:hAnsi="Arial" w:cs="Arial"/>
          <w:sz w:val="20"/>
        </w:rPr>
        <w:t>selle kuluvalla 12-</w:t>
      </w:r>
      <w:r w:rsidR="00A269C1" w:rsidRPr="00A269C1">
        <w:rPr>
          <w:rFonts w:ascii="Arial" w:hAnsi="Arial" w:cs="Arial"/>
          <w:sz w:val="20"/>
        </w:rPr>
        <w:t>vuotiskaudella, on tärkeää, että Suomen TEN-T ydinverkon kehittämise</w:t>
      </w:r>
      <w:r w:rsidR="00A269C1">
        <w:rPr>
          <w:rFonts w:ascii="Arial" w:hAnsi="Arial" w:cs="Arial"/>
          <w:sz w:val="20"/>
        </w:rPr>
        <w:t xml:space="preserve">en on tarjolla täysimääräisesti </w:t>
      </w:r>
      <w:r w:rsidR="00A269C1" w:rsidRPr="00A269C1">
        <w:rPr>
          <w:rFonts w:ascii="Arial" w:hAnsi="Arial" w:cs="Arial"/>
          <w:sz w:val="20"/>
        </w:rPr>
        <w:t>EU-rahoitusta.</w:t>
      </w:r>
      <w:r w:rsidR="00343293" w:rsidRPr="00343293">
        <w:rPr>
          <w:rFonts w:ascii="Arial" w:hAnsi="Arial" w:cs="Arial"/>
          <w:sz w:val="20"/>
        </w:rPr>
        <w:t xml:space="preserve"> </w:t>
      </w:r>
      <w:r w:rsidR="00A269C1">
        <w:rPr>
          <w:rFonts w:ascii="Arial" w:hAnsi="Arial" w:cs="Arial"/>
          <w:sz w:val="20"/>
        </w:rPr>
        <w:t>H</w:t>
      </w:r>
      <w:r w:rsidR="00343293" w:rsidRPr="00343293">
        <w:rPr>
          <w:rFonts w:ascii="Arial" w:hAnsi="Arial" w:cs="Arial"/>
          <w:sz w:val="20"/>
        </w:rPr>
        <w:t>allituksen esityksen perusteluissa kuvataan</w:t>
      </w:r>
      <w:r w:rsidR="00343293">
        <w:rPr>
          <w:rFonts w:ascii="Arial" w:hAnsi="Arial" w:cs="Arial"/>
          <w:sz w:val="20"/>
        </w:rPr>
        <w:t xml:space="preserve"> voimassaolevan EU-oikeuden sisältöä eikä se vaikuta tämän esityksen tavoitteena olevan, erityisesti direktiivin soveltamisalaan kuuluvien teiden liikenneturvallisuuden parantamiseen</w:t>
      </w:r>
      <w:r w:rsidR="00A269C1">
        <w:rPr>
          <w:rFonts w:ascii="Arial" w:hAnsi="Arial" w:cs="Arial"/>
          <w:sz w:val="20"/>
        </w:rPr>
        <w:t xml:space="preserve"> tai </w:t>
      </w:r>
      <w:r w:rsidR="00A269C1" w:rsidRPr="00A269C1">
        <w:rPr>
          <w:rFonts w:ascii="Arial" w:hAnsi="Arial" w:cs="Arial"/>
          <w:sz w:val="20"/>
        </w:rPr>
        <w:t>mahdollisuuksiin saada rahoitusta maan</w:t>
      </w:r>
      <w:r w:rsidR="00A269C1">
        <w:rPr>
          <w:rFonts w:ascii="Arial" w:hAnsi="Arial" w:cs="Arial"/>
          <w:sz w:val="20"/>
        </w:rPr>
        <w:t xml:space="preserve">teiden TEN-T-ydinverkolle </w:t>
      </w:r>
      <w:r w:rsidR="00A269C1" w:rsidRPr="00A269C1">
        <w:rPr>
          <w:rFonts w:ascii="Arial" w:hAnsi="Arial" w:cs="Arial"/>
          <w:sz w:val="20"/>
        </w:rPr>
        <w:t>alkaneella Verkkojen Eurooppa -rahoituskaudella.</w:t>
      </w:r>
    </w:p>
    <w:p w14:paraId="3378CE20" w14:textId="77777777" w:rsidR="007458DE" w:rsidRPr="007458DE" w:rsidRDefault="007458DE" w:rsidP="007458DE">
      <w:pPr>
        <w:jc w:val="both"/>
        <w:rPr>
          <w:rFonts w:ascii="Arial" w:hAnsi="Arial" w:cs="Arial"/>
          <w:sz w:val="20"/>
        </w:rPr>
      </w:pPr>
    </w:p>
    <w:p w14:paraId="3C886DE7" w14:textId="77777777" w:rsidR="007458DE" w:rsidRPr="007458DE" w:rsidRDefault="007458DE" w:rsidP="007458DE">
      <w:pPr>
        <w:jc w:val="both"/>
        <w:rPr>
          <w:rFonts w:ascii="Arial" w:hAnsi="Arial" w:cs="Arial"/>
          <w:sz w:val="20"/>
        </w:rPr>
      </w:pPr>
    </w:p>
    <w:p w14:paraId="58ED0D4F" w14:textId="77777777" w:rsidR="007458DE" w:rsidRPr="007458DE" w:rsidRDefault="007458DE" w:rsidP="007458DE">
      <w:pPr>
        <w:jc w:val="both"/>
        <w:rPr>
          <w:rFonts w:ascii="Arial" w:hAnsi="Arial" w:cs="Arial"/>
          <w:b/>
          <w:sz w:val="20"/>
        </w:rPr>
      </w:pPr>
      <w:r w:rsidRPr="007458DE">
        <w:rPr>
          <w:rFonts w:ascii="Arial" w:hAnsi="Arial" w:cs="Arial"/>
          <w:b/>
          <w:sz w:val="20"/>
        </w:rPr>
        <w:t xml:space="preserve">5 YVA-lain muutos </w:t>
      </w:r>
    </w:p>
    <w:p w14:paraId="19247A1A" w14:textId="77777777" w:rsidR="007458DE" w:rsidRPr="007458DE" w:rsidRDefault="007458DE" w:rsidP="007458DE">
      <w:pPr>
        <w:jc w:val="both"/>
        <w:rPr>
          <w:rFonts w:ascii="Arial" w:hAnsi="Arial" w:cs="Arial"/>
          <w:sz w:val="20"/>
        </w:rPr>
      </w:pPr>
    </w:p>
    <w:p w14:paraId="276CE83A" w14:textId="77777777" w:rsidR="007458DE" w:rsidRPr="007458DE" w:rsidRDefault="007458DE" w:rsidP="007458DE">
      <w:pPr>
        <w:jc w:val="both"/>
        <w:rPr>
          <w:rFonts w:ascii="Arial" w:hAnsi="Arial" w:cs="Arial"/>
          <w:sz w:val="20"/>
        </w:rPr>
      </w:pPr>
      <w:r w:rsidRPr="007458DE">
        <w:rPr>
          <w:rFonts w:ascii="Arial" w:hAnsi="Arial" w:cs="Arial"/>
          <w:sz w:val="20"/>
        </w:rPr>
        <w:t xml:space="preserve">Ympäristöministeriö toteaa lausunnossaan, että esityksellä on suora yhteys ympäristöministeriössä valmisteltuun, eduskunnalle 8.4.2021 annettuun hallituksen esitykseen laeiksi ympäristövaikutusten arviointimenettelystä annetun lain sekä siihen liittyvien lakien muuttamisesta (HE 50/2021 vp) ja että esityksessä tulisi huomioida YVA-lain uuden 29 a §:n jatkovalmistelussa tehdyt muokkaukset. </w:t>
      </w:r>
    </w:p>
    <w:p w14:paraId="1815B611" w14:textId="77777777" w:rsidR="007458DE" w:rsidRPr="007458DE" w:rsidRDefault="007458DE" w:rsidP="007458DE">
      <w:pPr>
        <w:jc w:val="both"/>
        <w:rPr>
          <w:rFonts w:ascii="Arial" w:hAnsi="Arial" w:cs="Arial"/>
          <w:sz w:val="20"/>
        </w:rPr>
      </w:pPr>
    </w:p>
    <w:p w14:paraId="27A6C416" w14:textId="0E2DF20F" w:rsidR="007458DE" w:rsidRPr="007458DE" w:rsidRDefault="007B6BE1" w:rsidP="007458DE">
      <w:pPr>
        <w:jc w:val="both"/>
        <w:rPr>
          <w:rFonts w:ascii="Arial" w:hAnsi="Arial" w:cs="Arial"/>
          <w:sz w:val="20"/>
        </w:rPr>
      </w:pPr>
      <w:r>
        <w:rPr>
          <w:rFonts w:ascii="Arial" w:hAnsi="Arial" w:cs="Arial"/>
          <w:sz w:val="20"/>
        </w:rPr>
        <w:t xml:space="preserve">YM:n mukaan </w:t>
      </w:r>
      <w:r w:rsidR="007458DE" w:rsidRPr="007458DE">
        <w:rPr>
          <w:rFonts w:ascii="Arial" w:hAnsi="Arial" w:cs="Arial"/>
          <w:sz w:val="20"/>
        </w:rPr>
        <w:t xml:space="preserve">YVA-lain 29 a §:ssä </w:t>
      </w:r>
      <w:r w:rsidR="007458DE">
        <w:rPr>
          <w:rFonts w:ascii="Arial" w:hAnsi="Arial" w:cs="Arial"/>
          <w:sz w:val="20"/>
        </w:rPr>
        <w:t>tarkoitetun menettelyn osalta tulisi viitata kansainväliseen menettelyyn kuulemismenettelyn sijaan.</w:t>
      </w:r>
      <w:r w:rsidR="007458DE" w:rsidRPr="007458DE">
        <w:rPr>
          <w:rFonts w:ascii="Arial" w:hAnsi="Arial" w:cs="Arial"/>
          <w:sz w:val="20"/>
        </w:rPr>
        <w:t xml:space="preserve"> Yksityiskohtaisista perusteluista tulisi käydä ilmi lisäksi se, että YVA-lain 29 a §:n velvoite koskee myös lupapäätöksen lähettämistä toiseen valtioon.</w:t>
      </w:r>
      <w:r w:rsidR="007458DE">
        <w:rPr>
          <w:rFonts w:ascii="Arial" w:hAnsi="Arial" w:cs="Arial"/>
          <w:sz w:val="20"/>
        </w:rPr>
        <w:t xml:space="preserve"> Koska</w:t>
      </w:r>
      <w:r w:rsidR="007458DE" w:rsidRPr="007458DE">
        <w:rPr>
          <w:rFonts w:ascii="Arial" w:hAnsi="Arial" w:cs="Arial"/>
          <w:sz w:val="20"/>
        </w:rPr>
        <w:t xml:space="preserve"> YVA-menettelyä sovelletaan maantie- ja ratalain mukaisten yleissuunnitelmien laatimiseen tie- ja ratasuunnitelman lisäksi</w:t>
      </w:r>
      <w:r w:rsidR="007458DE">
        <w:rPr>
          <w:rFonts w:ascii="Arial" w:hAnsi="Arial" w:cs="Arial"/>
          <w:sz w:val="20"/>
        </w:rPr>
        <w:t>, myös laissa tulee viitata yleissuunnitelmaan.</w:t>
      </w:r>
    </w:p>
    <w:p w14:paraId="43BD58EF" w14:textId="77777777" w:rsidR="007458DE" w:rsidRPr="007458DE" w:rsidRDefault="007458DE" w:rsidP="007458DE">
      <w:pPr>
        <w:jc w:val="both"/>
        <w:rPr>
          <w:rFonts w:ascii="Arial" w:hAnsi="Arial" w:cs="Arial"/>
          <w:sz w:val="20"/>
        </w:rPr>
      </w:pPr>
    </w:p>
    <w:p w14:paraId="5209939A" w14:textId="77777777" w:rsidR="007458DE" w:rsidRPr="007458DE" w:rsidRDefault="007458DE" w:rsidP="007458DE">
      <w:pPr>
        <w:pStyle w:val="Leipteksti"/>
        <w:ind w:left="0"/>
        <w:jc w:val="both"/>
        <w:rPr>
          <w:rFonts w:ascii="Arial" w:hAnsi="Arial" w:cs="Arial"/>
          <w:sz w:val="20"/>
        </w:rPr>
      </w:pPr>
    </w:p>
    <w:p w14:paraId="54705F6C" w14:textId="77777777" w:rsidR="007458DE" w:rsidRPr="007458DE" w:rsidRDefault="007458DE" w:rsidP="007458DE">
      <w:pPr>
        <w:pStyle w:val="Leipteksti"/>
        <w:ind w:left="0"/>
        <w:jc w:val="both"/>
        <w:rPr>
          <w:rFonts w:ascii="Arial" w:hAnsi="Arial" w:cs="Arial"/>
          <w:sz w:val="20"/>
        </w:rPr>
      </w:pPr>
      <w:r w:rsidRPr="007458DE">
        <w:rPr>
          <w:rFonts w:ascii="Arial" w:hAnsi="Arial" w:cs="Arial"/>
          <w:b/>
          <w:sz w:val="20"/>
        </w:rPr>
        <w:t>Liite 1.</w:t>
      </w:r>
      <w:r w:rsidRPr="007458DE">
        <w:rPr>
          <w:rFonts w:ascii="Arial" w:hAnsi="Arial" w:cs="Arial"/>
          <w:sz w:val="20"/>
        </w:rPr>
        <w:t xml:space="preserve"> Lista lausunnonantajista </w:t>
      </w:r>
    </w:p>
    <w:p w14:paraId="7609A253" w14:textId="77777777" w:rsidR="007458DE" w:rsidRPr="007458DE" w:rsidRDefault="007458DE" w:rsidP="007458DE">
      <w:pPr>
        <w:pStyle w:val="Leipteksti"/>
        <w:ind w:left="0"/>
        <w:jc w:val="both"/>
        <w:rPr>
          <w:rFonts w:ascii="Arial" w:hAnsi="Arial" w:cs="Arial"/>
          <w:sz w:val="20"/>
        </w:rPr>
      </w:pPr>
    </w:p>
    <w:p w14:paraId="6AA5402A" w14:textId="77777777" w:rsidR="007458DE" w:rsidRPr="007458DE" w:rsidRDefault="007458DE" w:rsidP="007458DE">
      <w:pPr>
        <w:pStyle w:val="Leipteksti"/>
        <w:numPr>
          <w:ilvl w:val="0"/>
          <w:numId w:val="7"/>
        </w:numPr>
        <w:jc w:val="both"/>
        <w:rPr>
          <w:rFonts w:ascii="Arial" w:hAnsi="Arial" w:cs="Arial"/>
          <w:sz w:val="20"/>
        </w:rPr>
      </w:pPr>
      <w:r w:rsidRPr="007458DE">
        <w:rPr>
          <w:rFonts w:ascii="Arial" w:hAnsi="Arial" w:cs="Arial"/>
          <w:sz w:val="20"/>
        </w:rPr>
        <w:t xml:space="preserve">Ahvenanmaan maakuntahallitus </w:t>
      </w:r>
    </w:p>
    <w:p w14:paraId="609B6864" w14:textId="77777777" w:rsidR="007458DE" w:rsidRPr="007458DE" w:rsidRDefault="007458DE" w:rsidP="007458DE">
      <w:pPr>
        <w:pStyle w:val="Leipteksti"/>
        <w:numPr>
          <w:ilvl w:val="0"/>
          <w:numId w:val="7"/>
        </w:numPr>
        <w:jc w:val="both"/>
        <w:rPr>
          <w:rFonts w:ascii="Arial" w:hAnsi="Arial" w:cs="Arial"/>
          <w:sz w:val="20"/>
        </w:rPr>
      </w:pPr>
      <w:r w:rsidRPr="007458DE">
        <w:rPr>
          <w:rFonts w:ascii="Arial" w:hAnsi="Arial" w:cs="Arial"/>
          <w:sz w:val="20"/>
        </w:rPr>
        <w:t>Etelä-Karjalan liitto</w:t>
      </w:r>
    </w:p>
    <w:p w14:paraId="4500BC10" w14:textId="77777777" w:rsidR="007458DE" w:rsidRPr="007458DE" w:rsidRDefault="007458DE" w:rsidP="007458DE">
      <w:pPr>
        <w:pStyle w:val="Leipteksti"/>
        <w:numPr>
          <w:ilvl w:val="0"/>
          <w:numId w:val="7"/>
        </w:numPr>
        <w:jc w:val="both"/>
        <w:rPr>
          <w:rFonts w:ascii="Arial" w:hAnsi="Arial" w:cs="Arial"/>
          <w:sz w:val="20"/>
        </w:rPr>
      </w:pPr>
      <w:r w:rsidRPr="007458DE">
        <w:rPr>
          <w:rFonts w:ascii="Arial" w:hAnsi="Arial" w:cs="Arial"/>
          <w:sz w:val="20"/>
        </w:rPr>
        <w:t>Keski-Pohjanmaan liitto</w:t>
      </w:r>
    </w:p>
    <w:p w14:paraId="483B95B1" w14:textId="77777777" w:rsidR="007458DE" w:rsidRPr="007458DE" w:rsidRDefault="007458DE" w:rsidP="007458DE">
      <w:pPr>
        <w:pStyle w:val="Leipteksti"/>
        <w:numPr>
          <w:ilvl w:val="0"/>
          <w:numId w:val="7"/>
        </w:numPr>
        <w:jc w:val="both"/>
        <w:rPr>
          <w:rFonts w:ascii="Arial" w:hAnsi="Arial" w:cs="Arial"/>
          <w:sz w:val="20"/>
        </w:rPr>
      </w:pPr>
      <w:r w:rsidRPr="007458DE">
        <w:rPr>
          <w:rFonts w:ascii="Arial" w:hAnsi="Arial" w:cs="Arial"/>
          <w:sz w:val="20"/>
        </w:rPr>
        <w:t>Keskuskauppakamari</w:t>
      </w:r>
    </w:p>
    <w:p w14:paraId="30EA8603" w14:textId="77777777" w:rsidR="007458DE" w:rsidRPr="007458DE" w:rsidRDefault="007458DE" w:rsidP="007458DE">
      <w:pPr>
        <w:pStyle w:val="Leipteksti"/>
        <w:numPr>
          <w:ilvl w:val="0"/>
          <w:numId w:val="7"/>
        </w:numPr>
        <w:jc w:val="both"/>
        <w:rPr>
          <w:rFonts w:ascii="Arial" w:hAnsi="Arial" w:cs="Arial"/>
          <w:sz w:val="20"/>
        </w:rPr>
      </w:pPr>
      <w:r w:rsidRPr="007458DE">
        <w:rPr>
          <w:rFonts w:ascii="Arial" w:hAnsi="Arial" w:cs="Arial"/>
          <w:sz w:val="20"/>
        </w:rPr>
        <w:t>Kymenlaakson liitto</w:t>
      </w:r>
    </w:p>
    <w:p w14:paraId="3023EB58" w14:textId="77777777" w:rsidR="007458DE" w:rsidRPr="007458DE" w:rsidRDefault="007458DE" w:rsidP="007458DE">
      <w:pPr>
        <w:pStyle w:val="Leipteksti"/>
        <w:numPr>
          <w:ilvl w:val="0"/>
          <w:numId w:val="7"/>
        </w:numPr>
        <w:jc w:val="both"/>
        <w:rPr>
          <w:rFonts w:ascii="Arial" w:hAnsi="Arial" w:cs="Arial"/>
          <w:sz w:val="20"/>
        </w:rPr>
      </w:pPr>
      <w:r w:rsidRPr="007458DE">
        <w:rPr>
          <w:rFonts w:ascii="Arial" w:hAnsi="Arial" w:cs="Arial"/>
          <w:sz w:val="20"/>
        </w:rPr>
        <w:t>Lapin liitto</w:t>
      </w:r>
    </w:p>
    <w:p w14:paraId="6D086908" w14:textId="77777777" w:rsidR="007458DE" w:rsidRPr="007458DE" w:rsidRDefault="007458DE" w:rsidP="007458DE">
      <w:pPr>
        <w:pStyle w:val="Leipteksti"/>
        <w:numPr>
          <w:ilvl w:val="0"/>
          <w:numId w:val="7"/>
        </w:numPr>
        <w:jc w:val="both"/>
        <w:rPr>
          <w:rFonts w:ascii="Arial" w:hAnsi="Arial" w:cs="Arial"/>
          <w:sz w:val="20"/>
        </w:rPr>
      </w:pPr>
      <w:r w:rsidRPr="007458DE">
        <w:rPr>
          <w:rFonts w:ascii="Arial" w:hAnsi="Arial" w:cs="Arial"/>
          <w:sz w:val="20"/>
        </w:rPr>
        <w:t xml:space="preserve">Liikenne- ja viestintävirasto Traficom </w:t>
      </w:r>
    </w:p>
    <w:p w14:paraId="76B23E7B" w14:textId="77777777" w:rsidR="007458DE" w:rsidRPr="007458DE" w:rsidRDefault="007458DE" w:rsidP="007458DE">
      <w:pPr>
        <w:pStyle w:val="Leipteksti"/>
        <w:numPr>
          <w:ilvl w:val="0"/>
          <w:numId w:val="7"/>
        </w:numPr>
        <w:jc w:val="both"/>
        <w:rPr>
          <w:rFonts w:ascii="Arial" w:hAnsi="Arial" w:cs="Arial"/>
          <w:sz w:val="20"/>
        </w:rPr>
      </w:pPr>
      <w:r w:rsidRPr="007458DE">
        <w:rPr>
          <w:rFonts w:ascii="Arial" w:hAnsi="Arial" w:cs="Arial"/>
          <w:sz w:val="20"/>
        </w:rPr>
        <w:t>Liikenneturva</w:t>
      </w:r>
    </w:p>
    <w:p w14:paraId="2F13E826" w14:textId="77777777" w:rsidR="007458DE" w:rsidRPr="007458DE" w:rsidRDefault="007458DE" w:rsidP="007458DE">
      <w:pPr>
        <w:pStyle w:val="Leipteksti"/>
        <w:numPr>
          <w:ilvl w:val="0"/>
          <w:numId w:val="7"/>
        </w:numPr>
        <w:jc w:val="both"/>
        <w:rPr>
          <w:rFonts w:ascii="Arial" w:hAnsi="Arial" w:cs="Arial"/>
          <w:sz w:val="20"/>
        </w:rPr>
      </w:pPr>
      <w:r w:rsidRPr="007458DE">
        <w:rPr>
          <w:rFonts w:ascii="Arial" w:hAnsi="Arial" w:cs="Arial"/>
          <w:sz w:val="20"/>
        </w:rPr>
        <w:t>Metsäteollisuus ry</w:t>
      </w:r>
    </w:p>
    <w:p w14:paraId="29BDD033" w14:textId="77777777" w:rsidR="007458DE" w:rsidRPr="007458DE" w:rsidRDefault="007458DE" w:rsidP="007458DE">
      <w:pPr>
        <w:pStyle w:val="Leipteksti"/>
        <w:numPr>
          <w:ilvl w:val="0"/>
          <w:numId w:val="7"/>
        </w:numPr>
        <w:jc w:val="both"/>
        <w:rPr>
          <w:rFonts w:ascii="Arial" w:hAnsi="Arial" w:cs="Arial"/>
          <w:sz w:val="20"/>
        </w:rPr>
      </w:pPr>
      <w:r w:rsidRPr="007458DE">
        <w:rPr>
          <w:rFonts w:ascii="Arial" w:hAnsi="Arial" w:cs="Arial"/>
          <w:sz w:val="20"/>
        </w:rPr>
        <w:t>Oikeusministeriö</w:t>
      </w:r>
    </w:p>
    <w:p w14:paraId="71E8F88F" w14:textId="77777777" w:rsidR="007458DE" w:rsidRPr="007458DE" w:rsidRDefault="007458DE" w:rsidP="007458DE">
      <w:pPr>
        <w:pStyle w:val="Leipteksti"/>
        <w:numPr>
          <w:ilvl w:val="0"/>
          <w:numId w:val="7"/>
        </w:numPr>
        <w:jc w:val="both"/>
        <w:rPr>
          <w:rFonts w:ascii="Arial" w:hAnsi="Arial" w:cs="Arial"/>
          <w:sz w:val="20"/>
        </w:rPr>
      </w:pPr>
      <w:r w:rsidRPr="007458DE">
        <w:rPr>
          <w:rFonts w:ascii="Arial" w:hAnsi="Arial" w:cs="Arial"/>
          <w:sz w:val="20"/>
        </w:rPr>
        <w:t xml:space="preserve">Onnettomuustietoinstituutti </w:t>
      </w:r>
    </w:p>
    <w:p w14:paraId="11948375" w14:textId="77777777" w:rsidR="007458DE" w:rsidRPr="007458DE" w:rsidRDefault="007458DE" w:rsidP="007458DE">
      <w:pPr>
        <w:pStyle w:val="Leipteksti"/>
        <w:numPr>
          <w:ilvl w:val="0"/>
          <w:numId w:val="7"/>
        </w:numPr>
        <w:jc w:val="both"/>
        <w:rPr>
          <w:rFonts w:ascii="Arial" w:hAnsi="Arial" w:cs="Arial"/>
          <w:sz w:val="20"/>
        </w:rPr>
      </w:pPr>
      <w:r w:rsidRPr="007458DE">
        <w:rPr>
          <w:rFonts w:ascii="Arial" w:hAnsi="Arial" w:cs="Arial"/>
          <w:sz w:val="20"/>
        </w:rPr>
        <w:t xml:space="preserve">Poliisihallitus </w:t>
      </w:r>
    </w:p>
    <w:p w14:paraId="0983DC93" w14:textId="77777777" w:rsidR="007458DE" w:rsidRPr="007458DE" w:rsidRDefault="007458DE" w:rsidP="007458DE">
      <w:pPr>
        <w:pStyle w:val="Leipteksti"/>
        <w:numPr>
          <w:ilvl w:val="0"/>
          <w:numId w:val="7"/>
        </w:numPr>
        <w:jc w:val="both"/>
        <w:rPr>
          <w:rFonts w:ascii="Arial" w:hAnsi="Arial" w:cs="Arial"/>
          <w:sz w:val="20"/>
        </w:rPr>
      </w:pPr>
      <w:r w:rsidRPr="007458DE">
        <w:rPr>
          <w:rFonts w:ascii="Arial" w:hAnsi="Arial" w:cs="Arial"/>
          <w:sz w:val="20"/>
        </w:rPr>
        <w:t>Rahtarit ry</w:t>
      </w:r>
    </w:p>
    <w:p w14:paraId="22B1A84E" w14:textId="77777777" w:rsidR="007458DE" w:rsidRPr="007458DE" w:rsidRDefault="007458DE" w:rsidP="007458DE">
      <w:pPr>
        <w:pStyle w:val="Leipteksti"/>
        <w:numPr>
          <w:ilvl w:val="0"/>
          <w:numId w:val="7"/>
        </w:numPr>
        <w:jc w:val="both"/>
        <w:rPr>
          <w:rFonts w:ascii="Arial" w:hAnsi="Arial" w:cs="Arial"/>
          <w:sz w:val="20"/>
        </w:rPr>
      </w:pPr>
      <w:r w:rsidRPr="007458DE">
        <w:rPr>
          <w:rFonts w:ascii="Arial" w:hAnsi="Arial" w:cs="Arial"/>
          <w:sz w:val="20"/>
        </w:rPr>
        <w:t xml:space="preserve">Rakennusteollisuus RT ry / INFRA ry </w:t>
      </w:r>
    </w:p>
    <w:p w14:paraId="149274F5" w14:textId="77777777" w:rsidR="007458DE" w:rsidRPr="007458DE" w:rsidRDefault="007458DE" w:rsidP="007458DE">
      <w:pPr>
        <w:pStyle w:val="Leipteksti"/>
        <w:numPr>
          <w:ilvl w:val="0"/>
          <w:numId w:val="7"/>
        </w:numPr>
        <w:jc w:val="both"/>
        <w:rPr>
          <w:rFonts w:ascii="Arial" w:hAnsi="Arial" w:cs="Arial"/>
          <w:sz w:val="20"/>
        </w:rPr>
      </w:pPr>
      <w:r w:rsidRPr="007458DE">
        <w:rPr>
          <w:rFonts w:ascii="Arial" w:hAnsi="Arial" w:cs="Arial"/>
          <w:sz w:val="20"/>
        </w:rPr>
        <w:t>Sisäministeriö</w:t>
      </w:r>
    </w:p>
    <w:p w14:paraId="519D8C75" w14:textId="77777777" w:rsidR="007458DE" w:rsidRPr="007458DE" w:rsidRDefault="007458DE" w:rsidP="007458DE">
      <w:pPr>
        <w:pStyle w:val="Leipteksti"/>
        <w:numPr>
          <w:ilvl w:val="0"/>
          <w:numId w:val="7"/>
        </w:numPr>
        <w:jc w:val="both"/>
        <w:rPr>
          <w:rFonts w:ascii="Arial" w:hAnsi="Arial" w:cs="Arial"/>
          <w:sz w:val="20"/>
        </w:rPr>
      </w:pPr>
      <w:r w:rsidRPr="007458DE">
        <w:rPr>
          <w:rFonts w:ascii="Arial" w:hAnsi="Arial" w:cs="Arial"/>
          <w:sz w:val="20"/>
        </w:rPr>
        <w:t>Suomen Kuljetus ja Logistiikka SKAL ry</w:t>
      </w:r>
    </w:p>
    <w:p w14:paraId="242239D9" w14:textId="77777777" w:rsidR="007458DE" w:rsidRPr="007458DE" w:rsidRDefault="007458DE" w:rsidP="007458DE">
      <w:pPr>
        <w:pStyle w:val="Leipteksti"/>
        <w:numPr>
          <w:ilvl w:val="0"/>
          <w:numId w:val="7"/>
        </w:numPr>
        <w:jc w:val="both"/>
        <w:rPr>
          <w:rFonts w:ascii="Arial" w:hAnsi="Arial" w:cs="Arial"/>
          <w:sz w:val="20"/>
        </w:rPr>
      </w:pPr>
      <w:r w:rsidRPr="007458DE">
        <w:rPr>
          <w:rFonts w:ascii="Arial" w:hAnsi="Arial" w:cs="Arial"/>
          <w:sz w:val="20"/>
        </w:rPr>
        <w:t>Suomen Kuntaliitto ry</w:t>
      </w:r>
    </w:p>
    <w:p w14:paraId="50120F66" w14:textId="77777777" w:rsidR="007458DE" w:rsidRPr="007458DE" w:rsidRDefault="007458DE" w:rsidP="007458DE">
      <w:pPr>
        <w:pStyle w:val="Leipteksti"/>
        <w:numPr>
          <w:ilvl w:val="0"/>
          <w:numId w:val="7"/>
        </w:numPr>
        <w:jc w:val="both"/>
        <w:rPr>
          <w:rFonts w:ascii="Arial" w:hAnsi="Arial" w:cs="Arial"/>
          <w:sz w:val="20"/>
        </w:rPr>
      </w:pPr>
      <w:r w:rsidRPr="007458DE">
        <w:rPr>
          <w:rFonts w:ascii="Arial" w:hAnsi="Arial" w:cs="Arial"/>
          <w:sz w:val="20"/>
        </w:rPr>
        <w:t>Suomen luonnonsuojeluliitto ry</w:t>
      </w:r>
    </w:p>
    <w:p w14:paraId="5FE5A687" w14:textId="77777777" w:rsidR="007458DE" w:rsidRPr="007458DE" w:rsidRDefault="007458DE" w:rsidP="007458DE">
      <w:pPr>
        <w:pStyle w:val="Leipteksti"/>
        <w:numPr>
          <w:ilvl w:val="0"/>
          <w:numId w:val="7"/>
        </w:numPr>
        <w:jc w:val="both"/>
        <w:rPr>
          <w:rFonts w:ascii="Arial" w:hAnsi="Arial" w:cs="Arial"/>
          <w:sz w:val="20"/>
        </w:rPr>
      </w:pPr>
      <w:r w:rsidRPr="007458DE">
        <w:rPr>
          <w:rFonts w:ascii="Arial" w:hAnsi="Arial" w:cs="Arial"/>
          <w:sz w:val="20"/>
        </w:rPr>
        <w:t xml:space="preserve">Suomen Taksiliitto ry </w:t>
      </w:r>
    </w:p>
    <w:p w14:paraId="08326728" w14:textId="77777777" w:rsidR="007458DE" w:rsidRPr="007458DE" w:rsidRDefault="007458DE" w:rsidP="007458DE">
      <w:pPr>
        <w:pStyle w:val="Leipteksti"/>
        <w:numPr>
          <w:ilvl w:val="0"/>
          <w:numId w:val="7"/>
        </w:numPr>
        <w:jc w:val="both"/>
        <w:rPr>
          <w:rFonts w:ascii="Arial" w:hAnsi="Arial" w:cs="Arial"/>
          <w:sz w:val="20"/>
        </w:rPr>
      </w:pPr>
      <w:r w:rsidRPr="007458DE">
        <w:rPr>
          <w:rFonts w:ascii="Arial" w:hAnsi="Arial" w:cs="Arial"/>
          <w:sz w:val="20"/>
        </w:rPr>
        <w:t>Suomen Tieyhdistys ry</w:t>
      </w:r>
    </w:p>
    <w:p w14:paraId="10AC2268" w14:textId="77777777" w:rsidR="007458DE" w:rsidRPr="007458DE" w:rsidRDefault="007458DE" w:rsidP="007458DE">
      <w:pPr>
        <w:pStyle w:val="Leipteksti"/>
        <w:numPr>
          <w:ilvl w:val="0"/>
          <w:numId w:val="7"/>
        </w:numPr>
        <w:jc w:val="both"/>
        <w:rPr>
          <w:rFonts w:ascii="Arial" w:hAnsi="Arial" w:cs="Arial"/>
          <w:sz w:val="20"/>
        </w:rPr>
      </w:pPr>
      <w:r w:rsidRPr="007458DE">
        <w:rPr>
          <w:rFonts w:ascii="Arial" w:hAnsi="Arial" w:cs="Arial"/>
          <w:sz w:val="20"/>
        </w:rPr>
        <w:lastRenderedPageBreak/>
        <w:t>Valtiovarainministeriö</w:t>
      </w:r>
    </w:p>
    <w:p w14:paraId="36B09E16" w14:textId="77777777" w:rsidR="007458DE" w:rsidRPr="007458DE" w:rsidRDefault="007458DE" w:rsidP="007458DE">
      <w:pPr>
        <w:pStyle w:val="Leipteksti"/>
        <w:numPr>
          <w:ilvl w:val="0"/>
          <w:numId w:val="7"/>
        </w:numPr>
        <w:jc w:val="both"/>
        <w:rPr>
          <w:rFonts w:ascii="Arial" w:hAnsi="Arial" w:cs="Arial"/>
          <w:sz w:val="20"/>
        </w:rPr>
      </w:pPr>
      <w:r w:rsidRPr="007458DE">
        <w:rPr>
          <w:rFonts w:ascii="Arial" w:hAnsi="Arial" w:cs="Arial"/>
          <w:sz w:val="20"/>
        </w:rPr>
        <w:t>Varsinais-Suomen liitto</w:t>
      </w:r>
    </w:p>
    <w:p w14:paraId="30AD9593" w14:textId="77777777" w:rsidR="007458DE" w:rsidRPr="007458DE" w:rsidRDefault="007458DE" w:rsidP="007458DE">
      <w:pPr>
        <w:pStyle w:val="Leipteksti"/>
        <w:numPr>
          <w:ilvl w:val="0"/>
          <w:numId w:val="7"/>
        </w:numPr>
        <w:jc w:val="both"/>
        <w:rPr>
          <w:rFonts w:ascii="Arial" w:hAnsi="Arial" w:cs="Arial"/>
          <w:sz w:val="20"/>
        </w:rPr>
      </w:pPr>
      <w:r w:rsidRPr="007458DE">
        <w:rPr>
          <w:rFonts w:ascii="Arial" w:hAnsi="Arial" w:cs="Arial"/>
          <w:sz w:val="20"/>
        </w:rPr>
        <w:t>Väylävirasto</w:t>
      </w:r>
    </w:p>
    <w:p w14:paraId="0E4FEB3E" w14:textId="77777777" w:rsidR="007458DE" w:rsidRPr="007458DE" w:rsidRDefault="007458DE" w:rsidP="007458DE">
      <w:pPr>
        <w:pStyle w:val="Leipteksti"/>
        <w:numPr>
          <w:ilvl w:val="0"/>
          <w:numId w:val="7"/>
        </w:numPr>
        <w:jc w:val="both"/>
        <w:rPr>
          <w:rFonts w:ascii="Arial" w:hAnsi="Arial" w:cs="Arial"/>
          <w:sz w:val="20"/>
        </w:rPr>
      </w:pPr>
      <w:r w:rsidRPr="007458DE">
        <w:rPr>
          <w:rFonts w:ascii="Arial" w:hAnsi="Arial" w:cs="Arial"/>
          <w:sz w:val="20"/>
        </w:rPr>
        <w:t xml:space="preserve">Uudenmaan ELY-keskus </w:t>
      </w:r>
    </w:p>
    <w:p w14:paraId="2B005DE6" w14:textId="77777777" w:rsidR="007458DE" w:rsidRPr="007458DE" w:rsidRDefault="007458DE" w:rsidP="007458DE">
      <w:pPr>
        <w:pStyle w:val="Leipteksti"/>
        <w:numPr>
          <w:ilvl w:val="0"/>
          <w:numId w:val="7"/>
        </w:numPr>
        <w:jc w:val="both"/>
        <w:rPr>
          <w:rFonts w:ascii="Arial" w:hAnsi="Arial" w:cs="Arial"/>
          <w:sz w:val="20"/>
        </w:rPr>
      </w:pPr>
      <w:r w:rsidRPr="007458DE">
        <w:rPr>
          <w:rFonts w:ascii="Arial" w:hAnsi="Arial" w:cs="Arial"/>
          <w:sz w:val="20"/>
        </w:rPr>
        <w:t>Ympäristöministeriö</w:t>
      </w:r>
    </w:p>
    <w:p w14:paraId="481F191F" w14:textId="77777777" w:rsidR="007458DE" w:rsidRPr="007458DE" w:rsidRDefault="007458DE" w:rsidP="007458DE">
      <w:pPr>
        <w:jc w:val="both"/>
        <w:rPr>
          <w:rFonts w:ascii="Arial" w:hAnsi="Arial" w:cs="Arial"/>
          <w:sz w:val="20"/>
        </w:rPr>
      </w:pPr>
    </w:p>
    <w:p w14:paraId="60E9DD83" w14:textId="3F60CB1B" w:rsidR="00E738A3" w:rsidRPr="007458DE" w:rsidRDefault="00E738A3" w:rsidP="007458DE">
      <w:pPr>
        <w:pStyle w:val="Leipteksti"/>
        <w:ind w:left="0"/>
        <w:jc w:val="both"/>
        <w:rPr>
          <w:sz w:val="20"/>
        </w:rPr>
      </w:pPr>
    </w:p>
    <w:sectPr w:rsidR="00E738A3" w:rsidRPr="007458DE" w:rsidSect="007458DE">
      <w:headerReference w:type="default" r:id="rId12"/>
      <w:footerReference w:type="default" r:id="rId13"/>
      <w:headerReference w:type="first" r:id="rId14"/>
      <w:type w:val="continuous"/>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F511F" w14:textId="77777777" w:rsidR="00655BB0" w:rsidRDefault="00655BB0">
      <w:r>
        <w:separator/>
      </w:r>
    </w:p>
  </w:endnote>
  <w:endnote w:type="continuationSeparator" w:id="0">
    <w:p w14:paraId="1C762599" w14:textId="77777777" w:rsidR="00655BB0" w:rsidRDefault="0065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05171" w14:textId="77777777" w:rsidR="00EC0AFA" w:rsidRDefault="00EC0AFA" w:rsidP="00F916C2"/>
  <w:p w14:paraId="13D129D4" w14:textId="77777777" w:rsidR="00EC0AFA" w:rsidRDefault="004220CA" w:rsidP="00F916C2">
    <w:pPr>
      <w:pStyle w:val="LVMAsiakirjanidver"/>
    </w:pPr>
    <w:fldSimple w:instr=" DOCPROPERTY  tweb_doc_id  \* MERGEFORMAT ">
      <w:r w:rsidR="00EC0AFA">
        <w:t>Id</w:t>
      </w:r>
    </w:fldSimple>
    <w:r w:rsidR="00EC0AFA">
      <w:t xml:space="preserve">  </w:t>
    </w:r>
    <w:fldSimple w:instr=" DOCPROPERTY  tweb_doc_mamiversion  \* MERGEFORMAT ">
      <w:r w:rsidR="00EC0AFA">
        <w:t>Versionumero</w:t>
      </w:r>
    </w:fldSimple>
  </w:p>
  <w:p w14:paraId="5A3E7252" w14:textId="77777777" w:rsidR="00EC0AFA" w:rsidRPr="00653640" w:rsidRDefault="00EC0AFA" w:rsidP="00F916C2">
    <w:pPr>
      <w:rPr>
        <w:sz w:val="6"/>
        <w:szCs w:val="6"/>
      </w:rPr>
    </w:pPr>
  </w:p>
  <w:tbl>
    <w:tblPr>
      <w:tblW w:w="10348" w:type="dxa"/>
      <w:tblLayout w:type="fixed"/>
      <w:tblCellMar>
        <w:left w:w="0" w:type="dxa"/>
        <w:right w:w="0" w:type="dxa"/>
      </w:tblCellMar>
      <w:tblLook w:val="01E0" w:firstRow="1" w:lastRow="1" w:firstColumn="1" w:lastColumn="1" w:noHBand="0" w:noVBand="0"/>
    </w:tblPr>
    <w:tblGrid>
      <w:gridCol w:w="2628"/>
      <w:gridCol w:w="1796"/>
      <w:gridCol w:w="2057"/>
      <w:gridCol w:w="1316"/>
      <w:gridCol w:w="2551"/>
    </w:tblGrid>
    <w:tr w:rsidR="00EC0AFA" w14:paraId="4ADF347D" w14:textId="77777777" w:rsidTr="00EC0AFA">
      <w:trPr>
        <w:cantSplit/>
        <w:trHeight w:hRule="exact" w:val="113"/>
      </w:trPr>
      <w:tc>
        <w:tcPr>
          <w:tcW w:w="2628" w:type="dxa"/>
          <w:tcBorders>
            <w:top w:val="single" w:sz="4" w:space="0" w:color="auto"/>
          </w:tcBorders>
          <w:noWrap/>
        </w:tcPr>
        <w:p w14:paraId="28B4987F" w14:textId="77777777" w:rsidR="00EC0AFA" w:rsidRDefault="00EC0AFA" w:rsidP="00EC0AFA">
          <w:pPr>
            <w:pStyle w:val="Alatunniste"/>
          </w:pPr>
        </w:p>
      </w:tc>
      <w:tc>
        <w:tcPr>
          <w:tcW w:w="1796" w:type="dxa"/>
          <w:tcBorders>
            <w:top w:val="single" w:sz="4" w:space="0" w:color="auto"/>
          </w:tcBorders>
          <w:noWrap/>
        </w:tcPr>
        <w:p w14:paraId="334AF869" w14:textId="77777777" w:rsidR="00EC0AFA" w:rsidRDefault="00EC0AFA" w:rsidP="00EC0AFA">
          <w:pPr>
            <w:pStyle w:val="Alatunniste"/>
          </w:pPr>
        </w:p>
      </w:tc>
      <w:tc>
        <w:tcPr>
          <w:tcW w:w="2057" w:type="dxa"/>
          <w:tcBorders>
            <w:top w:val="single" w:sz="4" w:space="0" w:color="auto"/>
          </w:tcBorders>
          <w:noWrap/>
        </w:tcPr>
        <w:p w14:paraId="5E28976E" w14:textId="77777777" w:rsidR="00EC0AFA" w:rsidRDefault="00EC0AFA" w:rsidP="00EC0AFA">
          <w:pPr>
            <w:pStyle w:val="Alatunniste"/>
          </w:pPr>
        </w:p>
      </w:tc>
      <w:tc>
        <w:tcPr>
          <w:tcW w:w="1316" w:type="dxa"/>
          <w:tcBorders>
            <w:top w:val="single" w:sz="4" w:space="0" w:color="auto"/>
          </w:tcBorders>
          <w:noWrap/>
        </w:tcPr>
        <w:p w14:paraId="56463525" w14:textId="77777777" w:rsidR="00EC0AFA" w:rsidRDefault="00EC0AFA" w:rsidP="00EC0AFA">
          <w:pPr>
            <w:pStyle w:val="Alatunniste"/>
          </w:pPr>
        </w:p>
      </w:tc>
      <w:tc>
        <w:tcPr>
          <w:tcW w:w="2551" w:type="dxa"/>
          <w:tcBorders>
            <w:top w:val="single" w:sz="4" w:space="0" w:color="auto"/>
          </w:tcBorders>
          <w:noWrap/>
        </w:tcPr>
        <w:p w14:paraId="5E71B2A4" w14:textId="77777777" w:rsidR="00EC0AFA" w:rsidRDefault="00EC0AFA" w:rsidP="00EC0AFA">
          <w:pPr>
            <w:pStyle w:val="Alatunniste"/>
          </w:pPr>
        </w:p>
      </w:tc>
    </w:tr>
    <w:tr w:rsidR="00EC0AFA" w14:paraId="3BF9CDD4" w14:textId="77777777" w:rsidTr="00EC0AFA">
      <w:trPr>
        <w:cantSplit/>
        <w:trHeight w:hRule="exact" w:val="227"/>
      </w:trPr>
      <w:tc>
        <w:tcPr>
          <w:tcW w:w="2628" w:type="dxa"/>
          <w:noWrap/>
        </w:tcPr>
        <w:p w14:paraId="6FED835D" w14:textId="77777777" w:rsidR="00EC0AFA" w:rsidRDefault="00EC0AFA" w:rsidP="00EC0AFA">
          <w:pPr>
            <w:pStyle w:val="Alatunniste"/>
          </w:pPr>
          <w:r>
            <w:t>Liikenne- ja viestintäministeriö</w:t>
          </w:r>
        </w:p>
      </w:tc>
      <w:tc>
        <w:tcPr>
          <w:tcW w:w="1796" w:type="dxa"/>
          <w:noWrap/>
        </w:tcPr>
        <w:p w14:paraId="05D56C77" w14:textId="77777777" w:rsidR="00EC0AFA" w:rsidRDefault="00EC0AFA" w:rsidP="00EC0AFA">
          <w:pPr>
            <w:pStyle w:val="Alatunniste"/>
          </w:pPr>
          <w:r>
            <w:t>Käyntiosoite</w:t>
          </w:r>
        </w:p>
      </w:tc>
      <w:tc>
        <w:tcPr>
          <w:tcW w:w="2057" w:type="dxa"/>
          <w:noWrap/>
        </w:tcPr>
        <w:p w14:paraId="67AED770" w14:textId="77777777" w:rsidR="00EC0AFA" w:rsidRDefault="00EC0AFA" w:rsidP="00EC0AFA">
          <w:pPr>
            <w:pStyle w:val="Alatunniste"/>
          </w:pPr>
          <w:r>
            <w:t>Postiosoite</w:t>
          </w:r>
        </w:p>
      </w:tc>
      <w:tc>
        <w:tcPr>
          <w:tcW w:w="1316" w:type="dxa"/>
          <w:noWrap/>
        </w:tcPr>
        <w:p w14:paraId="398BC518" w14:textId="77777777" w:rsidR="00EC0AFA" w:rsidRDefault="00EC0AFA" w:rsidP="00EC0AFA">
          <w:pPr>
            <w:pStyle w:val="Alatunniste"/>
          </w:pPr>
          <w:r>
            <w:t>Puhelin</w:t>
          </w:r>
        </w:p>
      </w:tc>
      <w:tc>
        <w:tcPr>
          <w:tcW w:w="2551" w:type="dxa"/>
          <w:noWrap/>
        </w:tcPr>
        <w:p w14:paraId="421508A7" w14:textId="77777777" w:rsidR="00EC0AFA" w:rsidRDefault="00EC0AFA" w:rsidP="00EC0AFA">
          <w:pPr>
            <w:pStyle w:val="Alatunniste"/>
          </w:pPr>
          <w:r>
            <w:t>www.lvm.fi</w:t>
          </w:r>
        </w:p>
      </w:tc>
    </w:tr>
    <w:tr w:rsidR="00EC0AFA" w14:paraId="607247B9" w14:textId="77777777" w:rsidTr="00EC0AFA">
      <w:trPr>
        <w:cantSplit/>
        <w:trHeight w:hRule="exact" w:val="227"/>
      </w:trPr>
      <w:tc>
        <w:tcPr>
          <w:tcW w:w="2628" w:type="dxa"/>
        </w:tcPr>
        <w:p w14:paraId="795A0BB7" w14:textId="77777777" w:rsidR="00EC0AFA" w:rsidRDefault="00EC0AFA" w:rsidP="00EC0AFA">
          <w:pPr>
            <w:pStyle w:val="Alatunniste"/>
          </w:pPr>
        </w:p>
      </w:tc>
      <w:tc>
        <w:tcPr>
          <w:tcW w:w="1796" w:type="dxa"/>
        </w:tcPr>
        <w:p w14:paraId="0E80532F" w14:textId="77777777" w:rsidR="00EC0AFA" w:rsidRDefault="00EC0AFA" w:rsidP="00EC0AFA">
          <w:pPr>
            <w:pStyle w:val="Alatunniste"/>
          </w:pPr>
          <w:r>
            <w:t xml:space="preserve">Eteläesplanadi 16 </w:t>
          </w:r>
        </w:p>
      </w:tc>
      <w:tc>
        <w:tcPr>
          <w:tcW w:w="2057" w:type="dxa"/>
        </w:tcPr>
        <w:p w14:paraId="6C03F489" w14:textId="77777777" w:rsidR="00EC0AFA" w:rsidRDefault="00EC0AFA" w:rsidP="00EC0AFA">
          <w:pPr>
            <w:pStyle w:val="Alatunniste"/>
          </w:pPr>
          <w:r>
            <w:t>PL 31</w:t>
          </w:r>
        </w:p>
      </w:tc>
      <w:tc>
        <w:tcPr>
          <w:tcW w:w="1316" w:type="dxa"/>
        </w:tcPr>
        <w:p w14:paraId="6EC90A07" w14:textId="77777777" w:rsidR="00EC0AFA" w:rsidRDefault="00EC0AFA" w:rsidP="00EC0AFA">
          <w:pPr>
            <w:pStyle w:val="Alatunniste"/>
          </w:pPr>
          <w:r>
            <w:t>029516001</w:t>
          </w:r>
        </w:p>
      </w:tc>
      <w:tc>
        <w:tcPr>
          <w:tcW w:w="2551" w:type="dxa"/>
        </w:tcPr>
        <w:p w14:paraId="31929BDD" w14:textId="77777777" w:rsidR="00EC0AFA" w:rsidRDefault="00EC0AFA" w:rsidP="00EC0AFA">
          <w:pPr>
            <w:pStyle w:val="Alatunniste"/>
          </w:pPr>
          <w:r>
            <w:t>etunimi.sukunimi@lvm.fi</w:t>
          </w:r>
        </w:p>
      </w:tc>
    </w:tr>
    <w:tr w:rsidR="00EC0AFA" w14:paraId="3D0BFB9C" w14:textId="77777777" w:rsidTr="00EC0AFA">
      <w:trPr>
        <w:cantSplit/>
        <w:trHeight w:hRule="exact" w:val="227"/>
      </w:trPr>
      <w:tc>
        <w:tcPr>
          <w:tcW w:w="2628" w:type="dxa"/>
        </w:tcPr>
        <w:p w14:paraId="1B366744" w14:textId="77777777" w:rsidR="00EC0AFA" w:rsidRDefault="00EC0AFA" w:rsidP="00EC0AFA">
          <w:pPr>
            <w:pStyle w:val="Alatunniste"/>
          </w:pPr>
        </w:p>
      </w:tc>
      <w:tc>
        <w:tcPr>
          <w:tcW w:w="1796" w:type="dxa"/>
        </w:tcPr>
        <w:p w14:paraId="11245421" w14:textId="77777777" w:rsidR="00EC0AFA" w:rsidRDefault="00EC0AFA" w:rsidP="00EC0AFA">
          <w:pPr>
            <w:pStyle w:val="Alatunniste"/>
          </w:pPr>
          <w:r>
            <w:t>Helsinki</w:t>
          </w:r>
        </w:p>
      </w:tc>
      <w:tc>
        <w:tcPr>
          <w:tcW w:w="2057" w:type="dxa"/>
        </w:tcPr>
        <w:p w14:paraId="39BC20D9" w14:textId="77777777" w:rsidR="00EC0AFA" w:rsidRDefault="00EC0AFA" w:rsidP="00EC0AFA">
          <w:pPr>
            <w:pStyle w:val="Alatunniste"/>
          </w:pPr>
          <w:r>
            <w:t>00023 Valtioneuvosto</w:t>
          </w:r>
        </w:p>
      </w:tc>
      <w:tc>
        <w:tcPr>
          <w:tcW w:w="1316" w:type="dxa"/>
        </w:tcPr>
        <w:p w14:paraId="0144FAC7" w14:textId="77777777" w:rsidR="00EC0AFA" w:rsidRDefault="00EC0AFA" w:rsidP="00EC0AFA">
          <w:pPr>
            <w:pStyle w:val="Alatunniste"/>
          </w:pPr>
        </w:p>
      </w:tc>
      <w:tc>
        <w:tcPr>
          <w:tcW w:w="2551" w:type="dxa"/>
        </w:tcPr>
        <w:p w14:paraId="4E5564E1" w14:textId="77777777" w:rsidR="00EC0AFA" w:rsidRDefault="00EC0AFA" w:rsidP="00EC0AFA">
          <w:pPr>
            <w:pStyle w:val="Alatunniste"/>
          </w:pPr>
          <w:r>
            <w:t>kirjaamo@lvm.fi</w:t>
          </w:r>
        </w:p>
      </w:tc>
    </w:tr>
    <w:tr w:rsidR="00EC0AFA" w14:paraId="215B5DCC" w14:textId="77777777" w:rsidTr="00EC0AFA">
      <w:trPr>
        <w:cantSplit/>
        <w:trHeight w:hRule="exact" w:val="227"/>
      </w:trPr>
      <w:tc>
        <w:tcPr>
          <w:tcW w:w="2628" w:type="dxa"/>
        </w:tcPr>
        <w:p w14:paraId="0FC055E2" w14:textId="77777777" w:rsidR="00EC0AFA" w:rsidRDefault="00EC0AFA" w:rsidP="00EC0AFA">
          <w:pPr>
            <w:pStyle w:val="Alatunniste"/>
          </w:pPr>
        </w:p>
      </w:tc>
      <w:tc>
        <w:tcPr>
          <w:tcW w:w="1796" w:type="dxa"/>
        </w:tcPr>
        <w:p w14:paraId="60AB7A25" w14:textId="77777777" w:rsidR="00EC0AFA" w:rsidRDefault="00EC0AFA" w:rsidP="00EC0AFA">
          <w:pPr>
            <w:pStyle w:val="Alatunniste"/>
          </w:pPr>
        </w:p>
      </w:tc>
      <w:tc>
        <w:tcPr>
          <w:tcW w:w="2057" w:type="dxa"/>
        </w:tcPr>
        <w:p w14:paraId="2D79BC61" w14:textId="77777777" w:rsidR="00EC0AFA" w:rsidRDefault="00EC0AFA" w:rsidP="00EC0AFA">
          <w:pPr>
            <w:pStyle w:val="Alatunniste"/>
          </w:pPr>
        </w:p>
      </w:tc>
      <w:tc>
        <w:tcPr>
          <w:tcW w:w="1316" w:type="dxa"/>
        </w:tcPr>
        <w:p w14:paraId="323C8E09" w14:textId="77777777" w:rsidR="00EC0AFA" w:rsidRDefault="00EC0AFA" w:rsidP="00EC0AFA">
          <w:pPr>
            <w:pStyle w:val="Alatunniste"/>
          </w:pPr>
        </w:p>
      </w:tc>
      <w:tc>
        <w:tcPr>
          <w:tcW w:w="2551" w:type="dxa"/>
        </w:tcPr>
        <w:p w14:paraId="5821BCF8" w14:textId="77777777" w:rsidR="00EC0AFA" w:rsidRDefault="00EC0AFA" w:rsidP="00EC0AFA">
          <w:pPr>
            <w:pStyle w:val="Alatunniste"/>
          </w:pPr>
        </w:p>
      </w:tc>
    </w:tr>
  </w:tbl>
  <w:p w14:paraId="492A1D92" w14:textId="77777777" w:rsidR="00EC0AFA" w:rsidRPr="00F916C2" w:rsidRDefault="00EC0AFA" w:rsidP="00F916C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04D0C" w14:textId="77777777" w:rsidR="00EC0AFA" w:rsidRDefault="00EC0AFA" w:rsidP="00037954"/>
  <w:p w14:paraId="4438C3FD" w14:textId="77777777" w:rsidR="00EC0AFA" w:rsidRDefault="004220CA" w:rsidP="00150D84">
    <w:pPr>
      <w:pStyle w:val="LVMAsiakirjanidver"/>
    </w:pPr>
    <w:fldSimple w:instr=" DOCPROPERTY  tweb_doc_id  \* MERGEFORMAT ">
      <w:r w:rsidR="00EC0AFA">
        <w:t>Id</w:t>
      </w:r>
    </w:fldSimple>
    <w:r w:rsidR="00EC0AFA">
      <w:t xml:space="preserve">  </w:t>
    </w:r>
    <w:fldSimple w:instr=" DOCPROPERTY  tweb_doc_mamiversion  \* MERGEFORMAT ">
      <w:r w:rsidR="00EC0AFA">
        <w:t>Versionumero</w:t>
      </w:r>
    </w:fldSimple>
  </w:p>
  <w:p w14:paraId="50C399D9" w14:textId="77777777" w:rsidR="00EC0AFA" w:rsidRPr="00653640" w:rsidRDefault="00EC0AFA" w:rsidP="00037954">
    <w:pPr>
      <w:rPr>
        <w:sz w:val="6"/>
        <w:szCs w:val="6"/>
      </w:rPr>
    </w:pPr>
  </w:p>
  <w:tbl>
    <w:tblPr>
      <w:tblW w:w="10348" w:type="dxa"/>
      <w:tblLayout w:type="fixed"/>
      <w:tblCellMar>
        <w:left w:w="0" w:type="dxa"/>
        <w:right w:w="0" w:type="dxa"/>
      </w:tblCellMar>
      <w:tblLook w:val="01E0" w:firstRow="1" w:lastRow="1" w:firstColumn="1" w:lastColumn="1" w:noHBand="0" w:noVBand="0"/>
    </w:tblPr>
    <w:tblGrid>
      <w:gridCol w:w="2628"/>
      <w:gridCol w:w="1796"/>
      <w:gridCol w:w="2057"/>
      <w:gridCol w:w="1316"/>
      <w:gridCol w:w="2551"/>
    </w:tblGrid>
    <w:tr w:rsidR="00EC0AFA" w14:paraId="20BC7359" w14:textId="77777777" w:rsidTr="00F916C2">
      <w:trPr>
        <w:cantSplit/>
        <w:trHeight w:hRule="exact" w:val="113"/>
      </w:trPr>
      <w:tc>
        <w:tcPr>
          <w:tcW w:w="2628" w:type="dxa"/>
          <w:tcBorders>
            <w:top w:val="single" w:sz="4" w:space="0" w:color="auto"/>
          </w:tcBorders>
          <w:noWrap/>
        </w:tcPr>
        <w:p w14:paraId="7AF20AF8" w14:textId="77777777" w:rsidR="00EC0AFA" w:rsidRDefault="00EC0AFA" w:rsidP="00653640">
          <w:pPr>
            <w:pStyle w:val="Alatunniste"/>
          </w:pPr>
        </w:p>
      </w:tc>
      <w:tc>
        <w:tcPr>
          <w:tcW w:w="1796" w:type="dxa"/>
          <w:tcBorders>
            <w:top w:val="single" w:sz="4" w:space="0" w:color="auto"/>
          </w:tcBorders>
          <w:noWrap/>
        </w:tcPr>
        <w:p w14:paraId="329BD6F0" w14:textId="77777777" w:rsidR="00EC0AFA" w:rsidRDefault="00EC0AFA" w:rsidP="00653640">
          <w:pPr>
            <w:pStyle w:val="Alatunniste"/>
          </w:pPr>
        </w:p>
      </w:tc>
      <w:tc>
        <w:tcPr>
          <w:tcW w:w="2057" w:type="dxa"/>
          <w:tcBorders>
            <w:top w:val="single" w:sz="4" w:space="0" w:color="auto"/>
          </w:tcBorders>
          <w:noWrap/>
        </w:tcPr>
        <w:p w14:paraId="1F917EFF" w14:textId="77777777" w:rsidR="00EC0AFA" w:rsidRDefault="00EC0AFA" w:rsidP="00653640">
          <w:pPr>
            <w:pStyle w:val="Alatunniste"/>
          </w:pPr>
        </w:p>
      </w:tc>
      <w:tc>
        <w:tcPr>
          <w:tcW w:w="1316" w:type="dxa"/>
          <w:tcBorders>
            <w:top w:val="single" w:sz="4" w:space="0" w:color="auto"/>
          </w:tcBorders>
          <w:noWrap/>
        </w:tcPr>
        <w:p w14:paraId="2BC1ACE4" w14:textId="77777777" w:rsidR="00EC0AFA" w:rsidRDefault="00EC0AFA" w:rsidP="00653640">
          <w:pPr>
            <w:pStyle w:val="Alatunniste"/>
          </w:pPr>
        </w:p>
      </w:tc>
      <w:tc>
        <w:tcPr>
          <w:tcW w:w="2551" w:type="dxa"/>
          <w:tcBorders>
            <w:top w:val="single" w:sz="4" w:space="0" w:color="auto"/>
          </w:tcBorders>
          <w:noWrap/>
        </w:tcPr>
        <w:p w14:paraId="40127FC5" w14:textId="77777777" w:rsidR="00EC0AFA" w:rsidRDefault="00EC0AFA" w:rsidP="00653640">
          <w:pPr>
            <w:pStyle w:val="Alatunniste"/>
          </w:pPr>
        </w:p>
      </w:tc>
    </w:tr>
    <w:tr w:rsidR="00EC0AFA" w14:paraId="7333CF3E" w14:textId="77777777" w:rsidTr="00653640">
      <w:trPr>
        <w:cantSplit/>
        <w:trHeight w:hRule="exact" w:val="227"/>
      </w:trPr>
      <w:tc>
        <w:tcPr>
          <w:tcW w:w="2628" w:type="dxa"/>
          <w:noWrap/>
        </w:tcPr>
        <w:p w14:paraId="78A1DB72" w14:textId="77777777" w:rsidR="00EC0AFA" w:rsidRDefault="00EC0AFA" w:rsidP="00653640">
          <w:pPr>
            <w:pStyle w:val="Alatunniste"/>
          </w:pPr>
          <w:r>
            <w:t>Liikenne- ja viestintäministeriö</w:t>
          </w:r>
        </w:p>
      </w:tc>
      <w:tc>
        <w:tcPr>
          <w:tcW w:w="1796" w:type="dxa"/>
          <w:noWrap/>
        </w:tcPr>
        <w:p w14:paraId="746C9481" w14:textId="77777777" w:rsidR="00EC0AFA" w:rsidRDefault="00EC0AFA" w:rsidP="00653640">
          <w:pPr>
            <w:pStyle w:val="Alatunniste"/>
          </w:pPr>
          <w:r>
            <w:t>Käyntiosoite</w:t>
          </w:r>
        </w:p>
      </w:tc>
      <w:tc>
        <w:tcPr>
          <w:tcW w:w="2057" w:type="dxa"/>
          <w:noWrap/>
        </w:tcPr>
        <w:p w14:paraId="048A0EE1" w14:textId="77777777" w:rsidR="00EC0AFA" w:rsidRDefault="00EC0AFA" w:rsidP="00653640">
          <w:pPr>
            <w:pStyle w:val="Alatunniste"/>
          </w:pPr>
          <w:r>
            <w:t>Postiosoite</w:t>
          </w:r>
        </w:p>
      </w:tc>
      <w:tc>
        <w:tcPr>
          <w:tcW w:w="1316" w:type="dxa"/>
          <w:noWrap/>
        </w:tcPr>
        <w:p w14:paraId="3F698483" w14:textId="77777777" w:rsidR="00EC0AFA" w:rsidRDefault="00EC0AFA" w:rsidP="00653640">
          <w:pPr>
            <w:pStyle w:val="Alatunniste"/>
          </w:pPr>
          <w:r>
            <w:t>Puhelin</w:t>
          </w:r>
        </w:p>
      </w:tc>
      <w:tc>
        <w:tcPr>
          <w:tcW w:w="2551" w:type="dxa"/>
          <w:noWrap/>
        </w:tcPr>
        <w:p w14:paraId="4E0D66F6" w14:textId="77777777" w:rsidR="00EC0AFA" w:rsidRDefault="00EC0AFA" w:rsidP="00653640">
          <w:pPr>
            <w:pStyle w:val="Alatunniste"/>
          </w:pPr>
          <w:r>
            <w:t>www.lvm.fi</w:t>
          </w:r>
        </w:p>
      </w:tc>
    </w:tr>
    <w:tr w:rsidR="00EC0AFA" w14:paraId="1981EF1F" w14:textId="77777777" w:rsidTr="00653640">
      <w:trPr>
        <w:cantSplit/>
        <w:trHeight w:hRule="exact" w:val="227"/>
      </w:trPr>
      <w:tc>
        <w:tcPr>
          <w:tcW w:w="2628" w:type="dxa"/>
        </w:tcPr>
        <w:p w14:paraId="25A28299" w14:textId="77777777" w:rsidR="00EC0AFA" w:rsidRDefault="00EC0AFA" w:rsidP="00653640">
          <w:pPr>
            <w:pStyle w:val="Alatunniste"/>
          </w:pPr>
        </w:p>
      </w:tc>
      <w:tc>
        <w:tcPr>
          <w:tcW w:w="1796" w:type="dxa"/>
        </w:tcPr>
        <w:p w14:paraId="6678F1D5" w14:textId="77777777" w:rsidR="00EC0AFA" w:rsidRDefault="00EC0AFA" w:rsidP="00653640">
          <w:pPr>
            <w:pStyle w:val="Alatunniste"/>
          </w:pPr>
          <w:r>
            <w:t xml:space="preserve">Eteläesplanadi 16 </w:t>
          </w:r>
        </w:p>
      </w:tc>
      <w:tc>
        <w:tcPr>
          <w:tcW w:w="2057" w:type="dxa"/>
        </w:tcPr>
        <w:p w14:paraId="48E278CE" w14:textId="77777777" w:rsidR="00EC0AFA" w:rsidRDefault="00EC0AFA" w:rsidP="00653640">
          <w:pPr>
            <w:pStyle w:val="Alatunniste"/>
          </w:pPr>
          <w:r>
            <w:t>PL 31</w:t>
          </w:r>
        </w:p>
      </w:tc>
      <w:tc>
        <w:tcPr>
          <w:tcW w:w="1316" w:type="dxa"/>
        </w:tcPr>
        <w:p w14:paraId="33415D6A" w14:textId="77777777" w:rsidR="00EC0AFA" w:rsidRDefault="00EC0AFA" w:rsidP="00653640">
          <w:pPr>
            <w:pStyle w:val="Alatunniste"/>
          </w:pPr>
          <w:r>
            <w:t>029516001</w:t>
          </w:r>
        </w:p>
      </w:tc>
      <w:tc>
        <w:tcPr>
          <w:tcW w:w="2551" w:type="dxa"/>
        </w:tcPr>
        <w:p w14:paraId="6DA97888" w14:textId="77777777" w:rsidR="00EC0AFA" w:rsidRDefault="00EC0AFA" w:rsidP="00653640">
          <w:pPr>
            <w:pStyle w:val="Alatunniste"/>
          </w:pPr>
          <w:r>
            <w:t>etunimi.sukunimi@lvm.fi</w:t>
          </w:r>
        </w:p>
      </w:tc>
    </w:tr>
    <w:tr w:rsidR="00EC0AFA" w14:paraId="3B6C55C3" w14:textId="77777777" w:rsidTr="00653640">
      <w:trPr>
        <w:cantSplit/>
        <w:trHeight w:hRule="exact" w:val="227"/>
      </w:trPr>
      <w:tc>
        <w:tcPr>
          <w:tcW w:w="2628" w:type="dxa"/>
        </w:tcPr>
        <w:p w14:paraId="28BF3987" w14:textId="77777777" w:rsidR="00EC0AFA" w:rsidRDefault="00EC0AFA" w:rsidP="00653640">
          <w:pPr>
            <w:pStyle w:val="Alatunniste"/>
          </w:pPr>
        </w:p>
      </w:tc>
      <w:tc>
        <w:tcPr>
          <w:tcW w:w="1796" w:type="dxa"/>
        </w:tcPr>
        <w:p w14:paraId="4B0EAB89" w14:textId="77777777" w:rsidR="00EC0AFA" w:rsidRDefault="00EC0AFA" w:rsidP="00653640">
          <w:pPr>
            <w:pStyle w:val="Alatunniste"/>
          </w:pPr>
          <w:r>
            <w:t>Helsinki</w:t>
          </w:r>
        </w:p>
      </w:tc>
      <w:tc>
        <w:tcPr>
          <w:tcW w:w="2057" w:type="dxa"/>
        </w:tcPr>
        <w:p w14:paraId="0CD78927" w14:textId="77777777" w:rsidR="00EC0AFA" w:rsidRDefault="00EC0AFA" w:rsidP="00EC0AFA">
          <w:pPr>
            <w:pStyle w:val="Alatunniste"/>
          </w:pPr>
          <w:r>
            <w:t>00023 Valtioneuvosto</w:t>
          </w:r>
        </w:p>
      </w:tc>
      <w:tc>
        <w:tcPr>
          <w:tcW w:w="1316" w:type="dxa"/>
        </w:tcPr>
        <w:p w14:paraId="43B5639A" w14:textId="77777777" w:rsidR="00EC0AFA" w:rsidRDefault="00EC0AFA" w:rsidP="00EC0AFA">
          <w:pPr>
            <w:pStyle w:val="Alatunniste"/>
          </w:pPr>
        </w:p>
      </w:tc>
      <w:tc>
        <w:tcPr>
          <w:tcW w:w="2551" w:type="dxa"/>
        </w:tcPr>
        <w:p w14:paraId="20BADAE5" w14:textId="77777777" w:rsidR="00EC0AFA" w:rsidRDefault="00EC0AFA" w:rsidP="00EC0AFA">
          <w:pPr>
            <w:pStyle w:val="Alatunniste"/>
          </w:pPr>
          <w:r>
            <w:t>kirjaamo@lvm.fi</w:t>
          </w:r>
        </w:p>
      </w:tc>
    </w:tr>
    <w:tr w:rsidR="00EC0AFA" w14:paraId="174F8ECA" w14:textId="77777777" w:rsidTr="00653640">
      <w:trPr>
        <w:cantSplit/>
        <w:trHeight w:hRule="exact" w:val="227"/>
      </w:trPr>
      <w:tc>
        <w:tcPr>
          <w:tcW w:w="2628" w:type="dxa"/>
        </w:tcPr>
        <w:p w14:paraId="4622FA1F" w14:textId="77777777" w:rsidR="00EC0AFA" w:rsidRDefault="00EC0AFA" w:rsidP="00653640">
          <w:pPr>
            <w:pStyle w:val="Alatunniste"/>
          </w:pPr>
        </w:p>
      </w:tc>
      <w:tc>
        <w:tcPr>
          <w:tcW w:w="1796" w:type="dxa"/>
        </w:tcPr>
        <w:p w14:paraId="46E260C3" w14:textId="77777777" w:rsidR="00EC0AFA" w:rsidRDefault="00EC0AFA" w:rsidP="00EC0AFA">
          <w:pPr>
            <w:pStyle w:val="Alatunniste"/>
          </w:pPr>
        </w:p>
      </w:tc>
      <w:tc>
        <w:tcPr>
          <w:tcW w:w="2057" w:type="dxa"/>
        </w:tcPr>
        <w:p w14:paraId="75A6E916" w14:textId="77777777" w:rsidR="00EC0AFA" w:rsidRDefault="00EC0AFA" w:rsidP="00EC0AFA">
          <w:pPr>
            <w:pStyle w:val="Alatunniste"/>
          </w:pPr>
        </w:p>
      </w:tc>
      <w:tc>
        <w:tcPr>
          <w:tcW w:w="1316" w:type="dxa"/>
        </w:tcPr>
        <w:p w14:paraId="1F48DF70" w14:textId="77777777" w:rsidR="00EC0AFA" w:rsidRDefault="00EC0AFA" w:rsidP="00EC0AFA">
          <w:pPr>
            <w:pStyle w:val="Alatunniste"/>
          </w:pPr>
        </w:p>
      </w:tc>
      <w:tc>
        <w:tcPr>
          <w:tcW w:w="2551" w:type="dxa"/>
        </w:tcPr>
        <w:p w14:paraId="49B09BA3" w14:textId="77777777" w:rsidR="00EC0AFA" w:rsidRDefault="00EC0AFA" w:rsidP="00EC0AFA">
          <w:pPr>
            <w:pStyle w:val="Alatunniste"/>
          </w:pPr>
        </w:p>
      </w:tc>
    </w:tr>
  </w:tbl>
  <w:p w14:paraId="6225954D" w14:textId="77777777" w:rsidR="00EC0AFA" w:rsidRDefault="00EC0AF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6E97D" w14:textId="77777777" w:rsidR="00FA6ACE" w:rsidRDefault="00655BB0"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DAB31" w14:textId="77777777" w:rsidR="00655BB0" w:rsidRDefault="00655BB0">
      <w:r>
        <w:separator/>
      </w:r>
    </w:p>
  </w:footnote>
  <w:footnote w:type="continuationSeparator" w:id="0">
    <w:p w14:paraId="5851097B" w14:textId="77777777" w:rsidR="00655BB0" w:rsidRDefault="00655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A43C4" w14:textId="77777777" w:rsidR="00EC0AFA" w:rsidRDefault="00EC0AFA">
    <w:pPr>
      <w:pStyle w:val="Yltunniste"/>
    </w:pPr>
    <w:r>
      <w:tab/>
    </w:r>
    <w:r>
      <w:rPr>
        <w:rStyle w:val="Sivunumero"/>
      </w:rPr>
      <w:fldChar w:fldCharType="begin"/>
    </w:r>
    <w:r>
      <w:rPr>
        <w:rStyle w:val="Sivunumero"/>
      </w:rPr>
      <w:instrText xml:space="preserve"> PAGE </w:instrText>
    </w:r>
    <w:r>
      <w:rPr>
        <w:rStyle w:val="Sivunumero"/>
      </w:rPr>
      <w:fldChar w:fldCharType="separate"/>
    </w:r>
    <w:r>
      <w:rPr>
        <w:rStyle w:val="Sivunumero"/>
        <w:noProof/>
      </w:rPr>
      <w:t>2</w:t>
    </w:r>
    <w:r>
      <w:rPr>
        <w:rStyle w:val="Sivunumero"/>
      </w:rPr>
      <w:fldChar w:fldCharType="end"/>
    </w:r>
    <w:r>
      <w:rPr>
        <w:rStyle w:val="Sivunumero"/>
      </w:rPr>
      <w:t>/</w:t>
    </w:r>
    <w:r>
      <w:rPr>
        <w:rStyle w:val="Sivunumero"/>
      </w:rPr>
      <w:fldChar w:fldCharType="begin"/>
    </w:r>
    <w:r>
      <w:rPr>
        <w:rStyle w:val="Sivunumero"/>
      </w:rPr>
      <w:instrText xml:space="preserve"> NUMPAGES </w:instrText>
    </w:r>
    <w:r>
      <w:rPr>
        <w:rStyle w:val="Sivunumero"/>
      </w:rPr>
      <w:fldChar w:fldCharType="separate"/>
    </w:r>
    <w:r>
      <w:rPr>
        <w:rStyle w:val="Sivunumero"/>
        <w:noProof/>
      </w:rPr>
      <w:t>1</w:t>
    </w:r>
    <w:r>
      <w:rPr>
        <w:rStyle w:val="Sivunumero"/>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B78C8" w14:textId="3D0FA532" w:rsidR="00EC0AFA" w:rsidRPr="00EB5F36" w:rsidRDefault="00EC0AFA" w:rsidP="00EB5F36">
    <w:pPr>
      <w:pStyle w:val="Yltunniste"/>
      <w:jc w:val="right"/>
      <w:rPr>
        <w:rStyle w:val="Sivunumero"/>
      </w:rPr>
    </w:pPr>
    <w:r w:rsidRPr="00EB5F36">
      <w:rPr>
        <w:rStyle w:val="Sivunumero"/>
      </w:rPr>
      <w:fldChar w:fldCharType="begin"/>
    </w:r>
    <w:r w:rsidRPr="00EB5F36">
      <w:rPr>
        <w:rStyle w:val="Sivunumero"/>
      </w:rPr>
      <w:instrText xml:space="preserve"> PAGE </w:instrText>
    </w:r>
    <w:r w:rsidRPr="00EB5F36">
      <w:rPr>
        <w:rStyle w:val="Sivunumero"/>
      </w:rPr>
      <w:fldChar w:fldCharType="separate"/>
    </w:r>
    <w:r w:rsidR="00DA5F39">
      <w:rPr>
        <w:rStyle w:val="Sivunumero"/>
        <w:noProof/>
      </w:rPr>
      <w:t>1</w:t>
    </w:r>
    <w:r w:rsidRPr="00EB5F36">
      <w:rPr>
        <w:rStyle w:val="Sivunumero"/>
      </w:rPr>
      <w:fldChar w:fldCharType="end"/>
    </w:r>
    <w:r w:rsidRPr="00EB5F36">
      <w:rPr>
        <w:rStyle w:val="Sivunumero"/>
      </w:rPr>
      <w:t>(</w:t>
    </w:r>
    <w:r w:rsidRPr="00EB5F36">
      <w:rPr>
        <w:rStyle w:val="Sivunumero"/>
      </w:rPr>
      <w:fldChar w:fldCharType="begin"/>
    </w:r>
    <w:r w:rsidRPr="00EB5F36">
      <w:rPr>
        <w:rStyle w:val="Sivunumero"/>
      </w:rPr>
      <w:instrText xml:space="preserve"> NUMPAGES </w:instrText>
    </w:r>
    <w:r w:rsidRPr="00EB5F36">
      <w:rPr>
        <w:rStyle w:val="Sivunumero"/>
      </w:rPr>
      <w:fldChar w:fldCharType="separate"/>
    </w:r>
    <w:r w:rsidR="00DA5F39">
      <w:rPr>
        <w:rStyle w:val="Sivunumero"/>
        <w:noProof/>
      </w:rPr>
      <w:t>5</w:t>
    </w:r>
    <w:r w:rsidRPr="00EB5F36">
      <w:rPr>
        <w:rStyle w:val="Sivunumero"/>
      </w:rPr>
      <w:fldChar w:fldCharType="end"/>
    </w:r>
    <w:r w:rsidRPr="00EB5F36">
      <w:rPr>
        <w:rStyle w:val="Sivunumero"/>
      </w:rPr>
      <w:t>)</w:t>
    </w:r>
  </w:p>
  <w:p w14:paraId="40A55D29" w14:textId="77777777" w:rsidR="00EC0AFA" w:rsidRDefault="00EC0AFA">
    <w:pPr>
      <w:pStyle w:val="Yltunniste"/>
    </w:pPr>
    <w:r>
      <w:rPr>
        <w:noProof/>
      </w:rPr>
      <w:drawing>
        <wp:anchor distT="0" distB="0" distL="114300" distR="114300" simplePos="0" relativeHeight="251659264" behindDoc="1" locked="0" layoutInCell="0" allowOverlap="1" wp14:anchorId="5F5EEC57" wp14:editId="579DAB8B">
          <wp:simplePos x="0" y="0"/>
          <wp:positionH relativeFrom="page">
            <wp:posOffset>558165</wp:posOffset>
          </wp:positionH>
          <wp:positionV relativeFrom="page">
            <wp:posOffset>252095</wp:posOffset>
          </wp:positionV>
          <wp:extent cx="2804400" cy="590400"/>
          <wp:effectExtent l="0" t="0" r="0" b="635"/>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M_LA12_logo___fi_V9____BW.wmf"/>
                  <pic:cNvPicPr/>
                </pic:nvPicPr>
                <pic:blipFill>
                  <a:blip r:embed="rId1">
                    <a:extLst>
                      <a:ext uri="{28A0092B-C50C-407E-A947-70E740481C1C}">
                        <a14:useLocalDpi xmlns:a14="http://schemas.microsoft.com/office/drawing/2010/main" val="0"/>
                      </a:ext>
                    </a:extLst>
                  </a:blip>
                  <a:stretch>
                    <a:fillRect/>
                  </a:stretch>
                </pic:blipFill>
                <pic:spPr>
                  <a:xfrm>
                    <a:off x="0" y="0"/>
                    <a:ext cx="2804400" cy="59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6C13888F" w14:textId="501FCD8C" w:rsidR="008E0F4A" w:rsidRDefault="00911DD2" w:rsidP="00562E6B">
        <w:pPr>
          <w:ind w:right="-143" w:firstLine="8789"/>
          <w:jc w:val="center"/>
        </w:pPr>
        <w:r>
          <w:fldChar w:fldCharType="begin"/>
        </w:r>
        <w:r>
          <w:instrText xml:space="preserve"> PAGE   \* MERGEFORMAT </w:instrText>
        </w:r>
        <w:r>
          <w:fldChar w:fldCharType="separate"/>
        </w:r>
        <w:r w:rsidR="00DA5F39">
          <w:rPr>
            <w:noProof/>
          </w:rPr>
          <w:t>4</w:t>
        </w:r>
        <w:r>
          <w:rPr>
            <w:noProof/>
          </w:rPr>
          <w:fldChar w:fldCharType="end"/>
        </w:r>
        <w:r>
          <w:t>(</w:t>
        </w:r>
        <w:r w:rsidR="00655BB0">
          <w:fldChar w:fldCharType="begin"/>
        </w:r>
        <w:r w:rsidR="00655BB0">
          <w:instrText xml:space="preserve"> NUMPAGES   \* MERGEFORMAT </w:instrText>
        </w:r>
        <w:r w:rsidR="00655BB0">
          <w:fldChar w:fldCharType="separate"/>
        </w:r>
        <w:r w:rsidR="00DA5F39">
          <w:rPr>
            <w:noProof/>
          </w:rPr>
          <w:t>5</w:t>
        </w:r>
        <w:r w:rsidR="00655BB0">
          <w:rPr>
            <w:noProof/>
          </w:rPr>
          <w:fldChar w:fldCharType="end"/>
        </w:r>
        <w:r>
          <w:t>)</w:t>
        </w:r>
      </w:p>
      <w:p w14:paraId="446ACF09" w14:textId="77777777" w:rsidR="008E0F4A" w:rsidRDefault="00911DD2" w:rsidP="00562E6B">
        <w:pPr>
          <w:tabs>
            <w:tab w:val="left" w:pos="5245"/>
          </w:tabs>
        </w:pPr>
        <w:r>
          <w:tab/>
        </w:r>
      </w:p>
      <w:p w14:paraId="50955420" w14:textId="77777777" w:rsidR="00FA6ACE" w:rsidRDefault="00655BB0" w:rsidP="00562E6B"/>
      <w:p w14:paraId="0BC930E3" w14:textId="77777777" w:rsidR="008E0F4A" w:rsidRDefault="00655BB0" w:rsidP="00562E6B"/>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51D15362" w14:textId="77777777" w:rsidR="00FA6ACE" w:rsidRDefault="00911DD2" w:rsidP="00562E6B">
        <w:pPr>
          <w:ind w:right="-143" w:firstLine="8789"/>
          <w:jc w:val="right"/>
        </w:pPr>
        <w:r>
          <w:fldChar w:fldCharType="begin"/>
        </w:r>
        <w:r>
          <w:instrText xml:space="preserve"> PAGE   \* MERGEFORMAT </w:instrText>
        </w:r>
        <w:r>
          <w:fldChar w:fldCharType="separate"/>
        </w:r>
        <w:r>
          <w:rPr>
            <w:noProof/>
          </w:rPr>
          <w:t>1</w:t>
        </w:r>
        <w:r>
          <w:rPr>
            <w:noProof/>
          </w:rPr>
          <w:fldChar w:fldCharType="end"/>
        </w:r>
        <w:r>
          <w:t>(</w:t>
        </w:r>
        <w:r w:rsidR="00655BB0">
          <w:fldChar w:fldCharType="begin"/>
        </w:r>
        <w:r w:rsidR="00655BB0">
          <w:instrText xml:space="preserve"> NUMPAGES   \* MERGEFORMAT </w:instrText>
        </w:r>
        <w:r w:rsidR="00655BB0">
          <w:fldChar w:fldCharType="separate"/>
        </w:r>
        <w:r>
          <w:rPr>
            <w:noProof/>
          </w:rPr>
          <w:t>5</w:t>
        </w:r>
        <w:r w:rsidR="00655BB0">
          <w:rPr>
            <w:noProof/>
          </w:rPr>
          <w:fldChar w:fldCharType="end"/>
        </w:r>
        <w:r>
          <w:t>)</w:t>
        </w:r>
      </w:p>
      <w:p w14:paraId="6678B2E9" w14:textId="77777777" w:rsidR="00FA6ACE" w:rsidRDefault="00655BB0" w:rsidP="00CB4C78">
        <w:pPr>
          <w:ind w:left="5245"/>
        </w:pPr>
      </w:p>
    </w:sdtContent>
  </w:sdt>
  <w:p w14:paraId="3F748C75" w14:textId="77777777" w:rsidR="00FA6ACE" w:rsidRDefault="00655BB0" w:rsidP="00CB4C78"/>
  <w:p w14:paraId="753D28FC" w14:textId="77777777" w:rsidR="00CB4C78" w:rsidRDefault="00655BB0"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69F"/>
    <w:multiLevelType w:val="hybridMultilevel"/>
    <w:tmpl w:val="1B8C0AB0"/>
    <w:lvl w:ilvl="0" w:tplc="00227264">
      <w:start w:val="1"/>
      <w:numFmt w:val="decimal"/>
      <w:pStyle w:val="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C63608C"/>
    <w:multiLevelType w:val="hybridMultilevel"/>
    <w:tmpl w:val="919A5DB0"/>
    <w:lvl w:ilvl="0" w:tplc="E0FE3294">
      <w:start w:val="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BFA061B"/>
    <w:multiLevelType w:val="hybridMultilevel"/>
    <w:tmpl w:val="017E79B2"/>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0550BF6"/>
    <w:multiLevelType w:val="hybridMultilevel"/>
    <w:tmpl w:val="D9529DF4"/>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D3A3E3B"/>
    <w:multiLevelType w:val="hybridMultilevel"/>
    <w:tmpl w:val="4D8093F2"/>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185017D"/>
    <w:multiLevelType w:val="hybridMultilevel"/>
    <w:tmpl w:val="770C657A"/>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1BC0904"/>
    <w:multiLevelType w:val="hybridMultilevel"/>
    <w:tmpl w:val="9EA80254"/>
    <w:lvl w:ilvl="0" w:tplc="C2E45336">
      <w:start w:val="1"/>
      <w:numFmt w:val="decimal"/>
      <w:lvlText w:val="%1."/>
      <w:lvlJc w:val="left"/>
      <w:pPr>
        <w:ind w:left="720" w:hanging="360"/>
      </w:pPr>
      <w:rPr>
        <w:rFonts w:ascii="Arial" w:hAnsi="Arial" w:cs="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44250E65"/>
    <w:multiLevelType w:val="multilevel"/>
    <w:tmpl w:val="F2CC246E"/>
    <w:lvl w:ilvl="0">
      <w:start w:val="1"/>
      <w:numFmt w:val="decimal"/>
      <w:pStyle w:val="Otsikkonum1"/>
      <w:suff w:val="space"/>
      <w:lvlText w:val="%1"/>
      <w:lvlJc w:val="left"/>
      <w:pPr>
        <w:ind w:left="720" w:hanging="720"/>
      </w:pPr>
      <w:rPr>
        <w:rFonts w:hint="default"/>
      </w:rPr>
    </w:lvl>
    <w:lvl w:ilvl="1">
      <w:start w:val="1"/>
      <w:numFmt w:val="decimal"/>
      <w:pStyle w:val="Otsikkonum2"/>
      <w:suff w:val="space"/>
      <w:lvlText w:val="%1.%2"/>
      <w:lvlJc w:val="left"/>
      <w:pPr>
        <w:ind w:left="1152" w:hanging="1152"/>
      </w:pPr>
      <w:rPr>
        <w:rFonts w:hint="default"/>
      </w:rPr>
    </w:lvl>
    <w:lvl w:ilvl="2">
      <w:start w:val="1"/>
      <w:numFmt w:val="decimal"/>
      <w:pStyle w:val="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8" w15:restartNumberingAfterBreak="0">
    <w:nsid w:val="4BF94681"/>
    <w:multiLevelType w:val="hybridMultilevel"/>
    <w:tmpl w:val="D16829E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65733883"/>
    <w:multiLevelType w:val="multilevel"/>
    <w:tmpl w:val="30AC95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4F4024F"/>
    <w:multiLevelType w:val="hybridMultilevel"/>
    <w:tmpl w:val="63620E74"/>
    <w:lvl w:ilvl="0" w:tplc="785E2730">
      <w:start w:val="1"/>
      <w:numFmt w:val="bullet"/>
      <w:pStyle w:val="Luettelo"/>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1"/>
  </w:num>
  <w:num w:numId="5">
    <w:abstractNumId w:val="9"/>
  </w:num>
  <w:num w:numId="6">
    <w:abstractNumId w:val="8"/>
  </w:num>
  <w:num w:numId="7">
    <w:abstractNumId w:val="6"/>
  </w:num>
  <w:num w:numId="8">
    <w:abstractNumId w:val="3"/>
  </w:num>
  <w:num w:numId="9">
    <w:abstractNumId w:val="4"/>
  </w:num>
  <w:num w:numId="10">
    <w:abstractNumId w:val="5"/>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A8"/>
    <w:rsid w:val="00005269"/>
    <w:rsid w:val="00037954"/>
    <w:rsid w:val="000660CE"/>
    <w:rsid w:val="00080526"/>
    <w:rsid w:val="00083F94"/>
    <w:rsid w:val="00084321"/>
    <w:rsid w:val="000959E2"/>
    <w:rsid w:val="000B20ED"/>
    <w:rsid w:val="000C3795"/>
    <w:rsid w:val="000D096F"/>
    <w:rsid w:val="000E505E"/>
    <w:rsid w:val="000E60B6"/>
    <w:rsid w:val="000F2157"/>
    <w:rsid w:val="00140EF8"/>
    <w:rsid w:val="00146B2A"/>
    <w:rsid w:val="00150D84"/>
    <w:rsid w:val="001710DD"/>
    <w:rsid w:val="00186449"/>
    <w:rsid w:val="001A132E"/>
    <w:rsid w:val="001A33A8"/>
    <w:rsid w:val="001D0C86"/>
    <w:rsid w:val="001D5242"/>
    <w:rsid w:val="001D7543"/>
    <w:rsid w:val="001F698A"/>
    <w:rsid w:val="00210627"/>
    <w:rsid w:val="00234E3B"/>
    <w:rsid w:val="002457DC"/>
    <w:rsid w:val="002568A7"/>
    <w:rsid w:val="00256C44"/>
    <w:rsid w:val="00280CFF"/>
    <w:rsid w:val="002C1927"/>
    <w:rsid w:val="002C66E0"/>
    <w:rsid w:val="002D334D"/>
    <w:rsid w:val="002D7A71"/>
    <w:rsid w:val="002E635F"/>
    <w:rsid w:val="002F34C4"/>
    <w:rsid w:val="002F5C73"/>
    <w:rsid w:val="00310447"/>
    <w:rsid w:val="003221EF"/>
    <w:rsid w:val="00323503"/>
    <w:rsid w:val="003241A6"/>
    <w:rsid w:val="003323E0"/>
    <w:rsid w:val="00343293"/>
    <w:rsid w:val="003564B3"/>
    <w:rsid w:val="00374779"/>
    <w:rsid w:val="0037510F"/>
    <w:rsid w:val="00385A23"/>
    <w:rsid w:val="003937B5"/>
    <w:rsid w:val="003B0583"/>
    <w:rsid w:val="003B7A8E"/>
    <w:rsid w:val="003C2F72"/>
    <w:rsid w:val="003C7039"/>
    <w:rsid w:val="003D18C3"/>
    <w:rsid w:val="003D5E6B"/>
    <w:rsid w:val="003E6477"/>
    <w:rsid w:val="003F3EC5"/>
    <w:rsid w:val="0041565A"/>
    <w:rsid w:val="004220CA"/>
    <w:rsid w:val="00423292"/>
    <w:rsid w:val="00423ED1"/>
    <w:rsid w:val="00432AC3"/>
    <w:rsid w:val="004612C6"/>
    <w:rsid w:val="004740E7"/>
    <w:rsid w:val="00494FD4"/>
    <w:rsid w:val="004A2C68"/>
    <w:rsid w:val="004B2020"/>
    <w:rsid w:val="004B6034"/>
    <w:rsid w:val="004C36AB"/>
    <w:rsid w:val="004C72E8"/>
    <w:rsid w:val="004D0F99"/>
    <w:rsid w:val="004D63CE"/>
    <w:rsid w:val="004E5453"/>
    <w:rsid w:val="004E756B"/>
    <w:rsid w:val="004F471D"/>
    <w:rsid w:val="00511EF2"/>
    <w:rsid w:val="00512645"/>
    <w:rsid w:val="00523A2C"/>
    <w:rsid w:val="005308DE"/>
    <w:rsid w:val="00541595"/>
    <w:rsid w:val="00554DCA"/>
    <w:rsid w:val="005652BA"/>
    <w:rsid w:val="0059215F"/>
    <w:rsid w:val="0059738C"/>
    <w:rsid w:val="005A559B"/>
    <w:rsid w:val="005A6023"/>
    <w:rsid w:val="005B4E1B"/>
    <w:rsid w:val="005C4A69"/>
    <w:rsid w:val="005C7446"/>
    <w:rsid w:val="005F241D"/>
    <w:rsid w:val="00623039"/>
    <w:rsid w:val="006273E9"/>
    <w:rsid w:val="0063146D"/>
    <w:rsid w:val="00653640"/>
    <w:rsid w:val="00655BB0"/>
    <w:rsid w:val="006565EA"/>
    <w:rsid w:val="00657F29"/>
    <w:rsid w:val="0066014C"/>
    <w:rsid w:val="00671118"/>
    <w:rsid w:val="006765B8"/>
    <w:rsid w:val="00677470"/>
    <w:rsid w:val="006845C2"/>
    <w:rsid w:val="00684BB4"/>
    <w:rsid w:val="006C7FE9"/>
    <w:rsid w:val="006E4F2E"/>
    <w:rsid w:val="006F1C67"/>
    <w:rsid w:val="006F4ECD"/>
    <w:rsid w:val="00701471"/>
    <w:rsid w:val="007177C2"/>
    <w:rsid w:val="00732D08"/>
    <w:rsid w:val="00734C1D"/>
    <w:rsid w:val="0074332B"/>
    <w:rsid w:val="00743526"/>
    <w:rsid w:val="00744876"/>
    <w:rsid w:val="007458DE"/>
    <w:rsid w:val="00757632"/>
    <w:rsid w:val="00766533"/>
    <w:rsid w:val="0077386C"/>
    <w:rsid w:val="00786285"/>
    <w:rsid w:val="007863D8"/>
    <w:rsid w:val="007A4F32"/>
    <w:rsid w:val="007A598C"/>
    <w:rsid w:val="007A6624"/>
    <w:rsid w:val="007B3232"/>
    <w:rsid w:val="007B41D2"/>
    <w:rsid w:val="007B6BE1"/>
    <w:rsid w:val="007C4F45"/>
    <w:rsid w:val="007D053C"/>
    <w:rsid w:val="007D631B"/>
    <w:rsid w:val="00817C85"/>
    <w:rsid w:val="008267ED"/>
    <w:rsid w:val="00826BF0"/>
    <w:rsid w:val="008423BA"/>
    <w:rsid w:val="008538A5"/>
    <w:rsid w:val="008716F7"/>
    <w:rsid w:val="0087522E"/>
    <w:rsid w:val="00891E12"/>
    <w:rsid w:val="00892CC9"/>
    <w:rsid w:val="008A5154"/>
    <w:rsid w:val="008B2352"/>
    <w:rsid w:val="008B73C6"/>
    <w:rsid w:val="008C20D8"/>
    <w:rsid w:val="008C7EFD"/>
    <w:rsid w:val="008D1078"/>
    <w:rsid w:val="008D1BDA"/>
    <w:rsid w:val="008D59A2"/>
    <w:rsid w:val="008E25B4"/>
    <w:rsid w:val="008F0CB0"/>
    <w:rsid w:val="008F3A17"/>
    <w:rsid w:val="009044E9"/>
    <w:rsid w:val="009067C7"/>
    <w:rsid w:val="00911DD2"/>
    <w:rsid w:val="00916620"/>
    <w:rsid w:val="0093112C"/>
    <w:rsid w:val="00931E23"/>
    <w:rsid w:val="0095046D"/>
    <w:rsid w:val="009506EF"/>
    <w:rsid w:val="00953CED"/>
    <w:rsid w:val="00956FCF"/>
    <w:rsid w:val="00966B06"/>
    <w:rsid w:val="00966D1E"/>
    <w:rsid w:val="009840D5"/>
    <w:rsid w:val="00994722"/>
    <w:rsid w:val="009A2A64"/>
    <w:rsid w:val="009B3467"/>
    <w:rsid w:val="009D1FDC"/>
    <w:rsid w:val="009D49AA"/>
    <w:rsid w:val="009F18EF"/>
    <w:rsid w:val="009F7F40"/>
    <w:rsid w:val="00A269C1"/>
    <w:rsid w:val="00A3353E"/>
    <w:rsid w:val="00A34257"/>
    <w:rsid w:val="00A377EB"/>
    <w:rsid w:val="00A42EA7"/>
    <w:rsid w:val="00A514B8"/>
    <w:rsid w:val="00A651FE"/>
    <w:rsid w:val="00A7748B"/>
    <w:rsid w:val="00A96DD0"/>
    <w:rsid w:val="00AA112C"/>
    <w:rsid w:val="00AA6042"/>
    <w:rsid w:val="00AD0375"/>
    <w:rsid w:val="00AD59BE"/>
    <w:rsid w:val="00AE05BC"/>
    <w:rsid w:val="00AE1BB8"/>
    <w:rsid w:val="00AE1F5A"/>
    <w:rsid w:val="00AF01F5"/>
    <w:rsid w:val="00AF4368"/>
    <w:rsid w:val="00B367B2"/>
    <w:rsid w:val="00B45F0E"/>
    <w:rsid w:val="00B53AA1"/>
    <w:rsid w:val="00B658A8"/>
    <w:rsid w:val="00B72A80"/>
    <w:rsid w:val="00B80601"/>
    <w:rsid w:val="00BA18F6"/>
    <w:rsid w:val="00BA55F9"/>
    <w:rsid w:val="00BB58C8"/>
    <w:rsid w:val="00BB60DA"/>
    <w:rsid w:val="00BD08C5"/>
    <w:rsid w:val="00C0067E"/>
    <w:rsid w:val="00C00CBE"/>
    <w:rsid w:val="00C0562A"/>
    <w:rsid w:val="00C12430"/>
    <w:rsid w:val="00C17399"/>
    <w:rsid w:val="00C30C05"/>
    <w:rsid w:val="00C310E8"/>
    <w:rsid w:val="00C31C77"/>
    <w:rsid w:val="00C42165"/>
    <w:rsid w:val="00C446E4"/>
    <w:rsid w:val="00C47B5A"/>
    <w:rsid w:val="00C5102E"/>
    <w:rsid w:val="00C560E6"/>
    <w:rsid w:val="00C8246F"/>
    <w:rsid w:val="00C87EF0"/>
    <w:rsid w:val="00CC0BA5"/>
    <w:rsid w:val="00CC46FE"/>
    <w:rsid w:val="00CD23F4"/>
    <w:rsid w:val="00CD249F"/>
    <w:rsid w:val="00CD5409"/>
    <w:rsid w:val="00CF779F"/>
    <w:rsid w:val="00D0671F"/>
    <w:rsid w:val="00D078EA"/>
    <w:rsid w:val="00D20185"/>
    <w:rsid w:val="00D22A93"/>
    <w:rsid w:val="00D32FC1"/>
    <w:rsid w:val="00D343BB"/>
    <w:rsid w:val="00D429A7"/>
    <w:rsid w:val="00D550CC"/>
    <w:rsid w:val="00D70D30"/>
    <w:rsid w:val="00D8152F"/>
    <w:rsid w:val="00DA12E1"/>
    <w:rsid w:val="00DA3D6E"/>
    <w:rsid w:val="00DA5F39"/>
    <w:rsid w:val="00DB3905"/>
    <w:rsid w:val="00DB73BB"/>
    <w:rsid w:val="00DC079E"/>
    <w:rsid w:val="00DD0E5A"/>
    <w:rsid w:val="00DD756D"/>
    <w:rsid w:val="00DE26FA"/>
    <w:rsid w:val="00DF29AA"/>
    <w:rsid w:val="00E067F2"/>
    <w:rsid w:val="00E24652"/>
    <w:rsid w:val="00E56509"/>
    <w:rsid w:val="00E61C8E"/>
    <w:rsid w:val="00E61DC5"/>
    <w:rsid w:val="00E6398E"/>
    <w:rsid w:val="00E63DB5"/>
    <w:rsid w:val="00E6594D"/>
    <w:rsid w:val="00E65E18"/>
    <w:rsid w:val="00E738A3"/>
    <w:rsid w:val="00E805AA"/>
    <w:rsid w:val="00E84F18"/>
    <w:rsid w:val="00E86C00"/>
    <w:rsid w:val="00EB10B1"/>
    <w:rsid w:val="00EB3387"/>
    <w:rsid w:val="00EB5F36"/>
    <w:rsid w:val="00EC0AFA"/>
    <w:rsid w:val="00EC3253"/>
    <w:rsid w:val="00ED1F7E"/>
    <w:rsid w:val="00ED752B"/>
    <w:rsid w:val="00F0076F"/>
    <w:rsid w:val="00F12AA5"/>
    <w:rsid w:val="00F134EA"/>
    <w:rsid w:val="00F20007"/>
    <w:rsid w:val="00F377E5"/>
    <w:rsid w:val="00F42114"/>
    <w:rsid w:val="00F46EBC"/>
    <w:rsid w:val="00F5281A"/>
    <w:rsid w:val="00F52E07"/>
    <w:rsid w:val="00F82D75"/>
    <w:rsid w:val="00F83734"/>
    <w:rsid w:val="00F916C2"/>
    <w:rsid w:val="00F96954"/>
    <w:rsid w:val="00FB15EA"/>
    <w:rsid w:val="00FC03FF"/>
    <w:rsid w:val="00FC3B1A"/>
    <w:rsid w:val="00FC45AC"/>
    <w:rsid w:val="00FD0590"/>
    <w:rsid w:val="00FE35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885EF6"/>
  <w15:docId w15:val="{4E9860D6-2B03-46BA-B865-C3E59253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377E5"/>
    <w:rPr>
      <w:rFonts w:asciiTheme="minorHAnsi" w:hAnsiTheme="minorHAnsi"/>
      <w:sz w:val="22"/>
    </w:rPr>
  </w:style>
  <w:style w:type="paragraph" w:styleId="Otsikko1">
    <w:name w:val="heading 1"/>
    <w:basedOn w:val="Otsikko"/>
    <w:next w:val="Leipteksti"/>
    <w:qFormat/>
    <w:rsid w:val="005C7446"/>
    <w:pPr>
      <w:keepNext/>
      <w:outlineLvl w:val="0"/>
    </w:pPr>
    <w:rPr>
      <w:bCs/>
      <w:kern w:val="32"/>
      <w:szCs w:val="32"/>
    </w:rPr>
  </w:style>
  <w:style w:type="paragraph" w:styleId="Otsikko2">
    <w:name w:val="heading 2"/>
    <w:basedOn w:val="Otsikko1"/>
    <w:next w:val="Leipteksti"/>
    <w:link w:val="Otsikko2Char"/>
    <w:qFormat/>
    <w:rsid w:val="009A2A64"/>
    <w:pPr>
      <w:keepLines/>
      <w:outlineLvl w:val="1"/>
    </w:pPr>
    <w:rPr>
      <w:rFonts w:cstheme="majorBidi"/>
      <w:bCs w:val="0"/>
      <w:szCs w:val="26"/>
    </w:rPr>
  </w:style>
  <w:style w:type="paragraph" w:styleId="Otsikko3">
    <w:name w:val="heading 3"/>
    <w:basedOn w:val="Otsikko2"/>
    <w:next w:val="Leipteksti"/>
    <w:link w:val="Otsikko3Char"/>
    <w:qFormat/>
    <w:rsid w:val="009A2A64"/>
    <w:pPr>
      <w:outlineLvl w:val="2"/>
    </w:pPr>
    <w:rPr>
      <w:bCs/>
    </w:rPr>
  </w:style>
  <w:style w:type="paragraph" w:styleId="Otsikko4">
    <w:name w:val="heading 4"/>
    <w:basedOn w:val="Otsikko3"/>
    <w:next w:val="Leipteksti"/>
    <w:rsid w:val="009A2A64"/>
    <w:pPr>
      <w:outlineLvl w:val="3"/>
    </w:pPr>
    <w:rPr>
      <w:bCs w:val="0"/>
      <w:szCs w:val="28"/>
    </w:rPr>
  </w:style>
  <w:style w:type="paragraph" w:styleId="Otsikko5">
    <w:name w:val="heading 5"/>
    <w:basedOn w:val="Otsikko4"/>
    <w:next w:val="Leipteksti"/>
    <w:rsid w:val="009A2A64"/>
    <w:pPr>
      <w:outlineLvl w:val="4"/>
    </w:pPr>
    <w:rPr>
      <w:bCs/>
      <w:iCs/>
      <w:szCs w:val="26"/>
    </w:rPr>
  </w:style>
  <w:style w:type="paragraph" w:styleId="Otsikko6">
    <w:name w:val="heading 6"/>
    <w:basedOn w:val="Otsikko5"/>
    <w:next w:val="Leipteksti"/>
    <w:rsid w:val="009A2A64"/>
    <w:pPr>
      <w:outlineLvl w:val="5"/>
    </w:pPr>
    <w:rPr>
      <w:b w:val="0"/>
      <w:bCs w:val="0"/>
      <w:szCs w:val="22"/>
    </w:rPr>
  </w:style>
  <w:style w:type="paragraph" w:styleId="Otsikko7">
    <w:name w:val="heading 7"/>
    <w:basedOn w:val="Otsikko6"/>
    <w:next w:val="Leipteksti"/>
    <w:rsid w:val="009A2A64"/>
    <w:pPr>
      <w:outlineLvl w:val="6"/>
    </w:pPr>
    <w:rPr>
      <w:szCs w:val="24"/>
    </w:rPr>
  </w:style>
  <w:style w:type="paragraph" w:styleId="Otsikko8">
    <w:name w:val="heading 8"/>
    <w:basedOn w:val="Otsikko7"/>
    <w:next w:val="Leipteksti"/>
    <w:rsid w:val="009A2A64"/>
    <w:pPr>
      <w:outlineLvl w:val="7"/>
    </w:pPr>
    <w:rPr>
      <w:iCs w:val="0"/>
    </w:rPr>
  </w:style>
  <w:style w:type="paragraph" w:styleId="Otsikko9">
    <w:name w:val="heading 9"/>
    <w:basedOn w:val="Otsikko8"/>
    <w:next w:val="Leipteksti"/>
    <w:rsid w:val="009A2A64"/>
    <w:pPr>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5102E"/>
    <w:pPr>
      <w:ind w:right="454"/>
    </w:pPr>
    <w:rPr>
      <w:sz w:val="18"/>
    </w:rPr>
  </w:style>
  <w:style w:type="paragraph" w:styleId="Alatunniste">
    <w:name w:val="footer"/>
    <w:basedOn w:val="Normaali"/>
    <w:link w:val="AlatunnisteChar"/>
    <w:uiPriority w:val="99"/>
    <w:rsid w:val="00653640"/>
    <w:rPr>
      <w:sz w:val="18"/>
    </w:r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customStyle="1" w:styleId="LVMAsiakirjanidver">
    <w:name w:val="LVM_Asiakirjan id&amp;ver"/>
    <w:rsid w:val="00653640"/>
    <w:rPr>
      <w:rFonts w:asciiTheme="minorHAnsi" w:hAnsiTheme="minorHAnsi"/>
      <w:sz w:val="18"/>
    </w:rPr>
  </w:style>
  <w:style w:type="character" w:styleId="Sivunumero">
    <w:name w:val="page number"/>
    <w:rsid w:val="00B80601"/>
    <w:rPr>
      <w:rFonts w:asciiTheme="minorHAnsi" w:hAnsiTheme="minorHAnsi"/>
      <w:sz w:val="18"/>
    </w:rPr>
  </w:style>
  <w:style w:type="paragraph" w:customStyle="1" w:styleId="Asiakohta">
    <w:name w:val="Asiakohta"/>
    <w:basedOn w:val="Normaali"/>
    <w:next w:val="Leipteksti"/>
    <w:rsid w:val="00966B06"/>
    <w:pPr>
      <w:numPr>
        <w:numId w:val="1"/>
      </w:numPr>
      <w:spacing w:before="240" w:after="240"/>
    </w:pPr>
  </w:style>
  <w:style w:type="paragraph" w:styleId="Seliteteksti">
    <w:name w:val="Balloon Text"/>
    <w:basedOn w:val="Normaali"/>
    <w:semiHidden/>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sikkonum1">
    <w:name w:val="Otsikko_num 1"/>
    <w:basedOn w:val="Otsikko"/>
    <w:next w:val="Leipteksti"/>
    <w:qFormat/>
    <w:rsid w:val="001D0C86"/>
    <w:pPr>
      <w:numPr>
        <w:numId w:val="2"/>
      </w:numPr>
      <w:spacing w:before="320"/>
    </w:pPr>
  </w:style>
  <w:style w:type="paragraph" w:customStyle="1" w:styleId="Otsikkonum2">
    <w:name w:val="Otsikko_num 2"/>
    <w:basedOn w:val="Otsikkonum1"/>
    <w:next w:val="Leipteksti"/>
    <w:qFormat/>
    <w:rsid w:val="001D0C86"/>
    <w:pPr>
      <w:numPr>
        <w:ilvl w:val="1"/>
      </w:numPr>
    </w:pPr>
  </w:style>
  <w:style w:type="paragraph" w:customStyle="1" w:styleId="Otsikkonum3">
    <w:name w:val="Otsikko_num 3"/>
    <w:basedOn w:val="Otsikkonum2"/>
    <w:next w:val="Leipteksti"/>
    <w:qFormat/>
    <w:rsid w:val="00005269"/>
    <w:pPr>
      <w:numPr>
        <w:ilvl w:val="2"/>
      </w:numPr>
    </w:pPr>
  </w:style>
  <w:style w:type="paragraph" w:styleId="Otsikko">
    <w:name w:val="Title"/>
    <w:basedOn w:val="Normaali"/>
    <w:next w:val="Leipteksti"/>
    <w:link w:val="OtsikkoChar"/>
    <w:qFormat/>
    <w:rsid w:val="001D0C86"/>
    <w:pPr>
      <w:spacing w:before="240" w:after="200"/>
      <w:contextualSpacing/>
    </w:pPr>
    <w:rPr>
      <w:rFonts w:asciiTheme="majorHAnsi" w:eastAsiaTheme="majorEastAsia" w:hAnsiTheme="majorHAnsi" w:cstheme="majorHAnsi"/>
      <w:b/>
      <w:kern w:val="28"/>
      <w:szCs w:val="52"/>
    </w:rPr>
  </w:style>
  <w:style w:type="character" w:customStyle="1" w:styleId="OtsikkoChar">
    <w:name w:val="Otsikko Char"/>
    <w:basedOn w:val="Kappaleenoletusfontti"/>
    <w:link w:val="Otsikko"/>
    <w:rsid w:val="001D0C86"/>
    <w:rPr>
      <w:rFonts w:asciiTheme="majorHAnsi" w:eastAsiaTheme="majorEastAsia" w:hAnsiTheme="majorHAnsi" w:cstheme="majorHAnsi"/>
      <w:b/>
      <w:kern w:val="28"/>
      <w:sz w:val="22"/>
      <w:szCs w:val="52"/>
    </w:rPr>
  </w:style>
  <w:style w:type="paragraph" w:customStyle="1" w:styleId="Riippuva">
    <w:name w:val="Riippuva"/>
    <w:basedOn w:val="Leipteksti"/>
    <w:next w:val="Leipteksti"/>
    <w:qFormat/>
    <w:rsid w:val="00FC03FF"/>
    <w:pPr>
      <w:ind w:hanging="2608"/>
    </w:pPr>
  </w:style>
  <w:style w:type="paragraph" w:styleId="Leipteksti">
    <w:name w:val="Body Text"/>
    <w:basedOn w:val="Normaali"/>
    <w:link w:val="LeiptekstiChar"/>
    <w:qFormat/>
    <w:rsid w:val="005C7446"/>
    <w:pPr>
      <w:ind w:left="2608"/>
    </w:pPr>
  </w:style>
  <w:style w:type="character" w:customStyle="1" w:styleId="LeiptekstiChar">
    <w:name w:val="Leipäteksti Char"/>
    <w:basedOn w:val="Kappaleenoletusfontti"/>
    <w:link w:val="Leipteksti"/>
    <w:rsid w:val="005C7446"/>
    <w:rPr>
      <w:rFonts w:asciiTheme="minorHAnsi" w:hAnsiTheme="minorHAnsi"/>
      <w:sz w:val="22"/>
    </w:rPr>
  </w:style>
  <w:style w:type="paragraph" w:customStyle="1" w:styleId="Normaali9pt">
    <w:name w:val="Normaali 9pt"/>
    <w:basedOn w:val="Normaali"/>
    <w:rsid w:val="00FC03FF"/>
    <w:rPr>
      <w:sz w:val="18"/>
    </w:rPr>
  </w:style>
  <w:style w:type="character" w:customStyle="1" w:styleId="Otsikko3Char">
    <w:name w:val="Otsikko 3 Char"/>
    <w:basedOn w:val="Kappaleenoletusfontti"/>
    <w:link w:val="Otsikko3"/>
    <w:rsid w:val="009A2A64"/>
    <w:rPr>
      <w:rFonts w:asciiTheme="majorHAnsi" w:eastAsiaTheme="majorEastAsia" w:hAnsiTheme="majorHAnsi" w:cstheme="majorBidi"/>
      <w:b/>
      <w:bCs/>
      <w:kern w:val="32"/>
      <w:sz w:val="22"/>
      <w:szCs w:val="26"/>
    </w:rPr>
  </w:style>
  <w:style w:type="character" w:customStyle="1" w:styleId="Otsikko2Char">
    <w:name w:val="Otsikko 2 Char"/>
    <w:basedOn w:val="Kappaleenoletusfontti"/>
    <w:link w:val="Otsikko2"/>
    <w:rsid w:val="009A2A64"/>
    <w:rPr>
      <w:rFonts w:asciiTheme="majorHAnsi" w:eastAsiaTheme="majorEastAsia" w:hAnsiTheme="majorHAnsi" w:cstheme="majorBidi"/>
      <w:b/>
      <w:kern w:val="32"/>
      <w:sz w:val="22"/>
      <w:szCs w:val="26"/>
    </w:rPr>
  </w:style>
  <w:style w:type="paragraph" w:styleId="Luettelo">
    <w:name w:val="List"/>
    <w:basedOn w:val="Leipteksti"/>
    <w:qFormat/>
    <w:rsid w:val="00F377E5"/>
    <w:pPr>
      <w:numPr>
        <w:numId w:val="3"/>
      </w:numPr>
      <w:ind w:left="357" w:hanging="357"/>
      <w:contextualSpacing/>
    </w:pPr>
  </w:style>
  <w:style w:type="paragraph" w:styleId="Luettelokappale">
    <w:name w:val="List Paragraph"/>
    <w:basedOn w:val="Normaali"/>
    <w:uiPriority w:val="34"/>
    <w:rsid w:val="003937B5"/>
    <w:pPr>
      <w:ind w:left="720"/>
      <w:contextualSpacing/>
    </w:pPr>
    <w:rPr>
      <w:rFonts w:ascii="Times New Roman" w:hAnsi="Times New Roman"/>
      <w:sz w:val="24"/>
      <w:lang w:eastAsia="en-US"/>
    </w:rPr>
  </w:style>
  <w:style w:type="character" w:styleId="Kommentinviite">
    <w:name w:val="annotation reference"/>
    <w:basedOn w:val="Kappaleenoletusfontti"/>
    <w:semiHidden/>
    <w:unhideWhenUsed/>
    <w:rsid w:val="005F241D"/>
    <w:rPr>
      <w:sz w:val="16"/>
      <w:szCs w:val="16"/>
    </w:rPr>
  </w:style>
  <w:style w:type="paragraph" w:styleId="Kommentinteksti">
    <w:name w:val="annotation text"/>
    <w:basedOn w:val="Normaali"/>
    <w:link w:val="KommentintekstiChar"/>
    <w:semiHidden/>
    <w:unhideWhenUsed/>
    <w:rsid w:val="005F241D"/>
    <w:rPr>
      <w:sz w:val="20"/>
    </w:rPr>
  </w:style>
  <w:style w:type="character" w:customStyle="1" w:styleId="KommentintekstiChar">
    <w:name w:val="Kommentin teksti Char"/>
    <w:basedOn w:val="Kappaleenoletusfontti"/>
    <w:link w:val="Kommentinteksti"/>
    <w:semiHidden/>
    <w:rsid w:val="005F241D"/>
    <w:rPr>
      <w:rFonts w:asciiTheme="minorHAnsi" w:hAnsiTheme="minorHAnsi"/>
    </w:rPr>
  </w:style>
  <w:style w:type="paragraph" w:styleId="Kommentinotsikko">
    <w:name w:val="annotation subject"/>
    <w:basedOn w:val="Kommentinteksti"/>
    <w:next w:val="Kommentinteksti"/>
    <w:link w:val="KommentinotsikkoChar"/>
    <w:semiHidden/>
    <w:unhideWhenUsed/>
    <w:rsid w:val="005F241D"/>
    <w:rPr>
      <w:b/>
      <w:bCs/>
    </w:rPr>
  </w:style>
  <w:style w:type="character" w:customStyle="1" w:styleId="KommentinotsikkoChar">
    <w:name w:val="Kommentin otsikko Char"/>
    <w:basedOn w:val="KommentintekstiChar"/>
    <w:link w:val="Kommentinotsikko"/>
    <w:semiHidden/>
    <w:rsid w:val="005F241D"/>
    <w:rPr>
      <w:rFonts w:asciiTheme="minorHAnsi" w:hAnsiTheme="minorHAnsi"/>
      <w:b/>
      <w:bCs/>
    </w:rPr>
  </w:style>
  <w:style w:type="character" w:customStyle="1" w:styleId="AlatunnisteChar">
    <w:name w:val="Alatunniste Char"/>
    <w:basedOn w:val="Kappaleenoletusfontti"/>
    <w:link w:val="Alatunniste"/>
    <w:uiPriority w:val="99"/>
    <w:rsid w:val="007458DE"/>
    <w:rPr>
      <w:rFonts w:asciiTheme="minorHAnsi" w:hAnsiTheme="minorHAnsi"/>
      <w:sz w:val="18"/>
    </w:rPr>
  </w:style>
  <w:style w:type="paragraph" w:customStyle="1" w:styleId="LLKappalejako">
    <w:name w:val="LLKappalejako"/>
    <w:link w:val="LLKappalejakoChar"/>
    <w:rsid w:val="00310447"/>
    <w:pPr>
      <w:spacing w:line="220" w:lineRule="exact"/>
      <w:ind w:firstLine="170"/>
      <w:jc w:val="both"/>
    </w:pPr>
    <w:rPr>
      <w:sz w:val="22"/>
      <w:szCs w:val="24"/>
    </w:rPr>
  </w:style>
  <w:style w:type="character" w:customStyle="1" w:styleId="LLKappalejakoChar">
    <w:name w:val="LLKappalejako Char"/>
    <w:link w:val="LLKappalejako"/>
    <w:locked/>
    <w:rsid w:val="00310447"/>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LVM">
      <a:dk1>
        <a:sysClr val="windowText" lastClr="000000"/>
      </a:dk1>
      <a:lt1>
        <a:sysClr val="window" lastClr="FFFFFF"/>
      </a:lt1>
      <a:dk2>
        <a:srgbClr val="0000FF"/>
      </a:dk2>
      <a:lt2>
        <a:srgbClr val="E7E6E6"/>
      </a:lt2>
      <a:accent1>
        <a:srgbClr val="0000FF"/>
      </a:accent1>
      <a:accent2>
        <a:srgbClr val="A51890"/>
      </a:accent2>
      <a:accent3>
        <a:srgbClr val="CE0037"/>
      </a:accent3>
      <a:accent4>
        <a:srgbClr val="ED8B00"/>
      </a:accent4>
      <a:accent5>
        <a:srgbClr val="97D700"/>
      </a:accent5>
      <a:accent6>
        <a:srgbClr val="00A499"/>
      </a:accent6>
      <a:hlink>
        <a:srgbClr val="0563C1"/>
      </a:hlink>
      <a:folHlink>
        <a:srgbClr val="954F72"/>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277C6-D5E8-4201-8F73-CC1041B67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1749</Words>
  <Characters>14169</Characters>
  <Application>Microsoft Office Word</Application>
  <DocSecurity>0</DocSecurity>
  <Lines>118</Lines>
  <Paragraphs>31</Paragraphs>
  <ScaleCrop>false</ScaleCrop>
  <HeadingPairs>
    <vt:vector size="2" baseType="variant">
      <vt:variant>
        <vt:lpstr>Otsikko</vt:lpstr>
      </vt:variant>
      <vt:variant>
        <vt:i4>1</vt:i4>
      </vt:variant>
    </vt:vector>
  </HeadingPairs>
  <TitlesOfParts>
    <vt:vector size="1" baseType="lpstr">
      <vt:lpstr>Liikenne- ja viestintäministeriö Mahti-asiakirjamalli</vt:lpstr>
    </vt:vector>
  </TitlesOfParts>
  <Company>LVM</Company>
  <LinksUpToDate>false</LinksUpToDate>
  <CharactersWithSpaces>15887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Liikenne- ja viestintäministeriö Mahti-asiakirjamalli</dc:title>
  <dc:subject>Tweb asiakirjamalli</dc:subject>
  <dc:creator>Tepsa Sara (LVM)</dc:creator>
  <cp:lastModifiedBy>Hindström Susan (LVM)</cp:lastModifiedBy>
  <cp:revision>2</cp:revision>
  <cp:lastPrinted>2016-01-03T11:59:00Z</cp:lastPrinted>
  <dcterms:created xsi:type="dcterms:W3CDTF">2021-06-07T09:01:00Z</dcterms:created>
  <dcterms:modified xsi:type="dcterms:W3CDTF">2021-06-07T09:01:00Z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Liitteet</vt:lpwstr>
  </property>
  <property fmtid="{D5CDD505-2E9C-101B-9397-08002B2CF9AE}" pid="78" name="tweb_doc_eoperators">
    <vt:lpwstr>Vastaajat</vt:lpwstr>
  </property>
  <property fmtid="{D5CDD505-2E9C-101B-9397-08002B2CF9AE}" pid="79" name="tweb_doc_typecode">
    <vt:lpwstr>Asiakirjatyypin koodi</vt:lpwstr>
  </property>
  <property fmtid="{D5CDD505-2E9C-101B-9397-08002B2CF9AE}" pid="80" name="tweb_doc_xsubjectlist">
    <vt:lpwstr>Asiasanat</vt:lpwstr>
  </property>
  <property fmtid="{D5CDD505-2E9C-101B-9397-08002B2CF9AE}" pid="81" name="tweb_doc_owner">
    <vt:lpwstr>Laatija</vt:lpwstr>
  </property>
  <property fmtid="{D5CDD505-2E9C-101B-9397-08002B2CF9AE}" pid="82" name="tweb_doc_securityperiodstart">
    <vt:lpwstr>Salassapitoaika alkaa</vt:lpwstr>
  </property>
</Properties>
</file>