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5" w:rsidRDefault="00746326" w:rsidP="009912D3">
      <w:pPr>
        <w:widowControl w:val="0"/>
        <w:autoSpaceDE w:val="0"/>
        <w:autoSpaceDN w:val="0"/>
        <w:adjustRightInd w:val="0"/>
        <w:spacing w:after="0"/>
        <w:jc w:val="both"/>
        <w:rPr>
          <w:rFonts w:ascii="Calibri" w:eastAsia="MS Mincho" w:hAnsi="Calibri" w:cs="†®Úøï'4EÎ"/>
        </w:rPr>
      </w:pPr>
      <w:r>
        <w:rPr>
          <w:rFonts w:ascii="Calibri" w:eastAsia="MS Mincho" w:hAnsi="Calibri" w:cs="†®Úøï'4EÎ"/>
        </w:rPr>
        <w:t>22</w:t>
      </w:r>
      <w:r w:rsidR="009912D3">
        <w:rPr>
          <w:rFonts w:ascii="Calibri" w:eastAsia="MS Mincho" w:hAnsi="Calibri" w:cs="†®Úøï'4EÎ"/>
        </w:rPr>
        <w:t>.8.2016</w:t>
      </w:r>
    </w:p>
    <w:p w:rsidR="009912D3" w:rsidRDefault="009912D3" w:rsidP="009912D3">
      <w:pPr>
        <w:widowControl w:val="0"/>
        <w:autoSpaceDE w:val="0"/>
        <w:autoSpaceDN w:val="0"/>
        <w:adjustRightInd w:val="0"/>
        <w:spacing w:after="0"/>
        <w:jc w:val="both"/>
        <w:rPr>
          <w:rFonts w:ascii="Calibri" w:eastAsia="MS Mincho" w:hAnsi="Calibri" w:cs="†®Úøï'4EÎ"/>
        </w:rPr>
      </w:pPr>
      <w:r>
        <w:rPr>
          <w:rFonts w:ascii="Calibri" w:eastAsia="MS Mincho" w:hAnsi="Calibri" w:cs="†®Úøï'4EÎ"/>
        </w:rPr>
        <w:t>Olli Mäenpää</w:t>
      </w:r>
    </w:p>
    <w:p w:rsidR="009912D3" w:rsidRDefault="009912D3" w:rsidP="008666E9">
      <w:pPr>
        <w:widowControl w:val="0"/>
        <w:autoSpaceDE w:val="0"/>
        <w:autoSpaceDN w:val="0"/>
        <w:adjustRightInd w:val="0"/>
        <w:spacing w:after="0"/>
        <w:jc w:val="both"/>
        <w:rPr>
          <w:rFonts w:ascii="Calibri" w:eastAsia="MS Mincho" w:hAnsi="Calibri" w:cs="†®Úøï'4EÎ"/>
          <w:i/>
        </w:rPr>
      </w:pPr>
    </w:p>
    <w:p w:rsidR="00F47FD5" w:rsidRPr="00F47FD5" w:rsidRDefault="00F47FD5" w:rsidP="008666E9">
      <w:pPr>
        <w:widowControl w:val="0"/>
        <w:autoSpaceDE w:val="0"/>
        <w:autoSpaceDN w:val="0"/>
        <w:adjustRightInd w:val="0"/>
        <w:spacing w:after="0"/>
        <w:jc w:val="both"/>
        <w:rPr>
          <w:rFonts w:ascii="Calibri" w:eastAsia="MS Mincho" w:hAnsi="Calibri" w:cs="†®Úøï'4EÎ"/>
          <w:i/>
        </w:rPr>
      </w:pPr>
      <w:r w:rsidRPr="00F47FD5">
        <w:rPr>
          <w:rFonts w:ascii="Calibri" w:eastAsia="MS Mincho" w:hAnsi="Calibri" w:cs="†®Úøï'4EÎ"/>
          <w:i/>
        </w:rPr>
        <w:t>Oikeusministeriölle</w:t>
      </w:r>
    </w:p>
    <w:p w:rsidR="00F47FD5" w:rsidRDefault="00F47FD5" w:rsidP="008666E9">
      <w:pPr>
        <w:widowControl w:val="0"/>
        <w:autoSpaceDE w:val="0"/>
        <w:autoSpaceDN w:val="0"/>
        <w:adjustRightInd w:val="0"/>
        <w:spacing w:after="0"/>
        <w:jc w:val="both"/>
        <w:rPr>
          <w:rFonts w:ascii="Calibri" w:eastAsia="MS Mincho" w:hAnsi="Calibri" w:cs="†®Úøï'4EÎ"/>
          <w:b/>
          <w:i/>
        </w:rPr>
      </w:pPr>
    </w:p>
    <w:p w:rsidR="001B4F95" w:rsidRDefault="00F47FD5" w:rsidP="008666E9">
      <w:pPr>
        <w:widowControl w:val="0"/>
        <w:autoSpaceDE w:val="0"/>
        <w:autoSpaceDN w:val="0"/>
        <w:adjustRightInd w:val="0"/>
        <w:spacing w:after="0"/>
        <w:rPr>
          <w:rFonts w:ascii="Calibri" w:eastAsia="MS Mincho" w:hAnsi="Calibri" w:cs="†®Úøï'4EÎ"/>
          <w:b/>
          <w:bCs/>
          <w:i/>
        </w:rPr>
      </w:pPr>
      <w:proofErr w:type="gramStart"/>
      <w:r w:rsidRPr="00F47FD5">
        <w:rPr>
          <w:rFonts w:ascii="Calibri" w:eastAsia="MS Mincho" w:hAnsi="Calibri" w:cs="†®Úøï'4EÎ"/>
          <w:b/>
          <w:i/>
        </w:rPr>
        <w:t>Lausunto luonnoksesta h</w:t>
      </w:r>
      <w:r w:rsidRPr="00F47FD5">
        <w:rPr>
          <w:rFonts w:ascii="Calibri" w:eastAsia="MS Mincho" w:hAnsi="Calibri" w:cs="†®Úøï'4EÎ"/>
          <w:b/>
          <w:bCs/>
          <w:i/>
        </w:rPr>
        <w:t>allituksen esitykseksi lahjontaa koskevaan Euroopan neu</w:t>
      </w:r>
      <w:bookmarkStart w:id="0" w:name="_GoBack"/>
      <w:r w:rsidRPr="00F47FD5">
        <w:rPr>
          <w:rFonts w:ascii="Calibri" w:eastAsia="MS Mincho" w:hAnsi="Calibri" w:cs="†®Úøï'4EÎ"/>
          <w:b/>
          <w:bCs/>
          <w:i/>
        </w:rPr>
        <w:t>voston rikosoikeudelliseen yleissopimukseen tehdyn varauman peruuttamisen hy</w:t>
      </w:r>
      <w:bookmarkEnd w:id="0"/>
      <w:r w:rsidRPr="00F47FD5">
        <w:rPr>
          <w:rFonts w:ascii="Calibri" w:eastAsia="MS Mincho" w:hAnsi="Calibri" w:cs="†®Úøï'4EÎ"/>
          <w:b/>
          <w:bCs/>
          <w:i/>
        </w:rPr>
        <w:t>väksymisestä ja laiksi rikoslain muuttamisesta</w:t>
      </w:r>
      <w:proofErr w:type="gramEnd"/>
    </w:p>
    <w:p w:rsidR="00231FE1" w:rsidRDefault="00231FE1" w:rsidP="008666E9">
      <w:pPr>
        <w:widowControl w:val="0"/>
        <w:autoSpaceDE w:val="0"/>
        <w:autoSpaceDN w:val="0"/>
        <w:adjustRightInd w:val="0"/>
        <w:spacing w:after="0"/>
        <w:jc w:val="both"/>
        <w:rPr>
          <w:rFonts w:ascii="Calibri" w:eastAsia="MS Mincho" w:hAnsi="Calibri" w:cs="†®Úøï'4EÎ"/>
          <w:b/>
          <w:bCs/>
          <w:i/>
        </w:rPr>
      </w:pPr>
    </w:p>
    <w:p w:rsidR="00231FE1" w:rsidRDefault="00231FE1" w:rsidP="008666E9">
      <w:pPr>
        <w:widowControl w:val="0"/>
        <w:autoSpaceDE w:val="0"/>
        <w:autoSpaceDN w:val="0"/>
        <w:adjustRightInd w:val="0"/>
        <w:spacing w:after="0"/>
        <w:jc w:val="both"/>
        <w:rPr>
          <w:rFonts w:ascii="Calibri" w:eastAsia="MS Mincho" w:hAnsi="Calibri" w:cs="†®Úøï'4EÎ"/>
          <w:b/>
          <w:bCs/>
          <w:i/>
        </w:rPr>
      </w:pPr>
    </w:p>
    <w:p w:rsidR="00265641" w:rsidRDefault="00265641" w:rsidP="008666E9">
      <w:pPr>
        <w:widowControl w:val="0"/>
        <w:autoSpaceDE w:val="0"/>
        <w:autoSpaceDN w:val="0"/>
        <w:adjustRightInd w:val="0"/>
        <w:spacing w:after="0"/>
        <w:jc w:val="both"/>
        <w:rPr>
          <w:rFonts w:ascii="Calibri" w:eastAsia="MS Mincho" w:hAnsi="Calibri" w:cs="†®Úøï'4EÎ"/>
          <w:b/>
          <w:bCs/>
          <w:i/>
        </w:rPr>
      </w:pPr>
      <w:r>
        <w:rPr>
          <w:rFonts w:ascii="Calibri" w:eastAsia="MS Mincho" w:hAnsi="Calibri" w:cs="†®Úøï'4EÎ"/>
          <w:b/>
          <w:bCs/>
          <w:i/>
        </w:rPr>
        <w:t>Yleisiä näkökohtia</w:t>
      </w:r>
    </w:p>
    <w:p w:rsidR="00265641" w:rsidRDefault="00265641" w:rsidP="008666E9">
      <w:pPr>
        <w:widowControl w:val="0"/>
        <w:autoSpaceDE w:val="0"/>
        <w:autoSpaceDN w:val="0"/>
        <w:adjustRightInd w:val="0"/>
        <w:spacing w:after="0"/>
        <w:jc w:val="both"/>
        <w:rPr>
          <w:rFonts w:ascii="Calibri" w:eastAsia="MS Mincho" w:hAnsi="Calibri" w:cs="†®Úøï'4EÎ"/>
          <w:b/>
          <w:bCs/>
          <w:i/>
        </w:rPr>
      </w:pPr>
    </w:p>
    <w:p w:rsidR="00231FE1" w:rsidRPr="00231FE1" w:rsidRDefault="00231FE1" w:rsidP="008666E9">
      <w:pPr>
        <w:widowControl w:val="0"/>
        <w:autoSpaceDE w:val="0"/>
        <w:autoSpaceDN w:val="0"/>
        <w:adjustRightInd w:val="0"/>
        <w:spacing w:after="0"/>
        <w:ind w:left="714"/>
        <w:jc w:val="both"/>
        <w:rPr>
          <w:rFonts w:ascii="Calibri" w:eastAsia="MS Mincho" w:hAnsi="Calibri" w:cs="†®Úøï'4EÎ"/>
          <w:bCs/>
        </w:rPr>
      </w:pPr>
      <w:r>
        <w:rPr>
          <w:rFonts w:ascii="Calibri" w:eastAsia="MS Mincho" w:hAnsi="Calibri" w:cs="†®Úøï'4EÎ"/>
          <w:bCs/>
        </w:rPr>
        <w:t>Hallituksen esityksen tarkoituksena on täydentää rikoslakia rangaistussäännöksellä, joka koskee vaikutusvallan kauppaamista.</w:t>
      </w:r>
      <w:r w:rsidR="00265641">
        <w:rPr>
          <w:rFonts w:ascii="Calibri" w:eastAsia="MS Mincho" w:hAnsi="Calibri" w:cs="†®Úøï'4EÎ"/>
          <w:bCs/>
        </w:rPr>
        <w:t xml:space="preserve"> Esitysluonnokseen sisältyvä s</w:t>
      </w:r>
      <w:r>
        <w:rPr>
          <w:rFonts w:ascii="Calibri" w:eastAsia="MS Mincho" w:hAnsi="Calibri" w:cs="†®Úøï'4EÎ"/>
          <w:bCs/>
        </w:rPr>
        <w:t>ääntely liittyy Euro</w:t>
      </w:r>
      <w:r w:rsidR="008448C6">
        <w:rPr>
          <w:rFonts w:ascii="Calibri" w:eastAsia="MS Mincho" w:hAnsi="Calibri" w:cs="†®Úøï'4EÎ"/>
          <w:bCs/>
        </w:rPr>
        <w:t>opan neuvoston lahjontaa koskev</w:t>
      </w:r>
      <w:r>
        <w:rPr>
          <w:rFonts w:ascii="Calibri" w:eastAsia="MS Mincho" w:hAnsi="Calibri" w:cs="†®Úøï'4EÎ"/>
          <w:bCs/>
        </w:rPr>
        <w:t xml:space="preserve">an rikosoikeudelliseen yleissopimuksen </w:t>
      </w:r>
      <w:r w:rsidRPr="00231FE1">
        <w:rPr>
          <w:rFonts w:ascii="Calibri" w:eastAsia="MS Mincho" w:hAnsi="Calibri" w:cs="†®Úøï'4EÎ"/>
          <w:bCs/>
        </w:rPr>
        <w:t>12 artikla</w:t>
      </w:r>
      <w:r>
        <w:rPr>
          <w:rFonts w:ascii="Calibri" w:eastAsia="MS Mincho" w:hAnsi="Calibri" w:cs="†®Úøï'4EÎ"/>
          <w:bCs/>
        </w:rPr>
        <w:t>an, joka</w:t>
      </w:r>
      <w:r w:rsidRPr="00231FE1">
        <w:rPr>
          <w:rFonts w:ascii="Calibri" w:eastAsia="MS Mincho" w:hAnsi="Calibri" w:cs="†®Úøï'4EÎ"/>
          <w:bCs/>
        </w:rPr>
        <w:t xml:space="preserve"> </w:t>
      </w:r>
      <w:r w:rsidR="00265641">
        <w:rPr>
          <w:rFonts w:ascii="Calibri" w:eastAsia="MS Mincho" w:hAnsi="Calibri" w:cs="†®Úøï'4EÎ"/>
          <w:bCs/>
        </w:rPr>
        <w:t>määrittelee</w:t>
      </w:r>
      <w:r w:rsidRPr="00231FE1">
        <w:rPr>
          <w:rFonts w:ascii="Calibri" w:eastAsia="MS Mincho" w:hAnsi="Calibri" w:cs="†®Úøï'4EÎ"/>
          <w:bCs/>
        </w:rPr>
        <w:t xml:space="preserve"> vaikutusvallan väärinkäyt</w:t>
      </w:r>
      <w:r w:rsidR="00265641">
        <w:rPr>
          <w:rFonts w:ascii="Calibri" w:eastAsia="MS Mincho" w:hAnsi="Calibri" w:cs="†®Úøï'4EÎ"/>
          <w:bCs/>
        </w:rPr>
        <w:t>töä. Yleissopimus edellyttää sen</w:t>
      </w:r>
      <w:r w:rsidRPr="00231FE1">
        <w:rPr>
          <w:rFonts w:ascii="Calibri" w:eastAsia="MS Mincho" w:hAnsi="Calibri" w:cs="†®Úøï'4EÎ"/>
          <w:bCs/>
        </w:rPr>
        <w:t xml:space="preserve"> kriminalisointia.</w:t>
      </w:r>
      <w:r>
        <w:rPr>
          <w:rFonts w:ascii="Calibri" w:eastAsia="MS Mincho" w:hAnsi="Calibri" w:cs="†®Úøï'4EÎ"/>
          <w:bCs/>
        </w:rPr>
        <w:t xml:space="preserve"> Suomi on </w:t>
      </w:r>
      <w:r w:rsidR="00265641">
        <w:rPr>
          <w:rFonts w:ascii="Calibri" w:eastAsia="MS Mincho" w:hAnsi="Calibri" w:cs="†®Úøï'4EÎ"/>
          <w:bCs/>
        </w:rPr>
        <w:t xml:space="preserve">kuitenkin </w:t>
      </w:r>
      <w:r>
        <w:rPr>
          <w:rFonts w:ascii="Calibri" w:eastAsia="MS Mincho" w:hAnsi="Calibri" w:cs="†®Úøï'4EÎ"/>
          <w:bCs/>
        </w:rPr>
        <w:t>tehnyt</w:t>
      </w:r>
      <w:r w:rsidR="00265641">
        <w:rPr>
          <w:rFonts w:ascii="Calibri" w:eastAsia="MS Mincho" w:hAnsi="Calibri" w:cs="†®Úøï'4EÎ"/>
          <w:bCs/>
        </w:rPr>
        <w:t xml:space="preserve"> tältä osin </w:t>
      </w:r>
      <w:r>
        <w:rPr>
          <w:rFonts w:ascii="Calibri" w:eastAsia="MS Mincho" w:hAnsi="Calibri" w:cs="†®Úøï'4EÎ"/>
          <w:bCs/>
        </w:rPr>
        <w:t>v</w:t>
      </w:r>
      <w:r w:rsidRPr="00231FE1">
        <w:rPr>
          <w:rFonts w:ascii="Calibri" w:eastAsia="MS Mincho" w:hAnsi="Calibri" w:cs="†®Úøï'4EÎ"/>
          <w:bCs/>
        </w:rPr>
        <w:t>arauman</w:t>
      </w:r>
      <w:r>
        <w:rPr>
          <w:rFonts w:ascii="Calibri" w:eastAsia="MS Mincho" w:hAnsi="Calibri" w:cs="†®Úøï'4EÎ"/>
          <w:bCs/>
        </w:rPr>
        <w:t>, jonka</w:t>
      </w:r>
      <w:r w:rsidRPr="00231FE1">
        <w:rPr>
          <w:rFonts w:ascii="Calibri" w:eastAsia="MS Mincho" w:hAnsi="Calibri" w:cs="†®Úøï'4EÎ"/>
          <w:bCs/>
        </w:rPr>
        <w:t xml:space="preserve"> </w:t>
      </w:r>
      <w:r>
        <w:rPr>
          <w:rFonts w:ascii="Calibri" w:eastAsia="MS Mincho" w:hAnsi="Calibri" w:cs="†®Úøï'4EÎ"/>
          <w:bCs/>
        </w:rPr>
        <w:t>mukaan Suomi ei säädä rangaista</w:t>
      </w:r>
      <w:r w:rsidRPr="00231FE1">
        <w:rPr>
          <w:rFonts w:ascii="Calibri" w:eastAsia="MS Mincho" w:hAnsi="Calibri" w:cs="†®Úøï'4EÎ"/>
          <w:bCs/>
        </w:rPr>
        <w:t xml:space="preserve">vaksi </w:t>
      </w:r>
      <w:r w:rsidR="00265641">
        <w:rPr>
          <w:rFonts w:ascii="Calibri" w:eastAsia="MS Mincho" w:hAnsi="Calibri" w:cs="†®Úøï'4EÎ"/>
          <w:bCs/>
        </w:rPr>
        <w:t xml:space="preserve">yleissopimuksen </w:t>
      </w:r>
      <w:r w:rsidRPr="00231FE1">
        <w:rPr>
          <w:rFonts w:ascii="Calibri" w:eastAsia="MS Mincho" w:hAnsi="Calibri" w:cs="†®Úøï'4EÎ"/>
          <w:bCs/>
        </w:rPr>
        <w:t xml:space="preserve">12 artiklassa tarkoitettua toimintaa siltä osin kuin </w:t>
      </w:r>
      <w:r>
        <w:rPr>
          <w:rFonts w:ascii="Calibri" w:eastAsia="MS Mincho" w:hAnsi="Calibri" w:cs="†®Úøï'4EÎ"/>
          <w:bCs/>
        </w:rPr>
        <w:t>sitä ei voida pitää rangaistava</w:t>
      </w:r>
      <w:r w:rsidRPr="00231FE1">
        <w:rPr>
          <w:rFonts w:ascii="Calibri" w:eastAsia="MS Mincho" w:hAnsi="Calibri" w:cs="†®Úøï'4EÎ"/>
          <w:bCs/>
        </w:rPr>
        <w:t>na lahjusrikoksena tai rangaistavana osallisuutena sellais</w:t>
      </w:r>
      <w:r>
        <w:rPr>
          <w:rFonts w:ascii="Calibri" w:eastAsia="MS Mincho" w:hAnsi="Calibri" w:cs="†®Úøï'4EÎ"/>
          <w:bCs/>
        </w:rPr>
        <w:t>een rikokseen tai muuna ri</w:t>
      </w:r>
      <w:r w:rsidRPr="00231FE1">
        <w:rPr>
          <w:rFonts w:ascii="Calibri" w:eastAsia="MS Mincho" w:hAnsi="Calibri" w:cs="†®Úøï'4EÎ"/>
          <w:bCs/>
        </w:rPr>
        <w:t>koksena.</w:t>
      </w:r>
      <w:r>
        <w:rPr>
          <w:rFonts w:ascii="Calibri" w:eastAsia="MS Mincho" w:hAnsi="Calibri" w:cs="†®Úøï'4EÎ"/>
          <w:bCs/>
        </w:rPr>
        <w:t xml:space="preserve"> Hallituksen esityksen hyväksyminen mahdollistaisi </w:t>
      </w:r>
      <w:r w:rsidR="008448C6">
        <w:rPr>
          <w:rFonts w:ascii="Calibri" w:eastAsia="MS Mincho" w:hAnsi="Calibri" w:cs="†®Úøï'4EÎ"/>
          <w:bCs/>
        </w:rPr>
        <w:t xml:space="preserve">tämän </w:t>
      </w:r>
      <w:r w:rsidRPr="00231FE1">
        <w:rPr>
          <w:rFonts w:ascii="Calibri" w:eastAsia="MS Mincho" w:hAnsi="Calibri" w:cs="†®Úøï'4EÎ"/>
          <w:bCs/>
        </w:rPr>
        <w:t>varauman peruuttamisen.</w:t>
      </w:r>
    </w:p>
    <w:p w:rsidR="00231FE1" w:rsidRPr="00231FE1" w:rsidRDefault="00231FE1" w:rsidP="008666E9">
      <w:pPr>
        <w:widowControl w:val="0"/>
        <w:autoSpaceDE w:val="0"/>
        <w:autoSpaceDN w:val="0"/>
        <w:adjustRightInd w:val="0"/>
        <w:spacing w:after="0"/>
        <w:ind w:left="714"/>
        <w:jc w:val="both"/>
        <w:rPr>
          <w:rFonts w:ascii="Calibri" w:eastAsia="MS Mincho" w:hAnsi="Calibri" w:cs="†®Úøï'4EÎ"/>
          <w:bCs/>
        </w:rPr>
      </w:pPr>
    </w:p>
    <w:p w:rsidR="008448C6" w:rsidRDefault="008448C6" w:rsidP="008666E9">
      <w:pPr>
        <w:widowControl w:val="0"/>
        <w:autoSpaceDE w:val="0"/>
        <w:autoSpaceDN w:val="0"/>
        <w:adjustRightInd w:val="0"/>
        <w:spacing w:after="0"/>
        <w:ind w:left="714"/>
        <w:jc w:val="both"/>
        <w:rPr>
          <w:rFonts w:ascii="Calibri" w:eastAsia="MS Mincho" w:hAnsi="Calibri" w:cs="†®Úøï'4EÎ"/>
          <w:bCs/>
        </w:rPr>
      </w:pPr>
      <w:r>
        <w:rPr>
          <w:rFonts w:ascii="Calibri" w:eastAsia="MS Mincho" w:hAnsi="Calibri" w:cs="†®Úøï'4EÎ"/>
          <w:bCs/>
        </w:rPr>
        <w:t>Yleissopimuksessa määriteltyyn v</w:t>
      </w:r>
      <w:r w:rsidR="00265641">
        <w:rPr>
          <w:rFonts w:ascii="Calibri" w:eastAsia="MS Mincho" w:hAnsi="Calibri" w:cs="†®Úøï'4EÎ"/>
          <w:bCs/>
        </w:rPr>
        <w:t>aikutusvallan väärinkäyttöön kohdistuvalle rikosoikeudelliselle rangaistavuudelle on painavat</w:t>
      </w:r>
      <w:r w:rsidR="0062754F">
        <w:rPr>
          <w:rFonts w:ascii="Calibri" w:eastAsia="MS Mincho" w:hAnsi="Calibri" w:cs="†®Úøï'4EÎ"/>
          <w:bCs/>
        </w:rPr>
        <w:t xml:space="preserve"> oikeudelliset ja yhteiskunnalliset</w:t>
      </w:r>
      <w:r w:rsidR="00265641">
        <w:rPr>
          <w:rFonts w:ascii="Calibri" w:eastAsia="MS Mincho" w:hAnsi="Calibri" w:cs="†®Úøï'4EÎ"/>
          <w:bCs/>
        </w:rPr>
        <w:t xml:space="preserve"> perusteet.  Vastaavasti myös varauman peruuttamista voidaan pitää varsin </w:t>
      </w:r>
      <w:r w:rsidR="002107C0">
        <w:rPr>
          <w:rFonts w:ascii="Calibri" w:eastAsia="MS Mincho" w:hAnsi="Calibri" w:cs="†®Úøï'4EÎ"/>
          <w:bCs/>
        </w:rPr>
        <w:t>aiheellisena</w:t>
      </w:r>
      <w:r w:rsidR="00265641">
        <w:rPr>
          <w:rFonts w:ascii="Calibri" w:eastAsia="MS Mincho" w:hAnsi="Calibri" w:cs="†®Úøï'4EÎ"/>
          <w:bCs/>
        </w:rPr>
        <w:t>.</w:t>
      </w:r>
      <w:r>
        <w:rPr>
          <w:rFonts w:ascii="Calibri" w:eastAsia="MS Mincho" w:hAnsi="Calibri" w:cs="†®Úøï'4EÎ"/>
          <w:bCs/>
        </w:rPr>
        <w:t xml:space="preserve"> </w:t>
      </w:r>
    </w:p>
    <w:p w:rsidR="008448C6" w:rsidRDefault="008448C6" w:rsidP="008666E9">
      <w:pPr>
        <w:widowControl w:val="0"/>
        <w:autoSpaceDE w:val="0"/>
        <w:autoSpaceDN w:val="0"/>
        <w:adjustRightInd w:val="0"/>
        <w:spacing w:after="0"/>
        <w:ind w:left="714"/>
        <w:jc w:val="both"/>
        <w:rPr>
          <w:rFonts w:ascii="Calibri" w:eastAsia="MS Mincho" w:hAnsi="Calibri" w:cs="†®Úøï'4EÎ"/>
          <w:bCs/>
        </w:rPr>
      </w:pPr>
    </w:p>
    <w:p w:rsidR="00231FE1" w:rsidRDefault="008448C6" w:rsidP="008666E9">
      <w:pPr>
        <w:widowControl w:val="0"/>
        <w:autoSpaceDE w:val="0"/>
        <w:autoSpaceDN w:val="0"/>
        <w:adjustRightInd w:val="0"/>
        <w:spacing w:after="0"/>
        <w:ind w:left="714"/>
        <w:jc w:val="both"/>
        <w:rPr>
          <w:rFonts w:ascii="Calibri" w:eastAsia="MS Mincho" w:hAnsi="Calibri" w:cs="†®Úøï'4EÎ"/>
          <w:bCs/>
        </w:rPr>
      </w:pPr>
      <w:r>
        <w:rPr>
          <w:rFonts w:ascii="Calibri" w:eastAsia="MS Mincho" w:hAnsi="Calibri" w:cs="†®Úøï'4EÎ"/>
          <w:bCs/>
        </w:rPr>
        <w:t xml:space="preserve">Ehdotetun sääntelyn peruslähtökohdat ja sisältö ovat asianmukaiset. Sääntelyssä on otettu huomioon rikosoikeudellisen laillisuusperiaatteen rangaistussäännöksen täsmällisyydelle ja sovellettavuudelle asettamat vaatimukset. </w:t>
      </w:r>
      <w:r w:rsidRPr="008448C6">
        <w:rPr>
          <w:rFonts w:ascii="Calibri" w:eastAsia="MS Mincho" w:hAnsi="Calibri" w:cs="†®Úøï'4EÎ"/>
          <w:bCs/>
        </w:rPr>
        <w:t xml:space="preserve">Esitysluonnos perustuu laadullisesti korkeatasoiseen valmisteluun. </w:t>
      </w:r>
      <w:r w:rsidR="002107C0">
        <w:rPr>
          <w:rFonts w:ascii="Calibri" w:eastAsia="MS Mincho" w:hAnsi="Calibri" w:cs="†®Úøï'4EÎ"/>
          <w:bCs/>
        </w:rPr>
        <w:t>Esitysl</w:t>
      </w:r>
      <w:r w:rsidRPr="008448C6">
        <w:rPr>
          <w:rFonts w:ascii="Calibri" w:eastAsia="MS Mincho" w:hAnsi="Calibri" w:cs="†®Úøï'4EÎ"/>
          <w:bCs/>
        </w:rPr>
        <w:t>uonnoksen sisältämiä säännösehdotuksia voidaan pitää hyvin laadittuina ja riittävästi perusteltuina.</w:t>
      </w:r>
    </w:p>
    <w:p w:rsidR="00265641" w:rsidRDefault="00265641" w:rsidP="008666E9">
      <w:pPr>
        <w:widowControl w:val="0"/>
        <w:autoSpaceDE w:val="0"/>
        <w:autoSpaceDN w:val="0"/>
        <w:adjustRightInd w:val="0"/>
        <w:spacing w:after="0"/>
        <w:ind w:left="714"/>
        <w:jc w:val="both"/>
        <w:rPr>
          <w:rFonts w:ascii="Calibri" w:eastAsia="MS Mincho" w:hAnsi="Calibri" w:cs="†®Úøï'4EÎ"/>
          <w:bCs/>
        </w:rPr>
      </w:pPr>
    </w:p>
    <w:p w:rsidR="00265641" w:rsidRPr="00265641" w:rsidRDefault="00265641" w:rsidP="008666E9">
      <w:pPr>
        <w:widowControl w:val="0"/>
        <w:autoSpaceDE w:val="0"/>
        <w:autoSpaceDN w:val="0"/>
        <w:adjustRightInd w:val="0"/>
        <w:spacing w:after="0"/>
        <w:jc w:val="both"/>
        <w:rPr>
          <w:rFonts w:ascii="Calibri" w:eastAsia="MS Mincho" w:hAnsi="Calibri" w:cs="†®Úøï'4EÎ"/>
          <w:b/>
          <w:bCs/>
          <w:i/>
        </w:rPr>
      </w:pPr>
      <w:r w:rsidRPr="00265641">
        <w:rPr>
          <w:rFonts w:ascii="Calibri" w:eastAsia="MS Mincho" w:hAnsi="Calibri" w:cs="†®Úøï'4EÎ"/>
          <w:b/>
          <w:bCs/>
          <w:i/>
        </w:rPr>
        <w:t>Yksityiskohtaisia näkökohtia</w:t>
      </w:r>
    </w:p>
    <w:p w:rsidR="00F47FD5" w:rsidRPr="00F47FD5" w:rsidRDefault="00F47FD5" w:rsidP="008666E9">
      <w:pPr>
        <w:widowControl w:val="0"/>
        <w:autoSpaceDE w:val="0"/>
        <w:autoSpaceDN w:val="0"/>
        <w:adjustRightInd w:val="0"/>
        <w:spacing w:after="0"/>
        <w:jc w:val="both"/>
        <w:rPr>
          <w:rFonts w:ascii="Calibri" w:eastAsia="MS Mincho" w:hAnsi="Calibri" w:cs="†®Úøï'4EÎ"/>
          <w:b/>
          <w:i/>
        </w:rPr>
      </w:pPr>
    </w:p>
    <w:p w:rsidR="001B4F95" w:rsidRPr="001B4F95" w:rsidRDefault="001B4F95" w:rsidP="008666E9">
      <w:pPr>
        <w:widowControl w:val="0"/>
        <w:autoSpaceDE w:val="0"/>
        <w:autoSpaceDN w:val="0"/>
        <w:adjustRightInd w:val="0"/>
        <w:spacing w:after="0"/>
        <w:jc w:val="both"/>
        <w:rPr>
          <w:rFonts w:ascii="Calibri" w:eastAsia="MS Mincho" w:hAnsi="Calibri" w:cs="†®Úøï'4EÎ"/>
          <w:i/>
        </w:rPr>
      </w:pPr>
      <w:r w:rsidRPr="001B4F95">
        <w:rPr>
          <w:rFonts w:ascii="Calibri" w:eastAsia="MS Mincho" w:hAnsi="Calibri" w:cs="†®Úøï'4EÎ"/>
          <w:i/>
        </w:rPr>
        <w:t>Oikeudeton etu</w:t>
      </w:r>
    </w:p>
    <w:p w:rsidR="001B4F95" w:rsidRPr="001B4F95" w:rsidRDefault="001B4F95" w:rsidP="008666E9">
      <w:pPr>
        <w:widowControl w:val="0"/>
        <w:autoSpaceDE w:val="0"/>
        <w:autoSpaceDN w:val="0"/>
        <w:adjustRightInd w:val="0"/>
        <w:spacing w:after="0"/>
        <w:ind w:left="714"/>
        <w:jc w:val="both"/>
        <w:rPr>
          <w:rFonts w:ascii="Calibri" w:eastAsia="MS Mincho" w:hAnsi="Calibri" w:cs="†®Úøï'4EÎ"/>
        </w:rPr>
      </w:pPr>
    </w:p>
    <w:p w:rsidR="001B4F95" w:rsidRPr="001B4F95" w:rsidRDefault="001B4F95" w:rsidP="008666E9">
      <w:pPr>
        <w:widowControl w:val="0"/>
        <w:autoSpaceDE w:val="0"/>
        <w:autoSpaceDN w:val="0"/>
        <w:adjustRightInd w:val="0"/>
        <w:spacing w:after="0"/>
        <w:ind w:left="714"/>
        <w:jc w:val="both"/>
        <w:rPr>
          <w:rFonts w:ascii="Calibri" w:eastAsia="Times New Roman" w:hAnsi="Calibri" w:cs="Times New Roman"/>
        </w:rPr>
      </w:pPr>
      <w:r w:rsidRPr="001B4F95">
        <w:rPr>
          <w:rFonts w:ascii="Calibri" w:eastAsia="MS Mincho" w:hAnsi="Calibri" w:cs="†®Úøï'4EÎ"/>
        </w:rPr>
        <w:t xml:space="preserve">Lakiluonnoksen 16 luvun 14 c §:n mukaan yhtenä vaikutusvallan kauppaamisrikoksen kriteerinä olisi </w:t>
      </w:r>
      <w:r w:rsidRPr="001B4F95">
        <w:rPr>
          <w:rFonts w:ascii="Calibri" w:eastAsia="MS Mincho" w:hAnsi="Calibri" w:cs="†®Úøï'4EÎ"/>
          <w:i/>
        </w:rPr>
        <w:t>“oikeudettoman edun”</w:t>
      </w:r>
      <w:r w:rsidRPr="001B4F95">
        <w:rPr>
          <w:rFonts w:ascii="Calibri" w:eastAsia="MS Mincho" w:hAnsi="Calibri" w:cs="†®Úøï'4EÎ"/>
        </w:rPr>
        <w:t xml:space="preserve"> lupaaminen, tarjoaminen tai </w:t>
      </w:r>
      <w:r w:rsidRPr="001B4F95">
        <w:rPr>
          <w:rFonts w:ascii="Calibri" w:eastAsia="MS Mincho" w:hAnsi="Calibri" w:cs="†®Úøï'4EÎ"/>
        </w:rPr>
        <w:lastRenderedPageBreak/>
        <w:t xml:space="preserve">antaminen palkkioksi. Yleissopimuksen 12 artiklan mukaan </w:t>
      </w:r>
      <w:r w:rsidRPr="001B4F95">
        <w:rPr>
          <w:rFonts w:ascii="Calibri" w:eastAsia="Times New Roman" w:hAnsi="Calibri" w:cs="Times New Roman"/>
        </w:rPr>
        <w:t xml:space="preserve">rangaistavaksi teoksi tulisi säätää “tahallisen </w:t>
      </w:r>
      <w:r w:rsidRPr="001B4F95">
        <w:rPr>
          <w:rFonts w:ascii="Calibri" w:eastAsia="Times New Roman" w:hAnsi="Calibri" w:cs="Times New Roman"/>
          <w:i/>
        </w:rPr>
        <w:t>perusteettoman</w:t>
      </w:r>
      <w:r w:rsidRPr="001B4F95">
        <w:rPr>
          <w:rFonts w:ascii="Calibri" w:eastAsia="Times New Roman" w:hAnsi="Calibri" w:cs="Times New Roman"/>
        </w:rPr>
        <w:t xml:space="preserve"> (</w:t>
      </w:r>
      <w:proofErr w:type="spellStart"/>
      <w:r w:rsidRPr="001B4F95">
        <w:rPr>
          <w:rFonts w:ascii="Calibri" w:eastAsia="Times New Roman" w:hAnsi="Calibri" w:cs="Times New Roman"/>
        </w:rPr>
        <w:t>undue</w:t>
      </w:r>
      <w:proofErr w:type="spellEnd"/>
      <w:r w:rsidRPr="001B4F95">
        <w:rPr>
          <w:rFonts w:ascii="Calibri" w:eastAsia="Times New Roman" w:hAnsi="Calibri" w:cs="Times New Roman"/>
        </w:rPr>
        <w:t xml:space="preserve">) edun” lupauksen, tarjoaminen tai antaminen. Ehdotetussa rikoslain säännöksessä saattaisi olla perusteltua käyttää tältäkin osin yleissopimuksen terminologiaa. Vaikka, kuten perusteluissa aiheellisesti todetaan, edun perusteettomuus </w:t>
      </w:r>
      <w:r w:rsidRPr="001B4F95">
        <w:rPr>
          <w:rFonts w:ascii="Calibri" w:eastAsia="MS Mincho" w:hAnsi="Calibri" w:cs="†®Úøï'4EÎ"/>
        </w:rPr>
        <w:t>johtuu lähinnä sen luonteesta palkkiona vaikuttamisesta epäasiallisesti, tämä ei ehkä ole riittävä peruste poiketa tältä osin yleissopimuksen sisältämästä nimenomaisesta ja rangaistavuutta määrittävästä perusteettomuuden kriteeristä.</w:t>
      </w:r>
    </w:p>
    <w:p w:rsidR="001B4F95" w:rsidRPr="001B4F95" w:rsidRDefault="001B4F95" w:rsidP="008666E9">
      <w:pPr>
        <w:widowControl w:val="0"/>
        <w:autoSpaceDE w:val="0"/>
        <w:autoSpaceDN w:val="0"/>
        <w:adjustRightInd w:val="0"/>
        <w:spacing w:after="0"/>
        <w:ind w:left="714"/>
        <w:jc w:val="both"/>
        <w:rPr>
          <w:rFonts w:ascii="Calibri" w:eastAsia="Times New Roman" w:hAnsi="Calibri" w:cs="Times New Roman"/>
        </w:rPr>
      </w:pPr>
    </w:p>
    <w:p w:rsidR="001B4F95" w:rsidRPr="001B4F95" w:rsidRDefault="002107C0" w:rsidP="008666E9">
      <w:pPr>
        <w:widowControl w:val="0"/>
        <w:autoSpaceDE w:val="0"/>
        <w:autoSpaceDN w:val="0"/>
        <w:adjustRightInd w:val="0"/>
        <w:spacing w:after="0"/>
        <w:ind w:left="714"/>
        <w:jc w:val="both"/>
        <w:rPr>
          <w:rFonts w:ascii="Calibri" w:eastAsia="Times New Roman" w:hAnsi="Calibri" w:cs="Times New Roman"/>
        </w:rPr>
      </w:pPr>
      <w:r>
        <w:rPr>
          <w:rFonts w:ascii="Calibri" w:eastAsia="Times New Roman" w:hAnsi="Calibri" w:cs="Times New Roman"/>
        </w:rPr>
        <w:t>Toisaalta v</w:t>
      </w:r>
      <w:r w:rsidR="001B4F95" w:rsidRPr="001B4F95">
        <w:rPr>
          <w:rFonts w:ascii="Calibri" w:eastAsia="Times New Roman" w:hAnsi="Calibri" w:cs="Times New Roman"/>
        </w:rPr>
        <w:t xml:space="preserve">aatimus palkkion </w:t>
      </w:r>
      <w:proofErr w:type="spellStart"/>
      <w:r w:rsidR="001B4F95" w:rsidRPr="001B4F95">
        <w:rPr>
          <w:rFonts w:ascii="Calibri" w:eastAsia="Times New Roman" w:hAnsi="Calibri" w:cs="Times New Roman"/>
        </w:rPr>
        <w:t>oikeudettomuudesta</w:t>
      </w:r>
      <w:proofErr w:type="spellEnd"/>
      <w:r w:rsidR="001B4F95" w:rsidRPr="001B4F95">
        <w:rPr>
          <w:rFonts w:ascii="Calibri" w:eastAsia="Times New Roman" w:hAnsi="Calibri" w:cs="Times New Roman"/>
        </w:rPr>
        <w:t xml:space="preserve"> saattaisi käytännössä karsia säännöksen soveltamisalasta esimerkiksi sopimuspohjaiset palkkiot. Sopimusta yksityisoikeudellisena oikeustoimena ei sinänsä voitane yleensä pitää säännöksessä tarkoitetulla tavalla oikeudettomana eli lain vastaisena. Koska kysymys on muutenkin soveltamisalaltaan ja tunnusmerkistöltäänkin lahjusrikoksista poikkeavasta sääntelystä, perusteluissa esitettyä analogiaa </w:t>
      </w:r>
      <w:r w:rsidR="001B4F95" w:rsidRPr="001B4F95">
        <w:rPr>
          <w:rFonts w:ascii="Calibri" w:eastAsia="MS Mincho" w:hAnsi="Calibri" w:cs="†®Úøï'4EÎ"/>
        </w:rPr>
        <w:t xml:space="preserve">suomalaisessa lahjusrikoslainsäädännössä käytettyyn </w:t>
      </w:r>
      <w:proofErr w:type="spellStart"/>
      <w:r w:rsidR="001B4F95" w:rsidRPr="001B4F95">
        <w:rPr>
          <w:rFonts w:ascii="Calibri" w:eastAsia="MS Mincho" w:hAnsi="Calibri" w:cs="†®Úøï'4EÎ"/>
        </w:rPr>
        <w:t>oikeudettomuus</w:t>
      </w:r>
      <w:proofErr w:type="spellEnd"/>
      <w:r w:rsidR="001B4F95" w:rsidRPr="001B4F95">
        <w:rPr>
          <w:rFonts w:ascii="Calibri" w:eastAsia="MS Mincho" w:hAnsi="Calibri" w:cs="†®Úøï'4EÎ"/>
        </w:rPr>
        <w:t xml:space="preserve">-terminologiaan ei tältä osin voitane myöskään pitää </w:t>
      </w:r>
      <w:r>
        <w:rPr>
          <w:rFonts w:ascii="Calibri" w:eastAsia="MS Mincho" w:hAnsi="Calibri" w:cs="†®Úøï'4EÎ"/>
        </w:rPr>
        <w:t xml:space="preserve">täysin </w:t>
      </w:r>
      <w:r w:rsidR="001B4F95" w:rsidRPr="001B4F95">
        <w:rPr>
          <w:rFonts w:ascii="Calibri" w:eastAsia="MS Mincho" w:hAnsi="Calibri" w:cs="†®Úøï'4EÎ"/>
        </w:rPr>
        <w:t>välttämättömänä</w:t>
      </w:r>
      <w:r>
        <w:rPr>
          <w:rFonts w:ascii="Calibri" w:eastAsia="MS Mincho" w:hAnsi="Calibri" w:cs="†®Úøï'4EÎ"/>
        </w:rPr>
        <w:t xml:space="preserve">. Sen sijaan vaikutusvallan kauppaaminen voi tunnusmerkistöltään aiheellisilta osin poiketa </w:t>
      </w:r>
      <w:r w:rsidR="00B9684E">
        <w:rPr>
          <w:rFonts w:ascii="Calibri" w:eastAsia="MS Mincho" w:hAnsi="Calibri" w:cs="†®Úøï'4EÎ"/>
        </w:rPr>
        <w:t xml:space="preserve">väljempään suuntaan </w:t>
      </w:r>
      <w:r>
        <w:rPr>
          <w:rFonts w:ascii="Calibri" w:eastAsia="MS Mincho" w:hAnsi="Calibri" w:cs="†®Úøï'4EÎ"/>
        </w:rPr>
        <w:t>lahjusrikoksen tunnusmerkistöstä.</w:t>
      </w:r>
    </w:p>
    <w:p w:rsidR="001B4F95" w:rsidRPr="001B4F95" w:rsidRDefault="001B4F95" w:rsidP="008666E9">
      <w:pPr>
        <w:widowControl w:val="0"/>
        <w:autoSpaceDE w:val="0"/>
        <w:autoSpaceDN w:val="0"/>
        <w:adjustRightInd w:val="0"/>
        <w:spacing w:after="0"/>
        <w:ind w:left="714"/>
        <w:jc w:val="both"/>
        <w:rPr>
          <w:rFonts w:ascii="Calibri" w:eastAsia="Times New Roman" w:hAnsi="Calibri" w:cs="Times New Roman"/>
        </w:rPr>
      </w:pPr>
    </w:p>
    <w:p w:rsidR="001B4F95" w:rsidRPr="001B4F95" w:rsidRDefault="001B4F95" w:rsidP="008666E9">
      <w:pPr>
        <w:widowControl w:val="0"/>
        <w:autoSpaceDE w:val="0"/>
        <w:autoSpaceDN w:val="0"/>
        <w:adjustRightInd w:val="0"/>
        <w:spacing w:after="0"/>
        <w:jc w:val="both"/>
        <w:rPr>
          <w:rFonts w:ascii="Calibri" w:eastAsia="Times New Roman" w:hAnsi="Calibri" w:cs="Times New Roman"/>
          <w:i/>
        </w:rPr>
      </w:pPr>
      <w:r w:rsidRPr="001B4F95">
        <w:rPr>
          <w:rFonts w:ascii="Calibri" w:eastAsia="Times New Roman" w:hAnsi="Calibri" w:cs="Times New Roman"/>
          <w:i/>
        </w:rPr>
        <w:t>Epäasiallinen vaikuttaminen</w:t>
      </w:r>
    </w:p>
    <w:p w:rsidR="001B4F95" w:rsidRPr="001B4F95" w:rsidRDefault="001B4F95" w:rsidP="008666E9">
      <w:pPr>
        <w:widowControl w:val="0"/>
        <w:autoSpaceDE w:val="0"/>
        <w:autoSpaceDN w:val="0"/>
        <w:adjustRightInd w:val="0"/>
        <w:spacing w:after="0"/>
        <w:ind w:left="714"/>
        <w:jc w:val="both"/>
        <w:rPr>
          <w:rFonts w:ascii="Calibri" w:eastAsia="MS Mincho" w:hAnsi="Calibri"/>
        </w:rPr>
      </w:pPr>
    </w:p>
    <w:p w:rsidR="001B4F95" w:rsidRDefault="001B4F95" w:rsidP="008666E9">
      <w:pPr>
        <w:widowControl w:val="0"/>
        <w:autoSpaceDE w:val="0"/>
        <w:autoSpaceDN w:val="0"/>
        <w:adjustRightInd w:val="0"/>
        <w:spacing w:after="0"/>
        <w:ind w:left="714"/>
        <w:jc w:val="both"/>
        <w:rPr>
          <w:rFonts w:ascii="Calibri" w:eastAsia="MS Mincho" w:hAnsi="Calibri"/>
        </w:rPr>
      </w:pPr>
      <w:r w:rsidRPr="001B4F95">
        <w:rPr>
          <w:rFonts w:ascii="Calibri" w:eastAsia="MS Mincho" w:hAnsi="Calibri"/>
        </w:rPr>
        <w:t>Epäasiallista vaikuttamista määriteltäisiin tarkemmin</w:t>
      </w:r>
      <w:r w:rsidR="00B9684E">
        <w:rPr>
          <w:rFonts w:ascii="Calibri" w:eastAsia="MS Mincho" w:hAnsi="Calibri"/>
        </w:rPr>
        <w:t xml:space="preserve"> esitysluonnoksen</w:t>
      </w:r>
      <w:r w:rsidRPr="001B4F95">
        <w:rPr>
          <w:rFonts w:ascii="Calibri" w:eastAsia="MS Mincho" w:hAnsi="Calibri"/>
        </w:rPr>
        <w:t xml:space="preserve"> 16 luvun 14 c §:n 3 momentissa. Tarkempaa sääntelyä voidaan pitää rikosoikeudellisen </w:t>
      </w:r>
      <w:proofErr w:type="spellStart"/>
      <w:r w:rsidRPr="001B4F95">
        <w:rPr>
          <w:rFonts w:ascii="Calibri" w:eastAsia="MS Mincho" w:hAnsi="Calibri"/>
        </w:rPr>
        <w:t>legaliteettiperiaatteen</w:t>
      </w:r>
      <w:proofErr w:type="spellEnd"/>
      <w:r w:rsidRPr="001B4F95">
        <w:rPr>
          <w:rFonts w:ascii="Calibri" w:eastAsia="MS Mincho" w:hAnsi="Calibri"/>
        </w:rPr>
        <w:t xml:space="preserve"> kannalta aiheellisena</w:t>
      </w:r>
      <w:r w:rsidR="00B9684E">
        <w:rPr>
          <w:rFonts w:ascii="Calibri" w:eastAsia="MS Mincho" w:hAnsi="Calibri"/>
        </w:rPr>
        <w:t xml:space="preserve"> ja esitetyssä muodossa riittävänä</w:t>
      </w:r>
      <w:r w:rsidRPr="001B4F95">
        <w:rPr>
          <w:rFonts w:ascii="Calibri" w:eastAsia="MS Mincho" w:hAnsi="Calibri"/>
        </w:rPr>
        <w:t xml:space="preserve">. </w:t>
      </w:r>
    </w:p>
    <w:p w:rsidR="00B9684E" w:rsidRPr="001B4F95" w:rsidRDefault="00B9684E" w:rsidP="008666E9">
      <w:pPr>
        <w:widowControl w:val="0"/>
        <w:autoSpaceDE w:val="0"/>
        <w:autoSpaceDN w:val="0"/>
        <w:adjustRightInd w:val="0"/>
        <w:spacing w:after="0"/>
        <w:ind w:left="714"/>
        <w:jc w:val="both"/>
        <w:rPr>
          <w:rFonts w:ascii="Calibri" w:eastAsia="MS Mincho" w:hAnsi="Calibri"/>
        </w:rPr>
      </w:pPr>
    </w:p>
    <w:p w:rsidR="001B4F95" w:rsidRPr="001B4F95" w:rsidRDefault="001B4F95" w:rsidP="008666E9">
      <w:pPr>
        <w:widowControl w:val="0"/>
        <w:autoSpaceDE w:val="0"/>
        <w:autoSpaceDN w:val="0"/>
        <w:adjustRightInd w:val="0"/>
        <w:spacing w:after="0"/>
        <w:ind w:left="714"/>
        <w:jc w:val="both"/>
        <w:rPr>
          <w:rFonts w:ascii="Calibri" w:eastAsia="MS Mincho" w:hAnsi="Calibri"/>
        </w:rPr>
      </w:pPr>
      <w:r w:rsidRPr="001B4F95">
        <w:rPr>
          <w:rFonts w:ascii="Calibri" w:eastAsia="MS Mincho" w:hAnsi="Calibri"/>
        </w:rPr>
        <w:t>Määritelmäsäännöksen kolmea ensimmäistä kohtaa voidaan pitää aiheellisina ja informatiivisina täsmennyksinä sille, mikä on epäasiallista vaikuttamista. Yleissopimuksen perusteluissa (</w:t>
      </w:r>
      <w:proofErr w:type="spellStart"/>
      <w:r w:rsidRPr="001B4F95">
        <w:rPr>
          <w:rFonts w:ascii="Calibri" w:eastAsia="Times New Roman" w:hAnsi="Calibri" w:cs="Times New Roman"/>
        </w:rPr>
        <w:t>Explanatory</w:t>
      </w:r>
      <w:proofErr w:type="spellEnd"/>
      <w:r w:rsidRPr="001B4F95">
        <w:rPr>
          <w:rFonts w:ascii="Calibri" w:eastAsia="Times New Roman" w:hAnsi="Calibri" w:cs="Times New Roman"/>
        </w:rPr>
        <w:t xml:space="preserve"> Report to </w:t>
      </w:r>
      <w:proofErr w:type="spellStart"/>
      <w:r w:rsidRPr="001B4F95">
        <w:rPr>
          <w:rFonts w:ascii="Calibri" w:eastAsia="Times New Roman" w:hAnsi="Calibri" w:cs="Times New Roman"/>
        </w:rPr>
        <w:t>the</w:t>
      </w:r>
      <w:proofErr w:type="spellEnd"/>
      <w:r w:rsidRPr="001B4F95">
        <w:rPr>
          <w:rFonts w:ascii="Calibri" w:eastAsia="Times New Roman" w:hAnsi="Calibri" w:cs="Times New Roman"/>
        </w:rPr>
        <w:t xml:space="preserve"> </w:t>
      </w:r>
      <w:proofErr w:type="spellStart"/>
      <w:r w:rsidRPr="001B4F95">
        <w:rPr>
          <w:rFonts w:ascii="Calibri" w:eastAsia="Times New Roman" w:hAnsi="Calibri" w:cs="Times New Roman"/>
        </w:rPr>
        <w:t>Criminal</w:t>
      </w:r>
      <w:proofErr w:type="spellEnd"/>
      <w:r w:rsidRPr="001B4F95">
        <w:rPr>
          <w:rFonts w:ascii="Calibri" w:eastAsia="Times New Roman" w:hAnsi="Calibri" w:cs="Times New Roman"/>
        </w:rPr>
        <w:t xml:space="preserve"> </w:t>
      </w:r>
      <w:proofErr w:type="spellStart"/>
      <w:r w:rsidRPr="001B4F95">
        <w:rPr>
          <w:rFonts w:ascii="Calibri" w:eastAsia="Times New Roman" w:hAnsi="Calibri" w:cs="Times New Roman"/>
        </w:rPr>
        <w:t>Law</w:t>
      </w:r>
      <w:proofErr w:type="spellEnd"/>
      <w:r w:rsidRPr="001B4F95">
        <w:rPr>
          <w:rFonts w:ascii="Calibri" w:eastAsia="Times New Roman" w:hAnsi="Calibri" w:cs="Times New Roman"/>
        </w:rPr>
        <w:t xml:space="preserve"> </w:t>
      </w:r>
      <w:proofErr w:type="spellStart"/>
      <w:r w:rsidRPr="001B4F95">
        <w:rPr>
          <w:rFonts w:ascii="Calibri" w:eastAsia="Times New Roman" w:hAnsi="Calibri" w:cs="Times New Roman"/>
        </w:rPr>
        <w:t>Convention</w:t>
      </w:r>
      <w:proofErr w:type="spellEnd"/>
      <w:r w:rsidRPr="001B4F95">
        <w:rPr>
          <w:rFonts w:ascii="Calibri" w:eastAsia="Times New Roman" w:hAnsi="Calibri" w:cs="Times New Roman"/>
        </w:rPr>
        <w:t xml:space="preserve"> on </w:t>
      </w:r>
      <w:proofErr w:type="spellStart"/>
      <w:r w:rsidRPr="001B4F95">
        <w:rPr>
          <w:rFonts w:ascii="Calibri" w:eastAsia="Times New Roman" w:hAnsi="Calibri" w:cs="Times New Roman"/>
        </w:rPr>
        <w:t>Corruption</w:t>
      </w:r>
      <w:proofErr w:type="spellEnd"/>
      <w:r w:rsidRPr="001B4F95">
        <w:rPr>
          <w:rFonts w:ascii="Calibri" w:eastAsia="Times New Roman" w:hAnsi="Calibri" w:cs="Times New Roman"/>
        </w:rPr>
        <w:t>, Strasbourg, 27.I.1999) korostetaan tältä osin sitä, että epäasialliseen vaikuttamiseen pitää sisältyä</w:t>
      </w:r>
      <w:r w:rsidR="00B9684E">
        <w:rPr>
          <w:rFonts w:ascii="Calibri" w:eastAsia="Times New Roman" w:hAnsi="Calibri" w:cs="Times New Roman"/>
        </w:rPr>
        <w:t xml:space="preserve"> vaikutusvallan kauppaajan</w:t>
      </w:r>
      <w:r w:rsidRPr="001B4F95">
        <w:rPr>
          <w:rFonts w:ascii="Calibri" w:eastAsia="Times New Roman" w:hAnsi="Calibri" w:cs="Times New Roman"/>
        </w:rPr>
        <w:t xml:space="preserve"> korruptioluonteinen tarkoitus (</w:t>
      </w:r>
      <w:r w:rsidRPr="001B4F95">
        <w:rPr>
          <w:rFonts w:ascii="Calibri" w:eastAsia="MS Mincho" w:hAnsi="Calibri"/>
        </w:rPr>
        <w:t>"</w:t>
      </w:r>
      <w:proofErr w:type="spellStart"/>
      <w:r w:rsidRPr="001B4F95">
        <w:rPr>
          <w:rFonts w:ascii="Calibri" w:eastAsia="MS Mincho" w:hAnsi="Calibri"/>
        </w:rPr>
        <w:t>Improper</w:t>
      </w:r>
      <w:proofErr w:type="spellEnd"/>
      <w:r w:rsidRPr="001B4F95">
        <w:rPr>
          <w:rFonts w:ascii="Calibri" w:eastAsia="MS Mincho" w:hAnsi="Calibri"/>
        </w:rPr>
        <w:t xml:space="preserve">" </w:t>
      </w:r>
      <w:proofErr w:type="spellStart"/>
      <w:r w:rsidRPr="001B4F95">
        <w:rPr>
          <w:rFonts w:ascii="Calibri" w:eastAsia="MS Mincho" w:hAnsi="Calibri"/>
        </w:rPr>
        <w:t>influence</w:t>
      </w:r>
      <w:proofErr w:type="spellEnd"/>
      <w:r w:rsidRPr="001B4F95">
        <w:rPr>
          <w:rFonts w:ascii="Calibri" w:eastAsia="MS Mincho" w:hAnsi="Calibri"/>
        </w:rPr>
        <w:t xml:space="preserve"> </w:t>
      </w:r>
      <w:proofErr w:type="spellStart"/>
      <w:r w:rsidRPr="001B4F95">
        <w:rPr>
          <w:rFonts w:ascii="Calibri" w:eastAsia="MS Mincho" w:hAnsi="Calibri"/>
        </w:rPr>
        <w:t>must</w:t>
      </w:r>
      <w:proofErr w:type="spellEnd"/>
      <w:r w:rsidRPr="001B4F95">
        <w:rPr>
          <w:rFonts w:ascii="Calibri" w:eastAsia="MS Mincho" w:hAnsi="Calibri"/>
        </w:rPr>
        <w:t xml:space="preserve"> </w:t>
      </w:r>
      <w:proofErr w:type="spellStart"/>
      <w:r w:rsidRPr="001B4F95">
        <w:rPr>
          <w:rFonts w:ascii="Calibri" w:eastAsia="MS Mincho" w:hAnsi="Calibri"/>
        </w:rPr>
        <w:t>contain</w:t>
      </w:r>
      <w:proofErr w:type="spellEnd"/>
      <w:r w:rsidRPr="001B4F95">
        <w:rPr>
          <w:rFonts w:ascii="Calibri" w:eastAsia="MS Mincho" w:hAnsi="Calibri"/>
        </w:rPr>
        <w:t xml:space="preserve"> a </w:t>
      </w:r>
      <w:proofErr w:type="spellStart"/>
      <w:r w:rsidRPr="001B4F95">
        <w:rPr>
          <w:rFonts w:ascii="Calibri" w:eastAsia="MS Mincho" w:hAnsi="Calibri"/>
        </w:rPr>
        <w:t>corrupt</w:t>
      </w:r>
      <w:proofErr w:type="spellEnd"/>
      <w:r w:rsidRPr="001B4F95">
        <w:rPr>
          <w:rFonts w:ascii="Calibri" w:eastAsia="MS Mincho" w:hAnsi="Calibri"/>
        </w:rPr>
        <w:t xml:space="preserve"> </w:t>
      </w:r>
      <w:proofErr w:type="spellStart"/>
      <w:r w:rsidRPr="001B4F95">
        <w:rPr>
          <w:rFonts w:ascii="Calibri" w:eastAsia="MS Mincho" w:hAnsi="Calibri"/>
        </w:rPr>
        <w:t>intent</w:t>
      </w:r>
      <w:proofErr w:type="spellEnd"/>
      <w:r w:rsidRPr="001B4F95">
        <w:rPr>
          <w:rFonts w:ascii="Calibri" w:eastAsia="MS Mincho" w:hAnsi="Calibri"/>
        </w:rPr>
        <w:t xml:space="preserve"> </w:t>
      </w:r>
      <w:proofErr w:type="spellStart"/>
      <w:r w:rsidRPr="001B4F95">
        <w:rPr>
          <w:rFonts w:ascii="Calibri" w:eastAsia="MS Mincho" w:hAnsi="Calibri"/>
        </w:rPr>
        <w:t>by</w:t>
      </w:r>
      <w:proofErr w:type="spellEnd"/>
      <w:r w:rsidRPr="001B4F95">
        <w:rPr>
          <w:rFonts w:ascii="Calibri" w:eastAsia="MS Mincho" w:hAnsi="Calibri"/>
        </w:rPr>
        <w:t xml:space="preserve"> </w:t>
      </w:r>
      <w:proofErr w:type="spellStart"/>
      <w:r w:rsidRPr="001B4F95">
        <w:rPr>
          <w:rFonts w:ascii="Calibri" w:eastAsia="MS Mincho" w:hAnsi="Calibri"/>
        </w:rPr>
        <w:t>the</w:t>
      </w:r>
      <w:proofErr w:type="spellEnd"/>
      <w:r w:rsidRPr="001B4F95">
        <w:rPr>
          <w:rFonts w:ascii="Calibri" w:eastAsia="MS Mincho" w:hAnsi="Calibri"/>
        </w:rPr>
        <w:t xml:space="preserve"> </w:t>
      </w:r>
      <w:proofErr w:type="spellStart"/>
      <w:r w:rsidRPr="001B4F95">
        <w:rPr>
          <w:rFonts w:ascii="Calibri" w:eastAsia="MS Mincho" w:hAnsi="Calibri"/>
        </w:rPr>
        <w:t>influence</w:t>
      </w:r>
      <w:proofErr w:type="spellEnd"/>
      <w:r w:rsidRPr="001B4F95">
        <w:rPr>
          <w:rFonts w:ascii="Calibri" w:eastAsia="MS Mincho" w:hAnsi="Calibri"/>
        </w:rPr>
        <w:t xml:space="preserve"> </w:t>
      </w:r>
      <w:proofErr w:type="spellStart"/>
      <w:r w:rsidRPr="001B4F95">
        <w:rPr>
          <w:rFonts w:ascii="Calibri" w:eastAsia="MS Mincho" w:hAnsi="Calibri"/>
        </w:rPr>
        <w:t>peddler</w:t>
      </w:r>
      <w:proofErr w:type="spellEnd"/>
      <w:r w:rsidRPr="001B4F95">
        <w:rPr>
          <w:rFonts w:ascii="Calibri" w:eastAsia="MS Mincho" w:hAnsi="Calibri"/>
        </w:rPr>
        <w:t xml:space="preserve">”.) </w:t>
      </w:r>
    </w:p>
    <w:p w:rsidR="001B4F95" w:rsidRPr="001B4F95" w:rsidRDefault="001B4F95" w:rsidP="008666E9">
      <w:pPr>
        <w:widowControl w:val="0"/>
        <w:autoSpaceDE w:val="0"/>
        <w:autoSpaceDN w:val="0"/>
        <w:adjustRightInd w:val="0"/>
        <w:spacing w:after="0"/>
        <w:ind w:left="714"/>
        <w:jc w:val="both"/>
        <w:rPr>
          <w:rFonts w:ascii="Calibri" w:eastAsia="MS Mincho" w:hAnsi="Calibri"/>
        </w:rPr>
      </w:pPr>
    </w:p>
    <w:p w:rsidR="001B4F95" w:rsidRPr="001B4F95" w:rsidRDefault="001B4F95" w:rsidP="008666E9">
      <w:pPr>
        <w:widowControl w:val="0"/>
        <w:autoSpaceDE w:val="0"/>
        <w:autoSpaceDN w:val="0"/>
        <w:adjustRightInd w:val="0"/>
        <w:spacing w:after="0"/>
        <w:ind w:left="714"/>
        <w:jc w:val="both"/>
        <w:rPr>
          <w:rFonts w:ascii="Calibri" w:eastAsia="MS Mincho" w:hAnsi="Calibri"/>
        </w:rPr>
      </w:pPr>
      <w:r w:rsidRPr="001B4F95">
        <w:rPr>
          <w:rFonts w:ascii="Calibri" w:eastAsia="MS Mincho" w:hAnsi="Calibri"/>
        </w:rPr>
        <w:t>Toisaalta epäasiallista vaikuttamista eivät perustelujen mukaan ole hyväksyttävät edunvalvonnan muodot (“</w:t>
      </w:r>
      <w:proofErr w:type="spellStart"/>
      <w:r w:rsidRPr="001B4F95">
        <w:rPr>
          <w:rFonts w:ascii="Calibri" w:eastAsia="MS Mincho" w:hAnsi="Calibri"/>
        </w:rPr>
        <w:t>acknowledged</w:t>
      </w:r>
      <w:proofErr w:type="spellEnd"/>
      <w:r w:rsidRPr="001B4F95">
        <w:rPr>
          <w:rFonts w:ascii="Calibri" w:eastAsia="MS Mincho" w:hAnsi="Calibri"/>
        </w:rPr>
        <w:t xml:space="preserve"> </w:t>
      </w:r>
      <w:proofErr w:type="spellStart"/>
      <w:r w:rsidRPr="001B4F95">
        <w:rPr>
          <w:rFonts w:ascii="Calibri" w:eastAsia="MS Mincho" w:hAnsi="Calibri"/>
        </w:rPr>
        <w:t>forms</w:t>
      </w:r>
      <w:proofErr w:type="spellEnd"/>
      <w:r w:rsidRPr="001B4F95">
        <w:rPr>
          <w:rFonts w:ascii="Calibri" w:eastAsia="MS Mincho" w:hAnsi="Calibri"/>
        </w:rPr>
        <w:t xml:space="preserve"> of </w:t>
      </w:r>
      <w:proofErr w:type="spellStart"/>
      <w:r w:rsidRPr="001B4F95">
        <w:rPr>
          <w:rFonts w:ascii="Calibri" w:eastAsia="MS Mincho" w:hAnsi="Calibri"/>
        </w:rPr>
        <w:t>lobbying</w:t>
      </w:r>
      <w:proofErr w:type="spellEnd"/>
      <w:r w:rsidRPr="001B4F95">
        <w:rPr>
          <w:rFonts w:ascii="Calibri" w:eastAsia="MS Mincho" w:hAnsi="Calibri"/>
        </w:rPr>
        <w:t xml:space="preserve"> </w:t>
      </w:r>
      <w:proofErr w:type="spellStart"/>
      <w:r w:rsidRPr="001B4F95">
        <w:rPr>
          <w:rFonts w:ascii="Calibri" w:eastAsia="MS Mincho" w:hAnsi="Calibri"/>
        </w:rPr>
        <w:t>do</w:t>
      </w:r>
      <w:proofErr w:type="spellEnd"/>
      <w:r w:rsidRPr="001B4F95">
        <w:rPr>
          <w:rFonts w:ascii="Calibri" w:eastAsia="MS Mincho" w:hAnsi="Calibri"/>
        </w:rPr>
        <w:t xml:space="preserve"> </w:t>
      </w:r>
      <w:proofErr w:type="spellStart"/>
      <w:r w:rsidRPr="001B4F95">
        <w:rPr>
          <w:rFonts w:ascii="Calibri" w:eastAsia="MS Mincho" w:hAnsi="Calibri"/>
        </w:rPr>
        <w:t>not</w:t>
      </w:r>
      <w:proofErr w:type="spellEnd"/>
      <w:r w:rsidRPr="001B4F95">
        <w:rPr>
          <w:rFonts w:ascii="Calibri" w:eastAsia="MS Mincho" w:hAnsi="Calibri"/>
        </w:rPr>
        <w:t xml:space="preserve"> </w:t>
      </w:r>
      <w:proofErr w:type="spellStart"/>
      <w:r w:rsidRPr="001B4F95">
        <w:rPr>
          <w:rFonts w:ascii="Calibri" w:eastAsia="MS Mincho" w:hAnsi="Calibri"/>
        </w:rPr>
        <w:t>fall</w:t>
      </w:r>
      <w:proofErr w:type="spellEnd"/>
      <w:r w:rsidRPr="001B4F95">
        <w:rPr>
          <w:rFonts w:ascii="Calibri" w:eastAsia="MS Mincho" w:hAnsi="Calibri"/>
        </w:rPr>
        <w:t xml:space="preserve"> </w:t>
      </w:r>
      <w:proofErr w:type="spellStart"/>
      <w:r w:rsidRPr="001B4F95">
        <w:rPr>
          <w:rFonts w:ascii="Calibri" w:eastAsia="MS Mincho" w:hAnsi="Calibri"/>
        </w:rPr>
        <w:t>under</w:t>
      </w:r>
      <w:proofErr w:type="spellEnd"/>
      <w:r w:rsidRPr="001B4F95">
        <w:rPr>
          <w:rFonts w:ascii="Calibri" w:eastAsia="MS Mincho" w:hAnsi="Calibri"/>
        </w:rPr>
        <w:t xml:space="preserve"> </w:t>
      </w:r>
      <w:proofErr w:type="spellStart"/>
      <w:r w:rsidRPr="001B4F95">
        <w:rPr>
          <w:rFonts w:ascii="Calibri" w:eastAsia="MS Mincho" w:hAnsi="Calibri"/>
        </w:rPr>
        <w:t>this</w:t>
      </w:r>
      <w:proofErr w:type="spellEnd"/>
      <w:r w:rsidRPr="001B4F95">
        <w:rPr>
          <w:rFonts w:ascii="Calibri" w:eastAsia="MS Mincho" w:hAnsi="Calibri"/>
        </w:rPr>
        <w:t xml:space="preserve"> </w:t>
      </w:r>
      <w:proofErr w:type="spellStart"/>
      <w:r w:rsidRPr="001B4F95">
        <w:rPr>
          <w:rFonts w:ascii="Calibri" w:eastAsia="MS Mincho" w:hAnsi="Calibri"/>
        </w:rPr>
        <w:t>notion</w:t>
      </w:r>
      <w:proofErr w:type="spellEnd"/>
      <w:r w:rsidRPr="001B4F95">
        <w:rPr>
          <w:rFonts w:ascii="Calibri" w:eastAsia="MS Mincho" w:hAnsi="Calibri"/>
        </w:rPr>
        <w:t>”). Vaikuttaa verraten selvältä, että hyväksyttävä edunvalvonta jää ensimmäiste</w:t>
      </w:r>
      <w:r w:rsidR="008666E9">
        <w:rPr>
          <w:rFonts w:ascii="Calibri" w:eastAsia="MS Mincho" w:hAnsi="Calibri"/>
        </w:rPr>
        <w:t>n kolmen kriteerin ulkopuolelle.</w:t>
      </w:r>
      <w:r w:rsidRPr="001B4F95">
        <w:rPr>
          <w:rFonts w:ascii="Calibri" w:eastAsia="MS Mincho" w:hAnsi="Calibri"/>
        </w:rPr>
        <w:t xml:space="preserve"> </w:t>
      </w:r>
      <w:r w:rsidR="003E7D6F">
        <w:rPr>
          <w:rFonts w:ascii="Calibri" w:eastAsia="MS Mincho" w:hAnsi="Calibri"/>
        </w:rPr>
        <w:t>Näitä kolmea kohtaa voitaneen</w:t>
      </w:r>
      <w:r w:rsidRPr="001B4F95">
        <w:rPr>
          <w:rFonts w:ascii="Calibri" w:eastAsia="MS Mincho" w:hAnsi="Calibri"/>
        </w:rPr>
        <w:t xml:space="preserve"> siten pitää myös tältä kannalta riittävinä</w:t>
      </w:r>
      <w:r w:rsidR="008666E9">
        <w:rPr>
          <w:rFonts w:ascii="Calibri" w:eastAsia="MS Mincho" w:hAnsi="Calibri"/>
        </w:rPr>
        <w:t xml:space="preserve"> rangaistavuuden</w:t>
      </w:r>
      <w:r w:rsidRPr="001B4F95">
        <w:rPr>
          <w:rFonts w:ascii="Calibri" w:eastAsia="MS Mincho" w:hAnsi="Calibri"/>
        </w:rPr>
        <w:t xml:space="preserve"> soveltamisalan täsmen</w:t>
      </w:r>
      <w:r w:rsidR="008666E9">
        <w:rPr>
          <w:rFonts w:ascii="Calibri" w:eastAsia="MS Mincho" w:hAnsi="Calibri"/>
        </w:rPr>
        <w:t>t</w:t>
      </w:r>
      <w:r w:rsidRPr="001B4F95">
        <w:rPr>
          <w:rFonts w:ascii="Calibri" w:eastAsia="MS Mincho" w:hAnsi="Calibri"/>
        </w:rPr>
        <w:t>ämisen kannalta.</w:t>
      </w:r>
    </w:p>
    <w:p w:rsidR="001B4F95" w:rsidRPr="001B4F95" w:rsidRDefault="001B4F95" w:rsidP="008666E9">
      <w:pPr>
        <w:widowControl w:val="0"/>
        <w:autoSpaceDE w:val="0"/>
        <w:autoSpaceDN w:val="0"/>
        <w:adjustRightInd w:val="0"/>
        <w:spacing w:after="0"/>
        <w:ind w:left="714"/>
        <w:jc w:val="both"/>
        <w:rPr>
          <w:rFonts w:ascii="Calibri" w:eastAsia="MS Mincho" w:hAnsi="Calibri"/>
        </w:rPr>
      </w:pPr>
    </w:p>
    <w:p w:rsidR="001B4F95" w:rsidRDefault="001B4F95" w:rsidP="008666E9">
      <w:pPr>
        <w:widowControl w:val="0"/>
        <w:autoSpaceDE w:val="0"/>
        <w:autoSpaceDN w:val="0"/>
        <w:adjustRightInd w:val="0"/>
        <w:spacing w:after="0"/>
        <w:ind w:left="714"/>
        <w:jc w:val="both"/>
        <w:rPr>
          <w:rFonts w:ascii="Calibri" w:eastAsia="MS Mincho" w:hAnsi="Calibri"/>
        </w:rPr>
      </w:pPr>
      <w:r w:rsidRPr="001B4F95">
        <w:rPr>
          <w:rFonts w:ascii="Calibri" w:eastAsia="MS Mincho" w:hAnsi="Calibri"/>
        </w:rPr>
        <w:t>Vaikuttaminen olisi säännösluonnoksen 4. kohdan mukaan</w:t>
      </w:r>
      <w:r w:rsidR="003E7D6F">
        <w:rPr>
          <w:rFonts w:ascii="Calibri" w:eastAsia="MS Mincho" w:hAnsi="Calibri"/>
        </w:rPr>
        <w:t xml:space="preserve"> lisäksi</w:t>
      </w:r>
      <w:r w:rsidRPr="001B4F95">
        <w:rPr>
          <w:rFonts w:ascii="Calibri" w:eastAsia="MS Mincho" w:hAnsi="Calibri"/>
        </w:rPr>
        <w:t xml:space="preserve"> epäasiallista, jos siinä oikeudettomasti salattaisiin virkamieheltä tai kansanedustajalta vaikuttamista koskeva toimeksianto tai siihen liittyvä palkkio. </w:t>
      </w:r>
      <w:proofErr w:type="spellStart"/>
      <w:r w:rsidRPr="001B4F95">
        <w:rPr>
          <w:rFonts w:ascii="Calibri" w:eastAsia="MS Mincho" w:hAnsi="Calibri"/>
        </w:rPr>
        <w:t>Oikeudettomuus</w:t>
      </w:r>
      <w:proofErr w:type="spellEnd"/>
      <w:r w:rsidRPr="001B4F95">
        <w:rPr>
          <w:rFonts w:ascii="Calibri" w:eastAsia="MS Mincho" w:hAnsi="Calibri"/>
        </w:rPr>
        <w:t>-kriteerin soveltamisen kannalta olisi tällaisessa tilanteessa merkitystä muun muassa sillä, kuuluvatko toimeksianto ja/tai palkkio li</w:t>
      </w:r>
      <w:r w:rsidR="009912D3">
        <w:rPr>
          <w:rFonts w:ascii="Calibri" w:eastAsia="MS Mincho" w:hAnsi="Calibri"/>
        </w:rPr>
        <w:t>i</w:t>
      </w:r>
      <w:r w:rsidRPr="001B4F95">
        <w:rPr>
          <w:rFonts w:ascii="Calibri" w:eastAsia="MS Mincho" w:hAnsi="Calibri"/>
        </w:rPr>
        <w:t xml:space="preserve">ke- tai ammattisalaisuuden piiriin. Vastaus tähän kysymykseen ei ole ainakaan ilman muuta kielteinen, joten </w:t>
      </w:r>
      <w:proofErr w:type="spellStart"/>
      <w:r w:rsidRPr="001B4F95">
        <w:rPr>
          <w:rFonts w:ascii="Calibri" w:eastAsia="MS Mincho" w:hAnsi="Calibri"/>
        </w:rPr>
        <w:t>oikeudettomuuden</w:t>
      </w:r>
      <w:proofErr w:type="spellEnd"/>
      <w:r w:rsidRPr="001B4F95">
        <w:rPr>
          <w:rFonts w:ascii="Calibri" w:eastAsia="MS Mincho" w:hAnsi="Calibri"/>
        </w:rPr>
        <w:t xml:space="preserve"> merkitys jäisi tältä osin verraten suppeaksi tai ainakin melko tulkinnanvaraiseksi. Ylipäänsä 4. kohta vaikuttaa epäasiallisen menettelyn yksittäisenä kriteerinä suhteellisen </w:t>
      </w:r>
      <w:proofErr w:type="spellStart"/>
      <w:r w:rsidRPr="001B4F95">
        <w:rPr>
          <w:rFonts w:ascii="Calibri" w:eastAsia="MS Mincho" w:hAnsi="Calibri"/>
        </w:rPr>
        <w:t>epärelevantilta</w:t>
      </w:r>
      <w:proofErr w:type="spellEnd"/>
      <w:r w:rsidRPr="001B4F95">
        <w:rPr>
          <w:rFonts w:ascii="Calibri" w:eastAsia="MS Mincho" w:hAnsi="Calibri"/>
        </w:rPr>
        <w:t>, eikä se ilmeisesti erityisen olennaisesti selventäisi raja hyväksyttävään edunvalvontaan.</w:t>
      </w:r>
    </w:p>
    <w:p w:rsidR="00B9684E" w:rsidRDefault="00B9684E" w:rsidP="008666E9">
      <w:pPr>
        <w:widowControl w:val="0"/>
        <w:autoSpaceDE w:val="0"/>
        <w:autoSpaceDN w:val="0"/>
        <w:adjustRightInd w:val="0"/>
        <w:spacing w:after="0"/>
        <w:ind w:left="714"/>
        <w:jc w:val="both"/>
        <w:rPr>
          <w:rFonts w:ascii="Calibri" w:eastAsia="MS Mincho" w:hAnsi="Calibri"/>
        </w:rPr>
      </w:pPr>
    </w:p>
    <w:p w:rsidR="00B9684E" w:rsidRPr="001B4F95" w:rsidRDefault="00B9684E" w:rsidP="00B9684E">
      <w:pPr>
        <w:widowControl w:val="0"/>
        <w:autoSpaceDE w:val="0"/>
        <w:autoSpaceDN w:val="0"/>
        <w:adjustRightInd w:val="0"/>
        <w:spacing w:after="0"/>
        <w:ind w:left="714"/>
        <w:jc w:val="both"/>
        <w:rPr>
          <w:rFonts w:ascii="Calibri" w:eastAsia="MS Mincho" w:hAnsi="Calibri"/>
        </w:rPr>
      </w:pPr>
      <w:r w:rsidRPr="001B4F95">
        <w:rPr>
          <w:rFonts w:ascii="Calibri" w:eastAsia="MS Mincho" w:hAnsi="Calibri"/>
        </w:rPr>
        <w:t>Säännöksen johtolaus</w:t>
      </w:r>
      <w:r>
        <w:rPr>
          <w:rFonts w:ascii="Calibri" w:eastAsia="MS Mincho" w:hAnsi="Calibri"/>
        </w:rPr>
        <w:t>e</w:t>
      </w:r>
      <w:r w:rsidRPr="001B4F95">
        <w:rPr>
          <w:rFonts w:ascii="Calibri" w:eastAsia="MS Mincho" w:hAnsi="Calibri"/>
        </w:rPr>
        <w:t>essa käytettyä konditionaali</w:t>
      </w:r>
      <w:r>
        <w:rPr>
          <w:rFonts w:ascii="Calibri" w:eastAsia="MS Mincho" w:hAnsi="Calibri"/>
        </w:rPr>
        <w:t>muoto</w:t>
      </w:r>
      <w:r w:rsidRPr="001B4F95">
        <w:rPr>
          <w:rFonts w:ascii="Calibri" w:eastAsia="MS Mincho" w:hAnsi="Calibri"/>
        </w:rPr>
        <w:t xml:space="preserve">a (“vaikuttaminen olisi epäasiallista”) selkeämpi ja lakitekstiin paremmin soveltuva olisi indikatiivimuoto: </w:t>
      </w:r>
      <w:r w:rsidRPr="001B4F95">
        <w:rPr>
          <w:rFonts w:ascii="Calibri" w:eastAsia="MS Mincho" w:hAnsi="Calibri"/>
          <w:i/>
        </w:rPr>
        <w:t>vaikuttaminen on epäasiallista</w:t>
      </w:r>
      <w:r w:rsidRPr="001B4F95">
        <w:rPr>
          <w:rFonts w:ascii="Calibri" w:eastAsia="MS Mincho" w:hAnsi="Calibri"/>
        </w:rPr>
        <w:t>.</w:t>
      </w:r>
    </w:p>
    <w:p w:rsidR="001B4F95" w:rsidRPr="001B4F95" w:rsidRDefault="001B4F95" w:rsidP="008666E9">
      <w:pPr>
        <w:widowControl w:val="0"/>
        <w:autoSpaceDE w:val="0"/>
        <w:autoSpaceDN w:val="0"/>
        <w:adjustRightInd w:val="0"/>
        <w:spacing w:after="0"/>
        <w:ind w:left="714"/>
        <w:jc w:val="both"/>
        <w:rPr>
          <w:rFonts w:ascii="Calibri" w:eastAsia="MS Mincho" w:hAnsi="Calibri"/>
        </w:rPr>
      </w:pPr>
    </w:p>
    <w:p w:rsidR="001B4F95" w:rsidRPr="001B4F95" w:rsidRDefault="001B4F95" w:rsidP="008666E9">
      <w:pPr>
        <w:widowControl w:val="0"/>
        <w:autoSpaceDE w:val="0"/>
        <w:autoSpaceDN w:val="0"/>
        <w:adjustRightInd w:val="0"/>
        <w:spacing w:after="0"/>
        <w:jc w:val="both"/>
        <w:rPr>
          <w:rFonts w:ascii="Calibri" w:eastAsia="MS Mincho" w:hAnsi="Calibri"/>
          <w:i/>
        </w:rPr>
      </w:pPr>
      <w:r w:rsidRPr="001B4F95">
        <w:rPr>
          <w:rFonts w:ascii="Calibri" w:eastAsia="MS Mincho" w:hAnsi="Calibri"/>
          <w:i/>
        </w:rPr>
        <w:t>Oikeushenkilön rangaistusvastuu</w:t>
      </w:r>
    </w:p>
    <w:p w:rsidR="001B4F95" w:rsidRPr="001B4F95" w:rsidRDefault="001B4F95" w:rsidP="008666E9">
      <w:pPr>
        <w:widowControl w:val="0"/>
        <w:autoSpaceDE w:val="0"/>
        <w:autoSpaceDN w:val="0"/>
        <w:adjustRightInd w:val="0"/>
        <w:spacing w:after="0"/>
        <w:ind w:left="714"/>
        <w:jc w:val="both"/>
        <w:rPr>
          <w:rFonts w:ascii="Calibri" w:eastAsia="MS Mincho" w:hAnsi="Calibri"/>
        </w:rPr>
      </w:pPr>
    </w:p>
    <w:p w:rsidR="001B4F95" w:rsidRPr="001B4F95" w:rsidRDefault="001B4F95" w:rsidP="008666E9">
      <w:pPr>
        <w:spacing w:after="0"/>
        <w:ind w:left="714"/>
        <w:jc w:val="both"/>
        <w:rPr>
          <w:rFonts w:ascii="Calibri" w:eastAsia="Times New Roman" w:hAnsi="Calibri" w:cs="Times New Roman"/>
        </w:rPr>
      </w:pPr>
      <w:r w:rsidRPr="001B4F95">
        <w:rPr>
          <w:rFonts w:ascii="Calibri" w:eastAsia="Times New Roman" w:hAnsi="Calibri" w:cs="Times New Roman"/>
        </w:rPr>
        <w:t>Lakiluonnoksen 16 luvun 18 §:n mukaan vaikutusvallan kauppaamisrikokseen sovellettaisiin oikeushenkilön rangaistusvastuuta. Ehdotuksen taustalla on yhteisövastuuta määrittelevä yleissopimuksen 18(1) artikla, jonka mukaan kukin sopimuspuoli ryhtyy tarvittaviin lainsäädännöllisiin ja muihin toimenpiteisiin varmistaakseen, että oikeushenkilö voidaan asettaa vastuuseen muun muassa vaikutusvallan väärinkäytöstä. Tältäkin kannalta oikeushenkilön rangaistusvastuuta koskevaa säännöstä voidaan pitää perusteltuna.</w:t>
      </w:r>
    </w:p>
    <w:p w:rsidR="001B4F95" w:rsidRPr="001B4F95" w:rsidRDefault="001B4F95" w:rsidP="008666E9">
      <w:pPr>
        <w:widowControl w:val="0"/>
        <w:autoSpaceDE w:val="0"/>
        <w:autoSpaceDN w:val="0"/>
        <w:adjustRightInd w:val="0"/>
        <w:spacing w:after="0"/>
        <w:ind w:left="714"/>
        <w:jc w:val="both"/>
        <w:rPr>
          <w:rFonts w:ascii="Calibri" w:eastAsia="MS Mincho" w:hAnsi="Calibri" w:cs="†®Úøï'4EÎ"/>
        </w:rPr>
      </w:pPr>
    </w:p>
    <w:p w:rsidR="00507A11" w:rsidRDefault="00507A11" w:rsidP="008666E9">
      <w:pPr>
        <w:ind w:left="714"/>
        <w:jc w:val="both"/>
      </w:pPr>
    </w:p>
    <w:sectPr w:rsidR="00507A11" w:rsidSect="008666E9">
      <w:headerReference w:type="default" r:id="rId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B0" w:rsidRDefault="006146B0" w:rsidP="008666E9">
      <w:pPr>
        <w:spacing w:after="0" w:line="240" w:lineRule="auto"/>
      </w:pPr>
      <w:r>
        <w:separator/>
      </w:r>
    </w:p>
  </w:endnote>
  <w:endnote w:type="continuationSeparator" w:id="0">
    <w:p w:rsidR="006146B0" w:rsidRDefault="006146B0" w:rsidP="0086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otisSerif">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Úøï'4EÎ">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B0" w:rsidRDefault="006146B0" w:rsidP="008666E9">
      <w:pPr>
        <w:spacing w:after="0" w:line="240" w:lineRule="auto"/>
      </w:pPr>
      <w:r>
        <w:separator/>
      </w:r>
    </w:p>
  </w:footnote>
  <w:footnote w:type="continuationSeparator" w:id="0">
    <w:p w:rsidR="006146B0" w:rsidRDefault="006146B0" w:rsidP="0086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702163"/>
      <w:docPartObj>
        <w:docPartGallery w:val="Page Numbers (Top of Page)"/>
        <w:docPartUnique/>
      </w:docPartObj>
    </w:sdtPr>
    <w:sdtEndPr>
      <w:rPr>
        <w:noProof/>
      </w:rPr>
    </w:sdtEndPr>
    <w:sdtContent>
      <w:p w:rsidR="008666E9" w:rsidRDefault="008666E9">
        <w:pPr>
          <w:pStyle w:val="Header"/>
          <w:jc w:val="center"/>
        </w:pPr>
        <w:r>
          <w:fldChar w:fldCharType="begin"/>
        </w:r>
        <w:r>
          <w:instrText xml:space="preserve"> PAGE   \* MERGEFORMAT </w:instrText>
        </w:r>
        <w:r>
          <w:fldChar w:fldCharType="separate"/>
        </w:r>
        <w:r w:rsidR="00746326">
          <w:rPr>
            <w:noProof/>
          </w:rPr>
          <w:t>3</w:t>
        </w:r>
        <w:r>
          <w:rPr>
            <w:noProof/>
          </w:rPr>
          <w:fldChar w:fldCharType="end"/>
        </w:r>
      </w:p>
    </w:sdtContent>
  </w:sdt>
  <w:p w:rsidR="008666E9" w:rsidRDefault="00866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95"/>
    <w:rsid w:val="001B4F95"/>
    <w:rsid w:val="002107C0"/>
    <w:rsid w:val="00231FE1"/>
    <w:rsid w:val="00265641"/>
    <w:rsid w:val="003E7D6F"/>
    <w:rsid w:val="00507A11"/>
    <w:rsid w:val="006146B0"/>
    <w:rsid w:val="0062754F"/>
    <w:rsid w:val="00746326"/>
    <w:rsid w:val="007C1BAB"/>
    <w:rsid w:val="007D7139"/>
    <w:rsid w:val="008448C6"/>
    <w:rsid w:val="008666E9"/>
    <w:rsid w:val="009912D3"/>
    <w:rsid w:val="00B9684E"/>
    <w:rsid w:val="00BF6382"/>
    <w:rsid w:val="00CC5B24"/>
    <w:rsid w:val="00F47F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E3EE-5429-44DB-B440-B873095A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RotisSerif"/>
        <w:color w:val="000000"/>
        <w:sz w:val="24"/>
        <w:szCs w:val="24"/>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A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
    <w:basedOn w:val="Normal"/>
    <w:link w:val="FootnoteTextChar"/>
    <w:uiPriority w:val="99"/>
    <w:semiHidden/>
    <w:rsid w:val="00CC5B24"/>
    <w:pPr>
      <w:spacing w:after="0" w:line="240" w:lineRule="auto"/>
    </w:pPr>
    <w:rPr>
      <w:rFonts w:eastAsia="Times New Roman" w:cs="Arial"/>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semiHidden/>
    <w:rsid w:val="00CC5B24"/>
    <w:rPr>
      <w:rFonts w:asciiTheme="minorHAnsi" w:eastAsia="Times New Roman" w:hAnsiTheme="minorHAnsi" w:cs="Arial"/>
      <w:sz w:val="20"/>
    </w:rPr>
  </w:style>
  <w:style w:type="paragraph" w:styleId="Header">
    <w:name w:val="header"/>
    <w:basedOn w:val="Normal"/>
    <w:link w:val="HeaderChar"/>
    <w:uiPriority w:val="99"/>
    <w:unhideWhenUsed/>
    <w:rsid w:val="008666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666E9"/>
  </w:style>
  <w:style w:type="paragraph" w:styleId="Footer">
    <w:name w:val="footer"/>
    <w:basedOn w:val="Normal"/>
    <w:link w:val="FooterChar"/>
    <w:uiPriority w:val="99"/>
    <w:unhideWhenUsed/>
    <w:rsid w:val="008666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6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640</Words>
  <Characters>5188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omaenpaa</dc:creator>
  <cp:keywords/>
  <dc:description/>
  <cp:lastModifiedBy>omaenpaa</cp:lastModifiedBy>
  <cp:revision>12</cp:revision>
  <dcterms:created xsi:type="dcterms:W3CDTF">2016-08-17T12:59:00Z</dcterms:created>
  <dcterms:modified xsi:type="dcterms:W3CDTF">2016-08-22T11:54:00Z</dcterms:modified>
</cp:coreProperties>
</file>