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3521C2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3521C2" w:rsidRDefault="00916620" w:rsidP="0055407A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3521C2" w:rsidRDefault="00916620" w:rsidP="0055407A">
            <w:pPr>
              <w:pStyle w:val="Normaali9pt"/>
              <w:rPr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3521C2" w:rsidRDefault="00916620" w:rsidP="0055407A">
            <w:pPr>
              <w:pStyle w:val="Normaali9pt"/>
            </w:pPr>
          </w:p>
        </w:tc>
      </w:tr>
      <w:tr w:rsidR="00FE355C" w:rsidRPr="003521C2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</w:tr>
      <w:tr w:rsidR="00FE355C" w:rsidRPr="003521C2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</w:tr>
      <w:tr w:rsidR="00FE355C" w:rsidRPr="003521C2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3521C2" w:rsidP="002848FB">
            <w:pPr>
              <w:pStyle w:val="Normaali9pt"/>
            </w:pPr>
            <w:r w:rsidRPr="003521C2">
              <w:t>1</w:t>
            </w:r>
            <w:r w:rsidR="002848FB">
              <w:t>9</w:t>
            </w:r>
            <w:r w:rsidR="00C16571" w:rsidRPr="003521C2">
              <w:t>.</w:t>
            </w:r>
            <w:r w:rsidR="00937077">
              <w:t>9</w:t>
            </w:r>
            <w:r w:rsidR="00C16571" w:rsidRPr="003521C2">
              <w:t>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0278B" w:rsidP="0055407A">
            <w:pPr>
              <w:pStyle w:val="Normaali9pt"/>
            </w:pPr>
            <w:r w:rsidRPr="003521C2">
              <w:t>LVM/</w:t>
            </w:r>
            <w:r w:rsidR="00937077">
              <w:t>1668</w:t>
            </w:r>
            <w:r w:rsidRPr="003521C2">
              <w:t>/0</w:t>
            </w:r>
            <w:r w:rsidR="00937077">
              <w:t>2</w:t>
            </w:r>
            <w:r w:rsidRPr="003521C2">
              <w:t>/2018</w:t>
            </w:r>
          </w:p>
        </w:tc>
      </w:tr>
      <w:tr w:rsidR="00FE355C" w:rsidRPr="003521C2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>
            <w:pPr>
              <w:pStyle w:val="Normaali9pt"/>
            </w:pPr>
          </w:p>
        </w:tc>
      </w:tr>
      <w:tr w:rsidR="00FE355C" w:rsidRPr="003521C2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376F8" w:rsidP="0055407A">
            <w:r>
              <w:t>Åsa Larsson Blind</w:t>
            </w:r>
          </w:p>
        </w:tc>
      </w:tr>
      <w:tr w:rsidR="00FE355C" w:rsidRPr="003521C2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C16571" w:rsidP="0055407A">
            <w:r w:rsidRPr="003521C2">
              <w:t>Puheenjohtaja</w:t>
            </w:r>
          </w:p>
        </w:tc>
      </w:tr>
      <w:tr w:rsidR="00FE355C" w:rsidRPr="003521C2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C16571" w:rsidP="0055407A">
            <w:r w:rsidRPr="003521C2">
              <w:t>Saamelais</w:t>
            </w:r>
            <w:r w:rsidR="00F376F8">
              <w:t>neuvosto</w:t>
            </w:r>
          </w:p>
        </w:tc>
      </w:tr>
      <w:tr w:rsidR="00FE355C" w:rsidRPr="003521C2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3521C2" w:rsidRDefault="00FE355C" w:rsidP="0055407A"/>
        </w:tc>
      </w:tr>
      <w:tr w:rsidR="00CD249F" w:rsidRPr="003521C2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3521C2" w:rsidRDefault="00CD249F" w:rsidP="0055407A"/>
        </w:tc>
      </w:tr>
    </w:tbl>
    <w:p w:rsidR="000E60B6" w:rsidRPr="003521C2" w:rsidRDefault="000E60B6" w:rsidP="0055407A">
      <w:pPr>
        <w:sectPr w:rsidR="000E60B6" w:rsidRPr="003521C2" w:rsidSect="004804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0E60B6" w:rsidRPr="003521C2" w:rsidRDefault="00C16571" w:rsidP="0055407A">
      <w:pPr>
        <w:pStyle w:val="Leipteksti"/>
        <w:ind w:left="0"/>
      </w:pPr>
      <w:r w:rsidRPr="003521C2">
        <w:rPr>
          <w:rFonts w:asciiTheme="majorHAnsi" w:eastAsiaTheme="majorEastAsia" w:hAnsiTheme="majorHAnsi" w:cstheme="majorHAnsi"/>
          <w:b/>
          <w:kern w:val="28"/>
          <w:szCs w:val="52"/>
        </w:rPr>
        <w:t>Saamelais</w:t>
      </w:r>
      <w:r w:rsidR="00F376F8">
        <w:rPr>
          <w:rFonts w:asciiTheme="majorHAnsi" w:eastAsiaTheme="majorEastAsia" w:hAnsiTheme="majorHAnsi" w:cstheme="majorHAnsi"/>
          <w:b/>
          <w:kern w:val="28"/>
          <w:szCs w:val="52"/>
        </w:rPr>
        <w:t>neuvoston</w:t>
      </w:r>
      <w:r w:rsidR="005F663A">
        <w:rPr>
          <w:rFonts w:asciiTheme="majorHAnsi" w:eastAsiaTheme="majorEastAsia" w:hAnsiTheme="majorHAnsi" w:cstheme="majorHAnsi"/>
          <w:b/>
          <w:kern w:val="28"/>
          <w:szCs w:val="52"/>
        </w:rPr>
        <w:t xml:space="preserve"> kirje S</w:t>
      </w:r>
      <w:r w:rsidRPr="003521C2">
        <w:rPr>
          <w:rFonts w:asciiTheme="majorHAnsi" w:eastAsiaTheme="majorEastAsia" w:hAnsiTheme="majorHAnsi" w:cstheme="majorHAnsi"/>
          <w:b/>
          <w:kern w:val="28"/>
          <w:szCs w:val="52"/>
        </w:rPr>
        <w:t xml:space="preserve">uomen ja Norjan </w:t>
      </w:r>
      <w:r w:rsidR="005F663A">
        <w:rPr>
          <w:rFonts w:asciiTheme="majorHAnsi" w:eastAsiaTheme="majorEastAsia" w:hAnsiTheme="majorHAnsi" w:cstheme="majorHAnsi"/>
          <w:b/>
          <w:kern w:val="28"/>
          <w:szCs w:val="52"/>
        </w:rPr>
        <w:t>l</w:t>
      </w:r>
      <w:r w:rsidR="00426917">
        <w:rPr>
          <w:rFonts w:asciiTheme="majorHAnsi" w:eastAsiaTheme="majorEastAsia" w:hAnsiTheme="majorHAnsi" w:cstheme="majorHAnsi"/>
          <w:b/>
          <w:kern w:val="28"/>
          <w:szCs w:val="52"/>
        </w:rPr>
        <w:t>iiken</w:t>
      </w:r>
      <w:r w:rsidR="005F663A">
        <w:rPr>
          <w:rFonts w:asciiTheme="majorHAnsi" w:eastAsiaTheme="majorEastAsia" w:hAnsiTheme="majorHAnsi" w:cstheme="majorHAnsi"/>
          <w:b/>
          <w:kern w:val="28"/>
          <w:szCs w:val="52"/>
        </w:rPr>
        <w:t>n</w:t>
      </w:r>
      <w:r w:rsidR="00426917">
        <w:rPr>
          <w:rFonts w:asciiTheme="majorHAnsi" w:eastAsiaTheme="majorEastAsia" w:hAnsiTheme="majorHAnsi" w:cstheme="majorHAnsi"/>
          <w:b/>
          <w:kern w:val="28"/>
          <w:szCs w:val="52"/>
        </w:rPr>
        <w:t>e</w:t>
      </w:r>
      <w:r w:rsidR="005F663A">
        <w:rPr>
          <w:rFonts w:asciiTheme="majorHAnsi" w:eastAsiaTheme="majorEastAsia" w:hAnsiTheme="majorHAnsi" w:cstheme="majorHAnsi"/>
          <w:b/>
          <w:kern w:val="28"/>
          <w:szCs w:val="52"/>
        </w:rPr>
        <w:t xml:space="preserve">- ja viestintäministereille liittyen </w:t>
      </w:r>
      <w:r w:rsidRPr="003521C2">
        <w:rPr>
          <w:rFonts w:asciiTheme="majorHAnsi" w:eastAsiaTheme="majorEastAsia" w:hAnsiTheme="majorHAnsi" w:cstheme="majorHAnsi"/>
          <w:b/>
          <w:kern w:val="28"/>
          <w:szCs w:val="52"/>
        </w:rPr>
        <w:t>Jäämeren ra</w:t>
      </w:r>
      <w:r w:rsidR="005F663A">
        <w:rPr>
          <w:rFonts w:asciiTheme="majorHAnsi" w:eastAsiaTheme="majorEastAsia" w:hAnsiTheme="majorHAnsi" w:cstheme="majorHAnsi"/>
          <w:b/>
          <w:kern w:val="28"/>
          <w:szCs w:val="52"/>
        </w:rPr>
        <w:t>da</w:t>
      </w:r>
      <w:r w:rsidRPr="003521C2">
        <w:rPr>
          <w:rFonts w:asciiTheme="majorHAnsi" w:eastAsiaTheme="majorEastAsia" w:hAnsiTheme="majorHAnsi" w:cstheme="majorHAnsi"/>
          <w:b/>
          <w:kern w:val="28"/>
          <w:szCs w:val="52"/>
        </w:rPr>
        <w:t>n jatkoselvittämis</w:t>
      </w:r>
      <w:r w:rsidR="005F663A">
        <w:rPr>
          <w:rFonts w:asciiTheme="majorHAnsi" w:eastAsiaTheme="majorEastAsia" w:hAnsiTheme="majorHAnsi" w:cstheme="majorHAnsi"/>
          <w:b/>
          <w:kern w:val="28"/>
          <w:szCs w:val="52"/>
        </w:rPr>
        <w:t>een</w:t>
      </w:r>
    </w:p>
    <w:p w:rsidR="00E56509" w:rsidRPr="003521C2" w:rsidRDefault="00E56509" w:rsidP="0055407A">
      <w:pPr>
        <w:pStyle w:val="Leipteksti"/>
      </w:pPr>
    </w:p>
    <w:p w:rsidR="003521C2" w:rsidRDefault="00C16571" w:rsidP="0055407A">
      <w:pPr>
        <w:pStyle w:val="Leipteksti"/>
      </w:pPr>
      <w:r w:rsidRPr="003521C2">
        <w:t>Saamelais</w:t>
      </w:r>
      <w:r w:rsidR="005F663A">
        <w:t>neuvosto</w:t>
      </w:r>
      <w:r w:rsidRPr="003521C2">
        <w:t xml:space="preserve"> on </w:t>
      </w:r>
      <w:r w:rsidR="0055407A">
        <w:t>Suomen ja Norjan liikenne- ja viestintäministereille</w:t>
      </w:r>
      <w:r w:rsidR="0055407A" w:rsidRPr="003521C2">
        <w:t xml:space="preserve"> </w:t>
      </w:r>
      <w:r w:rsidR="0055407A">
        <w:t>lähettämällään kirjeellä</w:t>
      </w:r>
      <w:r w:rsidRPr="003521C2">
        <w:t xml:space="preserve"> </w:t>
      </w:r>
      <w:r w:rsidR="005F663A">
        <w:t>1</w:t>
      </w:r>
      <w:r w:rsidR="005F663A" w:rsidRPr="003521C2">
        <w:t>2.</w:t>
      </w:r>
      <w:r w:rsidR="005F663A">
        <w:t>9</w:t>
      </w:r>
      <w:r w:rsidR="005F663A" w:rsidRPr="003521C2">
        <w:t xml:space="preserve">.2018 </w:t>
      </w:r>
      <w:r w:rsidR="005F663A">
        <w:t>ilmaissut huolensa mahdollisen Jäämerenradan selvittelytyön</w:t>
      </w:r>
      <w:r w:rsidR="0055407A">
        <w:t xml:space="preserve"> jatkumisesta ja</w:t>
      </w:r>
      <w:r w:rsidR="005F663A">
        <w:t xml:space="preserve"> </w:t>
      </w:r>
      <w:r w:rsidR="0055407A">
        <w:t xml:space="preserve">pyytänyt </w:t>
      </w:r>
      <w:r w:rsidR="005F663A">
        <w:t>kiinnittä</w:t>
      </w:r>
      <w:r w:rsidR="0055407A">
        <w:t>mään</w:t>
      </w:r>
      <w:r w:rsidR="005F663A">
        <w:t xml:space="preserve"> erityistä huomiota saamelaiskulttuu</w:t>
      </w:r>
      <w:r w:rsidR="0055407A">
        <w:t>rin erityis</w:t>
      </w:r>
      <w:r w:rsidR="005F663A">
        <w:t>piireisiin ja</w:t>
      </w:r>
      <w:r w:rsidR="0055407A">
        <w:t xml:space="preserve"> elinkeinoihin. Tähän liittyen </w:t>
      </w:r>
      <w:r w:rsidR="00E520EE">
        <w:t>S</w:t>
      </w:r>
      <w:r w:rsidR="0055407A">
        <w:t>aamelaisneuvosto on</w:t>
      </w:r>
      <w:r w:rsidR="005F663A">
        <w:t xml:space="preserve"> pyytänyt </w:t>
      </w:r>
      <w:r w:rsidR="0055407A">
        <w:t xml:space="preserve">aloittamaan välittömästi mahdollisen rautatien rakentamisen </w:t>
      </w:r>
      <w:r w:rsidR="005F663A">
        <w:t>vaikutu</w:t>
      </w:r>
      <w:r w:rsidR="0055407A">
        <w:t xml:space="preserve">sten arvioinnin siten, että saamelaisneuvoston  ja saamelaisten oikeudenomistajien </w:t>
      </w:r>
      <w:r w:rsidR="00821BE7">
        <w:t>todellinen ja asianmukain</w:t>
      </w:r>
      <w:r w:rsidR="00821BE7" w:rsidRPr="003521C2">
        <w:t xml:space="preserve">en </w:t>
      </w:r>
      <w:r w:rsidR="0055407A">
        <w:t>osallistuminen hankkeen selvitystyöhön on mahdollista.</w:t>
      </w:r>
    </w:p>
    <w:p w:rsidR="003521C2" w:rsidRDefault="003521C2" w:rsidP="0055407A">
      <w:pPr>
        <w:pStyle w:val="Leipteksti"/>
      </w:pPr>
    </w:p>
    <w:p w:rsidR="00426917" w:rsidRDefault="00C16571" w:rsidP="00821BE7">
      <w:pPr>
        <w:pStyle w:val="Leipteksti"/>
      </w:pPr>
      <w:r w:rsidRPr="003521C2">
        <w:t>Liikenne</w:t>
      </w:r>
      <w:r w:rsidR="00CD47C2" w:rsidRPr="003521C2">
        <w:t>-</w:t>
      </w:r>
      <w:r w:rsidRPr="003521C2">
        <w:t xml:space="preserve"> ja viestintäministeriö </w:t>
      </w:r>
      <w:r w:rsidR="0055407A">
        <w:t xml:space="preserve">on </w:t>
      </w:r>
      <w:r w:rsidRPr="003521C2">
        <w:t>otta</w:t>
      </w:r>
      <w:r w:rsidR="0055407A">
        <w:t xml:space="preserve">nut </w:t>
      </w:r>
      <w:r w:rsidR="002858B4">
        <w:t xml:space="preserve">saamelaisiin liittyvät kysymykset erityisen huomion kohteeksi </w:t>
      </w:r>
      <w:r w:rsidR="00E520EE">
        <w:t xml:space="preserve">toukokuussa 2018 aloittaneen </w:t>
      </w:r>
      <w:r w:rsidR="0055407A">
        <w:t>Jäämeren radan jatkoselvitystyötä tekevän suomalais-norjalaisen työryhmän työssä</w:t>
      </w:r>
      <w:r w:rsidR="002858B4">
        <w:t>.</w:t>
      </w:r>
      <w:r w:rsidR="0055407A">
        <w:t xml:space="preserve"> </w:t>
      </w:r>
      <w:r w:rsidR="00426917">
        <w:t>Hankkeen</w:t>
      </w:r>
      <w:r w:rsidR="00821BE7" w:rsidRPr="00821BE7">
        <w:t xml:space="preserve"> ohjausryhmän alaisuuteen </w:t>
      </w:r>
      <w:r w:rsidR="00426917">
        <w:t xml:space="preserve">on perustettu </w:t>
      </w:r>
      <w:r w:rsidR="00426917" w:rsidRPr="00821BE7">
        <w:t>alkuperäiskansoihin liittyviä kysymyksiä käsit</w:t>
      </w:r>
      <w:r w:rsidR="00E520EE">
        <w:t>t</w:t>
      </w:r>
      <w:r w:rsidR="00426917" w:rsidRPr="00821BE7">
        <w:t>el</w:t>
      </w:r>
      <w:r w:rsidR="00E520EE">
        <w:t>ev</w:t>
      </w:r>
      <w:r w:rsidR="00426917" w:rsidRPr="00821BE7">
        <w:t xml:space="preserve">ä </w:t>
      </w:r>
      <w:r w:rsidR="00821BE7" w:rsidRPr="00821BE7">
        <w:t>alatyöryhmä</w:t>
      </w:r>
      <w:r w:rsidR="002858B4">
        <w:t xml:space="preserve">, joka </w:t>
      </w:r>
      <w:r w:rsidR="00821BE7">
        <w:t>tarkastel</w:t>
      </w:r>
      <w:r w:rsidR="002858B4">
        <w:t xml:space="preserve">ee </w:t>
      </w:r>
      <w:r w:rsidR="00426917">
        <w:t xml:space="preserve">sekä </w:t>
      </w:r>
      <w:r w:rsidR="00821BE7">
        <w:t>ympäristö</w:t>
      </w:r>
      <w:r w:rsidR="00426917">
        <w:t>asioita</w:t>
      </w:r>
      <w:r w:rsidR="00821BE7">
        <w:t xml:space="preserve"> että saamelaisiin liittyviä kysymyksiä.</w:t>
      </w:r>
    </w:p>
    <w:p w:rsidR="00426917" w:rsidRDefault="00426917" w:rsidP="00821BE7">
      <w:pPr>
        <w:pStyle w:val="Leipteksti"/>
      </w:pPr>
    </w:p>
    <w:p w:rsidR="00821BE7" w:rsidRDefault="00821BE7" w:rsidP="00821BE7">
      <w:pPr>
        <w:pStyle w:val="Leipteksti"/>
      </w:pPr>
      <w:r>
        <w:t>Alatyöryhmä selvittää muun muassa lakisääteisiä menettelyitä ja luonnonsuojelulainsäädäntöä. Ala</w:t>
      </w:r>
      <w:r w:rsidR="00426917">
        <w:t>työ</w:t>
      </w:r>
      <w:r>
        <w:t>ryhmä</w:t>
      </w:r>
      <w:r w:rsidR="00E520EE">
        <w:t xml:space="preserve">n työnä on </w:t>
      </w:r>
      <w:r>
        <w:t>selvittää, mitä tarvittavia toimia on tehtävä alkuperäiskansojen aseman turvaamiseksi, jotta Suomen perustuslain ja poronhoitolain edellyttämiä lakisääteisiä menettelyitä noudatetaan. Alatyöryhmä arvioi</w:t>
      </w:r>
      <w:r w:rsidR="00426917">
        <w:t xml:space="preserve"> </w:t>
      </w:r>
      <w:r w:rsidR="002858B4">
        <w:t xml:space="preserve">erityisesti </w:t>
      </w:r>
      <w:r>
        <w:t xml:space="preserve">myös sitä, kuinka alkuperäiskansojen osallistuminen voidaan taata käytännössä. </w:t>
      </w:r>
      <w:r w:rsidR="00426917">
        <w:t xml:space="preserve">Arvioidessaan </w:t>
      </w:r>
      <w:r>
        <w:t xml:space="preserve">vaikutuksia luontoon ja </w:t>
      </w:r>
      <w:r w:rsidR="00426917">
        <w:t>saamelaisiin</w:t>
      </w:r>
      <w:r>
        <w:t xml:space="preserve"> se hyödyntää nykyisiä tietoja luonnonympäristöstä ja esim</w:t>
      </w:r>
      <w:r w:rsidR="00E520EE">
        <w:t>erkiksi</w:t>
      </w:r>
      <w:r>
        <w:t xml:space="preserve"> Pohjois-Lapin maank</w:t>
      </w:r>
      <w:r w:rsidR="00426917">
        <w:t>untakaavatyön yhteydessä tehtäviä tutkimuksia</w:t>
      </w:r>
      <w:r>
        <w:t>.</w:t>
      </w:r>
    </w:p>
    <w:p w:rsidR="00426917" w:rsidRDefault="00426917" w:rsidP="00821BE7">
      <w:pPr>
        <w:pStyle w:val="Leipteksti"/>
      </w:pPr>
    </w:p>
    <w:p w:rsidR="00821BE7" w:rsidRDefault="00426917" w:rsidP="00821BE7">
      <w:pPr>
        <w:pStyle w:val="Leipteksti"/>
      </w:pPr>
      <w:r>
        <w:t>Myös Norjassa</w:t>
      </w:r>
      <w:r w:rsidR="00821BE7">
        <w:t xml:space="preserve"> </w:t>
      </w:r>
      <w:r>
        <w:t xml:space="preserve">toimitaan </w:t>
      </w:r>
      <w:r w:rsidR="00821BE7">
        <w:t>kansallis</w:t>
      </w:r>
      <w:r>
        <w:t>ten</w:t>
      </w:r>
      <w:r w:rsidR="00821BE7">
        <w:t xml:space="preserve"> lakisääteis</w:t>
      </w:r>
      <w:r w:rsidR="002848FB">
        <w:t>ten</w:t>
      </w:r>
      <w:bookmarkStart w:id="0" w:name="_GoBack"/>
      <w:bookmarkEnd w:id="0"/>
      <w:r w:rsidR="00821BE7">
        <w:t xml:space="preserve"> menettely</w:t>
      </w:r>
      <w:r>
        <w:t xml:space="preserve">iden </w:t>
      </w:r>
      <w:r w:rsidR="00821BE7">
        <w:t>ja lainsäädän</w:t>
      </w:r>
      <w:r>
        <w:t xml:space="preserve">nön mukaisesti. </w:t>
      </w:r>
      <w:r w:rsidR="00821BE7">
        <w:t>Ala</w:t>
      </w:r>
      <w:r w:rsidR="002858B4">
        <w:t>työ</w:t>
      </w:r>
      <w:r w:rsidR="00821BE7">
        <w:t xml:space="preserve">ryhmä </w:t>
      </w:r>
      <w:r>
        <w:t xml:space="preserve">selvittää myös </w:t>
      </w:r>
      <w:r w:rsidR="00821BE7">
        <w:t>kansainvälisten sopimusten lakisääteisiä menettelytapoja</w:t>
      </w:r>
      <w:r w:rsidR="00E520EE">
        <w:t xml:space="preserve"> (</w:t>
      </w:r>
      <w:r w:rsidR="00821BE7">
        <w:t>esim. Espoon yleissopimus, Suomen ja Norjan rajat ylittävä vesikomissio).</w:t>
      </w:r>
    </w:p>
    <w:p w:rsidR="00426917" w:rsidRDefault="00426917" w:rsidP="00821BE7">
      <w:pPr>
        <w:pStyle w:val="Leipteksti"/>
      </w:pPr>
    </w:p>
    <w:p w:rsidR="00C16571" w:rsidRPr="003521C2" w:rsidRDefault="00C16571" w:rsidP="0055407A">
      <w:pPr>
        <w:pStyle w:val="Leipteksti"/>
      </w:pPr>
      <w:r w:rsidRPr="003521C2">
        <w:t>Saamelaiskäräj</w:t>
      </w:r>
      <w:r w:rsidR="00CD47C2" w:rsidRPr="003521C2">
        <w:t xml:space="preserve">ien </w:t>
      </w:r>
      <w:r w:rsidR="00426917">
        <w:t>ja kolttien kyläkokouksen edustajat ovat jäseninä suomalais-norjalaisen selvitysryhmän ohjausryhmässä sekä jäseninä alatyöryhmissä. Lisäksi saamelais</w:t>
      </w:r>
      <w:r w:rsidRPr="003521C2">
        <w:t>paliskuntien</w:t>
      </w:r>
      <w:r w:rsidR="00CD47C2" w:rsidRPr="003521C2">
        <w:t xml:space="preserve"> edustaj</w:t>
      </w:r>
      <w:r w:rsidR="00426917">
        <w:t>a</w:t>
      </w:r>
      <w:r w:rsidR="00E520EE">
        <w:t>t</w:t>
      </w:r>
      <w:r w:rsidR="00426917">
        <w:t xml:space="preserve"> on kutsuttu hankkeen ohjausryhmään mukaan sen</w:t>
      </w:r>
      <w:r w:rsidR="00E520EE">
        <w:t xml:space="preserve"> varsinaisi</w:t>
      </w:r>
      <w:r w:rsidR="00EB131D" w:rsidRPr="003521C2">
        <w:t>ksi jäsen</w:t>
      </w:r>
      <w:r w:rsidR="00E520EE">
        <w:t>i</w:t>
      </w:r>
      <w:r w:rsidR="00EB131D" w:rsidRPr="003521C2">
        <w:t>ksi</w:t>
      </w:r>
      <w:r w:rsidR="00CD47C2" w:rsidRPr="003521C2">
        <w:t>.</w:t>
      </w:r>
    </w:p>
    <w:p w:rsidR="00C16571" w:rsidRPr="003521C2" w:rsidRDefault="00CD47C2" w:rsidP="0055407A">
      <w:pPr>
        <w:pStyle w:val="Leipteksti"/>
      </w:pPr>
      <w:r w:rsidRPr="003521C2">
        <w:t xml:space="preserve"> </w:t>
      </w:r>
    </w:p>
    <w:p w:rsidR="00C16571" w:rsidRPr="003521C2" w:rsidRDefault="00C16571" w:rsidP="0055407A">
      <w:pPr>
        <w:pStyle w:val="Leipteksti"/>
      </w:pPr>
    </w:p>
    <w:p w:rsidR="00E56509" w:rsidRPr="003521C2" w:rsidRDefault="00426917" w:rsidP="0055407A">
      <w:pPr>
        <w:pStyle w:val="Leipteksti"/>
      </w:pPr>
      <w:r>
        <w:lastRenderedPageBreak/>
        <w:t>Pidän erittäin tärkeänä, että</w:t>
      </w:r>
      <w:r w:rsidR="00EB131D" w:rsidRPr="003521C2">
        <w:t xml:space="preserve"> </w:t>
      </w:r>
      <w:r w:rsidR="00E520EE">
        <w:t>s</w:t>
      </w:r>
      <w:r w:rsidR="00EB131D" w:rsidRPr="003521C2">
        <w:t>aamelais</w:t>
      </w:r>
      <w:r w:rsidR="00E520EE">
        <w:t>ten edustajat, ml. Saamelaiskäräjät ja Kolttien kyläkokous ovat</w:t>
      </w:r>
      <w:r w:rsidR="00EB131D" w:rsidRPr="003521C2">
        <w:t xml:space="preserve"> tasavertaisina</w:t>
      </w:r>
      <w:r w:rsidR="00E520EE">
        <w:t xml:space="preserve"> ja</w:t>
      </w:r>
      <w:r w:rsidR="00EB131D" w:rsidRPr="003521C2">
        <w:t xml:space="preserve"> aidosti osallistumassa työryhmän jatkoselvitystyöhön.</w:t>
      </w:r>
    </w:p>
    <w:p w:rsidR="00EB131D" w:rsidRPr="003521C2" w:rsidRDefault="00EB131D" w:rsidP="0055407A">
      <w:pPr>
        <w:pStyle w:val="Leipteksti"/>
      </w:pPr>
    </w:p>
    <w:p w:rsidR="00EB131D" w:rsidRPr="003521C2" w:rsidRDefault="00EB131D" w:rsidP="0055407A">
      <w:pPr>
        <w:pStyle w:val="Leipteksti"/>
      </w:pPr>
    </w:p>
    <w:p w:rsidR="00E56509" w:rsidRPr="003521C2" w:rsidRDefault="00E56509" w:rsidP="0055407A">
      <w:pPr>
        <w:pStyle w:val="Leipteksti"/>
      </w:pPr>
    </w:p>
    <w:p w:rsidR="009F18EF" w:rsidRPr="003521C2" w:rsidRDefault="00426917" w:rsidP="0055407A">
      <w:pPr>
        <w:pStyle w:val="Leipteksti"/>
      </w:pPr>
      <w:r>
        <w:t>Anne Berner</w:t>
      </w:r>
    </w:p>
    <w:p w:rsidR="009F18EF" w:rsidRPr="003521C2" w:rsidRDefault="00426917" w:rsidP="0055407A">
      <w:pPr>
        <w:pStyle w:val="Leipteksti"/>
      </w:pPr>
      <w:r>
        <w:t xml:space="preserve">Liikenne- </w:t>
      </w:r>
      <w:r w:rsidR="00E520EE">
        <w:t>ja viesti</w:t>
      </w:r>
      <w:r>
        <w:t>n</w:t>
      </w:r>
      <w:r w:rsidR="00E520EE">
        <w:t>t</w:t>
      </w:r>
      <w:r>
        <w:t>äministeri</w:t>
      </w:r>
    </w:p>
    <w:p w:rsidR="009F18EF" w:rsidRPr="003521C2" w:rsidRDefault="009F18EF" w:rsidP="0055407A">
      <w:pPr>
        <w:pStyle w:val="Leipteksti"/>
      </w:pPr>
    </w:p>
    <w:p w:rsidR="009F18EF" w:rsidRPr="003521C2" w:rsidRDefault="009F18EF" w:rsidP="0055407A">
      <w:pPr>
        <w:pStyle w:val="Leipteksti"/>
      </w:pPr>
    </w:p>
    <w:p w:rsidR="009F18EF" w:rsidRPr="003521C2" w:rsidRDefault="009F18EF" w:rsidP="0055407A">
      <w:pPr>
        <w:pStyle w:val="Leipteksti"/>
      </w:pPr>
    </w:p>
    <w:p w:rsidR="009F18EF" w:rsidRPr="003521C2" w:rsidRDefault="009F18EF" w:rsidP="0055407A">
      <w:pPr>
        <w:pStyle w:val="Leipteksti"/>
        <w:rPr>
          <w:rStyle w:val="Sivunumero"/>
          <w:sz w:val="22"/>
        </w:rPr>
      </w:pPr>
    </w:p>
    <w:p w:rsidR="009F18EF" w:rsidRPr="003521C2" w:rsidRDefault="009F18EF" w:rsidP="0055407A">
      <w:pPr>
        <w:pStyle w:val="Leipteksti"/>
        <w:rPr>
          <w:rStyle w:val="Sivunumero"/>
          <w:sz w:val="22"/>
        </w:rPr>
      </w:pPr>
    </w:p>
    <w:p w:rsidR="009F18EF" w:rsidRPr="003521C2" w:rsidRDefault="009F18EF" w:rsidP="0055407A">
      <w:pPr>
        <w:pStyle w:val="Leipteksti"/>
        <w:rPr>
          <w:rStyle w:val="Sivunumero"/>
          <w:sz w:val="22"/>
        </w:rPr>
      </w:pPr>
    </w:p>
    <w:p w:rsidR="009F18EF" w:rsidRPr="003521C2" w:rsidRDefault="009F18EF" w:rsidP="0055407A">
      <w:pPr>
        <w:pStyle w:val="Leipteksti"/>
        <w:rPr>
          <w:rStyle w:val="Sivunumero"/>
          <w:sz w:val="22"/>
        </w:rPr>
      </w:pPr>
    </w:p>
    <w:sectPr w:rsidR="009F18EF" w:rsidRPr="003521C2" w:rsidSect="00480485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5E" w:rsidRDefault="000E675E">
      <w:r>
        <w:separator/>
      </w:r>
    </w:p>
  </w:endnote>
  <w:endnote w:type="continuationSeparator" w:id="0">
    <w:p w:rsidR="000E675E" w:rsidRDefault="000E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0E675E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F0278B">
      <w:t>Id</w:t>
    </w:r>
    <w:r>
      <w:fldChar w:fldCharType="end"/>
    </w:r>
    <w:r w:rsidR="00480485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F0278B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B94104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0E675E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F0278B">
      <w:t>Id</w:t>
    </w:r>
    <w:r>
      <w:fldChar w:fldCharType="end"/>
    </w:r>
    <w:r w:rsidR="00037954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F0278B">
      <w:t>Versionumero</w:t>
    </w:r>
    <w:r>
      <w:fldChar w:fldCharType="end"/>
    </w: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5E" w:rsidRDefault="000E675E">
      <w:r>
        <w:separator/>
      </w:r>
    </w:p>
  </w:footnote>
  <w:footnote w:type="continuationSeparator" w:id="0">
    <w:p w:rsidR="000E675E" w:rsidRDefault="000E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0278B">
      <w:rPr>
        <w:rStyle w:val="Sivunumero"/>
      </w:rPr>
      <w:t>3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848FB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848FB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CB3729">
    <w:pPr>
      <w:pStyle w:val="Yltunniste"/>
    </w:pPr>
    <w: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848FB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848FB">
      <w:rPr>
        <w:rStyle w:val="Sivunumero"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4446D"/>
    <w:rsid w:val="000660CE"/>
    <w:rsid w:val="00083F94"/>
    <w:rsid w:val="00084321"/>
    <w:rsid w:val="000959E2"/>
    <w:rsid w:val="000B20ED"/>
    <w:rsid w:val="000D096F"/>
    <w:rsid w:val="000E505E"/>
    <w:rsid w:val="000E60B6"/>
    <w:rsid w:val="000E675E"/>
    <w:rsid w:val="000F2157"/>
    <w:rsid w:val="000F277D"/>
    <w:rsid w:val="00140EF8"/>
    <w:rsid w:val="00146B2A"/>
    <w:rsid w:val="00150D84"/>
    <w:rsid w:val="001710DD"/>
    <w:rsid w:val="00186449"/>
    <w:rsid w:val="00193D34"/>
    <w:rsid w:val="001A132E"/>
    <w:rsid w:val="001A33A8"/>
    <w:rsid w:val="001D0C86"/>
    <w:rsid w:val="00210627"/>
    <w:rsid w:val="00251E53"/>
    <w:rsid w:val="00256C44"/>
    <w:rsid w:val="00280CFF"/>
    <w:rsid w:val="002848FB"/>
    <w:rsid w:val="002858B4"/>
    <w:rsid w:val="0029475C"/>
    <w:rsid w:val="002A1FBC"/>
    <w:rsid w:val="002C1927"/>
    <w:rsid w:val="002D334D"/>
    <w:rsid w:val="002D7A71"/>
    <w:rsid w:val="002E1EF6"/>
    <w:rsid w:val="002E635F"/>
    <w:rsid w:val="002F34C4"/>
    <w:rsid w:val="002F5C73"/>
    <w:rsid w:val="003221EF"/>
    <w:rsid w:val="00323503"/>
    <w:rsid w:val="003241A6"/>
    <w:rsid w:val="003323E0"/>
    <w:rsid w:val="003521C2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26917"/>
    <w:rsid w:val="00432AC3"/>
    <w:rsid w:val="00462488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5407A"/>
    <w:rsid w:val="00566AFC"/>
    <w:rsid w:val="0058659F"/>
    <w:rsid w:val="0059215F"/>
    <w:rsid w:val="0059738C"/>
    <w:rsid w:val="005A559B"/>
    <w:rsid w:val="005B4E1B"/>
    <w:rsid w:val="005C4A69"/>
    <w:rsid w:val="005C7446"/>
    <w:rsid w:val="005F663A"/>
    <w:rsid w:val="0063146D"/>
    <w:rsid w:val="00653640"/>
    <w:rsid w:val="006565EA"/>
    <w:rsid w:val="00657F29"/>
    <w:rsid w:val="0066014C"/>
    <w:rsid w:val="006760FA"/>
    <w:rsid w:val="006765B8"/>
    <w:rsid w:val="00677470"/>
    <w:rsid w:val="00684BB4"/>
    <w:rsid w:val="006B0639"/>
    <w:rsid w:val="006C7FE9"/>
    <w:rsid w:val="006E4F2E"/>
    <w:rsid w:val="006F1C67"/>
    <w:rsid w:val="006F4ECD"/>
    <w:rsid w:val="00701471"/>
    <w:rsid w:val="007078BA"/>
    <w:rsid w:val="007177C2"/>
    <w:rsid w:val="00732D08"/>
    <w:rsid w:val="0074332B"/>
    <w:rsid w:val="00744876"/>
    <w:rsid w:val="0077386C"/>
    <w:rsid w:val="00786285"/>
    <w:rsid w:val="007863D8"/>
    <w:rsid w:val="007922B7"/>
    <w:rsid w:val="007A3936"/>
    <w:rsid w:val="007A4F32"/>
    <w:rsid w:val="007A598C"/>
    <w:rsid w:val="007B3232"/>
    <w:rsid w:val="007D053C"/>
    <w:rsid w:val="007D631B"/>
    <w:rsid w:val="00817C85"/>
    <w:rsid w:val="00821BE7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8F46A2"/>
    <w:rsid w:val="009044E9"/>
    <w:rsid w:val="009067C7"/>
    <w:rsid w:val="00916620"/>
    <w:rsid w:val="00931E23"/>
    <w:rsid w:val="00937077"/>
    <w:rsid w:val="0094653B"/>
    <w:rsid w:val="009506EF"/>
    <w:rsid w:val="00954325"/>
    <w:rsid w:val="00956FCF"/>
    <w:rsid w:val="00966B06"/>
    <w:rsid w:val="009840D5"/>
    <w:rsid w:val="00994D11"/>
    <w:rsid w:val="009A2A64"/>
    <w:rsid w:val="009A67CE"/>
    <w:rsid w:val="009B3467"/>
    <w:rsid w:val="009D1FDC"/>
    <w:rsid w:val="009E14A9"/>
    <w:rsid w:val="009F18EF"/>
    <w:rsid w:val="009F7F40"/>
    <w:rsid w:val="00A3353E"/>
    <w:rsid w:val="00A377EB"/>
    <w:rsid w:val="00A514B8"/>
    <w:rsid w:val="00A724FB"/>
    <w:rsid w:val="00A7748B"/>
    <w:rsid w:val="00A90773"/>
    <w:rsid w:val="00A92584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94104"/>
    <w:rsid w:val="00BA18F6"/>
    <w:rsid w:val="00C0067E"/>
    <w:rsid w:val="00C00CBE"/>
    <w:rsid w:val="00C0562A"/>
    <w:rsid w:val="00C12430"/>
    <w:rsid w:val="00C16571"/>
    <w:rsid w:val="00C17399"/>
    <w:rsid w:val="00C31976"/>
    <w:rsid w:val="00C31C77"/>
    <w:rsid w:val="00C47B5A"/>
    <w:rsid w:val="00C5102E"/>
    <w:rsid w:val="00C560E6"/>
    <w:rsid w:val="00C80B3E"/>
    <w:rsid w:val="00C8246F"/>
    <w:rsid w:val="00C87EF0"/>
    <w:rsid w:val="00CA374F"/>
    <w:rsid w:val="00CB3729"/>
    <w:rsid w:val="00CC0BA5"/>
    <w:rsid w:val="00CC46FE"/>
    <w:rsid w:val="00CD23F4"/>
    <w:rsid w:val="00CD249F"/>
    <w:rsid w:val="00CD47C2"/>
    <w:rsid w:val="00CF779F"/>
    <w:rsid w:val="00D0671F"/>
    <w:rsid w:val="00D20185"/>
    <w:rsid w:val="00D22A93"/>
    <w:rsid w:val="00D32FC1"/>
    <w:rsid w:val="00D3349F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20EE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131D"/>
    <w:rsid w:val="00EB5F36"/>
    <w:rsid w:val="00EC0DA3"/>
    <w:rsid w:val="00EC3253"/>
    <w:rsid w:val="00ED752B"/>
    <w:rsid w:val="00EE1539"/>
    <w:rsid w:val="00EF1664"/>
    <w:rsid w:val="00F0076F"/>
    <w:rsid w:val="00F0278B"/>
    <w:rsid w:val="00F12AA5"/>
    <w:rsid w:val="00F134EA"/>
    <w:rsid w:val="00F20007"/>
    <w:rsid w:val="00F376F8"/>
    <w:rsid w:val="00F377E5"/>
    <w:rsid w:val="00F42114"/>
    <w:rsid w:val="00F46EBC"/>
    <w:rsid w:val="00F52E07"/>
    <w:rsid w:val="00F829D8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806F5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noProof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Kommentinviite">
    <w:name w:val="annotation reference"/>
    <w:basedOn w:val="Kappaleenoletusfontti"/>
    <w:semiHidden/>
    <w:unhideWhenUsed/>
    <w:rsid w:val="003521C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521C2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521C2"/>
    <w:rPr>
      <w:rFonts w:asciiTheme="minorHAnsi" w:hAnsiTheme="minorHAnsi"/>
      <w:noProof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521C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521C2"/>
    <w:rPr>
      <w:rFonts w:asciiTheme="minorHAnsi" w:hAnsiTheme="minorHAnsi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dc:description> 
</dc:description>
  <cp:lastModifiedBy>Vihavainen-Pitkänen Eeva</cp:lastModifiedBy>
  <cp:revision>2</cp:revision>
  <cp:lastPrinted>2018-07-04T12:47:00Z</cp:lastPrinted>
  <dcterms:created xsi:type="dcterms:W3CDTF">2018-09-20T12:15:00Z</dcterms:created>
  <dcterms:modified xsi:type="dcterms:W3CDTF">2018-09-20T12:15:00Z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