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A4" w:rsidRDefault="00215DA4" w:rsidP="00215DA4">
      <w:pPr>
        <w:spacing w:after="0"/>
        <w:ind w:left="1304" w:hanging="1304"/>
        <w:rPr>
          <w:szCs w:val="24"/>
        </w:rPr>
      </w:pPr>
      <w:bookmarkStart w:id="0" w:name="_GoBack"/>
      <w:bookmarkEnd w:id="0"/>
      <w:r w:rsidRPr="00215DA4">
        <w:rPr>
          <w:szCs w:val="24"/>
        </w:rPr>
        <w:t>Porolukutyöryhmä</w:t>
      </w:r>
    </w:p>
    <w:p w:rsidR="00215DA4" w:rsidRPr="00215DA4" w:rsidRDefault="00215DA4" w:rsidP="00215DA4">
      <w:pPr>
        <w:spacing w:after="0"/>
        <w:ind w:left="1304" w:hanging="1304"/>
        <w:rPr>
          <w:szCs w:val="24"/>
        </w:rPr>
      </w:pPr>
      <w:r>
        <w:rPr>
          <w:szCs w:val="24"/>
        </w:rPr>
        <w:t>Tapani.Sirvio@mmm.fi</w:t>
      </w:r>
    </w:p>
    <w:p w:rsidR="00215DA4" w:rsidRDefault="00215DA4" w:rsidP="00215DA4">
      <w:pPr>
        <w:ind w:left="1304" w:hanging="1304"/>
        <w:rPr>
          <w:b/>
          <w:szCs w:val="24"/>
        </w:rPr>
      </w:pPr>
    </w:p>
    <w:p w:rsidR="00215DA4" w:rsidRPr="00AC2EDD" w:rsidRDefault="00215DA4" w:rsidP="00215DA4">
      <w:pPr>
        <w:ind w:left="1304" w:hanging="1304"/>
        <w:rPr>
          <w:b/>
          <w:szCs w:val="24"/>
        </w:rPr>
      </w:pPr>
      <w:r w:rsidRPr="00AC2EDD">
        <w:rPr>
          <w:b/>
          <w:szCs w:val="24"/>
        </w:rPr>
        <w:t>Asia</w:t>
      </w:r>
      <w:r w:rsidRPr="00AC2EDD">
        <w:rPr>
          <w:b/>
          <w:szCs w:val="24"/>
        </w:rPr>
        <w:tab/>
        <w:t xml:space="preserve">Saamelaiskäräjien </w:t>
      </w:r>
      <w:r>
        <w:rPr>
          <w:b/>
          <w:szCs w:val="24"/>
        </w:rPr>
        <w:t>kannat porolukutyöryhmän kuulemiseen 4.6.2019</w:t>
      </w:r>
    </w:p>
    <w:p w:rsidR="00215DA4" w:rsidRDefault="00215DA4" w:rsidP="00215DA4">
      <w:pPr>
        <w:ind w:left="1304" w:hanging="1304"/>
        <w:rPr>
          <w:i/>
          <w:szCs w:val="24"/>
        </w:rPr>
      </w:pPr>
    </w:p>
    <w:p w:rsidR="00215DA4" w:rsidRPr="00215DA4" w:rsidRDefault="00215DA4" w:rsidP="00215DA4">
      <w:pPr>
        <w:spacing w:line="259" w:lineRule="auto"/>
        <w:jc w:val="both"/>
        <w:rPr>
          <w:rFonts w:eastAsiaTheme="minorHAnsi"/>
          <w:szCs w:val="24"/>
        </w:rPr>
      </w:pPr>
      <w:r>
        <w:rPr>
          <w:rFonts w:eastAsiaTheme="minorHAnsi"/>
          <w:szCs w:val="24"/>
        </w:rPr>
        <w:t>Saamelaiskäräjät</w:t>
      </w:r>
      <w:r w:rsidRPr="00215DA4">
        <w:rPr>
          <w:rFonts w:eastAsiaTheme="minorHAnsi"/>
          <w:szCs w:val="24"/>
        </w:rPr>
        <w:t xml:space="preserve"> katsoo, että saamelainen poronhoito on kulttuurinen elinkeino, jonka kautta saamen kieltä, saamelaista kulttuuria ja perinteistä tietoa siirretään sukupolvelta toiselle. </w:t>
      </w:r>
      <w:r>
        <w:rPr>
          <w:rFonts w:eastAsiaTheme="minorHAnsi"/>
          <w:b/>
          <w:i/>
          <w:szCs w:val="24"/>
        </w:rPr>
        <w:t xml:space="preserve">Saamelaiskäräjien </w:t>
      </w:r>
      <w:r w:rsidRPr="00215DA4">
        <w:rPr>
          <w:rFonts w:eastAsiaTheme="minorHAnsi"/>
          <w:b/>
          <w:i/>
          <w:szCs w:val="24"/>
        </w:rPr>
        <w:t>mukaan saamelaiskulttuurin tulevaisuuden turvaamiseksi ja poronhoitoon liittyvien käytänteiden, perinteisen tiedon sekä saamen kielen termistön siirtämiseksi sukupolvelta toiselle saamelaisen poronhoidon on oltava taloudellisesti kannattava elinkeino</w:t>
      </w:r>
      <w:r w:rsidRPr="00215DA4">
        <w:rPr>
          <w:rFonts w:eastAsiaTheme="minorHAnsi"/>
          <w:szCs w:val="24"/>
        </w:rPr>
        <w:t xml:space="preserve">. Tämä on otettava huomioon suurimpia sallittuja porolukuja päätettäessä. </w:t>
      </w:r>
    </w:p>
    <w:p w:rsidR="00215DA4" w:rsidRPr="00215DA4" w:rsidRDefault="00215DA4" w:rsidP="00215DA4">
      <w:pPr>
        <w:spacing w:line="259" w:lineRule="auto"/>
        <w:jc w:val="both"/>
        <w:rPr>
          <w:rFonts w:eastAsiaTheme="minorHAnsi"/>
          <w:szCs w:val="24"/>
        </w:rPr>
      </w:pPr>
      <w:r>
        <w:rPr>
          <w:rFonts w:eastAsiaTheme="minorHAnsi"/>
          <w:b/>
          <w:i/>
          <w:szCs w:val="24"/>
        </w:rPr>
        <w:t>Saamelaiskäräjien</w:t>
      </w:r>
      <w:r w:rsidRPr="00215DA4">
        <w:rPr>
          <w:rFonts w:eastAsiaTheme="minorHAnsi"/>
          <w:b/>
          <w:i/>
          <w:szCs w:val="24"/>
        </w:rPr>
        <w:t xml:space="preserve"> näkemyksen mukaan muut maankäyttömuodot tulee huomioida kattavasti suurimpia sallittuja porolukuja päätettäessä. </w:t>
      </w:r>
      <w:r w:rsidRPr="00215DA4">
        <w:rPr>
          <w:rFonts w:eastAsiaTheme="minorHAnsi"/>
          <w:szCs w:val="24"/>
        </w:rPr>
        <w:t>Muun muassa metsätalous, kullanhuuhdontatoiminta sekä ulkopaikkakuntalaisten hirvenmetsästys hirvikoirien kanssa ja kevätaikainen riekonpyynti koirien kanssa häiritsevät ja haittaavat perinteisen saamelaisen poronhoidon harjoittamista. Norjassa, Ruotsissa ja Suomessa on tehty paljon tutkimusta, jossa on tutkittu maankäytön, ihmistoiminnan ja infrastruktuurin vaikutuksia porojen ja villipeurojen laidunten käyttöön.</w:t>
      </w:r>
      <w:r w:rsidRPr="00215DA4">
        <w:rPr>
          <w:rFonts w:eastAsiaTheme="minorHAnsi"/>
          <w:szCs w:val="24"/>
          <w:vertAlign w:val="superscript"/>
        </w:rPr>
        <w:footnoteReference w:id="1"/>
      </w:r>
      <w:r w:rsidRPr="00215DA4">
        <w:rPr>
          <w:rFonts w:eastAsiaTheme="minorHAnsi"/>
          <w:szCs w:val="24"/>
        </w:rPr>
        <w:t xml:space="preserve"> Nämä tutkimukset osoittavat, että vaikka poro on puolikesy eläin, sen laidunnukseen ja laidunalueiden valintaan vaikuttavat hyvin paljon myös laitumilla olevan muun maankäytön, ihmistoiminnan ja infrastruktuuriin aiheuttamat häiriöt. Lähes kaikissa tutkimuksissa on havaittu vapaana luonnonlaitumilla laiduntavien porojen välttävän ihmistoiminnan aiheuttamia häiriöitä, jotka voivat johtua maasto- ja tieliikenteestä, ihmisten ja koirien liikkumisesta maastossa, melusta, pölystä, hajuista ym. vaikutuksista. Riippuen häiriötyypistä, alueesta ja poronhoitotavoista, nämä välttämisalueet voivat olla hyvin laajoja.</w:t>
      </w:r>
      <w:r w:rsidRPr="00215DA4">
        <w:rPr>
          <w:rFonts w:eastAsiaTheme="minorHAnsi"/>
          <w:szCs w:val="24"/>
          <w:vertAlign w:val="superscript"/>
        </w:rPr>
        <w:footnoteReference w:id="2"/>
      </w:r>
      <w:r w:rsidRPr="00215DA4">
        <w:rPr>
          <w:rFonts w:eastAsiaTheme="minorHAnsi"/>
          <w:szCs w:val="24"/>
        </w:rPr>
        <w:t xml:space="preserve"> Luken raportin johtopäätösten mukaan on selvää, että muut maankäyttömuodot vaikuttavat merkittävällä tavalla porojen talvilaitumiin. Raportissa todetaan mm. seuraavaa:</w:t>
      </w:r>
    </w:p>
    <w:p w:rsidR="00215DA4" w:rsidRPr="00215DA4" w:rsidRDefault="00215DA4" w:rsidP="00215DA4">
      <w:pPr>
        <w:spacing w:line="259" w:lineRule="auto"/>
        <w:jc w:val="both"/>
        <w:rPr>
          <w:rFonts w:eastAsiaTheme="minorHAnsi"/>
          <w:i/>
          <w:sz w:val="20"/>
          <w:szCs w:val="20"/>
        </w:rPr>
      </w:pPr>
      <w:r w:rsidRPr="00215DA4">
        <w:rPr>
          <w:rFonts w:eastAsiaTheme="minorHAnsi"/>
          <w:i/>
          <w:sz w:val="20"/>
          <w:szCs w:val="20"/>
        </w:rPr>
        <w:t xml:space="preserve">”1. Havumetsäalueella talvilaitumina ominaisuuksiltaan ja laadultaan parhaat varttuneiden ja vanhojen metsien jäkälä- ja luppolaitumet sijaitsevat Metsä-Lapin ja muun havumetsäalueen laajoilla suojelualueilla. Näillä suojelualueilla ei ole metsätaloutta ja muuta merkittävää maankäyttöä, mikä vähentäisi ja heikentäisi suojelualueiden sisällä olevia yhtenäisiä talvilaidunalueita. </w:t>
      </w:r>
    </w:p>
    <w:p w:rsidR="00215DA4" w:rsidRPr="00215DA4" w:rsidRDefault="00215DA4" w:rsidP="00215DA4">
      <w:pPr>
        <w:spacing w:line="259" w:lineRule="auto"/>
        <w:jc w:val="both"/>
        <w:rPr>
          <w:rFonts w:eastAsiaTheme="minorHAnsi"/>
          <w:i/>
          <w:sz w:val="20"/>
          <w:szCs w:val="20"/>
        </w:rPr>
      </w:pPr>
      <w:r w:rsidRPr="00215DA4">
        <w:rPr>
          <w:rFonts w:eastAsiaTheme="minorHAnsi"/>
          <w:i/>
          <w:sz w:val="20"/>
          <w:szCs w:val="20"/>
        </w:rPr>
        <w:t xml:space="preserve">2. Suojelualueiden ulkopuolella olevalla noin kahdella kolmanneksella poronhoitoalueen pinta-alasta (poronhoitoalueen etelä- ja keskiosa sekä osittain myös pohjoisosa) metsätalous on vähentänyt ja pirstonut vanhojen metsien jäkälä- ja luppolaitumia sekä muuttanut laajasti metsien rakennetta heikentäen laidunmetsien laatua talvilaitumina. </w:t>
      </w:r>
    </w:p>
    <w:p w:rsidR="00215DA4" w:rsidRPr="00215DA4" w:rsidRDefault="00215DA4" w:rsidP="00215DA4">
      <w:pPr>
        <w:spacing w:line="259" w:lineRule="auto"/>
        <w:jc w:val="both"/>
        <w:rPr>
          <w:rFonts w:eastAsiaTheme="minorHAnsi"/>
          <w:i/>
          <w:sz w:val="20"/>
          <w:szCs w:val="20"/>
        </w:rPr>
      </w:pPr>
      <w:r w:rsidRPr="00215DA4">
        <w:rPr>
          <w:rFonts w:eastAsiaTheme="minorHAnsi"/>
          <w:i/>
          <w:sz w:val="20"/>
          <w:szCs w:val="20"/>
        </w:rPr>
        <w:t xml:space="preserve">3. Metsätalouden vaikutusten rinnalla myös eri maankäyttömuodot, ihmistoiminta ja infrastruktuuri ovat pirstoneet, heikentäneet ja vähentäneet yhtenäistä laidunympäristöä laajasti erityisesti poronhoitoalueen etelä- ja keskiosissa. Nämä muutokset laidunympäristössä ovat vaikeuttaneet porojen hoitoa luonnonlaitumilla talvella sekä samalla muuttaneet poronhoitomenetelmiä lisäten sekä talviruokinnan määrä että porojen talviaikaisen tarhauksen tarvetta. Samalla nämä laidunympäristön ja poronhoitotapojen muutokset aiheuttavat usein myös ongelmia ja konflikteja poronhoidon ja muiden </w:t>
      </w:r>
      <w:r w:rsidRPr="00215DA4">
        <w:rPr>
          <w:rFonts w:eastAsiaTheme="minorHAnsi"/>
          <w:i/>
          <w:sz w:val="20"/>
          <w:szCs w:val="20"/>
        </w:rPr>
        <w:lastRenderedPageBreak/>
        <w:t>paikallisten elinkeinojen ja väestöryhmien välille, koska ihmistoimintaan ja asutukseen vähitellen tottuneet porot hakeutuvat taajassa oleville teille ja pelloille sekä asutuksen ja mökkien läheisyyteen.”</w:t>
      </w:r>
    </w:p>
    <w:p w:rsidR="00215DA4" w:rsidRPr="00215DA4" w:rsidRDefault="00215DA4" w:rsidP="00215DA4">
      <w:pPr>
        <w:spacing w:line="259" w:lineRule="auto"/>
        <w:jc w:val="both"/>
        <w:rPr>
          <w:rFonts w:eastAsiaTheme="minorHAnsi"/>
          <w:b/>
          <w:i/>
          <w:szCs w:val="24"/>
        </w:rPr>
      </w:pPr>
      <w:r w:rsidRPr="00215DA4">
        <w:rPr>
          <w:rFonts w:eastAsiaTheme="minorHAnsi"/>
          <w:szCs w:val="24"/>
        </w:rPr>
        <w:t>Poro on eläin, joka säilyttää tunturiluontoa ja siihen sopeutunutta lajistoa lämpenevässä ilmastossa. Porot torjuvat tunturin pensoittumista ja metsittymistä lämpenevässä ilmastossa. Metsän tai pajukon leviäminen tunturiin kiihdyttäisi ilmaston lämpenemistä vapauttamalla tunturin maaperään sitoutuneet hiilivarastot ilmakehään ja romauttamalla alueen heijastuskertoimen kevättalvella.</w:t>
      </w:r>
      <w:r w:rsidRPr="00215DA4">
        <w:rPr>
          <w:rFonts w:eastAsiaTheme="minorHAnsi"/>
          <w:szCs w:val="24"/>
          <w:vertAlign w:val="superscript"/>
        </w:rPr>
        <w:footnoteReference w:id="3"/>
      </w:r>
      <w:r w:rsidRPr="00215DA4">
        <w:rPr>
          <w:rFonts w:eastAsiaTheme="minorHAnsi"/>
          <w:szCs w:val="24"/>
        </w:rPr>
        <w:t xml:space="preserve"> </w:t>
      </w:r>
      <w:r>
        <w:rPr>
          <w:rFonts w:eastAsiaTheme="minorHAnsi"/>
          <w:b/>
          <w:i/>
          <w:szCs w:val="24"/>
        </w:rPr>
        <w:t>Saamelaiskäräjien</w:t>
      </w:r>
      <w:r w:rsidRPr="00215DA4">
        <w:rPr>
          <w:rFonts w:eastAsiaTheme="minorHAnsi"/>
          <w:b/>
          <w:i/>
          <w:szCs w:val="24"/>
        </w:rPr>
        <w:t xml:space="preserve"> näkemyksen mukaan poron ilmastonmuutosta ehkäisevä vaikutus tulee huomioida suurimpia sallittuja porolukuja päätettäessä. </w:t>
      </w:r>
    </w:p>
    <w:p w:rsidR="00215DA4" w:rsidRDefault="00215DA4" w:rsidP="00215DA4">
      <w:pPr>
        <w:spacing w:line="259" w:lineRule="auto"/>
        <w:jc w:val="both"/>
        <w:rPr>
          <w:rFonts w:eastAsiaTheme="minorHAnsi"/>
          <w:szCs w:val="24"/>
        </w:rPr>
      </w:pPr>
      <w:r>
        <w:rPr>
          <w:rFonts w:eastAsiaTheme="minorHAnsi"/>
          <w:b/>
          <w:i/>
          <w:szCs w:val="24"/>
        </w:rPr>
        <w:t>Saamelaiskäräjien</w:t>
      </w:r>
      <w:r w:rsidRPr="00215DA4">
        <w:rPr>
          <w:rFonts w:eastAsiaTheme="minorHAnsi"/>
          <w:b/>
          <w:i/>
          <w:szCs w:val="24"/>
        </w:rPr>
        <w:t xml:space="preserve"> näkemyksen mukaan yksi tapa vastata porolukupaineeseen olisi tukea vapaaehtoista porotaloudesta luopumista perustamalla saamelaisten kotiseutualueelle luopumisrahasto. </w:t>
      </w:r>
      <w:r w:rsidRPr="00215DA4">
        <w:rPr>
          <w:rFonts w:eastAsiaTheme="minorHAnsi"/>
          <w:szCs w:val="24"/>
        </w:rPr>
        <w:t xml:space="preserve">Jos poronhoitaja haluaa luopua poroelinkeinon harjoittamisesta, tulisi tätä tukea saman kaltaisella rahastolla, kuin mikä maatalouden osalta on käytössä. </w:t>
      </w:r>
    </w:p>
    <w:p w:rsidR="00215DA4" w:rsidRPr="00215DA4" w:rsidRDefault="00215DA4" w:rsidP="00215DA4">
      <w:pPr>
        <w:spacing w:line="259" w:lineRule="auto"/>
        <w:rPr>
          <w:rFonts w:eastAsiaTheme="minorHAnsi"/>
          <w:szCs w:val="24"/>
        </w:rPr>
      </w:pPr>
      <w:r>
        <w:rPr>
          <w:rFonts w:eastAsiaTheme="minorHAnsi"/>
          <w:b/>
          <w:i/>
          <w:szCs w:val="24"/>
        </w:rPr>
        <w:t>Saamelaiskäräjien</w:t>
      </w:r>
      <w:r w:rsidRPr="00215DA4">
        <w:rPr>
          <w:rFonts w:eastAsiaTheme="minorHAnsi"/>
          <w:b/>
          <w:i/>
          <w:szCs w:val="24"/>
        </w:rPr>
        <w:t xml:space="preserve"> mukaan saamelaisen poronhoidon asema tulee tunnustaa ja kirjata poronhoitolakiin. </w:t>
      </w:r>
      <w:r w:rsidRPr="00215DA4">
        <w:rPr>
          <w:rFonts w:eastAsiaTheme="minorHAnsi"/>
          <w:szCs w:val="24"/>
        </w:rPr>
        <w:t xml:space="preserve">Voimassa oleva poronhoitolaki ei tunnista saamelaisen poronhoidon asemaa ja eikä sen kulttuurista johtuvaa erityispiirrettä. </w:t>
      </w:r>
      <w:r w:rsidR="00754DC5">
        <w:rPr>
          <w:rFonts w:eastAsiaTheme="minorHAnsi"/>
          <w:szCs w:val="24"/>
        </w:rPr>
        <w:t>Saamelaiskäräjien</w:t>
      </w:r>
      <w:r w:rsidRPr="00215DA4">
        <w:rPr>
          <w:rFonts w:eastAsiaTheme="minorHAnsi"/>
          <w:szCs w:val="24"/>
        </w:rPr>
        <w:t xml:space="preserve"> näkemyksen mukaan saamelaisen poronhoidon asema on tärkeää kirjata poronhoitolakiin. </w:t>
      </w:r>
    </w:p>
    <w:p w:rsidR="00215DA4" w:rsidRPr="00215DA4" w:rsidRDefault="00215DA4" w:rsidP="00215DA4">
      <w:pPr>
        <w:spacing w:line="259" w:lineRule="auto"/>
        <w:rPr>
          <w:rFonts w:eastAsiaTheme="minorHAnsi"/>
          <w:szCs w:val="24"/>
        </w:rPr>
      </w:pPr>
    </w:p>
    <w:p w:rsidR="00215DA4" w:rsidRPr="00215DA4" w:rsidRDefault="00215DA4" w:rsidP="00215DA4">
      <w:pPr>
        <w:spacing w:line="259" w:lineRule="auto"/>
        <w:rPr>
          <w:rFonts w:eastAsiaTheme="minorHAnsi"/>
          <w:szCs w:val="24"/>
        </w:rPr>
      </w:pPr>
    </w:p>
    <w:p w:rsidR="00215DA4" w:rsidRPr="00215DA4" w:rsidRDefault="00215DA4" w:rsidP="00215DA4">
      <w:pPr>
        <w:spacing w:line="259" w:lineRule="auto"/>
        <w:rPr>
          <w:rFonts w:eastAsiaTheme="minorHAnsi"/>
          <w:szCs w:val="24"/>
        </w:rPr>
      </w:pPr>
      <w:r w:rsidRPr="00215DA4">
        <w:rPr>
          <w:rFonts w:eastAsiaTheme="minorHAnsi"/>
          <w:szCs w:val="24"/>
        </w:rPr>
        <w:t xml:space="preserve">Merk. </w:t>
      </w:r>
    </w:p>
    <w:p w:rsidR="00215DA4" w:rsidRPr="00215DA4" w:rsidRDefault="00215DA4" w:rsidP="00215DA4">
      <w:pPr>
        <w:spacing w:line="259" w:lineRule="auto"/>
        <w:rPr>
          <w:rFonts w:eastAsiaTheme="minorHAnsi"/>
          <w:szCs w:val="24"/>
        </w:rPr>
      </w:pPr>
    </w:p>
    <w:p w:rsidR="00215DA4" w:rsidRPr="00215DA4" w:rsidRDefault="00215DA4" w:rsidP="00215DA4">
      <w:pPr>
        <w:spacing w:after="0" w:line="259" w:lineRule="auto"/>
        <w:rPr>
          <w:rFonts w:eastAsiaTheme="minorHAnsi"/>
          <w:szCs w:val="24"/>
        </w:rPr>
      </w:pPr>
      <w:r>
        <w:rPr>
          <w:rFonts w:eastAsiaTheme="minorHAnsi"/>
          <w:szCs w:val="24"/>
        </w:rPr>
        <w:t>Tiina Sanila-Aikio</w:t>
      </w:r>
      <w:r w:rsidRPr="00215DA4">
        <w:rPr>
          <w:rFonts w:eastAsiaTheme="minorHAnsi"/>
          <w:szCs w:val="24"/>
        </w:rPr>
        <w:tab/>
      </w:r>
      <w:r w:rsidRPr="00215DA4">
        <w:rPr>
          <w:rFonts w:eastAsiaTheme="minorHAnsi"/>
          <w:szCs w:val="24"/>
        </w:rPr>
        <w:tab/>
      </w:r>
      <w:r w:rsidRPr="00215DA4">
        <w:rPr>
          <w:rFonts w:eastAsiaTheme="minorHAnsi"/>
          <w:szCs w:val="24"/>
        </w:rPr>
        <w:tab/>
        <w:t>Sarita Kämäräinen</w:t>
      </w:r>
    </w:p>
    <w:p w:rsidR="00215DA4" w:rsidRPr="00215DA4" w:rsidRDefault="00215DA4" w:rsidP="00215DA4">
      <w:pPr>
        <w:spacing w:after="0" w:line="259" w:lineRule="auto"/>
        <w:rPr>
          <w:rFonts w:eastAsiaTheme="minorHAnsi"/>
          <w:szCs w:val="24"/>
        </w:rPr>
      </w:pPr>
      <w:r w:rsidRPr="00215DA4">
        <w:rPr>
          <w:rFonts w:eastAsiaTheme="minorHAnsi"/>
          <w:szCs w:val="24"/>
        </w:rPr>
        <w:t>puheenjohtaja</w:t>
      </w:r>
      <w:r w:rsidRPr="00215DA4">
        <w:rPr>
          <w:rFonts w:eastAsiaTheme="minorHAnsi"/>
          <w:szCs w:val="24"/>
        </w:rPr>
        <w:tab/>
      </w:r>
      <w:r w:rsidRPr="00215DA4">
        <w:rPr>
          <w:rFonts w:eastAsiaTheme="minorHAnsi"/>
          <w:szCs w:val="24"/>
        </w:rPr>
        <w:tab/>
      </w:r>
      <w:r w:rsidRPr="00215DA4">
        <w:rPr>
          <w:rFonts w:eastAsiaTheme="minorHAnsi"/>
          <w:szCs w:val="24"/>
        </w:rPr>
        <w:tab/>
        <w:t>elinkeinosihteeri</w:t>
      </w:r>
    </w:p>
    <w:p w:rsidR="00215DA4" w:rsidRPr="00215DA4" w:rsidRDefault="00215DA4" w:rsidP="00215DA4">
      <w:pPr>
        <w:spacing w:line="259" w:lineRule="auto"/>
        <w:rPr>
          <w:rFonts w:eastAsiaTheme="minorHAnsi"/>
          <w:szCs w:val="24"/>
        </w:rPr>
      </w:pPr>
    </w:p>
    <w:p w:rsidR="00215DA4" w:rsidRPr="00215DA4" w:rsidRDefault="00215DA4" w:rsidP="00215DA4">
      <w:pPr>
        <w:spacing w:line="259" w:lineRule="auto"/>
        <w:rPr>
          <w:rFonts w:eastAsiaTheme="minorHAnsi"/>
          <w:szCs w:val="24"/>
        </w:rPr>
      </w:pPr>
    </w:p>
    <w:p w:rsidR="00215DA4" w:rsidRPr="00215DA4" w:rsidRDefault="00215DA4" w:rsidP="00215DA4">
      <w:pPr>
        <w:spacing w:line="259" w:lineRule="auto"/>
        <w:rPr>
          <w:rFonts w:eastAsiaTheme="minorHAnsi"/>
          <w:szCs w:val="24"/>
        </w:rPr>
      </w:pPr>
      <w:r w:rsidRPr="00215DA4">
        <w:rPr>
          <w:rFonts w:eastAsiaTheme="minorHAnsi"/>
          <w:szCs w:val="24"/>
        </w:rPr>
        <w:t xml:space="preserve">Elinkeino- ja oikeuslautakunta on </w:t>
      </w:r>
      <w:r>
        <w:rPr>
          <w:rFonts w:eastAsiaTheme="minorHAnsi"/>
          <w:szCs w:val="24"/>
        </w:rPr>
        <w:t>käsitellyt asian kokouksessaan</w:t>
      </w:r>
      <w:r w:rsidRPr="00215DA4">
        <w:rPr>
          <w:rFonts w:eastAsiaTheme="minorHAnsi"/>
          <w:szCs w:val="24"/>
        </w:rPr>
        <w:t xml:space="preserve"> 2</w:t>
      </w:r>
      <w:r>
        <w:rPr>
          <w:rFonts w:eastAsiaTheme="minorHAnsi"/>
          <w:szCs w:val="24"/>
        </w:rPr>
        <w:t>2</w:t>
      </w:r>
      <w:r w:rsidRPr="00215DA4">
        <w:rPr>
          <w:rFonts w:eastAsiaTheme="minorHAnsi"/>
          <w:szCs w:val="24"/>
        </w:rPr>
        <w:t>.5.2019.</w:t>
      </w:r>
      <w:r>
        <w:rPr>
          <w:rFonts w:eastAsiaTheme="minorHAnsi"/>
          <w:szCs w:val="24"/>
        </w:rPr>
        <w:t xml:space="preserve"> Hallitus on käsitellyt asian kokouksessaan</w:t>
      </w:r>
      <w:r w:rsidR="00754DC5">
        <w:rPr>
          <w:rFonts w:eastAsiaTheme="minorHAnsi"/>
          <w:szCs w:val="24"/>
        </w:rPr>
        <w:t xml:space="preserve"> sekä päättänyt kannoista</w:t>
      </w:r>
      <w:r>
        <w:rPr>
          <w:rFonts w:eastAsiaTheme="minorHAnsi"/>
          <w:szCs w:val="24"/>
        </w:rPr>
        <w:t xml:space="preserve"> 3.6.2019.</w:t>
      </w:r>
    </w:p>
    <w:p w:rsidR="00215DA4" w:rsidRPr="00215DA4" w:rsidRDefault="00215DA4" w:rsidP="00215DA4">
      <w:pPr>
        <w:ind w:left="1304" w:hanging="1304"/>
        <w:rPr>
          <w:szCs w:val="24"/>
        </w:rPr>
      </w:pPr>
    </w:p>
    <w:p w:rsidR="0066688D" w:rsidRDefault="0066688D"/>
    <w:sectPr w:rsidR="0066688D">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098" w:rsidRDefault="00A03098" w:rsidP="00215DA4">
      <w:pPr>
        <w:spacing w:after="0" w:line="240" w:lineRule="auto"/>
      </w:pPr>
      <w:r>
        <w:separator/>
      </w:r>
    </w:p>
  </w:endnote>
  <w:endnote w:type="continuationSeparator" w:id="0">
    <w:p w:rsidR="00A03098" w:rsidRDefault="00A03098" w:rsidP="0021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098" w:rsidRDefault="00A03098" w:rsidP="00215DA4">
      <w:pPr>
        <w:spacing w:after="0" w:line="240" w:lineRule="auto"/>
      </w:pPr>
      <w:r>
        <w:separator/>
      </w:r>
    </w:p>
  </w:footnote>
  <w:footnote w:type="continuationSeparator" w:id="0">
    <w:p w:rsidR="00A03098" w:rsidRDefault="00A03098" w:rsidP="00215DA4">
      <w:pPr>
        <w:spacing w:after="0" w:line="240" w:lineRule="auto"/>
      </w:pPr>
      <w:r>
        <w:continuationSeparator/>
      </w:r>
    </w:p>
  </w:footnote>
  <w:footnote w:id="1">
    <w:p w:rsidR="00215DA4" w:rsidRPr="00793159" w:rsidRDefault="00215DA4" w:rsidP="00215DA4">
      <w:pPr>
        <w:pStyle w:val="Alaviitteenteksti"/>
        <w:rPr>
          <w:rFonts w:ascii="Times New Roman" w:hAnsi="Times New Roman" w:cs="Times New Roman"/>
        </w:rPr>
      </w:pPr>
      <w:r w:rsidRPr="00793159">
        <w:rPr>
          <w:rStyle w:val="Alaviitteenviite"/>
          <w:rFonts w:ascii="Times New Roman" w:hAnsi="Times New Roman" w:cs="Times New Roman"/>
        </w:rPr>
        <w:footnoteRef/>
      </w:r>
      <w:r w:rsidRPr="00793159">
        <w:rPr>
          <w:rFonts w:ascii="Times New Roman" w:hAnsi="Times New Roman" w:cs="Times New Roman"/>
        </w:rPr>
        <w:t xml:space="preserve"> Mm. Kumpula ym. 2007; Vistnes 2008; Anttonen ym. 2011; Skarin &amp; Åhman 2014, Skarin ym. 2015.</w:t>
      </w:r>
    </w:p>
  </w:footnote>
  <w:footnote w:id="2">
    <w:p w:rsidR="00215DA4" w:rsidRPr="00793159" w:rsidRDefault="00215DA4" w:rsidP="00215DA4">
      <w:pPr>
        <w:pStyle w:val="Alaviitteenteksti"/>
        <w:rPr>
          <w:rFonts w:ascii="Times New Roman" w:hAnsi="Times New Roman" w:cs="Times New Roman"/>
        </w:rPr>
      </w:pPr>
      <w:r w:rsidRPr="00793159">
        <w:rPr>
          <w:rStyle w:val="Alaviitteenviite"/>
          <w:rFonts w:ascii="Times New Roman" w:hAnsi="Times New Roman" w:cs="Times New Roman"/>
        </w:rPr>
        <w:footnoteRef/>
      </w:r>
      <w:r w:rsidRPr="00793159">
        <w:rPr>
          <w:rFonts w:ascii="Times New Roman" w:hAnsi="Times New Roman" w:cs="Times New Roman"/>
        </w:rPr>
        <w:t xml:space="preserve"> Luonnonvara- ja biotalouden tutkimus 29/2019: Poronhoitoalueen talvilaitumet vuosien 2016-2018 laiduninventoinnissa – talvilaidunten tilan muutokset ja muutosten syyt, s. 26.</w:t>
      </w:r>
    </w:p>
  </w:footnote>
  <w:footnote w:id="3">
    <w:p w:rsidR="00215DA4" w:rsidRPr="00793159" w:rsidRDefault="00215DA4" w:rsidP="00215DA4">
      <w:pPr>
        <w:pStyle w:val="Alaviitteenteksti"/>
        <w:rPr>
          <w:rFonts w:ascii="Times New Roman" w:hAnsi="Times New Roman" w:cs="Times New Roman"/>
        </w:rPr>
      </w:pPr>
      <w:r w:rsidRPr="00793159">
        <w:rPr>
          <w:rStyle w:val="Alaviitteenviite"/>
          <w:rFonts w:ascii="Times New Roman" w:hAnsi="Times New Roman" w:cs="Times New Roman"/>
        </w:rPr>
        <w:footnoteRef/>
      </w:r>
      <w:r w:rsidRPr="00793159">
        <w:rPr>
          <w:rFonts w:ascii="Times New Roman" w:hAnsi="Times New Roman" w:cs="Times New Roman"/>
        </w:rPr>
        <w:t xml:space="preserve"> Oksanen, Lauri: Poron vaikutus tunturiluontoon. Artikkeli julkaistu Poromies-lehdessä 6/2018.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A4" w:rsidRPr="00215DA4" w:rsidRDefault="00215DA4" w:rsidP="00215DA4">
    <w:pPr>
      <w:tabs>
        <w:tab w:val="center" w:pos="4819"/>
        <w:tab w:val="left" w:pos="5400"/>
        <w:tab w:val="right" w:pos="9638"/>
      </w:tabs>
      <w:spacing w:after="0" w:line="240" w:lineRule="auto"/>
      <w:rPr>
        <w:rFonts w:eastAsia="Times New Roman"/>
        <w:szCs w:val="24"/>
        <w:lang w:eastAsia="zh-CN"/>
      </w:rPr>
    </w:pPr>
    <w:r w:rsidRPr="00215DA4">
      <w:rPr>
        <w:noProof/>
        <w:lang w:eastAsia="fi-FI"/>
      </w:rPr>
      <w:drawing>
        <wp:anchor distT="0" distB="0" distL="114935" distR="114935" simplePos="0" relativeHeight="251659264" behindDoc="1" locked="0" layoutInCell="1" allowOverlap="1" wp14:anchorId="6793E5E3" wp14:editId="2FE734EB">
          <wp:simplePos x="0" y="0"/>
          <wp:positionH relativeFrom="column">
            <wp:posOffset>-342900</wp:posOffset>
          </wp:positionH>
          <wp:positionV relativeFrom="paragraph">
            <wp:posOffset>-1905</wp:posOffset>
          </wp:positionV>
          <wp:extent cx="1828165" cy="751840"/>
          <wp:effectExtent l="0" t="0" r="635" b="0"/>
          <wp:wrapTight wrapText="bothSides">
            <wp:wrapPolygon edited="0">
              <wp:start x="0" y="0"/>
              <wp:lineTo x="0" y="20797"/>
              <wp:lineTo x="21382" y="20797"/>
              <wp:lineTo x="21382" y="0"/>
              <wp:lineTo x="0" y="0"/>
            </wp:wrapPolygon>
          </wp:wrapTight>
          <wp:docPr id="8"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165" cy="75184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215DA4">
      <w:rPr>
        <w:rFonts w:eastAsia="Times New Roman"/>
        <w:szCs w:val="24"/>
        <w:lang w:eastAsia="zh-CN"/>
      </w:rPr>
      <w:tab/>
    </w:r>
    <w:r w:rsidRPr="00215DA4">
      <w:rPr>
        <w:rFonts w:eastAsia="Times New Roman"/>
        <w:szCs w:val="24"/>
        <w:lang w:eastAsia="zh-CN"/>
      </w:rPr>
      <w:tab/>
    </w:r>
    <w:r>
      <w:rPr>
        <w:rFonts w:eastAsia="Times New Roman"/>
        <w:szCs w:val="24"/>
        <w:lang w:eastAsia="zh-CN"/>
      </w:rPr>
      <w:t>KANNANOTTO</w:t>
    </w:r>
    <w:r w:rsidRPr="00215DA4">
      <w:rPr>
        <w:rFonts w:eastAsia="Times New Roman"/>
        <w:szCs w:val="24"/>
        <w:lang w:eastAsia="zh-CN"/>
      </w:rPr>
      <w:tab/>
      <w:t xml:space="preserve"> </w:t>
    </w:r>
    <w:r w:rsidRPr="00215DA4">
      <w:rPr>
        <w:rFonts w:eastAsia="Times New Roman"/>
        <w:szCs w:val="24"/>
        <w:lang w:eastAsia="zh-CN"/>
      </w:rPr>
      <w:fldChar w:fldCharType="begin"/>
    </w:r>
    <w:r w:rsidRPr="00215DA4">
      <w:rPr>
        <w:rFonts w:eastAsia="Times New Roman"/>
        <w:szCs w:val="24"/>
        <w:lang w:eastAsia="zh-CN"/>
      </w:rPr>
      <w:instrText xml:space="preserve"> PAGE </w:instrText>
    </w:r>
    <w:r w:rsidRPr="00215DA4">
      <w:rPr>
        <w:rFonts w:eastAsia="Times New Roman"/>
        <w:szCs w:val="24"/>
        <w:lang w:eastAsia="zh-CN"/>
      </w:rPr>
      <w:fldChar w:fldCharType="separate"/>
    </w:r>
    <w:r w:rsidR="00C82EAD">
      <w:rPr>
        <w:rFonts w:eastAsia="Times New Roman"/>
        <w:noProof/>
        <w:szCs w:val="24"/>
        <w:lang w:eastAsia="zh-CN"/>
      </w:rPr>
      <w:t>2</w:t>
    </w:r>
    <w:r w:rsidRPr="00215DA4">
      <w:rPr>
        <w:rFonts w:eastAsia="Times New Roman"/>
        <w:szCs w:val="24"/>
        <w:lang w:eastAsia="zh-CN"/>
      </w:rPr>
      <w:fldChar w:fldCharType="end"/>
    </w:r>
    <w:r w:rsidRPr="00215DA4">
      <w:rPr>
        <w:rFonts w:eastAsia="Times New Roman"/>
        <w:szCs w:val="24"/>
        <w:lang w:eastAsia="zh-CN"/>
      </w:rPr>
      <w:t xml:space="preserve"> (</w:t>
    </w:r>
    <w:r w:rsidRPr="00215DA4">
      <w:rPr>
        <w:rFonts w:eastAsia="Times New Roman"/>
        <w:szCs w:val="24"/>
        <w:lang w:eastAsia="zh-CN"/>
      </w:rPr>
      <w:fldChar w:fldCharType="begin"/>
    </w:r>
    <w:r w:rsidRPr="00215DA4">
      <w:rPr>
        <w:rFonts w:eastAsia="Times New Roman"/>
        <w:szCs w:val="24"/>
        <w:lang w:eastAsia="zh-CN"/>
      </w:rPr>
      <w:instrText xml:space="preserve"> NUMPAGES \* ARABIC </w:instrText>
    </w:r>
    <w:r w:rsidRPr="00215DA4">
      <w:rPr>
        <w:rFonts w:eastAsia="Times New Roman"/>
        <w:szCs w:val="24"/>
        <w:lang w:eastAsia="zh-CN"/>
      </w:rPr>
      <w:fldChar w:fldCharType="separate"/>
    </w:r>
    <w:r w:rsidR="00C82EAD">
      <w:rPr>
        <w:rFonts w:eastAsia="Times New Roman"/>
        <w:noProof/>
        <w:szCs w:val="24"/>
        <w:lang w:eastAsia="zh-CN"/>
      </w:rPr>
      <w:t>2</w:t>
    </w:r>
    <w:r w:rsidRPr="00215DA4">
      <w:rPr>
        <w:rFonts w:eastAsia="Times New Roman"/>
        <w:szCs w:val="24"/>
        <w:lang w:eastAsia="zh-CN"/>
      </w:rPr>
      <w:fldChar w:fldCharType="end"/>
    </w:r>
    <w:r w:rsidRPr="00215DA4">
      <w:rPr>
        <w:rFonts w:eastAsia="Times New Roman"/>
        <w:szCs w:val="24"/>
        <w:lang w:eastAsia="zh-CN"/>
      </w:rPr>
      <w:t>)</w:t>
    </w:r>
  </w:p>
  <w:p w:rsidR="00215DA4" w:rsidRPr="00215DA4" w:rsidRDefault="00215DA4" w:rsidP="00215DA4">
    <w:pPr>
      <w:tabs>
        <w:tab w:val="center" w:pos="4819"/>
        <w:tab w:val="left" w:pos="6120"/>
        <w:tab w:val="right" w:pos="9638"/>
      </w:tabs>
      <w:spacing w:after="0" w:line="240" w:lineRule="auto"/>
      <w:rPr>
        <w:rFonts w:eastAsia="Times New Roman"/>
        <w:szCs w:val="24"/>
        <w:lang w:eastAsia="zh-CN"/>
      </w:rPr>
    </w:pPr>
    <w:r w:rsidRPr="00215DA4">
      <w:rPr>
        <w:rFonts w:eastAsia="Times New Roman"/>
        <w:szCs w:val="24"/>
        <w:lang w:eastAsia="zh-CN"/>
      </w:rPr>
      <w:tab/>
    </w:r>
  </w:p>
  <w:p w:rsidR="00215DA4" w:rsidRPr="00215DA4" w:rsidRDefault="00215DA4" w:rsidP="00215DA4">
    <w:pPr>
      <w:tabs>
        <w:tab w:val="center" w:pos="4819"/>
        <w:tab w:val="right" w:pos="9638"/>
      </w:tabs>
      <w:spacing w:after="0" w:line="240" w:lineRule="auto"/>
      <w:rPr>
        <w:rFonts w:eastAsia="Times New Roman"/>
        <w:szCs w:val="24"/>
        <w:lang w:eastAsia="zh-CN"/>
      </w:rPr>
    </w:pPr>
  </w:p>
  <w:p w:rsidR="00215DA4" w:rsidRPr="00215DA4" w:rsidRDefault="00215DA4" w:rsidP="00215DA4">
    <w:pPr>
      <w:tabs>
        <w:tab w:val="center" w:pos="4819"/>
        <w:tab w:val="left" w:pos="5400"/>
        <w:tab w:val="right" w:pos="9638"/>
      </w:tabs>
      <w:spacing w:after="0" w:line="240" w:lineRule="auto"/>
      <w:rPr>
        <w:rFonts w:eastAsia="Times New Roman"/>
        <w:szCs w:val="24"/>
        <w:lang w:eastAsia="zh-CN"/>
      </w:rPr>
    </w:pPr>
    <w:r w:rsidRPr="00215DA4">
      <w:rPr>
        <w:rFonts w:eastAsia="Times New Roman"/>
        <w:szCs w:val="24"/>
        <w:lang w:eastAsia="zh-CN"/>
      </w:rPr>
      <w:tab/>
    </w:r>
    <w:r w:rsidRPr="00215DA4">
      <w:rPr>
        <w:rFonts w:eastAsia="Times New Roman"/>
        <w:szCs w:val="24"/>
        <w:lang w:eastAsia="zh-CN"/>
      </w:rPr>
      <w:tab/>
      <w:t>4.6.2019</w:t>
    </w:r>
    <w:r w:rsidRPr="00215DA4">
      <w:rPr>
        <w:rFonts w:eastAsia="Times New Roman"/>
        <w:szCs w:val="24"/>
        <w:lang w:eastAsia="zh-CN"/>
      </w:rPr>
      <w:tab/>
      <w:t>Dnro: 42</w:t>
    </w:r>
    <w:r>
      <w:rPr>
        <w:rFonts w:eastAsia="Times New Roman"/>
        <w:szCs w:val="24"/>
        <w:lang w:eastAsia="zh-CN"/>
      </w:rPr>
      <w:t>4</w:t>
    </w:r>
    <w:r w:rsidRPr="00215DA4">
      <w:rPr>
        <w:rFonts w:eastAsia="Times New Roman"/>
        <w:szCs w:val="24"/>
        <w:lang w:eastAsia="zh-CN"/>
      </w:rPr>
      <w:t>/D.a.2/2019</w:t>
    </w:r>
  </w:p>
  <w:p w:rsidR="00215DA4" w:rsidRDefault="00215DA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A4"/>
    <w:rsid w:val="00215DA4"/>
    <w:rsid w:val="0066688D"/>
    <w:rsid w:val="00754DC5"/>
    <w:rsid w:val="00977EF0"/>
    <w:rsid w:val="00A03098"/>
    <w:rsid w:val="00A46548"/>
    <w:rsid w:val="00C82EAD"/>
    <w:rsid w:val="00FD73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8857F-3783-48E3-905B-BC4CE3D2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15DA4"/>
    <w:pPr>
      <w:spacing w:line="256" w:lineRule="auto"/>
    </w:pPr>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5DA4"/>
    <w:pPr>
      <w:tabs>
        <w:tab w:val="center" w:pos="4819"/>
        <w:tab w:val="right" w:pos="9638"/>
      </w:tabs>
      <w:spacing w:after="0" w:line="240" w:lineRule="auto"/>
    </w:pPr>
    <w:rPr>
      <w:rFonts w:asciiTheme="minorHAnsi" w:eastAsiaTheme="minorHAnsi" w:hAnsiTheme="minorHAnsi" w:cstheme="minorBidi"/>
      <w:sz w:val="22"/>
    </w:rPr>
  </w:style>
  <w:style w:type="character" w:customStyle="1" w:styleId="YltunnisteChar">
    <w:name w:val="Ylätunniste Char"/>
    <w:basedOn w:val="Kappaleenoletusfontti"/>
    <w:link w:val="Yltunniste"/>
    <w:uiPriority w:val="99"/>
    <w:rsid w:val="00215DA4"/>
  </w:style>
  <w:style w:type="paragraph" w:styleId="Alatunniste">
    <w:name w:val="footer"/>
    <w:basedOn w:val="Normaali"/>
    <w:link w:val="AlatunnisteChar"/>
    <w:uiPriority w:val="99"/>
    <w:unhideWhenUsed/>
    <w:rsid w:val="00215DA4"/>
    <w:pPr>
      <w:tabs>
        <w:tab w:val="center" w:pos="4819"/>
        <w:tab w:val="right" w:pos="9638"/>
      </w:tabs>
      <w:spacing w:after="0" w:line="240" w:lineRule="auto"/>
    </w:pPr>
    <w:rPr>
      <w:rFonts w:asciiTheme="minorHAnsi" w:eastAsiaTheme="minorHAnsi" w:hAnsiTheme="minorHAnsi" w:cstheme="minorBidi"/>
      <w:sz w:val="22"/>
    </w:rPr>
  </w:style>
  <w:style w:type="character" w:customStyle="1" w:styleId="AlatunnisteChar">
    <w:name w:val="Alatunniste Char"/>
    <w:basedOn w:val="Kappaleenoletusfontti"/>
    <w:link w:val="Alatunniste"/>
    <w:uiPriority w:val="99"/>
    <w:rsid w:val="00215DA4"/>
  </w:style>
  <w:style w:type="paragraph" w:styleId="Alaviitteenteksti">
    <w:name w:val="footnote text"/>
    <w:basedOn w:val="Normaali"/>
    <w:link w:val="AlaviitteentekstiChar"/>
    <w:uiPriority w:val="99"/>
    <w:semiHidden/>
    <w:unhideWhenUsed/>
    <w:rsid w:val="00215DA4"/>
    <w:pPr>
      <w:spacing w:after="0" w:line="240" w:lineRule="auto"/>
    </w:pPr>
    <w:rPr>
      <w:rFonts w:asciiTheme="minorHAnsi" w:eastAsia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215DA4"/>
    <w:rPr>
      <w:sz w:val="20"/>
      <w:szCs w:val="20"/>
    </w:rPr>
  </w:style>
  <w:style w:type="character" w:styleId="Alaviitteenviite">
    <w:name w:val="footnote reference"/>
    <w:basedOn w:val="Kappaleenoletusfontti"/>
    <w:uiPriority w:val="99"/>
    <w:semiHidden/>
    <w:unhideWhenUsed/>
    <w:rsid w:val="00215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4383</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kämäräinen</dc:creator>
  <cp:keywords/>
  <dc:description/>
  <cp:lastModifiedBy>Sirviö Kari (MMM)</cp:lastModifiedBy>
  <cp:revision>2</cp:revision>
  <dcterms:created xsi:type="dcterms:W3CDTF">2019-06-07T06:08:00Z</dcterms:created>
  <dcterms:modified xsi:type="dcterms:W3CDTF">2019-06-07T06:08:00Z</dcterms:modified>
</cp:coreProperties>
</file>