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E7B" w:rsidRDefault="007941CD" w:rsidP="00E86D0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-174625</wp:posOffset>
            </wp:positionV>
            <wp:extent cx="1665605" cy="683260"/>
            <wp:effectExtent l="19050" t="0" r="0" b="0"/>
            <wp:wrapSquare wrapText="bothSides"/>
            <wp:docPr id="4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1481">
        <w:tab/>
      </w:r>
      <w:r w:rsidR="00D31481">
        <w:tab/>
      </w:r>
    </w:p>
    <w:p w:rsidR="00B22E7B" w:rsidRDefault="00B22E7B" w:rsidP="00E86D0D"/>
    <w:p w:rsidR="00E86D0D" w:rsidRPr="00E86D0D" w:rsidRDefault="00B22E7B" w:rsidP="00B22E7B">
      <w:pPr>
        <w:tabs>
          <w:tab w:val="left" w:pos="5387"/>
        </w:tabs>
        <w:rPr>
          <w:rFonts w:cs="Arial"/>
          <w:iCs/>
          <w:szCs w:val="24"/>
        </w:rPr>
      </w:pPr>
      <w:r>
        <w:tab/>
      </w:r>
      <w:r w:rsidR="008D5AE2">
        <w:t>LAUSUNTO Nro 16</w:t>
      </w:r>
      <w:r w:rsidR="007B271D">
        <w:t>/14</w:t>
      </w:r>
    </w:p>
    <w:p w:rsidR="00E86D0D" w:rsidRPr="00E86D0D" w:rsidRDefault="00E86D0D" w:rsidP="00B22E7B">
      <w:pPr>
        <w:tabs>
          <w:tab w:val="left" w:pos="5387"/>
        </w:tabs>
        <w:jc w:val="both"/>
        <w:rPr>
          <w:rFonts w:cs="Arial"/>
          <w:iCs/>
          <w:szCs w:val="24"/>
        </w:rPr>
      </w:pPr>
    </w:p>
    <w:p w:rsidR="004F0B11" w:rsidRDefault="004F0B11" w:rsidP="00B22E7B">
      <w:pPr>
        <w:tabs>
          <w:tab w:val="left" w:pos="5387"/>
        </w:tabs>
        <w:jc w:val="both"/>
        <w:rPr>
          <w:rFonts w:cs="Arial"/>
          <w:iCs/>
          <w:szCs w:val="24"/>
        </w:rPr>
      </w:pPr>
    </w:p>
    <w:p w:rsidR="004F0B11" w:rsidRDefault="004F0B11" w:rsidP="00B22E7B">
      <w:pPr>
        <w:tabs>
          <w:tab w:val="left" w:pos="5387"/>
        </w:tabs>
        <w:jc w:val="both"/>
        <w:rPr>
          <w:rFonts w:cs="Arial"/>
          <w:iCs/>
          <w:szCs w:val="24"/>
        </w:rPr>
      </w:pPr>
    </w:p>
    <w:p w:rsidR="00E86D0D" w:rsidRPr="00E86D0D" w:rsidRDefault="007B271D" w:rsidP="00B22E7B">
      <w:pPr>
        <w:tabs>
          <w:tab w:val="left" w:pos="5387"/>
        </w:tabs>
        <w:jc w:val="both"/>
        <w:rPr>
          <w:rFonts w:cs="Arial"/>
          <w:iCs/>
          <w:szCs w:val="24"/>
        </w:rPr>
      </w:pPr>
      <w:r>
        <w:rPr>
          <w:rFonts w:cs="Arial"/>
          <w:iCs/>
          <w:szCs w:val="24"/>
        </w:rPr>
        <w:t>PH/-</w:t>
      </w:r>
      <w:r w:rsidR="00E86D0D">
        <w:rPr>
          <w:rFonts w:cs="Arial"/>
          <w:iCs/>
          <w:szCs w:val="24"/>
        </w:rPr>
        <w:tab/>
      </w:r>
      <w:r>
        <w:rPr>
          <w:rFonts w:cs="Arial"/>
          <w:iCs/>
          <w:szCs w:val="24"/>
        </w:rPr>
        <w:t>1.6.2014</w:t>
      </w:r>
    </w:p>
    <w:p w:rsidR="00E86D0D" w:rsidRPr="00E86D0D" w:rsidRDefault="00E86D0D" w:rsidP="00B22E7B">
      <w:pPr>
        <w:tabs>
          <w:tab w:val="left" w:pos="5387"/>
        </w:tabs>
        <w:jc w:val="both"/>
        <w:rPr>
          <w:rFonts w:cs="Arial"/>
          <w:iCs/>
          <w:szCs w:val="24"/>
        </w:rPr>
      </w:pPr>
    </w:p>
    <w:p w:rsidR="00E86D0D" w:rsidRPr="00E86D0D" w:rsidRDefault="00E86D0D" w:rsidP="00E86D0D">
      <w:pPr>
        <w:jc w:val="both"/>
        <w:rPr>
          <w:rFonts w:cs="Arial"/>
          <w:iCs/>
          <w:szCs w:val="24"/>
        </w:rPr>
      </w:pPr>
    </w:p>
    <w:p w:rsidR="004F0B11" w:rsidRDefault="004F0B11" w:rsidP="00E86D0D">
      <w:pPr>
        <w:jc w:val="both"/>
        <w:rPr>
          <w:rFonts w:cs="Arial"/>
          <w:iCs/>
          <w:szCs w:val="24"/>
        </w:rPr>
      </w:pPr>
    </w:p>
    <w:p w:rsidR="004F0B11" w:rsidRDefault="004F0B11" w:rsidP="00E86D0D">
      <w:pPr>
        <w:jc w:val="both"/>
        <w:rPr>
          <w:rFonts w:cs="Arial"/>
          <w:iCs/>
          <w:szCs w:val="24"/>
        </w:rPr>
      </w:pPr>
    </w:p>
    <w:p w:rsidR="00E86D0D" w:rsidRPr="00E86D0D" w:rsidRDefault="007B271D" w:rsidP="00E86D0D">
      <w:pPr>
        <w:jc w:val="both"/>
        <w:rPr>
          <w:rFonts w:cs="Arial"/>
          <w:iCs/>
          <w:szCs w:val="24"/>
        </w:rPr>
      </w:pPr>
      <w:r>
        <w:rPr>
          <w:rFonts w:cs="Arial"/>
          <w:iCs/>
          <w:szCs w:val="24"/>
        </w:rPr>
        <w:t>Työ- ja elinkeinoministeriö</w:t>
      </w:r>
    </w:p>
    <w:p w:rsidR="00E86D0D" w:rsidRDefault="00DA601E" w:rsidP="00E86D0D">
      <w:pPr>
        <w:jc w:val="both"/>
        <w:rPr>
          <w:szCs w:val="24"/>
        </w:rPr>
      </w:pPr>
      <w:hyperlink r:id="rId8" w:history="1">
        <w:r w:rsidR="007B271D" w:rsidRPr="00486C5F">
          <w:rPr>
            <w:rStyle w:val="Hyperlinkki"/>
            <w:szCs w:val="24"/>
          </w:rPr>
          <w:t>kirjaamo@tem.fi</w:t>
        </w:r>
      </w:hyperlink>
    </w:p>
    <w:p w:rsidR="007B271D" w:rsidRPr="00E86D0D" w:rsidRDefault="007B271D" w:rsidP="00E86D0D">
      <w:pPr>
        <w:jc w:val="both"/>
        <w:rPr>
          <w:szCs w:val="24"/>
        </w:rPr>
      </w:pPr>
      <w:r>
        <w:rPr>
          <w:szCs w:val="24"/>
        </w:rPr>
        <w:t>laura.north@tem.fi</w:t>
      </w:r>
    </w:p>
    <w:p w:rsidR="00E86D0D" w:rsidRPr="00E86D0D" w:rsidRDefault="00E86D0D" w:rsidP="00E86D0D">
      <w:pPr>
        <w:jc w:val="both"/>
        <w:rPr>
          <w:szCs w:val="24"/>
        </w:rPr>
      </w:pPr>
    </w:p>
    <w:p w:rsidR="007B271D" w:rsidRDefault="007B271D" w:rsidP="00E86D0D">
      <w:pPr>
        <w:jc w:val="both"/>
        <w:rPr>
          <w:b/>
          <w:szCs w:val="24"/>
        </w:rPr>
      </w:pPr>
    </w:p>
    <w:p w:rsidR="004F0B11" w:rsidRPr="00E86D0D" w:rsidRDefault="004F0B11" w:rsidP="00E86D0D">
      <w:pPr>
        <w:jc w:val="both"/>
        <w:rPr>
          <w:b/>
          <w:szCs w:val="24"/>
        </w:rPr>
      </w:pPr>
    </w:p>
    <w:p w:rsidR="004F0B11" w:rsidRDefault="004F0B11" w:rsidP="005F7D22">
      <w:pPr>
        <w:rPr>
          <w:szCs w:val="24"/>
        </w:rPr>
      </w:pPr>
    </w:p>
    <w:p w:rsidR="004F0B11" w:rsidRDefault="004F0B11" w:rsidP="005F7D22">
      <w:pPr>
        <w:rPr>
          <w:szCs w:val="24"/>
        </w:rPr>
      </w:pPr>
    </w:p>
    <w:p w:rsidR="005F7D22" w:rsidRPr="007B271D" w:rsidRDefault="007B271D" w:rsidP="005F7D22">
      <w:pPr>
        <w:rPr>
          <w:szCs w:val="24"/>
        </w:rPr>
      </w:pPr>
      <w:r>
        <w:rPr>
          <w:szCs w:val="24"/>
        </w:rPr>
        <w:t>Viite: lausuntopyyntö 6.5.2014 TEM/877/03.01.01/2014</w:t>
      </w:r>
    </w:p>
    <w:p w:rsidR="004F0B11" w:rsidRDefault="004F0B11" w:rsidP="005F7D22">
      <w:pPr>
        <w:rPr>
          <w:b/>
          <w:szCs w:val="24"/>
        </w:rPr>
      </w:pPr>
    </w:p>
    <w:p w:rsidR="005F7D22" w:rsidRPr="007B271D" w:rsidRDefault="007B271D" w:rsidP="005F7D22">
      <w:pPr>
        <w:rPr>
          <w:b/>
          <w:szCs w:val="24"/>
        </w:rPr>
      </w:pPr>
      <w:proofErr w:type="gramStart"/>
      <w:r w:rsidRPr="007B271D">
        <w:rPr>
          <w:b/>
          <w:szCs w:val="24"/>
        </w:rPr>
        <w:lastRenderedPageBreak/>
        <w:t>LUONNOS HALLITUKSEN ESITYKSEKSI ENERGIATEHOKKUUSLAIKSI SEKÄ LAEIKSI SÄHKÖMARKKINALAIN JA SÄHKÖ- JA MAAKAASUMARKKINALAIN VALVONNASTA ANNETUN LAIN MUUTTAMISEKSI</w:t>
      </w:r>
      <w:proofErr w:type="gramEnd"/>
    </w:p>
    <w:p w:rsidR="005F7D22" w:rsidRPr="007B271D" w:rsidRDefault="005F7D22" w:rsidP="005F7D22">
      <w:pPr>
        <w:rPr>
          <w:b/>
          <w:szCs w:val="24"/>
        </w:rPr>
      </w:pPr>
    </w:p>
    <w:p w:rsidR="005F7D22" w:rsidRDefault="007B271D" w:rsidP="005F7D22">
      <w:pPr>
        <w:ind w:left="1701"/>
        <w:rPr>
          <w:szCs w:val="24"/>
        </w:rPr>
      </w:pPr>
      <w:r>
        <w:rPr>
          <w:szCs w:val="24"/>
        </w:rPr>
        <w:t xml:space="preserve">Työ- ja elinkeinoministeriön pyydettyä Öljyalan Keskusliiton lausuntoa otsikossa mainitusta luonnoksesta keskusliitto </w:t>
      </w:r>
      <w:r w:rsidR="00C57160">
        <w:rPr>
          <w:szCs w:val="24"/>
        </w:rPr>
        <w:t>esittää lausuntonaan energiatehokkuuslakiluonnoksen osalta lähinnä jatkovalmisteluun liittyen seuraavaa.</w:t>
      </w:r>
    </w:p>
    <w:p w:rsidR="007B271D" w:rsidRDefault="007B271D" w:rsidP="005F7D22">
      <w:pPr>
        <w:ind w:left="1701"/>
        <w:rPr>
          <w:szCs w:val="24"/>
        </w:rPr>
      </w:pPr>
    </w:p>
    <w:p w:rsidR="00C57160" w:rsidRPr="00C57160" w:rsidRDefault="00C57160" w:rsidP="00C57160">
      <w:pPr>
        <w:pStyle w:val="Luettelokappale"/>
        <w:ind w:left="1701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Lakiehdotus sisältää useita </w:t>
      </w:r>
      <w:r w:rsidRPr="00C57160">
        <w:rPr>
          <w:rFonts w:ascii="Arial" w:hAnsi="Arial" w:cs="Arial"/>
          <w:color w:val="000000" w:themeColor="text1"/>
        </w:rPr>
        <w:t xml:space="preserve">asetuksenantovaltuuksia. </w:t>
      </w:r>
      <w:r w:rsidR="005A4D16">
        <w:rPr>
          <w:rFonts w:ascii="Arial" w:hAnsi="Arial" w:cs="Arial"/>
          <w:color w:val="000000" w:themeColor="text1"/>
        </w:rPr>
        <w:t>Tällaisia olisivat mm. yritysten energiakatselmusten ja kohdekatselmusten vähimmäisvaatimukset. Vastaavasti lakiehdotus käsittää Energiavirastolle annettavia valtuuksia raportoinnin sisällöstä määräämisen osalta. Kun y</w:t>
      </w:r>
      <w:r>
        <w:rPr>
          <w:rFonts w:ascii="Arial" w:hAnsi="Arial" w:cs="Arial"/>
          <w:color w:val="000000" w:themeColor="text1"/>
        </w:rPr>
        <w:t xml:space="preserve">ritysten kannalta </w:t>
      </w:r>
      <w:r w:rsidR="005A4D16">
        <w:rPr>
          <w:rFonts w:ascii="Arial" w:hAnsi="Arial" w:cs="Arial"/>
          <w:color w:val="000000" w:themeColor="text1"/>
        </w:rPr>
        <w:t xml:space="preserve">vaatimusten </w:t>
      </w:r>
      <w:r>
        <w:rPr>
          <w:rFonts w:ascii="Arial" w:hAnsi="Arial" w:cs="Arial"/>
          <w:color w:val="000000" w:themeColor="text1"/>
        </w:rPr>
        <w:t xml:space="preserve">olennainen sisältö ja velvoitteet määräytyvät ja täsmentyvät pitkälti vasta </w:t>
      </w:r>
      <w:r w:rsidR="005A4D16">
        <w:rPr>
          <w:rFonts w:ascii="Arial" w:hAnsi="Arial" w:cs="Arial"/>
          <w:color w:val="000000" w:themeColor="text1"/>
        </w:rPr>
        <w:t>asetuksissa ja määräyksissä, on</w:t>
      </w:r>
      <w:r>
        <w:rPr>
          <w:rFonts w:ascii="Arial" w:hAnsi="Arial" w:cs="Arial"/>
          <w:color w:val="000000" w:themeColor="text1"/>
        </w:rPr>
        <w:t xml:space="preserve"> </w:t>
      </w:r>
      <w:r w:rsidR="005A4D16">
        <w:rPr>
          <w:rFonts w:ascii="Arial" w:hAnsi="Arial" w:cs="Arial"/>
          <w:color w:val="000000" w:themeColor="text1"/>
        </w:rPr>
        <w:t>näiden jatko</w:t>
      </w:r>
      <w:r w:rsidRPr="00C57160">
        <w:rPr>
          <w:rFonts w:ascii="Arial" w:hAnsi="Arial" w:cs="Arial"/>
          <w:color w:val="000000" w:themeColor="text1"/>
        </w:rPr>
        <w:t xml:space="preserve">valmistelussa </w:t>
      </w:r>
      <w:r w:rsidR="005A4D16">
        <w:rPr>
          <w:rFonts w:ascii="Arial" w:hAnsi="Arial" w:cs="Arial"/>
          <w:color w:val="000000" w:themeColor="text1"/>
        </w:rPr>
        <w:t xml:space="preserve">kuultava </w:t>
      </w:r>
      <w:r w:rsidRPr="00C57160">
        <w:rPr>
          <w:rFonts w:ascii="Arial" w:hAnsi="Arial" w:cs="Arial"/>
          <w:color w:val="000000" w:themeColor="text1"/>
        </w:rPr>
        <w:t xml:space="preserve">aktiivisesti </w:t>
      </w:r>
      <w:r w:rsidR="005A4D16">
        <w:rPr>
          <w:rFonts w:ascii="Arial" w:hAnsi="Arial" w:cs="Arial"/>
          <w:color w:val="000000" w:themeColor="text1"/>
        </w:rPr>
        <w:t xml:space="preserve">elinkeinoelämää ja otettava sen esittämät näkemykset huomioon. </w:t>
      </w:r>
      <w:r w:rsidRPr="00C57160">
        <w:rPr>
          <w:rFonts w:ascii="Arial" w:hAnsi="Arial" w:cs="Arial"/>
          <w:color w:val="000000" w:themeColor="text1"/>
        </w:rPr>
        <w:t xml:space="preserve"> </w:t>
      </w:r>
    </w:p>
    <w:p w:rsidR="00C57160" w:rsidRPr="00C57160" w:rsidRDefault="00C57160" w:rsidP="00C57160">
      <w:pPr>
        <w:rPr>
          <w:rFonts w:cs="Arial"/>
          <w:color w:val="000000" w:themeColor="text1"/>
          <w:szCs w:val="24"/>
        </w:rPr>
      </w:pPr>
      <w:r w:rsidRPr="00C57160">
        <w:rPr>
          <w:rFonts w:cs="Arial"/>
          <w:color w:val="000000" w:themeColor="text1"/>
          <w:szCs w:val="24"/>
        </w:rPr>
        <w:t> </w:t>
      </w:r>
    </w:p>
    <w:p w:rsidR="00C57160" w:rsidRDefault="00C57160" w:rsidP="005A4D16">
      <w:pPr>
        <w:pStyle w:val="Luettelokappale"/>
        <w:ind w:left="1701"/>
        <w:rPr>
          <w:rFonts w:ascii="Arial" w:hAnsi="Arial" w:cs="Arial"/>
          <w:color w:val="000000" w:themeColor="text1"/>
        </w:rPr>
      </w:pPr>
      <w:r w:rsidRPr="00C57160">
        <w:rPr>
          <w:rFonts w:ascii="Arial" w:hAnsi="Arial" w:cs="Arial"/>
          <w:color w:val="000000" w:themeColor="text1"/>
        </w:rPr>
        <w:t>Yritykse</w:t>
      </w:r>
      <w:r>
        <w:rPr>
          <w:rFonts w:ascii="Arial" w:hAnsi="Arial" w:cs="Arial"/>
          <w:color w:val="000000" w:themeColor="text1"/>
        </w:rPr>
        <w:t>n energiatehokkuuskatselmusten </w:t>
      </w:r>
      <w:r w:rsidRPr="00C57160">
        <w:rPr>
          <w:rFonts w:ascii="Arial" w:hAnsi="Arial" w:cs="Arial"/>
          <w:color w:val="000000" w:themeColor="text1"/>
        </w:rPr>
        <w:t xml:space="preserve">otosten riittävä määrä ei </w:t>
      </w:r>
      <w:r w:rsidR="005A4D16">
        <w:rPr>
          <w:rFonts w:ascii="Arial" w:hAnsi="Arial" w:cs="Arial"/>
          <w:color w:val="000000" w:themeColor="text1"/>
        </w:rPr>
        <w:t xml:space="preserve">myöskään </w:t>
      </w:r>
      <w:r w:rsidRPr="00C57160">
        <w:rPr>
          <w:rFonts w:ascii="Arial" w:hAnsi="Arial" w:cs="Arial"/>
          <w:color w:val="000000" w:themeColor="text1"/>
        </w:rPr>
        <w:t xml:space="preserve">saa johtaa siihen, että yhtiörakenteesta johtuen katselmukset kohdistuisivat aina vain samoihin kohteisiin. </w:t>
      </w:r>
      <w:r w:rsidR="005A4D16">
        <w:rPr>
          <w:rFonts w:ascii="Arial" w:hAnsi="Arial" w:cs="Arial"/>
          <w:color w:val="000000" w:themeColor="text1"/>
        </w:rPr>
        <w:t>E</w:t>
      </w:r>
      <w:r w:rsidRPr="00C57160">
        <w:rPr>
          <w:rFonts w:ascii="Arial" w:hAnsi="Arial" w:cs="Arial"/>
          <w:color w:val="000000" w:themeColor="text1"/>
        </w:rPr>
        <w:t>nergiatehokkuuskatselmu</w:t>
      </w:r>
      <w:r w:rsidR="005A4D16">
        <w:rPr>
          <w:rFonts w:ascii="Arial" w:hAnsi="Arial" w:cs="Arial"/>
          <w:color w:val="000000" w:themeColor="text1"/>
        </w:rPr>
        <w:t xml:space="preserve">sta koskevan asetuksen tulisi myös mahdollistaa </w:t>
      </w:r>
      <w:r w:rsidR="00093BA6">
        <w:rPr>
          <w:rFonts w:ascii="Arial" w:hAnsi="Arial" w:cs="Arial"/>
          <w:color w:val="000000" w:themeColor="text1"/>
        </w:rPr>
        <w:t xml:space="preserve">oikeus </w:t>
      </w:r>
      <w:r w:rsidR="005A4D16">
        <w:rPr>
          <w:rFonts w:ascii="Arial" w:hAnsi="Arial" w:cs="Arial"/>
          <w:color w:val="000000" w:themeColor="text1"/>
        </w:rPr>
        <w:t>valita katselmuksen tekota</w:t>
      </w:r>
      <w:r w:rsidR="00093BA6">
        <w:rPr>
          <w:rFonts w:ascii="Arial" w:hAnsi="Arial" w:cs="Arial"/>
          <w:color w:val="000000" w:themeColor="text1"/>
        </w:rPr>
        <w:t xml:space="preserve">pa vapaasti. </w:t>
      </w:r>
      <w:r w:rsidRPr="00C57160">
        <w:rPr>
          <w:rFonts w:ascii="Arial" w:hAnsi="Arial" w:cs="Arial"/>
          <w:color w:val="000000" w:themeColor="text1"/>
        </w:rPr>
        <w:t xml:space="preserve"> </w:t>
      </w:r>
    </w:p>
    <w:p w:rsidR="00093BA6" w:rsidRDefault="00093BA6" w:rsidP="005A4D16">
      <w:pPr>
        <w:pStyle w:val="Luettelokappale"/>
        <w:ind w:left="1701"/>
        <w:rPr>
          <w:rFonts w:ascii="Arial" w:hAnsi="Arial" w:cs="Arial"/>
          <w:color w:val="000000" w:themeColor="text1"/>
        </w:rPr>
      </w:pPr>
    </w:p>
    <w:p w:rsidR="00C57160" w:rsidRPr="00C57160" w:rsidRDefault="00093BA6" w:rsidP="00093BA6">
      <w:pPr>
        <w:pStyle w:val="Luettelokappale"/>
        <w:ind w:left="1701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Ehdotus käsittää myös säännöksiä sähkön ja lämmön yhteistuotannon edistämisestä. Ehdotuksen 27 §:ssä säädettäisiin tähän liittyvästä kustannus-hyötyanalyysistä. </w:t>
      </w:r>
      <w:r w:rsidR="00C57160" w:rsidRPr="00C57160">
        <w:rPr>
          <w:rFonts w:ascii="Arial" w:hAnsi="Arial" w:cs="Arial"/>
          <w:color w:val="000000" w:themeColor="text1"/>
        </w:rPr>
        <w:t>Vaarallisten kemikaalien käsittelyn piiriin kuuluvissa laitoksissa kynnysarvojen lisäksi tu</w:t>
      </w:r>
      <w:r>
        <w:rPr>
          <w:rFonts w:ascii="Arial" w:hAnsi="Arial" w:cs="Arial"/>
          <w:color w:val="000000" w:themeColor="text1"/>
        </w:rPr>
        <w:t>lee ottaa huomioon myös</w:t>
      </w:r>
      <w:r w:rsidR="00C57160" w:rsidRPr="00C57160">
        <w:rPr>
          <w:rFonts w:ascii="Arial" w:hAnsi="Arial" w:cs="Arial"/>
          <w:color w:val="000000" w:themeColor="text1"/>
        </w:rPr>
        <w:t xml:space="preserve"> turvallisuusnäkökohdat. Vaikka ylijäämälämpöä olisi tarjolla käyttökelpoisella lämpötilatasolla, </w:t>
      </w:r>
      <w:r>
        <w:rPr>
          <w:rFonts w:ascii="Arial" w:hAnsi="Arial" w:cs="Arial"/>
          <w:color w:val="000000" w:themeColor="text1"/>
        </w:rPr>
        <w:t>saattaa lämmön hyödyntämisen esteeksi muodostua</w:t>
      </w:r>
      <w:r w:rsidR="00C57160" w:rsidRPr="00C57160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p</w:t>
      </w:r>
      <w:r w:rsidR="00C57160" w:rsidRPr="00C57160">
        <w:rPr>
          <w:rFonts w:ascii="Arial" w:hAnsi="Arial" w:cs="Arial"/>
          <w:color w:val="000000" w:themeColor="text1"/>
        </w:rPr>
        <w:t>rosessiturvallisuus</w:t>
      </w:r>
      <w:r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lastRenderedPageBreak/>
        <w:t xml:space="preserve">Mikäli ehdotuksessa tarkoitetun </w:t>
      </w:r>
      <w:r w:rsidR="00C57160" w:rsidRPr="00C57160">
        <w:rPr>
          <w:rFonts w:ascii="Arial" w:hAnsi="Arial" w:cs="Arial"/>
          <w:color w:val="000000" w:themeColor="text1"/>
        </w:rPr>
        <w:t xml:space="preserve">kustannus-hyötyanalyysin </w:t>
      </w:r>
      <w:r>
        <w:rPr>
          <w:rFonts w:ascii="Arial" w:hAnsi="Arial" w:cs="Arial"/>
          <w:color w:val="000000" w:themeColor="text1"/>
        </w:rPr>
        <w:t xml:space="preserve">laatiminen ei olisi tällaisesta syystä </w:t>
      </w:r>
      <w:r w:rsidR="00C57160" w:rsidRPr="00C57160">
        <w:rPr>
          <w:rFonts w:ascii="Arial" w:hAnsi="Arial" w:cs="Arial"/>
          <w:color w:val="000000" w:themeColor="text1"/>
        </w:rPr>
        <w:t>mielekästä</w:t>
      </w:r>
      <w:r>
        <w:rPr>
          <w:rFonts w:ascii="Arial" w:hAnsi="Arial" w:cs="Arial"/>
          <w:color w:val="000000" w:themeColor="text1"/>
        </w:rPr>
        <w:t xml:space="preserve">, esitämme harkittavaksi, että turvallisuusnäkökohdat lisättäisiin ehdotuksen </w:t>
      </w:r>
      <w:r w:rsidR="007807A3">
        <w:rPr>
          <w:rFonts w:ascii="Arial" w:hAnsi="Arial" w:cs="Arial"/>
          <w:color w:val="000000" w:themeColor="text1"/>
        </w:rPr>
        <w:t>28 §:ään mahdollisena edellytyksenä vapautua kustannus-hyötyanalyysin tekemisestä.</w:t>
      </w:r>
    </w:p>
    <w:p w:rsidR="007B271D" w:rsidRPr="00C57160" w:rsidRDefault="007B271D" w:rsidP="00C57160">
      <w:pPr>
        <w:rPr>
          <w:color w:val="000000" w:themeColor="text1"/>
          <w:szCs w:val="24"/>
        </w:rPr>
      </w:pPr>
    </w:p>
    <w:p w:rsidR="007807A3" w:rsidRDefault="004F0B11" w:rsidP="005F7D22">
      <w:pPr>
        <w:ind w:left="1701"/>
        <w:rPr>
          <w:szCs w:val="24"/>
        </w:rPr>
      </w:pPr>
      <w:r>
        <w:rPr>
          <w:noProof/>
        </w:rPr>
        <w:drawing>
          <wp:anchor distT="0" distB="0" distL="114300" distR="114300" simplePos="0" relativeHeight="251659776" behindDoc="0" locked="0" layoutInCell="0" allowOverlap="1" wp14:anchorId="3D739E3A" wp14:editId="1789EAC5">
            <wp:simplePos x="0" y="0"/>
            <wp:positionH relativeFrom="column">
              <wp:posOffset>1077746</wp:posOffset>
            </wp:positionH>
            <wp:positionV relativeFrom="paragraph">
              <wp:posOffset>332209</wp:posOffset>
            </wp:positionV>
            <wp:extent cx="1097280" cy="790575"/>
            <wp:effectExtent l="19050" t="0" r="7620" b="0"/>
            <wp:wrapTopAndBottom/>
            <wp:docPr id="2" name="Kuva 2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07A3">
        <w:rPr>
          <w:szCs w:val="24"/>
        </w:rPr>
        <w:t>ÖLJYALAN KESKUSLIITTO</w:t>
      </w:r>
    </w:p>
    <w:p w:rsidR="007807A3" w:rsidRDefault="007807A3" w:rsidP="005F7D22">
      <w:pPr>
        <w:ind w:left="1701"/>
        <w:rPr>
          <w:szCs w:val="24"/>
        </w:rPr>
      </w:pPr>
    </w:p>
    <w:p w:rsidR="007807A3" w:rsidRDefault="007807A3" w:rsidP="005F7D22">
      <w:pPr>
        <w:ind w:left="1701"/>
        <w:rPr>
          <w:szCs w:val="24"/>
        </w:rPr>
      </w:pPr>
      <w:r>
        <w:rPr>
          <w:szCs w:val="24"/>
        </w:rPr>
        <w:t>Pekka Huttula</w:t>
      </w:r>
    </w:p>
    <w:p w:rsidR="00126D0B" w:rsidRPr="007B271D" w:rsidRDefault="007807A3" w:rsidP="007807A3">
      <w:pPr>
        <w:ind w:left="1701"/>
        <w:rPr>
          <w:szCs w:val="24"/>
        </w:rPr>
      </w:pPr>
      <w:r>
        <w:rPr>
          <w:szCs w:val="24"/>
        </w:rPr>
        <w:t>Varatoimitusjohtaja</w:t>
      </w:r>
      <w:r w:rsidR="005F7D22" w:rsidRPr="007B271D">
        <w:rPr>
          <w:szCs w:val="24"/>
        </w:rPr>
        <w:tab/>
      </w:r>
    </w:p>
    <w:sectPr w:rsidR="00126D0B" w:rsidRPr="007B271D" w:rsidSect="00E0649C">
      <w:footerReference w:type="default" r:id="rId10"/>
      <w:pgSz w:w="11906" w:h="16838"/>
      <w:pgMar w:top="454" w:right="1134" w:bottom="90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AA0" w:rsidRDefault="00711AA0">
      <w:r>
        <w:separator/>
      </w:r>
    </w:p>
  </w:endnote>
  <w:endnote w:type="continuationSeparator" w:id="0">
    <w:p w:rsidR="00711AA0" w:rsidRDefault="00711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D2F" w:rsidRDefault="00887D2F" w:rsidP="006B43E9">
    <w:pPr>
      <w:pStyle w:val="Alatunniste"/>
      <w:tabs>
        <w:tab w:val="clear" w:pos="4819"/>
        <w:tab w:val="clear" w:pos="9638"/>
        <w:tab w:val="left" w:pos="2835"/>
        <w:tab w:val="left" w:pos="4536"/>
        <w:tab w:val="left" w:pos="6237"/>
        <w:tab w:val="left" w:pos="8080"/>
        <w:tab w:val="right" w:pos="9923"/>
      </w:tabs>
      <w:ind w:right="-285"/>
      <w:rPr>
        <w:color w:val="808080"/>
        <w:sz w:val="16"/>
      </w:rPr>
    </w:pPr>
    <w:r>
      <w:rPr>
        <w:color w:val="808080"/>
        <w:sz w:val="16"/>
      </w:rPr>
      <w:t>Öljyalan Keskusliitto ry</w:t>
    </w:r>
    <w:r>
      <w:rPr>
        <w:color w:val="808080"/>
        <w:sz w:val="16"/>
      </w:rPr>
      <w:tab/>
    </w:r>
    <w:r w:rsidR="0024614E">
      <w:rPr>
        <w:color w:val="808080"/>
        <w:sz w:val="16"/>
      </w:rPr>
      <w:t>Unioninkatu 22</w:t>
    </w:r>
    <w:r w:rsidR="00871C8C">
      <w:rPr>
        <w:color w:val="808080"/>
        <w:sz w:val="16"/>
      </w:rPr>
      <w:tab/>
      <w:t>PL 1405</w:t>
    </w:r>
    <w:r w:rsidR="00871C8C">
      <w:rPr>
        <w:color w:val="808080"/>
        <w:sz w:val="16"/>
      </w:rPr>
      <w:tab/>
      <w:t xml:space="preserve">Puh. </w:t>
    </w:r>
    <w:r w:rsidR="007807A3">
      <w:rPr>
        <w:color w:val="808080"/>
        <w:sz w:val="16"/>
      </w:rPr>
      <w:t>040 503 9465</w:t>
    </w:r>
    <w:r>
      <w:rPr>
        <w:color w:val="808080"/>
        <w:sz w:val="16"/>
      </w:rPr>
      <w:tab/>
    </w:r>
    <w:r w:rsidR="007807A3">
      <w:rPr>
        <w:color w:val="808080"/>
        <w:sz w:val="16"/>
      </w:rPr>
      <w:t>pekka.huttula</w:t>
    </w:r>
    <w:r>
      <w:rPr>
        <w:color w:val="808080"/>
        <w:sz w:val="16"/>
      </w:rPr>
      <w:t>@oil.fi</w:t>
    </w:r>
  </w:p>
  <w:p w:rsidR="00887D2F" w:rsidRDefault="00887D2F" w:rsidP="006B43E9">
    <w:pPr>
      <w:pStyle w:val="Alatunniste"/>
      <w:tabs>
        <w:tab w:val="clear" w:pos="4819"/>
        <w:tab w:val="left" w:pos="2835"/>
        <w:tab w:val="left" w:pos="4536"/>
        <w:tab w:val="left" w:pos="6237"/>
        <w:tab w:val="left" w:pos="8080"/>
      </w:tabs>
      <w:rPr>
        <w:sz w:val="18"/>
      </w:rPr>
    </w:pPr>
    <w:r>
      <w:rPr>
        <w:color w:val="808080"/>
        <w:sz w:val="16"/>
      </w:rPr>
      <w:t>Y-tunnus 0117177-6</w:t>
    </w:r>
    <w:r>
      <w:rPr>
        <w:color w:val="808080"/>
        <w:sz w:val="16"/>
      </w:rPr>
      <w:tab/>
      <w:t>001</w:t>
    </w:r>
    <w:r w:rsidR="00FE6609">
      <w:rPr>
        <w:color w:val="808080"/>
        <w:sz w:val="16"/>
      </w:rPr>
      <w:t>3</w:t>
    </w:r>
    <w:r>
      <w:rPr>
        <w:color w:val="808080"/>
        <w:sz w:val="16"/>
      </w:rPr>
      <w:t>0 Helsinki</w:t>
    </w:r>
    <w:r>
      <w:rPr>
        <w:color w:val="808080"/>
        <w:sz w:val="16"/>
      </w:rPr>
      <w:tab/>
      <w:t>0</w:t>
    </w:r>
    <w:r w:rsidR="0024614E">
      <w:rPr>
        <w:color w:val="808080"/>
        <w:sz w:val="16"/>
      </w:rPr>
      <w:t>0101 Helsinki</w:t>
    </w:r>
    <w:r w:rsidR="0024614E">
      <w:rPr>
        <w:color w:val="808080"/>
        <w:sz w:val="16"/>
      </w:rPr>
      <w:tab/>
    </w:r>
    <w:r>
      <w:rPr>
        <w:color w:val="808080"/>
        <w:sz w:val="16"/>
      </w:rPr>
      <w:tab/>
      <w:t>www.oil.fi</w:t>
    </w:r>
  </w:p>
  <w:p w:rsidR="00887D2F" w:rsidRDefault="00887D2F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AA0" w:rsidRDefault="00711AA0">
      <w:r>
        <w:separator/>
      </w:r>
    </w:p>
  </w:footnote>
  <w:footnote w:type="continuationSeparator" w:id="0">
    <w:p w:rsidR="00711AA0" w:rsidRDefault="00711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55329"/>
    <w:multiLevelType w:val="hybridMultilevel"/>
    <w:tmpl w:val="025609EA"/>
    <w:lvl w:ilvl="0" w:tplc="E84A1D5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C01"/>
    <w:rsid w:val="00093BA6"/>
    <w:rsid w:val="000C6DAC"/>
    <w:rsid w:val="00126D0B"/>
    <w:rsid w:val="001A3E73"/>
    <w:rsid w:val="0024614E"/>
    <w:rsid w:val="003463E3"/>
    <w:rsid w:val="00360758"/>
    <w:rsid w:val="00413396"/>
    <w:rsid w:val="00464ACE"/>
    <w:rsid w:val="004C5400"/>
    <w:rsid w:val="004E7E32"/>
    <w:rsid w:val="004F0B11"/>
    <w:rsid w:val="005A06A3"/>
    <w:rsid w:val="005A4D16"/>
    <w:rsid w:val="005F7D22"/>
    <w:rsid w:val="006B43E9"/>
    <w:rsid w:val="006C34AD"/>
    <w:rsid w:val="006C5F3F"/>
    <w:rsid w:val="006C792A"/>
    <w:rsid w:val="00711AA0"/>
    <w:rsid w:val="007807A3"/>
    <w:rsid w:val="007941CD"/>
    <w:rsid w:val="007B271D"/>
    <w:rsid w:val="00871C8C"/>
    <w:rsid w:val="00887D2F"/>
    <w:rsid w:val="008D5AE2"/>
    <w:rsid w:val="009F3E00"/>
    <w:rsid w:val="00A16C01"/>
    <w:rsid w:val="00A578D4"/>
    <w:rsid w:val="00A87048"/>
    <w:rsid w:val="00AD1AB2"/>
    <w:rsid w:val="00B22E7B"/>
    <w:rsid w:val="00B34E33"/>
    <w:rsid w:val="00B55A9E"/>
    <w:rsid w:val="00BC0D54"/>
    <w:rsid w:val="00BF09E0"/>
    <w:rsid w:val="00C57160"/>
    <w:rsid w:val="00CA7EF3"/>
    <w:rsid w:val="00CC1414"/>
    <w:rsid w:val="00D31481"/>
    <w:rsid w:val="00DA601E"/>
    <w:rsid w:val="00E0649C"/>
    <w:rsid w:val="00E86D0D"/>
    <w:rsid w:val="00FE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docId w15:val="{DB13FD63-EAF7-40B0-8BCD-82015D8D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F09E0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F09E0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unhideWhenUsed/>
    <w:rsid w:val="007B271D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C57160"/>
    <w:pPr>
      <w:ind w:left="720"/>
    </w:pPr>
    <w:rPr>
      <w:rFonts w:ascii="Times New Roman" w:eastAsiaTheme="minorHAnsi" w:hAnsi="Times New Roman"/>
      <w:szCs w:val="24"/>
    </w:rPr>
  </w:style>
  <w:style w:type="character" w:styleId="Kommentinviite">
    <w:name w:val="annotation reference"/>
    <w:basedOn w:val="Kappaleenoletusfontti"/>
    <w:semiHidden/>
    <w:unhideWhenUsed/>
    <w:rsid w:val="004F0B11"/>
    <w:rPr>
      <w:sz w:val="16"/>
      <w:szCs w:val="16"/>
    </w:rPr>
  </w:style>
  <w:style w:type="paragraph" w:styleId="Kommentinteksti">
    <w:name w:val="annotation text"/>
    <w:basedOn w:val="Normaali"/>
    <w:link w:val="KommentintekstiChar"/>
    <w:semiHidden/>
    <w:unhideWhenUsed/>
    <w:rsid w:val="004F0B11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4F0B11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4F0B1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4F0B11"/>
    <w:rPr>
      <w:rFonts w:ascii="Arial" w:hAnsi="Arial"/>
      <w:b/>
      <w:bCs/>
    </w:rPr>
  </w:style>
  <w:style w:type="paragraph" w:styleId="Seliteteksti">
    <w:name w:val="Balloon Text"/>
    <w:basedOn w:val="Normaali"/>
    <w:link w:val="SelitetekstiChar"/>
    <w:semiHidden/>
    <w:unhideWhenUsed/>
    <w:rsid w:val="004F0B11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semiHidden/>
    <w:rsid w:val="004F0B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0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jaamo@tem.f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197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Öljy- ja Kaasualan Keskusliitto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Sanna Hämäläinen</dc:creator>
  <cp:lastModifiedBy>Pekka Huttula</cp:lastModifiedBy>
  <cp:revision>7</cp:revision>
  <cp:lastPrinted>2014-06-01T10:43:00Z</cp:lastPrinted>
  <dcterms:created xsi:type="dcterms:W3CDTF">2014-06-01T10:05:00Z</dcterms:created>
  <dcterms:modified xsi:type="dcterms:W3CDTF">2014-06-01T10:46:00Z</dcterms:modified>
  <cp:contentStatus/>
</cp:coreProperties>
</file>