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01" w:rsidRDefault="00E11C01" w:rsidP="00344C2D">
      <w:pPr>
        <w:autoSpaceDE w:val="0"/>
        <w:autoSpaceDN w:val="0"/>
        <w:adjustRightInd w:val="0"/>
        <w:spacing w:after="0" w:line="240" w:lineRule="auto"/>
        <w:rPr>
          <w:rFonts w:cs="ArialNarrow"/>
          <w:sz w:val="28"/>
          <w:szCs w:val="28"/>
          <w:lang w:val="fi-FI"/>
        </w:rPr>
      </w:pPr>
    </w:p>
    <w:p w:rsidR="00E11C01" w:rsidRDefault="00E11C01" w:rsidP="00344C2D">
      <w:pPr>
        <w:autoSpaceDE w:val="0"/>
        <w:autoSpaceDN w:val="0"/>
        <w:adjustRightInd w:val="0"/>
        <w:spacing w:after="0" w:line="240" w:lineRule="auto"/>
        <w:rPr>
          <w:sz w:val="28"/>
          <w:szCs w:val="28"/>
          <w:lang w:val="fi-FI"/>
        </w:rPr>
      </w:pPr>
      <w:r>
        <w:rPr>
          <w:sz w:val="28"/>
          <w:szCs w:val="28"/>
          <w:lang w:val="fi-FI"/>
        </w:rPr>
        <w:t>Oikeusministeriölle</w:t>
      </w:r>
    </w:p>
    <w:p w:rsidR="00E11C01" w:rsidRDefault="00E11C01" w:rsidP="00344C2D">
      <w:pPr>
        <w:autoSpaceDE w:val="0"/>
        <w:autoSpaceDN w:val="0"/>
        <w:adjustRightInd w:val="0"/>
        <w:spacing w:after="0" w:line="240" w:lineRule="auto"/>
        <w:rPr>
          <w:sz w:val="28"/>
          <w:szCs w:val="28"/>
          <w:lang w:val="fi-FI"/>
        </w:rPr>
      </w:pPr>
    </w:p>
    <w:p w:rsidR="00E11C01" w:rsidRPr="00344C2D" w:rsidRDefault="00E11C01" w:rsidP="00AA161A">
      <w:pPr>
        <w:autoSpaceDE w:val="0"/>
        <w:autoSpaceDN w:val="0"/>
        <w:adjustRightInd w:val="0"/>
        <w:spacing w:after="0" w:line="240" w:lineRule="auto"/>
        <w:rPr>
          <w:rFonts w:cs="ArialNarrow"/>
          <w:sz w:val="28"/>
          <w:szCs w:val="28"/>
          <w:lang w:val="fi-FI"/>
        </w:rPr>
      </w:pPr>
      <w:r w:rsidRPr="00344C2D">
        <w:rPr>
          <w:rFonts w:cs="ArialNarrow"/>
          <w:sz w:val="28"/>
          <w:szCs w:val="28"/>
          <w:lang w:val="fi-FI"/>
        </w:rPr>
        <w:t>Lausunto mietinnöstä Todistelu yleisissä</w:t>
      </w:r>
      <w:r>
        <w:rPr>
          <w:rFonts w:cs="ArialNarrow"/>
          <w:sz w:val="28"/>
          <w:szCs w:val="28"/>
          <w:lang w:val="fi-FI"/>
        </w:rPr>
        <w:t xml:space="preserve"> </w:t>
      </w:r>
      <w:r w:rsidRPr="00344C2D">
        <w:rPr>
          <w:rFonts w:cs="ArialNarrow"/>
          <w:sz w:val="28"/>
          <w:szCs w:val="28"/>
          <w:lang w:val="fi-FI"/>
        </w:rPr>
        <w:t>tuomioistuimissa</w:t>
      </w:r>
      <w:r>
        <w:rPr>
          <w:rFonts w:cs="ArialNarrow"/>
          <w:sz w:val="28"/>
          <w:szCs w:val="28"/>
          <w:lang w:val="fi-FI"/>
        </w:rPr>
        <w:t xml:space="preserve"> (OMML </w:t>
      </w:r>
      <w:r w:rsidRPr="00344C2D">
        <w:rPr>
          <w:rFonts w:cs="ArialNarrow"/>
          <w:sz w:val="28"/>
          <w:szCs w:val="28"/>
          <w:lang w:val="fi-FI"/>
        </w:rPr>
        <w:t>69/2012</w:t>
      </w:r>
      <w:r>
        <w:rPr>
          <w:rFonts w:cs="ArialNarrow"/>
          <w:sz w:val="28"/>
          <w:szCs w:val="28"/>
          <w:lang w:val="fi-FI"/>
        </w:rPr>
        <w:t>)</w:t>
      </w:r>
    </w:p>
    <w:p w:rsidR="00E11C01" w:rsidRDefault="00E11C01" w:rsidP="00344C2D">
      <w:pPr>
        <w:autoSpaceDE w:val="0"/>
        <w:autoSpaceDN w:val="0"/>
        <w:adjustRightInd w:val="0"/>
        <w:spacing w:after="0" w:line="240" w:lineRule="auto"/>
        <w:rPr>
          <w:sz w:val="28"/>
          <w:szCs w:val="28"/>
          <w:lang w:val="fi-FI"/>
        </w:rPr>
      </w:pPr>
    </w:p>
    <w:p w:rsidR="00E11C01" w:rsidRDefault="00E11C01" w:rsidP="00344C2D">
      <w:pPr>
        <w:autoSpaceDE w:val="0"/>
        <w:autoSpaceDN w:val="0"/>
        <w:adjustRightInd w:val="0"/>
        <w:spacing w:after="0" w:line="240" w:lineRule="auto"/>
        <w:rPr>
          <w:sz w:val="28"/>
          <w:szCs w:val="28"/>
          <w:lang w:val="fi-FI"/>
        </w:rPr>
      </w:pPr>
    </w:p>
    <w:p w:rsidR="00E11C01" w:rsidRPr="00344C2D" w:rsidRDefault="00E11C01" w:rsidP="00AA161A">
      <w:pPr>
        <w:autoSpaceDE w:val="0"/>
        <w:autoSpaceDN w:val="0"/>
        <w:adjustRightInd w:val="0"/>
        <w:spacing w:after="0" w:line="240" w:lineRule="auto"/>
        <w:jc w:val="both"/>
        <w:rPr>
          <w:sz w:val="28"/>
          <w:szCs w:val="28"/>
          <w:u w:val="single"/>
          <w:lang w:val="fi-FI"/>
        </w:rPr>
      </w:pPr>
      <w:r>
        <w:rPr>
          <w:sz w:val="28"/>
          <w:szCs w:val="28"/>
          <w:lang w:val="fi-FI"/>
        </w:rPr>
        <w:t>Pyytämättä annettuna lausuntona haluan kunnioittaen kiinnittää oikeusministeriön huomiota h</w:t>
      </w:r>
      <w:r w:rsidRPr="00344C2D">
        <w:rPr>
          <w:sz w:val="28"/>
          <w:szCs w:val="28"/>
          <w:u w:val="single"/>
          <w:lang w:val="fi-FI"/>
        </w:rPr>
        <w:t>yödyntämiskiellon kattavuu</w:t>
      </w:r>
      <w:r>
        <w:rPr>
          <w:sz w:val="28"/>
          <w:szCs w:val="28"/>
          <w:u w:val="single"/>
          <w:lang w:val="fi-FI"/>
        </w:rPr>
        <w:t xml:space="preserve">teen ns. </w:t>
      </w:r>
      <w:r w:rsidRPr="00344C2D">
        <w:rPr>
          <w:sz w:val="28"/>
          <w:szCs w:val="28"/>
          <w:u w:val="single"/>
          <w:lang w:val="fi-FI"/>
        </w:rPr>
        <w:t>muissa menettelyissä</w:t>
      </w:r>
    </w:p>
    <w:p w:rsidR="00E11C01" w:rsidRDefault="00E11C01" w:rsidP="00344C2D">
      <w:pPr>
        <w:autoSpaceDE w:val="0"/>
        <w:autoSpaceDN w:val="0"/>
        <w:adjustRightInd w:val="0"/>
        <w:spacing w:after="0" w:line="240" w:lineRule="auto"/>
        <w:rPr>
          <w:sz w:val="28"/>
          <w:szCs w:val="28"/>
          <w:lang w:val="fi-FI"/>
        </w:rPr>
      </w:pPr>
    </w:p>
    <w:p w:rsidR="00E11C01" w:rsidRDefault="00E11C01" w:rsidP="00AA161A">
      <w:pPr>
        <w:autoSpaceDE w:val="0"/>
        <w:autoSpaceDN w:val="0"/>
        <w:adjustRightInd w:val="0"/>
        <w:spacing w:after="0" w:line="240" w:lineRule="auto"/>
        <w:jc w:val="both"/>
        <w:rPr>
          <w:sz w:val="28"/>
          <w:szCs w:val="28"/>
          <w:lang w:val="fi-FI"/>
        </w:rPr>
      </w:pPr>
      <w:r>
        <w:rPr>
          <w:sz w:val="28"/>
          <w:szCs w:val="28"/>
          <w:lang w:val="fi-FI"/>
        </w:rPr>
        <w:t>Ehdotuksen OK 17:25.3:n mukaisesti rajattu hyödyntämiskiellon soveltamisala ei suojaa riittävästi esimerkiksi konkurssivelallista, joka on pakotettu antamaan tietoja konkurssimenettelyssä silloin, kun rikosprosessia ei ole vireillä. Konkurssilaissa määritetty velallisen itsekriminointisuoja on niin puutteellinen, että sitä on välttämätöntä täydentää ehdotettua laajemmalla hyödyntämiskiellolla.</w:t>
      </w:r>
    </w:p>
    <w:p w:rsidR="00E11C01" w:rsidRDefault="00E11C01" w:rsidP="00AA161A">
      <w:pPr>
        <w:autoSpaceDE w:val="0"/>
        <w:autoSpaceDN w:val="0"/>
        <w:adjustRightInd w:val="0"/>
        <w:spacing w:after="0" w:line="240" w:lineRule="auto"/>
        <w:jc w:val="both"/>
        <w:rPr>
          <w:sz w:val="28"/>
          <w:szCs w:val="28"/>
          <w:lang w:val="fi-FI"/>
        </w:rPr>
      </w:pPr>
    </w:p>
    <w:p w:rsidR="00E11C01" w:rsidRDefault="00E11C01" w:rsidP="00AA161A">
      <w:pPr>
        <w:autoSpaceDE w:val="0"/>
        <w:autoSpaceDN w:val="0"/>
        <w:adjustRightInd w:val="0"/>
        <w:spacing w:after="0" w:line="240" w:lineRule="auto"/>
        <w:jc w:val="both"/>
        <w:rPr>
          <w:sz w:val="28"/>
          <w:szCs w:val="28"/>
          <w:lang w:val="fi-FI"/>
        </w:rPr>
      </w:pPr>
      <w:r>
        <w:rPr>
          <w:sz w:val="28"/>
          <w:szCs w:val="28"/>
          <w:lang w:val="fi-FI"/>
        </w:rPr>
        <w:t xml:space="preserve">Sama koskee tietyissä tilanteissa ulosottovelallista. Kuten työryhmän ehdotuksen sivulla </w:t>
      </w:r>
      <w:r w:rsidRPr="00344C2D">
        <w:rPr>
          <w:sz w:val="28"/>
          <w:szCs w:val="28"/>
          <w:lang w:val="fi-FI"/>
        </w:rPr>
        <w:t>125</w:t>
      </w:r>
      <w:r>
        <w:rPr>
          <w:sz w:val="28"/>
          <w:szCs w:val="28"/>
          <w:lang w:val="fi-FI"/>
        </w:rPr>
        <w:t xml:space="preserve"> todetaan, h</w:t>
      </w:r>
      <w:r w:rsidRPr="00344C2D">
        <w:rPr>
          <w:sz w:val="28"/>
          <w:szCs w:val="28"/>
          <w:lang w:val="fi-FI"/>
        </w:rPr>
        <w:t>yödyntämiskieltoa vastaavaan lopputulokseen voidaan päästä myös niin k</w:t>
      </w:r>
      <w:r>
        <w:rPr>
          <w:sz w:val="28"/>
          <w:szCs w:val="28"/>
          <w:lang w:val="fi-FI"/>
        </w:rPr>
        <w:t>utsutulla palomuurisäännöksellä ja viitataan u</w:t>
      </w:r>
      <w:r w:rsidRPr="00344C2D">
        <w:rPr>
          <w:sz w:val="28"/>
          <w:szCs w:val="28"/>
          <w:lang w:val="fi-FI"/>
        </w:rPr>
        <w:t xml:space="preserve">losottokaaren </w:t>
      </w:r>
      <w:r>
        <w:rPr>
          <w:sz w:val="28"/>
          <w:szCs w:val="28"/>
          <w:lang w:val="fi-FI"/>
        </w:rPr>
        <w:t xml:space="preserve"> </w:t>
      </w:r>
      <w:r w:rsidRPr="00344C2D">
        <w:rPr>
          <w:sz w:val="28"/>
          <w:szCs w:val="28"/>
          <w:lang w:val="fi-FI"/>
        </w:rPr>
        <w:t>3 luvun</w:t>
      </w:r>
      <w:r>
        <w:rPr>
          <w:sz w:val="28"/>
          <w:szCs w:val="28"/>
          <w:lang w:val="fi-FI"/>
        </w:rPr>
        <w:t xml:space="preserve"> </w:t>
      </w:r>
      <w:r w:rsidRPr="00344C2D">
        <w:rPr>
          <w:sz w:val="28"/>
          <w:szCs w:val="28"/>
          <w:lang w:val="fi-FI"/>
        </w:rPr>
        <w:t xml:space="preserve">73 </w:t>
      </w:r>
      <w:r>
        <w:rPr>
          <w:sz w:val="28"/>
          <w:szCs w:val="28"/>
          <w:lang w:val="fi-FI"/>
        </w:rPr>
        <w:t xml:space="preserve">ja 91 </w:t>
      </w:r>
      <w:r w:rsidRPr="00344C2D">
        <w:rPr>
          <w:sz w:val="28"/>
          <w:szCs w:val="28"/>
          <w:lang w:val="fi-FI"/>
        </w:rPr>
        <w:t>§:</w:t>
      </w:r>
      <w:r>
        <w:rPr>
          <w:sz w:val="28"/>
          <w:szCs w:val="28"/>
          <w:lang w:val="fi-FI"/>
        </w:rPr>
        <w:t>ään.  Mietinnössä aivan oikein todetaan, että h</w:t>
      </w:r>
      <w:r w:rsidRPr="00344C2D">
        <w:rPr>
          <w:sz w:val="28"/>
          <w:szCs w:val="28"/>
          <w:lang w:val="fi-FI"/>
        </w:rPr>
        <w:t>yödyntämiskieltosäännös ja palomuurisäännös on</w:t>
      </w:r>
      <w:r>
        <w:rPr>
          <w:sz w:val="28"/>
          <w:szCs w:val="28"/>
          <w:lang w:val="fi-FI"/>
        </w:rPr>
        <w:t xml:space="preserve"> </w:t>
      </w:r>
      <w:r w:rsidRPr="00344C2D">
        <w:rPr>
          <w:sz w:val="28"/>
          <w:szCs w:val="28"/>
          <w:lang w:val="fi-FI"/>
        </w:rPr>
        <w:t>perusteltua katsoa toisiaan täydentäviksi eikä poissulkeviksi sääntelyratkaisuiksi.</w:t>
      </w:r>
    </w:p>
    <w:p w:rsidR="00E11C01" w:rsidRDefault="00E11C01" w:rsidP="00AA161A">
      <w:pPr>
        <w:autoSpaceDE w:val="0"/>
        <w:autoSpaceDN w:val="0"/>
        <w:adjustRightInd w:val="0"/>
        <w:spacing w:after="0" w:line="240" w:lineRule="auto"/>
        <w:jc w:val="both"/>
        <w:rPr>
          <w:sz w:val="28"/>
          <w:szCs w:val="28"/>
          <w:lang w:val="fi-FI"/>
        </w:rPr>
      </w:pPr>
    </w:p>
    <w:p w:rsidR="00E11C01" w:rsidRDefault="00E11C01" w:rsidP="00AA161A">
      <w:pPr>
        <w:autoSpaceDE w:val="0"/>
        <w:autoSpaceDN w:val="0"/>
        <w:adjustRightInd w:val="0"/>
        <w:spacing w:after="0" w:line="240" w:lineRule="auto"/>
        <w:jc w:val="both"/>
        <w:rPr>
          <w:sz w:val="28"/>
          <w:szCs w:val="28"/>
          <w:lang w:val="fi-FI"/>
        </w:rPr>
      </w:pPr>
      <w:r>
        <w:rPr>
          <w:sz w:val="28"/>
          <w:szCs w:val="28"/>
          <w:lang w:val="fi-FI"/>
        </w:rPr>
        <w:t xml:space="preserve">Kiinnittäisinkin oikeusministeriön huomiota siihen, että myös UK 3:73:ää on tarpeen </w:t>
      </w:r>
      <w:bookmarkStart w:id="0" w:name="_GoBack"/>
      <w:bookmarkEnd w:id="0"/>
      <w:r>
        <w:rPr>
          <w:sz w:val="28"/>
          <w:szCs w:val="28"/>
          <w:lang w:val="fi-FI"/>
        </w:rPr>
        <w:t>täydentää hyödyntämiskiellolla. Järjestelmässä saattaa syntyä ongelmallisia asetelmia etenkin silloin, kun samalle ulosottovelalliselle on tehty toistuvia ulosottoselvityksiä. Ihmisoikeuksien kanssa sopusointuiseen lopputulokseen tosin voidaan päästä myös UK 7:73:n 2 kohdan tulkinnalla, mutta hyödyntämiskielto olisi vieläkin varmempi ratkaisu.</w:t>
      </w:r>
    </w:p>
    <w:p w:rsidR="00E11C01" w:rsidRDefault="00E11C01" w:rsidP="00AA161A">
      <w:pPr>
        <w:autoSpaceDE w:val="0"/>
        <w:autoSpaceDN w:val="0"/>
        <w:adjustRightInd w:val="0"/>
        <w:spacing w:after="0" w:line="240" w:lineRule="auto"/>
        <w:jc w:val="both"/>
        <w:rPr>
          <w:sz w:val="28"/>
          <w:szCs w:val="28"/>
          <w:lang w:val="fi-FI"/>
        </w:rPr>
      </w:pPr>
    </w:p>
    <w:p w:rsidR="00E11C01" w:rsidRDefault="00E11C01" w:rsidP="00AA161A">
      <w:pPr>
        <w:autoSpaceDE w:val="0"/>
        <w:autoSpaceDN w:val="0"/>
        <w:adjustRightInd w:val="0"/>
        <w:spacing w:after="0" w:line="240" w:lineRule="auto"/>
        <w:jc w:val="both"/>
        <w:rPr>
          <w:sz w:val="28"/>
          <w:szCs w:val="28"/>
          <w:lang w:val="fi-FI"/>
        </w:rPr>
      </w:pPr>
    </w:p>
    <w:p w:rsidR="00E11C01" w:rsidRDefault="00E11C01" w:rsidP="00AA161A">
      <w:pPr>
        <w:autoSpaceDE w:val="0"/>
        <w:autoSpaceDN w:val="0"/>
        <w:adjustRightInd w:val="0"/>
        <w:spacing w:after="0" w:line="240" w:lineRule="auto"/>
        <w:jc w:val="both"/>
        <w:rPr>
          <w:sz w:val="28"/>
          <w:szCs w:val="28"/>
          <w:lang w:val="fi-FI"/>
        </w:rPr>
      </w:pPr>
      <w:r>
        <w:rPr>
          <w:sz w:val="28"/>
          <w:szCs w:val="28"/>
          <w:lang w:val="fi-FI"/>
        </w:rPr>
        <w:t>Helsingissä 15.3.2013</w:t>
      </w:r>
    </w:p>
    <w:p w:rsidR="00E11C01" w:rsidRDefault="00E11C01" w:rsidP="00AA161A">
      <w:pPr>
        <w:autoSpaceDE w:val="0"/>
        <w:autoSpaceDN w:val="0"/>
        <w:adjustRightInd w:val="0"/>
        <w:spacing w:after="0" w:line="240" w:lineRule="auto"/>
        <w:jc w:val="both"/>
        <w:rPr>
          <w:sz w:val="28"/>
          <w:szCs w:val="28"/>
          <w:lang w:val="fi-FI"/>
        </w:rPr>
      </w:pPr>
    </w:p>
    <w:p w:rsidR="00E11C01" w:rsidRDefault="00E11C01" w:rsidP="00AA161A">
      <w:pPr>
        <w:autoSpaceDE w:val="0"/>
        <w:autoSpaceDN w:val="0"/>
        <w:adjustRightInd w:val="0"/>
        <w:spacing w:after="0" w:line="240" w:lineRule="auto"/>
        <w:jc w:val="both"/>
        <w:rPr>
          <w:sz w:val="28"/>
          <w:szCs w:val="28"/>
          <w:lang w:val="fi-FI"/>
        </w:rPr>
      </w:pPr>
      <w:r>
        <w:rPr>
          <w:sz w:val="28"/>
          <w:szCs w:val="28"/>
          <w:lang w:val="fi-FI"/>
        </w:rPr>
        <w:tab/>
      </w:r>
      <w:r>
        <w:rPr>
          <w:sz w:val="28"/>
          <w:szCs w:val="28"/>
          <w:lang w:val="fi-FI"/>
        </w:rPr>
        <w:tab/>
      </w:r>
      <w:r>
        <w:rPr>
          <w:sz w:val="28"/>
          <w:szCs w:val="28"/>
          <w:lang w:val="fi-FI"/>
        </w:rPr>
        <w:tab/>
      </w:r>
      <w:r>
        <w:rPr>
          <w:sz w:val="28"/>
          <w:szCs w:val="28"/>
          <w:lang w:val="fi-FI"/>
        </w:rPr>
        <w:tab/>
        <w:t>Tuula Linna</w:t>
      </w:r>
    </w:p>
    <w:p w:rsidR="00E11C01" w:rsidRPr="008A4FC9" w:rsidRDefault="00E11C01" w:rsidP="00AA161A">
      <w:pPr>
        <w:autoSpaceDE w:val="0"/>
        <w:autoSpaceDN w:val="0"/>
        <w:adjustRightInd w:val="0"/>
        <w:spacing w:after="0" w:line="240" w:lineRule="auto"/>
        <w:jc w:val="both"/>
        <w:rPr>
          <w:sz w:val="28"/>
          <w:szCs w:val="28"/>
          <w:lang w:val="fi-FI"/>
        </w:rPr>
      </w:pPr>
      <w:r>
        <w:rPr>
          <w:sz w:val="28"/>
          <w:szCs w:val="28"/>
          <w:lang w:val="fi-FI"/>
        </w:rPr>
        <w:tab/>
      </w:r>
      <w:r>
        <w:rPr>
          <w:sz w:val="28"/>
          <w:szCs w:val="28"/>
          <w:lang w:val="fi-FI"/>
        </w:rPr>
        <w:tab/>
      </w:r>
      <w:r>
        <w:rPr>
          <w:sz w:val="28"/>
          <w:szCs w:val="28"/>
          <w:lang w:val="fi-FI"/>
        </w:rPr>
        <w:tab/>
      </w:r>
      <w:r>
        <w:rPr>
          <w:sz w:val="28"/>
          <w:szCs w:val="28"/>
          <w:lang w:val="fi-FI"/>
        </w:rPr>
        <w:tab/>
        <w:t>prosessioikeuden professori, Lapin yliopisto</w:t>
      </w:r>
    </w:p>
    <w:p w:rsidR="00E11C01" w:rsidRDefault="00E11C01" w:rsidP="00AA161A">
      <w:pPr>
        <w:autoSpaceDE w:val="0"/>
        <w:autoSpaceDN w:val="0"/>
        <w:adjustRightInd w:val="0"/>
        <w:spacing w:after="0" w:line="240" w:lineRule="auto"/>
        <w:jc w:val="both"/>
        <w:rPr>
          <w:sz w:val="28"/>
          <w:szCs w:val="28"/>
          <w:lang w:val="fi-FI"/>
        </w:rPr>
      </w:pPr>
    </w:p>
    <w:p w:rsidR="00E11C01" w:rsidRPr="00344C2D" w:rsidRDefault="00E11C01" w:rsidP="00AA161A">
      <w:pPr>
        <w:autoSpaceDE w:val="0"/>
        <w:autoSpaceDN w:val="0"/>
        <w:adjustRightInd w:val="0"/>
        <w:spacing w:after="0" w:line="240" w:lineRule="auto"/>
        <w:jc w:val="both"/>
        <w:rPr>
          <w:sz w:val="28"/>
          <w:szCs w:val="28"/>
          <w:lang w:val="fi-FI"/>
        </w:rPr>
      </w:pPr>
      <w:r>
        <w:rPr>
          <w:sz w:val="28"/>
          <w:szCs w:val="28"/>
          <w:lang w:val="fi-FI"/>
        </w:rPr>
        <w:t xml:space="preserve"> </w:t>
      </w:r>
    </w:p>
    <w:p w:rsidR="00E11C01" w:rsidRPr="00344C2D" w:rsidRDefault="00E11C01" w:rsidP="00AA161A">
      <w:pPr>
        <w:jc w:val="both"/>
        <w:rPr>
          <w:sz w:val="28"/>
          <w:szCs w:val="28"/>
          <w:lang w:val="fi-FI"/>
        </w:rPr>
      </w:pPr>
    </w:p>
    <w:sectPr w:rsidR="00E11C01" w:rsidRPr="00344C2D" w:rsidSect="00B30EB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C2D"/>
    <w:rsid w:val="000F1D08"/>
    <w:rsid w:val="002E4FA0"/>
    <w:rsid w:val="00344C2D"/>
    <w:rsid w:val="0044632C"/>
    <w:rsid w:val="00662EDF"/>
    <w:rsid w:val="008A4FC9"/>
    <w:rsid w:val="00AA161A"/>
    <w:rsid w:val="00B20FBB"/>
    <w:rsid w:val="00B30EBD"/>
    <w:rsid w:val="00DC17CC"/>
    <w:rsid w:val="00E11C01"/>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08"/>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1D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175</Words>
  <Characters>1425</Characters>
  <Application>Microsoft Office Outlook</Application>
  <DocSecurity>0</DocSecurity>
  <Lines>0</Lines>
  <Paragraphs>0</Paragraphs>
  <ScaleCrop>false</ScaleCrop>
  <Company>Lay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Oikeusministeriölle</dc:title>
  <dc:subject/>
  <dc:creator>Linna Tuula</dc:creator>
  <cp:keywords/>
  <dc:description/>
  <cp:lastModifiedBy>O924180</cp:lastModifiedBy>
  <cp:revision>2</cp:revision>
  <cp:lastPrinted>2013-03-15T06:43:00Z</cp:lastPrinted>
  <dcterms:created xsi:type="dcterms:W3CDTF">2013-03-15T06:44:00Z</dcterms:created>
  <dcterms:modified xsi:type="dcterms:W3CDTF">2013-03-15T06:44:00Z</dcterms:modified>
</cp:coreProperties>
</file>