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7B" w:rsidRPr="00D2169E" w:rsidRDefault="0086297B" w:rsidP="00D2169E">
      <w:pPr>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Oikeusministeriö</w:t>
      </w:r>
      <w:r w:rsidRPr="00D2169E">
        <w:rPr>
          <w:rFonts w:ascii="Calibri" w:hAnsi="Calibri"/>
          <w:szCs w:val="24"/>
        </w:rPr>
        <w:tab/>
      </w:r>
      <w:r w:rsidRPr="00D2169E">
        <w:rPr>
          <w:rFonts w:ascii="Calibri" w:hAnsi="Calibri"/>
          <w:szCs w:val="24"/>
        </w:rPr>
        <w:tab/>
      </w:r>
      <w:r w:rsidRPr="00D2169E">
        <w:rPr>
          <w:rFonts w:ascii="Calibri" w:hAnsi="Calibri"/>
          <w:szCs w:val="24"/>
        </w:rPr>
        <w:tab/>
      </w:r>
      <w:r w:rsidRPr="00D2169E">
        <w:rPr>
          <w:rFonts w:ascii="Calibri" w:hAnsi="Calibri"/>
          <w:szCs w:val="24"/>
        </w:rPr>
        <w:tab/>
        <w:t>Dnro 50/2012</w:t>
      </w:r>
    </w:p>
    <w:p w:rsidR="0086297B" w:rsidRPr="00D2169E" w:rsidRDefault="0086297B" w:rsidP="00D2169E">
      <w:pPr>
        <w:rPr>
          <w:rFonts w:ascii="Calibri" w:hAnsi="Calibri"/>
          <w:szCs w:val="24"/>
        </w:rPr>
      </w:pPr>
      <w:r w:rsidRPr="00D2169E">
        <w:rPr>
          <w:rFonts w:ascii="Calibri" w:hAnsi="Calibri"/>
          <w:szCs w:val="24"/>
        </w:rPr>
        <w:t>Lainvalmisteluosasto</w:t>
      </w:r>
    </w:p>
    <w:p w:rsidR="0086297B" w:rsidRPr="00D2169E" w:rsidRDefault="0086297B" w:rsidP="00D2169E">
      <w:pPr>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ab/>
      </w:r>
      <w:r w:rsidRPr="00D2169E">
        <w:rPr>
          <w:rFonts w:ascii="Calibri" w:hAnsi="Calibri"/>
          <w:szCs w:val="24"/>
        </w:rPr>
        <w:tab/>
      </w:r>
      <w:r w:rsidRPr="00D2169E">
        <w:rPr>
          <w:rFonts w:ascii="Calibri" w:hAnsi="Calibri"/>
          <w:szCs w:val="24"/>
        </w:rPr>
        <w:tab/>
      </w:r>
      <w:r w:rsidRPr="00D2169E">
        <w:rPr>
          <w:rFonts w:ascii="Calibri" w:hAnsi="Calibri"/>
          <w:szCs w:val="24"/>
        </w:rPr>
        <w:tab/>
      </w:r>
      <w:r w:rsidRPr="00D2169E">
        <w:rPr>
          <w:rFonts w:ascii="Calibri" w:hAnsi="Calibri"/>
          <w:szCs w:val="24"/>
        </w:rPr>
        <w:tab/>
        <w:t>8.2.2013</w:t>
      </w:r>
      <w:r w:rsidRPr="00D2169E">
        <w:rPr>
          <w:rFonts w:ascii="Calibri" w:hAnsi="Calibri"/>
          <w:szCs w:val="24"/>
        </w:rPr>
        <w:tab/>
      </w:r>
      <w:r w:rsidRPr="00D2169E">
        <w:rPr>
          <w:rFonts w:ascii="Calibri" w:hAnsi="Calibri"/>
          <w:szCs w:val="24"/>
        </w:rPr>
        <w:tab/>
        <w:t>1 (2)</w:t>
      </w:r>
    </w:p>
    <w:p w:rsidR="0086297B" w:rsidRPr="00D2169E" w:rsidRDefault="0086297B" w:rsidP="00D2169E">
      <w:pPr>
        <w:rPr>
          <w:rFonts w:ascii="Calibri" w:hAnsi="Calibri"/>
          <w:szCs w:val="24"/>
        </w:rPr>
      </w:pPr>
    </w:p>
    <w:p w:rsidR="0086297B" w:rsidRPr="00D2169E" w:rsidRDefault="0086297B" w:rsidP="00D2169E">
      <w:pPr>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oikeusministerio@om.fi</w:t>
      </w:r>
    </w:p>
    <w:p w:rsidR="0086297B" w:rsidRPr="00406B08" w:rsidRDefault="0086297B" w:rsidP="00D2169E">
      <w:pPr>
        <w:rPr>
          <w:rFonts w:ascii="Calibri" w:hAnsi="Calibri"/>
          <w:szCs w:val="24"/>
          <w:lang w:val="sv-FI"/>
        </w:rPr>
      </w:pPr>
      <w:r w:rsidRPr="00406B08">
        <w:rPr>
          <w:rFonts w:ascii="Calibri" w:hAnsi="Calibri"/>
          <w:szCs w:val="24"/>
          <w:lang w:val="sv-FI"/>
        </w:rPr>
        <w:t>jaakko.rautio@om.fi</w:t>
      </w:r>
    </w:p>
    <w:p w:rsidR="0086297B" w:rsidRPr="00406B08" w:rsidRDefault="0086297B" w:rsidP="00D2169E">
      <w:pPr>
        <w:rPr>
          <w:rFonts w:ascii="Calibri" w:hAnsi="Calibri"/>
          <w:szCs w:val="24"/>
          <w:lang w:val="sv-FI"/>
        </w:rPr>
      </w:pPr>
    </w:p>
    <w:p w:rsidR="0086297B" w:rsidRPr="00406B08" w:rsidRDefault="0086297B" w:rsidP="00D2169E">
      <w:pPr>
        <w:rPr>
          <w:rFonts w:ascii="Calibri" w:hAnsi="Calibri"/>
          <w:szCs w:val="24"/>
          <w:lang w:val="sv-FI"/>
        </w:rPr>
      </w:pPr>
    </w:p>
    <w:p w:rsidR="0086297B" w:rsidRPr="00406B08" w:rsidRDefault="0086297B" w:rsidP="00D2169E">
      <w:pPr>
        <w:rPr>
          <w:rFonts w:ascii="Calibri" w:hAnsi="Calibri"/>
          <w:szCs w:val="24"/>
          <w:lang w:val="sv-FI"/>
        </w:rPr>
      </w:pPr>
    </w:p>
    <w:p w:rsidR="0086297B" w:rsidRPr="00406B08" w:rsidRDefault="0086297B" w:rsidP="00D2169E">
      <w:pPr>
        <w:rPr>
          <w:rFonts w:ascii="Calibri" w:hAnsi="Calibri"/>
          <w:szCs w:val="24"/>
          <w:lang w:val="sv-FI"/>
        </w:rPr>
      </w:pPr>
    </w:p>
    <w:p w:rsidR="0086297B" w:rsidRPr="00406B08" w:rsidRDefault="0086297B" w:rsidP="00D2169E">
      <w:pPr>
        <w:rPr>
          <w:rFonts w:ascii="Calibri" w:hAnsi="Calibri"/>
          <w:szCs w:val="24"/>
          <w:lang w:val="sv-FI"/>
        </w:rPr>
      </w:pPr>
      <w:r w:rsidRPr="00406B08">
        <w:rPr>
          <w:rFonts w:ascii="Calibri" w:hAnsi="Calibri"/>
          <w:szCs w:val="24"/>
          <w:lang w:val="sv-FI"/>
        </w:rPr>
        <w:t>Lausuntopyyntönne: OM 18/41/2012, OM 031:00/2010, 12.11.2012</w:t>
      </w:r>
    </w:p>
    <w:p w:rsidR="0086297B" w:rsidRPr="00D2169E" w:rsidRDefault="0086297B" w:rsidP="00D2169E">
      <w:pPr>
        <w:rPr>
          <w:rFonts w:ascii="Calibri" w:hAnsi="Calibri"/>
          <w:b/>
          <w:szCs w:val="24"/>
        </w:rPr>
      </w:pPr>
      <w:r w:rsidRPr="00D2169E">
        <w:rPr>
          <w:rFonts w:ascii="Calibri" w:hAnsi="Calibri"/>
          <w:b/>
          <w:szCs w:val="24"/>
        </w:rPr>
        <w:t xml:space="preserve">LAUSUNTO TODISTELUTOIMIKUNNAN MIETINNÖSTÄ ”TODISTELU YLEISISSÄ TUOMIOISTUIMISSA” (Oikeusministeriön julkaisusarja mietintöjä ja lausuntoja 69/2012)  </w:t>
      </w:r>
    </w:p>
    <w:p w:rsidR="0086297B" w:rsidRPr="00D2169E" w:rsidRDefault="0086297B" w:rsidP="00D2169E">
      <w:pPr>
        <w:rPr>
          <w:rFonts w:ascii="Calibri" w:hAnsi="Calibri"/>
          <w:szCs w:val="24"/>
        </w:rPr>
      </w:pPr>
    </w:p>
    <w:p w:rsidR="0086297B" w:rsidRPr="00D2169E" w:rsidRDefault="0086297B" w:rsidP="00D2169E">
      <w:pPr>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Suomen Asianajajaliitto (jatkossa Asianajajaliitto) lausuu Todistelutoimikunnan mietinnöstä ”Todistelu yleisissä tuomioistuimissa” kunnioittaen seuraavaa.</w:t>
      </w:r>
    </w:p>
    <w:p w:rsidR="0086297B" w:rsidRPr="00D2169E" w:rsidRDefault="0086297B" w:rsidP="00D2169E">
      <w:pPr>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Yleistä</w:t>
      </w:r>
    </w:p>
    <w:p w:rsidR="0086297B" w:rsidRPr="00D2169E" w:rsidRDefault="0086297B" w:rsidP="00D2169E">
      <w:pPr>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Todistelutoimikunnan laatiman esityksen tavoitteena on ollut uudistaa oikeudenkäymiskaaren 17 luku ja muut siihen liittyvät todistelua yleisissä tuomioistuimissa koskevat säännökset siten, että ne muodostavat selkeän ja johdonmukaisen sekä tarkoituksenmukaisen kokonaisuuden. Lisäksi pitkiä viittausketjuja on pyritty välttämään.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Asetetut tavoitteet ovat hyvin kunnianhimoiset, mutta myös tervetulleet huomioiden nykymuotoisen oikeudenkäymiskaaren 17 luvun iän, riita- ja rikosprosessissa tapahtuneet huomattavat uudistukset sekä esitutkinta- ja pakkokeinolakien tulevat uudistukset.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Todistelutoimikunnan mietinnön valmistuttua Asianajajaliitto toteaa ensinnäkin, että oikeudenkäymiskaaren 17 lukuun ehdotetut uudistukset ovat suurelta osin onnistuneita ja ne selkeyttävät nykyistä lainsäädäntöä sekä teknisesti että sisällöllisesti. Samalla on kuitenkin todettava, että kaikilta osin tavoitteita ei ole saavutettu ja lakiehdotus edellyttää vielä perusteellista jatkovalmistelua.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Asianajajaliiton edustajana toimikunnassa olleen asianajaja Markku Fredmanin eriävässä mielipiteessä on hyvin ansiokkaasti tuotu esille useita keskeisiä jatkovalmistelua edellyttäviä kysymyksiä. Asianajajaliitto viittaa kaikilta osiltaan eriävässä mielipiteessä lausuttuun ja kannattaa siinä esille nostettuja muutos- ja uudistusehdotuksia valmisteltavana olevaan lakiin. </w:t>
      </w:r>
    </w:p>
    <w:p w:rsidR="0086297B" w:rsidRDefault="0086297B" w:rsidP="00D2169E">
      <w:pPr>
        <w:ind w:left="1304"/>
        <w:rPr>
          <w:rFonts w:ascii="Calibri" w:hAnsi="Calibri"/>
          <w:szCs w:val="24"/>
        </w:rPr>
        <w:sectPr w:rsidR="0086297B" w:rsidSect="00245DE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pP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b/>
          <w:szCs w:val="24"/>
        </w:rPr>
      </w:pPr>
      <w:r w:rsidRPr="00D2169E">
        <w:rPr>
          <w:rFonts w:ascii="Calibri" w:hAnsi="Calibri"/>
          <w:b/>
          <w:szCs w:val="24"/>
        </w:rPr>
        <w:t>Oikeudenkäymiskaaren 17 luku</w:t>
      </w:r>
    </w:p>
    <w:p w:rsidR="0086297B" w:rsidRPr="00D2169E" w:rsidRDefault="0086297B" w:rsidP="00D2169E">
      <w:pPr>
        <w:rPr>
          <w:rFonts w:ascii="Calibri" w:hAnsi="Calibri"/>
          <w:szCs w:val="24"/>
        </w:rPr>
      </w:pPr>
    </w:p>
    <w:p w:rsidR="0086297B" w:rsidRDefault="0086297B" w:rsidP="00D2169E">
      <w:pPr>
        <w:rPr>
          <w:rFonts w:ascii="Calibri" w:hAnsi="Calibri"/>
          <w:szCs w:val="24"/>
        </w:rPr>
      </w:pPr>
      <w:r w:rsidRPr="00D2169E">
        <w:rPr>
          <w:rFonts w:ascii="Calibri" w:hAnsi="Calibri"/>
          <w:szCs w:val="24"/>
        </w:rPr>
        <w:t>1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On kannatettava, että laissa nimenomaisesti vahvistetaan se lähtökohta, että asianosainen saa esittää haluamansa todisteen, ellei sitä ole erikseen kielletty. Sen sijaan lakisystemaattisesti maininta oikeudesta lausua jokaisesta todisteesta kuuluisi todistelumenettelyä pääkäsittelyssä käsittelevään osaan.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Pykälän toisessa momentissa säädetään vapaasta todistusharkinnasta. Ehdotettu muotoilu on epäonnistunut, sillä se synnyttää vaikutelman siitä, että tuomioistuin saisi arvioida näyttöä mielivaltaisesti. Kun momentin kaksi virkettä luetaan yhdessä, tuomioistuin saisi ehdotuksen mukaan vapaasti päättää, mitä asiassa on näytetty.</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Vapaa todistusharkinta ei tarkoita mielivaltaa, vaan ainoastaan sitä, ettei eri todisteiden näyttöarvoa ole etukäteen lailla määrätty. Voimassaolevan oikeudenkäymiskaaren 17 luvun 2 §:ssä ei käytetä sanaa “vapaasti”, vaikka säännös olikin alun perin kirjoitettu muotoon “oikeus päättäköön vapaasti, harkittuaan huolellisesti kaikkia oikeudenkäynnissä esiin tulleita seikkoja, mitä asiassa on pidettävä toteennäytettynä.” Muotoilua päädyttiin muuttamaan sen jälkeen, kun korkein oikeus oli lausunnossaan kiinnittänyt huomiota siihen, että säännöksen sanamuodosta tuli selvästi ilmetä, ettei oikeuden harkinta saanut perustua mielivaltaan.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Ehdotetussa säännöksessä ei määritellä tarkemmin tuomioistuimen harkinnalle asetettavia laatukriteerejä, vaikka asiasta pykälän yksityiskohtaisissa perusteluissa mainitaankin. Koska näytön arviointi on ylivoimaisesti tärkein oikeudenkäynnin lopputulokseen vaikuttava vaihe, harkinnalle asetettujen laatukriteerien tulisi käydä ilmi laista. Lainkohdan yksityiskohtaisista perusteluista käy ilmi, että todisteiden näyttöarvoa arvioitaessa on toimittava huolellisesti, puolueettomasti, objektiivisesti ja kriittisen arvioinnin kestävällä tavalla. Määreistä kaksi ensimmäistä ovat sisällöltään suhteellisen selviä. Sen sijaan kaksi jälkimmäistä vaatinevat lähempää tarkastelua. Näytön arvioinnin objektiivisuus tarkoittaa, että näyttöä arvioidaan henkilökohtaisista näkemyksistä riippumattomalla tavalla eli siten, että todisteen näyttöarvoa koskevat arviot perustuvat yksinomaan havaittavissa olevaan konkreettisiin seikkoihin. Kriittisen arvioinnin kestävä tapa viitannee toisaalta siihen, että päätelmien on perustuttava tutkittuun tietoon. Näitä harkinnan laatukriteereitä tulisi pohtia vielä tarkemmin asian jatkovalmistelussa.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Myös todistusharkinnassa noudatettavasta menettelystä saattaisi olla aiheellista säätää lailla. Todistusharkinnan kannalta olennaista ei ole ainoastaan yksittäisten todisteiden näyttöarvon arvioiminen, vaan myös sen määrittäminen, millä todennäköisyydellä riitainen seikka tulee todistetuksi, kun huomioidaan näyttö kokonaisuutena. Tässä harkinnassa olisi syytä noudattaa Bayesilaista päättelyä, jota sovelletaan yleisesti luonnontieteissä tilanteissa, joissa pyritään selvittämään tietyn todistusaineiston perusteella se, kuinka suurella todennäköisyydellä esitetty hypoteesi on tosi. Bayesilaisen päättelyn lähtökohta on väitteen nk. alkuperäistodennäköisyys (priori), johon todisteet (sekä puolesta että vastaan) yhdistetään yksi kerrallaan, jolloin saadaan selville väitteen todennäköisyys todistusaineisto huomioon ottaen (posteriori). Bayesilaisen päättelyn kannalta olennaista on, että väitteen alkuperäistodennäköisyys vaikuttaa siihen, kuinka vakuuttavaa näyttöä vaaditaan, jotta väite tulee näytetyksi tietyllä todennäköisyydellä.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Ehdotetun 17 luvun 2 ja 3 §:ssä säädetään siitä, millä edellytyksillä seikka voitaisiin asettaa tuomion perustaksi. Tähän nähden olisi loogista, että näyttöharkinta kohdistuisi nimenomaan riitaisiin seikkoihin. Näyttöharkinnan tarkoituksena olisi nimenomaan ratkaista, voidaanko seikka asettaa tuomion perustaksi.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Edellä esitetyin perustein ehdotettu 17 luvun 1 §:n 2 momentti voisi kuulua seuraavasti: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Tuomioistuimen on ratkaistava, voidaanko seikka asettaa tuomion perustaksi. Tuomioistuimen on ratkaisua tehdessään huomioitava todistelun kohteena oleva seikka sekä sen puolesta ja sitä vastaan esitetty todistelu kokonaisuutena. Todisteiden näyttöarvo on arvioitava objektiivisesti ja huolellisesti.</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2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Näyttökynnystä koskeva säännös tulisi muotoilla nyt ehdotettua konkreettisemmin. Muotoilu “riittävä näyttö” jättää kussakin tapauksessa vaaditun näytön tuomioistuimen subjektiivisen harkinnan varaan, koska mitään objektiivista kriteeriä ei esitetä. Näin ollen pykälän 4 momentissa säädetty poikkeus, jonka mukaan 2 momentissa tarkoitetusta näyttökynnyksestä voidaan tietyin edellytyksin poiketa, jää väille mielekästä merkitystä. Tarkoitus ei liene ole, että yksittäistapauksissa “riittämätön” näyttö riittäisi.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Pykälän yksityiskohtaisista perusteluista käy ilmi, että ilmaisu “riittävä näyttö” viittaa nykyisin noudatettavaan näyttökynnykseen, joka on toimikunnan käsityksen korkeampi kuin näyttöenemmyys (seikka on todennäköinen, P≥50%) mutta matalampi kuin rikosasioissa noudatettava (seikasta ei jää varteenotettavaa epäilystä).</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Se, mille tasolle näyttökynnys halutaan asettaa, on viime kädessä poliittinen kysymys. Koska henkilö voi joutua riita-asiassa niin kantajaksi kuin vastaajaksikin, tulisi ratkaisu kaiketi tehdä lähinnä sillä perusteella, kuinka näyttöön liittyvästä epävarmuudesta johtuva riski halutaan yleisesti jakaa asianosaisten kesken – yksittäistapauksissahan voitaisiin tästä vaatimuksesta aina poiketa suuntaan tai toiseen.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Näyttökynnystä riita-asioissa ei olisi lähtökohtaisesti syytä asettaa korkeammaksi kuin todennäköiset syyt. Jos tietty seikka osoitetaan todennäköiseksi, se tarkoittaa että sen vastakohta on tätä epätodennäköisempi. Kun tuomioistuin valitsee näiden kahden vaihtoehdon väliltä, tuntuisi perustellulta, että tuomioistuimen ratkaisu perustuu niihin seikkoihin, jotka ovat näytön perusteella todennäköisimpiä. Näyttökynnyksen asettaminen todennäköisyyttä korkeammalle tarkoittaisi, että tuomioistuimen tulisi monissa tilanteissa asettaa ratkaisunsa perusteeksi epätodennäköisiä seikkoja.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Näyttökynnyksen korottaminen tietysti monissa tapauksissa hillitsee kanteiden määrää korottamalla ns. kannekynnystä eli sitä vaadittavaa näyttöä, jonka perusteella kantaja uskaltautuu oikeudenkäyntiin. Mitä korkeampi näyttökynnys, sitä heikommat menestymisen mahdollisuudet kantajalla on – käännetyn todistustaakan tilanteita lukuunottamatta.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Jatkovalmistelussa tulisi vielä tarkoin harkita riita-asiassa vaadittava näyttökynnys. Erityisesti olisi huomioitava se, että oikeuksien toteutumista ei tulisi tarpeettomasti vaikeuttaa. Ottaen huomioon, että riita-asiassa hävinneellä asianosaisella on ankara kuluvastuu, näyttökynnyksen asettaminen todennäköisiä syitä korkeammaksi tuntuu tarpeettomalta.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Esitetyin perustein ehdotettu 17 luvun 2 §:n 1 momentti voisi kuulua seuraavasti: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Seikan asettaminen tuomion perustaksi edellyttää, että se on saatettu todennäköiseksi.</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3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Pykälän 1 momentin sanamuodon perusteella jää epäselväksi, kenellä on näyttötaakka rikosvastuun poistavista seikoista. Jos vastaaja esimerkiksi tekee väitteen hätävarjelusta, onko syyttäjän sen jälkeen osoitettava, ettei kyseessä ollut hätävarjelutilanne? Sääntelyä olisi tältä osin syytä täsmentää (vrt. 2 § 1 mom.) tarpeettomien tulkintavaikeuksien poistamiseksi.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Pykälän 2 momentin mukaan syylliseksi tuomitseva tuomio edellyttää, ettei vastaajan syyllisyydestä jää varteenotettavaa epäilyä. Kun monissa rikoksissa tunnusmerkistö koostuu useista osatekijöistä, näyttökynnys olisi kohdistettava jokaiseen osatekijään erikseen. Näin on menetelty edellä 2 §:ssä riita-asioiden osalta, jossa näyttökynnys kohdistuu seikkoihin, ei koko kanteeseen. Toisien sanoen yhteen tunnusmerkistön osatekijään kohdistuvaa epävarmuutta ei olisi mahdollista kompensoida toiseen osatekijään liittyvällä varmuudella.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Toiseksi olisi aiheellista täsmentää pykälän yksityiskohtaisissa perusteluissa, mitä varteenotettavalla epäilyllä konkreettisesti tarkoitetaan. Kielen epätäsmällisyydestä johtuen käsitteen “varteenotettava” tarkempi merkitys riippuu kunkin henkilön omista arvostuksista. Yksi henkilö saattaa pitää hyvinkin vähäistä epävarmuutta “varteenotettavana” kun taas toinen saattaa edellyttää varsin suurta epävarmuutta, ennen kuin pitää epäilyä “varteenotettava”.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Kysymys siitä, millainen epävarmuus rikosasiassa sallitaan, on siinä määrin keskeinen, ettei sitä tulisi jättää näin avoimeksi. Näyttökynnyksen merkittävyyttä konkretisoi seuraava esimerkki: jos rikoksesta epäillyn syyllisyyden keskimääräinen todennäköisyys syyksilukevissa tuomioissa on 99 %, joka sadas tuomittu on syytön!</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4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Lainsäädännön laajentumisen ja monimutkaistumisen seurauksena lainsoveltamisesta on tullut huomattavan vaativaa. On tärkeää, että asianosaisella on oikeus esittää tuomioistuimelle näkemyksensä lainsoveltamisesta. Tämä tapahtuu lähtökohtaisesti parhaiten kirjallisesti. Pykälän ehdotettu muotoilu mahdollistaa kuitenkin sellaisen tulkinnan, että tällainen kirjallinen esitys saataisiin antaa vain, mikäli tuomioistuin katsoo sen soveliaaksi. Perustelujen mukaan tätä ei kuitenkaan ole tarkoitettu, vaan ainoastaan laatijan kuuleminen on tarkoitettu jättää tuomioistuimen harkinnan varaan. Ylipäätään henkilön kuuleminen lainsoveltamiskysymyksestä tulisi rajoittaa vain poikkeustapauksiin.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Säännöksen sanamuotoa olisi tämän vuoksi aiheellista täsmentää. Lainkohta voisi kuulua seuraavasti: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Tuomioistuin soveltaa lakia viran puolesta. Asianosainen saa antaa tuomioistuimelle kirjallisen selvityksen siitä, miten lakia olisi asiassa sovellettava. Asianosainen saa kuulla tällaisen selvityksen laatijaa tai muuta henkilöä tuomioistuimessa, jos tuomioistuin katsoo sen soveliaaksi. </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5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Oikeuskirjallisuudessa tunnustamisella tarkoitetaan asianosaisen kannalta kielteisen seikan myöntämistä oikeaksi. Arkikielessä sana tunnustaminen herättää mielleyhtymän siitä, että henkilö on joutunut vastentahtoisesti myöntämään jonkin tapahtuman pyrittyään ensin sen salaamaan.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Nämä tunnustamista koskevat luonnehdinnat eivät vastaa nykyriitaprosessin kielellisiä tai toiminnallisia käytäntöjä. Nykyisin riita-asioissa huomattava osa esillä olevista seikoista todetaan yleensä riidattomiksi. Riidattomia seikkoja selvitettäessä niitä ei kuitenkin “tunnusteta”, vaan osapuolet puolin ja toisin ilmoittavat – parhaassa tapauksessa oma-aloitteisesti, mitkä toisen osapuolen esittämistä väitteistä ovat riidattomia käyttäen yleensä ilmaisua “on riidaton”.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Näillä perustein esitetään, että lainkohta kuuluisi seuraavasti: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Näyttö ei myöskään ole tarpeen riidattomasta seikasta asiassa, jossa sovinto on sallittu.</w:t>
      </w:r>
    </w:p>
    <w:p w:rsidR="0086297B" w:rsidRDefault="0086297B">
      <w:pPr>
        <w:rPr>
          <w:rFonts w:ascii="Calibri" w:hAnsi="Calibri"/>
          <w:szCs w:val="24"/>
        </w:rPr>
      </w:pPr>
      <w:r>
        <w:rPr>
          <w:rFonts w:ascii="Calibri" w:hAnsi="Calibri"/>
          <w:szCs w:val="24"/>
        </w:rPr>
        <w:br w:type="page"/>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6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Pykälässä säädettäisiin 1 §:ssä tarkoitetuista muista asian käsittelyssä esiin tulleista seikoista. Ehdotettu sääntely on sopii huonosti yhteen 1 §:ssä säädetyn vapaan näytön arvioinnin kanssa. Kun tarkoitus on, että todisteiden näyttöarvoa ei säädetä lailla, tuntuu erikoiselta, että laissa olisi kuitenkin säädetty käytännön merkitykseltään varsin vähäisten seikkojen huomioimisesta näytön arvioinnissa.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Ehdotuksen 3 kohdassa säädettäisiin siitä, että tuomioistuin saisi harkita, mikä merkitys sillä on todisteena, että asianosainen ei todistelutarkoituksessa kuultuna anna kertomusta tai suostu vastaamaan kysymykseen. Säännös vaikuttaa tarpeettomalta, sillä asianosaisen kertomus on todiste, jonka näyttöarvon tuomioistuin on oikeutettu ehdotetun 1 §:n nojalla muutenkin arvioimaan. Jos siis asianosainen esimerkiksi kieltäytyy vastaamasta vastapuolen esittämään kysymykseen, joka koskee asianosaisen kannalta haitallisen seikan olemassaoloa, tämän vaikenemisen näyttöarvo voidaan arvioida jo lakiehdotuksen 1 §:n nojalla.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Ehdotuksen 1, 2 ja 4 kohdassa säädettäisiin siitä, että tuomioistuin saisi harkita, mikä merkitys sillä on todisteena, että asianosainen laiminlyö erilaisia hänelle kuuluvia velvoitteita. Ehdotus tuntuu tarpeettomalta, sillä muualla oikeudenkäymiskaaressa on säädetty seuraamuksista asianosaisen laiminlyönneistä, jotka ovat kanteen tutkimatta jättäminen tai hyväksyminen yksipuolisella tuomiolla (vrt. oikeudenkäymiskaaren 5 luku 6 § ja 13 § sekä 12 luku 10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Oikeudenkäymiskaaren 12 luvun 11 §:n perusteella asianosaisella on tietyin edellytyksen oikeus saada asia ratkaistuksi tuomiolla vastapuolen laiminlyönnistä huolimatta. Tällöin edellytetään kuitenkin, että asianosainen esittää tuomion antamista varten tarvittavan selvityksen. Asianosaisen poissaololle ei ole tarvetta antaa mitään erityistä merkitystä todisteena. Siltä osin kuin todistustaakka riitaisista seikoista on poissaolevalla asianosaisella, seikat jäävät näyttämättä sen vuoksi, että mitään todistelua niiden tueksi ei esitetä. Siltä osin kuin riitaisia seikkoja koskeva todistustaakka on paikalla olevalla asianosaisella, hän todennäköisesti onnistuu täyttämään todistustaakkansa, koska mitään vastanäyttöä ei esitetä. Siinä tapauksessa, että tuomiota vaativa asianosainen ei onnistuisi täyttämään todistustaakkaansa edes vastapuolen poissa ollessa, oikea ratkaisu on tietysti hylätä kanne.</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7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Asianosaisten huomion kiinnittäminen uuteen todisteeseen prosessinjohdon keinoin lienee kaikissa tapauksissa riittävä keino todistelun kattavuuden turvaamiseksi. Tuomioistuimen ei tulisi ryhtyä hankkimaan todisteita omasta aloitteestaan edes silloin, kun se tuomioistuimen arvion mukaan koituisi todennäköisesti vastaajan eduksi.</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Kuten lakiehdotuksen perusteluissakin todetaan, etukäteen ei voida aina sanoa, kenen hyväksi todisteen esittäminen koituu. Tästä syystä tuomioistuimen tulisi lähtökohtaisesti pidättäytyä näytön hankkimisesta. Syytetyn puolustajalla on hänen asemastaan johtuen huomattavasti tuomioistuinta paremmat edellytykset arvioida sitä, minkä näytön esittäminen asiassa on hänen päämiehensä edun mukaista. Sikäli kuin jotakin näyttöä ei syytetyn puolesta esitetä edes tuomioistuimen siitä huomautettua, menettelyyn on todennäköisesti jokin muu syy avustajan laiminlyönti.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Tietyissä poikkeustapauksissa voidaan tietysti ajatella, että tuomioistuin on menettänyt luottamuksensa avustajan pätevyyteen, minkä vuoksi sillä on painava syy epäillä, että jokin todistuskeino on jätetty laiminlyönnin vuoksi käyttämättä. Tällöinkin tuomioistuimen aloitteesta tapahtuvaa todistelun hankkimista oikeammalta ratkaisulta vaikuttaisi avustajan määräyksen peruuttaminen ja uuden avustajan määrääminen oikeusapulain 9 §:ssä säädetyllä tavalla.</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8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Näytön epääminen merkitsee ankaraa puuttumista asiaosaisen oikeuteen esittää tuomioistuimelle haluamansa näyttö. Toisaalta näytön epääminen tietyissä tilanteissa palvelee sekä prosessiekonomiaa että oikeudenmukaista oikeudenkäyntiä. Tämän vuoksi olisi aiheellista, että näytön epäämisestä säänneltäisiin riittävän tarkasti.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Nyt ehdotettu pykälä ilmentää lähinnä neljää periaatetta, joiden mukaan todistelun on oltava tarpeellista, taloudellista, mahdollisimman luotettavaa ja saatavilla olevaa. Lakiehdotuksessa näiden periaatteiden sisältöä on konkretisoitu muutamien esimerkkien avulla, mitä ei voida pitää riittävänä, kun otetaan huomioon, että kyseessä on asianosaisten prosessuaalisia oikeuksia rajoittava pakottava säännös. Vähintäänkin lainkohdan yksityiskohtaisissa perusteluissa olisi nykyistä kattavammin käytävä läpi ne soveltamistilanteet, joissa näyttö on tarkoitettu evättävän.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Lakiteknisenä huomautuksena todetaan, että pykälän 1 ja 2 kohdat koskevat kumpikin tarpeetonta todistelua. Tuntuu tarpeettomalta erottaa asiaan vaikuttamatonta seikkaa koskeva todistelu muusta tarpeettomasta todistelusta. Kuten yksityiskohtaisista perusteluista käy ilmi, todistelu voi olla tarpeetonta monesta eri syystä.</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9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Ehdotetussa pykälässä säädetään kahdesta yleisestä periaatteesta, todistamisvelvollisuudesta ja todistuskeinoneutraalisuudesta. Ratkaisu vaikeuttaa selvästi lain sisällön selvittämistä, sillä säännös on erillään itse todistuskeinoja koskevasta sääntelystä. Niin sanottujen yhteisten sääntöjen eriyttäminen on perustelu ratkaisu silloin, kun yleinen sääntö soveltuu suureen määrään erilaisia tilanteita. Nyt sääntelyn kohteena olevia todistuskeinoja on vain muutama.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Olisi selvästi havainnollisempaa säätää todistamisvelvollisuudesta todistajia (29 §), asiantuntijoita (34 §) sekä asiakirjoja katselmuskohteita (38 §) koskevissa lainkohdissa. Vastaavasti todistuskeinoneutraalisuudesta voitaisiin säätää asiantuntijoiden kelpoisuutta (35 §) ja asiakirjan tai esineen toimittamisvelvollisuutta tai katselmuksen sallimista (40 §) koskevissa lainkohdissa.</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10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Pykälä on kirjoitettu kovin ehdottomaan muotoon: ”Valtion turvallisuuden taikka suhteiden toiseen valtioon tai kansainväliseen järjestöön vuoksi salassa pidettävästä tiedosta ei saa todistaa.” Pykälän perusteluissa todetaan toisaalta seuraavaa:</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Säännöstä sovellettaessa on otettava huomioon sen tarkoitus, valtion turvallisuuteen liittyvien arkaluonteisten tietojen pitäminen salassa valtion edun vuoksi. Pykälällä ei ole tarkoitettu estää näytön esittämistä tällaisista tiedoista esimerkiksi silloin, kun syytettä ajetaan tällaisten tietojen oikeudettomaan luovuttamiseen perustuen. Tällaisessa tapauksessa riittää, että asia käsitellään suljetuin ovin.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Lakiteknisesti säätäminen perusteluilla vaikuttaa epäonnistuneelta. Kun pykälä on kirjoitettu ehdottomaan muotoon, tulisi selvästä poikkeuksesta säätää erikseen, esimerkiksi lisäämällä pykälään 2 momentti kuulumaan seuraavasti:</w:t>
      </w:r>
    </w:p>
    <w:p w:rsidR="0086297B" w:rsidRPr="00D2169E" w:rsidRDefault="0086297B" w:rsidP="00D2169E">
      <w:pPr>
        <w:ind w:left="1304"/>
        <w:rPr>
          <w:rFonts w:ascii="Calibri" w:hAnsi="Calibri"/>
          <w:szCs w:val="24"/>
        </w:rPr>
      </w:pPr>
      <w:r w:rsidRPr="00D2169E">
        <w:rPr>
          <w:rFonts w:ascii="Calibri" w:hAnsi="Calibri"/>
          <w:szCs w:val="24"/>
        </w:rPr>
        <w:t>Rikosepäilyn koskiessa 1 momentissa tarkoitettujen tietojen oikeudetonta hyödyntämistä, todistamiskieltoa näistä asioista ei ole.</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Riittäväksi voisi tällöin jäädä perustelutasolla todeta, että todistamiskiellon syrjäytyminen ei tietenkään tarkoita näiden asioiden julkiseksi tulemista edes oikeudenkäynnissä, vaan tuomioistuin harkitsee valtion turvallisuuteen ym. liittyvät näkökulmat tehdessään ratkaisun oikeudenkäynnin ja siihen liittyvän materiaalin julkisuutta koskevan lainsäädännön nojalla.</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11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Pykälän 2 tai 3 momentista ei ole huomautettavaa. 1 momentin osalta se on jälleen kirjoitettu ehdottomaan muotoon: ”Tuomioistuimen päätösneuvottelun sisällöstä ei saa todistaa.” Perusteluissa pyritään taas hieman raottamaan kiellon ehdottomuutta, mikä voi muodostua pulmalliseksi. Perusteluissa todetaan muun ohella seuraavaa:</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Säännöstä voidaan pitää oikeustilaa selventävänä, koska oikeuskäytännössä lienee omaksuttu tämä kanta (ks. kuitenkin KKO 2008:95).</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Säännöksen perusteluissa väitetään siis, että kyse olisi oikeustilaa selventävästä lisäyksestä, mutta viitataan ks.-lyhenteellä ratkaisuun KKO 2008:95. Kyseisen ratkaisun otsikko kuuluu seuraavasti:</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Kysymys siitä, oliko käräjäoikeuden lautamies rikkonut virkavelvollisuutensa, kun hän oli</w:t>
      </w:r>
    </w:p>
    <w:p w:rsidR="0086297B" w:rsidRPr="00D2169E" w:rsidRDefault="0086297B" w:rsidP="00D2169E">
      <w:pPr>
        <w:ind w:left="2608"/>
        <w:rPr>
          <w:rFonts w:ascii="Calibri" w:hAnsi="Calibri"/>
          <w:sz w:val="22"/>
          <w:szCs w:val="24"/>
        </w:rPr>
      </w:pPr>
      <w:r w:rsidRPr="00D2169E">
        <w:rPr>
          <w:rFonts w:ascii="Calibri" w:hAnsi="Calibri"/>
          <w:sz w:val="22"/>
          <w:szCs w:val="24"/>
        </w:rPr>
        <w:t>- osallistunut rikosasian käsittelemiseen, vaikka hän oli ennen asian vireilletuloa ottanut kantaa rikoksesta epäillyn menettelyn lainvastaisuuteen, ja</w:t>
      </w:r>
    </w:p>
    <w:p w:rsidR="0086297B" w:rsidRPr="00D2169E" w:rsidRDefault="0086297B" w:rsidP="00D2169E">
      <w:pPr>
        <w:ind w:left="2608"/>
        <w:rPr>
          <w:rFonts w:ascii="Calibri" w:hAnsi="Calibri"/>
          <w:sz w:val="22"/>
          <w:szCs w:val="24"/>
        </w:rPr>
      </w:pPr>
      <w:r w:rsidRPr="00D2169E">
        <w:rPr>
          <w:rFonts w:ascii="Calibri" w:hAnsi="Calibri"/>
          <w:sz w:val="22"/>
          <w:szCs w:val="24"/>
        </w:rPr>
        <w:t>- perustanut asiassa ratkaisunsa erään seikan osalta siitä oikeudenkäynnin ulkopuolella tekemäänsä havaintoon.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Momentin säätämisellä tosiasiassa siis muutettaisiin oikeustilaa ratkaisevalla tavalla ja pyrittäisiin muuttamaan oikeustilaa siitä, miten Korkein oikeus asian on arvioinut kohtuullisen tuoreessa ratkaisussaan. Korkein oikeus viittasi päätösneuvotteluiden sisältöön tuomion kohdissa 22–24 seuraavalla tavalla:</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22. A oli kertomansa mukaan käräjäoikeuden puheenjohtajan pyynnöstä kirjoittanut päätösneuvottelussa esittämänsä ratkaisuperustelut kirjalliseen muistioon, jonka hän oli antanut puheenjohtajalle seuraavana päivänä jatketussa päätösneuvottelussa. Muistiossaan A oli ilmaissut myös edellä tarkoitetun T:tä koskeneen havaintonsa. A on kertonut, ettei tällä tiedolla kuitenkaan ollut ollut ratkaisevaa merkitystä hänen päätösharkinnassaan, sillä hän oli tullut syytteen hylkäävään johtopäätökseen jo asiassa esitetyn muun todistelun perusteella.</w:t>
      </w:r>
    </w:p>
    <w:p w:rsidR="0086297B" w:rsidRPr="00D2169E" w:rsidRDefault="0086297B" w:rsidP="00D2169E">
      <w:pPr>
        <w:ind w:left="2608"/>
        <w:rPr>
          <w:rFonts w:ascii="Calibri" w:hAnsi="Calibri"/>
          <w:sz w:val="22"/>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23. Käräjäoikeuden puheenjohtajan kiinnitettyä huomiota siihen, että A:n yksityisen tiedon käyttämiseen tuomiossa "voi joku puuttua", A oli kertomuksensa mukaan ilmoittanut, että tieto voitiin jättää poiskin lopullisen tuomion perusteluista. A oli laatinut muistion vain luonnokseksi perustelujen kirjoittamiseksi. A ja lautamies JR ovat kertoneet, että he olivat päätösneuvottelussa käydyn keskustelun perusteella olleet siinä käsityksessä, ettei A:n henkilökohtaiseen havaintoon perustuvaa tietoa otettaisi tuomion perusteluihin. Kuitenkin puheenjohtaja oli jättänyt tiedon päätösneuvottelun jälkeen laatimaansa lopulliseen tuomioon. A on kertonut, ettei käräjäoikeuden puheenjohtaja ollut kertonut, että yksityisen tiedon käyttäminen ei ollut sallittua. A ei ollut pyytänyt eikä hänelle ollut varattu tilaisuutta tarkastaa lopullisen tuomion sisältöä ennen tuomion antamista kansliassa.</w:t>
      </w:r>
    </w:p>
    <w:p w:rsidR="0086297B" w:rsidRPr="00D2169E" w:rsidRDefault="0086297B" w:rsidP="00D2169E">
      <w:pPr>
        <w:ind w:left="2608"/>
        <w:rPr>
          <w:rFonts w:ascii="Calibri" w:hAnsi="Calibri"/>
          <w:sz w:val="22"/>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24. Käräjäoikeuden puheenjohtajana toiminut VK on Korkeimmassa oikeudessa kertonut, ettei hän ollut jättänyt pois A:n henkilökohtaiseen havaintoon perustuvaa perustelun osaa, koska hänen mielestään havainnossa oli kyse asian ratkaisemisen kannalta merkityksellisestä kysymyksestä ja koska tuomiosta tuli ilmetä sen perusteena tosiasiallisesti olleet seikat.</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Mikäli nyt hyväksyttäisiin ehdoton todistamiskielto päätösneuvotteluista, hyväksyttäisiin samalla se, että päätösneuvotteluiden yhteydessä tehtyyn rikokseen ei voitaisi käytännössä millään tavalla puuttua. Tätä ei voi pitää toivottavana kehityksenä. Vaikka ehdotettu momentti muutoin onkin varmasti oikeustilaa selventävä, tulisi lakiin kuitenkin tältä osin lisätä joko 2 momentti – jolloin nyt ehdotetut 2 ja 3 momentit siirtyisivät 3 ja 4 momenteiksi – tai sitten uusi 4 momentti, jonka sisältö voisi vastata asianajaja Markku Fredmanin eriävässä mielipiteessään esittämää näkemystä; eli kuulumaan seuraavalla tavalla: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Edellä 1 momentissa säädettyä ei kuitenkaan noudateta ja henkilö voidaan velvoittaa todistamaan, jos syyttäjä vaatii rangaistusta oikeuden jäsenelle tai sen henkilökuntaan kuuluvalle päätösneuvottelun yhteydessä tehdystä rikoksesta.</w:t>
      </w:r>
    </w:p>
    <w:p w:rsidR="0086297B" w:rsidRPr="00D2169E" w:rsidRDefault="0086297B" w:rsidP="00D2169E">
      <w:pPr>
        <w:ind w:left="1304"/>
        <w:rPr>
          <w:rFonts w:ascii="Calibri" w:hAnsi="Calibri"/>
          <w:szCs w:val="24"/>
        </w:rPr>
      </w:pPr>
      <w:r w:rsidRPr="00D2169E">
        <w:rPr>
          <w:rFonts w:ascii="Calibri" w:hAnsi="Calibri"/>
          <w:szCs w:val="24"/>
        </w:rPr>
        <w:t>Tällöin tulisi myös esitutkintalain 7 luvun 8 §:ään lisätä mahdollisuus kuulla todistajaa päätösneuvottelun sisällöstä, kun tutkittavana on päätösneuvottelun yhteydessä tehdyksi epäilty rikos.</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Edelleen 1 momentin perusteluissa mietinnössä jatketaan (s. 88):</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Momenttia olisi perusteltua tulkita yhdenmukaisesti oikeudenkäynnin julkisuutta koskevien lakien kanssa. Lähtökohtana olisi, että todistamiskielto koskee laeissa mainittuja tuomioistuimia. Toisaalta jos salassapitovelvollisuutta ei enää olisi ajan kulumisen vuoksi mainittujen lakien nojalla, todistamiskieltokin väistyisi. Samaten neuvottelusalaisuuden tarkempaa sisältöä arvioitaessa voitaisiin hyödyntää oikeudenkäynnin julkisuutta koskevan lain nojalla annettuja ratkaisuja.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Kun momentti on kirjoitettu ehdottomaan muotoon, olisi syytä harkita kaikkien poikkeuksien nostamista lakitekstiin, eikä harjoittaa perusteluilla säätämistä.</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12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Edellytykset pykälän 2 momentissa tarkoitettuun todistamisvelvollisuuteen on kirjoitettu tiukaksi, mikä lähtökohtaisesti on oikea ratkaisu. Ongelmaksi tulee tällöin se, että muissa kuin ylitörkeissä rikoksissa tuomioistuimella ei - ainakaan lain sanamuodon mukaisesti – olisi oikeutta turvata oikeudenmukaista oikeudenkäyntiä.</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Edellytykset 2 momentissa tarkoitetun salassapitovelvollisuuden tai vaitiolo-oikeuden murtamiseen on kirjoitettu kumulatiiviksi; kaikkien momentissa mainittujen kolmen edellytyksen tulee täyttyä samanaikaisesti. Jos epäillystä rikoksesta ei ole säädetty rangaistukseksi vähintään kuutta vuotta vankeutta, ei tuomioistuimella olisi mahdollisuutta murtaa vaitiolo-oikeutta, vaikka tiedon ilmoittamatta jättäminen loukkaisikin asianosaisen oikeutta puolustautua asianmukaisesti tai muuten asianmukaisesti valvoa oikeuttaan oikeudenkäynnissä. Lähtökohtaisesti ajatus tuntuu nykyaikana kovin ongelmalliselta.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Euroopan ihmisoikeustuomioistuin (EIT) on lukuisissa tapauksissa todennut, että oikeus oikeudenmukaiseen oikeudenkäyntiin koskee kaikkia rikosoikeudenkäyntejä, riippumatta siitä, miten vakavista teoista henkilö on syytteessä. Jo tapauksessa </w:t>
      </w:r>
      <w:r w:rsidRPr="00D2169E">
        <w:rPr>
          <w:rFonts w:ascii="Calibri" w:hAnsi="Calibri"/>
          <w:i/>
          <w:szCs w:val="24"/>
        </w:rPr>
        <w:t>Saunders v. Yhdistynyt Kuningaskunta</w:t>
      </w:r>
      <w:r w:rsidRPr="00D2169E">
        <w:rPr>
          <w:rFonts w:ascii="Calibri" w:hAnsi="Calibri"/>
          <w:szCs w:val="24"/>
        </w:rPr>
        <w:t xml:space="preserve"> (1996) EIT totesi seuraavaa (tuomion kohta 74):</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lang w:val="en-US"/>
        </w:rPr>
      </w:pPr>
      <w:r w:rsidRPr="00D2169E">
        <w:rPr>
          <w:rFonts w:ascii="Calibri" w:hAnsi="Calibri"/>
          <w:sz w:val="22"/>
          <w:szCs w:val="24"/>
          <w:lang w:val="en-US"/>
        </w:rPr>
        <w:t>Like the Commission, it considers that the general requirements of fairness contained in Article 6 (art. 6), including the right not to incriminate oneself, apply to criminal proceedings in respect of all types of criminal offences without distinction from the most simple to the most complex. The public interest cannot be invoked to justify the use of answers compulsorily obtained in a non-judicial investigation to incriminate the accused during the trial proceedings.</w:t>
      </w:r>
    </w:p>
    <w:p w:rsidR="0086297B" w:rsidRPr="00D2169E" w:rsidRDefault="0086297B" w:rsidP="00D2169E">
      <w:pPr>
        <w:ind w:left="1304"/>
        <w:rPr>
          <w:rFonts w:ascii="Calibri" w:hAnsi="Calibri"/>
          <w:szCs w:val="24"/>
          <w:lang w:val="en-US"/>
        </w:rPr>
      </w:pPr>
    </w:p>
    <w:p w:rsidR="0086297B" w:rsidRPr="00D2169E" w:rsidRDefault="0086297B" w:rsidP="00D2169E">
      <w:pPr>
        <w:ind w:left="1304"/>
        <w:rPr>
          <w:rFonts w:ascii="Calibri" w:hAnsi="Calibri"/>
          <w:szCs w:val="24"/>
        </w:rPr>
      </w:pPr>
      <w:r w:rsidRPr="00D2169E">
        <w:rPr>
          <w:rFonts w:ascii="Calibri" w:hAnsi="Calibri"/>
          <w:szCs w:val="24"/>
        </w:rPr>
        <w:t xml:space="preserve">Olkoonkin, että </w:t>
      </w:r>
      <w:r w:rsidRPr="00D2169E">
        <w:rPr>
          <w:rFonts w:ascii="Calibri" w:hAnsi="Calibri"/>
          <w:i/>
          <w:szCs w:val="24"/>
        </w:rPr>
        <w:t>Saunders</w:t>
      </w:r>
      <w:r w:rsidRPr="00D2169E">
        <w:rPr>
          <w:rFonts w:ascii="Calibri" w:hAnsi="Calibri"/>
          <w:szCs w:val="24"/>
        </w:rPr>
        <w:t xml:space="preserve"> sinänsä koski itsekriminointisuojaa, niin EIT totesi siis nimenomaan, että oikeudenmukaisen oikeudenkäynnin yleiset vaatimukset soveltuvat kaikkiin rikosoikeudenkäynteihin. Tähän nähden nyt ehdotetussa momentissa on ainakin vaara siitä, että mainittua sanamuotoa tulkittaisiin siten, että tuomioistuimilla ei vähemmän vakavien rikoksien kyseessä ollen olisi edes oikeutta turvata oikeudenmukaista oikeudenkäyntiä. Joskus esimerkiksi valeostoon liittyvien seikkojen tarkempi selvittäminen on välttämätöntä myös selvästi vähemmän kuin kuuden vuoden vankeusuhkaisia rikoksia puolustautumista vastaan ennen kaikkea sen takia, että </w:t>
      </w:r>
      <w:r w:rsidRPr="00D2169E">
        <w:rPr>
          <w:rFonts w:ascii="Calibri" w:hAnsi="Calibri"/>
          <w:i/>
          <w:szCs w:val="24"/>
        </w:rPr>
        <w:t>agent provocateurin</w:t>
      </w:r>
      <w:r w:rsidRPr="00D2169E">
        <w:rPr>
          <w:rFonts w:ascii="Calibri" w:hAnsi="Calibri"/>
          <w:szCs w:val="24"/>
        </w:rPr>
        <w:t xml:space="preserve"> ja sallitun valeoston välinen raja voi olla hiuksenhieno. Edellisessä kohdassa koko syyte saatetaan joutua hylkäämään, jos poliisi on ylittänyt valeoston rajat ja toiminut yllyttäjänä. Tästäkin löytyy runsaasti oikeuskäytäntöä EIT:sta (esimerkiksi </w:t>
      </w:r>
      <w:r w:rsidRPr="00D2169E">
        <w:rPr>
          <w:rFonts w:ascii="Calibri" w:hAnsi="Calibri"/>
          <w:i/>
          <w:szCs w:val="24"/>
        </w:rPr>
        <w:t>Teixeira de Castro v. Portugali</w:t>
      </w:r>
      <w:r w:rsidRPr="00D2169E">
        <w:rPr>
          <w:rFonts w:ascii="Calibri" w:hAnsi="Calibri"/>
          <w:szCs w:val="24"/>
        </w:rPr>
        <w:t xml:space="preserve"> (1998); </w:t>
      </w:r>
      <w:r w:rsidRPr="00D2169E">
        <w:rPr>
          <w:rFonts w:ascii="Calibri" w:hAnsi="Calibri"/>
          <w:i/>
          <w:szCs w:val="24"/>
        </w:rPr>
        <w:t>Edwards and Lewis v. Yhdistynyt Kuningaskunta</w:t>
      </w:r>
      <w:r w:rsidRPr="00D2169E">
        <w:rPr>
          <w:rFonts w:ascii="Calibri" w:hAnsi="Calibri"/>
          <w:szCs w:val="24"/>
        </w:rPr>
        <w:t xml:space="preserve"> (2003)).</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Tuomioistuimen voi siis olla mahdoton turvata oikeudenmukaista oikeudenkäyntiä, jos sillä ei ole pääsyä esimerkiksi siihen kaikkeen aineistoon, joka liittyy vaikkapa peitetoimintaan. Tämä oikeus tulee tuomioistuimille turvata. Pykälän muotoilu on epäonnistunut ja sen sisältöä tulisi vähintään täsmentää.</w:t>
      </w:r>
    </w:p>
    <w:p w:rsidR="0086297B" w:rsidRPr="00D2169E" w:rsidRDefault="0086297B" w:rsidP="00D2169E">
      <w:pPr>
        <w:ind w:left="1304"/>
        <w:rPr>
          <w:rFonts w:ascii="Calibri" w:hAnsi="Calibri"/>
          <w:szCs w:val="24"/>
        </w:rPr>
      </w:pPr>
    </w:p>
    <w:p w:rsidR="0086297B" w:rsidRPr="00D2169E" w:rsidRDefault="0086297B" w:rsidP="00D2169E">
      <w:pPr>
        <w:rPr>
          <w:rFonts w:ascii="Calibri" w:hAnsi="Calibri"/>
          <w:szCs w:val="24"/>
        </w:rPr>
      </w:pPr>
      <w:r w:rsidRPr="00D2169E">
        <w:rPr>
          <w:rFonts w:ascii="Calibri" w:hAnsi="Calibri"/>
          <w:szCs w:val="24"/>
        </w:rPr>
        <w:t>13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Säännöksessä on täsmennetty ja osin laajennettu oikeudenkäyntiasiamiehen ja </w:t>
      </w:r>
    </w:p>
    <w:p w:rsidR="0086297B" w:rsidRDefault="0086297B" w:rsidP="00D2169E">
      <w:pPr>
        <w:ind w:left="1304"/>
        <w:rPr>
          <w:rFonts w:ascii="Calibri" w:hAnsi="Calibri"/>
          <w:szCs w:val="24"/>
        </w:rPr>
      </w:pPr>
      <w:r w:rsidRPr="00D2169E">
        <w:rPr>
          <w:rFonts w:ascii="Calibri" w:hAnsi="Calibri"/>
          <w:szCs w:val="24"/>
        </w:rPr>
        <w:t>-avustajan sekä oikeudellisen neuvonantajan salassapitovelvollisuutta.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Asianajajaliitto kannattaa säännöksen täsmentämistä. Euroopan ihmisoikeustuomioistuin on pitänyt oikeudenkäymiskaaren 17 luvun 23 §:n säännöstä epäselvänä (Sallinen ym v. Suomi). Säännöksessä ei todeta riittävän selvästi, koskeeko asian ajaminen pelkästään asianajajan ja tämän päämiehen suhdetta tietyssä jutussa vaiko heidän suhteitaan yleisesti. Euroopan ihmisoikeustuomioistuin viittasi asianajajan yleiseen salassapitovelvollisuuteen ja huomautti myös siitä, että Euroopan Neuvoston ministerikomitean suosituksen (2000/21) mukaan valtioiden tuli ryhtyä kaikkiin tarpeellisiin toimenpiteisiin varmistaakseen asianajajan ja tämän päämiehen suhteen luottamuksellisuuden.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Nykyisten lainsäädännön epätäsmällisyyttä kuvaa erinomaisesti korkeimman oikeuden ratkaisun 2003:119 vähemmistöön jääneiden oikeusneuvosten Häyhän ja Tulokkaan lausunto:</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Pakkokeinolain 4 luvun 2 §:n mukaan asiakirjaa ei saa takavarikoida todisteena käytettäväksi, jos sen voidaan olettaa sisältävän sellaista, josta oikeudenkäymiskaaren 17 luvun 23 §:ssä tarkoitettu henkilö ei saisi todistaa oikeudenkäynnissä. Asiamiestä tai oikeudenkäyntiavustajaa on viimeksi mainitussa lainkohdassa kielletty todistamasta "siitä, mitä päämies on hänelle asian ajamista varten uskonut, ellei päämies todistamiseen suostu".</w:t>
      </w:r>
    </w:p>
    <w:p w:rsidR="0086297B" w:rsidRPr="00D2169E" w:rsidRDefault="0086297B" w:rsidP="00D2169E">
      <w:pPr>
        <w:ind w:left="2608"/>
        <w:rPr>
          <w:rFonts w:ascii="Calibri" w:hAnsi="Calibri"/>
          <w:sz w:val="22"/>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Mainittu säännös on osoittautunut tulkinnanvaraiseksi. Tulkintaerimielisyydet koskevat sitä, rajoittuuko takavarikkokielto pelkästään oikeudenkäyntiin liittyvään tai sitä silmällä pitäen laadittuun aineistoon vai onko sen piirissä asianajoa tai oikeudellista neuvontaa koskevassa toimeksiantosuhteessa kertynyt luottamuksellinen aineisto yleensä.</w:t>
      </w:r>
    </w:p>
    <w:p w:rsidR="0086297B" w:rsidRPr="00D2169E" w:rsidRDefault="0086297B" w:rsidP="00D2169E">
      <w:pPr>
        <w:ind w:left="2608"/>
        <w:rPr>
          <w:rFonts w:ascii="Calibri" w:hAnsi="Calibri"/>
          <w:sz w:val="22"/>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Oikeudenkäymiskaaren 17 luvun 23 § on vuodelta 1948. Siinä laajennettiin todistamiskiellon alaa verrattuna aikaisempaan säännökseen (17:7), jonka mukaan kiellettyä oli todistaa "siitä, mitä hänen päämiehensä on sen oikeudenkäynnin aikana hänelle uskonut". Lain esitöistä käy myös ilmi, että eduskuntavaiheessa tapahtui eräitä esityksen sanamuodon tarkistuksia, jotka viittaavat soveltamisalan väljentämiseen. Epäilemättä todistamiskiellon ydinaluetta on asianajajan ja päämiehen yhteydenpito oikeudenkäyntiä silmälläpitäen. "Asian ajaminen" ei kuitenkaan kielellisestikään viittaa pelkästään oikeudenkäyntiin, vaan päämiehen oikeudellisten etujen valvomiseen yleensä. Toimeksiantoon liittyvien luottamuksellisten tietojen suojaamisen tarvetta on oikeudenkäyntiasioiden ohella myös muissa asianajotehtävissä. Ettei säännöstä ole perusteltua tulkita suppeasti, todettiin tuoreeltaan ilmestyneessä lakikommentaarissa (Tirkkonen, Uusi todistuslainsäädäntö, 1949 s. 123).</w:t>
      </w:r>
    </w:p>
    <w:p w:rsidR="0086297B" w:rsidRPr="00D2169E" w:rsidRDefault="0086297B" w:rsidP="00D2169E">
      <w:pPr>
        <w:ind w:left="2608"/>
        <w:rPr>
          <w:rFonts w:ascii="Calibri" w:hAnsi="Calibri"/>
          <w:sz w:val="22"/>
          <w:szCs w:val="24"/>
        </w:rPr>
      </w:pPr>
    </w:p>
    <w:p w:rsidR="0086297B" w:rsidRDefault="0086297B" w:rsidP="00D2169E">
      <w:pPr>
        <w:ind w:left="2608"/>
        <w:rPr>
          <w:rFonts w:ascii="Calibri" w:hAnsi="Calibri"/>
          <w:sz w:val="22"/>
          <w:szCs w:val="24"/>
        </w:rPr>
      </w:pPr>
      <w:r w:rsidRPr="00D2169E">
        <w:rPr>
          <w:rFonts w:ascii="Calibri" w:hAnsi="Calibri"/>
          <w:sz w:val="22"/>
          <w:szCs w:val="24"/>
        </w:rPr>
        <w:t xml:space="preserve">- - - - - - - - -   </w:t>
      </w:r>
    </w:p>
    <w:p w:rsidR="0086297B" w:rsidRPr="00D2169E" w:rsidRDefault="0086297B" w:rsidP="00D2169E">
      <w:pPr>
        <w:ind w:left="2608"/>
        <w:rPr>
          <w:rFonts w:ascii="Calibri" w:hAnsi="Calibri"/>
          <w:sz w:val="22"/>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Päämiehen ja asianajajan välinen suhde perustuu luottamukseen ja luottamuksellisten tietojen salassapysymiseen. Sitä suojataan myös viranomaisia vastaan. Asianajosalaisuus turvaa osaltaan päämiehen yksityiselämän suojaa ja edistää muidenkin perusoikeuksien, erityisesti oikeusturvan toteutumista. Asianajon ja myös yleisen oikeudenhoidon kannalta on tärkeätä, että päämies voi mahdollisimman avoimesti ja luottamuksellisesti asianajajalleen selvittää oikeudelliset ongelmansa ja niiden taustan. Tämä edellyttää asianajajan salassapitovelvollisuutta, mutta myös todistamiskieltoa sekä takavarikkosuojaa.</w:t>
      </w:r>
    </w:p>
    <w:p w:rsidR="0086297B" w:rsidRPr="00D2169E" w:rsidRDefault="0086297B" w:rsidP="00D2169E">
      <w:pPr>
        <w:ind w:left="2608"/>
        <w:rPr>
          <w:rFonts w:ascii="Calibri" w:hAnsi="Calibri"/>
          <w:sz w:val="22"/>
          <w:szCs w:val="24"/>
        </w:rPr>
      </w:pPr>
    </w:p>
    <w:p w:rsidR="0086297B" w:rsidRDefault="0086297B" w:rsidP="00D2169E">
      <w:pPr>
        <w:ind w:left="2608"/>
        <w:rPr>
          <w:rFonts w:ascii="Calibri" w:hAnsi="Calibri"/>
          <w:szCs w:val="24"/>
        </w:rPr>
      </w:pPr>
      <w:r w:rsidRPr="00D2169E">
        <w:rPr>
          <w:rFonts w:ascii="Calibri" w:hAnsi="Calibri"/>
          <w:sz w:val="22"/>
          <w:szCs w:val="24"/>
        </w:rPr>
        <w:t>Eri yhteyksissä laaditut kansainväliset selvitykset osoittavat, että päämiehen ja asianajajan välistä luottamuksellista suhdetta turvataan yleensä todistamiskiellolla ja takavarikkosuojalla laajemmaltikin kuin vain vireillä olevaa oikeudenkäyntiä ja siinä puolustautumista silmälläpitäen. Esimerkiksi Ruotsin, kuten myös muiden Pohjoismaiden osalta, on säädetty, että suojattua on järjestäytyneelle asianajajalle ammattitoiminnassa kertynyt aineisto. Vakavien rikosten ollessa kysymyksessä suoja kuitenkin väistyy. Anglosaksinen oikeus on samoilla linjoilla. Esimerkiksi Yhdistyneessä kuningaskunnassa suojan piirissä on niin oikeudelliseen neuvontaan kuin oikeudenkäyntiinkin liittyvä tai sitä silmälläpitäen tapahtunut yhteydenpito.</w:t>
      </w:r>
      <w:r w:rsidRPr="00D2169E">
        <w:rPr>
          <w:rFonts w:ascii="Calibri" w:hAnsi="Calibri"/>
          <w:szCs w:val="24"/>
        </w:rPr>
        <w:t xml:space="preserve"> </w:t>
      </w:r>
    </w:p>
    <w:p w:rsidR="0086297B" w:rsidRPr="00D2169E" w:rsidRDefault="0086297B" w:rsidP="00D2169E">
      <w:pPr>
        <w:ind w:left="2608"/>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Mietinnössä ehdotetun 1 momentin mukaan oikeudenkäyntiasiamies tai -avustaja ei saa luvattomasti todistaa pykälässä mainituista asioista.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Voimassa olevassa laissa luvallisuus viittaa päämieheltä saatavaan lupaan (17 luvun 23 § 1 momentin 4 kohta), mutta mietinnössä on mainittu yleisesti, että tällainen taho ei saa luvattomasti todistaa. Mietinnön yksityiskohtaisissa perusteluissa on käsitelty asiaa, kenen lupaan tässä viitataan. Mietinnön perusteluiden mukaan (s. 98):</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”Kuitenkin on esimerkiksi mahdollista, että oikeudenkäyntiä edeltävissä sovintoneuvotteluissa avustaja on saanut tietää vastapuolen liikesalaisuuden tai yksityistä henkilöä koskevan arkaluonteisen tiedon. Ei ole perusteltua, että avustajan päämies voisi suostua vastapuolen asemaan olennaisesti vaikuttavan ja siihen kuuluvan salaisuuden tiedon ilmaisemisesta. Tässä tapauksessa on asianmukaista, että luvan antaa se osapuoli, jonka salaisuudesta tai jota koskevasta tiedosta on kyse. Järjestely edesauttaisi osapuolten välisen luottamuksen syntyä ja yhteisymmärryksen löytämistä, koska osapuoli voisi ilmaista tiedon ilman pelkoa siitä, että vastapuoli sitä myöhemmin käyttää hänen vahingokseen.”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Mietinnön perusteluissa ollaan siten asettamassa oikeudenkäyntiasiamiehelle ja </w:t>
      </w:r>
    </w:p>
    <w:p w:rsidR="0086297B" w:rsidRPr="00D2169E" w:rsidRDefault="0086297B" w:rsidP="00D2169E">
      <w:pPr>
        <w:ind w:left="1304"/>
        <w:rPr>
          <w:rFonts w:ascii="Calibri" w:hAnsi="Calibri"/>
          <w:szCs w:val="24"/>
        </w:rPr>
      </w:pPr>
      <w:r w:rsidRPr="00D2169E">
        <w:rPr>
          <w:rFonts w:ascii="Calibri" w:hAnsi="Calibri"/>
          <w:szCs w:val="24"/>
        </w:rPr>
        <w:t xml:space="preserve">-avustajalle sellainen salassapitovelvollisuus, mitä tällä hetkellä ei lain perusteella ole olemassa, vaikka pykälän tarkoituksena tuskin on laajentaa tällaisen henkilön aineellista salassapitovelvollisuutta prosessuaalisella säännöksellä. On esimerkiksi selvää, että tällaisella taholla on salassapitovelvollisuus oman päämiehensä tälle antamista liikesalaisuuksista, mutta vastapuolen antamista vastaavista tiedoista ei ole vastaavaa yksiselitteistä salassapitovelvollisuutta kyseistä vastapuolta kohtaan. </w:t>
      </w:r>
    </w:p>
    <w:p w:rsidR="0086297B" w:rsidRPr="00D2169E" w:rsidRDefault="0086297B" w:rsidP="00D2169E">
      <w:pPr>
        <w:ind w:left="1304"/>
        <w:rPr>
          <w:rFonts w:ascii="Calibri" w:hAnsi="Calibri"/>
          <w:szCs w:val="24"/>
        </w:rPr>
      </w:pPr>
    </w:p>
    <w:p w:rsidR="0086297B" w:rsidRPr="00D2169E" w:rsidRDefault="0086297B" w:rsidP="00D2169E">
      <w:pPr>
        <w:ind w:left="2608"/>
        <w:rPr>
          <w:rFonts w:ascii="Calibri" w:hAnsi="Calibri"/>
          <w:sz w:val="22"/>
          <w:szCs w:val="24"/>
        </w:rPr>
      </w:pPr>
      <w:r w:rsidRPr="00D2169E">
        <w:rPr>
          <w:rFonts w:ascii="Calibri" w:hAnsi="Calibri"/>
          <w:sz w:val="22"/>
          <w:szCs w:val="24"/>
        </w:rPr>
        <w:t xml:space="preserve">Ks. tämän osalta esim. rikoslain 30:5 §:n yrityssalaisuuden rikkominen ja sopimattomasta menettelystä elinkeinotoiminnassa annetun lain 4 §, joissa ei ole yleistä salassapitovelvollisuutta, vaan salassapito on kytketty henkilön asemaan suhteessa tiedon paljastaneeseen tahoon.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Käytännössä asiamiehen salassapitovelvollisuus vastapuolen liikesalaisuuksista riippuu siitä, onko oikeudenkäyntiasiamiehen tai -avustajan omalla päämiehellä salassapitovelvollisuus vastapuolen prosessin tai sovintoneuvotteluiden aikana ilmaisemista liikesalaisuuksista. Ellei päämiehellä sitä ole, ei salassapitovelvollisuutta voi myöskään olla tätä avustavalla asiamiehellä / avustajalla ulkopuolista tahoa kohtaan.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Asiamies tai avustaja voisi joutua vaikean tulkintakysymyksen eteen, jos tämän tulee oman päämiehensä lisäksi selvittää päämiehensä vastapuolten suostumus tilanteessa, jossa asiamiehellä ja avustajalla ei ole mitään toimeksiantosopimusta ja siten lojaliteettivelvoitetta tällaisia tahoja kohtaan (ja jolloin luvan saaminen on epätodennäköistä).</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Asianajajista annetun lain 5c § säätää, että asianajaja tai hänen apulaisensa ei saa luvattomasti ilmaista sellaista yksityisen tai perheen salaisuutta taikka liike- tai ammattisalaisuutta, josta hän tehtävässään on saanut tiedon. Luvattomuudella viitataan paitsi päämiehen antamaan lupaan myös oikeudenkäymiskaaren tässä säännöksessä käsiteltäviin poikkeuksiin todistamiskiellosta.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On myös huomattava, että terveydenhuoltohenkilökunnan kohdalla on 14 §:ssä mainittu luvan antajaksi ”se, jonka hyväksi salassapitovelvollisuus on säädetty”. Perustelulausumassa (s. 100) puhutaan potilaan suostumuksesta. 13 §:ssä mainittu uusi ”luvattomasti” termi on epäsystemaattinen myös tähän lainkohtaan verrattuna.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Edellä mainituilla syillä on säännöksen tekstissä muutettava ”luvattomasti” viittaus ”ilman päämiehen lupaa” viittaukseksi nykyisen lainsäädännön mukaisesti. Toissijaisesti tulee vähintään perustelulausumasta poistaa em. virheellinen viittaus salassapitovelvollisuuden laajuuteen. Perusteluosuudessa ei voida laajentaa asiamiehen ja avustajan salassapitovelvollisuutta siitä, mitä se lain perusteella on. Edellä kerrotusta on kirjoittanut kattavasti asianajaja, OTT (h.c.) Jukka Peltonen Defensor Legis -aikakausikirjan numerossa 2/2012 artikkelissa ”Asianajajan salassapitovelvollisuus ja muiden kuin päämiehen salaisuudet”.</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Perusteluissa on syytä mainita, että oikeudenkäynnillä tarkoitetaan paitsi oikeudenkäyntiä yleisissä tuomioistuimissa niin myös hallintolainkäyttöä, välimiesmenettelyä ja tuomioistuinsovittelua. Myös hallintomenettely tulee tässä yhteydessä määritellä oikeudenkäynniksi, sillä hallintomenettelyssä ja etenkin yhä laajenevassa oikaisuvaatimusmenettelyssä on kyse yksityisen tai yrityksen oikeussuhteesta julkiseen valtaan nähden, jossa usein oikeudellista palvelua käytettäessä on kyse näiden erimielisyydestä.</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3 momentti ei vastaa täsmällisyydeltään ja laajuudeltaan sitä, mitä lainsäädännöltä voidaan edellyttää. Momentti tulee rakentaa seuraavien periaatteiden varaan:</w:t>
      </w:r>
    </w:p>
    <w:p w:rsidR="0086297B" w:rsidRPr="00D2169E" w:rsidRDefault="0086297B" w:rsidP="00D2169E">
      <w:pPr>
        <w:ind w:left="1304"/>
        <w:rPr>
          <w:rFonts w:ascii="Calibri" w:hAnsi="Calibri"/>
          <w:szCs w:val="24"/>
        </w:rPr>
      </w:pPr>
    </w:p>
    <w:p w:rsidR="0086297B" w:rsidRDefault="0086297B" w:rsidP="00D2169E">
      <w:pPr>
        <w:pStyle w:val="ListParagraph"/>
        <w:numPr>
          <w:ilvl w:val="0"/>
          <w:numId w:val="10"/>
        </w:numPr>
        <w:rPr>
          <w:rFonts w:ascii="Calibri" w:hAnsi="Calibri"/>
          <w:szCs w:val="24"/>
        </w:rPr>
      </w:pPr>
      <w:r w:rsidRPr="00D2169E">
        <w:rPr>
          <w:rFonts w:ascii="Calibri" w:hAnsi="Calibri"/>
          <w:szCs w:val="24"/>
        </w:rPr>
        <w:t xml:space="preserve">Salassapitovelvollisuuden tulee koskea asianajosalaisuutta kokonaisuudessaan. Asianajosalaisuus koskee kaikkea, mitä päämies on asian hoitamisen yhteydessä asianajajalleen uskonut tai mikä siinä yhteydessä on asianajajan tietoon tullut. </w:t>
      </w:r>
      <w:r w:rsidRPr="00D2169E">
        <w:rPr>
          <w:rFonts w:ascii="Calibri" w:hAnsi="Calibri"/>
          <w:szCs w:val="24"/>
          <w:lang w:val="sv-FI"/>
        </w:rPr>
        <w:t xml:space="preserve">Ruotsin lainsäädännössä rättsbalken 36:5:ssa asia todetaan asianmukaisesti: ”om något som i denna deras yrkesutövning anförtrotts dem eller som de i samband därmed har erfarit.” </w:t>
      </w:r>
      <w:r w:rsidRPr="00D2169E">
        <w:rPr>
          <w:rFonts w:ascii="Calibri" w:hAnsi="Calibri"/>
          <w:szCs w:val="24"/>
        </w:rPr>
        <w:t>Ks. Asianajaja, OTT (h.c.) Jukka Peltosen artikkeli Defensor Legis 2/2005 ”Salaisuuksista asianajotoiminnassa I – asianajajan päämiehen salaisuudet”.</w:t>
      </w:r>
    </w:p>
    <w:p w:rsidR="0086297B" w:rsidRPr="001C2E70" w:rsidRDefault="0086297B" w:rsidP="001C2E70">
      <w:pPr>
        <w:rPr>
          <w:rFonts w:ascii="Calibri" w:hAnsi="Calibri"/>
          <w:szCs w:val="24"/>
        </w:rPr>
      </w:pPr>
    </w:p>
    <w:p w:rsidR="0086297B" w:rsidRPr="00D2169E" w:rsidRDefault="0086297B" w:rsidP="00D2169E">
      <w:pPr>
        <w:pStyle w:val="ListParagraph"/>
        <w:numPr>
          <w:ilvl w:val="0"/>
          <w:numId w:val="10"/>
        </w:numPr>
        <w:rPr>
          <w:rFonts w:ascii="Calibri" w:hAnsi="Calibri"/>
          <w:szCs w:val="24"/>
        </w:rPr>
      </w:pPr>
      <w:r w:rsidRPr="00D2169E">
        <w:rPr>
          <w:rFonts w:ascii="Calibri" w:hAnsi="Calibri"/>
          <w:szCs w:val="24"/>
        </w:rPr>
        <w:t xml:space="preserve">Salassapitovelvollisuuden laajuus on yhtä laaja kuin oikeudellisen palvelun tuottajaan kohdistuvan valvonnan laajuus.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Nykyinen oikeudenkäymiskaaren 17 luvun 23 §:n mukainen oikeudenkäyntiavustajan salassapitovelvollisuus nojautuu taloudellisen toiminnan suojaamistarpeeseen ja perheiden yksityistarpeeseen eikä oikeusvaltioperiaatteeseen. Kyseinen säännös ja asianajajista annetun lain 5c § ovat taustoiltaan siis ajalta, jolloin nykyaikaisia perus- ja ihmisoikeuksia ei tunnettu. Perus- ja ihmisoikeuksien takaama asianajosalaisuus on itsenäinen oikeus ja se mahdollistaa oikeudellisten neuvojen saamisen ilman pelkoa siitä, että neuvonannon sisältö paljastuu lukuun ottamatta yhteiskunnan intressin kannalta eräitä poikkeustilanteita. Jos salassapitovelvollisuus on rajattu koskemaan erityisiä perheen tai liiketoiminnan salaisuuksia, oikeudellisen neuvon hakija ei voi olla tietoinen, missä määrin hänen kertomansa tiedot mahdollisessa myöhemmässä oikeudenkäynnissä katsotaan salaisuuksiksi. Tämä hankaloittaa oikeudellisten neuvojen hankkimisesta verrattuna tilanteeseen, jossa kaikki hänen kertomansa tiedot katsotaan asianajosalaisuuksiksi ja siksi salassapitovelvollisuuteen kuuluviksi.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Asianajajia ja julkisia oikeusavustajia koskee heidän toimiensa valvonta kaikessa heidän ammattitoiminnassaan. Sen sijaan luvan saaneiden oikeudenkäyntiavustajien valvonta koskee vain heidän oikeudenkäyntiasiamies- ja -avustajatehtäviään sekä tehtäviä, jonka he ovat saaneet tuomioistuimen määräyksen perusteella tai johon heidät on määrätty oikeusapulaissa (257/2002) tarkoitetuksi avustajaksi. Salassapitovelvollisuuden tulisi koskea vain edellä mainittuja tehtäviä, joihin liittyy luvan saaneen oikeudenkäyntiavustajan lakimääräiset velvollisuudet ja valvonta.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Edellä mainitun perusteella tulisi 3 momentti kuulua esimerkiksi seuraavasti: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Asianajaja tai julkinen oikeusavustaja ei saa luvattomasti todistaa siitä, mitä hän on saanut tietää muuta kuin 1 momentissa tarkoitettua asianajotehtävää hoitaessaan. Luvan saaneista oikeudenkäyntiavustajista annetussa laissa (715/2011) tarkoitettu oikeudenkäyntiavustaja ei saa luvattomasti todistaa siitä, mitä hän on saanut tietää hoitaessaan muuta kuin 1 momentissa tarkoitettua tehtävää, jossa hänen on noudettava mainitun lain 8 §:n mukaisia velvollisuuksia.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3 momentin toinen virke sisältää harkinnanvaraisen säännöksen siitä, koska tuomioistuin voi murtaa salassapitovelvollisuuden. Ehdotettu säännös ei ole niin tarkkarajainen kuin oikeudellisen neuvonantajan salassapitovelvollisuuden murtamiselta voidaan edellyttää. Ruotsissa salassapidon murtaminen on liitetty ainoastaan rikosasioihin, ja salassapitovelvollisuuden murtaminen edellyttää, että käsiteltävässä rikosasiassa ei voida tuomita lievempää kuin kahden vuoden vankeusrangaistus. Ruotsissa poikkeukset salassapitovelvollisuuteen koskevat siis yhtäläisesti kaikkia muita asianajotehtäviä kuin rikosasian vastaajan avustaja- tai asiamiestehtäviä. Tämä on oikea ratkaisu, sillä se ottaa huomioon oikeudellisen neuvonannon edellyttämän luottamussuhteen. Asianajajaliitto ehdottaa, että 2 momentti muutettaisiin muotoon: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Muu 1 tai 3 momentissa tarkoitettu henkilö kuin rikosasian vastaajan oikeudenkäyntiasiamies tai -avustaja voidaan kuitenkin velvoittaa todistamaan, jos syyttäjä ajaa syytettä rikoksesta, josta säädetty ankarin rangaistus on vähintään kuusi vuotta vankeutta, ja jos erittäin tärkeät syyt ottaen huomioon asian laatu, todisteen merkitys asian ratkaisemisen kannalta ja seuraukset sen esittämisestä sekä muut olosuhteet sitä vaativat.</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Mietinnön perusteluissa on todettu </w:t>
      </w:r>
      <w:r w:rsidRPr="001C2E70">
        <w:rPr>
          <w:rFonts w:ascii="Calibri" w:hAnsi="Calibri"/>
          <w:i/>
          <w:szCs w:val="24"/>
        </w:rPr>
        <w:t>Akzo Nobel</w:t>
      </w:r>
      <w:r w:rsidRPr="00D2169E">
        <w:rPr>
          <w:rFonts w:ascii="Calibri" w:hAnsi="Calibri"/>
          <w:szCs w:val="24"/>
        </w:rPr>
        <w:t xml:space="preserve"> -tapaukseen viitaten, että salassapitovelvollisuus ei ole voimassa silloin, kun asianajaja on työ- tai palvelussuhteessa yritykseen. Suomessa asianajajan ei ole mahdollista olla kuin asianajotoimiston tai oikeusaputoimiston palveluksessa. Luvan saaneen oikeudenkäyntiavustajan luvan voi saada missä tahansa tehtävässä toimiva lakimies. Myös yrityksen tai muun yhteisön palveluksessa oleva lakimies voi olla luvan saanut oikeudenkäyntiavustaja. Salassapitovelvollisuutta ei tulisi olla sellaisissa tilanteissa, joissa lupaa oikeudenkäynnissä avustamiseen ei vaadita. Asiaa ei tule jättää perusteluiden varaan vaan siitä tulisi säätää lailla. Säännöksen 4 momentti ehdotetaan kuuluvan asiallisesti seuraavasti: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Edellä 3 momentissa tarkoitettu salassapitovelvollisuus ei koske asianosaiseen työ- tai virkasuhteessa olevaa henkilöä.</w:t>
      </w:r>
    </w:p>
    <w:p w:rsidR="0086297B" w:rsidRPr="00D2169E" w:rsidRDefault="0086297B" w:rsidP="00D2169E">
      <w:pPr>
        <w:ind w:left="1304"/>
        <w:rPr>
          <w:rFonts w:ascii="Calibri" w:hAnsi="Calibri"/>
          <w:szCs w:val="24"/>
        </w:rPr>
      </w:pPr>
    </w:p>
    <w:p w:rsidR="0086297B" w:rsidRPr="00D2169E" w:rsidRDefault="0086297B" w:rsidP="001C2E70">
      <w:pPr>
        <w:rPr>
          <w:rFonts w:ascii="Calibri" w:hAnsi="Calibri"/>
          <w:szCs w:val="24"/>
        </w:rPr>
      </w:pPr>
      <w:r w:rsidRPr="00D2169E">
        <w:rPr>
          <w:rFonts w:ascii="Calibri" w:hAnsi="Calibri"/>
          <w:szCs w:val="24"/>
        </w:rPr>
        <w:t>14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Pykälän kohdalla ehdotetaan lisättäväksi nykyiseen lakiin verrattuna hammaslääkäri, psykoterapeutti ja sairaanhoitaja. Perusteltua ei liene lisätä todistamiskiellon edes lähtökohtaiseen piiriin kaikkia terveydenhuollon ammattihenkilöitä. Pohdittavaksi tältä osin voisi saattaa psykologin – jolle varmuudella kertyy hyvinkin luottamuksellista tietoa yksityishenkilöiden yksityiselämästä. Psykologi miellettäneen yleisesti salassapitovelvollisuuden piiriin kuuluvaksi ammattihenkilöksi, ja laillistettuna psykologina toimimiselle tarvitaan Valviran lupa.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Toisaalta kysymyksen merkitystä tältä osin vähentää pykälän 3 momentti, jonka säätämistä Asianajajaliitto kannattaa.</w:t>
      </w:r>
    </w:p>
    <w:p w:rsidR="0086297B" w:rsidRPr="00D2169E" w:rsidRDefault="0086297B" w:rsidP="00D2169E">
      <w:pPr>
        <w:ind w:left="1304"/>
        <w:rPr>
          <w:rFonts w:ascii="Calibri" w:hAnsi="Calibri"/>
          <w:szCs w:val="24"/>
        </w:rPr>
      </w:pPr>
    </w:p>
    <w:p w:rsidR="0086297B" w:rsidRPr="00D2169E" w:rsidRDefault="0086297B" w:rsidP="001C2E70">
      <w:pPr>
        <w:rPr>
          <w:rFonts w:ascii="Calibri" w:hAnsi="Calibri"/>
          <w:szCs w:val="24"/>
        </w:rPr>
      </w:pPr>
      <w:r w:rsidRPr="00D2169E">
        <w:rPr>
          <w:rFonts w:ascii="Calibri" w:hAnsi="Calibri"/>
          <w:szCs w:val="24"/>
        </w:rPr>
        <w:t>15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Kuolleen henkilön osalta myös sellainen avustaja, joka on toiminut kuolleen henkilön avustajana tämän ollessa vastaajan ominaisuudessa, voitaisiin (ilmeisesti) velvoittaa todistamaan. Ainakin pykäläviittaus on kirjoitettu koskemaan kaikkia 13 §:ssä tarkoitettuja avustajia. Tilanteet lienevät harvinaisia, mutta Asianajajaliitto korostaa, että asianajajan salassapito- ja vaitiolovelvollisuus on ajallisesti rajoittamaton, eikä se lopu päämiehen kuolemaan. Vastaajan avustajan velvoittaminen todistamaan päämiehensä hänelle rikosasian yhteydessä uskomasta salaisuudesta vaikuttaa erinomaisen huonosti sopivan oikeudenmukaiseen oikeudenkäyntiin elimellisesti varsinkin rikosasioissa kuuluvaan asianajajan salassapitovelvollisuuteen.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Asianajajaliitto pitää ehdotettua 15 §:n 2 momenttia erittäin tarpeellisena uudistuksena.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Olisi kohtuutonta, jos salassapitovelvollinen ei voisi puolustautua, jos häntä epäillään rikoksesta ja hän voisi vapautua rikosepäilystä ilmaisemalla salassa pidettävän tiedon. Rikosepäily tulee tyypillisesti myös oman päämiehen tai asiakkaan taholta, jolloin olisi erityisen kohtuutonta, että päämies/asiakas voisi käyttää sellaista tietoa hyväkseen, mitä em. salassapitovelvollinen taho ei voisi.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Pykälä on sanamuotonsa mukaisesti rajattu vain rikosasioihin ja vastaaja-asemaan. Usein kuitenkin kyse saattaa olla siitä, että salassapitovelvollista vastaan esitetään korvausvaatimuksia, jolloin vastaavaa todistamisoikeutta ei olisi. Huomattava korvausvaatimus saattaa myös olla selvästi merkittävämpi asia salassapitovelvolliselle kuin pienehkö rikosepäily. Siten on perusteltua ulottaa todistamisoikeus koskemaan myös korvausvastuun käsittelyä.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Tämän osalta viitataan ennakkotapaukseen KKO 2006:61, johon myös yksityiskohtaisissa perusteluissa on viitattu (s. 102). Hieman tämän viittauksen jälkeen on maininta (s. 103), että ”Lisäksi todistamiskiellon väistyminen edellyttää, että salassapitovelvollinen on rikoksesta epäillyn asemassa.” Tätä kannanottoa ei ole kuitenkaan perusteltu mitenkään, eikä se vastaa em. korkeimman oikeuden tulkintaa.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Korkeimman oikeuden ennakkopäätöksen (KKO 2006:61) mukaan (allev. tässä) </w:t>
      </w:r>
    </w:p>
    <w:p w:rsidR="0086297B" w:rsidRPr="00D2169E" w:rsidRDefault="0086297B" w:rsidP="00D2169E">
      <w:pPr>
        <w:ind w:left="1304"/>
        <w:rPr>
          <w:rFonts w:ascii="Calibri" w:hAnsi="Calibri"/>
          <w:szCs w:val="24"/>
        </w:rPr>
      </w:pPr>
    </w:p>
    <w:p w:rsidR="0086297B" w:rsidRPr="001C2E70" w:rsidRDefault="0086297B" w:rsidP="001C2E70">
      <w:pPr>
        <w:ind w:left="2608"/>
        <w:rPr>
          <w:rFonts w:ascii="Calibri" w:hAnsi="Calibri"/>
          <w:sz w:val="22"/>
          <w:szCs w:val="24"/>
        </w:rPr>
      </w:pPr>
      <w:r w:rsidRPr="001C2E70">
        <w:rPr>
          <w:rFonts w:ascii="Calibri" w:hAnsi="Calibri"/>
          <w:sz w:val="22"/>
          <w:szCs w:val="24"/>
        </w:rPr>
        <w:t xml:space="preserve">7. Päämiehen suostumuksen puuttuessakin voi syntyä tilanne, </w:t>
      </w:r>
      <w:r w:rsidRPr="001C2E70">
        <w:rPr>
          <w:rFonts w:ascii="Calibri" w:hAnsi="Calibri"/>
          <w:sz w:val="22"/>
          <w:szCs w:val="24"/>
          <w:u w:val="single"/>
        </w:rPr>
        <w:t>jossa päämies omilla toimillaan saattaa asianajajansa oikeudellisen aseman sillä tavoin vaaranalaiseksi, että asianajajalla päämiehen etujen suojaamiseksi oleva salassapitovelvollisuus väistyy</w:t>
      </w:r>
      <w:r w:rsidRPr="001C2E70">
        <w:rPr>
          <w:rFonts w:ascii="Calibri" w:hAnsi="Calibri"/>
          <w:sz w:val="22"/>
          <w:szCs w:val="24"/>
        </w:rPr>
        <w:t xml:space="preserve"> eikä salassa pidettävän tiedon ilmaisemista voida pitää laissa tarkoitetulla tavalla luvattomana. Tällöin asianajaja saa itseään puolustaakseen paljastaa myös salassapitovelvollisuuden piiriin kuuluvia, päämiestä koskevia seikkoja. Tällainen tilanne voi olla käsillä, jos päämies kertoo asianajajan menetelleen toimeksiantoa hoitaessaan tavalla, </w:t>
      </w:r>
      <w:r w:rsidRPr="001C2E70">
        <w:rPr>
          <w:rFonts w:ascii="Calibri" w:hAnsi="Calibri"/>
          <w:sz w:val="22"/>
          <w:szCs w:val="24"/>
          <w:u w:val="single"/>
        </w:rPr>
        <w:t>jonka johdosta asianajajaa voidaan epäillä rikoksesta tai esimerkiksi korvausvelvollisuuden perustavasta muusta väärinkäytöksestä</w:t>
      </w:r>
      <w:r w:rsidRPr="001C2E70">
        <w:rPr>
          <w:rFonts w:ascii="Calibri" w:hAnsi="Calibri"/>
          <w:sz w:val="22"/>
          <w:szCs w:val="24"/>
        </w:rPr>
        <w:t>. Selvää on, ettei salassapitovelvollisuus tällöinkään voi väistyä laajemmalti kuin tällaisten epäilyjen torjumiseksi on välttämätöntä.</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Vaikka kyseisessä ennakkotapauksessa käsiteltiin asianajajan (kollegaan) kohdistunutta rikosepäilyä, on tapauksesta luettavissa korkeimman oikeuden näkemys, että asianajajan salassapitovelvollisuus voi väistyä myös epäiltäessä asianajajaa korvausvelvollisuuden perustavasta muusta väärinkäytöksestä. Tämä on perusteltua, koska asianajajan ammattitoiminnan kannalta iso korvausvastuu saattaa vaarantaa asianajajan oikeudellisen aseman ja toiminnan asianajajana vakavammin kuin rikosepäily. Päämies saattaa myös valita rikosprosessin sijaan ajaa vaatimuksiaan siviiliprosessissa, eikä ole perusteltua, että asianajaja ei tällöin voisikaan enää asianmukaisesti puolustautua.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Käsiteltäessä asianajajan (tai muun 13 ja 14 §:ssä mainitun tahon, kuten lääkärin) rikos- tai korvausvastuun mahdollisesti perustavaa menettelyä, on merkittävässä asemassa nimenomaan yhteistyösuhteen aikana puolin ja toisin vaihdetut tiedot. Tilanne, jossa päämies voisi käyttää tällaisia tietoja rajoituksetta, mutta asianajaja ei voisi näitä lainkaan käyttää, asettaisi prosessin osapuolet epätasa-arvoiseen asemaan ja vaikeuttaisi (tai saattaisi tehdä mahdottomaksi) asianajajan puolustuksen järjestämisen eikä palvelisi aineellisen totuuden etsimistä asiassa.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Koska lainkohta koskee myös muiden ammattikuntien (kuten terveydenhuoltohenkilökunnan) salassapitovelvollisuutta, johtaisi se siihen, ettei myöskään lääkäri voisi kertoa potilastietojaan lääkärin korvausvastuuta koskevassa potilasvahinkoasiassa siviiliprosessissa. Tällöin asian käsittely käytännössä estyisi tai ainakaan lääkärillä ei olisi mitään mahdollisuutta puolustautua.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Edellä mainituilla perusteluilla lienee selvää ja yleisen oikeustajun mukaista, että 13 ja 14 §:ssä mainitun henkilön puolustautumisoikeus tulee turvata prosessimuodosta riippumatta.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Toissijaisesti salassapitovelvollisuuden tulisi väistyä ainakin niissä tilanteissa, kun (KKO 2006:61 mukaisesti) ”päämies omilla toimillaan saattaa asianajajansa oikeudellisen aseman… vaaranalaiseksi…”. Lakiehdotuksessa ei tällä hetkellä erotella lainkaan sitä, onko päämies / asiakas esittämässä vaatimuksia 13 tai 14 §:ssä mainittua henkilöä kohtaan, vai joku muu taho. On toki vieläkin selvempää, että päämiehen / asiakkaan (eli ”salaisuuden herran”) esittäessä syytöksiä tai korvausvaatimuksia, henkilön salassapitovelvollisuuden tulee käytännössä väistyä helpommin, kuin jos kyseessä on joku ulkopuolinen taho. Onhan päämies / asiakas tällöin sekä omilla toimillaan saattanut toimeksisaajansa aseman vaaranalaiseksi ja tullut tietoiseksi, että asian käsittely edellyttää myös salassa pidettävien tietojen ilmaisemista.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Edelleen lainkohdan mukaan todistamisoikeus on vain tilanteissa, kun kyse on ”häntä” koskevasta rikosepäilystä. Todistamisoikeutta ei sen sijaan olisi rikosepäilyn koskiessa hänen kollegaansa, vaikka kollega saisi kertoa asiasta ollessaan itse vastaajan asemassa. Esimerkki valaisee asiaa: Asianajotoimistossa asioita hoidetaan usein useamman henkilön toimesta (asianajaja, avustava lakimies, sihteeri) ja saattaa käydä niin, että päämies epäilee yhtä henkilöä (esim. oikeudenkäyntikirjelmän allekirjoittanutta henkilöä) rikoksesta. Lainkohdan mukaan tämä henkilö saisi itse rikosasian vastaajana todistaa salassa pidettävästä seikasta, mutta eivät samaa asiaa hoitaneet ja mahdollisesti asian paremmin tuntevat kollegat. Terveydenhuollossa tämä taas johtaisi siihen, että lääkärin hoitovirhettä koskevassa asiassa lääkäri saisi itse ”todistaa”, mutta eivät muut potilasta hoitaneet terveydenhuoltohenkilöt. Todettakoon, että edellä mainitun ennakkotapauksen 2006:61 mukaan nimenomaan kollegaan kohdistunut epäily johti salassapitovelvollisuuden väistymiseen, kun rikosepäily saattoi myöhemmin kohdistua myös salaisuuden paljastaneeseen tahoon.  Käsityksemme mukaan myöskään 22 § 2 momentin viimeinen lause ei poista tätä epäkohtaa.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Koska oikeudellista neuvontatoimintaa ja terveydenhuollon toimintaa harjoitetaan usein suuremmassa työyhteisössä ja asian hoitamiseen osallistuu usea henkilö, on perusteltua ulottaa todistamisoikeus myös tilanteisiin, kun esimerkiksi samaa asiaa hoitaneeseen kollegaan on kohdistettu rikosepäily. Usein kollegat tuntevat asian yhtä hyvin kuin vastaajaksi joutunut henkilö ja esitetty lainkohta olisi kohtuuton, eikä palvelisi aineellisen totuuden etsimistä. Todettakoon myös, että rikosepäilyn kohteeksi joutuneen kollega olisi toki myös luotettavampi henkilö todistajana rangaistusuhan alla kertomaan salassa pidettävistä asioista, kuin itse vastaajana oleva henkilö.</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Lisäksi maininta oikeudesta todistaa on harhaanjohtava, kun tilanteessa salaisuuden paljastamiseen oikeutettu on rikosasiassa vastaajan asemassa. Tällöin tämä ei ole todistajan, vaan asianosaisen asemassa.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15 § 2 momentti tulisi siten muuttaa kuulumaan seuraavasti:</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”Sen estämättä, mitä 13 tai 14 §:ssä säädetään, pykälässä tarkoitettu henkilö saa todistaa ja kertoa siltä osin kuin se on välttämätöntä puolustuksen järjestämiseksi häntä koskevan rikosepäilyn vuoksi, häneen kohdistuvan korvausvaatimuksen käsittelemiseksi tai sen estämiseksi, että syytön rikosasian vastaaja tultaisiin tuomitsemaan rangaistukseen.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Henkilöllä on 2 momentissa tarkoitettu oikeus myös tilanteessa, kun rikosepäily tai korvausvaatimus kohdistuu samassa työyhteisössä työskentelevään kollegaan, joka on 13 tai 14 §:ssä mainitun henkilön kanssa hoitanut tehtävää tai neuvonantoa.”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2 momentin toinen osa vaikuttaa yllättävältä. Ehdotuksessa todetaan, että salassapitovelvollisuuden alaista tietoa saisi paljastaa sen estämiseksi, että syytön rikosasian vastaaja tultaisiin tuomitsemaan rangaistukseen. Tätä lisäystä ei perustella perusteluissa millään tavalla. Lain säätäminen tällä tavalla tarkoittaisi käytännössä sitä, että mikäli päämies tunnustaisi tehneensä rikoksen ja tämän jälkeen edellyttäisi, että teko kuitenkin kiistettäisiin, niin kyseinen avustaja saisi kertoa tunnustuksesta vailla pelkoa salassapitorikokseen syyllistymisestä. Aivan eri asia on se, että avustaja joutuisi mainitunlaisessa tilanteessa luopumaan toimeksiannosta, mutta asiassa herää toki kysymys siitä, että kenen päätettävissä olisi kynnys ”sen estämiseksi, että syytön rikosasian vastaaja tultaisiin tuomitsemaan rangaistukseen”?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Lisäksi rikosasian vastaajan osalta tässä kohdin ei tehdä mitään eroa sillä, onko kyse ylinopeusasiasta vai murhasta. Eli sananmukaisesti tätä lainkohtaa lukemalla voitaisiin päätyä jopa seuraavaan, absurdin kuuloiseen tilanteeseen:</w:t>
      </w:r>
    </w:p>
    <w:p w:rsidR="0086297B" w:rsidRPr="00D2169E" w:rsidRDefault="0086297B" w:rsidP="00D2169E">
      <w:pPr>
        <w:ind w:left="1304"/>
        <w:rPr>
          <w:rFonts w:ascii="Calibri" w:hAnsi="Calibri"/>
          <w:szCs w:val="24"/>
        </w:rPr>
      </w:pPr>
    </w:p>
    <w:p w:rsidR="0086297B" w:rsidRPr="001C2E70" w:rsidRDefault="0086297B" w:rsidP="001C2E70">
      <w:pPr>
        <w:ind w:left="2608"/>
        <w:rPr>
          <w:rFonts w:ascii="Calibri" w:hAnsi="Calibri"/>
          <w:sz w:val="22"/>
          <w:szCs w:val="24"/>
        </w:rPr>
      </w:pPr>
      <w:r w:rsidRPr="001C2E70">
        <w:rPr>
          <w:rFonts w:ascii="Calibri" w:hAnsi="Calibri"/>
          <w:sz w:val="22"/>
          <w:szCs w:val="24"/>
        </w:rPr>
        <w:t>Epäilty A kertoo asianajaja B:lle, että hän on murhannut henkilö Y:n Helsingissä 1.1.2011. Samaan aikaan henkirikoksen tapahtumispäivänä klo 10.00 hän havaitsi vanhan opiskelutoverinsa X:n niin ikään Helsingissä; hän itse asiassa haavoitti X:ää vahingossa lievästi, kun hän ampui ensimmäisen laukauksen ohi Y:stä. X:ää syytetään sittemmin ylinopeudesta, joka olisi ajettu Kajaanissa 1.1.2011 klo 10.00. Saatuaan tietää siitä, että X on syytteessä, ilmoittautuu asianajaja B Kainuun käräjäoikeudelle ja paljastaa A:n hänelle kertoman tunnustuksen, koska ilman tunnustuksen (ainakin osittaista) paljastamista ei kertomuksella muutoin olisi mitään uskottavuutta.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Vaikka esimerkki onkin karrikoitu, niin tämän lainkohdan osalta tulisi kyllä tehdä huomattavasti perusteellisempi valmistelu ennen sen lisäämistä lakiin.</w:t>
      </w:r>
    </w:p>
    <w:p w:rsidR="0086297B" w:rsidRPr="00D2169E" w:rsidRDefault="0086297B" w:rsidP="00D2169E">
      <w:pPr>
        <w:ind w:left="1304"/>
        <w:rPr>
          <w:rFonts w:ascii="Calibri" w:hAnsi="Calibri"/>
          <w:szCs w:val="24"/>
        </w:rPr>
      </w:pPr>
    </w:p>
    <w:p w:rsidR="0086297B" w:rsidRPr="00D2169E" w:rsidRDefault="0086297B" w:rsidP="001C2E70">
      <w:pPr>
        <w:rPr>
          <w:rFonts w:ascii="Calibri" w:hAnsi="Calibri"/>
          <w:szCs w:val="24"/>
        </w:rPr>
      </w:pPr>
      <w:r w:rsidRPr="00D2169E">
        <w:rPr>
          <w:rFonts w:ascii="Calibri" w:hAnsi="Calibri"/>
          <w:szCs w:val="24"/>
        </w:rPr>
        <w:t>17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Asianajajaliitto ei voi kannattaa ehdotettua säännöstä siitä, että asianomistajalla, jolla ei ole vaatimuksia, ei yhtäältä ole vaitiolo-oikeutta mutta toisaalta vaiti olemiselle ei ole määrätty mitään sanktioita. Tämä voi johtaa siihen, että rikosprosessi kehittyy suuntaan, josta on pitkään pyritty pääsemään eroon, eli että esitutkintakertomuksille ja jopa poliisin alustavalle puhuttelulle annetaan suuri painoarvo rikosten selvittämisessä tuomioistuimessa. Kyse on tosiasiallisesti vaitiolo-oikeuden ja hyödyntämiskiellon kiertämisestä ja kirjalliseen prosessiin palaamisesta lähisuhdeväkivaltarikoksissa. Lisäksi se saattaisi kannustaa erikoiseen prosessaamiseen, jossa vaatimalla vaikkapa yhden euron vahingonkorvausta (kieltäytymällä samalla lausumasta asiassa mitään) koko esitutkintakertomus saadaan hyödyntämiskieltoon, kun taas olemalla vaatimatta mitään, esitutkintakertomus on kokonaisuudessaan hyödynnettävissä.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 Markku Fredman toteaa mietinnön eriävässä mielipiteessä seuraavaa:</w:t>
      </w:r>
    </w:p>
    <w:p w:rsidR="0086297B" w:rsidRPr="00D2169E" w:rsidRDefault="0086297B" w:rsidP="00D2169E">
      <w:pPr>
        <w:ind w:left="1304"/>
        <w:rPr>
          <w:rFonts w:ascii="Calibri" w:hAnsi="Calibri"/>
          <w:szCs w:val="24"/>
        </w:rPr>
      </w:pPr>
    </w:p>
    <w:p w:rsidR="0086297B" w:rsidRPr="001C2E70" w:rsidRDefault="0086297B" w:rsidP="001C2E70">
      <w:pPr>
        <w:ind w:left="2608"/>
        <w:rPr>
          <w:rFonts w:ascii="Calibri" w:hAnsi="Calibri"/>
          <w:sz w:val="22"/>
          <w:szCs w:val="24"/>
        </w:rPr>
      </w:pPr>
      <w:r w:rsidRPr="001C2E70">
        <w:rPr>
          <w:rFonts w:ascii="Calibri" w:hAnsi="Calibri"/>
          <w:sz w:val="22"/>
          <w:szCs w:val="24"/>
        </w:rPr>
        <w:t>Toimikunnan ehdotuksen varsinainen merkitys onkin siinä, että sen myötä selvitysvelvollisuutensa laiminlyöneen asianomistajan esitutkintakertomus olisi käytettävissä todisteena ja jopa tapauksessa KKO 1995:66 hylätty kuulopuhetodistelu tulisi sallituksi. Poliisia voitaisiin siis kuulla todistajana siitä, mitä uhriksi epäilty henkilö on tuoreeltaan sanonut. Käytännössä voisi käydä niin, että tällaisilta asianomistajilta, joilla ei ole vaatimuksia, ei todellisuudessa edes odotettaisi todistajankertomusta oikeudessa. Ensisijainen tarkoitus olisi saada heidän poliisille esitutkinnan aikana antamansa kertomukset hyödynnettäväksi aineistoksi oikeudenkäyntiin. Tällaista kehitysnäkymää en voi kannattaa.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Asianajajaliitto on asiasta samaa mieltä. Jo nyt esitutkintakertomuksille annetaan huomattava painoarvo rikosjutuissa, vaikka kuulusteltu muuttaisikin kertomustaan, tai vaikka vastakuulustelussa kuulusteltavan kertomusta pystyttäisiin huomattavasti horjuttamaankin. Nyt ehdotus on se, että mitään vastakuulustelumahdollisuutta ei vastaajalle annettaisi, vaan kuulustelukertomus otettaisiin vastaan näyttönä, minkä jälkeen tuomitsemiseen riittäisi se, että asiassa olisi edes löyhästi esitutkintakertomusta tai alustavaa puhuttelua tukevaa näyttöä.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Kyseisellä pykälällä on läheinen yhteys ehdotettuun 24 §:n 2 momenttiin, jonka säätämisellä niin ikään oltaisiin liukumassa pois suullisesta ja välittömästä pääkäsittelystä – ja viime kädessä oikeudenmukaisesta oikeudenkäynnistä. Tämän vuoksi Asianajajaliitto toteaa lyhyesti jo tämän kohdan alla, että oikeus todelliseen vastakuulustelumahdollisuuteen on OK 17:24.2 §:n yh</w:t>
      </w:r>
      <w:r>
        <w:rPr>
          <w:rFonts w:ascii="Calibri" w:hAnsi="Calibri"/>
          <w:szCs w:val="24"/>
        </w:rPr>
        <w:t xml:space="preserve">teydessä mainitun </w:t>
      </w:r>
      <w:r w:rsidRPr="001C2E70">
        <w:rPr>
          <w:rFonts w:ascii="Calibri" w:hAnsi="Calibri"/>
          <w:i/>
          <w:szCs w:val="24"/>
        </w:rPr>
        <w:t>Aigner v. Itävalta</w:t>
      </w:r>
      <w:r>
        <w:rPr>
          <w:rFonts w:ascii="Calibri" w:hAnsi="Calibri"/>
          <w:szCs w:val="24"/>
        </w:rPr>
        <w:t xml:space="preserve"> (2012) -</w:t>
      </w:r>
      <w:r w:rsidRPr="00D2169E">
        <w:rPr>
          <w:rFonts w:ascii="Calibri" w:hAnsi="Calibri"/>
          <w:szCs w:val="24"/>
        </w:rPr>
        <w:t>tapauksenkin osalta jotain aivan muuta, kuin mitä suomalainen poliisin suorittama kuulustelu videolle ja siihen (mahdollisesti) esitettävät lisäkysymykset. Nythän 3 §:ssä ei suinkaan esitetä edellytykseksi esitutkintakertomuksen hyödyntämiselle sitä, että epäillylle olisi edes yritetty tarjota tilaisuutta esittää kysymyksiä. Riittää se, että asianomistaja ilmoittaa, ettei hänellä ole vaatimuksia, minkä jälkeen paperille tallennettu kertomus olisi vapaasti hyödynnettävissä.</w:t>
      </w:r>
    </w:p>
    <w:p w:rsidR="0086297B" w:rsidRPr="00D2169E" w:rsidRDefault="0086297B" w:rsidP="00D2169E">
      <w:pPr>
        <w:ind w:left="1304"/>
        <w:rPr>
          <w:rFonts w:ascii="Calibri" w:hAnsi="Calibri"/>
          <w:szCs w:val="24"/>
        </w:rPr>
      </w:pPr>
    </w:p>
    <w:p w:rsidR="0086297B" w:rsidRPr="001C2E70" w:rsidRDefault="0086297B" w:rsidP="001C2E70">
      <w:pPr>
        <w:ind w:left="2608"/>
        <w:rPr>
          <w:rFonts w:ascii="Calibri" w:hAnsi="Calibri"/>
          <w:sz w:val="22"/>
          <w:szCs w:val="24"/>
        </w:rPr>
      </w:pPr>
      <w:r w:rsidRPr="001C2E70">
        <w:rPr>
          <w:rFonts w:ascii="Calibri" w:hAnsi="Calibri"/>
          <w:sz w:val="22"/>
          <w:szCs w:val="24"/>
        </w:rPr>
        <w:t>Kun verrataan muiden eurooppalaisten maiden järjestelmiä, on muistettava, että monissa on käytössä tutkintatuomarijärjestelmä, ja jo esitutkintavaiheessa asianomistajien ja/tai todistajien kuulemiset suoritetaan kontradiktorisesti ainakin siten, että asianosaisten avustajat ovat paikalla.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Mainittuun </w:t>
      </w:r>
      <w:r w:rsidRPr="001C2E70">
        <w:rPr>
          <w:rFonts w:ascii="Calibri" w:hAnsi="Calibri"/>
          <w:i/>
          <w:szCs w:val="24"/>
        </w:rPr>
        <w:t>Aigner</w:t>
      </w:r>
      <w:r w:rsidRPr="00D2169E">
        <w:rPr>
          <w:rFonts w:ascii="Calibri" w:hAnsi="Calibri"/>
          <w:szCs w:val="24"/>
        </w:rPr>
        <w:t xml:space="preserve">-tapaukseen on EIT:n oikeuskäytännössä viitattu sen antamisen jälkeen ainoastaan kerran (tapauksessa </w:t>
      </w:r>
      <w:r w:rsidRPr="001C2E70">
        <w:rPr>
          <w:rFonts w:ascii="Calibri" w:hAnsi="Calibri"/>
          <w:i/>
          <w:szCs w:val="24"/>
        </w:rPr>
        <w:t>Tseber v. Tsekki</w:t>
      </w:r>
      <w:r w:rsidRPr="00D2169E">
        <w:rPr>
          <w:rFonts w:ascii="Calibri" w:hAnsi="Calibri"/>
          <w:szCs w:val="24"/>
        </w:rPr>
        <w:t xml:space="preserve"> (2012)) eikä sitä edes julkaistu EIT:n joka kuukausi julkaisemassa ”Case-Law Information Notessa”</w:t>
      </w:r>
      <w:r>
        <w:rPr>
          <w:rStyle w:val="FootnoteReference"/>
          <w:rFonts w:ascii="Calibri" w:hAnsi="Calibri"/>
          <w:szCs w:val="24"/>
        </w:rPr>
        <w:footnoteReference w:id="1"/>
      </w:r>
      <w:r w:rsidRPr="00D2169E">
        <w:rPr>
          <w:rFonts w:ascii="Calibri" w:hAnsi="Calibri"/>
          <w:szCs w:val="24"/>
        </w:rPr>
        <w:t xml:space="preserve"> , missä käydään läpi yleisellä tasolla kiinnostavia ja merkittäviä ratkaisuja. On lisäksi huomattava, että </w:t>
      </w:r>
      <w:r w:rsidRPr="001C2E70">
        <w:rPr>
          <w:rFonts w:ascii="Calibri" w:hAnsi="Calibri"/>
          <w:i/>
          <w:szCs w:val="24"/>
        </w:rPr>
        <w:t>Aignerissa</w:t>
      </w:r>
      <w:r w:rsidRPr="00D2169E">
        <w:rPr>
          <w:rFonts w:ascii="Calibri" w:hAnsi="Calibri"/>
          <w:szCs w:val="24"/>
        </w:rPr>
        <w:t xml:space="preserve"> ei ole luotu mitään poikkeuksellisen radikaalia uutta oikeuskäytäntöä – mitä ei lähtökohtaisesti jaostoratkaisuissa tehdäkään – vaan esimerkiksi tapauksessa </w:t>
      </w:r>
      <w:r w:rsidRPr="001C2E70">
        <w:rPr>
          <w:rFonts w:ascii="Calibri" w:hAnsi="Calibri"/>
          <w:i/>
          <w:szCs w:val="24"/>
        </w:rPr>
        <w:t>Ruban and others v. Espanja</w:t>
      </w:r>
      <w:r w:rsidRPr="00D2169E">
        <w:rPr>
          <w:rFonts w:ascii="Calibri" w:hAnsi="Calibri"/>
          <w:szCs w:val="24"/>
        </w:rPr>
        <w:t xml:space="preserve"> (2005, päätös) EIT totesi seuraavaa:</w:t>
      </w:r>
    </w:p>
    <w:p w:rsidR="0086297B" w:rsidRPr="00D2169E" w:rsidRDefault="0086297B" w:rsidP="00D2169E">
      <w:pPr>
        <w:ind w:left="1304"/>
        <w:rPr>
          <w:rFonts w:ascii="Calibri" w:hAnsi="Calibri"/>
          <w:szCs w:val="24"/>
        </w:rPr>
      </w:pPr>
    </w:p>
    <w:p w:rsidR="0086297B" w:rsidRPr="001C2E70" w:rsidRDefault="0086297B" w:rsidP="001C2E70">
      <w:pPr>
        <w:ind w:left="2608"/>
        <w:rPr>
          <w:rFonts w:ascii="Calibri" w:hAnsi="Calibri"/>
          <w:sz w:val="22"/>
          <w:szCs w:val="24"/>
        </w:rPr>
      </w:pPr>
      <w:r w:rsidRPr="001C2E70">
        <w:rPr>
          <w:rFonts w:ascii="Calibri" w:hAnsi="Calibri"/>
          <w:sz w:val="22"/>
          <w:szCs w:val="24"/>
        </w:rPr>
        <w:t>EIT pani merkille, että valittajien asianajajat olivat olleet paikalla, kun tutkintatuomari oli kuulustellut H:ta ja T:tä. Asianajajat olivat voineet tehdä näille kysymyksiä ja riitauttaa heidän kertomuksensa. Asianajajat eivät olleet oikeudessa ottaneet esille päämiestensä poissaoloa tuosta tilaisuudesta eikä poissaolo vaikuttanut heikentäneen puolustusta taikka kontradiktorisen periaatteen noudattamista. H:n ja T:n kertomukset oli luettu oikeudessa ja valittajat olivat riitauttaa ne. H:n ja T:n poissaoloa oikeudesta ei voitu lukea espanjalaisten lainkäyttöviranomaisten syyksi, kun heidän kuulemisestaan oli luovuttu vasta sen jälkeen, kun juttua oli kerran lykätty ja oli todettu, että heitä ei voitu löytää tunnetusta osoitteesta. EIT otti tuossa suhteessa huomioon seksuaalirikoksia koskevien juttujen erityispiirteet. Asianomistajat kokivat oikeudenkäynnin näissä jutuissa monesti piinalliseksi varsinkin silloin, kun he joutuivat vastoin tahtoaan kohtaamaan syytetyn. Oli mahdollista, että asianomistajat välttelivät syytetyn tapaamista jäämällä pois julkisesta istunnosta. Heidän saamisensa oikeuteen kävi vieläkin vaikeammaksi silloin, kun heidän olinpaikkaansa ei voitu selvittää.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Kysymykseen siitä, tuleeko rikosprosessiamme kehittää siihen suuntaan, missä poliisille annetut kertomukset voivat muodostaa suuren osan näytöstä vailla syytetylle tarjottua minkäänlaista mahdollisuutta vastakuulusteluun, on Asianajajaliiton vastattava kielteisesti. Mikäli lähisuhdeväkivalta nähdään sellaisena ongelmana, että lähiomaisten vaitiolo-oikeus tulisi murtaa, se tulee murtaa siten, että oikeudenmukainen oikeudenkäynti kokonaisuudessaan tulee turvatuksi. Tämä edellyttäisi myös pakkokeinojen käytön mahdollisuutta. Ei siten, että kuulopuhetodistelu sallitaan, kun se jo Korkeimman oikeuden ratkaisussa KKO 1995:66 katsottiin tämäntyyppisissä asioissa kielletyksi. Tällainen järjestely voisi toki johtaa siihen, että asianomistaja jonkin vaatimuksen tuomioistuimessa esittäisi, jolloin hänen vaitiolo-oikeutensa täysin siitä seuraavien muiden seurausten kanssa laukeaisi sovellettavaksi.</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Lakiteknisesti epäonnistunut on myös ratkaisu siitä, että 17 §:n 3 momentissa säädetään vaitiolo-oikeuden murtamisesta lähisukulaisten kesken, kun taas 18 §:ssä säädetään pääsäännöstä eli siitä, että jokaisella on oikeus kieltäytyä todistamasta siltä osin kuin todistaminen saattaisi myötävaikuttaa 17§:n 1 momentissa säädetyn henkilön syyllisyyden selvittämiseen.</w:t>
      </w:r>
    </w:p>
    <w:p w:rsidR="0086297B" w:rsidRDefault="0086297B">
      <w:pPr>
        <w:rPr>
          <w:rFonts w:ascii="Calibri" w:hAnsi="Calibri"/>
          <w:szCs w:val="24"/>
        </w:rPr>
      </w:pPr>
      <w:r>
        <w:rPr>
          <w:rFonts w:ascii="Calibri" w:hAnsi="Calibri"/>
          <w:szCs w:val="24"/>
        </w:rPr>
        <w:br w:type="page"/>
      </w:r>
    </w:p>
    <w:p w:rsidR="0086297B" w:rsidRDefault="0086297B" w:rsidP="00D2169E">
      <w:pPr>
        <w:ind w:left="1304"/>
        <w:rPr>
          <w:rFonts w:ascii="Calibri" w:hAnsi="Calibri"/>
          <w:szCs w:val="24"/>
        </w:rPr>
      </w:pPr>
    </w:p>
    <w:p w:rsidR="0086297B" w:rsidRPr="00D2169E" w:rsidRDefault="0086297B" w:rsidP="001C2E70">
      <w:pPr>
        <w:rPr>
          <w:rFonts w:ascii="Calibri" w:hAnsi="Calibri"/>
          <w:szCs w:val="24"/>
        </w:rPr>
      </w:pPr>
      <w:r w:rsidRPr="00D2169E">
        <w:rPr>
          <w:rFonts w:ascii="Calibri" w:hAnsi="Calibri"/>
          <w:szCs w:val="24"/>
        </w:rPr>
        <w:t>18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Asianajajaliitto haluaa kiinnittää huomiota lakiehdotuksen 18 §:ssä olevaan kirjoitusvirheeseen: Siinä säädetään: ”Jokaisella oikeus olla…”; pitäisi olla ”Jokaisella </w:t>
      </w:r>
      <w:r w:rsidRPr="001C2E70">
        <w:rPr>
          <w:rFonts w:ascii="Calibri" w:hAnsi="Calibri"/>
          <w:i/>
          <w:szCs w:val="24"/>
        </w:rPr>
        <w:t>on</w:t>
      </w:r>
      <w:r w:rsidRPr="00D2169E">
        <w:rPr>
          <w:rFonts w:ascii="Calibri" w:hAnsi="Calibri"/>
          <w:szCs w:val="24"/>
        </w:rPr>
        <w:t xml:space="preserve"> oikeus olla…”.</w:t>
      </w:r>
    </w:p>
    <w:p w:rsidR="0086297B" w:rsidRPr="00D2169E" w:rsidRDefault="0086297B" w:rsidP="00D2169E">
      <w:pPr>
        <w:ind w:left="1304"/>
        <w:rPr>
          <w:rFonts w:ascii="Calibri" w:hAnsi="Calibri"/>
          <w:szCs w:val="24"/>
        </w:rPr>
      </w:pPr>
    </w:p>
    <w:p w:rsidR="0086297B" w:rsidRPr="00D2169E" w:rsidRDefault="0086297B" w:rsidP="001C2E70">
      <w:pPr>
        <w:rPr>
          <w:rFonts w:ascii="Calibri" w:hAnsi="Calibri"/>
          <w:szCs w:val="24"/>
        </w:rPr>
      </w:pPr>
      <w:r w:rsidRPr="00D2169E">
        <w:rPr>
          <w:rFonts w:ascii="Calibri" w:hAnsi="Calibri"/>
          <w:szCs w:val="24"/>
        </w:rPr>
        <w:t xml:space="preserve">19 §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Liike- ja ammattisalaisuutta koskeva kieltäytymisoikeus vastaa pitkälti voimassaolevaa oikeutta ja erittäin tärkeiden syiden täsmennys on tervetullut lisä.  Erityisen merkityksellinen murtamisoikeuden kannalta tulisi olla salaisuuden haltijan salassapitointressin voimakkuudella, eli käytännössä sillä, kuinka salaisesta tiedosta on kyse ja kuinka suurta ja todennäköistä vahinkoa tiedon ilmaiseminen aiheuttaisi? Tämä tulee huomioiduksi ”seuraukset sen esittämisestä” tekstissä ja lisäksi perustelulausumassa (s. 111) on viitattu tähän. Perustelulausumassa olisi kuitenkin syytä nimenomaisesti viitata tiedon salaisuusasteeseen ja salassapitointressin suuruuteen.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Liike- ja ammattisalaisuutta paljastettaessa saattaa olla kyse todistajan tai tämän edustaman yhteisön omasta liikesalaisuudesta tai sitten kolmannen, prosessin ulkopuolisen osapuolen liikesalaisuudesta, joka sattuu olemaan todistajan tiedossa. Koska tämä todistamiskielto koskee kaikkia todistuskeinoja (ks. 9 § 2 momentti), on tällä erityinen merkitys (esim. editiota koskevan pykälän osalta).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Lainkohdassa tai sen perusteluissa ei ole käsitelty tätä eroa mitenkään. On kuitenkin huomattava, että kun kyse on ns. kolmannen osapuolen liikesalaisuudesta, tulisi kieltäytymisoikeuden murtamiseen suhtautua torjuvammin. Käytännössä todistaja ei tällaisessa tapauksessa välttämättä tarkkaan tiedä, mikä salassapitointressi tällaisella prosessin ulkopuolisella taholla on tietoon nähden, eikä pysty sitä siten perustelemaan. Todistajalla ei välttämättä ole myöskään kovin suurta intressiä perustella kieltäytymistään, jos kyse ei ole tämän (tai tämän edustaman yhteisön) omasta liikesalaisuudesta.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Mikäli yritysten liikesalaisuuksien turva haluttaisiin oikeasti turvata, tulisi kolmannen osapuolen liikesalaisuuden ollessa kyseessä keskeyttää käsittely ja kuulla tällaista kolmatta osapuolta. Vasta tämän jälkeen tuomioistuin päättäisi, murretaanko todistajan salassapito-oikeus vai ei. Koska tämä saattaisi johtaa pääkäsittelyn keskeyttämiseen / peruuttamiseen ja muihin hankaliin viivästystilanteisiin, on ymmärrettävää, ettei tällaisen liikesalaisuuden oikean haltijan kuuleminen ole käytännössä mahdollista. Sen sijaan edition osalta tämä tulisi olla mahdollista, koska editioratkaisu tehdään usein asian valmisteluvaiheen aikana (ks. jäljempänä).</w:t>
      </w:r>
    </w:p>
    <w:p w:rsidR="0086297B" w:rsidRDefault="0086297B" w:rsidP="00D2169E">
      <w:pPr>
        <w:ind w:left="1304"/>
        <w:rPr>
          <w:rFonts w:ascii="Calibri" w:hAnsi="Calibri"/>
          <w:szCs w:val="24"/>
        </w:rPr>
      </w:pPr>
      <w:r w:rsidRPr="00D2169E">
        <w:rPr>
          <w:rFonts w:ascii="Calibri" w:hAnsi="Calibri"/>
          <w:szCs w:val="24"/>
        </w:rPr>
        <w:t>Joka tapauksessa perusteluihin tulisi kirjata, että puheenjohtajan tulisi kolmannen osapuolen liikesalaisuuden ollessa kyseessä kyselyoikeuttaan käyttäen pyrkiä tiedustelemaan todistajan (ja mahdollisten muiden prosessin osapuolten) näkemystä kolmannen osapuolen mahdollisesta salassapitointressistä, jotta myös se tulisi harkinnassa huomioiduksi.</w:t>
      </w:r>
    </w:p>
    <w:p w:rsidR="0086297B" w:rsidRPr="00D2169E" w:rsidRDefault="0086297B" w:rsidP="00D2169E">
      <w:pPr>
        <w:ind w:left="1304"/>
        <w:rPr>
          <w:rFonts w:ascii="Calibri" w:hAnsi="Calibri"/>
          <w:szCs w:val="24"/>
        </w:rPr>
      </w:pPr>
    </w:p>
    <w:p w:rsidR="0086297B" w:rsidRPr="00D2169E" w:rsidRDefault="0086297B" w:rsidP="001C2E70">
      <w:pPr>
        <w:rPr>
          <w:rFonts w:ascii="Calibri" w:hAnsi="Calibri"/>
          <w:szCs w:val="24"/>
        </w:rPr>
      </w:pPr>
      <w:r w:rsidRPr="00D2169E">
        <w:rPr>
          <w:rFonts w:ascii="Calibri" w:hAnsi="Calibri"/>
          <w:szCs w:val="24"/>
        </w:rPr>
        <w:t xml:space="preserve">20 §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OK 17 luvun 24 §:n 4 momentti kuuluu tällä hetkellä seuraavasti (allev. tässä):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”Milloin 2 tai 3 momentissa tarkoitettu asia koskee rikosta, mistä saattaa seurata vankeutta kuusi vuotta tai ankarampi rangaistus, taikka sanotunlaisen rikoksen yritystä tai osallisuutta siihen, </w:t>
      </w:r>
      <w:r w:rsidRPr="001C2E70">
        <w:rPr>
          <w:rFonts w:ascii="Calibri" w:hAnsi="Calibri"/>
          <w:szCs w:val="24"/>
          <w:u w:val="single"/>
        </w:rPr>
        <w:t>taikka tietoa, joka on annettu vastoin sellaista salassapitovelvollisuutta, jonka rikkomisesta on erikseen säädetty rangaistus</w:t>
      </w:r>
      <w:r w:rsidRPr="00D2169E">
        <w:rPr>
          <w:rFonts w:ascii="Calibri" w:hAnsi="Calibri"/>
          <w:szCs w:val="24"/>
        </w:rPr>
        <w:t>, voidaan sanotussa momentissa mainittu henkilö kuitenkin velvoittaa vastaamaan siinä tarkoitettuun kysymykseen. (19.7.1974/622)”</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Mietinnössä esitetään alleviivattua tekstiä muutettavaksi siten, että se kuuluisi seuraavasti:</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”…jos syyttäjä ajaa syytettä rikoksesta, josta säädetty ankarin rangaistus on vähintään kuusi vuotta vankeutta </w:t>
      </w:r>
      <w:r w:rsidRPr="001C2E70">
        <w:rPr>
          <w:rFonts w:ascii="Calibri" w:hAnsi="Calibri"/>
          <w:szCs w:val="24"/>
          <w:u w:val="single"/>
        </w:rPr>
        <w:t>tai joka koskee rangaistavaksi säädetyn salassapitovelvollisuuden vastaisesti annettua tietoa</w:t>
      </w:r>
      <w:r w:rsidRPr="00D2169E">
        <w:rPr>
          <w:rFonts w:ascii="Calibri" w:hAnsi="Calibri"/>
          <w:szCs w:val="24"/>
        </w:rPr>
        <w:t>.”</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Mietinnön mukaan (s. 111)</w:t>
      </w:r>
    </w:p>
    <w:p w:rsidR="0086297B" w:rsidRPr="00D2169E" w:rsidRDefault="0086297B" w:rsidP="00D2169E">
      <w:pPr>
        <w:ind w:left="1304"/>
        <w:rPr>
          <w:rFonts w:ascii="Calibri" w:hAnsi="Calibri"/>
          <w:szCs w:val="24"/>
        </w:rPr>
      </w:pPr>
    </w:p>
    <w:p w:rsidR="0086297B" w:rsidRPr="001C2E70" w:rsidRDefault="0086297B" w:rsidP="001C2E70">
      <w:pPr>
        <w:ind w:left="2608"/>
        <w:rPr>
          <w:rFonts w:ascii="Calibri" w:hAnsi="Calibri"/>
          <w:sz w:val="22"/>
          <w:szCs w:val="24"/>
        </w:rPr>
      </w:pPr>
      <w:r w:rsidRPr="001C2E70">
        <w:rPr>
          <w:rFonts w:ascii="Calibri" w:hAnsi="Calibri"/>
          <w:sz w:val="22"/>
          <w:szCs w:val="24"/>
        </w:rPr>
        <w:t>”Pykälä vastaisi asiallisesti voimassa olevan oikeuden 17 luvun 24 §:n sääntelyä, mutta säännöksen kirjoitustavassa noudattaisi muiden vastaavanlaisten säännösten osalta omaksuttuja ratkaisuja.”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Tämän perusteella on siten ilmeistä, että tarkoituksena on ollut säilyttää vallitseva oikeustila, mutta kielellisesti muokata sitä.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Edellä alleviivattu kohta on kielellisesti epäselvä ja epäsystemaattinen. Teksti viittaa siihen, että salassapitovelvollisuus olisi rangaistavaksi säädetty. Näinhän ei eri säännöksissä ole, vaan salassapitovelvollisuuden vastaisesti tiedon ilmaiseminen ja käyttäminen on rangaistavaksi säädetty, ei itse salassapitovelvollisuus. Lainkohta tulisi siten muotoilla selkeämmin.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Lisäksi lainkohta koskee vain salassapitovelvollisuuden vastaisesti (toimittajalle) annettua tietoa. Esimerkiksi yritysvakoilusäännöksessä on rangaistavaa yrityssalaisuuden oikeudeton hankkiminen, ei antaminen. Jos tietolähde yritysvakoilulla hankkii tiedon ja paljastaa sen toimittajalle, ei tiedon antaminen toimittajalle ole välttämättä enää rangaistavaa, vaan kyseessä on rangaistavan yritysvakoilun rankaisematon jälkiteko (ks. tämän osalta HE 66/1988, s. 87 ja aiheeseen liittyvä keskustelu oikeuskirjallisuudessa, esim. Tom Vapaavuori: Yrityssalaisuudet ja Salassapitosopimukset, Talentum 2005, s. 108 ja alaviite 202). Tällöin tietoa ei varsinaisesti olisi annettu salassapitovelvollisuuden vastaisesti. On perusteetonta, että tällainen (erityisen hylättävä rikos) ei lainkohdan sanamuodon mukaan johtaisikaan lähdesuojan murtamiseen. Tätä tuskin on lainvalmistelussa tarkoitettu.</w:t>
      </w:r>
    </w:p>
    <w:p w:rsidR="0086297B" w:rsidRDefault="0086297B">
      <w:pPr>
        <w:rPr>
          <w:rFonts w:ascii="Calibri" w:hAnsi="Calibri"/>
          <w:szCs w:val="24"/>
        </w:rPr>
      </w:pPr>
      <w:r>
        <w:rPr>
          <w:rFonts w:ascii="Calibri" w:hAnsi="Calibri"/>
          <w:szCs w:val="24"/>
        </w:rPr>
        <w:br w:type="page"/>
      </w:r>
    </w:p>
    <w:p w:rsidR="0086297B" w:rsidRPr="00D2169E" w:rsidRDefault="0086297B" w:rsidP="00D2169E">
      <w:pPr>
        <w:ind w:left="1304"/>
        <w:rPr>
          <w:rFonts w:ascii="Calibri" w:hAnsi="Calibri"/>
          <w:szCs w:val="24"/>
        </w:rPr>
      </w:pPr>
    </w:p>
    <w:p w:rsidR="0086297B" w:rsidRPr="00D2169E" w:rsidRDefault="0086297B" w:rsidP="001C2E70">
      <w:pPr>
        <w:rPr>
          <w:rFonts w:ascii="Calibri" w:hAnsi="Calibri"/>
          <w:szCs w:val="24"/>
        </w:rPr>
      </w:pPr>
      <w:r w:rsidRPr="00D2169E">
        <w:rPr>
          <w:rFonts w:ascii="Calibri" w:hAnsi="Calibri"/>
          <w:szCs w:val="24"/>
        </w:rPr>
        <w:t>22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Tämän pykälän kohdalla nousee esiin sama ongelma, kuin mihin on kiinnitetty huomiota jo edellä 13 §:n kohdalla. Salassapitovelvollisuus yhtäältä ja todistamiskielto-oikeus toisaalta säilyvät myös sen jälkeen, kun avustaja ei enää ole siinä asemassa, kuin missä hän on saanut tiedon todistettavasta seikasta. Missä vaiheessa tämä velvollisuus ja oikeus alkaa? Milloin kyse on rikosasian vastaajan avustajasta?</w:t>
      </w:r>
    </w:p>
    <w:p w:rsidR="0086297B" w:rsidRPr="00D2169E" w:rsidRDefault="0086297B" w:rsidP="00D2169E">
      <w:pPr>
        <w:ind w:left="1304"/>
        <w:rPr>
          <w:rFonts w:ascii="Calibri" w:hAnsi="Calibri"/>
          <w:szCs w:val="24"/>
        </w:rPr>
      </w:pPr>
    </w:p>
    <w:p w:rsidR="0086297B" w:rsidRDefault="0086297B" w:rsidP="001C2E70">
      <w:pPr>
        <w:rPr>
          <w:rFonts w:ascii="Calibri" w:hAnsi="Calibri"/>
          <w:szCs w:val="24"/>
        </w:rPr>
      </w:pPr>
      <w:r w:rsidRPr="00D2169E">
        <w:rPr>
          <w:rFonts w:ascii="Calibri" w:hAnsi="Calibri"/>
          <w:szCs w:val="24"/>
        </w:rPr>
        <w:t>24 §</w:t>
      </w:r>
    </w:p>
    <w:p w:rsidR="0086297B" w:rsidRPr="00D2169E" w:rsidRDefault="0086297B" w:rsidP="001C2E7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Kirjallisen todistajankertomuksen rajoitettu salliminen on merkittävä muutos voimassaolevaan oikeuteen. Mietinnön yksityiskohtaisissa perusteluissa todetaan (s. 115), että voimassa olevan oikeuden mukaan asianosaiset eivät voi tuomioistuinta sitovasti sopia, että todistajaa ei kuulla suullisesti vaan hänen kertomuksensa otetaan vastaan kirjallisessa muodossa. Tämän jälkeen todetaan, että välimiesmenettelyissä turvaudutaan laajasti kirjallisiin todistajankertomuksiin ja tarkoitus olisi yhdenmukaistaa sääntely välimiesmenettelyn kanssa.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Pitää paikkansa, että välimiesmenettelyissä käytetään käytännössä laajalti kirjallisia todistajankertomuksia. Mietintö ei kuitenkaan arvioi sitä, onko tämä käytäntö hyvä vai huono. Käytännössä tästä on kuitenkin vaihtelevia kokemuksia. Lisäksi välimiesoikeuden käytäntö on ymmärretty väärin.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Perustelulausuman sanamuoto antaa nimittäin ymmärtää, että tällaista todistajaa ei kuultaisi lainkaan suullisesti. Tämä ei kuitenkaan vastaa välimiesmenettelyn käytäntöä. Välimiesmenettelyssä kirjalliset todistajankertomukset yleensä korvaavat vain todistajan pääkuulustelun, mutta todistajaa kuitenkin kuullaan suullisesti istunnossa, koska osapuolet katsovat tarpeelliseksi järjestää vastakuulemismahdollisuuden.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Annettaessa välimiesmenettelyissä kirjallinen todistajankertomus, tarkoitus on aloittaa istunnossa kuuleminen suoraan vastakuulemisella. Käytännössä kuitenkin todistajalta kysytään usein istunnossa samat kysymykset kuin kirjallisessa kertomuksessa, jolloin kertomuksilla ei ole merkittävää prosessia lyhentävää merkitystä. Suurin merkitys on lähinnä siinä, että osapuolet tietävät tullessaan istuntoon, mitä toisen osapuolen todistaja tulee kertomaan, mikä auttaa istuntoon valmistautumisessa. Tämä on erityisen hyödyllistä vaikeita teknisiä kysymyksiä käsittelevissä riidoissa ja kansainvälisissä riidoissa.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Sen sijaan on käsityksemme mukaan harvinaista, että välimiesmenettelyssä kirjallinen todistajankertomus korvaisi kokonaan todistajan henkilökohtaisen kuulemisen. Lähinnä tämä tulee kyseeseen kansainvälisissä riidoissa, joissa todistajan henkilökohtainen kuuleminen voi olla hankalaa.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Joka tapauksessa Asianajajaliitto katsoo, että uusi sääntely on tervetullut lisä, koska riita-asioissa (joissa sovinto on sallittu) on syytä lisätä asianosaisten disponointivapautta. Perustelulausumaa tulisi kuitenkin muuttaa siten, ettei se viittaa siihen, että tällaista todistajaa ei kuultaisi suullisesti. Lisäksi tulisi nimenomaisesti mainita, että vaikka todistaja antaa kirjallisen kertomuksen, on kummalla tahansa osapuolella mahdollisuus kuulla todistajaa istunnossa.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Todettakoon lisäksi, että lainkohta jättää kuitenkin avoimeksi monta käytännön kysymystä, joista jäljempänä muutama esimerkki:</w:t>
      </w:r>
    </w:p>
    <w:p w:rsidR="0086297B" w:rsidRPr="00D2169E" w:rsidRDefault="0086297B" w:rsidP="00D2169E">
      <w:pPr>
        <w:ind w:left="1304"/>
        <w:rPr>
          <w:rFonts w:ascii="Calibri" w:hAnsi="Calibri"/>
          <w:szCs w:val="24"/>
        </w:rPr>
      </w:pPr>
    </w:p>
    <w:p w:rsidR="0086297B" w:rsidRDefault="0086297B" w:rsidP="00202F3A">
      <w:pPr>
        <w:pStyle w:val="ListParagraph"/>
        <w:numPr>
          <w:ilvl w:val="0"/>
          <w:numId w:val="12"/>
        </w:numPr>
        <w:rPr>
          <w:rFonts w:ascii="Calibri" w:hAnsi="Calibri"/>
          <w:szCs w:val="24"/>
        </w:rPr>
      </w:pPr>
      <w:r w:rsidRPr="00202F3A">
        <w:rPr>
          <w:rFonts w:ascii="Calibri" w:hAnsi="Calibri"/>
          <w:szCs w:val="24"/>
        </w:rPr>
        <w:t>Perehdytäänkö ensin kirjalliseen todistajankertomukseen ja sen jälkeen sovitaan, voidaanko sitä käyttää, vai sovitaanko ensin käyttämisestä ja sen jälkeen osapuoli tuo tällaisen oikeuteen? Jos osapuoli suostuu tällaisen käyttämiseen, voiko tämä peruuttaa suostumuksensa nähtyään kertomuksen?</w:t>
      </w:r>
    </w:p>
    <w:p w:rsidR="0086297B" w:rsidRPr="00202F3A" w:rsidRDefault="0086297B" w:rsidP="00202F3A">
      <w:pPr>
        <w:rPr>
          <w:rFonts w:ascii="Calibri" w:hAnsi="Calibri"/>
          <w:szCs w:val="24"/>
        </w:rPr>
      </w:pPr>
    </w:p>
    <w:p w:rsidR="0086297B" w:rsidRPr="00202F3A" w:rsidRDefault="0086297B" w:rsidP="00202F3A">
      <w:pPr>
        <w:pStyle w:val="ListParagraph"/>
        <w:numPr>
          <w:ilvl w:val="0"/>
          <w:numId w:val="12"/>
        </w:numPr>
        <w:rPr>
          <w:rFonts w:ascii="Calibri" w:hAnsi="Calibri"/>
          <w:szCs w:val="24"/>
        </w:rPr>
      </w:pPr>
      <w:r w:rsidRPr="00202F3A">
        <w:rPr>
          <w:rFonts w:ascii="Calibri" w:hAnsi="Calibri"/>
          <w:szCs w:val="24"/>
        </w:rPr>
        <w:t>Missä prosessin vaiheessa osapuolet voivat sopia kirjallisen todistajankertomuksen käyttämisestä; onko mahdollista vielä pääkäsittelyssä?</w:t>
      </w:r>
    </w:p>
    <w:p w:rsidR="0086297B" w:rsidRPr="00202F3A" w:rsidRDefault="0086297B" w:rsidP="00202F3A">
      <w:pPr>
        <w:pStyle w:val="ListParagraph"/>
        <w:ind w:left="2609"/>
        <w:rPr>
          <w:rFonts w:ascii="Calibri" w:hAnsi="Calibri"/>
          <w:szCs w:val="24"/>
        </w:rPr>
      </w:pPr>
    </w:p>
    <w:p w:rsidR="0086297B" w:rsidRDefault="0086297B" w:rsidP="00202F3A">
      <w:pPr>
        <w:pStyle w:val="ListParagraph"/>
        <w:numPr>
          <w:ilvl w:val="0"/>
          <w:numId w:val="12"/>
        </w:numPr>
        <w:rPr>
          <w:rFonts w:ascii="Calibri" w:hAnsi="Calibri"/>
          <w:szCs w:val="24"/>
        </w:rPr>
      </w:pPr>
      <w:r w:rsidRPr="00202F3A">
        <w:rPr>
          <w:rFonts w:ascii="Calibri" w:hAnsi="Calibri"/>
          <w:szCs w:val="24"/>
        </w:rPr>
        <w:t>Missä prosessin vaiheessa kertomus konkreettisesti tuodaan oikeuteen, onko mahdollista vielä pääkäsittelyssä? Jos vasta pääkäsittelyssä ja sisältää yllättäviä lausumia, miten todistajan kutsuneen vastapuolen vastakuulemismahdollisuus turvataan? Onko vastapuolella oikeus kuulla toisen osapuolen nimeämää todistajaa vielä suullisesti, vai estääkö prekluusiosääntely tämän?</w:t>
      </w:r>
    </w:p>
    <w:p w:rsidR="0086297B" w:rsidRPr="00202F3A" w:rsidRDefault="0086297B" w:rsidP="00202F3A">
      <w:pPr>
        <w:pStyle w:val="ListParagraph"/>
        <w:rPr>
          <w:rFonts w:ascii="Calibri" w:hAnsi="Calibri"/>
          <w:szCs w:val="24"/>
        </w:rPr>
      </w:pPr>
    </w:p>
    <w:p w:rsidR="0086297B" w:rsidRDefault="0086297B" w:rsidP="00202F3A">
      <w:pPr>
        <w:pStyle w:val="ListParagraph"/>
        <w:numPr>
          <w:ilvl w:val="0"/>
          <w:numId w:val="12"/>
        </w:numPr>
        <w:rPr>
          <w:rFonts w:ascii="Calibri" w:hAnsi="Calibri"/>
          <w:szCs w:val="24"/>
        </w:rPr>
      </w:pPr>
      <w:r w:rsidRPr="00202F3A">
        <w:rPr>
          <w:rFonts w:ascii="Calibri" w:hAnsi="Calibri"/>
          <w:szCs w:val="24"/>
        </w:rPr>
        <w:t>Onko todistajan laadittava kertomus henkilökohtaisesti, onko kertomus oltava päivätty ja todistajan allekirjoittama ja onko muita muodollisia vaatimuksia?</w:t>
      </w:r>
    </w:p>
    <w:p w:rsidR="0086297B" w:rsidRPr="00202F3A" w:rsidRDefault="0086297B" w:rsidP="00202F3A">
      <w:pPr>
        <w:pStyle w:val="ListParagraph"/>
        <w:rPr>
          <w:rFonts w:ascii="Calibri" w:hAnsi="Calibri"/>
          <w:szCs w:val="24"/>
        </w:rPr>
      </w:pPr>
    </w:p>
    <w:p w:rsidR="0086297B" w:rsidRPr="00202F3A" w:rsidRDefault="0086297B" w:rsidP="00202F3A">
      <w:pPr>
        <w:ind w:left="1304"/>
        <w:rPr>
          <w:rFonts w:ascii="Calibri" w:hAnsi="Calibri"/>
          <w:szCs w:val="24"/>
        </w:rPr>
      </w:pPr>
      <w:r w:rsidRPr="00202F3A">
        <w:rPr>
          <w:rFonts w:ascii="Calibri" w:hAnsi="Calibri"/>
          <w:szCs w:val="24"/>
        </w:rPr>
        <w:t>Usea näistä ratkeaa oikeuskäytännössä, mutta muutamaan pääkohtaan olisi kiinnitettävä huomiota laissa ja sen perusteluissa.</w:t>
      </w:r>
    </w:p>
    <w:p w:rsidR="0086297B" w:rsidRPr="00D2169E" w:rsidRDefault="0086297B" w:rsidP="00D2169E">
      <w:pPr>
        <w:ind w:left="1304"/>
        <w:rPr>
          <w:rFonts w:ascii="Calibri" w:hAnsi="Calibri"/>
          <w:szCs w:val="24"/>
        </w:rPr>
      </w:pPr>
    </w:p>
    <w:p w:rsidR="0086297B" w:rsidRDefault="0086297B" w:rsidP="00202F3A">
      <w:pPr>
        <w:rPr>
          <w:rFonts w:ascii="Calibri" w:hAnsi="Calibri"/>
          <w:szCs w:val="24"/>
        </w:rPr>
      </w:pPr>
      <w:r w:rsidRPr="00D2169E">
        <w:rPr>
          <w:rFonts w:ascii="Calibri" w:hAnsi="Calibri"/>
          <w:szCs w:val="24"/>
        </w:rPr>
        <w:t>25 §</w:t>
      </w:r>
    </w:p>
    <w:p w:rsidR="0086297B" w:rsidRPr="00D2169E" w:rsidRDefault="0086297B" w:rsidP="00202F3A">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Pykälän 1 momentissa on ilmeisen tietoisesti valittu hyödyntämiskiellon alaisuuteen kuuluvaksi ainoastaan kidutuksella saatu todiste. Näkemys on perin ongelmallinen. Vaikka kiduttamalla saadun todisteen hyödyntämiskielto on periaatteellisesti tärkeä, kovin suurta käytännön merkitystä säännöksellä ei ole Suomen nykyisissä yhteiskunnallisissa olosuhteissa. Sen sijaan muunlaista rikoksesta epäiltyjen epäasiallista kohtelua tiedetään tapahtuneen. Tähän nähden voidaan kysyä, onko ehdottoman hyödyntämiskiellon raja syytä asettaa näin korkealle? Kuten pykälän yksityiskohtaisissa perusteluissakin todetaan, Euroopan ihmisoikeustuomioistuimen ja korkeimman oikeuden käytännössä on katsottu, että todiste tulee jättää hyödyntämättä, jos se on hankittu itsekriminointisuojan vastaisesti.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Huolimatta siitä, että pykälän perusteluissa (2 momentin osalta) on viitattu mm. EIT:n ratkaisuun </w:t>
      </w:r>
      <w:r w:rsidRPr="00202F3A">
        <w:rPr>
          <w:rFonts w:ascii="Calibri" w:hAnsi="Calibri"/>
          <w:i/>
          <w:szCs w:val="24"/>
        </w:rPr>
        <w:t>El Haski v. Ranska</w:t>
      </w:r>
      <w:r w:rsidRPr="00D2169E">
        <w:rPr>
          <w:rFonts w:ascii="Calibri" w:hAnsi="Calibri"/>
          <w:szCs w:val="24"/>
        </w:rPr>
        <w:t xml:space="preserve"> (2012), ei perusteluissa lainkaan viitata tuon ratkaisun olennaiseen substanssiin. Kyseisessä ratkaisussa EIT totesi seuraavaa (kohta 85):</w:t>
      </w:r>
    </w:p>
    <w:p w:rsidR="0086297B" w:rsidRPr="00D2169E" w:rsidRDefault="0086297B" w:rsidP="00D2169E">
      <w:pPr>
        <w:ind w:left="1304"/>
        <w:rPr>
          <w:rFonts w:ascii="Calibri" w:hAnsi="Calibri"/>
          <w:szCs w:val="24"/>
        </w:rPr>
      </w:pPr>
    </w:p>
    <w:p w:rsidR="0086297B" w:rsidRPr="00202F3A" w:rsidRDefault="0086297B" w:rsidP="00202F3A">
      <w:pPr>
        <w:ind w:left="2608"/>
        <w:rPr>
          <w:rFonts w:ascii="Calibri" w:hAnsi="Calibri"/>
          <w:sz w:val="22"/>
          <w:szCs w:val="24"/>
        </w:rPr>
      </w:pPr>
      <w:r w:rsidRPr="00202F3A">
        <w:rPr>
          <w:rFonts w:ascii="Calibri" w:hAnsi="Calibri"/>
          <w:sz w:val="22"/>
          <w:szCs w:val="24"/>
        </w:rPr>
        <w:t>Ainsi, l’emploi dans l’action pénale de déclarations obtenues par le biais d’une violation de l’article 3 – que cette violation soit qualifiée de torture ou de traitement inhumain ou dégradant – prive automatiquement d’équité la procédure dans son ensemble et viole l’article 6 (Gäfgen c. Allemagne [GC], no 22978/05, §§ 166-167 et 173, CEDH 2010). Il en va de même de l’utilisation de preuves matérielles rassemblées à la suite directe d’actes de torture (ibidem) ; l’utilisation de telles preuves obtenues au moyen d’un traitement contraire à l’article 3 qui se situe en-deçà de la torture ne contrevient en revanche à l’article 6 que s’il est démontré que la violation de l’article 3 a influé sur l’issue de la procédure, c’est-à-dire qu’elle a eu un impact sur le verdict de culpabilité ou la peine (arrêt Gäfgen précité, § 178).</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EIT totesi siis ratkaisussaan nimenomaisesti, että kaikilla EIS 3 artiklan vastaisilla metodeilla saadut kertomukset “riistävät” automaattisesti koko oikeudenkäynnin oikeudenmukaisuuden ja siten niiden hyödyntäminen muodostaa 6 artiklan loukkauksen. Tämä näkökanta ei ole mitenkään uusi tai EIT:n ratkaisukäytännöstä poikkeava. Lisäksi on huomattava, että esimerkiksi Ruotsin korkein oikeus on ollut asiasta lähtökohtaisesti samaa mieltä. Tapauksessa NJA 2011, s. 638 (asia nro B2150-11, tuomio 20.10.2011) Ruotsin korkein oikeus totesi seuraavaa (kursivointi tässä):</w:t>
      </w:r>
    </w:p>
    <w:p w:rsidR="0086297B" w:rsidRPr="00D2169E" w:rsidRDefault="0086297B" w:rsidP="00D2169E">
      <w:pPr>
        <w:ind w:left="1304"/>
        <w:rPr>
          <w:rFonts w:ascii="Calibri" w:hAnsi="Calibri"/>
          <w:szCs w:val="24"/>
        </w:rPr>
      </w:pPr>
    </w:p>
    <w:p w:rsidR="0086297B" w:rsidRPr="00202F3A" w:rsidRDefault="0086297B" w:rsidP="00202F3A">
      <w:pPr>
        <w:ind w:left="2608"/>
        <w:rPr>
          <w:rFonts w:ascii="Calibri" w:hAnsi="Calibri"/>
          <w:sz w:val="22"/>
          <w:szCs w:val="24"/>
          <w:lang w:val="sv-FI"/>
        </w:rPr>
      </w:pPr>
      <w:r w:rsidRPr="00202F3A">
        <w:rPr>
          <w:rFonts w:ascii="Calibri" w:hAnsi="Calibri"/>
          <w:sz w:val="22"/>
          <w:szCs w:val="24"/>
          <w:lang w:val="sv-FI"/>
        </w:rPr>
        <w:t xml:space="preserve">Europadomstolen har också betonat att det allmännas i och för sig starka intresse av att kunna utreda brott inte får drivas så långt att själva kärnan i den enskildes möjligheter att försvara sig går om intet (Bykov, § 93). Detta tar närmast sikte på fall då bevisningen har skaffats fram på ett sätt som strider mot det absoluta förbudet </w:t>
      </w:r>
      <w:r w:rsidRPr="00202F3A">
        <w:rPr>
          <w:rFonts w:ascii="Calibri" w:hAnsi="Calibri"/>
          <w:i/>
          <w:sz w:val="22"/>
          <w:szCs w:val="24"/>
          <w:lang w:val="sv-FI"/>
        </w:rPr>
        <w:t>mot tortyr eller omänsklig eller förnedrande behandling eller bestraffning i konventionens artikel 3</w:t>
      </w:r>
      <w:r w:rsidRPr="00202F3A">
        <w:rPr>
          <w:rFonts w:ascii="Calibri" w:hAnsi="Calibri"/>
          <w:sz w:val="22"/>
          <w:szCs w:val="24"/>
          <w:lang w:val="sv-FI"/>
        </w:rPr>
        <w:t>. Användningen av sådana bevis kan leda till att hela rättegången anses vara orättvis.</w:t>
      </w:r>
    </w:p>
    <w:p w:rsidR="0086297B" w:rsidRPr="00D2169E" w:rsidRDefault="0086297B" w:rsidP="00D2169E">
      <w:pPr>
        <w:ind w:left="1304"/>
        <w:rPr>
          <w:rFonts w:ascii="Calibri" w:hAnsi="Calibri"/>
          <w:szCs w:val="24"/>
          <w:lang w:val="sv-FI"/>
        </w:rPr>
      </w:pPr>
    </w:p>
    <w:p w:rsidR="0086297B" w:rsidRDefault="0086297B" w:rsidP="00D2169E">
      <w:pPr>
        <w:ind w:left="1304"/>
        <w:rPr>
          <w:rFonts w:ascii="Calibri" w:hAnsi="Calibri"/>
          <w:szCs w:val="24"/>
        </w:rPr>
      </w:pPr>
      <w:r w:rsidRPr="00D2169E">
        <w:rPr>
          <w:rFonts w:ascii="Calibri" w:hAnsi="Calibri"/>
          <w:szCs w:val="24"/>
        </w:rPr>
        <w:t>Ruotsin korkein oikeus ei viitatessaan EIS 3 artiklaan tehnyt mahdollisen hyödyntämiskiellon osalta lähtökohtaista eroa sille, olisiko kyse kidutuksesta, epäinhimillisestä, vai halventavasta kohtelusta EIS 3 artiklassa tarkoitetussa mielessä.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Toiseksi lakitekstin perusteella syntyy se virheellinen käsitys, että pykälän toisessa momentissa säädetty harkinnanvarainen hyödyntämiskielto koskisi myös todistamis- ja käyttökieltojen vastaisella menettelyllä saatuja todisteita. Yksityiskohtaisten perustelujen mukaan asian luonnosta kuitenkin seuraa, että todistamis- tai käyttökiellon vastaisen menettelyn oikeudellinen seuraamus on hyödyntämis- tai käyttökielto. Samoin perusteluissa todetaan, että myös vaitiolo-oikeuden käyttäminen olisi rinnastettavissa todistamiskieltoon. Tämä tärkeä soveltamistilanne olisi ehdottomasti huomioitava itse lakitekstissä – nythän lakitekstin ja perustelujen välillä on selvä ristiriita.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Asianajajaliitto esittää tämän vuoksi hyödyntämiskiellon osalta vielä pykälän jatkovalmistelua. Pykälän ensimmäisen momentin tulisi kuulua: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Tuomioistuin ei saa hyödyntää todistetta, joka on saatu kiduttamalla, loukkaamalla rikosasiassa epäillyn oikeutta olla todistamatta itseänsä vastaan, todistamis- tai käyttökieltoa rikkomalla taikka joka loukkaa todistajan vaitiolo-oikeutta.</w:t>
      </w:r>
    </w:p>
    <w:p w:rsidR="0086297B" w:rsidRPr="00D2169E" w:rsidRDefault="0086297B" w:rsidP="00D2169E">
      <w:pPr>
        <w:ind w:left="1304"/>
        <w:rPr>
          <w:rFonts w:ascii="Calibri" w:hAnsi="Calibri"/>
          <w:szCs w:val="24"/>
        </w:rPr>
      </w:pPr>
    </w:p>
    <w:p w:rsidR="0086297B" w:rsidRDefault="0086297B" w:rsidP="00202F3A">
      <w:pPr>
        <w:rPr>
          <w:rFonts w:ascii="Calibri" w:hAnsi="Calibri"/>
          <w:szCs w:val="24"/>
        </w:rPr>
      </w:pPr>
      <w:r w:rsidRPr="00D2169E">
        <w:rPr>
          <w:rFonts w:ascii="Calibri" w:hAnsi="Calibri"/>
          <w:szCs w:val="24"/>
        </w:rPr>
        <w:t>26 §</w:t>
      </w:r>
    </w:p>
    <w:p w:rsidR="0086297B" w:rsidRPr="00D2169E" w:rsidRDefault="0086297B" w:rsidP="00202F3A">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Oikeudenkäymiskaaren 14 luvun 1 §:ssä on säädetty asianosaisen totuudessa pysymisestä riita-asian käsittelyssä oikeudessa. Mainitun lainkohdan ja 26 §:n sanamuodot poikkeavat toisistaan hieman, vaikka ajatuksellisesti kysymys on samasta asiasta. Lain jatkovalmistelussa lienee syytä harkita lakitekstien tarkistamista siten, ettei epävarmuutta totuudessa pysymisen sisällöstä voi syntyä. </w:t>
      </w:r>
    </w:p>
    <w:p w:rsidR="0086297B" w:rsidRPr="00D2169E" w:rsidRDefault="0086297B" w:rsidP="00D2169E">
      <w:pPr>
        <w:ind w:left="1304"/>
        <w:rPr>
          <w:rFonts w:ascii="Calibri" w:hAnsi="Calibri"/>
          <w:szCs w:val="24"/>
        </w:rPr>
      </w:pPr>
    </w:p>
    <w:p w:rsidR="0086297B" w:rsidRDefault="0086297B" w:rsidP="00202F3A">
      <w:pPr>
        <w:rPr>
          <w:rFonts w:ascii="Calibri" w:hAnsi="Calibri"/>
          <w:szCs w:val="24"/>
        </w:rPr>
      </w:pPr>
      <w:r w:rsidRPr="00D2169E">
        <w:rPr>
          <w:rFonts w:ascii="Calibri" w:hAnsi="Calibri"/>
          <w:szCs w:val="24"/>
        </w:rPr>
        <w:t>29 §</w:t>
      </w:r>
    </w:p>
    <w:p w:rsidR="0086297B" w:rsidRPr="00D2169E" w:rsidRDefault="0086297B" w:rsidP="00202F3A">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Oikeudenkäymiskaaren muutosta, jonka mukaan jokaista muuta kuin asianosaista voidaan kuulustella todistajana, on hyvin merkittävä muutos erityisesti rikosprosessissa. Asianomistaja, jolla ei ole asiassa vaatimuksia, on jatkossa todistaja, mikä tosiasiallisesti tulee vaikuttamaan hänen antamansa kertomuksen näyttöarvoon rikosasiassa.</w:t>
      </w:r>
    </w:p>
    <w:p w:rsidR="0086297B" w:rsidRPr="00D2169E" w:rsidRDefault="0086297B" w:rsidP="00D2169E">
      <w:pPr>
        <w:ind w:left="1304"/>
        <w:rPr>
          <w:rFonts w:ascii="Calibri" w:hAnsi="Calibri"/>
          <w:szCs w:val="24"/>
        </w:rPr>
      </w:pPr>
    </w:p>
    <w:p w:rsidR="0086297B" w:rsidRPr="00D2169E" w:rsidRDefault="0086297B" w:rsidP="00202F3A">
      <w:pPr>
        <w:rPr>
          <w:rFonts w:ascii="Calibri" w:hAnsi="Calibri"/>
          <w:szCs w:val="24"/>
        </w:rPr>
      </w:pPr>
      <w:r w:rsidRPr="00D2169E">
        <w:rPr>
          <w:rFonts w:ascii="Calibri" w:hAnsi="Calibri"/>
          <w:szCs w:val="24"/>
        </w:rPr>
        <w:t>33 §</w:t>
      </w:r>
    </w:p>
    <w:p w:rsidR="0086297B"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Asianajajaliitto vastustaa anonyymin todistelun käyttöön ottamista. Anonyymi todistelu vaarantaisi oikeudenmukaisen oikeudenkäynnin toteutumisen ja sen käyttöön ottaminen edellyttäisi mm. painavia yhteiskunnallisia syitä. Anonyymin todistelun tulisi olla välttämätöntä todistajan suojelemiseksi. Konkreettista tarvetta anonyymille todistelulle Suomessa ei ole kuitenkaan käytännössä ilmennyt.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Mietinnössä esitetään olettamuksia mihin todistajaryhmiin uhat kohdistuisivat ja anonyymillä todistelulla saavutettavista hyödyistä. Olettamukset eivät kuitenkaan ole riittävä peruste anonyymin todistelun käyttöönottamiselle vaan tarvittaisiin todellista tietoa osoittamaan, että anonyymin todistelun sallimiselle on painavat yhteiskunnalliset syyt. Mietinnössä on todettu, että todistajien uhkailun olemassaolosta tai yleisyydestä ei Suomessa ole kattavasti tutkittua tietoa ja että samoin täsmällistä tietoa puuttuu siitä, keihin henkilöihin mahdollinen uhkailu todellisuudessa kohdistuu, miten se vaikuttaa todistamiseen ja missä tapauksissa anonymiteetistä voisi olla hyötyä (s. 39).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Ottaen huomioon, että todistajansuojelun näkökulmasta anonyymin todistelun käyttöön ottamiselle Suomessa ei ole voitu esittää konkreettista tarvetta on mahdollista, että sitä käytettäisiin ennemmin rikosten selvittämisen edistämiseen kuin todistajansuojeluun, eli suunnitellun tarkoituksensa vastaisesti ilman, että siihen on painavaa yhteiskunnallista syytä.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Anonymiteetti ei ole todellinen keino ratkaista todistajansuojeluun liittyviä ongelmia vaan se jäisi helposti näennäiseksi tavaksi täyttää valtion todistajansuojelua koskevat velvollisuudet. Todistajansuojelu on kysymys, jota tulisi lähestyä kokonaisvaltaisesti. Anonymiteetti olisi todennäköisesti vain hyvin harvoissa tapauksissa käyttökelpoinen ja tehokas tapa suojella todistajaa, joka on vaarassa. Anonymiteetti vain estäisi todistelun luotettavuuden asianmukaisen testaamisen, jos se myönnettäisiin tilanteessa, jossa tosiasiassa kaikki tietäisivät, kuka henkilö todennäköisesti on. Tällaisessa tilanteessa anonymiteetti vain rajoittaisi oikeudenmukaisen oikeudenkäynnin toteutumista tai estäisi sen. Anonymiteettiä olisi mahdollista käyttää väärin vastakuulusteluoikeuden rajoittamiseen ja esimerkiksi hakea anonymiteettiä muuten ”heikolle” todistajalle.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Anonyymi todistelu olisi todistusarvoltaan heikompaa kuin todistaminen omalla nimellä. Se hyöty, joka anonyymistä todistelusta olisi saatavissa, olisi todennäköisesti hyvin vähäinen suhteessa siihen, missä laajuudessa se rajoittaa oikeudenmukaisen oikeudenkäynnin toteuttamisen mahdollisuuksia.  </w:t>
      </w:r>
    </w:p>
    <w:p w:rsidR="0086297B" w:rsidRPr="00D2169E" w:rsidRDefault="0086297B" w:rsidP="00D2169E">
      <w:pPr>
        <w:ind w:left="1304"/>
        <w:rPr>
          <w:rFonts w:ascii="Calibri" w:hAnsi="Calibri"/>
          <w:szCs w:val="24"/>
        </w:rPr>
      </w:pPr>
    </w:p>
    <w:p w:rsidR="0086297B" w:rsidRPr="00202F3A" w:rsidRDefault="0086297B" w:rsidP="00D2169E">
      <w:pPr>
        <w:ind w:left="1304"/>
        <w:rPr>
          <w:rFonts w:ascii="Calibri" w:hAnsi="Calibri"/>
          <w:b/>
          <w:szCs w:val="24"/>
        </w:rPr>
      </w:pPr>
      <w:r w:rsidRPr="00202F3A">
        <w:rPr>
          <w:rFonts w:ascii="Calibri" w:hAnsi="Calibri"/>
          <w:b/>
          <w:szCs w:val="24"/>
        </w:rPr>
        <w:t>Suhde syyteneuvottelujärjestelmään ym.</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Mietinnössä ei ole arvioitu anonyymin todistelun suhdetta esitettyyn syyteneuvottelujärjestelmään (OM:n työryhmämietintö 26/2012). Myös esimerkiksi todistamiskieltojen piiriin kuuluvien henkilöiden anonymiteettiin liittyvät erityiset oikeusturvakysymykset kuten mahdollisuus valvoa lakiin perustuvien salassapitovelvollisuuksien noudattamista ovat jääneet vaille huomiota. Nämä seikat vaatisivat tarkempaa arviointia samoin kuin se, missä määrin ylipäänsä voisi olla tarpeen tai hyväksyttävää sallia anonyymi todistelu kaikille todistajaryhmille, mikäli todistajan anonymiteetti ylipäänsä sallitaan.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Kun esitetyn OK 17 luvun uudistuksen myötä todistajan ei enää tarvitsisi ilmoittaa ammattiansa ja kun anonyymi todistelu edellyttäisi todistajan henkilöllisyyden mahdollisesti paljastavien tietojen suojaamista, anonyymi todistelu saisi paljon laajemman merkityksen kuin vain todistajan henkilöllisyyden ja yhteystietojen suojaaminen. Ei tiedettäisi, onko todistaja esimerkiksi syyteneuvottelun seurauksena kokonaan tai osittain rangaistusvastuusta vapautunut rikoskumppani tai kenties asianosaisen lääkäri tai psykologi.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OM:n mietinnössä 26/2012 syyteneuvottelujärjestelmä esitetään otettavaksi käyttöön rikoksissa, joista voi seurata enintään kuuden vuoden vankeusrangaistus. Esimerkiksi avunanto on lievemmin rangaistava kuin varsinainen teko, joten on mahdollista, että vaikka todistelutoimikunnan mietinnössä on esitetty edellytys vähintään kahdeksan vuoden enimmäisrangaistuksesta, saman teon avunantaja, eli syytetyn rikoskumppani olisi saanut, tai saamassa todistettuaan, syytesuojan ja voisi tulla kuulluksi anonyyminä todistajana ilman että vastaaja tietää siitä.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Anonyymin todistajan henkilöllisyyden suojaaminen johtaisi erittäin suuriin oikeusturvaongelmiin, kun sen vuoksi olisi suojattava sellaisia olennaisia tietoja, joiden perusteella voitaisiin arvioida esimerkiksi kysymystä siitä, voiko todistajalle itselleen seurata asian ratkaisemisesta jotain etua tai haittaa.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Todistajan henkilöllisyyden suojaaminen heikentäisi mahdollisuutta valvoa esimerkiksi todisteiden hyödyntämiskieltoja tai ylipäänsä mahdollisuutta arvioida, perustuuko todiste laillisesti ja asianmukaisesti saatuun tietoon, koska mahdollisuutta esittää todistajalle kysymyksiä rajoittaisi tarve salata hänen henkilöllisyytensä. Todistajan luotettavuuden ja kertomuksen hyödynnettävyyden kannalta olisi olennaista tietää, jos todistaja itse on saanut tietonsa laittomin keinoin, tai jos tieto sellaista, joka todistajan tulisi lain mukaan pitää salassa.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Mietinnössä ei ole pohdittu todistajan anonymiteettiin liittyviä ongelmia kansainvälistä rikosoikeusapua edellyttävissä tilanteissa, joissa todistajana kuultava henkilö on ulkomailla eikä mietinnössä ole kiinnitetty huomiota ylipäänsä siihen, miten tarkistetaan missä ja millaisissa olosuhteissa anonyymi todistaja on kuultaessa häntä ns. etäyhteyden välityksellä esitetyn 53 §:n mukaisesti. Ei myöskään ole selvää, miten voidaan varmistua siitä, että anonyyminä kuultava todistaja ylipäänsä on se henkilö, jolle anonymiteetti on myönnetty. Tämä kysymys voisi herätä erityisesti kuultaessa anonyymiä todistajaa puhelimitse.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Anonyymi todistelu on suomalaiselle oikeusjärjestelmälle entuudestaan täysin vieras ja siihen huonosti soveltuva todistelukeino. Sen käyttöön ottaminen meillä edellyttäisi paitsi tietoa kotimaisista todistajansuojeluun liittyvistä todellisista tarpeista myös oikeusvertailevaa tietoa siitä, miten ja millä edellytyksillä se toimii niissä maissa, joissa se on jo sallittu, ja miten anonyymistä todistelusta oikeudenmukaiselle oikeudenkäynnille aiheutuvat rajoitukset on kyseisissä valtioissa kompensoitu. </w:t>
      </w:r>
    </w:p>
    <w:p w:rsidR="0086297B" w:rsidRPr="00D2169E" w:rsidRDefault="0086297B" w:rsidP="00D2169E">
      <w:pPr>
        <w:ind w:left="1304"/>
        <w:rPr>
          <w:rFonts w:ascii="Calibri" w:hAnsi="Calibri"/>
          <w:szCs w:val="24"/>
        </w:rPr>
      </w:pPr>
    </w:p>
    <w:p w:rsidR="0086297B" w:rsidRPr="00202F3A" w:rsidRDefault="0086297B" w:rsidP="00D2169E">
      <w:pPr>
        <w:ind w:left="1304"/>
        <w:rPr>
          <w:rFonts w:ascii="Calibri" w:hAnsi="Calibri"/>
          <w:b/>
          <w:szCs w:val="24"/>
        </w:rPr>
      </w:pPr>
      <w:r w:rsidRPr="00202F3A">
        <w:rPr>
          <w:rFonts w:ascii="Calibri" w:hAnsi="Calibri"/>
          <w:b/>
          <w:szCs w:val="24"/>
        </w:rPr>
        <w:t xml:space="preserve">Puolustusoikeuksien kompensoiminen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Anonyymi todistelu heikentäisi syytetyn puolustusta olennaisesti. Syyksilukeva tuomio voidaan perustaa vain siihen, ettei syyttäjän esittämän todistelun valossa jää varteenotettavaa epäilyä syytetyn syyllisyydestä. Ratkaisun tekemiseen eivät saa vaikuttaa mitkään sellaiset seikat tai tiedot, jotka eivät ole tuomioistuimelle esitettyjä todisteita ja joiden luotettavuutta puolustus ei ole voinut testata. Anonyymi todistelu heikentää syytetyn puolustusta, koska puolustuksella ei ole tosiasiallista mahdollisuutta kysyä vastapuolen nimeämältä todistajalta tämän luotettavuuteen vaikuttavista seikoista. Jos anonyymi todistelu toteutetaan ns. etäyhteyden välityksellä, puolustuksella ei ole mahdollisuutta myöskään tehdä havaintoja todistajasta ja hänen luotettavuudestaan. Syytetyn mahdollisuus asettaa häntä vastaan kertovien todistajien uskottavuus kyseenalaiseksi on yksi keskeisimmistä syytetyn oikeusturvaan kuuluvista oikeuksista. Henkilötodistelun osalta oikeudenkäynnissä ei ole ratkaisevaa vain todistajan kertomuksen sisältö vaan sitäkin tärkeämpi kysymys voi olla todistajan antaman kertomuksen uskottavuus eli voidaanko ja kuinka paljon luottaa siihen, mitä todistaja kertoo. (ks. Tuija Turpeisen eriävä mielipide työryhmämietintöön OM 2005:5) </w:t>
      </w:r>
    </w:p>
    <w:p w:rsidR="0086297B" w:rsidRPr="00D2169E" w:rsidRDefault="0086297B" w:rsidP="00D2169E">
      <w:pPr>
        <w:ind w:left="1304"/>
        <w:rPr>
          <w:rFonts w:ascii="Calibri" w:hAnsi="Calibri"/>
          <w:szCs w:val="24"/>
        </w:rPr>
      </w:pPr>
    </w:p>
    <w:p w:rsidR="0086297B" w:rsidRPr="00202F3A" w:rsidRDefault="0086297B" w:rsidP="00202F3A">
      <w:pPr>
        <w:ind w:left="2608"/>
        <w:rPr>
          <w:rFonts w:ascii="Calibri" w:hAnsi="Calibri"/>
          <w:sz w:val="22"/>
          <w:szCs w:val="24"/>
        </w:rPr>
      </w:pPr>
      <w:r w:rsidRPr="00202F3A">
        <w:rPr>
          <w:rFonts w:ascii="Calibri" w:hAnsi="Calibri"/>
          <w:sz w:val="22"/>
          <w:szCs w:val="24"/>
        </w:rPr>
        <w:t>Pesukic v. Sveitsi (2012) -tapauksessa kyse oli anonyymeista todistajista. EIT katsoi, että todistajan henkilöllisyyden salaaminen oli ollut välttämätöntä hänen suojelunsa vuoksi. Tuomiota ei ollut perustettu yksinomaan tämän kertomukseen, vaikkakin kertomuksella oli ollut huomattavaa näyttöarvoa valittajaa tuomittaessa. Sen vuoksi hänen kuulemiseensa oli tullut liittyä syytetyn oikeuksien kannalta riittäviä takeita. EIT pani tuolta osin merkille, että todistajaa ei ollut kuulustellut syyttäjä vaan oikeuden puheenjohtaja. Hänen henkilönsä oli ollut syyttäjän ja oikeuden puheenjohtajan tiedossa. Oikeudelle oli kerrottu todistajan maineesta, rikosrekisteristä ja uskottavuudesta. Todistajaa oli kuulusteltu oikeuden täydessä kokoonpanossa ja kaikki päätöksenteossa mukana olleet henkilöt olivat voineet saada henkilökohtaisia vaikutelmia hänestä ja hänen vastauksistaan. Näissä oloissa EIT katsoi, että syytetyn puolustukselle aiheutuneita vaikeuksia oli kompensoitu riittävästi eikä EIS 6 artiklan 1 ja 3 d)-kohtia ollut rikottu.</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 xml:space="preserve">Pesukic-tapauksessa viitattiin ratkaisuun asiassa Ellis, Simms ja Martin v. UK, 2012), joka ei ole EIT:n tuomio vaan seitsemänjäsenisessä jaostossa tehty päätös jättää valitus käsittelemättä (inadmissible). Ratkaisun ennakkopäätösarvo ilmenee siitä, että EIT antoi sen johdosta lehdistötiedotteen, joka on poikkeuksellista tällaisten päätösten osalta. EIT toisti sen, että poissaolevan ja anonyymin todistajan tilanteet vastaavat pitkälti toisiaan.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 xml:space="preserve">Anonyymin todistelun sallimisen osalta edellytetään kolmea seikkaa: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 xml:space="preserve">1) henkilöllisyyden salaamiselle on hyväksyttävä peruste;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 xml:space="preserve">2) tuomioistuin arvioi onko anonyymin todistajan kertomus ainoa tai ratkaiseva näyttö;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lang w:val="en-US"/>
        </w:rPr>
      </w:pPr>
      <w:r w:rsidRPr="00202F3A">
        <w:rPr>
          <w:rFonts w:ascii="Calibri" w:hAnsi="Calibri"/>
          <w:sz w:val="22"/>
          <w:szCs w:val="24"/>
          <w:lang w:val="en-US"/>
        </w:rPr>
        <w:t xml:space="preserve">3) jos kertomus on ainoa ja/tai ratkaiseva on varmistettava, että prosessissa on ryhdytty riittäviin kompensoiviin toimiin anonyymin todistelun luotettavuuden toteamiseksi (”the Court had to satisfy itself that there were sufficient counterbalancing factors, including strong procedural safeguards, to permit a fair and proper assessment of the reliability of that evidence to take place”). </w:t>
      </w:r>
    </w:p>
    <w:p w:rsidR="0086297B" w:rsidRPr="00202F3A" w:rsidRDefault="0086297B" w:rsidP="00202F3A">
      <w:pPr>
        <w:ind w:left="2608"/>
        <w:rPr>
          <w:rFonts w:ascii="Calibri" w:hAnsi="Calibri"/>
          <w:sz w:val="22"/>
          <w:szCs w:val="24"/>
          <w:lang w:val="en-US"/>
        </w:rPr>
      </w:pPr>
    </w:p>
    <w:p w:rsidR="0086297B" w:rsidRDefault="0086297B" w:rsidP="00202F3A">
      <w:pPr>
        <w:ind w:left="2608"/>
        <w:rPr>
          <w:rFonts w:ascii="Calibri" w:hAnsi="Calibri"/>
          <w:sz w:val="22"/>
          <w:szCs w:val="24"/>
        </w:rPr>
      </w:pPr>
      <w:r w:rsidRPr="00202F3A">
        <w:rPr>
          <w:rFonts w:ascii="Calibri" w:hAnsi="Calibri"/>
          <w:sz w:val="22"/>
          <w:szCs w:val="24"/>
        </w:rPr>
        <w:t xml:space="preserve">Jutussa osa anonyymin todistajan lausumista oli luonteeltaan ratkaisevaa. Tältä osin kompensoivina toimina otettiin huomioon seuraavat seikat: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 xml:space="preserve">1) valittajien asianajajat, tuomari ja jury olivat voineet itse tehdä havaintoja todistajasta tämän antaessa kertomustaan;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 xml:space="preserve">2) tuomari oli huomauttanut jurylle useita kertoja anonyymista todistelusta ja sen johdosta edellytettävästä huolellisesta arvioinnista;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 xml:space="preserve">3) tuomari oli edellyttänyt juryn vaativan riippumatonta näyttöä syytettyjen osallisuudesta rikokseen;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 xml:space="preserve">4) tuomari oli varoittanut jurya arvioimaan anonyymin todistajan kertomuksen varovaisesti antaen erityiset ohjeet puolustuksen oikeuksien huomioimisesta ja todistusta tukevan näytön tarpeellisuudesta; </w:t>
      </w:r>
    </w:p>
    <w:p w:rsidR="0086297B" w:rsidRPr="00202F3A" w:rsidRDefault="0086297B" w:rsidP="00202F3A">
      <w:pPr>
        <w:ind w:left="2608"/>
        <w:rPr>
          <w:rFonts w:ascii="Calibri" w:hAnsi="Calibri"/>
          <w:sz w:val="22"/>
          <w:szCs w:val="24"/>
        </w:rPr>
      </w:pPr>
    </w:p>
    <w:p w:rsidR="0086297B" w:rsidRDefault="0086297B" w:rsidP="00202F3A">
      <w:pPr>
        <w:ind w:left="2608"/>
        <w:rPr>
          <w:rFonts w:ascii="Calibri" w:hAnsi="Calibri"/>
          <w:sz w:val="22"/>
          <w:szCs w:val="24"/>
        </w:rPr>
      </w:pPr>
      <w:r w:rsidRPr="00202F3A">
        <w:rPr>
          <w:rFonts w:ascii="Calibri" w:hAnsi="Calibri"/>
          <w:sz w:val="22"/>
          <w:szCs w:val="24"/>
        </w:rPr>
        <w:t>5) anonyymista todistajasta oli paljastettu merkittävästi tietoja vastakuulustelun tarpeisiin. Lisäksi tehokas vastakuulustelu oli myös toteutettu.</w:t>
      </w:r>
    </w:p>
    <w:p w:rsidR="0086297B" w:rsidRPr="00D2169E" w:rsidRDefault="0086297B" w:rsidP="00202F3A">
      <w:pPr>
        <w:ind w:left="2608"/>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Suomessa puolustusoikeuksia ei ole järjestetty niin, että ne voisivat riittävästi kompensoida niitä haittoja, joita puolustukselle aiheutuisi anonyymistä todistelusta. Oikeudenmukaisen oikeudenkäynnin vaatimusten täyttäminen anonyymiä todistelua käytettäessä olisi järjestelmässämme käytännössä mahdotonta tai ainakin äärimmäisen hankalaa. Mietinnössä esitetään muun ohella, että anonyymiä todistajaa voitaisiin kuulla puhelimitse ääni muunnettuna, mikä tekisi vaikeaksi tehdä todistajan luotettavuuden arvioinnin kannalta tärkeitä havaintoja todistajasta. Tehokkaan vastakuulustelun toteuttaminen olisi haastavaa, jos lainkaan mahdollista.  Mikäli anonyymiä todistelua esitetään sallittavaksi, tulisi miettiä, millä edellytyksillä tehokas puolustus voisi siitä huolimatta toteutua.</w:t>
      </w:r>
    </w:p>
    <w:p w:rsidR="0086297B" w:rsidRPr="00D2169E" w:rsidRDefault="0086297B" w:rsidP="00D2169E">
      <w:pPr>
        <w:ind w:left="1304"/>
        <w:rPr>
          <w:rFonts w:ascii="Calibri" w:hAnsi="Calibri"/>
          <w:szCs w:val="24"/>
        </w:rPr>
      </w:pPr>
    </w:p>
    <w:p w:rsidR="0086297B" w:rsidRPr="00202F3A" w:rsidRDefault="0086297B" w:rsidP="00202F3A">
      <w:pPr>
        <w:ind w:left="2608"/>
        <w:rPr>
          <w:rFonts w:ascii="Calibri" w:hAnsi="Calibri"/>
          <w:sz w:val="22"/>
          <w:szCs w:val="24"/>
        </w:rPr>
      </w:pPr>
      <w:r w:rsidRPr="00202F3A">
        <w:rPr>
          <w:rFonts w:ascii="Calibri" w:hAnsi="Calibri"/>
          <w:sz w:val="22"/>
          <w:szCs w:val="24"/>
        </w:rPr>
        <w:t xml:space="preserve">Esitetyn OK 17:53:n yksityiskohtaisissa perusteluissa koskien anonyymin todistajan kuulemista erityisjärjestelyin on avattu sellainenkin mahdollisuus, että anonyymille todistajalle esitettävät kysymykset on etukäteen toimitettava tuomioistuimelle ja asianosaisille. Vastakuulusteluoikeuden toteuttamiseksi voitaisiin esityksen mukaan pitää tauko, jonka aikana muotoillaan lisäkysymykset, joihin tuomioistuimelle ja asianosaisille annetaan tilaisuus perehtyä ennen todistajankuulustelun jatkamista. Tämä kuvastaa hyvin sitä, kuinka vaikeaa ja tehotonta vastakuulustelun tekeminen anonyymille todistajalle tosiasiassa olisi. Etenkin se, että puolustuksen tulisi etukäteen antaa kysymyksensä syyttäjälle ja muille asianosaisille, vaikuttaa suorastaan vastakuulusteluoikeuden tarkoituksen vastaiselta. Tällainen kuulustelu olisi enemmänkin näennäinen kuin tehokas ajatellen mahdollisuutta kyseenalaistaa todistelun luotettavuus.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Todistajan anonymiteetti asettaisi huomattavasti nykyistä käytäntöä täsmällisempiä vaatimuksia todistusteemoista. Esimerkiksi syyttäjien haastehakemuksissa tyypillinen todistusteema ”tapahtumainkulku” ei missään tapauksessa olisi riittävän täsmällinen ajateltaessa sitä, miten vakavasti todistajan anonymiteetti vaarantaa prosessin oikeudenmukaisuuden ja asianmukaisen puolustautumisen mahdollisuuden.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Mietinnössä on lähdetty siitä, että ennen anonymiteetin hakemista häntä kuultaisiin esitutkinnassa ja laadittaisiin kuulemisesta salassa pidettävä pöytäkirja. Tämä mainitaan mietinnön sivulla 166: </w:t>
      </w:r>
    </w:p>
    <w:p w:rsidR="0086297B" w:rsidRPr="00D2169E" w:rsidRDefault="0086297B" w:rsidP="00D2169E">
      <w:pPr>
        <w:ind w:left="1304"/>
        <w:rPr>
          <w:rFonts w:ascii="Calibri" w:hAnsi="Calibri"/>
          <w:szCs w:val="24"/>
        </w:rPr>
      </w:pPr>
    </w:p>
    <w:p w:rsidR="0086297B" w:rsidRPr="00202F3A" w:rsidRDefault="0086297B" w:rsidP="00202F3A">
      <w:pPr>
        <w:ind w:left="2608"/>
        <w:rPr>
          <w:rFonts w:ascii="Calibri" w:hAnsi="Calibri"/>
          <w:sz w:val="22"/>
          <w:szCs w:val="24"/>
        </w:rPr>
      </w:pPr>
      <w:r w:rsidRPr="00202F3A">
        <w:rPr>
          <w:rFonts w:ascii="Calibri" w:hAnsi="Calibri"/>
          <w:sz w:val="22"/>
          <w:szCs w:val="24"/>
        </w:rPr>
        <w:t>Ennen kuin anonymiteetistä päätetään, poliisi olisi kuulustellut henkilöä ja kuulustelusta olisi tehty salassa pidettävä pöytäkirja. Vaikka anonymiteettiä ei myönnettäisi, olisi todistaja velvollinen kertomaan, mitä asiasta tietää. Käytännössä on kuitenkin vaikeaa puuttua tilanteeseen, jossa kuultava kieltäytyy muistamasta tapahtumia, vaikkei anonymiteetin epääminen sinänsä vapauta todistajaa todistamisvelvollisuudesta. Saattaa olla niin, ettei uhattu todistaja suostu esitutkinnassa kertomaan mitään, ellei hän saa varmuutta anonymiteetistään. Anonymiteetistä tulisi siten voida saada lainvoimainen ratkaisu jo esitutkintavaiheessa. Esitutkinta- ja syyttäjäviranomaisten yhteistyövelvollisuus korostuu tilanteissa, joissa on tarve hakea todistajalle anonymiteettiä.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Anonymiteetti ei toimisi tarkoituksensa mukaisesti eli todistajan suojelemiseksi, ellei todistaja saisi mahdollisimman suurta varmuutta ennen kertomuksensa antamista siitä, että hän on anonyymi. Jos anonymiteetin myöntämisen edellytykset ovat olemassa ja todistajan tiedossa, todistajan pitäisi saada päätös anonymiteetistä ennen kertomuksensa antamista. Todistajan kuulustelukertomuksen sisältö ei saisi vaikuttaa asiaan millään tavoin. Muutoin anonymiteetin väärinkäytökset, esimerkiksi todistajan painostaminen anonymiteetin avulla, voisivat olla todennäköisempiä kuin tilanteessa, jossa todistaja saa ensin anonymiteetin. </w:t>
      </w:r>
    </w:p>
    <w:p w:rsidR="0086297B" w:rsidRPr="00D2169E" w:rsidRDefault="0086297B" w:rsidP="00D2169E">
      <w:pPr>
        <w:ind w:left="1304"/>
        <w:rPr>
          <w:rFonts w:ascii="Calibri" w:hAnsi="Calibri"/>
          <w:szCs w:val="24"/>
        </w:rPr>
      </w:pPr>
    </w:p>
    <w:p w:rsidR="0086297B" w:rsidRPr="00202F3A" w:rsidRDefault="0086297B" w:rsidP="00D2169E">
      <w:pPr>
        <w:ind w:left="1304"/>
        <w:rPr>
          <w:rFonts w:ascii="Calibri" w:hAnsi="Calibri"/>
          <w:b/>
          <w:szCs w:val="24"/>
        </w:rPr>
      </w:pPr>
      <w:r w:rsidRPr="00202F3A">
        <w:rPr>
          <w:rFonts w:ascii="Calibri" w:hAnsi="Calibri"/>
          <w:b/>
          <w:szCs w:val="24"/>
        </w:rPr>
        <w:t>Todistajansuojelutarkoitus vai jokin muu tarkoitus</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Vaikka mietinnössä esitetään anonyymin todistelun käyttöönottoa todistajansuojelun nimissä, tekstissä on todettu, että se voisi edistää myös rikosten selvittämistä ja palvella kansainvälisen rikosoikeusavun tarpeita (s. 40). Tällainen maininta voi aiheuttaa väärinkäsityksen anonyymin todistelun käyttötarkoituksesta, sillä anonyymin todistelun käyttöönottaminen ja sen käyttäminen yksittäisissä tapauksissa voisi olla perusteltua yksinomaan siinä tilanteessa, että se on välttämätöntä todistajan suojelemiseksi vakavalta hengen tai terveyden uhalta.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Anonyymi todistelu soveltuisi järjestelmäämme erittäin huonosti ja veisi rikosprosessiamme kehityksessä taaksepäin ja varsin kyseenalaiselle tielle erityisesti silloin, jos sitä voisi käyttää missään muussa kuin todistajansuojelutarkoituksessa. Kyseenalaisten ja oikeusturvan vaarantavien todistelukeinojen lisääminen yleisellä rikosten selvittämisen intressillä ei ole perusteltua.</w:t>
      </w:r>
    </w:p>
    <w:p w:rsidR="0086297B" w:rsidRPr="00D2169E" w:rsidRDefault="0086297B" w:rsidP="00D2169E">
      <w:pPr>
        <w:ind w:left="1304"/>
        <w:rPr>
          <w:rFonts w:ascii="Calibri" w:hAnsi="Calibri"/>
          <w:szCs w:val="24"/>
        </w:rPr>
      </w:pPr>
    </w:p>
    <w:p w:rsidR="0086297B" w:rsidRPr="00202F3A" w:rsidRDefault="0086297B" w:rsidP="00D2169E">
      <w:pPr>
        <w:ind w:left="1304"/>
        <w:rPr>
          <w:rFonts w:ascii="Calibri" w:hAnsi="Calibri"/>
          <w:b/>
          <w:szCs w:val="24"/>
        </w:rPr>
      </w:pPr>
      <w:r w:rsidRPr="00202F3A">
        <w:rPr>
          <w:rFonts w:ascii="Calibri" w:hAnsi="Calibri"/>
          <w:b/>
          <w:szCs w:val="24"/>
        </w:rPr>
        <w:t>Peitepoliisit ja muut todistajat</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Mikäli sisäministeriön edustajan eriävässä mielipiteessä olevien ehdotusten myötäisesti lähdettäisiin siihen, että anonymiteetti voitaisiin myöntää peitepoliisille myös ilman vakavaa uhkaa hengelle tai terveydelle, anonymiteettiä käytettäisiin muussa kuin todistajansuojelutarkoituksessa. Siinä tilanteessa peitetoiminnan jatkamisen eli rikosten selvittämisen intressi punnittaisiin tärkeämmäksi kuin oikeudenmukainen oikeudenkäynti, eikä se olisi perusteltua.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Poliisin peitetoiminnan tarkoituksena ei ole se, että peitepoliisi todistaa myöhemmin oikeudenkäynnissä eikä tällaisen mekanismin säätäminen ole peitetoiminnassa työskentelevien poliisienkaan oikeusturvan mukaista. Peitepoliisin todistelu olisi yleensä joka tapauksessa välillistä ja siten todistusarvoltaan heikkoa. Anonyymin todistelun laajennettu mahdollisuus peitepoliiseille voisi vaikuttaa siten, että peitepoliiseja käytettäisiin useammin todistajina kuin muutoin ja heidän toimintansa voisi fokusoitua tarkoituksensa vastaisesti. Parempien todisteiden hankintaan panostettaisiin ehkä vähemmän, kun tiedettäisiin, että peitepoliisi voi todistaa anonyymisti.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Anonyymin peitepoliisin ja hänen kertomuksensa luotettavuuden testaaminen olisi erityisen hankalaa, koska siinä yhteydessä tulisi salata paitsi peitepoliisin henkilöllisyys myös asianosaisilta salassa pidettävät poliisin taktiset ja tekniset menetelmät. Esitetyn uudistuksen toteuduttua tuomioistuimen ei enää tulisi kysyä todistajalta hänen ammattiansa ja tarve suojata niin peitepoliisin henkilöllisyyttä kuin poliisin teknisiä ja taktisia menetelmiä merkitsisi luultavasti sitä, että tällaista kysymystä ei sallittaisi myöskään puolustukselta, jolloin kukaan ei tietäisi, että todistajana toimiva henkilö ylipäänsä on peitepoliisi.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Vaikka uuden esitutkinta- ja pakkokeinopaketin voimaantultua peitetoiminnasta tulee erityinen ilmoitusvelvollisuus, siihen liittyy poikkeamismahdollisuus esimerkiksi hengen tai terveyden suojaamiseksi. Kokonaisuudesta voisi seurata, että peitepoliisia voitaisiin kuulla anonyymisti tietämättä, että todistaja on peitepoliisi, ja tietämättä, että peitetoimintaa on käytetty. Tämä olisi huomattavasti laajempi oikeudenmukaisen oikeudenkäynnin rajoitus kuin mitä peitepoliisin henkilöllisyyden salaamisesta seuraa tilanteessa, jossa tiedetään, että kuultava on peitepoliisi. Peitepoliisin anonymiteetin puolesta puhuva ratkaisu KKO 2011:27 koskee tilannetta, jossa tiedettiin peitetoimintaa käytetyn ja puolustus sai käyttöönsä peitetoimintaraportin keskeisiltä osin. Henkilön kuuleminen anonyyminä todistajana tietämättä, että hän on peitepoliisi ja että peitetoimintaa on käytetty, erkaantuisi hyvin kauas oikeudenmukaisen oikeudenkäynnin vaatimuksista, ja sellainen mahdollisuus tulisi sulkea pois. Peitetoiminnan tarkoitus ei ole se, että peitepoliisi osallistuu rikoksiin tai että hän seuraa niitä vierestä ja sitten todistaa niistä.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Ylipäänsä on kyseenalaistettava se, että virkamies tai vastaavassa asemassa oleva henkilö, joka käyttää julkista valtaa, voisi todistaa nimettömästi. Kun jatkossa todistajan ei tarvitse enää ilmoittaa ammattiaan, ei nimetöntä todistajaa kuuleva henkilö saisi ehkä tietää, että kyseessä ylipäänsä on virkamies. Ottaen huomioon julkisen vallan käyttöön liittyvä erityinen vastuu ja esimerkiksi salassapitovelvollisuudet sekä toisaalta perus- ja ihmisoikeuksien merkitys julkisen vallan väärinkäytöksien estämisessä, olisi syytä miettiä mitä tarkoittaa oikeusturvan kannalta se, että virkamies tai vastaavassa asemassa oleva henkilö voisi todistaa niin, että ei tiedetä, kuka hän on tai että hän on virkamies. Sama koskee esimerkiksi asianajajaa, lääkäriä, tuomaria, sovittelijaa tai muuta lakiin perustuvan salassapitovelvollisuuden sitomaa henkilöä.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Mahdollisuus kuulla lain nojalla salassapitovelvollista henkilöä anonyyminä todistajana heikentäisi mahdollisuutta kontrolloida lakisääteisen salassapitovelvollisuuden noudattamista. Mikäli todistaja olisi anonyymi, eikä ilmoittaisi ammattiaan henkilöllisyyden suojaamiseksi, hän joutuisi yksin tekemään ratkaisun salassapidon rikkomisesta, eikä tämä ratkaisu välttämättä olisi aina oikea. Asianosaiset tai syytettä käsittelevä tuomari eivät tietäisi, että todistaja kertoo asioita, jotka hänen tulisi lain nojalla pitää salassa, joten hänen saattamisensa vastuuseen salassapidon rikkomisesta tilanteessa, jossa hän olisi arvioinut sen itse virheellisesti, kävisi käytännössä mahdottomaksi. Silloin anonyymi todistelu ei palvelisi niinkään todistajansuojelun tavoitetta, joka on todistajan suojaaminen vakavalta hengen tai terveyden uhalta, vaan se suojaisi todistajaa tämän omalta lainvastaiselta menettelyltä. Tällainen oikeusturvaongelma voisi muodostua todelliseksi sen vuoksi, että anonyymin todistelun mahdollisuus liittyisi sellaisiin rikoksiin, joiden yhteydessä myös salassapitovelvollisuus voi murtua.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Myös esimerkiksi mahdollisuus kuulla rikoskumppania tai asianomistajaa anonyymisti vaikuttaa perustelemattomalta etenkin jos asianosaiset ja tuomioistuin eivät tiedä todistajan em. asemaa. Viittaamme lisäksi ongelmiin liittyen anonyymin todistelun ja syyteneuvottelun yhteensovittamiseen.</w:t>
      </w:r>
    </w:p>
    <w:p w:rsidR="0086297B" w:rsidRPr="00D2169E" w:rsidRDefault="0086297B" w:rsidP="00D2169E">
      <w:pPr>
        <w:ind w:left="1304"/>
        <w:rPr>
          <w:rFonts w:ascii="Calibri" w:hAnsi="Calibri"/>
          <w:szCs w:val="24"/>
        </w:rPr>
      </w:pPr>
    </w:p>
    <w:p w:rsidR="0086297B" w:rsidRPr="00202F3A" w:rsidRDefault="0086297B" w:rsidP="00D2169E">
      <w:pPr>
        <w:ind w:left="1304"/>
        <w:rPr>
          <w:rFonts w:ascii="Calibri" w:hAnsi="Calibri"/>
          <w:b/>
          <w:szCs w:val="24"/>
        </w:rPr>
      </w:pPr>
      <w:r w:rsidRPr="00202F3A">
        <w:rPr>
          <w:rFonts w:ascii="Calibri" w:hAnsi="Calibri"/>
          <w:b/>
          <w:szCs w:val="24"/>
        </w:rPr>
        <w:t>Kansainvälisen rikosoikeusavun tarpeet ja anonymiteetti</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Kansainvälisiä rikosoikeudenkäyntejä ajatellen on todettava, ettei mietintö sisällä pohdintaa siitä, miten anonyymi todistelu soveltuisi tilanteeseen, jossa todistaja on ulkomailla. Millä tavoin esimerkiksi turvattaisiin, että todistajalla on rikosoikeudellinen vastuu perättömästä lausumasta ottaen huomioon rikoslain kansainväliseen soveltamisalaan liittyvät rajoitukset ja RL 15:12? Mietinnössä ei käsitellä kysymystä siitä, missä anonyymin todistajan tulisi olla ns. etäkuulemisen aikana. Hän voisi olla käytännössä missä tahansa.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Vaikka anonyymin todistelun uskottaisiin mietinnön mukaan palvelevan myös kansainvälisen rikosoikeusavun tarpeita ottaen huomioon, että se on käytössä useissa EU-maissa, laki ei edellyttäisi, että anonyymi todistaja on kertomustaan antaessaan EU:n alueella. Vaikka anonyymi todistelu on mahdollista useissa EU-maissa, se voi olla käytössä myös muissa kuin EU-maissa, eivätkä nämä maat ole välttämättä edes Euroopan neuvoston jäsenvaltioita.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Miten turvataan esimerkiksi kidutuksen kiellon vastaisesti saadun todistelun hyödyntämisen kielto tilanteissa, joissa todistelu vastaanotetaan etäyhteyden välityksellä varsinkin valtiosta, jossa yleisesti rikotaan ihmisoikeuksia, on yksi kysymys joka tulisi ratkaista, jos anonyymi todistelu otetaan käyttöön. </w:t>
      </w:r>
    </w:p>
    <w:p w:rsidR="0086297B" w:rsidRPr="00D2169E" w:rsidRDefault="0086297B" w:rsidP="00D2169E">
      <w:pPr>
        <w:ind w:left="1304"/>
        <w:rPr>
          <w:rFonts w:ascii="Calibri" w:hAnsi="Calibri"/>
          <w:szCs w:val="24"/>
        </w:rPr>
      </w:pPr>
    </w:p>
    <w:p w:rsidR="0086297B" w:rsidRDefault="0086297B" w:rsidP="00202F3A">
      <w:pPr>
        <w:rPr>
          <w:rFonts w:ascii="Calibri" w:hAnsi="Calibri"/>
          <w:szCs w:val="24"/>
        </w:rPr>
      </w:pPr>
      <w:r w:rsidRPr="00D2169E">
        <w:rPr>
          <w:rFonts w:ascii="Calibri" w:hAnsi="Calibri"/>
          <w:szCs w:val="24"/>
        </w:rPr>
        <w:t>34 §</w:t>
      </w:r>
    </w:p>
    <w:p w:rsidR="0086297B" w:rsidRPr="00D2169E" w:rsidRDefault="0086297B" w:rsidP="00202F3A">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Asiantuntijatodistelun sitominen erityisiin ammattitietoihin on liian tarkka rajaus. Asiantuntijatodistelun tarvehan voi kohdistua mille tahansa elämän alalla. Näin ollen asiantuntijatietoa voidaan tarvita alueesta, johon ei liity ammatillista osaamista, vaan kyse voi olla vaikka harrastustoimintaan liittyvistä kokemussäännöistä. Tuomioistuin voisi tarpeen vaatiessa joka tapauksessa torjua tarjotun asiantuntijatodistelun lakiehdotuksen 8 §:n perusteella.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Pykälän ensimmäinen momentti voisi siis kuulua yksinkertaisesti: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Näytön arvioinnissa tarvittavista kokemussäännöistä sekä niiden soveltamisesta asiasta ilmenneisiin seikkoihin voidaan kuulla asiantuntijaa.</w:t>
      </w:r>
    </w:p>
    <w:p w:rsidR="0086297B" w:rsidRPr="00D2169E" w:rsidRDefault="0086297B" w:rsidP="00D2169E">
      <w:pPr>
        <w:ind w:left="1304"/>
        <w:rPr>
          <w:rFonts w:ascii="Calibri" w:hAnsi="Calibri"/>
          <w:szCs w:val="24"/>
        </w:rPr>
      </w:pPr>
    </w:p>
    <w:p w:rsidR="0086297B" w:rsidRDefault="0086297B" w:rsidP="00202F3A">
      <w:pPr>
        <w:rPr>
          <w:rFonts w:ascii="Calibri" w:hAnsi="Calibri"/>
          <w:szCs w:val="24"/>
        </w:rPr>
      </w:pPr>
      <w:r w:rsidRPr="00D2169E">
        <w:rPr>
          <w:rFonts w:ascii="Calibri" w:hAnsi="Calibri"/>
          <w:szCs w:val="24"/>
        </w:rPr>
        <w:t>35 §</w:t>
      </w:r>
    </w:p>
    <w:p w:rsidR="0086297B" w:rsidRPr="00D2169E" w:rsidRDefault="0086297B" w:rsidP="00202F3A">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Pykälän ensimmäisessä momentissa asetettu riippumattomuuden vaatimus on tärkeä periaate, mutta saattaa Suomen kokoisessa maassa aiheuttaa vaikeita ongelmatilanteita. Monissa eri asiaryhmissä käytettävissä on käytännössä vain muutamia sellaisia henkilöitä, joilla on tehtävään riittävä asiantuntemus ja jotka ovat valmiita myös toimimaan asiantuntijoina. Lisäksi tällainen asiantuntija todistaa tyypillisesti vain tietyssä asemassa olevan tahon puolesta. Esimerkiksi henkilövahinkoasioissa tietyt henkilöt todistavat lähes poikkeuksetta vakuutusyhtiöiden nimeäminä ja tietyt henkilöt vahinkoa kärsineiden nimeäminä. Tilanne on oletettavasti saman tapainen esimerkiksi rakennusriidoissa, joissa osa asiantuntijoista todistaa urakoitsijoiden nimeäminä ja osa tilaajien nimeäminä.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Puolueettomuusvaatimuksesta voi siis seurata, että monien alojen parhaat asiantuntijat tulevat esteelliseksi todistamaan missään asiassa. Tätä ei voida pitää tavoiteltavana lopputuloksena, joskin paljon riippuu luonnollisesti siitä, kuinka ankarasti vaatimusta käytännössä sovelletaan. Joka tapauksessa puolueettomuusvaatimusta voidaan pitää ainakin jossakin määrin suhteellisuusperiaatteen vastaisena. Tuomioistuinhan voi asiantuntijan lausunnon uskottavuutta arvioidessaan huomioida asiantuntijan sidonnaisuudet. Vapaan näytön arvioinnin johdosta todistajille ei tarvitse asettaa mitään erityistä riippumattomuusvaatimusta.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Asiantuntijan roolin täsmentämiseksi pykälän toisessa momentissa tulisi myös täsmentää asiantuntijan tehtävä ja siihen kohdistuvat odotukset. Samalla lakiehdotuksen 45 §:ssä säädetty asiantuntijan vakuutus saisi konkreettisen merkityssisällön.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Tarkoitus lienee se, että asiantuntija avustaa tuomioistuinta asian ratkaisemisessa antamalla oikean ja kattavan selvityksen niistä oman asiantuntemuksensa piiriin kuuluvista kokemussäännöistä, joilla on merkitystä asian ratkaisemisen kannalta. Lisäksi voitaneen edellyttää, että tehtävää täyttäessään asiantuntijan tulee toimia puolueettomasti ja objektiivisesti.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Aikaisemmasta laista kopioitu pykälä soveltuu huonosti järjestelmään, jossa asianosaiset itse nimeävät asiantuntijansa. Esitetyt kriteerit rehellisyys ja taitavuus eivät ole mitattavissa. Jos asianosainen tekee esimerkiksi väitteen siitä, ettei toisen osapuolen nimeämä asiantuntija ole taitava, joudutaan vaikeaan tilanteeseen. Millaisella menettelyllä ehdotetun asiantuntijan taitotaso selvitetään ja mikä on riittävä taitotaso?</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Erityinen taitovaatimus lienee tarpeeton. Asianosaisethan pyrkivät joka tapauksessa hankkimaan käyttöönsä parhaimman mahdollisen asiantuntemuksen. Samoin kumpikin asianosainen varmasti huolehtii siitä, että mahdolliset aukot vastapuolen käyttämän asiantuntijan osaamisessa tai tämän aiempi epärehellinen menettely saatetaan tuomioistuimen tietoon. Näin tuomioistuin voi huomioida tämän punnitessaan keskenään ristiriitaisia näkemyksiä.</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Asiantuntijatehtävän sisältöä ja asiantuntijan roolia tulisi pohtia tarkemmin jatkovalmistelussa.</w:t>
      </w:r>
    </w:p>
    <w:p w:rsidR="0086297B" w:rsidRDefault="0086297B">
      <w:pPr>
        <w:rPr>
          <w:rFonts w:ascii="Calibri" w:hAnsi="Calibri"/>
          <w:szCs w:val="24"/>
        </w:rPr>
      </w:pPr>
      <w:r>
        <w:rPr>
          <w:rFonts w:ascii="Calibri" w:hAnsi="Calibri"/>
          <w:szCs w:val="24"/>
        </w:rPr>
        <w:br w:type="page"/>
      </w:r>
    </w:p>
    <w:p w:rsidR="0086297B" w:rsidRPr="00D2169E" w:rsidRDefault="0086297B" w:rsidP="00D2169E">
      <w:pPr>
        <w:ind w:left="1304"/>
        <w:rPr>
          <w:rFonts w:ascii="Calibri" w:hAnsi="Calibri"/>
          <w:szCs w:val="24"/>
        </w:rPr>
      </w:pPr>
    </w:p>
    <w:p w:rsidR="0086297B" w:rsidRPr="00D2169E" w:rsidRDefault="0086297B" w:rsidP="00202F3A">
      <w:pPr>
        <w:rPr>
          <w:rFonts w:ascii="Calibri" w:hAnsi="Calibri"/>
          <w:szCs w:val="24"/>
        </w:rPr>
      </w:pPr>
      <w:r w:rsidRPr="00D2169E">
        <w:rPr>
          <w:rFonts w:ascii="Calibri" w:hAnsi="Calibri"/>
          <w:szCs w:val="24"/>
        </w:rPr>
        <w:t>36 §</w:t>
      </w:r>
    </w:p>
    <w:p w:rsidR="0086297B" w:rsidRDefault="0086297B" w:rsidP="00D2169E">
      <w:pPr>
        <w:ind w:left="1304"/>
        <w:rPr>
          <w:rFonts w:ascii="Calibri" w:hAnsi="Calibri"/>
          <w:szCs w:val="24"/>
        </w:rPr>
      </w:pPr>
      <w:r w:rsidRPr="00D2169E">
        <w:rPr>
          <w:rFonts w:ascii="Calibri" w:hAnsi="Calibri"/>
          <w:szCs w:val="24"/>
        </w:rPr>
        <w:t>Pelkkä kirjallisen muodon edellyttäminen asiantuntijalausunnolta ei ole riittävä vaatimus. Asiantuntijan kirjalliselle lausunnolle olisi syytä säätää lisäksi tietty kaava, jolloin tuomioistuimelle esitettävät lausunnot olisivat nykyistä yhteismitallisempia. Esimerkiksi Englannin siviiliprosessilain asiantuntijoita koskevan 35 luvun soveltamisohjeissa säädetään asiantuntijalausunnon kaavasta seuraavasti:</w:t>
      </w:r>
    </w:p>
    <w:p w:rsidR="0086297B" w:rsidRPr="00D2169E" w:rsidRDefault="0086297B" w:rsidP="00D2169E">
      <w:pPr>
        <w:ind w:left="1304"/>
        <w:rPr>
          <w:rFonts w:ascii="Calibri" w:hAnsi="Calibri"/>
          <w:szCs w:val="24"/>
        </w:rPr>
      </w:pPr>
    </w:p>
    <w:p w:rsidR="0086297B" w:rsidRPr="00202F3A" w:rsidRDefault="0086297B" w:rsidP="00202F3A">
      <w:pPr>
        <w:ind w:left="2608"/>
        <w:rPr>
          <w:rFonts w:ascii="Calibri" w:hAnsi="Calibri"/>
          <w:sz w:val="22"/>
          <w:szCs w:val="24"/>
          <w:lang w:val="en-US"/>
        </w:rPr>
      </w:pPr>
      <w:r w:rsidRPr="00202F3A">
        <w:rPr>
          <w:rFonts w:ascii="Calibri" w:hAnsi="Calibri"/>
          <w:sz w:val="22"/>
          <w:szCs w:val="24"/>
          <w:lang w:val="en-US"/>
        </w:rPr>
        <w:t>An expert’s report must: (1) give details of the expert’s qualifications; (2) give details of any literature or other material which has been relied on in making the report; (3) contain a statement setting out the substance of all facts and instructions which are material to the opinions expressed in the report or upon which those opinions are based; (4) make clear which of the facts stated in the report are within the expert’s own knowledge; (5) say who carried out any examination, measurement, test or experiment which the expert has used for the report, give the qualifications of that person, and say whether or not the test or experiment has been carried out under the expert’s supervision; (6) where there is a range of opinion on the matters dealt with in the report – (a) summarise the range of opinions; and (b) give reasons for the expert’s own opinion; (7) contain a summary of the conclusions reached; (8) if the expert is not able to give an opinion without qualification, state the qualification; and (9) contain a statement that the expert – (a) understands their duty to the court, and has complied with that duty; and (b) is aware of the requirements of Part 35, this practice direction and the Protocol for Instruction of</w:t>
      </w:r>
    </w:p>
    <w:p w:rsidR="0086297B" w:rsidRPr="00D2169E" w:rsidRDefault="0086297B" w:rsidP="00D2169E">
      <w:pPr>
        <w:ind w:left="1304"/>
        <w:rPr>
          <w:rFonts w:ascii="Calibri" w:hAnsi="Calibri"/>
          <w:szCs w:val="24"/>
          <w:lang w:val="en-US"/>
        </w:rPr>
      </w:pPr>
    </w:p>
    <w:p w:rsidR="0086297B" w:rsidRDefault="0086297B" w:rsidP="00D2169E">
      <w:pPr>
        <w:ind w:left="1304"/>
        <w:rPr>
          <w:rFonts w:ascii="Calibri" w:hAnsi="Calibri"/>
          <w:szCs w:val="24"/>
        </w:rPr>
      </w:pPr>
      <w:r w:rsidRPr="00D2169E">
        <w:rPr>
          <w:rFonts w:ascii="Calibri" w:hAnsi="Calibri"/>
          <w:szCs w:val="24"/>
        </w:rPr>
        <w:t>Lisäksi asiantuntijalta edellytetään Englannissa seuraavan totuusvakuutuksen sisällyttämistä lausuntoon:</w:t>
      </w:r>
    </w:p>
    <w:p w:rsidR="0086297B" w:rsidRPr="00D2169E" w:rsidRDefault="0086297B" w:rsidP="00D2169E">
      <w:pPr>
        <w:ind w:left="1304"/>
        <w:rPr>
          <w:rFonts w:ascii="Calibri" w:hAnsi="Calibri"/>
          <w:szCs w:val="24"/>
        </w:rPr>
      </w:pPr>
    </w:p>
    <w:p w:rsidR="0086297B" w:rsidRDefault="0086297B" w:rsidP="00202F3A">
      <w:pPr>
        <w:ind w:left="2608"/>
        <w:rPr>
          <w:rFonts w:ascii="Calibri" w:hAnsi="Calibri"/>
          <w:sz w:val="22"/>
          <w:szCs w:val="24"/>
          <w:lang w:val="en-US"/>
        </w:rPr>
      </w:pPr>
      <w:r w:rsidRPr="00202F3A">
        <w:rPr>
          <w:rFonts w:ascii="Calibri" w:hAnsi="Calibri"/>
          <w:sz w:val="22"/>
          <w:szCs w:val="24"/>
          <w:lang w:val="en-US"/>
        </w:rPr>
        <w:t>An expert’s report must be verified by a statement of truth in the following form – I confirm that I have made clear which facts and matters referred to in this report are within my own knowledge and which are not. Those that are within my own knowledge I confirm to be true. The opinions I have expressed represent my true and complete professional opinions on the matters to which they refer.</w:t>
      </w:r>
    </w:p>
    <w:p w:rsidR="0086297B" w:rsidRPr="00202F3A" w:rsidRDefault="0086297B" w:rsidP="00202F3A">
      <w:pPr>
        <w:ind w:left="2608"/>
        <w:rPr>
          <w:rFonts w:ascii="Calibri" w:hAnsi="Calibri"/>
          <w:sz w:val="22"/>
          <w:szCs w:val="24"/>
          <w:lang w:val="en-US"/>
        </w:rPr>
      </w:pPr>
    </w:p>
    <w:p w:rsidR="0086297B" w:rsidRDefault="0086297B" w:rsidP="00D2169E">
      <w:pPr>
        <w:ind w:left="1304"/>
        <w:rPr>
          <w:rFonts w:ascii="Calibri" w:hAnsi="Calibri"/>
          <w:szCs w:val="24"/>
        </w:rPr>
      </w:pPr>
      <w:r w:rsidRPr="00D2169E">
        <w:rPr>
          <w:rFonts w:ascii="Calibri" w:hAnsi="Calibri"/>
          <w:szCs w:val="24"/>
        </w:rPr>
        <w:t>Käytännössä usein asiantuntijalausuntoihin liittyvä ongelma on se, että ne eivät niin sanotusti kohtaa toisiaan. Tämän ongelman poistamiseksi tuomioistuimen tulisi voida määrätä, että asiantuntijoiden on neuvoteltava keskenään sen selvittämiseksi, mistä he ovat yhtä mieltä ja mistä eri mieltä. Näin oikeudenkäynnissä voitaisiin keskittyä pelkästään riitaisten kokemussääntöjen tai riitaisten sovellusten selvittelyyn.</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38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Pykälässä esitetty jako asiakirjoihin ja toisaalta katselmuskohteisiin on vanhahtava. Se, mitä perusteluissa sanotaan katselmuskohteesta, pätee käytännössä aina myös asiakirjatodisteeseen. Asiakirjan informaatiosisältöä ei voida erottaa sen esitystavasta, vaan ne tulevat aina harkittavaksi yhdessä. Tilanne on sama kuin henkilötodistelussa: todistajan kertomuksen sisällön lisäksi merkitystä on myös sillä, miten hän oikeudessa esiintyy. Päällekkäinen terminologia, joka johtaa siihen, että sopimusasiakirjasta puhutaan samaan aikaan sekä asiakirjatodisteena että katselmuskohteena ei tunnu palvelevan mitään tarkoitusta. Asianosaisenhan on joka tapauksessa aina ilmoitettava, mitä hän pyrkii todisteella näyttämään toteen.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Selkeämpää olisikin käyttää sekä asiakirjoista että katselmuskohteista esimerkiksi nimitystä “todistuskappale”. Näin vältyttäisiin tarpeettomalta pohdinnalta siitä, onko tietty todistuskappale asiakirjatodiste vai katselmuskohde vai kenties molempia ja onko sillä jotain merkitystä asian ratkaisemisen kannalta.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Käsitteellä katselmus tulisi jatkossa viitata vain paikan katselmukseen. Tuomioistuimen ulkopuolella tapahtuva paikan katselmus on siinä määrin tuomioistuimessa tapahtuvasta todistuskappaleiden arvioinnista eroava tapahtuma, että myös terminologinen ero on perusteltu.</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39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Asianajajaliitto pitää uudistusta erittäin tarpeellisena. Asian jatkovalmistelussa tulisi kuitenkin vielä paremmin huomioida ne tilanteet, joissa alkuperäistä asiakirjaa ei ole enää olemassa, vaan siitä on ainoastaan esimerkiksi sähköisessä muodossa oleva kuvajäljennös. Ylipäätään alkuperäisen asiakirjan käsite saattaa muodostua ongelmalliseksi ainoastaan sähköisessä muodossa olevan aineiston osalta.</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40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Tämän pykälän mukainen esittämisvelvollisuuden täyttyminen on muotoiltu lakiehdotuksessa (kuten voimassa olevassa laissa) huomattavan helposti täyttyväksi (”voi olla merkitystä näyttönä asiassa”). Sanamuodon mukainen tulkinta johtaisi esimerkiksi asiakirjan editiovelvollisuuden ollessa kyseessä siihen, että editiota koskeva vaatimus tulisi lähes aina hyväksytyksi. Asiakirjallahan voi olla merkitystä näyttönä asiassa lähes aina, paitsi kun vaatimus on ilmeisen perusteeton. Tämä taas mahdollistaisi prosessin osapuolten suorittaman laajan tietokalastelun vastapuolensa asiakirjoista, mitä suomalaisessa oikeuskulttuurissa ei tulisi hyväksyä. Lakiehdotusta olisi muutettava siten, että määräys voidaan antaa tilanteissa, joissa asiakirjalla ”perustellusti voi olla merkitystä” tai ”todennäköisesti voi olla merkitystä”. Ensimmäinen vaihtoehto edellyttäisi vaatimuksen esittäjän esittävän asianmukaiset ja hyväksyttävät perustelut vaatimukselleen ja jälkimmäinen vaihtoehto taas velvoittaisi esittämään todennäköisyysnäytön. Lakiehdotuksen muuttaminen tällä tavoin vastaisi myös tällä hetkellä pitkälti voimassa olevaa käytäntöä.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Pykälä on muotoiltu ongelmalliseksi myös liikesalaisuuksia sisältävän asiakirjan (tai esineen) ollessa kyseessä. Ensin on 1 momentissa editiota koskeva pääsääntö, poikkeussääntö puuttuu tästä (kieltäytyminen liikesalaisuusperusteella) ja tämän jälkeen on 2 momentissa poikkeuksen poikkeus eli millä perusteella asiakirja on esitettävä ja katselmuksen toimittaminen sallittava, vaikka siinä olisi esim. liikesalaisuustietoja.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Jos lukija tämän jälkeen katsoo luvun alakohdan ”Velvollisuus tai oikeus kieltäytyä todistamasta”, havaitsee tämä, että 19 §:n mukaan liike- ja ammattisalaisuudesta saa kieltäytyä todistamasta, jollei ole ko. kohdassa mainittuja erittäin tärkeitä syitä. Tämä kuitenkin viittaa sanamuodon mukaisesti vain todistamiseen, eikä asiakirjan tai esineen esittämisvelvollisuuteen tai katselmuksen toimittamiseen.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Tämän lisäksi lakia tulkitsevan pitäisi ymmärtää lukea luvun alussa olevat yleiset säännökset, joiden 9 § 2 momentissa on todettu, että ”Oikeus tai velvollisuus kieltäytyä todistamasta koskee… lisäksi… esineen ja asiakirjan luovuttamista todisteena käytettäväksi sekä katselmuksen toimittamisen sallimista.” Tällöin vasta selviää, että 40 § mainitusta editiosta voi kieltäytyä 19 §:n mukaisella todistamista koskevalla liikesalaisuuspoikkeuksella, koska tämä 9 § 2 momentin mukaan koskee myös editiota.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Vaikka luvussa on nimenomaan pyritty rakenteen osalta johdonmukaisuuteen, on esitystapa sekava ja tulkinnanvarainen. Ellei lukija tunne koko 17 luvun uutta systematiikkaa ja ole lukenut sekä alun yleisiä säännöksiä että oikeutta tai velvollisuutta kieltäytyä todistamasta, ei tälle selviä, että editiosta voi kieltäytyä liikesalaisuusperusteella. Lakiehdotusta tulisi muuttaa siten, että siinä viitataan nimenomaisesti 19 §:n mukaiseen oikeuteen kieltäytyä editiosta liikesalaisuusperusteella.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Pykälän 3 momentin mukaan ennen editiomääräyksen antamista asianomaiselle henkilölle on varattava tilaisuus tulla kuulluksi. Yksityiskohtaisten perusteluiden mukaan (s. 136) ”asianomaisella henkilöllä tarkoitetaan sitä, jolla on asiakirja tai tuomioistuimeen tuotava esine hallussaan, sekä sitä, joka hallitsee kiinteistöä tai paikkaa tai muuten määrää katselmuksen kohteesta.”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Tämä kuulemisvelvollisuus on kuitenkin perusteettoman suppea. Ensinnäkin tuomioistuimen tulisi kuulla prosessin osapuolia ennen editiomääräyksen antamista. Näin säännönmukaisesti tapahtuukin, koska editio yleensä kohdistuu nimenomaan prosessin toiseen osapuoleen. On kuitenkin perusteltua, että prosessin osapuolia kuultaisiin aina ennen editiota koskevan ratkaisun antamista. Heillä saattaa olla merkittävä ja perusteltu syy joko kannattaa tai vastustaa editiota ja esittää tätä tukevia perusteluita.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Lisäksi perustelulausuman maininta edition osalta, että kuultava taho on vain asiakirjan hallussapitäjä, on liian rajoittava tilanteissa, joissa asiakirja saattaa sisältää liikesalaisuuksia. Kun editiota koskeva asiakirja sisältää vain ja ainoastaan asiakirjaa hallussapitävän tahon liikesalaisuuksia, on perusteltua kuulla (prosessin osapuolten lisäksi) vain tällaista tahoa. Mikäli asiakirja sen sijaan sisältää hallussapitäjän ulkopuolisen tahon liikesalaisuuksia, edellyttää liikesalaisuuksien asianmukainen suojaaminen sitä, että myös tällaista ulkopuolista tahoa kuullaan. Esimerkiksi sopimus saattaa olla yhtiön hallussa, jolla ei ole siihen salassapitointressiä, mutta sopimuksen muilla osapuolilla voi olla merkittävä intressi pitää sopimus salassa. Tällöin olisi perusteltua, että tuomioistuin kuulisi myös tällaista ulkopuolista tahoa eli liikesalaisuuden ”oikeaa haltijaa”. Yleensä myös prosessin osapuolet voivat antaa arvokasta tietoa tällaisen ulkopuolisen tahon salassapitointressistä, mikä osaltaan puoltaa aina prosessin osapuolten kuulemista.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Lisäksi voimassaolevan lain 17:12 mukaan editiovelvollisuus voidaan kohdistaa vain asiakirjan hallussapitäjään, mutta vastaava maininta puuttuu lakiehdotuksesta, vaikka säännös yksityiskohtaisten perusteluiden mukaan (s. 135) vastaa asiallisesti voimassa olevaa oikeutta. Usein on kuitenkin käsillä tilanne, että osapuolella ei ole konkreettisesti asiakirjaa hallussaan (vaikka tämä voisi hankkia sen haltuunsa) ja tällöin editiota ei voi määrätä. Lakiehdotusta tulisi siten muuttaa nykytilannetta vastaavaksi, että editio voidaan kohdistaa vain asiakirjan hallussapitäjään. Muutoin voitaisiin joutua hankaliin rajanvetotilanteisiin siitä, mitä toimenpiteitä osapuolen on tehtävä asiakirjan hankkimiseksi. Tätä voidaan toki lieventää siten, että editiovelvollisuuden kohteen katsotaan olevan sen hallussapitäjä, vaikka asiakirja on osapuolen palveluntarjoajan hallussa (kuten ulkoistettu tietohallinto, kirjanpitäjä tms.).</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Editiota koskeneissa tilanteissa on ollut myös hankalia rajanvetokysymyksiä siihen liittyen, miten editio voidaan kohdistaa sähköiseen aineistoon. Käytännössä varsinkin yritysten asiakirja-aineisto on nykyään hyvin laajalti vain sähköisessä muodossa. Lakiehdotus tai sen perusteluosuus ei ota kuitenkaan kantaa tähän asiaan. Lakiehdotusta tulisi muuttaa siten, että editio voidaan kohdistaa myös sellaiseen asiakirjaan, joka on helposti tulostettavissa edition kohteena olevan tahon tietojärjestelmästä.</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45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Asiantuntijan vakuutuksessa viitataan asiantuntijalle annettuun tehtävään, jota ei ole kuitenkaan sen tarkemmin määritelty. Jotta vakuutus saa mielekkään sisällön, tämä tehtävä tulisi määritellä.</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48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Ehdotettu säännös suullisen todistelun vastaanottamisesta ja pääkuulustelun/vastakuulustelun suorittamisjärjestyksestä on tervetullut ja se mitä ilmeisimmin selkeyttää erityisesti rikosprosessissa tapahtuvaa asianosaisen kuulemista. Nykyisin kuulemiskäytännöt vaihtelevat tuomioistuimittain (ja myös tuomioistuimien sisällä) ja varsinkin pääkuulustelusta vastakuulusteluun siirtymisessä on epäselvyyttä. </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49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Todistajankuulemisen sääntelyssä on valittu se säädöstekninen ratkaisu, että asianosaisten kuulustelu todistelutarkoituksessa muodostaa ns. perustapauksen ja todistajankuulemisen osalta ainoastaan viitataan tällaista kuulustelua koskeviin sääntöihin. Tosiasiassa tilanne on päinvastainen: asianosaisen kuulustelu todistelutarkoituksessa on todistajankuulemisen poikkeustapaus. Sääntelyn havainnollisuus paranisi, jos sääntelytekniikka vastaisi asioiden todellista tilaa.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Todistajankuulusteluun on tarkoitettu sovellettavan 48 §:n 6 momenttia, jonka mukaan johdattelevien kysymysten esittäminen sekä kuultavan aiemmin esittämään kertomukseen vetoaminen on kiellettyä. Todistajankuulustelussa tästä lähtökohdasta tulisi voida tehdä poikkeuksia.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Toisinaan asianosainen joutuu nimeämään todistajaksi vastapuoleen läheisesti liittyvän tahon, kuten vastapuolen ystävän tai esimerkiksi vastaajayrityksen työntekijän, tai muuten vastentahtoisen todistajan. Tällaisissa tilanteissa todistajaksi kutsuttu on usein haluton kertomaan asioista oma-aloitteisesti. Todistelun turvaamiseksi tässä tilanteessa olisi perusteltua sallia johdattelevien kysymysten esittäminen sekä aikaisemmin esitettyyn kertomukseen viittaaminen.</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52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Mietinnössä esitetään laajennettavaksi videoneuvotteluna ja puhelimitse tai muun teknisen yhteyden välityksellä tapahtuvaa kuulemista käräjäoikeudessa siten, että laki ei turvaisi rikosasian vastaajan oikeutta olla läsnä asiansa käsittelyssä tuomioistuimessa. Vastaajan oikeutta osallistua rikosasian pääkäsittelyyn ei ole nimenomaisesti käsitelty mietinnön perusteluissa, mutta esitetyt säännökset näyttäisivät johtavan oikeustilaan, jossa laki ei takaa vastaajalle oikeutta olla henkilökohtaisesti läsnä käräjäoikeuden pääkäsittelyssä, eikä muussakaan rikosoikeudenkäynnin vaiheessa.  Mietinnössä ei ole mainittu rikosasian vastaajan oikeutta osallistua henkilökohtaisesti läsnä ollen pääkäsittelyyn, eikä mainittu tai perusteltu tämän oikeuden rajoittamista. Oikeustilan muutos, johon mietinnön mukainen lainmuutos tältä osin johtaisi, on päätelty ehdotettujen säännösten sanamuodosta.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Säännös, jonka nojalla henkilön kuuleminen video-, puhelin- tai muuta teknistä tiedonvälitystapaa käyttäen on voimassaolevan lain mukaan mahdollista, on OK 17:34a. Mainitun säännöksen säätämisen taustalla olivat ennen kaikkea todistajansuojeluun liittyvät näkökohdat (HE 190/2002, SK 360/2003). Säännös sallii tietyin edellytyksin todistajan, muun todistelutarkoituksessa kuultavan henkilön tai asianomistajan kuulemisen pääkäsittelyssä hänen henkilökohtaisesti läsnä olematta käyttäen videoneuvottelua tai muuta soveltuvaa teknistä tiedonvälitystapaa.  </w:t>
      </w:r>
    </w:p>
    <w:p w:rsidR="0086297B" w:rsidRPr="00D2169E" w:rsidRDefault="0086297B" w:rsidP="00D2169E">
      <w:pPr>
        <w:ind w:left="1304"/>
        <w:rPr>
          <w:rFonts w:ascii="Calibri" w:hAnsi="Calibri"/>
          <w:szCs w:val="24"/>
        </w:rPr>
      </w:pPr>
    </w:p>
    <w:p w:rsidR="0086297B" w:rsidRDefault="0086297B" w:rsidP="004F6110">
      <w:pPr>
        <w:ind w:left="2608"/>
        <w:rPr>
          <w:rFonts w:ascii="Calibri" w:hAnsi="Calibri"/>
          <w:szCs w:val="24"/>
        </w:rPr>
      </w:pPr>
      <w:r w:rsidRPr="004F6110">
        <w:rPr>
          <w:rFonts w:ascii="Calibri" w:hAnsi="Calibri"/>
          <w:sz w:val="22"/>
          <w:szCs w:val="24"/>
        </w:rPr>
        <w:t>Edellytykset video- ja puhelinkuulemiselle ovat erilaiset. Todistajan tai muun säännöksessä tarkoitetun henkilön kuuleminen videoyhteyden välityksellä on sallittu muun ohella kyseisen kuultavan suojaamiseksi henkeen tai terveyteen kohdistuvalta uhalta. Vastaavan uhan vuoksi sen sijaan puhelinkuuleminen ei ole mahdollista vaan voimassaoleva laki edellyttää, että ns. pelkäävän todistajan kuuleminen tapahtuu vähintään videolinkin tai vastaavan yhteyden välityksellä. Puhelinkuulemisen edellytykset ovat rajoitetummat, koska etäkuuleminen heikentää oikeudenkäynnin välittömyyttä, ja puhelinkuulemista käytettäessä välittömyys kärsii vielä enemmän kuin kuultaessa henkilöä videolinkin kautta (HE 190/2002).</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Voimassaolevan OK 17:34a:n henkilöpiiri ei kata rikosasian vastaajaa. Säännöksessä mainittu ”muu todistelutarkoituksessa kuultava henkilö” on nykyisen oikeusjärjestyksemme tuntema ns. muu kuultava, joka ei ole asianosainen eikä näin olleen kyseisen rikosasian vastaaja. Muu kuultava on henkilö, joka on esteellinen todistajaksi. Muu kuultava voi siten esimerkiksi olla asianosaisen lähisukulainen tai vastaajan rikoskumppani, jota kuullaan todistelutarkoituksessa. (Ks. mietinnön kohta 3.2.6 muun kuultavan käsitteestä ym. tarkemmin).</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Koska nykyinen OK 17:34a ei henkilöpiirinsä puolesta kata rikosasian vastaajaa, eikä asiasta ole muuallakaan säädetty, rikosasian vastaajan kuulemiselle käräjäoikeuden pääkäsittelyssä videoneuvottelun tai muun teknisen tiedonvälitystavan tai puhelimen välityksellä ei ole voimassaolevan lain tukea. Hovioikeuden pääkäsittelyssä etäkuuleminen on mahdollista OK 26:24a:n nojalla.</w:t>
      </w:r>
    </w:p>
    <w:p w:rsidR="0086297B" w:rsidRPr="00D2169E" w:rsidRDefault="0086297B" w:rsidP="00D2169E">
      <w:pPr>
        <w:ind w:left="1304"/>
        <w:rPr>
          <w:rFonts w:ascii="Calibri" w:hAnsi="Calibri"/>
          <w:szCs w:val="24"/>
        </w:rPr>
      </w:pPr>
    </w:p>
    <w:p w:rsidR="0086297B" w:rsidRPr="004F6110" w:rsidRDefault="0086297B" w:rsidP="004F6110">
      <w:pPr>
        <w:ind w:left="2608"/>
        <w:rPr>
          <w:rFonts w:ascii="Calibri" w:hAnsi="Calibri"/>
          <w:sz w:val="22"/>
          <w:szCs w:val="24"/>
        </w:rPr>
      </w:pPr>
      <w:r w:rsidRPr="004F6110">
        <w:rPr>
          <w:rFonts w:ascii="Calibri" w:hAnsi="Calibri"/>
          <w:sz w:val="22"/>
          <w:szCs w:val="24"/>
        </w:rPr>
        <w:t xml:space="preserve">Vangitsemisasioissa säädettiin mahdollisuudesta kuulla epäiltyä video- tai vastaavan etäyhteyden välityksellä vuonna 2006, samoin syytteen määräajan pidentämiskäsittelyssä (PKL 1:15, 1:21 ja 1:22, SK 246/2006).  Sääntelyä perusteltiin ennen muuta kustannussäästöillä ja turvallisuuden lisääntymisellä (HE 271/2004). Vangittavaksi vaaditun kuuleminen pelkän puhelinyhteyden välityksellä sen sijaan ei tullut mahdolliseksi. Samaan aikaan säädettiin rikosasioiden valmistelusta teknisen puheyhteyden välityksellä (ROL 5:10a, 7:14a, SK 246/2006).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Mietinnössä esitetään luovuttavaksi muun kuultavan käsitteestä. Esityksessä kuultavat jaetaan asianosaisiin, todistajiin ja asiantuntijoihin. Muiden kuultavien eli esteellisten todistajien kategoriasta erillisenä kuultavien ryhmänä on nyt tarkoitus luopua ja heitä kuultaisiin jatkossa todistajina.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Nykyinen OK 17:34a esitetään korvattavaksi uudella OK 17:52:lla. Uuden OK 17:52:n henkilöpiiri kattaisi todistelutarkoituksessa kuultavan asianosaisen, todistajan ja asiantuntijan eli kaikki kuultavien kategoriat, mukaan lukien rikosasian vastaajan. Lakiin tulisi siis mahdollisuus tietyin edellytyksin kuulla myös rikosasian vastaajaa pääkäsittelyssä hänen henkilökohtaisesti läsnä olematta käyttäen video- tai vastaavaa yhteyttä, jossa istuntoon osallistuvilla on puhe- ja näköyhteys keskenään. Edellytykset olisivat pääpiirteissään samat kuin nykyään todistajalla ja muilla henkilöillä, joiden videokuuleminen nykyisen OK 17:34a:n mukaisesti on mahdollista. Myös vastaajan puhelinkuuleminen pääkäsittelyssä tulisi mahdolliseksi, joskin rajoitetummin.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Video- ja vastaavan etäyhteyden käyttämisen edellytykset pääkäsittelyssä madaltuisivat myös muutoin. Voimassaolevan lain (OK 17:34a) mukaan todistajan, muun kuultavan ja asianomistajan videokuuleminen on mahdollista muun ohella, jos tuomioistuin harkitsee tämän soveliaaksi ja kuultavan henkilökohtaisesta saapumisesta pääkäsittelyyn aiheutuu todisteen merkitykseen verrattuna kohtuuttomia kustannuksia tai kohtuutonta haittaa. Uuden OK 17:52 myötä ei enää edellytettäisi kustannusten tai haitan kohtuuttomuutta vaan riittävää olisi, jos kustannukset tai haitta olisivat huomattavia. Mietinnön mukaisen esityksen toteutuessa tuomioistuin voisi näin ollen päättää rikosasian vastaajan kuulemisesta video- tai puhelinyhteyden välityksellä pääkäsittelyssä, muun ohella, silloin, jos tuomioistuin harkitsisi tämän soveliaaksi ja kuultavan henkilökohtaisesta saapumisesta pääkäsittelyyn aiheutuisi todisteen merkitykseen verrattuna huomattavia kustannuksia tai huomattavaa haittaa. Muita edellytyksiä rikosasian vastaajan kuulemiselle mainitun yhteyden välityksellä ei asetettaisi.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Myöskään ROL:n säännökset eivät takaisi vastaajalle oikeutta osallistua rikosasian pääkäsittelyyn. ROL:a esitetään mietinnössä muutettavaksi siten, että ”asianomistajan osallistuminen pääkäsittelyyn voidaan toteuttaa asianosaisen tai muun henkilön läsnä olematta taikka käyttäen videoneuvottelua tai muuta soveltuvaa teknistä tiedonvälitystapaa noudattaen soveltuvin osin, mitä oikeudenkäymiskaaren 17 luvun 51 tai 52 §:ssä säädetään” (esitetty uusi ROL 6:7.2). Edellä mainittu säännös viittaisi siis suoraan OK 17:52:ään, joka olisi video- ja muun teknisen yhteyden välityksellä tapahtuvaa kuulemista koskeva perussäännös.</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Ottaen huomioon edellä selostetut säännökset laki ei turvaisi rikosasian vastaajalle oikeutta tulla henkilökohtaisesti läsnä ollen kuulluksi missään rikosoikeudenkäynnin vaiheessa, esitutkinnasta hovioikeuden pääkäsittelyyn.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Asianajajaliitto katsoo, että rikosasian vastaajan oikeus osallistua ja olla henkilökohtaisesti läsnä käräjäoikeuden pääkäsittelyssä tulee turvata lailla. Vastaajan oikeus tulla henkilökohtaisesti läsnä ollen kuulluksi ja osallistua häntä koskevan asian käsittelyyn tuomioistuimessa on osa oikeudenmukaiseen oikeudenkäynnin vaatimuksia (KP-sopimus 14(3)(d); PL 21 ja 22 §, EIS 6(3)c)), joista poikkeaminen on sallittua vain tiettyjen edellytysten vallitessa. Poikkeaminen edellyttää mm., että siitä on säädetty lailla riittävän tarkkarajaisesti, että se on välttämätöntä tietynlaisen hyväksyttävän intressin suojaamiseksi ja oikeassa suhteessa tavoiteltuun päämäärään.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Mietinnöstä ei käy ilmi seikkoja, joiden vuoksi vastaajan mainittua oikeutta olisi välttämätöntä tai tarpeen rajoittaa siinä laajuudessa kuin mihin esitetyt lainmuutokset johtaisivat.  Mietinnössä ei ole pohdittu, millä tavoin vastaajan puolustusoikeudet voidaan käytännössä toteuttaa, mikäli hänen ei sallita osallistua pääkäsittelyyn henkilökohtaisesti.</w:t>
      </w:r>
    </w:p>
    <w:p w:rsidR="0086297B" w:rsidRPr="00D2169E" w:rsidRDefault="0086297B" w:rsidP="00D2169E">
      <w:pPr>
        <w:ind w:left="1304"/>
        <w:rPr>
          <w:rFonts w:ascii="Calibri" w:hAnsi="Calibri"/>
          <w:szCs w:val="24"/>
        </w:rPr>
      </w:pPr>
    </w:p>
    <w:p w:rsidR="0086297B" w:rsidRPr="004F6110" w:rsidRDefault="0086297B" w:rsidP="004F6110">
      <w:pPr>
        <w:ind w:left="2608"/>
        <w:rPr>
          <w:rFonts w:ascii="Calibri" w:hAnsi="Calibri"/>
          <w:sz w:val="22"/>
          <w:szCs w:val="24"/>
        </w:rPr>
      </w:pPr>
      <w:r w:rsidRPr="004F6110">
        <w:rPr>
          <w:rFonts w:ascii="Calibri" w:hAnsi="Calibri"/>
          <w:sz w:val="22"/>
          <w:szCs w:val="24"/>
        </w:rPr>
        <w:t xml:space="preserve">EIT on esim. ratkaisussaan Sakhanovskiy v. Venäjä (suuri jaosto, 2.11.2010) kiinnittänyt huomiota videokuulemisessa puolustusoikeuksien toteutumiseen. </w:t>
      </w:r>
    </w:p>
    <w:p w:rsidR="0086297B" w:rsidRDefault="0086297B" w:rsidP="00D2169E">
      <w:pPr>
        <w:ind w:left="1304"/>
        <w:rPr>
          <w:rFonts w:ascii="Calibri" w:hAnsi="Calibri"/>
          <w:szCs w:val="24"/>
        </w:rPr>
      </w:pPr>
    </w:p>
    <w:p w:rsidR="0086297B" w:rsidRPr="004F6110" w:rsidRDefault="0086297B" w:rsidP="00D2169E">
      <w:pPr>
        <w:ind w:left="1304"/>
        <w:rPr>
          <w:rFonts w:ascii="Calibri" w:hAnsi="Calibri"/>
          <w:b/>
          <w:szCs w:val="24"/>
        </w:rPr>
      </w:pPr>
      <w:r w:rsidRPr="004F6110">
        <w:rPr>
          <w:rFonts w:ascii="Calibri" w:hAnsi="Calibri"/>
          <w:b/>
          <w:szCs w:val="24"/>
        </w:rPr>
        <w:t>Kansainväliset rikosoikeudenkäynnit</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Arvioitaessa video- ja puhelinkuulemisen soveltumista rikosoikeudenkäynnin pääkäsittelyyn, tulisi kiinnittää erityistä huomiota kansainväliseen rikosoikeudenkäyntiin, jossa vastaaja on toisessa valtiossa. Sellaisessa tilanteessa vastaajan kuuleminen video-, puhelin- tai muun etäyhteyden välityksellä edellyttäisi rikosoikeusapupyyntöä toiselta valtiolta. Rikosoikeusapuna toteutettavaan etäkuulemiseen liittyisi kansallisen tuomioistuimemme velvollisuus valvoa, että Suomessa käytävässä oikeudenkäynnissä noudatetaan perus- ja ihmisoikeuksia.</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Oikeudellisesti johtoa näihin tilanteisiin voidaan hakea kansainvälisten sotarikostuomioistuimien käytännöstä. Esimerkiksi entisen Jugoslavian kansainvälisessä sotarikostuomioistuimessa vastaajan kuulemiseen videolinkin välityksellä suhtaudutaan suurella varauksella johtuen osaltaan KP-sopimuksen 14(3)(d) –artiklan määräyksestä, joka edellyttää nimenomaisesti, että vastaajalla on oikeus olla läsnä häntä koskevan rikosasian käsittelyssä tuomioistuimessa.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Erityisen ongelmallisena on pidettävä esimerkiksi sellaista tilannetta, jossa halutaan kuulla toisessa valtiossa olevaa vapautensa menettänyttä rikosasian vastaajaa video- tai muun teknisen tiedonvälitysyhteyden avulla saati puhelimitse. Näin on etenkin, jos vastaaja on sellaisessa valtiossa, jossa vankilaolosuhteet ovat huonot ja loukkaavat enemmän tai vähemmän järjestelmällisesti Euroopan ihmisoikeussopimuksen 3 artiklan kieltoa epäinhimillisestä ja halventavasta kohtelusta. </w:t>
      </w:r>
    </w:p>
    <w:p w:rsidR="0086297B" w:rsidRPr="00D2169E" w:rsidRDefault="0086297B" w:rsidP="00D2169E">
      <w:pPr>
        <w:ind w:left="1304"/>
        <w:rPr>
          <w:rFonts w:ascii="Calibri" w:hAnsi="Calibri"/>
          <w:szCs w:val="24"/>
        </w:rPr>
      </w:pPr>
    </w:p>
    <w:p w:rsidR="0086297B" w:rsidRPr="004F6110" w:rsidRDefault="0086297B" w:rsidP="004F6110">
      <w:pPr>
        <w:ind w:left="2608"/>
        <w:rPr>
          <w:rFonts w:ascii="Calibri" w:hAnsi="Calibri"/>
          <w:sz w:val="22"/>
          <w:szCs w:val="24"/>
        </w:rPr>
      </w:pPr>
      <w:r w:rsidRPr="004F6110">
        <w:rPr>
          <w:rFonts w:ascii="Calibri" w:hAnsi="Calibri"/>
          <w:sz w:val="22"/>
          <w:szCs w:val="24"/>
        </w:rPr>
        <w:t xml:space="preserve">Euroopan ihmisoikeustuomioistuin on antanut esimerkiksi Venäjää vastaan lukuisia vankilaolosuhteisiin liittyviä tuomioita, joissa todetaan 3 artiklaa rikotun. Suomen kannalta tämä ei suinkaan ole merkityksetöntä ottaen huomioon, että paine kuulla etäyhteyden välityksellä Venäjällä olevia vastaajia olisi meillä todennäköisesti merkittävä. Miten sitten tulisi arvioida esimerkiksi ulkomaisesta vankilasta käsin video- tai puhelinyhteyden välityksellä annettua tunnustusta? Ehkä vielä tulkin välityksellä?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Video- ja vastaavan teknisen yhteyden saati puhelimen välityksellä tapahtuvassa kuulemisessa tuomioistuin ei voi valvoa esimerkiksi kidutuksella tai muulla epäinhimillisellä tai halventavalla kohtelulla saadun todisteen hyödyntämiskieltoa. Tuomioistuimella ei ole siihen keinoja varsinkaan, jos vastaaja on toisessa valtiossa. Tästä syystä puolustuksen merkitys korostuu entisestään. Puolustuksella tulee olla pääsy sinne, missä vastaaja on.  Asianmukaisen puolustuksen järjestäminen tällaisessa tilanteessa on haastavaa. Puolustajalla pitäisi olla mahdollisuus tehdä havaintoja sekä pääkäsittelyssä tuomioistuimessa että olla päämiehensä kanssa voidakseen puolustaa häntä. Käytännössä asianmukaisen puolustuksen järjestäminen edellyttäisi tämän vuoksi sitä, että vastaajalla on Suomessa puolustaja, jolla puolestaan on ns. kirjeenvaihtoasiamies siinä toisessa valtiossa, jossa vastaaja on. Tätä edellyttäisi myös oikeudenkäynnin kansainvälinen luonne.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Tulisi myös lähteä siitä, että vastaajan kuuleminen etäyhteyden välityksellä toteutetaan tuomioistuimessa. Vastaajan puhelinkuulemisen sallimiseen tulisi suhtautua suurella varauksella. Samoin tulisi suhtautua vapautensa menettäneen vastaajan etäkuulemiseen ylipäänsä. Mitä vakavammasta rikoksesta on kyse, sitä korkeampi kynnys tulisi etäkuulemisella olla. Ilman vastaajan aitoa suostumusta ei etäkuulemista tulisi sallia. Mikäli tuomioistuin ei voisi olla varma vastaajan olosuhteiden asianmukaisuudesta, ei kuulemiseen tulisi ryhtyä.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Edellä mainitut asiat ovat esimerkkejä seikoista, joita tulisi pohtia harkittaessa mahdollisesti lainsäädännön muuttamista siten, että vastaajan etäkuuleminen rikosasian pääkäsittelyssä tulisi mahdolliseksi.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Suomi valmistelee parhaillaan Euroopan neuvoston rikosoikeusapuyleissopimuksen 2. lisäpöytäkirjan (ETS 182) ratifiointia. Pöytäkirja koskee mm. video- ja puhelinkuulemista kansainvälisenä rikosoikeusapuna ja vastaajan osalta vain videokuulemista. Useat pöytäkirjan ratifioineet valtiot ovat tehneet rikosasian vastaajan videokuulemiseen liittyvän varauman eivätkä salli sitä lainkaan kansainvälisissä oikeudenkäynneissä. </w:t>
      </w:r>
    </w:p>
    <w:p w:rsidR="0086297B" w:rsidRPr="00D2169E" w:rsidRDefault="0086297B" w:rsidP="00D2169E">
      <w:pPr>
        <w:ind w:left="1304"/>
        <w:rPr>
          <w:rFonts w:ascii="Calibri" w:hAnsi="Calibri"/>
          <w:szCs w:val="24"/>
        </w:rPr>
      </w:pPr>
    </w:p>
    <w:p w:rsidR="0086297B" w:rsidRPr="004F6110" w:rsidRDefault="0086297B" w:rsidP="004F6110">
      <w:pPr>
        <w:ind w:left="2608"/>
        <w:rPr>
          <w:rFonts w:ascii="Calibri" w:hAnsi="Calibri"/>
          <w:sz w:val="22"/>
          <w:szCs w:val="24"/>
        </w:rPr>
      </w:pPr>
      <w:r w:rsidRPr="004F6110">
        <w:rPr>
          <w:rFonts w:ascii="Calibri" w:hAnsi="Calibri"/>
          <w:sz w:val="22"/>
          <w:szCs w:val="24"/>
        </w:rPr>
        <w:t xml:space="preserve">Asiaa koskevassa mietinnössä (OMML 73/2012) ei esitetä, että Suomi tekisi varauman. Sen sijaan mietinnössä esitetään kansainvälisestä rikosoikeusavusta annetun lain muuttamista siten, että rikosoikeusapua voidaan meillä myöntää video- ja puhelinkuulemisena, mutta vastaajan osalta tämä edellyttää hänen suostumustaan, minkä lisäksi vastaajalla on oikeus saada pyynnöstään puolustaja videokuulemista varten. Olisi luontevaa, että Suomi noudattaisi vähintään samoja puolustusoikeuksia koskevia kriteerejä pyytäessään itse rikosoikeusapuna ulkomailla olevan vastaajan kuulemista etäyhteyden välityksellä, mikäli toisessa valtiossa olevan rikosasian vastaajan video- ja/tai puhelinkuulemista voidaan ylipäänsä pitää soveliaana.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Asianajajaliitto katsoo, että rikosasian vastaajalla tulee olla oikeus henkilökohtaisesti osallistua häntä koskevan asian pääkäsittelyyn riippumatta siitä, onko hän Suomessa vai ulkomailla. Ei ole perusteltua kohdella eri tavoin eri maissa olevia vastaajia ja on syytä varoa sellaista sääntelyä, joka voi käytännössä johtaa ulkomaisten vastaajien syrjivään kohteluun esimerkiksi pyrittäessä kustannussäästöihin.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Rikosasian vastaajan etäkuulemiseen liittyvä mahdollinen uusi sääntely vaatii tarkempaa pohdintaa sekä avointa oikeuspoliittista keskustelua. Tämä mahdollinen uusi sääntely ei saa evätä vastaajan oikeutta osallistua oman asiansa pääkäsittelyyn ja mahdollisuutta saada tehokas puolustus.</w:t>
      </w:r>
    </w:p>
    <w:p w:rsidR="0086297B" w:rsidRPr="00D2169E" w:rsidRDefault="0086297B" w:rsidP="00D2169E">
      <w:pPr>
        <w:ind w:left="1304"/>
        <w:rPr>
          <w:rFonts w:ascii="Calibri" w:hAnsi="Calibri"/>
          <w:szCs w:val="24"/>
        </w:rPr>
      </w:pPr>
    </w:p>
    <w:p w:rsidR="0086297B" w:rsidRPr="00D2169E" w:rsidRDefault="0086297B" w:rsidP="004F6110">
      <w:pPr>
        <w:rPr>
          <w:rFonts w:ascii="Calibri" w:hAnsi="Calibri"/>
          <w:szCs w:val="24"/>
        </w:rPr>
      </w:pPr>
      <w:r w:rsidRPr="00D2169E">
        <w:rPr>
          <w:rFonts w:ascii="Calibri" w:hAnsi="Calibri"/>
          <w:szCs w:val="24"/>
        </w:rPr>
        <w:t>53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Anonyymin todistelun vastaanottaminen etäyhteyden välityksellä olisi oikeusturvan kannalta kyseenalaista. Varsinkaan puhelinyhteys ei anna mahdollisuutta tehdä todistajasta havaintoja henkilökohtaisesti. Tällainen mahdollisuus olisi kuitenkin välttämätön anonymiteetistä seuraavien oikeusturvaongelmien kompensoimiseksi. Viittaamme myös edellä 52 §:n yhteydessä esitettyyn. </w:t>
      </w:r>
    </w:p>
    <w:p w:rsidR="0086297B" w:rsidRPr="00D2169E" w:rsidRDefault="0086297B" w:rsidP="00D2169E">
      <w:pPr>
        <w:ind w:left="1304"/>
        <w:rPr>
          <w:rFonts w:ascii="Calibri" w:hAnsi="Calibri"/>
          <w:szCs w:val="24"/>
        </w:rPr>
      </w:pPr>
    </w:p>
    <w:p w:rsidR="0086297B" w:rsidRPr="004F6110" w:rsidRDefault="0086297B" w:rsidP="00D2169E">
      <w:pPr>
        <w:ind w:left="1304"/>
        <w:rPr>
          <w:rFonts w:ascii="Calibri" w:hAnsi="Calibri"/>
          <w:b/>
          <w:szCs w:val="24"/>
        </w:rPr>
      </w:pPr>
      <w:r w:rsidRPr="004F6110">
        <w:rPr>
          <w:rFonts w:ascii="Calibri" w:hAnsi="Calibri"/>
          <w:b/>
          <w:szCs w:val="24"/>
        </w:rPr>
        <w:t>Vastuu perättömästä lausumasta ym.</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Anonyymisti ei tulisi kuulla varsinkaan sellaisilta henkilöitä, joita ei voi saattaa vastuuseen perättömästä lausumasta, koska anonymiteetti jo muutenkin olennaisesti heikentää mahdollisuuksia saattaa valehteleva tai olennaisia tietoja kertomatta jättävä todistaja vastuuseen.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Perätöntä lausumaa ym. koskevan syytteen nostaminen asianomistajan toimesta edellyttäisi tuomioistuimen erityistä esikäsittelyä koskien haasteen antamista (ROL 7:5a). Jos anonyymi todistaja olisi virkamies, tämä ns. esikäsittely, jonka yhteydessä tuomioistuin päättäisi syytekynnyksen ylittymisestä, voisi rajoittaa asianomistajan PL 118 §:n mukaista oikeutta ja vaarantaa siten oikeusturvan.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Tuomioistuinkäsittelyä edeltäisi esitutkinta, jossa asianosaisen tiedonsaantioikeus olisi anonymiteetin vuoksi käytännössä hyvin rajoitettu. Olisi tarpeen kiinnittää huomiota siihen, miten asianomistajan oikeusturva voi toteutua tällaisessa esitutkinnassa ja esikäsittelyssä.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Valitusoikeutta todistajan anonymiteetistä ei tulisi jättää yksinomaan julkisen asiamiehen varaan (esitetty ROL 5:11e), sillä julkinen asiamies ei tietäisi itse pääasiasta ja siihen liittyvästä muusta todistelusta mitään ja hänen tehtävänsä olisi valvoa vain anonymiteetin myöntämisen edellytyksiä eli sitä, että kyseessä oleva syyte koskee laissa tarkoitettua riittävän vakavaa rikosta ja että anonymiteetti on välttämätön todistajaan kohdistuvan vakavan hengen tai terveyden uhan vuoksi. Välttämättömyyden arviointiin voisi helposti olla vain näennäinen mahdollisuus.</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55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Asianajajaliitto pitää perusteltuna, että nykyisin rikosasioita koskeva sääntely ulotetaan ehdotetulla tavalla koskemaan myös riita-asioita. Riita-asioissa on pääasiallisesti kyse dispositiivisista asioista, minkä vuoksi on perusteltua, ettei asianosaisten poissa ollessa vastaanotettua todistelua oteta uudelleen vastaan ilman erityistä syytä.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Rikosasioiden osalta pykälä ei merkitse asiallista muutosta aiempaan oikeustilaan, vaan ehdotetut muutokset liittyvät lähinnä käytettävään terminologiaan. Suomen Asianajajaliitto pitää linjausta perusteltuna, koska nykyinen sääntely ei ole oikeuskäytännössä tähän mennessä osoittautunut ongelmalliseksi.</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Tuomioistuinten tulee rikosasioissa jatkossakin kiinnittää erityistä huomiota siihen, että todistelun vastaanottaminen asianosaisen poissa ollessa tapahtuu tavalla, joka ei loukkaa asianosaisen oikeusturvaa. Tätä harkintavaltaa rajoittavaa lähtökohtaa tulee painottaa asian jatkovalmistelussa.  </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63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Lainkohdassa on jätetty avoimeksi se, missä vaiheessa painostusvankeudessa oleva todistaja on päästettävä vapaaksi hänen ilmoitettua suostuvansa todistamaan asiassa. Viive ilmoituksen ja sittemmin järjestettävän käsittelyn välillä voi muodostua useiden päivien mittaiseksi. Suomen Asianajajaliiton kannan mukaan pääsääntönä on pidettävä sitä, että todistaja päästetään heti vapaaksi, kun tällainen ilmoitus on tehty.</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64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Asianajajaliiton kannan mukaan ehdotettua lainkohtaa tulee muuttaa siten, että siinä mainitut 44 §:n 2 momentin 3a)</w:t>
      </w:r>
      <w:r>
        <w:rPr>
          <w:rFonts w:ascii="Calibri" w:hAnsi="Calibri"/>
          <w:szCs w:val="24"/>
        </w:rPr>
        <w:t>-</w:t>
      </w:r>
      <w:r w:rsidRPr="00D2169E">
        <w:rPr>
          <w:rFonts w:ascii="Calibri" w:hAnsi="Calibri"/>
          <w:szCs w:val="24"/>
        </w:rPr>
        <w:t>kohdassa tarkoitetut asianomistajat, joilla ei ole vaatimuksia voidaan velvoittaa todistamaan myös pakkokeinoja käyttäen. Vain siten voidaan varmistaa asianmukainen vastakuulusteluoikeus. Vaille pakkokeinoja jäävä näennäinen todistamisvelvollisuus mahdollistaisi käytännössä selvitysvelvollisuutensa laiminlyöneen asianomistajan esitutkintakertomuksen käyttämisen näyttönä tai jopa kuulopuhetodistelun, jossa poliisia voitaisiin kuulla todistajana siitä, mitä uhriksi epäilty henkilö on esimerkiksi alustavassa puhuttelussa kertonut.</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65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Asianajajaliitto pitää asianmukaisena ehdotetun pykälän 2 momentin määräystä siitä, että usean asianosaisen nimeämän todistajan korvauksesta vastataan yhteisvastuullisesti.</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67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Asianajajaliitto pitää tässäkin kohdin asianmukaisena yhteisvastuullisuutta koskevaa määräystä.</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68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Asianajajaliitto pitää ehdotetun pykälän 3 momentissa säädettyä erillistä muutoksenhakuoikeutta tarpeellisena täsmennyksenä nykyiseen lainsäädäntöön. Erilliselle muutoksenhaulle on oikeuskäytännössä ilmennyt selvää tarvetta, minkä vuoksi asiasta on aiheellista ottaa lakiin nimenomainen säännös.</w:t>
      </w:r>
    </w:p>
    <w:p w:rsidR="0086297B" w:rsidRPr="00D2169E" w:rsidRDefault="0086297B" w:rsidP="00D2169E">
      <w:pPr>
        <w:ind w:left="1304"/>
        <w:rPr>
          <w:rFonts w:ascii="Calibri" w:hAnsi="Calibri"/>
          <w:szCs w:val="24"/>
        </w:rPr>
      </w:pPr>
    </w:p>
    <w:p w:rsidR="0086297B" w:rsidRPr="004F6110" w:rsidRDefault="0086297B" w:rsidP="00D2169E">
      <w:pPr>
        <w:ind w:left="1304"/>
        <w:rPr>
          <w:rFonts w:ascii="Calibri" w:hAnsi="Calibri"/>
          <w:b/>
          <w:szCs w:val="24"/>
        </w:rPr>
      </w:pPr>
      <w:r w:rsidRPr="004F6110">
        <w:rPr>
          <w:rFonts w:ascii="Calibri" w:hAnsi="Calibri"/>
          <w:b/>
          <w:szCs w:val="24"/>
        </w:rPr>
        <w:t>Oikeudenkäymiskaaren 15 luku</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17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Mietinnön perusteluissa (s. 69) todetaan, että 17 §:n kirjoitustapa olisi yhdenmukainen ehdotetun oikeudenkäymiskaaren 17 luvun 13 §:n kanssa. Lisäksi salassapitovelvollisuuden laajuus yhdenmukaistettaisiin asianajajien ja nk. lupalakimiesten salassapitovelvollisuuden kanssa. Tältä osin 17 §:ään on jäänyt tarpeettomasti viittaukset yksityisen tai perheen salaisuuksiin taikka liike- tai ammattisalaisuuksiin, joita ehdotetussa 17 luvun 13 §.n 1 momentissa ei ole.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Kuten edellä 17 luvun 13 §:ää koskevissa kommenteissamme olemme todenneet, asianajosalaisuus on oma itsenäinen suojattava salaisuus, jonka tarkoituksena on suojata päämiehen luottamusta asiamieheensä/avustajaansa. Siksi oikeudenkäyntiasiamiehen tai </w:t>
      </w:r>
      <w:r>
        <w:rPr>
          <w:rFonts w:ascii="Calibri" w:hAnsi="Calibri"/>
          <w:szCs w:val="24"/>
        </w:rPr>
        <w:t>-</w:t>
      </w:r>
      <w:r w:rsidRPr="00D2169E">
        <w:rPr>
          <w:rFonts w:ascii="Calibri" w:hAnsi="Calibri"/>
          <w:szCs w:val="24"/>
        </w:rPr>
        <w:t xml:space="preserve">avustajan ei tule sallia ilmaista mitään, mitä hän on saanut tietää oikeudenkäyntiasian hoitamisen yhteydessä. </w:t>
      </w:r>
    </w:p>
    <w:p w:rsidR="0086297B" w:rsidRPr="00D2169E" w:rsidRDefault="0086297B" w:rsidP="00D2169E">
      <w:pPr>
        <w:ind w:left="1304"/>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 xml:space="preserve">Jos yhdenmukaisuus asianajajista annetun lain 5c §:n ja luvan saaneista oikeudenkäyntiavustajien 8 §:n kanssa katsotaan tarpeelliseksi, tulisi kyseisiä säännöksiä muuttaa siten, että ne koskevat kaikkia tietoa, joita asianajaja tai luvan saanut oikeudenkäyntiavustaja on saanut tietää tehtävää hoitaessaan. </w:t>
      </w:r>
    </w:p>
    <w:p w:rsidR="0086297B" w:rsidRPr="00D2169E" w:rsidRDefault="0086297B" w:rsidP="00D2169E">
      <w:pPr>
        <w:ind w:left="1304"/>
        <w:rPr>
          <w:rFonts w:ascii="Calibri" w:hAnsi="Calibri"/>
          <w:szCs w:val="24"/>
        </w:rPr>
      </w:pPr>
    </w:p>
    <w:p w:rsidR="0086297B" w:rsidRPr="004F6110" w:rsidRDefault="0086297B" w:rsidP="00D2169E">
      <w:pPr>
        <w:ind w:left="1304"/>
        <w:rPr>
          <w:rFonts w:ascii="Calibri" w:hAnsi="Calibri"/>
          <w:b/>
          <w:szCs w:val="24"/>
        </w:rPr>
      </w:pPr>
      <w:r w:rsidRPr="004F6110">
        <w:rPr>
          <w:rFonts w:ascii="Calibri" w:hAnsi="Calibri"/>
          <w:b/>
          <w:szCs w:val="24"/>
        </w:rPr>
        <w:t xml:space="preserve">Laki oikeudenkäynnistä rikosasioissa annetun lain muuttamisesta </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5 luku 4 §</w:t>
      </w:r>
    </w:p>
    <w:p w:rsidR="0086297B" w:rsidRPr="00D2169E" w:rsidRDefault="0086297B" w:rsidP="004F6110">
      <w:pPr>
        <w:rPr>
          <w:rFonts w:ascii="Calibri" w:hAnsi="Calibri"/>
          <w:szCs w:val="24"/>
        </w:rPr>
      </w:pPr>
    </w:p>
    <w:p w:rsidR="0086297B" w:rsidRDefault="0086297B" w:rsidP="00D2169E">
      <w:pPr>
        <w:ind w:left="1304"/>
        <w:rPr>
          <w:rFonts w:ascii="Calibri" w:hAnsi="Calibri"/>
          <w:szCs w:val="24"/>
        </w:rPr>
      </w:pPr>
      <w:r w:rsidRPr="00D2169E">
        <w:rPr>
          <w:rFonts w:ascii="Calibri" w:hAnsi="Calibri"/>
          <w:szCs w:val="24"/>
        </w:rPr>
        <w:t>Asianajajaliitto pitää ehdotettua määräystä tervetulleena uudistuksena rikosprosessiin. On selvää, että etenkin laajoissa rikosasioissa kirjallisten todisteiden määrä on huomattava, jolloin tuomioistuimella tulee olla oikeus määrätä tavasta, jolla aineisto sille toimitetaan. Ehdotetun muutoksen voidaan perustellusti odottaa tehostavan rikosprosessia.</w:t>
      </w:r>
    </w:p>
    <w:p w:rsidR="0086297B" w:rsidRPr="00D2169E" w:rsidRDefault="0086297B" w:rsidP="00D2169E">
      <w:pPr>
        <w:ind w:left="1304"/>
        <w:rPr>
          <w:rFonts w:ascii="Calibri" w:hAnsi="Calibri"/>
          <w:szCs w:val="24"/>
        </w:rPr>
      </w:pPr>
    </w:p>
    <w:p w:rsidR="0086297B" w:rsidRDefault="0086297B" w:rsidP="004F6110">
      <w:pPr>
        <w:rPr>
          <w:rFonts w:ascii="Calibri" w:hAnsi="Calibri"/>
          <w:szCs w:val="24"/>
        </w:rPr>
      </w:pPr>
      <w:r w:rsidRPr="00D2169E">
        <w:rPr>
          <w:rFonts w:ascii="Calibri" w:hAnsi="Calibri"/>
          <w:szCs w:val="24"/>
        </w:rPr>
        <w:t>5 luku 11a – 11e § ja 7 luku 5a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Viittaamme edellä OK 17:33</w:t>
      </w:r>
      <w:r>
        <w:rPr>
          <w:rFonts w:ascii="Calibri" w:hAnsi="Calibri"/>
          <w:szCs w:val="24"/>
        </w:rPr>
        <w:t xml:space="preserve"> ja 53 yhteydessä esitettyyn.</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Helsingissä 8. helmikuuta 2013</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SUOMEN ASIANAJAJALIITTO</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E62841">
        <w:rPr>
          <w:rFonts w:ascii="Calibri" w:hAnsi="Calibri"/>
          <w:noProof/>
          <w:szCs w:val="24"/>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4" o:spid="_x0000_i1027" type="#_x0000_t75" style="width:197.25pt;height:61.5pt;visibility:visible">
            <v:imagedata r:id="rId13" o:title=""/>
          </v:shape>
        </w:pic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Mika Ilveskero</w:t>
      </w:r>
    </w:p>
    <w:p w:rsidR="0086297B" w:rsidRPr="00D2169E" w:rsidRDefault="0086297B" w:rsidP="00D2169E">
      <w:pPr>
        <w:ind w:left="1304"/>
        <w:rPr>
          <w:rFonts w:ascii="Calibri" w:hAnsi="Calibri"/>
          <w:szCs w:val="24"/>
        </w:rPr>
      </w:pPr>
      <w:r w:rsidRPr="00D2169E">
        <w:rPr>
          <w:rFonts w:ascii="Calibri" w:hAnsi="Calibri"/>
          <w:szCs w:val="24"/>
        </w:rPr>
        <w:t>Suomen Asianajajaliiton puheenjohtaja, asianajaja</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p>
    <w:p w:rsidR="0086297B" w:rsidRPr="00D2169E" w:rsidRDefault="0086297B" w:rsidP="004F6110">
      <w:pPr>
        <w:rPr>
          <w:rFonts w:ascii="Calibri" w:hAnsi="Calibri"/>
          <w:szCs w:val="24"/>
        </w:rPr>
      </w:pPr>
      <w:r w:rsidRPr="00D2169E">
        <w:rPr>
          <w:rFonts w:ascii="Calibri" w:hAnsi="Calibri"/>
          <w:szCs w:val="24"/>
        </w:rPr>
        <w:t>LAATI</w:t>
      </w:r>
      <w:r>
        <w:rPr>
          <w:rFonts w:ascii="Calibri" w:hAnsi="Calibri"/>
          <w:szCs w:val="24"/>
        </w:rPr>
        <w:t>JAT</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 xml:space="preserve">Suomen Asianajajaliiton hallitus on asettanut työryhmän laatimaan tämän lausunnon. Työryhmään ovat kuuluneet: </w:t>
      </w:r>
    </w:p>
    <w:p w:rsidR="0086297B" w:rsidRPr="00D2169E" w:rsidRDefault="0086297B" w:rsidP="00D2169E">
      <w:pPr>
        <w:ind w:left="1304"/>
        <w:rPr>
          <w:rFonts w:ascii="Calibri" w:hAnsi="Calibri"/>
          <w:szCs w:val="24"/>
        </w:rPr>
      </w:pPr>
    </w:p>
    <w:p w:rsidR="0086297B" w:rsidRPr="00D2169E" w:rsidRDefault="0086297B" w:rsidP="00D2169E">
      <w:pPr>
        <w:ind w:left="1304"/>
        <w:rPr>
          <w:rFonts w:ascii="Calibri" w:hAnsi="Calibri"/>
          <w:szCs w:val="24"/>
        </w:rPr>
      </w:pPr>
      <w:r w:rsidRPr="00D2169E">
        <w:rPr>
          <w:rFonts w:ascii="Calibri" w:hAnsi="Calibri"/>
          <w:szCs w:val="24"/>
        </w:rPr>
        <w:t>Asianajaja Jarkko Männistö, Jarkko Männistö Asianajotoimisto Oy, Forssa</w:t>
      </w:r>
    </w:p>
    <w:p w:rsidR="0086297B" w:rsidRPr="00D2169E" w:rsidRDefault="0086297B" w:rsidP="00D2169E">
      <w:pPr>
        <w:ind w:left="1304"/>
        <w:rPr>
          <w:rFonts w:ascii="Calibri" w:hAnsi="Calibri"/>
          <w:szCs w:val="24"/>
        </w:rPr>
      </w:pPr>
      <w:r w:rsidRPr="00D2169E">
        <w:rPr>
          <w:rFonts w:ascii="Calibri" w:hAnsi="Calibri"/>
          <w:szCs w:val="24"/>
        </w:rPr>
        <w:t>Asianajaja Tom Vapaavuori, Asianajotoimisto Bird &amp; Bird Oy, Helsinki</w:t>
      </w:r>
    </w:p>
    <w:p w:rsidR="0086297B" w:rsidRPr="00D2169E" w:rsidRDefault="0086297B" w:rsidP="00D2169E">
      <w:pPr>
        <w:ind w:left="1304"/>
        <w:rPr>
          <w:rFonts w:ascii="Calibri" w:hAnsi="Calibri"/>
          <w:szCs w:val="24"/>
        </w:rPr>
      </w:pPr>
      <w:r w:rsidRPr="00D2169E">
        <w:rPr>
          <w:rFonts w:ascii="Calibri" w:hAnsi="Calibri"/>
          <w:szCs w:val="24"/>
        </w:rPr>
        <w:t>Asianajaja Mika Ilveskero, Asianajotoimisto Castrén &amp; Snellman Oy, Helsinki</w:t>
      </w:r>
    </w:p>
    <w:p w:rsidR="0086297B" w:rsidRPr="00D2169E" w:rsidRDefault="0086297B" w:rsidP="00D2169E">
      <w:pPr>
        <w:ind w:left="1304"/>
        <w:rPr>
          <w:rFonts w:ascii="Calibri" w:hAnsi="Calibri"/>
          <w:szCs w:val="24"/>
        </w:rPr>
      </w:pPr>
      <w:r w:rsidRPr="00D2169E">
        <w:rPr>
          <w:rFonts w:ascii="Calibri" w:hAnsi="Calibri"/>
          <w:szCs w:val="24"/>
        </w:rPr>
        <w:t>Asianajaja Jussi Sarvikivi, Asianajotoimisto Fredman &amp; Månsson Oy, Helsinki</w:t>
      </w:r>
    </w:p>
    <w:p w:rsidR="0086297B" w:rsidRPr="00D2169E" w:rsidRDefault="0086297B" w:rsidP="00D2169E">
      <w:pPr>
        <w:ind w:left="1304"/>
        <w:rPr>
          <w:rFonts w:ascii="Calibri" w:hAnsi="Calibri"/>
          <w:szCs w:val="24"/>
        </w:rPr>
      </w:pPr>
      <w:r w:rsidRPr="00D2169E">
        <w:rPr>
          <w:rFonts w:ascii="Calibri" w:hAnsi="Calibri"/>
          <w:szCs w:val="24"/>
        </w:rPr>
        <w:t>Asianajaja Antti Riihelä, Asianajotoimisto Antti Riihelä Oy, Helsinki</w:t>
      </w:r>
    </w:p>
    <w:p w:rsidR="0086297B" w:rsidRPr="00D2169E" w:rsidRDefault="0086297B" w:rsidP="00D2169E">
      <w:pPr>
        <w:ind w:left="1304"/>
        <w:rPr>
          <w:rFonts w:ascii="Calibri" w:hAnsi="Calibri"/>
          <w:szCs w:val="24"/>
        </w:rPr>
      </w:pPr>
      <w:r w:rsidRPr="00D2169E">
        <w:rPr>
          <w:rFonts w:ascii="Calibri" w:hAnsi="Calibri"/>
          <w:szCs w:val="24"/>
        </w:rPr>
        <w:t>Asianajaja Satu Wartiovaara, Asianajotoimisto Turku &amp; Wartiovaara, Helsinki ja</w:t>
      </w:r>
    </w:p>
    <w:p w:rsidR="0086297B" w:rsidRPr="00D2169E" w:rsidRDefault="0086297B" w:rsidP="004F6110">
      <w:pPr>
        <w:ind w:left="1304"/>
        <w:rPr>
          <w:rFonts w:ascii="Calibri" w:hAnsi="Calibri"/>
          <w:szCs w:val="24"/>
        </w:rPr>
      </w:pPr>
      <w:r w:rsidRPr="00D2169E">
        <w:rPr>
          <w:rFonts w:ascii="Calibri" w:hAnsi="Calibri"/>
          <w:szCs w:val="24"/>
        </w:rPr>
        <w:t>Asianajaja Jouko Pelkonen, Asianajotoimisto Apajalahti, Etelämäki, Pelkonen &amp; Niemi Oy, Helsinki</w:t>
      </w:r>
    </w:p>
    <w:sectPr w:rsidR="0086297B" w:rsidRPr="00D2169E" w:rsidSect="00245DE5">
      <w:headerReference w:type="default" r:id="rId14"/>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97B" w:rsidRDefault="0086297B" w:rsidP="00D2169E">
      <w:r>
        <w:separator/>
      </w:r>
    </w:p>
  </w:endnote>
  <w:endnote w:type="continuationSeparator" w:id="0">
    <w:p w:rsidR="0086297B" w:rsidRDefault="0086297B" w:rsidP="00D2169E">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7B" w:rsidRDefault="008629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7B" w:rsidRDefault="008629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7B" w:rsidRDefault="00862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97B" w:rsidRDefault="0086297B" w:rsidP="00D2169E">
      <w:r>
        <w:separator/>
      </w:r>
    </w:p>
  </w:footnote>
  <w:footnote w:type="continuationSeparator" w:id="0">
    <w:p w:rsidR="0086297B" w:rsidRDefault="0086297B" w:rsidP="00D2169E">
      <w:r>
        <w:continuationSeparator/>
      </w:r>
    </w:p>
  </w:footnote>
  <w:footnote w:id="1">
    <w:p w:rsidR="0086297B" w:rsidRPr="00D8515B" w:rsidRDefault="0086297B" w:rsidP="001C2E70">
      <w:pPr>
        <w:pStyle w:val="FootnoteText"/>
      </w:pPr>
      <w:r>
        <w:rPr>
          <w:rStyle w:val="FootnoteReference"/>
        </w:rPr>
        <w:footnoteRef/>
      </w:r>
      <w:r>
        <w:t xml:space="preserve"> </w:t>
      </w:r>
      <w:hyperlink r:id="rId1" w:history="1">
        <w:r w:rsidRPr="00D8515B">
          <w:rPr>
            <w:rStyle w:val="Hyperlink"/>
          </w:rPr>
          <w:t>http://www.echr.coe.int/ECHR/EN/Header/Case-Law/Case-law+analysis/Information+notes/</w:t>
        </w:r>
      </w:hyperlink>
      <w:r w:rsidRPr="00D8515B">
        <w:t xml:space="preserve">. </w:t>
      </w:r>
    </w:p>
    <w:p w:rsidR="0086297B" w:rsidRDefault="0086297B" w:rsidP="001C2E7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7B" w:rsidRDefault="008629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7B" w:rsidRDefault="0086297B" w:rsidP="00D2169E">
    <w:pPr>
      <w:pStyle w:val="Header"/>
      <w:jc w:val="right"/>
    </w:pPr>
    <w:r w:rsidRPr="00097937">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6" type="#_x0000_t75" style="width:161.25pt;height:36.75pt;visibility:visible">
          <v:imagedata r:id="rId1" o:title=""/>
        </v:shape>
      </w:pict>
    </w:r>
  </w:p>
  <w:p w:rsidR="0086297B" w:rsidRDefault="0086297B" w:rsidP="00D2169E">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7B" w:rsidRDefault="0086297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7B" w:rsidRPr="004F6110" w:rsidRDefault="0086297B">
    <w:pPr>
      <w:pStyle w:val="Header"/>
      <w:jc w:val="right"/>
      <w:rPr>
        <w:rFonts w:ascii="Calibri" w:hAnsi="Calibri"/>
      </w:rPr>
    </w:pPr>
    <w:r w:rsidRPr="004F6110">
      <w:rPr>
        <w:rFonts w:ascii="Calibri" w:hAnsi="Calibri"/>
      </w:rPr>
      <w:fldChar w:fldCharType="begin"/>
    </w:r>
    <w:r w:rsidRPr="004F6110">
      <w:rPr>
        <w:rFonts w:ascii="Calibri" w:hAnsi="Calibri"/>
      </w:rPr>
      <w:instrText xml:space="preserve"> PAGE   \* MERGEFORMAT </w:instrText>
    </w:r>
    <w:r w:rsidRPr="004F6110">
      <w:rPr>
        <w:rFonts w:ascii="Calibri" w:hAnsi="Calibri"/>
      </w:rPr>
      <w:fldChar w:fldCharType="separate"/>
    </w:r>
    <w:r>
      <w:rPr>
        <w:rFonts w:ascii="Calibri" w:hAnsi="Calibri"/>
        <w:noProof/>
      </w:rPr>
      <w:t>48</w:t>
    </w:r>
    <w:r w:rsidRPr="004F6110">
      <w:rPr>
        <w:rFonts w:ascii="Calibri" w:hAnsi="Calibri"/>
      </w:rPr>
      <w:fldChar w:fldCharType="end"/>
    </w:r>
  </w:p>
  <w:p w:rsidR="0086297B" w:rsidRDefault="0086297B" w:rsidP="00D2169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826FF"/>
    <w:multiLevelType w:val="hybridMultilevel"/>
    <w:tmpl w:val="721ADC2A"/>
    <w:lvl w:ilvl="0" w:tplc="8BC6D496">
      <w:start w:val="1"/>
      <w:numFmt w:val="bullet"/>
      <w:lvlText w:val="–"/>
      <w:lvlJc w:val="left"/>
      <w:pPr>
        <w:ind w:left="2024" w:hanging="360"/>
      </w:pPr>
      <w:rPr>
        <w:rFonts w:ascii="CG Times" w:hAnsi="CG Times"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nsid w:val="193111D7"/>
    <w:multiLevelType w:val="hybridMultilevel"/>
    <w:tmpl w:val="4CCA70C2"/>
    <w:lvl w:ilvl="0" w:tplc="D6760078">
      <w:start w:val="1"/>
      <w:numFmt w:val="decimal"/>
      <w:lvlText w:val="%1."/>
      <w:lvlJc w:val="left"/>
      <w:pPr>
        <w:ind w:left="360" w:hanging="360"/>
      </w:pPr>
      <w:rPr>
        <w:rFonts w:cs="Times New Roman"/>
      </w:rPr>
    </w:lvl>
    <w:lvl w:ilvl="1" w:tplc="040B0019">
      <w:start w:val="1"/>
      <w:numFmt w:val="decimal"/>
      <w:lvlText w:val="%2."/>
      <w:lvlJc w:val="left"/>
      <w:pPr>
        <w:ind w:left="1080" w:hanging="360"/>
      </w:pPr>
      <w:rPr>
        <w:rFonts w:cs="Times New Roman" w:hint="default"/>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
    <w:nsid w:val="24A470A0"/>
    <w:multiLevelType w:val="multilevel"/>
    <w:tmpl w:val="3402AEB6"/>
    <w:lvl w:ilvl="0">
      <w:start w:val="1"/>
      <w:numFmt w:val="decimal"/>
      <w:lvlText w:val="%1"/>
      <w:lvlJc w:val="left"/>
      <w:pPr>
        <w:ind w:left="405" w:hanging="405"/>
      </w:pPr>
      <w:rPr>
        <w:rFonts w:cs="Times New Roman" w:hint="default"/>
      </w:rPr>
    </w:lvl>
    <w:lvl w:ilvl="1">
      <w:start w:val="1"/>
      <w:numFmt w:val="decimal"/>
      <w:pStyle w:val="OTS3"/>
      <w:lvlText w:val="%2."/>
      <w:lvlJc w:val="left"/>
      <w:pPr>
        <w:ind w:left="765" w:hanging="405"/>
      </w:pPr>
      <w:rPr>
        <w:rFonts w:ascii="CG Times" w:eastAsia="Times New Roman" w:hAnsi="CG Times" w:cs="Times New Roman"/>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2F97720B"/>
    <w:multiLevelType w:val="hybridMultilevel"/>
    <w:tmpl w:val="AC0A8FD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nsid w:val="4B042777"/>
    <w:multiLevelType w:val="hybridMultilevel"/>
    <w:tmpl w:val="7AD82AA0"/>
    <w:lvl w:ilvl="0" w:tplc="8BC6D496">
      <w:start w:val="1"/>
      <w:numFmt w:val="bullet"/>
      <w:lvlText w:val="–"/>
      <w:lvlJc w:val="left"/>
      <w:pPr>
        <w:ind w:left="2024" w:hanging="360"/>
      </w:pPr>
      <w:rPr>
        <w:rFonts w:ascii="CG Times" w:hAnsi="CG Times" w:hint="default"/>
      </w:rPr>
    </w:lvl>
    <w:lvl w:ilvl="1" w:tplc="040B0003" w:tentative="1">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nsid w:val="50093518"/>
    <w:multiLevelType w:val="hybridMultilevel"/>
    <w:tmpl w:val="4EB8536E"/>
    <w:lvl w:ilvl="0" w:tplc="E7AA0FCE">
      <w:start w:val="1"/>
      <w:numFmt w:val="decimal"/>
      <w:pStyle w:val="2taso"/>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nsid w:val="51597EB5"/>
    <w:multiLevelType w:val="multilevel"/>
    <w:tmpl w:val="D78C8CCA"/>
    <w:lvl w:ilvl="0">
      <w:start w:val="1"/>
      <w:numFmt w:val="decimal"/>
      <w:pStyle w:val="OTS2"/>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6F0E477E"/>
    <w:multiLevelType w:val="multilevel"/>
    <w:tmpl w:val="AFAE2018"/>
    <w:lvl w:ilvl="0">
      <w:start w:val="1"/>
      <w:numFmt w:val="decimal"/>
      <w:lvlText w:val="%1."/>
      <w:lvlJc w:val="left"/>
      <w:pPr>
        <w:ind w:left="720" w:hanging="360"/>
      </w:pPr>
      <w:rPr>
        <w:rFonts w:cs="Times New Roman" w:hint="default"/>
      </w:rPr>
    </w:lvl>
    <w:lvl w:ilvl="1">
      <w:start w:val="1"/>
      <w:numFmt w:val="decimal"/>
      <w:pStyle w:val="11TOINENTASO"/>
      <w:isLgl/>
      <w:lvlText w:val="%1.%2"/>
      <w:lvlJc w:val="left"/>
      <w:pPr>
        <w:tabs>
          <w:tab w:val="num" w:pos="1694"/>
        </w:tabs>
        <w:ind w:left="1694" w:hanging="390"/>
      </w:pPr>
      <w:rPr>
        <w:rFonts w:cs="Times New Roman" w:hint="default"/>
      </w:rPr>
    </w:lvl>
    <w:lvl w:ilvl="2">
      <w:start w:val="1"/>
      <w:numFmt w:val="decimal"/>
      <w:isLgl/>
      <w:lvlText w:val="%1.%2.%3"/>
      <w:lvlJc w:val="left"/>
      <w:pPr>
        <w:tabs>
          <w:tab w:val="num" w:pos="2968"/>
        </w:tabs>
        <w:ind w:left="2968" w:hanging="720"/>
      </w:pPr>
      <w:rPr>
        <w:rFonts w:cs="Times New Roman" w:hint="default"/>
      </w:rPr>
    </w:lvl>
    <w:lvl w:ilvl="3">
      <w:start w:val="1"/>
      <w:numFmt w:val="decimal"/>
      <w:isLgl/>
      <w:lvlText w:val="%1.%2.%3.%4"/>
      <w:lvlJc w:val="left"/>
      <w:pPr>
        <w:tabs>
          <w:tab w:val="num" w:pos="3912"/>
        </w:tabs>
        <w:ind w:left="3912" w:hanging="720"/>
      </w:pPr>
      <w:rPr>
        <w:rFonts w:cs="Times New Roman" w:hint="default"/>
      </w:rPr>
    </w:lvl>
    <w:lvl w:ilvl="4">
      <w:start w:val="1"/>
      <w:numFmt w:val="decimal"/>
      <w:isLgl/>
      <w:lvlText w:val="%1.%2.%3.%4.%5"/>
      <w:lvlJc w:val="left"/>
      <w:pPr>
        <w:tabs>
          <w:tab w:val="num" w:pos="5216"/>
        </w:tabs>
        <w:ind w:left="5216" w:hanging="1080"/>
      </w:pPr>
      <w:rPr>
        <w:rFonts w:cs="Times New Roman" w:hint="default"/>
      </w:rPr>
    </w:lvl>
    <w:lvl w:ilvl="5">
      <w:start w:val="1"/>
      <w:numFmt w:val="decimal"/>
      <w:isLgl/>
      <w:lvlText w:val="%1.%2.%3.%4.%5.%6"/>
      <w:lvlJc w:val="left"/>
      <w:pPr>
        <w:tabs>
          <w:tab w:val="num" w:pos="6520"/>
        </w:tabs>
        <w:ind w:left="6520" w:hanging="1440"/>
      </w:pPr>
      <w:rPr>
        <w:rFonts w:cs="Times New Roman" w:hint="default"/>
      </w:rPr>
    </w:lvl>
    <w:lvl w:ilvl="6">
      <w:start w:val="1"/>
      <w:numFmt w:val="decimal"/>
      <w:isLgl/>
      <w:lvlText w:val="%1.%2.%3.%4.%5.%6.%7"/>
      <w:lvlJc w:val="left"/>
      <w:pPr>
        <w:tabs>
          <w:tab w:val="num" w:pos="7464"/>
        </w:tabs>
        <w:ind w:left="7464" w:hanging="1440"/>
      </w:pPr>
      <w:rPr>
        <w:rFonts w:cs="Times New Roman" w:hint="default"/>
      </w:rPr>
    </w:lvl>
    <w:lvl w:ilvl="7">
      <w:start w:val="1"/>
      <w:numFmt w:val="decimal"/>
      <w:isLgl/>
      <w:lvlText w:val="%1.%2.%3.%4.%5.%6.%7.%8"/>
      <w:lvlJc w:val="left"/>
      <w:pPr>
        <w:tabs>
          <w:tab w:val="num" w:pos="8768"/>
        </w:tabs>
        <w:ind w:left="8768" w:hanging="1800"/>
      </w:pPr>
      <w:rPr>
        <w:rFonts w:cs="Times New Roman" w:hint="default"/>
      </w:rPr>
    </w:lvl>
    <w:lvl w:ilvl="8">
      <w:start w:val="1"/>
      <w:numFmt w:val="decimal"/>
      <w:isLgl/>
      <w:lvlText w:val="%1.%2.%3.%4.%5.%6.%7.%8.%9"/>
      <w:lvlJc w:val="left"/>
      <w:pPr>
        <w:tabs>
          <w:tab w:val="num" w:pos="9712"/>
        </w:tabs>
        <w:ind w:left="9712" w:hanging="1800"/>
      </w:pPr>
      <w:rPr>
        <w:rFonts w:cs="Times New Roman" w:hint="default"/>
      </w:rPr>
    </w:lvl>
  </w:abstractNum>
  <w:abstractNum w:abstractNumId="8">
    <w:nsid w:val="76086B57"/>
    <w:multiLevelType w:val="hybridMultilevel"/>
    <w:tmpl w:val="A0AEC1BA"/>
    <w:lvl w:ilvl="0" w:tplc="9FC4A1B2">
      <w:numFmt w:val="bullet"/>
      <w:lvlText w:val="-"/>
      <w:lvlJc w:val="left"/>
      <w:pPr>
        <w:ind w:left="2609" w:hanging="1305"/>
      </w:pPr>
      <w:rPr>
        <w:rFonts w:ascii="Calibri" w:eastAsia="Times New Roman" w:hAnsi="Calibri" w:hint="default"/>
      </w:rPr>
    </w:lvl>
    <w:lvl w:ilvl="1" w:tplc="040B0003" w:tentative="1">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nsid w:val="769E53CE"/>
    <w:multiLevelType w:val="hybridMultilevel"/>
    <w:tmpl w:val="B7B63E72"/>
    <w:lvl w:ilvl="0" w:tplc="A47EE572">
      <w:start w:val="1"/>
      <w:numFmt w:val="decimal"/>
      <w:pStyle w:val="PTASO"/>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1"/>
  </w:num>
  <w:num w:numId="4">
    <w:abstractNumId w:val="7"/>
  </w:num>
  <w:num w:numId="5">
    <w:abstractNumId w:val="9"/>
  </w:num>
  <w:num w:numId="6">
    <w:abstractNumId w:val="5"/>
  </w:num>
  <w:num w:numId="7">
    <w:abstractNumId w:val="6"/>
  </w:num>
  <w:num w:numId="8">
    <w:abstractNumId w:val="2"/>
  </w:num>
  <w:num w:numId="9">
    <w:abstractNumId w:val="3"/>
  </w:num>
  <w:num w:numId="10">
    <w:abstractNumId w:val="4"/>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stylePaneFormatFilter w:val="3F04"/>
  <w:defaultTabStop w:val="1304"/>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169E"/>
    <w:rsid w:val="00047986"/>
    <w:rsid w:val="00097937"/>
    <w:rsid w:val="000A0F09"/>
    <w:rsid w:val="000A7C66"/>
    <w:rsid w:val="00141762"/>
    <w:rsid w:val="00146DB3"/>
    <w:rsid w:val="00183889"/>
    <w:rsid w:val="001C2E70"/>
    <w:rsid w:val="00202C77"/>
    <w:rsid w:val="00202F3A"/>
    <w:rsid w:val="00211F68"/>
    <w:rsid w:val="00213851"/>
    <w:rsid w:val="002237A8"/>
    <w:rsid w:val="00245DE5"/>
    <w:rsid w:val="002739DD"/>
    <w:rsid w:val="002F01DB"/>
    <w:rsid w:val="00362CC0"/>
    <w:rsid w:val="00370A52"/>
    <w:rsid w:val="003725C1"/>
    <w:rsid w:val="00392F01"/>
    <w:rsid w:val="00406B08"/>
    <w:rsid w:val="004A66BF"/>
    <w:rsid w:val="004F6110"/>
    <w:rsid w:val="00540873"/>
    <w:rsid w:val="005677DC"/>
    <w:rsid w:val="005A49C3"/>
    <w:rsid w:val="005B31BF"/>
    <w:rsid w:val="005D5416"/>
    <w:rsid w:val="005D7695"/>
    <w:rsid w:val="005E1F3C"/>
    <w:rsid w:val="006302AB"/>
    <w:rsid w:val="006365D6"/>
    <w:rsid w:val="006529E1"/>
    <w:rsid w:val="0069604B"/>
    <w:rsid w:val="00696FA7"/>
    <w:rsid w:val="006A0FD6"/>
    <w:rsid w:val="006A3B30"/>
    <w:rsid w:val="007072E2"/>
    <w:rsid w:val="00807A1A"/>
    <w:rsid w:val="0086297B"/>
    <w:rsid w:val="00926EC9"/>
    <w:rsid w:val="00987410"/>
    <w:rsid w:val="009A4B38"/>
    <w:rsid w:val="009F3D39"/>
    <w:rsid w:val="00A55E78"/>
    <w:rsid w:val="00A66F8F"/>
    <w:rsid w:val="00B13E22"/>
    <w:rsid w:val="00B227C0"/>
    <w:rsid w:val="00B46FA2"/>
    <w:rsid w:val="00C03873"/>
    <w:rsid w:val="00C26D88"/>
    <w:rsid w:val="00C41A90"/>
    <w:rsid w:val="00C42553"/>
    <w:rsid w:val="00C6151F"/>
    <w:rsid w:val="00CC7F90"/>
    <w:rsid w:val="00D15B2C"/>
    <w:rsid w:val="00D2169E"/>
    <w:rsid w:val="00D7561F"/>
    <w:rsid w:val="00D76F9A"/>
    <w:rsid w:val="00D8515B"/>
    <w:rsid w:val="00DB40E1"/>
    <w:rsid w:val="00E45263"/>
    <w:rsid w:val="00E62841"/>
    <w:rsid w:val="00F015C4"/>
    <w:rsid w:val="00F156E8"/>
    <w:rsid w:val="00F63E20"/>
    <w:rsid w:val="00F66220"/>
    <w:rsid w:val="00FA1008"/>
    <w:rsid w:val="00FE5223"/>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30"/>
    <w:rPr>
      <w:rFonts w:ascii="CG Times" w:hAnsi="CG Times"/>
      <w:sz w:val="24"/>
      <w:szCs w:val="20"/>
      <w:lang w:eastAsia="en-US"/>
    </w:rPr>
  </w:style>
  <w:style w:type="paragraph" w:styleId="Heading1">
    <w:name w:val="heading 1"/>
    <w:basedOn w:val="Normal"/>
    <w:next w:val="Normal"/>
    <w:link w:val="Heading1Char"/>
    <w:uiPriority w:val="99"/>
    <w:qFormat/>
    <w:rsid w:val="007072E2"/>
    <w:pPr>
      <w:keepNext/>
      <w:keepLines/>
      <w:spacing w:before="48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7072E2"/>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72E2"/>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7072E2"/>
    <w:rPr>
      <w:rFonts w:ascii="Cambria" w:hAnsi="Cambria" w:cs="Times New Roman"/>
      <w:b/>
      <w:bCs/>
      <w:color w:val="4F81BD"/>
      <w:sz w:val="24"/>
    </w:rPr>
  </w:style>
  <w:style w:type="paragraph" w:customStyle="1" w:styleId="1PTASO">
    <w:name w:val="1 PÄÄTASO"/>
    <w:basedOn w:val="Heading3"/>
    <w:link w:val="1PTASOChar"/>
    <w:autoRedefine/>
    <w:uiPriority w:val="99"/>
    <w:rsid w:val="00E45263"/>
    <w:pPr>
      <w:keepLines w:val="0"/>
      <w:spacing w:before="240" w:after="60"/>
    </w:pPr>
    <w:rPr>
      <w:rFonts w:ascii="CG Times" w:hAnsi="CG Times"/>
      <w:b w:val="0"/>
      <w:color w:val="auto"/>
      <w:sz w:val="26"/>
      <w:szCs w:val="26"/>
      <w:lang w:eastAsia="fi-FI"/>
    </w:rPr>
  </w:style>
  <w:style w:type="character" w:customStyle="1" w:styleId="1PTASOChar">
    <w:name w:val="1 PÄÄTASO Char"/>
    <w:basedOn w:val="Heading3Char"/>
    <w:link w:val="1PTASO"/>
    <w:uiPriority w:val="99"/>
    <w:locked/>
    <w:rsid w:val="007072E2"/>
    <w:rPr>
      <w:rFonts w:ascii="CG Times" w:hAnsi="CG Times"/>
      <w:sz w:val="26"/>
      <w:szCs w:val="26"/>
      <w:lang w:eastAsia="fi-FI"/>
    </w:rPr>
  </w:style>
  <w:style w:type="paragraph" w:customStyle="1" w:styleId="11TOINENTASO">
    <w:name w:val="1.1 TOINEN TASO"/>
    <w:link w:val="11TOINENTASOChar"/>
    <w:autoRedefine/>
    <w:uiPriority w:val="99"/>
    <w:rsid w:val="007072E2"/>
    <w:pPr>
      <w:numPr>
        <w:ilvl w:val="1"/>
        <w:numId w:val="4"/>
      </w:numPr>
    </w:pPr>
    <w:rPr>
      <w:rFonts w:ascii="CG Times" w:eastAsia="Times New Roman" w:hAnsi="CG Times"/>
      <w:bCs/>
      <w:kern w:val="32"/>
      <w:sz w:val="32"/>
      <w:szCs w:val="32"/>
      <w:lang w:eastAsia="en-US"/>
    </w:rPr>
  </w:style>
  <w:style w:type="character" w:customStyle="1" w:styleId="11TOINENTASOChar">
    <w:name w:val="1.1 TOINEN TASO Char"/>
    <w:basedOn w:val="Heading1Char"/>
    <w:link w:val="11TOINENTASO"/>
    <w:uiPriority w:val="99"/>
    <w:locked/>
    <w:rsid w:val="007072E2"/>
    <w:rPr>
      <w:rFonts w:ascii="CG Times" w:hAnsi="CG Times"/>
      <w:kern w:val="32"/>
      <w:sz w:val="32"/>
      <w:szCs w:val="32"/>
      <w:lang w:val="fi-FI" w:eastAsia="en-US" w:bidi="ar-SA"/>
    </w:rPr>
  </w:style>
  <w:style w:type="paragraph" w:customStyle="1" w:styleId="PTASO">
    <w:name w:val="PÄÄTASO"/>
    <w:basedOn w:val="Normal"/>
    <w:link w:val="PTASOChar"/>
    <w:autoRedefine/>
    <w:uiPriority w:val="99"/>
    <w:rsid w:val="007072E2"/>
    <w:pPr>
      <w:numPr>
        <w:numId w:val="5"/>
      </w:numPr>
      <w:spacing w:before="120" w:after="120"/>
    </w:pPr>
    <w:rPr>
      <w:rFonts w:ascii="Times New Roman" w:eastAsia="Times New Roman" w:hAnsi="Times New Roman"/>
      <w:lang w:eastAsia="fi-FI"/>
    </w:rPr>
  </w:style>
  <w:style w:type="character" w:customStyle="1" w:styleId="PTASOChar">
    <w:name w:val="PÄÄTASO Char"/>
    <w:basedOn w:val="DefaultParagraphFont"/>
    <w:link w:val="PTASO"/>
    <w:uiPriority w:val="99"/>
    <w:locked/>
    <w:rsid w:val="007072E2"/>
    <w:rPr>
      <w:rFonts w:eastAsia="Times New Roman" w:cs="Times New Roman"/>
      <w:sz w:val="24"/>
      <w:lang w:eastAsia="fi-FI"/>
    </w:rPr>
  </w:style>
  <w:style w:type="paragraph" w:customStyle="1" w:styleId="2taso">
    <w:name w:val="2. taso"/>
    <w:basedOn w:val="Normal"/>
    <w:link w:val="2tasoChar"/>
    <w:autoRedefine/>
    <w:uiPriority w:val="99"/>
    <w:rsid w:val="007072E2"/>
    <w:pPr>
      <w:numPr>
        <w:numId w:val="6"/>
      </w:numPr>
      <w:spacing w:before="120" w:after="120"/>
    </w:pPr>
    <w:rPr>
      <w:rFonts w:ascii="Times New Roman" w:eastAsia="Times New Roman" w:hAnsi="Times New Roman"/>
      <w:lang w:eastAsia="fi-FI"/>
    </w:rPr>
  </w:style>
  <w:style w:type="character" w:customStyle="1" w:styleId="2tasoChar">
    <w:name w:val="2. taso Char"/>
    <w:basedOn w:val="DefaultParagraphFont"/>
    <w:link w:val="2taso"/>
    <w:uiPriority w:val="99"/>
    <w:locked/>
    <w:rsid w:val="007072E2"/>
    <w:rPr>
      <w:rFonts w:eastAsia="Times New Roman" w:cs="Times New Roman"/>
      <w:sz w:val="24"/>
      <w:lang w:eastAsia="fi-FI"/>
    </w:rPr>
  </w:style>
  <w:style w:type="paragraph" w:customStyle="1" w:styleId="LeiptekstiHK">
    <w:name w:val="Leipäteksti HK"/>
    <w:basedOn w:val="Normal"/>
    <w:link w:val="LeiptekstiHKChar"/>
    <w:autoRedefine/>
    <w:uiPriority w:val="99"/>
    <w:rsid w:val="00E45263"/>
    <w:pPr>
      <w:ind w:left="1304" w:firstLine="1"/>
    </w:pPr>
    <w:rPr>
      <w:rFonts w:ascii="Times New Roman" w:eastAsia="Times New Roman" w:hAnsi="Times New Roman"/>
      <w:lang w:eastAsia="fi-FI"/>
    </w:rPr>
  </w:style>
  <w:style w:type="character" w:customStyle="1" w:styleId="LeiptekstiHKChar">
    <w:name w:val="Leipäteksti HK Char"/>
    <w:basedOn w:val="DefaultParagraphFont"/>
    <w:link w:val="LeiptekstiHK"/>
    <w:uiPriority w:val="99"/>
    <w:locked/>
    <w:rsid w:val="00E45263"/>
    <w:rPr>
      <w:rFonts w:eastAsia="Times New Roman" w:cs="Times New Roman"/>
      <w:sz w:val="24"/>
      <w:lang w:eastAsia="fi-FI"/>
    </w:rPr>
  </w:style>
  <w:style w:type="paragraph" w:customStyle="1" w:styleId="Sisennettypt11">
    <w:name w:val="Sisennetty pt11"/>
    <w:basedOn w:val="Normal"/>
    <w:autoRedefine/>
    <w:uiPriority w:val="99"/>
    <w:rsid w:val="00E45263"/>
    <w:pPr>
      <w:autoSpaceDE w:val="0"/>
      <w:autoSpaceDN w:val="0"/>
      <w:adjustRightInd w:val="0"/>
      <w:ind w:left="1304"/>
    </w:pPr>
    <w:rPr>
      <w:rFonts w:eastAsia="Times New Roman" w:cs="CG Times"/>
      <w:color w:val="000000"/>
      <w:sz w:val="20"/>
      <w:lang w:eastAsia="fi-FI"/>
    </w:rPr>
  </w:style>
  <w:style w:type="paragraph" w:customStyle="1" w:styleId="OTS1">
    <w:name w:val="OTS 1"/>
    <w:basedOn w:val="Normal"/>
    <w:link w:val="OTS1Char"/>
    <w:autoRedefine/>
    <w:uiPriority w:val="99"/>
    <w:rsid w:val="00E45263"/>
    <w:rPr>
      <w:rFonts w:ascii="Times New Roman" w:eastAsia="Times New Roman" w:hAnsi="Times New Roman"/>
      <w:lang w:eastAsia="fi-FI"/>
    </w:rPr>
  </w:style>
  <w:style w:type="character" w:customStyle="1" w:styleId="OTS1Char">
    <w:name w:val="OTS 1 Char"/>
    <w:basedOn w:val="DefaultParagraphFont"/>
    <w:link w:val="OTS1"/>
    <w:uiPriority w:val="99"/>
    <w:locked/>
    <w:rsid w:val="00E45263"/>
    <w:rPr>
      <w:rFonts w:eastAsia="Times New Roman" w:cs="Times New Roman"/>
      <w:sz w:val="24"/>
      <w:lang w:eastAsia="fi-FI"/>
    </w:rPr>
  </w:style>
  <w:style w:type="paragraph" w:customStyle="1" w:styleId="OTS2">
    <w:name w:val="OTS 2"/>
    <w:basedOn w:val="Normal"/>
    <w:link w:val="OTS2Char"/>
    <w:autoRedefine/>
    <w:uiPriority w:val="99"/>
    <w:rsid w:val="00E45263"/>
    <w:pPr>
      <w:numPr>
        <w:numId w:val="7"/>
      </w:numPr>
    </w:pPr>
    <w:rPr>
      <w:rFonts w:eastAsia="Times New Roman"/>
      <w:b/>
      <w:lang w:eastAsia="fi-FI"/>
    </w:rPr>
  </w:style>
  <w:style w:type="character" w:customStyle="1" w:styleId="OTS2Char">
    <w:name w:val="OTS 2 Char"/>
    <w:basedOn w:val="DefaultParagraphFont"/>
    <w:link w:val="OTS2"/>
    <w:uiPriority w:val="99"/>
    <w:locked/>
    <w:rsid w:val="00E45263"/>
    <w:rPr>
      <w:rFonts w:ascii="CG Times" w:hAnsi="CG Times" w:cs="Times New Roman"/>
      <w:b/>
      <w:sz w:val="24"/>
      <w:lang w:eastAsia="fi-FI"/>
    </w:rPr>
  </w:style>
  <w:style w:type="paragraph" w:customStyle="1" w:styleId="OTS3">
    <w:name w:val="OTS 3"/>
    <w:basedOn w:val="Normal"/>
    <w:link w:val="OTS3Char"/>
    <w:autoRedefine/>
    <w:uiPriority w:val="99"/>
    <w:rsid w:val="00E45263"/>
    <w:pPr>
      <w:numPr>
        <w:ilvl w:val="1"/>
        <w:numId w:val="8"/>
      </w:numPr>
    </w:pPr>
    <w:rPr>
      <w:rFonts w:eastAsia="Times New Roman"/>
      <w:b/>
      <w:lang w:eastAsia="fi-FI"/>
    </w:rPr>
  </w:style>
  <w:style w:type="character" w:customStyle="1" w:styleId="OTS3Char">
    <w:name w:val="OTS 3 Char"/>
    <w:basedOn w:val="DefaultParagraphFont"/>
    <w:link w:val="OTS3"/>
    <w:uiPriority w:val="99"/>
    <w:locked/>
    <w:rsid w:val="00E45263"/>
    <w:rPr>
      <w:rFonts w:ascii="CG Times" w:hAnsi="CG Times" w:cs="Times New Roman"/>
      <w:b/>
      <w:sz w:val="24"/>
      <w:lang w:eastAsia="fi-FI"/>
    </w:rPr>
  </w:style>
  <w:style w:type="paragraph" w:styleId="Header">
    <w:name w:val="header"/>
    <w:basedOn w:val="Normal"/>
    <w:link w:val="HeaderChar"/>
    <w:uiPriority w:val="99"/>
    <w:rsid w:val="00D2169E"/>
    <w:pPr>
      <w:tabs>
        <w:tab w:val="center" w:pos="4819"/>
        <w:tab w:val="right" w:pos="9638"/>
      </w:tabs>
    </w:pPr>
  </w:style>
  <w:style w:type="character" w:customStyle="1" w:styleId="HeaderChar">
    <w:name w:val="Header Char"/>
    <w:basedOn w:val="DefaultParagraphFont"/>
    <w:link w:val="Header"/>
    <w:uiPriority w:val="99"/>
    <w:locked/>
    <w:rsid w:val="00D2169E"/>
    <w:rPr>
      <w:rFonts w:ascii="CG Times" w:hAnsi="CG Times" w:cs="Times New Roman"/>
      <w:sz w:val="24"/>
    </w:rPr>
  </w:style>
  <w:style w:type="paragraph" w:styleId="Footer">
    <w:name w:val="footer"/>
    <w:basedOn w:val="Normal"/>
    <w:link w:val="FooterChar"/>
    <w:uiPriority w:val="99"/>
    <w:semiHidden/>
    <w:rsid w:val="00D2169E"/>
    <w:pPr>
      <w:tabs>
        <w:tab w:val="center" w:pos="4819"/>
        <w:tab w:val="right" w:pos="9638"/>
      </w:tabs>
    </w:pPr>
  </w:style>
  <w:style w:type="character" w:customStyle="1" w:styleId="FooterChar">
    <w:name w:val="Footer Char"/>
    <w:basedOn w:val="DefaultParagraphFont"/>
    <w:link w:val="Footer"/>
    <w:uiPriority w:val="99"/>
    <w:semiHidden/>
    <w:locked/>
    <w:rsid w:val="00D2169E"/>
    <w:rPr>
      <w:rFonts w:ascii="CG Times" w:hAnsi="CG Times" w:cs="Times New Roman"/>
      <w:sz w:val="24"/>
    </w:rPr>
  </w:style>
  <w:style w:type="paragraph" w:styleId="BalloonText">
    <w:name w:val="Balloon Text"/>
    <w:basedOn w:val="Normal"/>
    <w:link w:val="BalloonTextChar"/>
    <w:uiPriority w:val="99"/>
    <w:semiHidden/>
    <w:rsid w:val="00D216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69E"/>
    <w:rPr>
      <w:rFonts w:ascii="Tahoma" w:hAnsi="Tahoma" w:cs="Tahoma"/>
      <w:sz w:val="16"/>
      <w:szCs w:val="16"/>
    </w:rPr>
  </w:style>
  <w:style w:type="paragraph" w:styleId="ListParagraph">
    <w:name w:val="List Paragraph"/>
    <w:basedOn w:val="Normal"/>
    <w:uiPriority w:val="99"/>
    <w:qFormat/>
    <w:rsid w:val="00D2169E"/>
    <w:pPr>
      <w:ind w:left="720"/>
      <w:contextualSpacing/>
    </w:pPr>
  </w:style>
  <w:style w:type="paragraph" w:styleId="FootnoteText">
    <w:name w:val="footnote text"/>
    <w:basedOn w:val="Normal"/>
    <w:link w:val="FootnoteTextChar"/>
    <w:uiPriority w:val="99"/>
    <w:rsid w:val="001C2E70"/>
    <w:rPr>
      <w:sz w:val="20"/>
    </w:rPr>
  </w:style>
  <w:style w:type="character" w:customStyle="1" w:styleId="FootnoteTextChar">
    <w:name w:val="Footnote Text Char"/>
    <w:basedOn w:val="DefaultParagraphFont"/>
    <w:link w:val="FootnoteText"/>
    <w:uiPriority w:val="99"/>
    <w:locked/>
    <w:rsid w:val="001C2E70"/>
    <w:rPr>
      <w:rFonts w:ascii="CG Times" w:hAnsi="CG Times" w:cs="Times New Roman"/>
    </w:rPr>
  </w:style>
  <w:style w:type="character" w:styleId="FootnoteReference">
    <w:name w:val="footnote reference"/>
    <w:basedOn w:val="DefaultParagraphFont"/>
    <w:uiPriority w:val="99"/>
    <w:rsid w:val="001C2E70"/>
    <w:rPr>
      <w:rFonts w:cs="Times New Roman"/>
      <w:vertAlign w:val="superscript"/>
    </w:rPr>
  </w:style>
  <w:style w:type="character" w:styleId="Hyperlink">
    <w:name w:val="Hyperlink"/>
    <w:basedOn w:val="DefaultParagraphFont"/>
    <w:uiPriority w:val="99"/>
    <w:semiHidden/>
    <w:rsid w:val="001C2E7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echr.coe.int/ECHR/EN/Header/Case-Law/Case-law+analysis/Information+no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48</Pages>
  <Words>14519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
  <cp:keywords/>
  <dc:description/>
  <cp:lastModifiedBy/>
  <cp:revision>2</cp:revision>
  <cp:lastPrinted>2013-02-08T09:57:00Z</cp:lastPrinted>
  <dcterms:created xsi:type="dcterms:W3CDTF">2013-02-08T09:58:00Z</dcterms:created>
  <dcterms:modified xsi:type="dcterms:W3CDTF">2013-02-08T09:58:00Z</dcterms:modified>
</cp:coreProperties>
</file>