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2A" w:rsidRDefault="00F1212A" w:rsidP="00B511EF">
      <w:pPr>
        <w:jc w:val="both"/>
      </w:pPr>
      <w:bookmarkStart w:id="0" w:name="_GoBack"/>
      <w:bookmarkEnd w:id="0"/>
    </w:p>
    <w:p w:rsidR="00144E9A" w:rsidRDefault="00144E9A" w:rsidP="00B511EF">
      <w:pPr>
        <w:pStyle w:val="Leipteksti"/>
        <w:jc w:val="both"/>
      </w:pPr>
    </w:p>
    <w:p w:rsidR="00E513B7" w:rsidRDefault="00144E9A" w:rsidP="00B511EF">
      <w:pPr>
        <w:pStyle w:val="Leipteksti"/>
        <w:jc w:val="both"/>
      </w:pPr>
      <w:r>
        <w:t>Ympäristöministeriö</w:t>
      </w:r>
    </w:p>
    <w:p w:rsidR="00E513B7" w:rsidRDefault="00144E9A" w:rsidP="00B511EF">
      <w:pPr>
        <w:pStyle w:val="Leipteksti"/>
        <w:jc w:val="both"/>
      </w:pPr>
      <w:r>
        <w:t>Kirjaamo</w:t>
      </w:r>
    </w:p>
    <w:p w:rsidR="00144E9A" w:rsidRDefault="00144E9A" w:rsidP="00B511EF">
      <w:pPr>
        <w:pStyle w:val="Leipteksti"/>
        <w:jc w:val="both"/>
      </w:pPr>
      <w:r>
        <w:t>kirjaamo.ym@ymparisto.fi</w:t>
      </w:r>
    </w:p>
    <w:p w:rsidR="00E513B7" w:rsidRDefault="00E513B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  <w:r>
        <w:t xml:space="preserve">Viite: </w:t>
      </w:r>
      <w:r w:rsidR="00144E9A">
        <w:t>Lausuntopyyntö YM002:01/2014</w:t>
      </w:r>
    </w:p>
    <w:p w:rsidR="00E513B7" w:rsidRDefault="00E513B7" w:rsidP="00B511EF">
      <w:pPr>
        <w:pStyle w:val="Leipteksti"/>
        <w:jc w:val="both"/>
      </w:pPr>
    </w:p>
    <w:p w:rsidR="00E513B7" w:rsidRDefault="00144E9A" w:rsidP="00B511EF">
      <w:pPr>
        <w:pStyle w:val="Otsikko1"/>
        <w:jc w:val="both"/>
      </w:pPr>
      <w:r>
        <w:t>Lausunto luonnoksesta valtioneuvoston asetukseksi tuul</w:t>
      </w:r>
      <w:r>
        <w:t>i</w:t>
      </w:r>
      <w:r>
        <w:t>voimaloiden melutason ohjearvoista</w:t>
      </w:r>
    </w:p>
    <w:p w:rsidR="00E513B7" w:rsidRDefault="00E513B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</w:p>
    <w:p w:rsidR="00E513B7" w:rsidRDefault="00D91930" w:rsidP="00B511EF">
      <w:pPr>
        <w:pStyle w:val="Leipteksti"/>
        <w:ind w:left="1304"/>
        <w:jc w:val="both"/>
      </w:pPr>
      <w:r>
        <w:t>ET kiittää mahdollis</w:t>
      </w:r>
      <w:r w:rsidR="003346CB">
        <w:t>uudesta antaa lausunto asiasta ja antaa lausuntonsa yhdessä Teknologiateollisuus ry:n tuulivoimatoimialaryhmän kanssa.</w:t>
      </w:r>
    </w:p>
    <w:p w:rsidR="00F009F5" w:rsidRDefault="00F009F5" w:rsidP="00B511EF">
      <w:pPr>
        <w:pStyle w:val="Leipteksti"/>
        <w:ind w:left="1304"/>
        <w:jc w:val="both"/>
      </w:pPr>
    </w:p>
    <w:p w:rsidR="00796585" w:rsidRPr="00796585" w:rsidRDefault="003346CB" w:rsidP="00B511EF">
      <w:pPr>
        <w:pStyle w:val="Leipteksti"/>
        <w:ind w:left="1304"/>
        <w:jc w:val="both"/>
      </w:pPr>
      <w:r>
        <w:t>Pidämme</w:t>
      </w:r>
      <w:r w:rsidR="00F009F5">
        <w:t xml:space="preserve"> asetus</w:t>
      </w:r>
      <w:r w:rsidR="00796585">
        <w:t>luonnosta</w:t>
      </w:r>
      <w:r w:rsidR="00F009F5">
        <w:t xml:space="preserve"> </w:t>
      </w:r>
      <w:r w:rsidR="007A79AF">
        <w:t xml:space="preserve">selkeänä ja </w:t>
      </w:r>
      <w:r w:rsidR="00F009F5">
        <w:t>monelta osin onnistuneena ja kannatett</w:t>
      </w:r>
      <w:r w:rsidR="00F009F5">
        <w:t>a</w:t>
      </w:r>
      <w:r w:rsidR="00F009F5">
        <w:t>vana.</w:t>
      </w:r>
      <w:r w:rsidR="007A79AF">
        <w:t xml:space="preserve"> Asetuksen ohjearvot mahdollistavat kohtuullisesti tuulivoimarakentamisen ja estäv</w:t>
      </w:r>
      <w:r w:rsidR="007A79AF" w:rsidRPr="00796585">
        <w:t>ät terveyshaittojen muodostumisen sekä merkittävän viihtyisyyden v</w:t>
      </w:r>
      <w:r w:rsidR="007A79AF" w:rsidRPr="00796585">
        <w:t>ä</w:t>
      </w:r>
      <w:r w:rsidR="007A79AF" w:rsidRPr="00796585">
        <w:t xml:space="preserve">hentymisen. </w:t>
      </w:r>
    </w:p>
    <w:p w:rsidR="00796585" w:rsidRPr="00796585" w:rsidRDefault="00796585" w:rsidP="00B511EF">
      <w:pPr>
        <w:pStyle w:val="Leipteksti"/>
        <w:ind w:left="1304"/>
        <w:jc w:val="both"/>
      </w:pPr>
    </w:p>
    <w:p w:rsidR="00F009F5" w:rsidRDefault="007A79AF" w:rsidP="00B511EF">
      <w:pPr>
        <w:pStyle w:val="Leipteksti"/>
        <w:ind w:left="1304"/>
        <w:jc w:val="both"/>
      </w:pPr>
      <w:r w:rsidRPr="00796585">
        <w:t xml:space="preserve">Erityisesti </w:t>
      </w:r>
      <w:r w:rsidR="00796585" w:rsidRPr="00796585">
        <w:t>kannatamme luonnoksen lähtökohtia samantasoisesta säänt</w:t>
      </w:r>
      <w:r w:rsidR="00796585">
        <w:t>e</w:t>
      </w:r>
      <w:r w:rsidR="00796585" w:rsidRPr="00796585">
        <w:t xml:space="preserve">lystä </w:t>
      </w:r>
      <w:r w:rsidR="00796585" w:rsidRPr="00796585">
        <w:rPr>
          <w:rFonts w:ascii="Calibri" w:hAnsi="Calibri"/>
          <w:sz w:val="22"/>
          <w:szCs w:val="22"/>
        </w:rPr>
        <w:t>pys</w:t>
      </w:r>
      <w:r w:rsidR="00796585" w:rsidRPr="00796585">
        <w:rPr>
          <w:rFonts w:ascii="Calibri" w:hAnsi="Calibri"/>
          <w:sz w:val="22"/>
          <w:szCs w:val="22"/>
        </w:rPr>
        <w:t>y</w:t>
      </w:r>
      <w:r w:rsidR="00796585" w:rsidRPr="00796585">
        <w:rPr>
          <w:rFonts w:ascii="Calibri" w:hAnsi="Calibri"/>
          <w:sz w:val="22"/>
          <w:szCs w:val="22"/>
        </w:rPr>
        <w:t>välle ja vapaa-ajan asutukselle</w:t>
      </w:r>
      <w:r w:rsidR="00796585">
        <w:t>, numeeristen arvojen antamista ohjearvoina</w:t>
      </w:r>
      <w:r w:rsidR="00EC7B93">
        <w:t xml:space="preserve"> sekä</w:t>
      </w:r>
      <w:r w:rsidR="00796585">
        <w:t xml:space="preserve"> </w:t>
      </w:r>
      <w:r w:rsidR="00EC7B93">
        <w:t>m</w:t>
      </w:r>
      <w:r w:rsidR="00EC7B93">
        <w:t>a</w:t>
      </w:r>
      <w:r w:rsidR="00EC7B93">
        <w:t xml:space="preserve">talataajuisen melun ja </w:t>
      </w:r>
      <w:r w:rsidR="00796585">
        <w:t>sisämelu</w:t>
      </w:r>
      <w:r w:rsidR="00EC7B93">
        <w:t xml:space="preserve">n </w:t>
      </w:r>
      <w:r w:rsidR="00796585">
        <w:t>sääntelyn toteuttamista erikseen terveydensu</w:t>
      </w:r>
      <w:r w:rsidR="00796585">
        <w:t>o</w:t>
      </w:r>
      <w:r w:rsidR="00796585">
        <w:t>jelulain nojalla</w:t>
      </w:r>
      <w:r w:rsidR="00EC7B93">
        <w:t>.</w:t>
      </w:r>
    </w:p>
    <w:p w:rsidR="00EC7B93" w:rsidRPr="00796585" w:rsidRDefault="00EC7B93" w:rsidP="00B511EF">
      <w:pPr>
        <w:pStyle w:val="Leipteksti"/>
        <w:ind w:left="1304"/>
        <w:jc w:val="both"/>
      </w:pPr>
    </w:p>
    <w:p w:rsidR="00A20C5B" w:rsidRDefault="00A20C5B" w:rsidP="00B511EF">
      <w:pPr>
        <w:pStyle w:val="Leipteksti"/>
        <w:jc w:val="both"/>
        <w:rPr>
          <w:b/>
        </w:rPr>
      </w:pPr>
    </w:p>
    <w:p w:rsidR="00C034F5" w:rsidRDefault="00A102F9" w:rsidP="00B511EF">
      <w:pPr>
        <w:pStyle w:val="Leipteksti"/>
        <w:jc w:val="both"/>
        <w:rPr>
          <w:b/>
        </w:rPr>
      </w:pPr>
      <w:r>
        <w:rPr>
          <w:b/>
        </w:rPr>
        <w:t>Merkityksellisen sykinnän sanktio</w:t>
      </w:r>
    </w:p>
    <w:p w:rsidR="00A102F9" w:rsidRDefault="00A102F9" w:rsidP="00B511EF">
      <w:pPr>
        <w:pStyle w:val="Leipteksti"/>
        <w:jc w:val="both"/>
        <w:rPr>
          <w:b/>
        </w:rPr>
      </w:pPr>
    </w:p>
    <w:p w:rsidR="00A20C5B" w:rsidRPr="00E554E7" w:rsidRDefault="007E7F67" w:rsidP="00B511EF">
      <w:pPr>
        <w:pStyle w:val="Leipteksti"/>
        <w:ind w:left="1304"/>
        <w:jc w:val="both"/>
        <w:rPr>
          <w:b/>
          <w:i/>
        </w:rPr>
      </w:pPr>
      <w:r>
        <w:rPr>
          <w:b/>
          <w:i/>
        </w:rPr>
        <w:t>Emme</w:t>
      </w:r>
      <w:r w:rsidR="00A102F9" w:rsidRPr="00E554E7">
        <w:rPr>
          <w:b/>
          <w:i/>
        </w:rPr>
        <w:t xml:space="preserve"> näe tarvetta eikä perusteita merkityksellisen sykinnän vuoksi mi</w:t>
      </w:r>
      <w:r w:rsidR="00A102F9" w:rsidRPr="00E554E7">
        <w:rPr>
          <w:b/>
          <w:i/>
        </w:rPr>
        <w:t>t</w:t>
      </w:r>
      <w:r w:rsidR="00A102F9" w:rsidRPr="00E554E7">
        <w:rPr>
          <w:b/>
          <w:i/>
        </w:rPr>
        <w:t xml:space="preserve">taustulokseen tehtävään korjaukseen. </w:t>
      </w:r>
    </w:p>
    <w:p w:rsidR="00A20C5B" w:rsidRDefault="00A20C5B" w:rsidP="00B511EF">
      <w:pPr>
        <w:pStyle w:val="Leipteksti"/>
        <w:ind w:left="1304"/>
        <w:jc w:val="both"/>
      </w:pPr>
    </w:p>
    <w:p w:rsidR="00A102F9" w:rsidRDefault="00A102F9" w:rsidP="00B511EF">
      <w:pPr>
        <w:pStyle w:val="Leipteksti"/>
        <w:ind w:left="1304"/>
        <w:jc w:val="both"/>
      </w:pPr>
      <w:r>
        <w:t>Luonnoksen mukaan tuulivoimamelulle tulisi pysyvän asumisen osalta 5-10 dB muita melulähteitä tiukemmat ohjearvot</w:t>
      </w:r>
      <w:r w:rsidR="00A20C5B">
        <w:t xml:space="preserve"> ja loma-asutuksen osalta muita melulä</w:t>
      </w:r>
      <w:r w:rsidR="00A20C5B">
        <w:t>h</w:t>
      </w:r>
      <w:r w:rsidR="00A20C5B">
        <w:t xml:space="preserve">teitä vastaavat ohjearvot. Näin ollen </w:t>
      </w:r>
      <w:r w:rsidR="00A20C5B" w:rsidRPr="00E554E7">
        <w:rPr>
          <w:u w:val="single"/>
        </w:rPr>
        <w:t>pysyvän asetuksen kohdalla tuulivoimamelun mahdolliset erityispiirteet on jo otettu huomioon ohjearvotaso</w:t>
      </w:r>
      <w:r w:rsidR="00B511EF">
        <w:rPr>
          <w:u w:val="single"/>
        </w:rPr>
        <w:t>i</w:t>
      </w:r>
      <w:r w:rsidR="00A20C5B" w:rsidRPr="00E554E7">
        <w:rPr>
          <w:u w:val="single"/>
        </w:rPr>
        <w:t>ssa</w:t>
      </w:r>
      <w:r w:rsidR="00A20C5B">
        <w:t>, eikä erillinen sanktio ole perusteltu.</w:t>
      </w:r>
    </w:p>
    <w:p w:rsidR="00A20C5B" w:rsidRDefault="00A20C5B" w:rsidP="00B511EF">
      <w:pPr>
        <w:pStyle w:val="Leipteksti"/>
        <w:ind w:left="1304"/>
        <w:jc w:val="both"/>
      </w:pPr>
    </w:p>
    <w:p w:rsidR="00E554E7" w:rsidRDefault="00E554E7" w:rsidP="00B511EF">
      <w:pPr>
        <w:pStyle w:val="Leipteksti"/>
        <w:ind w:left="1304"/>
        <w:jc w:val="both"/>
        <w:rPr>
          <w:szCs w:val="24"/>
        </w:rPr>
      </w:pPr>
      <w:r>
        <w:t xml:space="preserve">Merkityksellisen sykinnän sanktioiminen </w:t>
      </w:r>
      <w:r w:rsidRPr="004E0400">
        <w:rPr>
          <w:u w:val="single"/>
        </w:rPr>
        <w:t>ei ole perusteltua terveys- tai viihtyisyy</w:t>
      </w:r>
      <w:r w:rsidRPr="004E0400">
        <w:rPr>
          <w:u w:val="single"/>
        </w:rPr>
        <w:t>s</w:t>
      </w:r>
      <w:r w:rsidRPr="004E0400">
        <w:rPr>
          <w:u w:val="single"/>
        </w:rPr>
        <w:t>vaikutusten estämiseksi</w:t>
      </w:r>
      <w:r>
        <w:t>. Työterveyslaitoksen tutkimuksen (Tuulivoimamelun te</w:t>
      </w:r>
      <w:r>
        <w:t>r</w:t>
      </w:r>
      <w:r w:rsidR="00B511EF">
        <w:t>veysvaikutukset, Hongisto</w:t>
      </w:r>
      <w:r>
        <w:t xml:space="preserve"> 2014) mukaan</w:t>
      </w:r>
      <w:r w:rsidRPr="00E554E7">
        <w:rPr>
          <w:szCs w:val="24"/>
        </w:rPr>
        <w:t xml:space="preserve"> </w:t>
      </w:r>
      <w:r>
        <w:rPr>
          <w:szCs w:val="24"/>
        </w:rPr>
        <w:t>käytännössä toteutuvilla melutaso</w:t>
      </w:r>
      <w:r w:rsidR="004E0400">
        <w:rPr>
          <w:szCs w:val="24"/>
        </w:rPr>
        <w:t>i</w:t>
      </w:r>
      <w:r>
        <w:rPr>
          <w:szCs w:val="24"/>
        </w:rPr>
        <w:t>lla ja unen laadulla ei ole havaittu yhteyttä –</w:t>
      </w:r>
      <w:r w:rsidR="004E0400">
        <w:rPr>
          <w:szCs w:val="24"/>
        </w:rPr>
        <w:t xml:space="preserve"> ja siten </w:t>
      </w:r>
      <w:r>
        <w:rPr>
          <w:szCs w:val="24"/>
        </w:rPr>
        <w:t>tuulivoimamelulla</w:t>
      </w:r>
      <w:r w:rsidR="004E0400">
        <w:rPr>
          <w:szCs w:val="24"/>
        </w:rPr>
        <w:t xml:space="preserve"> </w:t>
      </w:r>
      <w:r>
        <w:rPr>
          <w:szCs w:val="24"/>
        </w:rPr>
        <w:t>ei ole tervey</w:t>
      </w:r>
      <w:r>
        <w:rPr>
          <w:szCs w:val="24"/>
        </w:rPr>
        <w:t>s</w:t>
      </w:r>
      <w:r>
        <w:rPr>
          <w:szCs w:val="24"/>
        </w:rPr>
        <w:t>vaikutuksia</w:t>
      </w:r>
      <w:r w:rsidR="004E0400" w:rsidRPr="004E0400">
        <w:rPr>
          <w:szCs w:val="24"/>
        </w:rPr>
        <w:t xml:space="preserve"> </w:t>
      </w:r>
      <w:r w:rsidR="004E0400">
        <w:rPr>
          <w:szCs w:val="24"/>
        </w:rPr>
        <w:t>yli 40 dB:n tasollakaan</w:t>
      </w:r>
      <w:r>
        <w:rPr>
          <w:szCs w:val="24"/>
        </w:rPr>
        <w:t xml:space="preserve">. </w:t>
      </w:r>
      <w:r w:rsidR="004E0400">
        <w:rPr>
          <w:szCs w:val="24"/>
        </w:rPr>
        <w:t>Kun ulkomelutaso ylittää 40 dB, asunnon s</w:t>
      </w:r>
      <w:r w:rsidR="004E0400">
        <w:rPr>
          <w:szCs w:val="24"/>
        </w:rPr>
        <w:t>i</w:t>
      </w:r>
      <w:r w:rsidR="004E0400">
        <w:rPr>
          <w:szCs w:val="24"/>
        </w:rPr>
        <w:t xml:space="preserve">säpuolisen melun </w:t>
      </w:r>
      <w:r w:rsidR="00871F92">
        <w:rPr>
          <w:szCs w:val="24"/>
        </w:rPr>
        <w:t xml:space="preserve">kokeminen häiritseväksi alkaa. Näissä tutkimustuloksessa on mukana tuulivoimamelun erityispiirteet. Tulokset ovat </w:t>
      </w:r>
      <w:r w:rsidR="00B657CC">
        <w:rPr>
          <w:szCs w:val="24"/>
        </w:rPr>
        <w:t xml:space="preserve">siten </w:t>
      </w:r>
      <w:r w:rsidR="00871F92">
        <w:rPr>
          <w:szCs w:val="24"/>
        </w:rPr>
        <w:t>sinällään sovellett</w:t>
      </w:r>
      <w:r w:rsidR="00871F92">
        <w:rPr>
          <w:szCs w:val="24"/>
        </w:rPr>
        <w:t>a</w:t>
      </w:r>
      <w:r w:rsidR="00871F92">
        <w:rPr>
          <w:szCs w:val="24"/>
        </w:rPr>
        <w:t>vissa ohjearvoiksi eikä ylimääräinen ja käytännössä ohjearvoja laskeva sanktio ole perusteltu.</w:t>
      </w:r>
    </w:p>
    <w:p w:rsidR="00B657CC" w:rsidRDefault="00B657CC" w:rsidP="00B511EF">
      <w:pPr>
        <w:pStyle w:val="Leipteksti"/>
        <w:ind w:left="1304"/>
        <w:jc w:val="both"/>
        <w:rPr>
          <w:szCs w:val="24"/>
        </w:rPr>
      </w:pPr>
    </w:p>
    <w:p w:rsidR="00A7582D" w:rsidRDefault="00B657CC" w:rsidP="00B511EF">
      <w:pPr>
        <w:pStyle w:val="Leipteksti"/>
        <w:ind w:left="1304"/>
        <w:jc w:val="both"/>
        <w:rPr>
          <w:szCs w:val="24"/>
        </w:rPr>
      </w:pPr>
      <w:r>
        <w:rPr>
          <w:szCs w:val="24"/>
        </w:rPr>
        <w:t>Tuulivoimamelu on luonteeltaan sykkivää. Sen sijaan voimakasta ja merkitykse</w:t>
      </w:r>
      <w:r>
        <w:rPr>
          <w:szCs w:val="24"/>
        </w:rPr>
        <w:t>l</w:t>
      </w:r>
      <w:r>
        <w:rPr>
          <w:szCs w:val="24"/>
        </w:rPr>
        <w:t xml:space="preserve">listä sykintää </w:t>
      </w:r>
      <w:r w:rsidR="000F6B6B">
        <w:rPr>
          <w:szCs w:val="24"/>
        </w:rPr>
        <w:t>voi tapahtua</w:t>
      </w:r>
      <w:r w:rsidR="00EA5141">
        <w:rPr>
          <w:szCs w:val="24"/>
        </w:rPr>
        <w:t xml:space="preserve"> </w:t>
      </w:r>
      <w:r w:rsidR="00A7582D">
        <w:rPr>
          <w:szCs w:val="24"/>
        </w:rPr>
        <w:t xml:space="preserve">ainoastaan </w:t>
      </w:r>
      <w:r w:rsidR="000F6B6B">
        <w:rPr>
          <w:szCs w:val="24"/>
        </w:rPr>
        <w:t xml:space="preserve">satunnaisesti ja lyhytaikaisesti. </w:t>
      </w:r>
      <w:r w:rsidR="00A7582D" w:rsidRPr="00AB3D1E">
        <w:rPr>
          <w:szCs w:val="24"/>
          <w:u w:val="single"/>
        </w:rPr>
        <w:t>Satunna</w:t>
      </w:r>
      <w:r w:rsidR="00A7582D" w:rsidRPr="00AB3D1E">
        <w:rPr>
          <w:szCs w:val="24"/>
          <w:u w:val="single"/>
        </w:rPr>
        <w:t>i</w:t>
      </w:r>
      <w:r w:rsidR="00A7582D" w:rsidRPr="00AB3D1E">
        <w:rPr>
          <w:szCs w:val="24"/>
          <w:u w:val="single"/>
        </w:rPr>
        <w:t>nen ja lyhytaikainen ilmiö ei voi aiheuttaa sellaista terveyshaittaa tai muuta me</w:t>
      </w:r>
      <w:r w:rsidR="00A7582D" w:rsidRPr="00AB3D1E">
        <w:rPr>
          <w:szCs w:val="24"/>
          <w:u w:val="single"/>
        </w:rPr>
        <w:t>r</w:t>
      </w:r>
      <w:r w:rsidR="00A7582D" w:rsidRPr="00AB3D1E">
        <w:rPr>
          <w:szCs w:val="24"/>
          <w:u w:val="single"/>
        </w:rPr>
        <w:t>kittävää ympäristön pilaantumista, mikä oikeuttaisi melun pysyvän sanktioinnin.</w:t>
      </w:r>
      <w:r w:rsidR="00A7582D">
        <w:rPr>
          <w:szCs w:val="24"/>
        </w:rPr>
        <w:t xml:space="preserve"> </w:t>
      </w:r>
      <w:r w:rsidR="00A7582D">
        <w:rPr>
          <w:szCs w:val="24"/>
        </w:rPr>
        <w:lastRenderedPageBreak/>
        <w:t>Lähestulkoon kaikille melulähteille on tyypillistä meluimmission laadun ja voima</w:t>
      </w:r>
      <w:r w:rsidR="00A7582D">
        <w:rPr>
          <w:szCs w:val="24"/>
        </w:rPr>
        <w:t>k</w:t>
      </w:r>
      <w:r w:rsidR="00A7582D">
        <w:rPr>
          <w:szCs w:val="24"/>
        </w:rPr>
        <w:t>kuuden vaihtelu mm. sääolosuhteiden ja toiminnan muutosten vuoksi.</w:t>
      </w:r>
      <w:r w:rsidR="008865D5">
        <w:rPr>
          <w:szCs w:val="24"/>
        </w:rPr>
        <w:t xml:space="preserve"> Melun sanktiointi tulee perustua melun tyypillisiin ja kohtuullis</w:t>
      </w:r>
      <w:r w:rsidR="00AB3D1E">
        <w:rPr>
          <w:szCs w:val="24"/>
        </w:rPr>
        <w:t>en</w:t>
      </w:r>
      <w:r w:rsidR="008865D5">
        <w:rPr>
          <w:szCs w:val="24"/>
        </w:rPr>
        <w:t xml:space="preserve"> pysyviin erityispiirte</w:t>
      </w:r>
      <w:r w:rsidR="008865D5">
        <w:rPr>
          <w:szCs w:val="24"/>
        </w:rPr>
        <w:t>i</w:t>
      </w:r>
      <w:r w:rsidR="008865D5">
        <w:rPr>
          <w:szCs w:val="24"/>
        </w:rPr>
        <w:t>siin.</w:t>
      </w:r>
    </w:p>
    <w:p w:rsidR="008F33BB" w:rsidRDefault="008F33BB" w:rsidP="00B511EF">
      <w:pPr>
        <w:pStyle w:val="Leipteksti"/>
        <w:ind w:left="1304"/>
        <w:jc w:val="both"/>
        <w:rPr>
          <w:szCs w:val="24"/>
        </w:rPr>
      </w:pPr>
    </w:p>
    <w:p w:rsidR="00AB3D1E" w:rsidRDefault="008F33BB" w:rsidP="00B511EF">
      <w:pPr>
        <w:pStyle w:val="Leipteksti"/>
        <w:ind w:left="1304"/>
        <w:jc w:val="both"/>
        <w:rPr>
          <w:szCs w:val="24"/>
        </w:rPr>
      </w:pPr>
      <w:r>
        <w:rPr>
          <w:szCs w:val="24"/>
        </w:rPr>
        <w:t>Puhuri Oy:n tuulivoimapuistoa koskevassa uudessa Työterveyslaitoksen tutkimu</w:t>
      </w:r>
      <w:r>
        <w:rPr>
          <w:szCs w:val="24"/>
        </w:rPr>
        <w:t>k</w:t>
      </w:r>
      <w:r>
        <w:rPr>
          <w:szCs w:val="24"/>
        </w:rPr>
        <w:t>sessa (Melututkimus 7.4.-11.9.2014, raportti AR23-2014-252562, 6.11.2014)  tuulivoimamelulle altistuvaa asukasta pyydettiin raportoimaan tilanteista, jolloin melu oli paljon tai erittäin hä</w:t>
      </w:r>
      <w:r w:rsidR="00651800">
        <w:rPr>
          <w:szCs w:val="24"/>
        </w:rPr>
        <w:t>i</w:t>
      </w:r>
      <w:r>
        <w:rPr>
          <w:szCs w:val="24"/>
        </w:rPr>
        <w:t>ritsevää. Noin viiden kuukauden ajan kestäneen se</w:t>
      </w:r>
      <w:r>
        <w:rPr>
          <w:szCs w:val="24"/>
        </w:rPr>
        <w:t>u</w:t>
      </w:r>
      <w:r>
        <w:rPr>
          <w:szCs w:val="24"/>
        </w:rPr>
        <w:t>rantajakso</w:t>
      </w:r>
      <w:r w:rsidR="00651800">
        <w:rPr>
          <w:szCs w:val="24"/>
        </w:rPr>
        <w:t>n aikana asukas raportoi yhteen</w:t>
      </w:r>
      <w:r>
        <w:rPr>
          <w:szCs w:val="24"/>
        </w:rPr>
        <w:t>s</w:t>
      </w:r>
      <w:r w:rsidR="00651800">
        <w:rPr>
          <w:szCs w:val="24"/>
        </w:rPr>
        <w:t>ä</w:t>
      </w:r>
      <w:r>
        <w:rPr>
          <w:szCs w:val="24"/>
        </w:rPr>
        <w:t xml:space="preserve"> 40 tällaista tilannetta, joissa</w:t>
      </w:r>
      <w:r w:rsidR="003346CB">
        <w:rPr>
          <w:szCs w:val="24"/>
        </w:rPr>
        <w:t xml:space="preserve"> kuite</w:t>
      </w:r>
      <w:r w:rsidR="003346CB">
        <w:rPr>
          <w:szCs w:val="24"/>
        </w:rPr>
        <w:t>n</w:t>
      </w:r>
      <w:r w:rsidR="003346CB">
        <w:rPr>
          <w:szCs w:val="24"/>
        </w:rPr>
        <w:t>kin vain</w:t>
      </w:r>
      <w:r>
        <w:rPr>
          <w:szCs w:val="24"/>
        </w:rPr>
        <w:t xml:space="preserve"> kuudessa </w:t>
      </w:r>
      <w:r w:rsidR="003346CB">
        <w:rPr>
          <w:szCs w:val="24"/>
        </w:rPr>
        <w:t xml:space="preserve">havaittiin </w:t>
      </w:r>
      <w:r>
        <w:rPr>
          <w:szCs w:val="24"/>
        </w:rPr>
        <w:t>tuulivoimamelun olleen merkityksellisesti sykkivää.</w:t>
      </w:r>
    </w:p>
    <w:p w:rsidR="008F33BB" w:rsidRDefault="008F33BB" w:rsidP="00B511EF">
      <w:pPr>
        <w:pStyle w:val="Leipteksti"/>
        <w:ind w:left="1304"/>
        <w:jc w:val="both"/>
        <w:rPr>
          <w:szCs w:val="24"/>
        </w:rPr>
      </w:pPr>
    </w:p>
    <w:p w:rsidR="00DC7F69" w:rsidRDefault="00AB3D1E" w:rsidP="00B511EF">
      <w:pPr>
        <w:pStyle w:val="Leipteksti"/>
        <w:ind w:left="1304"/>
        <w:jc w:val="both"/>
        <w:rPr>
          <w:szCs w:val="24"/>
        </w:rPr>
      </w:pPr>
      <w:r>
        <w:rPr>
          <w:szCs w:val="24"/>
        </w:rPr>
        <w:t xml:space="preserve">Tuulivoimaloiden sijoittaminen suunnitellaan melumallinnuksien perusteella. </w:t>
      </w:r>
      <w:r w:rsidRPr="00DC7F69">
        <w:rPr>
          <w:szCs w:val="24"/>
          <w:u w:val="single"/>
        </w:rPr>
        <w:t>Me</w:t>
      </w:r>
      <w:r w:rsidRPr="00DC7F69">
        <w:rPr>
          <w:szCs w:val="24"/>
          <w:u w:val="single"/>
        </w:rPr>
        <w:t>r</w:t>
      </w:r>
      <w:r w:rsidRPr="00DC7F69">
        <w:rPr>
          <w:szCs w:val="24"/>
          <w:u w:val="single"/>
        </w:rPr>
        <w:t>kittävää sykintää ei voida mallintaa</w:t>
      </w:r>
      <w:r>
        <w:rPr>
          <w:szCs w:val="24"/>
        </w:rPr>
        <w:t xml:space="preserve"> ja siten sen esiintymisen todennäköisyyttä ei voida arvioida suunnitteluvaiheessa. </w:t>
      </w:r>
      <w:r w:rsidRPr="00DC7F69">
        <w:rPr>
          <w:szCs w:val="24"/>
          <w:u w:val="single"/>
        </w:rPr>
        <w:t>Mahdollisuus sanktioon johtaisi käytännössä siihen, että toiminnanharjoittaja joutuisi varmuuden vuoksi ottamaan sanktion a</w:t>
      </w:r>
      <w:r w:rsidRPr="00DC7F69">
        <w:rPr>
          <w:szCs w:val="24"/>
          <w:u w:val="single"/>
        </w:rPr>
        <w:t>i</w:t>
      </w:r>
      <w:r w:rsidRPr="00DC7F69">
        <w:rPr>
          <w:szCs w:val="24"/>
          <w:u w:val="single"/>
        </w:rPr>
        <w:t>na huomioon</w:t>
      </w:r>
      <w:r w:rsidRPr="00AB3D1E">
        <w:rPr>
          <w:szCs w:val="24"/>
        </w:rPr>
        <w:t xml:space="preserve"> ja varautumaan </w:t>
      </w:r>
      <w:r w:rsidR="00DC7F69">
        <w:rPr>
          <w:szCs w:val="24"/>
        </w:rPr>
        <w:t xml:space="preserve">siis käytännössä </w:t>
      </w:r>
      <w:r w:rsidRPr="00AB3D1E">
        <w:rPr>
          <w:szCs w:val="24"/>
        </w:rPr>
        <w:t xml:space="preserve">5 dB </w:t>
      </w:r>
      <w:r w:rsidR="00DC7F69">
        <w:rPr>
          <w:szCs w:val="24"/>
        </w:rPr>
        <w:t>esitettyjä ohjearvoja mat</w:t>
      </w:r>
      <w:r w:rsidR="00DC7F69">
        <w:rPr>
          <w:szCs w:val="24"/>
        </w:rPr>
        <w:t>a</w:t>
      </w:r>
      <w:r w:rsidR="00DC7F69">
        <w:rPr>
          <w:szCs w:val="24"/>
        </w:rPr>
        <w:t xml:space="preserve">lampiin hyväksyttäviin tasoihin. </w:t>
      </w:r>
      <w:r w:rsidR="00DC7F69" w:rsidRPr="00DC7F69">
        <w:rPr>
          <w:szCs w:val="24"/>
        </w:rPr>
        <w:t xml:space="preserve">Tällöin annetut yöohjearvot olisivat käytännössä </w:t>
      </w:r>
      <w:r w:rsidR="00DC7F69">
        <w:rPr>
          <w:szCs w:val="24"/>
        </w:rPr>
        <w:t>35 dB. Asutusta koskeva m</w:t>
      </w:r>
      <w:r w:rsidR="00DC7F69" w:rsidRPr="00DC7F69">
        <w:rPr>
          <w:szCs w:val="24"/>
        </w:rPr>
        <w:t>elutasovaatimus 35 dB rajoitta</w:t>
      </w:r>
      <w:r w:rsidR="00DC7F69">
        <w:rPr>
          <w:szCs w:val="24"/>
        </w:rPr>
        <w:t>isi</w:t>
      </w:r>
      <w:r w:rsidR="00DC7F69" w:rsidRPr="00DC7F69">
        <w:rPr>
          <w:szCs w:val="24"/>
        </w:rPr>
        <w:t xml:space="preserve"> tuulivo</w:t>
      </w:r>
      <w:r w:rsidR="00DC7F69">
        <w:rPr>
          <w:szCs w:val="24"/>
        </w:rPr>
        <w:t>imarakentam</w:t>
      </w:r>
      <w:r w:rsidR="00DC7F69">
        <w:rPr>
          <w:szCs w:val="24"/>
        </w:rPr>
        <w:t>i</w:t>
      </w:r>
      <w:r w:rsidR="00DC7F69">
        <w:rPr>
          <w:szCs w:val="24"/>
        </w:rPr>
        <w:t>sesta merkittävästi. T</w:t>
      </w:r>
      <w:r w:rsidR="00DC7F69" w:rsidRPr="00DC7F69">
        <w:rPr>
          <w:szCs w:val="24"/>
        </w:rPr>
        <w:t>aajamien ulkopuolelle</w:t>
      </w:r>
      <w:r w:rsidR="00DC7F69">
        <w:rPr>
          <w:szCs w:val="24"/>
        </w:rPr>
        <w:t xml:space="preserve"> sijoittuvissa </w:t>
      </w:r>
      <w:r w:rsidR="00DC7F69" w:rsidRPr="00DC7F69">
        <w:rPr>
          <w:szCs w:val="24"/>
        </w:rPr>
        <w:t xml:space="preserve">hankkeissa </w:t>
      </w:r>
      <w:r w:rsidR="00DC7F69" w:rsidRPr="00A338A5">
        <w:rPr>
          <w:szCs w:val="24"/>
        </w:rPr>
        <w:t xml:space="preserve">35 dBA:n </w:t>
      </w:r>
      <w:r w:rsidR="00DC7F69">
        <w:rPr>
          <w:szCs w:val="24"/>
        </w:rPr>
        <w:t>o</w:t>
      </w:r>
      <w:r w:rsidR="00DC7F69">
        <w:rPr>
          <w:szCs w:val="24"/>
        </w:rPr>
        <w:t>h</w:t>
      </w:r>
      <w:r w:rsidR="00DC7F69">
        <w:rPr>
          <w:szCs w:val="24"/>
        </w:rPr>
        <w:t>jearvon soveltaminen on pienentänyt 62 %:a hankkeista</w:t>
      </w:r>
      <w:r w:rsidR="006F77A7">
        <w:rPr>
          <w:szCs w:val="24"/>
        </w:rPr>
        <w:t xml:space="preserve"> keväällä 2014 tehdyn hankekehittäjille suunnatun kyselyn perusteella</w:t>
      </w:r>
      <w:r w:rsidR="00DC7F69">
        <w:rPr>
          <w:szCs w:val="24"/>
        </w:rPr>
        <w:t xml:space="preserve"> (Aula Research, 2014). Hankke</w:t>
      </w:r>
      <w:r w:rsidR="00DC7F69">
        <w:rPr>
          <w:szCs w:val="24"/>
        </w:rPr>
        <w:t>i</w:t>
      </w:r>
      <w:r w:rsidR="00DC7F69">
        <w:rPr>
          <w:szCs w:val="24"/>
        </w:rPr>
        <w:t>den pienentyminen vaikuttaa hankkeiden kannattavuuteen ja viime kädessä t</w:t>
      </w:r>
      <w:r w:rsidR="00DC7F69">
        <w:rPr>
          <w:szCs w:val="24"/>
        </w:rPr>
        <w:t>o</w:t>
      </w:r>
      <w:r w:rsidR="00DC7F69">
        <w:rPr>
          <w:szCs w:val="24"/>
        </w:rPr>
        <w:t>teutettavuuteen.</w:t>
      </w:r>
    </w:p>
    <w:p w:rsidR="00CF7379" w:rsidRDefault="00CF7379" w:rsidP="00B511EF">
      <w:pPr>
        <w:pStyle w:val="Leipteksti"/>
        <w:ind w:left="1304"/>
        <w:jc w:val="both"/>
        <w:rPr>
          <w:szCs w:val="24"/>
        </w:rPr>
      </w:pPr>
    </w:p>
    <w:p w:rsidR="00255580" w:rsidRDefault="00CF7379" w:rsidP="00B511EF">
      <w:pPr>
        <w:pStyle w:val="Leipteksti"/>
        <w:ind w:left="1304"/>
        <w:jc w:val="both"/>
        <w:rPr>
          <w:szCs w:val="24"/>
        </w:rPr>
      </w:pPr>
      <w:r w:rsidRPr="00255580">
        <w:rPr>
          <w:szCs w:val="24"/>
          <w:u w:val="single"/>
        </w:rPr>
        <w:t>Merkitykselliselle sykinnälle ei ole yksiselitteistä määritelmää</w:t>
      </w:r>
      <w:r>
        <w:rPr>
          <w:szCs w:val="24"/>
        </w:rPr>
        <w:t xml:space="preserve">. </w:t>
      </w:r>
      <w:r w:rsidR="005B1E5C">
        <w:rPr>
          <w:szCs w:val="24"/>
        </w:rPr>
        <w:t xml:space="preserve">Tuulivoimamelulle tyypillistä </w:t>
      </w:r>
      <w:r w:rsidRPr="00CF7379">
        <w:rPr>
          <w:szCs w:val="24"/>
        </w:rPr>
        <w:t xml:space="preserve">ei-merkityksellistä </w:t>
      </w:r>
      <w:r w:rsidR="005B1E5C">
        <w:rPr>
          <w:szCs w:val="24"/>
        </w:rPr>
        <w:t>sykintää ei siten voida erottaa</w:t>
      </w:r>
      <w:r w:rsidR="005B1E5C" w:rsidRPr="00CF7379">
        <w:rPr>
          <w:szCs w:val="24"/>
        </w:rPr>
        <w:t xml:space="preserve"> </w:t>
      </w:r>
      <w:r w:rsidR="005B1E5C">
        <w:rPr>
          <w:szCs w:val="24"/>
        </w:rPr>
        <w:t>yleisesti hyväksytt</w:t>
      </w:r>
      <w:r w:rsidR="005B1E5C">
        <w:rPr>
          <w:szCs w:val="24"/>
        </w:rPr>
        <w:t>ä</w:t>
      </w:r>
      <w:r w:rsidR="005B1E5C">
        <w:rPr>
          <w:szCs w:val="24"/>
        </w:rPr>
        <w:t>vällä menetelmällä m</w:t>
      </w:r>
      <w:r w:rsidR="005B1E5C" w:rsidRPr="00CF7379">
        <w:rPr>
          <w:szCs w:val="24"/>
        </w:rPr>
        <w:t>erkitykselli</w:t>
      </w:r>
      <w:r w:rsidR="005B1E5C">
        <w:rPr>
          <w:szCs w:val="24"/>
        </w:rPr>
        <w:t>sestä sykinnästä</w:t>
      </w:r>
      <w:r w:rsidR="005E1ECD">
        <w:rPr>
          <w:szCs w:val="24"/>
        </w:rPr>
        <w:t xml:space="preserve">. Toisin sanoa </w:t>
      </w:r>
      <w:r w:rsidR="005B1E5C">
        <w:rPr>
          <w:szCs w:val="24"/>
        </w:rPr>
        <w:t>sanktion määrä</w:t>
      </w:r>
      <w:r w:rsidR="005B1E5C">
        <w:rPr>
          <w:szCs w:val="24"/>
        </w:rPr>
        <w:t>y</w:t>
      </w:r>
      <w:r w:rsidR="005B1E5C">
        <w:rPr>
          <w:szCs w:val="24"/>
        </w:rPr>
        <w:t>tymiskynnys</w:t>
      </w:r>
      <w:r w:rsidR="005E1ECD">
        <w:rPr>
          <w:szCs w:val="24"/>
        </w:rPr>
        <w:t xml:space="preserve"> ei ole yksiselitteinen. Keskeisimpien tutkimu</w:t>
      </w:r>
      <w:r w:rsidR="004C115A">
        <w:rPr>
          <w:szCs w:val="24"/>
        </w:rPr>
        <w:t xml:space="preserve">sten </w:t>
      </w:r>
      <w:r w:rsidR="005E1ECD">
        <w:rPr>
          <w:szCs w:val="24"/>
        </w:rPr>
        <w:t>(</w:t>
      </w:r>
      <w:r w:rsidR="005E1ECD" w:rsidRPr="005E1ECD">
        <w:rPr>
          <w:szCs w:val="24"/>
        </w:rPr>
        <w:t>Hünerbein ym. 2</w:t>
      </w:r>
      <w:r w:rsidR="005E1ECD">
        <w:rPr>
          <w:szCs w:val="24"/>
        </w:rPr>
        <w:t xml:space="preserve">013 ja Hongisto, 2014) mukaan myöskään </w:t>
      </w:r>
      <w:r w:rsidR="005E1ECD" w:rsidRPr="00255580">
        <w:rPr>
          <w:szCs w:val="24"/>
          <w:u w:val="single"/>
        </w:rPr>
        <w:t>s</w:t>
      </w:r>
      <w:r w:rsidR="005B1E5C" w:rsidRPr="00255580">
        <w:rPr>
          <w:szCs w:val="24"/>
          <w:u w:val="single"/>
        </w:rPr>
        <w:t>ykinnän voimakkuu</w:t>
      </w:r>
      <w:r w:rsidR="005E1ECD" w:rsidRPr="00255580">
        <w:rPr>
          <w:szCs w:val="24"/>
          <w:u w:val="single"/>
        </w:rPr>
        <w:t xml:space="preserve">della ja </w:t>
      </w:r>
      <w:r w:rsidR="005B1E5C" w:rsidRPr="00255580">
        <w:rPr>
          <w:szCs w:val="24"/>
          <w:u w:val="single"/>
        </w:rPr>
        <w:t>melun häiritsevyy</w:t>
      </w:r>
      <w:r w:rsidR="005E1ECD" w:rsidRPr="00255580">
        <w:rPr>
          <w:szCs w:val="24"/>
          <w:u w:val="single"/>
        </w:rPr>
        <w:t>dellä ei ole suoraa yhteyttä</w:t>
      </w:r>
      <w:r w:rsidR="005E1ECD">
        <w:rPr>
          <w:szCs w:val="24"/>
        </w:rPr>
        <w:t>, vaan melun häiritsevyys on riippuvainen melutasosta, tuulivoimalan näkymisestä asutukseen, asuinalueeseen liittyvistä ennakko-odotuksi</w:t>
      </w:r>
      <w:r w:rsidR="00A71F36">
        <w:rPr>
          <w:szCs w:val="24"/>
        </w:rPr>
        <w:t>s</w:t>
      </w:r>
      <w:r w:rsidR="005E1ECD">
        <w:rPr>
          <w:szCs w:val="24"/>
        </w:rPr>
        <w:t>ta sekä siitä, saako tuuliv</w:t>
      </w:r>
      <w:r w:rsidR="00255580">
        <w:rPr>
          <w:szCs w:val="24"/>
        </w:rPr>
        <w:t>oimalasta taloudellista hyötyä.</w:t>
      </w:r>
    </w:p>
    <w:p w:rsidR="00255580" w:rsidRPr="00255580" w:rsidRDefault="00255580" w:rsidP="00B511EF">
      <w:pPr>
        <w:pStyle w:val="Leipteksti"/>
        <w:ind w:left="1304"/>
        <w:jc w:val="both"/>
        <w:rPr>
          <w:szCs w:val="24"/>
        </w:rPr>
      </w:pPr>
    </w:p>
    <w:p w:rsidR="004A056C" w:rsidRDefault="0021554D" w:rsidP="00B511EF">
      <w:pPr>
        <w:pStyle w:val="Leipteksti"/>
        <w:ind w:left="1304"/>
        <w:jc w:val="both"/>
        <w:rPr>
          <w:szCs w:val="24"/>
        </w:rPr>
      </w:pPr>
      <w:r w:rsidRPr="00255580">
        <w:rPr>
          <w:szCs w:val="24"/>
        </w:rPr>
        <w:t xml:space="preserve">Merkityksellisestä sykinnästä </w:t>
      </w:r>
      <w:r w:rsidRPr="003C1180">
        <w:rPr>
          <w:szCs w:val="24"/>
          <w:u w:val="single"/>
        </w:rPr>
        <w:t>ei säädetä muiden</w:t>
      </w:r>
      <w:r w:rsidR="00255580" w:rsidRPr="003C1180">
        <w:rPr>
          <w:szCs w:val="24"/>
          <w:u w:val="single"/>
        </w:rPr>
        <w:t>kaan</w:t>
      </w:r>
      <w:r w:rsidRPr="003C1180">
        <w:rPr>
          <w:szCs w:val="24"/>
          <w:u w:val="single"/>
        </w:rPr>
        <w:t xml:space="preserve"> melulähteiden osalta</w:t>
      </w:r>
      <w:r w:rsidR="00255580">
        <w:rPr>
          <w:szCs w:val="24"/>
        </w:rPr>
        <w:t>, vaikka mm. teollisuusmelu ja liikennemelu voi olla jaksottaista. Tuulivoimamelua on tä</w:t>
      </w:r>
      <w:r w:rsidR="00255580">
        <w:rPr>
          <w:szCs w:val="24"/>
        </w:rPr>
        <w:t>s</w:t>
      </w:r>
      <w:r w:rsidR="00255580">
        <w:rPr>
          <w:szCs w:val="24"/>
        </w:rPr>
        <w:t xml:space="preserve">sä suhteessa kohdeltava muun melun tavoin. </w:t>
      </w:r>
    </w:p>
    <w:p w:rsidR="004A056C" w:rsidRDefault="004A056C" w:rsidP="00B511EF">
      <w:pPr>
        <w:pStyle w:val="Leipteksti"/>
        <w:ind w:left="1304"/>
        <w:jc w:val="both"/>
        <w:rPr>
          <w:szCs w:val="24"/>
        </w:rPr>
      </w:pPr>
    </w:p>
    <w:p w:rsidR="0021554D" w:rsidRPr="00255580" w:rsidRDefault="00255580" w:rsidP="00B511EF">
      <w:pPr>
        <w:pStyle w:val="Leipteksti"/>
        <w:ind w:left="1304"/>
        <w:jc w:val="both"/>
        <w:rPr>
          <w:szCs w:val="24"/>
        </w:rPr>
      </w:pPr>
      <w:r>
        <w:rPr>
          <w:szCs w:val="24"/>
        </w:rPr>
        <w:t>Tuulivoimamelulle ei ole myöskään mm. Ruotsissa säädetty merkitykselliseen s</w:t>
      </w:r>
      <w:r>
        <w:rPr>
          <w:szCs w:val="24"/>
        </w:rPr>
        <w:t>y</w:t>
      </w:r>
      <w:r>
        <w:rPr>
          <w:szCs w:val="24"/>
        </w:rPr>
        <w:t>kintään liittyvää sanktiota.</w:t>
      </w:r>
    </w:p>
    <w:p w:rsidR="0021554D" w:rsidRPr="00C034F5" w:rsidRDefault="0021554D" w:rsidP="00B511EF">
      <w:pPr>
        <w:pStyle w:val="Leipteksti"/>
        <w:jc w:val="both"/>
        <w:rPr>
          <w:b/>
        </w:rPr>
      </w:pPr>
    </w:p>
    <w:p w:rsidR="00C034F5" w:rsidRPr="00EC574C" w:rsidRDefault="00C034F5" w:rsidP="00B511EF">
      <w:pPr>
        <w:pStyle w:val="Leipteksti"/>
        <w:jc w:val="both"/>
        <w:rPr>
          <w:b/>
        </w:rPr>
      </w:pPr>
    </w:p>
    <w:p w:rsidR="00C034F5" w:rsidRPr="00C034F5" w:rsidRDefault="00C034F5" w:rsidP="00B511EF">
      <w:pPr>
        <w:pStyle w:val="Leipteksti"/>
        <w:jc w:val="both"/>
        <w:rPr>
          <w:b/>
        </w:rPr>
      </w:pPr>
      <w:r w:rsidRPr="00C034F5">
        <w:rPr>
          <w:b/>
        </w:rPr>
        <w:t>Tuulivoimaa koskevat meluohjearvot teollisuus- ja liiken</w:t>
      </w:r>
      <w:r>
        <w:rPr>
          <w:b/>
        </w:rPr>
        <w:t>ne</w:t>
      </w:r>
      <w:r w:rsidRPr="00C034F5">
        <w:rPr>
          <w:b/>
        </w:rPr>
        <w:t xml:space="preserve">melualueilla </w:t>
      </w:r>
    </w:p>
    <w:p w:rsidR="00E513B7" w:rsidRDefault="00E513B7" w:rsidP="00B511EF">
      <w:pPr>
        <w:pStyle w:val="Leipteksti"/>
        <w:jc w:val="both"/>
      </w:pPr>
    </w:p>
    <w:p w:rsidR="00A91CA1" w:rsidRDefault="00CB1D02" w:rsidP="00B511EF">
      <w:pPr>
        <w:pStyle w:val="Leipteksti"/>
        <w:ind w:left="1304"/>
        <w:jc w:val="both"/>
        <w:rPr>
          <w:b/>
        </w:rPr>
      </w:pPr>
      <w:r w:rsidRPr="00580378">
        <w:rPr>
          <w:szCs w:val="24"/>
        </w:rPr>
        <w:t xml:space="preserve">Teollisuus ja liikenne saavat tuottaa pysyvälle asutukselle </w:t>
      </w:r>
      <w:r w:rsidR="00580378" w:rsidRPr="00580378">
        <w:rPr>
          <w:szCs w:val="24"/>
        </w:rPr>
        <w:t>10 dB korkeammat m</w:t>
      </w:r>
      <w:r w:rsidR="00580378" w:rsidRPr="00580378">
        <w:rPr>
          <w:szCs w:val="24"/>
        </w:rPr>
        <w:t>e</w:t>
      </w:r>
      <w:r w:rsidR="00580378" w:rsidRPr="00580378">
        <w:rPr>
          <w:szCs w:val="24"/>
        </w:rPr>
        <w:t>lutasot kuin tuulivoima</w:t>
      </w:r>
      <w:r w:rsidR="00580378">
        <w:rPr>
          <w:szCs w:val="24"/>
        </w:rPr>
        <w:t>melu nyt käsillä olevan luonnoksen perusteella.</w:t>
      </w:r>
      <w:r w:rsidRPr="00580378">
        <w:rPr>
          <w:szCs w:val="24"/>
        </w:rPr>
        <w:t xml:space="preserve"> </w:t>
      </w:r>
      <w:r w:rsidR="00AB0C94">
        <w:t xml:space="preserve">Tällaisissa tilanteissa tuulivoimamelun rajoittaminen muuta ympäristömelua matalammaksi on perusteetonta ja </w:t>
      </w:r>
      <w:r w:rsidR="00AB0C94" w:rsidRPr="009E1CD7">
        <w:rPr>
          <w:szCs w:val="24"/>
        </w:rPr>
        <w:t>tarpeetonta.</w:t>
      </w:r>
      <w:r w:rsidR="00AB0C94" w:rsidRPr="00AB0C94">
        <w:rPr>
          <w:szCs w:val="24"/>
        </w:rPr>
        <w:t xml:space="preserve"> </w:t>
      </w:r>
      <w:r w:rsidR="00AB0C94">
        <w:rPr>
          <w:szCs w:val="24"/>
        </w:rPr>
        <w:t>Sen sijaan s</w:t>
      </w:r>
      <w:r w:rsidR="00AB0C94" w:rsidRPr="00580378">
        <w:rPr>
          <w:szCs w:val="24"/>
        </w:rPr>
        <w:t>äänt</w:t>
      </w:r>
      <w:r w:rsidR="00AB0C94">
        <w:rPr>
          <w:szCs w:val="24"/>
        </w:rPr>
        <w:t xml:space="preserve">ely </w:t>
      </w:r>
      <w:r w:rsidR="00AB0C94" w:rsidRPr="00580378">
        <w:rPr>
          <w:szCs w:val="24"/>
        </w:rPr>
        <w:t>vaikeuttai</w:t>
      </w:r>
      <w:r w:rsidR="00AB0C94">
        <w:rPr>
          <w:szCs w:val="24"/>
        </w:rPr>
        <w:t>si</w:t>
      </w:r>
      <w:r w:rsidR="00AB0C94" w:rsidRPr="00580378">
        <w:rPr>
          <w:szCs w:val="24"/>
        </w:rPr>
        <w:t xml:space="preserve"> tuulivoiman r</w:t>
      </w:r>
      <w:r w:rsidR="00AB0C94" w:rsidRPr="00580378">
        <w:rPr>
          <w:szCs w:val="24"/>
        </w:rPr>
        <w:t>a</w:t>
      </w:r>
      <w:r w:rsidR="00AB0C94" w:rsidRPr="00580378">
        <w:rPr>
          <w:szCs w:val="24"/>
        </w:rPr>
        <w:t>kentamis</w:t>
      </w:r>
      <w:r w:rsidR="00AB0C94">
        <w:rPr>
          <w:szCs w:val="24"/>
        </w:rPr>
        <w:t>ta mm. teollisuusalueille.</w:t>
      </w:r>
      <w:r w:rsidR="00AB0C94" w:rsidRPr="00A91CA1">
        <w:rPr>
          <w:szCs w:val="24"/>
        </w:rPr>
        <w:t xml:space="preserve"> </w:t>
      </w:r>
      <w:r w:rsidR="003423A2">
        <w:rPr>
          <w:szCs w:val="24"/>
        </w:rPr>
        <w:t xml:space="preserve">Taustamelualueilla </w:t>
      </w:r>
      <w:r w:rsidR="003423A2">
        <w:rPr>
          <w:szCs w:val="24"/>
          <w:u w:val="single"/>
        </w:rPr>
        <w:t>t</w:t>
      </w:r>
      <w:r w:rsidR="00AB0C94" w:rsidRPr="00A91CA1">
        <w:rPr>
          <w:szCs w:val="24"/>
          <w:u w:val="single"/>
        </w:rPr>
        <w:t>uulivoimaloiden toiminna</w:t>
      </w:r>
      <w:r w:rsidR="00AB0C94" w:rsidRPr="00A91CA1">
        <w:rPr>
          <w:szCs w:val="24"/>
          <w:u w:val="single"/>
        </w:rPr>
        <w:t>s</w:t>
      </w:r>
      <w:r w:rsidR="00AB0C94" w:rsidRPr="00A91CA1">
        <w:rPr>
          <w:szCs w:val="24"/>
          <w:u w:val="single"/>
        </w:rPr>
        <w:t>ta aiheutuva</w:t>
      </w:r>
      <w:r w:rsidR="00A91CA1" w:rsidRPr="00A91CA1">
        <w:rPr>
          <w:szCs w:val="24"/>
          <w:u w:val="single"/>
        </w:rPr>
        <w:t>n</w:t>
      </w:r>
      <w:r w:rsidR="00AB0C94" w:rsidRPr="00A91CA1">
        <w:rPr>
          <w:szCs w:val="24"/>
          <w:u w:val="single"/>
        </w:rPr>
        <w:t xml:space="preserve"> sallittava</w:t>
      </w:r>
      <w:r w:rsidR="00A91CA1" w:rsidRPr="00A91CA1">
        <w:rPr>
          <w:szCs w:val="24"/>
          <w:u w:val="single"/>
        </w:rPr>
        <w:t>n</w:t>
      </w:r>
      <w:r w:rsidR="00AB0C94" w:rsidRPr="00A91CA1">
        <w:rPr>
          <w:szCs w:val="24"/>
          <w:u w:val="single"/>
        </w:rPr>
        <w:t xml:space="preserve"> melutaso</w:t>
      </w:r>
      <w:r w:rsidR="00A91CA1" w:rsidRPr="00A91CA1">
        <w:rPr>
          <w:szCs w:val="24"/>
          <w:u w:val="single"/>
        </w:rPr>
        <w:t>n</w:t>
      </w:r>
      <w:r w:rsidR="00AB0C94" w:rsidRPr="00A91CA1">
        <w:rPr>
          <w:szCs w:val="24"/>
          <w:u w:val="single"/>
        </w:rPr>
        <w:t xml:space="preserve"> on </w:t>
      </w:r>
      <w:r w:rsidR="00A91CA1" w:rsidRPr="00A91CA1">
        <w:rPr>
          <w:szCs w:val="24"/>
          <w:u w:val="single"/>
        </w:rPr>
        <w:t>vastattava muista toiminnoista aiheutuvaa sallittavaa melutasoa siten, että toimijoiden aiheuttama yhteismelu ei ylitä melulle altistuvalla alueella VNp 993/1992 mukaisia ohjearvoja</w:t>
      </w:r>
      <w:r w:rsidR="00A91CA1">
        <w:rPr>
          <w:szCs w:val="24"/>
        </w:rPr>
        <w:t>.</w:t>
      </w:r>
    </w:p>
    <w:p w:rsidR="00A91CA1" w:rsidRDefault="00A91CA1" w:rsidP="00B511EF">
      <w:pPr>
        <w:pStyle w:val="Leipteksti"/>
        <w:ind w:left="1304"/>
        <w:jc w:val="both"/>
        <w:rPr>
          <w:b/>
        </w:rPr>
      </w:pPr>
    </w:p>
    <w:p w:rsidR="003E1903" w:rsidRDefault="003E1903" w:rsidP="00B511EF">
      <w:pPr>
        <w:pStyle w:val="Luettelokappale"/>
        <w:ind w:left="1440"/>
        <w:jc w:val="both"/>
        <w:rPr>
          <w:rFonts w:ascii="Calibri" w:hAnsi="Calibri"/>
          <w:color w:val="1F497D"/>
          <w:sz w:val="22"/>
          <w:szCs w:val="22"/>
        </w:rPr>
      </w:pPr>
    </w:p>
    <w:p w:rsidR="003E1903" w:rsidRPr="00EC574C" w:rsidRDefault="003E1903" w:rsidP="00EC574C">
      <w:pPr>
        <w:pStyle w:val="Leipteksti"/>
        <w:jc w:val="both"/>
        <w:rPr>
          <w:b/>
        </w:rPr>
      </w:pPr>
      <w:r w:rsidRPr="00EC574C">
        <w:rPr>
          <w:b/>
        </w:rPr>
        <w:t>Virkistysalueen määritelmä</w:t>
      </w:r>
    </w:p>
    <w:p w:rsidR="003E1903" w:rsidRDefault="003E1903" w:rsidP="00B511EF">
      <w:pPr>
        <w:pStyle w:val="Luettelokappale"/>
        <w:ind w:left="1440"/>
        <w:jc w:val="both"/>
        <w:rPr>
          <w:rFonts w:ascii="Calibri" w:hAnsi="Calibri"/>
          <w:color w:val="1F497D"/>
          <w:sz w:val="22"/>
          <w:szCs w:val="22"/>
        </w:rPr>
      </w:pPr>
    </w:p>
    <w:p w:rsidR="003E1903" w:rsidRPr="00591CCF" w:rsidRDefault="003E1903" w:rsidP="00B511EF">
      <w:pPr>
        <w:pStyle w:val="Leipteksti"/>
        <w:ind w:left="1304"/>
        <w:jc w:val="both"/>
        <w:rPr>
          <w:szCs w:val="24"/>
        </w:rPr>
      </w:pPr>
      <w:r w:rsidRPr="00591CCF">
        <w:rPr>
          <w:szCs w:val="24"/>
        </w:rPr>
        <w:t>Virkistysalueen määritelmään (2 §) on otettu mukaan ”yleisessä virkistyskäytössä olevat alu</w:t>
      </w:r>
      <w:r w:rsidR="004A056C" w:rsidRPr="00591CCF">
        <w:rPr>
          <w:szCs w:val="24"/>
        </w:rPr>
        <w:t>eet”</w:t>
      </w:r>
      <w:r w:rsidRPr="00591CCF">
        <w:rPr>
          <w:szCs w:val="24"/>
        </w:rPr>
        <w:t xml:space="preserve">. Tämä tulee poistaa ja </w:t>
      </w:r>
      <w:r w:rsidRPr="00591CCF">
        <w:rPr>
          <w:szCs w:val="24"/>
          <w:u w:val="single"/>
        </w:rPr>
        <w:t>virkistysalueet tulee määritellä ainoastaan maankäyttö- ja rakennuslain mukaisen kaavan käyttötarkoituksen perusteella.</w:t>
      </w:r>
      <w:r w:rsidRPr="00591CCF">
        <w:rPr>
          <w:szCs w:val="24"/>
        </w:rPr>
        <w:t xml:space="preserve"> Luonnoksen määritelmä hämärtää ohjearvojen soveltamisaluetta</w:t>
      </w:r>
      <w:r w:rsidR="004A056C" w:rsidRPr="00591CCF">
        <w:rPr>
          <w:szCs w:val="24"/>
        </w:rPr>
        <w:t>,</w:t>
      </w:r>
      <w:r w:rsidRPr="00591CCF">
        <w:rPr>
          <w:szCs w:val="24"/>
        </w:rPr>
        <w:t xml:space="preserve"> sillä yleisessä virkistyskäytössä olevia alueita ei voida yksiselitteisesti todeta.</w:t>
      </w:r>
    </w:p>
    <w:p w:rsidR="003E1903" w:rsidRDefault="003E1903" w:rsidP="00B511EF">
      <w:pPr>
        <w:jc w:val="both"/>
        <w:rPr>
          <w:rFonts w:ascii="Calibri" w:hAnsi="Calibri"/>
          <w:b/>
          <w:sz w:val="22"/>
          <w:szCs w:val="22"/>
        </w:rPr>
      </w:pPr>
    </w:p>
    <w:p w:rsidR="00E25A5D" w:rsidRPr="00EC574C" w:rsidRDefault="00E25A5D" w:rsidP="00EC574C">
      <w:pPr>
        <w:pStyle w:val="Leipteksti"/>
        <w:jc w:val="both"/>
        <w:rPr>
          <w:b/>
        </w:rPr>
      </w:pPr>
      <w:r w:rsidRPr="00EC574C">
        <w:rPr>
          <w:b/>
        </w:rPr>
        <w:t>Ohjearvojen soveltami</w:t>
      </w:r>
      <w:r w:rsidR="003346CB">
        <w:rPr>
          <w:b/>
        </w:rPr>
        <w:t>nen</w:t>
      </w:r>
    </w:p>
    <w:p w:rsidR="00E25A5D" w:rsidRPr="00591CCF" w:rsidRDefault="00E25A5D" w:rsidP="00B511EF">
      <w:pPr>
        <w:pStyle w:val="Leipteksti"/>
        <w:ind w:left="1304"/>
        <w:jc w:val="both"/>
        <w:rPr>
          <w:szCs w:val="24"/>
        </w:rPr>
      </w:pPr>
    </w:p>
    <w:p w:rsidR="00E25A5D" w:rsidRDefault="00E25A5D" w:rsidP="00B511EF">
      <w:pPr>
        <w:pStyle w:val="Leipteksti"/>
        <w:ind w:left="1304"/>
        <w:jc w:val="both"/>
        <w:rPr>
          <w:szCs w:val="24"/>
        </w:rPr>
      </w:pPr>
      <w:r w:rsidRPr="00591CCF">
        <w:rPr>
          <w:szCs w:val="24"/>
        </w:rPr>
        <w:t>Luonnoksen mukaan melutaso ei saa ulkona ylittää melulle altistuvalla alueella ohjearvoja (3 §). Pykälän taulukossa on annettu ohjearvot mm. pysyvälle ja v</w:t>
      </w:r>
      <w:r w:rsidRPr="00591CCF">
        <w:rPr>
          <w:szCs w:val="24"/>
        </w:rPr>
        <w:t>a</w:t>
      </w:r>
      <w:r w:rsidRPr="00591CCF">
        <w:rPr>
          <w:szCs w:val="24"/>
        </w:rPr>
        <w:t>paa-aj</w:t>
      </w:r>
      <w:r w:rsidR="003E1903" w:rsidRPr="00591CCF">
        <w:rPr>
          <w:szCs w:val="24"/>
        </w:rPr>
        <w:t>an asutukselle. Pykälästä ei kuitenkaan ilmene, kuinka asutusta koskeva alue tulee tulkita. Pykälää tulee täsmentää siten, että ohjearvot koskeva</w:t>
      </w:r>
      <w:r w:rsidR="00591CCF">
        <w:rPr>
          <w:szCs w:val="24"/>
        </w:rPr>
        <w:t>t</w:t>
      </w:r>
      <w:r w:rsidR="003E1903" w:rsidRPr="00591CCF">
        <w:rPr>
          <w:szCs w:val="24"/>
        </w:rPr>
        <w:t xml:space="preserve"> asutu</w:t>
      </w:r>
      <w:r w:rsidR="003E1903" w:rsidRPr="00591CCF">
        <w:rPr>
          <w:szCs w:val="24"/>
        </w:rPr>
        <w:t>k</w:t>
      </w:r>
      <w:r w:rsidR="003E1903" w:rsidRPr="00591CCF">
        <w:rPr>
          <w:szCs w:val="24"/>
        </w:rPr>
        <w:t xml:space="preserve">sen (2 §:n mukaisesti rakennuksen) </w:t>
      </w:r>
      <w:r w:rsidR="003E1903" w:rsidRPr="00591CCF">
        <w:rPr>
          <w:szCs w:val="24"/>
          <w:u w:val="single"/>
        </w:rPr>
        <w:t>välitöntä läheisyyttä</w:t>
      </w:r>
      <w:r w:rsidR="003E1903" w:rsidRPr="00591CCF">
        <w:rPr>
          <w:szCs w:val="24"/>
        </w:rPr>
        <w:t xml:space="preserve">. Tällöin ohjearvoja </w:t>
      </w:r>
      <w:r w:rsidR="004A056C" w:rsidRPr="00591CCF">
        <w:rPr>
          <w:szCs w:val="24"/>
        </w:rPr>
        <w:t xml:space="preserve">ei tarpeettomasti </w:t>
      </w:r>
      <w:r w:rsidR="003E1903" w:rsidRPr="00591CCF">
        <w:rPr>
          <w:szCs w:val="24"/>
        </w:rPr>
        <w:t>sovelleta asuinkiinteistöjen sellaisiin alueisiin, jot</w:t>
      </w:r>
      <w:r w:rsidR="004A056C" w:rsidRPr="00591CCF">
        <w:rPr>
          <w:szCs w:val="24"/>
        </w:rPr>
        <w:t>k</w:t>
      </w:r>
      <w:r w:rsidR="003E1903" w:rsidRPr="00591CCF">
        <w:rPr>
          <w:szCs w:val="24"/>
        </w:rPr>
        <w:t>a eivät ole ole</w:t>
      </w:r>
      <w:r w:rsidR="003E1903" w:rsidRPr="00591CCF">
        <w:rPr>
          <w:szCs w:val="24"/>
        </w:rPr>
        <w:t>s</w:t>
      </w:r>
      <w:r w:rsidR="003E1903" w:rsidRPr="00591CCF">
        <w:rPr>
          <w:szCs w:val="24"/>
        </w:rPr>
        <w:t>keluun käytettäviä piha-alueita.</w:t>
      </w:r>
    </w:p>
    <w:p w:rsidR="003346CB" w:rsidRDefault="003346CB" w:rsidP="00B511EF">
      <w:pPr>
        <w:pStyle w:val="Leipteksti"/>
        <w:ind w:left="1304"/>
        <w:jc w:val="both"/>
        <w:rPr>
          <w:szCs w:val="24"/>
        </w:rPr>
      </w:pPr>
    </w:p>
    <w:p w:rsidR="003346CB" w:rsidRPr="00591CCF" w:rsidRDefault="003346CB" w:rsidP="00B511EF">
      <w:pPr>
        <w:pStyle w:val="Leipteksti"/>
        <w:ind w:left="1304"/>
        <w:jc w:val="both"/>
        <w:rPr>
          <w:szCs w:val="24"/>
        </w:rPr>
      </w:pPr>
      <w:r>
        <w:rPr>
          <w:szCs w:val="24"/>
        </w:rPr>
        <w:t>Asetus on annettu terveys- ja viihtyisyyshaittojen estämiseksi. Tämän vuoksi a</w:t>
      </w:r>
      <w:r w:rsidRPr="00FA1FF1">
        <w:rPr>
          <w:szCs w:val="24"/>
          <w:u w:val="single"/>
        </w:rPr>
        <w:t>s</w:t>
      </w:r>
      <w:r w:rsidRPr="00FA1FF1">
        <w:rPr>
          <w:szCs w:val="24"/>
          <w:u w:val="single"/>
        </w:rPr>
        <w:t>e</w:t>
      </w:r>
      <w:r w:rsidRPr="00FA1FF1">
        <w:rPr>
          <w:szCs w:val="24"/>
          <w:u w:val="single"/>
        </w:rPr>
        <w:t xml:space="preserve">tusta ei ole tarpeen soveltaa asumattomiin </w:t>
      </w:r>
      <w:r w:rsidR="00FA1FF1" w:rsidRPr="00FA1FF1">
        <w:rPr>
          <w:szCs w:val="24"/>
          <w:u w:val="single"/>
        </w:rPr>
        <w:t>pysyvän tai vapaa-ajan asu</w:t>
      </w:r>
      <w:r w:rsidRPr="00FA1FF1">
        <w:rPr>
          <w:szCs w:val="24"/>
          <w:u w:val="single"/>
        </w:rPr>
        <w:t>tuksen r</w:t>
      </w:r>
      <w:r w:rsidRPr="00FA1FF1">
        <w:rPr>
          <w:szCs w:val="24"/>
          <w:u w:val="single"/>
        </w:rPr>
        <w:t>a</w:t>
      </w:r>
      <w:r w:rsidRPr="00FA1FF1">
        <w:rPr>
          <w:szCs w:val="24"/>
          <w:u w:val="single"/>
        </w:rPr>
        <w:t>kennuks</w:t>
      </w:r>
      <w:r w:rsidR="00FA1FF1">
        <w:rPr>
          <w:szCs w:val="24"/>
          <w:u w:val="single"/>
        </w:rPr>
        <w:t>ii</w:t>
      </w:r>
      <w:r w:rsidRPr="00FA1FF1">
        <w:rPr>
          <w:szCs w:val="24"/>
          <w:u w:val="single"/>
        </w:rPr>
        <w:t>n</w:t>
      </w:r>
      <w:r>
        <w:rPr>
          <w:szCs w:val="24"/>
        </w:rPr>
        <w:t xml:space="preserve">. Tällaisia ovat esimerkiksi asumiskelvottomat rakennukset. </w:t>
      </w:r>
      <w:r w:rsidR="00193448">
        <w:rPr>
          <w:szCs w:val="24"/>
        </w:rPr>
        <w:t>Asetuksen 2 §:n määritelmiä tulee tältä osin täsmentää.</w:t>
      </w:r>
    </w:p>
    <w:p w:rsidR="00E25A5D" w:rsidRDefault="00E25A5D" w:rsidP="00B511EF">
      <w:pPr>
        <w:jc w:val="both"/>
        <w:rPr>
          <w:rFonts w:ascii="Calibri" w:hAnsi="Calibri"/>
          <w:b/>
          <w:sz w:val="22"/>
          <w:szCs w:val="22"/>
        </w:rPr>
      </w:pPr>
    </w:p>
    <w:p w:rsidR="00C034F5" w:rsidRPr="00EC574C" w:rsidRDefault="00C034F5" w:rsidP="00EC574C">
      <w:pPr>
        <w:pStyle w:val="Leipteksti"/>
        <w:jc w:val="both"/>
        <w:rPr>
          <w:b/>
        </w:rPr>
      </w:pPr>
      <w:r w:rsidRPr="00EC574C">
        <w:rPr>
          <w:b/>
        </w:rPr>
        <w:t>Voimaantulosäännökset</w:t>
      </w:r>
    </w:p>
    <w:p w:rsidR="00C034F5" w:rsidRPr="000674ED" w:rsidRDefault="00C034F5" w:rsidP="00B511EF">
      <w:pPr>
        <w:jc w:val="both"/>
        <w:rPr>
          <w:rFonts w:ascii="Calibri" w:hAnsi="Calibri"/>
          <w:sz w:val="22"/>
          <w:szCs w:val="22"/>
        </w:rPr>
      </w:pPr>
    </w:p>
    <w:p w:rsidR="0028325D" w:rsidRPr="00591CCF" w:rsidRDefault="00C836FF" w:rsidP="00B511EF">
      <w:pPr>
        <w:pStyle w:val="Leipteksti"/>
        <w:ind w:left="1304"/>
        <w:jc w:val="both"/>
        <w:rPr>
          <w:szCs w:val="24"/>
        </w:rPr>
      </w:pPr>
      <w:r w:rsidRPr="00591CCF">
        <w:rPr>
          <w:szCs w:val="24"/>
        </w:rPr>
        <w:t>Osa nyt toimivista tuulivoimaloista on suunniteltu ja sijoitettu VNp 993/1992 m</w:t>
      </w:r>
      <w:r w:rsidRPr="00591CCF">
        <w:rPr>
          <w:szCs w:val="24"/>
        </w:rPr>
        <w:t>u</w:t>
      </w:r>
      <w:r w:rsidRPr="00591CCF">
        <w:rPr>
          <w:szCs w:val="24"/>
        </w:rPr>
        <w:t>kaisten ohjearvojen mukaan.  Näiden tuulivoimaloiden valvonnassa, mukaan luk</w:t>
      </w:r>
      <w:r w:rsidRPr="00591CCF">
        <w:rPr>
          <w:szCs w:val="24"/>
        </w:rPr>
        <w:t>i</w:t>
      </w:r>
      <w:r w:rsidRPr="00591CCF">
        <w:rPr>
          <w:szCs w:val="24"/>
        </w:rPr>
        <w:t>en voimaloita koskeva</w:t>
      </w:r>
      <w:r w:rsidR="000674ED" w:rsidRPr="00591CCF">
        <w:rPr>
          <w:szCs w:val="24"/>
        </w:rPr>
        <w:t>t</w:t>
      </w:r>
      <w:r w:rsidRPr="00591CCF">
        <w:rPr>
          <w:szCs w:val="24"/>
        </w:rPr>
        <w:t xml:space="preserve"> </w:t>
      </w:r>
      <w:r w:rsidR="000674ED" w:rsidRPr="00591CCF">
        <w:rPr>
          <w:szCs w:val="24"/>
        </w:rPr>
        <w:t>ympäristölupa-asiat, tulee edelleen soveltaa tämän as</w:t>
      </w:r>
      <w:r w:rsidR="000674ED" w:rsidRPr="00591CCF">
        <w:rPr>
          <w:szCs w:val="24"/>
        </w:rPr>
        <w:t>e</w:t>
      </w:r>
      <w:r w:rsidR="000674ED" w:rsidRPr="00591CCF">
        <w:rPr>
          <w:szCs w:val="24"/>
        </w:rPr>
        <w:t xml:space="preserve">tuksen voimaan tullessa </w:t>
      </w:r>
      <w:r w:rsidR="00591CCF">
        <w:rPr>
          <w:szCs w:val="24"/>
        </w:rPr>
        <w:t xml:space="preserve">voimassa </w:t>
      </w:r>
      <w:r w:rsidR="000674ED" w:rsidRPr="00591CCF">
        <w:rPr>
          <w:szCs w:val="24"/>
        </w:rPr>
        <w:t>olleita säännöksiä.</w:t>
      </w:r>
    </w:p>
    <w:p w:rsidR="0028325D" w:rsidRDefault="0028325D" w:rsidP="00B511EF">
      <w:pPr>
        <w:jc w:val="both"/>
        <w:rPr>
          <w:rFonts w:ascii="Calibri" w:hAnsi="Calibri"/>
          <w:color w:val="1F497D"/>
          <w:sz w:val="22"/>
          <w:szCs w:val="22"/>
        </w:rPr>
      </w:pPr>
    </w:p>
    <w:p w:rsidR="00144E9A" w:rsidRDefault="00144E9A" w:rsidP="00B511EF">
      <w:pPr>
        <w:pStyle w:val="Leipteksti"/>
        <w:jc w:val="both"/>
      </w:pPr>
    </w:p>
    <w:p w:rsidR="00144E9A" w:rsidRDefault="00144E9A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  <w:r>
        <w:t>Ystävällisin terveisin</w:t>
      </w:r>
    </w:p>
    <w:p w:rsidR="00E513B7" w:rsidRDefault="00E513B7" w:rsidP="00B511EF">
      <w:pPr>
        <w:pStyle w:val="Leipteksti"/>
        <w:jc w:val="both"/>
      </w:pPr>
    </w:p>
    <w:p w:rsidR="00E513B7" w:rsidRDefault="00E513B7" w:rsidP="00BE0647">
      <w:pPr>
        <w:pStyle w:val="Leipteksti"/>
        <w:ind w:left="5245" w:hanging="5245"/>
        <w:jc w:val="both"/>
      </w:pPr>
      <w:r>
        <w:t>ENERGIATEOLLISUUS RY</w:t>
      </w:r>
      <w:r w:rsidR="00BE0647">
        <w:tab/>
        <w:t>TEKNOLOGIATE</w:t>
      </w:r>
      <w:r w:rsidR="003346CB">
        <w:t xml:space="preserve">OLLISUUS RY:N </w:t>
      </w:r>
      <w:r w:rsidR="00BE0647">
        <w:t>TUUL</w:t>
      </w:r>
      <w:r w:rsidR="00BE0647">
        <w:t>I</w:t>
      </w:r>
      <w:r w:rsidR="00BE0647">
        <w:t>VOI</w:t>
      </w:r>
      <w:r w:rsidR="003346CB">
        <w:t>MA</w:t>
      </w:r>
      <w:r w:rsidR="00BE0647">
        <w:t>TOIMIALARYHMÄ</w:t>
      </w:r>
    </w:p>
    <w:p w:rsidR="00BE0647" w:rsidRDefault="00BE064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</w:p>
    <w:p w:rsidR="00E513B7" w:rsidRDefault="00E513B7" w:rsidP="00B511EF">
      <w:pPr>
        <w:pStyle w:val="Leipteksti"/>
        <w:jc w:val="both"/>
      </w:pPr>
    </w:p>
    <w:p w:rsidR="00E513B7" w:rsidRDefault="00144E9A" w:rsidP="00B511EF">
      <w:pPr>
        <w:pStyle w:val="Leipteksti"/>
        <w:jc w:val="both"/>
      </w:pPr>
      <w:r>
        <w:t>Heidi Lettojärvi</w:t>
      </w:r>
      <w:r w:rsidR="00BE0647">
        <w:tab/>
      </w:r>
      <w:r w:rsidR="00BE0647">
        <w:tab/>
      </w:r>
      <w:r w:rsidR="00BE0647">
        <w:tab/>
        <w:t>Patrick Frostell</w:t>
      </w:r>
    </w:p>
    <w:p w:rsidR="00F71108" w:rsidRDefault="00144E9A" w:rsidP="00B511EF">
      <w:pPr>
        <w:pStyle w:val="Leipteksti"/>
        <w:jc w:val="both"/>
      </w:pPr>
      <w:r>
        <w:t>asiantuntija</w:t>
      </w:r>
      <w:r w:rsidR="003346CB">
        <w:tab/>
      </w:r>
      <w:r w:rsidR="003346CB">
        <w:tab/>
      </w:r>
      <w:r w:rsidR="003346CB">
        <w:tab/>
      </w:r>
      <w:r w:rsidR="003346CB">
        <w:tab/>
        <w:t>asiantuntija</w:t>
      </w:r>
    </w:p>
    <w:p w:rsidR="00B53C80" w:rsidRDefault="00B53C80" w:rsidP="00B511EF">
      <w:pPr>
        <w:pStyle w:val="Leipteksti"/>
        <w:jc w:val="both"/>
      </w:pPr>
    </w:p>
    <w:p w:rsidR="00B53C80" w:rsidRDefault="00B53C80" w:rsidP="00B511EF">
      <w:pPr>
        <w:pStyle w:val="Leipteksti"/>
        <w:jc w:val="both"/>
      </w:pPr>
    </w:p>
    <w:sectPr w:rsidR="00B53C80" w:rsidSect="00734A1A">
      <w:headerReference w:type="default" r:id="rId8"/>
      <w:headerReference w:type="first" r:id="rId9"/>
      <w:footerReference w:type="first" r:id="rId10"/>
      <w:pgSz w:w="11906" w:h="16838" w:code="9"/>
      <w:pgMar w:top="1134" w:right="1134" w:bottom="669" w:left="1134" w:header="709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9D" w:rsidRDefault="00CA0A9D">
      <w:r>
        <w:separator/>
      </w:r>
    </w:p>
  </w:endnote>
  <w:endnote w:type="continuationSeparator" w:id="0">
    <w:p w:rsidR="00CA0A9D" w:rsidRDefault="00CA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48" w:rsidRDefault="00D57C48" w:rsidP="00387957">
    <w:pPr>
      <w:pStyle w:val="Alatunniste"/>
      <w:ind w:left="5812"/>
      <w:rPr>
        <w:b/>
      </w:rPr>
    </w:pPr>
    <w:r>
      <w:rPr>
        <w:b/>
      </w:rPr>
      <w:t xml:space="preserve">Energiateollisuus ry </w:t>
    </w:r>
  </w:p>
  <w:p w:rsidR="00D57C48" w:rsidRDefault="00D57C48" w:rsidP="00387957">
    <w:pPr>
      <w:pStyle w:val="Alatunniste"/>
      <w:ind w:left="5812"/>
    </w:pPr>
    <w:r>
      <w:t xml:space="preserve">Fredrikinkatu 51–53 B, 00100 Helsinki </w:t>
    </w:r>
  </w:p>
  <w:p w:rsidR="00D57C48" w:rsidRDefault="00D57C48" w:rsidP="00387957">
    <w:pPr>
      <w:pStyle w:val="Alatunniste"/>
      <w:ind w:left="5812"/>
    </w:pPr>
    <w:r>
      <w:t>PL 100, 00101 Helsinki</w:t>
    </w:r>
  </w:p>
  <w:p w:rsidR="00D57C48" w:rsidRDefault="00D57C48" w:rsidP="00387957">
    <w:pPr>
      <w:pStyle w:val="Alatunniste"/>
      <w:ind w:left="5812"/>
    </w:pPr>
    <w:r>
      <w:t>Puhelin: (09) 530 520, faksi: (09) 5305 2900</w:t>
    </w:r>
  </w:p>
  <w:p w:rsidR="00D57C48" w:rsidRPr="0021472A" w:rsidRDefault="00D57C48" w:rsidP="00387957">
    <w:pPr>
      <w:pStyle w:val="Alatunniste"/>
      <w:ind w:left="5812"/>
    </w:pPr>
    <w:r>
      <w:t>www.energia.fi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9D" w:rsidRDefault="00CA0A9D">
      <w:r>
        <w:separator/>
      </w:r>
    </w:p>
  </w:footnote>
  <w:footnote w:type="continuationSeparator" w:id="0">
    <w:p w:rsidR="00CA0A9D" w:rsidRDefault="00CA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48" w:rsidRDefault="00D57C48" w:rsidP="004D6D01">
    <w:pPr>
      <w:pStyle w:val="Yltunniste"/>
      <w:tabs>
        <w:tab w:val="clear" w:pos="4819"/>
        <w:tab w:val="clear" w:pos="9638"/>
        <w:tab w:val="left" w:pos="3434"/>
      </w:tabs>
      <w:jc w:val="right"/>
      <w:rPr>
        <w:snapToGrid w:val="0"/>
      </w:rPr>
    </w:pPr>
  </w:p>
  <w:p w:rsidR="00D57C48" w:rsidRDefault="00D57C48" w:rsidP="004D6D01">
    <w:pPr>
      <w:pStyle w:val="Yltunniste"/>
      <w:tabs>
        <w:tab w:val="clear" w:pos="4819"/>
        <w:tab w:val="clear" w:pos="9638"/>
        <w:tab w:val="left" w:pos="3434"/>
      </w:tabs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B2CA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>(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B2CA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190"/>
      <w:gridCol w:w="2629"/>
      <w:gridCol w:w="1787"/>
      <w:gridCol w:w="567"/>
    </w:tblGrid>
    <w:tr w:rsidR="00D57C48">
      <w:trPr>
        <w:cantSplit/>
        <w:trHeight w:hRule="exact" w:val="300"/>
      </w:trPr>
      <w:tc>
        <w:tcPr>
          <w:tcW w:w="5190" w:type="dxa"/>
          <w:vMerge w:val="restart"/>
        </w:tcPr>
        <w:p w:rsidR="00D57C48" w:rsidRDefault="00144E9A" w:rsidP="005B057F">
          <w:pPr>
            <w:pStyle w:val="Yltunniste"/>
          </w:pPr>
          <w:r>
            <w:rPr>
              <w:noProof/>
            </w:rPr>
            <w:drawing>
              <wp:inline distT="0" distB="0" distL="0" distR="0" wp14:anchorId="40CB4E2B" wp14:editId="5282A43B">
                <wp:extent cx="2028825" cy="447675"/>
                <wp:effectExtent l="0" t="0" r="9525" b="9525"/>
                <wp:docPr id="1" name="Kuva 1" descr="LA1_R3V9_Energiateolli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1_R3V9_Energiateolli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  <w:gridSpan w:val="3"/>
        </w:tcPr>
        <w:p w:rsidR="00D57C48" w:rsidRDefault="00D57C48" w:rsidP="005B057F">
          <w:pPr>
            <w:pStyle w:val="Yltunniste"/>
          </w:pPr>
        </w:p>
      </w:tc>
    </w:tr>
    <w:tr w:rsidR="00D57C48">
      <w:trPr>
        <w:cantSplit/>
        <w:trHeight w:hRule="exact" w:val="220"/>
      </w:trPr>
      <w:tc>
        <w:tcPr>
          <w:tcW w:w="5190" w:type="dxa"/>
          <w:vMerge/>
        </w:tcPr>
        <w:p w:rsidR="00D57C48" w:rsidRDefault="00D57C48" w:rsidP="005B057F">
          <w:pPr>
            <w:pStyle w:val="Yltunniste"/>
          </w:pPr>
        </w:p>
      </w:tc>
      <w:tc>
        <w:tcPr>
          <w:tcW w:w="2629" w:type="dxa"/>
          <w:vMerge w:val="restart"/>
        </w:tcPr>
        <w:p w:rsidR="00D57C48" w:rsidRDefault="00CA0A9D" w:rsidP="005B057F">
          <w:pPr>
            <w:pStyle w:val="Yltunniste"/>
            <w:rPr>
              <w:b/>
            </w:rPr>
          </w:pPr>
          <w:r>
            <w:rPr>
              <w:b/>
            </w:rPr>
            <w:t>SÄHKÖNTUOTANTO</w:t>
          </w:r>
        </w:p>
      </w:tc>
      <w:tc>
        <w:tcPr>
          <w:tcW w:w="1787" w:type="dxa"/>
        </w:tcPr>
        <w:p w:rsidR="00D57C48" w:rsidRDefault="00E513B7" w:rsidP="005B057F">
          <w:pPr>
            <w:pStyle w:val="Yltunniste"/>
            <w:rPr>
              <w:b/>
            </w:rPr>
          </w:pPr>
          <w:r>
            <w:rPr>
              <w:b/>
            </w:rPr>
            <w:t>LAUSUNTO</w:t>
          </w:r>
        </w:p>
      </w:tc>
      <w:tc>
        <w:tcPr>
          <w:tcW w:w="567" w:type="dxa"/>
        </w:tcPr>
        <w:p w:rsidR="00D57C48" w:rsidRDefault="00D57C48" w:rsidP="005B057F">
          <w:pPr>
            <w:pStyle w:val="Yltunniste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1B2CAE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1B2CAE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D57C48">
      <w:trPr>
        <w:cantSplit/>
        <w:trHeight w:hRule="exact" w:val="220"/>
      </w:trPr>
      <w:tc>
        <w:tcPr>
          <w:tcW w:w="5190" w:type="dxa"/>
          <w:vMerge/>
        </w:tcPr>
        <w:p w:rsidR="00D57C48" w:rsidRDefault="00D57C48" w:rsidP="005B057F">
          <w:pPr>
            <w:pStyle w:val="Yltunniste"/>
          </w:pPr>
        </w:p>
      </w:tc>
      <w:tc>
        <w:tcPr>
          <w:tcW w:w="2629" w:type="dxa"/>
          <w:vMerge/>
        </w:tcPr>
        <w:p w:rsidR="00D57C48" w:rsidRDefault="00D57C48" w:rsidP="005B057F">
          <w:pPr>
            <w:pStyle w:val="Yltunniste"/>
          </w:pPr>
        </w:p>
      </w:tc>
      <w:tc>
        <w:tcPr>
          <w:tcW w:w="2354" w:type="dxa"/>
          <w:gridSpan w:val="2"/>
          <w:vMerge w:val="restart"/>
        </w:tcPr>
        <w:p w:rsidR="00D57C48" w:rsidRDefault="00D57C48" w:rsidP="005B057F">
          <w:pPr>
            <w:pStyle w:val="Yltunniste"/>
          </w:pPr>
        </w:p>
      </w:tc>
    </w:tr>
    <w:tr w:rsidR="00D57C48">
      <w:trPr>
        <w:cantSplit/>
        <w:trHeight w:hRule="exact" w:val="220"/>
      </w:trPr>
      <w:tc>
        <w:tcPr>
          <w:tcW w:w="5190" w:type="dxa"/>
          <w:vMerge/>
        </w:tcPr>
        <w:p w:rsidR="00D57C48" w:rsidRDefault="00D57C48" w:rsidP="005B057F">
          <w:pPr>
            <w:pStyle w:val="Yltunniste"/>
          </w:pPr>
        </w:p>
      </w:tc>
      <w:tc>
        <w:tcPr>
          <w:tcW w:w="2629" w:type="dxa"/>
        </w:tcPr>
        <w:p w:rsidR="00D57C48" w:rsidRDefault="00CA0A9D" w:rsidP="005B057F">
          <w:pPr>
            <w:pStyle w:val="Yltunniste"/>
          </w:pPr>
          <w:r>
            <w:t>Heidi Lettojärvi</w:t>
          </w:r>
        </w:p>
      </w:tc>
      <w:tc>
        <w:tcPr>
          <w:tcW w:w="2354" w:type="dxa"/>
          <w:gridSpan w:val="2"/>
          <w:vMerge/>
        </w:tcPr>
        <w:p w:rsidR="00D57C48" w:rsidRDefault="00D57C48" w:rsidP="005B057F">
          <w:pPr>
            <w:pStyle w:val="Yltunniste"/>
          </w:pPr>
        </w:p>
      </w:tc>
    </w:tr>
    <w:tr w:rsidR="00D57C48">
      <w:trPr>
        <w:cantSplit/>
        <w:trHeight w:hRule="exact" w:val="220"/>
      </w:trPr>
      <w:tc>
        <w:tcPr>
          <w:tcW w:w="5190" w:type="dxa"/>
          <w:vMerge/>
        </w:tcPr>
        <w:p w:rsidR="00D57C48" w:rsidRDefault="00D57C48" w:rsidP="005B057F">
          <w:pPr>
            <w:pStyle w:val="Yltunniste"/>
          </w:pPr>
        </w:p>
      </w:tc>
      <w:tc>
        <w:tcPr>
          <w:tcW w:w="2629" w:type="dxa"/>
        </w:tcPr>
        <w:p w:rsidR="00D57C48" w:rsidRDefault="003346CB" w:rsidP="003346CB">
          <w:pPr>
            <w:pStyle w:val="Yltunniste"/>
          </w:pPr>
          <w:r>
            <w:t>15</w:t>
          </w:r>
          <w:r w:rsidR="00580378">
            <w:t>.12</w:t>
          </w:r>
          <w:r>
            <w:t>.2014</w:t>
          </w:r>
        </w:p>
      </w:tc>
      <w:tc>
        <w:tcPr>
          <w:tcW w:w="2354" w:type="dxa"/>
          <w:gridSpan w:val="2"/>
        </w:tcPr>
        <w:p w:rsidR="00D57C48" w:rsidRDefault="00D57C48" w:rsidP="005B057F">
          <w:pPr>
            <w:pStyle w:val="Yltunniste"/>
          </w:pPr>
        </w:p>
      </w:tc>
    </w:tr>
    <w:tr w:rsidR="00D57C48">
      <w:trPr>
        <w:trHeight w:hRule="exact" w:val="400"/>
      </w:trPr>
      <w:tc>
        <w:tcPr>
          <w:tcW w:w="10173" w:type="dxa"/>
          <w:gridSpan w:val="4"/>
        </w:tcPr>
        <w:p w:rsidR="00D57C48" w:rsidRDefault="00D57C48" w:rsidP="005B057F">
          <w:pPr>
            <w:pStyle w:val="Yltunniste"/>
          </w:pPr>
        </w:p>
      </w:tc>
    </w:tr>
  </w:tbl>
  <w:p w:rsidR="00D57C48" w:rsidRDefault="00D57C4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82E"/>
    <w:multiLevelType w:val="hybridMultilevel"/>
    <w:tmpl w:val="299A64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26E6"/>
    <w:multiLevelType w:val="hybridMultilevel"/>
    <w:tmpl w:val="53BCE640"/>
    <w:lvl w:ilvl="0" w:tplc="2F8EAC30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65895"/>
    <w:multiLevelType w:val="hybridMultilevel"/>
    <w:tmpl w:val="252EC87C"/>
    <w:lvl w:ilvl="0" w:tplc="E880307C">
      <w:start w:val="4"/>
      <w:numFmt w:val="bullet"/>
      <w:lvlText w:val=""/>
      <w:lvlJc w:val="left"/>
      <w:pPr>
        <w:ind w:left="2384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B445C"/>
    <w:multiLevelType w:val="hybridMultilevel"/>
    <w:tmpl w:val="5C3A90C8"/>
    <w:lvl w:ilvl="0" w:tplc="2368B024">
      <w:start w:val="1"/>
      <w:numFmt w:val="bullet"/>
      <w:lvlText w:val="à"/>
      <w:lvlJc w:val="left"/>
      <w:pPr>
        <w:ind w:left="2384" w:hanging="360"/>
      </w:pPr>
      <w:rPr>
        <w:rFonts w:ascii="Wingdings" w:hAnsi="Wingdings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96D80"/>
    <w:multiLevelType w:val="hybridMultilevel"/>
    <w:tmpl w:val="9B40544E"/>
    <w:lvl w:ilvl="0" w:tplc="60E6E64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320AF"/>
    <w:multiLevelType w:val="hybridMultilevel"/>
    <w:tmpl w:val="6F626B6C"/>
    <w:lvl w:ilvl="0" w:tplc="E88030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07536"/>
    <w:multiLevelType w:val="hybridMultilevel"/>
    <w:tmpl w:val="EE90A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96"/>
    <w:rsid w:val="000674ED"/>
    <w:rsid w:val="000F6B6B"/>
    <w:rsid w:val="00115425"/>
    <w:rsid w:val="00123565"/>
    <w:rsid w:val="00144E9A"/>
    <w:rsid w:val="00193448"/>
    <w:rsid w:val="001B2CAE"/>
    <w:rsid w:val="00210DFB"/>
    <w:rsid w:val="0021472A"/>
    <w:rsid w:val="0021554D"/>
    <w:rsid w:val="00255580"/>
    <w:rsid w:val="0028325D"/>
    <w:rsid w:val="00331EFE"/>
    <w:rsid w:val="003346CB"/>
    <w:rsid w:val="003423A2"/>
    <w:rsid w:val="00374296"/>
    <w:rsid w:val="003759C0"/>
    <w:rsid w:val="00387957"/>
    <w:rsid w:val="003B1C36"/>
    <w:rsid w:val="003B2B13"/>
    <w:rsid w:val="003C1180"/>
    <w:rsid w:val="003E1903"/>
    <w:rsid w:val="003F54AA"/>
    <w:rsid w:val="00414175"/>
    <w:rsid w:val="00425619"/>
    <w:rsid w:val="004A056C"/>
    <w:rsid w:val="004C115A"/>
    <w:rsid w:val="004D0B5C"/>
    <w:rsid w:val="004D6D01"/>
    <w:rsid w:val="004E0400"/>
    <w:rsid w:val="004F466B"/>
    <w:rsid w:val="00530538"/>
    <w:rsid w:val="00577197"/>
    <w:rsid w:val="00580378"/>
    <w:rsid w:val="00591CCF"/>
    <w:rsid w:val="005B057F"/>
    <w:rsid w:val="005B1E5C"/>
    <w:rsid w:val="005E1ECD"/>
    <w:rsid w:val="00651800"/>
    <w:rsid w:val="00654193"/>
    <w:rsid w:val="00687984"/>
    <w:rsid w:val="006D1BC1"/>
    <w:rsid w:val="006F77A7"/>
    <w:rsid w:val="00734A1A"/>
    <w:rsid w:val="00796585"/>
    <w:rsid w:val="007A0410"/>
    <w:rsid w:val="007A491F"/>
    <w:rsid w:val="007A493E"/>
    <w:rsid w:val="007A79AF"/>
    <w:rsid w:val="007E7F67"/>
    <w:rsid w:val="008120A9"/>
    <w:rsid w:val="00871F92"/>
    <w:rsid w:val="00874B38"/>
    <w:rsid w:val="008865D5"/>
    <w:rsid w:val="008F33BB"/>
    <w:rsid w:val="009F5E3E"/>
    <w:rsid w:val="00A102F9"/>
    <w:rsid w:val="00A17C66"/>
    <w:rsid w:val="00A20C5B"/>
    <w:rsid w:val="00A4669A"/>
    <w:rsid w:val="00A71F36"/>
    <w:rsid w:val="00A7582D"/>
    <w:rsid w:val="00A91CA1"/>
    <w:rsid w:val="00AB0C94"/>
    <w:rsid w:val="00AB3D1E"/>
    <w:rsid w:val="00AC2151"/>
    <w:rsid w:val="00AD129C"/>
    <w:rsid w:val="00B511EF"/>
    <w:rsid w:val="00B53C80"/>
    <w:rsid w:val="00B657CC"/>
    <w:rsid w:val="00B81ECD"/>
    <w:rsid w:val="00B83136"/>
    <w:rsid w:val="00BA07AF"/>
    <w:rsid w:val="00BE0647"/>
    <w:rsid w:val="00BF5D30"/>
    <w:rsid w:val="00C034F5"/>
    <w:rsid w:val="00C334EB"/>
    <w:rsid w:val="00C836FF"/>
    <w:rsid w:val="00CA0A9D"/>
    <w:rsid w:val="00CB1D02"/>
    <w:rsid w:val="00CF7379"/>
    <w:rsid w:val="00D06AF4"/>
    <w:rsid w:val="00D57C48"/>
    <w:rsid w:val="00D62749"/>
    <w:rsid w:val="00D91930"/>
    <w:rsid w:val="00DA307F"/>
    <w:rsid w:val="00DA7AD6"/>
    <w:rsid w:val="00DB5491"/>
    <w:rsid w:val="00DC7F69"/>
    <w:rsid w:val="00DE1709"/>
    <w:rsid w:val="00E15475"/>
    <w:rsid w:val="00E17426"/>
    <w:rsid w:val="00E25A5D"/>
    <w:rsid w:val="00E45F2F"/>
    <w:rsid w:val="00E513B7"/>
    <w:rsid w:val="00E554E7"/>
    <w:rsid w:val="00EA5141"/>
    <w:rsid w:val="00EC574C"/>
    <w:rsid w:val="00EC7B93"/>
    <w:rsid w:val="00F009F5"/>
    <w:rsid w:val="00F10CE8"/>
    <w:rsid w:val="00F1212A"/>
    <w:rsid w:val="00F30606"/>
    <w:rsid w:val="00F71108"/>
    <w:rsid w:val="00FA1FF1"/>
    <w:rsid w:val="00FA7108"/>
    <w:rsid w:val="00FD2B0D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Verdana" w:hAnsi="Verdana"/>
      <w:szCs w:val="19"/>
    </w:rPr>
  </w:style>
  <w:style w:type="paragraph" w:styleId="Otsikko1">
    <w:name w:val="heading 1"/>
    <w:next w:val="Leipteksti"/>
    <w:qFormat/>
    <w:pPr>
      <w:keepNext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Otsikko2">
    <w:name w:val="heading 2"/>
    <w:basedOn w:val="Otsikko1"/>
    <w:next w:val="Leipteksti"/>
    <w:qFormat/>
    <w:pPr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Otsikko1"/>
    <w:next w:val="Leipteksti"/>
    <w:qFormat/>
    <w:pPr>
      <w:outlineLvl w:val="2"/>
    </w:pPr>
    <w:rPr>
      <w:bCs w:val="0"/>
      <w:sz w:val="2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styleId="Leipteksti">
    <w:name w:val="Body Text"/>
    <w:basedOn w:val="Normaali"/>
  </w:style>
  <w:style w:type="paragraph" w:styleId="Alatunniste">
    <w:name w:val="footer"/>
    <w:rsid w:val="00387957"/>
    <w:pPr>
      <w:tabs>
        <w:tab w:val="center" w:pos="4819"/>
        <w:tab w:val="right" w:pos="9638"/>
      </w:tabs>
      <w:spacing w:line="220" w:lineRule="atLeast"/>
      <w:ind w:left="5783"/>
    </w:pPr>
    <w:rPr>
      <w:rFonts w:ascii="Verdana" w:hAnsi="Verdan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B1D02"/>
    <w:pPr>
      <w:ind w:left="720"/>
    </w:pPr>
    <w:rPr>
      <w:rFonts w:ascii="Times New Roman" w:eastAsiaTheme="minorHAnsi" w:hAnsi="Times New Roman"/>
      <w:sz w:val="24"/>
      <w:szCs w:val="24"/>
    </w:rPr>
  </w:style>
  <w:style w:type="paragraph" w:styleId="Seliteteksti">
    <w:name w:val="Balloon Text"/>
    <w:basedOn w:val="Normaali"/>
    <w:link w:val="SelitetekstiChar"/>
    <w:rsid w:val="007A49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A493E"/>
    <w:rPr>
      <w:rFonts w:ascii="Tahoma" w:hAnsi="Tahoma" w:cs="Tahoma"/>
      <w:sz w:val="16"/>
      <w:szCs w:val="16"/>
    </w:rPr>
  </w:style>
  <w:style w:type="paragraph" w:styleId="Vakiosisennys">
    <w:name w:val="Normal Indent"/>
    <w:basedOn w:val="Normaali"/>
    <w:uiPriority w:val="99"/>
    <w:unhideWhenUsed/>
    <w:rsid w:val="00A20C5B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Verdana" w:hAnsi="Verdana"/>
      <w:szCs w:val="19"/>
    </w:rPr>
  </w:style>
  <w:style w:type="paragraph" w:styleId="Otsikko1">
    <w:name w:val="heading 1"/>
    <w:next w:val="Leipteksti"/>
    <w:qFormat/>
    <w:pPr>
      <w:keepNext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Otsikko2">
    <w:name w:val="heading 2"/>
    <w:basedOn w:val="Otsikko1"/>
    <w:next w:val="Leipteksti"/>
    <w:qFormat/>
    <w:pPr>
      <w:outlineLvl w:val="1"/>
    </w:pPr>
    <w:rPr>
      <w:bCs w:val="0"/>
      <w:iCs/>
      <w:sz w:val="20"/>
      <w:szCs w:val="28"/>
    </w:rPr>
  </w:style>
  <w:style w:type="paragraph" w:styleId="Otsikko3">
    <w:name w:val="heading 3"/>
    <w:basedOn w:val="Otsikko1"/>
    <w:next w:val="Leipteksti"/>
    <w:qFormat/>
    <w:pPr>
      <w:outlineLvl w:val="2"/>
    </w:pPr>
    <w:rPr>
      <w:bCs w:val="0"/>
      <w:sz w:val="2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styleId="Leipteksti">
    <w:name w:val="Body Text"/>
    <w:basedOn w:val="Normaali"/>
  </w:style>
  <w:style w:type="paragraph" w:styleId="Alatunniste">
    <w:name w:val="footer"/>
    <w:rsid w:val="00387957"/>
    <w:pPr>
      <w:tabs>
        <w:tab w:val="center" w:pos="4819"/>
        <w:tab w:val="right" w:pos="9638"/>
      </w:tabs>
      <w:spacing w:line="220" w:lineRule="atLeast"/>
      <w:ind w:left="5783"/>
    </w:pPr>
    <w:rPr>
      <w:rFonts w:ascii="Verdana" w:hAnsi="Verdan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B1D02"/>
    <w:pPr>
      <w:ind w:left="720"/>
    </w:pPr>
    <w:rPr>
      <w:rFonts w:ascii="Times New Roman" w:eastAsiaTheme="minorHAnsi" w:hAnsi="Times New Roman"/>
      <w:sz w:val="24"/>
      <w:szCs w:val="24"/>
    </w:rPr>
  </w:style>
  <w:style w:type="paragraph" w:styleId="Seliteteksti">
    <w:name w:val="Balloon Text"/>
    <w:basedOn w:val="Normaali"/>
    <w:link w:val="SelitetekstiChar"/>
    <w:rsid w:val="007A49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A493E"/>
    <w:rPr>
      <w:rFonts w:ascii="Tahoma" w:hAnsi="Tahoma" w:cs="Tahoma"/>
      <w:sz w:val="16"/>
      <w:szCs w:val="16"/>
    </w:rPr>
  </w:style>
  <w:style w:type="paragraph" w:styleId="Vakiosisennys">
    <w:name w:val="Normal Indent"/>
    <w:basedOn w:val="Normaali"/>
    <w:uiPriority w:val="99"/>
    <w:unhideWhenUsed/>
    <w:rsid w:val="00A20C5B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6514</Characters>
  <Application>Microsoft Office Word</Application>
  <DocSecurity>4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kirjemallipohja</vt:lpstr>
    </vt:vector>
  </TitlesOfParts>
  <Company>Energiateollisuus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kirjemallipohja</dc:title>
  <dc:creator>Lettojärvi Heidi</dc:creator>
  <cp:lastModifiedBy>Hakkarainen Satu</cp:lastModifiedBy>
  <cp:revision>2</cp:revision>
  <cp:lastPrinted>2006-09-13T11:46:00Z</cp:lastPrinted>
  <dcterms:created xsi:type="dcterms:W3CDTF">2014-12-16T06:26:00Z</dcterms:created>
  <dcterms:modified xsi:type="dcterms:W3CDTF">2014-12-16T06:26:00Z</dcterms:modified>
</cp:coreProperties>
</file>