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69D6B7" w14:textId="77777777" w:rsidR="00DE3C52" w:rsidRDefault="00DE3C52" w:rsidP="00191869">
      <w:pPr>
        <w:jc w:val="center"/>
        <w:rPr>
          <w:b/>
        </w:rPr>
      </w:pPr>
      <w:bookmarkStart w:id="0" w:name="_GoBack"/>
      <w:bookmarkEnd w:id="0"/>
    </w:p>
    <w:p w14:paraId="555F2297" w14:textId="77777777" w:rsidR="00DE3C52" w:rsidRDefault="00DE3C52" w:rsidP="00191869">
      <w:pPr>
        <w:jc w:val="center"/>
        <w:rPr>
          <w:b/>
        </w:rPr>
      </w:pPr>
    </w:p>
    <w:p w14:paraId="3DBEDB4A" w14:textId="77777777" w:rsidR="00DE3C52" w:rsidRDefault="00DE3C52" w:rsidP="00191869">
      <w:pPr>
        <w:jc w:val="center"/>
        <w:rPr>
          <w:b/>
        </w:rPr>
      </w:pPr>
    </w:p>
    <w:p w14:paraId="5DEF76F4" w14:textId="77777777" w:rsidR="00DE3C52" w:rsidRDefault="00DE3C52" w:rsidP="00191869">
      <w:pPr>
        <w:jc w:val="center"/>
        <w:rPr>
          <w:b/>
        </w:rPr>
      </w:pPr>
    </w:p>
    <w:p w14:paraId="41F7FDA8" w14:textId="2394F62C" w:rsidR="005C201F" w:rsidRDefault="00191869" w:rsidP="00191869">
      <w:pPr>
        <w:jc w:val="center"/>
        <w:rPr>
          <w:b/>
        </w:rPr>
      </w:pPr>
      <w:r>
        <w:rPr>
          <w:b/>
        </w:rPr>
        <w:t>LAUSUNTO</w:t>
      </w:r>
    </w:p>
    <w:p w14:paraId="2D72AE49" w14:textId="77777777" w:rsidR="00191869" w:rsidRDefault="00191869" w:rsidP="00191869">
      <w:pPr>
        <w:jc w:val="center"/>
        <w:rPr>
          <w:b/>
        </w:rPr>
      </w:pPr>
    </w:p>
    <w:p w14:paraId="42517FFA" w14:textId="77777777" w:rsidR="00191869" w:rsidRPr="005A0675" w:rsidRDefault="00191869" w:rsidP="00DE3C52">
      <w:pPr>
        <w:jc w:val="both"/>
        <w:rPr>
          <w:rFonts w:cs="Times New Roman"/>
          <w:b/>
        </w:rPr>
      </w:pPr>
      <w:r w:rsidRPr="005A0675">
        <w:rPr>
          <w:rFonts w:cs="Times New Roman"/>
          <w:b/>
        </w:rPr>
        <w:t>1. Lausuntopyyntö ja lausunnon sisältö</w:t>
      </w:r>
    </w:p>
    <w:p w14:paraId="4BA781D2" w14:textId="77777777" w:rsidR="00191869" w:rsidRPr="005A0675" w:rsidRDefault="00191869" w:rsidP="00DE3C52">
      <w:pPr>
        <w:jc w:val="both"/>
        <w:rPr>
          <w:rFonts w:cs="Times New Roman"/>
        </w:rPr>
      </w:pPr>
    </w:p>
    <w:p w14:paraId="24B4ACAF" w14:textId="57FDF59B" w:rsidR="0010509A" w:rsidRDefault="00191869" w:rsidP="0010509A">
      <w:pPr>
        <w:jc w:val="both"/>
        <w:rPr>
          <w:rFonts w:cs="Times New Roman"/>
        </w:rPr>
      </w:pPr>
      <w:r w:rsidRPr="005A0675">
        <w:rPr>
          <w:rFonts w:cs="Times New Roman"/>
        </w:rPr>
        <w:t xml:space="preserve">Oikeusministeriö on pyytänyt minulta lausuntoa </w:t>
      </w:r>
      <w:r w:rsidR="00933BF4">
        <w:rPr>
          <w:rFonts w:cs="Times New Roman"/>
        </w:rPr>
        <w:t>syyttömyysolettama</w:t>
      </w:r>
      <w:r w:rsidR="0076331C">
        <w:rPr>
          <w:rFonts w:cs="Times New Roman"/>
        </w:rPr>
        <w:t>direktiivin kansallista</w:t>
      </w:r>
      <w:r w:rsidR="00933BF4">
        <w:rPr>
          <w:rFonts w:cs="Times New Roman"/>
        </w:rPr>
        <w:t xml:space="preserve"> täy</w:t>
      </w:r>
      <w:r w:rsidR="0076331C">
        <w:rPr>
          <w:rFonts w:cs="Times New Roman"/>
        </w:rPr>
        <w:t>täntöönpanoa koskevasta selvityksestä, jonka tarkoitukseni oli selvittää, vastaako Suomen voimassa oleva lainsäädäntö syyttömyysolettamadirektiivin sisältö</w:t>
      </w:r>
      <w:r w:rsidR="00C77630">
        <w:rPr>
          <w:rFonts w:cs="Times New Roman"/>
        </w:rPr>
        <w:t>ä</w:t>
      </w:r>
      <w:r w:rsidR="0076331C">
        <w:rPr>
          <w:rFonts w:cs="Times New Roman"/>
        </w:rPr>
        <w:t xml:space="preserve"> vai edellyttääkö direkti</w:t>
      </w:r>
      <w:r w:rsidR="0076331C">
        <w:rPr>
          <w:rFonts w:cs="Times New Roman"/>
        </w:rPr>
        <w:t>i</w:t>
      </w:r>
      <w:r w:rsidR="0076331C">
        <w:rPr>
          <w:rFonts w:cs="Times New Roman"/>
        </w:rPr>
        <w:t xml:space="preserve">vin kansallinen täytäntöönpano lainsäädäntömuutoksia. Tältä osin </w:t>
      </w:r>
      <w:r w:rsidR="0076331C" w:rsidRPr="0076331C">
        <w:rPr>
          <w:rFonts w:cs="Times New Roman"/>
        </w:rPr>
        <w:t>jaan ilman muuta selvity</w:t>
      </w:r>
      <w:r w:rsidR="0076331C" w:rsidRPr="0076331C">
        <w:rPr>
          <w:rFonts w:cs="Times New Roman"/>
        </w:rPr>
        <w:t>k</w:t>
      </w:r>
      <w:r w:rsidR="0076331C" w:rsidRPr="0076331C">
        <w:rPr>
          <w:rFonts w:cs="Times New Roman"/>
        </w:rPr>
        <w:t>sessä esitetyn lopputuloksen</w:t>
      </w:r>
      <w:r w:rsidR="0076331C">
        <w:rPr>
          <w:rFonts w:cs="Times New Roman"/>
        </w:rPr>
        <w:t xml:space="preserve"> siitä</w:t>
      </w:r>
      <w:r w:rsidR="0076331C" w:rsidRPr="0076331C">
        <w:rPr>
          <w:rFonts w:cs="Times New Roman"/>
        </w:rPr>
        <w:t>, että direktiivin täytäntöönpano ei edellytä muutoksia Su</w:t>
      </w:r>
      <w:r w:rsidR="0076331C" w:rsidRPr="0076331C">
        <w:rPr>
          <w:rFonts w:cs="Times New Roman"/>
        </w:rPr>
        <w:t>o</w:t>
      </w:r>
      <w:r w:rsidR="0076331C" w:rsidRPr="0076331C">
        <w:rPr>
          <w:rFonts w:cs="Times New Roman"/>
        </w:rPr>
        <w:t>men voimassa olevaan lainsäädäntöön.</w:t>
      </w:r>
      <w:r w:rsidR="0076331C">
        <w:rPr>
          <w:rFonts w:cs="Times New Roman"/>
        </w:rPr>
        <w:t xml:space="preserve"> Lausunnossa esitän kuitenkin eräitä selvityksen p</w:t>
      </w:r>
      <w:r w:rsidR="0076331C">
        <w:rPr>
          <w:rFonts w:cs="Times New Roman"/>
        </w:rPr>
        <w:t>e</w:t>
      </w:r>
      <w:r w:rsidR="0076331C">
        <w:rPr>
          <w:rFonts w:cs="Times New Roman"/>
        </w:rPr>
        <w:t>rusteluihin liittyviä huomioita.</w:t>
      </w:r>
    </w:p>
    <w:p w14:paraId="414E706F" w14:textId="77777777" w:rsidR="0076331C" w:rsidRDefault="0076331C" w:rsidP="0010509A">
      <w:pPr>
        <w:jc w:val="both"/>
        <w:rPr>
          <w:rFonts w:cs="Times New Roman"/>
        </w:rPr>
      </w:pPr>
    </w:p>
    <w:p w14:paraId="12469227" w14:textId="04450A31" w:rsidR="0076331C" w:rsidRDefault="006D11FB" w:rsidP="0010509A">
      <w:pPr>
        <w:jc w:val="both"/>
        <w:rPr>
          <w:rFonts w:cs="Times New Roman"/>
        </w:rPr>
      </w:pPr>
      <w:r>
        <w:rPr>
          <w:rFonts w:cs="Times New Roman"/>
          <w:b/>
        </w:rPr>
        <w:t>2. Todistustaakka rikosasiassa</w:t>
      </w:r>
    </w:p>
    <w:p w14:paraId="67A4A2EF" w14:textId="77777777" w:rsidR="006D11FB" w:rsidRDefault="006D11FB" w:rsidP="0010509A">
      <w:pPr>
        <w:jc w:val="both"/>
        <w:rPr>
          <w:rFonts w:cs="Times New Roman"/>
        </w:rPr>
      </w:pPr>
    </w:p>
    <w:p w14:paraId="50D1ABB0" w14:textId="65A16884" w:rsidR="00280632" w:rsidRDefault="00280632" w:rsidP="00280632">
      <w:pPr>
        <w:pStyle w:val="Alaviitteenteksti"/>
        <w:jc w:val="both"/>
      </w:pPr>
      <w:r>
        <w:t>Vaikka laajennetun hyödyn menettämis</w:t>
      </w:r>
      <w:r w:rsidR="00750C0B">
        <w:t>tä koskeva käännetty todistustaakka</w:t>
      </w:r>
      <w:r w:rsidR="002541C4">
        <w:t xml:space="preserve"> (RL 10</w:t>
      </w:r>
      <w:r w:rsidR="00AD33B5">
        <w:t>:9.4)</w:t>
      </w:r>
      <w:r w:rsidR="00750C0B">
        <w:t xml:space="preserve"> ei kohdistukaan </w:t>
      </w:r>
      <w:proofErr w:type="spellStart"/>
      <w:r w:rsidR="00750C0B">
        <w:t>syyttömyysolettam</w:t>
      </w:r>
      <w:r w:rsidR="0090539E">
        <w:t>an</w:t>
      </w:r>
      <w:proofErr w:type="spellEnd"/>
      <w:r w:rsidR="0090539E">
        <w:t xml:space="preserve"> ydinalueelle, sanottua </w:t>
      </w:r>
      <w:r>
        <w:t>käännettyä todistustaakkaa vo</w:t>
      </w:r>
      <w:r>
        <w:t>i</w:t>
      </w:r>
      <w:r>
        <w:t>daan vähintäänkin teori</w:t>
      </w:r>
      <w:r w:rsidR="0090539E">
        <w:t>an tasolla kritisoida</w:t>
      </w:r>
      <w:r>
        <w:t xml:space="preserve"> myös </w:t>
      </w:r>
      <w:proofErr w:type="spellStart"/>
      <w:r>
        <w:t>syyttömyysolettaman</w:t>
      </w:r>
      <w:proofErr w:type="spellEnd"/>
      <w:r>
        <w:t xml:space="preserve"> ja </w:t>
      </w:r>
      <w:proofErr w:type="spellStart"/>
      <w:r>
        <w:t>itsekriminoi</w:t>
      </w:r>
      <w:r>
        <w:t>n</w:t>
      </w:r>
      <w:r w:rsidR="0090539E">
        <w:t>tisuojan</w:t>
      </w:r>
      <w:proofErr w:type="spellEnd"/>
      <w:r w:rsidR="0090539E">
        <w:t xml:space="preserve"> perusteella</w:t>
      </w:r>
      <w:r>
        <w:t>. On nimittäin ajateltavissa, että mikäli konfiskaatioasian vas</w:t>
      </w:r>
      <w:r w:rsidR="00D931AA">
        <w:t>taaja ei py</w:t>
      </w:r>
      <w:r w:rsidR="00D931AA">
        <w:t>s</w:t>
      </w:r>
      <w:r w:rsidR="00D931AA">
        <w:t xml:space="preserve">tyisi täyttämään käännettyä </w:t>
      </w:r>
      <w:r>
        <w:t>todistustaakkaansa, tällä seikalla voi olla jonkinlainen todistu</w:t>
      </w:r>
      <w:r>
        <w:t>s</w:t>
      </w:r>
      <w:r>
        <w:t>vaikutus myös sen syyteasian käsittelyyn, jonka yhteydessä laajennettu hyödyn menettämi</w:t>
      </w:r>
      <w:r w:rsidR="0090539E">
        <w:t>s</w:t>
      </w:r>
      <w:r w:rsidR="0090539E">
        <w:t>seuraamusvaatimus on esitetty.</w:t>
      </w:r>
      <w:r w:rsidR="00D931AA">
        <w:t xml:space="preserve"> Tältä osin tuomioistuinten pitääkin olla hyvin tarkkaavaisia, ettei vastaajan epäonnistuminen laajennettuna hyötynä konfiskoitavaksi vaaditun omaisu</w:t>
      </w:r>
      <w:r w:rsidR="00D931AA">
        <w:t>u</w:t>
      </w:r>
      <w:r w:rsidR="00D931AA">
        <w:t>den alkuperän laillisuuden näyttämisessä mitenkään vaikuta syyteasian näytön arviointiin.</w:t>
      </w:r>
    </w:p>
    <w:p w14:paraId="16B46F1C" w14:textId="77777777" w:rsidR="00280632" w:rsidRDefault="00280632" w:rsidP="00280632">
      <w:pPr>
        <w:pStyle w:val="Alaviitteenteksti"/>
        <w:jc w:val="both"/>
      </w:pPr>
    </w:p>
    <w:p w14:paraId="2317356E" w14:textId="77777777" w:rsidR="00280632" w:rsidRDefault="00280632" w:rsidP="00280632">
      <w:pPr>
        <w:pStyle w:val="Alaviitteenteksti"/>
        <w:jc w:val="both"/>
      </w:pPr>
      <w:r>
        <w:t>Vastaavasti voi käydä niinkin, että laajennettua hyödyn menettämistä koskevan oikeude</w:t>
      </w:r>
      <w:r>
        <w:t>n</w:t>
      </w:r>
      <w:r>
        <w:t>käynnin jälkeen konfiskaatiovastaajaa syytetään muusta kuin konfiskaatioprosessin syyttee</w:t>
      </w:r>
      <w:r>
        <w:t>s</w:t>
      </w:r>
      <w:r>
        <w:t>sä tarkoitetusta rikoksesta. Tällöin aiemmalla laajennettua hyödyn menettämistä koskevalla tuomiolla saattaa olla todistusvaikutusta myöhemmän syytteen käsittelyssä, mikäli my</w:t>
      </w:r>
      <w:r>
        <w:t>ö</w:t>
      </w:r>
      <w:r>
        <w:t>hemmässä syytteessä esitetään rangaistusvaatimus rikoksesta, jolla väitetään hankitun ens</w:t>
      </w:r>
      <w:r>
        <w:t>i</w:t>
      </w:r>
      <w:r>
        <w:t>prosessissa laajennettuna hyötynä konfiskoitua omaisuutta.</w:t>
      </w:r>
      <w:r>
        <w:rPr>
          <w:rStyle w:val="Alaviitteenviite"/>
        </w:rPr>
        <w:footnoteReference w:id="1"/>
      </w:r>
      <w:r>
        <w:t xml:space="preserve"> Ja mahdollista lienee sekin, että epäonnistuminen käännetyn todistustaakan täyttämisessä voi osaltaan johtaa esitutkinnan aloittamiseen konfiskaatiovastaajaa vastaan rikoksesta, jolla epäillään hankitun laajennettuna hyötynä konfiskoitua omaisuutta.</w:t>
      </w:r>
    </w:p>
    <w:p w14:paraId="4C696F89" w14:textId="77777777" w:rsidR="00280632" w:rsidRDefault="00280632" w:rsidP="00280632">
      <w:pPr>
        <w:jc w:val="both"/>
      </w:pPr>
    </w:p>
    <w:p w14:paraId="5A732762" w14:textId="77777777" w:rsidR="00E12D52" w:rsidRDefault="00280632" w:rsidP="00280632">
      <w:pPr>
        <w:jc w:val="both"/>
      </w:pPr>
      <w:r>
        <w:t>Kaikissa yllä kuvatuissa esimerkeissä on siis kysymys siitä, että epäonnistuminen ehdotetun käännetyn todistustaakan täyttämisessä saattaa vaikuttaa myös varsinaisten syyteasioiden käsittelyyn tai esitutkintakynnyksen ylittymiseen. Ja jos näin käy, ehdotetulla sääntelyllä lo</w:t>
      </w:r>
      <w:r>
        <w:t>u</w:t>
      </w:r>
      <w:r>
        <w:t xml:space="preserve">kataan myös </w:t>
      </w:r>
      <w:proofErr w:type="spellStart"/>
      <w:r>
        <w:t>syyttömyysolettamaa</w:t>
      </w:r>
      <w:proofErr w:type="spellEnd"/>
      <w:r>
        <w:t xml:space="preserve"> ja </w:t>
      </w:r>
      <w:proofErr w:type="spellStart"/>
      <w:r>
        <w:t>itsekriminointisuojaa</w:t>
      </w:r>
      <w:proofErr w:type="spellEnd"/>
      <w:r>
        <w:t xml:space="preserve"> koskevia oikeusohjeita.</w:t>
      </w:r>
      <w:r w:rsidR="00DA7517">
        <w:t xml:space="preserve"> </w:t>
      </w:r>
    </w:p>
    <w:p w14:paraId="2DA30DF6" w14:textId="77777777" w:rsidR="00E12D52" w:rsidRDefault="00E12D52" w:rsidP="00280632">
      <w:pPr>
        <w:jc w:val="both"/>
      </w:pPr>
    </w:p>
    <w:p w14:paraId="320BA050" w14:textId="1D5B33BA" w:rsidR="006D11FB" w:rsidRDefault="00DA7517" w:rsidP="00280632">
      <w:pPr>
        <w:jc w:val="both"/>
      </w:pPr>
      <w:r>
        <w:t xml:space="preserve">Syyttömyysolettamadirektiivin täytäntöönpanon yhteydessä olisikin siten syytä korostaa, että </w:t>
      </w:r>
      <w:r w:rsidR="00AD6B6C">
        <w:t xml:space="preserve">epäonnistumista käännetyn todistustaakan täyttämisessä ei </w:t>
      </w:r>
      <w:r w:rsidR="00ED2161">
        <w:t>saisi hyödyntää vastaajaa va</w:t>
      </w:r>
      <w:r w:rsidR="00E12D52">
        <w:t>staan muissa kuin konfiskaatiovaatimuksiin</w:t>
      </w:r>
      <w:r w:rsidR="00ED2161">
        <w:t xml:space="preserve"> liittyvissä kysymyksissä. </w:t>
      </w:r>
      <w:r w:rsidR="00E12D52">
        <w:t>Tämä ajatus ilmenee nähdä</w:t>
      </w:r>
      <w:r w:rsidR="00E12D52">
        <w:t>k</w:t>
      </w:r>
      <w:r w:rsidR="00E12D52">
        <w:lastRenderedPageBreak/>
        <w:t>seni myös perustuslakivaliokunnan laajennettua hyödynmenettämistä koskevasta lausunno</w:t>
      </w:r>
      <w:r w:rsidR="00E12D52">
        <w:t>s</w:t>
      </w:r>
      <w:r w:rsidR="00E12D52">
        <w:t>ta (</w:t>
      </w:r>
      <w:proofErr w:type="spellStart"/>
      <w:r w:rsidR="00E12D52">
        <w:t>PeVL</w:t>
      </w:r>
      <w:proofErr w:type="spellEnd"/>
      <w:r w:rsidR="00E12D52">
        <w:t xml:space="preserve"> 8/2016 </w:t>
      </w:r>
      <w:proofErr w:type="spellStart"/>
      <w:r w:rsidR="00E12D52">
        <w:t>vp</w:t>
      </w:r>
      <w:proofErr w:type="spellEnd"/>
      <w:r w:rsidR="00E12D52">
        <w:t>):</w:t>
      </w:r>
    </w:p>
    <w:p w14:paraId="635B735A" w14:textId="77777777" w:rsidR="00E12D52" w:rsidRDefault="00E12D52" w:rsidP="00280632">
      <w:pPr>
        <w:jc w:val="both"/>
      </w:pPr>
    </w:p>
    <w:p w14:paraId="328F26E5" w14:textId="46C4545D" w:rsidR="00E12D52" w:rsidRPr="006D11FB" w:rsidRDefault="00E12D52" w:rsidP="00E12D52">
      <w:pPr>
        <w:ind w:left="1300"/>
        <w:jc w:val="both"/>
      </w:pPr>
      <w:r>
        <w:t>”</w:t>
      </w:r>
      <w:r w:rsidRPr="00E12D52">
        <w:t>Ehdotettu käännetty todistustaakka menettämisseuraamuksissa ei edellä tod</w:t>
      </w:r>
      <w:r w:rsidRPr="00E12D52">
        <w:t>e</w:t>
      </w:r>
      <w:r w:rsidRPr="00E12D52">
        <w:t>tun mukaisesti koske rikoksen syyllisyyskysymystä. Ehdotus ei siten ole onge</w:t>
      </w:r>
      <w:r w:rsidRPr="00E12D52">
        <w:t>l</w:t>
      </w:r>
      <w:r w:rsidRPr="00E12D52">
        <w:t xml:space="preserve">mallinen </w:t>
      </w:r>
      <w:proofErr w:type="spellStart"/>
      <w:r w:rsidRPr="00E12D52">
        <w:t>itsekriminointisuojan</w:t>
      </w:r>
      <w:proofErr w:type="spellEnd"/>
      <w:r w:rsidRPr="00E12D52">
        <w:t xml:space="preserve"> kannalta. Tämä ei kuitenkaan poista sitä, että sääntely voi tuottaa oikeuskäytännössä tilanteita, joissa vedotaan </w:t>
      </w:r>
      <w:proofErr w:type="spellStart"/>
      <w:r w:rsidRPr="00E12D52">
        <w:t>itsekriminoi</w:t>
      </w:r>
      <w:r w:rsidRPr="00E12D52">
        <w:t>n</w:t>
      </w:r>
      <w:r w:rsidRPr="00E12D52">
        <w:t>tisuojaan</w:t>
      </w:r>
      <w:proofErr w:type="spellEnd"/>
      <w:r w:rsidRPr="00E12D52">
        <w:t>. Jos konfiskaatioasian vastaaja ei esimerkiksi pysty täyttämään ehd</w:t>
      </w:r>
      <w:r w:rsidRPr="00E12D52">
        <w:t>o</w:t>
      </w:r>
      <w:r w:rsidRPr="00E12D52">
        <w:t>tettua todistustaakkaansa, tällä seikalla voidaan väittää olevan jonkinlainen t</w:t>
      </w:r>
      <w:r w:rsidRPr="00E12D52">
        <w:t>o</w:t>
      </w:r>
      <w:r w:rsidRPr="00E12D52">
        <w:t>distusvaikutus varsinaisen syyteasian käsittelyssä. Vastaavasti laajennettua hy</w:t>
      </w:r>
      <w:r w:rsidRPr="00E12D52">
        <w:t>ö</w:t>
      </w:r>
      <w:r>
        <w:t>dyn menettämistä koskevan oikeu</w:t>
      </w:r>
      <w:r w:rsidRPr="00E12D52">
        <w:t>denkäynnin jälkeen vastaajaa saatetaan syy</w:t>
      </w:r>
      <w:r w:rsidRPr="00E12D52">
        <w:t>t</w:t>
      </w:r>
      <w:r w:rsidRPr="00E12D52">
        <w:t xml:space="preserve">tää myös muusta kuin konfiskaatioprosessin syytteessä tarkoitetusta rikoksesta. Perustuslakivaliokunta huomauttaa siitä, että sääntely ei saa johtaa </w:t>
      </w:r>
      <w:proofErr w:type="spellStart"/>
      <w:r w:rsidRPr="00E12D52">
        <w:t>itsekr</w:t>
      </w:r>
      <w:r w:rsidRPr="00E12D52">
        <w:t>i</w:t>
      </w:r>
      <w:r w:rsidRPr="00E12D52">
        <w:t>minointisuojan</w:t>
      </w:r>
      <w:proofErr w:type="spellEnd"/>
      <w:r w:rsidRPr="00E12D52">
        <w:t xml:space="preserve"> loukkaamiseen todetun kaltaisissa käytännön soveltamistila</w:t>
      </w:r>
      <w:r w:rsidRPr="00E12D52">
        <w:t>n</w:t>
      </w:r>
      <w:r w:rsidRPr="00E12D52">
        <w:t>teissa.</w:t>
      </w:r>
      <w:r>
        <w:t>”</w:t>
      </w:r>
      <w:r w:rsidRPr="00E12D52">
        <w:t xml:space="preserve">  </w:t>
      </w:r>
    </w:p>
    <w:p w14:paraId="70B37E45" w14:textId="6E0AD132" w:rsidR="003D515B" w:rsidRDefault="003D515B" w:rsidP="00DE3C52">
      <w:pPr>
        <w:jc w:val="both"/>
      </w:pPr>
    </w:p>
    <w:p w14:paraId="7663ED23" w14:textId="77777777" w:rsidR="00E74515" w:rsidRDefault="00E74515" w:rsidP="00DE3C52">
      <w:pPr>
        <w:jc w:val="both"/>
        <w:rPr>
          <w:b/>
        </w:rPr>
      </w:pPr>
    </w:p>
    <w:p w14:paraId="3D613FDE" w14:textId="72D33275" w:rsidR="003F38B9" w:rsidRDefault="00211DF8" w:rsidP="00DE3C52">
      <w:pPr>
        <w:jc w:val="both"/>
      </w:pPr>
      <w:r>
        <w:rPr>
          <w:b/>
        </w:rPr>
        <w:t>3. Prosessinjohto</w:t>
      </w:r>
    </w:p>
    <w:p w14:paraId="2B43AD3D" w14:textId="77777777" w:rsidR="00211DF8" w:rsidRDefault="00211DF8" w:rsidP="00DE3C52">
      <w:pPr>
        <w:jc w:val="both"/>
      </w:pPr>
    </w:p>
    <w:p w14:paraId="5E59C504" w14:textId="728D4688" w:rsidR="00211DF8" w:rsidRDefault="00E74515" w:rsidP="00DE3C52">
      <w:pPr>
        <w:jc w:val="both"/>
      </w:pPr>
      <w:r>
        <w:t>Selvityksessä tarkastellaan sitä että tuomioistuin ei OK 17:6 mukaan hankkia sellaista näyttöä, joka koituisi vastaajan vahingoksi. Tässä samassa yhteydessä voisi ottaa esiin myös sen, että tuomioistuin ei muutenkaan saa käyttää niin sanottua rikastavaa materiaalista prosessinjo</w:t>
      </w:r>
      <w:r>
        <w:t>h</w:t>
      </w:r>
      <w:r>
        <w:t>toa syytetyn vahingoksi.</w:t>
      </w:r>
    </w:p>
    <w:p w14:paraId="10C172EB" w14:textId="77777777" w:rsidR="00706EC7" w:rsidRDefault="00706EC7" w:rsidP="00DE3C52">
      <w:pPr>
        <w:jc w:val="both"/>
      </w:pPr>
    </w:p>
    <w:p w14:paraId="5F14C041" w14:textId="77777777" w:rsidR="00706EC7" w:rsidRDefault="00706EC7" w:rsidP="00DE3C52">
      <w:pPr>
        <w:jc w:val="both"/>
        <w:rPr>
          <w:b/>
        </w:rPr>
      </w:pPr>
    </w:p>
    <w:p w14:paraId="68626494" w14:textId="21B97F59" w:rsidR="00706EC7" w:rsidRDefault="00706EC7" w:rsidP="00DE3C52">
      <w:pPr>
        <w:jc w:val="both"/>
      </w:pPr>
      <w:r>
        <w:rPr>
          <w:b/>
        </w:rPr>
        <w:t xml:space="preserve">4. </w:t>
      </w:r>
      <w:proofErr w:type="spellStart"/>
      <w:r>
        <w:rPr>
          <w:b/>
        </w:rPr>
        <w:t>Itsekriminointisuojasta</w:t>
      </w:r>
      <w:proofErr w:type="spellEnd"/>
      <w:r>
        <w:rPr>
          <w:b/>
        </w:rPr>
        <w:t xml:space="preserve"> informoiminen</w:t>
      </w:r>
    </w:p>
    <w:p w14:paraId="64573D4A" w14:textId="77777777" w:rsidR="00706EC7" w:rsidRDefault="00706EC7" w:rsidP="00DE3C52">
      <w:pPr>
        <w:jc w:val="both"/>
      </w:pPr>
    </w:p>
    <w:p w14:paraId="01D7366C" w14:textId="3FAD2896" w:rsidR="00706EC7" w:rsidRDefault="00706EC7" w:rsidP="00DE3C52">
      <w:pPr>
        <w:jc w:val="both"/>
      </w:pPr>
      <w:r>
        <w:t>Selvitykses</w:t>
      </w:r>
      <w:r w:rsidR="00BC3AA8">
        <w:t xml:space="preserve">sä aivan oikein korostetaan </w:t>
      </w:r>
      <w:proofErr w:type="spellStart"/>
      <w:r w:rsidR="00BC3AA8">
        <w:t>it</w:t>
      </w:r>
      <w:r w:rsidR="003933AF">
        <w:t>sekriminointisuojan</w:t>
      </w:r>
      <w:proofErr w:type="spellEnd"/>
      <w:r w:rsidR="003933AF">
        <w:t xml:space="preserve"> toteutumisen tärkeyttä</w:t>
      </w:r>
      <w:r w:rsidR="00BC3AA8">
        <w:t xml:space="preserve"> myös esitutkintamenettelyn aikaisissa kuulemisissa (esim. s. </w:t>
      </w:r>
      <w:proofErr w:type="gramStart"/>
      <w:r w:rsidR="00BC3AA8">
        <w:t>15-16</w:t>
      </w:r>
      <w:proofErr w:type="gramEnd"/>
      <w:r w:rsidR="00BC3AA8">
        <w:t>).</w:t>
      </w:r>
      <w:r>
        <w:t xml:space="preserve"> Tähän liittyen selvityksessä voisi </w:t>
      </w:r>
      <w:r w:rsidR="00855666">
        <w:t>ottaa (mieluiten kriittisesti) kantaa</w:t>
      </w:r>
      <w:r w:rsidR="00D5162D">
        <w:t xml:space="preserve"> lakivaliokunnan todistusoikeusuudistuksen (</w:t>
      </w:r>
      <w:proofErr w:type="spellStart"/>
      <w:r w:rsidR="00D5162D">
        <w:t>LaVM</w:t>
      </w:r>
      <w:proofErr w:type="spellEnd"/>
      <w:r w:rsidR="00D5162D">
        <w:t xml:space="preserve"> 19/2014 </w:t>
      </w:r>
      <w:proofErr w:type="spellStart"/>
      <w:r w:rsidR="00D5162D">
        <w:t>vp</w:t>
      </w:r>
      <w:proofErr w:type="spellEnd"/>
      <w:r w:rsidR="00D5162D">
        <w:t>) yhteydessä esittämään seuraavaan näkemykseen (sanotun mietinnön sivu 18):</w:t>
      </w:r>
    </w:p>
    <w:p w14:paraId="7B824386" w14:textId="77777777" w:rsidR="00D5162D" w:rsidRDefault="00D5162D" w:rsidP="00DE3C52">
      <w:pPr>
        <w:jc w:val="both"/>
      </w:pPr>
    </w:p>
    <w:p w14:paraId="01476A83" w14:textId="16EBBA53" w:rsidR="00D5162D" w:rsidRDefault="00FD75B0" w:rsidP="00FD75B0">
      <w:pPr>
        <w:ind w:left="1304"/>
        <w:jc w:val="both"/>
      </w:pPr>
      <w:r>
        <w:t>”</w:t>
      </w:r>
      <w:r w:rsidRPr="00FD75B0">
        <w:t xml:space="preserve">Väärinkäsitysten </w:t>
      </w:r>
      <w:r>
        <w:t xml:space="preserve">välttämiseksi valiokunta toteaa, että </w:t>
      </w:r>
      <w:proofErr w:type="spellStart"/>
      <w:r w:rsidRPr="00FD75B0">
        <w:t>itsekriminointisuoj</w:t>
      </w:r>
      <w:r w:rsidRPr="00FD75B0">
        <w:t>a</w:t>
      </w:r>
      <w:r w:rsidRPr="00FD75B0">
        <w:t>säännös</w:t>
      </w:r>
      <w:proofErr w:type="spellEnd"/>
      <w:r w:rsidRPr="00FD75B0">
        <w:t xml:space="preserve"> ei koske ennen esitutkinnan aloittamista tapahtuneessa alustavassa p</w:t>
      </w:r>
      <w:r w:rsidRPr="00FD75B0">
        <w:t>u</w:t>
      </w:r>
      <w:r w:rsidRPr="00FD75B0">
        <w:t>huttelussa vapaaehtoisesti an</w:t>
      </w:r>
      <w:r>
        <w:t>net</w:t>
      </w:r>
      <w:r w:rsidRPr="00FD75B0">
        <w:t xml:space="preserve">tuja raskauttavia lausuntoja tai poliisille vapaa- </w:t>
      </w:r>
      <w:proofErr w:type="spellStart"/>
      <w:r w:rsidRPr="00FD75B0">
        <w:t>ehtoisesti</w:t>
      </w:r>
      <w:proofErr w:type="spellEnd"/>
      <w:r w:rsidRPr="00FD75B0">
        <w:t xml:space="preserve"> luovute</w:t>
      </w:r>
      <w:r>
        <w:t>ttua aineistoa (kuten kirjanpi</w:t>
      </w:r>
      <w:r w:rsidRPr="00FD75B0">
        <w:t>toa), vaikka henkilölle ei olisi i</w:t>
      </w:r>
      <w:r w:rsidRPr="00FD75B0">
        <w:t>l</w:t>
      </w:r>
      <w:r w:rsidRPr="00FD75B0">
        <w:t>moitettu ETL 7:10:n mukaisesti hänen oikeudestaan ol</w:t>
      </w:r>
      <w:r>
        <w:t>la myö</w:t>
      </w:r>
      <w:r w:rsidRPr="00FD75B0">
        <w:t>tävaikuttamatta oman s</w:t>
      </w:r>
      <w:r>
        <w:t>yyllisyytensä selvittämi</w:t>
      </w:r>
      <w:r w:rsidRPr="00FD75B0">
        <w:t>seen.</w:t>
      </w:r>
      <w:r>
        <w:t>”</w:t>
      </w:r>
    </w:p>
    <w:p w14:paraId="6C57CE94" w14:textId="77777777" w:rsidR="00FD75B0" w:rsidRDefault="00FD75B0" w:rsidP="00FD75B0">
      <w:pPr>
        <w:jc w:val="both"/>
      </w:pPr>
    </w:p>
    <w:p w14:paraId="7F9CE817" w14:textId="27A9AF8C" w:rsidR="00FD75B0" w:rsidRDefault="00FD75B0" w:rsidP="00FD75B0">
      <w:pPr>
        <w:jc w:val="both"/>
      </w:pPr>
      <w:r>
        <w:t>Selvityksessäkin viitattujen korkeimman oikeuden ratkaisujen (KKO 2012:45 ja KKO 2016:96) valossa voidaan pitää ilmeisenä, että siteerattu lakivaliokunnan kannanotto ei ole korkeimman oikeuden</w:t>
      </w:r>
      <w:r w:rsidR="00F75086">
        <w:t xml:space="preserve"> perusteltuna pidettävän</w:t>
      </w:r>
      <w:r>
        <w:t xml:space="preserve"> </w:t>
      </w:r>
      <w:proofErr w:type="spellStart"/>
      <w:r>
        <w:t>prejudikatuurin</w:t>
      </w:r>
      <w:proofErr w:type="spellEnd"/>
      <w:r>
        <w:t xml:space="preserve"> mukainen.</w:t>
      </w:r>
    </w:p>
    <w:p w14:paraId="0010A1DF" w14:textId="77777777" w:rsidR="00B55BF1" w:rsidRDefault="00B55BF1" w:rsidP="00FD75B0">
      <w:pPr>
        <w:jc w:val="both"/>
      </w:pPr>
    </w:p>
    <w:p w14:paraId="191E9C3D" w14:textId="77777777" w:rsidR="00B55BF1" w:rsidRDefault="00B55BF1" w:rsidP="00FD75B0">
      <w:pPr>
        <w:jc w:val="both"/>
      </w:pPr>
    </w:p>
    <w:p w14:paraId="465C9ACA" w14:textId="644DEF7B" w:rsidR="00B55BF1" w:rsidRDefault="00B55BF1" w:rsidP="00FD75B0">
      <w:pPr>
        <w:jc w:val="both"/>
      </w:pPr>
      <w:r>
        <w:t>Turussa 9.3.2017</w:t>
      </w:r>
    </w:p>
    <w:p w14:paraId="69AB1B94" w14:textId="77777777" w:rsidR="00B55BF1" w:rsidRDefault="00B55BF1" w:rsidP="00FD75B0">
      <w:pPr>
        <w:jc w:val="both"/>
      </w:pPr>
    </w:p>
    <w:p w14:paraId="1CE91F0C" w14:textId="081487F3" w:rsidR="00B55BF1" w:rsidRDefault="00B55BF1" w:rsidP="00FD75B0">
      <w:pPr>
        <w:jc w:val="both"/>
      </w:pPr>
      <w:r>
        <w:t>Mikko Vuorenpää</w:t>
      </w:r>
    </w:p>
    <w:p w14:paraId="3658CF46" w14:textId="7FFE3B6F" w:rsidR="00B55BF1" w:rsidRDefault="00B55BF1" w:rsidP="00FD75B0">
      <w:pPr>
        <w:jc w:val="both"/>
      </w:pPr>
      <w:r>
        <w:t>Rikosprosessioikeuden professori</w:t>
      </w:r>
    </w:p>
    <w:p w14:paraId="16B02EC0" w14:textId="573B20A9" w:rsidR="00B55BF1" w:rsidRPr="00706EC7" w:rsidRDefault="00B55BF1" w:rsidP="00FD75B0">
      <w:pPr>
        <w:jc w:val="both"/>
      </w:pPr>
      <w:r>
        <w:t>Lapin yliopisto</w:t>
      </w:r>
    </w:p>
    <w:sectPr w:rsidR="00B55BF1" w:rsidRPr="00706EC7" w:rsidSect="00DE3C52">
      <w:headerReference w:type="even" r:id="rId7"/>
      <w:headerReference w:type="default" r:id="rId8"/>
      <w:pgSz w:w="11900" w:h="16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987CB0" w14:textId="77777777" w:rsidR="002541C4" w:rsidRDefault="002541C4" w:rsidP="00A50A9C">
      <w:r>
        <w:separator/>
      </w:r>
    </w:p>
  </w:endnote>
  <w:endnote w:type="continuationSeparator" w:id="0">
    <w:p w14:paraId="5746C4BA" w14:textId="77777777" w:rsidR="002541C4" w:rsidRDefault="002541C4" w:rsidP="00A50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FB3363" w14:textId="77777777" w:rsidR="002541C4" w:rsidRDefault="002541C4" w:rsidP="00A50A9C">
      <w:r>
        <w:separator/>
      </w:r>
    </w:p>
  </w:footnote>
  <w:footnote w:type="continuationSeparator" w:id="0">
    <w:p w14:paraId="10D62A29" w14:textId="77777777" w:rsidR="002541C4" w:rsidRDefault="002541C4" w:rsidP="00A50A9C">
      <w:r>
        <w:continuationSeparator/>
      </w:r>
    </w:p>
  </w:footnote>
  <w:footnote w:id="1">
    <w:p w14:paraId="14E38E20" w14:textId="77777777" w:rsidR="002541C4" w:rsidRDefault="002541C4" w:rsidP="00280632">
      <w:pPr>
        <w:pStyle w:val="Alaviitteenteksti"/>
      </w:pPr>
      <w:r>
        <w:rPr>
          <w:rStyle w:val="Alaviitteenviite"/>
        </w:rPr>
        <w:footnoteRef/>
      </w:r>
      <w:r>
        <w:t xml:space="preserve"> Todisteena vedottaisiin tällöin siis siihen, että vastaaja ei ensiprosessissa pystynyt näytt</w:t>
      </w:r>
      <w:r>
        <w:t>ä</w:t>
      </w:r>
      <w:r>
        <w:t>mään, että myöhemmässä syytteessä tarkoitettu omaisuus oli saatu laillisin keinoin.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CE40A9" w14:textId="77777777" w:rsidR="002541C4" w:rsidRDefault="002541C4" w:rsidP="00280632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5FEE7368" w14:textId="77777777" w:rsidR="002541C4" w:rsidRDefault="002541C4" w:rsidP="00A50A9C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DF7FE0" w14:textId="77777777" w:rsidR="002541C4" w:rsidRDefault="002541C4" w:rsidP="00280632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571B0C">
      <w:rPr>
        <w:rStyle w:val="Sivunumero"/>
        <w:noProof/>
      </w:rPr>
      <w:t>2</w:t>
    </w:r>
    <w:r>
      <w:rPr>
        <w:rStyle w:val="Sivunumero"/>
      </w:rPr>
      <w:fldChar w:fldCharType="end"/>
    </w:r>
  </w:p>
  <w:p w14:paraId="2B8D4010" w14:textId="77777777" w:rsidR="002541C4" w:rsidRDefault="002541C4" w:rsidP="00A50A9C">
    <w:pPr>
      <w:pStyle w:val="Yltunniste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1304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F34"/>
    <w:rsid w:val="00007F94"/>
    <w:rsid w:val="0010509A"/>
    <w:rsid w:val="001067AC"/>
    <w:rsid w:val="0017623F"/>
    <w:rsid w:val="00191869"/>
    <w:rsid w:val="00197D47"/>
    <w:rsid w:val="001F3149"/>
    <w:rsid w:val="00211DF8"/>
    <w:rsid w:val="00231532"/>
    <w:rsid w:val="00233078"/>
    <w:rsid w:val="002541C4"/>
    <w:rsid w:val="00270BEA"/>
    <w:rsid w:val="00280632"/>
    <w:rsid w:val="002863BB"/>
    <w:rsid w:val="002B01AF"/>
    <w:rsid w:val="002D1F34"/>
    <w:rsid w:val="00340774"/>
    <w:rsid w:val="0034102A"/>
    <w:rsid w:val="0034360A"/>
    <w:rsid w:val="00343CD3"/>
    <w:rsid w:val="0035418F"/>
    <w:rsid w:val="00364B91"/>
    <w:rsid w:val="003933AF"/>
    <w:rsid w:val="003947F5"/>
    <w:rsid w:val="003B243D"/>
    <w:rsid w:val="003B5672"/>
    <w:rsid w:val="003D2A9A"/>
    <w:rsid w:val="003D515B"/>
    <w:rsid w:val="003F38B9"/>
    <w:rsid w:val="004032BC"/>
    <w:rsid w:val="00436CA2"/>
    <w:rsid w:val="0044589B"/>
    <w:rsid w:val="00452BE1"/>
    <w:rsid w:val="00460E7B"/>
    <w:rsid w:val="004D3942"/>
    <w:rsid w:val="004E4435"/>
    <w:rsid w:val="00521635"/>
    <w:rsid w:val="005332E6"/>
    <w:rsid w:val="00537F4E"/>
    <w:rsid w:val="00571B0C"/>
    <w:rsid w:val="005B200F"/>
    <w:rsid w:val="005C201F"/>
    <w:rsid w:val="005F05B5"/>
    <w:rsid w:val="0069381F"/>
    <w:rsid w:val="006969E6"/>
    <w:rsid w:val="006C51D7"/>
    <w:rsid w:val="006D11FB"/>
    <w:rsid w:val="00704462"/>
    <w:rsid w:val="00706EC7"/>
    <w:rsid w:val="00750C0B"/>
    <w:rsid w:val="0076331C"/>
    <w:rsid w:val="007659D3"/>
    <w:rsid w:val="00776D1F"/>
    <w:rsid w:val="007B6A11"/>
    <w:rsid w:val="007E0FF8"/>
    <w:rsid w:val="00800C88"/>
    <w:rsid w:val="008522FC"/>
    <w:rsid w:val="00855666"/>
    <w:rsid w:val="008B1FFD"/>
    <w:rsid w:val="0090539E"/>
    <w:rsid w:val="00933BF4"/>
    <w:rsid w:val="009A0ED9"/>
    <w:rsid w:val="009D0C20"/>
    <w:rsid w:val="009D57EC"/>
    <w:rsid w:val="00A50A9C"/>
    <w:rsid w:val="00A54CF5"/>
    <w:rsid w:val="00AD33B5"/>
    <w:rsid w:val="00AD6B6C"/>
    <w:rsid w:val="00AE2E3B"/>
    <w:rsid w:val="00AF11CA"/>
    <w:rsid w:val="00B0151D"/>
    <w:rsid w:val="00B55BF1"/>
    <w:rsid w:val="00B85E0A"/>
    <w:rsid w:val="00B9166C"/>
    <w:rsid w:val="00BC0FE0"/>
    <w:rsid w:val="00BC3AA8"/>
    <w:rsid w:val="00C660AB"/>
    <w:rsid w:val="00C77630"/>
    <w:rsid w:val="00CD393E"/>
    <w:rsid w:val="00CE6B69"/>
    <w:rsid w:val="00D06869"/>
    <w:rsid w:val="00D32528"/>
    <w:rsid w:val="00D32DFF"/>
    <w:rsid w:val="00D42751"/>
    <w:rsid w:val="00D5162D"/>
    <w:rsid w:val="00D931AA"/>
    <w:rsid w:val="00DA7517"/>
    <w:rsid w:val="00DE3C52"/>
    <w:rsid w:val="00DF79AE"/>
    <w:rsid w:val="00E12D52"/>
    <w:rsid w:val="00E32815"/>
    <w:rsid w:val="00E32DA6"/>
    <w:rsid w:val="00E74515"/>
    <w:rsid w:val="00ED2161"/>
    <w:rsid w:val="00EF4D20"/>
    <w:rsid w:val="00F2544F"/>
    <w:rsid w:val="00F75086"/>
    <w:rsid w:val="00FC160D"/>
    <w:rsid w:val="00FD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F49F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A50A9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A50A9C"/>
  </w:style>
  <w:style w:type="character" w:styleId="Sivunumero">
    <w:name w:val="page number"/>
    <w:basedOn w:val="Kappaleenoletusfontti"/>
    <w:uiPriority w:val="99"/>
    <w:semiHidden/>
    <w:unhideWhenUsed/>
    <w:rsid w:val="00A50A9C"/>
  </w:style>
  <w:style w:type="paragraph" w:styleId="Alaviitteenteksti">
    <w:name w:val="footnote text"/>
    <w:basedOn w:val="Normaali"/>
    <w:link w:val="AlaviitteentekstiChar"/>
    <w:uiPriority w:val="99"/>
    <w:unhideWhenUsed/>
    <w:rsid w:val="00280632"/>
  </w:style>
  <w:style w:type="character" w:customStyle="1" w:styleId="AlaviitteentekstiChar">
    <w:name w:val="Alaviitteen teksti Char"/>
    <w:basedOn w:val="Kappaleenoletusfontti"/>
    <w:link w:val="Alaviitteenteksti"/>
    <w:uiPriority w:val="99"/>
    <w:rsid w:val="00280632"/>
  </w:style>
  <w:style w:type="character" w:styleId="Alaviitteenviite">
    <w:name w:val="footnote reference"/>
    <w:basedOn w:val="Kappaleenoletusfontti"/>
    <w:uiPriority w:val="99"/>
    <w:unhideWhenUsed/>
    <w:rsid w:val="0028063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A50A9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A50A9C"/>
  </w:style>
  <w:style w:type="character" w:styleId="Sivunumero">
    <w:name w:val="page number"/>
    <w:basedOn w:val="Kappaleenoletusfontti"/>
    <w:uiPriority w:val="99"/>
    <w:semiHidden/>
    <w:unhideWhenUsed/>
    <w:rsid w:val="00A50A9C"/>
  </w:style>
  <w:style w:type="paragraph" w:styleId="Alaviitteenteksti">
    <w:name w:val="footnote text"/>
    <w:basedOn w:val="Normaali"/>
    <w:link w:val="AlaviitteentekstiChar"/>
    <w:uiPriority w:val="99"/>
    <w:unhideWhenUsed/>
    <w:rsid w:val="00280632"/>
  </w:style>
  <w:style w:type="character" w:customStyle="1" w:styleId="AlaviitteentekstiChar">
    <w:name w:val="Alaviitteen teksti Char"/>
    <w:basedOn w:val="Kappaleenoletusfontti"/>
    <w:link w:val="Alaviitteenteksti"/>
    <w:uiPriority w:val="99"/>
    <w:rsid w:val="00280632"/>
  </w:style>
  <w:style w:type="character" w:styleId="Alaviitteenviite">
    <w:name w:val="footnote reference"/>
    <w:basedOn w:val="Kappaleenoletusfontti"/>
    <w:uiPriority w:val="99"/>
    <w:unhideWhenUsed/>
    <w:rsid w:val="002806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4747</Characters>
  <Application>Microsoft Office Word</Application>
  <DocSecurity>4</DocSecurity>
  <Lines>39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Lakipalvelu Signum Oy</Company>
  <LinksUpToDate>false</LinksUpToDate>
  <CharactersWithSpaces>5322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Mikko Vuorenpää</dc:creator>
  <cp:lastModifiedBy>Luomala Irene</cp:lastModifiedBy>
  <cp:revision>2</cp:revision>
  <cp:lastPrinted>2017-03-09T11:02:00Z</cp:lastPrinted>
  <dcterms:created xsi:type="dcterms:W3CDTF">2017-03-09T11:02:00Z</dcterms:created>
  <dcterms:modified xsi:type="dcterms:W3CDTF">2017-03-09T11:02:00Z</dcterms:modified>
</cp:coreProperties>
</file>