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A2" w:rsidRDefault="00D502EA">
      <w:bookmarkStart w:id="0" w:name="_GoBack"/>
      <w:bookmarkEnd w:id="0"/>
    </w:p>
    <w:p w:rsidR="002A6CD5" w:rsidRDefault="00D502EA"/>
    <w:p w:rsidR="002A6CD5" w:rsidRDefault="00D502EA" w:rsidP="0035265B">
      <w:pPr>
        <w:pStyle w:val="Vastaanottajatiedot"/>
      </w:pPr>
      <w:r>
        <w:t>Oikeusministeriö</w:t>
      </w:r>
    </w:p>
    <w:p w:rsidR="002A6CD5" w:rsidRDefault="00D502EA" w:rsidP="0035265B">
      <w:pPr>
        <w:pStyle w:val="Vastaanottajatiedot"/>
      </w:pPr>
    </w:p>
    <w:p w:rsidR="008C5E06" w:rsidRDefault="00D502EA"/>
    <w:p w:rsidR="002A6CD5" w:rsidRDefault="00D502EA" w:rsidP="0035265B">
      <w:pPr>
        <w:pStyle w:val="Vastaanottajatiedot"/>
      </w:pPr>
    </w:p>
    <w:p w:rsidR="002A6CD5" w:rsidRDefault="00D502EA" w:rsidP="0035265B">
      <w:pPr>
        <w:pStyle w:val="Vastaanottajatiedot"/>
      </w:pPr>
    </w:p>
    <w:p w:rsidR="002A6CD5" w:rsidRDefault="00D502EA"/>
    <w:p w:rsidR="00F874C0" w:rsidRDefault="00D502EA"/>
    <w:p w:rsidR="002A6CD5" w:rsidRDefault="00D502EA">
      <w:r>
        <w:t xml:space="preserve">Lausuntopyyntö </w:t>
      </w:r>
      <w:r w:rsidRPr="0061311A">
        <w:t>OM 4/481/2013</w:t>
      </w:r>
    </w:p>
    <w:p w:rsidR="002A6CD5" w:rsidRDefault="00D502EA"/>
    <w:p w:rsidR="002A6CD5" w:rsidRDefault="00D502EA" w:rsidP="002A6CD5">
      <w:pPr>
        <w:pStyle w:val="Otsikko"/>
      </w:pPr>
      <w:r>
        <w:fldChar w:fldCharType="begin"/>
      </w:r>
      <w:r>
        <w:instrText xml:space="preserve"> DOCPROPERTY  sm_otsikko  \* MERGEFORMAT </w:instrText>
      </w:r>
      <w:r>
        <w:fldChar w:fldCharType="separate"/>
      </w:r>
      <w:r>
        <w:t>Sisäministeriön lausunto; syyttömyysolettamadirektiivin kansallista täytä</w:t>
      </w:r>
      <w:r>
        <w:t>n</w:t>
      </w:r>
      <w:r>
        <w:t>töönpanoa koskeva arviomuistio</w:t>
      </w:r>
      <w:r>
        <w:fldChar w:fldCharType="end"/>
      </w:r>
    </w:p>
    <w:p w:rsidR="00E01FAC" w:rsidRPr="00E01FAC" w:rsidRDefault="00D502EA" w:rsidP="00E01FAC">
      <w:pPr>
        <w:pStyle w:val="Sivuotsikko"/>
      </w:pPr>
      <w:r w:rsidRPr="00E01FAC">
        <w:t>Asia</w:t>
      </w:r>
    </w:p>
    <w:p w:rsidR="00E01FAC" w:rsidRPr="00E01FAC" w:rsidRDefault="00D502EA" w:rsidP="00F21738">
      <w:pPr>
        <w:pStyle w:val="Leipteksti"/>
        <w:jc w:val="both"/>
      </w:pPr>
      <w:r w:rsidRPr="00E01FAC">
        <w:t>Huomioiden eräiden syyttömyysolettamaan</w:t>
      </w:r>
      <w:r w:rsidRPr="00E01FAC">
        <w:t xml:space="preserve"> liittyvien näkökohtien ja läsnäoloa oike</w:t>
      </w:r>
      <w:r w:rsidRPr="00E01FAC">
        <w:t>u</w:t>
      </w:r>
      <w:r w:rsidRPr="00E01FAC">
        <w:t>denkäynnissä koskevan oikeuden lujittamista rikosoikeudellisissa menettelyissä ko</w:t>
      </w:r>
      <w:r w:rsidRPr="00E01FAC">
        <w:t>s</w:t>
      </w:r>
      <w:r w:rsidRPr="00E01FAC">
        <w:t>kevan direktiivin (EU) 2016/343 (jatkossa syyttömyysolettamadirektiivi) ja oikeusm</w:t>
      </w:r>
      <w:r w:rsidRPr="00E01FAC">
        <w:t>i</w:t>
      </w:r>
      <w:r w:rsidRPr="00E01FAC">
        <w:t>nisteriön 21.1.2017 päivätyn muistion "Syyttömyys</w:t>
      </w:r>
      <w:r w:rsidRPr="00E01FAC">
        <w:t>olettamadirektiivin kansallinen tä</w:t>
      </w:r>
      <w:r w:rsidRPr="00E01FAC">
        <w:t>y</w:t>
      </w:r>
      <w:r w:rsidRPr="00E01FAC">
        <w:t>täntöö</w:t>
      </w:r>
      <w:r>
        <w:t xml:space="preserve">npano" sisällön sisäministeriö </w:t>
      </w:r>
      <w:r w:rsidRPr="00E01FAC">
        <w:t xml:space="preserve">lausuu </w:t>
      </w:r>
      <w:r>
        <w:t xml:space="preserve">asiassa </w:t>
      </w:r>
      <w:r w:rsidRPr="00E01FAC">
        <w:t>seuraavaa.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1 artikla</w:t>
      </w:r>
    </w:p>
    <w:p w:rsidR="00F21738" w:rsidRPr="00F21738" w:rsidRDefault="00D502EA" w:rsidP="00F21738">
      <w:pPr>
        <w:pStyle w:val="Leipteksti"/>
        <w:jc w:val="both"/>
        <w:rPr>
          <w:b/>
          <w:bCs/>
        </w:rPr>
      </w:pPr>
      <w:r w:rsidRPr="00F21738">
        <w:rPr>
          <w:b/>
          <w:bCs/>
        </w:rPr>
        <w:t>Poliisi</w:t>
      </w:r>
    </w:p>
    <w:p w:rsidR="00E01FAC" w:rsidRPr="00E01FAC" w:rsidRDefault="00D502EA" w:rsidP="00F21738">
      <w:pPr>
        <w:pStyle w:val="Leipteksti"/>
        <w:jc w:val="both"/>
        <w:rPr>
          <w:bCs/>
        </w:rPr>
      </w:pPr>
      <w:r w:rsidRPr="00E01FAC">
        <w:rPr>
          <w:bCs/>
        </w:rPr>
        <w:t>Poliisin toiminnan kannalta syyttömyysolettamadirektiivin sisältö koskee erityisesti es</w:t>
      </w:r>
      <w:r w:rsidRPr="00E01FAC">
        <w:rPr>
          <w:bCs/>
        </w:rPr>
        <w:t>i</w:t>
      </w:r>
      <w:r w:rsidRPr="00E01FAC">
        <w:rPr>
          <w:bCs/>
        </w:rPr>
        <w:t>tutkintaa viittaamalla rikosoikeudellisi</w:t>
      </w:r>
      <w:r w:rsidRPr="00E01FAC">
        <w:rPr>
          <w:bCs/>
        </w:rPr>
        <w:t>in menettelyihin. Tämän vuoksi syyttömyysole</w:t>
      </w:r>
      <w:r w:rsidRPr="00E01FAC">
        <w:rPr>
          <w:bCs/>
        </w:rPr>
        <w:t>t</w:t>
      </w:r>
      <w:r w:rsidRPr="00E01FAC">
        <w:rPr>
          <w:bCs/>
        </w:rPr>
        <w:t xml:space="preserve">tamadirektiivin sisältö ja kansallinen täytäntöönpano ovat poliisin toiminnan kannalta merkityksellisiä seikkoja. </w:t>
      </w:r>
    </w:p>
    <w:p w:rsidR="00E01FAC" w:rsidRPr="00E01FAC" w:rsidRDefault="00D502EA" w:rsidP="00F21738">
      <w:pPr>
        <w:pStyle w:val="Leipteksti"/>
        <w:jc w:val="both"/>
        <w:rPr>
          <w:bCs/>
        </w:rPr>
      </w:pPr>
      <w:r w:rsidRPr="00E01FAC">
        <w:rPr>
          <w:bCs/>
        </w:rPr>
        <w:t>Lisäksi direktiivin viittauksen läsnäolo-oikeudesta rikosoikeudellisten menettelyjen o</w:t>
      </w:r>
      <w:r w:rsidRPr="00E01FAC">
        <w:rPr>
          <w:bCs/>
        </w:rPr>
        <w:t>i</w:t>
      </w:r>
      <w:r w:rsidRPr="00E01FAC">
        <w:rPr>
          <w:bCs/>
        </w:rPr>
        <w:t>keudenkäy</w:t>
      </w:r>
      <w:r w:rsidRPr="00E01FAC">
        <w:rPr>
          <w:bCs/>
        </w:rPr>
        <w:t>nnissä voidaan katsoa viittaavaan oikeusministeriön 14.9.2016 asettaman (OM 8/41/2015) työryhmän "Oikeusprosessien keventäminen" tavoitteisiin. Työry</w:t>
      </w:r>
      <w:r w:rsidRPr="00E01FAC">
        <w:rPr>
          <w:bCs/>
        </w:rPr>
        <w:t>h</w:t>
      </w:r>
      <w:r w:rsidRPr="00E01FAC">
        <w:rPr>
          <w:bCs/>
        </w:rPr>
        <w:t>män työssä käsitellään oikeudenkäynnistä rikosasioista annetun lain (689/1997) 8 l</w:t>
      </w:r>
      <w:r w:rsidRPr="00E01FAC">
        <w:rPr>
          <w:bCs/>
        </w:rPr>
        <w:t>u</w:t>
      </w:r>
      <w:r w:rsidRPr="00E01FAC">
        <w:rPr>
          <w:bCs/>
        </w:rPr>
        <w:t xml:space="preserve">vun säännöksiä koskien </w:t>
      </w:r>
      <w:r w:rsidRPr="00E01FAC">
        <w:rPr>
          <w:bCs/>
        </w:rPr>
        <w:t>vastaajan läsnäoloa, asian tutkimista vastaajan poissaolosta huolimatta ja teknisen tiedonvälitystavan käyttämistä. Ensisijaisesti syyttömyysole</w:t>
      </w:r>
      <w:r w:rsidRPr="00E01FAC">
        <w:rPr>
          <w:bCs/>
        </w:rPr>
        <w:t>t</w:t>
      </w:r>
      <w:r w:rsidRPr="00E01FAC">
        <w:rPr>
          <w:bCs/>
        </w:rPr>
        <w:t>tamadirektiivin ja työryhmän välinen yhteys liittyy lainkäyttäjinä toimiviin tuomioi</w:t>
      </w:r>
      <w:r w:rsidRPr="00E01FAC">
        <w:rPr>
          <w:bCs/>
        </w:rPr>
        <w:t>s</w:t>
      </w:r>
      <w:r w:rsidRPr="00E01FAC">
        <w:rPr>
          <w:bCs/>
        </w:rPr>
        <w:t>tuimiin ja syyttäjiin. Toi</w:t>
      </w:r>
      <w:r w:rsidRPr="00E01FAC">
        <w:rPr>
          <w:bCs/>
        </w:rPr>
        <w:t>ssijaisesti myös poliisi tulee syyttömyysolettamadirektiivin ja lainkäyttäjien välisen suhteen osapuoleksi johtuen esimerkiksi poliisin roolista oikeu</w:t>
      </w:r>
      <w:r w:rsidRPr="00E01FAC">
        <w:rPr>
          <w:bCs/>
        </w:rPr>
        <w:t>s</w:t>
      </w:r>
      <w:r w:rsidRPr="00E01FAC">
        <w:rPr>
          <w:bCs/>
        </w:rPr>
        <w:t xml:space="preserve">prosessia karttavia vastaajia noutavana viranomaisena. </w:t>
      </w:r>
      <w:r>
        <w:rPr>
          <w:bCs/>
        </w:rPr>
        <w:t>Sisäministeriön poliisiosaston</w:t>
      </w:r>
      <w:r w:rsidRPr="00E01FAC">
        <w:rPr>
          <w:bCs/>
        </w:rPr>
        <w:t xml:space="preserve"> näkemyksen mukaan 1</w:t>
      </w:r>
      <w:r w:rsidRPr="00E01FAC">
        <w:rPr>
          <w:bCs/>
        </w:rPr>
        <w:t xml:space="preserve"> artiklan sisältö ei aiheuta lainmuutostarpeita poliisia kosk</w:t>
      </w:r>
      <w:r w:rsidRPr="00E01FAC">
        <w:rPr>
          <w:bCs/>
        </w:rPr>
        <w:t>e</w:t>
      </w:r>
      <w:r w:rsidRPr="00E01FAC">
        <w:rPr>
          <w:bCs/>
        </w:rPr>
        <w:t xml:space="preserve">vassa lainsäädännössä. 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2 artikla</w:t>
      </w:r>
    </w:p>
    <w:p w:rsidR="00BF0E8E" w:rsidRPr="00F21738" w:rsidRDefault="00D502EA" w:rsidP="00BF0E8E">
      <w:pPr>
        <w:pStyle w:val="Leipteksti"/>
        <w:jc w:val="both"/>
        <w:rPr>
          <w:b/>
          <w:bCs/>
        </w:rPr>
      </w:pPr>
      <w:r w:rsidRPr="00F21738">
        <w:rPr>
          <w:b/>
          <w:bCs/>
        </w:rPr>
        <w:t>Poliisi</w:t>
      </w:r>
    </w:p>
    <w:p w:rsidR="00E01FAC" w:rsidRPr="00E01FAC" w:rsidRDefault="00D502EA" w:rsidP="00F21738">
      <w:pPr>
        <w:pStyle w:val="Leipteksti"/>
        <w:jc w:val="both"/>
        <w:rPr>
          <w:bCs/>
        </w:rPr>
      </w:pPr>
      <w:r w:rsidRPr="00E01FAC">
        <w:rPr>
          <w:bCs/>
        </w:rPr>
        <w:t>Direktiivin soveltamisalan rajaaminen luonnollisiin henkilöihin ei aiheuta ristiriitoja es</w:t>
      </w:r>
      <w:r w:rsidRPr="00E01FAC">
        <w:rPr>
          <w:bCs/>
        </w:rPr>
        <w:t>i</w:t>
      </w:r>
      <w:r w:rsidRPr="00E01FAC">
        <w:rPr>
          <w:bCs/>
        </w:rPr>
        <w:t>tutkintalain (805/2011) 1 luvun 1 §:n soveltamisa</w:t>
      </w:r>
      <w:r w:rsidRPr="00E01FAC">
        <w:rPr>
          <w:bCs/>
        </w:rPr>
        <w:t>lan tai 2 luvun 5 §:n asianosaissää</w:t>
      </w:r>
      <w:r w:rsidRPr="00E01FAC">
        <w:rPr>
          <w:bCs/>
        </w:rPr>
        <w:t>n</w:t>
      </w:r>
      <w:r w:rsidRPr="00E01FAC">
        <w:rPr>
          <w:bCs/>
        </w:rPr>
        <w:t>nöksen kanssa. 5 §:n luettelo asianosaisista sisältää myös asianosaisena olevan o</w:t>
      </w:r>
      <w:r w:rsidRPr="00E01FAC">
        <w:rPr>
          <w:bCs/>
        </w:rPr>
        <w:t>i</w:t>
      </w:r>
      <w:r w:rsidRPr="00E01FAC">
        <w:rPr>
          <w:bCs/>
        </w:rPr>
        <w:t xml:space="preserve">keushenkilön vastuulliset tai edustusvaltaiset luonnolliset henkilöt. </w:t>
      </w:r>
    </w:p>
    <w:p w:rsidR="00E01FAC" w:rsidRPr="00E01FAC" w:rsidRDefault="00D502EA" w:rsidP="00F21738">
      <w:pPr>
        <w:pStyle w:val="Leipteksti"/>
        <w:jc w:val="both"/>
        <w:rPr>
          <w:bCs/>
        </w:rPr>
      </w:pPr>
      <w:r w:rsidRPr="00E01FAC">
        <w:rPr>
          <w:bCs/>
        </w:rPr>
        <w:t>Esitutkintalaki on ehtinyt olla voimassa riittävän pitkään, jotta s</w:t>
      </w:r>
      <w:r w:rsidRPr="00E01FAC">
        <w:rPr>
          <w:bCs/>
        </w:rPr>
        <w:t>ille on kehittynyt muun muassa oikeuskäytännön kautta vakiintunut tulkinta ja tulkinnan ohjaamat toimintat</w:t>
      </w:r>
      <w:r w:rsidRPr="00E01FAC">
        <w:rPr>
          <w:bCs/>
        </w:rPr>
        <w:t>a</w:t>
      </w:r>
      <w:r w:rsidRPr="00E01FAC">
        <w:rPr>
          <w:bCs/>
        </w:rPr>
        <w:t>vat poliisin suorittamassa esitutkinnassa. Vaikka esitutkintalaissa ei ole nimenomaista säännöstä, joka määrittelisi milloin esitutkinta alkaa, konkr</w:t>
      </w:r>
      <w:r w:rsidRPr="00E01FAC">
        <w:rPr>
          <w:bCs/>
        </w:rPr>
        <w:t xml:space="preserve">eettinen aloittamisaika on johdettavissa esimerkiksi rikosilmoituksen kirjaamisesta. Poliisihallitus on ohjeistanut rikosilmoituksen kirjaamisen yksityiskohtaisesti ohjeella 2020/2013/5231. </w:t>
      </w:r>
    </w:p>
    <w:p w:rsidR="00E01FAC" w:rsidRPr="00E01FAC" w:rsidRDefault="00D502EA" w:rsidP="00F21738">
      <w:pPr>
        <w:pStyle w:val="Leipteksti"/>
        <w:jc w:val="both"/>
      </w:pPr>
      <w:r w:rsidRPr="00E01FAC">
        <w:lastRenderedPageBreak/>
        <w:t xml:space="preserve">Esitutkinnan päättäminen on säännelty esitutkintalain 10 luvun 2 </w:t>
      </w:r>
      <w:r w:rsidRPr="00E01FAC">
        <w:t xml:space="preserve">§:ssä. Säännös on sisällöltään yksiselitteinen ja kattava. </w:t>
      </w:r>
    </w:p>
    <w:p w:rsidR="00E01FAC" w:rsidRPr="00E01FAC" w:rsidRDefault="00D502EA" w:rsidP="00F21738">
      <w:pPr>
        <w:pStyle w:val="Leipteksti"/>
        <w:jc w:val="both"/>
        <w:rPr>
          <w:bCs/>
        </w:rPr>
      </w:pPr>
      <w:r>
        <w:rPr>
          <w:bCs/>
        </w:rPr>
        <w:t>Sisäministeriön poliisiosaston</w:t>
      </w:r>
      <w:r w:rsidRPr="00E01FAC">
        <w:rPr>
          <w:bCs/>
        </w:rPr>
        <w:t xml:space="preserve"> näkemyksen mukaan 2 artiklan määritelmä syytt</w:t>
      </w:r>
      <w:r w:rsidRPr="00E01FAC">
        <w:rPr>
          <w:bCs/>
        </w:rPr>
        <w:t>ö</w:t>
      </w:r>
      <w:r w:rsidRPr="00E01FAC">
        <w:rPr>
          <w:bCs/>
        </w:rPr>
        <w:t>myysolettaman soveltamisalasta ja erityisesti sen ajallisesta ulottuvuudesta ei aiheuta lainmuutostarpeita poliisia kos</w:t>
      </w:r>
      <w:r w:rsidRPr="00E01FAC">
        <w:rPr>
          <w:bCs/>
        </w:rPr>
        <w:t xml:space="preserve">kevassa lainsäädännössä. 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3 artikla</w:t>
      </w:r>
    </w:p>
    <w:p w:rsidR="00BF0E8E" w:rsidRPr="00F21738" w:rsidRDefault="00D502EA" w:rsidP="00BF0E8E">
      <w:pPr>
        <w:pStyle w:val="Leipteksti"/>
        <w:jc w:val="both"/>
        <w:rPr>
          <w:b/>
        </w:rPr>
      </w:pPr>
      <w:r w:rsidRPr="00F21738">
        <w:rPr>
          <w:b/>
        </w:rPr>
        <w:t>Poliisi</w:t>
      </w:r>
    </w:p>
    <w:p w:rsidR="00E01FAC" w:rsidRPr="00E01FAC" w:rsidRDefault="00D502EA" w:rsidP="00F21738">
      <w:pPr>
        <w:pStyle w:val="Leipteksti"/>
        <w:jc w:val="both"/>
      </w:pPr>
      <w:r w:rsidRPr="00E01FAC">
        <w:t>Esitutkintalain 4 luvun 2 § määrittelee nimenomaisesti syyttömyysolettaman</w:t>
      </w:r>
      <w:r w:rsidRPr="00E01FAC">
        <w:t xml:space="preserve"> yhdeksi esitutkintaperiaatteeksi. Säännös on yksiselitteinen ja ehdoton. Esitutkintalain 4 luvun muut esitutkintaperiaatteet tukevat osaltaan syyttömyysolettamaa ja sen toteuttamista käytännössä. Sama pätee esitutkintalain 4 luvun 16 §:n perusteella rikok</w:t>
      </w:r>
      <w:r w:rsidRPr="00E01FAC">
        <w:t>sesta epäi</w:t>
      </w:r>
      <w:r w:rsidRPr="00E01FAC">
        <w:t>l</w:t>
      </w:r>
      <w:r w:rsidRPr="00E01FAC">
        <w:t>ly</w:t>
      </w:r>
      <w:r w:rsidRPr="00E01FAC">
        <w:t>l</w:t>
      </w:r>
      <w:r w:rsidRPr="00E01FAC">
        <w:t xml:space="preserve">le tehtävään ilmoitukseen. </w:t>
      </w:r>
    </w:p>
    <w:p w:rsidR="00E01FAC" w:rsidRPr="00E01FAC" w:rsidRDefault="00D502EA" w:rsidP="00F21738">
      <w:pPr>
        <w:pStyle w:val="Leipteksti"/>
        <w:jc w:val="both"/>
      </w:pPr>
      <w:r w:rsidRPr="00E01FAC">
        <w:t>Esitutkinnan salassapitotarve erityisesti sen alkuvaiheessa on hyväksytty vakii</w:t>
      </w:r>
      <w:r w:rsidRPr="00E01FAC">
        <w:t>n</w:t>
      </w:r>
      <w:r w:rsidRPr="00E01FAC">
        <w:t>tuneesti. Rikoksesta epäillyn tietämättömyyttä häneen kohdistuvista esitutkintato</w:t>
      </w:r>
      <w:r w:rsidRPr="00E01FAC">
        <w:t>i</w:t>
      </w:r>
      <w:r w:rsidRPr="00E01FAC">
        <w:t xml:space="preserve">menpiteistä tasapainotetaan tiedonsaantioikeudella, </w:t>
      </w:r>
      <w:r w:rsidRPr="00E01FAC">
        <w:t xml:space="preserve">josta on säädetty esitutkintalain 4 luvun 15 §:ssä. </w:t>
      </w:r>
    </w:p>
    <w:p w:rsidR="00E01FAC" w:rsidRPr="00E01FAC" w:rsidRDefault="00D502EA" w:rsidP="00F21738">
      <w:pPr>
        <w:pStyle w:val="Leipteksti"/>
        <w:jc w:val="both"/>
      </w:pPr>
      <w:r w:rsidRPr="00F21738">
        <w:t>Sisäministeriön poliisiosaston</w:t>
      </w:r>
      <w:r w:rsidRPr="00E01FAC">
        <w:t xml:space="preserve"> näkemyksen mukaan 3 artikla ei aiheuta lainmuuto</w:t>
      </w:r>
      <w:r w:rsidRPr="00E01FAC">
        <w:t>s</w:t>
      </w:r>
      <w:r w:rsidRPr="00E01FAC">
        <w:t>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4 artikla</w:t>
      </w:r>
    </w:p>
    <w:p w:rsidR="00BF0E8E" w:rsidRPr="00F21738" w:rsidRDefault="00D502EA" w:rsidP="00BF0E8E">
      <w:pPr>
        <w:pStyle w:val="Leipteksti"/>
        <w:jc w:val="both"/>
        <w:rPr>
          <w:b/>
        </w:rPr>
      </w:pPr>
      <w:r w:rsidRPr="00F21738">
        <w:rPr>
          <w:b/>
        </w:rPr>
        <w:t>Poliisi</w:t>
      </w:r>
    </w:p>
    <w:p w:rsidR="00E01FAC" w:rsidRPr="00E01FAC" w:rsidRDefault="00D502EA" w:rsidP="00F21738">
      <w:pPr>
        <w:pStyle w:val="Leipteksti"/>
        <w:jc w:val="both"/>
      </w:pPr>
      <w:r w:rsidRPr="00E01FAC">
        <w:t xml:space="preserve">Poliisin tehtäviin esitutkinnassa kuuluu myös </w:t>
      </w:r>
      <w:r w:rsidRPr="00E01FAC">
        <w:t>esitutkinnasta tiedottaminen. Esitutkint</w:t>
      </w:r>
      <w:r w:rsidRPr="00E01FAC">
        <w:t>a</w:t>
      </w:r>
      <w:r w:rsidRPr="00E01FAC">
        <w:t>lain 11 luvun 7 § säätelee tiedottamista.  Tiedottamiseen oikeuttavat tilanteet on lu</w:t>
      </w:r>
      <w:r w:rsidRPr="00E01FAC">
        <w:t>e</w:t>
      </w:r>
      <w:r w:rsidRPr="00E01FAC">
        <w:t>teltu 11 luvun 7 §:n 1 momentissa rajoitusedellytyksin. 2 momentin kuvaamissa tila</w:t>
      </w:r>
      <w:r w:rsidRPr="00E01FAC">
        <w:t>n</w:t>
      </w:r>
      <w:r w:rsidRPr="00E01FAC">
        <w:t>teissa tarkemmista henkilötunnisteista tiedott</w:t>
      </w:r>
      <w:r w:rsidRPr="00E01FAC">
        <w:t>aminen on sidottu välttämättömyysede</w:t>
      </w:r>
      <w:r w:rsidRPr="00E01FAC">
        <w:t>l</w:t>
      </w:r>
      <w:r w:rsidRPr="00E01FAC">
        <w:t>lytykseen ja muiden oikeushyvien suojaamiseen. 3 momentti velvoittaa huomioimaan 4 luvun esitutkintaperiaatteet. 4 momentti määrittelee tiedottamiseen oikeutetut poli</w:t>
      </w:r>
      <w:r w:rsidRPr="00E01FAC">
        <w:t>i</w:t>
      </w:r>
      <w:r w:rsidRPr="00E01FAC">
        <w:t xml:space="preserve">simiehet. </w:t>
      </w:r>
    </w:p>
    <w:p w:rsidR="00E01FAC" w:rsidRPr="00E01FAC" w:rsidRDefault="00D502EA" w:rsidP="00F21738">
      <w:pPr>
        <w:pStyle w:val="Leipteksti"/>
        <w:jc w:val="both"/>
      </w:pPr>
      <w:r w:rsidRPr="00E01FAC">
        <w:t xml:space="preserve">4 artiklan ja johdanto-osan kappaleen 18 </w:t>
      </w:r>
      <w:r w:rsidRPr="00E01FAC">
        <w:t>tarkoittamat viranomaisten julkiset lausumat rinnastuvat esitutkinnasta tiedottamiseen. Poliisin vakiintuneen viestintäkäytännön mukaan esitutkinnan kohteina olevista luonnollisista henkilöistä puhutaan rikoksesta epäiltyinä. Samaa käsitettä käytetään riko</w:t>
      </w:r>
      <w:r w:rsidRPr="00E01FAC">
        <w:t>silmoituksessa ja esitutkintapöytäkirjassa osoittamassa luonnollisen henkilön rikosprosessuaalista asemaa. Pääsääntönä ti</w:t>
      </w:r>
      <w:r w:rsidRPr="00E01FAC">
        <w:t>e</w:t>
      </w:r>
      <w:r w:rsidRPr="00E01FAC">
        <w:t>dottamisessa rikoksesta epäillystä vältetään käyttämästä määritelmiä, joiden peru</w:t>
      </w:r>
      <w:r w:rsidRPr="00E01FAC">
        <w:t>s</w:t>
      </w:r>
      <w:r w:rsidRPr="00E01FAC">
        <w:t>teella hänet voitaisiin yksilöidä ja siten tunnistaa</w:t>
      </w:r>
      <w:r w:rsidRPr="00E01FAC">
        <w:t xml:space="preserve">. </w:t>
      </w:r>
    </w:p>
    <w:p w:rsidR="00E01FAC" w:rsidRPr="00E01FAC" w:rsidRDefault="00D502EA" w:rsidP="00F21738">
      <w:pPr>
        <w:pStyle w:val="Leipteksti"/>
        <w:jc w:val="both"/>
      </w:pPr>
      <w:r w:rsidRPr="00E01FAC">
        <w:t>Rikoksesta epäillyn nimen ja kuvan käyttäminen tiedottamisessa on poikkeuksellista ja siten esitutkintalain 11 luvun 7 §:n 2 momentin tarkoittamalla tavalla käytetty keino. 4 artiklan 3 kohta sallii rikosoikeudellisiin menettelyihin liittyvän tiedon lev</w:t>
      </w:r>
      <w:r w:rsidRPr="00E01FAC">
        <w:t xml:space="preserve">ittämisen julkisuudessa, kun se on ehdottoman välttämätöntä rikostutkintaan liittyvistä syistä tai yleisen edun vuoksi. </w:t>
      </w:r>
    </w:p>
    <w:p w:rsidR="00E01FAC" w:rsidRPr="00E01FAC" w:rsidRDefault="00D502EA" w:rsidP="00F21738">
      <w:pPr>
        <w:pStyle w:val="Leipteksti"/>
        <w:jc w:val="both"/>
      </w:pPr>
      <w:r w:rsidRPr="00E01FAC">
        <w:t>Edellä kuvatut tiedottamiskäytännöt ovat 4 artiklassa kuvatun vähimmäisvaatimuksen mukaisia.  4 artiklan 3 kohdan muotoilua "</w:t>
      </w:r>
      <w:r w:rsidRPr="00E01FAC">
        <w:rPr>
          <w:i/>
        </w:rPr>
        <w:t>ehdottoman</w:t>
      </w:r>
      <w:r w:rsidRPr="00E01FAC">
        <w:rPr>
          <w:i/>
        </w:rPr>
        <w:t xml:space="preserve"> välttämätöntä</w:t>
      </w:r>
      <w:r w:rsidRPr="00E01FAC">
        <w:t>" ei ole peruste</w:t>
      </w:r>
      <w:r w:rsidRPr="00E01FAC">
        <w:t>l</w:t>
      </w:r>
      <w:r w:rsidRPr="00E01FAC">
        <w:t>tua tulkita kansallisessa täytäntöönpanossa siten, että se edellyttäisi esitutkintalain 11 luvun 7 §:n muuttamista. Esitutkintalaki täyttää nykyisessä muodossaan syyttömyy</w:t>
      </w:r>
      <w:r w:rsidRPr="00E01FAC">
        <w:t>s</w:t>
      </w:r>
      <w:r w:rsidRPr="00E01FAC">
        <w:t>olettamadirektiivin vähimmäisvaatimukset tiedottamise</w:t>
      </w:r>
      <w:r w:rsidRPr="00E01FAC">
        <w:t>sta ja poliisin toimivaltuuksien käyttöä koskeva välttämättömyysvaatimus on määritelty vakiintuneesti. Esitutkinnasta tiedottamisen välttämättömyyden arvioinnin ja määrittelyn tulisi kuulua kiinteästi ka</w:t>
      </w:r>
      <w:r w:rsidRPr="00E01FAC">
        <w:t>n</w:t>
      </w:r>
      <w:r w:rsidRPr="00E01FAC">
        <w:t>salliseen harkintavaltaan puhuttaessa esimerkiksi yl</w:t>
      </w:r>
      <w:r w:rsidRPr="00E01FAC">
        <w:t xml:space="preserve">itörkeistä henkeen ja terveyteen kohdistuvista rikoksista, terrorismirikoksista tai kansallisesta turvallisuudesta. </w:t>
      </w:r>
    </w:p>
    <w:p w:rsidR="00E01FAC" w:rsidRPr="00E01FAC" w:rsidRDefault="00D502EA" w:rsidP="00F21738">
      <w:pPr>
        <w:pStyle w:val="Leipteksti"/>
        <w:jc w:val="both"/>
      </w:pPr>
      <w:r w:rsidRPr="00E01FAC">
        <w:t>Tiedottamisen välttämättömyyden arviointia ei kuitenkaan ole perusteltua sitoa pel</w:t>
      </w:r>
      <w:r w:rsidRPr="00E01FAC">
        <w:t>k</w:t>
      </w:r>
      <w:r w:rsidRPr="00E01FAC">
        <w:t>kään epäillyn rikoksen rangaistusasteikkoon, vaan arvioi</w:t>
      </w:r>
      <w:r w:rsidRPr="00E01FAC">
        <w:t>nnissa on huomioitava pa</w:t>
      </w:r>
      <w:r w:rsidRPr="00E01FAC">
        <w:t>i</w:t>
      </w:r>
      <w:r w:rsidRPr="00E01FAC">
        <w:t>ka</w:t>
      </w:r>
      <w:r w:rsidRPr="00E01FAC">
        <w:t>l</w:t>
      </w:r>
      <w:r w:rsidRPr="00E01FAC">
        <w:t>liset olosuhteet, epäillyn rikoksen selvittämisintressi, mahdollisuus jouduttaa esitu</w:t>
      </w:r>
      <w:r w:rsidRPr="00E01FAC">
        <w:t>t</w:t>
      </w:r>
      <w:r w:rsidRPr="00E01FAC">
        <w:t>kintaa tiedottamisella ja muut tilannekohtaiset seikat. Käytännössä rangaistusa</w:t>
      </w:r>
      <w:r w:rsidRPr="00E01FAC">
        <w:t>s</w:t>
      </w:r>
      <w:r w:rsidRPr="00E01FAC">
        <w:lastRenderedPageBreak/>
        <w:t>teikossa lieväksi arvotetulla rikoksella voi olla paikallisest</w:t>
      </w:r>
      <w:r w:rsidRPr="00E01FAC">
        <w:t>i tai kansallisesti rangai</w:t>
      </w:r>
      <w:r w:rsidRPr="00E01FAC">
        <w:t>s</w:t>
      </w:r>
      <w:r w:rsidRPr="00E01FAC">
        <w:t>tusarvoaan suurempi vaikutus, jolloin on perusteltua, että siitä voidaan tiedottaa. Es</w:t>
      </w:r>
      <w:r w:rsidRPr="00E01FAC">
        <w:t>i</w:t>
      </w:r>
      <w:r w:rsidRPr="00E01FAC">
        <w:t>merkkinä voidaan käyttää viharikosilmiöön sisältyviä rikoksia.</w:t>
      </w:r>
    </w:p>
    <w:p w:rsidR="00E01FAC" w:rsidRPr="00E01FAC" w:rsidRDefault="00D502EA" w:rsidP="00F21738">
      <w:pPr>
        <w:pStyle w:val="Leipteksti"/>
        <w:jc w:val="both"/>
      </w:pPr>
      <w:r w:rsidRPr="00E01FAC">
        <w:t>Perinteisten joukkotiedotusvälineiden rinnalle muodostuneet viestinvälitystavat</w:t>
      </w:r>
      <w:r w:rsidRPr="00E01FAC">
        <w:t xml:space="preserve"> ovat lisänneet esitutkintaan kohdistuvaa julkista kiinnostusta ja aiheuttaneet painetta n</w:t>
      </w:r>
      <w:r w:rsidRPr="00E01FAC">
        <w:t>o</w:t>
      </w:r>
      <w:r w:rsidRPr="00E01FAC">
        <w:t>peampaan tiedottamiseen. Poliisin tehtävänä on varmistaa esitutkinnan onnistuminen muun muassa salaamisella ja tiedottamisen rajoittamisella sekä samanaikaisesti ti</w:t>
      </w:r>
      <w:r w:rsidRPr="00E01FAC">
        <w:t>e</w:t>
      </w:r>
      <w:r w:rsidRPr="00E01FAC">
        <w:t>dottamalla tuottaa yhteiskunnallisen keskustelun ja päätöksenteon tarvitsemaa tietoa yksittäisistä rikoksista sekä rikosilmiöistä suojaten samalla rikoksesta epäillyn oikeu</w:t>
      </w:r>
      <w:r w:rsidRPr="00E01FAC">
        <w:t>k</w:t>
      </w:r>
      <w:r>
        <w:t>sia.</w:t>
      </w:r>
    </w:p>
    <w:p w:rsidR="00E01FAC" w:rsidRPr="00E01FAC" w:rsidRDefault="00D502EA" w:rsidP="00F21738">
      <w:pPr>
        <w:pStyle w:val="Leipteksti"/>
        <w:jc w:val="both"/>
      </w:pPr>
      <w:r w:rsidRPr="00E01FAC">
        <w:t>Eduskunnan oikeusasiamiehelle vuosittain tehtyjen kantelujen määrä koskien pol</w:t>
      </w:r>
      <w:r w:rsidRPr="00E01FAC">
        <w:t>iisin tiedottamista esitutkinnasta on alle kymmenen kappaletta. Verrattuna kaikesta poliisin toiminnasta tehtyihin kanteluihin määrää voidaan pitää huomattavan pienenä ja oso</w:t>
      </w:r>
      <w:r w:rsidRPr="00E01FAC">
        <w:t>i</w:t>
      </w:r>
      <w:r w:rsidRPr="00E01FAC">
        <w:t xml:space="preserve">tuksena esitutkinnasta tiedottamisen oikeasuhtaisuudesta. </w:t>
      </w:r>
    </w:p>
    <w:p w:rsidR="00E01FAC" w:rsidRPr="00E01FAC" w:rsidRDefault="00D502EA" w:rsidP="00F21738">
      <w:pPr>
        <w:pStyle w:val="Leipteksti"/>
        <w:jc w:val="both"/>
      </w:pPr>
      <w:r w:rsidRPr="00BF0E8E">
        <w:t>Sisäministeriön poliis</w:t>
      </w:r>
      <w:r w:rsidRPr="00BF0E8E">
        <w:t>iosaston</w:t>
      </w:r>
      <w:r w:rsidRPr="00E01FAC">
        <w:t xml:space="preserve"> näkemyksen mukaan syyttömyysolettamadirektiivin johdanto-osan kappaleessa 19 ja oikeusministeriön muistiossa mainittu jäsenvaltio</w:t>
      </w:r>
      <w:r w:rsidRPr="00E01FAC">
        <w:t>i</w:t>
      </w:r>
      <w:r w:rsidRPr="00E01FAC">
        <w:t xml:space="preserve">den velvoite tiedottaa viranomaisille syyttömyysolettaman tärkeyden asianmukaisesta huomioinnista ei vaadi erillisiä </w:t>
      </w:r>
      <w:r w:rsidRPr="00E01FAC">
        <w:t xml:space="preserve">kansallisia toimenpiteitä. Esitutkintalain voimaantulon yhteydessä koko poliisihallinto koulutettiin uuden lain sisältöön. </w:t>
      </w:r>
    </w:p>
    <w:p w:rsidR="00E01FAC" w:rsidRPr="00E01FAC" w:rsidRDefault="00D502EA" w:rsidP="00F21738">
      <w:pPr>
        <w:pStyle w:val="Leipteksti"/>
        <w:jc w:val="both"/>
      </w:pPr>
      <w:r w:rsidRPr="00F21738">
        <w:t xml:space="preserve">Sisäministeriön poliisiosaston </w:t>
      </w:r>
      <w:r w:rsidRPr="00E01FAC">
        <w:t>mukaan 4 artikla ei aiheuta lainmuutostarpeita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5 art</w:t>
      </w:r>
      <w:r w:rsidRPr="00E01FAC">
        <w:t>ikla</w:t>
      </w:r>
    </w:p>
    <w:p w:rsidR="00BF0E8E" w:rsidRPr="00F21738" w:rsidRDefault="00D502EA" w:rsidP="00BF0E8E">
      <w:pPr>
        <w:pStyle w:val="Leipteksti"/>
        <w:jc w:val="both"/>
        <w:rPr>
          <w:b/>
        </w:rPr>
      </w:pPr>
      <w:r w:rsidRPr="00F21738">
        <w:rPr>
          <w:b/>
        </w:rPr>
        <w:t>Poliisi</w:t>
      </w:r>
    </w:p>
    <w:p w:rsidR="00E01FAC" w:rsidRPr="00E01FAC" w:rsidRDefault="00D502EA" w:rsidP="00F21738">
      <w:pPr>
        <w:pStyle w:val="Leipteksti"/>
        <w:jc w:val="both"/>
      </w:pPr>
      <w:r w:rsidRPr="00E01FAC">
        <w:t xml:space="preserve">Poliisin toiminnan kannalta poliisin säilyttämien henkilöiden kohtelusta annettu laki (841/2006) ja tutkintavankeuslaki (768/2996) luovat tarkkarajaiset toimivaltuudet ja takaavat rikoksesta epäillylle laajat oikeudet asianmukaiseen kohteluun </w:t>
      </w:r>
      <w:r w:rsidRPr="00E01FAC">
        <w:t>tavalla, joka takaa syyttömyysolettaman toteutumisen. Molemmissa laeissa vapautensa menett</w:t>
      </w:r>
      <w:r w:rsidRPr="00E01FAC">
        <w:t>ä</w:t>
      </w:r>
      <w:r w:rsidRPr="00E01FAC">
        <w:t xml:space="preserve">neen toimintavapauden rajoittamiselle on asetettu välttämättömyysedellytys. </w:t>
      </w:r>
    </w:p>
    <w:p w:rsidR="00E01FAC" w:rsidRPr="00E01FAC" w:rsidRDefault="00D502EA" w:rsidP="00F21738">
      <w:pPr>
        <w:pStyle w:val="Leipteksti"/>
        <w:jc w:val="both"/>
      </w:pPr>
      <w:r w:rsidRPr="00E01FAC">
        <w:t>Suomalaiseen poliisitoimintaan ei kuulu rikoksesta epäiltyjen esittely julkisuudessa var</w:t>
      </w:r>
      <w:r w:rsidRPr="00E01FAC">
        <w:t>sinkaan silloin, kun heidän liikkumisvapauttaan on fyysisesti rajoitettu. Rikoksesta epäiltyjen kuljettamisessa yleisillä paikoilla noudatetaan esitutkintalain 4 luvun 6 §:n hienotunteisuusperiaatetta ja poliisilain (872/2011) 1 luvun 4 §:n vähimmän haitan</w:t>
      </w:r>
      <w:r w:rsidRPr="00E01FAC">
        <w:t xml:space="preserve"> p</w:t>
      </w:r>
      <w:r w:rsidRPr="00E01FAC">
        <w:t>e</w:t>
      </w:r>
      <w:r w:rsidRPr="00E01FAC">
        <w:t>riaatetta. Vastaavasti voidaan todeta, että rikoksesta epäillyn liikkumisvapauden r</w:t>
      </w:r>
      <w:r w:rsidRPr="00E01FAC">
        <w:t>a</w:t>
      </w:r>
      <w:r w:rsidRPr="00E01FAC">
        <w:t>joittaminen rikosprosessuaalisessa pääkäsittelyssä tai pakkokeinokäsittelyssä es</w:t>
      </w:r>
      <w:r w:rsidRPr="00E01FAC">
        <w:t>i</w:t>
      </w:r>
      <w:r w:rsidRPr="00E01FAC">
        <w:t>merkiksi käsi- tai jalkaraudoin on erittäin harvinaista. Tuomioistuimen puheenjohtaja</w:t>
      </w:r>
      <w:r w:rsidRPr="00E01FAC">
        <w:t>l</w:t>
      </w:r>
      <w:r w:rsidRPr="00E01FAC">
        <w:t>le</w:t>
      </w:r>
      <w:r w:rsidRPr="00E01FAC">
        <w:t xml:space="preserve"> molemmissa laeissa säädetty toimivalta päättää liikkumisvapauden rajoittamisesta tuomioistuinkäsittelyn aikana edesauttaa syyttömyysolettamadirektiivin vähimmäi</w:t>
      </w:r>
      <w:r w:rsidRPr="00E01FAC">
        <w:t>s</w:t>
      </w:r>
      <w:r w:rsidRPr="00E01FAC">
        <w:t xml:space="preserve">vaatimusten täyttymistä. </w:t>
      </w:r>
    </w:p>
    <w:p w:rsidR="00E01FAC" w:rsidRPr="00E01FAC" w:rsidRDefault="00D502EA" w:rsidP="00F21738">
      <w:pPr>
        <w:pStyle w:val="Leipteksti"/>
        <w:jc w:val="both"/>
      </w:pPr>
      <w:r w:rsidRPr="00E01FAC">
        <w:t>Liikkumisvapauden rajoittaminen perustuu tarkkarajaisiin toimivaltuu</w:t>
      </w:r>
      <w:r w:rsidRPr="00E01FAC">
        <w:t>ssäännöksiin s</w:t>
      </w:r>
      <w:r w:rsidRPr="00E01FAC">
        <w:t>e</w:t>
      </w:r>
      <w:r w:rsidRPr="00E01FAC">
        <w:t>kä tapauskohtaiseen harkintaan, jossa tavoitteena on suojata jotain oikeushyvää, jota vapautensa menettänyt rikoksesta epäilty voisi uhkaustensa, edeltä käyvän toimi</w:t>
      </w:r>
      <w:r w:rsidRPr="00E01FAC">
        <w:t>n</w:t>
      </w:r>
      <w:r w:rsidRPr="00E01FAC">
        <w:t>tansa tai muun syyn perusteella loukata. Suomalaiseen käytäntöön kuuluu myö</w:t>
      </w:r>
      <w:r w:rsidRPr="00E01FAC">
        <w:t>s se, että rikoksesta epäillyn tai syytetyn sallitaan peittää kasvonsa tuomioistuimessa. P</w:t>
      </w:r>
      <w:r w:rsidRPr="00E01FAC">
        <w:t>o</w:t>
      </w:r>
      <w:r w:rsidRPr="00E01FAC">
        <w:t>liisin säilyttämien henkilöiden kohtelusta annetussa laissa ja tutkintavankeuslaissa sallitaan vapautensa menettäneen rikoksesta epäillyn omien vaatteiden käyttö, jo</w:t>
      </w:r>
      <w:r w:rsidRPr="00E01FAC">
        <w:t>lla voidaan välttää syyllisyyttä vahvistavan mielikuvan syntyminen esitutkinnan tai oik</w:t>
      </w:r>
      <w:r w:rsidRPr="00E01FAC">
        <w:t>e</w:t>
      </w:r>
      <w:r w:rsidRPr="00E01FAC">
        <w:t>uskäsittelyn aikana.</w:t>
      </w:r>
    </w:p>
    <w:p w:rsidR="00E01FAC" w:rsidRPr="00E01FAC" w:rsidRDefault="00D502EA" w:rsidP="00F21738">
      <w:pPr>
        <w:pStyle w:val="Leipteksti"/>
        <w:jc w:val="both"/>
      </w:pPr>
      <w:r w:rsidRPr="00F21738">
        <w:t xml:space="preserve">Sisäministeriön poliisiosaston </w:t>
      </w:r>
      <w:r w:rsidRPr="00E01FAC">
        <w:t>mukaan 5 artikla ei aiheuta lainmuutostarpeita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6 artikla</w:t>
      </w:r>
    </w:p>
    <w:p w:rsidR="00E01FAC" w:rsidRPr="00E01FAC" w:rsidRDefault="00D502EA" w:rsidP="00F21738">
      <w:pPr>
        <w:pStyle w:val="Leipteksti"/>
        <w:jc w:val="both"/>
      </w:pPr>
      <w:r w:rsidRPr="00E01FAC">
        <w:t>Artikla kä</w:t>
      </w:r>
      <w:r w:rsidRPr="00E01FAC">
        <w:t>sittelee todistustaakkaa ja liittyy ensisijaisesti lainkäyttäjien toimintaan lai</w:t>
      </w:r>
      <w:r w:rsidRPr="00E01FAC">
        <w:t>n</w:t>
      </w:r>
      <w:r w:rsidRPr="00E01FAC">
        <w:t xml:space="preserve">soveltajana toimivan poliisin sijaan. </w:t>
      </w:r>
    </w:p>
    <w:p w:rsidR="00E01FAC" w:rsidRPr="00E01FAC" w:rsidRDefault="00D502EA" w:rsidP="00F21738">
      <w:pPr>
        <w:pStyle w:val="Leipteksti"/>
        <w:jc w:val="both"/>
      </w:pPr>
      <w:r w:rsidRPr="00F21738">
        <w:lastRenderedPageBreak/>
        <w:t xml:space="preserve">Sisäministeriön poliisiosaston </w:t>
      </w:r>
      <w:r w:rsidRPr="00E01FAC">
        <w:t>mukaan 6 artikla ei aiheuta lainmuutostarpeita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7 artikla</w:t>
      </w:r>
    </w:p>
    <w:p w:rsidR="00E01FAC" w:rsidRPr="00E01FAC" w:rsidRDefault="00D502EA" w:rsidP="00F21738">
      <w:pPr>
        <w:pStyle w:val="Leipteksti"/>
        <w:jc w:val="both"/>
      </w:pPr>
      <w:r w:rsidRPr="00E01FAC">
        <w:t>Esitutkintalain 4 luvun 3 §:n oikeus olla myötävaikuttamatta rikoksensa selvittämiseen on kirjoitettu ehdottomaksi. Säännös on sisällöltään yksiselitteinen. Säännös on kä</w:t>
      </w:r>
      <w:r w:rsidRPr="00E01FAC">
        <w:t>y</w:t>
      </w:r>
      <w:r w:rsidRPr="00E01FAC">
        <w:t>tännössä huomioitu esitutkintalain 7 luvun 10 §:n perusteella poliisin esitutkintal</w:t>
      </w:r>
      <w:r w:rsidRPr="00E01FAC">
        <w:t>o</w:t>
      </w:r>
      <w:r w:rsidRPr="00E01FAC">
        <w:t>makkeissa ja ohjeistuksessa liittyen rikoksesta epäillyn oikeuksiin ja velvollisuuksiin, joka käydään läpi rikoksesta epäillyn kanssa ennen varsinaisen kuulustelun aloitt</w:t>
      </w:r>
      <w:r w:rsidRPr="00E01FAC">
        <w:t>a</w:t>
      </w:r>
      <w:r w:rsidRPr="00E01FAC">
        <w:t>mista ja kirjataan kuulustelukertomukseen. Myös esitutkintalain 10 luvun 2 §:n sove</w:t>
      </w:r>
      <w:r w:rsidRPr="00E01FAC">
        <w:t>l</w:t>
      </w:r>
      <w:r w:rsidRPr="00E01FAC">
        <w:t>t</w:t>
      </w:r>
      <w:r w:rsidRPr="00E01FAC">
        <w:t>amistilanteissa poliisi on velvollinen huolehtimaan rikoksesta epäillyn oikeudesta t</w:t>
      </w:r>
      <w:r w:rsidRPr="00E01FAC">
        <w:t>e</w:t>
      </w:r>
      <w:r w:rsidRPr="00E01FAC">
        <w:t xml:space="preserve">hokkaaseen oikeussuojaan. </w:t>
      </w:r>
    </w:p>
    <w:p w:rsidR="00E01FAC" w:rsidRPr="00E01FAC" w:rsidRDefault="00D502EA" w:rsidP="00F21738">
      <w:pPr>
        <w:pStyle w:val="Leipteksti"/>
        <w:jc w:val="both"/>
      </w:pPr>
      <w:r w:rsidRPr="00E01FAC">
        <w:t>Itsekriminointisuojan ajallisen ulottuvuuden säännös on esitutkintalain 4 luvun 16 §, jonka ajallisia määreitä rikosepäilystä ja itsekriminointi</w:t>
      </w:r>
      <w:r w:rsidRPr="00E01FAC">
        <w:t>suojasta ilmoittamisesta on p</w:t>
      </w:r>
      <w:r w:rsidRPr="00E01FAC">
        <w:t>i</w:t>
      </w:r>
      <w:r w:rsidRPr="00E01FAC">
        <w:t xml:space="preserve">dettävä riittävinä. </w:t>
      </w:r>
    </w:p>
    <w:p w:rsidR="00E01FAC" w:rsidRPr="00E01FAC" w:rsidRDefault="00D502EA" w:rsidP="00F21738">
      <w:pPr>
        <w:pStyle w:val="Leipteksti"/>
        <w:jc w:val="both"/>
      </w:pPr>
      <w:r w:rsidRPr="00E01FAC">
        <w:t>Itsekriminointisuojan kielellistä laajuutta ja tehokkuutta säädellään esitutkintalain 4 l</w:t>
      </w:r>
      <w:r w:rsidRPr="00E01FAC">
        <w:t>u</w:t>
      </w:r>
      <w:r w:rsidRPr="00E01FAC">
        <w:t>vun 12–14 §.ssä ja lisäksi tulkkausta tarkennetaan Poliisihallituksen määräyksessä 2020/2013/4104.</w:t>
      </w:r>
    </w:p>
    <w:p w:rsidR="00E01FAC" w:rsidRPr="00E01FAC" w:rsidRDefault="00D502EA" w:rsidP="00F21738">
      <w:pPr>
        <w:pStyle w:val="Leipteksti"/>
        <w:jc w:val="both"/>
      </w:pPr>
      <w:r w:rsidRPr="00E01FAC">
        <w:t>7 artiklan 3 koh</w:t>
      </w:r>
      <w:r w:rsidRPr="00E01FAC">
        <w:t>dassa ja johdanto-osan kappaleessa 29 mainitun itsekriminointisuojan ja laissa säädettyjen pakkokeinojen välistä suhdetta ei ole perusteltua muuttaa ka</w:t>
      </w:r>
      <w:r w:rsidRPr="00E01FAC">
        <w:t>n</w:t>
      </w:r>
      <w:r w:rsidRPr="00E01FAC">
        <w:t>sallisessa täytäntöönpanossa. Esitutkinnan ja sitä kautta koko rikosprosessin teho</w:t>
      </w:r>
      <w:r w:rsidRPr="00E01FAC">
        <w:t>k</w:t>
      </w:r>
      <w:r w:rsidRPr="00E01FAC">
        <w:t>kuus, vaikuttavuus ja</w:t>
      </w:r>
      <w:r w:rsidRPr="00E01FAC">
        <w:t xml:space="preserve"> joutuisuus on kiinteästi sidoksissa pakkokeinojen käyttöön. 7 a</w:t>
      </w:r>
      <w:r w:rsidRPr="00E01FAC">
        <w:t>r</w:t>
      </w:r>
      <w:r w:rsidRPr="00E01FAC">
        <w:t xml:space="preserve">tiklan tarkoittamiksi pakkokeinoksi on katsottava sekä tavanomaiset pakkokeinot että salaiset pakkokeinot. </w:t>
      </w:r>
    </w:p>
    <w:p w:rsidR="00E01FAC" w:rsidRPr="00E01FAC" w:rsidRDefault="00D502EA" w:rsidP="00F21738">
      <w:pPr>
        <w:pStyle w:val="Leipteksti"/>
        <w:jc w:val="both"/>
      </w:pPr>
      <w:r w:rsidRPr="00E01FAC">
        <w:t>Johdanto-osan kappaleen 30 viittaus rikosasioiden summaariseen käsittelyyn ei poli</w:t>
      </w:r>
      <w:r w:rsidRPr="00E01FAC">
        <w:t>i</w:t>
      </w:r>
      <w:r w:rsidRPr="00E01FAC">
        <w:t>siosaston näkemyksen mukaan estä valmisteilla olevaa sakkomenettelyn käyttöalan laajentamista. Summaarinen menettely on hyväksytty suomalaisessa oikeusjärjeste</w:t>
      </w:r>
      <w:r w:rsidRPr="00E01FAC">
        <w:t>l</w:t>
      </w:r>
      <w:r w:rsidRPr="00E01FAC">
        <w:t>mässä ja sen käyttöalan laajentamisella on tarkoitus vapauttaa oikeuslaitoksen vo</w:t>
      </w:r>
      <w:r w:rsidRPr="00E01FAC">
        <w:t>i</w:t>
      </w:r>
      <w:r w:rsidRPr="00E01FAC">
        <w:t>mavaroja täysi</w:t>
      </w:r>
      <w:r w:rsidRPr="00E01FAC">
        <w:t xml:space="preserve">mittaista rikosprosessia vaativiin asioihin. </w:t>
      </w:r>
    </w:p>
    <w:p w:rsidR="00E01FAC" w:rsidRPr="00E01FAC" w:rsidRDefault="00D502EA" w:rsidP="00F21738">
      <w:pPr>
        <w:pStyle w:val="Leipteksti"/>
        <w:jc w:val="both"/>
      </w:pPr>
      <w:r w:rsidRPr="00F21738">
        <w:t xml:space="preserve">Sisäministeriön poliisiosaston </w:t>
      </w:r>
      <w:r w:rsidRPr="00E01FAC">
        <w:t>mukaan 7 artikla ei aiheuta lainmuutostarpeita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8 artikla</w:t>
      </w:r>
    </w:p>
    <w:p w:rsidR="00F21738" w:rsidRPr="00F21738" w:rsidRDefault="00D502EA" w:rsidP="00F21738">
      <w:pPr>
        <w:pStyle w:val="Leipteksti"/>
        <w:jc w:val="both"/>
        <w:rPr>
          <w:b/>
        </w:rPr>
      </w:pPr>
      <w:r w:rsidRPr="00F21738">
        <w:rPr>
          <w:b/>
        </w:rPr>
        <w:t>Poliisi</w:t>
      </w:r>
    </w:p>
    <w:p w:rsidR="00F21738" w:rsidRDefault="00D502EA" w:rsidP="00F21738">
      <w:pPr>
        <w:pStyle w:val="Leipteksti"/>
        <w:jc w:val="both"/>
      </w:pPr>
      <w:r>
        <w:t>Artikla käsittelee läsnäolo-oikeutta oikeudenkäynnissä ja liittyy</w:t>
      </w:r>
      <w:r>
        <w:t xml:space="preserve"> ensisijaisesti lainkäy</w:t>
      </w:r>
      <w:r>
        <w:t>t</w:t>
      </w:r>
      <w:r>
        <w:t>täjien toimintaan lainsoveltajana toimivan poliisin sijaan.</w:t>
      </w:r>
    </w:p>
    <w:p w:rsidR="00E01FAC" w:rsidRPr="00E01FAC" w:rsidRDefault="00D502EA" w:rsidP="00F21738">
      <w:pPr>
        <w:pStyle w:val="Leipteksti"/>
        <w:jc w:val="both"/>
      </w:pPr>
      <w:r w:rsidRPr="00E01FAC">
        <w:t>Poliisiosaston näkemyksen mukaan artikla liittyy oikeusministeriön 14.9.2016 asett</w:t>
      </w:r>
      <w:r w:rsidRPr="00E01FAC">
        <w:t>a</w:t>
      </w:r>
      <w:r w:rsidRPr="00E01FAC">
        <w:t>man (OM 8/41/2015) työryhmän "Oikeusprosessien keventäminen" tavoitteisiin. Ty</w:t>
      </w:r>
      <w:r w:rsidRPr="00E01FAC">
        <w:t>ö</w:t>
      </w:r>
      <w:r w:rsidRPr="00E01FAC">
        <w:t>ryhmän työ</w:t>
      </w:r>
      <w:r w:rsidRPr="00E01FAC">
        <w:t>ssä käsitellään oikeudenkäynnistä rikosasioista annetun lain (689/1997) 8 luvun säännöksiä koskien vastaajan läsnäoloa, asian tutkimista vastaajan poissaolo</w:t>
      </w:r>
      <w:r w:rsidRPr="00E01FAC">
        <w:t>s</w:t>
      </w:r>
      <w:r w:rsidRPr="00E01FAC">
        <w:t>ta huolimatta ja teknisen tiedonvälitystavan käyttämistä. Valmisteilla olevat muutokset eivät ole v</w:t>
      </w:r>
      <w:r w:rsidRPr="00E01FAC">
        <w:t xml:space="preserve">astakkaisia 8 artiklan läsnäolo-oikeudelle. </w:t>
      </w:r>
    </w:p>
    <w:p w:rsidR="00E01FAC" w:rsidRPr="00E01FAC" w:rsidRDefault="00D502EA" w:rsidP="00F21738">
      <w:pPr>
        <w:pStyle w:val="Leipteksti"/>
        <w:jc w:val="both"/>
      </w:pPr>
      <w:r w:rsidRPr="00E01FAC">
        <w:t>Johdanto-osan kappaleessa 42 esitettyjen erityistarpeiden huomiointi on toteutettu esitutkintalain 4 luvun periaatteissa sekä täsmällisemmin 7–8 ja 10 §:ssä, 7 luvun 3–4 ja 14–16 §:ssä. Lisäksi Poliisihallitukse</w:t>
      </w:r>
      <w:r w:rsidRPr="00E01FAC">
        <w:t>n ohje 2020/2013/5071 käsittelee lasta asia</w:t>
      </w:r>
      <w:r w:rsidRPr="00E01FAC">
        <w:t>n</w:t>
      </w:r>
      <w:r w:rsidRPr="00E01FAC">
        <w:t>omistajana tai todistajana poliisitoiminnassa ja esitutkinnassa. Vaikka ohje onkin suunnattu asianomistajan ja todistajan asemassa oleviin, voidaan siinä kuvattuja to</w:t>
      </w:r>
      <w:r w:rsidRPr="00E01FAC">
        <w:t>i</w:t>
      </w:r>
      <w:r w:rsidRPr="00E01FAC">
        <w:t>mintatapoja soveltaa myös rikoksesta epäiltyy</w:t>
      </w:r>
      <w:r w:rsidRPr="00E01FAC">
        <w:t xml:space="preserve">n. </w:t>
      </w:r>
    </w:p>
    <w:p w:rsidR="00E01FAC" w:rsidRDefault="00D502EA" w:rsidP="00F21738">
      <w:pPr>
        <w:pStyle w:val="Leipteksti"/>
        <w:jc w:val="both"/>
      </w:pPr>
      <w:r>
        <w:t>Sisäministeriön poliisiosaston näkemyksen mukaan 8</w:t>
      </w:r>
      <w:r w:rsidRPr="00E01FAC">
        <w:t xml:space="preserve"> artikla ei aiheuta lainmuuto</w:t>
      </w:r>
      <w:r w:rsidRPr="00E01FAC">
        <w:t>s</w:t>
      </w:r>
      <w:r w:rsidRPr="00E01FAC">
        <w:t>tarpeita poliisia koskevassa lainsäädännössä.</w:t>
      </w:r>
    </w:p>
    <w:p w:rsidR="00E01FAC" w:rsidRDefault="00D502EA" w:rsidP="00F21738">
      <w:pPr>
        <w:pStyle w:val="Leipteksti"/>
        <w:jc w:val="both"/>
        <w:rPr>
          <w:b/>
        </w:rPr>
      </w:pPr>
      <w:r w:rsidRPr="00E01FAC">
        <w:rPr>
          <w:b/>
        </w:rPr>
        <w:t>Rajavartiolaitos</w:t>
      </w:r>
    </w:p>
    <w:p w:rsidR="00E01FAC" w:rsidRPr="00E01FAC" w:rsidRDefault="00D502EA" w:rsidP="00F21738">
      <w:pPr>
        <w:pStyle w:val="Leipteksti"/>
        <w:jc w:val="both"/>
      </w:pPr>
      <w:r w:rsidRPr="00E01FAC">
        <w:t>Rajavartio-osasto kiinnittää huomiota käytännön tasoilla ilmenevään tilanteeseen,</w:t>
      </w:r>
      <w:r>
        <w:t xml:space="preserve"> </w:t>
      </w:r>
      <w:r w:rsidRPr="00E01FAC">
        <w:t>j</w:t>
      </w:r>
      <w:r w:rsidRPr="00E01FAC">
        <w:t>o</w:t>
      </w:r>
      <w:r w:rsidRPr="00E01FAC">
        <w:t xml:space="preserve">ka koskee </w:t>
      </w:r>
      <w:r w:rsidRPr="00E01FAC">
        <w:t>maahantulokiellossa olevan kolmannen maan kansalaisen</w:t>
      </w:r>
      <w:r>
        <w:t xml:space="preserve"> </w:t>
      </w:r>
      <w:r w:rsidRPr="00E01FAC">
        <w:t xml:space="preserve">saapumista </w:t>
      </w:r>
      <w:r w:rsidRPr="00E01FAC">
        <w:lastRenderedPageBreak/>
        <w:t>Suomeen oikeudenkäyntiä varten. Ulkomaalaislain (301/2004) 150</w:t>
      </w:r>
      <w:r>
        <w:t xml:space="preserve"> </w:t>
      </w:r>
      <w:r w:rsidRPr="00E01FAC">
        <w:t>RVL176969 2 (3)</w:t>
      </w:r>
      <w:r>
        <w:t xml:space="preserve"> </w:t>
      </w:r>
      <w:r w:rsidRPr="00E01FAC">
        <w:t>§ 4 momentissa ja 170 §:n 2 momentissa säädetään maahantulokiellon peruuttam</w:t>
      </w:r>
      <w:r w:rsidRPr="00E01FAC">
        <w:t>i</w:t>
      </w:r>
      <w:r w:rsidRPr="00E01FAC">
        <w:t>sesta.</w:t>
      </w:r>
      <w:r>
        <w:t xml:space="preserve"> </w:t>
      </w:r>
      <w:r w:rsidRPr="00E01FAC">
        <w:t>Maahantulokielto voidaan muu</w:t>
      </w:r>
      <w:r w:rsidRPr="00E01FAC">
        <w:t>ttuneiden olojen vuoksi tai tärkeän</w:t>
      </w:r>
      <w:r>
        <w:t xml:space="preserve"> </w:t>
      </w:r>
      <w:r w:rsidRPr="00E01FAC">
        <w:t>henkilöko</w:t>
      </w:r>
      <w:r w:rsidRPr="00E01FAC">
        <w:t>h</w:t>
      </w:r>
      <w:r w:rsidRPr="00E01FAC">
        <w:t>taisen syyn vuoksi peruuttaa. Toimivalta päättää maahantulokiellon</w:t>
      </w:r>
      <w:r>
        <w:t xml:space="preserve"> </w:t>
      </w:r>
      <w:r w:rsidRPr="00E01FAC">
        <w:t>peruuttamisesta on Maahanmuuttovirastolla. EU-kansalaisten osalta maahantulokielto</w:t>
      </w:r>
      <w:r>
        <w:t xml:space="preserve"> </w:t>
      </w:r>
      <w:r w:rsidRPr="00E01FAC">
        <w:t>voidaan peruu</w:t>
      </w:r>
      <w:r w:rsidRPr="00E01FAC">
        <w:t>t</w:t>
      </w:r>
      <w:r w:rsidRPr="00E01FAC">
        <w:t>taa kokonaan tai osittain esi</w:t>
      </w:r>
      <w:r>
        <w:t>merkiksi juuri oi</w:t>
      </w:r>
      <w:r>
        <w:t xml:space="preserve">keudenkäyntiin </w:t>
      </w:r>
      <w:r w:rsidRPr="00E01FAC">
        <w:t>saapumista varten. Sen s</w:t>
      </w:r>
      <w:r w:rsidRPr="00E01FAC">
        <w:t>i</w:t>
      </w:r>
      <w:r w:rsidRPr="00E01FAC">
        <w:t>jaan kolmannen maan kansalaisen osalta maahantulokieltoa</w:t>
      </w:r>
      <w:r>
        <w:t xml:space="preserve"> </w:t>
      </w:r>
      <w:r w:rsidRPr="00E01FAC">
        <w:t>ei voida peruuttaa osi</w:t>
      </w:r>
      <w:r w:rsidRPr="00E01FAC">
        <w:t>t</w:t>
      </w:r>
      <w:r w:rsidRPr="00E01FAC">
        <w:t>tain. Mikäli Maahanmuuttovirasto ei peruuta</w:t>
      </w:r>
      <w:r>
        <w:t xml:space="preserve"> </w:t>
      </w:r>
      <w:r w:rsidRPr="00E01FAC">
        <w:t>henkilön maahantulokieltoa, Suomen edustusto voisi Euroopan parlamentin</w:t>
      </w:r>
      <w:r>
        <w:t xml:space="preserve"> </w:t>
      </w:r>
      <w:r w:rsidRPr="00E01FAC">
        <w:t>ja neuvoston asetuks</w:t>
      </w:r>
      <w:r w:rsidRPr="00E01FAC">
        <w:t>en (810/2009) yhteisön viisumisäännöstön laatimisesta eli</w:t>
      </w:r>
      <w:r>
        <w:t xml:space="preserve"> </w:t>
      </w:r>
      <w:r w:rsidRPr="00E01FAC">
        <w:t>viisumisäännöstön 25 artiklan nojalla myöntää maahantulokiellosta huolimatta</w:t>
      </w:r>
      <w:r>
        <w:t xml:space="preserve"> </w:t>
      </w:r>
      <w:r w:rsidRPr="00E01FAC">
        <w:t>henkilölle alueellisesti rajoitetun Suomea koskevan viisumin oikeudenkäynnin</w:t>
      </w:r>
      <w:r>
        <w:t xml:space="preserve"> </w:t>
      </w:r>
      <w:r w:rsidRPr="00E01FAC">
        <w:t>ajaksi.</w:t>
      </w:r>
    </w:p>
    <w:p w:rsidR="00E01FAC" w:rsidRPr="00E01FAC" w:rsidRDefault="00D502EA" w:rsidP="00F21738">
      <w:pPr>
        <w:pStyle w:val="Leipteksti"/>
        <w:jc w:val="both"/>
      </w:pPr>
      <w:r w:rsidRPr="00E01FAC">
        <w:t>Rajavartiolaitos kohtaa toiminnassaa</w:t>
      </w:r>
      <w:r w:rsidRPr="00E01FAC">
        <w:t>n tapauksia, joissa oikeudenkäyntiin vastaajana</w:t>
      </w:r>
      <w:r>
        <w:t xml:space="preserve"> </w:t>
      </w:r>
      <w:r w:rsidRPr="00E01FAC">
        <w:t>haastetun kolmannen maan kansalaisen maahantulokieltoa ei ole peruutettu</w:t>
      </w:r>
      <w:r>
        <w:t xml:space="preserve"> </w:t>
      </w:r>
      <w:r w:rsidRPr="00E01FAC">
        <w:t>eikä Suomen edustusto ole myöskään myöntänyt henkilölle alueellisesti</w:t>
      </w:r>
      <w:r>
        <w:t xml:space="preserve"> </w:t>
      </w:r>
      <w:r w:rsidRPr="00E01FAC">
        <w:t>rajoitettua viis</w:t>
      </w:r>
      <w:r w:rsidRPr="00E01FAC">
        <w:t>u</w:t>
      </w:r>
      <w:r w:rsidRPr="00E01FAC">
        <w:t>mia. Tilanne on Rajavartiolaitoksen näkökulmasta</w:t>
      </w:r>
      <w:r w:rsidRPr="00E01FAC">
        <w:t xml:space="preserve"> ongelmallinen,</w:t>
      </w:r>
      <w:r>
        <w:t xml:space="preserve"> </w:t>
      </w:r>
      <w:r w:rsidRPr="00E01FAC">
        <w:t>eikä kansallisessa lainsäädännössä ole säädett</w:t>
      </w:r>
      <w:r>
        <w:t xml:space="preserve">y tämänkaltaisista tilanteista. </w:t>
      </w:r>
      <w:r w:rsidRPr="00E01FAC">
        <w:t>Rajavartiolaitokselta on saatettu ennakkoon ti</w:t>
      </w:r>
      <w:r>
        <w:t xml:space="preserve">edustella mahdollisuutta päästä </w:t>
      </w:r>
      <w:r w:rsidRPr="00E01FAC">
        <w:t>maahan oikeudenkäyntiä varten tai tilanne voi myös a</w:t>
      </w:r>
      <w:r>
        <w:t xml:space="preserve">ktualisoitua ulkorajaliikenteen </w:t>
      </w:r>
      <w:r w:rsidRPr="00E01FAC">
        <w:t>rajatarkastuksessa, jossa ma</w:t>
      </w:r>
      <w:r w:rsidRPr="00E01FAC">
        <w:t>a</w:t>
      </w:r>
      <w:r w:rsidRPr="00E01FAC">
        <w:t>hantulokiellossa oleva henkil</w:t>
      </w:r>
      <w:r>
        <w:t xml:space="preserve">ö pyrkii maahan </w:t>
      </w:r>
      <w:r w:rsidRPr="00E01FAC">
        <w:t>itseään koskevaan oikeudenkäyntiin.</w:t>
      </w:r>
      <w:r>
        <w:t xml:space="preserve"> </w:t>
      </w:r>
      <w:r w:rsidRPr="00E01FAC">
        <w:t>Rajavartio-osasto toteaa, että Rajavartiolaitos suorittaa ulkorajan ylityksen yhteyde</w:t>
      </w:r>
      <w:r w:rsidRPr="00E01FAC">
        <w:t>s</w:t>
      </w:r>
      <w:r w:rsidRPr="00E01FAC">
        <w:t>sä</w:t>
      </w:r>
      <w:r>
        <w:t xml:space="preserve"> </w:t>
      </w:r>
      <w:r w:rsidRPr="00E01FAC">
        <w:t>rajatarkastuksen, jonka yhteydessä arvioidaan henkilön ma</w:t>
      </w:r>
      <w:r w:rsidRPr="00E01FAC">
        <w:t>ahanpääsyn</w:t>
      </w:r>
      <w:r>
        <w:t xml:space="preserve"> </w:t>
      </w:r>
      <w:r w:rsidRPr="00E01FAC">
        <w:t>edellyty</w:t>
      </w:r>
      <w:r w:rsidRPr="00E01FAC">
        <w:t>k</w:t>
      </w:r>
      <w:r w:rsidRPr="00E01FAC">
        <w:t>set. Tämä arviointi tehdään kaikissa tilanteissa vasta rajatarkastuksen</w:t>
      </w:r>
      <w:r>
        <w:t xml:space="preserve"> </w:t>
      </w:r>
      <w:r w:rsidRPr="00E01FAC">
        <w:t>yhteydessä, ei etukäteen. Käytännössä tämä voi johtaa siihen, että</w:t>
      </w:r>
      <w:r>
        <w:t xml:space="preserve"> </w:t>
      </w:r>
      <w:r w:rsidRPr="00E01FAC">
        <w:t>maahantulokiellossa oleva henk</w:t>
      </w:r>
      <w:r w:rsidRPr="00E01FAC">
        <w:t>i</w:t>
      </w:r>
      <w:r w:rsidRPr="00E01FAC">
        <w:t>lö joutuu vasten omaa tahtoaan luopumaan oikeudenkäyntiin</w:t>
      </w:r>
      <w:r>
        <w:t xml:space="preserve"> </w:t>
      </w:r>
      <w:r w:rsidRPr="00E01FAC">
        <w:t>osallist</w:t>
      </w:r>
      <w:r w:rsidRPr="00E01FAC">
        <w:t>umisesta, koska h</w:t>
      </w:r>
      <w:r>
        <w:t xml:space="preserve">änen maahanpääsynsä on voimassa </w:t>
      </w:r>
      <w:r w:rsidRPr="00E01FAC">
        <w:t>olevan maahantulokiellon vuoksi erittäin ep</w:t>
      </w:r>
      <w:r w:rsidRPr="00E01FAC">
        <w:t>ä</w:t>
      </w:r>
      <w:r w:rsidRPr="00E01FAC">
        <w:t>varmaa.</w:t>
      </w:r>
      <w:r>
        <w:t xml:space="preserve"> </w:t>
      </w:r>
      <w:r w:rsidRPr="00E01FAC">
        <w:t>Rajavartio-osaston näkemyksen mukaan rikosasian vastaajalla tulisi oike</w:t>
      </w:r>
      <w:r w:rsidRPr="00E01FAC">
        <w:t>u</w:t>
      </w:r>
      <w:r w:rsidRPr="00E01FAC">
        <w:t>denmukaisen</w:t>
      </w:r>
      <w:r>
        <w:t xml:space="preserve"> </w:t>
      </w:r>
      <w:r w:rsidRPr="00E01FAC">
        <w:t>oikeudenkäynnin turvaamiseksi aina olla mahdollisuus niin halutessaan</w:t>
      </w:r>
      <w:r>
        <w:t xml:space="preserve"> </w:t>
      </w:r>
      <w:r w:rsidRPr="00E01FAC">
        <w:t>o</w:t>
      </w:r>
      <w:r w:rsidRPr="00E01FAC">
        <w:t>sallistua itseään koskevaan oikeudenkäyntiin riippumatta siitä, onko hänet</w:t>
      </w:r>
      <w:r>
        <w:t xml:space="preserve"> </w:t>
      </w:r>
      <w:r w:rsidRPr="00E01FAC">
        <w:t>haastettu vastaamaan asiassa ratkaisun uhalla tai</w:t>
      </w:r>
      <w:r>
        <w:t xml:space="preserve"> henkilökohtaisesti. Rajavartio-</w:t>
      </w:r>
      <w:r w:rsidRPr="00E01FAC">
        <w:t>osaston käs</w:t>
      </w:r>
      <w:r w:rsidRPr="00E01FAC">
        <w:t>i</w:t>
      </w:r>
      <w:r w:rsidRPr="00E01FAC">
        <w:t>tyksen mukaan alueellisesti rajoitetun viisumin myöntäminen</w:t>
      </w:r>
      <w:r>
        <w:t xml:space="preserve"> </w:t>
      </w:r>
      <w:r w:rsidRPr="00E01FAC">
        <w:t>Suomen edustustossa näissä t</w:t>
      </w:r>
      <w:r w:rsidRPr="00E01FAC">
        <w:t>ilanteissa olisi oikea ja kontrolloitu menettely</w:t>
      </w:r>
      <w:r>
        <w:t xml:space="preserve"> </w:t>
      </w:r>
      <w:r w:rsidRPr="00E01FAC">
        <w:t>maahantulokiellossa olevan henkilön maahan saapumiseksi oikeudenkäyntiä</w:t>
      </w:r>
      <w:r>
        <w:t xml:space="preserve"> </w:t>
      </w:r>
      <w:r w:rsidRPr="00E01FAC">
        <w:t>varten.</w:t>
      </w:r>
    </w:p>
    <w:p w:rsidR="00E01FAC" w:rsidRPr="00E01FAC" w:rsidRDefault="00D502EA" w:rsidP="00F21738">
      <w:pPr>
        <w:pStyle w:val="Leipteksti"/>
        <w:jc w:val="both"/>
      </w:pPr>
      <w:r w:rsidRPr="00E01FAC">
        <w:t>Apulaisoikeuskansleri on päätöksellään 23.11.2016 (OKV/1430/1/2015) ottanut</w:t>
      </w:r>
      <w:r>
        <w:t xml:space="preserve"> </w:t>
      </w:r>
      <w:r w:rsidRPr="00E01FAC">
        <w:t>ka</w:t>
      </w:r>
      <w:r w:rsidRPr="00E01FAC">
        <w:t>n</w:t>
      </w:r>
      <w:r w:rsidRPr="00E01FAC">
        <w:t>taa maahantulokiellossa olevan rikosasian vastaa</w:t>
      </w:r>
      <w:r w:rsidRPr="00E01FAC">
        <w:t>jalle myönnettävään viisumiin.</w:t>
      </w:r>
      <w:r>
        <w:t xml:space="preserve"> </w:t>
      </w:r>
      <w:r w:rsidRPr="00E01FAC">
        <w:t>Ap</w:t>
      </w:r>
      <w:r w:rsidRPr="00E01FAC">
        <w:t>u</w:t>
      </w:r>
      <w:r w:rsidRPr="00E01FAC">
        <w:t>laisoikeuskanslerin mukaan ulkoasiainministeriön olisi tullut myöntää</w:t>
      </w:r>
      <w:r>
        <w:t xml:space="preserve"> </w:t>
      </w:r>
      <w:r w:rsidRPr="00E01FAC">
        <w:t>kantelijalle al</w:t>
      </w:r>
      <w:r w:rsidRPr="00E01FAC">
        <w:t>u</w:t>
      </w:r>
      <w:r w:rsidRPr="00E01FAC">
        <w:t>eellisesti rajattu viisumi tuomioistuinkäsittelyyn osallistumista</w:t>
      </w:r>
      <w:r>
        <w:t xml:space="preserve"> </w:t>
      </w:r>
      <w:r w:rsidRPr="00E01FAC">
        <w:t>varten. Henkilö oli kie</w:t>
      </w:r>
      <w:r w:rsidRPr="00E01FAC">
        <w:t>l</w:t>
      </w:r>
      <w:r w:rsidRPr="00E01FAC">
        <w:t>täytynyt mahdollisuudesta osallistua pääkäsitt</w:t>
      </w:r>
      <w:r w:rsidRPr="00E01FAC">
        <w:t>elyyn videoyhteyden</w:t>
      </w:r>
      <w:r>
        <w:t xml:space="preserve"> </w:t>
      </w:r>
      <w:r w:rsidRPr="00E01FAC">
        <w:t>välityksellä Su</w:t>
      </w:r>
      <w:r w:rsidRPr="00E01FAC">
        <w:t>o</w:t>
      </w:r>
      <w:r w:rsidRPr="00E01FAC">
        <w:t>men suurlähetystöstä. Videoyhteydestä kieltäytymisen</w:t>
      </w:r>
      <w:r>
        <w:t xml:space="preserve"> </w:t>
      </w:r>
      <w:r w:rsidRPr="00E01FAC">
        <w:t>ei katsottu olleen asianmuka</w:t>
      </w:r>
      <w:r w:rsidRPr="00E01FAC">
        <w:t>i</w:t>
      </w:r>
      <w:r w:rsidRPr="00E01FAC">
        <w:t>nen peruste viisumin epäämiselle, sillä lain</w:t>
      </w:r>
      <w:r>
        <w:t xml:space="preserve"> </w:t>
      </w:r>
      <w:r w:rsidRPr="00E01FAC">
        <w:t>mukaan rikosasian vastaajaa ei voida ve</w:t>
      </w:r>
      <w:r w:rsidRPr="00E01FAC">
        <w:t>l</w:t>
      </w:r>
      <w:r w:rsidRPr="00E01FAC">
        <w:t>voittaa videoyhteyden käyttämiseen.</w:t>
      </w:r>
      <w:r>
        <w:t xml:space="preserve"> </w:t>
      </w:r>
      <w:r w:rsidRPr="00E01FAC">
        <w:t>Viisumia ei olisi</w:t>
      </w:r>
      <w:r w:rsidRPr="00E01FAC">
        <w:t xml:space="preserve"> saanut evätä myöskään sillä p</w:t>
      </w:r>
      <w:r w:rsidRPr="00E01FAC">
        <w:t>e</w:t>
      </w:r>
      <w:r w:rsidRPr="00E01FAC">
        <w:t>rusteella, että henkilö oli aiemmin</w:t>
      </w:r>
      <w:r>
        <w:t xml:space="preserve"> </w:t>
      </w:r>
      <w:r w:rsidRPr="00E01FAC">
        <w:t>rikkonut saman rikosasian käräjäoikeuskäsittelyä varten saamansa viisumin</w:t>
      </w:r>
      <w:r>
        <w:t xml:space="preserve"> </w:t>
      </w:r>
      <w:r w:rsidRPr="00E01FAC">
        <w:t>ehtoja jäämällä maahan viisumin umpeuduttua. Vastaajan oikeus osallistua oikeudenkäyntiin</w:t>
      </w:r>
      <w:r>
        <w:t xml:space="preserve"> </w:t>
      </w:r>
      <w:r w:rsidRPr="00E01FAC">
        <w:t>katsottiin siinä määrin m</w:t>
      </w:r>
      <w:r w:rsidRPr="00E01FAC">
        <w:t>erkittäväksi, että suurläh</w:t>
      </w:r>
      <w:r w:rsidRPr="00E01FAC">
        <w:t>e</w:t>
      </w:r>
      <w:r w:rsidRPr="00E01FAC">
        <w:t>tystön olisi tullut</w:t>
      </w:r>
      <w:r>
        <w:t xml:space="preserve"> </w:t>
      </w:r>
      <w:r w:rsidRPr="00E01FAC">
        <w:t>myöntää hänelle alueellisesti rajoitettu viisumi.</w:t>
      </w:r>
      <w:r>
        <w:t xml:space="preserve"> </w:t>
      </w:r>
    </w:p>
    <w:p w:rsidR="00837719" w:rsidRDefault="00D502EA" w:rsidP="00F21738">
      <w:pPr>
        <w:pStyle w:val="Leipteksti"/>
        <w:jc w:val="both"/>
      </w:pPr>
      <w:r w:rsidRPr="00E01FAC">
        <w:t>Rajavartio-osasto viittaa syyttömyysolettamadirektiivin 8 ja 9 artiklassa sanottuun</w:t>
      </w:r>
      <w:r>
        <w:t xml:space="preserve"> </w:t>
      </w:r>
      <w:r w:rsidRPr="00E01FAC">
        <w:t>s</w:t>
      </w:r>
      <w:r w:rsidRPr="00E01FAC">
        <w:t>e</w:t>
      </w:r>
      <w:r w:rsidRPr="00E01FAC">
        <w:t xml:space="preserve">kä esittää harkittavaksi, </w:t>
      </w:r>
      <w:r>
        <w:t>tulisiko tässä yhteydessä selvittää mahdollisu</w:t>
      </w:r>
      <w:r>
        <w:t>udet selkeyttää lainsäädäntöä tältä osin.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9 artikla</w:t>
      </w:r>
    </w:p>
    <w:p w:rsidR="00BF0E8E" w:rsidRPr="00BF0E8E" w:rsidRDefault="00D502EA" w:rsidP="00F21738">
      <w:pPr>
        <w:pStyle w:val="Leipteksti"/>
        <w:jc w:val="both"/>
        <w:rPr>
          <w:b/>
        </w:rPr>
      </w:pPr>
      <w:r w:rsidRPr="00BF0E8E">
        <w:rPr>
          <w:b/>
        </w:rPr>
        <w:t>Poliisi</w:t>
      </w:r>
    </w:p>
    <w:p w:rsidR="00E01FAC" w:rsidRPr="00E01FAC" w:rsidRDefault="00D502EA" w:rsidP="00F21738">
      <w:pPr>
        <w:pStyle w:val="Leipteksti"/>
        <w:jc w:val="both"/>
      </w:pPr>
      <w:r w:rsidRPr="00E01FAC">
        <w:t xml:space="preserve">Artikla käsittelee oikeutta uuteen oikeudenkäyntiin ja liittyy ensisijaisesti lainkäyttäjien toimintaan lainsoveltajana toimivan poliisin sijaan. </w:t>
      </w:r>
    </w:p>
    <w:p w:rsidR="00E01FAC" w:rsidRPr="00E01FAC" w:rsidRDefault="00D502EA" w:rsidP="00F21738">
      <w:pPr>
        <w:pStyle w:val="Leipteksti"/>
        <w:jc w:val="both"/>
      </w:pPr>
      <w:r>
        <w:t>Sisäministeriön poliisiosaston</w:t>
      </w:r>
      <w:r w:rsidRPr="00E01FAC">
        <w:t xml:space="preserve"> näkemy</w:t>
      </w:r>
      <w:r w:rsidRPr="00E01FAC">
        <w:t>ksen mukaan 9 artikla ei aiheuta lainmuuto</w:t>
      </w:r>
      <w:r w:rsidRPr="00E01FAC">
        <w:t>s</w:t>
      </w:r>
      <w:r w:rsidRPr="00E01FAC">
        <w:t>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10 artikla</w:t>
      </w:r>
    </w:p>
    <w:p w:rsidR="00BF0E8E" w:rsidRPr="00F21738" w:rsidRDefault="00D502EA" w:rsidP="00BF0E8E">
      <w:pPr>
        <w:pStyle w:val="Leipteksti"/>
        <w:jc w:val="both"/>
        <w:rPr>
          <w:b/>
        </w:rPr>
      </w:pPr>
      <w:r w:rsidRPr="00F21738">
        <w:rPr>
          <w:b/>
        </w:rPr>
        <w:t>Poliisi</w:t>
      </w:r>
    </w:p>
    <w:p w:rsidR="00E01FAC" w:rsidRPr="00E01FAC" w:rsidRDefault="00D502EA" w:rsidP="00F21738">
      <w:pPr>
        <w:pStyle w:val="Leipteksti"/>
        <w:jc w:val="both"/>
      </w:pPr>
      <w:r>
        <w:lastRenderedPageBreak/>
        <w:t>O</w:t>
      </w:r>
      <w:r w:rsidRPr="00E01FAC">
        <w:t>ikeusministeriön muistiossa mainitut olemassa olevat oikeussuojakeinot täyttävät syyttömyysolettamadirektiivin vähimmäisvaatimukset. Sy</w:t>
      </w:r>
      <w:r w:rsidRPr="00E01FAC">
        <w:t xml:space="preserve">yttömyysolettamadirektiivin tarkoittamana oikeussuojakeinona voidaan pitää myös esitutkintalain 2 luvun 4 §:n erityisiä tutkintajärjestelyjä, joilla toteutetaan esitutkinnan objektiivisuus. </w:t>
      </w:r>
    </w:p>
    <w:p w:rsidR="00E01FAC" w:rsidRPr="00E01FAC" w:rsidRDefault="00D502EA" w:rsidP="00F21738">
      <w:pPr>
        <w:pStyle w:val="Leipteksti"/>
        <w:jc w:val="both"/>
      </w:pPr>
      <w:r w:rsidRPr="00F21738">
        <w:t xml:space="preserve">Sisäministeriön poliisiosaston </w:t>
      </w:r>
      <w:r w:rsidRPr="00E01FAC">
        <w:t>mukaan 10 artikla ei aiheuta lainm</w:t>
      </w:r>
      <w:r w:rsidRPr="00E01FAC">
        <w:t>uutostarpeita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11 artikla</w:t>
      </w:r>
    </w:p>
    <w:p w:rsidR="00F21738" w:rsidRPr="00F21738" w:rsidRDefault="00D502EA" w:rsidP="00F21738">
      <w:pPr>
        <w:pStyle w:val="Leipteksti"/>
        <w:jc w:val="both"/>
        <w:rPr>
          <w:b/>
        </w:rPr>
      </w:pPr>
      <w:r w:rsidRPr="00F21738">
        <w:rPr>
          <w:b/>
        </w:rPr>
        <w:t>Poliisi</w:t>
      </w:r>
    </w:p>
    <w:p w:rsidR="00E01FAC" w:rsidRPr="00E01FAC" w:rsidRDefault="00D502EA" w:rsidP="00F21738">
      <w:pPr>
        <w:pStyle w:val="Leipteksti"/>
        <w:jc w:val="both"/>
      </w:pPr>
      <w:r w:rsidRPr="00E01FAC">
        <w:t>Artikla käsittelee tilastointia, jonka yhtenä mahdollisena lähteenä on poliisiasiain tiet</w:t>
      </w:r>
      <w:r w:rsidRPr="00E01FAC">
        <w:t>o</w:t>
      </w:r>
      <w:r w:rsidRPr="00E01FAC">
        <w:t xml:space="preserve">järjestelmä (Patja). </w:t>
      </w:r>
      <w:r>
        <w:t>Sisäministeriön p</w:t>
      </w:r>
      <w:r w:rsidRPr="00E01FAC">
        <w:t xml:space="preserve">oliisiosasto toteaa, että oikeusministeriön </w:t>
      </w:r>
      <w:r w:rsidRPr="00E01FAC">
        <w:t>muist</w:t>
      </w:r>
      <w:r w:rsidRPr="00E01FAC">
        <w:t>i</w:t>
      </w:r>
      <w:r w:rsidRPr="00E01FAC">
        <w:t>ossa mainittu syyttömyysolettaman rikkomisesta aiheutunut tutkintapyyntö lienee kä</w:t>
      </w:r>
      <w:r w:rsidRPr="00E01FAC">
        <w:t>y</w:t>
      </w:r>
      <w:r w:rsidRPr="00E01FAC">
        <w:t>tännössä mahdoton saada esiin tilastohaulla, ellei sitä varten luoda omaa kirjaami</w:t>
      </w:r>
      <w:r w:rsidRPr="00E01FAC">
        <w:t>s</w:t>
      </w:r>
      <w:r w:rsidRPr="00E01FAC">
        <w:t>luokkaa tai muuta vastaavaa hakukelpoista tietuetta. Tietojärjestelmämuutos aiheu</w:t>
      </w:r>
      <w:r w:rsidRPr="00E01FAC">
        <w:t>t</w:t>
      </w:r>
      <w:r w:rsidRPr="00E01FAC">
        <w:t>ta</w:t>
      </w:r>
      <w:r w:rsidRPr="00E01FAC">
        <w:t>a vastaavasti kustannuksia. Vaikka mainittu hakukelpoinen tietue luotaisiin, joudu</w:t>
      </w:r>
      <w:r w:rsidRPr="00E01FAC">
        <w:t>t</w:t>
      </w:r>
      <w:r w:rsidRPr="00E01FAC">
        <w:t>taisiin asia joko tapauksessa ohjeistamaan valtakunnallisesti yhtenäisen kirjaamiskä</w:t>
      </w:r>
      <w:r w:rsidRPr="00E01FAC">
        <w:t>y</w:t>
      </w:r>
      <w:r w:rsidRPr="00E01FAC">
        <w:t xml:space="preserve">tännön luomiseksi. </w:t>
      </w:r>
    </w:p>
    <w:p w:rsidR="00E01FAC" w:rsidRPr="00E01FAC" w:rsidRDefault="00D502EA" w:rsidP="00F21738">
      <w:pPr>
        <w:pStyle w:val="Leipteksti"/>
        <w:jc w:val="both"/>
      </w:pPr>
      <w:r w:rsidRPr="00F21738">
        <w:t>Sisäministeriön poliisiosaston</w:t>
      </w:r>
      <w:r w:rsidRPr="00E01FAC">
        <w:t xml:space="preserve"> näkemyksen mukaan 11 artikla ei aiheu</w:t>
      </w:r>
      <w:r w:rsidRPr="00E01FAC">
        <w:t>ta lainmuuto</w:t>
      </w:r>
      <w:r w:rsidRPr="00E01FAC">
        <w:t>s</w:t>
      </w:r>
      <w:r w:rsidRPr="00E01FAC">
        <w:t>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 w:rsidRPr="00E01FAC">
        <w:t>Direktiivin 12 ja 13 artikla</w:t>
      </w:r>
    </w:p>
    <w:p w:rsidR="00F21738" w:rsidRPr="00F21738" w:rsidRDefault="00D502EA" w:rsidP="00F21738">
      <w:pPr>
        <w:pStyle w:val="Leipteksti"/>
        <w:jc w:val="both"/>
        <w:rPr>
          <w:b/>
        </w:rPr>
      </w:pPr>
      <w:r w:rsidRPr="00F21738">
        <w:rPr>
          <w:b/>
        </w:rPr>
        <w:t>Poliisi</w:t>
      </w:r>
    </w:p>
    <w:p w:rsidR="00E01FAC" w:rsidRDefault="00D502EA" w:rsidP="00F21738">
      <w:pPr>
        <w:pStyle w:val="Leipteksti"/>
        <w:jc w:val="both"/>
      </w:pPr>
      <w:r w:rsidRPr="00F21738">
        <w:t xml:space="preserve">Sisäministeriön poliisiosaston </w:t>
      </w:r>
      <w:r w:rsidRPr="00E01FAC">
        <w:t>näkemyksen mukaan 12 ja 13 artikla eivät aiheuta lainmuutostarpeita poliisia koskevassa lainsäädännössä.</w:t>
      </w:r>
    </w:p>
    <w:p w:rsidR="00E01FAC" w:rsidRPr="00E01FAC" w:rsidRDefault="00D502EA" w:rsidP="00F21738">
      <w:pPr>
        <w:pStyle w:val="Sivuotsikko"/>
        <w:jc w:val="both"/>
      </w:pPr>
      <w:r>
        <w:t>Muuta</w:t>
      </w:r>
    </w:p>
    <w:p w:rsidR="00E01FAC" w:rsidRPr="00E01FAC" w:rsidRDefault="00D502EA" w:rsidP="00F21738">
      <w:pPr>
        <w:pStyle w:val="Leipteksti"/>
        <w:jc w:val="both"/>
      </w:pPr>
      <w:r>
        <w:t>Lisätietoja sisämi</w:t>
      </w:r>
      <w:r>
        <w:t>nisteriön lausunnosta antavat poliisiylitarkastaja Sami Ryhänen (etunimi.sukunimi@intermin.fi) ja r</w:t>
      </w:r>
      <w:r w:rsidRPr="00E01FAC">
        <w:t>ajavartioylitarkastaja</w:t>
      </w:r>
      <w:r>
        <w:t xml:space="preserve"> Silja Hallenberg (etun</w:t>
      </w:r>
      <w:r>
        <w:t>i</w:t>
      </w:r>
      <w:r>
        <w:t>mi.sukunimi@raja.fi).</w:t>
      </w:r>
    </w:p>
    <w:p w:rsidR="00CF11FD" w:rsidRDefault="00D502EA" w:rsidP="002A6CD5">
      <w:pPr>
        <w:pStyle w:val="Leipteksti"/>
      </w:pPr>
    </w:p>
    <w:p w:rsidR="00CF11FD" w:rsidRDefault="00D502EA" w:rsidP="002A6CD5">
      <w:pPr>
        <w:pStyle w:val="Leipteksti"/>
      </w:pPr>
      <w:r>
        <w:t>Kansliapäällikkö</w:t>
      </w:r>
      <w:r>
        <w:tab/>
      </w:r>
      <w:r>
        <w:t>Päivi Nerg</w:t>
      </w:r>
    </w:p>
    <w:p w:rsidR="00CF11FD" w:rsidRDefault="00D502EA" w:rsidP="00CF11FD">
      <w:pPr>
        <w:pStyle w:val="Leipteksti"/>
      </w:pPr>
    </w:p>
    <w:p w:rsidR="00CF11FD" w:rsidRDefault="00D502EA" w:rsidP="00CF11FD">
      <w:pPr>
        <w:pStyle w:val="Leipteksti"/>
      </w:pPr>
      <w:r>
        <w:t>Ylitarkastaja</w:t>
      </w:r>
      <w:r>
        <w:tab/>
      </w:r>
      <w:r>
        <w:tab/>
      </w:r>
      <w:r>
        <w:t>Hanne Huvila</w:t>
      </w:r>
    </w:p>
    <w:p w:rsidR="008C5E06" w:rsidRDefault="00D502EA" w:rsidP="00CF11FD">
      <w:pPr>
        <w:pStyle w:val="Leipteksti"/>
      </w:pPr>
    </w:p>
    <w:p w:rsidR="00CF11FD" w:rsidRDefault="00D502EA" w:rsidP="00CF11FD">
      <w:pPr>
        <w:pStyle w:val="Leipteksti"/>
      </w:pPr>
      <w:r>
        <w:fldChar w:fldCharType="begin"/>
      </w:r>
      <w:r>
        <w:instrText xml:space="preserve"> DOCPROPERTY  sm_allekirjoitusfraasi  \* MERGEFORMAT </w:instrText>
      </w:r>
      <w:r>
        <w:fldChar w:fldCharType="separate"/>
      </w:r>
      <w:r>
        <w:t xml:space="preserve">Asiakirja on sähköisesti allekirjoitettu asianhallintajärjestelmässä. Sisäministeriö </w:t>
      </w:r>
      <w:proofErr w:type="gramStart"/>
      <w:r>
        <w:t>10.03.2017</w:t>
      </w:r>
      <w:proofErr w:type="gramEnd"/>
      <w:r>
        <w:t xml:space="preserve"> klo 12:45. Allekirjoituksen oikeellisuuden voi todentaa kirjaamosta.</w:t>
      </w:r>
      <w:r>
        <w:fldChar w:fldCharType="end"/>
      </w:r>
    </w:p>
    <w:p w:rsidR="00CF11FD" w:rsidRDefault="00D502EA" w:rsidP="00F874C0">
      <w:pPr>
        <w:pStyle w:val="Leipteksti"/>
      </w:pPr>
    </w:p>
    <w:p w:rsidR="008C5E06" w:rsidRDefault="00D502EA" w:rsidP="00F874C0">
      <w:pPr>
        <w:pStyle w:val="Leipteksti"/>
      </w:pPr>
    </w:p>
    <w:tbl>
      <w:tblPr>
        <w:tblStyle w:val="Eireunaviivaa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7761"/>
      </w:tblGrid>
      <w:tr w:rsidR="00B27B2A" w:rsidTr="00CF11FD">
        <w:trPr>
          <w:trHeight w:val="556"/>
        </w:trPr>
        <w:tc>
          <w:tcPr>
            <w:tcW w:w="2608" w:type="dxa"/>
          </w:tcPr>
          <w:p w:rsidR="00CF11FD" w:rsidRPr="00242B73" w:rsidRDefault="00D502EA" w:rsidP="00CF11FD">
            <w:pPr>
              <w:rPr>
                <w:sz w:val="20"/>
                <w:szCs w:val="20"/>
              </w:rPr>
            </w:pPr>
            <w:r w:rsidRPr="00242B73">
              <w:rPr>
                <w:sz w:val="20"/>
                <w:szCs w:val="20"/>
              </w:rPr>
              <w:t>Tiedoksi</w:t>
            </w:r>
          </w:p>
        </w:tc>
        <w:tc>
          <w:tcPr>
            <w:tcW w:w="7761" w:type="dxa"/>
          </w:tcPr>
          <w:p w:rsidR="00CF11FD" w:rsidRDefault="00D502EA" w:rsidP="00CF11FD">
            <w:r>
              <w:t>Sisäministeri Risikko</w:t>
            </w:r>
          </w:p>
          <w:p w:rsidR="00BF0E8E" w:rsidRDefault="00D502EA" w:rsidP="00CF11FD">
            <w:r>
              <w:t>Er</w:t>
            </w:r>
            <w:r>
              <w:t>ityisavustajat Rönnholm ja Hannonen</w:t>
            </w:r>
          </w:p>
          <w:p w:rsidR="00BF0E8E" w:rsidRDefault="00D502EA" w:rsidP="00CF11FD">
            <w:r>
              <w:t>Poliisiylitarkastaja Ryhänen</w:t>
            </w:r>
          </w:p>
          <w:p w:rsidR="00BF0E8E" w:rsidRDefault="00D502EA" w:rsidP="00CF11FD">
            <w:r>
              <w:t>Rajavartioylitarkastaja Hallenberg</w:t>
            </w:r>
          </w:p>
          <w:p w:rsidR="0061311A" w:rsidRPr="00242B73" w:rsidRDefault="00D502EA" w:rsidP="00CF11FD">
            <w:pPr>
              <w:rPr>
                <w:sz w:val="20"/>
                <w:szCs w:val="20"/>
              </w:rPr>
            </w:pPr>
            <w:r>
              <w:t>SM/MMO</w:t>
            </w:r>
          </w:p>
        </w:tc>
      </w:tr>
    </w:tbl>
    <w:p w:rsidR="00162585" w:rsidRDefault="00D502EA" w:rsidP="00162585"/>
    <w:p w:rsidR="008C5E06" w:rsidRPr="00162585" w:rsidRDefault="00D502EA" w:rsidP="00D76923"/>
    <w:sectPr w:rsidR="008C5E06" w:rsidRPr="00162585" w:rsidSect="002208F1">
      <w:headerReference w:type="default" r:id="rId9"/>
      <w:headerReference w:type="first" r:id="rId10"/>
      <w:footerReference w:type="first" r:id="rId11"/>
      <w:pgSz w:w="11906" w:h="16838" w:code="9"/>
      <w:pgMar w:top="1531" w:right="567" w:bottom="51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02EA">
      <w:r>
        <w:separator/>
      </w:r>
    </w:p>
  </w:endnote>
  <w:endnote w:type="continuationSeparator" w:id="0">
    <w:p w:rsidR="00000000" w:rsidRDefault="00D5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275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2586"/>
      <w:gridCol w:w="1809"/>
      <w:gridCol w:w="2126"/>
      <w:gridCol w:w="1843"/>
      <w:gridCol w:w="1911"/>
    </w:tblGrid>
    <w:tr w:rsidR="00B27B2A" w:rsidTr="001811CD">
      <w:tc>
        <w:tcPr>
          <w:tcW w:w="2586" w:type="dxa"/>
          <w:tcBorders>
            <w:bottom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09" w:type="dxa"/>
          <w:tcBorders>
            <w:bottom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2126" w:type="dxa"/>
          <w:tcBorders>
            <w:bottom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43" w:type="dxa"/>
          <w:tcBorders>
            <w:bottom w:val="single" w:sz="6" w:space="0" w:color="59B5A4"/>
          </w:tcBorders>
        </w:tcPr>
        <w:p w:rsidR="00C32D98" w:rsidRDefault="00D502EA" w:rsidP="001811CD">
          <w:pPr>
            <w:pStyle w:val="Alatunniste"/>
          </w:pPr>
        </w:p>
      </w:tc>
      <w:tc>
        <w:tcPr>
          <w:tcW w:w="1911" w:type="dxa"/>
          <w:tcBorders>
            <w:bottom w:val="single" w:sz="6" w:space="0" w:color="59B5A4"/>
          </w:tcBorders>
        </w:tcPr>
        <w:p w:rsidR="00C32D98" w:rsidRDefault="00D502EA" w:rsidP="001811CD">
          <w:pPr>
            <w:pStyle w:val="Alatunniste"/>
          </w:pPr>
        </w:p>
      </w:tc>
    </w:tr>
    <w:tr w:rsidR="00B27B2A" w:rsidTr="001811CD">
      <w:tc>
        <w:tcPr>
          <w:tcW w:w="2586" w:type="dxa"/>
          <w:tcBorders>
            <w:top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09" w:type="dxa"/>
          <w:tcBorders>
            <w:top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2126" w:type="dxa"/>
          <w:tcBorders>
            <w:top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43" w:type="dxa"/>
          <w:tcBorders>
            <w:top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911" w:type="dxa"/>
          <w:tcBorders>
            <w:top w:val="single" w:sz="6" w:space="0" w:color="59B5A4"/>
          </w:tcBorders>
        </w:tcPr>
        <w:p w:rsidR="00C32D98" w:rsidRPr="00EF222F" w:rsidRDefault="00D502EA" w:rsidP="001811CD">
          <w:pPr>
            <w:pStyle w:val="Alatunniste"/>
          </w:pPr>
        </w:p>
      </w:tc>
    </w:tr>
    <w:tr w:rsidR="00B27B2A" w:rsidTr="001811CD">
      <w:tc>
        <w:tcPr>
          <w:tcW w:w="2586" w:type="dxa"/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D502EA" w:rsidP="001811CD">
          <w:pPr>
            <w:pStyle w:val="Alatunniste"/>
          </w:pPr>
          <w:r w:rsidRPr="00755304">
            <w:rPr>
              <w:color w:val="59B5A4"/>
            </w:rPr>
            <w:t>Postiosoite:</w:t>
          </w:r>
        </w:p>
      </w:tc>
      <w:tc>
        <w:tcPr>
          <w:tcW w:w="2126" w:type="dxa"/>
        </w:tcPr>
        <w:p w:rsidR="00C32D98" w:rsidRPr="00EF222F" w:rsidRDefault="00D502EA" w:rsidP="001811CD">
          <w:pPr>
            <w:pStyle w:val="Alatunniste"/>
          </w:pPr>
          <w:r w:rsidRPr="00755304">
            <w:rPr>
              <w:color w:val="59B5A4"/>
            </w:rPr>
            <w:t>Käyntiosoitteet:</w:t>
          </w:r>
        </w:p>
      </w:tc>
      <w:tc>
        <w:tcPr>
          <w:tcW w:w="1843" w:type="dxa"/>
        </w:tcPr>
        <w:p w:rsidR="00C32D98" w:rsidRPr="00EF222F" w:rsidRDefault="00D502EA" w:rsidP="001811CD">
          <w:pPr>
            <w:pStyle w:val="Alatunniste"/>
          </w:pPr>
          <w:r w:rsidRPr="00755304">
            <w:rPr>
              <w:color w:val="59B5A4"/>
            </w:rPr>
            <w:t>Puhelin:</w:t>
          </w:r>
        </w:p>
      </w:tc>
      <w:tc>
        <w:tcPr>
          <w:tcW w:w="1911" w:type="dxa"/>
        </w:tcPr>
        <w:p w:rsidR="00C32D98" w:rsidRDefault="00D502EA" w:rsidP="001811CD">
          <w:pPr>
            <w:pStyle w:val="Alatunniste"/>
          </w:pPr>
          <w:r w:rsidRPr="00755304">
            <w:rPr>
              <w:color w:val="59B5A4"/>
            </w:rPr>
            <w:t>Virkasähköpostiosoite:</w:t>
          </w:r>
        </w:p>
      </w:tc>
    </w:tr>
    <w:tr w:rsidR="00B27B2A" w:rsidTr="001811CD">
      <w:tc>
        <w:tcPr>
          <w:tcW w:w="2586" w:type="dxa"/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D502EA" w:rsidP="001811CD">
          <w:pPr>
            <w:pStyle w:val="Alatunniste"/>
          </w:pPr>
          <w:r>
            <w:t>Sisäministeriö</w:t>
          </w:r>
        </w:p>
      </w:tc>
      <w:tc>
        <w:tcPr>
          <w:tcW w:w="2126" w:type="dxa"/>
        </w:tcPr>
        <w:p w:rsidR="00C32D98" w:rsidRPr="00EF222F" w:rsidRDefault="00D502EA" w:rsidP="006A5C73">
          <w:pPr>
            <w:pStyle w:val="Alatunniste"/>
          </w:pPr>
          <w:r>
            <w:t>Erottajankatu 2</w:t>
          </w:r>
        </w:p>
      </w:tc>
      <w:tc>
        <w:tcPr>
          <w:tcW w:w="1843" w:type="dxa"/>
        </w:tcPr>
        <w:p w:rsidR="00C32D98" w:rsidRPr="00EF222F" w:rsidRDefault="00D502EA" w:rsidP="001811CD">
          <w:pPr>
            <w:pStyle w:val="Alatunniste"/>
          </w:pPr>
          <w:r>
            <w:t xml:space="preserve">Vaihde </w:t>
          </w:r>
        </w:p>
      </w:tc>
      <w:tc>
        <w:tcPr>
          <w:tcW w:w="1911" w:type="dxa"/>
        </w:tcPr>
        <w:p w:rsidR="00C32D98" w:rsidRDefault="00D502EA" w:rsidP="001811CD">
          <w:pPr>
            <w:pStyle w:val="Alatunniste"/>
          </w:pPr>
          <w:r>
            <w:t>kirjaamo@intermin.fi</w:t>
          </w:r>
        </w:p>
      </w:tc>
    </w:tr>
    <w:tr w:rsidR="00B27B2A" w:rsidTr="001811CD">
      <w:tc>
        <w:tcPr>
          <w:tcW w:w="2586" w:type="dxa"/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D502EA" w:rsidP="001811CD">
          <w:pPr>
            <w:pStyle w:val="Alatunniste"/>
          </w:pPr>
          <w:r>
            <w:t>PL 26</w:t>
          </w:r>
        </w:p>
      </w:tc>
      <w:tc>
        <w:tcPr>
          <w:tcW w:w="2126" w:type="dxa"/>
        </w:tcPr>
        <w:p w:rsidR="00C32D98" w:rsidRPr="00EF222F" w:rsidRDefault="00D502EA" w:rsidP="001811CD">
          <w:pPr>
            <w:pStyle w:val="Alatunniste"/>
          </w:pPr>
          <w:r>
            <w:t>Helsinki</w:t>
          </w:r>
        </w:p>
      </w:tc>
      <w:tc>
        <w:tcPr>
          <w:tcW w:w="1843" w:type="dxa"/>
        </w:tcPr>
        <w:p w:rsidR="00C32D98" w:rsidRPr="00EF222F" w:rsidRDefault="00D502EA" w:rsidP="001811CD">
          <w:pPr>
            <w:pStyle w:val="Alatunniste"/>
          </w:pPr>
          <w:r w:rsidRPr="006536B0">
            <w:t>0295 480 171</w:t>
          </w:r>
        </w:p>
      </w:tc>
      <w:tc>
        <w:tcPr>
          <w:tcW w:w="1911" w:type="dxa"/>
        </w:tcPr>
        <w:p w:rsidR="00C32D98" w:rsidRDefault="00D502EA" w:rsidP="001811CD">
          <w:pPr>
            <w:pStyle w:val="Alatunniste"/>
          </w:pPr>
          <w:r>
            <w:t>www.intermin.fi</w:t>
          </w:r>
        </w:p>
      </w:tc>
    </w:tr>
    <w:tr w:rsidR="00B27B2A" w:rsidTr="001811CD">
      <w:tc>
        <w:tcPr>
          <w:tcW w:w="2586" w:type="dxa"/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09" w:type="dxa"/>
        </w:tcPr>
        <w:p w:rsidR="00C32D98" w:rsidRPr="00EF222F" w:rsidRDefault="00D502EA" w:rsidP="001811CD">
          <w:pPr>
            <w:pStyle w:val="Alatunniste"/>
          </w:pPr>
          <w:r>
            <w:t>00023 Valtioneuvosto</w:t>
          </w:r>
        </w:p>
      </w:tc>
      <w:tc>
        <w:tcPr>
          <w:tcW w:w="2126" w:type="dxa"/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43" w:type="dxa"/>
        </w:tcPr>
        <w:p w:rsidR="00C32D98" w:rsidRPr="00EF222F" w:rsidRDefault="00D502EA" w:rsidP="001811CD">
          <w:pPr>
            <w:pStyle w:val="Alatunniste"/>
          </w:pPr>
          <w:r>
            <w:rPr>
              <w:color w:val="59B5A4"/>
            </w:rPr>
            <w:t>Faksi:</w:t>
          </w:r>
        </w:p>
      </w:tc>
      <w:tc>
        <w:tcPr>
          <w:tcW w:w="1911" w:type="dxa"/>
        </w:tcPr>
        <w:p w:rsidR="00C32D98" w:rsidRDefault="00D502EA" w:rsidP="001811CD">
          <w:pPr>
            <w:pStyle w:val="Alatunniste"/>
          </w:pPr>
        </w:p>
      </w:tc>
    </w:tr>
    <w:tr w:rsidR="00B27B2A" w:rsidTr="001811CD">
      <w:tc>
        <w:tcPr>
          <w:tcW w:w="2586" w:type="dxa"/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09" w:type="dxa"/>
        </w:tcPr>
        <w:p w:rsidR="00C32D98" w:rsidRDefault="00D502EA" w:rsidP="001811CD">
          <w:pPr>
            <w:pStyle w:val="Alatunniste"/>
          </w:pPr>
        </w:p>
      </w:tc>
      <w:tc>
        <w:tcPr>
          <w:tcW w:w="2126" w:type="dxa"/>
        </w:tcPr>
        <w:p w:rsidR="00C32D98" w:rsidRPr="00EF222F" w:rsidRDefault="00D502EA" w:rsidP="001811CD">
          <w:pPr>
            <w:pStyle w:val="Alatunniste"/>
          </w:pPr>
        </w:p>
      </w:tc>
      <w:tc>
        <w:tcPr>
          <w:tcW w:w="1843" w:type="dxa"/>
        </w:tcPr>
        <w:p w:rsidR="00C32D98" w:rsidRDefault="00D502EA" w:rsidP="002752F1">
          <w:pPr>
            <w:pStyle w:val="Alatunniste"/>
          </w:pPr>
          <w:r>
            <w:t xml:space="preserve">09 1604 </w:t>
          </w:r>
          <w:r w:rsidRPr="00703C49">
            <w:rPr>
              <w:szCs w:val="16"/>
            </w:rPr>
            <w:t>4635</w:t>
          </w:r>
        </w:p>
      </w:tc>
      <w:tc>
        <w:tcPr>
          <w:tcW w:w="1911" w:type="dxa"/>
        </w:tcPr>
        <w:p w:rsidR="00C32D98" w:rsidRDefault="00D502EA" w:rsidP="001811CD">
          <w:pPr>
            <w:pStyle w:val="Alatunniste"/>
          </w:pPr>
        </w:p>
      </w:tc>
    </w:tr>
  </w:tbl>
  <w:p w:rsidR="00EF222F" w:rsidRDefault="00D502EA" w:rsidP="00EF222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02EA">
      <w:r>
        <w:separator/>
      </w:r>
    </w:p>
  </w:footnote>
  <w:footnote w:type="continuationSeparator" w:id="0">
    <w:p w:rsidR="00000000" w:rsidRDefault="00D50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347" w:type="dxa"/>
      <w:tblLayout w:type="fixed"/>
      <w:tblLook w:val="04A0" w:firstRow="1" w:lastRow="0" w:firstColumn="1" w:lastColumn="0" w:noHBand="0" w:noVBand="1"/>
    </w:tblPr>
    <w:tblGrid>
      <w:gridCol w:w="5222"/>
      <w:gridCol w:w="2608"/>
      <w:gridCol w:w="1463"/>
      <w:gridCol w:w="1054"/>
    </w:tblGrid>
    <w:tr w:rsidR="00B27B2A" w:rsidTr="005E4795">
      <w:tc>
        <w:tcPr>
          <w:tcW w:w="5222" w:type="dxa"/>
        </w:tcPr>
        <w:p w:rsidR="0035265B" w:rsidRPr="00770045" w:rsidRDefault="00D502EA" w:rsidP="005E4795">
          <w:pPr>
            <w:pStyle w:val="Yltunniste"/>
            <w:rPr>
              <w:b/>
              <w:szCs w:val="20"/>
            </w:rPr>
          </w:pPr>
          <w:r w:rsidRPr="00770045">
            <w:rPr>
              <w:b/>
              <w:szCs w:val="20"/>
            </w:rPr>
            <w:t>Sisäministeriö</w:t>
          </w:r>
        </w:p>
      </w:tc>
      <w:tc>
        <w:tcPr>
          <w:tcW w:w="2608" w:type="dxa"/>
        </w:tcPr>
        <w:p w:rsidR="0035265B" w:rsidRPr="00770045" w:rsidRDefault="00D502EA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</w:tcPr>
        <w:p w:rsidR="0035265B" w:rsidRDefault="00D502EA" w:rsidP="005E4795">
          <w:pPr>
            <w:pStyle w:val="Yltunniste"/>
          </w:pPr>
        </w:p>
      </w:tc>
      <w:tc>
        <w:tcPr>
          <w:tcW w:w="1054" w:type="dxa"/>
        </w:tcPr>
        <w:p w:rsidR="0035265B" w:rsidRDefault="00D502EA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t>)</w:t>
          </w:r>
        </w:p>
      </w:tc>
    </w:tr>
    <w:tr w:rsidR="00B27B2A" w:rsidTr="005E4795">
      <w:trPr>
        <w:trHeight w:val="272"/>
      </w:trPr>
      <w:tc>
        <w:tcPr>
          <w:tcW w:w="5222" w:type="dxa"/>
        </w:tcPr>
        <w:p w:rsidR="0035265B" w:rsidRPr="002A6CD5" w:rsidRDefault="00D502EA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</w:tcPr>
        <w:p w:rsidR="0035265B" w:rsidRDefault="00D502EA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D502EA" w:rsidP="005E4795">
          <w:pPr>
            <w:pStyle w:val="Yltunniste"/>
          </w:pPr>
        </w:p>
      </w:tc>
    </w:tr>
    <w:tr w:rsidR="00B27B2A" w:rsidTr="005E4795">
      <w:trPr>
        <w:trHeight w:val="272"/>
      </w:trPr>
      <w:tc>
        <w:tcPr>
          <w:tcW w:w="5222" w:type="dxa"/>
        </w:tcPr>
        <w:p w:rsidR="0035265B" w:rsidRDefault="00D502EA" w:rsidP="005E4795">
          <w:pPr>
            <w:pStyle w:val="Yltunniste"/>
          </w:pPr>
        </w:p>
      </w:tc>
      <w:tc>
        <w:tcPr>
          <w:tcW w:w="2608" w:type="dxa"/>
        </w:tcPr>
        <w:p w:rsidR="0035265B" w:rsidRDefault="00D502EA" w:rsidP="005E4795">
          <w:pPr>
            <w:pStyle w:val="Yltunniste"/>
          </w:pPr>
        </w:p>
      </w:tc>
      <w:tc>
        <w:tcPr>
          <w:tcW w:w="2517" w:type="dxa"/>
          <w:gridSpan w:val="2"/>
        </w:tcPr>
        <w:p w:rsidR="0035265B" w:rsidRDefault="00D502EA" w:rsidP="005E4795">
          <w:pPr>
            <w:pStyle w:val="Yltunniste"/>
          </w:pPr>
        </w:p>
      </w:tc>
    </w:tr>
    <w:tr w:rsidR="00B27B2A" w:rsidTr="005E4795">
      <w:trPr>
        <w:trHeight w:val="272"/>
      </w:trPr>
      <w:tc>
        <w:tcPr>
          <w:tcW w:w="5222" w:type="dxa"/>
        </w:tcPr>
        <w:p w:rsidR="0035265B" w:rsidRDefault="00D502EA" w:rsidP="005E4795">
          <w:pPr>
            <w:pStyle w:val="Yltunniste"/>
          </w:pPr>
        </w:p>
      </w:tc>
      <w:tc>
        <w:tcPr>
          <w:tcW w:w="2608" w:type="dxa"/>
        </w:tcPr>
        <w:p w:rsidR="0035265B" w:rsidRDefault="00D502EA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10.03.2017</w:t>
          </w:r>
          <w:r>
            <w:fldChar w:fldCharType="end"/>
          </w:r>
        </w:p>
      </w:tc>
      <w:tc>
        <w:tcPr>
          <w:tcW w:w="2517" w:type="dxa"/>
          <w:gridSpan w:val="2"/>
        </w:tcPr>
        <w:p w:rsidR="0035265B" w:rsidRDefault="00D502EA" w:rsidP="005E4795">
          <w:pPr>
            <w:pStyle w:val="Yltunniste"/>
          </w:pPr>
        </w:p>
      </w:tc>
    </w:tr>
  </w:tbl>
  <w:p w:rsidR="00D64AB2" w:rsidRDefault="00D502EA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10948" w:type="dxa"/>
      <w:tblInd w:w="-567" w:type="dxa"/>
      <w:tblLayout w:type="fixed"/>
      <w:tblLook w:val="04A0" w:firstRow="1" w:lastRow="0" w:firstColumn="1" w:lastColumn="0" w:noHBand="0" w:noVBand="1"/>
    </w:tblPr>
    <w:tblGrid>
      <w:gridCol w:w="5823"/>
      <w:gridCol w:w="2608"/>
      <w:gridCol w:w="1463"/>
      <w:gridCol w:w="1054"/>
    </w:tblGrid>
    <w:tr w:rsidR="00B27B2A" w:rsidTr="005E4795">
      <w:tc>
        <w:tcPr>
          <w:tcW w:w="5823" w:type="dxa"/>
          <w:vMerge w:val="restart"/>
          <w:tcMar>
            <w:left w:w="0" w:type="dxa"/>
          </w:tcMar>
        </w:tcPr>
        <w:p w:rsidR="0035265B" w:rsidRPr="00F063F8" w:rsidRDefault="00D502EA" w:rsidP="005E4795">
          <w:pPr>
            <w:pStyle w:val="Yltunniste"/>
            <w:rPr>
              <w:szCs w:val="20"/>
              <w:lang w:eastAsia="fi-FI"/>
            </w:rPr>
          </w:pPr>
          <w:r>
            <w:rPr>
              <w:lang w:eastAsia="fi-FI"/>
            </w:rPr>
            <w:drawing>
              <wp:inline distT="0" distB="0" distL="0" distR="0" wp14:anchorId="1DAE5848" wp14:editId="447D9135">
                <wp:extent cx="1760672" cy="5429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672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left w:w="0" w:type="dxa"/>
          </w:tcMar>
        </w:tcPr>
        <w:p w:rsidR="0035265B" w:rsidRPr="00770045" w:rsidRDefault="00D502EA" w:rsidP="005E4795">
          <w:pPr>
            <w:pStyle w:val="Yltunniste"/>
            <w:rPr>
              <w:b/>
            </w:rPr>
          </w:pPr>
        </w:p>
      </w:tc>
      <w:tc>
        <w:tcPr>
          <w:tcW w:w="1463" w:type="dxa"/>
          <w:tcMar>
            <w:left w:w="0" w:type="dxa"/>
          </w:tcMar>
        </w:tcPr>
        <w:p w:rsidR="0035265B" w:rsidRDefault="00D502EA" w:rsidP="005E4795">
          <w:pPr>
            <w:pStyle w:val="Yltunniste"/>
          </w:pPr>
        </w:p>
      </w:tc>
      <w:tc>
        <w:tcPr>
          <w:tcW w:w="1054" w:type="dxa"/>
          <w:tcMar>
            <w:left w:w="0" w:type="dxa"/>
          </w:tcMar>
        </w:tcPr>
        <w:p w:rsidR="0035265B" w:rsidRDefault="00D502EA" w:rsidP="005E4795">
          <w:pPr>
            <w:pStyle w:val="Yltunniste"/>
            <w:jc w:val="center"/>
          </w:pPr>
        </w:p>
      </w:tc>
    </w:tr>
    <w:tr w:rsidR="00B27B2A" w:rsidTr="005E4795">
      <w:tc>
        <w:tcPr>
          <w:tcW w:w="5823" w:type="dxa"/>
          <w:vMerge/>
          <w:tcMar>
            <w:left w:w="0" w:type="dxa"/>
          </w:tcMar>
        </w:tcPr>
        <w:p w:rsidR="0035265B" w:rsidRPr="009779D7" w:rsidRDefault="00D502EA" w:rsidP="005E4795">
          <w:pPr>
            <w:pStyle w:val="Yltunniste"/>
            <w:rPr>
              <w:sz w:val="28"/>
              <w:szCs w:val="28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Pr="00770045" w:rsidRDefault="00D502EA" w:rsidP="005E4795">
          <w:pPr>
            <w:pStyle w:val="Yltunniste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  <w:tcMar>
            <w:left w:w="0" w:type="dxa"/>
          </w:tcMar>
        </w:tcPr>
        <w:p w:rsidR="0035265B" w:rsidRDefault="00D502EA" w:rsidP="005E4795">
          <w:pPr>
            <w:pStyle w:val="Yltunniste"/>
          </w:pPr>
          <w:r>
            <w:fldChar w:fldCharType="begin"/>
          </w:r>
          <w:r>
            <w:instrText xml:space="preserve"> DOCPROPERTY  sm_id  \* MERGEFORMAT </w:instrText>
          </w:r>
          <w:r>
            <w:fldChar w:fldCharType="separate"/>
          </w:r>
          <w:r>
            <w:t>SM17124544</w:t>
          </w:r>
          <w:r>
            <w:fldChar w:fldCharType="end"/>
          </w:r>
        </w:p>
      </w:tc>
      <w:tc>
        <w:tcPr>
          <w:tcW w:w="1054" w:type="dxa"/>
          <w:tcMar>
            <w:left w:w="0" w:type="dxa"/>
          </w:tcMar>
        </w:tcPr>
        <w:p w:rsidR="0035265B" w:rsidRDefault="00D502EA" w:rsidP="005E4795">
          <w:pPr>
            <w:pStyle w:val="Yltunnist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t>)</w:t>
          </w:r>
        </w:p>
      </w:tc>
    </w:tr>
    <w:tr w:rsidR="00B27B2A" w:rsidTr="005E4795">
      <w:tc>
        <w:tcPr>
          <w:tcW w:w="5823" w:type="dxa"/>
          <w:vMerge/>
          <w:tcMar>
            <w:left w:w="0" w:type="dxa"/>
          </w:tcMar>
        </w:tcPr>
        <w:p w:rsidR="0035265B" w:rsidRPr="002A6CD5" w:rsidRDefault="00D502EA" w:rsidP="005E4795">
          <w:pPr>
            <w:pStyle w:val="Yltunniste"/>
            <w:rPr>
              <w:sz w:val="24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Default="00D502EA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D502EA" w:rsidP="005E4795">
          <w:pPr>
            <w:pStyle w:val="Yltunniste"/>
          </w:pPr>
          <w:r>
            <w:fldChar w:fldCharType="begin"/>
          </w:r>
          <w:r>
            <w:instrText xml:space="preserve"> DOCPROPERTY  sm_asiaryhmä  \* MERGEFORMAT </w:instrText>
          </w:r>
          <w:r>
            <w:fldChar w:fldCharType="separate"/>
          </w:r>
          <w:r>
            <w:t>00.02.04</w:t>
          </w:r>
          <w:r>
            <w:fldChar w:fldCharType="end"/>
          </w:r>
        </w:p>
      </w:tc>
    </w:tr>
    <w:tr w:rsidR="00B27B2A" w:rsidTr="005E4795">
      <w:tc>
        <w:tcPr>
          <w:tcW w:w="5823" w:type="dxa"/>
          <w:vMerge/>
          <w:tcMar>
            <w:left w:w="0" w:type="dxa"/>
          </w:tcMar>
        </w:tcPr>
        <w:p w:rsidR="0035265B" w:rsidRDefault="00D502EA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D502EA" w:rsidP="005E4795">
          <w:pPr>
            <w:pStyle w:val="Yltunniste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D502EA" w:rsidP="005E4795">
          <w:pPr>
            <w:pStyle w:val="Yltunniste"/>
          </w:pPr>
          <w:r>
            <w:fldChar w:fldCharType="begin"/>
          </w:r>
          <w:r>
            <w:instrText xml:space="preserve"> DOCPROPERTY  sm_diaarinro  \* MERGEFORMAT </w:instrText>
          </w:r>
          <w:r>
            <w:fldChar w:fldCharType="separate"/>
          </w:r>
          <w:r>
            <w:t>SMDno-2017-144</w:t>
          </w:r>
          <w:r>
            <w:fldChar w:fldCharType="end"/>
          </w:r>
        </w:p>
      </w:tc>
    </w:tr>
    <w:tr w:rsidR="00B27B2A" w:rsidTr="005E4795">
      <w:tc>
        <w:tcPr>
          <w:tcW w:w="5823" w:type="dxa"/>
          <w:tcMar>
            <w:left w:w="0" w:type="dxa"/>
          </w:tcMar>
        </w:tcPr>
        <w:p w:rsidR="0035265B" w:rsidRDefault="00D502EA" w:rsidP="005E4795">
          <w:pPr>
            <w:pStyle w:val="Yltunniste"/>
          </w:pPr>
        </w:p>
      </w:tc>
      <w:tc>
        <w:tcPr>
          <w:tcW w:w="2608" w:type="dxa"/>
          <w:tcMar>
            <w:left w:w="0" w:type="dxa"/>
          </w:tcMar>
        </w:tcPr>
        <w:p w:rsidR="0035265B" w:rsidRDefault="00D502EA" w:rsidP="005E4795">
          <w:pPr>
            <w:pStyle w:val="Yltunniste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10.03.2017</w:t>
          </w:r>
          <w:r>
            <w:fldChar w:fldCharType="end"/>
          </w:r>
        </w:p>
      </w:tc>
      <w:tc>
        <w:tcPr>
          <w:tcW w:w="2517" w:type="dxa"/>
          <w:gridSpan w:val="2"/>
          <w:tcMar>
            <w:left w:w="0" w:type="dxa"/>
          </w:tcMar>
        </w:tcPr>
        <w:p w:rsidR="0035265B" w:rsidRDefault="00D502EA" w:rsidP="005E4795">
          <w:pPr>
            <w:pStyle w:val="Yltunniste"/>
          </w:pPr>
        </w:p>
      </w:tc>
    </w:tr>
  </w:tbl>
  <w:p w:rsidR="002723D0" w:rsidRDefault="00D502E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104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BD62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476EE"/>
    <w:multiLevelType w:val="multilevel"/>
    <w:tmpl w:val="5BD42AB8"/>
    <w:numStyleLink w:val="Numeroituotsikointi"/>
  </w:abstractNum>
  <w:abstractNum w:abstractNumId="3">
    <w:nsid w:val="11C27B62"/>
    <w:multiLevelType w:val="multilevel"/>
    <w:tmpl w:val="5BD42AB8"/>
    <w:numStyleLink w:val="Numeroituotsikointi"/>
  </w:abstractNum>
  <w:abstractNum w:abstractNumId="4">
    <w:nsid w:val="320C2E79"/>
    <w:multiLevelType w:val="multilevel"/>
    <w:tmpl w:val="5BD42AB8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33BD151C"/>
    <w:multiLevelType w:val="multilevel"/>
    <w:tmpl w:val="9348AA1E"/>
    <w:styleLink w:val="Luettelonumerot"/>
    <w:lvl w:ilvl="0">
      <w:start w:val="1"/>
      <w:numFmt w:val="decimal"/>
      <w:pStyle w:val="Numeroituluettelo"/>
      <w:lvlText w:val="%1."/>
      <w:lvlJc w:val="left"/>
      <w:pPr>
        <w:ind w:left="3175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62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85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082" w:hanging="226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309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536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763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990" w:hanging="227"/>
      </w:pPr>
      <w:rPr>
        <w:rFonts w:ascii="Calibri" w:hAnsi="Calibri" w:hint="default"/>
      </w:rPr>
    </w:lvl>
  </w:abstractNum>
  <w:abstractNum w:abstractNumId="6">
    <w:nsid w:val="37E74F7B"/>
    <w:multiLevelType w:val="multilevel"/>
    <w:tmpl w:val="4DDEB5B2"/>
    <w:styleLink w:val="Luettelomerkit"/>
    <w:lvl w:ilvl="0">
      <w:start w:val="1"/>
      <w:numFmt w:val="bullet"/>
      <w:pStyle w:val="Merkittyluettelo"/>
      <w:lvlText w:val="–"/>
      <w:lvlJc w:val="left"/>
      <w:pPr>
        <w:ind w:left="2835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B2A"/>
    <w:rsid w:val="00B27B2A"/>
    <w:rsid w:val="00D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/>
    <w:lsdException w:name="No Spacing" w:semiHidden="0" w:uiPriority="2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ali">
    <w:name w:val="Normal"/>
    <w:qFormat/>
    <w:rsid w:val="002752F1"/>
  </w:style>
  <w:style w:type="paragraph" w:styleId="Otsikko1">
    <w:name w:val="heading 1"/>
    <w:basedOn w:val="Normaali"/>
    <w:next w:val="Leipteksti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</w:style>
  <w:style w:type="paragraph" w:styleId="Otsikko6">
    <w:name w:val="heading 6"/>
    <w:basedOn w:val="Normaali"/>
    <w:next w:val="Leipteksti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</w:style>
  <w:style w:type="paragraph" w:styleId="Otsikko9">
    <w:name w:val="heading 9"/>
    <w:basedOn w:val="Normaali"/>
    <w:next w:val="Leipteksti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5265B"/>
    <w:rPr>
      <w:noProof/>
    </w:rPr>
  </w:style>
  <w:style w:type="character" w:customStyle="1" w:styleId="YltunnisteChar">
    <w:name w:val="Ylätunniste Char"/>
    <w:basedOn w:val="Kappaleenoletusfontti"/>
    <w:link w:val="Yltunniste"/>
    <w:uiPriority w:val="99"/>
    <w:rsid w:val="0035265B"/>
    <w:rPr>
      <w:rFonts w:ascii="Arial" w:hAnsi="Arial"/>
      <w:noProof/>
      <w:sz w:val="20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35265B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5265B"/>
    <w:rPr>
      <w:rFonts w:ascii="Arial" w:hAnsi="Arial"/>
      <w:sz w:val="16"/>
      <w:szCs w:val="18"/>
    </w:rPr>
  </w:style>
  <w:style w:type="table" w:styleId="TaulukkoRuudukko">
    <w:name w:val="Table Grid"/>
    <w:basedOn w:val="Normaalitaulukko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ittyluettelo">
    <w:name w:val="List Bullet"/>
    <w:basedOn w:val="Normaali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Numeroituluettelo">
    <w:name w:val="List Number"/>
    <w:basedOn w:val="Normaali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Kappaleenoletusfontti"/>
    <w:link w:val="Otsikko1"/>
    <w:uiPriority w:val="9"/>
    <w:rsid w:val="0035265B"/>
    <w:rPr>
      <w:rFonts w:ascii="Arial" w:hAnsi="Arial"/>
      <w:bCs/>
      <w:sz w:val="18"/>
      <w:szCs w:val="28"/>
    </w:rPr>
  </w:style>
  <w:style w:type="paragraph" w:styleId="Sisllysluettelonotsikko">
    <w:name w:val="TOC Heading"/>
    <w:next w:val="Normaali"/>
    <w:uiPriority w:val="39"/>
    <w:rsid w:val="0035265B"/>
    <w:pPr>
      <w:spacing w:after="240"/>
      <w:ind w:right="2835"/>
    </w:pPr>
    <w:rPr>
      <w:b/>
      <w:bCs/>
      <w:sz w:val="18"/>
      <w:szCs w:val="28"/>
    </w:rPr>
  </w:style>
  <w:style w:type="table" w:customStyle="1" w:styleId="Eireunaviivaa">
    <w:name w:val="Ei reunaviivaa"/>
    <w:basedOn w:val="Normaalitaulukko"/>
    <w:uiPriority w:val="99"/>
    <w:rsid w:val="0035265B"/>
    <w:rPr>
      <w:sz w:val="18"/>
      <w:szCs w:val="18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35265B"/>
    <w:pPr>
      <w:spacing w:after="180"/>
      <w:ind w:right="2835"/>
      <w:contextualSpacing/>
    </w:pPr>
    <w:rPr>
      <w:b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5265B"/>
    <w:rPr>
      <w:rFonts w:ascii="Arial" w:hAnsi="Arial" w:cs="Arial"/>
      <w:b/>
      <w:kern w:val="28"/>
      <w:sz w:val="1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35265B"/>
    <w:rPr>
      <w:sz w:val="18"/>
      <w:szCs w:val="18"/>
    </w:rPr>
  </w:style>
  <w:style w:type="paragraph" w:styleId="Eivli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5265B"/>
    <w:rPr>
      <w:rFonts w:ascii="Arial" w:hAnsi="Arial"/>
      <w:bCs/>
      <w:sz w:val="1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265B"/>
    <w:rPr>
      <w:rFonts w:ascii="Arial" w:hAnsi="Arial"/>
      <w:bCs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35265B"/>
    <w:rPr>
      <w:rFonts w:ascii="Arial" w:hAnsi="Arial"/>
      <w:bCs/>
      <w:iCs/>
      <w:sz w:val="18"/>
      <w:szCs w:val="18"/>
    </w:rPr>
  </w:style>
  <w:style w:type="character" w:customStyle="1" w:styleId="Otsikko5Char">
    <w:name w:val="Otsikko 5 Char"/>
    <w:basedOn w:val="Kappaleenoletusfontti"/>
    <w:link w:val="Otsikko5"/>
    <w:uiPriority w:val="9"/>
    <w:rsid w:val="0035265B"/>
    <w:rPr>
      <w:rFonts w:ascii="Arial" w:hAnsi="Arial"/>
      <w:sz w:val="18"/>
      <w:szCs w:val="18"/>
    </w:rPr>
  </w:style>
  <w:style w:type="character" w:customStyle="1" w:styleId="Otsikko6Char">
    <w:name w:val="Otsikko 6 Char"/>
    <w:basedOn w:val="Kappaleenoletusfontti"/>
    <w:link w:val="Otsikko6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7Char">
    <w:name w:val="Otsikko 7 Char"/>
    <w:basedOn w:val="Kappaleenoletusfontti"/>
    <w:link w:val="Otsikko7"/>
    <w:uiPriority w:val="9"/>
    <w:rsid w:val="0035265B"/>
    <w:rPr>
      <w:rFonts w:ascii="Arial" w:hAnsi="Arial"/>
      <w:iCs/>
      <w:sz w:val="18"/>
      <w:szCs w:val="18"/>
    </w:rPr>
  </w:style>
  <w:style w:type="character" w:customStyle="1" w:styleId="Otsikko8Char">
    <w:name w:val="Otsikko 8 Char"/>
    <w:basedOn w:val="Kappaleenoletusfontti"/>
    <w:link w:val="Otsikko8"/>
    <w:uiPriority w:val="9"/>
    <w:rsid w:val="0035265B"/>
    <w:rPr>
      <w:rFonts w:ascii="Arial" w:hAnsi="Arial"/>
      <w:sz w:val="18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35265B"/>
    <w:rPr>
      <w:rFonts w:ascii="Arial" w:hAnsi="Arial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uettelokappale">
    <w:name w:val="List Paragraph"/>
    <w:basedOn w:val="Normaali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ali"/>
    <w:qFormat/>
    <w:rsid w:val="00352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säministeriö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6285-C335-4D4D-901D-AC7FB096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2186</Words>
  <Characters>17710</Characters>
  <Application>Microsoft Office Word</Application>
  <DocSecurity>4</DocSecurity>
  <Lines>147</Lines>
  <Paragraphs>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Martiskainen Kaija SM</dc:creator>
  <cp:lastModifiedBy>Luomala Irene</cp:lastModifiedBy>
  <cp:revision>2</cp:revision>
  <cp:lastPrinted>2017-03-10T14:07:00Z</cp:lastPrinted>
  <dcterms:created xsi:type="dcterms:W3CDTF">2017-03-10T14:08:00Z</dcterms:created>
  <dcterms:modified xsi:type="dcterms:W3CDTF">2017-03-10T14:08:00Z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Sisäministeriö 10.03.2017 klo 12:45. Allekirjoituksen oikeellisuuden voi todentaa kirjaamosta.</vt:lpwstr>
  </property>
  <property fmtid="{D5CDD505-2E9C-101B-9397-08002B2CF9AE}" pid="3" name="sm_asiakirjatyyppi">
    <vt:lpwstr>Lausunto</vt:lpwstr>
  </property>
  <property fmtid="{D5CDD505-2E9C-101B-9397-08002B2CF9AE}" pid="4" name="sm_asiaryhmä">
    <vt:lpwstr>00.02.04</vt:lpwstr>
  </property>
  <property fmtid="{D5CDD505-2E9C-101B-9397-08002B2CF9AE}" pid="5" name="sm_diaarinro">
    <vt:lpwstr>SMDno-2017-144</vt:lpwstr>
  </property>
  <property fmtid="{D5CDD505-2E9C-101B-9397-08002B2CF9AE}" pid="6" name="sm_id">
    <vt:lpwstr>SM17124544</vt:lpwstr>
  </property>
  <property fmtid="{D5CDD505-2E9C-101B-9397-08002B2CF9AE}" pid="7" name="sm_käsittelyluokka">
    <vt:lpwstr/>
  </property>
  <property fmtid="{D5CDD505-2E9C-101B-9397-08002B2CF9AE}" pid="8" name="sm_laatija">
    <vt:lpwstr>Hanne Huvila</vt:lpwstr>
  </property>
  <property fmtid="{D5CDD505-2E9C-101B-9397-08002B2CF9AE}" pid="9" name="sm_laatimispvm">
    <vt:lpwstr>08.03.2017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Sisäministeriö SM</vt:lpwstr>
  </property>
  <property fmtid="{D5CDD505-2E9C-101B-9397-08002B2CF9AE}" pid="13" name="sm_osasto">
    <vt:lpwstr>Hallinto- ja kehittämisosasto</vt:lpwstr>
  </property>
  <property fmtid="{D5CDD505-2E9C-101B-9397-08002B2CF9AE}" pid="14" name="sm_otsikko">
    <vt:lpwstr>Sisäministeriön lausunto; syyttömyysolettamadirektiivin kansallista täytäntöönpanoa koskeva arviomuistio</vt:lpwstr>
  </property>
  <property fmtid="{D5CDD505-2E9C-101B-9397-08002B2CF9AE}" pid="15" name="sm_pvm">
    <vt:lpwstr>10.03.2017</vt:lpwstr>
  </property>
  <property fmtid="{D5CDD505-2E9C-101B-9397-08002B2CF9AE}" pid="16" name="sm_salassapitoperuste">
    <vt:lpwstr/>
  </property>
  <property fmtid="{D5CDD505-2E9C-101B-9397-08002B2CF9AE}" pid="17" name="sm_tila">
    <vt:lpwstr>Allekirjoitettavana</vt:lpwstr>
  </property>
  <property fmtid="{D5CDD505-2E9C-101B-9397-08002B2CF9AE}" pid="18" name="sm_turvallisuusluokka">
    <vt:lpwstr/>
  </property>
  <property fmtid="{D5CDD505-2E9C-101B-9397-08002B2CF9AE}" pid="19" name="sm_turvallisuusperuste">
    <vt:lpwstr/>
  </property>
  <property fmtid="{D5CDD505-2E9C-101B-9397-08002B2CF9AE}" pid="20" name="sm_vastaanottaja">
    <vt:lpwstr>Vastaanottaja</vt:lpwstr>
  </property>
</Properties>
</file>