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3888"/>
        <w:gridCol w:w="3888"/>
        <w:gridCol w:w="1872"/>
      </w:tblGrid>
      <w:tr w:rsidR="004B168C" w14:paraId="0B3E595E" w14:textId="77777777">
        <w:trPr>
          <w:cantSplit/>
          <w:trHeight w:hRule="exact" w:val="240"/>
        </w:trPr>
        <w:tc>
          <w:tcPr>
            <w:tcW w:w="3888" w:type="dxa"/>
            <w:vMerge w:val="restart"/>
          </w:tcPr>
          <w:bookmarkStart w:id="0" w:name="_GoBack"/>
          <w:bookmarkEnd w:id="0"/>
          <w:p w14:paraId="43F49472" w14:textId="77777777" w:rsidR="004B168C" w:rsidRDefault="00FF232D">
            <w:pPr>
              <w:pStyle w:val="Varsinainenteksti"/>
              <w:ind w:left="0"/>
            </w:pPr>
            <w:r>
              <w:rPr>
                <w:noProof/>
              </w:rPr>
              <mc:AlternateContent>
                <mc:Choice Requires="wps">
                  <w:drawing>
                    <wp:anchor distT="0" distB="0" distL="114300" distR="114300" simplePos="0" relativeHeight="251657728" behindDoc="0" locked="0" layoutInCell="0" allowOverlap="1" wp14:anchorId="2816FD4A" wp14:editId="14FFC8DE">
                      <wp:simplePos x="0" y="0"/>
                      <wp:positionH relativeFrom="page">
                        <wp:posOffset>3200400</wp:posOffset>
                      </wp:positionH>
                      <wp:positionV relativeFrom="page">
                        <wp:posOffset>365760</wp:posOffset>
                      </wp:positionV>
                      <wp:extent cx="1162685" cy="1136015"/>
                      <wp:effectExtent l="0" t="0" r="0" b="0"/>
                      <wp:wrapNone/>
                      <wp:docPr id="10"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2685"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D69D0" w14:textId="77777777" w:rsidR="004B168C" w:rsidRDefault="00FF232D">
                                  <w:r>
                                    <w:rPr>
                                      <w:noProof/>
                                    </w:rPr>
                                    <w:drawing>
                                      <wp:inline distT="0" distB="0" distL="0" distR="0" wp14:anchorId="16109164" wp14:editId="14A65889">
                                        <wp:extent cx="1118870" cy="1089660"/>
                                        <wp:effectExtent l="0" t="0" r="5080" b="0"/>
                                        <wp:docPr id="1" name="Kuva 1" descr="lomake_kon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make_konv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8870" cy="10896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52pt;margin-top:28.8pt;width:91.55pt;height:8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r6tAIAAL8FAAAOAAAAZHJzL2Uyb0RvYy54bWysVG1vmzAQ/j5p/8Hyd8pLCQVUUrUhTJO6&#10;F6ndD3DABGtgM9sJdNP++84mJG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" o:allowincell="f" filled="f" stroked="f">
                      <o:lock v:ext="edit" aspectratio="t"/>
                      <v:textbox inset="0,0,0,0">
                        <w:txbxContent>
                          <w:p w14:paraId="2B9D69D0" w14:textId="77777777" w:rsidR="004B168C" w:rsidRDefault="00FF232D">
                            <w:r>
                              <w:rPr>
                                <w:noProof/>
                              </w:rPr>
                              <w:drawing>
                                <wp:inline distT="0" distB="0" distL="0" distR="0" wp14:anchorId="16109164" wp14:editId="14A65889">
                                  <wp:extent cx="1118870" cy="1089660"/>
                                  <wp:effectExtent l="0" t="0" r="5080" b="0"/>
                                  <wp:docPr id="1" name="Kuva 1" descr="lomake_kon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make_konv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8870" cy="1089660"/>
                                          </a:xfrm>
                                          <a:prstGeom prst="rect">
                                            <a:avLst/>
                                          </a:prstGeom>
                                          <a:noFill/>
                                          <a:ln>
                                            <a:noFill/>
                                          </a:ln>
                                        </pic:spPr>
                                      </pic:pic>
                                    </a:graphicData>
                                  </a:graphic>
                                </wp:inline>
                              </w:drawing>
                            </w:r>
                          </w:p>
                        </w:txbxContent>
                      </v:textbox>
                      <w10:wrap anchorx="page" anchory="page"/>
                    </v:shape>
                  </w:pict>
                </mc:Fallback>
              </mc:AlternateContent>
            </w:r>
          </w:p>
        </w:tc>
        <w:tc>
          <w:tcPr>
            <w:tcW w:w="3888" w:type="dxa"/>
            <w:vMerge w:val="restart"/>
          </w:tcPr>
          <w:p w14:paraId="18EFB3A1" w14:textId="77777777" w:rsidR="004B168C" w:rsidRDefault="004B168C">
            <w:pPr>
              <w:pStyle w:val="Varsinainenteksti"/>
              <w:ind w:left="0"/>
            </w:pPr>
          </w:p>
        </w:tc>
        <w:tc>
          <w:tcPr>
            <w:tcW w:w="1872" w:type="dxa"/>
          </w:tcPr>
          <w:p w14:paraId="69CBA02A" w14:textId="77777777" w:rsidR="004B168C" w:rsidRDefault="004B168C">
            <w:pPr>
              <w:pStyle w:val="Asiakirjantiedot"/>
              <w:jc w:val="right"/>
            </w:pPr>
          </w:p>
          <w:p w14:paraId="3ECAF5A4" w14:textId="77777777" w:rsidR="007839B9" w:rsidRDefault="007839B9">
            <w:pPr>
              <w:pStyle w:val="Asiakirjantiedot"/>
              <w:jc w:val="right"/>
            </w:pPr>
          </w:p>
        </w:tc>
      </w:tr>
      <w:tr w:rsidR="004B168C" w14:paraId="310D1A5E" w14:textId="77777777">
        <w:trPr>
          <w:cantSplit/>
          <w:trHeight w:hRule="exact" w:val="240"/>
        </w:trPr>
        <w:tc>
          <w:tcPr>
            <w:tcW w:w="3888" w:type="dxa"/>
            <w:vMerge/>
          </w:tcPr>
          <w:p w14:paraId="71F714E1" w14:textId="77777777" w:rsidR="004B168C" w:rsidRDefault="004B168C">
            <w:pPr>
              <w:pStyle w:val="Varsinainenteksti"/>
              <w:ind w:left="0"/>
            </w:pPr>
          </w:p>
        </w:tc>
        <w:tc>
          <w:tcPr>
            <w:tcW w:w="3888" w:type="dxa"/>
            <w:vMerge/>
          </w:tcPr>
          <w:p w14:paraId="2EE9029C" w14:textId="77777777" w:rsidR="004B168C" w:rsidRDefault="004B168C">
            <w:pPr>
              <w:pStyle w:val="Varsinainenteksti"/>
              <w:ind w:left="0"/>
            </w:pPr>
          </w:p>
        </w:tc>
        <w:tc>
          <w:tcPr>
            <w:tcW w:w="1872" w:type="dxa"/>
          </w:tcPr>
          <w:p w14:paraId="3C15F2B7" w14:textId="7B8C3F93" w:rsidR="004B168C" w:rsidRDefault="007839B9">
            <w:pPr>
              <w:pStyle w:val="Asiakirjantiedot"/>
            </w:pPr>
            <w:r>
              <w:rPr>
                <w:rFonts w:ascii="Times New Roman" w:hAnsi="Times New Roman"/>
              </w:rPr>
              <w:t xml:space="preserve">Dnro </w:t>
            </w:r>
            <w:r w:rsidRPr="0051098D">
              <w:rPr>
                <w:rFonts w:ascii="Times New Roman" w:hAnsi="Times New Roman"/>
              </w:rPr>
              <w:t>145/31/2013</w:t>
            </w:r>
          </w:p>
        </w:tc>
      </w:tr>
      <w:tr w:rsidR="004B168C" w14:paraId="47B34087" w14:textId="77777777">
        <w:trPr>
          <w:cantSplit/>
          <w:trHeight w:hRule="exact" w:val="960"/>
        </w:trPr>
        <w:tc>
          <w:tcPr>
            <w:tcW w:w="3888" w:type="dxa"/>
            <w:vMerge/>
          </w:tcPr>
          <w:p w14:paraId="5EB9515A" w14:textId="77777777" w:rsidR="004B168C" w:rsidRDefault="004B168C">
            <w:pPr>
              <w:pStyle w:val="Varsinainenteksti"/>
              <w:ind w:left="0"/>
            </w:pPr>
          </w:p>
        </w:tc>
        <w:tc>
          <w:tcPr>
            <w:tcW w:w="3888" w:type="dxa"/>
            <w:vMerge/>
          </w:tcPr>
          <w:p w14:paraId="0672D54C" w14:textId="77777777" w:rsidR="004B168C" w:rsidRDefault="004B168C">
            <w:pPr>
              <w:pStyle w:val="Varsinainenteksti"/>
              <w:ind w:left="0"/>
            </w:pPr>
          </w:p>
        </w:tc>
        <w:tc>
          <w:tcPr>
            <w:tcW w:w="1872" w:type="dxa"/>
          </w:tcPr>
          <w:p w14:paraId="7E6D71CA" w14:textId="77777777" w:rsidR="004B168C" w:rsidRDefault="004B168C">
            <w:pPr>
              <w:pStyle w:val="Varsinainenteksti"/>
              <w:ind w:left="0"/>
            </w:pPr>
          </w:p>
        </w:tc>
      </w:tr>
      <w:tr w:rsidR="004B168C" w14:paraId="404A553B" w14:textId="77777777">
        <w:trPr>
          <w:cantSplit/>
          <w:trHeight w:hRule="exact" w:val="1490"/>
        </w:trPr>
        <w:tc>
          <w:tcPr>
            <w:tcW w:w="3888" w:type="dxa"/>
          </w:tcPr>
          <w:p w14:paraId="5638EF8F" w14:textId="77777777" w:rsidR="007839B9" w:rsidRPr="0051098D" w:rsidRDefault="007839B9" w:rsidP="007839B9">
            <w:pPr>
              <w:pStyle w:val="Asiakirjantiedot"/>
              <w:rPr>
                <w:rFonts w:ascii="Times New Roman" w:hAnsi="Times New Roman"/>
              </w:rPr>
            </w:pPr>
            <w:r w:rsidRPr="0051098D">
              <w:rPr>
                <w:rFonts w:ascii="Times New Roman" w:hAnsi="Times New Roman"/>
              </w:rPr>
              <w:t>Liikenne- ja viestintäministeriö</w:t>
            </w:r>
          </w:p>
          <w:p w14:paraId="614B2547" w14:textId="77777777" w:rsidR="007839B9" w:rsidRPr="0051098D" w:rsidRDefault="00B30C06" w:rsidP="007839B9">
            <w:pPr>
              <w:pStyle w:val="Asiakirjantiedot"/>
              <w:rPr>
                <w:rFonts w:ascii="Times New Roman" w:hAnsi="Times New Roman"/>
              </w:rPr>
            </w:pPr>
            <w:hyperlink r:id="rId15" w:history="1">
              <w:r w:rsidR="007839B9" w:rsidRPr="0051098D">
                <w:rPr>
                  <w:rStyle w:val="Hyperlinkki"/>
                  <w:rFonts w:ascii="Times New Roman" w:hAnsi="Times New Roman"/>
                </w:rPr>
                <w:t>kirjaamo@lvm.fi</w:t>
              </w:r>
            </w:hyperlink>
            <w:r w:rsidR="007839B9" w:rsidRPr="0051098D">
              <w:rPr>
                <w:rFonts w:ascii="Times New Roman" w:hAnsi="Times New Roman"/>
              </w:rPr>
              <w:t xml:space="preserve"> </w:t>
            </w:r>
          </w:p>
          <w:p w14:paraId="42BF5555" w14:textId="77777777" w:rsidR="004B168C" w:rsidRDefault="004B168C">
            <w:pPr>
              <w:pStyle w:val="Asiakirjantiedot"/>
            </w:pPr>
          </w:p>
        </w:tc>
        <w:tc>
          <w:tcPr>
            <w:tcW w:w="3888" w:type="dxa"/>
            <w:vMerge/>
          </w:tcPr>
          <w:p w14:paraId="413972FF" w14:textId="77777777" w:rsidR="004B168C" w:rsidRDefault="004B168C">
            <w:pPr>
              <w:pStyle w:val="Varsinainenteksti"/>
              <w:ind w:left="0"/>
            </w:pPr>
          </w:p>
        </w:tc>
        <w:tc>
          <w:tcPr>
            <w:tcW w:w="1872" w:type="dxa"/>
          </w:tcPr>
          <w:p w14:paraId="53FD87AA" w14:textId="558C9FB0" w:rsidR="004B168C" w:rsidRPr="00C144C4" w:rsidRDefault="00C22ECD">
            <w:pPr>
              <w:pStyle w:val="Varsinainenteksti"/>
              <w:ind w:left="0"/>
              <w:rPr>
                <w:rFonts w:ascii="Arial" w:hAnsi="Arial" w:cs="Arial"/>
              </w:rPr>
            </w:pPr>
            <w:r>
              <w:rPr>
                <w:rFonts w:ascii="Arial" w:hAnsi="Arial" w:cs="Arial"/>
              </w:rPr>
              <w:t>8.5</w:t>
            </w:r>
            <w:r w:rsidR="007839B9">
              <w:rPr>
                <w:rFonts w:ascii="Arial" w:hAnsi="Arial" w:cs="Arial"/>
              </w:rPr>
              <w:t>.2013</w:t>
            </w:r>
          </w:p>
        </w:tc>
      </w:tr>
    </w:tbl>
    <w:p w14:paraId="3C9EBCEE" w14:textId="77777777" w:rsidR="00C22ECD" w:rsidRDefault="00C22ECD" w:rsidP="007839B9">
      <w:pPr>
        <w:pStyle w:val="Asiakirjantiedot"/>
        <w:rPr>
          <w:rFonts w:ascii="Times New Roman" w:hAnsi="Times New Roman"/>
        </w:rPr>
      </w:pPr>
    </w:p>
    <w:p w14:paraId="30C2DA91" w14:textId="77777777" w:rsidR="00C22ECD" w:rsidRDefault="00C22ECD" w:rsidP="007839B9">
      <w:pPr>
        <w:pStyle w:val="Asiakirjantiedot"/>
        <w:rPr>
          <w:rFonts w:ascii="Times New Roman" w:hAnsi="Times New Roman"/>
        </w:rPr>
      </w:pPr>
    </w:p>
    <w:p w14:paraId="3E47B9ED" w14:textId="77777777" w:rsidR="00C22ECD" w:rsidRDefault="00C22ECD" w:rsidP="007839B9">
      <w:pPr>
        <w:pStyle w:val="Asiakirjantiedot"/>
        <w:rPr>
          <w:rFonts w:ascii="Times New Roman" w:hAnsi="Times New Roman"/>
        </w:rPr>
      </w:pPr>
    </w:p>
    <w:p w14:paraId="25610126" w14:textId="77777777" w:rsidR="007839B9" w:rsidRPr="0051098D" w:rsidRDefault="007839B9" w:rsidP="007839B9">
      <w:pPr>
        <w:pStyle w:val="Asiakirjantiedot"/>
        <w:rPr>
          <w:rFonts w:ascii="Times New Roman" w:hAnsi="Times New Roman"/>
        </w:rPr>
      </w:pPr>
      <w:r w:rsidRPr="0051098D">
        <w:rPr>
          <w:rFonts w:ascii="Times New Roman" w:hAnsi="Times New Roman"/>
        </w:rPr>
        <w:t>Lausuntopyyntö LVM/1353/03/2013</w:t>
      </w:r>
    </w:p>
    <w:p w14:paraId="70D513AB" w14:textId="77777777" w:rsidR="004B168C" w:rsidRDefault="004B168C">
      <w:pPr>
        <w:pStyle w:val="Asiakirjanotsikko"/>
      </w:pPr>
    </w:p>
    <w:p w14:paraId="2C705D06" w14:textId="77777777" w:rsidR="007839B9" w:rsidRDefault="007839B9" w:rsidP="007839B9">
      <w:pPr>
        <w:pStyle w:val="Asiakirjanotsikko"/>
      </w:pPr>
      <w:r>
        <w:t xml:space="preserve">LIIKENNE- JA VIESTINTÄMINISTERIÖN LUONNOS HALLITUKSEN ESITYKSEKSI </w:t>
      </w:r>
    </w:p>
    <w:p w14:paraId="3960733E" w14:textId="6DAD7563" w:rsidR="004B168C" w:rsidRDefault="007839B9" w:rsidP="007839B9">
      <w:pPr>
        <w:pStyle w:val="Asiakirjanotsikko"/>
      </w:pPr>
      <w:r>
        <w:t>TIETOYHTEISKUNTAKAAREKSI</w:t>
      </w:r>
    </w:p>
    <w:p w14:paraId="4431EF8F" w14:textId="77777777" w:rsidR="004B168C" w:rsidRDefault="004B168C">
      <w:pPr>
        <w:pStyle w:val="Varsinainenteksti"/>
      </w:pPr>
    </w:p>
    <w:p w14:paraId="4AC01937" w14:textId="77777777" w:rsidR="004B168C" w:rsidRDefault="004B168C">
      <w:pPr>
        <w:pStyle w:val="Varsinainenteksti"/>
      </w:pPr>
    </w:p>
    <w:p w14:paraId="56950A32" w14:textId="77777777" w:rsidR="00C22ECD" w:rsidRDefault="00C22ECD" w:rsidP="00C22ECD">
      <w:pPr>
        <w:pStyle w:val="Varsinainenteksti"/>
        <w:ind w:left="1310"/>
      </w:pPr>
    </w:p>
    <w:p w14:paraId="2EB512E1" w14:textId="77777777" w:rsidR="00C22ECD" w:rsidRDefault="00C22ECD" w:rsidP="00C22ECD">
      <w:pPr>
        <w:pStyle w:val="Varsinainenteksti"/>
        <w:ind w:left="1310"/>
      </w:pPr>
      <w:r>
        <w:t>Lainsäädäntöhankkeen tavoitteena on koota yhteen ja selkeyttää sähköistä viestintää koskeva lainsäädäntö. Samalla lainsäädäntöä uudistetaan monelta kannalta. Keskeisimmät muutokset koskevat toimilupajärjestelmää ja hinnoittelun valvontaa, joissa esityksen mukaan Viestint</w:t>
      </w:r>
      <w:r>
        <w:t>ä</w:t>
      </w:r>
      <w:r>
        <w:t>viraston rooli vahvistuisi. Uusien matkaviestintaajuuksien myöntämisessä sovellettaisiin hu</w:t>
      </w:r>
      <w:r>
        <w:t>u</w:t>
      </w:r>
      <w:r>
        <w:t>tokauppamenetelmää, kun taas televisiolähetys</w:t>
      </w:r>
      <w:r>
        <w:softHyphen/>
        <w:t>toimintaan ja jo käytössä olevilla taajuusaluei</w:t>
      </w:r>
      <w:r>
        <w:t>l</w:t>
      </w:r>
      <w:r>
        <w:t>la harjoitettavaan matkaviestin</w:t>
      </w:r>
      <w:r>
        <w:softHyphen/>
        <w:t>toimintaan asetetaan markkinaehtoiset taajuusmaksut. Selkeitä muutoksia kohdistuisi myös kuluttajan-, yksityisyyden- ja tietosuojaa koskevaan sääntelyyn. Kaikilla näillä muutoksilla pyritään varmistamaan sähköisen viestinnän ja palveluiden häiri</w:t>
      </w:r>
      <w:r>
        <w:t>ö</w:t>
      </w:r>
      <w:r>
        <w:t>tön ja turvallinen toiminta. Lausuntonaan Valtiontalouden tarkastusvirasto esittää seuraavaa.</w:t>
      </w:r>
    </w:p>
    <w:p w14:paraId="1F169131" w14:textId="77777777" w:rsidR="00C22ECD" w:rsidRDefault="00C22ECD" w:rsidP="00C22ECD">
      <w:pPr>
        <w:pStyle w:val="Varsinainenteksti"/>
        <w:ind w:left="1310"/>
      </w:pPr>
    </w:p>
    <w:p w14:paraId="73A21F19" w14:textId="77777777" w:rsidR="00C22ECD" w:rsidRDefault="00C22ECD" w:rsidP="00C22ECD">
      <w:pPr>
        <w:pStyle w:val="Varsinainenteksti"/>
        <w:ind w:left="1310"/>
      </w:pPr>
      <w:r>
        <w:t xml:space="preserve"> </w:t>
      </w:r>
    </w:p>
    <w:p w14:paraId="2D8FE85C" w14:textId="77777777" w:rsidR="00C22ECD" w:rsidRPr="006154C2" w:rsidRDefault="00C22ECD" w:rsidP="00C22ECD">
      <w:pPr>
        <w:ind w:left="1310"/>
        <w:jc w:val="both"/>
        <w:rPr>
          <w:rFonts w:eastAsiaTheme="minorHAnsi" w:cstheme="minorHAnsi"/>
          <w:i/>
          <w:sz w:val="22"/>
          <w:szCs w:val="22"/>
          <w:lang w:eastAsia="en-US"/>
        </w:rPr>
      </w:pPr>
      <w:r w:rsidRPr="006154C2">
        <w:rPr>
          <w:rFonts w:eastAsiaTheme="minorHAnsi" w:cstheme="minorHAnsi"/>
          <w:i/>
          <w:sz w:val="22"/>
          <w:szCs w:val="22"/>
          <w:lang w:eastAsia="en-US"/>
        </w:rPr>
        <w:t>Yleisiä huomioita</w:t>
      </w:r>
    </w:p>
    <w:p w14:paraId="04D1E904" w14:textId="77777777" w:rsidR="00C22ECD" w:rsidRPr="006154C2" w:rsidRDefault="00C22ECD" w:rsidP="00C22ECD">
      <w:pPr>
        <w:jc w:val="both"/>
        <w:rPr>
          <w:rFonts w:eastAsiaTheme="minorHAnsi" w:cstheme="minorHAnsi"/>
          <w:sz w:val="22"/>
          <w:szCs w:val="22"/>
          <w:lang w:eastAsia="en-US"/>
        </w:rPr>
      </w:pPr>
    </w:p>
    <w:p w14:paraId="03E4FEE5" w14:textId="77777777" w:rsidR="00C22ECD" w:rsidRPr="006154C2" w:rsidRDefault="00C22ECD" w:rsidP="00C22ECD">
      <w:pPr>
        <w:ind w:left="1310"/>
        <w:jc w:val="both"/>
        <w:rPr>
          <w:rFonts w:eastAsiaTheme="minorHAnsi" w:cstheme="minorHAnsi"/>
          <w:sz w:val="22"/>
          <w:szCs w:val="22"/>
          <w:lang w:eastAsia="en-US"/>
        </w:rPr>
      </w:pPr>
      <w:r w:rsidRPr="006154C2">
        <w:rPr>
          <w:rFonts w:eastAsiaTheme="minorHAnsi" w:cstheme="minorHAnsi"/>
          <w:sz w:val="22"/>
          <w:szCs w:val="22"/>
          <w:lang w:eastAsia="en-US"/>
        </w:rPr>
        <w:t>Lakiehdotukseen on yhdistetty useita yksityisyyttä, sähköistä viestintää ja viestintämarkkino</w:t>
      </w:r>
      <w:r w:rsidRPr="006154C2">
        <w:rPr>
          <w:rFonts w:eastAsiaTheme="minorHAnsi" w:cstheme="minorHAnsi"/>
          <w:sz w:val="22"/>
          <w:szCs w:val="22"/>
          <w:lang w:eastAsia="en-US"/>
        </w:rPr>
        <w:t>i</w:t>
      </w:r>
      <w:r w:rsidRPr="006154C2">
        <w:rPr>
          <w:rFonts w:eastAsiaTheme="minorHAnsi" w:cstheme="minorHAnsi"/>
          <w:sz w:val="22"/>
          <w:szCs w:val="22"/>
          <w:lang w:eastAsia="en-US"/>
        </w:rPr>
        <w:t>ta koskevia tietoyhteiskuntakaaren voimaantullessa kumottavia lakeja. Lähtökohtaisesti tälla</w:t>
      </w:r>
      <w:r w:rsidRPr="006154C2">
        <w:rPr>
          <w:rFonts w:eastAsiaTheme="minorHAnsi" w:cstheme="minorHAnsi"/>
          <w:sz w:val="22"/>
          <w:szCs w:val="22"/>
          <w:lang w:eastAsia="en-US"/>
        </w:rPr>
        <w:t>i</w:t>
      </w:r>
      <w:r w:rsidRPr="006154C2">
        <w:rPr>
          <w:rFonts w:eastAsiaTheme="minorHAnsi" w:cstheme="minorHAnsi"/>
          <w:sz w:val="22"/>
          <w:szCs w:val="22"/>
          <w:lang w:eastAsia="en-US"/>
        </w:rPr>
        <w:t>sella eri säännösten kodifioinnilla pyritään yleensä sääntelyn vähentämiseen ja selkeyttäm</w:t>
      </w:r>
      <w:r w:rsidRPr="006154C2">
        <w:rPr>
          <w:rFonts w:eastAsiaTheme="minorHAnsi" w:cstheme="minorHAnsi"/>
          <w:sz w:val="22"/>
          <w:szCs w:val="22"/>
          <w:lang w:eastAsia="en-US"/>
        </w:rPr>
        <w:t>i</w:t>
      </w:r>
      <w:r w:rsidRPr="006154C2">
        <w:rPr>
          <w:rFonts w:eastAsiaTheme="minorHAnsi" w:cstheme="minorHAnsi"/>
          <w:sz w:val="22"/>
          <w:szCs w:val="22"/>
          <w:lang w:eastAsia="en-US"/>
        </w:rPr>
        <w:t>seen sekä oikeudellisen sääntelyn päällekkäisyyden poistamiseen.  Kodifiointitarkoitukseen viittaa osaltaan myös uuden lain nimeäminen ”kaareksi”, jolla on perinteisesti tarkoitettu la</w:t>
      </w:r>
      <w:r w:rsidRPr="006154C2">
        <w:rPr>
          <w:rFonts w:eastAsiaTheme="minorHAnsi" w:cstheme="minorHAnsi"/>
          <w:sz w:val="22"/>
          <w:szCs w:val="22"/>
          <w:lang w:eastAsia="en-US"/>
        </w:rPr>
        <w:t>a</w:t>
      </w:r>
      <w:r w:rsidRPr="006154C2">
        <w:rPr>
          <w:rFonts w:eastAsiaTheme="minorHAnsi" w:cstheme="minorHAnsi"/>
          <w:sz w:val="22"/>
          <w:szCs w:val="22"/>
          <w:lang w:eastAsia="en-US"/>
        </w:rPr>
        <w:t xml:space="preserve">jaa lakikokonaisuutta. </w:t>
      </w:r>
    </w:p>
    <w:p w14:paraId="031352C3" w14:textId="77777777" w:rsidR="00C22ECD" w:rsidRPr="006154C2" w:rsidRDefault="00C22ECD" w:rsidP="00C22ECD">
      <w:pPr>
        <w:ind w:left="1310"/>
        <w:jc w:val="both"/>
        <w:rPr>
          <w:rFonts w:eastAsiaTheme="minorHAnsi" w:cstheme="minorHAnsi"/>
          <w:sz w:val="22"/>
          <w:szCs w:val="22"/>
          <w:lang w:eastAsia="en-US"/>
        </w:rPr>
      </w:pPr>
    </w:p>
    <w:p w14:paraId="175AC5D4" w14:textId="77777777" w:rsidR="00C22ECD" w:rsidRPr="006154C2" w:rsidRDefault="00C22ECD" w:rsidP="00C22ECD">
      <w:pPr>
        <w:ind w:left="1310"/>
        <w:jc w:val="both"/>
        <w:rPr>
          <w:rFonts w:eastAsiaTheme="minorHAnsi" w:cstheme="minorHAnsi"/>
          <w:sz w:val="22"/>
          <w:szCs w:val="22"/>
          <w:lang w:eastAsia="en-US"/>
        </w:rPr>
      </w:pPr>
      <w:r w:rsidRPr="006154C2">
        <w:rPr>
          <w:rFonts w:eastAsiaTheme="minorHAnsi" w:cstheme="minorHAnsi"/>
          <w:sz w:val="22"/>
          <w:szCs w:val="22"/>
          <w:lang w:eastAsia="en-US"/>
        </w:rPr>
        <w:t>Kysymyksessä olevan laajaan sääntelykehikkoon liittyvä toimintaympäristö on nopean tekn</w:t>
      </w:r>
      <w:r w:rsidRPr="006154C2">
        <w:rPr>
          <w:rFonts w:eastAsiaTheme="minorHAnsi" w:cstheme="minorHAnsi"/>
          <w:sz w:val="22"/>
          <w:szCs w:val="22"/>
          <w:lang w:eastAsia="en-US"/>
        </w:rPr>
        <w:t>i</w:t>
      </w:r>
      <w:r w:rsidRPr="006154C2">
        <w:rPr>
          <w:rFonts w:eastAsiaTheme="minorHAnsi" w:cstheme="minorHAnsi"/>
          <w:sz w:val="22"/>
          <w:szCs w:val="22"/>
          <w:lang w:eastAsia="en-US"/>
        </w:rPr>
        <w:t>sen kehityksen kohteena ja jatkuvasti globalisoitumassa. Lisäksi sääntely perustuu sähköisen viestinnän osalta lukuisiin EU-direktiiveihin, jotka on implementoitu kansallisesti useisiin eri lakeihin. Tällaisessa tilanteessa, jossa oikeudellinen sääntely on – paitsi hajanaista – myös kerrostunutta, sääntelykehikko muotoutuu helposti monimutkaiseksi ja vaikeasti hahmotett</w:t>
      </w:r>
      <w:r w:rsidRPr="006154C2">
        <w:rPr>
          <w:rFonts w:eastAsiaTheme="minorHAnsi" w:cstheme="minorHAnsi"/>
          <w:sz w:val="22"/>
          <w:szCs w:val="22"/>
          <w:lang w:eastAsia="en-US"/>
        </w:rPr>
        <w:t>a</w:t>
      </w:r>
      <w:r w:rsidRPr="006154C2">
        <w:rPr>
          <w:rFonts w:eastAsiaTheme="minorHAnsi" w:cstheme="minorHAnsi"/>
          <w:sz w:val="22"/>
          <w:szCs w:val="22"/>
          <w:lang w:eastAsia="en-US"/>
        </w:rPr>
        <w:t>vaksi kokonaisuudeksi. Tämä puolestaan heikentää oikeudellisen sääntelyn ennakoitavuutta ja oikeusjärjestelmän ohjauskykyä.  Tarkastusvirasto on kiinnittänyt edellä mainittuihin seikko</w:t>
      </w:r>
      <w:r w:rsidRPr="006154C2">
        <w:rPr>
          <w:rFonts w:eastAsiaTheme="minorHAnsi" w:cstheme="minorHAnsi"/>
          <w:sz w:val="22"/>
          <w:szCs w:val="22"/>
          <w:lang w:eastAsia="en-US"/>
        </w:rPr>
        <w:t>i</w:t>
      </w:r>
      <w:r w:rsidRPr="006154C2">
        <w:rPr>
          <w:rFonts w:eastAsiaTheme="minorHAnsi" w:cstheme="minorHAnsi"/>
          <w:sz w:val="22"/>
          <w:szCs w:val="22"/>
          <w:lang w:eastAsia="en-US"/>
        </w:rPr>
        <w:t>hin huomiota myös komission järkevää sääntelyn toimintaohjelmaa, jonka tavoitteena muun ohella on edistää parempien sääntelyvälineiden suunnittelua ja soveltamista EU-alueella, ko</w:t>
      </w:r>
      <w:r w:rsidRPr="006154C2">
        <w:rPr>
          <w:rFonts w:eastAsiaTheme="minorHAnsi" w:cstheme="minorHAnsi"/>
          <w:sz w:val="22"/>
          <w:szCs w:val="22"/>
          <w:lang w:eastAsia="en-US"/>
        </w:rPr>
        <w:t>s</w:t>
      </w:r>
      <w:r w:rsidRPr="006154C2">
        <w:rPr>
          <w:rFonts w:eastAsiaTheme="minorHAnsi" w:cstheme="minorHAnsi"/>
          <w:sz w:val="22"/>
          <w:szCs w:val="22"/>
          <w:lang w:eastAsia="en-US"/>
        </w:rPr>
        <w:t>kevaan kuulemiseen antamassaan lausunnossa 17.9.2012 (dnro 253/31/2012)</w:t>
      </w:r>
      <w:r>
        <w:rPr>
          <w:rFonts w:eastAsiaTheme="minorHAnsi" w:cstheme="minorHAnsi"/>
          <w:sz w:val="22"/>
          <w:szCs w:val="22"/>
          <w:lang w:eastAsia="en-US"/>
        </w:rPr>
        <w:t>.</w:t>
      </w:r>
      <w:r w:rsidRPr="006154C2">
        <w:rPr>
          <w:rFonts w:eastAsiaTheme="minorHAnsi" w:cstheme="minorHAnsi"/>
          <w:sz w:val="22"/>
          <w:szCs w:val="22"/>
          <w:lang w:eastAsia="en-US"/>
        </w:rPr>
        <w:t xml:space="preserve"> Sääntelyn te</w:t>
      </w:r>
      <w:r w:rsidRPr="006154C2">
        <w:rPr>
          <w:rFonts w:eastAsiaTheme="minorHAnsi" w:cstheme="minorHAnsi"/>
          <w:sz w:val="22"/>
          <w:szCs w:val="22"/>
          <w:lang w:eastAsia="en-US"/>
        </w:rPr>
        <w:t>k</w:t>
      </w:r>
      <w:r w:rsidRPr="006154C2">
        <w:rPr>
          <w:rFonts w:eastAsiaTheme="minorHAnsi" w:cstheme="minorHAnsi"/>
          <w:sz w:val="22"/>
          <w:szCs w:val="22"/>
          <w:lang w:eastAsia="en-US"/>
        </w:rPr>
        <w:t>nisluonteista selkeyttämistä voidaankin pitää – siitäkin huolimatta, että lakiuudistuksen y</w:t>
      </w:r>
      <w:r w:rsidRPr="006154C2">
        <w:rPr>
          <w:rFonts w:eastAsiaTheme="minorHAnsi" w:cstheme="minorHAnsi"/>
          <w:sz w:val="22"/>
          <w:szCs w:val="22"/>
          <w:lang w:eastAsia="en-US"/>
        </w:rPr>
        <w:t>h</w:t>
      </w:r>
      <w:r w:rsidRPr="006154C2">
        <w:rPr>
          <w:rFonts w:eastAsiaTheme="minorHAnsi" w:cstheme="minorHAnsi"/>
          <w:sz w:val="22"/>
          <w:szCs w:val="22"/>
          <w:lang w:eastAsia="en-US"/>
        </w:rPr>
        <w:t xml:space="preserve">teydessä kumottavat säännökset ovat iältään varsin uusia – sinänsä perusteltuna. </w:t>
      </w:r>
    </w:p>
    <w:p w14:paraId="10641855" w14:textId="77777777" w:rsidR="00C22ECD" w:rsidRPr="006154C2" w:rsidRDefault="00C22ECD" w:rsidP="00C22ECD">
      <w:pPr>
        <w:jc w:val="both"/>
        <w:rPr>
          <w:rFonts w:eastAsiaTheme="minorHAnsi" w:cstheme="minorHAnsi"/>
          <w:sz w:val="22"/>
          <w:szCs w:val="22"/>
          <w:lang w:eastAsia="en-US"/>
        </w:rPr>
      </w:pPr>
    </w:p>
    <w:p w14:paraId="10C7CCF8" w14:textId="77777777" w:rsidR="00D872CA" w:rsidRPr="00D872CA" w:rsidRDefault="00D872CA" w:rsidP="00D872CA">
      <w:pPr>
        <w:ind w:left="1310"/>
        <w:jc w:val="both"/>
        <w:rPr>
          <w:rFonts w:eastAsiaTheme="minorHAnsi" w:cstheme="minorHAnsi"/>
          <w:sz w:val="22"/>
          <w:szCs w:val="22"/>
          <w:lang w:eastAsia="en-US"/>
        </w:rPr>
      </w:pPr>
      <w:r w:rsidRPr="00D872CA">
        <w:rPr>
          <w:rFonts w:eastAsiaTheme="minorHAnsi" w:cstheme="minorHAnsi"/>
          <w:sz w:val="22"/>
          <w:szCs w:val="22"/>
          <w:lang w:eastAsia="en-US"/>
        </w:rPr>
        <w:t>Valtiontalouden tarkastusvirasto pitää tärkeänä, että kootussa laissa säänneltäisiin mahdoll</w:t>
      </w:r>
      <w:r w:rsidRPr="00D872CA">
        <w:rPr>
          <w:rFonts w:eastAsiaTheme="minorHAnsi" w:cstheme="minorHAnsi"/>
          <w:sz w:val="22"/>
          <w:szCs w:val="22"/>
          <w:lang w:eastAsia="en-US"/>
        </w:rPr>
        <w:t>i</w:t>
      </w:r>
      <w:r w:rsidRPr="00D872CA">
        <w:rPr>
          <w:rFonts w:eastAsiaTheme="minorHAnsi" w:cstheme="minorHAnsi"/>
          <w:sz w:val="22"/>
          <w:szCs w:val="22"/>
          <w:lang w:eastAsia="en-US"/>
        </w:rPr>
        <w:t>simman kootusti viestinnän turvallisuudesta. Viestinnän turvallisuus ja verkkoturvallisuus ol</w:t>
      </w:r>
      <w:r w:rsidRPr="00D872CA">
        <w:rPr>
          <w:rFonts w:eastAsiaTheme="minorHAnsi" w:cstheme="minorHAnsi"/>
          <w:sz w:val="22"/>
          <w:szCs w:val="22"/>
          <w:lang w:eastAsia="en-US"/>
        </w:rPr>
        <w:t>i</w:t>
      </w:r>
      <w:r w:rsidRPr="00D872CA">
        <w:rPr>
          <w:rFonts w:eastAsiaTheme="minorHAnsi" w:cstheme="minorHAnsi"/>
          <w:sz w:val="22"/>
          <w:szCs w:val="22"/>
          <w:lang w:eastAsia="en-US"/>
        </w:rPr>
        <w:t>si hyvä todeta myös lain yleisinä periaatteina. Tarkastusvirasto pitää yleisemminkin tärkeänä että tämän lakipaketin ja EU:n uuden tietosuoja-asetuksen täytäntöönpanon yhteydessä pyri</w:t>
      </w:r>
      <w:r w:rsidRPr="00D872CA">
        <w:rPr>
          <w:rFonts w:eastAsiaTheme="minorHAnsi" w:cstheme="minorHAnsi"/>
          <w:sz w:val="22"/>
          <w:szCs w:val="22"/>
          <w:lang w:eastAsia="en-US"/>
        </w:rPr>
        <w:t>t</w:t>
      </w:r>
      <w:r w:rsidRPr="00D872CA">
        <w:rPr>
          <w:rFonts w:eastAsiaTheme="minorHAnsi" w:cstheme="minorHAnsi"/>
          <w:sz w:val="22"/>
          <w:szCs w:val="22"/>
          <w:lang w:eastAsia="en-US"/>
        </w:rPr>
        <w:t>täisiin kansallisia tietoturvallisuutta koskevia runsaita erityislakien säännöksiä kokoamaan johdonmukaisemmaksi kokonaisuudeksi.</w:t>
      </w:r>
    </w:p>
    <w:p w14:paraId="5C0EF991" w14:textId="77777777" w:rsidR="00D872CA" w:rsidRPr="00A65563" w:rsidRDefault="00D872CA" w:rsidP="00D872CA">
      <w:pPr>
        <w:ind w:left="1310"/>
        <w:jc w:val="both"/>
        <w:rPr>
          <w:rFonts w:eastAsiaTheme="minorHAnsi" w:cstheme="minorHAnsi"/>
          <w:color w:val="FF0000"/>
          <w:sz w:val="22"/>
          <w:szCs w:val="22"/>
          <w:lang w:eastAsia="en-US"/>
        </w:rPr>
      </w:pPr>
    </w:p>
    <w:p w14:paraId="4770EE6A" w14:textId="458927B6" w:rsidR="00A65563" w:rsidRDefault="00C22ECD" w:rsidP="00C22ECD">
      <w:pPr>
        <w:ind w:left="1310"/>
        <w:jc w:val="both"/>
        <w:rPr>
          <w:rFonts w:eastAsiaTheme="minorHAnsi" w:cstheme="minorHAnsi"/>
          <w:sz w:val="22"/>
          <w:szCs w:val="22"/>
          <w:lang w:eastAsia="en-US"/>
        </w:rPr>
      </w:pPr>
      <w:r w:rsidRPr="006154C2">
        <w:rPr>
          <w:rFonts w:eastAsiaTheme="minorHAnsi" w:cstheme="minorHAnsi"/>
          <w:sz w:val="22"/>
          <w:szCs w:val="22"/>
          <w:lang w:eastAsia="en-US"/>
        </w:rPr>
        <w:t>Tällainen laaja lakiuudistus, jossa keskeiset sähköistä viestintää ja tietoyhteiskunnan palvel</w:t>
      </w:r>
      <w:r w:rsidRPr="006154C2">
        <w:rPr>
          <w:rFonts w:eastAsiaTheme="minorHAnsi" w:cstheme="minorHAnsi"/>
          <w:sz w:val="22"/>
          <w:szCs w:val="22"/>
          <w:lang w:eastAsia="en-US"/>
        </w:rPr>
        <w:t>u</w:t>
      </w:r>
      <w:r w:rsidRPr="006154C2">
        <w:rPr>
          <w:rFonts w:eastAsiaTheme="minorHAnsi" w:cstheme="minorHAnsi"/>
          <w:sz w:val="22"/>
          <w:szCs w:val="22"/>
          <w:lang w:eastAsia="en-US"/>
        </w:rPr>
        <w:t>jen tarjontaa koskevat moninaiset säännökset kootaan yhteen lakiin, on lainsäädäntöteknisesti haastava.  Oikeustilan selkeys edellyttää, että laajan lakikokonaisuuden eri osien sovelt</w:t>
      </w:r>
      <w:r w:rsidRPr="006154C2">
        <w:rPr>
          <w:rFonts w:eastAsiaTheme="minorHAnsi" w:cstheme="minorHAnsi"/>
          <w:sz w:val="22"/>
          <w:szCs w:val="22"/>
          <w:lang w:eastAsia="en-US"/>
        </w:rPr>
        <w:t>a</w:t>
      </w:r>
      <w:r w:rsidRPr="006154C2">
        <w:rPr>
          <w:rFonts w:eastAsiaTheme="minorHAnsi" w:cstheme="minorHAnsi"/>
          <w:sz w:val="22"/>
          <w:szCs w:val="22"/>
          <w:lang w:eastAsia="en-US"/>
        </w:rPr>
        <w:t>misalat, jotka eivät ole keskenään yhteneviä, ovat selkeästi määritettyjä. Vastaavasti lakik</w:t>
      </w:r>
      <w:r w:rsidRPr="006154C2">
        <w:rPr>
          <w:rFonts w:eastAsiaTheme="minorHAnsi" w:cstheme="minorHAnsi"/>
          <w:sz w:val="22"/>
          <w:szCs w:val="22"/>
          <w:lang w:eastAsia="en-US"/>
        </w:rPr>
        <w:t>o</w:t>
      </w:r>
      <w:r w:rsidRPr="006154C2">
        <w:rPr>
          <w:rFonts w:eastAsiaTheme="minorHAnsi" w:cstheme="minorHAnsi"/>
          <w:sz w:val="22"/>
          <w:szCs w:val="22"/>
          <w:lang w:eastAsia="en-US"/>
        </w:rPr>
        <w:t>konaisuuteen liittyvien lukuisten käsitteiden täsmälliseen määrittelyyn on syytä lainvalmist</w:t>
      </w:r>
      <w:r w:rsidRPr="006154C2">
        <w:rPr>
          <w:rFonts w:eastAsiaTheme="minorHAnsi" w:cstheme="minorHAnsi"/>
          <w:sz w:val="22"/>
          <w:szCs w:val="22"/>
          <w:lang w:eastAsia="en-US"/>
        </w:rPr>
        <w:t>e</w:t>
      </w:r>
      <w:r w:rsidRPr="006154C2">
        <w:rPr>
          <w:rFonts w:eastAsiaTheme="minorHAnsi" w:cstheme="minorHAnsi"/>
          <w:sz w:val="22"/>
          <w:szCs w:val="22"/>
          <w:lang w:eastAsia="en-US"/>
        </w:rPr>
        <w:t>luvaiheessa kiinnittää huomiota.</w:t>
      </w:r>
    </w:p>
    <w:p w14:paraId="684C6573" w14:textId="77777777" w:rsidR="00C22ECD" w:rsidRDefault="00C22ECD" w:rsidP="00C22ECD">
      <w:pPr>
        <w:pStyle w:val="Varsinainenteksti"/>
        <w:ind w:left="1310"/>
      </w:pPr>
    </w:p>
    <w:p w14:paraId="55DCDFA4" w14:textId="77777777" w:rsidR="00C22ECD" w:rsidRDefault="00C22ECD" w:rsidP="00C22ECD">
      <w:pPr>
        <w:pStyle w:val="Varsinainenteksti"/>
        <w:ind w:left="1310"/>
      </w:pPr>
      <w:r>
        <w:t>Koska lainsäädäntöhanke on erittäin laaja, tarkastusviraston mielestä eri osa-alueiden kesk</w:t>
      </w:r>
      <w:r>
        <w:t>i</w:t>
      </w:r>
      <w:r>
        <w:t>näisten vaikutussuhteiden ja -mekanismien tunnistamiseen ja analysointiin on syytä panostaa. Erityisesti mahdollisten negatiivisten vaikutusten ja riskien tunnistaminen eri skenaarioita vasten tarkastellen on tässä vaiheessa ensiarvoisen tärkeää, jotta epätoivottuja vaikutuksia voidaan torjua mahdollisimman hyvin. Vaikka lakimuutosten yksityiskohtaiset perustelut ovat monin osin huolellisesti ja asiantuntevasti tehtyjä, niin vaikutusarvioinnin osalta teksti sisältää epätarkkuuksia ja arvailua. Taustaoletuksia, kuten esimerkiksi yritysten käyttäytymistä ko</w:t>
      </w:r>
      <w:r>
        <w:t>s</w:t>
      </w:r>
      <w:r>
        <w:t>kevia oletuksia, ei ole kirjoitettu auki eikä niiden pitävyyttä ole arvioitu. Erityisesti yritysva</w:t>
      </w:r>
      <w:r>
        <w:t>i</w:t>
      </w:r>
      <w:r>
        <w:t>kutuksia koskeva osuus on epäselvästi kirjoitettu. Eri näkökulmista tehdyistä vaikutusarv</w:t>
      </w:r>
      <w:r>
        <w:t>i</w:t>
      </w:r>
      <w:r>
        <w:t xml:space="preserve">oinneista ei ole muodostettu kokoavaa yhteenvetoa. </w:t>
      </w:r>
    </w:p>
    <w:p w14:paraId="157C81E1" w14:textId="77777777" w:rsidR="00C22ECD" w:rsidRDefault="00C22ECD" w:rsidP="00C22ECD">
      <w:pPr>
        <w:pStyle w:val="Varsinainenteksti"/>
        <w:ind w:left="1310"/>
      </w:pPr>
    </w:p>
    <w:p w14:paraId="648F4C68" w14:textId="77777777" w:rsidR="00C22ECD" w:rsidRDefault="00C22ECD" w:rsidP="00C22ECD">
      <w:pPr>
        <w:pStyle w:val="Varsinainenteksti"/>
        <w:ind w:left="1310"/>
      </w:pPr>
      <w:r>
        <w:t>Vaikutusten arvioinnit pohjautuvat pitkälti konsulttiselvityksiin, jotka liikenne- ja viestint</w:t>
      </w:r>
      <w:r>
        <w:t>ä</w:t>
      </w:r>
      <w:r>
        <w:t xml:space="preserve">ministeriö on teettänyt NAG Partners Oy:llä (VALOR Oy). Ensimmäinen selvitys valmistui 30.11.2012, toinen 4.1.2013 ja viimeisin 6.2.2013. Nämä selvitykset olivat selkeitä raportteja, mutta toisistaan irrallisia. Myöskään konsulttiselvityksistä ei käy ilmi, miten taustaoletuksia oli käsitelty ja miten eri skenaarioita oli tarkasteltu. </w:t>
      </w:r>
    </w:p>
    <w:p w14:paraId="68733068" w14:textId="77777777" w:rsidR="00C22ECD" w:rsidRDefault="00C22ECD" w:rsidP="00C22ECD">
      <w:pPr>
        <w:pStyle w:val="Varsinainenteksti"/>
        <w:ind w:left="1310"/>
      </w:pPr>
    </w:p>
    <w:p w14:paraId="261504F0" w14:textId="77777777" w:rsidR="00C22ECD" w:rsidRDefault="00C22ECD" w:rsidP="00C22ECD">
      <w:pPr>
        <w:pStyle w:val="Varsinainenteksti"/>
        <w:ind w:left="1310"/>
      </w:pPr>
      <w:r>
        <w:t>Vaikutusarvioinnissa olisi voitu hyödyntää kokemuksia kansainvälisestä kehityksestä, jos kansainvälisen kehityksen kohdalla olisi analysoitu eri maiden lainsäädännön vaikutuksia ni</w:t>
      </w:r>
      <w:r>
        <w:t>i</w:t>
      </w:r>
      <w:r>
        <w:t>den viestintämarkkinoihin. Nyt kansainvälisen kehityksen kohdalla esitys on painottunut l</w:t>
      </w:r>
      <w:r>
        <w:t>ä</w:t>
      </w:r>
      <w:r>
        <w:t xml:space="preserve">hinnä eri maiden lainsäädännön nykytilan kuvailemiseen. </w:t>
      </w:r>
    </w:p>
    <w:p w14:paraId="0F6B2808" w14:textId="77777777" w:rsidR="00C22ECD" w:rsidRDefault="00C22ECD" w:rsidP="00C22ECD">
      <w:pPr>
        <w:pStyle w:val="Varsinainenteksti"/>
        <w:ind w:left="1310"/>
      </w:pPr>
    </w:p>
    <w:p w14:paraId="05A8AF96" w14:textId="625D3DB8" w:rsidR="00A65563" w:rsidRPr="00D872CA" w:rsidRDefault="00A65563" w:rsidP="00D872CA">
      <w:pPr>
        <w:pStyle w:val="Varsinainenteksti"/>
        <w:ind w:left="1310"/>
      </w:pPr>
      <w:r w:rsidRPr="00D872CA">
        <w:t>Valtiontalouden tarkastusvirasto on useissa tuloksellisuustarkastuksissa ja viimeksi finanss</w:t>
      </w:r>
      <w:r w:rsidRPr="00D872CA">
        <w:t>i</w:t>
      </w:r>
      <w:r w:rsidR="00D872CA" w:rsidRPr="00D872CA">
        <w:t>politiikan tarkastuksen</w:t>
      </w:r>
      <w:r w:rsidRPr="00D872CA">
        <w:t xml:space="preserve"> vaalikauden puoliväliraportissa K 2/2013 vp. kiinnittänyt huomiota tarpeeseen lisätä kilpailua erityisesti palvelusektoreilla ja tietoyhteiskuntaan liittyvissä palv</w:t>
      </w:r>
      <w:r w:rsidRPr="00D872CA">
        <w:t>e</w:t>
      </w:r>
      <w:r w:rsidRPr="00D872CA">
        <w:t>luissa. Lain vaikutusarvioinneissa olisikin tarkemmin tarkasteltava kilpailuvaikutuksia. Kod</w:t>
      </w:r>
      <w:r w:rsidRPr="00D872CA">
        <w:t>i</w:t>
      </w:r>
      <w:r w:rsidRPr="00D872CA">
        <w:t>fikaation ohella tietoyhteiskuntakaaren tarkoituksena tulisi olla lisätä kilpailua ja varmistaa sen toimivuus Suomen usein pienillä markkinoilla.</w:t>
      </w:r>
    </w:p>
    <w:p w14:paraId="4AE21A93" w14:textId="77777777" w:rsidR="00A65563" w:rsidRDefault="00A65563" w:rsidP="00C22ECD">
      <w:pPr>
        <w:pStyle w:val="Varsinainenteksti"/>
        <w:ind w:left="1310"/>
      </w:pPr>
    </w:p>
    <w:p w14:paraId="264E89C0" w14:textId="77777777" w:rsidR="00D872CA" w:rsidRDefault="00D872CA" w:rsidP="00C22ECD">
      <w:pPr>
        <w:pStyle w:val="Varsinainenteksti"/>
        <w:ind w:left="1310"/>
      </w:pPr>
    </w:p>
    <w:p w14:paraId="2D9ACE45" w14:textId="77777777" w:rsidR="00C22ECD" w:rsidRDefault="00C22ECD" w:rsidP="00C22ECD">
      <w:pPr>
        <w:pStyle w:val="Varsinainenteksti"/>
        <w:ind w:left="1310"/>
      </w:pPr>
      <w:r>
        <w:t>Valtiontalouden tarkastusvirasto puuttuu myös lain nimeä koskevaan esitykseen. Tietoyhtei</w:t>
      </w:r>
      <w:r>
        <w:t>s</w:t>
      </w:r>
      <w:r>
        <w:t>kunta on monitulkintainen käsite, jonka täsmällinen määrittely puuttuu. Esitetty lakiehdotus kattaa lähinnä sähköiseen viestintään liittyvän lainsäädännön, mutta sen ulkopuolelle jää l</w:t>
      </w:r>
      <w:r>
        <w:t>u</w:t>
      </w:r>
      <w:r>
        <w:t xml:space="preserve">kuisia muita tietoyhteiskunnan käsitteeseen lukeutuvia säädöksiä, kuten </w:t>
      </w:r>
    </w:p>
    <w:p w14:paraId="26E7E69D" w14:textId="77777777" w:rsidR="00C22ECD" w:rsidRDefault="00C22ECD" w:rsidP="00C22ECD">
      <w:pPr>
        <w:pStyle w:val="Luettelokappale"/>
        <w:numPr>
          <w:ilvl w:val="0"/>
          <w:numId w:val="1"/>
        </w:numPr>
        <w:jc w:val="both"/>
      </w:pPr>
      <w:r>
        <w:lastRenderedPageBreak/>
        <w:t>Laki sähköisestä asioinnista viranomaistoiminnassa (13/2003),</w:t>
      </w:r>
    </w:p>
    <w:p w14:paraId="2986DBB2" w14:textId="77777777" w:rsidR="00C22ECD" w:rsidRDefault="00C22ECD" w:rsidP="00C22ECD">
      <w:pPr>
        <w:pStyle w:val="Luettelokappale"/>
        <w:numPr>
          <w:ilvl w:val="0"/>
          <w:numId w:val="1"/>
        </w:numPr>
        <w:jc w:val="both"/>
      </w:pPr>
      <w:r>
        <w:t>Henkilötietolaki (523/1999)</w:t>
      </w:r>
    </w:p>
    <w:p w14:paraId="35A6FA28" w14:textId="77777777" w:rsidR="00C22ECD" w:rsidRDefault="00C22ECD" w:rsidP="00C22ECD">
      <w:pPr>
        <w:pStyle w:val="Luettelokappale"/>
        <w:numPr>
          <w:ilvl w:val="0"/>
          <w:numId w:val="1"/>
        </w:numPr>
        <w:jc w:val="both"/>
      </w:pPr>
      <w:r>
        <w:t>Laki sananvapauden käyttämisestä joukkoviestinnässä (460/2003)</w:t>
      </w:r>
    </w:p>
    <w:p w14:paraId="61D796BD" w14:textId="77777777" w:rsidR="00C22ECD" w:rsidRDefault="00C22ECD" w:rsidP="00C22ECD">
      <w:pPr>
        <w:pStyle w:val="Luettelokappale"/>
        <w:numPr>
          <w:ilvl w:val="0"/>
          <w:numId w:val="1"/>
        </w:numPr>
        <w:jc w:val="both"/>
      </w:pPr>
      <w:r>
        <w:t>L</w:t>
      </w:r>
      <w:r w:rsidRPr="00802E6D">
        <w:t>aki väestötietojärjestelmästä ja Väestörekisterikeskuksen varmennepalveluista</w:t>
      </w:r>
      <w:r>
        <w:t xml:space="preserve"> (661/2009),</w:t>
      </w:r>
    </w:p>
    <w:p w14:paraId="26BEB212" w14:textId="77777777" w:rsidR="00C22ECD" w:rsidRDefault="00C22ECD" w:rsidP="00C22ECD">
      <w:pPr>
        <w:pStyle w:val="Luettelokappale"/>
        <w:numPr>
          <w:ilvl w:val="0"/>
          <w:numId w:val="1"/>
        </w:numPr>
        <w:jc w:val="both"/>
      </w:pPr>
      <w:r>
        <w:t>Laki sähköisestä lääkemääräyksestä (61/2007) tai</w:t>
      </w:r>
    </w:p>
    <w:p w14:paraId="7CC2151B" w14:textId="77777777" w:rsidR="00C22ECD" w:rsidRDefault="00C22ECD" w:rsidP="00C22ECD">
      <w:pPr>
        <w:pStyle w:val="Luettelokappale"/>
        <w:numPr>
          <w:ilvl w:val="0"/>
          <w:numId w:val="1"/>
        </w:numPr>
        <w:jc w:val="both"/>
      </w:pPr>
      <w:r>
        <w:t>L</w:t>
      </w:r>
      <w:r w:rsidRPr="00802E6D">
        <w:t>aki sosiaali- ja terveydenhuollon asiakastietojen sähköisestä käsittelystä</w:t>
      </w:r>
      <w:r>
        <w:t xml:space="preserve"> (159/2007). </w:t>
      </w:r>
    </w:p>
    <w:p w14:paraId="3CB0B255" w14:textId="77777777" w:rsidR="00C22ECD" w:rsidRDefault="00C22ECD" w:rsidP="00C22ECD">
      <w:pPr>
        <w:jc w:val="both"/>
      </w:pPr>
    </w:p>
    <w:p w14:paraId="682DB5A7" w14:textId="45629A1D" w:rsidR="00C22ECD" w:rsidRDefault="00C22ECD" w:rsidP="00C22ECD">
      <w:pPr>
        <w:pStyle w:val="Varsinainenteksti"/>
        <w:ind w:left="1310"/>
      </w:pPr>
      <w:r>
        <w:t>Nämä lait ovat keskeisiä tietoyhteiskunnan näkökulmasta tarkasteltuina. Olisikin syytä ta</w:t>
      </w:r>
      <w:r>
        <w:t>r</w:t>
      </w:r>
      <w:r>
        <w:t>kemmin perustella, miksi ja miten tietoyhteiskuntakaari – kokonaisuuteen nyt sisällytetyt lait on valittu ja toisaalta miksi muut tietoyhteiskunnan käsitteeseen keskeisesti liittyvät lait on r</w:t>
      </w:r>
      <w:r>
        <w:t>a</w:t>
      </w:r>
      <w:r>
        <w:t>jattu tämän kokonaisuuden ulkopuolelle. Tällä määrittelyllä on merkitystä sille, miten tätä asiakokonaisuutta on tulevaisuudessa tarkoitus säädellä.</w:t>
      </w:r>
    </w:p>
    <w:p w14:paraId="72BF2678" w14:textId="77777777" w:rsidR="00C22ECD" w:rsidRDefault="00C22ECD" w:rsidP="00C22ECD">
      <w:pPr>
        <w:pStyle w:val="Varsinainenteksti"/>
        <w:ind w:left="1310"/>
      </w:pPr>
    </w:p>
    <w:p w14:paraId="346E330E" w14:textId="0ED6F97C" w:rsidR="00C22ECD" w:rsidRDefault="00C22ECD" w:rsidP="00C22ECD">
      <w:pPr>
        <w:pStyle w:val="Varsinainenteksti"/>
        <w:ind w:left="1310"/>
      </w:pPr>
      <w:r>
        <w:t>Laki vahvasta sähköisestä tunnistamisesta ja sähköisistä allekirjoituksista (617/2009) on raja</w:t>
      </w:r>
      <w:r>
        <w:t>t</w:t>
      </w:r>
      <w:r>
        <w:t xml:space="preserve">tu tietoisesti tässä vaiheessa tietoyhteiskuntakaaresta, mutta esityksestä ei käy ilmi, onko se ajateltu myöhemmin sisällytettäväksi tällä hetkellä tietoyhteiskuntakaaren nimellä kulkevaan lakiin. </w:t>
      </w:r>
    </w:p>
    <w:p w14:paraId="5A6740F4" w14:textId="77777777" w:rsidR="00A65563" w:rsidRDefault="00A65563" w:rsidP="00C22ECD">
      <w:pPr>
        <w:pStyle w:val="Varsinainenteksti"/>
        <w:ind w:left="1310"/>
      </w:pPr>
    </w:p>
    <w:p w14:paraId="4633A589" w14:textId="53F261D7" w:rsidR="00A65563" w:rsidRPr="00D872CA" w:rsidRDefault="00A65563" w:rsidP="00A65563">
      <w:pPr>
        <w:ind w:left="1310"/>
        <w:jc w:val="both"/>
        <w:rPr>
          <w:rFonts w:eastAsiaTheme="minorHAnsi" w:cstheme="minorHAnsi"/>
          <w:sz w:val="22"/>
          <w:szCs w:val="22"/>
          <w:lang w:eastAsia="en-US"/>
        </w:rPr>
      </w:pPr>
      <w:r w:rsidRPr="00D872CA">
        <w:rPr>
          <w:rFonts w:eastAsiaTheme="minorHAnsi" w:cstheme="minorHAnsi"/>
          <w:sz w:val="22"/>
          <w:szCs w:val="22"/>
          <w:lang w:eastAsia="en-US"/>
        </w:rPr>
        <w:t>Tarkastusvirasto katsoo, että nykyisessä muodossaan laki on sisällöltään enemmän viestint</w:t>
      </w:r>
      <w:r w:rsidRPr="00D872CA">
        <w:rPr>
          <w:rFonts w:eastAsiaTheme="minorHAnsi" w:cstheme="minorHAnsi"/>
          <w:sz w:val="22"/>
          <w:szCs w:val="22"/>
          <w:lang w:eastAsia="en-US"/>
        </w:rPr>
        <w:t>ä</w:t>
      </w:r>
      <w:r w:rsidRPr="00D872CA">
        <w:rPr>
          <w:rFonts w:eastAsiaTheme="minorHAnsi" w:cstheme="minorHAnsi"/>
          <w:sz w:val="22"/>
          <w:szCs w:val="22"/>
          <w:lang w:eastAsia="en-US"/>
        </w:rPr>
        <w:t>kaari tai verkkoviestintäkaari kuin tietoyhteiskuntakaari. Kodifikaation ja sääntelykokona</w:t>
      </w:r>
      <w:r w:rsidRPr="00D872CA">
        <w:rPr>
          <w:rFonts w:eastAsiaTheme="minorHAnsi" w:cstheme="minorHAnsi"/>
          <w:sz w:val="22"/>
          <w:szCs w:val="22"/>
          <w:lang w:eastAsia="en-US"/>
        </w:rPr>
        <w:t>i</w:t>
      </w:r>
      <w:r w:rsidRPr="00D872CA">
        <w:rPr>
          <w:rFonts w:eastAsiaTheme="minorHAnsi" w:cstheme="minorHAnsi"/>
          <w:sz w:val="22"/>
          <w:szCs w:val="22"/>
          <w:lang w:eastAsia="en-US"/>
        </w:rPr>
        <w:t>suuden selkeyden kannalta olisi tarpeen vielä pohtia, että voitaisiinko esimerkiksi vahvoja sähköisiä allekirjoituksia koskeva yleislaki sisällyttää tähän kokonaisuuteen, samoin mahdo</w:t>
      </w:r>
      <w:r w:rsidRPr="00D872CA">
        <w:rPr>
          <w:rFonts w:eastAsiaTheme="minorHAnsi" w:cstheme="minorHAnsi"/>
          <w:sz w:val="22"/>
          <w:szCs w:val="22"/>
          <w:lang w:eastAsia="en-US"/>
        </w:rPr>
        <w:t>l</w:t>
      </w:r>
      <w:r w:rsidRPr="00D872CA">
        <w:rPr>
          <w:rFonts w:eastAsiaTheme="minorHAnsi" w:cstheme="minorHAnsi"/>
          <w:sz w:val="22"/>
          <w:szCs w:val="22"/>
          <w:lang w:eastAsia="en-US"/>
        </w:rPr>
        <w:t>lisesti sananvapauden käyttämistä joukkoviestinnässä koskeva laki.</w:t>
      </w:r>
    </w:p>
    <w:p w14:paraId="2A33C4ED" w14:textId="77777777" w:rsidR="00C22ECD" w:rsidRDefault="00C22ECD" w:rsidP="00C22ECD">
      <w:pPr>
        <w:pStyle w:val="Varsinainenteksti"/>
        <w:ind w:left="1310"/>
      </w:pPr>
    </w:p>
    <w:p w14:paraId="02A97E5A" w14:textId="77777777" w:rsidR="00C22ECD" w:rsidRDefault="00C22ECD" w:rsidP="00C22ECD">
      <w:pPr>
        <w:jc w:val="both"/>
      </w:pPr>
    </w:p>
    <w:p w14:paraId="3B60E324" w14:textId="77777777" w:rsidR="00C22ECD" w:rsidRPr="00722E4D" w:rsidRDefault="00C22ECD" w:rsidP="00C22ECD">
      <w:pPr>
        <w:ind w:left="1310"/>
        <w:jc w:val="both"/>
        <w:rPr>
          <w:rFonts w:eastAsiaTheme="minorHAnsi" w:cstheme="minorHAnsi"/>
          <w:i/>
          <w:sz w:val="22"/>
          <w:szCs w:val="22"/>
          <w:lang w:eastAsia="en-US"/>
        </w:rPr>
      </w:pPr>
      <w:r w:rsidRPr="00722E4D">
        <w:rPr>
          <w:rFonts w:eastAsiaTheme="minorHAnsi" w:cstheme="minorHAnsi"/>
          <w:i/>
          <w:sz w:val="22"/>
          <w:szCs w:val="22"/>
          <w:lang w:eastAsia="en-US"/>
        </w:rPr>
        <w:t>Yksityiskohtaisia huomioita</w:t>
      </w:r>
    </w:p>
    <w:p w14:paraId="0EF6A883" w14:textId="77777777" w:rsidR="00C22ECD" w:rsidRPr="00722E4D" w:rsidRDefault="00C22ECD" w:rsidP="00C22ECD">
      <w:pPr>
        <w:ind w:left="1310"/>
        <w:jc w:val="both"/>
        <w:rPr>
          <w:rFonts w:eastAsiaTheme="minorHAnsi" w:cstheme="minorHAnsi"/>
          <w:sz w:val="22"/>
          <w:szCs w:val="22"/>
          <w:lang w:eastAsia="en-US"/>
        </w:rPr>
      </w:pPr>
      <w:r w:rsidRPr="00722E4D">
        <w:rPr>
          <w:rFonts w:eastAsiaTheme="minorHAnsi" w:cstheme="minorHAnsi"/>
          <w:sz w:val="22"/>
          <w:szCs w:val="22"/>
          <w:lang w:eastAsia="en-US"/>
        </w:rPr>
        <w:t xml:space="preserve">  </w:t>
      </w:r>
    </w:p>
    <w:p w14:paraId="27AB5832" w14:textId="77777777" w:rsidR="00C22ECD" w:rsidRPr="00722E4D" w:rsidRDefault="00C22ECD" w:rsidP="00C22ECD">
      <w:pPr>
        <w:ind w:left="1310"/>
        <w:jc w:val="both"/>
        <w:rPr>
          <w:rFonts w:eastAsiaTheme="minorHAnsi" w:cstheme="minorHAnsi"/>
          <w:sz w:val="22"/>
          <w:szCs w:val="22"/>
          <w:lang w:eastAsia="en-US"/>
        </w:rPr>
      </w:pPr>
      <w:r w:rsidRPr="00722E4D">
        <w:rPr>
          <w:rFonts w:eastAsiaTheme="minorHAnsi" w:cstheme="minorHAnsi"/>
          <w:sz w:val="22"/>
          <w:szCs w:val="22"/>
          <w:lang w:eastAsia="en-US"/>
        </w:rPr>
        <w:t>Lakiuudistuksen yhteydessä sähköisen viestinnän tietosuojalain yrityssalaisuuden loukka</w:t>
      </w:r>
      <w:r w:rsidRPr="00722E4D">
        <w:rPr>
          <w:rFonts w:eastAsiaTheme="minorHAnsi" w:cstheme="minorHAnsi"/>
          <w:sz w:val="22"/>
          <w:szCs w:val="22"/>
          <w:lang w:eastAsia="en-US"/>
        </w:rPr>
        <w:t>a</w:t>
      </w:r>
      <w:r w:rsidRPr="00722E4D">
        <w:rPr>
          <w:rFonts w:eastAsiaTheme="minorHAnsi" w:cstheme="minorHAnsi"/>
          <w:sz w:val="22"/>
          <w:szCs w:val="22"/>
          <w:lang w:eastAsia="en-US"/>
        </w:rPr>
        <w:t>mista koskeva sääntely (niin sanottu ”lex Nokia”) kumotaan ja jatkossa yrityssalaisuusvuot</w:t>
      </w:r>
      <w:r w:rsidRPr="00722E4D">
        <w:rPr>
          <w:rFonts w:eastAsiaTheme="minorHAnsi" w:cstheme="minorHAnsi"/>
          <w:sz w:val="22"/>
          <w:szCs w:val="22"/>
          <w:lang w:eastAsia="en-US"/>
        </w:rPr>
        <w:t>o</w:t>
      </w:r>
      <w:r w:rsidRPr="00722E4D">
        <w:rPr>
          <w:rFonts w:eastAsiaTheme="minorHAnsi" w:cstheme="minorHAnsi"/>
          <w:sz w:val="22"/>
          <w:szCs w:val="22"/>
          <w:lang w:eastAsia="en-US"/>
        </w:rPr>
        <w:t>jen selvittämisen hoitaisivat poliisit vuonna 2014 voimaantulevan pakkokeinolain nojalla. Tietosuojalain yrityssalaisuuden loukkaamista koskeva sääntely on osoittautunut hallinnoll</w:t>
      </w:r>
      <w:r w:rsidRPr="00722E4D">
        <w:rPr>
          <w:rFonts w:eastAsiaTheme="minorHAnsi" w:cstheme="minorHAnsi"/>
          <w:sz w:val="22"/>
          <w:szCs w:val="22"/>
          <w:lang w:eastAsia="en-US"/>
        </w:rPr>
        <w:t>i</w:t>
      </w:r>
      <w:r w:rsidRPr="00722E4D">
        <w:rPr>
          <w:rFonts w:eastAsiaTheme="minorHAnsi" w:cstheme="minorHAnsi"/>
          <w:sz w:val="22"/>
          <w:szCs w:val="22"/>
          <w:lang w:eastAsia="en-US"/>
        </w:rPr>
        <w:t>sesti raskaaksi eikä säännöksiä käytännössä ole sovellettu. Yrityssalaisuuden loukkaamista koskevan sääntelyn uudistamista voidaan tältä osin pitää perusteltuna.</w:t>
      </w:r>
    </w:p>
    <w:p w14:paraId="73634F40" w14:textId="77777777" w:rsidR="00C22ECD" w:rsidRPr="00722E4D" w:rsidRDefault="00C22ECD" w:rsidP="00C22ECD">
      <w:pPr>
        <w:ind w:left="1310"/>
        <w:jc w:val="both"/>
        <w:rPr>
          <w:rFonts w:eastAsiaTheme="minorHAnsi" w:cstheme="minorHAnsi"/>
          <w:sz w:val="22"/>
          <w:szCs w:val="22"/>
          <w:lang w:eastAsia="en-US"/>
        </w:rPr>
      </w:pPr>
    </w:p>
    <w:p w14:paraId="43E44954" w14:textId="77777777" w:rsidR="00C22ECD" w:rsidRPr="00722E4D" w:rsidRDefault="00C22ECD" w:rsidP="00C22ECD">
      <w:pPr>
        <w:ind w:left="1310"/>
        <w:jc w:val="both"/>
        <w:rPr>
          <w:rFonts w:eastAsiaTheme="minorHAnsi" w:cstheme="minorHAnsi"/>
          <w:sz w:val="22"/>
          <w:szCs w:val="22"/>
          <w:lang w:eastAsia="en-US"/>
        </w:rPr>
      </w:pPr>
      <w:r w:rsidRPr="00722E4D">
        <w:rPr>
          <w:rFonts w:eastAsiaTheme="minorHAnsi" w:cstheme="minorHAnsi"/>
          <w:sz w:val="22"/>
          <w:szCs w:val="22"/>
          <w:lang w:eastAsia="en-US"/>
        </w:rPr>
        <w:t>Lakiehdotuksen [V osan] 107 §:n 1 momenttiin on sisällytetty yleisiä kuluttajasopimuksiin liittyviä määräyksiä ja selventäviä toteamuksia. Momentissa muun ohella todetaan, että t</w:t>
      </w:r>
      <w:r w:rsidRPr="00722E4D">
        <w:rPr>
          <w:rFonts w:eastAsiaTheme="minorHAnsi" w:cstheme="minorHAnsi"/>
          <w:sz w:val="22"/>
          <w:szCs w:val="22"/>
          <w:lang w:eastAsia="en-US"/>
        </w:rPr>
        <w:t>e</w:t>
      </w:r>
      <w:r w:rsidRPr="00722E4D">
        <w:rPr>
          <w:rFonts w:eastAsiaTheme="minorHAnsi" w:cstheme="minorHAnsi"/>
          <w:sz w:val="22"/>
          <w:szCs w:val="22"/>
          <w:lang w:eastAsia="en-US"/>
        </w:rPr>
        <w:t>leyrityksen on kuluttajan kanssa tekemissään viestintäpalvelusopimuksissa käytettävä vaki</w:t>
      </w:r>
      <w:r w:rsidRPr="00722E4D">
        <w:rPr>
          <w:rFonts w:eastAsiaTheme="minorHAnsi" w:cstheme="minorHAnsi"/>
          <w:sz w:val="22"/>
          <w:szCs w:val="22"/>
          <w:lang w:eastAsia="en-US"/>
        </w:rPr>
        <w:t>o</w:t>
      </w:r>
      <w:r w:rsidRPr="00722E4D">
        <w:rPr>
          <w:rFonts w:eastAsiaTheme="minorHAnsi" w:cstheme="minorHAnsi"/>
          <w:sz w:val="22"/>
          <w:szCs w:val="22"/>
          <w:lang w:eastAsia="en-US"/>
        </w:rPr>
        <w:t>sopimusehtoja, joiden tulee sisällöltään olla kohtuullisia. Ehdot tulee säännöksen mukaan la</w:t>
      </w:r>
      <w:r w:rsidRPr="00722E4D">
        <w:rPr>
          <w:rFonts w:eastAsiaTheme="minorHAnsi" w:cstheme="minorHAnsi"/>
          <w:sz w:val="22"/>
          <w:szCs w:val="22"/>
          <w:lang w:eastAsia="en-US"/>
        </w:rPr>
        <w:t>a</w:t>
      </w:r>
      <w:r w:rsidRPr="00722E4D">
        <w:rPr>
          <w:rFonts w:eastAsiaTheme="minorHAnsi" w:cstheme="minorHAnsi"/>
          <w:sz w:val="22"/>
          <w:szCs w:val="22"/>
          <w:lang w:eastAsia="en-US"/>
        </w:rPr>
        <w:t xml:space="preserve">tia selkeällä ja ymmärrettävällä kielellä.  </w:t>
      </w:r>
    </w:p>
    <w:p w14:paraId="27DDF7C1" w14:textId="77777777" w:rsidR="00C22ECD" w:rsidRPr="00722E4D" w:rsidRDefault="00C22ECD" w:rsidP="00C22ECD">
      <w:pPr>
        <w:ind w:left="1310"/>
        <w:jc w:val="both"/>
        <w:rPr>
          <w:rFonts w:eastAsiaTheme="minorHAnsi" w:cstheme="minorHAnsi"/>
          <w:sz w:val="22"/>
          <w:szCs w:val="22"/>
          <w:lang w:eastAsia="en-US"/>
        </w:rPr>
      </w:pPr>
      <w:r w:rsidRPr="00722E4D">
        <w:rPr>
          <w:rFonts w:eastAsiaTheme="minorHAnsi" w:cstheme="minorHAnsi"/>
          <w:sz w:val="22"/>
          <w:szCs w:val="22"/>
          <w:lang w:eastAsia="en-US"/>
        </w:rPr>
        <w:t xml:space="preserve"> </w:t>
      </w:r>
    </w:p>
    <w:p w14:paraId="09767198" w14:textId="77777777" w:rsidR="00C22ECD" w:rsidRPr="00722E4D" w:rsidRDefault="00C22ECD" w:rsidP="00C22ECD">
      <w:pPr>
        <w:ind w:left="1310"/>
        <w:jc w:val="both"/>
        <w:rPr>
          <w:rFonts w:eastAsiaTheme="minorHAnsi" w:cstheme="minorHAnsi"/>
          <w:sz w:val="22"/>
          <w:szCs w:val="22"/>
          <w:lang w:eastAsia="en-US"/>
        </w:rPr>
      </w:pPr>
      <w:r w:rsidRPr="00722E4D">
        <w:rPr>
          <w:rFonts w:eastAsiaTheme="minorHAnsi" w:cstheme="minorHAnsi"/>
          <w:sz w:val="22"/>
          <w:szCs w:val="22"/>
          <w:lang w:eastAsia="en-US"/>
        </w:rPr>
        <w:t>Säännöksen mainintaa siitä, että ehdot tulee laatia selkeällä ja ymmärrettävällä kielellä, ei li</w:t>
      </w:r>
      <w:r w:rsidRPr="00722E4D">
        <w:rPr>
          <w:rFonts w:eastAsiaTheme="minorHAnsi" w:cstheme="minorHAnsi"/>
          <w:sz w:val="22"/>
          <w:szCs w:val="22"/>
          <w:lang w:eastAsia="en-US"/>
        </w:rPr>
        <w:t>e</w:t>
      </w:r>
      <w:r w:rsidRPr="00722E4D">
        <w:rPr>
          <w:rFonts w:eastAsiaTheme="minorHAnsi" w:cstheme="minorHAnsi"/>
          <w:sz w:val="22"/>
          <w:szCs w:val="22"/>
          <w:lang w:eastAsia="en-US"/>
        </w:rPr>
        <w:t>ne välttämätöntä sisällyttää lakitekstiin. On selvää, että sopimusehdot on pyrittävä laatimaan selkeiksi. Lain esitöihin olisi ehkä tarkoituksenmukaista lisätä maininta siitä, mitä kohtuuden käsitteellä tarkoitetaan (esimerkiksi viittaus kuluttajasuojalain 4 luvun 1 §:n sovittelusäännö</w:t>
      </w:r>
      <w:r w:rsidRPr="00722E4D">
        <w:rPr>
          <w:rFonts w:eastAsiaTheme="minorHAnsi" w:cstheme="minorHAnsi"/>
          <w:sz w:val="22"/>
          <w:szCs w:val="22"/>
          <w:lang w:eastAsia="en-US"/>
        </w:rPr>
        <w:t>k</w:t>
      </w:r>
      <w:r w:rsidRPr="00722E4D">
        <w:rPr>
          <w:rFonts w:eastAsiaTheme="minorHAnsi" w:cstheme="minorHAnsi"/>
          <w:sz w:val="22"/>
          <w:szCs w:val="22"/>
          <w:lang w:eastAsia="en-US"/>
        </w:rPr>
        <w:t>seen). Lisäksi lain esitöihin voisi lisätä maininnan vakiosopimuksiin liittyvistä keskeisistä s</w:t>
      </w:r>
      <w:r w:rsidRPr="00722E4D">
        <w:rPr>
          <w:rFonts w:eastAsiaTheme="minorHAnsi" w:cstheme="minorHAnsi"/>
          <w:sz w:val="22"/>
          <w:szCs w:val="22"/>
          <w:lang w:eastAsia="en-US"/>
        </w:rPr>
        <w:t>o</w:t>
      </w:r>
      <w:r w:rsidRPr="00722E4D">
        <w:rPr>
          <w:rFonts w:eastAsiaTheme="minorHAnsi" w:cstheme="minorHAnsi"/>
          <w:sz w:val="22"/>
          <w:szCs w:val="22"/>
          <w:lang w:eastAsia="en-US"/>
        </w:rPr>
        <w:t xml:space="preserve">pimusoikeudellisista opeista. Lain esitöissä voitaisiin esimerkiksi viitata epäselvyyssääntöön ja oppiin yllättävistä ja ankarista ehdoista sekä näiden oppien soveltumiseen säännöksessä tarkoitettuun tilanteeseen. </w:t>
      </w:r>
    </w:p>
    <w:p w14:paraId="1FF09CD4" w14:textId="77777777" w:rsidR="00C22ECD" w:rsidRPr="00722E4D" w:rsidRDefault="00C22ECD" w:rsidP="00C22ECD">
      <w:pPr>
        <w:ind w:left="1310"/>
        <w:jc w:val="both"/>
        <w:rPr>
          <w:rFonts w:eastAsiaTheme="minorHAnsi" w:cstheme="minorHAnsi"/>
          <w:sz w:val="22"/>
          <w:szCs w:val="22"/>
          <w:lang w:eastAsia="en-US"/>
        </w:rPr>
      </w:pPr>
    </w:p>
    <w:p w14:paraId="6CBD24DD" w14:textId="77777777" w:rsidR="00C22ECD" w:rsidRPr="00722E4D" w:rsidRDefault="00C22ECD" w:rsidP="00C22ECD">
      <w:pPr>
        <w:ind w:left="1310"/>
        <w:jc w:val="both"/>
        <w:rPr>
          <w:rFonts w:eastAsiaTheme="minorHAnsi" w:cstheme="minorHAnsi"/>
          <w:sz w:val="22"/>
          <w:szCs w:val="22"/>
          <w:lang w:eastAsia="en-US"/>
        </w:rPr>
      </w:pPr>
      <w:r w:rsidRPr="00722E4D">
        <w:rPr>
          <w:rFonts w:eastAsiaTheme="minorHAnsi" w:cstheme="minorHAnsi"/>
          <w:sz w:val="22"/>
          <w:szCs w:val="22"/>
          <w:lang w:eastAsia="en-US"/>
        </w:rPr>
        <w:t>Lakiehdotuksen 107 §:n 2 momentissa todetaan, että teleyrityksen on julkaistava käyttämänsä vakiosopimusehdot ja hinnastot sekä viestintäpalveluja koskevat hinnastot siten, että ne ovat helposti saatavilla ilman korvausta.  Säännökseen tulisi lisätä maininta siitä, että vakiosop</w:t>
      </w:r>
      <w:r w:rsidRPr="00722E4D">
        <w:rPr>
          <w:rFonts w:eastAsiaTheme="minorHAnsi" w:cstheme="minorHAnsi"/>
          <w:sz w:val="22"/>
          <w:szCs w:val="22"/>
          <w:lang w:eastAsia="en-US"/>
        </w:rPr>
        <w:t>i</w:t>
      </w:r>
      <w:r w:rsidRPr="00722E4D">
        <w:rPr>
          <w:rFonts w:eastAsiaTheme="minorHAnsi" w:cstheme="minorHAnsi"/>
          <w:sz w:val="22"/>
          <w:szCs w:val="22"/>
          <w:lang w:eastAsia="en-US"/>
        </w:rPr>
        <w:t xml:space="preserve">musehtojen ja hinnastojen on oltava kuluttajan saatavavilla </w:t>
      </w:r>
      <w:r w:rsidRPr="00722E4D">
        <w:rPr>
          <w:rFonts w:eastAsiaTheme="minorHAnsi" w:cstheme="minorHAnsi"/>
          <w:i/>
          <w:sz w:val="22"/>
          <w:szCs w:val="22"/>
          <w:lang w:eastAsia="en-US"/>
        </w:rPr>
        <w:t>sopimusta tehtäessä</w:t>
      </w:r>
      <w:r w:rsidRPr="00722E4D">
        <w:rPr>
          <w:rFonts w:eastAsiaTheme="minorHAnsi" w:cstheme="minorHAnsi"/>
          <w:sz w:val="22"/>
          <w:szCs w:val="22"/>
          <w:lang w:eastAsia="en-US"/>
        </w:rPr>
        <w:t>.  Kuluttaj</w:t>
      </w:r>
      <w:r w:rsidRPr="00722E4D">
        <w:rPr>
          <w:rFonts w:eastAsiaTheme="minorHAnsi" w:cstheme="minorHAnsi"/>
          <w:sz w:val="22"/>
          <w:szCs w:val="22"/>
          <w:lang w:eastAsia="en-US"/>
        </w:rPr>
        <w:t>a</w:t>
      </w:r>
      <w:r w:rsidRPr="00722E4D">
        <w:rPr>
          <w:rFonts w:eastAsiaTheme="minorHAnsi" w:cstheme="minorHAnsi"/>
          <w:sz w:val="22"/>
          <w:szCs w:val="22"/>
          <w:lang w:eastAsia="en-US"/>
        </w:rPr>
        <w:t xml:space="preserve">sopimustilanteessa on tarkoituksenmukaista lähteä siitä, että vakiosopimusehtojen on oltava, jotta ne tulisivat osaksi sopimusta, kuluttajan saatavilla sopimusta tehtäessä. Lain esitöihin voisi myös sisällyttää maininnan siitä, vakiosopimusehtoihin vetoavan elinkeinonharjoittajan olisi pystyttävä tarvittaessa näyttämään toteen vakioehtojen sitovuus.  </w:t>
      </w:r>
    </w:p>
    <w:p w14:paraId="2F3C26CD" w14:textId="77777777" w:rsidR="00C22ECD" w:rsidRPr="00722E4D" w:rsidRDefault="00C22ECD" w:rsidP="00C22ECD">
      <w:pPr>
        <w:ind w:left="1310"/>
        <w:jc w:val="both"/>
        <w:rPr>
          <w:rFonts w:eastAsiaTheme="minorHAnsi" w:cstheme="minorHAnsi"/>
          <w:sz w:val="22"/>
          <w:szCs w:val="22"/>
          <w:lang w:eastAsia="en-US"/>
        </w:rPr>
      </w:pPr>
    </w:p>
    <w:p w14:paraId="31A94B55" w14:textId="77777777" w:rsidR="00C22ECD" w:rsidRPr="00722E4D" w:rsidRDefault="00C22ECD" w:rsidP="00C22ECD">
      <w:pPr>
        <w:ind w:left="1310"/>
        <w:jc w:val="both"/>
        <w:rPr>
          <w:rFonts w:eastAsiaTheme="minorHAnsi" w:cstheme="minorHAnsi"/>
          <w:sz w:val="22"/>
          <w:szCs w:val="22"/>
          <w:lang w:eastAsia="en-US"/>
        </w:rPr>
      </w:pPr>
      <w:r w:rsidRPr="00722E4D">
        <w:rPr>
          <w:rFonts w:eastAsiaTheme="minorHAnsi" w:cstheme="minorHAnsi"/>
          <w:sz w:val="22"/>
          <w:szCs w:val="22"/>
          <w:lang w:eastAsia="en-US"/>
        </w:rPr>
        <w:t>Lakiehdotuksen [V osan] 128 §:n 1 momentin mukaan kuluttajalla, jolla on oikeus pidättyä maksusta taikka saada hinnan palautusta, vahingonkorvausta tai muu rahasuoritus palvelu</w:t>
      </w:r>
      <w:r w:rsidRPr="00722E4D">
        <w:rPr>
          <w:rFonts w:eastAsiaTheme="minorHAnsi" w:cstheme="minorHAnsi"/>
          <w:sz w:val="22"/>
          <w:szCs w:val="22"/>
          <w:lang w:eastAsia="en-US"/>
        </w:rPr>
        <w:t>n</w:t>
      </w:r>
      <w:r w:rsidRPr="00722E4D">
        <w:rPr>
          <w:rFonts w:eastAsiaTheme="minorHAnsi" w:cstheme="minorHAnsi"/>
          <w:sz w:val="22"/>
          <w:szCs w:val="22"/>
          <w:lang w:eastAsia="en-US"/>
        </w:rPr>
        <w:t>tarjoajalta tai myyjältä tämän sopimusrikkomuksen johdosta, on oikeus esittää vastaava va</w:t>
      </w:r>
      <w:r w:rsidRPr="00722E4D">
        <w:rPr>
          <w:rFonts w:eastAsiaTheme="minorHAnsi" w:cstheme="minorHAnsi"/>
          <w:sz w:val="22"/>
          <w:szCs w:val="22"/>
          <w:lang w:eastAsia="en-US"/>
        </w:rPr>
        <w:t>a</w:t>
      </w:r>
      <w:r w:rsidRPr="00722E4D">
        <w:rPr>
          <w:rFonts w:eastAsiaTheme="minorHAnsi" w:cstheme="minorHAnsi"/>
          <w:sz w:val="22"/>
          <w:szCs w:val="22"/>
          <w:lang w:eastAsia="en-US"/>
        </w:rPr>
        <w:t xml:space="preserve">timus myös sille teleyritykselle, joka on laskuttanut hyödykkeen. </w:t>
      </w:r>
    </w:p>
    <w:p w14:paraId="46BBD2F2" w14:textId="77777777" w:rsidR="00C22ECD" w:rsidRPr="00722E4D" w:rsidRDefault="00C22ECD" w:rsidP="00C22ECD">
      <w:pPr>
        <w:ind w:left="1310"/>
        <w:jc w:val="both"/>
        <w:rPr>
          <w:rFonts w:eastAsiaTheme="minorHAnsi" w:cstheme="minorHAnsi"/>
          <w:sz w:val="22"/>
          <w:szCs w:val="22"/>
          <w:lang w:eastAsia="en-US"/>
        </w:rPr>
      </w:pPr>
    </w:p>
    <w:p w14:paraId="2E986A4D" w14:textId="77777777" w:rsidR="00C22ECD" w:rsidRPr="00722E4D" w:rsidRDefault="00C22ECD" w:rsidP="00C22ECD">
      <w:pPr>
        <w:ind w:left="1310"/>
        <w:jc w:val="both"/>
        <w:rPr>
          <w:rFonts w:eastAsiaTheme="minorHAnsi" w:cstheme="minorHAnsi"/>
          <w:sz w:val="22"/>
          <w:szCs w:val="22"/>
          <w:lang w:eastAsia="en-US"/>
        </w:rPr>
      </w:pPr>
      <w:r w:rsidRPr="00722E4D">
        <w:rPr>
          <w:rFonts w:eastAsiaTheme="minorHAnsi" w:cstheme="minorHAnsi"/>
          <w:sz w:val="22"/>
          <w:szCs w:val="22"/>
          <w:lang w:eastAsia="en-US"/>
        </w:rPr>
        <w:t>Lakiehdotuksen esitöiden mukaan teleyrityksellä, palveluntarjoajalla ja myyjällä olisi kulutt</w:t>
      </w:r>
      <w:r w:rsidRPr="00722E4D">
        <w:rPr>
          <w:rFonts w:eastAsiaTheme="minorHAnsi" w:cstheme="minorHAnsi"/>
          <w:sz w:val="22"/>
          <w:szCs w:val="22"/>
          <w:lang w:eastAsia="en-US"/>
        </w:rPr>
        <w:t>a</w:t>
      </w:r>
      <w:r w:rsidRPr="00722E4D">
        <w:rPr>
          <w:rFonts w:eastAsiaTheme="minorHAnsi" w:cstheme="minorHAnsi"/>
          <w:sz w:val="22"/>
          <w:szCs w:val="22"/>
          <w:lang w:eastAsia="en-US"/>
        </w:rPr>
        <w:t>jasuojalain 7 luvun 39 §:n tarkoitettuun luotonantajan ja myyjän tai palveluksen suorittajan yhteisvastuuseen rinnastuva vastuu. Lain esitöiden mukaan tilanteessa, jossa tavaroita, tuo</w:t>
      </w:r>
      <w:r w:rsidRPr="00722E4D">
        <w:rPr>
          <w:rFonts w:eastAsiaTheme="minorHAnsi" w:cstheme="minorHAnsi"/>
          <w:sz w:val="22"/>
          <w:szCs w:val="22"/>
          <w:lang w:eastAsia="en-US"/>
        </w:rPr>
        <w:t>t</w:t>
      </w:r>
      <w:r w:rsidRPr="00722E4D">
        <w:rPr>
          <w:rFonts w:eastAsiaTheme="minorHAnsi" w:cstheme="minorHAnsi"/>
          <w:sz w:val="22"/>
          <w:szCs w:val="22"/>
          <w:lang w:eastAsia="en-US"/>
        </w:rPr>
        <w:t>teita tai palveluita ostetaan matkapuhelimella ja maksaminen tapahtuu jälkikäteen puhelinla</w:t>
      </w:r>
      <w:r w:rsidRPr="00722E4D">
        <w:rPr>
          <w:rFonts w:eastAsiaTheme="minorHAnsi" w:cstheme="minorHAnsi"/>
          <w:sz w:val="22"/>
          <w:szCs w:val="22"/>
          <w:lang w:eastAsia="en-US"/>
        </w:rPr>
        <w:t>s</w:t>
      </w:r>
      <w:r w:rsidRPr="00722E4D">
        <w:rPr>
          <w:rFonts w:eastAsiaTheme="minorHAnsi" w:cstheme="minorHAnsi"/>
          <w:sz w:val="22"/>
          <w:szCs w:val="22"/>
          <w:lang w:eastAsia="en-US"/>
        </w:rPr>
        <w:t xml:space="preserve">kulla, kyse on luotolla maksamisesta ja luottokorttisääntelyyn rinnasteisesta tilanteesta.      </w:t>
      </w:r>
    </w:p>
    <w:p w14:paraId="2832E464" w14:textId="77777777" w:rsidR="00C22ECD" w:rsidRPr="00722E4D" w:rsidRDefault="00C22ECD" w:rsidP="00C22ECD">
      <w:pPr>
        <w:jc w:val="both"/>
        <w:rPr>
          <w:rFonts w:eastAsiaTheme="minorHAnsi" w:cstheme="minorHAnsi"/>
          <w:sz w:val="22"/>
          <w:szCs w:val="22"/>
          <w:lang w:eastAsia="en-US"/>
        </w:rPr>
      </w:pPr>
      <w:r w:rsidRPr="00722E4D">
        <w:rPr>
          <w:rFonts w:eastAsiaTheme="minorHAnsi" w:cstheme="minorHAnsi"/>
          <w:sz w:val="22"/>
          <w:szCs w:val="22"/>
          <w:lang w:eastAsia="en-US"/>
        </w:rPr>
        <w:t xml:space="preserve"> </w:t>
      </w:r>
    </w:p>
    <w:p w14:paraId="437090B1" w14:textId="77777777" w:rsidR="00C22ECD" w:rsidRPr="00722E4D" w:rsidRDefault="00C22ECD" w:rsidP="00C22ECD">
      <w:pPr>
        <w:ind w:left="1310"/>
        <w:jc w:val="both"/>
        <w:rPr>
          <w:rFonts w:eastAsiaTheme="minorHAnsi" w:cstheme="minorHAnsi"/>
          <w:sz w:val="22"/>
          <w:szCs w:val="22"/>
          <w:lang w:eastAsia="en-US"/>
        </w:rPr>
      </w:pPr>
      <w:r w:rsidRPr="00722E4D">
        <w:rPr>
          <w:rFonts w:eastAsiaTheme="minorHAnsi" w:cstheme="minorHAnsi"/>
          <w:sz w:val="22"/>
          <w:szCs w:val="22"/>
          <w:lang w:eastAsia="en-US"/>
        </w:rPr>
        <w:t>Ehdotettu säännös on omiaan lisäämään teleyhtiöiden hallinnollista taakkaa – etenkin sähkö</w:t>
      </w:r>
      <w:r w:rsidRPr="00722E4D">
        <w:rPr>
          <w:rFonts w:eastAsiaTheme="minorHAnsi" w:cstheme="minorHAnsi"/>
          <w:sz w:val="22"/>
          <w:szCs w:val="22"/>
          <w:lang w:eastAsia="en-US"/>
        </w:rPr>
        <w:t>i</w:t>
      </w:r>
      <w:r w:rsidRPr="00722E4D">
        <w:rPr>
          <w:rFonts w:eastAsiaTheme="minorHAnsi" w:cstheme="minorHAnsi"/>
          <w:sz w:val="22"/>
          <w:szCs w:val="22"/>
          <w:lang w:eastAsia="en-US"/>
        </w:rPr>
        <w:t>sen kaupankäynnin volyymeiden kasvaessa tulevaisuudessa – mikä voi osaltaan heijastua t</w:t>
      </w:r>
      <w:r w:rsidRPr="00722E4D">
        <w:rPr>
          <w:rFonts w:eastAsiaTheme="minorHAnsi" w:cstheme="minorHAnsi"/>
          <w:sz w:val="22"/>
          <w:szCs w:val="22"/>
          <w:lang w:eastAsia="en-US"/>
        </w:rPr>
        <w:t>e</w:t>
      </w:r>
      <w:r w:rsidRPr="00722E4D">
        <w:rPr>
          <w:rFonts w:eastAsiaTheme="minorHAnsi" w:cstheme="minorHAnsi"/>
          <w:sz w:val="22"/>
          <w:szCs w:val="22"/>
          <w:lang w:eastAsia="en-US"/>
        </w:rPr>
        <w:t>lepalveluiden hinnoitteluun.  Ei ole myöskään selvää, voidaanko teleyhtiö – kuten lain es</w:t>
      </w:r>
      <w:r w:rsidRPr="00722E4D">
        <w:rPr>
          <w:rFonts w:eastAsiaTheme="minorHAnsi" w:cstheme="minorHAnsi"/>
          <w:sz w:val="22"/>
          <w:szCs w:val="22"/>
          <w:lang w:eastAsia="en-US"/>
        </w:rPr>
        <w:t>i</w:t>
      </w:r>
      <w:r w:rsidRPr="00722E4D">
        <w:rPr>
          <w:rFonts w:eastAsiaTheme="minorHAnsi" w:cstheme="minorHAnsi"/>
          <w:sz w:val="22"/>
          <w:szCs w:val="22"/>
          <w:lang w:eastAsia="en-US"/>
        </w:rPr>
        <w:t>töissä varsin suoraviivaisesti todetaan – luontevasti rinnastaa kuluttajasuojalain 7 luvussa ta</w:t>
      </w:r>
      <w:r w:rsidRPr="00722E4D">
        <w:rPr>
          <w:rFonts w:eastAsiaTheme="minorHAnsi" w:cstheme="minorHAnsi"/>
          <w:sz w:val="22"/>
          <w:szCs w:val="22"/>
          <w:lang w:eastAsia="en-US"/>
        </w:rPr>
        <w:t>r</w:t>
      </w:r>
      <w:r w:rsidRPr="00722E4D">
        <w:rPr>
          <w:rFonts w:eastAsiaTheme="minorHAnsi" w:cstheme="minorHAnsi"/>
          <w:sz w:val="22"/>
          <w:szCs w:val="22"/>
          <w:lang w:eastAsia="en-US"/>
        </w:rPr>
        <w:t>koitettuun kuluttajaluotonantajaan. Olisikin mahdollista kysyä, voitaisiinko 128 §:n 1 m</w:t>
      </w:r>
      <w:r w:rsidRPr="00722E4D">
        <w:rPr>
          <w:rFonts w:eastAsiaTheme="minorHAnsi" w:cstheme="minorHAnsi"/>
          <w:sz w:val="22"/>
          <w:szCs w:val="22"/>
          <w:lang w:eastAsia="en-US"/>
        </w:rPr>
        <w:t>o</w:t>
      </w:r>
      <w:r w:rsidRPr="00722E4D">
        <w:rPr>
          <w:rFonts w:eastAsiaTheme="minorHAnsi" w:cstheme="minorHAnsi"/>
          <w:sz w:val="22"/>
          <w:szCs w:val="22"/>
          <w:lang w:eastAsia="en-US"/>
        </w:rPr>
        <w:t>mentissa omaksua tietynasteiseen vastuun porrastamiseen perustuva sääntelymalli, jossa huomioitaisiin sekä kuluttajien että teleyhtiöiden intressit. Säännöksessä voitaisiin esimerki</w:t>
      </w:r>
      <w:r w:rsidRPr="00722E4D">
        <w:rPr>
          <w:rFonts w:eastAsiaTheme="minorHAnsi" w:cstheme="minorHAnsi"/>
          <w:sz w:val="22"/>
          <w:szCs w:val="22"/>
          <w:lang w:eastAsia="en-US"/>
        </w:rPr>
        <w:t>k</w:t>
      </w:r>
      <w:r w:rsidRPr="00722E4D">
        <w:rPr>
          <w:rFonts w:eastAsiaTheme="minorHAnsi" w:cstheme="minorHAnsi"/>
          <w:sz w:val="22"/>
          <w:szCs w:val="22"/>
          <w:lang w:eastAsia="en-US"/>
        </w:rPr>
        <w:t xml:space="preserve">si lähteä siitä, että kuluttajan tulisi ensin kääntyä palveluntarjoajan tai myyjän puoleen. Jos molempia osapuolia tyydyttävään lopputulokseen ei päästä, olisi kuluttajalla oikeus kääntyä teleyhtiön puoleen. </w:t>
      </w:r>
    </w:p>
    <w:p w14:paraId="506BB143" w14:textId="77777777" w:rsidR="00C22ECD" w:rsidRDefault="00C22ECD" w:rsidP="00C22ECD">
      <w:pPr>
        <w:pStyle w:val="Varsinainenteksti"/>
        <w:ind w:left="0"/>
        <w:rPr>
          <w:color w:val="FF0000"/>
        </w:rPr>
      </w:pPr>
    </w:p>
    <w:p w14:paraId="4E7C44CF" w14:textId="77777777" w:rsidR="00C22ECD" w:rsidRPr="00722E4D" w:rsidRDefault="00C22ECD" w:rsidP="00C22ECD">
      <w:pPr>
        <w:pStyle w:val="Varsinainenteksti"/>
        <w:ind w:left="1310"/>
      </w:pPr>
      <w:r w:rsidRPr="00722E4D">
        <w:t xml:space="preserve">Luonnoksessa on joissakin kohdissa mainittu Yleisradio Oy:n poikkeavasta kohtelusta muihin alan toimijoihin verrattuna. Esimerkiksi ehdotetun 21 § 2 momentin mukaan Yleisradio Oy saisi harjoittaa julkisen palvelun digitaalista televisio- ja radiotoimintaa ilman toimilupaa. Laajasta säädösmuutosluonnoksesta ei kaikista Yleisradio Oy:n toimintaakaan sivuavista kohdista käy selkeästi esiin, miltä osin ehdotettujen säädösten on tarkoitus koskea myös Yleisradio Oy:tä, sen mahdollisia muita kuin ns. julkisen palvelun tehtäviä vai myös julkisen palvelun tehtäviä eikä mahdollisia poikkeamisperusteita. </w:t>
      </w:r>
    </w:p>
    <w:p w14:paraId="1068A181" w14:textId="77777777" w:rsidR="00C22ECD" w:rsidRPr="00722E4D" w:rsidRDefault="00C22ECD" w:rsidP="00C22ECD">
      <w:pPr>
        <w:pStyle w:val="Varsinainenteksti"/>
        <w:ind w:left="1310"/>
      </w:pPr>
    </w:p>
    <w:p w14:paraId="19087F59" w14:textId="77777777" w:rsidR="00C22ECD" w:rsidRPr="00722E4D" w:rsidRDefault="00C22ECD" w:rsidP="00C22ECD">
      <w:pPr>
        <w:pStyle w:val="Varsinainenteksti"/>
        <w:ind w:left="1310"/>
      </w:pPr>
      <w:r w:rsidRPr="00722E4D">
        <w:t>Rajanveto Yleisradio Oy:n ns. julkisen palvelun tehtävien, sen mahdollisten muiden tehtävien ja muiden ohjelmistoluvan saaneiden ns. yleisen edun televisiotoiminnan välillä ei näyttäydy luonnoksessa eikä muissa voimassa olevissa säädöksissä ja niiden perusteluissa selkeänä. Esimerkiksi yleisradiolain 1380/1993 viimeisintä muutosta koskevassa hallituksen esityksessä (HE 29/2012 vp) on sivuilla 4-5 kuvattu julkisen palvelun tehtäviä samankaltaisesti kuin nyt käsillä olevassa säädösesityksessä on kuvattu ohjelmistotoimiluvan myöntämisehtoja yleisen edun televisiotoimintaan (sivuilla 96-98, 25 §). Em. hallituksen esityksessä on sanottu, että nykyisen kaltaista julkisen palvelun määritelmää säädettäessä vuonna 1993 todettiin, että ju</w:t>
      </w:r>
      <w:r w:rsidRPr="00722E4D">
        <w:t>l</w:t>
      </w:r>
      <w:r w:rsidRPr="00722E4D">
        <w:t xml:space="preserve">kiselle palvelulle ei ole annettavissa täysin kattavaa ja yksiselitteistä määritelmää (HE </w:t>
      </w:r>
      <w:r w:rsidRPr="00722E4D">
        <w:lastRenderedPageBreak/>
        <w:t>124/1993 vp), koska palvelun määritelmä ja sisältö ovat riippuvaisia muun ohella yhteisku</w:t>
      </w:r>
      <w:r w:rsidRPr="00722E4D">
        <w:t>n</w:t>
      </w:r>
      <w:r w:rsidRPr="00722E4D">
        <w:t>takehityksestä. Tämän vuoksi julkinen palvelu määritellään esimerkinomaisena luettelona tehtäviä, joiden katsotaan olevan keskeisiä julkisen palvelun yleisradiotoiminnassa.</w:t>
      </w:r>
    </w:p>
    <w:p w14:paraId="760A369F" w14:textId="77777777" w:rsidR="00C22ECD" w:rsidRPr="00722E4D" w:rsidRDefault="00C22ECD" w:rsidP="00C22ECD">
      <w:pPr>
        <w:pStyle w:val="Varsinainenteksti"/>
        <w:ind w:left="1310"/>
      </w:pPr>
    </w:p>
    <w:p w14:paraId="00DE61EF" w14:textId="77777777" w:rsidR="00C22ECD" w:rsidRPr="00722E4D" w:rsidRDefault="00C22ECD" w:rsidP="00C22ECD">
      <w:pPr>
        <w:pStyle w:val="Varsinainenteksti"/>
        <w:ind w:left="1310"/>
      </w:pPr>
      <w:r w:rsidRPr="00722E4D">
        <w:t>Edellä esitetyn perusteella olisi johdonmukaista tarkastella luonnostekstissä selkeämmin myös Yleisradio Oy:n osuutta ja roolia sähköisen viestinnän yhtenä osana. Tarkastusvirasto uudistaa tässä yhteydessä aiemmin 12.4.2012 Eduskunnan liikenne- ja viestintävaliokunnalle Yleisradio Oy:tä koskevassa lakimuutoskuulemisessa esittämänsä. Siinä tarkastusvirasto pitää valtion taloudenhoidon kannalta poikkeuksellisena lakimuutoksen kohtaa, jossa Yleisradio Oy:n tulevien vuosien valtion talousarviorahoitus sidotaan matemaattisilla kertoimilla määri</w:t>
      </w:r>
      <w:r w:rsidRPr="00722E4D">
        <w:t>t</w:t>
      </w:r>
      <w:r w:rsidRPr="00722E4D">
        <w:t>telemättömäksi ajaksi yleisen kustannus- ja ansiotason muutoksiin. Tätä on perusteltu asiaan liittyvissä lakiesityksissä riittämättömästi (HE 29/2012 vp). Tarkastusvirasto ei pidä tätä jä</w:t>
      </w:r>
      <w:r w:rsidRPr="00722E4D">
        <w:t>r</w:t>
      </w:r>
      <w:r w:rsidRPr="00722E4D">
        <w:t>jestelyä onnistuneena syistä, jotka liittyvät 1) valtion tärkeimpien toimintojen tasapuoliseen kohteluun ja 2) valtion taloudenhoidon yhteen tavoitteeseen pitää veronmaksajille koituva r</w:t>
      </w:r>
      <w:r w:rsidRPr="00722E4D">
        <w:t>a</w:t>
      </w:r>
      <w:r w:rsidRPr="00722E4D">
        <w:t>situs pitkällä tähtäimellä mahdollisimman hallittavana. Tarkastusviraston mielestä asiaa p</w:t>
      </w:r>
      <w:r w:rsidRPr="00722E4D">
        <w:t>a</w:t>
      </w:r>
      <w:r w:rsidRPr="00722E4D">
        <w:t>rantaisi säädöksissä lausuttu määrävuosittain, enintään muutaman vuoden välein tehtävä Yleisradio Oy:n julkisen palvelun kustannusvastaavuuden, sen kehittämistarpeiden sekä Yleisradio Oy:n toiminnan ja talouden arviointi.</w:t>
      </w:r>
    </w:p>
    <w:p w14:paraId="6E5FBE27" w14:textId="77777777" w:rsidR="00C22ECD" w:rsidRPr="00722E4D" w:rsidRDefault="00C22ECD" w:rsidP="00C22ECD">
      <w:pPr>
        <w:pStyle w:val="Varsinainenteksti"/>
        <w:ind w:left="1310"/>
      </w:pPr>
    </w:p>
    <w:p w14:paraId="6A0EBE13" w14:textId="77777777" w:rsidR="00C22ECD" w:rsidRDefault="00C22ECD" w:rsidP="00C22ECD">
      <w:pPr>
        <w:pStyle w:val="Varsinainenteksti"/>
      </w:pPr>
    </w:p>
    <w:p w14:paraId="529ED776" w14:textId="77777777" w:rsidR="00C22ECD" w:rsidRDefault="00C22ECD" w:rsidP="00C22ECD">
      <w:pPr>
        <w:pStyle w:val="Varsinainenteksti"/>
      </w:pPr>
    </w:p>
    <w:p w14:paraId="32BCADAC" w14:textId="77777777" w:rsidR="00C22ECD" w:rsidRDefault="00C22ECD" w:rsidP="00C22ECD">
      <w:pPr>
        <w:pStyle w:val="Varsinainenteksti"/>
        <w:ind w:left="1310"/>
      </w:pPr>
    </w:p>
    <w:p w14:paraId="0B5F773B" w14:textId="77777777" w:rsidR="00C22ECD" w:rsidRDefault="00C22ECD" w:rsidP="00C22ECD">
      <w:pPr>
        <w:pStyle w:val="Varsinainenteksti"/>
        <w:ind w:left="1310"/>
      </w:pPr>
      <w:r>
        <w:t xml:space="preserve">Pääjohtaja </w:t>
      </w:r>
      <w:r>
        <w:tab/>
      </w:r>
      <w:r>
        <w:tab/>
      </w:r>
      <w:r>
        <w:tab/>
        <w:t>Tuomas Pöysti</w:t>
      </w:r>
    </w:p>
    <w:p w14:paraId="686DBA71" w14:textId="77777777" w:rsidR="00C22ECD" w:rsidRDefault="00C22ECD" w:rsidP="00C22ECD">
      <w:pPr>
        <w:pStyle w:val="Varsinainenteksti"/>
        <w:ind w:left="1310"/>
      </w:pPr>
    </w:p>
    <w:p w14:paraId="5496811A" w14:textId="77777777" w:rsidR="00C22ECD" w:rsidRDefault="00C22ECD" w:rsidP="00C22ECD">
      <w:pPr>
        <w:pStyle w:val="Varsinainenteksti"/>
        <w:ind w:left="1310"/>
      </w:pPr>
    </w:p>
    <w:p w14:paraId="2CE3AC8C" w14:textId="77777777" w:rsidR="00C22ECD" w:rsidRDefault="00C22ECD" w:rsidP="00C22ECD">
      <w:pPr>
        <w:pStyle w:val="Varsinainenteksti"/>
        <w:ind w:left="1310"/>
      </w:pPr>
    </w:p>
    <w:p w14:paraId="355F3221" w14:textId="77777777" w:rsidR="00C22ECD" w:rsidRDefault="00C22ECD" w:rsidP="00C22ECD">
      <w:pPr>
        <w:pStyle w:val="Varsinainenteksti"/>
        <w:ind w:left="1310"/>
      </w:pPr>
    </w:p>
    <w:p w14:paraId="2012E977" w14:textId="77777777" w:rsidR="00C22ECD" w:rsidRPr="00722E4D" w:rsidRDefault="00C22ECD" w:rsidP="00C22ECD">
      <w:pPr>
        <w:pStyle w:val="Varsinainenteksti"/>
        <w:ind w:left="1310"/>
      </w:pPr>
      <w:r>
        <w:t xml:space="preserve">Johtava tuloksellisuustarkastaja </w:t>
      </w:r>
      <w:r>
        <w:tab/>
        <w:t>Pirkko Lahdelma</w:t>
      </w:r>
    </w:p>
    <w:p w14:paraId="46942BC5" w14:textId="0A601310" w:rsidR="00E75415" w:rsidRDefault="00E75415" w:rsidP="00006D18">
      <w:pPr>
        <w:pStyle w:val="Varsinainenteksti"/>
      </w:pPr>
    </w:p>
    <w:p w14:paraId="3D6007C6" w14:textId="77777777" w:rsidR="00A0588D" w:rsidRDefault="00A0588D" w:rsidP="00006D18">
      <w:pPr>
        <w:pStyle w:val="Varsinainenteksti"/>
      </w:pPr>
    </w:p>
    <w:sectPr w:rsidR="00A0588D">
      <w:headerReference w:type="even" r:id="rId16"/>
      <w:headerReference w:type="default" r:id="rId17"/>
      <w:footerReference w:type="even" r:id="rId18"/>
      <w:footerReference w:type="default" r:id="rId19"/>
      <w:headerReference w:type="first" r:id="rId20"/>
      <w:footerReference w:type="first" r:id="rId21"/>
      <w:pgSz w:w="11906" w:h="16838" w:code="9"/>
      <w:pgMar w:top="561" w:right="1151" w:bottom="2160" w:left="1151" w:header="561"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99354" w14:textId="77777777" w:rsidR="000A6C77" w:rsidRDefault="000A6C77">
      <w:r>
        <w:separator/>
      </w:r>
    </w:p>
  </w:endnote>
  <w:endnote w:type="continuationSeparator" w:id="0">
    <w:p w14:paraId="0BD624E3" w14:textId="77777777" w:rsidR="000A6C77" w:rsidRDefault="000A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B9062" w14:textId="77777777" w:rsidR="00C82E1D" w:rsidRDefault="00C82E1D">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DE9A3" w14:textId="77777777" w:rsidR="00E75415" w:rsidRPr="00E75415" w:rsidRDefault="00E75415" w:rsidP="00E75415">
    <w:pPr>
      <w:pStyle w:val="Alatunniste"/>
      <w:jc w:val="center"/>
      <w:rPr>
        <w:rFonts w:ascii="Palatino Linotype" w:hAnsi="Palatino Linotype"/>
        <w:sz w:val="15"/>
      </w:rPr>
    </w:pPr>
    <w:r w:rsidRPr="00E75415">
      <w:rPr>
        <w:rFonts w:ascii="Palatino Linotype" w:hAnsi="Palatino Linotype"/>
        <w:sz w:val="15"/>
      </w:rPr>
      <w:t>VALTIONTALOUDEN TARKASTUSVIRASTO</w:t>
    </w:r>
  </w:p>
  <w:p w14:paraId="6679006F" w14:textId="77777777" w:rsidR="00E75415" w:rsidRPr="00E75415" w:rsidRDefault="00E75415" w:rsidP="00E75415">
    <w:pPr>
      <w:pStyle w:val="Alatunniste"/>
      <w:jc w:val="center"/>
      <w:rPr>
        <w:rFonts w:ascii="Palatino Linotype" w:hAnsi="Palatino Linotype"/>
        <w:sz w:val="15"/>
      </w:rPr>
    </w:pPr>
  </w:p>
  <w:p w14:paraId="4B128395" w14:textId="77777777" w:rsidR="00E75415" w:rsidRPr="00E75415" w:rsidRDefault="00FF232D" w:rsidP="00E75415">
    <w:pPr>
      <w:pStyle w:val="Alatunniste"/>
      <w:jc w:val="center"/>
      <w:rPr>
        <w:rFonts w:ascii="Palatino Linotype" w:hAnsi="Palatino Linotype"/>
        <w:sz w:val="15"/>
      </w:rPr>
    </w:pPr>
    <w:r>
      <w:rPr>
        <w:rFonts w:ascii="Palatino Linotype" w:hAnsi="Palatino Linotype"/>
        <w:noProof/>
        <w:sz w:val="15"/>
      </w:rPr>
      <w:drawing>
        <wp:inline distT="0" distB="0" distL="0" distR="0" wp14:anchorId="50F63AD1" wp14:editId="113B4A0E">
          <wp:extent cx="38735" cy="78105"/>
          <wp:effectExtent l="0" t="0" r="0" b="0"/>
          <wp:docPr id="2" name="Kuva 2" descr="kol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m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 cy="78105"/>
                  </a:xfrm>
                  <a:prstGeom prst="rect">
                    <a:avLst/>
                  </a:prstGeom>
                  <a:noFill/>
                  <a:ln>
                    <a:noFill/>
                  </a:ln>
                </pic:spPr>
              </pic:pic>
            </a:graphicData>
          </a:graphic>
        </wp:inline>
      </w:drawing>
    </w:r>
    <w:r w:rsidR="00E75415" w:rsidRPr="00E75415">
      <w:rPr>
        <w:rFonts w:ascii="Palatino Linotype" w:hAnsi="Palatino Linotype"/>
        <w:sz w:val="15"/>
      </w:rPr>
      <w:t xml:space="preserve"> Postiosoite: PL 1119, 00101 Helsinki    </w:t>
    </w:r>
    <w:r>
      <w:rPr>
        <w:rFonts w:ascii="Palatino Linotype" w:hAnsi="Palatino Linotype"/>
        <w:noProof/>
        <w:sz w:val="15"/>
      </w:rPr>
      <w:drawing>
        <wp:inline distT="0" distB="0" distL="0" distR="0" wp14:anchorId="2A94C4AB" wp14:editId="284995D6">
          <wp:extent cx="38735" cy="78105"/>
          <wp:effectExtent l="0" t="0" r="0" b="0"/>
          <wp:docPr id="3" name="Kuva 3" descr="kol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m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 cy="78105"/>
                  </a:xfrm>
                  <a:prstGeom prst="rect">
                    <a:avLst/>
                  </a:prstGeom>
                  <a:noFill/>
                  <a:ln>
                    <a:noFill/>
                  </a:ln>
                </pic:spPr>
              </pic:pic>
            </a:graphicData>
          </a:graphic>
        </wp:inline>
      </w:drawing>
    </w:r>
    <w:r w:rsidR="00A0588D">
      <w:rPr>
        <w:rFonts w:ascii="Palatino Linotype" w:hAnsi="Palatino Linotype"/>
        <w:sz w:val="15"/>
      </w:rPr>
      <w:t xml:space="preserve"> Käyntiosoite: Antinkatu 1</w:t>
    </w:r>
    <w:r w:rsidR="00E75415" w:rsidRPr="00E75415">
      <w:rPr>
        <w:rFonts w:ascii="Palatino Linotype" w:hAnsi="Palatino Linotype"/>
        <w:sz w:val="15"/>
      </w:rPr>
      <w:t>, 00100 HELSINKI</w:t>
    </w:r>
  </w:p>
  <w:p w14:paraId="204EBC21" w14:textId="77777777" w:rsidR="004B168C" w:rsidRPr="00E75415" w:rsidRDefault="00FF232D" w:rsidP="00E75415">
    <w:pPr>
      <w:pStyle w:val="Alatunniste"/>
      <w:jc w:val="center"/>
      <w:rPr>
        <w:lang w:val="en-GB"/>
      </w:rPr>
    </w:pPr>
    <w:r>
      <w:rPr>
        <w:rFonts w:ascii="Palatino Linotype" w:hAnsi="Palatino Linotype"/>
        <w:noProof/>
        <w:sz w:val="15"/>
      </w:rPr>
      <w:drawing>
        <wp:inline distT="0" distB="0" distL="0" distR="0" wp14:anchorId="2A05F1AF" wp14:editId="4115903B">
          <wp:extent cx="38735" cy="78105"/>
          <wp:effectExtent l="0" t="0" r="0" b="0"/>
          <wp:docPr id="4" name="Kuva 4" descr="kol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m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 cy="78105"/>
                  </a:xfrm>
                  <a:prstGeom prst="rect">
                    <a:avLst/>
                  </a:prstGeom>
                  <a:noFill/>
                  <a:ln>
                    <a:noFill/>
                  </a:ln>
                </pic:spPr>
              </pic:pic>
            </a:graphicData>
          </a:graphic>
        </wp:inline>
      </w:drawing>
    </w:r>
    <w:r w:rsidR="00E75415">
      <w:rPr>
        <w:rFonts w:ascii="Palatino Linotype" w:hAnsi="Palatino Linotype"/>
        <w:sz w:val="15"/>
        <w:lang w:val="en-GB"/>
      </w:rPr>
      <w:t xml:space="preserve"> </w:t>
    </w:r>
    <w:r w:rsidR="00E75415" w:rsidRPr="008A4AF0">
      <w:rPr>
        <w:rFonts w:ascii="Palatino Linotype" w:hAnsi="Palatino Linotype"/>
        <w:sz w:val="15"/>
        <w:lang w:val="en-GB"/>
      </w:rPr>
      <w:t xml:space="preserve">Puhelin: (09) </w:t>
    </w:r>
    <w:r w:rsidR="00E75415">
      <w:rPr>
        <w:rFonts w:ascii="Palatino Linotype" w:hAnsi="Palatino Linotype"/>
        <w:sz w:val="15"/>
        <w:lang w:val="en-GB"/>
      </w:rPr>
      <w:t xml:space="preserve">4321     </w:t>
    </w:r>
    <w:r>
      <w:rPr>
        <w:rFonts w:ascii="Palatino Linotype" w:hAnsi="Palatino Linotype"/>
        <w:noProof/>
        <w:sz w:val="15"/>
      </w:rPr>
      <w:drawing>
        <wp:inline distT="0" distB="0" distL="0" distR="0" wp14:anchorId="734AF01C" wp14:editId="1CEA69B8">
          <wp:extent cx="38735" cy="78105"/>
          <wp:effectExtent l="0" t="0" r="0" b="0"/>
          <wp:docPr id="5" name="Kuva 5" descr="kol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lm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 cy="78105"/>
                  </a:xfrm>
                  <a:prstGeom prst="rect">
                    <a:avLst/>
                  </a:prstGeom>
                  <a:noFill/>
                  <a:ln>
                    <a:noFill/>
                  </a:ln>
                </pic:spPr>
              </pic:pic>
            </a:graphicData>
          </a:graphic>
        </wp:inline>
      </w:drawing>
    </w:r>
    <w:r w:rsidR="00E75415">
      <w:rPr>
        <w:rFonts w:ascii="Palatino Linotype" w:hAnsi="Palatino Linotype"/>
        <w:sz w:val="15"/>
        <w:lang w:val="en-GB"/>
      </w:rPr>
      <w:t xml:space="preserve"> </w:t>
    </w:r>
    <w:r w:rsidR="00E75415" w:rsidRPr="008A4AF0">
      <w:rPr>
        <w:rFonts w:ascii="Palatino Linotype" w:hAnsi="Palatino Linotype"/>
        <w:sz w:val="15"/>
        <w:lang w:val="en-GB"/>
      </w:rPr>
      <w:t xml:space="preserve">Faksi: (09) </w:t>
    </w:r>
    <w:r w:rsidR="00E75415">
      <w:rPr>
        <w:rFonts w:ascii="Palatino Linotype" w:hAnsi="Palatino Linotype"/>
        <w:sz w:val="15"/>
        <w:lang w:val="en-GB"/>
      </w:rPr>
      <w:t>432 5820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B97B7" w14:textId="77777777" w:rsidR="004B168C" w:rsidRPr="00E75415" w:rsidRDefault="008A4AF0">
    <w:pPr>
      <w:pStyle w:val="Alatunniste"/>
      <w:jc w:val="center"/>
      <w:rPr>
        <w:rFonts w:ascii="Palatino Linotype" w:hAnsi="Palatino Linotype"/>
        <w:sz w:val="15"/>
      </w:rPr>
    </w:pPr>
    <w:r w:rsidRPr="00E75415">
      <w:rPr>
        <w:rFonts w:ascii="Palatino Linotype" w:hAnsi="Palatino Linotype"/>
        <w:sz w:val="15"/>
      </w:rPr>
      <w:t>VALTIONTALOUDEN TARKASTUSVIRASTO</w:t>
    </w:r>
  </w:p>
  <w:p w14:paraId="0CD81230" w14:textId="77777777" w:rsidR="004B168C" w:rsidRPr="00E75415" w:rsidRDefault="004B168C">
    <w:pPr>
      <w:pStyle w:val="Alatunniste"/>
      <w:jc w:val="center"/>
      <w:rPr>
        <w:rFonts w:ascii="Palatino Linotype" w:hAnsi="Palatino Linotype"/>
        <w:sz w:val="15"/>
      </w:rPr>
    </w:pPr>
  </w:p>
  <w:p w14:paraId="583E7295" w14:textId="77777777" w:rsidR="004B168C" w:rsidRPr="00E75415" w:rsidRDefault="00FF232D">
    <w:pPr>
      <w:pStyle w:val="Alatunniste"/>
      <w:jc w:val="center"/>
      <w:rPr>
        <w:rFonts w:ascii="Palatino Linotype" w:hAnsi="Palatino Linotype"/>
        <w:sz w:val="15"/>
      </w:rPr>
    </w:pPr>
    <w:r>
      <w:rPr>
        <w:rFonts w:ascii="Palatino Linotype" w:hAnsi="Palatino Linotype"/>
        <w:noProof/>
        <w:sz w:val="15"/>
      </w:rPr>
      <w:drawing>
        <wp:inline distT="0" distB="0" distL="0" distR="0" wp14:anchorId="67E681F2" wp14:editId="11141368">
          <wp:extent cx="38735" cy="78105"/>
          <wp:effectExtent l="0" t="0" r="0" b="0"/>
          <wp:docPr id="6" name="Kuva 6" descr="kol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m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 cy="78105"/>
                  </a:xfrm>
                  <a:prstGeom prst="rect">
                    <a:avLst/>
                  </a:prstGeom>
                  <a:noFill/>
                  <a:ln>
                    <a:noFill/>
                  </a:ln>
                </pic:spPr>
              </pic:pic>
            </a:graphicData>
          </a:graphic>
        </wp:inline>
      </w:drawing>
    </w:r>
    <w:r w:rsidR="00E75415" w:rsidRPr="00E75415">
      <w:rPr>
        <w:rFonts w:ascii="Palatino Linotype" w:hAnsi="Palatino Linotype"/>
        <w:sz w:val="15"/>
      </w:rPr>
      <w:t xml:space="preserve"> </w:t>
    </w:r>
    <w:r w:rsidR="008A4AF0" w:rsidRPr="00E75415">
      <w:rPr>
        <w:rFonts w:ascii="Palatino Linotype" w:hAnsi="Palatino Linotype"/>
        <w:sz w:val="15"/>
      </w:rPr>
      <w:t>Postiosoite: PL 1119, 00101 Helsinki</w:t>
    </w:r>
    <w:r w:rsidR="004B168C" w:rsidRPr="00E75415">
      <w:rPr>
        <w:rFonts w:ascii="Palatino Linotype" w:hAnsi="Palatino Linotype"/>
        <w:sz w:val="15"/>
      </w:rPr>
      <w:t xml:space="preserve">    </w:t>
    </w:r>
    <w:r>
      <w:rPr>
        <w:rFonts w:ascii="Palatino Linotype" w:hAnsi="Palatino Linotype"/>
        <w:noProof/>
        <w:sz w:val="15"/>
      </w:rPr>
      <w:drawing>
        <wp:inline distT="0" distB="0" distL="0" distR="0" wp14:anchorId="4A39453D" wp14:editId="12220171">
          <wp:extent cx="38735" cy="78105"/>
          <wp:effectExtent l="0" t="0" r="0" b="0"/>
          <wp:docPr id="7" name="Kuva 7" descr="kol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lm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 cy="78105"/>
                  </a:xfrm>
                  <a:prstGeom prst="rect">
                    <a:avLst/>
                  </a:prstGeom>
                  <a:noFill/>
                  <a:ln>
                    <a:noFill/>
                  </a:ln>
                </pic:spPr>
              </pic:pic>
            </a:graphicData>
          </a:graphic>
        </wp:inline>
      </w:drawing>
    </w:r>
    <w:r w:rsidR="004B168C" w:rsidRPr="00E75415">
      <w:rPr>
        <w:rFonts w:ascii="Palatino Linotype" w:hAnsi="Palatino Linotype"/>
        <w:sz w:val="15"/>
      </w:rPr>
      <w:t xml:space="preserve"> </w:t>
    </w:r>
    <w:r w:rsidR="008A4AF0" w:rsidRPr="00E75415">
      <w:rPr>
        <w:rFonts w:ascii="Palatino Linotype" w:hAnsi="Palatino Linotype"/>
        <w:sz w:val="15"/>
      </w:rPr>
      <w:t>Käyntiosoite</w:t>
    </w:r>
    <w:r w:rsidR="007A11D5">
      <w:rPr>
        <w:rFonts w:ascii="Palatino Linotype" w:hAnsi="Palatino Linotype"/>
        <w:sz w:val="15"/>
      </w:rPr>
      <w:t>: Antinkatu 1</w:t>
    </w:r>
    <w:r w:rsidR="004B168C" w:rsidRPr="00E75415">
      <w:rPr>
        <w:rFonts w:ascii="Palatino Linotype" w:hAnsi="Palatino Linotype"/>
        <w:sz w:val="15"/>
      </w:rPr>
      <w:t>, 00100 HELSINKI</w:t>
    </w:r>
  </w:p>
  <w:p w14:paraId="6EBEB257" w14:textId="77777777" w:rsidR="004B168C" w:rsidRDefault="00FF232D">
    <w:pPr>
      <w:pStyle w:val="Alatunniste"/>
      <w:jc w:val="center"/>
      <w:rPr>
        <w:lang w:val="en-GB"/>
      </w:rPr>
    </w:pPr>
    <w:r>
      <w:rPr>
        <w:rFonts w:ascii="Palatino Linotype" w:hAnsi="Palatino Linotype"/>
        <w:noProof/>
        <w:sz w:val="15"/>
      </w:rPr>
      <w:drawing>
        <wp:inline distT="0" distB="0" distL="0" distR="0" wp14:anchorId="3D9DFC15" wp14:editId="70DC75A9">
          <wp:extent cx="38735" cy="78105"/>
          <wp:effectExtent l="0" t="0" r="0" b="0"/>
          <wp:docPr id="8" name="Kuva 8" descr="kol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lm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 cy="78105"/>
                  </a:xfrm>
                  <a:prstGeom prst="rect">
                    <a:avLst/>
                  </a:prstGeom>
                  <a:noFill/>
                  <a:ln>
                    <a:noFill/>
                  </a:ln>
                </pic:spPr>
              </pic:pic>
            </a:graphicData>
          </a:graphic>
        </wp:inline>
      </w:drawing>
    </w:r>
    <w:r w:rsidR="004B168C">
      <w:rPr>
        <w:rFonts w:ascii="Palatino Linotype" w:hAnsi="Palatino Linotype"/>
        <w:sz w:val="15"/>
        <w:lang w:val="en-GB"/>
      </w:rPr>
      <w:t xml:space="preserve"> </w:t>
    </w:r>
    <w:r w:rsidR="008A4AF0" w:rsidRPr="008A4AF0">
      <w:rPr>
        <w:rFonts w:ascii="Palatino Linotype" w:hAnsi="Palatino Linotype"/>
        <w:sz w:val="15"/>
        <w:lang w:val="en-GB"/>
      </w:rPr>
      <w:t xml:space="preserve">Puhelin: (09) </w:t>
    </w:r>
    <w:r w:rsidR="004B168C">
      <w:rPr>
        <w:rFonts w:ascii="Palatino Linotype" w:hAnsi="Palatino Linotype"/>
        <w:sz w:val="15"/>
        <w:lang w:val="en-GB"/>
      </w:rPr>
      <w:t xml:space="preserve">4321     </w:t>
    </w:r>
    <w:r>
      <w:rPr>
        <w:rFonts w:ascii="Palatino Linotype" w:hAnsi="Palatino Linotype"/>
        <w:noProof/>
        <w:sz w:val="15"/>
      </w:rPr>
      <w:drawing>
        <wp:inline distT="0" distB="0" distL="0" distR="0" wp14:anchorId="549AD1E6" wp14:editId="527347FC">
          <wp:extent cx="38735" cy="78105"/>
          <wp:effectExtent l="0" t="0" r="0" b="0"/>
          <wp:docPr id="9" name="Kuva 9" descr="kol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lm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 cy="78105"/>
                  </a:xfrm>
                  <a:prstGeom prst="rect">
                    <a:avLst/>
                  </a:prstGeom>
                  <a:noFill/>
                  <a:ln>
                    <a:noFill/>
                  </a:ln>
                </pic:spPr>
              </pic:pic>
            </a:graphicData>
          </a:graphic>
        </wp:inline>
      </w:drawing>
    </w:r>
    <w:r w:rsidR="004B168C">
      <w:rPr>
        <w:rFonts w:ascii="Palatino Linotype" w:hAnsi="Palatino Linotype"/>
        <w:sz w:val="15"/>
        <w:lang w:val="en-GB"/>
      </w:rPr>
      <w:t xml:space="preserve"> </w:t>
    </w:r>
    <w:r w:rsidR="008A4AF0" w:rsidRPr="008A4AF0">
      <w:rPr>
        <w:rFonts w:ascii="Palatino Linotype" w:hAnsi="Palatino Linotype"/>
        <w:sz w:val="15"/>
        <w:lang w:val="en-GB"/>
      </w:rPr>
      <w:t xml:space="preserve">Faksi: (09) </w:t>
    </w:r>
    <w:r w:rsidR="00C82E1D">
      <w:rPr>
        <w:rFonts w:ascii="Palatino Linotype" w:hAnsi="Palatino Linotype"/>
        <w:sz w:val="15"/>
        <w:lang w:val="en-GB"/>
      </w:rPr>
      <w:t>432 5820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99CFA" w14:textId="77777777" w:rsidR="000A6C77" w:rsidRDefault="000A6C77">
      <w:r>
        <w:separator/>
      </w:r>
    </w:p>
  </w:footnote>
  <w:footnote w:type="continuationSeparator" w:id="0">
    <w:p w14:paraId="5AAD8697" w14:textId="77777777" w:rsidR="000A6C77" w:rsidRDefault="000A6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8A4EA" w14:textId="77777777" w:rsidR="00C82E1D" w:rsidRDefault="00C82E1D">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40DE9" w14:textId="77777777" w:rsidR="004B168C" w:rsidRDefault="004B168C" w:rsidP="00006D18">
    <w:pPr>
      <w:pStyle w:val="Yltunniste"/>
      <w:spacing w:after="1440"/>
      <w:jc w:val="right"/>
      <w:rPr>
        <w:sz w:val="22"/>
      </w:rPr>
    </w:pPr>
    <w:r>
      <w:rPr>
        <w:rStyle w:val="Sivunumero"/>
        <w:sz w:val="22"/>
      </w:rPr>
      <w:fldChar w:fldCharType="begin"/>
    </w:r>
    <w:r>
      <w:rPr>
        <w:rStyle w:val="Sivunumero"/>
        <w:sz w:val="22"/>
      </w:rPr>
      <w:instrText xml:space="preserve"> PAGE </w:instrText>
    </w:r>
    <w:r>
      <w:rPr>
        <w:rStyle w:val="Sivunumero"/>
        <w:sz w:val="22"/>
      </w:rPr>
      <w:fldChar w:fldCharType="separate"/>
    </w:r>
    <w:r w:rsidR="00B30C06">
      <w:rPr>
        <w:rStyle w:val="Sivunumero"/>
        <w:noProof/>
        <w:sz w:val="22"/>
      </w:rPr>
      <w:t>4</w:t>
    </w:r>
    <w:r>
      <w:rPr>
        <w:rStyle w:val="Sivunumero"/>
        <w:sz w:val="22"/>
      </w:rPr>
      <w:fldChar w:fldCharType="end"/>
    </w:r>
    <w:r>
      <w:rPr>
        <w:rStyle w:val="Sivunumero"/>
        <w:sz w:val="22"/>
      </w:rPr>
      <w:t xml:space="preserve"> (</w:t>
    </w:r>
    <w:r>
      <w:rPr>
        <w:rStyle w:val="Sivunumero"/>
        <w:sz w:val="22"/>
      </w:rPr>
      <w:fldChar w:fldCharType="begin"/>
    </w:r>
    <w:r>
      <w:rPr>
        <w:rStyle w:val="Sivunumero"/>
        <w:sz w:val="22"/>
      </w:rPr>
      <w:instrText xml:space="preserve"> NUMPAGES </w:instrText>
    </w:r>
    <w:r>
      <w:rPr>
        <w:rStyle w:val="Sivunumero"/>
        <w:sz w:val="22"/>
      </w:rPr>
      <w:fldChar w:fldCharType="separate"/>
    </w:r>
    <w:r w:rsidR="00B30C06">
      <w:rPr>
        <w:rStyle w:val="Sivunumero"/>
        <w:noProof/>
        <w:sz w:val="22"/>
      </w:rPr>
      <w:t>5</w:t>
    </w:r>
    <w:r>
      <w:rPr>
        <w:rStyle w:val="Sivunumero"/>
        <w:sz w:val="22"/>
      </w:rPr>
      <w:fldChar w:fldCharType="end"/>
    </w:r>
    <w:r>
      <w:rPr>
        <w:rStyle w:val="Sivunumero"/>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7C7E" w14:textId="77777777" w:rsidR="006808BD" w:rsidRDefault="006808BD" w:rsidP="006808BD">
    <w:pPr>
      <w:pStyle w:val="Yltunniste"/>
      <w:rPr>
        <w:rStyle w:val="Sivunumero"/>
      </w:rPr>
    </w:pPr>
    <w:r>
      <w:rPr>
        <w:rStyle w:val="Sivunumero"/>
      </w:rPr>
      <w:tab/>
    </w:r>
    <w:r>
      <w:rPr>
        <w:rStyle w:val="Sivunumero"/>
      </w:rPr>
      <w:tab/>
    </w:r>
  </w:p>
  <w:p w14:paraId="74D3DC84" w14:textId="77777777" w:rsidR="006808BD" w:rsidRDefault="006808BD" w:rsidP="006808BD">
    <w:pPr>
      <w:pStyle w:val="Yltunniste"/>
    </w:pPr>
    <w:r>
      <w:rPr>
        <w:rStyle w:val="Sivunumero"/>
      </w:rPr>
      <w:tab/>
    </w:r>
    <w:r>
      <w:rPr>
        <w:rStyle w:val="Sivunumero"/>
      </w:rPr>
      <w:tab/>
    </w:r>
    <w:r w:rsidRPr="00335654">
      <w:rPr>
        <w:rStyle w:val="Sivunumero"/>
      </w:rPr>
      <w:fldChar w:fldCharType="begin"/>
    </w:r>
    <w:r w:rsidRPr="00335654">
      <w:rPr>
        <w:rStyle w:val="Sivunumero"/>
      </w:rPr>
      <w:instrText xml:space="preserve"> PAGE </w:instrText>
    </w:r>
    <w:r w:rsidRPr="00335654">
      <w:rPr>
        <w:rStyle w:val="Sivunumero"/>
      </w:rPr>
      <w:fldChar w:fldCharType="separate"/>
    </w:r>
    <w:r w:rsidR="00B30C06">
      <w:rPr>
        <w:rStyle w:val="Sivunumero"/>
        <w:noProof/>
      </w:rPr>
      <w:t>1</w:t>
    </w:r>
    <w:r w:rsidRPr="00335654">
      <w:rPr>
        <w:rStyle w:val="Sivunumero"/>
      </w:rPr>
      <w:fldChar w:fldCharType="end"/>
    </w:r>
    <w:r w:rsidRPr="00335654">
      <w:rPr>
        <w:rStyle w:val="Sivunumero"/>
      </w:rPr>
      <w:t xml:space="preserve"> (</w:t>
    </w:r>
    <w:r w:rsidRPr="00335654">
      <w:rPr>
        <w:rStyle w:val="Sivunumero"/>
      </w:rPr>
      <w:fldChar w:fldCharType="begin"/>
    </w:r>
    <w:r w:rsidRPr="00335654">
      <w:rPr>
        <w:rStyle w:val="Sivunumero"/>
      </w:rPr>
      <w:instrText xml:space="preserve"> NUMPAGES </w:instrText>
    </w:r>
    <w:r w:rsidRPr="00335654">
      <w:rPr>
        <w:rStyle w:val="Sivunumero"/>
      </w:rPr>
      <w:fldChar w:fldCharType="separate"/>
    </w:r>
    <w:r w:rsidR="00B30C06">
      <w:rPr>
        <w:rStyle w:val="Sivunumero"/>
        <w:noProof/>
      </w:rPr>
      <w:t>1</w:t>
    </w:r>
    <w:r w:rsidRPr="00335654">
      <w:rPr>
        <w:rStyle w:val="Sivunumero"/>
      </w:rPr>
      <w:fldChar w:fldCharType="end"/>
    </w:r>
    <w:r w:rsidRPr="00335654">
      <w:rPr>
        <w:rStyle w:val="Sivunumer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4574A"/>
    <w:multiLevelType w:val="hybridMultilevel"/>
    <w:tmpl w:val="B51EC312"/>
    <w:lvl w:ilvl="0" w:tplc="8DC2B6BA">
      <w:numFmt w:val="bullet"/>
      <w:lvlText w:val="-"/>
      <w:lvlJc w:val="left"/>
      <w:pPr>
        <w:ind w:left="1664" w:hanging="360"/>
      </w:pPr>
      <w:rPr>
        <w:rFonts w:ascii="Times New Roman" w:eastAsiaTheme="minorHAnsi" w:hAnsi="Times New Roman"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10"/>
  <w:autoHyphenation/>
  <w:hyphenationZone w:val="43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18"/>
    <w:rsid w:val="00006D18"/>
    <w:rsid w:val="00084D0F"/>
    <w:rsid w:val="000A6C77"/>
    <w:rsid w:val="001712B0"/>
    <w:rsid w:val="001F2F15"/>
    <w:rsid w:val="002238E3"/>
    <w:rsid w:val="00424066"/>
    <w:rsid w:val="004B168C"/>
    <w:rsid w:val="00574292"/>
    <w:rsid w:val="005C6CBA"/>
    <w:rsid w:val="005F58EC"/>
    <w:rsid w:val="006450E2"/>
    <w:rsid w:val="006808BD"/>
    <w:rsid w:val="0073696A"/>
    <w:rsid w:val="007839B9"/>
    <w:rsid w:val="007A11D5"/>
    <w:rsid w:val="00894656"/>
    <w:rsid w:val="008A4AF0"/>
    <w:rsid w:val="008D04DF"/>
    <w:rsid w:val="00942A53"/>
    <w:rsid w:val="00A0588D"/>
    <w:rsid w:val="00A65563"/>
    <w:rsid w:val="00A66CB6"/>
    <w:rsid w:val="00B30C06"/>
    <w:rsid w:val="00B462AE"/>
    <w:rsid w:val="00C144C4"/>
    <w:rsid w:val="00C22ECD"/>
    <w:rsid w:val="00C82E1D"/>
    <w:rsid w:val="00D872CA"/>
    <w:rsid w:val="00E2141A"/>
    <w:rsid w:val="00E6362D"/>
    <w:rsid w:val="00E75415"/>
    <w:rsid w:val="00F1300B"/>
    <w:rsid w:val="00FB249E"/>
    <w:rsid w:val="00FF2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FB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808BD"/>
  </w:style>
  <w:style w:type="paragraph" w:styleId="Otsikko1">
    <w:name w:val="heading 1"/>
    <w:basedOn w:val="Normaali"/>
    <w:next w:val="Normaali"/>
    <w:qFormat/>
    <w:pPr>
      <w:keepNext/>
      <w:outlineLvl w:val="0"/>
    </w:pPr>
    <w:rPr>
      <w:b/>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tyle>
  <w:style w:type="paragraph" w:styleId="Yltunniste">
    <w:name w:val="header"/>
    <w:basedOn w:val="Normaali"/>
    <w:pPr>
      <w:tabs>
        <w:tab w:val="center" w:pos="4819"/>
        <w:tab w:val="right" w:pos="9638"/>
      </w:tabs>
    </w:pPr>
  </w:style>
  <w:style w:type="paragraph" w:customStyle="1" w:styleId="Varsinainenteksti">
    <w:name w:val="Varsinainen teksti"/>
    <w:basedOn w:val="Normaali"/>
    <w:pPr>
      <w:ind w:left="1944"/>
      <w:jc w:val="both"/>
    </w:pPr>
    <w:rPr>
      <w:sz w:val="22"/>
    </w:rPr>
  </w:style>
  <w:style w:type="paragraph" w:customStyle="1" w:styleId="Tekstiotsikko">
    <w:name w:val="Tekstiotsikko"/>
    <w:basedOn w:val="Varsinainenteksti"/>
    <w:next w:val="Varsinainenteksti"/>
    <w:pPr>
      <w:jc w:val="left"/>
    </w:pPr>
    <w:rPr>
      <w:b/>
    </w:rPr>
  </w:style>
  <w:style w:type="paragraph" w:customStyle="1" w:styleId="Asiakirjanotsikko">
    <w:name w:val="Asiakirjan otsikko"/>
    <w:basedOn w:val="Tekstiotsikko"/>
    <w:next w:val="Varsinainenteksti"/>
    <w:rsid w:val="001F2F15"/>
    <w:pPr>
      <w:ind w:left="0"/>
    </w:pPr>
    <w:rPr>
      <w:rFonts w:ascii="Arial" w:hAnsi="Arial"/>
      <w:caps/>
    </w:rPr>
  </w:style>
  <w:style w:type="paragraph" w:customStyle="1" w:styleId="Asiakirjantiedot">
    <w:name w:val="Asiakirjan tiedot"/>
    <w:basedOn w:val="Varsinainenteksti"/>
    <w:rsid w:val="00C144C4"/>
    <w:pPr>
      <w:ind w:left="0"/>
      <w:jc w:val="left"/>
    </w:pPr>
    <w:rPr>
      <w:rFonts w:ascii="Arial" w:hAnsi="Arial"/>
    </w:rPr>
  </w:style>
  <w:style w:type="paragraph" w:styleId="Alatunniste">
    <w:name w:val="footer"/>
    <w:basedOn w:val="Normaali"/>
    <w:rsid w:val="006808BD"/>
    <w:pPr>
      <w:tabs>
        <w:tab w:val="center" w:pos="4819"/>
        <w:tab w:val="right" w:pos="9638"/>
      </w:tabs>
    </w:pPr>
  </w:style>
  <w:style w:type="character" w:styleId="Sivunumero">
    <w:name w:val="page number"/>
    <w:basedOn w:val="Kappaleenoletusfontti"/>
  </w:style>
  <w:style w:type="paragraph" w:styleId="Seliteteksti">
    <w:name w:val="Balloon Text"/>
    <w:basedOn w:val="Normaali"/>
    <w:link w:val="SelitetekstiChar"/>
    <w:uiPriority w:val="99"/>
    <w:semiHidden/>
    <w:unhideWhenUsed/>
    <w:rsid w:val="005C6CBA"/>
    <w:rPr>
      <w:rFonts w:ascii="Tahoma" w:hAnsi="Tahoma" w:cs="Tahoma"/>
      <w:sz w:val="16"/>
      <w:szCs w:val="16"/>
    </w:rPr>
  </w:style>
  <w:style w:type="character" w:customStyle="1" w:styleId="SelitetekstiChar">
    <w:name w:val="Seliteteksti Char"/>
    <w:basedOn w:val="Kappaleenoletusfontti"/>
    <w:link w:val="Seliteteksti"/>
    <w:uiPriority w:val="99"/>
    <w:semiHidden/>
    <w:rsid w:val="005C6CBA"/>
    <w:rPr>
      <w:rFonts w:ascii="Tahoma" w:hAnsi="Tahoma" w:cs="Tahoma"/>
      <w:sz w:val="16"/>
      <w:szCs w:val="16"/>
    </w:rPr>
  </w:style>
  <w:style w:type="character" w:styleId="Hyperlinkki">
    <w:name w:val="Hyperlink"/>
    <w:uiPriority w:val="99"/>
    <w:unhideWhenUsed/>
    <w:rsid w:val="007839B9"/>
    <w:rPr>
      <w:color w:val="0000FF"/>
      <w:u w:val="single"/>
    </w:rPr>
  </w:style>
  <w:style w:type="paragraph" w:styleId="Luettelokappale">
    <w:name w:val="List Paragraph"/>
    <w:basedOn w:val="Normaali"/>
    <w:uiPriority w:val="34"/>
    <w:qFormat/>
    <w:rsid w:val="007839B9"/>
    <w:pPr>
      <w:ind w:left="720"/>
      <w:contextualSpacing/>
    </w:pPr>
    <w:rPr>
      <w:rFonts w:eastAsiaTheme="minorHAnsi" w:cstheme="minorHAnsi"/>
      <w:sz w:val="22"/>
      <w:szCs w:val="22"/>
      <w:lang w:eastAsia="en-US"/>
    </w:rPr>
  </w:style>
  <w:style w:type="paragraph" w:styleId="Alaviitteenteksti">
    <w:name w:val="footnote text"/>
    <w:basedOn w:val="Normaali"/>
    <w:link w:val="AlaviitteentekstiChar"/>
    <w:uiPriority w:val="99"/>
    <w:semiHidden/>
    <w:unhideWhenUsed/>
    <w:rsid w:val="005F58EC"/>
  </w:style>
  <w:style w:type="character" w:customStyle="1" w:styleId="AlaviitteentekstiChar">
    <w:name w:val="Alaviitteen teksti Char"/>
    <w:basedOn w:val="Kappaleenoletusfontti"/>
    <w:link w:val="Alaviitteenteksti"/>
    <w:uiPriority w:val="99"/>
    <w:semiHidden/>
    <w:rsid w:val="005F58EC"/>
  </w:style>
  <w:style w:type="character" w:styleId="Alaviitteenviite">
    <w:name w:val="footnote reference"/>
    <w:basedOn w:val="Kappaleenoletusfontti"/>
    <w:uiPriority w:val="99"/>
    <w:semiHidden/>
    <w:unhideWhenUsed/>
    <w:rsid w:val="005F5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808BD"/>
  </w:style>
  <w:style w:type="paragraph" w:styleId="Otsikko1">
    <w:name w:val="heading 1"/>
    <w:basedOn w:val="Normaali"/>
    <w:next w:val="Normaali"/>
    <w:qFormat/>
    <w:pPr>
      <w:keepNext/>
      <w:outlineLvl w:val="0"/>
    </w:pPr>
    <w:rPr>
      <w:b/>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tyle>
  <w:style w:type="paragraph" w:styleId="Yltunniste">
    <w:name w:val="header"/>
    <w:basedOn w:val="Normaali"/>
    <w:pPr>
      <w:tabs>
        <w:tab w:val="center" w:pos="4819"/>
        <w:tab w:val="right" w:pos="9638"/>
      </w:tabs>
    </w:pPr>
  </w:style>
  <w:style w:type="paragraph" w:customStyle="1" w:styleId="Varsinainenteksti">
    <w:name w:val="Varsinainen teksti"/>
    <w:basedOn w:val="Normaali"/>
    <w:pPr>
      <w:ind w:left="1944"/>
      <w:jc w:val="both"/>
    </w:pPr>
    <w:rPr>
      <w:sz w:val="22"/>
    </w:rPr>
  </w:style>
  <w:style w:type="paragraph" w:customStyle="1" w:styleId="Tekstiotsikko">
    <w:name w:val="Tekstiotsikko"/>
    <w:basedOn w:val="Varsinainenteksti"/>
    <w:next w:val="Varsinainenteksti"/>
    <w:pPr>
      <w:jc w:val="left"/>
    </w:pPr>
    <w:rPr>
      <w:b/>
    </w:rPr>
  </w:style>
  <w:style w:type="paragraph" w:customStyle="1" w:styleId="Asiakirjanotsikko">
    <w:name w:val="Asiakirjan otsikko"/>
    <w:basedOn w:val="Tekstiotsikko"/>
    <w:next w:val="Varsinainenteksti"/>
    <w:rsid w:val="001F2F15"/>
    <w:pPr>
      <w:ind w:left="0"/>
    </w:pPr>
    <w:rPr>
      <w:rFonts w:ascii="Arial" w:hAnsi="Arial"/>
      <w:caps/>
    </w:rPr>
  </w:style>
  <w:style w:type="paragraph" w:customStyle="1" w:styleId="Asiakirjantiedot">
    <w:name w:val="Asiakirjan tiedot"/>
    <w:basedOn w:val="Varsinainenteksti"/>
    <w:rsid w:val="00C144C4"/>
    <w:pPr>
      <w:ind w:left="0"/>
      <w:jc w:val="left"/>
    </w:pPr>
    <w:rPr>
      <w:rFonts w:ascii="Arial" w:hAnsi="Arial"/>
    </w:rPr>
  </w:style>
  <w:style w:type="paragraph" w:styleId="Alatunniste">
    <w:name w:val="footer"/>
    <w:basedOn w:val="Normaali"/>
    <w:rsid w:val="006808BD"/>
    <w:pPr>
      <w:tabs>
        <w:tab w:val="center" w:pos="4819"/>
        <w:tab w:val="right" w:pos="9638"/>
      </w:tabs>
    </w:pPr>
  </w:style>
  <w:style w:type="character" w:styleId="Sivunumero">
    <w:name w:val="page number"/>
    <w:basedOn w:val="Kappaleenoletusfontti"/>
  </w:style>
  <w:style w:type="paragraph" w:styleId="Seliteteksti">
    <w:name w:val="Balloon Text"/>
    <w:basedOn w:val="Normaali"/>
    <w:link w:val="SelitetekstiChar"/>
    <w:uiPriority w:val="99"/>
    <w:semiHidden/>
    <w:unhideWhenUsed/>
    <w:rsid w:val="005C6CBA"/>
    <w:rPr>
      <w:rFonts w:ascii="Tahoma" w:hAnsi="Tahoma" w:cs="Tahoma"/>
      <w:sz w:val="16"/>
      <w:szCs w:val="16"/>
    </w:rPr>
  </w:style>
  <w:style w:type="character" w:customStyle="1" w:styleId="SelitetekstiChar">
    <w:name w:val="Seliteteksti Char"/>
    <w:basedOn w:val="Kappaleenoletusfontti"/>
    <w:link w:val="Seliteteksti"/>
    <w:uiPriority w:val="99"/>
    <w:semiHidden/>
    <w:rsid w:val="005C6CBA"/>
    <w:rPr>
      <w:rFonts w:ascii="Tahoma" w:hAnsi="Tahoma" w:cs="Tahoma"/>
      <w:sz w:val="16"/>
      <w:szCs w:val="16"/>
    </w:rPr>
  </w:style>
  <w:style w:type="character" w:styleId="Hyperlinkki">
    <w:name w:val="Hyperlink"/>
    <w:uiPriority w:val="99"/>
    <w:unhideWhenUsed/>
    <w:rsid w:val="007839B9"/>
    <w:rPr>
      <w:color w:val="0000FF"/>
      <w:u w:val="single"/>
    </w:rPr>
  </w:style>
  <w:style w:type="paragraph" w:styleId="Luettelokappale">
    <w:name w:val="List Paragraph"/>
    <w:basedOn w:val="Normaali"/>
    <w:uiPriority w:val="34"/>
    <w:qFormat/>
    <w:rsid w:val="007839B9"/>
    <w:pPr>
      <w:ind w:left="720"/>
      <w:contextualSpacing/>
    </w:pPr>
    <w:rPr>
      <w:rFonts w:eastAsiaTheme="minorHAnsi" w:cstheme="minorHAnsi"/>
      <w:sz w:val="22"/>
      <w:szCs w:val="22"/>
      <w:lang w:eastAsia="en-US"/>
    </w:rPr>
  </w:style>
  <w:style w:type="paragraph" w:styleId="Alaviitteenteksti">
    <w:name w:val="footnote text"/>
    <w:basedOn w:val="Normaali"/>
    <w:link w:val="AlaviitteentekstiChar"/>
    <w:uiPriority w:val="99"/>
    <w:semiHidden/>
    <w:unhideWhenUsed/>
    <w:rsid w:val="005F58EC"/>
  </w:style>
  <w:style w:type="character" w:customStyle="1" w:styleId="AlaviitteentekstiChar">
    <w:name w:val="Alaviitteen teksti Char"/>
    <w:basedOn w:val="Kappaleenoletusfontti"/>
    <w:link w:val="Alaviitteenteksti"/>
    <w:uiPriority w:val="99"/>
    <w:semiHidden/>
    <w:rsid w:val="005F58EC"/>
  </w:style>
  <w:style w:type="character" w:styleId="Alaviitteenviite">
    <w:name w:val="footnote reference"/>
    <w:basedOn w:val="Kappaleenoletusfontti"/>
    <w:uiPriority w:val="99"/>
    <w:semiHidden/>
    <w:unhideWhenUsed/>
    <w:rsid w:val="005F5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15">
      <w:bodyDiv w:val="1"/>
      <w:marLeft w:val="0"/>
      <w:marRight w:val="0"/>
      <w:marTop w:val="0"/>
      <w:marBottom w:val="0"/>
      <w:divBdr>
        <w:top w:val="none" w:sz="0" w:space="0" w:color="auto"/>
        <w:left w:val="none" w:sz="0" w:space="0" w:color="auto"/>
        <w:bottom w:val="none" w:sz="0" w:space="0" w:color="auto"/>
        <w:right w:val="none" w:sz="0" w:space="0" w:color="auto"/>
      </w:divBdr>
    </w:div>
    <w:div w:id="342365506">
      <w:bodyDiv w:val="1"/>
      <w:marLeft w:val="0"/>
      <w:marRight w:val="0"/>
      <w:marTop w:val="0"/>
      <w:marBottom w:val="0"/>
      <w:divBdr>
        <w:top w:val="none" w:sz="0" w:space="0" w:color="auto"/>
        <w:left w:val="none" w:sz="0" w:space="0" w:color="auto"/>
        <w:bottom w:val="none" w:sz="0" w:space="0" w:color="auto"/>
        <w:right w:val="none" w:sz="0" w:space="0" w:color="auto"/>
      </w:divBdr>
    </w:div>
    <w:div w:id="40195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irjaamo@lvm.fi"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Huomioitavaa xmlns="0da30a2d-af6c-47d4-85fa-307313fbdc79">Pääjohtaja ja FT/johtava lainsäädäntöasiantuntija antavat kommenttinsa.</Huomioitavaa>
    <L_x00e4_hett_x00e4_j_x00e4_ xmlns="0da30a2d-af6c-47d4-85fa-307313fbdc79">Liikenne- ja viestintäministeriö LVM</L_x00e4_hett_x00e4_j_x00e4_>
    <Valmistelija xmlns="0da30a2d-af6c-47d4-85fa-307313fbdc79">Pirkko Lahdelma</Valmistelija>
    <Diaarinumero xmlns="0da30a2d-af6c-47d4-85fa-307313fbdc79">2013/145/31</Diaarinumero>
    <Lausuntoa_x0020_ei_x0020_anneta xmlns="0da30a2d-af6c-47d4-85fa-307313fbdc79">Kyllä</Lausuntoa_x0020_ei_x0020_anneta>
    <Kommentit_x0020_annettava_x0020_menness_x00e4_ xmlns="0da30a2d-af6c-47d4-85fa-307313fbdc79" xsi:nil="true"/>
    <Vastuuyksikk_x00f6_ xmlns="0da30a2d-af6c-47d4-85fa-307313fbdc79">Tuloksellisuustarkastus</Vastuuyksikk_x00f6_>
    <Kommentoita_x0020_yksikk_x00f6_ xmlns="0da30a2d-af6c-47d4-85fa-307313fbdc79">
      <Value>Finanssipolitiikan tarkastus ja johdon tuki</Value>
      <Value>Tuloksellisuustarkastus</Value>
    </Kommentoita_x0020_yksikk_x00f6_>
    <Lausunto_x0020_valmis xmlns="0da30a2d-af6c-47d4-85fa-307313fbdc79">true</Lausunto_x0020_valmis>
    <M_x00e4__x00e4_r_x00e4_p_x00e4_iv_x00e4_ xmlns="0da30a2d-af6c-47d4-85fa-307313fbdc79">2013-05-13T00:00:00+03:00</M_x00e4__x00e4_r_x00e4_p_x00e4_iv_x00e4_>
    <Lausunnosta_x0020_p_x00e4__x00e4_tt_x00e4__x00e4__ xmlns="0da30a2d-af6c-47d4-85fa-307313fbdc79">Pääjohtaja</Lausunnosta_x0020_p_x00e4__x00e4_tt_x00e4__x00e4_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ausunto" ma:contentTypeID="0x0101008B1DFA6EA805BC459B4E8D886EFAE7C6004DA8F4A9A5F8F14AA8251650CD39C590" ma:contentTypeVersion="19" ma:contentTypeDescription="" ma:contentTypeScope="" ma:versionID="2499dd64c819f1ba833bdb9be1bfa83b">
  <xsd:schema xmlns:xsd="http://www.w3.org/2001/XMLSchema" xmlns:p="http://schemas.microsoft.com/office/2006/metadata/properties" xmlns:ns2="0da30a2d-af6c-47d4-85fa-307313fbdc79" targetNamespace="http://schemas.microsoft.com/office/2006/metadata/properties" ma:root="true" ma:fieldsID="f93843e2617d68963af6d02a54d5c47b" ns2:_="">
    <xsd:import namespace="0da30a2d-af6c-47d4-85fa-307313fbdc79"/>
    <xsd:element name="properties">
      <xsd:complexType>
        <xsd:sequence>
          <xsd:element name="documentManagement">
            <xsd:complexType>
              <xsd:all>
                <xsd:element ref="ns2:Diaarinumero" minOccurs="0"/>
                <xsd:element ref="ns2:L_x00e4_hett_x00e4_j_x00e4_" minOccurs="0"/>
                <xsd:element ref="ns2:M_x00e4__x00e4_r_x00e4_p_x00e4_iv_x00e4_" minOccurs="0"/>
                <xsd:element ref="ns2:Lausunnosta_x0020_p_x00e4__x00e4_tt_x00e4__x00e4__" minOccurs="0"/>
                <xsd:element ref="ns2:Lausuntoa_x0020_ei_x0020_anneta" minOccurs="0"/>
                <xsd:element ref="ns2:Vastuuyksikk_x00f6_" minOccurs="0"/>
                <xsd:element ref="ns2:Kommentoita_x0020_yksikk_x00f6_" minOccurs="0"/>
                <xsd:element ref="ns2:Huomioitavaa" minOccurs="0"/>
                <xsd:element ref="ns2:Kommentit_x0020_annettava_x0020_menness_x00e4_" minOccurs="0"/>
                <xsd:element ref="ns2:Valmistelija" minOccurs="0"/>
                <xsd:element ref="ns2:Lausunto_x0020_valmis" minOccurs="0"/>
              </xsd:all>
            </xsd:complexType>
          </xsd:element>
        </xsd:sequence>
      </xsd:complexType>
    </xsd:element>
  </xsd:schema>
  <xsd:schema xmlns:xsd="http://www.w3.org/2001/XMLSchema" xmlns:dms="http://schemas.microsoft.com/office/2006/documentManagement/types" targetNamespace="0da30a2d-af6c-47d4-85fa-307313fbdc79" elementFormDefault="qualified">
    <xsd:import namespace="http://schemas.microsoft.com/office/2006/documentManagement/types"/>
    <xsd:element name="Diaarinumero" ma:index="2" nillable="true" ma:displayName="Diaarinumero" ma:description="Diaarinumero (annetaan muodossa 2013/###/31)" ma:internalName="Diaarinumero">
      <xsd:simpleType>
        <xsd:restriction base="dms:Text">
          <xsd:maxLength value="20"/>
        </xsd:restriction>
      </xsd:simpleType>
    </xsd:element>
    <xsd:element name="L_x00e4_hett_x00e4_j_x00e4_" ma:index="3" nillable="true" ma:displayName="Lähettäjä" ma:internalName="L_x00e4_hett_x00e4_j_x00e4_">
      <xsd:simpleType>
        <xsd:restriction base="dms:Text">
          <xsd:maxLength value="100"/>
        </xsd:restriction>
      </xsd:simpleType>
    </xsd:element>
    <xsd:element name="M_x00e4__x00e4_r_x00e4_p_x00e4_iv_x00e4_" ma:index="4" nillable="true" ma:displayName="Määräpäivä" ma:format="DateOnly" ma:internalName="M_x00e4__x00e4_r_x00e4_p_x00e4_iv_x00e4_">
      <xsd:simpleType>
        <xsd:restriction base="dms:DateTime"/>
      </xsd:simpleType>
    </xsd:element>
    <xsd:element name="Lausunnosta_x0020_p_x00e4__x00e4_tt_x00e4__x00e4__" ma:index="5" nillable="true" ma:displayName="Lausunnosta päättää" ma:format="RadioButtons" ma:internalName="Lausunnosta_x0020_p_x00e4__x00e4_tt_x00e4__x00e4__">
      <xsd:simpleType>
        <xsd:restriction base="dms:Choice">
          <xsd:enumeration value="Pääjohtaja"/>
          <xsd:enumeration value="Vastuuyksikön/toimialan päällikkö"/>
        </xsd:restriction>
      </xsd:simpleType>
    </xsd:element>
    <xsd:element name="Lausuntoa_x0020_ei_x0020_anneta" ma:index="6" nillable="true" ma:displayName="Lausunto annetaan" ma:format="RadioButtons" ma:internalName="Lausuntoa_x0020_ei_x0020_anneta">
      <xsd:simpleType>
        <xsd:restriction base="dms:Choice">
          <xsd:enumeration value="Kyllä"/>
          <xsd:enumeration value="Ei"/>
          <xsd:enumeration value="Vastuuyksikkö harkitsee"/>
        </xsd:restriction>
      </xsd:simpleType>
    </xsd:element>
    <xsd:element name="Vastuuyksikk_x00f6_" ma:index="7" nillable="true" ma:displayName="Vastuuyksikkö" ma:format="RadioButtons" ma:internalName="Vastuuyksikk_x00f6_">
      <xsd:simpleType>
        <xsd:restriction base="dms:Choice">
          <xsd:enumeration value="Tilintarkastus"/>
          <xsd:enumeration value="Tuloksellisuustarkastus"/>
          <xsd:enumeration value="Finanssipolitiikan tarkastus ja johdon tuki"/>
          <xsd:enumeration value="Hallintoyksikkö"/>
        </xsd:restriction>
      </xsd:simpleType>
    </xsd:element>
    <xsd:element name="Kommentoita_x0020_yksikk_x00f6_" ma:index="8" nillable="true" ma:displayName="Kommentoiva yksikkö" ma:internalName="Kommentoita_x0020_yksikk_x00f6_">
      <xsd:complexType>
        <xsd:complexContent>
          <xsd:extension base="dms:MultiChoice">
            <xsd:sequence>
              <xsd:element name="Value" maxOccurs="unbounded" minOccurs="0" nillable="true">
                <xsd:simpleType>
                  <xsd:restriction base="dms:Choice">
                    <xsd:enumeration value="Tilintarkastus"/>
                    <xsd:enumeration value="Tuloksellisuustarkastus"/>
                    <xsd:enumeration value="Finanssipolitiikan tarkastus ja johdon tuki"/>
                    <xsd:enumeration value="Hallintoyksikkö"/>
                  </xsd:restriction>
                </xsd:simpleType>
              </xsd:element>
            </xsd:sequence>
          </xsd:extension>
        </xsd:complexContent>
      </xsd:complexType>
    </xsd:element>
    <xsd:element name="Huomioitavaa" ma:index="9" nillable="true" ma:displayName="Huomioitavaa" ma:internalName="Huomioitavaa">
      <xsd:simpleType>
        <xsd:restriction base="dms:Note"/>
      </xsd:simpleType>
    </xsd:element>
    <xsd:element name="Kommentit_x0020_annettava_x0020_menness_x00e4_" ma:index="10" nillable="true" ma:displayName="Kommenttien määräpäivä" ma:format="DateOnly" ma:internalName="Kommentit_x0020_annettava_x0020_menness_x00e4_">
      <xsd:simpleType>
        <xsd:restriction base="dms:DateTime"/>
      </xsd:simpleType>
    </xsd:element>
    <xsd:element name="Valmistelija" ma:index="11" nillable="true" ma:displayName="Valmistelija" ma:internalName="Valmistelija">
      <xsd:simpleType>
        <xsd:restriction base="dms:Text">
          <xsd:maxLength value="100"/>
        </xsd:restriction>
      </xsd:simpleType>
    </xsd:element>
    <xsd:element name="Lausunto_x0020_valmis" ma:index="12" nillable="true" ma:displayName="Lausunto valmis" ma:default="0" ma:internalName="Lausunto_x0020_valmi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Sisältölaji"/>
        <xsd:element ref="dc:title" minOccurs="0" maxOccurs="1" ma:index="1" ma:displayName="Asi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90A1-DD0C-48BE-9773-413C75AC1844}">
  <ds:schemaRefs>
    <ds:schemaRef ds:uri="http://schemas.microsoft.com/office/2006/metadata/customXsn"/>
  </ds:schemaRefs>
</ds:datastoreItem>
</file>

<file path=customXml/itemProps2.xml><?xml version="1.0" encoding="utf-8"?>
<ds:datastoreItem xmlns:ds="http://schemas.openxmlformats.org/officeDocument/2006/customXml" ds:itemID="{42D5032B-2A72-4460-898B-B37D99655B6F}">
  <ds:schemaRef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0da30a2d-af6c-47d4-85fa-307313fbdc79"/>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698DA7C-7636-416B-8771-83F0893EAFD8}">
  <ds:schemaRefs>
    <ds:schemaRef ds:uri="http://schemas.microsoft.com/sharepoint/v3/contenttype/forms"/>
  </ds:schemaRefs>
</ds:datastoreItem>
</file>

<file path=customXml/itemProps4.xml><?xml version="1.0" encoding="utf-8"?>
<ds:datastoreItem xmlns:ds="http://schemas.openxmlformats.org/officeDocument/2006/customXml" ds:itemID="{3EC06443-399B-419B-8AF8-AFD58AB48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30a2d-af6c-47d4-85fa-307313fbdc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DDF138D-0C40-4E20-AF43-2A1E3F2C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13189</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Lausuntopyyntö luonnoksesta hallituksen esitykseksi liittyen Kataisen hallitusohjelman tietoyhteiskuntakaari-kirjaukseen</vt:lpstr>
    </vt:vector>
  </TitlesOfParts>
  <Company>VTV</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Lausuntopyyntö luonnoksesta hallituksen esitykseksi liittyen Kataisen hallitusohjelman tietoyhteiskuntakaari-kirjaukseen</dc:title>
  <dc:creator>Marjeta Petri</dc:creator>
  <cp:lastModifiedBy>Marjeta Petri</cp:lastModifiedBy>
  <cp:revision>2</cp:revision>
  <cp:lastPrinted>2013-05-15T06:28:00Z</cp:lastPrinted>
  <dcterms:created xsi:type="dcterms:W3CDTF">2013-05-15T06:37:00Z</dcterms:created>
  <dcterms:modified xsi:type="dcterms:W3CDTF">2013-05-15T06:37:00Z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0x0101008B1DFA6EA805BC459B4E8D886EFAE7C6004DA8F4A9A5F8F14AA8251650CD39C590</vt:lpwstr>
  </property>
</Properties>
</file>