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4.0.0 -->
  <w:body>
    <w:p w:rsidR="002203A2"/>
    <w:p w:rsidR="002A6CD5" w:rsidP="0035265B">
      <w:pPr>
        <w:pStyle w:val="Vastaanottajatiedot"/>
      </w:pPr>
    </w:p>
    <w:p w:rsidR="00777AD5" w:rsidP="0035265B">
      <w:pPr>
        <w:pStyle w:val="Vastaanottajatiedot"/>
      </w:pPr>
      <w:r>
        <w:t>Liikenne- ja viestintäministeriö</w:t>
      </w:r>
    </w:p>
    <w:p w:rsidR="002A6CD5" w:rsidP="0035265B">
      <w:pPr>
        <w:pStyle w:val="Vastaanottajatiedot"/>
      </w:pPr>
    </w:p>
    <w:p w:rsidR="002A6CD5" w:rsidP="0035265B">
      <w:pPr>
        <w:pStyle w:val="Vastaanottajatiedot"/>
      </w:pPr>
    </w:p>
    <w:p w:rsidR="002A6CD5"/>
    <w:p w:rsidR="007878C0"/>
    <w:p w:rsidR="007878C0"/>
    <w:p w:rsidR="007878C0"/>
    <w:p w:rsidR="007878C0"/>
    <w:p w:rsidR="00F874C0"/>
    <w:p w:rsidR="002A6CD5">
      <w:r>
        <w:t>Liikenne- ja viestintäministeriön lausuntopyyntö LVM/1162/03/2016</w:t>
      </w:r>
    </w:p>
    <w:p w:rsidR="002A6CD5"/>
    <w:p w:rsidR="002A6CD5" w:rsidP="002A6CD5">
      <w:pPr>
        <w:pStyle w:val="Title"/>
      </w:pPr>
      <w:r>
        <w:fldChar w:fldCharType="begin"/>
      </w:r>
      <w:r>
        <w:instrText xml:space="preserve"> DOCPROPERTY  sm_otsikko  \* MERGEFORMAT </w:instrText>
      </w:r>
      <w:r>
        <w:fldChar w:fldCharType="separate"/>
      </w:r>
      <w:r w:rsidR="007878C0">
        <w:t>Sisäministeriön</w:t>
      </w:r>
      <w:r w:rsidR="007878C0">
        <w:t xml:space="preserve"> </w:t>
      </w:r>
      <w:r w:rsidR="007878C0">
        <w:t>lausunto</w:t>
      </w:r>
      <w:r>
        <w:fldChar w:fldCharType="end"/>
      </w:r>
    </w:p>
    <w:p w:rsidR="00777AD5" w:rsidP="002A6CD5">
      <w:pPr>
        <w:pStyle w:val="BodyText"/>
      </w:pPr>
      <w:r>
        <w:t>Liikenne- ja viestintäministeriö on pyytänyt sisäministeriöltä lausuntoa luonnoksesta hallituksen esitykseksi ajoneuvolain ja ajoneuvojen katsastustoiminnasta annetun lain muuttamisesta sekä luonnoksesta valtioneuvoston asetukseksi liikenteessä käytett</w:t>
      </w:r>
      <w:r>
        <w:t>ä</w:t>
      </w:r>
      <w:r>
        <w:t>vien ajoneuvojen liikennekelpoisuuden valvonnasta annetun valtioneuvoston asetu</w:t>
      </w:r>
      <w:r>
        <w:t>k</w:t>
      </w:r>
      <w:r>
        <w:t>sen muuttamisesta. Sisäministeriö lausuu asiasta seuraavaa.</w:t>
      </w:r>
    </w:p>
    <w:p w:rsidR="00777AD5" w:rsidP="00777AD5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Hallituksen esitysluonnos eduskunnalle ajoneuvolain ja ajoneuvojen katsastustoiminannasta</w:t>
      </w:r>
    </w:p>
    <w:p w:rsidR="00777AD5" w:rsidP="00777AD5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annetun lain muuttamisesta</w:t>
      </w:r>
    </w:p>
    <w:p w:rsidR="00777AD5" w:rsidP="00777AD5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777AD5" w:rsidRPr="00DC45DB" w:rsidP="00777AD5">
      <w:pPr>
        <w:autoSpaceDE w:val="0"/>
        <w:autoSpaceDN w:val="0"/>
        <w:adjustRightInd w:val="0"/>
        <w:ind w:left="2608"/>
        <w:rPr>
          <w:rFonts w:ascii="Arial,BoldItalic" w:hAnsi="Arial,BoldItalic" w:cs="Arial,BoldItalic"/>
          <w:b/>
          <w:bCs/>
          <w:iCs/>
        </w:rPr>
      </w:pPr>
      <w:r w:rsidRPr="00DC45DB">
        <w:rPr>
          <w:rFonts w:ascii="Arial,BoldItalic" w:hAnsi="Arial,BoldItalic" w:cs="Arial,BoldItalic"/>
          <w:b/>
          <w:bCs/>
          <w:iCs/>
        </w:rPr>
        <w:t>Yleistä</w:t>
      </w:r>
    </w:p>
    <w:p w:rsidR="00777AD5" w:rsidP="00DD5C4A">
      <w:pPr>
        <w:pStyle w:val="BodyText"/>
      </w:pPr>
      <w:r>
        <w:t>Esityksessä ehdotetaan muutettavaksi ajoneuvolakia ja ajoneuvojen katsastustoimi</w:t>
      </w:r>
      <w:r>
        <w:t>n</w:t>
      </w:r>
      <w:r>
        <w:t>nasta annettua lakia. Esityksen tavoitteena on kansallisesti voimaan saattaa EU:n uusien katsastusdirektiivin, tienvarsidirektiivin ja rekisteröintitodistusdirektiivin vaat</w:t>
      </w:r>
      <w:r>
        <w:t>i</w:t>
      </w:r>
      <w:r>
        <w:t>mukset. Esitys liittyy myös hallitusohjelman säädösten sujuvoittamisen kärkihankke</w:t>
      </w:r>
      <w:r>
        <w:t>e</w:t>
      </w:r>
      <w:r>
        <w:t>seen. Esitys on osa kaksivaiheista katsastuslainsäädännön uudistamishanketta.</w:t>
      </w:r>
    </w:p>
    <w:p w:rsidR="00777AD5" w:rsidP="00DD5C4A">
      <w:pPr>
        <w:pStyle w:val="BodyText"/>
      </w:pPr>
      <w:r>
        <w:t>Ajoneuvolaista muutettaisiin ajoneuvon hyväksymis</w:t>
      </w:r>
      <w:r w:rsidR="00DD5C4A">
        <w:t xml:space="preserve">een ja hylkäämiseen, vikojen ja </w:t>
      </w:r>
      <w:r>
        <w:t>puutteellisuuksien arvosteluun sekä katsastustodistukseen liittyviä kohtia. Lakiin sä</w:t>
      </w:r>
      <w:r>
        <w:t>ä</w:t>
      </w:r>
      <w:r>
        <w:t>dettäisiin uusi pykälä määräaikaiskatsastuksessa havaittujen vikojen ja puutteell</w:t>
      </w:r>
      <w:r>
        <w:t>i</w:t>
      </w:r>
      <w:r>
        <w:t>suuksien luokittelusta. Liikenteen turvallisuusvirastolle tulisi valtuus antaa määräyksiä määräaikaiskatsastuksen tarkastuskohteista ja -menetelmistä, vikojen ja puutteell</w:t>
      </w:r>
      <w:r>
        <w:t>i</w:t>
      </w:r>
      <w:r>
        <w:t>suuksien luokittelusta, katsastustodistuksesta sekä katsastuksessa tarvittavista aj</w:t>
      </w:r>
      <w:r>
        <w:t>o</w:t>
      </w:r>
      <w:r>
        <w:t>neuvon teknisistä tiedoista ja niiden toimittamisesta.</w:t>
      </w:r>
    </w:p>
    <w:p w:rsidR="00777AD5" w:rsidP="00DD5C4A">
      <w:pPr>
        <w:pStyle w:val="BodyText"/>
      </w:pPr>
      <w:r>
        <w:t>Ajoneuvojen katsastustoiminnasta annettua lakia muutettaisiin siten, että siitä kumo</w:t>
      </w:r>
      <w:r>
        <w:t>t</w:t>
      </w:r>
      <w:r>
        <w:t>taisiin riippumattomuusvaatimukset rekisteröinti-, muutos- ja kytkentäkatsastuksia suorittavilta toimijoilta. Näin toimijat voisivat suorittaa kyseisiä katsastuksia myös muun ajoneuvoihin liittyvän liiketoiminnan ohessa.</w:t>
      </w:r>
    </w:p>
    <w:p w:rsidR="00777AD5" w:rsidP="00AB2242">
      <w:pPr>
        <w:pStyle w:val="BodyText"/>
      </w:pPr>
      <w:r w:rsidRPr="00777AD5">
        <w:rPr>
          <w:rFonts w:ascii="Arial,Italic" w:hAnsi="Arial,Italic" w:cs="Arial,Italic"/>
          <w:iCs/>
        </w:rPr>
        <w:t>Sisäministeriö</w:t>
      </w:r>
      <w:r>
        <w:rPr>
          <w:rFonts w:ascii="Arial,Italic" w:hAnsi="Arial,Italic" w:cs="Arial,Italic"/>
          <w:i/>
          <w:iCs/>
        </w:rPr>
        <w:t xml:space="preserve"> </w:t>
      </w:r>
      <w:r>
        <w:t>pitää hallituksen esitysluonnoksessa olevia muutosesityksiä peruste</w:t>
      </w:r>
      <w:r>
        <w:t>l</w:t>
      </w:r>
      <w:r>
        <w:t>tuina.</w:t>
      </w:r>
    </w:p>
    <w:p w:rsidR="00777AD5" w:rsidRPr="00DC45DB" w:rsidP="00777AD5">
      <w:pPr>
        <w:autoSpaceDE w:val="0"/>
        <w:autoSpaceDN w:val="0"/>
        <w:adjustRightInd w:val="0"/>
        <w:ind w:left="2608"/>
      </w:pPr>
      <w:r w:rsidRPr="00DC45DB">
        <w:rPr>
          <w:rFonts w:ascii="Arial,BoldItalic" w:hAnsi="Arial,BoldItalic" w:cs="Arial,BoldItalic"/>
          <w:b/>
          <w:bCs/>
          <w:iCs/>
        </w:rPr>
        <w:t>58 § Katsastustodistus</w:t>
      </w:r>
    </w:p>
    <w:p w:rsidR="00DD5C4A" w:rsidP="00777AD5">
      <w:pPr>
        <w:autoSpaceDE w:val="0"/>
        <w:autoSpaceDN w:val="0"/>
        <w:adjustRightInd w:val="0"/>
        <w:ind w:left="2608"/>
      </w:pPr>
      <w:r>
        <w:t>Aiemmasta poiketen pykälässä ei säädettäisi, että katsastustodistus on pidettävä m</w:t>
      </w:r>
      <w:r>
        <w:t>u</w:t>
      </w:r>
      <w:r>
        <w:t>kana ajossa. Katsastustodistuksen mukana pitäminen on palvellut lähinnä liikenteen valvontaa, mutta koska vastaavat tiedot on nykyisin saatavilla myös sähköisesti, p</w:t>
      </w:r>
      <w:r>
        <w:t>a</w:t>
      </w:r>
      <w:r>
        <w:t xml:space="preserve">perisen todistuksen mukana pitäminen ei ole enää tarkoituksenmukaista. </w:t>
      </w:r>
      <w:r w:rsidRPr="00777AD5">
        <w:rPr>
          <w:rFonts w:ascii="Arial,Italic" w:hAnsi="Arial,Italic" w:cs="Arial,Italic"/>
          <w:iCs/>
        </w:rPr>
        <w:t>Sisäminist</w:t>
      </w:r>
      <w:r w:rsidRPr="00777AD5">
        <w:rPr>
          <w:rFonts w:ascii="Arial,Italic" w:hAnsi="Arial,Italic" w:cs="Arial,Italic"/>
          <w:iCs/>
        </w:rPr>
        <w:t>e</w:t>
      </w:r>
      <w:r w:rsidRPr="00777AD5">
        <w:rPr>
          <w:rFonts w:ascii="Arial,Italic" w:hAnsi="Arial,Italic" w:cs="Arial,Italic"/>
          <w:iCs/>
        </w:rPr>
        <w:t xml:space="preserve">riön </w:t>
      </w:r>
      <w:r w:rsidRPr="00777AD5">
        <w:t>näkemyksen</w:t>
      </w:r>
      <w:r>
        <w:t xml:space="preserve"> mukaan muutos ei vaikeuttaisi poliisin valvontaa edellyttäen, että niin katsastuksessa kuin poliisin havaitsemat tekniset puutteet ovat riittävän hyvin käytettävissä sähköisesti.</w:t>
      </w:r>
    </w:p>
    <w:p w:rsidR="002F7A86" w:rsidP="00777AD5">
      <w:pPr>
        <w:autoSpaceDE w:val="0"/>
        <w:autoSpaceDN w:val="0"/>
        <w:adjustRightInd w:val="0"/>
        <w:ind w:left="2608"/>
      </w:pPr>
    </w:p>
    <w:p w:rsidR="00DC45DB" w:rsidP="00777AD5">
      <w:pPr>
        <w:autoSpaceDE w:val="0"/>
        <w:autoSpaceDN w:val="0"/>
        <w:adjustRightInd w:val="0"/>
        <w:ind w:left="2608"/>
      </w:pPr>
    </w:p>
    <w:p w:rsidR="002F7A86" w:rsidP="00777AD5">
      <w:pPr>
        <w:autoSpaceDE w:val="0"/>
        <w:autoSpaceDN w:val="0"/>
        <w:adjustRightInd w:val="0"/>
        <w:ind w:left="2608"/>
      </w:pPr>
    </w:p>
    <w:p w:rsidR="00777AD5" w:rsidP="00777AD5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Valtioneuvoston asetus liikenteessä käytettävien ajoneuvojen liikennekelpoisuuden valvonnasta</w:t>
      </w:r>
    </w:p>
    <w:p w:rsidR="00777AD5" w:rsidP="00777AD5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annetun valtioneuvoston asetuksen muuttamisesta</w:t>
      </w:r>
    </w:p>
    <w:p w:rsidR="00DD5C4A" w:rsidP="00777AD5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777AD5" w:rsidRPr="00DC45DB" w:rsidP="00777AD5">
      <w:pPr>
        <w:autoSpaceDE w:val="0"/>
        <w:autoSpaceDN w:val="0"/>
        <w:adjustRightInd w:val="0"/>
        <w:ind w:left="2608"/>
        <w:rPr>
          <w:rFonts w:ascii="Arial,Bold" w:hAnsi="Arial,Bold" w:cs="Arial,Bold"/>
          <w:b/>
          <w:bCs/>
        </w:rPr>
      </w:pPr>
      <w:r w:rsidRPr="00DC45DB">
        <w:rPr>
          <w:rFonts w:ascii="Arial,BoldItalic" w:hAnsi="Arial,BoldItalic" w:cs="Arial,BoldItalic"/>
          <w:b/>
          <w:bCs/>
          <w:iCs/>
        </w:rPr>
        <w:t>Yleistä</w:t>
      </w:r>
    </w:p>
    <w:p w:rsidR="00777AD5" w:rsidP="00DD5C4A">
      <w:pPr>
        <w:pStyle w:val="BodyText"/>
        <w:rPr>
          <w:rFonts w:ascii="Arial,Bold" w:hAnsi="Arial,Bold" w:cs="Arial,Bold"/>
          <w:b/>
          <w:bCs/>
        </w:rPr>
      </w:pPr>
      <w:r>
        <w:t>Muutosesityksessä esitetään muun muassa traktoreiden määräaikaiskatsastuksesta,</w:t>
      </w:r>
      <w:r>
        <w:rPr>
          <w:rFonts w:ascii="Arial,Bold" w:hAnsi="Arial,Bold" w:cs="Arial,Bold"/>
          <w:b/>
          <w:bCs/>
        </w:rPr>
        <w:t xml:space="preserve"> </w:t>
      </w:r>
      <w:r>
        <w:t>muutoksia taksien määräaikaiskatsastukseen ja yksityiskäytössä olevien henkilö- ja</w:t>
      </w:r>
      <w:r>
        <w:rPr>
          <w:rFonts w:ascii="Arial,Bold" w:hAnsi="Arial,Bold" w:cs="Arial,Bold"/>
          <w:b/>
          <w:bCs/>
        </w:rPr>
        <w:t xml:space="preserve"> </w:t>
      </w:r>
      <w:r>
        <w:t>pakettiautojen määräaikaiskatsastusvälin harventamista. Perustelumuistiossa tod</w:t>
      </w:r>
      <w:r>
        <w:t>e</w:t>
      </w:r>
      <w:r>
        <w:t>taan,</w:t>
      </w:r>
      <w:r>
        <w:rPr>
          <w:rFonts w:ascii="Arial,Bold" w:hAnsi="Arial,Bold" w:cs="Arial,Bold"/>
          <w:b/>
          <w:bCs/>
        </w:rPr>
        <w:t xml:space="preserve"> </w:t>
      </w:r>
      <w:r>
        <w:t>että moottoripyörien osalta ei esitetä määräaikaiskatsastusvelvollisuutta. Dire</w:t>
      </w:r>
      <w:r>
        <w:t>k</w:t>
      </w:r>
      <w:r>
        <w:t>tiivin</w:t>
      </w:r>
      <w:r>
        <w:rPr>
          <w:rFonts w:ascii="Arial,Bold" w:hAnsi="Arial,Bold" w:cs="Arial,Bold"/>
          <w:b/>
          <w:bCs/>
        </w:rPr>
        <w:t xml:space="preserve"> </w:t>
      </w:r>
      <w:r>
        <w:t>velvoitteiden täyttämiseksi on muistion mukaan tarkasteltava kevyempiä vaiht</w:t>
      </w:r>
      <w:r>
        <w:t>o</w:t>
      </w:r>
      <w:r>
        <w:t>ehtoisia</w:t>
      </w:r>
      <w:r>
        <w:rPr>
          <w:rFonts w:ascii="Arial,Bold" w:hAnsi="Arial,Bold" w:cs="Arial,Bold"/>
          <w:b/>
          <w:bCs/>
        </w:rPr>
        <w:t xml:space="preserve"> </w:t>
      </w:r>
      <w:r>
        <w:t>tapoja edistää liikenneturvallisuutta.</w:t>
      </w:r>
    </w:p>
    <w:p w:rsidR="00777AD5" w:rsidP="00DD5C4A">
      <w:pPr>
        <w:pStyle w:val="BodyText"/>
      </w:pPr>
      <w:r w:rsidRPr="00DD5C4A">
        <w:rPr>
          <w:rFonts w:ascii="Arial,Italic" w:hAnsi="Arial,Italic" w:cs="Arial,Italic"/>
          <w:iCs/>
        </w:rPr>
        <w:t xml:space="preserve">Sisäministeriön </w:t>
      </w:r>
      <w:r w:rsidR="00DD5C4A">
        <w:t>näkemyksen mukaan</w:t>
      </w:r>
      <w:r>
        <w:t xml:space="preserve"> moottoripyö</w:t>
      </w:r>
      <w:r w:rsidR="00DC45DB">
        <w:t xml:space="preserve">rien </w:t>
      </w:r>
      <w:r>
        <w:t>määräaikaiskatsastusvelvoll</w:t>
      </w:r>
      <w:r>
        <w:t>i</w:t>
      </w:r>
      <w:r>
        <w:t>suus</w:t>
      </w:r>
      <w:r>
        <w:rPr>
          <w:rFonts w:ascii="Arial,Bold" w:hAnsi="Arial,Bold" w:cs="Arial,Bold"/>
          <w:b/>
          <w:bCs/>
        </w:rPr>
        <w:t xml:space="preserve"> </w:t>
      </w:r>
      <w:r>
        <w:t>olisi kuitenkin perusteltua pohtia erityisesti moottoripyörien määräystenmuka</w:t>
      </w:r>
      <w:r>
        <w:t>i</w:t>
      </w:r>
      <w:r>
        <w:t>suuden</w:t>
      </w:r>
      <w:r>
        <w:rPr>
          <w:rFonts w:ascii="Arial,Bold" w:hAnsi="Arial,Bold" w:cs="Arial,Bold"/>
          <w:b/>
          <w:bCs/>
        </w:rPr>
        <w:t xml:space="preserve"> </w:t>
      </w:r>
      <w:r>
        <w:t>osalta. Jopa uusiin moottoripyöriin vaihdetaan vähemmän vaimentavia ä</w:t>
      </w:r>
      <w:r>
        <w:t>ä</w:t>
      </w:r>
      <w:r>
        <w:t>nenvaimentimia,</w:t>
      </w:r>
      <w:r>
        <w:rPr>
          <w:rFonts w:ascii="Arial,Bold" w:hAnsi="Arial,Bold" w:cs="Arial,Bold"/>
          <w:b/>
          <w:bCs/>
        </w:rPr>
        <w:t xml:space="preserve"> </w:t>
      </w:r>
      <w:r>
        <w:t>jolloin ne eivät enää täytä määräyksiä. Havaintojen mukaan sää</w:t>
      </w:r>
      <w:r>
        <w:t>n</w:t>
      </w:r>
      <w:r>
        <w:t>nösten</w:t>
      </w:r>
      <w:r>
        <w:rPr>
          <w:rFonts w:ascii="Arial,Bold" w:hAnsi="Arial,Bold" w:cs="Arial,Bold"/>
          <w:b/>
          <w:bCs/>
        </w:rPr>
        <w:t xml:space="preserve"> </w:t>
      </w:r>
      <w:r>
        <w:t>vastaisia äänenvaimentimia käytetään yleisesti. Liikenteen turvallisuusvirasto</w:t>
      </w:r>
      <w:r>
        <w:rPr>
          <w:rFonts w:ascii="Arial,Bold" w:hAnsi="Arial,Bold" w:cs="Arial,Bold"/>
          <w:b/>
          <w:bCs/>
        </w:rPr>
        <w:t xml:space="preserve"> </w:t>
      </w:r>
      <w:r>
        <w:t>Trafi</w:t>
      </w:r>
      <w:r>
        <w:t xml:space="preserve"> tiedotti 1.9.2011, että kolmannes moottoripyöristä liian meluisia. Reilusti yli pu</w:t>
      </w:r>
      <w:r>
        <w:t>o</w:t>
      </w:r>
      <w:r>
        <w:t>leen</w:t>
      </w:r>
      <w:r w:rsidR="00DD5C4A">
        <w:rPr>
          <w:rFonts w:ascii="Arial,Bold" w:hAnsi="Arial,Bold" w:cs="Arial,Bold"/>
          <w:b/>
          <w:bCs/>
        </w:rPr>
        <w:t xml:space="preserve"> </w:t>
      </w:r>
      <w:r>
        <w:t>valvontaiskussa mitatuista moottoripyöristä oli vaihdettu alkuperäistä kovaään</w:t>
      </w:r>
      <w:r>
        <w:t>i</w:t>
      </w:r>
      <w:r>
        <w:t>sempi</w:t>
      </w:r>
      <w:r w:rsidR="00DD5C4A">
        <w:rPr>
          <w:rFonts w:ascii="Arial,Bold" w:hAnsi="Arial,Bold" w:cs="Arial,Bold"/>
          <w:b/>
          <w:bCs/>
        </w:rPr>
        <w:t xml:space="preserve"> </w:t>
      </w:r>
      <w:r>
        <w:t xml:space="preserve">pakoputkisto ja kolmannes </w:t>
      </w:r>
      <w:r>
        <w:t>ylitti</w:t>
      </w:r>
      <w:r>
        <w:t xml:space="preserve"> melurajat paikallaan tehtävässä valvontamitt</w:t>
      </w:r>
      <w:r>
        <w:t>a</w:t>
      </w:r>
      <w:r>
        <w:t>uksessa.</w:t>
      </w:r>
      <w:r w:rsidR="00DD5C4A">
        <w:rPr>
          <w:rFonts w:ascii="Arial,Bold" w:hAnsi="Arial,Bold" w:cs="Arial,Bold"/>
          <w:b/>
          <w:bCs/>
        </w:rPr>
        <w:t xml:space="preserve"> </w:t>
      </w:r>
      <w:r>
        <w:t>Useista moottoripyöristä oli myös poistettu katalysaattori, mikä lisää hu</w:t>
      </w:r>
      <w:r>
        <w:t>o</w:t>
      </w:r>
      <w:r>
        <w:t>mattavasti</w:t>
      </w:r>
      <w:r w:rsidR="00DD5C4A">
        <w:rPr>
          <w:rFonts w:ascii="Arial,Bold" w:hAnsi="Arial,Bold" w:cs="Arial,Bold"/>
          <w:b/>
          <w:bCs/>
        </w:rPr>
        <w:t xml:space="preserve"> </w:t>
      </w:r>
      <w:r>
        <w:t>niiden päästöjä. Poliisi saa kesäisin varsin runsaasti valvontapyyntöjä</w:t>
      </w:r>
      <w:r w:rsidR="00DD5C4A">
        <w:rPr>
          <w:rFonts w:ascii="Arial,Bold" w:hAnsi="Arial,Bold" w:cs="Arial,Bold"/>
          <w:b/>
          <w:bCs/>
        </w:rPr>
        <w:t xml:space="preserve"> </w:t>
      </w:r>
      <w:r>
        <w:t>moottoripyörien ja mopojen aiheuttaman meluhäiriön vuoksi. Muistiossa ei esitetä k</w:t>
      </w:r>
      <w:r>
        <w:t>e</w:t>
      </w:r>
      <w:r>
        <w:t>vyempiä</w:t>
      </w:r>
      <w:r w:rsidR="00DD5C4A">
        <w:rPr>
          <w:rFonts w:ascii="Arial,Bold" w:hAnsi="Arial,Bold" w:cs="Arial,Bold"/>
          <w:b/>
          <w:bCs/>
        </w:rPr>
        <w:t xml:space="preserve"> </w:t>
      </w:r>
      <w:r>
        <w:t xml:space="preserve">vaihtoehtoisia tapoja parantaa liikenneturvallisuutta. </w:t>
      </w:r>
      <w:r w:rsidRPr="00DD5C4A">
        <w:rPr>
          <w:rFonts w:ascii="Arial,Italic" w:hAnsi="Arial,Italic" w:cs="Arial,Italic"/>
          <w:iCs/>
        </w:rPr>
        <w:t xml:space="preserve">Sisäministeriön </w:t>
      </w:r>
      <w:r w:rsidRPr="00DD5C4A">
        <w:t>nä</w:t>
      </w:r>
      <w:r w:rsidRPr="00DD5C4A" w:rsidR="00DD5C4A">
        <w:t>k</w:t>
      </w:r>
      <w:r w:rsidRPr="00DD5C4A" w:rsidR="00DD5C4A">
        <w:t>e</w:t>
      </w:r>
      <w:r w:rsidRPr="00DD5C4A" w:rsidR="00DD5C4A">
        <w:t>myksen</w:t>
      </w:r>
      <w:r w:rsidR="00DD5C4A">
        <w:t xml:space="preserve"> mukaan poliisin</w:t>
      </w:r>
      <w:r w:rsidR="00AB2242">
        <w:t xml:space="preserve"> </w:t>
      </w:r>
      <w:r>
        <w:t>valvontaresursseilla ei pystytä toteuttamaan</w:t>
      </w:r>
      <w:r w:rsidR="00DD5C4A">
        <w:rPr>
          <w:rFonts w:ascii="Arial,Bold" w:hAnsi="Arial,Bold" w:cs="Arial,Bold"/>
          <w:b/>
          <w:bCs/>
        </w:rPr>
        <w:t xml:space="preserve"> </w:t>
      </w:r>
      <w:r>
        <w:t>vaihtoehtoisia tapoja toteuttaa direktiivin vaatimuksia.</w:t>
      </w:r>
    </w:p>
    <w:p w:rsidR="00DC45DB" w:rsidP="00DD5C4A">
      <w:pPr>
        <w:pStyle w:val="BodyText"/>
        <w:rPr>
          <w:b/>
        </w:rPr>
      </w:pPr>
      <w:r w:rsidRPr="00DC45DB">
        <w:rPr>
          <w:b/>
        </w:rPr>
        <w:t>3 § Määräaikaiskatsastusvelvollisuus</w:t>
      </w:r>
    </w:p>
    <w:p w:rsidR="00DD5C4A" w:rsidRPr="00DC45DB" w:rsidP="00DD5C4A">
      <w:pPr>
        <w:pStyle w:val="BodyText"/>
        <w:rPr>
          <w:b/>
        </w:rPr>
      </w:pPr>
      <w:r w:rsidRPr="00DC45DB">
        <w:rPr>
          <w:b/>
        </w:rPr>
        <w:t>2 momentti b) kohta</w:t>
      </w:r>
      <w:r>
        <w:rPr>
          <w:b/>
          <w:i/>
        </w:rPr>
        <w:br/>
      </w:r>
      <w:r>
        <w:t xml:space="preserve">Velvollisuus </w:t>
      </w:r>
      <w:r>
        <w:t>määräaikaiskatsastaa</w:t>
      </w:r>
      <w:r>
        <w:t xml:space="preserve"> takseina käytettävät ajoneuvot vuosittain ulotetta</w:t>
      </w:r>
      <w:r>
        <w:t>i</w:t>
      </w:r>
      <w:r>
        <w:t>siin koskemaan muitakin ajoneuvoja kuin henkilöautoja. Muutoksella ennakoidaan li</w:t>
      </w:r>
      <w:r>
        <w:t>i</w:t>
      </w:r>
      <w:r>
        <w:t xml:space="preserve">kennekaarilakiuudistuksen myötä tulevia muutoksia, jonka myötä taksiliikenteessä voitaisiin käyttää muitakin ajoneuvoja kuin henkilöautoja. Tämä on </w:t>
      </w:r>
      <w:r>
        <w:rPr>
          <w:rFonts w:ascii="Arial,Italic" w:hAnsi="Arial,Italic" w:cs="Arial,Italic"/>
        </w:rPr>
        <w:t xml:space="preserve">sisäministeriön </w:t>
      </w:r>
      <w:r>
        <w:t>näkemyksen mukaan perusteltua. Ajoneuvo tulee katsastaa vuoden sisällä siitä, kun ajoneuvoa käytetään kyseiseen ta</w:t>
      </w:r>
      <w:r w:rsidR="00DC45DB">
        <w:t>rkoitukseen. Sisäministeriö nostaa esille, että k</w:t>
      </w:r>
      <w:r>
        <w:t>o</w:t>
      </w:r>
      <w:r>
        <w:t>h</w:t>
      </w:r>
      <w:r>
        <w:t>dasta kuitenkin puutuu tarkempi määrittely siitä, miten katsastus on suoritettava tästä eteenpäin.</w:t>
      </w:r>
    </w:p>
    <w:p w:rsidR="00DD5C4A" w:rsidRPr="00AB2242" w:rsidP="00DD5C4A">
      <w:pPr>
        <w:pStyle w:val="BodyText"/>
        <w:rPr>
          <w:b/>
          <w:i/>
        </w:rPr>
      </w:pPr>
      <w:r w:rsidRPr="00DC45DB">
        <w:rPr>
          <w:b/>
        </w:rPr>
        <w:t>2 momentti c) kohta</w:t>
      </w:r>
      <w:r>
        <w:rPr>
          <w:b/>
          <w:i/>
        </w:rPr>
        <w:br/>
      </w:r>
      <w:r>
        <w:t>Asetuksella säädettäisiin traktoreiden määräaikaiskatsastuksesta. Tällä hetkellä mä</w:t>
      </w:r>
      <w:r>
        <w:t>ä</w:t>
      </w:r>
      <w:r>
        <w:t>räaikaiskatsastusvelvollisuus ei koske Suomessa traktoreita lainkaan. Jatkossa l</w:t>
      </w:r>
      <w:r>
        <w:t>u</w:t>
      </w:r>
      <w:r>
        <w:t xml:space="preserve">vanvaraisessa liikenteessä käytettävät traktorit tulisi katsastaa ensimmäisen kerran neljän vuoden kuluttua käyttöönotosta ja sen jälkeen kahden vuoden välein. </w:t>
      </w:r>
    </w:p>
    <w:p w:rsidR="00DD5C4A" w:rsidP="00DD5C4A">
      <w:pPr>
        <w:pStyle w:val="BodyText"/>
      </w:pPr>
      <w:r>
        <w:rPr>
          <w:rFonts w:ascii="Arial,Italic" w:hAnsi="Arial,Italic" w:cs="Arial,Italic"/>
        </w:rPr>
        <w:t xml:space="preserve">Sisäministeriön </w:t>
      </w:r>
      <w:r>
        <w:t>näkemyksen mukaan luvanvaraiseen liikenteeseen käytettävien tiett</w:t>
      </w:r>
      <w:r>
        <w:t>y</w:t>
      </w:r>
      <w:r>
        <w:t>jen traktoreiden lisäksi määräaikaiskatsastusvelvollisuus tulisi koskea myös muita ns. nopeita traktoreita. Kuten perustelumuistiossa todetaan, niin raskaiden ja nopeiden jatkuvasti tiellä liikkuvien ajoneuvojen kunnon valvonta on tärkeää liikenneturvallisu</w:t>
      </w:r>
      <w:r>
        <w:t>u</w:t>
      </w:r>
      <w:r>
        <w:t>den kannalta. Myös näissä ns. nopeissa traktoreissa käytettävät perävaunut tulisi r</w:t>
      </w:r>
      <w:r>
        <w:t>e</w:t>
      </w:r>
      <w:r>
        <w:t>kisteröidä ja katsastaa säännöllisesti. Nopeilla traktoreilla voidaan liikkua tiellä myös muussa tarkoituksessa kuin luvanvaraisessa liikenteessä.</w:t>
      </w:r>
    </w:p>
    <w:p w:rsidR="00DD5C4A" w:rsidRPr="00AB2242" w:rsidP="00DD5C4A">
      <w:pPr>
        <w:pStyle w:val="BodyText"/>
        <w:rPr>
          <w:b/>
          <w:i/>
        </w:rPr>
      </w:pPr>
      <w:r w:rsidRPr="00DC45DB">
        <w:rPr>
          <w:b/>
        </w:rPr>
        <w:t>2 momentti d) kohta</w:t>
      </w:r>
      <w:r>
        <w:rPr>
          <w:b/>
          <w:i/>
        </w:rPr>
        <w:br/>
      </w:r>
      <w:r>
        <w:t>Yksityiskäytössä olevien henkilöautojen, pakettiautojen, erikoisautojen, joiden kok</w:t>
      </w:r>
      <w:r>
        <w:t>o</w:t>
      </w:r>
      <w:r>
        <w:t>naismassa on enintään 3,5 tonnia, kevyiden nelipyörien sekä nelipyörien määräa</w:t>
      </w:r>
      <w:r>
        <w:t>i</w:t>
      </w:r>
      <w:r>
        <w:t>kaiskatsastuksen katsastusaikaväliä muutettaisiin nykyisestä. Jatkossa kyseiset aj</w:t>
      </w:r>
      <w:r>
        <w:t>o</w:t>
      </w:r>
      <w:r>
        <w:t xml:space="preserve">neuvot olisi määräaikaiskatsastettava ensimmäisen kerran viimeistään neljän vuoden kuluttua ajoneuvon käyttöönottopäivästä ja sen jälkeen kahden vuoden välein, yli kymmenen vuoden kuluttua käyttöönottopäivästä kuitenkin vuosittain. </w:t>
      </w:r>
    </w:p>
    <w:p w:rsidR="00DD5C4A" w:rsidP="00DD5C4A">
      <w:pPr>
        <w:pStyle w:val="BodyText"/>
      </w:pPr>
      <w:r>
        <w:rPr>
          <w:rFonts w:ascii="Arial,Italic" w:hAnsi="Arial,Italic" w:cs="Arial,Italic"/>
        </w:rPr>
        <w:t>Sisäministeriö esittää harkittavaksi</w:t>
      </w:r>
      <w:r>
        <w:t>, onko esitetyt määräaikaiskatsastusvälit turvall</w:t>
      </w:r>
      <w:r>
        <w:t>i</w:t>
      </w:r>
      <w:r>
        <w:t>suuden kannalta liian pitkiä erityisesti yli viisi vuotta vanhojen autojen kohdalta hu</w:t>
      </w:r>
      <w:r>
        <w:t>o</w:t>
      </w:r>
      <w:r>
        <w:t>mioiden muun muassa autojen määräaikaiskatsastuksissa</w:t>
      </w:r>
      <w:r w:rsidR="00AB2242">
        <w:t xml:space="preserve"> havaitut viat. </w:t>
      </w:r>
      <w:r>
        <w:t>Liikenteen turvallisuusviraston autojen mallikohtaisten katsastustilastojen</w:t>
      </w:r>
      <w:r>
        <w:rPr>
          <w:sz w:val="13"/>
          <w:szCs w:val="13"/>
        </w:rPr>
        <w:t xml:space="preserve"> </w:t>
      </w:r>
      <w:r>
        <w:t>mukaan autojen ke</w:t>
      </w:r>
      <w:r>
        <w:t>s</w:t>
      </w:r>
      <w:r>
        <w:t>kimääräiset hylkäysprosentit nousevat autojen ikääntyessä</w:t>
      </w:r>
      <w:r>
        <w:t xml:space="preserve"> (liite)</w:t>
      </w:r>
      <w:r>
        <w:t>.</w:t>
      </w:r>
      <w:r>
        <w:rPr>
          <w:sz w:val="13"/>
          <w:szCs w:val="13"/>
        </w:rPr>
        <w:t xml:space="preserve"> </w:t>
      </w:r>
      <w:r>
        <w:t>Tietyissä automa</w:t>
      </w:r>
      <w:r>
        <w:t>l</w:t>
      </w:r>
      <w:r>
        <w:t>leista hylkäysprosentit ovat varsin suuria jopa suhteellisen uusissa</w:t>
      </w:r>
      <w:r>
        <w:rPr>
          <w:sz w:val="13"/>
          <w:szCs w:val="13"/>
        </w:rPr>
        <w:t xml:space="preserve"> </w:t>
      </w:r>
      <w:r>
        <w:t>autoissa. Lisäksi on huomioitava, että osa autojen omistajista ja haltijoista korjauttaa</w:t>
      </w:r>
      <w:r>
        <w:rPr>
          <w:sz w:val="13"/>
          <w:szCs w:val="13"/>
        </w:rPr>
        <w:t xml:space="preserve"> </w:t>
      </w:r>
      <w:r>
        <w:t>autoja ennen ka</w:t>
      </w:r>
      <w:r>
        <w:t>t</w:t>
      </w:r>
      <w:r>
        <w:t>sastukseen vientiä. Todennäköisesti tiellä liikkuvia autoja hylättäisiin</w:t>
      </w:r>
      <w:r>
        <w:rPr>
          <w:sz w:val="13"/>
          <w:szCs w:val="13"/>
        </w:rPr>
        <w:t xml:space="preserve"> </w:t>
      </w:r>
      <w:r>
        <w:t>katsastustilastoja suurempia määriä, jos katsastus tehtäisiin ilman ennakkotietoa</w:t>
      </w:r>
      <w:r>
        <w:rPr>
          <w:sz w:val="13"/>
          <w:szCs w:val="13"/>
        </w:rPr>
        <w:t xml:space="preserve"> </w:t>
      </w:r>
      <w:r>
        <w:t>katsastuksesta.</w:t>
      </w:r>
    </w:p>
    <w:p w:rsidR="006456FC" w:rsidRPr="006456FC" w:rsidP="006456FC">
      <w:pPr>
        <w:pStyle w:val="BodyText"/>
        <w:ind w:left="0"/>
        <w:rPr>
          <w:b/>
        </w:rPr>
      </w:pPr>
      <w:r w:rsidRPr="006456FC">
        <w:rPr>
          <w:b/>
        </w:rPr>
        <w:t>Muuta</w:t>
      </w:r>
    </w:p>
    <w:p w:rsidR="00AB2242" w:rsidRPr="002F7A86" w:rsidP="00DD5C4A">
      <w:pPr>
        <w:pStyle w:val="BodyText"/>
      </w:pPr>
      <w:r>
        <w:t>Sisäm</w:t>
      </w:r>
      <w:r w:rsidR="006456FC">
        <w:t xml:space="preserve">inisteriön hallinnonalaan kuuluva </w:t>
      </w:r>
      <w:r w:rsidR="00812E1B">
        <w:t>Rajavartiolaitos valvoo rajavartiolain (578/2005) 20 §:n nojalla muun muassa ajoneuvojen liikennekelpoisuutta rajanylity</w:t>
      </w:r>
      <w:r w:rsidR="00812E1B">
        <w:t>s</w:t>
      </w:r>
      <w:r w:rsidR="004E0F0E">
        <w:t>paikoilla. M</w:t>
      </w:r>
      <w:r>
        <w:t>inisteriö pyytää huomioimaan, että</w:t>
      </w:r>
      <w:r w:rsidR="00812E1B">
        <w:t xml:space="preserve"> </w:t>
      </w:r>
      <w:r w:rsidRPr="002F7A86" w:rsidR="002F7A86">
        <w:t>ehdotettujen lakien voimaantulosta i</w:t>
      </w:r>
      <w:r w:rsidRPr="002F7A86" w:rsidR="002F7A86">
        <w:t>l</w:t>
      </w:r>
      <w:r w:rsidRPr="002F7A86" w:rsidR="002F7A86">
        <w:t xml:space="preserve">moitetaan </w:t>
      </w:r>
      <w:r w:rsidR="00812E1B">
        <w:t xml:space="preserve">aikanaan </w:t>
      </w:r>
      <w:r w:rsidRPr="002F7A86" w:rsidR="002F7A86">
        <w:t>vielä erikseen valvontavira</w:t>
      </w:r>
      <w:r w:rsidRPr="002F7A86" w:rsidR="002F7A86">
        <w:t>n</w:t>
      </w:r>
      <w:r w:rsidRPr="002F7A86" w:rsidR="002F7A86">
        <w:t xml:space="preserve">omaisille. </w:t>
      </w:r>
    </w:p>
    <w:p w:rsidR="002F7A86" w:rsidRPr="002F7A86" w:rsidP="00DD5C4A">
      <w:pPr>
        <w:pStyle w:val="BodyText"/>
      </w:pPr>
      <w:r w:rsidRPr="002F7A86">
        <w:t>Lisätietoja sisäministeriön lausunnosta antaa poliisitoimen osalta poliisitarkastaja Jari Pajunen.</w:t>
      </w:r>
      <w:bookmarkStart w:id="0" w:name="_GoBack"/>
      <w:bookmarkEnd w:id="0"/>
    </w:p>
    <w:p w:rsidR="00CF11FD" w:rsidP="002A6CD5">
      <w:pPr>
        <w:pStyle w:val="BodyText"/>
      </w:pPr>
    </w:p>
    <w:p w:rsidR="00CF11FD" w:rsidP="002A6CD5">
      <w:pPr>
        <w:pStyle w:val="BodyText"/>
      </w:pPr>
      <w:r>
        <w:t>Kansliapäällikkö</w:t>
      </w:r>
      <w:r w:rsidR="007878C0">
        <w:tab/>
      </w:r>
      <w:r>
        <w:t>Päivi Nerg</w:t>
      </w:r>
    </w:p>
    <w:p w:rsidR="00CF11FD" w:rsidP="00CF11FD">
      <w:pPr>
        <w:pStyle w:val="BodyText"/>
      </w:pPr>
    </w:p>
    <w:p w:rsidR="00CF11FD" w:rsidP="00CF11FD">
      <w:pPr>
        <w:pStyle w:val="BodyText"/>
      </w:pPr>
      <w:r>
        <w:t xml:space="preserve">Suunnittelija </w:t>
      </w:r>
      <w:r>
        <w:tab/>
      </w:r>
      <w:r w:rsidR="007878C0">
        <w:tab/>
      </w:r>
      <w:r>
        <w:t>Jenni Hopia</w:t>
      </w:r>
    </w:p>
    <w:p w:rsidR="008C5E06" w:rsidP="00CF11FD">
      <w:pPr>
        <w:pStyle w:val="BodyText"/>
      </w:pPr>
    </w:p>
    <w:p w:rsidR="00CF11FD" w:rsidP="00CF11FD">
      <w:pPr>
        <w:pStyle w:val="BodyText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>Asiakirja</w:t>
      </w:r>
      <w:r>
        <w:t xml:space="preserve"> </w:t>
      </w:r>
      <w:r>
        <w:t>on</w:t>
      </w:r>
      <w:r>
        <w:t xml:space="preserve"> </w:t>
      </w:r>
      <w:r>
        <w:t>sähköisesti</w:t>
      </w:r>
      <w:r>
        <w:t xml:space="preserve"> </w:t>
      </w:r>
      <w:r>
        <w:t>allekirjoitettu</w:t>
      </w:r>
      <w:r>
        <w:t xml:space="preserve"> </w:t>
      </w:r>
      <w:r>
        <w:t>asianhallintajärjestelmässä.</w:t>
      </w:r>
      <w:r>
        <w:t xml:space="preserve"> </w:t>
      </w:r>
      <w:r>
        <w:t>Sisäministeriö</w:t>
      </w:r>
      <w:r>
        <w:t xml:space="preserve"> </w:t>
      </w:r>
      <w:r>
        <w:t>10.01.2017</w:t>
      </w:r>
      <w:r>
        <w:t xml:space="preserve"> </w:t>
      </w:r>
      <w:r>
        <w:t>klo</w:t>
      </w:r>
      <w:r>
        <w:t xml:space="preserve"> </w:t>
      </w:r>
      <w:r>
        <w:t>12</w:t>
      </w:r>
      <w:r>
        <w:t>:</w:t>
      </w:r>
      <w:r>
        <w:t>27.</w:t>
      </w:r>
      <w:r>
        <w:t xml:space="preserve"> </w:t>
      </w:r>
      <w:r>
        <w:t>Allekirjoituksen</w:t>
      </w:r>
      <w:r>
        <w:t xml:space="preserve"> </w:t>
      </w:r>
      <w:r>
        <w:t>oikeellisuuden voi todentaa kirjaamosta.</w:t>
      </w:r>
      <w:r>
        <w:fldChar w:fldCharType="end"/>
      </w:r>
    </w:p>
    <w:p w:rsidR="00CF11FD" w:rsidP="00F874C0">
      <w:pPr>
        <w:pStyle w:val="BodyText"/>
      </w:pPr>
    </w:p>
    <w:p w:rsidR="008C5E06" w:rsidP="00F874C0">
      <w:pPr>
        <w:pStyle w:val="BodyText"/>
      </w:pPr>
    </w:p>
    <w:tbl>
      <w:tblPr>
        <w:tblStyle w:val="Eireunaviivaa"/>
        <w:tblW w:w="0" w:type="auto"/>
        <w:tblLayout w:type="fixed"/>
        <w:tblLook w:val="04A0"/>
      </w:tblPr>
      <w:tblGrid>
        <w:gridCol w:w="2608"/>
        <w:gridCol w:w="7761"/>
      </w:tblGrid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Liitteet</w:t>
            </w:r>
          </w:p>
        </w:tc>
        <w:tc>
          <w:tcPr>
            <w:tcW w:w="7761" w:type="dxa"/>
          </w:tcPr>
          <w:p w:rsidR="00CB3240" w:rsidP="00CB3240">
            <w:r>
              <w:t>Sisäministeriön lausunnon liite liikenne- ja viestintäministeriön lausuntopyyntöön LVM/1162/03/2016</w:t>
            </w:r>
          </w:p>
          <w:p w:rsidR="00CF11FD" w:rsidRPr="00242B73" w:rsidP="00CF11FD">
            <w:pPr>
              <w:rPr>
                <w:sz w:val="20"/>
                <w:szCs w:val="20"/>
              </w:rPr>
            </w:pPr>
          </w:p>
        </w:tc>
      </w:tr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Jakelu</w:t>
            </w:r>
          </w:p>
        </w:tc>
        <w:tc>
          <w:tcPr>
            <w:tcW w:w="7761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  <w:r>
              <w:t>Liikenne- ja viestintäministeriö</w:t>
            </w:r>
          </w:p>
        </w:tc>
      </w:tr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Tiedoksi</w:t>
            </w:r>
          </w:p>
        </w:tc>
        <w:tc>
          <w:tcPr>
            <w:tcW w:w="7761" w:type="dxa"/>
          </w:tcPr>
          <w:p w:rsidR="00CF11FD" w:rsidP="00CF11FD">
            <w:r>
              <w:t xml:space="preserve">Sisäministeri </w:t>
            </w:r>
            <w:r>
              <w:t>Risikko</w:t>
            </w:r>
          </w:p>
          <w:p w:rsidR="002F7A86" w:rsidP="00CF11FD">
            <w:r>
              <w:t xml:space="preserve">Erityisavustajat Hannonen ja </w:t>
            </w:r>
            <w:r>
              <w:t>Rönnholm</w:t>
            </w:r>
          </w:p>
          <w:p w:rsidR="002F7A86" w:rsidP="00CF11FD">
            <w:r>
              <w:t>Poliisitarkastaja Pajunen</w:t>
            </w:r>
          </w:p>
          <w:p w:rsidR="002F7A86" w:rsidRPr="00242B73" w:rsidP="00CF11FD">
            <w:pPr>
              <w:rPr>
                <w:sz w:val="20"/>
                <w:szCs w:val="20"/>
              </w:rPr>
            </w:pPr>
            <w:r>
              <w:t>Rajavartioylitarkastaja Normia</w:t>
            </w:r>
          </w:p>
        </w:tc>
      </w:tr>
    </w:tbl>
    <w:p w:rsidR="00162585" w:rsidP="00162585"/>
    <w:p w:rsidR="00D76923"/>
    <w:p w:rsidR="0035265B"/>
    <w:p w:rsidR="008C5E06" w:rsidRPr="00162585" w:rsidP="00D76923"/>
    <w:sectPr w:rsidSect="002208F1">
      <w:headerReference w:type="default" r:id="rId5"/>
      <w:headerReference w:type="first" r:id="rId6"/>
      <w:footerReference w:type="first" r:id="rId7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275" w:type="dxa"/>
      <w:tblLayout w:type="fixed"/>
      <w:tblCellMar>
        <w:right w:w="0" w:type="dxa"/>
      </w:tblCellMar>
      <w:tblLook w:val="04A0"/>
    </w:tblPr>
    <w:tblGrid>
      <w:gridCol w:w="2586"/>
      <w:gridCol w:w="1809"/>
      <w:gridCol w:w="2126"/>
      <w:gridCol w:w="1843"/>
      <w:gridCol w:w="1911"/>
    </w:tblGrid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 w:rsidRPr="00755304">
            <w:rPr>
              <w:color w:val="59B5A4"/>
            </w:rPr>
            <w:t>Virkasähköpostiosoite: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Sisäministeriö</w:t>
          </w:r>
        </w:p>
      </w:tc>
      <w:tc>
        <w:tcPr>
          <w:tcW w:w="2126" w:type="dxa"/>
        </w:tcPr>
        <w:p w:rsidR="00C32D98" w:rsidRPr="00EF222F" w:rsidP="006A5C73">
          <w:pPr>
            <w:pStyle w:val="Footer"/>
          </w:pPr>
          <w:r>
            <w:t>Erottajankatu 2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t xml:space="preserve">Vaihde 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kirjaamo@intermin.fi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PL 26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>
            <w:t>Helsinki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6536B0">
            <w:t>0295 480 171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www.intermin.fi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00023 Valtioneuvosto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P="001811CD">
          <w:pPr>
            <w:pStyle w:val="Footer"/>
          </w:pP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P="002752F1">
          <w:pPr>
            <w:pStyle w:val="Footer"/>
          </w:pPr>
          <w:r>
            <w:t xml:space="preserve">09 1604 </w:t>
          </w:r>
          <w:r w:rsidRPr="00703C49">
            <w:rPr>
              <w:szCs w:val="16"/>
            </w:rPr>
            <w:t>4635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</w:tbl>
  <w:p w:rsidR="00EF222F" w:rsidP="00EF222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347" w:type="dxa"/>
      <w:tblLayout w:type="fixed"/>
      <w:tblLook w:val="04A0"/>
    </w:tblPr>
    <w:tblGrid>
      <w:gridCol w:w="5222"/>
      <w:gridCol w:w="2608"/>
      <w:gridCol w:w="1463"/>
      <w:gridCol w:w="1054"/>
    </w:tblGrid>
    <w:tr w:rsidTr="005E4795">
      <w:tblPrEx>
        <w:tblW w:w="10347" w:type="dxa"/>
        <w:tblLayout w:type="fixed"/>
        <w:tblLook w:val="04A0"/>
      </w:tblPrEx>
      <w:tc>
        <w:tcPr>
          <w:tcW w:w="5222" w:type="dxa"/>
        </w:tcPr>
        <w:p w:rsidR="0035265B" w:rsidRPr="00770045" w:rsidP="005E4795">
          <w:pPr>
            <w:pStyle w:val="Header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</w:tcPr>
        <w:p w:rsidR="0035265B" w:rsidP="005E4795">
          <w:pPr>
            <w:pStyle w:val="Header"/>
          </w:pPr>
        </w:p>
      </w:tc>
      <w:tc>
        <w:tcPr>
          <w:tcW w:w="1054" w:type="dxa"/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C4F1B">
            <w:rPr>
              <w:noProof/>
              <w:sz w:val="18"/>
              <w:szCs w:val="18"/>
            </w:rPr>
            <w:t>3</w:t>
          </w:r>
          <w:r>
            <w:fldChar w:fldCharType="end"/>
          </w:r>
          <w:r>
            <w:t xml:space="preserve"> (</w:t>
          </w:r>
          <w:r w:rsidR="002C4F1B">
            <w:fldChar w:fldCharType="begin"/>
          </w:r>
          <w:r w:rsidR="002C4F1B">
            <w:instrText xml:space="preserve"> NUMPAGES   \* MERGEFORMAT </w:instrText>
          </w:r>
          <w:r w:rsidR="002C4F1B">
            <w:fldChar w:fldCharType="separate"/>
          </w:r>
          <w:r w:rsidR="002C4F1B">
            <w:rPr>
              <w:noProof/>
              <w:sz w:val="18"/>
              <w:szCs w:val="18"/>
            </w:rPr>
            <w:t>3</w:t>
          </w:r>
          <w:r w:rsidR="002C4F1B">
            <w:fldChar w:fldCharType="end"/>
          </w:r>
          <w:r>
            <w:t>)</w:t>
          </w: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10.01.2017</w:t>
          </w:r>
          <w:r>
            <w:fldChar w:fldCharType="end"/>
          </w: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</w:tbl>
  <w:p w:rsidR="00D64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948" w:type="dxa"/>
      <w:tblInd w:w="-567" w:type="dxa"/>
      <w:tblLayout w:type="fixed"/>
      <w:tblLook w:val="04A0"/>
    </w:tblPr>
    <w:tblGrid>
      <w:gridCol w:w="5823"/>
      <w:gridCol w:w="2608"/>
      <w:gridCol w:w="1463"/>
      <w:gridCol w:w="1054"/>
    </w:tblGrid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 w:val="restart"/>
          <w:tcMar>
            <w:left w:w="0" w:type="dxa"/>
          </w:tcMar>
        </w:tcPr>
        <w:p w:rsidR="0035265B" w:rsidRPr="00F063F8" w:rsidP="005E4795">
          <w:pPr>
            <w:pStyle w:val="Header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ogo" id="0" name="Picture 1"/>
                        <pic:cNvPicPr>
                          <a:picLocks noChangeArrowheads="1" noChangeAspect="1"/>
                        </pic:cNvPicPr>
                      </pic:nvPicPr>
                      <pic:blipFill>
                        <a:blip xmlns:r="http://schemas.openxmlformats.org/officeDocument/2006/relationships" cstate="print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9779D7" w:rsidP="005E4795">
          <w:pPr>
            <w:pStyle w:val="Header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sm_id  \* MERGEFORMAT </w:instrText>
          </w:r>
          <w:r>
            <w:fldChar w:fldCharType="separate"/>
          </w:r>
          <w:r w:rsidR="007878C0">
            <w:rPr>
              <w:noProof/>
              <w:sz w:val="18"/>
              <w:szCs w:val="18"/>
            </w:rPr>
            <w:t>SM1714903</w:t>
          </w:r>
          <w:r>
            <w:fldChar w:fldCharType="end"/>
          </w: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C4F1B">
            <w:rPr>
              <w:noProof/>
              <w:sz w:val="18"/>
              <w:szCs w:val="18"/>
            </w:rPr>
            <w:t>1</w:t>
          </w:r>
          <w:r>
            <w:fldChar w:fldCharType="end"/>
          </w:r>
          <w:r>
            <w:t xml:space="preserve"> (</w:t>
          </w:r>
          <w:r w:rsidR="002C4F1B">
            <w:fldChar w:fldCharType="begin"/>
          </w:r>
          <w:r w:rsidR="002C4F1B">
            <w:instrText xml:space="preserve"> NUMPAGES   \* MERGEFORMAT </w:instrText>
          </w:r>
          <w:r w:rsidR="002C4F1B">
            <w:fldChar w:fldCharType="separate"/>
          </w:r>
          <w:r w:rsidR="002C4F1B">
            <w:rPr>
              <w:noProof/>
              <w:sz w:val="18"/>
              <w:szCs w:val="18"/>
            </w:rPr>
            <w:t>3</w:t>
          </w:r>
          <w:r w:rsidR="002C4F1B">
            <w:fldChar w:fldCharType="end"/>
          </w:r>
          <w:r>
            <w:t>)</w:t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sm_asiaryhmä  \* MERGEFORMAT </w:instrText>
          </w:r>
          <w:r>
            <w:fldChar w:fldCharType="separate"/>
          </w:r>
          <w:r w:rsidR="007878C0">
            <w:rPr>
              <w:noProof/>
              <w:sz w:val="18"/>
              <w:szCs w:val="18"/>
            </w:rPr>
            <w:t>00.02.04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sm_diaarinro  \* MERGEFORMAT </w:instrText>
          </w:r>
          <w:r>
            <w:fldChar w:fldCharType="separate"/>
          </w:r>
          <w:r w:rsidR="007878C0">
            <w:rPr>
              <w:noProof/>
              <w:sz w:val="18"/>
              <w:szCs w:val="18"/>
            </w:rPr>
            <w:t>SMDno-2016-1910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 w:rsidR="00617AED">
            <w:rPr>
              <w:noProof/>
              <w:sz w:val="18"/>
              <w:szCs w:val="18"/>
            </w:rPr>
            <w:t>10.01.2017</w:t>
          </w:r>
          <w:r>
            <w:fldChar w:fldCharType="end"/>
          </w: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</w:p>
      </w:tc>
    </w:tr>
  </w:tbl>
  <w:p w:rsidR="002723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</w:abstractNum>
  <w:abstractNum w:abstractNumId="3">
    <w:nsid w:val="11C27B62"/>
    <w:multiLevelType w:val="multilevel"/>
    <w:tmpl w:val="5BD42AB8"/>
    <w:numStyleLink w:val="Numeroituotsikointi"/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ListNumber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ListBullet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clrSchemeMapping w:bg1="light1" w:t1="dark1" w:bg2="light2" w:t2="dark2" w:accent1="accent1" w:accent2="accent2" w:accent3="accent3" w:accent4="accent4" w:accent5="accent5" w:accent6="accent6" w:hyperlink="hyperlink" w:followedHyperlink="followedHyperlink"/>
  <w:proofState w:spelling="clean" w:grammar="clean"/>
  <w:doNotTrackMoves/>
  <w:defaultTabStop w:val="1304"/>
  <w:autoHyphenation/>
  <w:hyphenationZone w:val="425"/>
  <w:characterSpacingControl w:val="doNotCompress"/>
  <m:mathPr>
    <m:mathFont m:val="Cambria Math"/>
  </m:mathPr>
  <w:compat/>
  <w:themeFontLang w:val="fi-FI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l">
    <w:name w:val="Normal"/>
    <w:qFormat/>
    <w:rsid w:val="002752F1"/>
  </w:style>
  <w:style w:type="paragraph" w:styleId="Heading1">
    <w:name w:val="heading 1"/>
    <w:basedOn w:val="Normal"/>
    <w:next w:val="BodyText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Heading2">
    <w:name w:val="heading 2"/>
    <w:basedOn w:val="Normal"/>
    <w:next w:val="BodyText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Heading3">
    <w:name w:val="heading 3"/>
    <w:basedOn w:val="Normal"/>
    <w:next w:val="BodyText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Heading4">
    <w:name w:val="heading 4"/>
    <w:basedOn w:val="Normal"/>
    <w:next w:val="BodyText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Heading5">
    <w:name w:val="heading 5"/>
    <w:basedOn w:val="Normal"/>
    <w:next w:val="BodyText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Heading6">
    <w:name w:val="heading 6"/>
    <w:basedOn w:val="Normal"/>
    <w:next w:val="BodyText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Heading7">
    <w:name w:val="heading 7"/>
    <w:basedOn w:val="Normal"/>
    <w:next w:val="BodyText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Heading8">
    <w:name w:val="heading 8"/>
    <w:basedOn w:val="Normal"/>
    <w:next w:val="BodyText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Heading9">
    <w:name w:val="heading 9"/>
    <w:basedOn w:val="Normal"/>
    <w:next w:val="BodyText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DefaultParagraphFont"/>
    <w:link w:val="Header"/>
    <w:uiPriority w:val="99"/>
    <w:rsid w:val="0035265B"/>
    <w:rPr>
      <w:rFonts w:ascii="Arial" w:hAnsi="Arial"/>
      <w:noProof/>
      <w:sz w:val="20"/>
      <w:szCs w:val="18"/>
    </w:rPr>
  </w:style>
  <w:style w:type="paragraph" w:styleId="Footer">
    <w:name w:val="footer"/>
    <w:basedOn w:val="Normal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DefaultParagraphFont"/>
    <w:link w:val="Footer"/>
    <w:uiPriority w:val="99"/>
    <w:rsid w:val="0035265B"/>
    <w:rPr>
      <w:rFonts w:ascii="Arial" w:hAnsi="Arial"/>
      <w:sz w:val="16"/>
      <w:szCs w:val="18"/>
    </w:rPr>
  </w:style>
  <w:style w:type="table" w:styleId="TableGrid">
    <w:name w:val="Table Grid"/>
    <w:basedOn w:val="TableNormal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ListNumber">
    <w:name w:val="List Number"/>
    <w:basedOn w:val="Normal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laceholderText">
    <w:name w:val="Placeholder Text"/>
    <w:basedOn w:val="DefaultParagraphFont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DefaultParagraphFont"/>
    <w:link w:val="Heading1"/>
    <w:uiPriority w:val="9"/>
    <w:rsid w:val="0035265B"/>
    <w:rPr>
      <w:rFonts w:ascii="Arial" w:hAnsi="Arial"/>
      <w:bCs/>
      <w:sz w:val="18"/>
      <w:szCs w:val="28"/>
    </w:rPr>
  </w:style>
  <w:style w:type="paragraph" w:styleId="TOCHeading">
    <w:name w:val="TOC Heading"/>
    <w:next w:val="Normal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TableNormal"/>
    <w:uiPriority w:val="99"/>
    <w:rsid w:val="0035265B"/>
    <w:rPr>
      <w:sz w:val="18"/>
      <w:szCs w:val="18"/>
    </w:rPr>
    <w:tblPr/>
  </w:style>
  <w:style w:type="paragraph" w:styleId="BalloonText">
    <w:name w:val="Balloon Text"/>
    <w:basedOn w:val="Normal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DefaultParagraphFont"/>
    <w:link w:val="Title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BodyText">
    <w:name w:val="Body Text"/>
    <w:basedOn w:val="Normal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DefaultParagraphFont"/>
    <w:link w:val="BodyText"/>
    <w:uiPriority w:val="1"/>
    <w:rsid w:val="0035265B"/>
    <w:rPr>
      <w:sz w:val="18"/>
      <w:szCs w:val="18"/>
    </w:rPr>
  </w:style>
  <w:style w:type="paragraph" w:styleId="NoSpacing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DefaultParagraphFont"/>
    <w:link w:val="Heading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DefaultParagraphFont"/>
    <w:link w:val="Heading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DefaultParagraphFont"/>
    <w:link w:val="Heading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DefaultParagraphFont"/>
    <w:link w:val="Heading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DefaultParagraphFont"/>
    <w:link w:val="Heading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DefaultParagraphFont"/>
    <w:link w:val="Heading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DefaultParagraphFont"/>
    <w:link w:val="Heading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DefaultParagraphFont"/>
    <w:link w:val="Heading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BodyText"/>
    <w:next w:val="BodyText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l"/>
    <w:qFormat/>
    <w:rsid w:val="0035265B"/>
  </w:style>
  <w:style w:type="paragraph" w:styleId="FootnoteText">
    <w:name w:val="footnote text"/>
    <w:basedOn w:val="Normal"/>
    <w:link w:val="AlaviitteentekstiChar"/>
    <w:uiPriority w:val="99"/>
    <w:semiHidden/>
    <w:unhideWhenUsed/>
    <w:rsid w:val="00AB2242"/>
  </w:style>
  <w:style w:type="character" w:customStyle="1" w:styleId="AlaviitteentekstiChar">
    <w:name w:val="Alaviitteen teksti Char"/>
    <w:basedOn w:val="DefaultParagraphFont"/>
    <w:link w:val="FootnoteText"/>
    <w:uiPriority w:val="99"/>
    <w:semiHidden/>
    <w:rsid w:val="00AB2242"/>
  </w:style>
  <w:style w:type="character" w:styleId="FootnoteReference">
    <w:name w:val="footnote reference"/>
    <w:basedOn w:val="DefaultParagraphFont"/>
    <w:uiPriority w:val="99"/>
    <w:semiHidden/>
    <w:unhideWhenUsed/>
    <w:rsid w:val="00AB22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22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99E6-7556-481A-B8E1-EBEC02D2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890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Hopia Jenni SM</cp:lastModifiedBy>
  <cp:revision>15</cp:revision>
  <dcterms:created xsi:type="dcterms:W3CDTF">2015-04-15T10:06:00Z</dcterms:created>
  <dcterms:modified xsi:type="dcterms:W3CDTF">2017-01-10T08:13:00Z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10.01.2017 klo 12:27.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SMDno-2016-1910</vt:lpwstr>
  </property>
  <property fmtid="{D5CDD505-2E9C-101B-9397-08002B2CF9AE}" pid="6" name="sm_id">
    <vt:lpwstr>SM1714903</vt:lpwstr>
  </property>
  <property fmtid="{D5CDD505-2E9C-101B-9397-08002B2CF9AE}" pid="7" name="sm_käsittelyluokka">
    <vt:lpwstr/>
  </property>
  <property fmtid="{D5CDD505-2E9C-101B-9397-08002B2CF9AE}" pid="8" name="sm_laatija">
    <vt:lpwstr>Jenni Hopia</vt:lpwstr>
  </property>
  <property fmtid="{D5CDD505-2E9C-101B-9397-08002B2CF9AE}" pid="9" name="sm_laatimispvm">
    <vt:lpwstr>09.01.2017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Hallinto- ja kehittämisosasto</vt:lpwstr>
  </property>
  <property fmtid="{D5CDD505-2E9C-101B-9397-08002B2CF9AE}" pid="14" name="sm_otsikko">
    <vt:lpwstr>Sisäministeriön lausunto</vt:lpwstr>
  </property>
  <property fmtid="{D5CDD505-2E9C-101B-9397-08002B2CF9AE}" pid="15" name="sm_pvm">
    <vt:lpwstr>10.01.2017</vt:lpwstr>
  </property>
  <property fmtid="{D5CDD505-2E9C-101B-9397-08002B2CF9AE}" pid="16" name="sm_salassapitoperuste">
    <vt:lpwstr/>
  </property>
  <property fmtid="{D5CDD505-2E9C-101B-9397-08002B2CF9AE}" pid="17" name="sm_tila">
    <vt:lpwstr>Allekirjoitettavana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