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9F067D" w:rsidP="007A598C">
            <w:pPr>
              <w:pStyle w:val="Normaali9pt"/>
              <w:rPr>
                <w:b/>
              </w:rPr>
            </w:pPr>
            <w:r>
              <w:rPr>
                <w:b/>
              </w:rPr>
              <w:t>Lausunto</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5A0072" w:rsidP="005A0072">
            <w:pPr>
              <w:pStyle w:val="Normaali9pt"/>
            </w:pPr>
            <w:r>
              <w:t>Tieto-o</w:t>
            </w:r>
            <w:r w:rsidR="00CD249F" w:rsidRPr="00966B06">
              <w:t xml:space="preserve">sasto / </w:t>
            </w:r>
            <w:r>
              <w:t>Turvallisuusy</w:t>
            </w:r>
            <w:r w:rsidR="00CD249F" w:rsidRPr="00966B06">
              <w:t>ksikkö</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5A0072" w:rsidP="002D334D">
            <w:pPr>
              <w:pStyle w:val="Normaali9pt"/>
            </w:pPr>
            <w:r>
              <w:t>LVM/1936/02/2016</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5A0072" w:rsidP="002D334D">
            <w:pPr>
              <w:pStyle w:val="Normaali9pt"/>
            </w:pPr>
            <w:r>
              <w:t>Maija Rönkä</w:t>
            </w:r>
          </w:p>
        </w:tc>
        <w:tc>
          <w:tcPr>
            <w:tcW w:w="2617" w:type="dxa"/>
            <w:tcBorders>
              <w:top w:val="nil"/>
              <w:left w:val="nil"/>
              <w:bottom w:val="nil"/>
              <w:right w:val="nil"/>
            </w:tcBorders>
          </w:tcPr>
          <w:p w:rsidR="00FE355C" w:rsidRPr="00966B06" w:rsidRDefault="005A0072" w:rsidP="002D334D">
            <w:pPr>
              <w:pStyle w:val="Normaali9pt"/>
            </w:pPr>
            <w:r>
              <w:t>13.1.2016</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FE355C" w:rsidRPr="00966B06" w:rsidTr="005C7446">
        <w:trPr>
          <w:gridAfter w:val="2"/>
          <w:wAfter w:w="5182" w:type="dxa"/>
          <w:cantSplit/>
          <w:trHeight w:hRule="exact" w:val="255"/>
        </w:trPr>
        <w:tc>
          <w:tcPr>
            <w:tcW w:w="5166" w:type="dxa"/>
            <w:tcBorders>
              <w:top w:val="nil"/>
              <w:left w:val="nil"/>
              <w:bottom w:val="nil"/>
              <w:right w:val="nil"/>
            </w:tcBorders>
          </w:tcPr>
          <w:p w:rsidR="00FE355C" w:rsidRPr="00966B06" w:rsidRDefault="00FE355C" w:rsidP="002D334D"/>
        </w:tc>
      </w:tr>
      <w:tr w:rsidR="00CD249F" w:rsidRPr="00966B06" w:rsidTr="005C7446">
        <w:trPr>
          <w:gridAfter w:val="2"/>
          <w:wAfter w:w="5182" w:type="dxa"/>
          <w:cantSplit/>
          <w:trHeight w:hRule="exact" w:val="907"/>
        </w:trPr>
        <w:tc>
          <w:tcPr>
            <w:tcW w:w="5166" w:type="dxa"/>
            <w:tcBorders>
              <w:top w:val="nil"/>
              <w:left w:val="nil"/>
              <w:bottom w:val="nil"/>
              <w:right w:val="nil"/>
            </w:tcBorders>
          </w:tcPr>
          <w:p w:rsidR="00CD249F" w:rsidRPr="00FB13A9" w:rsidRDefault="00CD249F" w:rsidP="00FB13A9">
            <w:pPr>
              <w:rPr>
                <w:b/>
              </w:rPr>
            </w:pPr>
          </w:p>
        </w:tc>
      </w:tr>
    </w:tbl>
    <w:p w:rsidR="000E60B6" w:rsidRPr="00966B06" w:rsidRDefault="000E60B6" w:rsidP="009F18EF">
      <w:pPr>
        <w:sectPr w:rsidR="000E60B6" w:rsidRPr="00966B06" w:rsidSect="00480485">
          <w:headerReference w:type="default" r:id="rId9"/>
          <w:footerReference w:type="default" r:id="rId10"/>
          <w:headerReference w:type="first" r:id="rId11"/>
          <w:footerReference w:type="first" r:id="rId12"/>
          <w:pgSz w:w="11906" w:h="16838" w:code="9"/>
          <w:pgMar w:top="1134" w:right="567" w:bottom="1616" w:left="1134" w:header="612" w:footer="284" w:gutter="0"/>
          <w:cols w:space="720"/>
          <w:titlePg/>
          <w:docGrid w:linePitch="360"/>
        </w:sectPr>
      </w:pPr>
    </w:p>
    <w:p w:rsidR="00FB13A9" w:rsidRDefault="00FB13A9" w:rsidP="00FB13A9">
      <w:pPr>
        <w:pStyle w:val="Leipteksti"/>
        <w:ind w:left="0"/>
        <w:rPr>
          <w:b/>
        </w:rPr>
      </w:pPr>
    </w:p>
    <w:p w:rsidR="00FB13A9" w:rsidRDefault="00FB13A9" w:rsidP="00FB13A9">
      <w:pPr>
        <w:pStyle w:val="Leipteksti"/>
        <w:ind w:left="0"/>
      </w:pPr>
    </w:p>
    <w:p w:rsidR="00FB13A9" w:rsidRPr="00FB13A9" w:rsidRDefault="00FB13A9" w:rsidP="00FB13A9">
      <w:pPr>
        <w:pStyle w:val="Leipteksti"/>
      </w:pPr>
    </w:p>
    <w:p w:rsidR="009F18EF" w:rsidRPr="00966B06" w:rsidRDefault="000D32AE" w:rsidP="009F067D">
      <w:pPr>
        <w:pStyle w:val="Otsikkonum2"/>
        <w:numPr>
          <w:ilvl w:val="0"/>
          <w:numId w:val="0"/>
        </w:numPr>
        <w:ind w:left="1152" w:hanging="1152"/>
      </w:pPr>
      <w:r>
        <w:t>Luottamuksellisen viestin salaisuus – perustuslakisääntelyn tarkistaminen</w:t>
      </w:r>
    </w:p>
    <w:p w:rsidR="009F18EF" w:rsidRDefault="009F18EF" w:rsidP="000D32AE">
      <w:pPr>
        <w:pStyle w:val="Leipteksti"/>
        <w:ind w:left="0"/>
      </w:pPr>
    </w:p>
    <w:p w:rsidR="0026089F" w:rsidRDefault="000D32AE" w:rsidP="007368C7">
      <w:pPr>
        <w:pStyle w:val="Leipteksti"/>
        <w:ind w:left="0"/>
        <w:jc w:val="both"/>
      </w:pPr>
      <w:r w:rsidRPr="00972CB4">
        <w:t>Oikeusministeriö on antanut 11.10.2016 mietinnön perustuslakisääntelyn tarkistamisesta koskien luo</w:t>
      </w:r>
      <w:r w:rsidRPr="00972CB4">
        <w:t>t</w:t>
      </w:r>
      <w:r w:rsidRPr="00972CB4">
        <w:t xml:space="preserve">tamuksellisen viestin salaisuutta.  Mietintö liittyy laajempaan sotilas- ja siviilitiedustelua </w:t>
      </w:r>
      <w:r w:rsidR="001F7FC3" w:rsidRPr="00972CB4">
        <w:t>sekä tiedust</w:t>
      </w:r>
      <w:r w:rsidR="001F7FC3" w:rsidRPr="00972CB4">
        <w:t>e</w:t>
      </w:r>
      <w:r w:rsidR="001F7FC3" w:rsidRPr="00972CB4">
        <w:t xml:space="preserve">lun viranomaisvalvontaa </w:t>
      </w:r>
      <w:r w:rsidRPr="00972CB4">
        <w:t>koskevien lakien valmistelun kokonaisuuteen</w:t>
      </w:r>
      <w:r w:rsidR="001F7FC3" w:rsidRPr="00972CB4">
        <w:t xml:space="preserve">. Liikenne- ja viestintäministeriö on nimennyt </w:t>
      </w:r>
      <w:r w:rsidR="0026089F">
        <w:t xml:space="preserve">oikeusministeriön perustuslakityöryhmän lisäksi </w:t>
      </w:r>
      <w:r w:rsidR="001F7FC3" w:rsidRPr="00972CB4">
        <w:t>pysyvät asiantuntijat puolustusminister</w:t>
      </w:r>
      <w:r w:rsidR="001F7FC3" w:rsidRPr="00972CB4">
        <w:t>i</w:t>
      </w:r>
      <w:r w:rsidR="001F7FC3" w:rsidRPr="00972CB4">
        <w:t>ön</w:t>
      </w:r>
      <w:r w:rsidR="0026089F">
        <w:t xml:space="preserve"> sekä</w:t>
      </w:r>
      <w:r w:rsidR="001F7FC3" w:rsidRPr="00972CB4">
        <w:t xml:space="preserve"> sisäministeriön</w:t>
      </w:r>
      <w:r w:rsidR="0026089F">
        <w:t xml:space="preserve"> työryhmiin</w:t>
      </w:r>
      <w:r w:rsidR="001F7FC3" w:rsidRPr="00972CB4">
        <w:t xml:space="preserve">. </w:t>
      </w:r>
    </w:p>
    <w:p w:rsidR="0026089F" w:rsidRDefault="0026089F" w:rsidP="007368C7">
      <w:pPr>
        <w:pStyle w:val="Leipteksti"/>
        <w:ind w:left="0"/>
        <w:jc w:val="both"/>
      </w:pPr>
    </w:p>
    <w:p w:rsidR="000D32AE" w:rsidRPr="00972CB4" w:rsidRDefault="001F7FC3" w:rsidP="007368C7">
      <w:pPr>
        <w:pStyle w:val="Leipteksti"/>
        <w:ind w:left="0"/>
        <w:jc w:val="both"/>
      </w:pPr>
      <w:r w:rsidRPr="00972CB4">
        <w:t>Liikenne- ja viestintäministeriö on tiedustelulainsäädäntöä valmisteltaessa pitänyt tärkeänä, että lai</w:t>
      </w:r>
      <w:r w:rsidRPr="00972CB4">
        <w:t>n</w:t>
      </w:r>
      <w:r w:rsidRPr="00972CB4">
        <w:t>säädännön valmistelun yhteydessä tarkasteltaisiin erilaisia vaihtoehtoisia keinoja, joilla viranomaisille voitaisiin turvata sellaiset tehokkaat ja oikeasuhtaiset toimivaltuudet lakisääteisten tehtäviensä suori</w:t>
      </w:r>
      <w:r w:rsidRPr="00972CB4">
        <w:t>t</w:t>
      </w:r>
      <w:r w:rsidRPr="00972CB4">
        <w:t>tamiseen, joista aiheutuisi kuitenkin mahdollisimman vähän haittaa suhteessa tavoiteltavaan päämä</w:t>
      </w:r>
      <w:r w:rsidRPr="00972CB4">
        <w:t>ä</w:t>
      </w:r>
      <w:r w:rsidRPr="00972CB4">
        <w:t xml:space="preserve">rään. </w:t>
      </w:r>
      <w:r w:rsidR="000D32AE" w:rsidRPr="00972CB4">
        <w:t xml:space="preserve"> </w:t>
      </w:r>
    </w:p>
    <w:p w:rsidR="001F7FC3" w:rsidRPr="00972CB4" w:rsidRDefault="001F7FC3" w:rsidP="007368C7">
      <w:pPr>
        <w:pStyle w:val="Leipteksti"/>
        <w:ind w:left="0"/>
        <w:jc w:val="both"/>
      </w:pPr>
    </w:p>
    <w:p w:rsidR="001F7FC3" w:rsidRPr="00972CB4" w:rsidRDefault="001F7FC3" w:rsidP="007368C7">
      <w:pPr>
        <w:jc w:val="both"/>
      </w:pPr>
      <w:r w:rsidRPr="00972CB4">
        <w:t>Perustuslain 10 §:n mukaan luottamuksellisen viestin salaisuuden suoja on loukkaamaton. Pykälään sisältyy lakivaraus, jonka oikeuttaa viranomaisen rajoittamaan suojaa vain perustuslaissa määritellyi</w:t>
      </w:r>
      <w:r w:rsidRPr="00972CB4">
        <w:t>l</w:t>
      </w:r>
      <w:r w:rsidRPr="00972CB4">
        <w:t>lä edellytyksil</w:t>
      </w:r>
      <w:r w:rsidR="008549C9">
        <w:t>lä. Oikeusministeriön työryhmä ehdottaa</w:t>
      </w:r>
      <w:r w:rsidRPr="00972CB4">
        <w:t>, että perustuslain 10 §:n kvalifioitua lakivarau</w:t>
      </w:r>
      <w:r w:rsidRPr="00972CB4">
        <w:t>s</w:t>
      </w:r>
      <w:r w:rsidRPr="00972CB4">
        <w:t xml:space="preserve">ta muutettaisiin siten, että </w:t>
      </w:r>
    </w:p>
    <w:p w:rsidR="001F7FC3" w:rsidRPr="00972CB4" w:rsidRDefault="001F7FC3" w:rsidP="007368C7">
      <w:pPr>
        <w:jc w:val="both"/>
      </w:pPr>
    </w:p>
    <w:p w:rsidR="000E60B6" w:rsidRPr="009F067D" w:rsidRDefault="001F7FC3" w:rsidP="007368C7">
      <w:pPr>
        <w:pStyle w:val="Leipteksti"/>
        <w:ind w:left="1304"/>
        <w:jc w:val="both"/>
        <w:rPr>
          <w:sz w:val="18"/>
          <w:szCs w:val="18"/>
        </w:rPr>
      </w:pPr>
      <w:r w:rsidRPr="009F067D">
        <w:rPr>
          <w:i/>
          <w:sz w:val="18"/>
          <w:szCs w:val="18"/>
        </w:rPr>
        <w:t>lailla voidaan säätää välttämättömistä rajoituksista viestin salaisuuteen yksilön tai yhteiskunnan turvallisuu</w:t>
      </w:r>
      <w:r w:rsidRPr="009F067D">
        <w:rPr>
          <w:i/>
          <w:sz w:val="18"/>
          <w:szCs w:val="18"/>
        </w:rPr>
        <w:t>t</w:t>
      </w:r>
      <w:r w:rsidRPr="009F067D">
        <w:rPr>
          <w:i/>
          <w:sz w:val="18"/>
          <w:szCs w:val="18"/>
        </w:rPr>
        <w:t xml:space="preserve">ta taikka kotirauhaa vaarantavien rikosten </w:t>
      </w:r>
      <w:r w:rsidRPr="009F067D">
        <w:rPr>
          <w:i/>
          <w:sz w:val="18"/>
          <w:szCs w:val="18"/>
          <w:u w:val="single"/>
        </w:rPr>
        <w:t>torjunnassa</w:t>
      </w:r>
      <w:r w:rsidRPr="009F067D">
        <w:rPr>
          <w:i/>
          <w:sz w:val="18"/>
          <w:szCs w:val="18"/>
        </w:rPr>
        <w:t xml:space="preserve">, oikeudenkäynnissä, turvallisuustarkastuksessa ja vapaudenmenetyksen aikana </w:t>
      </w:r>
      <w:r w:rsidRPr="009F067D">
        <w:rPr>
          <w:i/>
          <w:sz w:val="18"/>
          <w:szCs w:val="18"/>
          <w:u w:val="single"/>
        </w:rPr>
        <w:t>sekä tiedon hankkimiseksi sotilaallisesta toiminnasta taikka sellaisesta muu</w:t>
      </w:r>
      <w:r w:rsidRPr="009F067D">
        <w:rPr>
          <w:i/>
          <w:sz w:val="18"/>
          <w:szCs w:val="18"/>
          <w:u w:val="single"/>
        </w:rPr>
        <w:t>s</w:t>
      </w:r>
      <w:r w:rsidRPr="009F067D">
        <w:rPr>
          <w:i/>
          <w:sz w:val="18"/>
          <w:szCs w:val="18"/>
          <w:u w:val="single"/>
        </w:rPr>
        <w:t>ta toiminnasta, joka vakavasti uhkaa kansallista turvallisuutta</w:t>
      </w:r>
      <w:r w:rsidRPr="009F067D">
        <w:rPr>
          <w:i/>
          <w:sz w:val="18"/>
          <w:szCs w:val="18"/>
        </w:rPr>
        <w:t>.</w:t>
      </w:r>
    </w:p>
    <w:p w:rsidR="00E56509" w:rsidRPr="00972CB4" w:rsidRDefault="00E56509" w:rsidP="007368C7">
      <w:pPr>
        <w:pStyle w:val="Leipteksti"/>
        <w:ind w:left="0"/>
        <w:jc w:val="both"/>
      </w:pPr>
    </w:p>
    <w:p w:rsidR="001F7FC3" w:rsidRPr="00972CB4" w:rsidRDefault="001F7FC3" w:rsidP="007F1A93">
      <w:pPr>
        <w:jc w:val="both"/>
        <w:rPr>
          <w:b/>
        </w:rPr>
      </w:pPr>
      <w:r w:rsidRPr="00972CB4">
        <w:rPr>
          <w:b/>
        </w:rPr>
        <w:t>Liikenne- ja viestintäministeriö on antanut asiantuntijanäkemyksensä työryhmälle. Ministeriö on kiinnittänyt valmistelussa huomion seuraaviin seikkoihin:</w:t>
      </w:r>
    </w:p>
    <w:p w:rsidR="001F7FC3" w:rsidRPr="00972CB4" w:rsidRDefault="001F7FC3" w:rsidP="007368C7">
      <w:pPr>
        <w:jc w:val="both"/>
      </w:pPr>
    </w:p>
    <w:p w:rsidR="001F7FC3" w:rsidRPr="00972CB4" w:rsidRDefault="001F7FC3" w:rsidP="007368C7">
      <w:pPr>
        <w:jc w:val="both"/>
      </w:pPr>
      <w:r w:rsidRPr="00972CB4">
        <w:t>Perustuslain 10 §:ssä turvattu luottamuksellisen viestin salaisuuden suoja on yksi keskeinen yksityi</w:t>
      </w:r>
      <w:r w:rsidRPr="00972CB4">
        <w:t>s</w:t>
      </w:r>
      <w:r w:rsidRPr="00972CB4">
        <w:t>elämän suojan osa. Luottamuksellisen viestin salaisuuden suojan merkitys kasvaa yhä merkittävä</w:t>
      </w:r>
      <w:r w:rsidRPr="00972CB4">
        <w:t>m</w:t>
      </w:r>
      <w:r w:rsidRPr="00972CB4">
        <w:t>mäksi tekijäksi jokaisen yksityiselämän suojan toteutumisen kannalta, kun lähes kaikki kansalaisten ja yritysten käyttämistä arkisista palveluista digitalisoituvat ja kun valtaosa palveluiden toteuttamisesta perustuu sähköisessä muodossa olevan tiedon välittämiseen tieto- ja viestintäverkoissa – interneti</w:t>
      </w:r>
      <w:r w:rsidRPr="00972CB4">
        <w:t>s</w:t>
      </w:r>
      <w:r w:rsidRPr="00972CB4">
        <w:t xml:space="preserve">sä. </w:t>
      </w:r>
    </w:p>
    <w:p w:rsidR="001F7FC3" w:rsidRPr="00972CB4" w:rsidRDefault="001F7FC3" w:rsidP="007368C7">
      <w:pPr>
        <w:jc w:val="both"/>
      </w:pPr>
    </w:p>
    <w:p w:rsidR="001F7FC3" w:rsidRPr="00972CB4" w:rsidRDefault="001F7FC3" w:rsidP="007368C7">
      <w:pPr>
        <w:jc w:val="both"/>
      </w:pPr>
      <w:r w:rsidRPr="00972CB4">
        <w:t xml:space="preserve">Perustuslain esitöiden mukaan yksityiselämän suojan lähtökohtana on, että yksilöllä on oikeus elää omaa elämäänsä ilman viranomaisten tai muiden ulkopuolisten tahojen mielivaltaista tai aiheetonta puuttumista hänen yksityiselämäänsä (HE 309/1993 </w:t>
      </w:r>
      <w:proofErr w:type="spellStart"/>
      <w:r w:rsidRPr="00972CB4">
        <w:t>vp</w:t>
      </w:r>
      <w:proofErr w:type="spellEnd"/>
      <w:r w:rsidRPr="00972CB4">
        <w:t xml:space="preserve">). Perustuslain 22 §:n nojalla julkisen vallan on turvattava perus- ja ihmisoikeuksien toteutuminen. Perustuslain 10 §:n säännös edellyttääkin yhdessä </w:t>
      </w:r>
      <w:r w:rsidRPr="00972CB4">
        <w:lastRenderedPageBreak/>
        <w:t xml:space="preserve">22 §:n kanssa lainsäädäntöä, joka käytännössä tehokkaasti turvaa luottamuksellista viestintää sekä viranomaisten että muiden ulkopuolisten loukkauksilta (HE 309/1993 </w:t>
      </w:r>
      <w:proofErr w:type="spellStart"/>
      <w:r w:rsidRPr="00972CB4">
        <w:t>vp</w:t>
      </w:r>
      <w:proofErr w:type="spellEnd"/>
      <w:r w:rsidRPr="00972CB4">
        <w:t>). Mietinnön mukaan peruso</w:t>
      </w:r>
      <w:r w:rsidRPr="00972CB4">
        <w:t>i</w:t>
      </w:r>
      <w:r w:rsidRPr="00972CB4">
        <w:t>keussuoja koskee luonnollisten henkilöiden lisäksi välillisesti myös oikeushenkilöitä eli esimerkiksi Suomessa toimivia yrityksiä.</w:t>
      </w:r>
    </w:p>
    <w:p w:rsidR="001F7FC3" w:rsidRPr="00972CB4" w:rsidRDefault="001F7FC3" w:rsidP="007368C7">
      <w:pPr>
        <w:jc w:val="both"/>
      </w:pPr>
    </w:p>
    <w:p w:rsidR="001F7FC3" w:rsidRPr="00972CB4" w:rsidRDefault="001F7FC3" w:rsidP="007368C7">
      <w:pPr>
        <w:jc w:val="both"/>
      </w:pPr>
      <w:r w:rsidRPr="00972CB4">
        <w:t>Tietoyhteiskuntakaaressa on säädetty keskeisistä oikeuksista ja velvollisuuksista, joilla turvataan yks</w:t>
      </w:r>
      <w:r w:rsidRPr="00972CB4">
        <w:t>i</w:t>
      </w:r>
      <w:r w:rsidRPr="00972CB4">
        <w:t>tyiselämän ja luottamuksellisen viestin salaisuuden suojan toteutuminen sähköisissä viestintäverkoi</w:t>
      </w:r>
      <w:r w:rsidRPr="00972CB4">
        <w:t>s</w:t>
      </w:r>
      <w:r w:rsidRPr="00972CB4">
        <w:t>sa ja viestintäpalveluissa. Eduskunta on tietoyhteiskuntakaaren säätämisen yhteydessä antanut la</w:t>
      </w:r>
      <w:r w:rsidRPr="00972CB4">
        <w:t>u</w:t>
      </w:r>
      <w:r w:rsidRPr="00972CB4">
        <w:t xml:space="preserve">suman, </w:t>
      </w:r>
      <w:r w:rsidR="0080385A" w:rsidRPr="00972CB4">
        <w:t>jonka mukaan palvelujen käyttäj</w:t>
      </w:r>
      <w:r w:rsidRPr="00972CB4">
        <w:t>ien oikeuksien, kuten yksityisyyden suoja</w:t>
      </w:r>
      <w:r w:rsidR="009412AB">
        <w:t>n</w:t>
      </w:r>
      <w:r w:rsidRPr="00972CB4">
        <w:t xml:space="preserve"> ja luottamuksell</w:t>
      </w:r>
      <w:r w:rsidRPr="00972CB4">
        <w:t>i</w:t>
      </w:r>
      <w:r w:rsidRPr="00972CB4">
        <w:t xml:space="preserve">sen viestin suojan säilymisestä sähköisissä palveluissa ja verkkoympäristössä huolehditaan kaikin keinoin ja mm. kyberturvallisuuden kehittämistyössä pyritään erityisesti ottamaan näiden oikeuksien toteutuminen huomioon (EV 106/2013 </w:t>
      </w:r>
      <w:proofErr w:type="spellStart"/>
      <w:r w:rsidRPr="00972CB4">
        <w:t>vp</w:t>
      </w:r>
      <w:proofErr w:type="spellEnd"/>
      <w:r w:rsidRPr="00972CB4">
        <w:t xml:space="preserve"> – HE 221/2013 </w:t>
      </w:r>
      <w:proofErr w:type="spellStart"/>
      <w:r w:rsidRPr="00972CB4">
        <w:t>vp</w:t>
      </w:r>
      <w:proofErr w:type="spellEnd"/>
      <w:r w:rsidRPr="00972CB4">
        <w:t>).</w:t>
      </w:r>
    </w:p>
    <w:p w:rsidR="001F7FC3" w:rsidRPr="00972CB4" w:rsidRDefault="001F7FC3" w:rsidP="007368C7">
      <w:pPr>
        <w:jc w:val="both"/>
      </w:pPr>
    </w:p>
    <w:p w:rsidR="001F7FC3" w:rsidRPr="00972CB4" w:rsidRDefault="001F7FC3" w:rsidP="007368C7">
      <w:pPr>
        <w:jc w:val="both"/>
      </w:pPr>
      <w:r w:rsidRPr="00972CB4">
        <w:t xml:space="preserve">Edellä sanottujen tavoitteiden toteutuminen edellyttäisi, että viranomaisten tiedusteluvaltuuksien tulisi olla tehokkaita tavoiteltavaan päämäärään nähden eikä niistä tulisi aiheutua tarpeetonta vahinkoa sivullisille henkilöille taikka Suomessa toimiville yrityksille. </w:t>
      </w:r>
    </w:p>
    <w:p w:rsidR="001F7FC3" w:rsidRPr="00972CB4" w:rsidRDefault="001F7FC3" w:rsidP="007368C7">
      <w:pPr>
        <w:jc w:val="both"/>
      </w:pPr>
    </w:p>
    <w:p w:rsidR="001F7FC3" w:rsidRPr="00972CB4" w:rsidRDefault="001F7FC3" w:rsidP="007368C7">
      <w:pPr>
        <w:jc w:val="both"/>
      </w:pPr>
      <w:r w:rsidRPr="00972CB4">
        <w:t>Tiedusteluvaltuuksien tehokkuutta, välttämättömyyttä ja oikeasuhtaisuutta arvioitaessa olennaisinta on se, miten tiedusteluvaltuuksien käyttö kohdennetaan ja keiden viestinnän luottamuksellisuutta v</w:t>
      </w:r>
      <w:r w:rsidRPr="00972CB4">
        <w:t>i</w:t>
      </w:r>
      <w:r w:rsidRPr="00972CB4">
        <w:t xml:space="preserve">ranomaisten voidaan antaa lain nojalla rajoittaa. </w:t>
      </w:r>
      <w:r w:rsidR="00715D3D" w:rsidRPr="00715D3D">
        <w:rPr>
          <w:b/>
        </w:rPr>
        <w:t xml:space="preserve">Liikenne- ja viestintäministeriö katsoo, että </w:t>
      </w:r>
      <w:r w:rsidRPr="00715D3D">
        <w:rPr>
          <w:b/>
        </w:rPr>
        <w:t>ole</w:t>
      </w:r>
      <w:r w:rsidRPr="00715D3D">
        <w:rPr>
          <w:b/>
        </w:rPr>
        <w:t>n</w:t>
      </w:r>
      <w:r w:rsidRPr="00715D3D">
        <w:rPr>
          <w:b/>
        </w:rPr>
        <w:t>naista</w:t>
      </w:r>
      <w:r w:rsidR="00715D3D" w:rsidRPr="00715D3D">
        <w:rPr>
          <w:b/>
        </w:rPr>
        <w:t xml:space="preserve"> on </w:t>
      </w:r>
      <w:r w:rsidRPr="00715D3D">
        <w:rPr>
          <w:b/>
        </w:rPr>
        <w:t xml:space="preserve">ratkaista se, kohdennetaanko </w:t>
      </w:r>
      <w:r w:rsidR="0080385A" w:rsidRPr="00715D3D">
        <w:rPr>
          <w:b/>
        </w:rPr>
        <w:t xml:space="preserve">tiedustelutoimintaa </w:t>
      </w:r>
      <w:r w:rsidRPr="00715D3D">
        <w:rPr>
          <w:b/>
        </w:rPr>
        <w:t xml:space="preserve">vain tiettyjen kohdehenkilöiden (esim. sotilasorganisaatiot tai rikoksia tekevät ja valmistelevat tahot) harjoittamaan viestintään vai kaikkeen jossakin tietyssä viestintäverkossa kulkevaan tietoliikenteeseen. </w:t>
      </w:r>
      <w:r w:rsidR="0080385A" w:rsidRPr="00715D3D">
        <w:rPr>
          <w:b/>
        </w:rPr>
        <w:t>Kohdentama</w:t>
      </w:r>
      <w:r w:rsidR="0080385A" w:rsidRPr="00715D3D">
        <w:rPr>
          <w:b/>
        </w:rPr>
        <w:t>t</w:t>
      </w:r>
      <w:r w:rsidR="0080385A" w:rsidRPr="00715D3D">
        <w:rPr>
          <w:b/>
        </w:rPr>
        <w:t>tomat</w:t>
      </w:r>
      <w:r w:rsidRPr="00715D3D">
        <w:rPr>
          <w:b/>
        </w:rPr>
        <w:t xml:space="preserve"> valtuudet rajoittaisivat suomalaisten perusoikeussuojaa huomattavasti laajemmalla t</w:t>
      </w:r>
      <w:r w:rsidRPr="00715D3D">
        <w:rPr>
          <w:b/>
        </w:rPr>
        <w:t>a</w:t>
      </w:r>
      <w:r w:rsidRPr="00715D3D">
        <w:rPr>
          <w:b/>
        </w:rPr>
        <w:t>valla kuin yksinomaan kohdehenkilöiden viestintään kohdennetut tiedusteluvaltuudet. Oikeus puuttua tiedustelutoiminnassa sivullisten henkilöiden luottamukselliseen viestintään olisi omiaan heikentämään ihmisten edellytyksiä luottaa viranomaisiin sekä Suomessa digitaalista liiketoimintaa harjoittaviin yrityksiin ja niiden palveluihin.</w:t>
      </w:r>
    </w:p>
    <w:p w:rsidR="001F7FC3" w:rsidRPr="00972CB4" w:rsidRDefault="001F7FC3" w:rsidP="001F7FC3"/>
    <w:p w:rsidR="00972CB4" w:rsidRPr="00972CB4" w:rsidRDefault="00972CB4" w:rsidP="007F1A93">
      <w:pPr>
        <w:ind w:firstLine="1304"/>
        <w:rPr>
          <w:b/>
        </w:rPr>
      </w:pPr>
      <w:r w:rsidRPr="00972CB4">
        <w:rPr>
          <w:b/>
        </w:rPr>
        <w:t>Tiedustelutoiminnan kohdentaminen</w:t>
      </w:r>
    </w:p>
    <w:p w:rsidR="00972CB4" w:rsidRDefault="00972CB4" w:rsidP="001F7FC3"/>
    <w:p w:rsidR="0080385A" w:rsidRPr="00972CB4" w:rsidRDefault="001F7FC3" w:rsidP="001F7FC3">
      <w:r w:rsidRPr="00972CB4">
        <w:t>Kohdentamiskysymys on ratkaiseva myös sen suhteen, onko perustuslakia tarpeen muuttaa</w:t>
      </w:r>
      <w:r w:rsidR="0080385A" w:rsidRPr="00972CB4">
        <w:t xml:space="preserve"> ja miten,</w:t>
      </w:r>
      <w:r w:rsidRPr="00972CB4">
        <w:t xml:space="preserve"> jotta tiedusteluvaltuuksista voitaisiin säätää.  </w:t>
      </w:r>
    </w:p>
    <w:p w:rsidR="0080385A" w:rsidRPr="00972CB4" w:rsidRDefault="0080385A" w:rsidP="001F7FC3"/>
    <w:p w:rsidR="00972CB4" w:rsidRPr="00972CB4" w:rsidRDefault="00972CB4" w:rsidP="007368C7">
      <w:pPr>
        <w:jc w:val="both"/>
        <w:rPr>
          <w:i/>
        </w:rPr>
      </w:pPr>
      <w:r w:rsidRPr="00972CB4">
        <w:rPr>
          <w:i/>
        </w:rPr>
        <w:t>Sotilaallinen toiminta</w:t>
      </w:r>
    </w:p>
    <w:p w:rsidR="00972CB4" w:rsidRDefault="00972CB4" w:rsidP="007368C7">
      <w:pPr>
        <w:jc w:val="both"/>
      </w:pPr>
    </w:p>
    <w:p w:rsidR="0080385A" w:rsidRPr="00972CB4" w:rsidRDefault="001F7FC3" w:rsidP="007368C7">
      <w:pPr>
        <w:jc w:val="both"/>
        <w:rPr>
          <w:rFonts w:ascii="Arial" w:hAnsi="Arial" w:cs="Arial"/>
          <w:i/>
          <w:szCs w:val="22"/>
        </w:rPr>
      </w:pPr>
      <w:r w:rsidRPr="00972CB4">
        <w:t>Työryhmän mietinnössä tode</w:t>
      </w:r>
      <w:r w:rsidR="0080385A" w:rsidRPr="00972CB4">
        <w:t>taan, ettei ”</w:t>
      </w:r>
      <w:r w:rsidR="0080385A" w:rsidRPr="00972CB4">
        <w:rPr>
          <w:rFonts w:ascii="Arial" w:hAnsi="Arial" w:cs="Arial"/>
          <w:i/>
          <w:szCs w:val="22"/>
        </w:rPr>
        <w:t>vieraan valtion sotilas- tai muun viranomaisorganisaation</w:t>
      </w:r>
    </w:p>
    <w:p w:rsidR="0080385A" w:rsidRPr="00972CB4" w:rsidRDefault="0080385A" w:rsidP="007368C7">
      <w:pPr>
        <w:autoSpaceDE w:val="0"/>
        <w:autoSpaceDN w:val="0"/>
        <w:adjustRightInd w:val="0"/>
        <w:jc w:val="both"/>
        <w:rPr>
          <w:rFonts w:ascii="Arial" w:hAnsi="Arial" w:cs="Arial"/>
          <w:i/>
          <w:szCs w:val="22"/>
        </w:rPr>
      </w:pPr>
      <w:r w:rsidRPr="00972CB4">
        <w:rPr>
          <w:rFonts w:ascii="Arial" w:hAnsi="Arial" w:cs="Arial"/>
          <w:i/>
          <w:szCs w:val="22"/>
        </w:rPr>
        <w:t>viestintä ei nauti luottamuksellisen viestin salaisuuden suojaa, eikä pelkästään tällaisten organisaat</w:t>
      </w:r>
      <w:r w:rsidRPr="00972CB4">
        <w:rPr>
          <w:rFonts w:ascii="Arial" w:hAnsi="Arial" w:cs="Arial"/>
          <w:i/>
          <w:szCs w:val="22"/>
        </w:rPr>
        <w:t>i</w:t>
      </w:r>
      <w:r w:rsidRPr="00972CB4">
        <w:rPr>
          <w:rFonts w:ascii="Arial" w:hAnsi="Arial" w:cs="Arial"/>
          <w:i/>
          <w:szCs w:val="22"/>
        </w:rPr>
        <w:t>oiden viesteihin kohdistuvista toimivaltuuksista säätäminen muodostuisi perustuslain 10 §:n 3 m</w:t>
      </w:r>
      <w:r w:rsidRPr="00972CB4">
        <w:rPr>
          <w:rFonts w:ascii="Arial" w:hAnsi="Arial" w:cs="Arial"/>
          <w:i/>
          <w:szCs w:val="22"/>
        </w:rPr>
        <w:t>o</w:t>
      </w:r>
      <w:r w:rsidRPr="00972CB4">
        <w:rPr>
          <w:rFonts w:ascii="Arial" w:hAnsi="Arial" w:cs="Arial"/>
          <w:i/>
          <w:szCs w:val="22"/>
        </w:rPr>
        <w:t>mentin kannalta ongelmalliseksi.”</w:t>
      </w:r>
      <w:r w:rsidRPr="00972CB4">
        <w:rPr>
          <w:rFonts w:ascii="Arial" w:hAnsi="Arial" w:cs="Arial"/>
          <w:szCs w:val="22"/>
        </w:rPr>
        <w:t xml:space="preserve"> Mietinnön mukaan </w:t>
      </w:r>
      <w:r w:rsidR="008549C9">
        <w:rPr>
          <w:rFonts w:ascii="Arial" w:hAnsi="Arial" w:cs="Arial"/>
          <w:szCs w:val="22"/>
        </w:rPr>
        <w:t>”</w:t>
      </w:r>
      <w:r w:rsidRPr="00972CB4">
        <w:rPr>
          <w:rFonts w:ascii="Arial" w:hAnsi="Arial" w:cs="Arial"/>
          <w:i/>
          <w:szCs w:val="22"/>
        </w:rPr>
        <w:t>tiedustelutoimivaltuuksia ei kuitenkaan arvioida olevan mahdollista kohdistaa kaikissa tapauksissa niin täsmällisesti, ettei olisi vaaraa viranomaisten tilapäisestä pääsystä yksittäisten, tiedustelutehtävään liittymättömien henkilöiden viestintää koskeviin tietoihin.</w:t>
      </w:r>
      <w:r w:rsidR="008549C9">
        <w:rPr>
          <w:rFonts w:ascii="Arial" w:hAnsi="Arial" w:cs="Arial"/>
          <w:i/>
          <w:szCs w:val="22"/>
        </w:rPr>
        <w:t>”</w:t>
      </w:r>
    </w:p>
    <w:p w:rsidR="0080385A" w:rsidRPr="00972CB4" w:rsidRDefault="0080385A" w:rsidP="007368C7">
      <w:pPr>
        <w:jc w:val="both"/>
      </w:pPr>
    </w:p>
    <w:p w:rsidR="00595165" w:rsidRPr="00972CB4" w:rsidRDefault="00595165" w:rsidP="007368C7">
      <w:pPr>
        <w:jc w:val="both"/>
      </w:pPr>
      <w:r w:rsidRPr="00972CB4">
        <w:t>Tiedustelutoiminnan luonteen kannalta lienee aina mahdollista, että viranomaisilla on vaara tilapä</w:t>
      </w:r>
      <w:r w:rsidRPr="00972CB4">
        <w:t>i</w:t>
      </w:r>
      <w:r w:rsidRPr="00972CB4">
        <w:t>seen pääsyyn tiedustelutehtävään liittymättömien henkilöiden viestintää koskeviin tietoihin. Tätä va</w:t>
      </w:r>
      <w:r w:rsidRPr="00972CB4">
        <w:t>a</w:t>
      </w:r>
      <w:r w:rsidRPr="00972CB4">
        <w:t xml:space="preserve">raa ei kuitenkaan voida pitää perusteena oikeuttaa tiedustelua silloin, kun henkilöillä ei ole liityntää tiedustelutehtävään, vaan tämän vaaran vuoksi tiedustelua koskevaan kansalliseen lainsäädäntöön sisältyy esimerkiksi tiedustelun päättämistä sekä tiedustelulla saatujen tietojen hävittämistä koskevia säännöksiä. </w:t>
      </w:r>
    </w:p>
    <w:p w:rsidR="00595165" w:rsidRPr="00972CB4" w:rsidRDefault="00595165" w:rsidP="007368C7">
      <w:pPr>
        <w:jc w:val="both"/>
      </w:pPr>
    </w:p>
    <w:p w:rsidR="00595165" w:rsidRPr="00972CB4" w:rsidRDefault="00595165" w:rsidP="007368C7">
      <w:pPr>
        <w:jc w:val="both"/>
        <w:rPr>
          <w:rFonts w:ascii="Arial" w:hAnsi="Arial" w:cs="Arial"/>
          <w:szCs w:val="22"/>
        </w:rPr>
      </w:pPr>
      <w:r w:rsidRPr="00972CB4">
        <w:t>Perustuslain tarjoama suoja ei ylety vieraan v</w:t>
      </w:r>
      <w:r w:rsidRPr="00972CB4">
        <w:rPr>
          <w:rFonts w:ascii="Arial" w:hAnsi="Arial" w:cs="Arial"/>
          <w:szCs w:val="22"/>
        </w:rPr>
        <w:t>altion sotilas- tai muun viranomaisorganisaation</w:t>
      </w:r>
    </w:p>
    <w:p w:rsidR="00595165" w:rsidRPr="00715D3D" w:rsidRDefault="00595165" w:rsidP="007368C7">
      <w:pPr>
        <w:jc w:val="both"/>
        <w:rPr>
          <w:rFonts w:ascii="Arial" w:hAnsi="Arial" w:cs="Arial"/>
          <w:b/>
          <w:szCs w:val="22"/>
        </w:rPr>
      </w:pPr>
      <w:r w:rsidRPr="00972CB4">
        <w:rPr>
          <w:rFonts w:ascii="Arial" w:hAnsi="Arial" w:cs="Arial"/>
          <w:szCs w:val="22"/>
        </w:rPr>
        <w:lastRenderedPageBreak/>
        <w:t>viestintään. Yksityiskohtaisissa perusteluissa on todettu, että ehdotettu perustuslainmuutos kattaisi myös jatkuvan tiedonhankinnan esimerkiksi muiden maiden sotilaallisen suorituskyyn kehittymisestä.</w:t>
      </w:r>
      <w:r w:rsidR="007368C7" w:rsidRPr="00972CB4">
        <w:rPr>
          <w:rFonts w:ascii="Arial" w:hAnsi="Arial" w:cs="Arial"/>
          <w:szCs w:val="22"/>
        </w:rPr>
        <w:t xml:space="preserve"> </w:t>
      </w:r>
      <w:r w:rsidR="00715D3D" w:rsidRPr="00715D3D">
        <w:rPr>
          <w:rFonts w:ascii="Arial" w:hAnsi="Arial" w:cs="Arial"/>
          <w:b/>
          <w:szCs w:val="22"/>
        </w:rPr>
        <w:t>Liikenne- ja viestintäministeriö katsoo, että m</w:t>
      </w:r>
      <w:r w:rsidR="007368C7" w:rsidRPr="00715D3D">
        <w:rPr>
          <w:rFonts w:ascii="Arial" w:hAnsi="Arial" w:cs="Arial"/>
          <w:b/>
          <w:szCs w:val="22"/>
        </w:rPr>
        <w:t xml:space="preserve">ikäli tällaisesta toiminnasta hankittaisiin tietoa </w:t>
      </w:r>
      <w:r w:rsidR="007368C7" w:rsidRPr="00715D3D">
        <w:rPr>
          <w:b/>
        </w:rPr>
        <w:t>vieraan v</w:t>
      </w:r>
      <w:r w:rsidR="007368C7" w:rsidRPr="00715D3D">
        <w:rPr>
          <w:rFonts w:ascii="Arial" w:hAnsi="Arial" w:cs="Arial"/>
          <w:b/>
          <w:szCs w:val="22"/>
        </w:rPr>
        <w:t xml:space="preserve">altion sotilas- tai muun viranomaisorganisaation tai siihen liittyvästä viestinnästä, ei tällainen viestintä nykysääntelynkään valossa nauttisi perustuslain suojaa, eikä tarvetta tällöin perustuslain muutokselle olisi. </w:t>
      </w:r>
    </w:p>
    <w:p w:rsidR="00595165" w:rsidRPr="00972CB4" w:rsidRDefault="00595165" w:rsidP="001F7FC3"/>
    <w:p w:rsidR="001F7FC3" w:rsidRPr="00972CB4" w:rsidRDefault="00972CB4" w:rsidP="001F7FC3">
      <w:pPr>
        <w:rPr>
          <w:i/>
        </w:rPr>
      </w:pPr>
      <w:r w:rsidRPr="00972CB4">
        <w:rPr>
          <w:i/>
        </w:rPr>
        <w:t>Kansallista turvallisuutta vakavasti vaarantava toiminta</w:t>
      </w:r>
    </w:p>
    <w:p w:rsidR="007368C7" w:rsidRPr="00972CB4" w:rsidRDefault="007368C7" w:rsidP="001F7FC3"/>
    <w:p w:rsidR="001F7FC3" w:rsidRPr="00972CB4" w:rsidRDefault="001F7FC3" w:rsidP="00821127">
      <w:pPr>
        <w:jc w:val="both"/>
      </w:pPr>
      <w:r w:rsidRPr="00972CB4">
        <w:t>Työryhmän mietinnössä on esitetty, että viestinnän luottamuksellisuuden suojan rajoittamiseen oikeu</w:t>
      </w:r>
      <w:r w:rsidRPr="00972CB4">
        <w:t>t</w:t>
      </w:r>
      <w:r w:rsidRPr="00972CB4">
        <w:t xml:space="preserve">tava </w:t>
      </w:r>
      <w:r w:rsidRPr="00972CB4">
        <w:rPr>
          <w:i/>
        </w:rPr>
        <w:t xml:space="preserve">muu kansallista turvallisuutta vakavasti vaarantava toiminta </w:t>
      </w:r>
      <w:r w:rsidRPr="00972CB4">
        <w:t>voi olla sellaista, joka konkretisoit</w:t>
      </w:r>
      <w:r w:rsidRPr="00972CB4">
        <w:t>u</w:t>
      </w:r>
      <w:r w:rsidRPr="00972CB4">
        <w:t xml:space="preserve">essaan olisi rikos, mutta jota ei vielä voida pitää konkreettisena ja yksilöitynä rikosepäilynä.  Samoin kyse voi mietinnön mukaan olla toiminnasta, joka ei ole Suomen lain mukaan rikos. </w:t>
      </w:r>
    </w:p>
    <w:p w:rsidR="001F7FC3" w:rsidRPr="00972CB4" w:rsidRDefault="001F7FC3" w:rsidP="00821127">
      <w:pPr>
        <w:jc w:val="both"/>
      </w:pPr>
    </w:p>
    <w:p w:rsidR="002B30DE" w:rsidRDefault="001F7FC3" w:rsidP="00821127">
      <w:pPr>
        <w:jc w:val="both"/>
      </w:pPr>
      <w:r w:rsidRPr="00972CB4">
        <w:t>Työryhmän mietinnöstä ei käy ilmi keiden henkilöiden viestinnän luot</w:t>
      </w:r>
      <w:r w:rsidR="00293E07">
        <w:t>tamuksellisuutta näissä tapau</w:t>
      </w:r>
      <w:r w:rsidR="00293E07">
        <w:t>k</w:t>
      </w:r>
      <w:r w:rsidR="00293E07">
        <w:t>si</w:t>
      </w:r>
      <w:r w:rsidRPr="00972CB4">
        <w:t xml:space="preserve">ssa olisi oikeutettua rajoittaa. </w:t>
      </w:r>
      <w:r w:rsidR="002B30DE">
        <w:t>Mietinnössä tiedustelutoiminnan kohteena on aina toiminta, eikä k</w:t>
      </w:r>
      <w:r w:rsidR="002B30DE">
        <w:t>u</w:t>
      </w:r>
      <w:r w:rsidR="002B30DE">
        <w:t>kaan yksilö, esimerkiksi toimintaa harjoittava henkilö. Viestinnän luottamuksellisuuden suoja kuitenkin turvaa yksilön oikeutta.</w:t>
      </w:r>
    </w:p>
    <w:p w:rsidR="002B30DE" w:rsidRDefault="002B30DE" w:rsidP="00821127">
      <w:pPr>
        <w:jc w:val="both"/>
      </w:pPr>
    </w:p>
    <w:p w:rsidR="002B30DE" w:rsidRDefault="001F7FC3" w:rsidP="00821127">
      <w:pPr>
        <w:jc w:val="both"/>
      </w:pPr>
      <w:r w:rsidRPr="00972CB4">
        <w:t xml:space="preserve">Mietinnöstä ei </w:t>
      </w:r>
      <w:r w:rsidR="002B30DE">
        <w:t xml:space="preserve">myöskään </w:t>
      </w:r>
      <w:r w:rsidRPr="00972CB4">
        <w:t>käy ilmi, tulisiko henkilön harjoittaman muun kuin rikol</w:t>
      </w:r>
      <w:r w:rsidR="002B30DE">
        <w:t>lisen toiminnan olla erikseen</w:t>
      </w:r>
      <w:r w:rsidRPr="00972CB4">
        <w:t xml:space="preserve"> lai</w:t>
      </w:r>
      <w:r w:rsidR="002B30DE">
        <w:t xml:space="preserve">nsäädännössä määriteltyä tai jollain tavoin </w:t>
      </w:r>
      <w:r w:rsidRPr="00972CB4">
        <w:t>moitittavaa, jotta hänen viestinnän luottamu</w:t>
      </w:r>
      <w:r w:rsidRPr="00972CB4">
        <w:t>k</w:t>
      </w:r>
      <w:r w:rsidRPr="00972CB4">
        <w:t xml:space="preserve">sellisuuttaan voitaisiin rajoittaa. </w:t>
      </w:r>
    </w:p>
    <w:p w:rsidR="002B30DE" w:rsidRDefault="002B30DE" w:rsidP="00821127">
      <w:pPr>
        <w:jc w:val="both"/>
      </w:pPr>
    </w:p>
    <w:p w:rsidR="002B30DE" w:rsidRDefault="008549C9" w:rsidP="00821127">
      <w:pPr>
        <w:jc w:val="both"/>
      </w:pPr>
      <w:r>
        <w:t>T</w:t>
      </w:r>
      <w:r w:rsidR="001F7FC3" w:rsidRPr="00972CB4">
        <w:t xml:space="preserve">yöryhmän </w:t>
      </w:r>
      <w:r>
        <w:t>mietinnön perusteella ei ole selvää, voitaisiinko ehdotetun säännöksen nojalla</w:t>
      </w:r>
      <w:r w:rsidR="001F7FC3" w:rsidRPr="00972CB4">
        <w:t xml:space="preserve"> tiedustel</w:t>
      </w:r>
      <w:r w:rsidR="001F7FC3" w:rsidRPr="00972CB4">
        <w:t>u</w:t>
      </w:r>
      <w:r w:rsidR="001F7FC3" w:rsidRPr="00972CB4">
        <w:t xml:space="preserve">viranomainen </w:t>
      </w:r>
      <w:r>
        <w:t xml:space="preserve">periaatteessa </w:t>
      </w:r>
      <w:r w:rsidR="001F7FC3" w:rsidRPr="00972CB4">
        <w:t xml:space="preserve">oikeuttaa rajoittamaan kenen </w:t>
      </w:r>
      <w:r w:rsidR="00381836" w:rsidRPr="00972CB4">
        <w:t>hyvänsä viestinnän luottamuksel</w:t>
      </w:r>
      <w:r w:rsidR="001F7FC3" w:rsidRPr="00972CB4">
        <w:t>lisuuden suojaa riippumatta siitä, onko tämä syyllistynyt mihinkään moitittavaan toimintaan - esimerkiksi riko</w:t>
      </w:r>
      <w:r w:rsidR="001F7FC3" w:rsidRPr="00972CB4">
        <w:t>k</w:t>
      </w:r>
      <w:r w:rsidR="001F7FC3" w:rsidRPr="00972CB4">
        <w:t>sen suunnitteluun tai valmisteluun ta</w:t>
      </w:r>
      <w:r w:rsidR="002B30DE">
        <w:t>ikka soti</w:t>
      </w:r>
      <w:r w:rsidR="00293E07">
        <w:t>laalliseen toimintaan. Mietinnöstä</w:t>
      </w:r>
      <w:r w:rsidR="002B30DE">
        <w:t xml:space="preserve"> </w:t>
      </w:r>
      <w:r>
        <w:t>ei myöskään selviä</w:t>
      </w:r>
      <w:r w:rsidR="002B30DE">
        <w:t xml:space="preserve"> millainen yhteys henkilöllä, jonka viestinnän luottamuksellisuuteen puututaan, on oltava kansallista turvallisuutta </w:t>
      </w:r>
      <w:r>
        <w:t xml:space="preserve">vakavasti </w:t>
      </w:r>
      <w:r w:rsidR="002B30DE">
        <w:t>vaarantavaan toimintaan.</w:t>
      </w:r>
    </w:p>
    <w:p w:rsidR="002B30DE" w:rsidRDefault="002B30DE" w:rsidP="00821127">
      <w:pPr>
        <w:jc w:val="both"/>
      </w:pPr>
    </w:p>
    <w:p w:rsidR="002A126A" w:rsidRDefault="002B30DE" w:rsidP="00821127">
      <w:pPr>
        <w:jc w:val="both"/>
      </w:pPr>
      <w:r>
        <w:t xml:space="preserve">Euroopan ihmisoikeusistuimen </w:t>
      </w:r>
      <w:r w:rsidR="002A126A">
        <w:t xml:space="preserve">(EIT) </w:t>
      </w:r>
      <w:r>
        <w:t>oikeuskäytännössä tiedustelun kohdentaminen on noussut esille osana tiedustelutoiminnan välttämättömyyskriteerin tarkastelua.</w:t>
      </w:r>
      <w:r w:rsidR="002A126A">
        <w:t xml:space="preserve"> Kuten perusteluissa on todettu, E</w:t>
      </w:r>
      <w:r w:rsidR="002A126A">
        <w:t>u</w:t>
      </w:r>
      <w:r w:rsidR="002A126A">
        <w:t>roopan ihmisoikeustuomioistuin on oikeuskäytännössään katsonut, että tiedusteluviranomaisten on pystyttävä näyttämään, että tiedustelutoimet ovat välttämättömiä.</w:t>
      </w:r>
      <w:r>
        <w:t xml:space="preserve"> </w:t>
      </w:r>
    </w:p>
    <w:p w:rsidR="00E175C2" w:rsidRDefault="00E175C2" w:rsidP="00821127">
      <w:pPr>
        <w:jc w:val="both"/>
      </w:pPr>
    </w:p>
    <w:p w:rsidR="002B30DE" w:rsidRDefault="002A126A" w:rsidP="00821127">
      <w:pPr>
        <w:jc w:val="both"/>
      </w:pPr>
      <w:r>
        <w:t>EIT on Unkarin poliisin salaisia tiedonhanki</w:t>
      </w:r>
      <w:r w:rsidR="009D5B3B">
        <w:t>n</w:t>
      </w:r>
      <w:r>
        <w:t xml:space="preserve">takeinoja koskevassa </w:t>
      </w:r>
      <w:proofErr w:type="spellStart"/>
      <w:r>
        <w:t>Szabo</w:t>
      </w:r>
      <w:proofErr w:type="spellEnd"/>
      <w:r>
        <w:t xml:space="preserve"> &amp; Vissy v. Unkari -tapauksessa </w:t>
      </w:r>
      <w:r w:rsidR="00293E07">
        <w:t>ehdottoman välttämättömyyde</w:t>
      </w:r>
      <w:r w:rsidR="002B30DE">
        <w:t>n (”</w:t>
      </w:r>
      <w:proofErr w:type="spellStart"/>
      <w:r w:rsidR="002B30DE">
        <w:t>strict</w:t>
      </w:r>
      <w:proofErr w:type="spellEnd"/>
      <w:r w:rsidR="002B30DE">
        <w:t xml:space="preserve"> </w:t>
      </w:r>
      <w:proofErr w:type="spellStart"/>
      <w:r w:rsidR="002B30DE">
        <w:t>necessity</w:t>
      </w:r>
      <w:proofErr w:type="spellEnd"/>
      <w:r w:rsidR="002B30DE">
        <w:t>”) -kriteerin osal</w:t>
      </w:r>
      <w:r>
        <w:t>ta todennut, että</w:t>
      </w:r>
      <w:r w:rsidR="002B30DE">
        <w:t xml:space="preserve"> tiedu</w:t>
      </w:r>
      <w:r w:rsidR="002B30DE">
        <w:t>s</w:t>
      </w:r>
      <w:r w:rsidR="002B30DE">
        <w:t>telua valvovan elimen on pystyttävä t</w:t>
      </w:r>
      <w:r>
        <w:t>osiasiallisesti arvioimaan vält</w:t>
      </w:r>
      <w:r w:rsidR="002B30DE">
        <w:t>tämättömyys-kriteerin toteutumista.  Välttämättömyyskriteerin arviointiin sisältyy myös henkilön tai henkilöiden ryhmän liittyminen tiedust</w:t>
      </w:r>
      <w:r w:rsidR="002B30DE">
        <w:t>e</w:t>
      </w:r>
      <w:r w:rsidR="002B30DE">
        <w:t>lun oikeuttavaan uhkaan:</w:t>
      </w:r>
    </w:p>
    <w:p w:rsidR="002A126A" w:rsidRDefault="002A126A" w:rsidP="00821127">
      <w:pPr>
        <w:jc w:val="both"/>
      </w:pPr>
    </w:p>
    <w:p w:rsidR="002B30DE" w:rsidRPr="002A126A" w:rsidRDefault="002B30DE" w:rsidP="00821127">
      <w:pPr>
        <w:ind w:left="1304"/>
        <w:jc w:val="both"/>
        <w:rPr>
          <w:sz w:val="18"/>
          <w:szCs w:val="18"/>
          <w:lang w:val="en-US"/>
        </w:rPr>
      </w:pPr>
      <w:r w:rsidRPr="002A126A">
        <w:rPr>
          <w:sz w:val="18"/>
          <w:szCs w:val="18"/>
          <w:lang w:val="en-US"/>
        </w:rPr>
        <w:t>… For the Court, the category is overly broad, because there is no requirement of any kind for the author</w:t>
      </w:r>
      <w:r w:rsidRPr="002A126A">
        <w:rPr>
          <w:sz w:val="18"/>
          <w:szCs w:val="18"/>
          <w:lang w:val="en-US"/>
        </w:rPr>
        <w:t>i</w:t>
      </w:r>
      <w:r w:rsidRPr="002A126A">
        <w:rPr>
          <w:sz w:val="18"/>
          <w:szCs w:val="18"/>
          <w:lang w:val="en-US"/>
        </w:rPr>
        <w:t xml:space="preserve">ties to demonstrate the actual or presumed relation between the persons or range of persons “concerned” and the prevention of any terrorist threat – let alone in a manner enabling an analysis by the </w:t>
      </w:r>
      <w:proofErr w:type="spellStart"/>
      <w:r w:rsidRPr="002A126A">
        <w:rPr>
          <w:sz w:val="18"/>
          <w:szCs w:val="18"/>
          <w:lang w:val="en-US"/>
        </w:rPr>
        <w:t>authoriser</w:t>
      </w:r>
      <w:proofErr w:type="spellEnd"/>
      <w:r w:rsidRPr="002A126A">
        <w:rPr>
          <w:sz w:val="18"/>
          <w:szCs w:val="18"/>
          <w:lang w:val="en-US"/>
        </w:rPr>
        <w:t xml:space="preserve"> which would go to the question of strict necessity (</w:t>
      </w:r>
      <w:proofErr w:type="spellStart"/>
      <w:r w:rsidRPr="002A126A">
        <w:rPr>
          <w:sz w:val="18"/>
          <w:szCs w:val="18"/>
          <w:lang w:val="en-US"/>
        </w:rPr>
        <w:t>Szabó</w:t>
      </w:r>
      <w:proofErr w:type="spellEnd"/>
      <w:r w:rsidRPr="002A126A">
        <w:rPr>
          <w:sz w:val="18"/>
          <w:szCs w:val="18"/>
          <w:lang w:val="en-US"/>
        </w:rPr>
        <w:t xml:space="preserve"> And </w:t>
      </w:r>
      <w:proofErr w:type="spellStart"/>
      <w:r w:rsidRPr="002A126A">
        <w:rPr>
          <w:sz w:val="18"/>
          <w:szCs w:val="18"/>
          <w:lang w:val="en-US"/>
        </w:rPr>
        <w:t>Vissy</w:t>
      </w:r>
      <w:proofErr w:type="spellEnd"/>
      <w:r w:rsidRPr="002A126A">
        <w:rPr>
          <w:sz w:val="18"/>
          <w:szCs w:val="18"/>
          <w:lang w:val="en-US"/>
        </w:rPr>
        <w:t xml:space="preserve"> V. Hungary para 67)</w:t>
      </w:r>
    </w:p>
    <w:p w:rsidR="002B30DE" w:rsidRPr="002A126A" w:rsidRDefault="002B30DE" w:rsidP="00821127">
      <w:pPr>
        <w:jc w:val="both"/>
        <w:rPr>
          <w:sz w:val="18"/>
          <w:szCs w:val="18"/>
          <w:lang w:val="en-US"/>
        </w:rPr>
      </w:pPr>
    </w:p>
    <w:p w:rsidR="002B30DE" w:rsidRDefault="002B30DE" w:rsidP="00821127">
      <w:pPr>
        <w:ind w:left="1304"/>
        <w:jc w:val="both"/>
        <w:rPr>
          <w:sz w:val="18"/>
          <w:szCs w:val="18"/>
        </w:rPr>
      </w:pPr>
      <w:r w:rsidRPr="002A126A">
        <w:rPr>
          <w:sz w:val="18"/>
          <w:szCs w:val="18"/>
          <w:lang w:val="en-US"/>
        </w:rPr>
        <w:t>…There is no legal safeguard requiring TEK to produce supportive materials or, in particular, a sufficient factual basis for the application of secret intelligence gathering measures which would enable the evaluation of necessity of the proposed meas</w:t>
      </w:r>
      <w:r w:rsidR="00026CDD">
        <w:rPr>
          <w:sz w:val="18"/>
          <w:szCs w:val="18"/>
          <w:lang w:val="en-US"/>
        </w:rPr>
        <w:t>ure</w:t>
      </w:r>
      <w:r w:rsidRPr="002A126A">
        <w:rPr>
          <w:sz w:val="18"/>
          <w:szCs w:val="18"/>
          <w:lang w:val="en-US"/>
        </w:rPr>
        <w:t xml:space="preserve"> and this on the basis of an individual suspicion regarding the target person (see Roman </w:t>
      </w:r>
      <w:proofErr w:type="spellStart"/>
      <w:r w:rsidRPr="002A126A">
        <w:rPr>
          <w:sz w:val="18"/>
          <w:szCs w:val="18"/>
          <w:lang w:val="en-US"/>
        </w:rPr>
        <w:t>Zakharov</w:t>
      </w:r>
      <w:proofErr w:type="spellEnd"/>
      <w:r w:rsidRPr="002A126A">
        <w:rPr>
          <w:sz w:val="18"/>
          <w:szCs w:val="18"/>
          <w:lang w:val="en-US"/>
        </w:rPr>
        <w:t>, cited above, §§ 259 and 261). For the Court, only such information would a</w:t>
      </w:r>
      <w:r w:rsidRPr="002A126A">
        <w:rPr>
          <w:sz w:val="18"/>
          <w:szCs w:val="18"/>
          <w:lang w:val="en-US"/>
        </w:rPr>
        <w:t>l</w:t>
      </w:r>
      <w:r w:rsidRPr="002A126A">
        <w:rPr>
          <w:sz w:val="18"/>
          <w:szCs w:val="18"/>
          <w:lang w:val="en-US"/>
        </w:rPr>
        <w:t xml:space="preserve">low the </w:t>
      </w:r>
      <w:proofErr w:type="spellStart"/>
      <w:r w:rsidRPr="002A126A">
        <w:rPr>
          <w:sz w:val="18"/>
          <w:szCs w:val="18"/>
          <w:lang w:val="en-US"/>
        </w:rPr>
        <w:t>authorising</w:t>
      </w:r>
      <w:proofErr w:type="spellEnd"/>
      <w:r w:rsidRPr="002A126A">
        <w:rPr>
          <w:sz w:val="18"/>
          <w:szCs w:val="18"/>
          <w:lang w:val="en-US"/>
        </w:rPr>
        <w:t xml:space="preserve"> authority to perform an appropriate proportionality test. </w:t>
      </w:r>
      <w:r w:rsidRPr="002A126A">
        <w:rPr>
          <w:sz w:val="18"/>
          <w:szCs w:val="18"/>
        </w:rPr>
        <w:t>(</w:t>
      </w:r>
      <w:proofErr w:type="spellStart"/>
      <w:r w:rsidRPr="002A126A">
        <w:rPr>
          <w:sz w:val="18"/>
          <w:szCs w:val="18"/>
        </w:rPr>
        <w:t>ibid</w:t>
      </w:r>
      <w:proofErr w:type="spellEnd"/>
      <w:r w:rsidRPr="002A126A">
        <w:rPr>
          <w:sz w:val="18"/>
          <w:szCs w:val="18"/>
        </w:rPr>
        <w:t xml:space="preserve">. </w:t>
      </w:r>
      <w:proofErr w:type="spellStart"/>
      <w:r w:rsidRPr="002A126A">
        <w:rPr>
          <w:sz w:val="18"/>
          <w:szCs w:val="18"/>
        </w:rPr>
        <w:t>para</w:t>
      </w:r>
      <w:proofErr w:type="spellEnd"/>
      <w:r w:rsidRPr="002A126A">
        <w:rPr>
          <w:sz w:val="18"/>
          <w:szCs w:val="18"/>
        </w:rPr>
        <w:t xml:space="preserve"> 71)</w:t>
      </w:r>
    </w:p>
    <w:p w:rsidR="009D5B3B" w:rsidRPr="002A126A" w:rsidRDefault="009D5B3B" w:rsidP="00821127">
      <w:pPr>
        <w:ind w:left="1304"/>
        <w:jc w:val="both"/>
        <w:rPr>
          <w:sz w:val="18"/>
          <w:szCs w:val="18"/>
        </w:rPr>
      </w:pPr>
    </w:p>
    <w:p w:rsidR="002B30DE" w:rsidRDefault="002B30DE" w:rsidP="00821127">
      <w:pPr>
        <w:jc w:val="both"/>
      </w:pPr>
    </w:p>
    <w:p w:rsidR="002A126A" w:rsidRDefault="002B30DE" w:rsidP="00821127">
      <w:pPr>
        <w:jc w:val="both"/>
      </w:pPr>
      <w:r>
        <w:t>Viranomaisten on siis pystyttävä perustelemaan tieduste</w:t>
      </w:r>
      <w:r w:rsidR="002A126A">
        <w:t>lutoimien välttämättömyys ja oi</w:t>
      </w:r>
      <w:r>
        <w:t>keasuhta</w:t>
      </w:r>
      <w:r>
        <w:t>i</w:t>
      </w:r>
      <w:r>
        <w:t>suus. Tähän sisältyy vaatimus osoittaa yhteys tiedustelutoimet oikeuttavan uhkan ja tiedustelun ko</w:t>
      </w:r>
      <w:r>
        <w:t>h</w:t>
      </w:r>
      <w:r>
        <w:lastRenderedPageBreak/>
        <w:t>teena olevan henkilön tai henkilöiden ryhmän välillä.</w:t>
      </w:r>
      <w:r w:rsidR="002A126A">
        <w:t xml:space="preserve"> </w:t>
      </w:r>
      <w:r w:rsidR="00E175C2">
        <w:t xml:space="preserve">Vaatimus liittyi </w:t>
      </w:r>
      <w:proofErr w:type="spellStart"/>
      <w:r w:rsidR="00E175C2">
        <w:t>Szabo</w:t>
      </w:r>
      <w:proofErr w:type="spellEnd"/>
      <w:r w:rsidR="00E175C2">
        <w:t xml:space="preserve"> &amp; Vissy -tapauksessa p</w:t>
      </w:r>
      <w:r w:rsidR="00E175C2">
        <w:t>o</w:t>
      </w:r>
      <w:r w:rsidR="00E175C2">
        <w:t xml:space="preserve">liisin kohdennettuihin tiedonhankintakeinoihin. </w:t>
      </w:r>
      <w:r w:rsidR="006A121B">
        <w:t>Luottamuksellisen viestin salaisuuteen puuttuvat ti</w:t>
      </w:r>
      <w:r w:rsidR="006A121B">
        <w:t>e</w:t>
      </w:r>
      <w:r w:rsidR="006A121B">
        <w:t>dustelumenetelmät puuttuvat kuitenkin lopulta aina tiettyjen yksittäisten henkilöiden viestintään. Siksi tiedustelutoimen oikeuttavan uhkan ja tiedustelun kohteena olevan henkilön välinen yhteys on merk</w:t>
      </w:r>
      <w:r w:rsidR="006A121B">
        <w:t>i</w:t>
      </w:r>
      <w:r w:rsidR="006A121B">
        <w:t>tyksellinen.</w:t>
      </w:r>
    </w:p>
    <w:p w:rsidR="006A121B" w:rsidRDefault="006A121B" w:rsidP="00821127">
      <w:pPr>
        <w:jc w:val="both"/>
      </w:pPr>
    </w:p>
    <w:p w:rsidR="009D5B3B" w:rsidRDefault="002A126A" w:rsidP="00821127">
      <w:pPr>
        <w:jc w:val="both"/>
      </w:pPr>
      <w:r>
        <w:t xml:space="preserve">Myös Euroopan unionin tuomioistuimen (EUT) hiljattaisessa </w:t>
      </w:r>
      <w:r w:rsidR="009D5B3B">
        <w:t>tele</w:t>
      </w:r>
      <w:r w:rsidR="00E175C2">
        <w:t>t</w:t>
      </w:r>
      <w:r w:rsidR="009D5B3B">
        <w:t xml:space="preserve">ietojen yleistä säilytysvelvollisuutta koskevassa </w:t>
      </w:r>
      <w:r>
        <w:t>ratkaisussa Tele2 Sverige ja Watson -</w:t>
      </w:r>
      <w:r w:rsidRPr="002A126A">
        <w:t xml:space="preserve"> (C-203/15 ja C-698/15)</w:t>
      </w:r>
      <w:r>
        <w:t xml:space="preserve"> EUT on todennut, että </w:t>
      </w:r>
      <w:r w:rsidR="009D5B3B">
        <w:t>viranomaisen pääsy kohdennetun tallennusvelvoitteen alaisiin tallennettuihin tietoihin tulee perustua joko rikosepäilyyn tai tietoihin, joihin pääsy voi tapauskohtaisen objektiivisen näytön perusteella olla tarpeellista esimerkiksi kansallista turvallisuutta vaarantavien tekojen estämiseksi.</w:t>
      </w:r>
    </w:p>
    <w:p w:rsidR="002A126A" w:rsidRDefault="009D5B3B" w:rsidP="00821127">
      <w:pPr>
        <w:jc w:val="both"/>
      </w:pPr>
      <w:r>
        <w:t xml:space="preserve"> </w:t>
      </w:r>
    </w:p>
    <w:p w:rsidR="009D5B3B" w:rsidRPr="00E175C2" w:rsidRDefault="009D5B3B" w:rsidP="009D5B3B">
      <w:pPr>
        <w:pStyle w:val="01PointnumeroteAltN"/>
        <w:numPr>
          <w:ilvl w:val="0"/>
          <w:numId w:val="0"/>
        </w:numPr>
        <w:ind w:left="1304"/>
        <w:rPr>
          <w:rFonts w:asciiTheme="minorHAnsi" w:hAnsiTheme="minorHAnsi" w:cstheme="minorHAnsi"/>
          <w:sz w:val="18"/>
          <w:szCs w:val="18"/>
          <w:lang w:val="fi-FI"/>
        </w:rPr>
      </w:pPr>
      <w:r w:rsidRPr="009D5B3B">
        <w:rPr>
          <w:rFonts w:asciiTheme="minorHAnsi" w:hAnsiTheme="minorHAnsi" w:cstheme="minorHAnsi"/>
          <w:sz w:val="18"/>
          <w:szCs w:val="18"/>
          <w:lang w:val="en-US" w:eastAsia="fr-BE"/>
        </w:rPr>
        <w:t xml:space="preserve">--- </w:t>
      </w:r>
      <w:r w:rsidRPr="009D5B3B">
        <w:rPr>
          <w:rFonts w:asciiTheme="minorHAnsi" w:hAnsiTheme="minorHAnsi" w:cstheme="minorHAnsi"/>
          <w:sz w:val="18"/>
          <w:szCs w:val="18"/>
        </w:rPr>
        <w:t xml:space="preserve">In that regard, access can, as a general rule, be granted, in relation to the objective of fighting crime, only to the data of individuals suspected of planning, committing or having committed a serious crime or of being implicated in one way or another in such a crime (see, by analogy, </w:t>
      </w:r>
      <w:proofErr w:type="spellStart"/>
      <w:r w:rsidRPr="009D5B3B">
        <w:rPr>
          <w:rFonts w:asciiTheme="minorHAnsi" w:hAnsiTheme="minorHAnsi" w:cstheme="minorHAnsi"/>
          <w:sz w:val="18"/>
          <w:szCs w:val="18"/>
        </w:rPr>
        <w:t>ECtHR</w:t>
      </w:r>
      <w:proofErr w:type="spellEnd"/>
      <w:r w:rsidRPr="009D5B3B">
        <w:rPr>
          <w:rFonts w:asciiTheme="minorHAnsi" w:hAnsiTheme="minorHAnsi" w:cstheme="minorHAnsi"/>
          <w:sz w:val="18"/>
          <w:szCs w:val="18"/>
        </w:rPr>
        <w:t xml:space="preserve">, 4 December 2015, </w:t>
      </w:r>
      <w:proofErr w:type="spellStart"/>
      <w:r w:rsidRPr="009D5B3B">
        <w:rPr>
          <w:rFonts w:asciiTheme="minorHAnsi" w:hAnsiTheme="minorHAnsi" w:cstheme="minorHAnsi"/>
          <w:i/>
          <w:sz w:val="18"/>
          <w:szCs w:val="18"/>
        </w:rPr>
        <w:t>Zakharov</w:t>
      </w:r>
      <w:proofErr w:type="spellEnd"/>
      <w:r w:rsidRPr="009D5B3B">
        <w:rPr>
          <w:rFonts w:asciiTheme="minorHAnsi" w:hAnsiTheme="minorHAnsi" w:cstheme="minorHAnsi"/>
          <w:i/>
          <w:sz w:val="18"/>
          <w:szCs w:val="18"/>
        </w:rPr>
        <w:t xml:space="preserve"> v.</w:t>
      </w:r>
      <w:r w:rsidRPr="009D5B3B">
        <w:rPr>
          <w:rFonts w:asciiTheme="minorHAnsi" w:hAnsiTheme="minorHAnsi" w:cstheme="minorHAnsi"/>
          <w:sz w:val="18"/>
          <w:szCs w:val="18"/>
        </w:rPr>
        <w:t xml:space="preserve"> </w:t>
      </w:r>
      <w:r w:rsidRPr="009D5B3B">
        <w:rPr>
          <w:rFonts w:asciiTheme="minorHAnsi" w:hAnsiTheme="minorHAnsi" w:cstheme="minorHAnsi"/>
          <w:i/>
          <w:sz w:val="18"/>
          <w:szCs w:val="18"/>
        </w:rPr>
        <w:t>Russia</w:t>
      </w:r>
      <w:r w:rsidRPr="009D5B3B">
        <w:rPr>
          <w:rFonts w:asciiTheme="minorHAnsi" w:hAnsiTheme="minorHAnsi" w:cstheme="minorHAnsi"/>
          <w:sz w:val="18"/>
          <w:szCs w:val="18"/>
        </w:rPr>
        <w:t>, CE</w:t>
      </w:r>
      <w:proofErr w:type="gramStart"/>
      <w:r w:rsidRPr="009D5B3B">
        <w:rPr>
          <w:rFonts w:asciiTheme="minorHAnsi" w:hAnsiTheme="minorHAnsi" w:cstheme="minorHAnsi"/>
          <w:sz w:val="18"/>
          <w:szCs w:val="18"/>
        </w:rPr>
        <w:t>:ECHR:2015:1204JUD004714306</w:t>
      </w:r>
      <w:proofErr w:type="gramEnd"/>
      <w:r w:rsidRPr="009D5B3B">
        <w:rPr>
          <w:rFonts w:asciiTheme="minorHAnsi" w:hAnsiTheme="minorHAnsi" w:cstheme="minorHAnsi"/>
          <w:sz w:val="18"/>
          <w:szCs w:val="18"/>
        </w:rPr>
        <w:t xml:space="preserve">, § 260). However, in particular situations, where for example vital national security, defence </w:t>
      </w:r>
      <w:r w:rsidRPr="009D5B3B">
        <w:rPr>
          <w:rFonts w:asciiTheme="minorHAnsi" w:hAnsiTheme="minorHAnsi" w:cstheme="minorHAnsi"/>
          <w:sz w:val="18"/>
          <w:szCs w:val="18"/>
          <w:lang w:eastAsia="fr-BE"/>
        </w:rPr>
        <w:t xml:space="preserve">or public </w:t>
      </w:r>
      <w:r w:rsidRPr="009D5B3B">
        <w:rPr>
          <w:rFonts w:asciiTheme="minorHAnsi" w:hAnsiTheme="minorHAnsi" w:cstheme="minorHAnsi"/>
          <w:sz w:val="18"/>
          <w:szCs w:val="18"/>
        </w:rPr>
        <w:t>security</w:t>
      </w:r>
      <w:r w:rsidRPr="009D5B3B">
        <w:rPr>
          <w:rFonts w:asciiTheme="minorHAnsi" w:hAnsiTheme="minorHAnsi" w:cstheme="minorHAnsi"/>
          <w:sz w:val="18"/>
          <w:szCs w:val="18"/>
          <w:lang w:eastAsia="fr-BE"/>
        </w:rPr>
        <w:t xml:space="preserve"> interests are threatened by terrorist activities</w:t>
      </w:r>
      <w:r w:rsidRPr="009D5B3B">
        <w:rPr>
          <w:rFonts w:asciiTheme="minorHAnsi" w:hAnsiTheme="minorHAnsi" w:cstheme="minorHAnsi"/>
          <w:sz w:val="18"/>
          <w:szCs w:val="18"/>
        </w:rPr>
        <w:t xml:space="preserve">, access to the data of other persons might also be granted where there is objective evidence from which it can be deduced that that data might, in a specific case, make an effective contribution to combating such activities. </w:t>
      </w:r>
      <w:r w:rsidRPr="00E175C2">
        <w:rPr>
          <w:rFonts w:asciiTheme="minorHAnsi" w:hAnsiTheme="minorHAnsi" w:cstheme="minorHAnsi"/>
          <w:sz w:val="18"/>
          <w:szCs w:val="18"/>
          <w:lang w:val="fi-FI"/>
        </w:rPr>
        <w:t xml:space="preserve">(Tele2 Sverige ja Watson </w:t>
      </w:r>
      <w:proofErr w:type="spellStart"/>
      <w:r w:rsidRPr="00E175C2">
        <w:rPr>
          <w:rFonts w:asciiTheme="minorHAnsi" w:hAnsiTheme="minorHAnsi" w:cstheme="minorHAnsi"/>
          <w:sz w:val="18"/>
          <w:szCs w:val="18"/>
          <w:lang w:val="fi-FI"/>
        </w:rPr>
        <w:t>para</w:t>
      </w:r>
      <w:proofErr w:type="spellEnd"/>
      <w:r w:rsidRPr="00E175C2">
        <w:rPr>
          <w:rFonts w:asciiTheme="minorHAnsi" w:hAnsiTheme="minorHAnsi" w:cstheme="minorHAnsi"/>
          <w:sz w:val="18"/>
          <w:szCs w:val="18"/>
          <w:lang w:val="fi-FI"/>
        </w:rPr>
        <w:t xml:space="preserve"> 119) </w:t>
      </w:r>
    </w:p>
    <w:p w:rsidR="00E67DB2" w:rsidRDefault="00E67DB2" w:rsidP="00E67DB2">
      <w:pPr>
        <w:jc w:val="both"/>
      </w:pPr>
      <w:r w:rsidRPr="00972CB4">
        <w:t>On myös hyvä huomioida, että perustuslain 10.3 §:n nykyiset rajoitusperusteet rajoittavat huomatt</w:t>
      </w:r>
      <w:r w:rsidRPr="00972CB4">
        <w:t>a</w:t>
      </w:r>
      <w:r w:rsidRPr="00972CB4">
        <w:t>vasti suppeammaksi sitä joukkoa, johon tiedustelutoiminta voi kohdistua. Rikosten tutkinta, oikeude</w:t>
      </w:r>
      <w:r w:rsidRPr="00972CB4">
        <w:t>n</w:t>
      </w:r>
      <w:r w:rsidRPr="00972CB4">
        <w:t>käynti, turvallisuustarkastus, sekä vapaudenmenetys kohdistuvat kaikki hyvinkin rajattuun ihmisjou</w:t>
      </w:r>
      <w:r w:rsidRPr="00972CB4">
        <w:t>k</w:t>
      </w:r>
      <w:r w:rsidRPr="00972CB4">
        <w:t>koon.</w:t>
      </w:r>
    </w:p>
    <w:p w:rsidR="0026089F" w:rsidRDefault="0026089F" w:rsidP="00E67DB2">
      <w:pPr>
        <w:jc w:val="both"/>
      </w:pPr>
    </w:p>
    <w:p w:rsidR="0026089F" w:rsidRPr="00972CB4" w:rsidRDefault="0026089F" w:rsidP="0026089F">
      <w:pPr>
        <w:autoSpaceDE w:val="0"/>
        <w:autoSpaceDN w:val="0"/>
        <w:adjustRightInd w:val="0"/>
        <w:jc w:val="both"/>
      </w:pPr>
      <w:r w:rsidRPr="00972CB4">
        <w:t xml:space="preserve">Periaatteessa sotilaallinen toiminta ja kansallista turvallisuutta vaarantava toiminta voisivat </w:t>
      </w:r>
      <w:r>
        <w:t>mahdoll</w:t>
      </w:r>
      <w:r>
        <w:t>i</w:t>
      </w:r>
      <w:r>
        <w:t xml:space="preserve">sesti </w:t>
      </w:r>
      <w:r w:rsidRPr="00972CB4">
        <w:t xml:space="preserve">rajata ihmisjoukkoa </w:t>
      </w:r>
      <w:r>
        <w:t>suhteellisen</w:t>
      </w:r>
      <w:r w:rsidRPr="00972CB4">
        <w:t xml:space="preserve"> tarkasti silloin, kun tällaiselle toiminnalle on asetettu tiettyjä konkreettisuuden kriteereitä. Nyt yksityiskohtaisissa perusteluissa on päädyttä vastakohtaiseen ra</w:t>
      </w:r>
      <w:r w:rsidRPr="00972CB4">
        <w:t>t</w:t>
      </w:r>
      <w:r w:rsidRPr="00972CB4">
        <w:t xml:space="preserve">kaisuun ja niiden mukaan: </w:t>
      </w:r>
    </w:p>
    <w:p w:rsidR="0026089F" w:rsidRPr="00972CB4" w:rsidRDefault="0026089F" w:rsidP="0026089F">
      <w:pPr>
        <w:autoSpaceDE w:val="0"/>
        <w:autoSpaceDN w:val="0"/>
        <w:adjustRightInd w:val="0"/>
        <w:jc w:val="both"/>
      </w:pPr>
    </w:p>
    <w:p w:rsidR="0026089F" w:rsidRPr="009F067D" w:rsidRDefault="0026089F" w:rsidP="0026089F">
      <w:pPr>
        <w:autoSpaceDE w:val="0"/>
        <w:autoSpaceDN w:val="0"/>
        <w:adjustRightInd w:val="0"/>
        <w:ind w:left="1304"/>
        <w:jc w:val="both"/>
        <w:rPr>
          <w:rFonts w:ascii="Arial" w:hAnsi="Arial" w:cs="Arial"/>
          <w:i/>
          <w:sz w:val="18"/>
          <w:szCs w:val="18"/>
        </w:rPr>
      </w:pPr>
      <w:r w:rsidRPr="009F067D">
        <w:rPr>
          <w:sz w:val="18"/>
          <w:szCs w:val="18"/>
        </w:rPr>
        <w:t>”</w:t>
      </w:r>
      <w:r w:rsidRPr="009F067D">
        <w:rPr>
          <w:rFonts w:ascii="Arial" w:hAnsi="Arial" w:cs="Arial"/>
          <w:i/>
          <w:sz w:val="18"/>
          <w:szCs w:val="18"/>
        </w:rPr>
        <w:t>Perustuslain 10 §:n 4 momentissa käytettäväksi ehdotettu ilmaisu ”uhkaa” laajentaa säännöksen sovelt</w:t>
      </w:r>
      <w:r w:rsidRPr="009F067D">
        <w:rPr>
          <w:rFonts w:ascii="Arial" w:hAnsi="Arial" w:cs="Arial"/>
          <w:i/>
          <w:sz w:val="18"/>
          <w:szCs w:val="18"/>
        </w:rPr>
        <w:t>a</w:t>
      </w:r>
      <w:r w:rsidRPr="009F067D">
        <w:rPr>
          <w:rFonts w:ascii="Arial" w:hAnsi="Arial" w:cs="Arial"/>
          <w:i/>
          <w:sz w:val="18"/>
          <w:szCs w:val="18"/>
        </w:rPr>
        <w:t>misalaa tilanteisiin, joissa kansallinen turvallisuus ei välittömästi ole vaarantumassa. Näin ollen säännö</w:t>
      </w:r>
      <w:r w:rsidRPr="009F067D">
        <w:rPr>
          <w:rFonts w:ascii="Arial" w:hAnsi="Arial" w:cs="Arial"/>
          <w:i/>
          <w:sz w:val="18"/>
          <w:szCs w:val="18"/>
        </w:rPr>
        <w:t>k</w:t>
      </w:r>
      <w:r w:rsidRPr="009F067D">
        <w:rPr>
          <w:rFonts w:ascii="Arial" w:hAnsi="Arial" w:cs="Arial"/>
          <w:i/>
          <w:sz w:val="18"/>
          <w:szCs w:val="18"/>
        </w:rPr>
        <w:t>sessä tarkoitettu tiedonhankinta voisi koskea myös toimintaa, joka jatkuessaan saattaisi vaarantaa kansa</w:t>
      </w:r>
      <w:r w:rsidRPr="009F067D">
        <w:rPr>
          <w:rFonts w:ascii="Arial" w:hAnsi="Arial" w:cs="Arial"/>
          <w:i/>
          <w:sz w:val="18"/>
          <w:szCs w:val="18"/>
        </w:rPr>
        <w:t>l</w:t>
      </w:r>
      <w:r w:rsidRPr="009F067D">
        <w:rPr>
          <w:rFonts w:ascii="Arial" w:hAnsi="Arial" w:cs="Arial"/>
          <w:i/>
          <w:sz w:val="18"/>
          <w:szCs w:val="18"/>
        </w:rPr>
        <w:t>lista turvallisuutta. Tiedon hankintaa ei ole rajoitettu ajallisesti, sillä kansallista turvallisuutta vakavasti u</w:t>
      </w:r>
      <w:r w:rsidRPr="009F067D">
        <w:rPr>
          <w:rFonts w:ascii="Arial" w:hAnsi="Arial" w:cs="Arial"/>
          <w:i/>
          <w:sz w:val="18"/>
          <w:szCs w:val="18"/>
        </w:rPr>
        <w:t>h</w:t>
      </w:r>
      <w:r w:rsidRPr="009F067D">
        <w:rPr>
          <w:rFonts w:ascii="Arial" w:hAnsi="Arial" w:cs="Arial"/>
          <w:i/>
          <w:sz w:val="18"/>
          <w:szCs w:val="18"/>
        </w:rPr>
        <w:t>kaavaa toimintaa on usein tarpeen seurata pitkäjänteisesti ja systemaattisesti.”</w:t>
      </w:r>
      <w:r w:rsidRPr="009F067D">
        <w:rPr>
          <w:i/>
          <w:sz w:val="18"/>
          <w:szCs w:val="18"/>
        </w:rPr>
        <w:t xml:space="preserve"> </w:t>
      </w:r>
    </w:p>
    <w:p w:rsidR="0026089F" w:rsidRPr="00972CB4" w:rsidRDefault="0026089F" w:rsidP="0026089F">
      <w:pPr>
        <w:jc w:val="both"/>
      </w:pPr>
    </w:p>
    <w:p w:rsidR="0026089F" w:rsidRPr="00972CB4" w:rsidRDefault="0026089F" w:rsidP="0026089F">
      <w:pPr>
        <w:jc w:val="both"/>
      </w:pPr>
      <w:r w:rsidRPr="00972CB4">
        <w:rPr>
          <w:rFonts w:ascii="Arial" w:hAnsi="Arial" w:cs="Arial"/>
          <w:szCs w:val="22"/>
        </w:rPr>
        <w:t xml:space="preserve">On helppo ymmärtää, että toiminta, joka jatkuessaan saattaisi vaarantaa kansallista turvallisuutta, voisi periaatteessa tarkoittaa lähes millaista toimintaa tahansa, vaikka tämä ei ole </w:t>
      </w:r>
      <w:r w:rsidR="00E93BA6">
        <w:rPr>
          <w:rFonts w:ascii="Arial" w:hAnsi="Arial" w:cs="Arial"/>
          <w:szCs w:val="22"/>
        </w:rPr>
        <w:t xml:space="preserve">luonnollisestikaan </w:t>
      </w:r>
      <w:r w:rsidRPr="00972CB4">
        <w:rPr>
          <w:rFonts w:ascii="Arial" w:hAnsi="Arial" w:cs="Arial"/>
          <w:szCs w:val="22"/>
        </w:rPr>
        <w:t>ol</w:t>
      </w:r>
      <w:r w:rsidR="00E93BA6">
        <w:rPr>
          <w:rFonts w:ascii="Arial" w:hAnsi="Arial" w:cs="Arial"/>
          <w:szCs w:val="22"/>
        </w:rPr>
        <w:t>lut</w:t>
      </w:r>
      <w:r w:rsidRPr="00972CB4">
        <w:rPr>
          <w:rFonts w:ascii="Arial" w:hAnsi="Arial" w:cs="Arial"/>
          <w:szCs w:val="22"/>
        </w:rPr>
        <w:t xml:space="preserve"> esityksen tarkoitus. Kuitenkin esityksen valossa n</w:t>
      </w:r>
      <w:r w:rsidRPr="00972CB4">
        <w:t>äyttäisi siltä, että viranomainen voitaisiin sää</w:t>
      </w:r>
      <w:r w:rsidRPr="00972CB4">
        <w:t>n</w:t>
      </w:r>
      <w:r w:rsidRPr="00972CB4">
        <w:t>nöksen nojalla oikeuttaa rajoittamaan lähes rajoittamattoman joukon viestinnän luottamuksellisuutta, jos se on välttämätöntä tiedon hankkimiseksi muusta kansallista turvallisuutta uhkaavasta toiminna</w:t>
      </w:r>
      <w:r w:rsidRPr="00972CB4">
        <w:t>s</w:t>
      </w:r>
      <w:r w:rsidRPr="00972CB4">
        <w:t xml:space="preserve">ta. Tiedon tarpeellisuus voi työryhmän mietinnön mukaan liittyä esimerkiksi tilannekuvan tuottamiseen poliittiselle päätöksentekijälle. </w:t>
      </w:r>
    </w:p>
    <w:p w:rsidR="0026089F" w:rsidRPr="00972CB4" w:rsidRDefault="0026089F" w:rsidP="0026089F">
      <w:pPr>
        <w:jc w:val="both"/>
      </w:pPr>
    </w:p>
    <w:p w:rsidR="0026089F" w:rsidRPr="00972CB4" w:rsidRDefault="0026089F" w:rsidP="0026089F">
      <w:pPr>
        <w:jc w:val="both"/>
      </w:pPr>
      <w:r w:rsidRPr="00972CB4">
        <w:t>Vaikka perusoikeuksien yleiset rajoittamisedellytykset vaikuttavat kaventavasti mahdollisuuksiin sä</w:t>
      </w:r>
      <w:r w:rsidRPr="00972CB4">
        <w:t>ä</w:t>
      </w:r>
      <w:r w:rsidRPr="00972CB4">
        <w:t>tää tiedustelutoimivaltuuksista tavallisen lain tasolla, myös perustuslain perusteluilla voi olla merkitt</w:t>
      </w:r>
      <w:r w:rsidRPr="00972CB4">
        <w:t>ä</w:t>
      </w:r>
      <w:r w:rsidRPr="00972CB4">
        <w:t xml:space="preserve">vä vaikutus perustuslain tulkintaan jatkossa. </w:t>
      </w:r>
    </w:p>
    <w:p w:rsidR="0026089F" w:rsidRPr="00972CB4" w:rsidRDefault="0026089F" w:rsidP="00E67DB2">
      <w:pPr>
        <w:jc w:val="both"/>
      </w:pPr>
    </w:p>
    <w:p w:rsidR="0026089F" w:rsidRDefault="001F7FC3" w:rsidP="00821127">
      <w:pPr>
        <w:jc w:val="both"/>
      </w:pPr>
      <w:r w:rsidRPr="00972CB4">
        <w:t xml:space="preserve">Työryhmän mietinnön mukaan </w:t>
      </w:r>
    </w:p>
    <w:p w:rsidR="0026089F" w:rsidRDefault="0026089F" w:rsidP="00821127">
      <w:pPr>
        <w:jc w:val="both"/>
      </w:pPr>
    </w:p>
    <w:p w:rsidR="0026089F" w:rsidRPr="009F067D" w:rsidRDefault="0026089F" w:rsidP="0026089F">
      <w:pPr>
        <w:ind w:left="1304"/>
        <w:jc w:val="both"/>
        <w:rPr>
          <w:sz w:val="18"/>
          <w:szCs w:val="18"/>
        </w:rPr>
      </w:pPr>
      <w:r w:rsidRPr="009F067D">
        <w:rPr>
          <w:sz w:val="18"/>
          <w:szCs w:val="18"/>
        </w:rPr>
        <w:t>”</w:t>
      </w:r>
      <w:r w:rsidR="001F7FC3" w:rsidRPr="009F067D">
        <w:rPr>
          <w:i/>
          <w:sz w:val="18"/>
          <w:szCs w:val="18"/>
        </w:rPr>
        <w:t>tiedustelutoimivaltuuksia ei kuitenkaan arvioida olevan mahdollista kohdistaa kaikissa tapauksissa niin täsmällisesti, ettei olisi vaaraa viranomaisten tilapäisestä pääsystä yksittäisten, tiedustelutehtävään liittymä</w:t>
      </w:r>
      <w:r w:rsidR="001F7FC3" w:rsidRPr="009F067D">
        <w:rPr>
          <w:i/>
          <w:sz w:val="18"/>
          <w:szCs w:val="18"/>
        </w:rPr>
        <w:t>t</w:t>
      </w:r>
      <w:r w:rsidR="001F7FC3" w:rsidRPr="009F067D">
        <w:rPr>
          <w:i/>
          <w:sz w:val="18"/>
          <w:szCs w:val="18"/>
        </w:rPr>
        <w:t>tömien henkilöiden viestintää koskeviin tietoihin</w:t>
      </w:r>
      <w:r w:rsidR="001F7FC3" w:rsidRPr="009F067D">
        <w:rPr>
          <w:sz w:val="18"/>
          <w:szCs w:val="18"/>
        </w:rPr>
        <w:t>.</w:t>
      </w:r>
      <w:r w:rsidRPr="009F067D">
        <w:rPr>
          <w:sz w:val="18"/>
          <w:szCs w:val="18"/>
        </w:rPr>
        <w:t>”</w:t>
      </w:r>
      <w:r w:rsidR="001F7FC3" w:rsidRPr="009F067D">
        <w:rPr>
          <w:sz w:val="18"/>
          <w:szCs w:val="18"/>
        </w:rPr>
        <w:t xml:space="preserve"> </w:t>
      </w:r>
    </w:p>
    <w:p w:rsidR="0026089F" w:rsidRDefault="0026089F" w:rsidP="0026089F">
      <w:pPr>
        <w:ind w:left="1304"/>
        <w:jc w:val="both"/>
      </w:pPr>
    </w:p>
    <w:p w:rsidR="0026089F" w:rsidRDefault="0026089F" w:rsidP="0026089F">
      <w:pPr>
        <w:jc w:val="both"/>
      </w:pPr>
      <w:r>
        <w:lastRenderedPageBreak/>
        <w:t>Kuten edellä on mainittu, t</w:t>
      </w:r>
      <w:r w:rsidRPr="00972CB4">
        <w:t>iedustelutoiminnan luonteen kannalta lienee aina mahdollista, että vira</w:t>
      </w:r>
      <w:r w:rsidRPr="00972CB4">
        <w:t>n</w:t>
      </w:r>
      <w:r w:rsidRPr="00972CB4">
        <w:t>omaisilla on vaara tilapäiseen pääsyyn tiedustelutehtävään liittymättömien henkilöiden viestintää ko</w:t>
      </w:r>
      <w:r w:rsidRPr="00972CB4">
        <w:t>s</w:t>
      </w:r>
      <w:r w:rsidRPr="00972CB4">
        <w:t>keviin tietoihin</w:t>
      </w:r>
      <w:r>
        <w:t xml:space="preserve">.  </w:t>
      </w:r>
      <w:r w:rsidR="001F7FC3" w:rsidRPr="00972CB4">
        <w:t xml:space="preserve">On kuitenkin </w:t>
      </w:r>
      <w:r>
        <w:t>tärkeää arvioida kuinka todennäköistä tämä on ja kuinka suureen jou</w:t>
      </w:r>
      <w:r>
        <w:t>k</w:t>
      </w:r>
      <w:r>
        <w:t xml:space="preserve">koon sivullisia tiedustelu voi kohdistua. </w:t>
      </w:r>
    </w:p>
    <w:p w:rsidR="0026089F" w:rsidRDefault="0026089F" w:rsidP="0026089F">
      <w:pPr>
        <w:jc w:val="both"/>
      </w:pPr>
    </w:p>
    <w:p w:rsidR="001F7FC3" w:rsidRDefault="0026089F" w:rsidP="0026089F">
      <w:pPr>
        <w:jc w:val="both"/>
      </w:pPr>
      <w:r>
        <w:t>N</w:t>
      </w:r>
      <w:r w:rsidR="001F7FC3" w:rsidRPr="00972CB4">
        <w:t>ykyiset poliisilain-, pakkokeinolain ja sotilaskurinpitolain mukaiset salaiset telepakkokeinot mahdo</w:t>
      </w:r>
      <w:r w:rsidR="001F7FC3" w:rsidRPr="00972CB4">
        <w:t>l</w:t>
      </w:r>
      <w:r w:rsidR="001F7FC3" w:rsidRPr="00972CB4">
        <w:t xml:space="preserve">listavat tiedonhankinnan </w:t>
      </w:r>
      <w:r>
        <w:t xml:space="preserve">hyvinkin </w:t>
      </w:r>
      <w:r w:rsidR="001F7FC3" w:rsidRPr="00972CB4">
        <w:t xml:space="preserve">kohdennetusti. </w:t>
      </w:r>
      <w:r>
        <w:t>Oikeusministeriön mietinnöss</w:t>
      </w:r>
      <w:r w:rsidR="001F7FC3" w:rsidRPr="00972CB4">
        <w:t xml:space="preserve">ä ei </w:t>
      </w:r>
      <w:r>
        <w:t>suoraan oteta ka</w:t>
      </w:r>
      <w:r>
        <w:t>n</w:t>
      </w:r>
      <w:r>
        <w:t>taa siihen</w:t>
      </w:r>
      <w:r w:rsidR="001F7FC3" w:rsidRPr="00972CB4">
        <w:t xml:space="preserve">, perustuuko perustuslain säännöksen muuttamisen tarve siihen, ettei viranomaisille voida nykyisen perustuslain nojalla säätää oikeutta </w:t>
      </w:r>
      <w:r>
        <w:t>puuttua</w:t>
      </w:r>
      <w:r w:rsidR="001F7FC3" w:rsidRPr="00972CB4">
        <w:t xml:space="preserve"> tiedustelutehtävään liittymättömien henkilöiden viestintään. Mietinnöstä ei myöskään ilmene, miten suureen sivullisten henkilöiden joukkoon tiedust</w:t>
      </w:r>
      <w:r w:rsidR="001F7FC3" w:rsidRPr="00972CB4">
        <w:t>e</w:t>
      </w:r>
      <w:r w:rsidR="001F7FC3" w:rsidRPr="00972CB4">
        <w:t>luviranomaisille voitaisiin sallia pääsy ehdotetun perustuslain säännöksen nojalla tai mitä tarkoitetta</w:t>
      </w:r>
      <w:r w:rsidR="001F7FC3" w:rsidRPr="00972CB4">
        <w:t>i</w:t>
      </w:r>
      <w:r w:rsidR="001F7FC3" w:rsidRPr="00972CB4">
        <w:t>siin tilapäisellä pääsyllä sivullisten henkilöiden viestintään.</w:t>
      </w:r>
      <w:r w:rsidR="00715D3D">
        <w:t xml:space="preserve"> </w:t>
      </w:r>
    </w:p>
    <w:p w:rsidR="00715D3D" w:rsidRDefault="00715D3D" w:rsidP="0026089F">
      <w:pPr>
        <w:jc w:val="both"/>
      </w:pPr>
    </w:p>
    <w:p w:rsidR="00715D3D" w:rsidRPr="008C1855" w:rsidRDefault="00715D3D" w:rsidP="00EB0F2F">
      <w:pPr>
        <w:jc w:val="both"/>
        <w:rPr>
          <w:b/>
        </w:rPr>
      </w:pPr>
      <w:r w:rsidRPr="000D0DBE">
        <w:rPr>
          <w:b/>
        </w:rPr>
        <w:t>Li</w:t>
      </w:r>
      <w:r w:rsidR="008C1855">
        <w:rPr>
          <w:b/>
        </w:rPr>
        <w:t>ikenne- ja viestintäministeriö toteaa, ettei perustuslain muutoksella tulisi mahdollistaa ka</w:t>
      </w:r>
      <w:r w:rsidR="008C1855">
        <w:rPr>
          <w:b/>
        </w:rPr>
        <w:t>i</w:t>
      </w:r>
      <w:r w:rsidR="008C1855">
        <w:rPr>
          <w:b/>
        </w:rPr>
        <w:t xml:space="preserve">ken </w:t>
      </w:r>
      <w:r w:rsidRPr="000D0DBE">
        <w:rPr>
          <w:b/>
        </w:rPr>
        <w:t>tietoliikenteen seulon</w:t>
      </w:r>
      <w:r w:rsidR="008C1855">
        <w:rPr>
          <w:b/>
        </w:rPr>
        <w:t>taa eikä viranomaisen pääsyä sellaisten henkilöiden luottamuksell</w:t>
      </w:r>
      <w:r w:rsidR="008C1855">
        <w:rPr>
          <w:b/>
        </w:rPr>
        <w:t>i</w:t>
      </w:r>
      <w:r w:rsidR="008C1855">
        <w:rPr>
          <w:b/>
        </w:rPr>
        <w:t xml:space="preserve">seen viestintään, joilla ei ole yhteyttä sotilaalliseen toimintaan, vakavaan rikokseen tai jotka eivät muutenkaan ole tiedustelutehtävän kohdehenkilöitä. Liikenne- ja viestintäministeriö pitää tärkeänä selvittää </w:t>
      </w:r>
      <w:r w:rsidRPr="000D0DBE">
        <w:rPr>
          <w:b/>
        </w:rPr>
        <w:t xml:space="preserve">vaihtoehtoisena, tehokkaampana ja oikeasuhtaisempana </w:t>
      </w:r>
      <w:r w:rsidR="00595E2D">
        <w:rPr>
          <w:b/>
        </w:rPr>
        <w:t>tiedustelutoimiva</w:t>
      </w:r>
      <w:r w:rsidR="00595E2D">
        <w:rPr>
          <w:b/>
        </w:rPr>
        <w:t>l</w:t>
      </w:r>
      <w:r w:rsidR="00595E2D">
        <w:rPr>
          <w:b/>
        </w:rPr>
        <w:t>tuuksien</w:t>
      </w:r>
      <w:r w:rsidRPr="000D0DBE">
        <w:rPr>
          <w:b/>
        </w:rPr>
        <w:t xml:space="preserve"> mallina myös sitä, että poliisi-, pakkokeino- ja puolustusvoimien rikostorjuntalain mukaisten salaisten pakkokeinojen aineellista tai alueellista soveltamisalaa laajennettaisiin nykyisestään.</w:t>
      </w:r>
      <w:r w:rsidRPr="008C1855">
        <w:rPr>
          <w:b/>
        </w:rPr>
        <w:t xml:space="preserve"> Käytännössä telepakkokeinoja voitaisiin käyttää nykyistä useampien rikostu</w:t>
      </w:r>
      <w:r w:rsidRPr="008C1855">
        <w:rPr>
          <w:b/>
        </w:rPr>
        <w:t>n</w:t>
      </w:r>
      <w:r w:rsidRPr="008C1855">
        <w:rPr>
          <w:b/>
        </w:rPr>
        <w:t>nusmerkistöjen perusteella epäiltyihin henkilöihin tai toisaalta sellaisiin henkilöihin tai organ</w:t>
      </w:r>
      <w:r w:rsidRPr="008C1855">
        <w:rPr>
          <w:b/>
        </w:rPr>
        <w:t>i</w:t>
      </w:r>
      <w:r w:rsidRPr="008C1855">
        <w:rPr>
          <w:b/>
        </w:rPr>
        <w:t>saatioihin</w:t>
      </w:r>
      <w:r w:rsidR="00EB0F2F">
        <w:rPr>
          <w:b/>
        </w:rPr>
        <w:t>,</w:t>
      </w:r>
      <w:r w:rsidRPr="008C1855">
        <w:rPr>
          <w:b/>
        </w:rPr>
        <w:t xml:space="preserve"> joita ei epäillä rikoksesta, mutta jotka eivät nauti myöskään perustuslain suojaa. Tiedustelu voitaisiin tällöin kohdentaa tuomioistuimen antamalla luvalla vain tiettyjen määrite</w:t>
      </w:r>
      <w:r w:rsidRPr="008C1855">
        <w:rPr>
          <w:b/>
        </w:rPr>
        <w:t>l</w:t>
      </w:r>
      <w:r w:rsidRPr="008C1855">
        <w:rPr>
          <w:b/>
        </w:rPr>
        <w:t>tyjen kohdehenkilöiden ja heidän hallussaan olevien liittymien tai laitteiden viestintään.</w:t>
      </w:r>
    </w:p>
    <w:p w:rsidR="00715D3D" w:rsidRPr="008C1855" w:rsidRDefault="00715D3D" w:rsidP="00EB0F2F">
      <w:pPr>
        <w:jc w:val="both"/>
        <w:rPr>
          <w:b/>
        </w:rPr>
      </w:pPr>
    </w:p>
    <w:p w:rsidR="00715D3D" w:rsidRPr="008C1855" w:rsidRDefault="00715D3D" w:rsidP="00EB0F2F">
      <w:pPr>
        <w:jc w:val="both"/>
        <w:rPr>
          <w:b/>
        </w:rPr>
      </w:pPr>
      <w:r w:rsidRPr="008C1855">
        <w:rPr>
          <w:b/>
        </w:rPr>
        <w:t>Tällainen vaihtoehtoinen malli vastaisi nykyistä vakavien rikosten torjunnassa omaksuttua salaisten tiedonhankintavaltuuksien kohdentamista rikosepäiltyihin tuomioistuimen luvalla. Viranomaisella ei olisi teknistä pääsyä kaikkeen viestiliikenteeseen eikä siten sellaisten ulk</w:t>
      </w:r>
      <w:r w:rsidRPr="008C1855">
        <w:rPr>
          <w:b/>
        </w:rPr>
        <w:t>o</w:t>
      </w:r>
      <w:r w:rsidRPr="008C1855">
        <w:rPr>
          <w:b/>
        </w:rPr>
        <w:t xml:space="preserve">puolisten henkilöiden luottamukselliseen viestintään, </w:t>
      </w:r>
      <w:r w:rsidR="00595E2D">
        <w:rPr>
          <w:b/>
        </w:rPr>
        <w:t xml:space="preserve">jotka eivät valmistele rikoksia, </w:t>
      </w:r>
      <w:r w:rsidRPr="008C1855">
        <w:rPr>
          <w:b/>
        </w:rPr>
        <w:t>jotka e</w:t>
      </w:r>
      <w:r w:rsidRPr="008C1855">
        <w:rPr>
          <w:b/>
        </w:rPr>
        <w:t>i</w:t>
      </w:r>
      <w:r w:rsidRPr="008C1855">
        <w:rPr>
          <w:b/>
        </w:rPr>
        <w:t>vät harjoita sotilaallista toimintaa</w:t>
      </w:r>
      <w:r w:rsidR="00595E2D">
        <w:rPr>
          <w:b/>
        </w:rPr>
        <w:t xml:space="preserve"> tai jotka eivät muutenkaan ole tiedustelun kohdehenkilöitä</w:t>
      </w:r>
      <w:r w:rsidRPr="008C1855">
        <w:rPr>
          <w:b/>
        </w:rPr>
        <w:t xml:space="preserve">. </w:t>
      </w:r>
    </w:p>
    <w:p w:rsidR="00715D3D" w:rsidRPr="00972CB4" w:rsidRDefault="00715D3D" w:rsidP="0026089F">
      <w:pPr>
        <w:jc w:val="both"/>
      </w:pPr>
    </w:p>
    <w:p w:rsidR="007368C7" w:rsidRPr="00972CB4" w:rsidRDefault="007368C7" w:rsidP="00821127">
      <w:pPr>
        <w:jc w:val="both"/>
      </w:pPr>
    </w:p>
    <w:p w:rsidR="001F7FC3" w:rsidRPr="00E93BA6" w:rsidRDefault="00E93BA6" w:rsidP="007F1A93">
      <w:pPr>
        <w:ind w:firstLine="1304"/>
        <w:rPr>
          <w:b/>
        </w:rPr>
      </w:pPr>
      <w:r w:rsidRPr="00E93BA6">
        <w:rPr>
          <w:b/>
        </w:rPr>
        <w:t>EU-oikeuden ja EU:n perusoikeuksien soveltuminen</w:t>
      </w:r>
    </w:p>
    <w:p w:rsidR="00E93BA6" w:rsidRDefault="00E93BA6" w:rsidP="001F7FC3">
      <w:pPr>
        <w:rPr>
          <w:b/>
        </w:rPr>
      </w:pPr>
    </w:p>
    <w:p w:rsidR="00E93BA6" w:rsidRDefault="00E93BA6" w:rsidP="001F7FC3">
      <w:r>
        <w:t>Työryhmän m</w:t>
      </w:r>
      <w:r w:rsidRPr="00E93BA6">
        <w:t xml:space="preserve">ietinnössä on </w:t>
      </w:r>
      <w:r>
        <w:t>erittäin ansiokkaasti kuvattu EU-oikeuden sisältöä yksityiselämän suojan alueella. Työryhmän mietinnön antamisen jälkeen EU-tuomioistuin on antanut ratkaisun tapauksessa Tele2 Sverige ja Watson -</w:t>
      </w:r>
      <w:r w:rsidRPr="002A126A">
        <w:t xml:space="preserve"> (C-203/15 ja C-698/15</w:t>
      </w:r>
      <w:r>
        <w:t>), joka on merkityksellinen myös yksityiselämän su</w:t>
      </w:r>
      <w:r>
        <w:t>o</w:t>
      </w:r>
      <w:r>
        <w:t>jan sekä EU-oikeuden soveltumisen kannalta</w:t>
      </w:r>
      <w:r w:rsidR="00FB13A9">
        <w:t xml:space="preserve"> ja joka tulisi huomioida myös esityksen jatkovalmist</w:t>
      </w:r>
      <w:r w:rsidR="00FB13A9">
        <w:t>e</w:t>
      </w:r>
      <w:r w:rsidR="00FB13A9">
        <w:t>lussa.</w:t>
      </w:r>
    </w:p>
    <w:p w:rsidR="00D87543" w:rsidRPr="00D87543" w:rsidRDefault="00D87543" w:rsidP="001F7FC3">
      <w:pPr>
        <w:rPr>
          <w:i/>
        </w:rPr>
      </w:pPr>
    </w:p>
    <w:p w:rsidR="001F7FC3" w:rsidRDefault="001F7FC3" w:rsidP="001F7FC3"/>
    <w:p w:rsidR="009F18EF" w:rsidRDefault="009F18EF" w:rsidP="00480485"/>
    <w:p w:rsidR="00595E2D" w:rsidRDefault="00595E2D" w:rsidP="00480485">
      <w:r>
        <w:tab/>
      </w:r>
    </w:p>
    <w:p w:rsidR="00595E2D" w:rsidRDefault="00595E2D" w:rsidP="00595E2D">
      <w:pPr>
        <w:ind w:left="1304" w:firstLine="1304"/>
      </w:pPr>
    </w:p>
    <w:p w:rsidR="00595E2D" w:rsidRDefault="00595E2D" w:rsidP="00595E2D">
      <w:pPr>
        <w:ind w:left="1304" w:firstLine="1304"/>
      </w:pPr>
      <w:r>
        <w:t>Anne Berner</w:t>
      </w:r>
    </w:p>
    <w:p w:rsidR="00595E2D" w:rsidRDefault="00595E2D" w:rsidP="00595E2D">
      <w:pPr>
        <w:ind w:left="1304" w:firstLine="1304"/>
      </w:pPr>
      <w:r>
        <w:t>Liikenne- ja viestintäministeri</w:t>
      </w:r>
    </w:p>
    <w:p w:rsidR="00595E2D" w:rsidRDefault="00595E2D" w:rsidP="00595E2D">
      <w:pPr>
        <w:ind w:left="1304" w:firstLine="1304"/>
      </w:pPr>
    </w:p>
    <w:p w:rsidR="00595E2D" w:rsidRDefault="00595E2D" w:rsidP="00595E2D">
      <w:pPr>
        <w:ind w:left="1304" w:firstLine="1304"/>
      </w:pPr>
    </w:p>
    <w:p w:rsidR="00595E2D" w:rsidRDefault="00595E2D" w:rsidP="00595E2D">
      <w:pPr>
        <w:ind w:left="1304" w:firstLine="1304"/>
      </w:pPr>
      <w:r>
        <w:t>Laura Vilkkonen</w:t>
      </w:r>
    </w:p>
    <w:p w:rsidR="00595E2D" w:rsidRDefault="00595E2D" w:rsidP="00595E2D">
      <w:pPr>
        <w:ind w:left="1304" w:firstLine="1304"/>
      </w:pPr>
      <w:r>
        <w:t>Osastopäällikkö, ylijohtaja</w:t>
      </w:r>
    </w:p>
    <w:p w:rsidR="00595E2D" w:rsidRDefault="00595E2D" w:rsidP="00480485"/>
    <w:p w:rsidR="00595E2D" w:rsidRPr="00966B06" w:rsidRDefault="00595E2D" w:rsidP="00480485"/>
    <w:sectPr w:rsidR="00595E2D" w:rsidRPr="00966B06" w:rsidSect="00480485">
      <w:headerReference w:type="default" r:id="rId13"/>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06" w:rsidRDefault="00805806">
      <w:r>
        <w:separator/>
      </w:r>
    </w:p>
  </w:endnote>
  <w:endnote w:type="continuationSeparator" w:id="0">
    <w:p w:rsidR="00805806" w:rsidRDefault="008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B4" w:rsidRDefault="00972CB4" w:rsidP="00480485"/>
  <w:p w:rsidR="00972CB4" w:rsidRPr="00653640" w:rsidRDefault="00972CB4"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972CB4" w:rsidTr="00972CB4">
      <w:trPr>
        <w:cantSplit/>
        <w:trHeight w:hRule="exact" w:val="113"/>
      </w:trPr>
      <w:tc>
        <w:tcPr>
          <w:tcW w:w="2628" w:type="dxa"/>
          <w:tcBorders>
            <w:top w:val="single" w:sz="4" w:space="0" w:color="auto"/>
          </w:tcBorders>
          <w:noWrap/>
        </w:tcPr>
        <w:p w:rsidR="00972CB4" w:rsidRDefault="00972CB4" w:rsidP="00972CB4">
          <w:pPr>
            <w:pStyle w:val="Alatunniste"/>
          </w:pPr>
        </w:p>
      </w:tc>
      <w:tc>
        <w:tcPr>
          <w:tcW w:w="1796" w:type="dxa"/>
          <w:tcBorders>
            <w:top w:val="single" w:sz="4" w:space="0" w:color="auto"/>
          </w:tcBorders>
          <w:noWrap/>
        </w:tcPr>
        <w:p w:rsidR="00972CB4" w:rsidRDefault="00972CB4" w:rsidP="00972CB4">
          <w:pPr>
            <w:pStyle w:val="Alatunniste"/>
          </w:pPr>
        </w:p>
      </w:tc>
      <w:tc>
        <w:tcPr>
          <w:tcW w:w="2057" w:type="dxa"/>
          <w:tcBorders>
            <w:top w:val="single" w:sz="4" w:space="0" w:color="auto"/>
          </w:tcBorders>
          <w:noWrap/>
        </w:tcPr>
        <w:p w:rsidR="00972CB4" w:rsidRDefault="00972CB4" w:rsidP="00972CB4">
          <w:pPr>
            <w:pStyle w:val="Alatunniste"/>
          </w:pPr>
        </w:p>
      </w:tc>
      <w:tc>
        <w:tcPr>
          <w:tcW w:w="1316" w:type="dxa"/>
          <w:tcBorders>
            <w:top w:val="single" w:sz="4" w:space="0" w:color="auto"/>
          </w:tcBorders>
          <w:noWrap/>
        </w:tcPr>
        <w:p w:rsidR="00972CB4" w:rsidRDefault="00972CB4" w:rsidP="00972CB4">
          <w:pPr>
            <w:pStyle w:val="Alatunniste"/>
          </w:pPr>
        </w:p>
      </w:tc>
      <w:tc>
        <w:tcPr>
          <w:tcW w:w="2551" w:type="dxa"/>
          <w:tcBorders>
            <w:top w:val="single" w:sz="4" w:space="0" w:color="auto"/>
          </w:tcBorders>
          <w:noWrap/>
        </w:tcPr>
        <w:p w:rsidR="00972CB4" w:rsidRDefault="00972CB4" w:rsidP="00972CB4">
          <w:pPr>
            <w:pStyle w:val="Alatunniste"/>
          </w:pPr>
        </w:p>
      </w:tc>
    </w:tr>
    <w:tr w:rsidR="00972CB4" w:rsidTr="00972CB4">
      <w:trPr>
        <w:cantSplit/>
        <w:trHeight w:hRule="exact" w:val="227"/>
      </w:trPr>
      <w:tc>
        <w:tcPr>
          <w:tcW w:w="2628" w:type="dxa"/>
          <w:noWrap/>
        </w:tcPr>
        <w:p w:rsidR="00972CB4" w:rsidRDefault="00972CB4" w:rsidP="00972CB4">
          <w:pPr>
            <w:pStyle w:val="Alatunniste"/>
          </w:pPr>
          <w:r>
            <w:t>Liikenne- ja viestintäministeriö</w:t>
          </w:r>
        </w:p>
      </w:tc>
      <w:tc>
        <w:tcPr>
          <w:tcW w:w="1796" w:type="dxa"/>
          <w:noWrap/>
        </w:tcPr>
        <w:p w:rsidR="00972CB4" w:rsidRDefault="00972CB4" w:rsidP="00972CB4">
          <w:pPr>
            <w:pStyle w:val="Alatunniste"/>
          </w:pPr>
          <w:r>
            <w:t>Käyntiosoite</w:t>
          </w:r>
        </w:p>
      </w:tc>
      <w:tc>
        <w:tcPr>
          <w:tcW w:w="2057" w:type="dxa"/>
          <w:noWrap/>
        </w:tcPr>
        <w:p w:rsidR="00972CB4" w:rsidRDefault="00972CB4" w:rsidP="00972CB4">
          <w:pPr>
            <w:pStyle w:val="Alatunniste"/>
          </w:pPr>
          <w:r>
            <w:t>Postiosoite</w:t>
          </w:r>
        </w:p>
      </w:tc>
      <w:tc>
        <w:tcPr>
          <w:tcW w:w="1316" w:type="dxa"/>
          <w:noWrap/>
        </w:tcPr>
        <w:p w:rsidR="00972CB4" w:rsidRDefault="00972CB4" w:rsidP="00972CB4">
          <w:pPr>
            <w:pStyle w:val="Alatunniste"/>
          </w:pPr>
          <w:r>
            <w:t>Puhelin</w:t>
          </w:r>
        </w:p>
      </w:tc>
      <w:tc>
        <w:tcPr>
          <w:tcW w:w="2551" w:type="dxa"/>
          <w:noWrap/>
        </w:tcPr>
        <w:p w:rsidR="00972CB4" w:rsidRDefault="00972CB4" w:rsidP="00972CB4">
          <w:pPr>
            <w:pStyle w:val="Alatunniste"/>
          </w:pPr>
          <w:r>
            <w:t>www.lvm.fi</w:t>
          </w:r>
        </w:p>
      </w:tc>
    </w:tr>
    <w:tr w:rsidR="00972CB4" w:rsidTr="00972CB4">
      <w:trPr>
        <w:cantSplit/>
        <w:trHeight w:hRule="exact" w:val="227"/>
      </w:trPr>
      <w:tc>
        <w:tcPr>
          <w:tcW w:w="2628" w:type="dxa"/>
        </w:tcPr>
        <w:p w:rsidR="00972CB4" w:rsidRDefault="00972CB4" w:rsidP="00972CB4">
          <w:pPr>
            <w:pStyle w:val="Alatunniste"/>
          </w:pPr>
        </w:p>
      </w:tc>
      <w:tc>
        <w:tcPr>
          <w:tcW w:w="1796" w:type="dxa"/>
        </w:tcPr>
        <w:p w:rsidR="00972CB4" w:rsidRDefault="00972CB4" w:rsidP="00972CB4">
          <w:pPr>
            <w:pStyle w:val="Alatunniste"/>
          </w:pPr>
          <w:r>
            <w:t xml:space="preserve">Eteläesplanadi 16 </w:t>
          </w:r>
        </w:p>
      </w:tc>
      <w:tc>
        <w:tcPr>
          <w:tcW w:w="2057" w:type="dxa"/>
        </w:tcPr>
        <w:p w:rsidR="00972CB4" w:rsidRDefault="00972CB4" w:rsidP="00972CB4">
          <w:pPr>
            <w:pStyle w:val="Alatunniste"/>
          </w:pPr>
          <w:r>
            <w:t>PL 31</w:t>
          </w:r>
        </w:p>
      </w:tc>
      <w:tc>
        <w:tcPr>
          <w:tcW w:w="1316" w:type="dxa"/>
        </w:tcPr>
        <w:p w:rsidR="00972CB4" w:rsidRDefault="00972CB4" w:rsidP="00972CB4">
          <w:pPr>
            <w:pStyle w:val="Alatunniste"/>
          </w:pPr>
          <w:r>
            <w:t>029516001</w:t>
          </w:r>
        </w:p>
      </w:tc>
      <w:tc>
        <w:tcPr>
          <w:tcW w:w="2551" w:type="dxa"/>
        </w:tcPr>
        <w:p w:rsidR="00972CB4" w:rsidRDefault="00972CB4" w:rsidP="00972CB4">
          <w:pPr>
            <w:pStyle w:val="Alatunniste"/>
          </w:pPr>
          <w:r>
            <w:t>etunimi.sukunimi@lvm.fi</w:t>
          </w:r>
        </w:p>
      </w:tc>
    </w:tr>
    <w:tr w:rsidR="00972CB4" w:rsidTr="00972CB4">
      <w:trPr>
        <w:cantSplit/>
        <w:trHeight w:hRule="exact" w:val="227"/>
      </w:trPr>
      <w:tc>
        <w:tcPr>
          <w:tcW w:w="2628" w:type="dxa"/>
        </w:tcPr>
        <w:p w:rsidR="00972CB4" w:rsidRDefault="00972CB4" w:rsidP="00972CB4">
          <w:pPr>
            <w:pStyle w:val="Alatunniste"/>
          </w:pPr>
        </w:p>
      </w:tc>
      <w:tc>
        <w:tcPr>
          <w:tcW w:w="1796" w:type="dxa"/>
        </w:tcPr>
        <w:p w:rsidR="00972CB4" w:rsidRDefault="00972CB4" w:rsidP="00972CB4">
          <w:pPr>
            <w:pStyle w:val="Alatunniste"/>
          </w:pPr>
          <w:r>
            <w:t>(kirjaamo)</w:t>
          </w:r>
        </w:p>
      </w:tc>
      <w:tc>
        <w:tcPr>
          <w:tcW w:w="2057" w:type="dxa"/>
        </w:tcPr>
        <w:p w:rsidR="00972CB4" w:rsidRDefault="00972CB4" w:rsidP="00972CB4">
          <w:pPr>
            <w:pStyle w:val="Alatunniste"/>
          </w:pPr>
          <w:r>
            <w:t>00023 Valtioneuvosto</w:t>
          </w:r>
        </w:p>
      </w:tc>
      <w:tc>
        <w:tcPr>
          <w:tcW w:w="1316" w:type="dxa"/>
        </w:tcPr>
        <w:p w:rsidR="00972CB4" w:rsidRDefault="00972CB4" w:rsidP="00972CB4">
          <w:pPr>
            <w:pStyle w:val="Alatunniste"/>
          </w:pPr>
        </w:p>
      </w:tc>
      <w:tc>
        <w:tcPr>
          <w:tcW w:w="2551" w:type="dxa"/>
        </w:tcPr>
        <w:p w:rsidR="00972CB4" w:rsidRDefault="00972CB4" w:rsidP="00972CB4">
          <w:pPr>
            <w:pStyle w:val="Alatunniste"/>
          </w:pPr>
          <w:r>
            <w:t>kirjaamo@lvm.fi</w:t>
          </w:r>
        </w:p>
      </w:tc>
    </w:tr>
    <w:tr w:rsidR="00972CB4" w:rsidTr="00972CB4">
      <w:trPr>
        <w:cantSplit/>
        <w:trHeight w:hRule="exact" w:val="227"/>
      </w:trPr>
      <w:tc>
        <w:tcPr>
          <w:tcW w:w="2628" w:type="dxa"/>
        </w:tcPr>
        <w:p w:rsidR="00972CB4" w:rsidRDefault="00972CB4" w:rsidP="00972CB4">
          <w:pPr>
            <w:pStyle w:val="Alatunniste"/>
          </w:pPr>
        </w:p>
      </w:tc>
      <w:tc>
        <w:tcPr>
          <w:tcW w:w="1796" w:type="dxa"/>
        </w:tcPr>
        <w:p w:rsidR="00972CB4" w:rsidRDefault="00972CB4" w:rsidP="00972CB4">
          <w:pPr>
            <w:pStyle w:val="Alatunniste"/>
          </w:pPr>
          <w:r>
            <w:t>Helsinki</w:t>
          </w:r>
        </w:p>
      </w:tc>
      <w:tc>
        <w:tcPr>
          <w:tcW w:w="2057" w:type="dxa"/>
        </w:tcPr>
        <w:p w:rsidR="00972CB4" w:rsidRDefault="00972CB4" w:rsidP="00972CB4">
          <w:pPr>
            <w:pStyle w:val="Alatunniste"/>
          </w:pPr>
        </w:p>
      </w:tc>
      <w:tc>
        <w:tcPr>
          <w:tcW w:w="1316" w:type="dxa"/>
        </w:tcPr>
        <w:p w:rsidR="00972CB4" w:rsidRDefault="00972CB4" w:rsidP="00972CB4">
          <w:pPr>
            <w:pStyle w:val="Alatunniste"/>
          </w:pPr>
        </w:p>
      </w:tc>
      <w:tc>
        <w:tcPr>
          <w:tcW w:w="2551" w:type="dxa"/>
        </w:tcPr>
        <w:p w:rsidR="00972CB4" w:rsidRDefault="00972CB4" w:rsidP="00972CB4">
          <w:pPr>
            <w:pStyle w:val="Alatunniste"/>
          </w:pPr>
        </w:p>
      </w:tc>
    </w:tr>
  </w:tbl>
  <w:p w:rsidR="00972CB4" w:rsidRPr="00480485" w:rsidRDefault="00972CB4" w:rsidP="0048048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B4" w:rsidRDefault="00972CB4" w:rsidP="00037954"/>
  <w:p w:rsidR="00972CB4" w:rsidRPr="00653640" w:rsidRDefault="00972CB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972CB4" w:rsidTr="00480485">
      <w:trPr>
        <w:cantSplit/>
        <w:trHeight w:hRule="exact" w:val="113"/>
      </w:trPr>
      <w:tc>
        <w:tcPr>
          <w:tcW w:w="2628" w:type="dxa"/>
          <w:tcBorders>
            <w:top w:val="single" w:sz="4" w:space="0" w:color="auto"/>
          </w:tcBorders>
          <w:noWrap/>
        </w:tcPr>
        <w:p w:rsidR="00972CB4" w:rsidRDefault="00972CB4" w:rsidP="00653640">
          <w:pPr>
            <w:pStyle w:val="Alatunniste"/>
          </w:pPr>
        </w:p>
      </w:tc>
      <w:tc>
        <w:tcPr>
          <w:tcW w:w="1796" w:type="dxa"/>
          <w:tcBorders>
            <w:top w:val="single" w:sz="4" w:space="0" w:color="auto"/>
          </w:tcBorders>
          <w:noWrap/>
        </w:tcPr>
        <w:p w:rsidR="00972CB4" w:rsidRDefault="00972CB4" w:rsidP="00653640">
          <w:pPr>
            <w:pStyle w:val="Alatunniste"/>
          </w:pPr>
        </w:p>
      </w:tc>
      <w:tc>
        <w:tcPr>
          <w:tcW w:w="2057" w:type="dxa"/>
          <w:tcBorders>
            <w:top w:val="single" w:sz="4" w:space="0" w:color="auto"/>
          </w:tcBorders>
          <w:noWrap/>
        </w:tcPr>
        <w:p w:rsidR="00972CB4" w:rsidRDefault="00972CB4" w:rsidP="00653640">
          <w:pPr>
            <w:pStyle w:val="Alatunniste"/>
          </w:pPr>
        </w:p>
      </w:tc>
      <w:tc>
        <w:tcPr>
          <w:tcW w:w="1316" w:type="dxa"/>
          <w:tcBorders>
            <w:top w:val="single" w:sz="4" w:space="0" w:color="auto"/>
          </w:tcBorders>
          <w:noWrap/>
        </w:tcPr>
        <w:p w:rsidR="00972CB4" w:rsidRDefault="00972CB4" w:rsidP="00653640">
          <w:pPr>
            <w:pStyle w:val="Alatunniste"/>
          </w:pPr>
        </w:p>
      </w:tc>
      <w:tc>
        <w:tcPr>
          <w:tcW w:w="2551" w:type="dxa"/>
          <w:tcBorders>
            <w:top w:val="single" w:sz="4" w:space="0" w:color="auto"/>
          </w:tcBorders>
          <w:noWrap/>
        </w:tcPr>
        <w:p w:rsidR="00972CB4" w:rsidRDefault="00972CB4" w:rsidP="00653640">
          <w:pPr>
            <w:pStyle w:val="Alatunniste"/>
          </w:pPr>
        </w:p>
      </w:tc>
    </w:tr>
    <w:tr w:rsidR="00972CB4" w:rsidTr="00653640">
      <w:trPr>
        <w:cantSplit/>
        <w:trHeight w:hRule="exact" w:val="227"/>
      </w:trPr>
      <w:tc>
        <w:tcPr>
          <w:tcW w:w="2628" w:type="dxa"/>
          <w:noWrap/>
        </w:tcPr>
        <w:p w:rsidR="00972CB4" w:rsidRDefault="00972CB4" w:rsidP="00653640">
          <w:pPr>
            <w:pStyle w:val="Alatunniste"/>
          </w:pPr>
          <w:r>
            <w:t>Liikenne- ja viestintäministeriö</w:t>
          </w:r>
        </w:p>
      </w:tc>
      <w:tc>
        <w:tcPr>
          <w:tcW w:w="1796" w:type="dxa"/>
          <w:noWrap/>
        </w:tcPr>
        <w:p w:rsidR="00972CB4" w:rsidRDefault="00972CB4" w:rsidP="00653640">
          <w:pPr>
            <w:pStyle w:val="Alatunniste"/>
          </w:pPr>
          <w:r>
            <w:t>Käyntiosoite</w:t>
          </w:r>
        </w:p>
      </w:tc>
      <w:tc>
        <w:tcPr>
          <w:tcW w:w="2057" w:type="dxa"/>
          <w:noWrap/>
        </w:tcPr>
        <w:p w:rsidR="00972CB4" w:rsidRDefault="00972CB4" w:rsidP="00653640">
          <w:pPr>
            <w:pStyle w:val="Alatunniste"/>
          </w:pPr>
          <w:r>
            <w:t>Postiosoite</w:t>
          </w:r>
        </w:p>
      </w:tc>
      <w:tc>
        <w:tcPr>
          <w:tcW w:w="1316" w:type="dxa"/>
          <w:noWrap/>
        </w:tcPr>
        <w:p w:rsidR="00972CB4" w:rsidRDefault="00972CB4" w:rsidP="00653640">
          <w:pPr>
            <w:pStyle w:val="Alatunniste"/>
          </w:pPr>
          <w:r>
            <w:t>Puhelin</w:t>
          </w:r>
        </w:p>
      </w:tc>
      <w:tc>
        <w:tcPr>
          <w:tcW w:w="2551" w:type="dxa"/>
          <w:noWrap/>
        </w:tcPr>
        <w:p w:rsidR="00972CB4" w:rsidRDefault="00972CB4" w:rsidP="00653640">
          <w:pPr>
            <w:pStyle w:val="Alatunniste"/>
          </w:pPr>
          <w:r>
            <w:t>www.lvm.fi</w:t>
          </w:r>
        </w:p>
      </w:tc>
    </w:tr>
    <w:tr w:rsidR="00972CB4" w:rsidTr="00653640">
      <w:trPr>
        <w:cantSplit/>
        <w:trHeight w:hRule="exact" w:val="227"/>
      </w:trPr>
      <w:tc>
        <w:tcPr>
          <w:tcW w:w="2628" w:type="dxa"/>
        </w:tcPr>
        <w:p w:rsidR="00972CB4" w:rsidRDefault="00972CB4" w:rsidP="00653640">
          <w:pPr>
            <w:pStyle w:val="Alatunniste"/>
          </w:pPr>
        </w:p>
      </w:tc>
      <w:tc>
        <w:tcPr>
          <w:tcW w:w="1796" w:type="dxa"/>
        </w:tcPr>
        <w:p w:rsidR="00972CB4" w:rsidRDefault="00972CB4" w:rsidP="00653640">
          <w:pPr>
            <w:pStyle w:val="Alatunniste"/>
          </w:pPr>
          <w:r>
            <w:t xml:space="preserve">Eteläesplanadi 16 </w:t>
          </w:r>
        </w:p>
      </w:tc>
      <w:tc>
        <w:tcPr>
          <w:tcW w:w="2057" w:type="dxa"/>
        </w:tcPr>
        <w:p w:rsidR="00972CB4" w:rsidRDefault="00972CB4" w:rsidP="00653640">
          <w:pPr>
            <w:pStyle w:val="Alatunniste"/>
          </w:pPr>
          <w:r>
            <w:t>PL 31</w:t>
          </w:r>
        </w:p>
      </w:tc>
      <w:tc>
        <w:tcPr>
          <w:tcW w:w="1316" w:type="dxa"/>
        </w:tcPr>
        <w:p w:rsidR="00972CB4" w:rsidRDefault="00972CB4" w:rsidP="00653640">
          <w:pPr>
            <w:pStyle w:val="Alatunniste"/>
          </w:pPr>
          <w:r>
            <w:t>029516001</w:t>
          </w:r>
        </w:p>
      </w:tc>
      <w:tc>
        <w:tcPr>
          <w:tcW w:w="2551" w:type="dxa"/>
        </w:tcPr>
        <w:p w:rsidR="00972CB4" w:rsidRDefault="00972CB4" w:rsidP="00653640">
          <w:pPr>
            <w:pStyle w:val="Alatunniste"/>
          </w:pPr>
          <w:r>
            <w:t>etunimi.sukunimi@lvm.fi</w:t>
          </w:r>
        </w:p>
      </w:tc>
    </w:tr>
    <w:tr w:rsidR="00972CB4" w:rsidTr="00653640">
      <w:trPr>
        <w:cantSplit/>
        <w:trHeight w:hRule="exact" w:val="227"/>
      </w:trPr>
      <w:tc>
        <w:tcPr>
          <w:tcW w:w="2628" w:type="dxa"/>
        </w:tcPr>
        <w:p w:rsidR="00972CB4" w:rsidRDefault="00972CB4" w:rsidP="00653640">
          <w:pPr>
            <w:pStyle w:val="Alatunniste"/>
          </w:pPr>
        </w:p>
      </w:tc>
      <w:tc>
        <w:tcPr>
          <w:tcW w:w="1796" w:type="dxa"/>
        </w:tcPr>
        <w:p w:rsidR="00972CB4" w:rsidRDefault="00972CB4" w:rsidP="00653640">
          <w:pPr>
            <w:pStyle w:val="Alatunniste"/>
          </w:pPr>
          <w:r>
            <w:t>(kirjaamo)</w:t>
          </w:r>
        </w:p>
      </w:tc>
      <w:tc>
        <w:tcPr>
          <w:tcW w:w="2057" w:type="dxa"/>
        </w:tcPr>
        <w:p w:rsidR="00972CB4" w:rsidRDefault="00972CB4" w:rsidP="00972CB4">
          <w:pPr>
            <w:pStyle w:val="Alatunniste"/>
          </w:pPr>
          <w:r>
            <w:t>00023 Valtioneuvosto</w:t>
          </w:r>
        </w:p>
      </w:tc>
      <w:tc>
        <w:tcPr>
          <w:tcW w:w="1316" w:type="dxa"/>
        </w:tcPr>
        <w:p w:rsidR="00972CB4" w:rsidRDefault="00972CB4" w:rsidP="00972CB4">
          <w:pPr>
            <w:pStyle w:val="Alatunniste"/>
          </w:pPr>
        </w:p>
      </w:tc>
      <w:tc>
        <w:tcPr>
          <w:tcW w:w="2551" w:type="dxa"/>
        </w:tcPr>
        <w:p w:rsidR="00972CB4" w:rsidRDefault="00972CB4" w:rsidP="00972CB4">
          <w:pPr>
            <w:pStyle w:val="Alatunniste"/>
          </w:pPr>
          <w:r>
            <w:t>kirjaamo@lvm.fi</w:t>
          </w:r>
        </w:p>
      </w:tc>
    </w:tr>
    <w:tr w:rsidR="00972CB4" w:rsidTr="00653640">
      <w:trPr>
        <w:cantSplit/>
        <w:trHeight w:hRule="exact" w:val="227"/>
      </w:trPr>
      <w:tc>
        <w:tcPr>
          <w:tcW w:w="2628" w:type="dxa"/>
        </w:tcPr>
        <w:p w:rsidR="00972CB4" w:rsidRDefault="00972CB4" w:rsidP="00653640">
          <w:pPr>
            <w:pStyle w:val="Alatunniste"/>
          </w:pPr>
        </w:p>
      </w:tc>
      <w:tc>
        <w:tcPr>
          <w:tcW w:w="1796" w:type="dxa"/>
        </w:tcPr>
        <w:p w:rsidR="00972CB4" w:rsidRDefault="00972CB4" w:rsidP="00972CB4">
          <w:pPr>
            <w:pStyle w:val="Alatunniste"/>
          </w:pPr>
          <w:r>
            <w:t>Helsinki</w:t>
          </w:r>
        </w:p>
      </w:tc>
      <w:tc>
        <w:tcPr>
          <w:tcW w:w="2057" w:type="dxa"/>
        </w:tcPr>
        <w:p w:rsidR="00972CB4" w:rsidRDefault="00972CB4" w:rsidP="00972CB4">
          <w:pPr>
            <w:pStyle w:val="Alatunniste"/>
          </w:pPr>
        </w:p>
      </w:tc>
      <w:tc>
        <w:tcPr>
          <w:tcW w:w="1316" w:type="dxa"/>
        </w:tcPr>
        <w:p w:rsidR="00972CB4" w:rsidRDefault="00972CB4" w:rsidP="00972CB4">
          <w:pPr>
            <w:pStyle w:val="Alatunniste"/>
          </w:pPr>
        </w:p>
      </w:tc>
      <w:tc>
        <w:tcPr>
          <w:tcW w:w="2551" w:type="dxa"/>
        </w:tcPr>
        <w:p w:rsidR="00972CB4" w:rsidRDefault="00972CB4" w:rsidP="00972CB4">
          <w:pPr>
            <w:pStyle w:val="Alatunniste"/>
          </w:pPr>
        </w:p>
      </w:tc>
    </w:tr>
  </w:tbl>
  <w:p w:rsidR="00972CB4" w:rsidRDefault="00972CB4" w:rsidP="0048048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06" w:rsidRDefault="00805806">
      <w:r>
        <w:separator/>
      </w:r>
    </w:p>
  </w:footnote>
  <w:footnote w:type="continuationSeparator" w:id="0">
    <w:p w:rsidR="00805806" w:rsidRDefault="0080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B4" w:rsidRDefault="00972CB4">
    <w:pPr>
      <w:pStyle w:val="Yltunniste"/>
    </w:pPr>
    <w: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821127">
      <w:rPr>
        <w:rStyle w:val="Sivunumero"/>
        <w:noProof/>
      </w:rPr>
      <w:t>5</w:t>
    </w:r>
    <w:r>
      <w:rPr>
        <w:rStyle w:val="Sivunumer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B4" w:rsidRPr="00EB5F36" w:rsidRDefault="00972CB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526C33">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526C33">
      <w:rPr>
        <w:rStyle w:val="Sivunumero"/>
        <w:noProof/>
      </w:rPr>
      <w:t>5</w:t>
    </w:r>
    <w:r w:rsidRPr="00EB5F36">
      <w:rPr>
        <w:rStyle w:val="Sivunumero"/>
      </w:rPr>
      <w:fldChar w:fldCharType="end"/>
    </w:r>
    <w:r w:rsidRPr="00EB5F36">
      <w:rPr>
        <w:rStyle w:val="Sivunumero"/>
      </w:rPr>
      <w:t>)</w:t>
    </w:r>
  </w:p>
  <w:p w:rsidR="00972CB4" w:rsidRDefault="00972CB4">
    <w:pPr>
      <w:pStyle w:val="Yltunniste"/>
    </w:pPr>
    <w:r>
      <w:rPr>
        <w:noProof/>
      </w:rPr>
      <w:drawing>
        <wp:anchor distT="0" distB="0" distL="114300" distR="114300" simplePos="0" relativeHeight="251660288" behindDoc="1" locked="1" layoutInCell="0" allowOverlap="1" wp14:anchorId="5A84548F" wp14:editId="21ACD575">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B4" w:rsidRPr="00EB5F36" w:rsidRDefault="00972CB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526C33">
      <w:rPr>
        <w:rStyle w:val="Sivunumero"/>
        <w:noProof/>
      </w:rPr>
      <w:t>5</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526C33">
      <w:rPr>
        <w:rStyle w:val="Sivunumero"/>
        <w:noProof/>
      </w:rPr>
      <w:t>5</w:t>
    </w:r>
    <w:r w:rsidRPr="00EB5F36">
      <w:rPr>
        <w:rStyle w:val="Sivunumero"/>
      </w:rPr>
      <w:fldChar w:fldCharType="end"/>
    </w:r>
    <w:r w:rsidRPr="00EB5F36">
      <w:rPr>
        <w:rStyle w:val="Sivunumero"/>
      </w:rPr>
      <w:t>)</w:t>
    </w:r>
  </w:p>
  <w:p w:rsidR="00972CB4" w:rsidRDefault="00972CB4" w:rsidP="00EB5F36">
    <w:pPr>
      <w:pStyle w:val="Yltunniste"/>
    </w:pPr>
  </w:p>
  <w:p w:rsidR="00972CB4" w:rsidRPr="00EB5F36" w:rsidRDefault="00972CB4" w:rsidP="00EB5F3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B612D2E"/>
    <w:multiLevelType w:val="singleLevel"/>
    <w:tmpl w:val="5CCC5352"/>
    <w:lvl w:ilvl="0">
      <w:start w:val="1"/>
      <w:numFmt w:val="decimal"/>
      <w:lvlText w:val="%1."/>
      <w:lvlJc w:val="left"/>
      <w:pPr>
        <w:tabs>
          <w:tab w:val="num" w:pos="360"/>
        </w:tabs>
        <w:ind w:left="340" w:hanging="340"/>
      </w:pPr>
    </w:lvl>
  </w:abstractNum>
  <w:abstractNum w:abstractNumId="11">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096B5B"/>
    <w:multiLevelType w:val="singleLevel"/>
    <w:tmpl w:val="C65C4BCA"/>
    <w:lvl w:ilvl="0">
      <w:start w:val="1"/>
      <w:numFmt w:val="decimal"/>
      <w:lvlText w:val="%1"/>
      <w:lvlJc w:val="left"/>
      <w:pPr>
        <w:tabs>
          <w:tab w:val="num" w:pos="360"/>
        </w:tabs>
        <w:ind w:left="0" w:firstLine="0"/>
      </w:pPr>
    </w:lvl>
  </w:abstractNum>
  <w:abstractNum w:abstractNumId="15">
    <w:nsid w:val="27E71311"/>
    <w:multiLevelType w:val="singleLevel"/>
    <w:tmpl w:val="DB8C19F2"/>
    <w:lvl w:ilvl="0">
      <w:start w:val="1"/>
      <w:numFmt w:val="decimal"/>
      <w:lvlText w:val="%1"/>
      <w:lvlJc w:val="left"/>
      <w:pPr>
        <w:tabs>
          <w:tab w:val="num" w:pos="360"/>
        </w:tabs>
        <w:ind w:left="0" w:firstLine="0"/>
      </w:pPr>
    </w:lvl>
  </w:abstractNum>
  <w:abstractNum w:abstractNumId="16">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995B75"/>
    <w:multiLevelType w:val="singleLevel"/>
    <w:tmpl w:val="C032AE32"/>
    <w:lvl w:ilvl="0">
      <w:start w:val="1"/>
      <w:numFmt w:val="decimal"/>
      <w:lvlText w:val="%1"/>
      <w:lvlJc w:val="left"/>
      <w:pPr>
        <w:tabs>
          <w:tab w:val="num" w:pos="360"/>
        </w:tabs>
        <w:ind w:left="340" w:hanging="340"/>
      </w:pPr>
    </w:lvl>
  </w:abstractNum>
  <w:abstractNum w:abstractNumId="18">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nsid w:val="4B331A12"/>
    <w:multiLevelType w:val="singleLevel"/>
    <w:tmpl w:val="B4BC27BA"/>
    <w:lvl w:ilvl="0">
      <w:start w:val="1"/>
      <w:numFmt w:val="decimal"/>
      <w:lvlText w:val="%1"/>
      <w:lvlJc w:val="left"/>
      <w:pPr>
        <w:tabs>
          <w:tab w:val="num" w:pos="360"/>
        </w:tabs>
        <w:ind w:left="340" w:hanging="340"/>
      </w:pPr>
    </w:lvl>
  </w:abstractNum>
  <w:abstractNum w:abstractNumId="27">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511475"/>
    <w:multiLevelType w:val="singleLevel"/>
    <w:tmpl w:val="62001FD0"/>
    <w:lvl w:ilvl="0">
      <w:start w:val="1"/>
      <w:numFmt w:val="decimal"/>
      <w:lvlText w:val="%1."/>
      <w:lvlJc w:val="left"/>
      <w:pPr>
        <w:tabs>
          <w:tab w:val="num" w:pos="360"/>
        </w:tabs>
        <w:ind w:left="340" w:hanging="340"/>
      </w:pPr>
    </w:lvl>
  </w:abstractNum>
  <w:abstractNum w:abstractNumId="29">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nsid w:val="68DA486B"/>
    <w:multiLevelType w:val="multilevel"/>
    <w:tmpl w:val="FFFFFFFF"/>
    <w:styleLink w:val="01PointnumeroteAltNList"/>
    <w:lvl w:ilvl="0">
      <w:start w:val="1"/>
      <w:numFmt w:val="decimal"/>
      <w:pStyle w:val="01PointnumeroteAltN"/>
      <w:lvlText w:val="%1"/>
      <w:lvlJc w:val="left"/>
      <w:pPr>
        <w:tabs>
          <w:tab w:val="num" w:pos="539"/>
        </w:tabs>
        <w:ind w:left="0" w:firstLine="0"/>
      </w:pPr>
      <w:rPr>
        <w:color w:val="000000"/>
      </w:rPr>
    </w:lvl>
    <w:lvl w:ilvl="1">
      <w:start w:val="1"/>
      <w:numFmt w:val="decimal"/>
      <w:lvlText w:val="%1%2"/>
      <w:lvlJc w:val="left"/>
      <w:pPr>
        <w:tabs>
          <w:tab w:val="num" w:pos="901"/>
        </w:tabs>
        <w:ind w:left="253" w:hanging="432"/>
      </w:pPr>
      <w:rPr>
        <w:color w:val="000000"/>
      </w:rPr>
    </w:lvl>
    <w:lvl w:ilvl="2">
      <w:start w:val="1"/>
      <w:numFmt w:val="decimal"/>
      <w:lvlText w:val="%1%2%3"/>
      <w:lvlJc w:val="left"/>
      <w:pPr>
        <w:tabs>
          <w:tab w:val="num" w:pos="1621"/>
        </w:tabs>
        <w:ind w:left="685" w:hanging="504"/>
      </w:pPr>
      <w:rPr>
        <w:color w:val="000000"/>
      </w:rPr>
    </w:lvl>
    <w:lvl w:ilvl="3">
      <w:start w:val="1"/>
      <w:numFmt w:val="decimal"/>
      <w:lvlText w:val="%1%2%3%4"/>
      <w:lvlJc w:val="left"/>
      <w:pPr>
        <w:tabs>
          <w:tab w:val="num" w:pos="2341"/>
        </w:tabs>
        <w:ind w:left="1189" w:hanging="648"/>
      </w:pPr>
      <w:rPr>
        <w:color w:val="000000"/>
      </w:rPr>
    </w:lvl>
    <w:lvl w:ilvl="4">
      <w:start w:val="1"/>
      <w:numFmt w:val="decimal"/>
      <w:lvlText w:val="%1%2%3%4%5"/>
      <w:lvlJc w:val="left"/>
      <w:pPr>
        <w:tabs>
          <w:tab w:val="num" w:pos="3061"/>
        </w:tabs>
        <w:ind w:left="1693" w:hanging="792"/>
      </w:pPr>
      <w:rPr>
        <w:color w:val="000000"/>
      </w:rPr>
    </w:lvl>
    <w:lvl w:ilvl="5">
      <w:start w:val="1"/>
      <w:numFmt w:val="decimal"/>
      <w:lvlText w:val="%1%2%3%4%5%6"/>
      <w:lvlJc w:val="left"/>
      <w:pPr>
        <w:tabs>
          <w:tab w:val="num" w:pos="4141"/>
        </w:tabs>
        <w:ind w:left="2197" w:hanging="936"/>
      </w:pPr>
      <w:rPr>
        <w:color w:val="000000"/>
      </w:rPr>
    </w:lvl>
    <w:lvl w:ilvl="6">
      <w:start w:val="1"/>
      <w:numFmt w:val="decimal"/>
      <w:lvlText w:val="%1%2%3%4%5%6%7"/>
      <w:lvlJc w:val="left"/>
      <w:pPr>
        <w:tabs>
          <w:tab w:val="num" w:pos="4861"/>
        </w:tabs>
        <w:ind w:left="2701" w:hanging="1080"/>
      </w:pPr>
      <w:rPr>
        <w:color w:val="000000"/>
      </w:rPr>
    </w:lvl>
    <w:lvl w:ilvl="7">
      <w:start w:val="1"/>
      <w:numFmt w:val="decimal"/>
      <w:lvlText w:val="%1%2%3%4%5%6%7%8"/>
      <w:lvlJc w:val="left"/>
      <w:pPr>
        <w:tabs>
          <w:tab w:val="num" w:pos="5581"/>
        </w:tabs>
        <w:ind w:left="3205" w:hanging="1224"/>
      </w:pPr>
      <w:rPr>
        <w:color w:val="000000"/>
      </w:rPr>
    </w:lvl>
    <w:lvl w:ilvl="8">
      <w:start w:val="1"/>
      <w:numFmt w:val="decimal"/>
      <w:lvlText w:val="%1%2%3%4%5%6%7%8%9"/>
      <w:lvlJc w:val="left"/>
      <w:pPr>
        <w:tabs>
          <w:tab w:val="num" w:pos="6301"/>
        </w:tabs>
        <w:ind w:left="3781" w:hanging="1440"/>
      </w:pPr>
      <w:rPr>
        <w:color w:val="000000"/>
      </w:rPr>
    </w:lvl>
  </w:abstractNum>
  <w:abstractNum w:abstractNumId="34">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40"/>
  </w:num>
  <w:num w:numId="28">
    <w:abstractNumId w:val="42"/>
  </w:num>
  <w:num w:numId="29">
    <w:abstractNumId w:val="11"/>
  </w:num>
  <w:num w:numId="30">
    <w:abstractNumId w:val="12"/>
  </w:num>
  <w:num w:numId="31">
    <w:abstractNumId w:val="38"/>
  </w:num>
  <w:num w:numId="32">
    <w:abstractNumId w:val="19"/>
  </w:num>
  <w:num w:numId="33">
    <w:abstractNumId w:val="20"/>
  </w:num>
  <w:num w:numId="34">
    <w:abstractNumId w:val="36"/>
  </w:num>
  <w:num w:numId="35">
    <w:abstractNumId w:val="34"/>
  </w:num>
  <w:num w:numId="36">
    <w:abstractNumId w:val="23"/>
  </w:num>
  <w:num w:numId="37">
    <w:abstractNumId w:val="9"/>
  </w:num>
  <w:num w:numId="38">
    <w:abstractNumId w:val="35"/>
  </w:num>
  <w:num w:numId="39">
    <w:abstractNumId w:val="29"/>
  </w:num>
  <w:num w:numId="40">
    <w:abstractNumId w:val="25"/>
  </w:num>
  <w:num w:numId="41">
    <w:abstractNumId w:val="21"/>
  </w:num>
  <w:num w:numId="42">
    <w:abstractNumId w:val="32"/>
  </w:num>
  <w:num w:numId="43">
    <w:abstractNumId w:val="41"/>
  </w:num>
  <w:num w:numId="44">
    <w:abstractNumId w:val="16"/>
  </w:num>
  <w:num w:numId="45">
    <w:abstractNumId w:val="13"/>
  </w:num>
  <w:num w:numId="46">
    <w:abstractNumId w:val="24"/>
  </w:num>
  <w:num w:numId="47">
    <w:abstractNumId w:val="27"/>
  </w:num>
  <w:num w:numId="48">
    <w:abstractNumId w:val="37"/>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72"/>
    <w:rsid w:val="00005269"/>
    <w:rsid w:val="00026CDD"/>
    <w:rsid w:val="00037954"/>
    <w:rsid w:val="000660CE"/>
    <w:rsid w:val="00083F94"/>
    <w:rsid w:val="00084321"/>
    <w:rsid w:val="000959E2"/>
    <w:rsid w:val="000B20ED"/>
    <w:rsid w:val="000D096F"/>
    <w:rsid w:val="000D32AE"/>
    <w:rsid w:val="000E505E"/>
    <w:rsid w:val="000E60B6"/>
    <w:rsid w:val="000F2157"/>
    <w:rsid w:val="00140EF8"/>
    <w:rsid w:val="00146B2A"/>
    <w:rsid w:val="00150D84"/>
    <w:rsid w:val="001519CD"/>
    <w:rsid w:val="001710DD"/>
    <w:rsid w:val="0018272E"/>
    <w:rsid w:val="00186449"/>
    <w:rsid w:val="001A132E"/>
    <w:rsid w:val="001A33A8"/>
    <w:rsid w:val="001D0C86"/>
    <w:rsid w:val="001F7FC3"/>
    <w:rsid w:val="00210627"/>
    <w:rsid w:val="00256C44"/>
    <w:rsid w:val="0026089F"/>
    <w:rsid w:val="00280CFF"/>
    <w:rsid w:val="00293E07"/>
    <w:rsid w:val="002A126A"/>
    <w:rsid w:val="002B30DE"/>
    <w:rsid w:val="002C1927"/>
    <w:rsid w:val="002D334D"/>
    <w:rsid w:val="002D7A71"/>
    <w:rsid w:val="002E635F"/>
    <w:rsid w:val="002F34C4"/>
    <w:rsid w:val="002F5C73"/>
    <w:rsid w:val="003221EF"/>
    <w:rsid w:val="00323503"/>
    <w:rsid w:val="003241A6"/>
    <w:rsid w:val="003323E0"/>
    <w:rsid w:val="003564B3"/>
    <w:rsid w:val="00374779"/>
    <w:rsid w:val="00381836"/>
    <w:rsid w:val="00385A23"/>
    <w:rsid w:val="003B0583"/>
    <w:rsid w:val="003B7A8E"/>
    <w:rsid w:val="003C2F72"/>
    <w:rsid w:val="003C7039"/>
    <w:rsid w:val="003D18C3"/>
    <w:rsid w:val="003E6477"/>
    <w:rsid w:val="003F3EC5"/>
    <w:rsid w:val="0041565A"/>
    <w:rsid w:val="00423292"/>
    <w:rsid w:val="00432AC3"/>
    <w:rsid w:val="004740E7"/>
    <w:rsid w:val="00480485"/>
    <w:rsid w:val="00494FD4"/>
    <w:rsid w:val="004B2020"/>
    <w:rsid w:val="004B6034"/>
    <w:rsid w:val="004C72E8"/>
    <w:rsid w:val="004D0F99"/>
    <w:rsid w:val="004D63CE"/>
    <w:rsid w:val="004E5453"/>
    <w:rsid w:val="004E756B"/>
    <w:rsid w:val="0050109E"/>
    <w:rsid w:val="00512645"/>
    <w:rsid w:val="00526C33"/>
    <w:rsid w:val="005308DE"/>
    <w:rsid w:val="00541595"/>
    <w:rsid w:val="0054566A"/>
    <w:rsid w:val="0059215F"/>
    <w:rsid w:val="00595165"/>
    <w:rsid w:val="00595E2D"/>
    <w:rsid w:val="0059738C"/>
    <w:rsid w:val="005A0072"/>
    <w:rsid w:val="005A559B"/>
    <w:rsid w:val="005B4E1B"/>
    <w:rsid w:val="005C4A69"/>
    <w:rsid w:val="005C7446"/>
    <w:rsid w:val="0063146D"/>
    <w:rsid w:val="00653640"/>
    <w:rsid w:val="006565EA"/>
    <w:rsid w:val="00657F29"/>
    <w:rsid w:val="0066014C"/>
    <w:rsid w:val="006765B8"/>
    <w:rsid w:val="00677470"/>
    <w:rsid w:val="00684BB4"/>
    <w:rsid w:val="006A121B"/>
    <w:rsid w:val="006C7FE9"/>
    <w:rsid w:val="006D6AF3"/>
    <w:rsid w:val="006E4F2E"/>
    <w:rsid w:val="006F1C67"/>
    <w:rsid w:val="006F4ECD"/>
    <w:rsid w:val="00701471"/>
    <w:rsid w:val="00715D3D"/>
    <w:rsid w:val="007177C2"/>
    <w:rsid w:val="00732D08"/>
    <w:rsid w:val="007368C7"/>
    <w:rsid w:val="0074332B"/>
    <w:rsid w:val="00744876"/>
    <w:rsid w:val="0077386C"/>
    <w:rsid w:val="00786285"/>
    <w:rsid w:val="007863D8"/>
    <w:rsid w:val="007A4F32"/>
    <w:rsid w:val="007A598C"/>
    <w:rsid w:val="007B3232"/>
    <w:rsid w:val="007D053C"/>
    <w:rsid w:val="007D631B"/>
    <w:rsid w:val="007F1A93"/>
    <w:rsid w:val="0080385A"/>
    <w:rsid w:val="00805806"/>
    <w:rsid w:val="00817C85"/>
    <w:rsid w:val="00821127"/>
    <w:rsid w:val="00826BF0"/>
    <w:rsid w:val="008316A1"/>
    <w:rsid w:val="008423BA"/>
    <w:rsid w:val="008549C9"/>
    <w:rsid w:val="0087522E"/>
    <w:rsid w:val="00891E12"/>
    <w:rsid w:val="008B2352"/>
    <w:rsid w:val="008B73C6"/>
    <w:rsid w:val="008C1855"/>
    <w:rsid w:val="008C20D8"/>
    <w:rsid w:val="008D59A2"/>
    <w:rsid w:val="008E25B4"/>
    <w:rsid w:val="008F0CB0"/>
    <w:rsid w:val="008F3A17"/>
    <w:rsid w:val="00903379"/>
    <w:rsid w:val="009044E9"/>
    <w:rsid w:val="009067C7"/>
    <w:rsid w:val="00916620"/>
    <w:rsid w:val="00931E23"/>
    <w:rsid w:val="009412AB"/>
    <w:rsid w:val="009506EF"/>
    <w:rsid w:val="00956FCF"/>
    <w:rsid w:val="00966B06"/>
    <w:rsid w:val="00972CB4"/>
    <w:rsid w:val="009840D5"/>
    <w:rsid w:val="009A2A64"/>
    <w:rsid w:val="009B3467"/>
    <w:rsid w:val="009D1FDC"/>
    <w:rsid w:val="009D5B3B"/>
    <w:rsid w:val="009F067D"/>
    <w:rsid w:val="009F18EF"/>
    <w:rsid w:val="009F7F40"/>
    <w:rsid w:val="00A3353E"/>
    <w:rsid w:val="00A377EB"/>
    <w:rsid w:val="00A514B8"/>
    <w:rsid w:val="00A7748B"/>
    <w:rsid w:val="00A96DD0"/>
    <w:rsid w:val="00AD0375"/>
    <w:rsid w:val="00AD52B8"/>
    <w:rsid w:val="00AD59BE"/>
    <w:rsid w:val="00AE1BB8"/>
    <w:rsid w:val="00AF01F5"/>
    <w:rsid w:val="00AF064B"/>
    <w:rsid w:val="00B4344A"/>
    <w:rsid w:val="00B45F0E"/>
    <w:rsid w:val="00B53AA1"/>
    <w:rsid w:val="00B72A80"/>
    <w:rsid w:val="00B80601"/>
    <w:rsid w:val="00BA18F6"/>
    <w:rsid w:val="00C0067E"/>
    <w:rsid w:val="00C00CBE"/>
    <w:rsid w:val="00C0562A"/>
    <w:rsid w:val="00C12430"/>
    <w:rsid w:val="00C17399"/>
    <w:rsid w:val="00C31976"/>
    <w:rsid w:val="00C31C77"/>
    <w:rsid w:val="00C47B5A"/>
    <w:rsid w:val="00C5102E"/>
    <w:rsid w:val="00C560E6"/>
    <w:rsid w:val="00C670C9"/>
    <w:rsid w:val="00C8246F"/>
    <w:rsid w:val="00C87EF0"/>
    <w:rsid w:val="00CC0BA5"/>
    <w:rsid w:val="00CC46FE"/>
    <w:rsid w:val="00CD23F4"/>
    <w:rsid w:val="00CD249F"/>
    <w:rsid w:val="00CF779F"/>
    <w:rsid w:val="00D0671F"/>
    <w:rsid w:val="00D20185"/>
    <w:rsid w:val="00D22A93"/>
    <w:rsid w:val="00D32FC1"/>
    <w:rsid w:val="00D429A7"/>
    <w:rsid w:val="00D70D30"/>
    <w:rsid w:val="00D8152F"/>
    <w:rsid w:val="00D87543"/>
    <w:rsid w:val="00DA12E1"/>
    <w:rsid w:val="00DA3D6E"/>
    <w:rsid w:val="00DB3905"/>
    <w:rsid w:val="00DD0E5A"/>
    <w:rsid w:val="00DD756D"/>
    <w:rsid w:val="00DF29AA"/>
    <w:rsid w:val="00E067F2"/>
    <w:rsid w:val="00E175C2"/>
    <w:rsid w:val="00E56509"/>
    <w:rsid w:val="00E61C8E"/>
    <w:rsid w:val="00E6398E"/>
    <w:rsid w:val="00E63DB5"/>
    <w:rsid w:val="00E6594D"/>
    <w:rsid w:val="00E65E18"/>
    <w:rsid w:val="00E67DB2"/>
    <w:rsid w:val="00E805AA"/>
    <w:rsid w:val="00E84F18"/>
    <w:rsid w:val="00E86C00"/>
    <w:rsid w:val="00E93BA6"/>
    <w:rsid w:val="00EB0F2F"/>
    <w:rsid w:val="00EB5F36"/>
    <w:rsid w:val="00EC0DA3"/>
    <w:rsid w:val="00EC3253"/>
    <w:rsid w:val="00ED752B"/>
    <w:rsid w:val="00EE109F"/>
    <w:rsid w:val="00EE1539"/>
    <w:rsid w:val="00F0076F"/>
    <w:rsid w:val="00F12AA5"/>
    <w:rsid w:val="00F134EA"/>
    <w:rsid w:val="00F20007"/>
    <w:rsid w:val="00F377E5"/>
    <w:rsid w:val="00F42114"/>
    <w:rsid w:val="00F46968"/>
    <w:rsid w:val="00F46EBC"/>
    <w:rsid w:val="00F52E07"/>
    <w:rsid w:val="00F83734"/>
    <w:rsid w:val="00F96954"/>
    <w:rsid w:val="00FB13A9"/>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uiPriority="99"/>
    <w:lsdException w:name="caption" w:semiHidden="1" w:unhideWhenUsed="1" w:qFormat="1"/>
    <w:lsdException w:name="footnote reference" w:uiPriority="99"/>
    <w:lsdException w:name="List" w:qFormat="1"/>
    <w:lsdException w:name="Title"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7F1A93"/>
    <w:pPr>
      <w:numPr>
        <w:ilvl w:val="1"/>
      </w:numPr>
    </w:pPr>
    <w:rPr>
      <w:sz w:val="24"/>
    </w:r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customStyle="1" w:styleId="01PointnumeroteAltN">
    <w:name w:val="01_Point_numerote_(Alt+N)"/>
    <w:basedOn w:val="Normaali"/>
    <w:uiPriority w:val="99"/>
    <w:rsid w:val="009D5B3B"/>
    <w:pPr>
      <w:numPr>
        <w:numId w:val="50"/>
      </w:numPr>
      <w:spacing w:after="540"/>
      <w:ind w:hanging="539"/>
      <w:jc w:val="both"/>
    </w:pPr>
    <w:rPr>
      <w:rFonts w:ascii="Times New Roman" w:hAnsi="Times New Roman"/>
      <w:sz w:val="25"/>
      <w:szCs w:val="24"/>
      <w:lang w:val="en-GB" w:eastAsia="en-GB" w:bidi="en-GB"/>
    </w:rPr>
  </w:style>
  <w:style w:type="numbering" w:customStyle="1" w:styleId="01PointnumeroteAltNList">
    <w:name w:val="01_Point_numerote_(Alt+N)_List"/>
    <w:basedOn w:val="Eiluetteloa"/>
    <w:uiPriority w:val="99"/>
    <w:qFormat/>
    <w:rsid w:val="009D5B3B"/>
    <w:pPr>
      <w:numPr>
        <w:numId w:val="50"/>
      </w:numPr>
    </w:pPr>
  </w:style>
  <w:style w:type="character" w:customStyle="1" w:styleId="sb8d990e2">
    <w:name w:val="sb8d990e2"/>
    <w:basedOn w:val="Kappaleenoletusfontti"/>
    <w:rsid w:val="001519CD"/>
  </w:style>
  <w:style w:type="character" w:customStyle="1" w:styleId="apple-converted-space">
    <w:name w:val="apple-converted-space"/>
    <w:basedOn w:val="Kappaleenoletusfontti"/>
    <w:rsid w:val="001519CD"/>
  </w:style>
  <w:style w:type="character" w:customStyle="1" w:styleId="s6b621b36">
    <w:name w:val="s6b621b36"/>
    <w:basedOn w:val="Kappaleenoletusfontti"/>
    <w:rsid w:val="001519CD"/>
  </w:style>
  <w:style w:type="paragraph" w:styleId="Alaviitteenteksti">
    <w:name w:val="footnote text"/>
    <w:basedOn w:val="Normaali"/>
    <w:link w:val="AlaviitteentekstiChar"/>
    <w:uiPriority w:val="99"/>
    <w:unhideWhenUsed/>
    <w:rsid w:val="001519CD"/>
    <w:rPr>
      <w:rFonts w:eastAsiaTheme="minorHAnsi" w:cstheme="minorBidi"/>
      <w:sz w:val="20"/>
      <w:lang w:val="sv-SE" w:eastAsia="en-US"/>
    </w:rPr>
  </w:style>
  <w:style w:type="character" w:customStyle="1" w:styleId="AlaviitteentekstiChar">
    <w:name w:val="Alaviitteen teksti Char"/>
    <w:basedOn w:val="Kappaleenoletusfontti"/>
    <w:link w:val="Alaviitteenteksti"/>
    <w:uiPriority w:val="99"/>
    <w:rsid w:val="001519CD"/>
    <w:rPr>
      <w:rFonts w:asciiTheme="minorHAnsi" w:eastAsiaTheme="minorHAnsi" w:hAnsiTheme="minorHAnsi" w:cstheme="minorBidi"/>
      <w:lang w:val="sv-SE" w:eastAsia="en-US"/>
    </w:rPr>
  </w:style>
  <w:style w:type="character" w:styleId="Alaviitteenviite">
    <w:name w:val="footnote reference"/>
    <w:basedOn w:val="Kappaleenoletusfontti"/>
    <w:uiPriority w:val="99"/>
    <w:unhideWhenUsed/>
    <w:rsid w:val="001519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note text" w:uiPriority="99"/>
    <w:lsdException w:name="caption" w:semiHidden="1" w:unhideWhenUsed="1" w:qFormat="1"/>
    <w:lsdException w:name="footnote reference" w:uiPriority="99"/>
    <w:lsdException w:name="List" w:qFormat="1"/>
    <w:lsdException w:name="Title"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7F1A93"/>
    <w:pPr>
      <w:numPr>
        <w:ilvl w:val="1"/>
      </w:numPr>
    </w:pPr>
    <w:rPr>
      <w:sz w:val="24"/>
    </w:r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paragraph" w:customStyle="1" w:styleId="01PointnumeroteAltN">
    <w:name w:val="01_Point_numerote_(Alt+N)"/>
    <w:basedOn w:val="Normaali"/>
    <w:uiPriority w:val="99"/>
    <w:rsid w:val="009D5B3B"/>
    <w:pPr>
      <w:numPr>
        <w:numId w:val="50"/>
      </w:numPr>
      <w:spacing w:after="540"/>
      <w:ind w:hanging="539"/>
      <w:jc w:val="both"/>
    </w:pPr>
    <w:rPr>
      <w:rFonts w:ascii="Times New Roman" w:hAnsi="Times New Roman"/>
      <w:sz w:val="25"/>
      <w:szCs w:val="24"/>
      <w:lang w:val="en-GB" w:eastAsia="en-GB" w:bidi="en-GB"/>
    </w:rPr>
  </w:style>
  <w:style w:type="numbering" w:customStyle="1" w:styleId="01PointnumeroteAltNList">
    <w:name w:val="01_Point_numerote_(Alt+N)_List"/>
    <w:basedOn w:val="Eiluetteloa"/>
    <w:uiPriority w:val="99"/>
    <w:qFormat/>
    <w:rsid w:val="009D5B3B"/>
    <w:pPr>
      <w:numPr>
        <w:numId w:val="50"/>
      </w:numPr>
    </w:pPr>
  </w:style>
  <w:style w:type="character" w:customStyle="1" w:styleId="sb8d990e2">
    <w:name w:val="sb8d990e2"/>
    <w:basedOn w:val="Kappaleenoletusfontti"/>
    <w:rsid w:val="001519CD"/>
  </w:style>
  <w:style w:type="character" w:customStyle="1" w:styleId="apple-converted-space">
    <w:name w:val="apple-converted-space"/>
    <w:basedOn w:val="Kappaleenoletusfontti"/>
    <w:rsid w:val="001519CD"/>
  </w:style>
  <w:style w:type="character" w:customStyle="1" w:styleId="s6b621b36">
    <w:name w:val="s6b621b36"/>
    <w:basedOn w:val="Kappaleenoletusfontti"/>
    <w:rsid w:val="001519CD"/>
  </w:style>
  <w:style w:type="paragraph" w:styleId="Alaviitteenteksti">
    <w:name w:val="footnote text"/>
    <w:basedOn w:val="Normaali"/>
    <w:link w:val="AlaviitteentekstiChar"/>
    <w:uiPriority w:val="99"/>
    <w:unhideWhenUsed/>
    <w:rsid w:val="001519CD"/>
    <w:rPr>
      <w:rFonts w:eastAsiaTheme="minorHAnsi" w:cstheme="minorBidi"/>
      <w:sz w:val="20"/>
      <w:lang w:val="sv-SE" w:eastAsia="en-US"/>
    </w:rPr>
  </w:style>
  <w:style w:type="character" w:customStyle="1" w:styleId="AlaviitteentekstiChar">
    <w:name w:val="Alaviitteen teksti Char"/>
    <w:basedOn w:val="Kappaleenoletusfontti"/>
    <w:link w:val="Alaviitteenteksti"/>
    <w:uiPriority w:val="99"/>
    <w:rsid w:val="001519CD"/>
    <w:rPr>
      <w:rFonts w:asciiTheme="minorHAnsi" w:eastAsiaTheme="minorHAnsi" w:hAnsiTheme="minorHAnsi" w:cstheme="minorBidi"/>
      <w:lang w:val="sv-SE" w:eastAsia="en-US"/>
    </w:rPr>
  </w:style>
  <w:style w:type="character" w:styleId="Alaviitteenviite">
    <w:name w:val="footnote reference"/>
    <w:basedOn w:val="Kappaleenoletusfontti"/>
    <w:uiPriority w:val="99"/>
    <w:unhideWhenUsed/>
    <w:rsid w:val="00151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260">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00\Mallit\LVM-asiakirjat\LVM_kirjepohja_S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86FF-FC7D-4036-8B36-FC0B0219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LVM_kirjepohja_SU.dotx</Template>
  <TotalTime>3</TotalTime>
  <Pages>5</Pages>
  <Words>1852</Words>
  <Characters>15899</Characters>
  <Application>Microsoft Office Word</Application>
  <DocSecurity>4</DocSecurity>
  <Lines>132</Lines>
  <Paragraphs>35</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Rönkä Maija</dc:creator>
  <cp:lastModifiedBy>Luomala Irene</cp:lastModifiedBy>
  <cp:revision>2</cp:revision>
  <cp:lastPrinted>2017-01-03T14:02:00Z</cp:lastPrinted>
  <dcterms:created xsi:type="dcterms:W3CDTF">2017-01-18T09:19:00Z</dcterms:created>
  <dcterms:modified xsi:type="dcterms:W3CDTF">2017-01-18T09:19:00Z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