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D3" w:rsidRDefault="000C419B" w:rsidP="00CA2473">
      <w:pPr>
        <w:rPr>
          <w:rFonts w:ascii="Tahoma" w:hAnsi="Tahoma" w:cs="Tahoma"/>
          <w:color w:val="000000"/>
          <w:sz w:val="20"/>
        </w:rPr>
      </w:pPr>
      <w:r>
        <w:rPr>
          <w:rFonts w:ascii="Verdana" w:hAnsi="Verdana" w:cs="Tahoma"/>
          <w:color w:val="000000"/>
          <w:szCs w:val="24"/>
        </w:rPr>
        <w:t>Oikeusministeriö</w:t>
      </w:r>
      <w:r w:rsidR="00CA2473">
        <w:rPr>
          <w:rFonts w:ascii="Verdana" w:hAnsi="Verdana" w:cs="Tahoma"/>
          <w:color w:val="000000"/>
          <w:szCs w:val="24"/>
        </w:rPr>
        <w:tab/>
      </w:r>
      <w:r w:rsidR="00CA2473">
        <w:rPr>
          <w:rFonts w:ascii="Verdana" w:hAnsi="Verdana" w:cs="Tahoma"/>
          <w:color w:val="000000"/>
          <w:szCs w:val="24"/>
        </w:rPr>
        <w:tab/>
      </w:r>
      <w:r w:rsidR="00CA2473">
        <w:rPr>
          <w:rFonts w:ascii="Verdana" w:hAnsi="Verdana" w:cs="Tahoma"/>
          <w:color w:val="000000"/>
          <w:szCs w:val="24"/>
        </w:rPr>
        <w:tab/>
      </w:r>
      <w:r w:rsidR="00CA2473">
        <w:rPr>
          <w:rFonts w:ascii="Verdana" w:hAnsi="Verdana" w:cs="Tahoma"/>
          <w:color w:val="000000"/>
          <w:szCs w:val="24"/>
        </w:rPr>
        <w:tab/>
      </w:r>
      <w:r w:rsidR="00CA2473">
        <w:rPr>
          <w:rFonts w:ascii="Verdana" w:hAnsi="Verdana" w:cs="Tahoma"/>
          <w:color w:val="000000"/>
          <w:szCs w:val="24"/>
        </w:rPr>
        <w:tab/>
        <w:t>Lausunto 1 (2)</w:t>
      </w:r>
    </w:p>
    <w:p w:rsidR="00F958D3" w:rsidRDefault="00F958D3" w:rsidP="000C419B">
      <w:pPr>
        <w:rPr>
          <w:rFonts w:ascii="Verdana" w:hAnsi="Verdana" w:cs="Tahoma"/>
          <w:color w:val="000000"/>
        </w:rPr>
      </w:pPr>
      <w:r w:rsidRPr="005C490B">
        <w:rPr>
          <w:rFonts w:ascii="Verdana" w:hAnsi="Verdana" w:cs="Tahoma"/>
          <w:b/>
          <w:bCs/>
          <w:color w:val="000000"/>
          <w:szCs w:val="24"/>
        </w:rPr>
        <w:t>Lausunto:</w:t>
      </w:r>
      <w:r w:rsidRPr="005C490B">
        <w:rPr>
          <w:rFonts w:ascii="Tahoma" w:hAnsi="Tahoma" w:cs="Tahoma"/>
          <w:b/>
          <w:bCs/>
          <w:color w:val="000000"/>
          <w:sz w:val="20"/>
        </w:rPr>
        <w:t xml:space="preserve"> </w:t>
      </w:r>
    </w:p>
    <w:p w:rsidR="00F958D3" w:rsidRPr="000C419B" w:rsidRDefault="000C419B" w:rsidP="00A470E7">
      <w:pPr>
        <w:jc w:val="both"/>
        <w:rPr>
          <w:rFonts w:ascii="Tahoma" w:hAnsi="Tahoma" w:cs="Tahoma"/>
          <w:i/>
          <w:iCs/>
          <w:color w:val="000000"/>
          <w:sz w:val="20"/>
        </w:rPr>
      </w:pPr>
      <w:r w:rsidRPr="000C419B">
        <w:rPr>
          <w:rFonts w:ascii="Verdana" w:hAnsi="Verdana" w:cs="Tahoma"/>
          <w:i/>
          <w:iCs/>
          <w:color w:val="000000"/>
          <w:szCs w:val="24"/>
        </w:rPr>
        <w:t>Lausunto edunvalvontatapaa arvioivan ja kehittävän työryhmän mietinnöstä ”Edunvalvonnan ostopalvelut oikeusaputoimistoissa” (oikeusministeriön julkaisusarja Mietintöjä ja lausuntoja 86/2010).</w:t>
      </w:r>
    </w:p>
    <w:p w:rsidR="000C419B" w:rsidRDefault="000C419B" w:rsidP="00A470E7">
      <w:pPr>
        <w:ind w:left="-284" w:right="-716" w:firstLine="284"/>
        <w:jc w:val="both"/>
        <w:rPr>
          <w:rFonts w:ascii="Verdana" w:eastAsia="Calibri" w:hAnsi="Verdana" w:cs="Arial"/>
          <w:b/>
          <w:sz w:val="20"/>
        </w:rPr>
      </w:pPr>
    </w:p>
    <w:p w:rsidR="00F958D3" w:rsidRPr="000C173F" w:rsidRDefault="00F958D3" w:rsidP="00A470E7">
      <w:pPr>
        <w:ind w:left="-284" w:right="-716" w:firstLine="284"/>
        <w:jc w:val="both"/>
        <w:rPr>
          <w:rFonts w:ascii="Verdana" w:eastAsia="Calibri" w:hAnsi="Verdana" w:cs="Arial"/>
          <w:b/>
          <w:sz w:val="20"/>
        </w:rPr>
      </w:pPr>
      <w:r w:rsidRPr="000C173F">
        <w:rPr>
          <w:rFonts w:ascii="Verdana" w:eastAsia="Calibri" w:hAnsi="Verdana" w:cs="Arial"/>
          <w:b/>
          <w:sz w:val="20"/>
        </w:rPr>
        <w:t>1. Aluksi</w:t>
      </w:r>
    </w:p>
    <w:p w:rsidR="00F958D3" w:rsidRPr="000C173F" w:rsidRDefault="00F958D3" w:rsidP="00A470E7">
      <w:pPr>
        <w:pStyle w:val="Sisennettyleipteksti2"/>
        <w:spacing w:line="240" w:lineRule="auto"/>
        <w:ind w:left="0" w:right="-716"/>
        <w:rPr>
          <w:rFonts w:ascii="Verdana" w:hAnsi="Verdana"/>
          <w:sz w:val="20"/>
          <w:szCs w:val="20"/>
        </w:rPr>
      </w:pPr>
      <w:r w:rsidRPr="000C173F">
        <w:rPr>
          <w:rFonts w:ascii="Verdana" w:hAnsi="Verdana"/>
          <w:sz w:val="20"/>
          <w:szCs w:val="20"/>
        </w:rPr>
        <w:t>Muistiliitto toimii muistihäiriöisten ja dementoituvien sekä heidän läheistensä kansanterveys-, potilas- ja omaisjärjestönä. Liitolla on 42 paikallisyhdistystä, joilla on noin 10 000 jäsentä</w:t>
      </w:r>
      <w:r>
        <w:rPr>
          <w:rFonts w:ascii="Verdana" w:hAnsi="Verdana"/>
          <w:sz w:val="20"/>
          <w:szCs w:val="20"/>
        </w:rPr>
        <w:t>. Muis</w:t>
      </w:r>
      <w:r w:rsidR="000C419B">
        <w:rPr>
          <w:rFonts w:ascii="Verdana" w:hAnsi="Verdana"/>
          <w:sz w:val="20"/>
          <w:szCs w:val="20"/>
        </w:rPr>
        <w:t xml:space="preserve">tiliitto kiittää </w:t>
      </w:r>
      <w:r w:rsidRPr="000C173F">
        <w:rPr>
          <w:rFonts w:ascii="Verdana" w:hAnsi="Verdana"/>
          <w:sz w:val="20"/>
          <w:szCs w:val="20"/>
        </w:rPr>
        <w:t>siitä, että tulemme kuulluksi tässä kysymyksessä</w:t>
      </w:r>
      <w:r>
        <w:rPr>
          <w:rFonts w:ascii="Verdana" w:hAnsi="Verdana"/>
          <w:sz w:val="20"/>
          <w:szCs w:val="20"/>
        </w:rPr>
        <w:t>.</w:t>
      </w:r>
    </w:p>
    <w:p w:rsidR="00F958D3" w:rsidRPr="000C173F" w:rsidRDefault="00F958D3" w:rsidP="00A470E7">
      <w:pPr>
        <w:pStyle w:val="Sisennettyleipteksti2"/>
        <w:spacing w:line="240" w:lineRule="auto"/>
        <w:ind w:left="-284" w:right="-716"/>
        <w:rPr>
          <w:rFonts w:ascii="Verdana" w:hAnsi="Verdana"/>
          <w:sz w:val="20"/>
          <w:szCs w:val="20"/>
        </w:rPr>
      </w:pPr>
    </w:p>
    <w:p w:rsidR="00F958D3" w:rsidRPr="000C173F" w:rsidRDefault="00F958D3" w:rsidP="00A470E7">
      <w:pPr>
        <w:tabs>
          <w:tab w:val="left" w:pos="1356"/>
        </w:tabs>
        <w:jc w:val="both"/>
        <w:rPr>
          <w:rFonts w:ascii="Verdana" w:hAnsi="Verdana"/>
          <w:sz w:val="20"/>
        </w:rPr>
      </w:pPr>
      <w:r w:rsidRPr="000C173F">
        <w:rPr>
          <w:rFonts w:ascii="Verdana" w:hAnsi="Verdana"/>
          <w:b/>
          <w:bCs/>
          <w:sz w:val="20"/>
        </w:rPr>
        <w:t xml:space="preserve">2. </w:t>
      </w:r>
      <w:r w:rsidR="000C419B">
        <w:rPr>
          <w:rFonts w:ascii="Verdana" w:hAnsi="Verdana"/>
          <w:b/>
          <w:bCs/>
          <w:sz w:val="20"/>
        </w:rPr>
        <w:t>Etenev</w:t>
      </w:r>
      <w:r w:rsidR="00EC5651">
        <w:rPr>
          <w:rFonts w:ascii="Verdana" w:hAnsi="Verdana"/>
          <w:b/>
          <w:bCs/>
          <w:sz w:val="20"/>
        </w:rPr>
        <w:t>ää muistisairautta sairastavat edunvalvontapalveluiden käyttäjinä</w:t>
      </w:r>
    </w:p>
    <w:p w:rsidR="00F958D3" w:rsidRPr="000C173F" w:rsidRDefault="00F958D3" w:rsidP="00A470E7">
      <w:pPr>
        <w:tabs>
          <w:tab w:val="left" w:pos="1356"/>
        </w:tabs>
        <w:jc w:val="both"/>
        <w:rPr>
          <w:rFonts w:ascii="Verdana" w:hAnsi="Verdana"/>
          <w:sz w:val="20"/>
        </w:rPr>
      </w:pPr>
      <w:r w:rsidRPr="000C173F">
        <w:rPr>
          <w:rFonts w:ascii="Verdana" w:hAnsi="Verdana"/>
          <w:sz w:val="20"/>
        </w:rPr>
        <w:t>Suomessa on noin 120 000 etenevää muistisairautta sairastavaa ihmistä. Arviolta 70 000 sairastunutta asuu kotona, arvioiden mukaan heistä 40 000 asuu yksin.</w:t>
      </w:r>
    </w:p>
    <w:p w:rsidR="00F958D3" w:rsidRPr="000C173F" w:rsidRDefault="00F958D3" w:rsidP="00A470E7">
      <w:pPr>
        <w:tabs>
          <w:tab w:val="left" w:pos="1356"/>
        </w:tabs>
        <w:jc w:val="both"/>
        <w:rPr>
          <w:rFonts w:ascii="Verdana" w:hAnsi="Verdana"/>
          <w:sz w:val="20"/>
        </w:rPr>
      </w:pPr>
    </w:p>
    <w:p w:rsidR="0016663D" w:rsidRDefault="00F958D3" w:rsidP="00B27482">
      <w:pPr>
        <w:tabs>
          <w:tab w:val="left" w:pos="1356"/>
        </w:tabs>
        <w:jc w:val="both"/>
        <w:rPr>
          <w:rFonts w:ascii="Verdana" w:hAnsi="Verdana"/>
          <w:sz w:val="20"/>
        </w:rPr>
      </w:pPr>
      <w:r w:rsidRPr="000C173F">
        <w:rPr>
          <w:rFonts w:ascii="Verdana" w:hAnsi="Verdana"/>
          <w:sz w:val="20"/>
        </w:rPr>
        <w:t xml:space="preserve">Etenevät muistisairaudet heikentävät sairastuneen kykyä huolehtia asioistaan. </w:t>
      </w:r>
      <w:r w:rsidR="0016663D">
        <w:rPr>
          <w:rFonts w:ascii="Verdana" w:hAnsi="Verdana"/>
          <w:sz w:val="20"/>
        </w:rPr>
        <w:t xml:space="preserve">Työryhmän mietinnössä todetaan, että edunvalvonnan tarpeen syytä </w:t>
      </w:r>
      <w:proofErr w:type="gramStart"/>
      <w:r w:rsidR="0016663D">
        <w:rPr>
          <w:rFonts w:ascii="Verdana" w:hAnsi="Verdana"/>
          <w:sz w:val="20"/>
        </w:rPr>
        <w:t>….</w:t>
      </w:r>
      <w:proofErr w:type="gramEnd"/>
      <w:r w:rsidR="0016663D">
        <w:rPr>
          <w:rFonts w:ascii="Verdana" w:hAnsi="Verdana"/>
          <w:sz w:val="20"/>
        </w:rPr>
        <w:t xml:space="preserve"> ei rekisteröidä holhousasioiden rekisteriin, ja tiedot ovat salassa pidettäviä. Päämiesten luokittelu ryhmiin ei työryhmän mielestä ylipäätään tunnu asianmukaiselta. </w:t>
      </w:r>
      <w:r w:rsidR="00EC5651">
        <w:rPr>
          <w:rFonts w:ascii="Verdana" w:hAnsi="Verdana"/>
          <w:sz w:val="20"/>
        </w:rPr>
        <w:t xml:space="preserve">Etenevien muistisairauksien oikeudelliseen toimintakyvyn laskuun vaikuttava luonne antaa </w:t>
      </w:r>
      <w:r w:rsidR="00B27482">
        <w:rPr>
          <w:rFonts w:ascii="Verdana" w:hAnsi="Verdana"/>
          <w:sz w:val="20"/>
        </w:rPr>
        <w:t xml:space="preserve">kuitenkin olettaa, että </w:t>
      </w:r>
      <w:r w:rsidR="00EC5651">
        <w:rPr>
          <w:rFonts w:ascii="Verdana" w:hAnsi="Verdana"/>
          <w:sz w:val="20"/>
        </w:rPr>
        <w:t>suuri osa edunvalvontapalveluita käyttävistä aikuisista päämiehistä on muistisairauksia sairastavia henkilöitä.</w:t>
      </w:r>
    </w:p>
    <w:p w:rsidR="00A20F61" w:rsidRDefault="00A20F61" w:rsidP="00A470E7">
      <w:pPr>
        <w:tabs>
          <w:tab w:val="left" w:pos="1356"/>
        </w:tabs>
        <w:jc w:val="both"/>
        <w:rPr>
          <w:rFonts w:ascii="Verdana" w:hAnsi="Verdana"/>
          <w:sz w:val="20"/>
        </w:rPr>
      </w:pPr>
    </w:p>
    <w:p w:rsidR="00EC5651" w:rsidRDefault="00A20F61" w:rsidP="00A470E7">
      <w:pPr>
        <w:tabs>
          <w:tab w:val="left" w:pos="1356"/>
        </w:tabs>
        <w:jc w:val="both"/>
        <w:rPr>
          <w:rFonts w:ascii="Verdana" w:hAnsi="Verdana"/>
          <w:sz w:val="20"/>
        </w:rPr>
      </w:pPr>
      <w:r w:rsidRPr="00A20F61">
        <w:rPr>
          <w:rFonts w:ascii="Verdana" w:hAnsi="Verdana"/>
          <w:b/>
          <w:bCs/>
          <w:sz w:val="20"/>
        </w:rPr>
        <w:t>3.</w:t>
      </w:r>
      <w:r w:rsidR="00A470E7">
        <w:rPr>
          <w:rFonts w:ascii="Verdana" w:hAnsi="Verdana"/>
          <w:b/>
          <w:bCs/>
          <w:sz w:val="20"/>
        </w:rPr>
        <w:t xml:space="preserve"> Järjestön </w:t>
      </w:r>
      <w:r w:rsidRPr="00A20F61">
        <w:rPr>
          <w:rFonts w:ascii="Verdana" w:hAnsi="Verdana"/>
          <w:b/>
          <w:bCs/>
          <w:sz w:val="20"/>
        </w:rPr>
        <w:t>edunvalvonnallinen rooli</w:t>
      </w:r>
    </w:p>
    <w:p w:rsidR="000C419B" w:rsidRDefault="000C419B" w:rsidP="00A470E7">
      <w:pPr>
        <w:tabs>
          <w:tab w:val="left" w:pos="1356"/>
        </w:tabs>
        <w:jc w:val="both"/>
        <w:rPr>
          <w:rFonts w:ascii="Verdana" w:hAnsi="Verdana"/>
          <w:sz w:val="20"/>
        </w:rPr>
      </w:pPr>
      <w:r>
        <w:rPr>
          <w:rFonts w:ascii="Verdana" w:hAnsi="Verdana"/>
          <w:sz w:val="20"/>
        </w:rPr>
        <w:t>Lähtökohtana on, että edunvalvontapalveluja käytetään siinä tapauksessa, että asioiden hoitoa ei pystytä muulla tavoin järjestämään, esim. perheen jäsenten antaman avun turvin.</w:t>
      </w:r>
    </w:p>
    <w:p w:rsidR="00EC5651" w:rsidRDefault="00EC5651" w:rsidP="00A470E7">
      <w:pPr>
        <w:tabs>
          <w:tab w:val="left" w:pos="1356"/>
        </w:tabs>
        <w:jc w:val="both"/>
        <w:rPr>
          <w:rFonts w:ascii="Verdana" w:hAnsi="Verdana"/>
          <w:sz w:val="20"/>
        </w:rPr>
      </w:pPr>
    </w:p>
    <w:p w:rsidR="00EC5651" w:rsidRDefault="00B27482" w:rsidP="00B27482">
      <w:pPr>
        <w:tabs>
          <w:tab w:val="left" w:pos="1356"/>
        </w:tabs>
        <w:jc w:val="both"/>
        <w:rPr>
          <w:rFonts w:ascii="Verdana" w:hAnsi="Verdana"/>
          <w:sz w:val="20"/>
        </w:rPr>
      </w:pPr>
      <w:r>
        <w:rPr>
          <w:rFonts w:ascii="Verdana" w:hAnsi="Verdana"/>
          <w:sz w:val="20"/>
        </w:rPr>
        <w:t xml:space="preserve">Työryhmä näki </w:t>
      </w:r>
      <w:r w:rsidR="00EC5651">
        <w:rPr>
          <w:rFonts w:ascii="Verdana" w:hAnsi="Verdana"/>
          <w:sz w:val="20"/>
        </w:rPr>
        <w:t xml:space="preserve">haasteeksi sen, </w:t>
      </w:r>
      <w:r w:rsidR="005F71DC">
        <w:rPr>
          <w:rFonts w:ascii="Verdana" w:hAnsi="Verdana"/>
          <w:sz w:val="20"/>
        </w:rPr>
        <w:t xml:space="preserve">miten edunvalvontojen määrän kasvua voitaisiin hallita ja miten erityisesti yleisen edunvalvojan osuus tehtävistä saataisiin vähenemään. </w:t>
      </w:r>
    </w:p>
    <w:p w:rsidR="00EC5651" w:rsidRDefault="005F71DC" w:rsidP="00A470E7">
      <w:pPr>
        <w:tabs>
          <w:tab w:val="left" w:pos="1356"/>
        </w:tabs>
        <w:jc w:val="both"/>
        <w:rPr>
          <w:rFonts w:ascii="Verdana" w:hAnsi="Verdana"/>
          <w:sz w:val="20"/>
        </w:rPr>
      </w:pPr>
      <w:r>
        <w:rPr>
          <w:rFonts w:ascii="Verdana" w:hAnsi="Verdana"/>
          <w:sz w:val="20"/>
        </w:rPr>
        <w:t>Muistiliiton edunvalvonnallinen toiminta on viime vuosina yhä va</w:t>
      </w:r>
      <w:r w:rsidR="00655359">
        <w:rPr>
          <w:rFonts w:ascii="Verdana" w:hAnsi="Verdana"/>
          <w:sz w:val="20"/>
        </w:rPr>
        <w:t xml:space="preserve">hvemmin suuntautunut potilaille, </w:t>
      </w:r>
      <w:r>
        <w:rPr>
          <w:rFonts w:ascii="Verdana" w:hAnsi="Verdana"/>
          <w:sz w:val="20"/>
        </w:rPr>
        <w:t>heidän omaisilleen ja yleensä kansal</w:t>
      </w:r>
      <w:r w:rsidR="00655359">
        <w:rPr>
          <w:rFonts w:ascii="Verdana" w:hAnsi="Verdana"/>
          <w:sz w:val="20"/>
        </w:rPr>
        <w:t>a</w:t>
      </w:r>
      <w:r>
        <w:rPr>
          <w:rFonts w:ascii="Verdana" w:hAnsi="Verdana"/>
          <w:sz w:val="20"/>
        </w:rPr>
        <w:t xml:space="preserve">isille annettuun tiedotukseen, neuvontaan ja ohjaukseen erilaisten </w:t>
      </w:r>
      <w:r w:rsidRPr="005F71DC">
        <w:rPr>
          <w:rFonts w:ascii="Verdana" w:hAnsi="Verdana"/>
          <w:sz w:val="20"/>
          <w:u w:val="single"/>
        </w:rPr>
        <w:t>varautumiskeinojen</w:t>
      </w:r>
      <w:r>
        <w:rPr>
          <w:rFonts w:ascii="Verdana" w:hAnsi="Verdana"/>
          <w:sz w:val="20"/>
        </w:rPr>
        <w:t xml:space="preserve"> käytöstä.</w:t>
      </w:r>
      <w:r w:rsidR="00655359">
        <w:rPr>
          <w:rFonts w:ascii="Verdana" w:hAnsi="Verdana"/>
          <w:sz w:val="20"/>
        </w:rPr>
        <w:t xml:space="preserve"> Varautumisen avulla voidaan vahvistaa henkilön itsemääräämisoikeuden ja omaehtoisten valintojen mahdollisuutta siinäkin vaiheessa, kun henkilö ei enää itse kykene tahtoaan muuten ilmaisemaan.</w:t>
      </w:r>
    </w:p>
    <w:p w:rsidR="005F71DC" w:rsidRDefault="00655359" w:rsidP="00A470E7">
      <w:pPr>
        <w:tabs>
          <w:tab w:val="left" w:pos="1356"/>
        </w:tabs>
        <w:jc w:val="both"/>
        <w:rPr>
          <w:rFonts w:ascii="Verdana" w:hAnsi="Verdana"/>
          <w:sz w:val="20"/>
        </w:rPr>
      </w:pPr>
      <w:r>
        <w:rPr>
          <w:rFonts w:ascii="Verdana" w:hAnsi="Verdana"/>
          <w:sz w:val="20"/>
        </w:rPr>
        <w:t>Tästä keinovalikoimasta olemme nostaneet esiin mm. ajoissa tehdyn sopimis</w:t>
      </w:r>
      <w:r w:rsidR="005F71DC" w:rsidRPr="005F71DC">
        <w:rPr>
          <w:rFonts w:ascii="Verdana" w:hAnsi="Verdana"/>
          <w:sz w:val="20"/>
        </w:rPr>
        <w:t>en omaisten tai läheisten antamasta avusta</w:t>
      </w:r>
      <w:r>
        <w:rPr>
          <w:rFonts w:ascii="Verdana" w:hAnsi="Verdana"/>
          <w:sz w:val="20"/>
        </w:rPr>
        <w:t>, pankkiasioiden järjestämisen tavoista, valtakirjojen antamis</w:t>
      </w:r>
      <w:r w:rsidR="005F71DC" w:rsidRPr="005F71DC">
        <w:rPr>
          <w:rFonts w:ascii="Verdana" w:hAnsi="Verdana"/>
          <w:sz w:val="20"/>
        </w:rPr>
        <w:t>en</w:t>
      </w:r>
      <w:r>
        <w:rPr>
          <w:rFonts w:ascii="Verdana" w:hAnsi="Verdana"/>
          <w:sz w:val="20"/>
        </w:rPr>
        <w:t xml:space="preserve"> tavoista, s</w:t>
      </w:r>
      <w:r w:rsidR="005F71DC" w:rsidRPr="005F71DC">
        <w:rPr>
          <w:rFonts w:ascii="Verdana" w:hAnsi="Verdana"/>
          <w:sz w:val="20"/>
        </w:rPr>
        <w:t>osiaalitoimiston välitystili</w:t>
      </w:r>
      <w:r>
        <w:rPr>
          <w:rFonts w:ascii="Verdana" w:hAnsi="Verdana"/>
          <w:sz w:val="20"/>
        </w:rPr>
        <w:t>n mahdollisuuksista, e</w:t>
      </w:r>
      <w:r w:rsidR="005F71DC" w:rsidRPr="005F71DC">
        <w:rPr>
          <w:rFonts w:ascii="Verdana" w:hAnsi="Verdana"/>
          <w:sz w:val="20"/>
        </w:rPr>
        <w:t>dunvalvontavaltuutu</w:t>
      </w:r>
      <w:r>
        <w:rPr>
          <w:rFonts w:ascii="Verdana" w:hAnsi="Verdana"/>
          <w:sz w:val="20"/>
        </w:rPr>
        <w:t>ksen ja hoitotahdon käytöstä ja viimekätisenä muotona edunvalvojan hakemisesta</w:t>
      </w:r>
      <w:r w:rsidR="005F71DC" w:rsidRPr="005F71DC">
        <w:rPr>
          <w:rFonts w:ascii="Verdana" w:hAnsi="Verdana"/>
          <w:sz w:val="20"/>
        </w:rPr>
        <w:t xml:space="preserve"> holhoustoimilain nojalla</w:t>
      </w:r>
      <w:r>
        <w:rPr>
          <w:rFonts w:ascii="Verdana" w:hAnsi="Verdana"/>
          <w:sz w:val="20"/>
        </w:rPr>
        <w:t>.</w:t>
      </w:r>
    </w:p>
    <w:p w:rsidR="00A20F61" w:rsidRDefault="00A20F61" w:rsidP="00A470E7">
      <w:pPr>
        <w:tabs>
          <w:tab w:val="left" w:pos="1356"/>
        </w:tabs>
        <w:jc w:val="both"/>
        <w:rPr>
          <w:rFonts w:ascii="Verdana" w:hAnsi="Verdana"/>
          <w:sz w:val="20"/>
        </w:rPr>
      </w:pPr>
      <w:r>
        <w:rPr>
          <w:rFonts w:ascii="Verdana" w:hAnsi="Verdana"/>
          <w:sz w:val="20"/>
        </w:rPr>
        <w:t>J</w:t>
      </w:r>
      <w:r w:rsidR="00732A37">
        <w:rPr>
          <w:rFonts w:ascii="Verdana" w:hAnsi="Verdana"/>
          <w:sz w:val="20"/>
        </w:rPr>
        <w:t>ärjestömme</w:t>
      </w:r>
      <w:r w:rsidR="00655359">
        <w:rPr>
          <w:rFonts w:ascii="Verdana" w:hAnsi="Verdana"/>
          <w:sz w:val="20"/>
        </w:rPr>
        <w:t xml:space="preserve"> harjoittama edunvalvontatyö onkin monessa suhteessa ennakoivaa</w:t>
      </w:r>
      <w:r>
        <w:rPr>
          <w:rFonts w:ascii="Verdana" w:hAnsi="Verdana"/>
          <w:sz w:val="20"/>
        </w:rPr>
        <w:t>, ohjaavaa ja tiedottavaa työtä, jonka avulla voidaan turvata sairastune</w:t>
      </w:r>
      <w:r w:rsidR="00732A37">
        <w:rPr>
          <w:rFonts w:ascii="Verdana" w:hAnsi="Verdana"/>
          <w:sz w:val="20"/>
        </w:rPr>
        <w:t xml:space="preserve">en ihmisen itsemääräämisoikeus sairauden kaikissa vaiheissa </w:t>
      </w:r>
      <w:r>
        <w:rPr>
          <w:rFonts w:ascii="Verdana" w:hAnsi="Verdana"/>
          <w:sz w:val="20"/>
        </w:rPr>
        <w:t>ja auttaa sairastuneen omaisia ja läheisiä huolehtimaan läheisensä asioista hänen etujensa mukaisesti.</w:t>
      </w:r>
    </w:p>
    <w:p w:rsidR="00F82423" w:rsidRDefault="00F82423" w:rsidP="00A470E7">
      <w:pPr>
        <w:tabs>
          <w:tab w:val="left" w:pos="1356"/>
        </w:tabs>
        <w:jc w:val="both"/>
        <w:rPr>
          <w:rFonts w:ascii="Verdana" w:hAnsi="Verdana"/>
          <w:sz w:val="20"/>
        </w:rPr>
      </w:pPr>
      <w:r>
        <w:rPr>
          <w:rFonts w:ascii="Verdana" w:hAnsi="Verdana"/>
          <w:sz w:val="20"/>
        </w:rPr>
        <w:t xml:space="preserve">Tuetun päätöksenteon järjestelmän soveltaminen etenevää muistisairautta sairastaviin ihmisiin on järjestössämme vielä tutkimatta. </w:t>
      </w:r>
    </w:p>
    <w:p w:rsidR="00732A37" w:rsidRDefault="00A20F61" w:rsidP="00A470E7">
      <w:pPr>
        <w:tabs>
          <w:tab w:val="left" w:pos="1356"/>
        </w:tabs>
        <w:jc w:val="both"/>
        <w:rPr>
          <w:rFonts w:ascii="Verdana" w:hAnsi="Verdana"/>
          <w:sz w:val="20"/>
        </w:rPr>
      </w:pPr>
      <w:proofErr w:type="gramStart"/>
      <w:r>
        <w:rPr>
          <w:rFonts w:ascii="Verdana" w:hAnsi="Verdana"/>
          <w:sz w:val="20"/>
        </w:rPr>
        <w:t>Kuten työryhmä toteaa järjestöjen tehtävissä korostuu oikeudenmukaisuus ja pyrkimys hyvinvoinnin tasaiseen ja</w:t>
      </w:r>
      <w:r w:rsidR="00732A37">
        <w:rPr>
          <w:rFonts w:ascii="Verdana" w:hAnsi="Verdana"/>
          <w:sz w:val="20"/>
        </w:rPr>
        <w:t>kautumiseen.</w:t>
      </w:r>
      <w:proofErr w:type="gramEnd"/>
      <w:r w:rsidR="00732A37">
        <w:rPr>
          <w:rFonts w:ascii="Verdana" w:hAnsi="Verdana"/>
          <w:sz w:val="20"/>
        </w:rPr>
        <w:t xml:space="preserve"> </w:t>
      </w:r>
    </w:p>
    <w:p w:rsidR="00F82423" w:rsidRDefault="00F82423" w:rsidP="00A470E7">
      <w:pPr>
        <w:tabs>
          <w:tab w:val="left" w:pos="1356"/>
        </w:tabs>
        <w:jc w:val="both"/>
        <w:rPr>
          <w:rFonts w:ascii="Verdana" w:hAnsi="Verdana"/>
          <w:sz w:val="20"/>
        </w:rPr>
      </w:pPr>
    </w:p>
    <w:p w:rsidR="00A470E7" w:rsidRDefault="00A470E7" w:rsidP="00A470E7">
      <w:pPr>
        <w:tabs>
          <w:tab w:val="left" w:pos="1356"/>
        </w:tabs>
        <w:jc w:val="both"/>
        <w:rPr>
          <w:rFonts w:ascii="Verdana" w:hAnsi="Verdana"/>
          <w:sz w:val="20"/>
        </w:rPr>
      </w:pPr>
      <w:r>
        <w:rPr>
          <w:rFonts w:ascii="Verdana" w:hAnsi="Verdana"/>
          <w:sz w:val="20"/>
        </w:rPr>
        <w:t>Työryhmän esityksen mukaan edunvalvontapalveluita ei voida kilpailuttaa tietyn ihmisryhmän tai vamman perusteella, vaan se olisi tehtävä esim. tietyn alueen perusteella. Näin ollen jos järjestö alkaisi tuottaa edunvalvontapalveluja, sen olisi hoidettava vaikkapa jonkin kunnan kaikki edunvalvontaan määrätyt päämiehet.</w:t>
      </w:r>
      <w:r w:rsidR="00F82423">
        <w:rPr>
          <w:rFonts w:ascii="Verdana" w:hAnsi="Verdana"/>
          <w:sz w:val="20"/>
        </w:rPr>
        <w:t xml:space="preserve"> </w:t>
      </w:r>
    </w:p>
    <w:p w:rsidR="00F82423" w:rsidRDefault="00F82423" w:rsidP="00A470E7">
      <w:pPr>
        <w:tabs>
          <w:tab w:val="left" w:pos="1356"/>
        </w:tabs>
        <w:jc w:val="both"/>
        <w:rPr>
          <w:rFonts w:ascii="Verdana" w:hAnsi="Verdana"/>
          <w:sz w:val="20"/>
        </w:rPr>
      </w:pPr>
      <w:r>
        <w:rPr>
          <w:rFonts w:ascii="Verdana" w:hAnsi="Verdana"/>
          <w:sz w:val="20"/>
        </w:rPr>
        <w:t>Esim. Muistiliitolla ei tällaiseen ammattimaiseen toimintaan ole riittävää erityisosaamista. Palvelun tuottaminen kaiken kaikkiaan vaatisi järjestöltä suurta uudelleen organisoitumista ja</w:t>
      </w:r>
      <w:r w:rsidR="00594DD0">
        <w:rPr>
          <w:rFonts w:ascii="Verdana" w:hAnsi="Verdana"/>
          <w:sz w:val="20"/>
        </w:rPr>
        <w:t xml:space="preserve"> taloudellisia resursseja. </w:t>
      </w:r>
      <w:r>
        <w:rPr>
          <w:rFonts w:ascii="Verdana" w:hAnsi="Verdana"/>
          <w:sz w:val="20"/>
        </w:rPr>
        <w:t xml:space="preserve"> Muistiliitto on nimenomaan muistisairaiden ihmisten etujärjestö jolloin saattaisi syntyä jääviysongelmia omalle jäsenkunnalle tarjottujen palvelujen suhteen.</w:t>
      </w:r>
    </w:p>
    <w:p w:rsidR="00197B10" w:rsidRDefault="00197B10" w:rsidP="00A470E7">
      <w:pPr>
        <w:tabs>
          <w:tab w:val="left" w:pos="1356"/>
        </w:tabs>
        <w:jc w:val="both"/>
        <w:rPr>
          <w:rFonts w:ascii="Verdana" w:hAnsi="Verdana"/>
          <w:sz w:val="20"/>
        </w:rPr>
      </w:pPr>
    </w:p>
    <w:p w:rsidR="00A470E7" w:rsidRDefault="00A470E7" w:rsidP="00A470E7">
      <w:pPr>
        <w:tabs>
          <w:tab w:val="left" w:pos="1356"/>
        </w:tabs>
        <w:jc w:val="both"/>
        <w:rPr>
          <w:rFonts w:ascii="Verdana" w:hAnsi="Verdana"/>
          <w:b/>
          <w:bCs/>
          <w:sz w:val="20"/>
        </w:rPr>
      </w:pPr>
    </w:p>
    <w:p w:rsidR="00732A37" w:rsidRDefault="00197B10" w:rsidP="00A470E7">
      <w:pPr>
        <w:tabs>
          <w:tab w:val="left" w:pos="1356"/>
        </w:tabs>
        <w:jc w:val="both"/>
        <w:rPr>
          <w:rFonts w:ascii="Verdana" w:hAnsi="Verdana"/>
          <w:sz w:val="20"/>
        </w:rPr>
      </w:pPr>
      <w:r w:rsidRPr="00197B10">
        <w:rPr>
          <w:rFonts w:ascii="Verdana" w:hAnsi="Verdana"/>
          <w:b/>
          <w:bCs/>
          <w:sz w:val="20"/>
        </w:rPr>
        <w:t xml:space="preserve">4. </w:t>
      </w:r>
      <w:r w:rsidR="00E6150C">
        <w:rPr>
          <w:rFonts w:ascii="Verdana" w:hAnsi="Verdana"/>
          <w:b/>
          <w:bCs/>
          <w:sz w:val="20"/>
        </w:rPr>
        <w:t>Lausunto</w:t>
      </w:r>
    </w:p>
    <w:p w:rsidR="00A20F61" w:rsidRDefault="00732A37" w:rsidP="00A470E7">
      <w:pPr>
        <w:tabs>
          <w:tab w:val="left" w:pos="1356"/>
        </w:tabs>
        <w:jc w:val="both"/>
        <w:rPr>
          <w:rFonts w:ascii="Verdana" w:hAnsi="Verdana"/>
          <w:sz w:val="20"/>
        </w:rPr>
      </w:pPr>
      <w:r>
        <w:rPr>
          <w:rFonts w:ascii="Verdana" w:hAnsi="Verdana"/>
          <w:sz w:val="20"/>
        </w:rPr>
        <w:t>Kaikista varautumiskeinoista huolimatta osa muistisair</w:t>
      </w:r>
      <w:r w:rsidR="00916F64">
        <w:rPr>
          <w:rFonts w:ascii="Verdana" w:hAnsi="Verdana"/>
          <w:sz w:val="20"/>
        </w:rPr>
        <w:t>aista ihmisistä tarvitsee</w:t>
      </w:r>
      <w:r>
        <w:rPr>
          <w:rFonts w:ascii="Verdana" w:hAnsi="Verdana"/>
          <w:sz w:val="20"/>
        </w:rPr>
        <w:t xml:space="preserve"> yleisen edunvalvonnan palveluja. Nämä ihmiset ovat erityisen haavoittuvassa elämäntilanteessa, heillä ei ole käytettävissään omais- ja läheisapua tai omaisten ja läheisten apu voi pikemminkin vahingoittaa heidän etujaan, muistisairausdiagnoosi on tullut niin myöhään, ettei mitään va</w:t>
      </w:r>
      <w:r w:rsidR="00916F64">
        <w:rPr>
          <w:rFonts w:ascii="Verdana" w:hAnsi="Verdana"/>
          <w:sz w:val="20"/>
        </w:rPr>
        <w:t>rautumista ole kyetty tekemään</w:t>
      </w:r>
      <w:r>
        <w:rPr>
          <w:rFonts w:ascii="Verdana" w:hAnsi="Verdana"/>
          <w:sz w:val="20"/>
        </w:rPr>
        <w:t xml:space="preserve"> tai henkilön elämäntilanne </w:t>
      </w:r>
      <w:r w:rsidR="00C7703B">
        <w:rPr>
          <w:rFonts w:ascii="Verdana" w:hAnsi="Verdana"/>
          <w:sz w:val="20"/>
        </w:rPr>
        <w:t>muutoin on niin vaikea, että henkilö tar</w:t>
      </w:r>
      <w:r w:rsidR="009C56E8">
        <w:rPr>
          <w:rFonts w:ascii="Verdana" w:hAnsi="Verdana"/>
          <w:sz w:val="20"/>
        </w:rPr>
        <w:t xml:space="preserve">vitsee </w:t>
      </w:r>
      <w:r w:rsidR="00197B10">
        <w:rPr>
          <w:rFonts w:ascii="Verdana" w:hAnsi="Verdana"/>
          <w:sz w:val="20"/>
        </w:rPr>
        <w:t xml:space="preserve">yleisen </w:t>
      </w:r>
      <w:r w:rsidR="00916F64">
        <w:rPr>
          <w:rFonts w:ascii="Verdana" w:hAnsi="Verdana"/>
          <w:sz w:val="20"/>
        </w:rPr>
        <w:t xml:space="preserve">edunvalvonnan suojaa. </w:t>
      </w:r>
    </w:p>
    <w:p w:rsidR="00197B10" w:rsidRDefault="00197B10" w:rsidP="00A470E7">
      <w:pPr>
        <w:tabs>
          <w:tab w:val="left" w:pos="1356"/>
        </w:tabs>
        <w:jc w:val="both"/>
        <w:rPr>
          <w:rFonts w:ascii="Verdana" w:hAnsi="Verdana"/>
          <w:sz w:val="20"/>
          <w:u w:val="single"/>
        </w:rPr>
      </w:pPr>
      <w:r>
        <w:rPr>
          <w:rFonts w:ascii="Verdana" w:hAnsi="Verdana"/>
          <w:sz w:val="20"/>
        </w:rPr>
        <w:t xml:space="preserve">Työryhmän toimeksiannossa keskeisenä tehtävänä oli selvittää madollisuudet </w:t>
      </w:r>
      <w:r w:rsidRPr="00197B10">
        <w:rPr>
          <w:rFonts w:ascii="Verdana" w:hAnsi="Verdana"/>
          <w:sz w:val="20"/>
          <w:u w:val="single"/>
        </w:rPr>
        <w:t>laajentaa edunvalvontapalvelujen ostamista ulkopuoliselta palvelutuottajalta.</w:t>
      </w:r>
    </w:p>
    <w:p w:rsidR="00197B10" w:rsidRDefault="00197B10" w:rsidP="00A470E7">
      <w:pPr>
        <w:tabs>
          <w:tab w:val="left" w:pos="1356"/>
        </w:tabs>
        <w:jc w:val="both"/>
        <w:rPr>
          <w:rFonts w:ascii="Verdana" w:hAnsi="Verdana"/>
          <w:sz w:val="20"/>
        </w:rPr>
      </w:pPr>
      <w:r>
        <w:rPr>
          <w:rFonts w:ascii="Verdana" w:hAnsi="Verdana"/>
          <w:sz w:val="20"/>
        </w:rPr>
        <w:t>Julkinen edunvalvonta siirtyi kunnilta oikeusministeriölle (oikeusaputoimistoille) vuonna 2009. Tällä hetkellä oikeusaputoimistot hoitavat valtaosin edunvalvonnoista itse vaikka vuoden 2009 jälkeen mahdollistettiin myös ostopalvelujen tekeminen. Ostopalveluina tehtäviä tekevät pääasiassa kunnat, muutamat yksityiset henkilöt ja yksi järjestö.</w:t>
      </w:r>
      <w:r w:rsidR="0086483D">
        <w:rPr>
          <w:rFonts w:ascii="Verdana" w:hAnsi="Verdana"/>
          <w:sz w:val="20"/>
        </w:rPr>
        <w:t xml:space="preserve"> </w:t>
      </w:r>
      <w:proofErr w:type="spellStart"/>
      <w:r w:rsidR="0086483D">
        <w:rPr>
          <w:rFonts w:ascii="Verdana" w:hAnsi="Verdana"/>
          <w:sz w:val="20"/>
        </w:rPr>
        <w:t>Ulkoistamisen</w:t>
      </w:r>
      <w:proofErr w:type="spellEnd"/>
      <w:r w:rsidR="0086483D">
        <w:rPr>
          <w:rFonts w:ascii="Verdana" w:hAnsi="Verdana"/>
          <w:sz w:val="20"/>
        </w:rPr>
        <w:t xml:space="preserve"> taustalla on valtion tuottavuusohjelman linjaus, jonka mukaan oikeusaputoimistoista pitää vähentää 90 henkilötyövuotta vuoteen 2015 mennessä.</w:t>
      </w:r>
    </w:p>
    <w:p w:rsidR="001B0024" w:rsidRDefault="001B0024" w:rsidP="00A470E7">
      <w:pPr>
        <w:tabs>
          <w:tab w:val="left" w:pos="1356"/>
        </w:tabs>
        <w:jc w:val="both"/>
        <w:rPr>
          <w:rFonts w:ascii="Verdana" w:hAnsi="Verdana"/>
          <w:sz w:val="20"/>
        </w:rPr>
      </w:pPr>
    </w:p>
    <w:p w:rsidR="00E677EE" w:rsidRDefault="00E6150C" w:rsidP="00A470E7">
      <w:pPr>
        <w:tabs>
          <w:tab w:val="left" w:pos="1356"/>
        </w:tabs>
        <w:jc w:val="both"/>
        <w:rPr>
          <w:rFonts w:ascii="Verdana" w:hAnsi="Verdana"/>
          <w:sz w:val="20"/>
        </w:rPr>
      </w:pPr>
      <w:r>
        <w:rPr>
          <w:rFonts w:ascii="Verdana" w:hAnsi="Verdana"/>
          <w:sz w:val="20"/>
        </w:rPr>
        <w:t>Työryhmä on tarkastellut asiaa monipuolisesti. Muistiliitto kiinnittää huomiota erityisesti siihen, että edunvalvontapalveluiden siirto kunnilta valtiolle on tapahtunut vasta muutamia vuosia sitten.</w:t>
      </w:r>
      <w:r w:rsidR="00E677EE" w:rsidRPr="00E677EE">
        <w:rPr>
          <w:rFonts w:ascii="Arial" w:hAnsi="Arial" w:cs="Arial"/>
          <w:szCs w:val="24"/>
        </w:rPr>
        <w:t xml:space="preserve"> </w:t>
      </w:r>
      <w:r w:rsidR="00E677EE" w:rsidRPr="00E677EE">
        <w:rPr>
          <w:rFonts w:ascii="Arial" w:hAnsi="Arial" w:cs="Arial"/>
          <w:sz w:val="20"/>
        </w:rPr>
        <w:t>Muistiliitto (silloinen Alzheimer-keskusliitto) kiinnitti huomiota lausunnossaan Hallit</w:t>
      </w:r>
      <w:r w:rsidR="00E677EE">
        <w:rPr>
          <w:rFonts w:ascii="Arial" w:hAnsi="Arial" w:cs="Arial"/>
          <w:sz w:val="20"/>
        </w:rPr>
        <w:t>uksen esitykseen edunvalvontapalveluiden järjestämisen muutoksessa vuonna 2008 siihen, että ”</w:t>
      </w:r>
      <w:r w:rsidR="00E677EE" w:rsidRPr="00E677EE">
        <w:rPr>
          <w:rFonts w:ascii="Arial" w:hAnsi="Arial" w:cs="Arial"/>
          <w:sz w:val="20"/>
        </w:rPr>
        <w:t>asiakkaat saisivat lain muutoksen jälkeen yhdenmukaisempaa ja laadukkaampaa palvelua, kun henkilökunta olisi kokoaikaista ja ammattitaidon kehittämiseen olisi nykyistä parempi mahdollisuus. Alzheimer-keskusliitto pitää tätä päämiesten oikeusturvan toteutumisen kannalta tärkeänä</w:t>
      </w:r>
      <w:r w:rsidR="00E677EE">
        <w:rPr>
          <w:rFonts w:ascii="Arial" w:hAnsi="Arial" w:cs="Arial"/>
          <w:sz w:val="20"/>
        </w:rPr>
        <w:t>.”</w:t>
      </w:r>
      <w:r w:rsidR="00E677EE" w:rsidRPr="00E677EE">
        <w:rPr>
          <w:rFonts w:ascii="Arial" w:hAnsi="Arial" w:cs="Arial"/>
          <w:sz w:val="20"/>
        </w:rPr>
        <w:t>.</w:t>
      </w:r>
      <w:r>
        <w:rPr>
          <w:rFonts w:ascii="Verdana" w:hAnsi="Verdana"/>
          <w:sz w:val="20"/>
        </w:rPr>
        <w:t xml:space="preserve"> </w:t>
      </w:r>
      <w:proofErr w:type="gramStart"/>
      <w:r w:rsidR="001B0024">
        <w:rPr>
          <w:rFonts w:ascii="Verdana" w:hAnsi="Verdana"/>
          <w:sz w:val="20"/>
        </w:rPr>
        <w:t>Kuten työryhmä toteaa ratkai</w:t>
      </w:r>
      <w:r w:rsidR="00E677EE">
        <w:rPr>
          <w:rFonts w:ascii="Verdana" w:hAnsi="Verdana"/>
          <w:sz w:val="20"/>
        </w:rPr>
        <w:t>su on toteuttanut tätä tavoitetta,</w:t>
      </w:r>
      <w:r w:rsidR="001B0024">
        <w:rPr>
          <w:rFonts w:ascii="Verdana" w:hAnsi="Verdana"/>
          <w:sz w:val="20"/>
        </w:rPr>
        <w:t xml:space="preserve"> julkista edunvalvontaa voidaan nyt ohjeistaa ja kehittää</w:t>
      </w:r>
      <w:r w:rsidR="00E677EE">
        <w:rPr>
          <w:rFonts w:ascii="Verdana" w:hAnsi="Verdana"/>
          <w:sz w:val="20"/>
        </w:rPr>
        <w:t xml:space="preserve"> yhtenäisemmin</w:t>
      </w:r>
      <w:r w:rsidR="001B0024">
        <w:rPr>
          <w:rFonts w:ascii="Verdana" w:hAnsi="Verdana"/>
          <w:sz w:val="20"/>
        </w:rPr>
        <w:t xml:space="preserve"> ja henkilökuntaa kouluttaa keskitetysti ja aiempaa paremmin.</w:t>
      </w:r>
      <w:proofErr w:type="gramEnd"/>
      <w:r w:rsidR="00E677EE">
        <w:rPr>
          <w:rFonts w:ascii="Verdana" w:hAnsi="Verdana"/>
          <w:sz w:val="20"/>
        </w:rPr>
        <w:t xml:space="preserve"> Suurta huolta päämiesten oikeusturvan kannalta aiheuttaa se, jos tämä myön</w:t>
      </w:r>
      <w:r w:rsidR="00217CC6">
        <w:rPr>
          <w:rFonts w:ascii="Verdana" w:hAnsi="Verdana"/>
          <w:sz w:val="20"/>
        </w:rPr>
        <w:t xml:space="preserve">teinen kehitys nyt hidastuu ja ostopalveluiden myötä palvelut jälleen </w:t>
      </w:r>
      <w:proofErr w:type="spellStart"/>
      <w:r w:rsidR="00217CC6">
        <w:rPr>
          <w:rFonts w:ascii="Verdana" w:hAnsi="Verdana"/>
          <w:sz w:val="20"/>
        </w:rPr>
        <w:t>pirstaloituvat</w:t>
      </w:r>
      <w:proofErr w:type="spellEnd"/>
      <w:r w:rsidR="00217CC6">
        <w:rPr>
          <w:rFonts w:ascii="Verdana" w:hAnsi="Verdana"/>
          <w:sz w:val="20"/>
        </w:rPr>
        <w:t xml:space="preserve"> useille pienille toimijoille.</w:t>
      </w:r>
    </w:p>
    <w:p w:rsidR="00217CC6" w:rsidRDefault="00217CC6" w:rsidP="00A470E7">
      <w:pPr>
        <w:tabs>
          <w:tab w:val="left" w:pos="1356"/>
        </w:tabs>
        <w:jc w:val="both"/>
        <w:rPr>
          <w:rFonts w:ascii="Verdana" w:hAnsi="Verdana"/>
          <w:sz w:val="20"/>
        </w:rPr>
      </w:pPr>
    </w:p>
    <w:p w:rsidR="004B10DE" w:rsidRDefault="00C9405E" w:rsidP="00B27482">
      <w:pPr>
        <w:tabs>
          <w:tab w:val="left" w:pos="1356"/>
        </w:tabs>
        <w:jc w:val="both"/>
        <w:rPr>
          <w:rFonts w:ascii="Verdana" w:hAnsi="Verdana"/>
          <w:sz w:val="20"/>
        </w:rPr>
      </w:pPr>
      <w:r>
        <w:rPr>
          <w:rFonts w:ascii="Verdana" w:hAnsi="Verdana"/>
          <w:sz w:val="20"/>
        </w:rPr>
        <w:t>Mielestämme on myös tärkeää, että nykyisessä järjestelmässä vastuu-</w:t>
      </w:r>
      <w:r w:rsidR="004B10DE">
        <w:rPr>
          <w:rFonts w:ascii="Verdana" w:hAnsi="Verdana"/>
          <w:sz w:val="20"/>
        </w:rPr>
        <w:t xml:space="preserve"> ja valvontasuhteet ovat selkeytyneet</w:t>
      </w:r>
      <w:r>
        <w:rPr>
          <w:rFonts w:ascii="Verdana" w:hAnsi="Verdana"/>
          <w:sz w:val="20"/>
        </w:rPr>
        <w:t>.</w:t>
      </w:r>
      <w:r w:rsidR="001B0024">
        <w:rPr>
          <w:rFonts w:ascii="Verdana" w:hAnsi="Verdana"/>
          <w:sz w:val="20"/>
        </w:rPr>
        <w:t xml:space="preserve"> </w:t>
      </w:r>
      <w:r w:rsidR="00B27482">
        <w:rPr>
          <w:rFonts w:ascii="Verdana" w:hAnsi="Verdana"/>
          <w:sz w:val="20"/>
        </w:rPr>
        <w:t>Myös o</w:t>
      </w:r>
      <w:r w:rsidR="004B10DE">
        <w:rPr>
          <w:rFonts w:ascii="Verdana" w:hAnsi="Verdana"/>
          <w:sz w:val="20"/>
        </w:rPr>
        <w:t>stopalveluperusteisessa toiminnassa vastuu- ja vahingonkorvauskysymy</w:t>
      </w:r>
      <w:r w:rsidR="00B27482">
        <w:rPr>
          <w:rFonts w:ascii="Verdana" w:hAnsi="Verdana"/>
          <w:sz w:val="20"/>
        </w:rPr>
        <w:t>ksien tulee olla selkeästi määriteltyjä.</w:t>
      </w:r>
    </w:p>
    <w:p w:rsidR="004B10DE" w:rsidRDefault="004B10DE" w:rsidP="00A470E7">
      <w:pPr>
        <w:tabs>
          <w:tab w:val="left" w:pos="1356"/>
        </w:tabs>
        <w:jc w:val="both"/>
        <w:rPr>
          <w:rFonts w:ascii="Verdana" w:hAnsi="Verdana"/>
          <w:sz w:val="20"/>
        </w:rPr>
      </w:pPr>
    </w:p>
    <w:p w:rsidR="00217CC6" w:rsidRDefault="004B10DE" w:rsidP="00A470E7">
      <w:pPr>
        <w:tabs>
          <w:tab w:val="left" w:pos="1356"/>
        </w:tabs>
        <w:jc w:val="both"/>
        <w:rPr>
          <w:rFonts w:ascii="Verdana" w:hAnsi="Verdana"/>
          <w:sz w:val="20"/>
        </w:rPr>
      </w:pPr>
      <w:r>
        <w:rPr>
          <w:rFonts w:ascii="Verdana" w:hAnsi="Verdana"/>
          <w:sz w:val="20"/>
        </w:rPr>
        <w:t>Ostopalveluina hankitut palvelu</w:t>
      </w:r>
      <w:r w:rsidR="00217CC6">
        <w:rPr>
          <w:rFonts w:ascii="Verdana" w:hAnsi="Verdana"/>
          <w:sz w:val="20"/>
        </w:rPr>
        <w:t xml:space="preserve">t eivät raportin mukaan nykyisellään </w:t>
      </w:r>
      <w:r>
        <w:rPr>
          <w:rFonts w:ascii="Verdana" w:hAnsi="Verdana"/>
          <w:sz w:val="20"/>
        </w:rPr>
        <w:t xml:space="preserve">laske </w:t>
      </w:r>
      <w:r w:rsidR="00217CC6">
        <w:rPr>
          <w:rFonts w:ascii="Verdana" w:hAnsi="Verdana"/>
          <w:sz w:val="20"/>
        </w:rPr>
        <w:t>e</w:t>
      </w:r>
      <w:r>
        <w:rPr>
          <w:rFonts w:ascii="Verdana" w:hAnsi="Verdana"/>
          <w:sz w:val="20"/>
        </w:rPr>
        <w:t xml:space="preserve">dunvalvontapalveluiden </w:t>
      </w:r>
      <w:r w:rsidR="00217CC6">
        <w:rPr>
          <w:rFonts w:ascii="Verdana" w:hAnsi="Verdana"/>
          <w:sz w:val="20"/>
        </w:rPr>
        <w:t>valtiolle tuottamia kustannuksia. Hinta ei tulevaisuudessakaan saa olla kilpailutuksen ainoa peruste, on erittäin vaarallista jos kaikkein heikoimmassa asemassa olevat kansalaiset joutuvat hintakilpailun pelinappuloiksi. L</w:t>
      </w:r>
      <w:r>
        <w:rPr>
          <w:rFonts w:ascii="Verdana" w:hAnsi="Verdana"/>
          <w:sz w:val="20"/>
        </w:rPr>
        <w:t xml:space="preserve">aadusta ei nykyisten kokemusten mukaan vielä </w:t>
      </w:r>
      <w:r w:rsidR="00E677EE">
        <w:rPr>
          <w:rFonts w:ascii="Verdana" w:hAnsi="Verdana"/>
          <w:sz w:val="20"/>
        </w:rPr>
        <w:t>voida vetää pitkälle meneviä johtopäätöksiä.</w:t>
      </w:r>
      <w:r>
        <w:rPr>
          <w:rFonts w:ascii="Verdana" w:hAnsi="Verdana"/>
          <w:sz w:val="20"/>
        </w:rPr>
        <w:t xml:space="preserve"> </w:t>
      </w:r>
      <w:r w:rsidR="00217CC6">
        <w:rPr>
          <w:rFonts w:ascii="Verdana" w:hAnsi="Verdana"/>
          <w:sz w:val="20"/>
        </w:rPr>
        <w:t xml:space="preserve">Päämiehen näkökulmasta edunvalvonnan laadun tulee olla kunnossa eikä laadussa saa tapahtua eriarvoistumista. </w:t>
      </w:r>
    </w:p>
    <w:p w:rsidR="00B27482" w:rsidRDefault="00B27482" w:rsidP="00A470E7">
      <w:pPr>
        <w:tabs>
          <w:tab w:val="left" w:pos="1356"/>
        </w:tabs>
        <w:jc w:val="both"/>
        <w:rPr>
          <w:rFonts w:ascii="Verdana" w:hAnsi="Verdana"/>
          <w:sz w:val="20"/>
        </w:rPr>
      </w:pPr>
    </w:p>
    <w:p w:rsidR="00B27482" w:rsidRDefault="00B27482" w:rsidP="00A470E7">
      <w:pPr>
        <w:tabs>
          <w:tab w:val="left" w:pos="1356"/>
        </w:tabs>
        <w:jc w:val="both"/>
        <w:rPr>
          <w:rFonts w:ascii="Verdana" w:hAnsi="Verdana"/>
          <w:sz w:val="20"/>
        </w:rPr>
      </w:pPr>
      <w:r>
        <w:rPr>
          <w:rFonts w:ascii="Verdana" w:hAnsi="Verdana"/>
          <w:sz w:val="20"/>
        </w:rPr>
        <w:t xml:space="preserve">MUISTILIITTO ry / Alzheimer </w:t>
      </w:r>
      <w:proofErr w:type="spellStart"/>
      <w:proofErr w:type="gramStart"/>
      <w:r>
        <w:rPr>
          <w:rFonts w:ascii="Verdana" w:hAnsi="Verdana"/>
          <w:sz w:val="20"/>
        </w:rPr>
        <w:t>Centalförbundet</w:t>
      </w:r>
      <w:proofErr w:type="spellEnd"/>
      <w:r>
        <w:rPr>
          <w:rFonts w:ascii="Verdana" w:hAnsi="Verdana"/>
          <w:sz w:val="20"/>
        </w:rPr>
        <w:t xml:space="preserve"> ,</w:t>
      </w:r>
      <w:proofErr w:type="gramEnd"/>
      <w:r>
        <w:rPr>
          <w:rFonts w:ascii="Verdana" w:hAnsi="Verdana"/>
          <w:sz w:val="20"/>
        </w:rPr>
        <w:t xml:space="preserve"> </w:t>
      </w:r>
    </w:p>
    <w:p w:rsidR="00F958D3" w:rsidRDefault="00B27482" w:rsidP="00CA2473">
      <w:pPr>
        <w:tabs>
          <w:tab w:val="left" w:pos="1356"/>
        </w:tabs>
        <w:jc w:val="both"/>
        <w:rPr>
          <w:rFonts w:ascii="Verdana" w:hAnsi="Verdana"/>
          <w:sz w:val="20"/>
        </w:rPr>
      </w:pPr>
      <w:r>
        <w:rPr>
          <w:rFonts w:ascii="Verdana" w:hAnsi="Verdana"/>
          <w:sz w:val="20"/>
        </w:rPr>
        <w:t>puolesta Anna Tamminen, järjestöjohtaja</w:t>
      </w:r>
    </w:p>
    <w:sectPr w:rsidR="00F958D3" w:rsidSect="00865A3D">
      <w:headerReference w:type="default" r:id="rId7"/>
      <w:footerReference w:type="default" r:id="rId8"/>
      <w:pgSz w:w="11899" w:h="16838"/>
      <w:pgMar w:top="1440" w:right="1800" w:bottom="1440" w:left="1800" w:header="708" w:footer="2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662" w:rsidRDefault="00443662" w:rsidP="00865A3D">
      <w:r>
        <w:separator/>
      </w:r>
    </w:p>
  </w:endnote>
  <w:endnote w:type="continuationSeparator" w:id="0">
    <w:p w:rsidR="00443662" w:rsidRDefault="00443662" w:rsidP="00865A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542"/>
      <w:docPartObj>
        <w:docPartGallery w:val="Page Numbers (Bottom of Page)"/>
        <w:docPartUnique/>
      </w:docPartObj>
    </w:sdtPr>
    <w:sdtContent>
      <w:p w:rsidR="00CA2473" w:rsidRDefault="00CA2473">
        <w:pPr>
          <w:pStyle w:val="Alatunniste"/>
          <w:jc w:val="right"/>
        </w:pPr>
        <w:fldSimple w:instr=" PAGE   \* MERGEFORMAT ">
          <w:r>
            <w:rPr>
              <w:noProof/>
            </w:rPr>
            <w:t>1</w:t>
          </w:r>
        </w:fldSimple>
      </w:p>
    </w:sdtContent>
  </w:sdt>
  <w:p w:rsidR="00B27482" w:rsidRPr="004420D2" w:rsidRDefault="00B27482" w:rsidP="00865A3D">
    <w:pPr>
      <w:pStyle w:val="Alatunniste"/>
      <w:ind w:left="-993"/>
      <w:rPr>
        <w:rFonts w:ascii="Arial" w:hAnsi="Arial"/>
        <w:color w:val="FFFFF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662" w:rsidRDefault="00443662" w:rsidP="00865A3D">
      <w:r>
        <w:separator/>
      </w:r>
    </w:p>
  </w:footnote>
  <w:footnote w:type="continuationSeparator" w:id="0">
    <w:p w:rsidR="00443662" w:rsidRDefault="00443662" w:rsidP="0086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82" w:rsidRDefault="00B27482">
    <w:pPr>
      <w:pStyle w:val="Yltunniste"/>
    </w:pPr>
    <w:r>
      <w:rPr>
        <w:noProof/>
        <w:lang w:eastAsia="fi-FI"/>
      </w:rPr>
      <w:drawing>
        <wp:anchor distT="0" distB="0" distL="114300" distR="114300" simplePos="0" relativeHeight="251657728" behindDoc="1" locked="0" layoutInCell="1" allowOverlap="1">
          <wp:simplePos x="0" y="0"/>
          <wp:positionH relativeFrom="column">
            <wp:posOffset>-647700</wp:posOffset>
          </wp:positionH>
          <wp:positionV relativeFrom="paragraph">
            <wp:posOffset>63500</wp:posOffset>
          </wp:positionV>
          <wp:extent cx="1548765" cy="367665"/>
          <wp:effectExtent l="19050" t="0" r="0" b="0"/>
          <wp:wrapNone/>
          <wp:docPr id="2" name="Kuva 2" descr="muistiliitto-logo-vaaka-RGB-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istiliitto-logo-vaaka-RGB-pieni"/>
                  <pic:cNvPicPr>
                    <a:picLocks noChangeAspect="1" noChangeArrowheads="1"/>
                  </pic:cNvPicPr>
                </pic:nvPicPr>
                <pic:blipFill>
                  <a:blip r:embed="rId1"/>
                  <a:srcRect/>
                  <a:stretch>
                    <a:fillRect/>
                  </a:stretch>
                </pic:blipFill>
                <pic:spPr bwMode="auto">
                  <a:xfrm>
                    <a:off x="0" y="0"/>
                    <a:ext cx="1548765" cy="3676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267"/>
    <w:multiLevelType w:val="hybridMultilevel"/>
    <w:tmpl w:val="D6366DCC"/>
    <w:lvl w:ilvl="0" w:tplc="8D94D416">
      <w:start w:val="1"/>
      <w:numFmt w:val="bullet"/>
      <w:lvlText w:val=""/>
      <w:lvlJc w:val="left"/>
      <w:pPr>
        <w:tabs>
          <w:tab w:val="num" w:pos="720"/>
        </w:tabs>
        <w:ind w:left="720" w:hanging="360"/>
      </w:pPr>
      <w:rPr>
        <w:rFonts w:ascii="Wingdings" w:hAnsi="Wingdings" w:hint="default"/>
      </w:rPr>
    </w:lvl>
    <w:lvl w:ilvl="1" w:tplc="E1A06780">
      <w:start w:val="1"/>
      <w:numFmt w:val="bullet"/>
      <w:lvlText w:val=""/>
      <w:lvlJc w:val="left"/>
      <w:pPr>
        <w:tabs>
          <w:tab w:val="num" w:pos="1440"/>
        </w:tabs>
        <w:ind w:left="1440" w:hanging="360"/>
      </w:pPr>
      <w:rPr>
        <w:rFonts w:ascii="Wingdings" w:hAnsi="Wingdings" w:hint="default"/>
      </w:rPr>
    </w:lvl>
    <w:lvl w:ilvl="2" w:tplc="FDB6BD52" w:tentative="1">
      <w:start w:val="1"/>
      <w:numFmt w:val="bullet"/>
      <w:lvlText w:val=""/>
      <w:lvlJc w:val="left"/>
      <w:pPr>
        <w:tabs>
          <w:tab w:val="num" w:pos="2160"/>
        </w:tabs>
        <w:ind w:left="2160" w:hanging="360"/>
      </w:pPr>
      <w:rPr>
        <w:rFonts w:ascii="Wingdings" w:hAnsi="Wingdings" w:hint="default"/>
      </w:rPr>
    </w:lvl>
    <w:lvl w:ilvl="3" w:tplc="66C4E076" w:tentative="1">
      <w:start w:val="1"/>
      <w:numFmt w:val="bullet"/>
      <w:lvlText w:val=""/>
      <w:lvlJc w:val="left"/>
      <w:pPr>
        <w:tabs>
          <w:tab w:val="num" w:pos="2880"/>
        </w:tabs>
        <w:ind w:left="2880" w:hanging="360"/>
      </w:pPr>
      <w:rPr>
        <w:rFonts w:ascii="Wingdings" w:hAnsi="Wingdings" w:hint="default"/>
      </w:rPr>
    </w:lvl>
    <w:lvl w:ilvl="4" w:tplc="D33416FC" w:tentative="1">
      <w:start w:val="1"/>
      <w:numFmt w:val="bullet"/>
      <w:lvlText w:val=""/>
      <w:lvlJc w:val="left"/>
      <w:pPr>
        <w:tabs>
          <w:tab w:val="num" w:pos="3600"/>
        </w:tabs>
        <w:ind w:left="3600" w:hanging="360"/>
      </w:pPr>
      <w:rPr>
        <w:rFonts w:ascii="Wingdings" w:hAnsi="Wingdings" w:hint="default"/>
      </w:rPr>
    </w:lvl>
    <w:lvl w:ilvl="5" w:tplc="3C5AACF6" w:tentative="1">
      <w:start w:val="1"/>
      <w:numFmt w:val="bullet"/>
      <w:lvlText w:val=""/>
      <w:lvlJc w:val="left"/>
      <w:pPr>
        <w:tabs>
          <w:tab w:val="num" w:pos="4320"/>
        </w:tabs>
        <w:ind w:left="4320" w:hanging="360"/>
      </w:pPr>
      <w:rPr>
        <w:rFonts w:ascii="Wingdings" w:hAnsi="Wingdings" w:hint="default"/>
      </w:rPr>
    </w:lvl>
    <w:lvl w:ilvl="6" w:tplc="061CBF84" w:tentative="1">
      <w:start w:val="1"/>
      <w:numFmt w:val="bullet"/>
      <w:lvlText w:val=""/>
      <w:lvlJc w:val="left"/>
      <w:pPr>
        <w:tabs>
          <w:tab w:val="num" w:pos="5040"/>
        </w:tabs>
        <w:ind w:left="5040" w:hanging="360"/>
      </w:pPr>
      <w:rPr>
        <w:rFonts w:ascii="Wingdings" w:hAnsi="Wingdings" w:hint="default"/>
      </w:rPr>
    </w:lvl>
    <w:lvl w:ilvl="7" w:tplc="A1E4210E" w:tentative="1">
      <w:start w:val="1"/>
      <w:numFmt w:val="bullet"/>
      <w:lvlText w:val=""/>
      <w:lvlJc w:val="left"/>
      <w:pPr>
        <w:tabs>
          <w:tab w:val="num" w:pos="5760"/>
        </w:tabs>
        <w:ind w:left="5760" w:hanging="360"/>
      </w:pPr>
      <w:rPr>
        <w:rFonts w:ascii="Wingdings" w:hAnsi="Wingdings" w:hint="default"/>
      </w:rPr>
    </w:lvl>
    <w:lvl w:ilvl="8" w:tplc="9B66042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4420D2"/>
    <w:rsid w:val="000C419B"/>
    <w:rsid w:val="0016663D"/>
    <w:rsid w:val="00197B10"/>
    <w:rsid w:val="001B0024"/>
    <w:rsid w:val="00217CC6"/>
    <w:rsid w:val="003112D0"/>
    <w:rsid w:val="004420D2"/>
    <w:rsid w:val="00443662"/>
    <w:rsid w:val="004B10DE"/>
    <w:rsid w:val="005327DC"/>
    <w:rsid w:val="00594DD0"/>
    <w:rsid w:val="005F71DC"/>
    <w:rsid w:val="00655359"/>
    <w:rsid w:val="00732A37"/>
    <w:rsid w:val="0086483D"/>
    <w:rsid w:val="00865A3D"/>
    <w:rsid w:val="00916F64"/>
    <w:rsid w:val="009C56E8"/>
    <w:rsid w:val="00A20F61"/>
    <w:rsid w:val="00A470E7"/>
    <w:rsid w:val="00B27482"/>
    <w:rsid w:val="00BD753B"/>
    <w:rsid w:val="00C24AB1"/>
    <w:rsid w:val="00C7703B"/>
    <w:rsid w:val="00C9405E"/>
    <w:rsid w:val="00CA2473"/>
    <w:rsid w:val="00E6150C"/>
    <w:rsid w:val="00E677EE"/>
    <w:rsid w:val="00E81292"/>
    <w:rsid w:val="00EC5651"/>
    <w:rsid w:val="00F82423"/>
    <w:rsid w:val="00F958D3"/>
  </w:rsids>
  <m:mathPr>
    <m:mathFont m:val="Cambria Math"/>
    <m:brkBin m:val="before"/>
    <m:brkBinSub m:val="--"/>
    <m:smallFrac m:val="off"/>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24AB1"/>
    <w:rPr>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420D2"/>
    <w:pPr>
      <w:tabs>
        <w:tab w:val="center" w:pos="4320"/>
        <w:tab w:val="right" w:pos="8640"/>
      </w:tabs>
    </w:pPr>
  </w:style>
  <w:style w:type="paragraph" w:styleId="Alatunniste">
    <w:name w:val="footer"/>
    <w:basedOn w:val="Normaali"/>
    <w:link w:val="AlatunnisteChar"/>
    <w:uiPriority w:val="99"/>
    <w:rsid w:val="004420D2"/>
    <w:pPr>
      <w:tabs>
        <w:tab w:val="center" w:pos="4320"/>
        <w:tab w:val="right" w:pos="8640"/>
      </w:tabs>
    </w:pPr>
  </w:style>
  <w:style w:type="character" w:styleId="Hyperlinkki">
    <w:name w:val="Hyperlink"/>
    <w:basedOn w:val="Kappaleenoletusfontti"/>
    <w:uiPriority w:val="99"/>
    <w:semiHidden/>
    <w:unhideWhenUsed/>
    <w:rsid w:val="00F958D3"/>
    <w:rPr>
      <w:color w:val="0000FF"/>
      <w:u w:val="single"/>
    </w:rPr>
  </w:style>
  <w:style w:type="character" w:styleId="Korostus">
    <w:name w:val="Emphasis"/>
    <w:basedOn w:val="Kappaleenoletusfontti"/>
    <w:uiPriority w:val="20"/>
    <w:qFormat/>
    <w:rsid w:val="00F958D3"/>
    <w:rPr>
      <w:i/>
      <w:iCs/>
    </w:rPr>
  </w:style>
  <w:style w:type="paragraph" w:styleId="Sisennettyleipteksti2">
    <w:name w:val="Body Text Indent 2"/>
    <w:basedOn w:val="Normaali"/>
    <w:link w:val="Sisennettyleipteksti2Char"/>
    <w:semiHidden/>
    <w:rsid w:val="00F958D3"/>
    <w:pPr>
      <w:spacing w:line="360" w:lineRule="auto"/>
      <w:ind w:left="539"/>
      <w:jc w:val="both"/>
    </w:pPr>
    <w:rPr>
      <w:rFonts w:ascii="Arial" w:hAnsi="Arial" w:cs="Arial"/>
      <w:szCs w:val="24"/>
      <w:lang w:eastAsia="fi-FI" w:bidi="ar-SA"/>
    </w:rPr>
  </w:style>
  <w:style w:type="character" w:customStyle="1" w:styleId="Sisennettyleipteksti2Char">
    <w:name w:val="Sisennetty leipäteksti 2 Char"/>
    <w:basedOn w:val="Kappaleenoletusfontti"/>
    <w:link w:val="Sisennettyleipteksti2"/>
    <w:semiHidden/>
    <w:rsid w:val="00F958D3"/>
    <w:rPr>
      <w:rFonts w:ascii="Arial" w:hAnsi="Arial" w:cs="Arial"/>
      <w:sz w:val="24"/>
      <w:szCs w:val="24"/>
      <w:lang w:bidi="ar-SA"/>
    </w:rPr>
  </w:style>
  <w:style w:type="character" w:customStyle="1" w:styleId="AlatunnisteChar">
    <w:name w:val="Alatunniste Char"/>
    <w:basedOn w:val="Kappaleenoletusfontti"/>
    <w:link w:val="Alatunniste"/>
    <w:uiPriority w:val="99"/>
    <w:rsid w:val="00CA2473"/>
    <w:rPr>
      <w:sz w:val="24"/>
      <w:lang w:eastAsia="en-US"/>
    </w:rPr>
  </w:style>
</w:styles>
</file>

<file path=word/webSettings.xml><?xml version="1.0" encoding="utf-8"?>
<w:webSettings xmlns:r="http://schemas.openxmlformats.org/officeDocument/2006/relationships" xmlns:w="http://schemas.openxmlformats.org/wordprocessingml/2006/main">
  <w:divs>
    <w:div w:id="1824541341">
      <w:bodyDiv w:val="1"/>
      <w:marLeft w:val="0"/>
      <w:marRight w:val="0"/>
      <w:marTop w:val="0"/>
      <w:marBottom w:val="0"/>
      <w:divBdr>
        <w:top w:val="none" w:sz="0" w:space="0" w:color="auto"/>
        <w:left w:val="none" w:sz="0" w:space="0" w:color="auto"/>
        <w:bottom w:val="none" w:sz="0" w:space="0" w:color="auto"/>
        <w:right w:val="none" w:sz="0" w:space="0" w:color="auto"/>
      </w:divBdr>
      <w:divsChild>
        <w:div w:id="1378820069">
          <w:marLeft w:val="1166"/>
          <w:marRight w:val="0"/>
          <w:marTop w:val="115"/>
          <w:marBottom w:val="0"/>
          <w:divBdr>
            <w:top w:val="none" w:sz="0" w:space="0" w:color="auto"/>
            <w:left w:val="none" w:sz="0" w:space="0" w:color="auto"/>
            <w:bottom w:val="none" w:sz="0" w:space="0" w:color="auto"/>
            <w:right w:val="none" w:sz="0" w:space="0" w:color="auto"/>
          </w:divBdr>
        </w:div>
        <w:div w:id="755634097">
          <w:marLeft w:val="1166"/>
          <w:marRight w:val="0"/>
          <w:marTop w:val="115"/>
          <w:marBottom w:val="0"/>
          <w:divBdr>
            <w:top w:val="none" w:sz="0" w:space="0" w:color="auto"/>
            <w:left w:val="none" w:sz="0" w:space="0" w:color="auto"/>
            <w:bottom w:val="none" w:sz="0" w:space="0" w:color="auto"/>
            <w:right w:val="none" w:sz="0" w:space="0" w:color="auto"/>
          </w:divBdr>
        </w:div>
        <w:div w:id="141391338">
          <w:marLeft w:val="1166"/>
          <w:marRight w:val="0"/>
          <w:marTop w:val="115"/>
          <w:marBottom w:val="0"/>
          <w:divBdr>
            <w:top w:val="none" w:sz="0" w:space="0" w:color="auto"/>
            <w:left w:val="none" w:sz="0" w:space="0" w:color="auto"/>
            <w:bottom w:val="none" w:sz="0" w:space="0" w:color="auto"/>
            <w:right w:val="none" w:sz="0" w:space="0" w:color="auto"/>
          </w:divBdr>
        </w:div>
        <w:div w:id="1003624224">
          <w:marLeft w:val="1166"/>
          <w:marRight w:val="0"/>
          <w:marTop w:val="115"/>
          <w:marBottom w:val="0"/>
          <w:divBdr>
            <w:top w:val="none" w:sz="0" w:space="0" w:color="auto"/>
            <w:left w:val="none" w:sz="0" w:space="0" w:color="auto"/>
            <w:bottom w:val="none" w:sz="0" w:space="0" w:color="auto"/>
            <w:right w:val="none" w:sz="0" w:space="0" w:color="auto"/>
          </w:divBdr>
        </w:div>
        <w:div w:id="790633782">
          <w:marLeft w:val="1166"/>
          <w:marRight w:val="0"/>
          <w:marTop w:val="115"/>
          <w:marBottom w:val="0"/>
          <w:divBdr>
            <w:top w:val="none" w:sz="0" w:space="0" w:color="auto"/>
            <w:left w:val="none" w:sz="0" w:space="0" w:color="auto"/>
            <w:bottom w:val="none" w:sz="0" w:space="0" w:color="auto"/>
            <w:right w:val="none" w:sz="0" w:space="0" w:color="auto"/>
          </w:divBdr>
        </w:div>
        <w:div w:id="9308156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742</Words>
  <Characters>6014</Characters>
  <Application>Microsoft Office Word</Application>
  <DocSecurity>0</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Maustamo</Company>
  <LinksUpToDate>false</LinksUpToDate>
  <CharactersWithSpaces>6743</CharactersWithSpaces>
  <SharedDoc>false</SharedDoc>
  <HLinks>
    <vt:vector size="12" baseType="variant">
      <vt:variant>
        <vt:i4>6488091</vt:i4>
      </vt:variant>
      <vt:variant>
        <vt:i4>-1</vt:i4>
      </vt:variant>
      <vt:variant>
        <vt:i4>2049</vt:i4>
      </vt:variant>
      <vt:variant>
        <vt:i4>1</vt:i4>
      </vt:variant>
      <vt:variant>
        <vt:lpwstr>alapalkki</vt:lpwstr>
      </vt:variant>
      <vt:variant>
        <vt:lpwstr/>
      </vt:variant>
      <vt:variant>
        <vt:i4>3539025</vt:i4>
      </vt:variant>
      <vt:variant>
        <vt:i4>-1</vt:i4>
      </vt:variant>
      <vt:variant>
        <vt:i4>2050</vt:i4>
      </vt:variant>
      <vt:variant>
        <vt:i4>1</vt:i4>
      </vt:variant>
      <vt:variant>
        <vt:lpwstr>muistiliitto-logo-vaaka-RGB-pieni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Romero</dc:creator>
  <cp:lastModifiedBy>anna.tamminen</cp:lastModifiedBy>
  <cp:revision>6</cp:revision>
  <cp:lastPrinted>2009-02-18T09:25:00Z</cp:lastPrinted>
  <dcterms:created xsi:type="dcterms:W3CDTF">2011-04-07T07:15:00Z</dcterms:created>
  <dcterms:modified xsi:type="dcterms:W3CDTF">2011-04-07T11:59:00Z</dcterms:modified>
</cp:coreProperties>
</file>