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69094" w14:textId="172E31DB" w:rsidR="007A6DBB" w:rsidRPr="00D02A3A" w:rsidRDefault="00D95A49" w:rsidP="008C1617">
      <w:pPr>
        <w:pStyle w:val="VNNiminotsikko"/>
      </w:pPr>
      <w:r>
        <w:t xml:space="preserve">Keskipitkän aikavälin </w:t>
      </w:r>
      <w:r w:rsidR="22D77335">
        <w:t>ilmastosuunnitelma</w:t>
      </w:r>
    </w:p>
    <w:p w14:paraId="78F647A5" w14:textId="17DFDBC8" w:rsidR="00D02A3A" w:rsidRDefault="008A55B5" w:rsidP="00D95A49">
      <w:pPr>
        <w:pStyle w:val="VNTekijt"/>
      </w:pPr>
      <w:r w:rsidRPr="007D7A5D">
        <w:fldChar w:fldCharType="begin"/>
      </w:r>
      <w:r w:rsidRPr="007D7A5D">
        <w:instrText xml:space="preserve"> MACROBUTTON nomacro </w:instrText>
      </w:r>
      <w:r w:rsidR="00C52F8E" w:rsidRPr="007D5960">
        <w:instrText>Kirjoita t</w:instrText>
      </w:r>
      <w:r w:rsidRPr="007D5960">
        <w:instrText>ekijät, toimittaja tai tekijäorganisaatio</w:instrText>
      </w:r>
      <w:r w:rsidRPr="007D7A5D">
        <w:fldChar w:fldCharType="end"/>
      </w:r>
    </w:p>
    <w:p w14:paraId="3A00D90F" w14:textId="77777777" w:rsidR="00F15647" w:rsidRPr="00CE2F7F" w:rsidRDefault="00F15647" w:rsidP="00D95A49">
      <w:pPr>
        <w:pStyle w:val="VNTekijt"/>
        <w:sectPr w:rsidR="00F15647" w:rsidRPr="00CE2F7F" w:rsidSect="006A6400">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3289" w:left="2948" w:header="42" w:footer="2498" w:gutter="0"/>
          <w:cols w:space="708"/>
          <w:titlePg/>
          <w:docGrid w:linePitch="360"/>
        </w:sectPr>
      </w:pPr>
    </w:p>
    <w:p w14:paraId="3ED49F61" w14:textId="28A34814" w:rsidR="00550789" w:rsidRDefault="00566E2C" w:rsidP="00E27956">
      <w:r>
        <w:rPr>
          <w:noProof/>
        </w:rPr>
        <w:lastRenderedPageBreak/>
        <w:drawing>
          <wp:inline distT="0" distB="0" distL="0" distR="0" wp14:anchorId="0CA11108" wp14:editId="682196B7">
            <wp:extent cx="1445947" cy="1371606"/>
            <wp:effectExtent l="0" t="0" r="1905" b="0"/>
            <wp:docPr id="2" name="Kuva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TO_fi_sv.png"/>
                    <pic:cNvPicPr/>
                  </pic:nvPicPr>
                  <pic:blipFill>
                    <a:blip r:embed="rId18">
                      <a:extLst>
                        <a:ext uri="{28A0092B-C50C-407E-A947-70E740481C1C}">
                          <a14:useLocalDpi xmlns:a14="http://schemas.microsoft.com/office/drawing/2010/main" val="0"/>
                        </a:ext>
                      </a:extLst>
                    </a:blip>
                    <a:stretch>
                      <a:fillRect/>
                    </a:stretch>
                  </pic:blipFill>
                  <pic:spPr>
                    <a:xfrm>
                      <a:off x="0" y="0"/>
                      <a:ext cx="1445947" cy="1371606"/>
                    </a:xfrm>
                    <a:prstGeom prst="rect">
                      <a:avLst/>
                    </a:prstGeom>
                  </pic:spPr>
                </pic:pic>
              </a:graphicData>
            </a:graphic>
          </wp:inline>
        </w:drawing>
      </w:r>
    </w:p>
    <w:p w14:paraId="2CF8D2F7" w14:textId="2BD1BF43" w:rsidR="00F0547F" w:rsidRPr="00F750C5" w:rsidRDefault="00550789" w:rsidP="00D07A2A">
      <w:pPr>
        <w:pStyle w:val="VNcopy1"/>
        <w:rPr>
          <w:lang w:val="sv-SE"/>
        </w:rPr>
      </w:pPr>
      <w:r w:rsidRPr="00667D9D">
        <w:rPr>
          <w:noProof/>
        </w:rPr>
        <w:drawing>
          <wp:anchor distT="0" distB="0" distL="114300" distR="114300" simplePos="0" relativeHeight="251658240" behindDoc="1" locked="1" layoutInCell="1" allowOverlap="1" wp14:anchorId="4AEEE16B" wp14:editId="348F6134">
            <wp:simplePos x="0" y="0"/>
            <wp:positionH relativeFrom="page">
              <wp:posOffset>1078173</wp:posOffset>
            </wp:positionH>
            <wp:positionV relativeFrom="page">
              <wp:posOffset>3370997</wp:posOffset>
            </wp:positionV>
            <wp:extent cx="1447200" cy="1083600"/>
            <wp:effectExtent l="0" t="0" r="635" b="2540"/>
            <wp:wrapNone/>
            <wp:docPr id="4" name="Kuva 4">
              <a:hlinkClick xmlns:a="http://schemas.openxmlformats.org/drawingml/2006/main" r:id="rId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a:hlinkClick r:id="rId17"/>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1447200" cy="1083600"/>
                    </a:xfrm>
                    <a:prstGeom prst="rect">
                      <a:avLst/>
                    </a:prstGeom>
                  </pic:spPr>
                </pic:pic>
              </a:graphicData>
            </a:graphic>
            <wp14:sizeRelH relativeFrom="margin">
              <wp14:pctWidth>0</wp14:pctWidth>
            </wp14:sizeRelH>
            <wp14:sizeRelV relativeFrom="margin">
              <wp14:pctHeight>0</wp14:pctHeight>
            </wp14:sizeRelV>
          </wp:anchor>
        </w:drawing>
      </w:r>
      <w:r w:rsidR="0048741E" w:rsidRPr="007D7A5D">
        <w:fldChar w:fldCharType="begin"/>
      </w:r>
      <w:r w:rsidR="0048741E" w:rsidRPr="007D7A5D">
        <w:instrText xml:space="preserve"> MACROBUTTON nomacro </w:instrText>
      </w:r>
      <w:r w:rsidR="00667D9D" w:rsidRPr="00667D9D">
        <w:rPr>
          <w:color w:val="4293FF" w:themeColor="accent2"/>
        </w:rPr>
        <w:instrText>Tuplaklikkaa</w:instrText>
      </w:r>
      <w:r w:rsidR="00B65977" w:rsidRPr="00667D9D">
        <w:rPr>
          <w:color w:val="4293FF" w:themeColor="accent2"/>
        </w:rPr>
        <w:instrText xml:space="preserve"> ja kirjoita m</w:instrText>
      </w:r>
      <w:r w:rsidR="0048741E" w:rsidRPr="00667D9D">
        <w:rPr>
          <w:color w:val="4293FF" w:themeColor="accent2"/>
        </w:rPr>
        <w:instrText>inisteriö</w:instrText>
      </w:r>
      <w:r w:rsidR="0048741E" w:rsidRPr="007D7A5D">
        <w:fldChar w:fldCharType="end"/>
      </w:r>
    </w:p>
    <w:sdt>
      <w:sdtPr>
        <w:alias w:val="Valitse tekijänoikeustaso"/>
        <w:tag w:val="Valitse tekijänoikeustaso"/>
        <w:id w:val="-269244735"/>
        <w:placeholder>
          <w:docPart w:val="DefaultPlaceholder_-1854013439"/>
        </w:placeholder>
        <w:dropDownList>
          <w:listItem w:displayText="Klikkaa ja valitse tekijänoikeustaso" w:value="Klikkaa ja valitse tekijänoikeustaso"/>
          <w:listItem w:displayText="This publication is copyrighted. You may download, display and print it for Your own personal use. Commercial use is prohibited." w:value="This publication is copyrighted. You may download, display and print it for Your own personal use. Commercial use is prohibited."/>
          <w:listItem w:displayText="CC BY 4.0" w:value="CC BY 4.0"/>
          <w:listItem w:displayText="CC BY-SA 4.0" w:value="CC BY-SA 4.0"/>
          <w:listItem w:displayText="CC BY-NC 4.0" w:value="CC BY-NC 4.0"/>
          <w:listItem w:displayText="CC BY-ND 4.0" w:value="CC BY-ND 4.0"/>
          <w:listItem w:displayText="CC BY-NC-SA 4.0" w:value="CC BY-NC-SA 4.0"/>
          <w:listItem w:displayText="CC BY-NC-ND 4.0" w:value="CC BY-NC-ND 4.0"/>
          <w:listItem w:displayText="Tekijänoikeuslaki (404/1961) 9 § Tekijänoikeussuojaa vailla olevat teokset" w:value="Tekijänoikeuslaki (404/1961) 9 § Tekijänoikeussuojaa vailla olevat teokset"/>
          <w:listItem w:displayText="Upphovsrättslag (404/1961) 9 § Verk utan upphovsrättsskydd" w:value="Upphovsrättslag (404/1961) 9 § Verk utan upphovsrättsskydd"/>
          <w:listItem w:displayText="Copyright Act (404/1961) 9 § Works excluded from protection" w:value="Copyright Act (404/1961) 9 § Works excluded from protection"/>
        </w:dropDownList>
      </w:sdtPr>
      <w:sdtEndPr/>
      <w:sdtContent>
        <w:p w14:paraId="75FBF944" w14:textId="38DE2418" w:rsidR="008673D5" w:rsidRPr="00DB0694" w:rsidRDefault="00F454ED" w:rsidP="00D07A2A">
          <w:pPr>
            <w:pStyle w:val="VNCopyright"/>
          </w:pPr>
          <w:r>
            <w:t>Klikkaa ja valitse tekijänoikeustaso</w:t>
          </w:r>
        </w:p>
      </w:sdtContent>
    </w:sdt>
    <w:p w14:paraId="5E96945F" w14:textId="1FC60F80" w:rsidR="008673D5" w:rsidRPr="007D5960" w:rsidRDefault="005F13DE" w:rsidP="00D07A2A">
      <w:pPr>
        <w:pStyle w:val="VNCopyright2"/>
      </w:pPr>
      <w:r w:rsidRPr="005F13DE">
        <w:t>ISBN pdf:</w:t>
      </w:r>
      <w:r w:rsidR="008673D5" w:rsidRPr="007D5960">
        <w:t xml:space="preserve"> </w:t>
      </w:r>
      <w:r w:rsidR="00E27956" w:rsidRPr="007D7A5D">
        <w:fldChar w:fldCharType="begin"/>
      </w:r>
      <w:r w:rsidR="00E27956" w:rsidRPr="007D5960">
        <w:instrText xml:space="preserve"> MACROBUTTON nomacro </w:instrText>
      </w:r>
      <w:r w:rsidR="00E27956" w:rsidRPr="007D5960">
        <w:rPr>
          <w:color w:val="4293FF" w:themeColor="accent2"/>
        </w:rPr>
        <w:instrText>VNK täyttää</w:instrText>
      </w:r>
      <w:r w:rsidR="00E27956" w:rsidRPr="007D7A5D">
        <w:fldChar w:fldCharType="end"/>
      </w:r>
    </w:p>
    <w:p w14:paraId="51C6E54A" w14:textId="02BBFC7A" w:rsidR="008673D5" w:rsidRPr="007D5960" w:rsidRDefault="005F13DE" w:rsidP="00D07A2A">
      <w:pPr>
        <w:pStyle w:val="VNCopyright"/>
      </w:pPr>
      <w:r w:rsidRPr="005F13DE">
        <w:t>ISSN pdf:</w:t>
      </w:r>
      <w:r w:rsidR="008673D5" w:rsidRPr="007D5960">
        <w:t xml:space="preserve"> </w:t>
      </w:r>
      <w:r w:rsidR="00E27956" w:rsidRPr="007D7A5D">
        <w:fldChar w:fldCharType="begin"/>
      </w:r>
      <w:r w:rsidR="00E27956" w:rsidRPr="007D5960">
        <w:instrText xml:space="preserve"> MACROBUTTON nomacro </w:instrText>
      </w:r>
      <w:r w:rsidR="00E27956" w:rsidRPr="007D5960">
        <w:rPr>
          <w:color w:val="4293FF" w:themeColor="accent2"/>
        </w:rPr>
        <w:instrText>VNK täyttää</w:instrText>
      </w:r>
      <w:r w:rsidR="00E27956" w:rsidRPr="007D7A5D">
        <w:fldChar w:fldCharType="end"/>
      </w:r>
    </w:p>
    <w:p w14:paraId="56572D7C" w14:textId="697473B3" w:rsidR="008673D5" w:rsidRPr="005F13DE" w:rsidRDefault="005F13DE" w:rsidP="00D07A2A">
      <w:pPr>
        <w:pStyle w:val="VNCopyright2"/>
      </w:pPr>
      <w:r w:rsidRPr="005F13DE">
        <w:t>ISBN painettu:</w:t>
      </w:r>
      <w:r w:rsidR="008673D5" w:rsidRPr="005F13DE">
        <w:t xml:space="preserve"> </w:t>
      </w:r>
      <w:r w:rsidR="00E27956" w:rsidRPr="007D7A5D">
        <w:fldChar w:fldCharType="begin"/>
      </w:r>
      <w:r w:rsidR="00E27956" w:rsidRPr="005F13DE">
        <w:instrText xml:space="preserve"> MACROBUTTON nomacro </w:instrText>
      </w:r>
      <w:r w:rsidR="00E27956" w:rsidRPr="005F13DE">
        <w:rPr>
          <w:color w:val="4293FF" w:themeColor="accent2"/>
        </w:rPr>
        <w:instrText>VNK täyttää</w:instrText>
      </w:r>
      <w:r w:rsidR="00E27956" w:rsidRPr="007D7A5D">
        <w:fldChar w:fldCharType="end"/>
      </w:r>
    </w:p>
    <w:p w14:paraId="6978D393" w14:textId="49ADC697" w:rsidR="008673D5" w:rsidRPr="007D5960" w:rsidRDefault="005F13DE" w:rsidP="00D07A2A">
      <w:pPr>
        <w:pStyle w:val="VNCopyright"/>
      </w:pPr>
      <w:r w:rsidRPr="007D5960">
        <w:t>ISSN painettu:</w:t>
      </w:r>
      <w:r w:rsidR="008673D5" w:rsidRPr="007D5960">
        <w:t xml:space="preserve"> </w:t>
      </w:r>
      <w:r w:rsidR="00E27956" w:rsidRPr="007D7A5D">
        <w:fldChar w:fldCharType="begin"/>
      </w:r>
      <w:r w:rsidR="00E27956" w:rsidRPr="007D5960">
        <w:instrText xml:space="preserve"> MACROBUTTON nomacro </w:instrText>
      </w:r>
      <w:r w:rsidR="00E27956" w:rsidRPr="007D5960">
        <w:rPr>
          <w:color w:val="4293FF" w:themeColor="accent2"/>
        </w:rPr>
        <w:instrText>VNK täyttää</w:instrText>
      </w:r>
      <w:r w:rsidR="00E27956" w:rsidRPr="007D7A5D">
        <w:fldChar w:fldCharType="end"/>
      </w:r>
    </w:p>
    <w:p w14:paraId="284C5AAB" w14:textId="07F79967" w:rsidR="008673D5" w:rsidRDefault="008673D5" w:rsidP="00D07A2A">
      <w:pPr>
        <w:pStyle w:val="VNCopyright2"/>
      </w:pPr>
      <w:r>
        <w:t>Taitto</w:t>
      </w:r>
      <w:r w:rsidR="005F13DE">
        <w:t>:</w:t>
      </w:r>
      <w:r>
        <w:t xml:space="preserve"> Valtioneuvoston hallintoyksikkö, Julkaisutuotanto</w:t>
      </w:r>
    </w:p>
    <w:p w14:paraId="589B1582" w14:textId="07515405" w:rsidR="008673D5" w:rsidRPr="007D5960" w:rsidRDefault="008673D5" w:rsidP="28C090C9">
      <w:pPr>
        <w:pStyle w:val="VNCopyright2"/>
        <w:rPr>
          <w:color w:val="FF0000"/>
        </w:rPr>
      </w:pPr>
      <w:r>
        <w:t>Helsinki 202</w:t>
      </w:r>
      <w:r w:rsidR="644135F1">
        <w:t>5</w:t>
      </w:r>
      <w:r>
        <w:t xml:space="preserve"> Finland</w:t>
      </w:r>
    </w:p>
    <w:p w14:paraId="259ED341" w14:textId="526A226B" w:rsidR="00F750C5" w:rsidRPr="007D5960" w:rsidRDefault="008673D5" w:rsidP="00D07A2A">
      <w:pPr>
        <w:pStyle w:val="VNCopyright2"/>
      </w:pPr>
      <w:r w:rsidRPr="007D5960">
        <w:t>Paino</w:t>
      </w:r>
      <w:r w:rsidR="00F15647">
        <w:t>:</w:t>
      </w:r>
      <w:r w:rsidRPr="007D5960">
        <w:t xml:space="preserve"> </w:t>
      </w:r>
      <w:proofErr w:type="spellStart"/>
      <w:r w:rsidR="006F75F3">
        <w:t>Grano</w:t>
      </w:r>
      <w:proofErr w:type="spellEnd"/>
      <w:r w:rsidRPr="007D5960">
        <w:t xml:space="preserve"> Oy, </w:t>
      </w:r>
      <w:r>
        <w:t>202</w:t>
      </w:r>
      <w:r w:rsidR="1715C5EB">
        <w:t>5</w:t>
      </w:r>
    </w:p>
    <w:p w14:paraId="48FAA4A9" w14:textId="77777777" w:rsidR="00F750C5" w:rsidRPr="007D5960" w:rsidRDefault="00F750C5" w:rsidP="00F750C5">
      <w:pPr>
        <w:pStyle w:val="VNCopyright2"/>
        <w:sectPr w:rsidR="00F750C5" w:rsidRPr="007D5960" w:rsidSect="0026551B">
          <w:footerReference w:type="default" r:id="rId20"/>
          <w:headerReference w:type="first" r:id="rId21"/>
          <w:footerReference w:type="first" r:id="rId22"/>
          <w:pgSz w:w="11906" w:h="16838" w:code="9"/>
          <w:pgMar w:top="2835" w:right="1701" w:bottom="1701" w:left="1701" w:header="510" w:footer="879" w:gutter="0"/>
          <w:cols w:space="708"/>
          <w:titlePg/>
          <w:docGrid w:linePitch="360"/>
        </w:sectPr>
      </w:pPr>
    </w:p>
    <w:p w14:paraId="19736965" w14:textId="1C0DFE32" w:rsidR="00807375" w:rsidRDefault="00807375" w:rsidP="000153BA">
      <w:pPr>
        <w:pStyle w:val="VNkuvailulehtitop"/>
      </w:pPr>
      <w:r>
        <w:lastRenderedPageBreak/>
        <w:t>Kuvailulehti</w:t>
      </w:r>
    </w:p>
    <w:p w14:paraId="7B9EF445" w14:textId="6BAA136B" w:rsidR="00807375" w:rsidRPr="00F0547F" w:rsidRDefault="5A402DEC" w:rsidP="00F0547F">
      <w:pPr>
        <w:pStyle w:val="VNKuvailulehtipiv"/>
      </w:pPr>
      <w:r>
        <w:t>2</w:t>
      </w:r>
      <w:r w:rsidR="5BDD159A">
        <w:t>.</w:t>
      </w:r>
      <w:r w:rsidR="576C0ABF">
        <w:t>7</w:t>
      </w:r>
      <w:r w:rsidR="5BDD159A">
        <w:t>.202</w:t>
      </w:r>
      <w:r w:rsidR="397EA449">
        <w:t>5</w:t>
      </w:r>
    </w:p>
    <w:p w14:paraId="4C046293" w14:textId="6BF033BC" w:rsidR="00444978" w:rsidRDefault="00444978" w:rsidP="0005203A">
      <w:pPr>
        <w:pStyle w:val="VNKuvailulehtiotsikko"/>
      </w:pPr>
      <w:r>
        <w:fldChar w:fldCharType="begin"/>
      </w:r>
      <w:r>
        <w:instrText xml:space="preserve"> MACROBUTTON nomacro </w:instrText>
      </w:r>
      <w:r w:rsidR="00C52F8E">
        <w:rPr>
          <w:color w:val="4293FF" w:themeColor="accent2"/>
        </w:rPr>
        <w:instrText>Napsauta ja kirjoita j</w:instrText>
      </w:r>
      <w:r w:rsidRPr="009457CF">
        <w:rPr>
          <w:color w:val="4293FF" w:themeColor="accent2"/>
        </w:rPr>
        <w:instrText>ulkaisun otsikko</w:instrText>
      </w:r>
      <w:r>
        <w:instrText xml:space="preserve"> </w:instrText>
      </w:r>
      <w:r>
        <w:fldChar w:fldCharType="end"/>
      </w:r>
    </w:p>
    <w:p w14:paraId="101F31DE" w14:textId="55553F1D" w:rsidR="00E10644" w:rsidRDefault="00444978" w:rsidP="0005203A">
      <w:pPr>
        <w:pStyle w:val="VNKuvailulehtiotsikko"/>
      </w:pPr>
      <w:r>
        <w:fldChar w:fldCharType="begin"/>
      </w:r>
      <w:r>
        <w:instrText xml:space="preserve"> MACROBUTTON nomacro </w:instrText>
      </w:r>
      <w:r w:rsidR="00C52F8E">
        <w:rPr>
          <w:color w:val="4293FF" w:themeColor="accent2"/>
        </w:rPr>
        <w:instrText>Napsauta ja kirjoita j</w:instrText>
      </w:r>
      <w:r w:rsidRPr="007721D2">
        <w:rPr>
          <w:color w:val="4293FF" w:themeColor="accent2"/>
        </w:rPr>
        <w:instrText xml:space="preserve">ulkaisun </w:instrText>
      </w:r>
      <w:r>
        <w:rPr>
          <w:color w:val="4293FF" w:themeColor="accent2"/>
        </w:rPr>
        <w:instrText>ala</w:instrText>
      </w:r>
      <w:r w:rsidRPr="007721D2">
        <w:rPr>
          <w:color w:val="4293FF" w:themeColor="accent2"/>
        </w:rPr>
        <w:instrText xml:space="preserve">otsikko </w:instrText>
      </w:r>
      <w:r>
        <w:fldChar w:fldCharType="end"/>
      </w:r>
    </w:p>
    <w:tbl>
      <w:tblPr>
        <w:tblStyle w:val="Kuvailulehtiyl"/>
        <w:tblW w:w="8789" w:type="dxa"/>
        <w:tblLayout w:type="fixed"/>
        <w:tblLook w:val="04A0" w:firstRow="1" w:lastRow="0" w:firstColumn="1" w:lastColumn="0" w:noHBand="0" w:noVBand="1"/>
      </w:tblPr>
      <w:tblGrid>
        <w:gridCol w:w="1560"/>
        <w:gridCol w:w="3685"/>
        <w:gridCol w:w="1418"/>
        <w:gridCol w:w="2126"/>
      </w:tblGrid>
      <w:tr w:rsidR="00B77B99" w14:paraId="27531FFB" w14:textId="77777777" w:rsidTr="6BEE1B81">
        <w:trPr>
          <w:trHeight w:val="508"/>
        </w:trPr>
        <w:tc>
          <w:tcPr>
            <w:tcW w:w="5245" w:type="dxa"/>
            <w:gridSpan w:val="2"/>
          </w:tcPr>
          <w:p w14:paraId="61D49397" w14:textId="28659CB8" w:rsidR="00B77B99" w:rsidRDefault="00B77B99" w:rsidP="00BF053F">
            <w:pPr>
              <w:pStyle w:val="VNKuvailulehtiotsikkopalstabold"/>
            </w:pPr>
            <w:r>
              <w:fldChar w:fldCharType="begin"/>
            </w:r>
            <w:r>
              <w:instrText xml:space="preserve"> MACROBUTTON nomacro </w:instrText>
            </w:r>
            <w:r w:rsidRPr="00D442E3">
              <w:instrText>VNK täyttää, sarja ja numero</w:instrText>
            </w:r>
            <w:r>
              <w:instrText xml:space="preserve"> </w:instrText>
            </w:r>
            <w:r>
              <w:fldChar w:fldCharType="end"/>
            </w:r>
          </w:p>
        </w:tc>
        <w:tc>
          <w:tcPr>
            <w:tcW w:w="1418" w:type="dxa"/>
          </w:tcPr>
          <w:p w14:paraId="332EE6F1" w14:textId="6B8C5699" w:rsidR="00B77B99" w:rsidRPr="004710F6" w:rsidRDefault="00B77B99" w:rsidP="00BF053F">
            <w:pPr>
              <w:pStyle w:val="VNKuvailulehtiotsikkopalstabold"/>
            </w:pPr>
            <w:r w:rsidRPr="004710F6">
              <w:t>Teema</w:t>
            </w:r>
          </w:p>
        </w:tc>
        <w:tc>
          <w:tcPr>
            <w:tcW w:w="2126" w:type="dxa"/>
          </w:tcPr>
          <w:p w14:paraId="295E7249" w14:textId="38039296" w:rsidR="00B77B99" w:rsidRDefault="3C3616CC" w:rsidP="00BF053F">
            <w:pPr>
              <w:pStyle w:val="VNKuvailulehtitieto"/>
            </w:pPr>
            <w:r>
              <w:t>Ympäristönsuojelu</w:t>
            </w:r>
            <w:r w:rsidR="00B77B99">
              <w:fldChar w:fldCharType="begin"/>
            </w:r>
            <w:r w:rsidR="00B77B99">
              <w:instrText xml:space="preserve"> MACROBUTTON nomacro </w:instrText>
            </w:r>
            <w:r w:rsidR="00B77B99">
              <w:rPr>
                <w:color w:val="4293FF" w:themeColor="accent2"/>
              </w:rPr>
              <w:instrText>Napsauta ja kirjoita</w:instrText>
            </w:r>
            <w:r w:rsidR="00B77B99">
              <w:instrText xml:space="preserve"> </w:instrText>
            </w:r>
            <w:r w:rsidR="00B77B99">
              <w:fldChar w:fldCharType="end"/>
            </w:r>
          </w:p>
        </w:tc>
      </w:tr>
      <w:tr w:rsidR="00CD0430" w14:paraId="65B7E79F" w14:textId="77777777" w:rsidTr="6BEE1B81">
        <w:trPr>
          <w:trHeight w:val="575"/>
        </w:trPr>
        <w:tc>
          <w:tcPr>
            <w:tcW w:w="1560" w:type="dxa"/>
            <w:tcBorders>
              <w:bottom w:val="single" w:sz="6" w:space="0" w:color="000000" w:themeColor="text1"/>
            </w:tcBorders>
          </w:tcPr>
          <w:p w14:paraId="3AFEA245" w14:textId="4663A48C" w:rsidR="00A92B38" w:rsidRPr="004710F6" w:rsidRDefault="00B31DAC" w:rsidP="00BF053F">
            <w:pPr>
              <w:pStyle w:val="VNKuvailulehtiotsikkopalstabold"/>
              <w:rPr>
                <w:b w:val="0"/>
              </w:rPr>
            </w:pPr>
            <w:r>
              <w:t>Julkaisija</w:t>
            </w:r>
            <w:r w:rsidR="149CF2A0">
              <w:t xml:space="preserve"> </w:t>
            </w:r>
          </w:p>
        </w:tc>
        <w:tc>
          <w:tcPr>
            <w:tcW w:w="3685" w:type="dxa"/>
            <w:tcBorders>
              <w:bottom w:val="single" w:sz="6" w:space="0" w:color="000000" w:themeColor="text1"/>
            </w:tcBorders>
          </w:tcPr>
          <w:p w14:paraId="55A412D9" w14:textId="0887E19D" w:rsidR="00A92B38" w:rsidRDefault="149CF2A0" w:rsidP="00BF053F">
            <w:pPr>
              <w:pStyle w:val="VNKuvailulehtitieto"/>
            </w:pPr>
            <w:r>
              <w:t>Ympäristöministeriö</w:t>
            </w:r>
            <w:r w:rsidR="004710F6">
              <w:fldChar w:fldCharType="begin"/>
            </w:r>
            <w:r w:rsidR="004710F6">
              <w:instrText xml:space="preserve"> MACROBUTTON nomacro </w:instrText>
            </w:r>
            <w:r w:rsidR="00C52F8E">
              <w:instrText xml:space="preserve">Napsauta ja kirjoita </w:instrText>
            </w:r>
            <w:r w:rsidR="004710F6">
              <w:instrText>min</w:instrText>
            </w:r>
            <w:r w:rsidR="00063A0D">
              <w:instrText>i</w:instrText>
            </w:r>
            <w:r w:rsidR="004710F6">
              <w:instrText xml:space="preserve">steriö </w:instrText>
            </w:r>
            <w:r w:rsidR="004710F6">
              <w:fldChar w:fldCharType="end"/>
            </w:r>
          </w:p>
        </w:tc>
        <w:tc>
          <w:tcPr>
            <w:tcW w:w="1418" w:type="dxa"/>
            <w:tcBorders>
              <w:bottom w:val="single" w:sz="6" w:space="0" w:color="000000" w:themeColor="text1"/>
            </w:tcBorders>
          </w:tcPr>
          <w:p w14:paraId="1273EA3F" w14:textId="6B3227CA" w:rsidR="00A92B38" w:rsidRPr="007872D6" w:rsidRDefault="00A92B38" w:rsidP="00BF053F">
            <w:pPr>
              <w:pStyle w:val="VNKuvailulehtiotsikkopalstabold"/>
            </w:pPr>
          </w:p>
        </w:tc>
        <w:tc>
          <w:tcPr>
            <w:tcW w:w="2126" w:type="dxa"/>
            <w:tcBorders>
              <w:bottom w:val="single" w:sz="6" w:space="0" w:color="000000" w:themeColor="text1"/>
            </w:tcBorders>
          </w:tcPr>
          <w:p w14:paraId="03EE3D72" w14:textId="26461F79" w:rsidR="00A92B38" w:rsidRDefault="00A92B38" w:rsidP="00BF053F">
            <w:pPr>
              <w:pStyle w:val="VNKuvailulehtitieto"/>
            </w:pPr>
          </w:p>
        </w:tc>
      </w:tr>
      <w:tr w:rsidR="00164111" w14:paraId="39D3C24C" w14:textId="77777777" w:rsidTr="6BEE1B81">
        <w:trPr>
          <w:trHeight w:val="270"/>
        </w:trPr>
        <w:tc>
          <w:tcPr>
            <w:tcW w:w="1560" w:type="dxa"/>
            <w:tcBorders>
              <w:top w:val="single" w:sz="6" w:space="0" w:color="000000" w:themeColor="text1"/>
            </w:tcBorders>
          </w:tcPr>
          <w:p w14:paraId="45A82FB9" w14:textId="544EBDE8" w:rsidR="00164111" w:rsidRPr="004710F6" w:rsidRDefault="00164111" w:rsidP="00BF053F">
            <w:pPr>
              <w:pStyle w:val="VNKuvailulehtiotsikkopalstabold"/>
            </w:pPr>
            <w:r>
              <w:t>Tekijä</w:t>
            </w:r>
            <w:r w:rsidR="00896866">
              <w:t>/</w:t>
            </w:r>
            <w:r>
              <w:t>t</w:t>
            </w:r>
          </w:p>
        </w:tc>
        <w:tc>
          <w:tcPr>
            <w:tcW w:w="7229" w:type="dxa"/>
            <w:gridSpan w:val="3"/>
            <w:tcBorders>
              <w:top w:val="single" w:sz="6" w:space="0" w:color="000000" w:themeColor="text1"/>
            </w:tcBorders>
          </w:tcPr>
          <w:p w14:paraId="0D921F9F" w14:textId="45398532" w:rsidR="00164111" w:rsidRDefault="00164111" w:rsidP="00BF053F">
            <w:pPr>
              <w:pStyle w:val="VNKuvailulehtitieto"/>
            </w:pPr>
            <w:r>
              <w:fldChar w:fldCharType="begin"/>
            </w:r>
            <w:r>
              <w:instrText xml:space="preserve"> MACROBUTTON nomacro </w:instrText>
            </w:r>
            <w:r w:rsidR="00B65977">
              <w:rPr>
                <w:color w:val="4293FF" w:themeColor="accent2"/>
              </w:rPr>
              <w:instrText>Napsauta ja kirjoita</w:instrText>
            </w:r>
            <w:r>
              <w:instrText xml:space="preserve"> </w:instrText>
            </w:r>
            <w:r>
              <w:fldChar w:fldCharType="end"/>
            </w:r>
          </w:p>
        </w:tc>
      </w:tr>
      <w:tr w:rsidR="00164111" w14:paraId="44F8A211" w14:textId="77777777" w:rsidTr="6BEE1B81">
        <w:trPr>
          <w:trHeight w:val="61"/>
        </w:trPr>
        <w:tc>
          <w:tcPr>
            <w:tcW w:w="1560" w:type="dxa"/>
          </w:tcPr>
          <w:p w14:paraId="67114764" w14:textId="6BD85D5F" w:rsidR="00164111" w:rsidRPr="004710F6" w:rsidRDefault="00164111" w:rsidP="00BF053F">
            <w:pPr>
              <w:pStyle w:val="VNKuvailulehtiotsikkopalstabold"/>
            </w:pPr>
            <w:r>
              <w:t>Toimittaja</w:t>
            </w:r>
            <w:r w:rsidR="00896866">
              <w:t>/</w:t>
            </w:r>
            <w:r>
              <w:t>t</w:t>
            </w:r>
          </w:p>
        </w:tc>
        <w:tc>
          <w:tcPr>
            <w:tcW w:w="7229" w:type="dxa"/>
            <w:gridSpan w:val="3"/>
          </w:tcPr>
          <w:p w14:paraId="1A9E4638" w14:textId="58551252" w:rsidR="00164111" w:rsidRDefault="00164111" w:rsidP="00BF053F">
            <w:pPr>
              <w:pStyle w:val="VNKuvailulehtitieto"/>
            </w:pPr>
            <w:r>
              <w:fldChar w:fldCharType="begin"/>
            </w:r>
            <w:r>
              <w:instrText xml:space="preserve"> MACROBUTTON nomacro</w:instrText>
            </w:r>
            <w:r>
              <w:rPr>
                <w:color w:val="4293FF" w:themeColor="accent2"/>
              </w:rPr>
              <w:instrText xml:space="preserve"> </w:instrText>
            </w:r>
            <w:r w:rsidR="00B65977">
              <w:rPr>
                <w:color w:val="4293FF" w:themeColor="accent2"/>
              </w:rPr>
              <w:instrText>Napsauta ja kirjoita</w:instrText>
            </w:r>
            <w:r>
              <w:instrText xml:space="preserve"> </w:instrText>
            </w:r>
            <w:r>
              <w:fldChar w:fldCharType="end"/>
            </w:r>
          </w:p>
        </w:tc>
      </w:tr>
      <w:tr w:rsidR="00164111" w:rsidRPr="00F0547F" w14:paraId="579377E1" w14:textId="77777777" w:rsidTr="6BEE1B81">
        <w:trPr>
          <w:trHeight w:val="61"/>
        </w:trPr>
        <w:tc>
          <w:tcPr>
            <w:tcW w:w="1560" w:type="dxa"/>
          </w:tcPr>
          <w:p w14:paraId="1F0A9826" w14:textId="2BDD3BE8" w:rsidR="00164111" w:rsidRPr="004710F6" w:rsidRDefault="00164111" w:rsidP="00BF053F">
            <w:pPr>
              <w:pStyle w:val="VNKuvailulehtiotsikkopalstabold"/>
            </w:pPr>
            <w:r>
              <w:t>Yhteisötekijä</w:t>
            </w:r>
          </w:p>
        </w:tc>
        <w:tc>
          <w:tcPr>
            <w:tcW w:w="7229" w:type="dxa"/>
            <w:gridSpan w:val="3"/>
          </w:tcPr>
          <w:p w14:paraId="5782FF92" w14:textId="7A8D7071" w:rsidR="00164111" w:rsidRDefault="00164111" w:rsidP="00BF053F">
            <w:pPr>
              <w:pStyle w:val="VNKuvailulehtitieto"/>
            </w:pPr>
            <w:r>
              <w:fldChar w:fldCharType="begin"/>
            </w:r>
            <w:r>
              <w:instrText xml:space="preserve"> MACROBUTTON nomacro</w:instrText>
            </w:r>
            <w:r>
              <w:rPr>
                <w:color w:val="4293FF" w:themeColor="accent2"/>
              </w:rPr>
              <w:instrText xml:space="preserve"> </w:instrText>
            </w:r>
            <w:r w:rsidR="00B65977">
              <w:rPr>
                <w:color w:val="4293FF" w:themeColor="accent2"/>
              </w:rPr>
              <w:instrText>Napsauta ja kirjoita</w:instrText>
            </w:r>
            <w:r>
              <w:instrText xml:space="preserve"> </w:instrText>
            </w:r>
            <w:r>
              <w:fldChar w:fldCharType="end"/>
            </w:r>
          </w:p>
        </w:tc>
      </w:tr>
      <w:tr w:rsidR="00164111" w14:paraId="1629EC82" w14:textId="77777777" w:rsidTr="6BEE1B81">
        <w:trPr>
          <w:trHeight w:val="456"/>
        </w:trPr>
        <w:tc>
          <w:tcPr>
            <w:tcW w:w="1560" w:type="dxa"/>
            <w:tcBorders>
              <w:bottom w:val="single" w:sz="4" w:space="0" w:color="auto"/>
            </w:tcBorders>
          </w:tcPr>
          <w:p w14:paraId="3C45CAD7" w14:textId="238005C8" w:rsidR="00164111" w:rsidRPr="004710F6" w:rsidRDefault="00164111" w:rsidP="00BF053F">
            <w:pPr>
              <w:pStyle w:val="VNKuvailulehtiotsikkopalstabold"/>
            </w:pPr>
            <w:r>
              <w:t>Kieli</w:t>
            </w:r>
          </w:p>
        </w:tc>
        <w:tc>
          <w:tcPr>
            <w:tcW w:w="3685" w:type="dxa"/>
            <w:tcBorders>
              <w:bottom w:val="single" w:sz="4" w:space="0" w:color="auto"/>
            </w:tcBorders>
          </w:tcPr>
          <w:p w14:paraId="5C8378D0" w14:textId="02926D74" w:rsidR="00164111" w:rsidRDefault="00164111" w:rsidP="00BF053F">
            <w:pPr>
              <w:pStyle w:val="VNKuvailulehtitieto"/>
            </w:pPr>
            <w:r>
              <w:fldChar w:fldCharType="begin"/>
            </w:r>
            <w:r>
              <w:instrText xml:space="preserve"> MACROBUTTON nomacro </w:instrText>
            </w:r>
            <w:r w:rsidR="00B65977">
              <w:rPr>
                <w:color w:val="4293FF" w:themeColor="accent2"/>
              </w:rPr>
              <w:instrText>Napsauta ja kirjoita</w:instrText>
            </w:r>
            <w:r>
              <w:instrText xml:space="preserve"> </w:instrText>
            </w:r>
            <w:r>
              <w:fldChar w:fldCharType="end"/>
            </w:r>
          </w:p>
        </w:tc>
        <w:tc>
          <w:tcPr>
            <w:tcW w:w="1418" w:type="dxa"/>
            <w:tcBorders>
              <w:bottom w:val="single" w:sz="4" w:space="0" w:color="auto"/>
            </w:tcBorders>
          </w:tcPr>
          <w:p w14:paraId="3ABEB42E" w14:textId="502A92C9" w:rsidR="00164111" w:rsidRPr="007872D6" w:rsidRDefault="00112267" w:rsidP="00BF053F">
            <w:pPr>
              <w:pStyle w:val="VNKuvailulehtiotsikkopalstabold"/>
            </w:pPr>
            <w:r>
              <w:t>Sivumäärä</w:t>
            </w:r>
          </w:p>
        </w:tc>
        <w:tc>
          <w:tcPr>
            <w:tcW w:w="2126" w:type="dxa"/>
            <w:tcBorders>
              <w:bottom w:val="single" w:sz="4" w:space="0" w:color="auto"/>
            </w:tcBorders>
          </w:tcPr>
          <w:p w14:paraId="411322C6" w14:textId="12DCF63B" w:rsidR="00164111" w:rsidRDefault="00164111" w:rsidP="00BF053F">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r>
      <w:tr w:rsidR="00B77AA4" w14:paraId="63EFF3F4" w14:textId="77777777" w:rsidTr="6BEE1B81">
        <w:trPr>
          <w:trHeight w:val="5329"/>
        </w:trPr>
        <w:tc>
          <w:tcPr>
            <w:tcW w:w="1560" w:type="dxa"/>
            <w:tcBorders>
              <w:top w:val="single" w:sz="4" w:space="0" w:color="auto"/>
              <w:bottom w:val="nil"/>
            </w:tcBorders>
          </w:tcPr>
          <w:p w14:paraId="249D31E1" w14:textId="78FCE38F" w:rsidR="00B77AA4" w:rsidRPr="00B77AA4" w:rsidRDefault="00B77AA4" w:rsidP="007D256A">
            <w:pPr>
              <w:pStyle w:val="VNKuvailulehtiotsikkopalstabold"/>
            </w:pPr>
            <w:r w:rsidRPr="007D256A">
              <w:t>Tiivistelmä</w:t>
            </w:r>
          </w:p>
          <w:p w14:paraId="045C7C4F" w14:textId="1B1AF0B9" w:rsidR="00B77AA4" w:rsidRPr="00B77AA4" w:rsidRDefault="00B77AA4" w:rsidP="007D256A">
            <w:pPr>
              <w:pStyle w:val="VNKuvailulehtiotsikkopalstabold"/>
            </w:pPr>
          </w:p>
        </w:tc>
        <w:tc>
          <w:tcPr>
            <w:tcW w:w="7229" w:type="dxa"/>
            <w:gridSpan w:val="3"/>
            <w:tcBorders>
              <w:top w:val="single" w:sz="4" w:space="0" w:color="auto"/>
              <w:bottom w:val="nil"/>
            </w:tcBorders>
          </w:tcPr>
          <w:p w14:paraId="7A3E5C9B" w14:textId="57743A7C" w:rsidR="00B77AA4" w:rsidRPr="00E90654" w:rsidRDefault="00B77AA4" w:rsidP="56E91F5D">
            <w:pPr>
              <w:pStyle w:val="VNKuvailulehtieityhjvli"/>
            </w:pPr>
          </w:p>
          <w:p w14:paraId="252010C5" w14:textId="6E6023FA" w:rsidR="00B77AA4" w:rsidRPr="00372A43" w:rsidRDefault="1DE8E2B5" w:rsidP="00F750C5">
            <w:pPr>
              <w:pStyle w:val="VNKuvailulehtieityhjvli"/>
            </w:pPr>
            <w:r>
              <w:t xml:space="preserve">Keskipitkän aikavälin ilmastosuunnitelman laatimisesta on säädetty ilmastolaissa. </w:t>
            </w:r>
            <w:r w:rsidR="03F26D6F">
              <w:t xml:space="preserve">Suunnitelma koskee ns. taakanjakosektorin päästöjä ja niiden </w:t>
            </w:r>
            <w:r w:rsidR="76719F82">
              <w:t>vähentämistä</w:t>
            </w:r>
            <w:r w:rsidR="03F26D6F">
              <w:t xml:space="preserve">. Taakanjakosektorille kuuluvat liikenteen, maatalouden, rakennusten erillislämmityksen, työkoneiden, jätteiden käsittelyn, jätteenpolton, F-kaasujen sekä päästökaupan </w:t>
            </w:r>
            <w:r w:rsidR="6801880F">
              <w:t>ulkopuol</w:t>
            </w:r>
            <w:r w:rsidR="6AD6B7BB">
              <w:t>iset</w:t>
            </w:r>
            <w:r w:rsidR="03F26D6F">
              <w:t xml:space="preserve"> teollisuuden päästöt.</w:t>
            </w:r>
          </w:p>
          <w:p w14:paraId="1B0ED6D4" w14:textId="31804694" w:rsidR="16FD37DE" w:rsidRDefault="507DD521" w:rsidP="16FD37DE">
            <w:pPr>
              <w:pStyle w:val="VNKuvailulehtieityhjvli"/>
            </w:pPr>
            <w:r>
              <w:t>Järjestyksessä kolmannen keskipitkän a</w:t>
            </w:r>
            <w:r w:rsidR="793E4A9E">
              <w:t xml:space="preserve">ikavälin ilmastosuunnitelman keskeiset lähtökohdat ovat EU:n </w:t>
            </w:r>
            <w:r w:rsidR="205D6310">
              <w:t>ilmastolainsäädännön</w:t>
            </w:r>
            <w:r w:rsidR="793E4A9E">
              <w:t xml:space="preserve"> </w:t>
            </w:r>
            <w:r w:rsidR="6C90DF60">
              <w:t>m</w:t>
            </w:r>
            <w:r w:rsidR="793E4A9E">
              <w:t xml:space="preserve">ukainen päästövähennysvelvoite vuodelle 2030 sekä Petteri </w:t>
            </w:r>
            <w:proofErr w:type="spellStart"/>
            <w:r w:rsidR="793E4A9E">
              <w:t>Orpon</w:t>
            </w:r>
            <w:proofErr w:type="spellEnd"/>
            <w:r w:rsidR="793E4A9E">
              <w:t xml:space="preserve"> hallitusohje</w:t>
            </w:r>
            <w:r w:rsidR="62EB24B1">
              <w:t>l</w:t>
            </w:r>
            <w:r w:rsidR="793E4A9E">
              <w:t xml:space="preserve">man </w:t>
            </w:r>
            <w:r w:rsidR="4F52C3A1">
              <w:t xml:space="preserve">ilmastopolitiikan linjaukset. </w:t>
            </w:r>
            <w:r w:rsidR="35DF16E8">
              <w:t>Suome</w:t>
            </w:r>
            <w:r w:rsidR="6036B6EE">
              <w:t>n</w:t>
            </w:r>
            <w:r w:rsidR="35DF16E8">
              <w:t xml:space="preserve"> </w:t>
            </w:r>
            <w:r w:rsidR="3ECC83F1">
              <w:t>EU:n lainsäädännön mukainen</w:t>
            </w:r>
            <w:r w:rsidR="35DF16E8">
              <w:t xml:space="preserve"> päästövähennysvelvoite taakanjakosektorille on päästöjen puolittaminen vuoteen 2030 mennessä verrattuna vuoden 2005 päästötasoon. </w:t>
            </w:r>
            <w:r w:rsidR="11D2A54A">
              <w:t>Taakanj</w:t>
            </w:r>
            <w:r w:rsidR="0BC96B92">
              <w:t>a</w:t>
            </w:r>
            <w:r w:rsidR="11D2A54A">
              <w:t>kosektorin päästöjä koskevat myös ilmastolain tavoitteet, kuten vuoden 2030 päästövähennystavoite</w:t>
            </w:r>
            <w:r w:rsidR="456F6301">
              <w:t xml:space="preserve"> sekä vuoden 203</w:t>
            </w:r>
            <w:r w:rsidR="7F59B562">
              <w:t>5</w:t>
            </w:r>
            <w:r w:rsidR="456F6301">
              <w:t xml:space="preserve"> hiilineutraaliustavoite. </w:t>
            </w:r>
            <w:r w:rsidR="3E15D7A3">
              <w:t xml:space="preserve">Näiden velvoitteiden ja tavoitteiden saavuttamiseksi tarvitaan uusia päästövähennystoimia. Keskipitkän aikavälin ilmastosuunnitelmassa esitetään </w:t>
            </w:r>
            <w:r w:rsidR="487D61C0">
              <w:t xml:space="preserve">toimenpidekokonaisuus, joka </w:t>
            </w:r>
            <w:r w:rsidR="0CFFE2EC" w:rsidRPr="432EDF5D">
              <w:rPr>
                <w:rFonts w:eastAsia="Aptos"/>
              </w:rPr>
              <w:t>koostuu sekä sektorikohtaisista lisätoimista että poikkileikkaavista ratkaisuista</w:t>
            </w:r>
            <w:r w:rsidR="7B240E69" w:rsidRPr="432EDF5D">
              <w:rPr>
                <w:rFonts w:eastAsia="Aptos"/>
              </w:rPr>
              <w:t>.</w:t>
            </w:r>
          </w:p>
          <w:p w14:paraId="3D3841D3" w14:textId="6461161C" w:rsidR="16FD37DE" w:rsidRDefault="7C34AE61" w:rsidP="16FD37DE">
            <w:pPr>
              <w:pStyle w:val="VNKuvailulehtieityhjvli"/>
            </w:pPr>
            <w:r>
              <w:t xml:space="preserve">Suunnitelman laatimisessa on hyödynnetty </w:t>
            </w:r>
            <w:r w:rsidR="1F63E400">
              <w:t>laajaa</w:t>
            </w:r>
            <w:r>
              <w:t xml:space="preserve"> tietopohjaa, johon sisältyy </w:t>
            </w:r>
            <w:r w:rsidR="17E11205">
              <w:t xml:space="preserve">tilastoja </w:t>
            </w:r>
            <w:r w:rsidR="6FA1540F">
              <w:t>ja</w:t>
            </w:r>
            <w:r>
              <w:t xml:space="preserve"> </w:t>
            </w:r>
            <w:r w:rsidR="1E1AA181">
              <w:t xml:space="preserve">skenaariolaskelmia tulevasta kehityksestä. </w:t>
            </w:r>
            <w:r w:rsidR="7C070903">
              <w:t xml:space="preserve"> </w:t>
            </w:r>
            <w:r w:rsidR="76080B61">
              <w:t>L</w:t>
            </w:r>
            <w:r w:rsidR="7C070903">
              <w:t>isäksi</w:t>
            </w:r>
            <w:r w:rsidR="69F6A526">
              <w:t xml:space="preserve"> on käsitelty </w:t>
            </w:r>
            <w:r w:rsidR="3FCDC008">
              <w:t>poikki</w:t>
            </w:r>
            <w:r w:rsidR="6F703DA0">
              <w:t>leik</w:t>
            </w:r>
            <w:r w:rsidR="1CDD3F82">
              <w:t>k</w:t>
            </w:r>
            <w:r w:rsidR="6F703DA0">
              <w:t>aavia</w:t>
            </w:r>
            <w:r w:rsidR="3FCDC008">
              <w:t xml:space="preserve"> t</w:t>
            </w:r>
            <w:r w:rsidR="0096136A">
              <w:t>eem</w:t>
            </w:r>
            <w:r w:rsidR="3FCDC008">
              <w:t>oj</w:t>
            </w:r>
            <w:r w:rsidR="7976167C">
              <w:t xml:space="preserve">a, kuten paikallista ilmastotyötä sekä kulutuksen merkitystä. </w:t>
            </w:r>
          </w:p>
          <w:p w14:paraId="27D6510C" w14:textId="0776E03A" w:rsidR="00B77AA4" w:rsidRPr="00372A43" w:rsidRDefault="00B77AA4" w:rsidP="00F750C5">
            <w:pPr>
              <w:pStyle w:val="VNKuvailulehtieityhjvli"/>
            </w:pPr>
          </w:p>
        </w:tc>
      </w:tr>
      <w:tr w:rsidR="00F81AFC" w14:paraId="7C8C15E4" w14:textId="77777777" w:rsidTr="6BEE1B81">
        <w:trPr>
          <w:trHeight w:val="439"/>
        </w:trPr>
        <w:tc>
          <w:tcPr>
            <w:tcW w:w="1560" w:type="dxa"/>
            <w:tcBorders>
              <w:top w:val="nil"/>
            </w:tcBorders>
          </w:tcPr>
          <w:p w14:paraId="5DBD753D" w14:textId="23555F86" w:rsidR="00F81AFC" w:rsidRPr="004710F6" w:rsidRDefault="00F81AFC" w:rsidP="00BF053F">
            <w:pPr>
              <w:pStyle w:val="VNKuvailulehtiotsikkopalstabold"/>
            </w:pPr>
            <w:r>
              <w:t>Klausuuli</w:t>
            </w:r>
          </w:p>
        </w:tc>
        <w:tc>
          <w:tcPr>
            <w:tcW w:w="7229" w:type="dxa"/>
            <w:gridSpan w:val="3"/>
            <w:tcBorders>
              <w:top w:val="nil"/>
            </w:tcBorders>
          </w:tcPr>
          <w:p w14:paraId="484790D5" w14:textId="70E3F50B" w:rsidR="00F81AFC" w:rsidRDefault="00F81AFC" w:rsidP="00BF053F">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r>
      <w:tr w:rsidR="00F81AFC" w14:paraId="70571763" w14:textId="77777777" w:rsidTr="6BEE1B81">
        <w:trPr>
          <w:trHeight w:val="450"/>
        </w:trPr>
        <w:tc>
          <w:tcPr>
            <w:tcW w:w="1560" w:type="dxa"/>
            <w:tcBorders>
              <w:bottom w:val="single" w:sz="6" w:space="0" w:color="000000" w:themeColor="text1"/>
            </w:tcBorders>
          </w:tcPr>
          <w:p w14:paraId="2530B5DB" w14:textId="7D038A9A" w:rsidR="00F81AFC" w:rsidRPr="004710F6" w:rsidRDefault="00F81AFC" w:rsidP="007D256A">
            <w:pPr>
              <w:pStyle w:val="VNKuvailulehtiotsikkopalstabold"/>
            </w:pPr>
            <w:r>
              <w:t>Asiasanat</w:t>
            </w:r>
          </w:p>
        </w:tc>
        <w:tc>
          <w:tcPr>
            <w:tcW w:w="7229" w:type="dxa"/>
            <w:gridSpan w:val="3"/>
            <w:tcBorders>
              <w:bottom w:val="single" w:sz="6" w:space="0" w:color="000000" w:themeColor="text1"/>
            </w:tcBorders>
          </w:tcPr>
          <w:p w14:paraId="58BD46EF" w14:textId="7BF33D55" w:rsidR="00F81AFC" w:rsidRPr="007D256A" w:rsidRDefault="00F81AFC" w:rsidP="007D256A">
            <w:pPr>
              <w:pStyle w:val="VNKuvailulehtitieto"/>
            </w:pPr>
            <w:r>
              <w:fldChar w:fldCharType="begin"/>
            </w:r>
            <w:r>
              <w:instrText xml:space="preserve"> MACROBUTTON nomacro</w:instrText>
            </w:r>
            <w:r>
              <w:rPr>
                <w:color w:val="4293FF" w:themeColor="accent2"/>
              </w:rPr>
              <w:instrText xml:space="preserve"> </w:instrText>
            </w:r>
            <w:r w:rsidR="00B65977">
              <w:rPr>
                <w:color w:val="4293FF" w:themeColor="accent2"/>
              </w:rPr>
              <w:instrText>Napsauta ja kirjoita</w:instrText>
            </w:r>
            <w:r>
              <w:instrText xml:space="preserve"> </w:instrText>
            </w:r>
            <w:r>
              <w:fldChar w:fldCharType="end"/>
            </w:r>
            <w:hyperlink r:id="rId23" w:history="1">
              <w:r w:rsidR="00C04269" w:rsidRPr="00C04269">
                <w:rPr>
                  <w:rStyle w:val="Hyperlinkki"/>
                </w:rPr>
                <w:t>https://finto.fi/juho/fi/</w:t>
              </w:r>
            </w:hyperlink>
          </w:p>
        </w:tc>
      </w:tr>
      <w:tr w:rsidR="00F81AFC" w14:paraId="17A714CE" w14:textId="77777777" w:rsidTr="6BEE1B81">
        <w:trPr>
          <w:trHeight w:val="421"/>
        </w:trPr>
        <w:tc>
          <w:tcPr>
            <w:tcW w:w="1560" w:type="dxa"/>
          </w:tcPr>
          <w:p w14:paraId="3A33F41B" w14:textId="3A9CB865" w:rsidR="00F81AFC" w:rsidRPr="004710F6" w:rsidRDefault="009D2A8D" w:rsidP="007D256A">
            <w:pPr>
              <w:pStyle w:val="VNKuvailulehtiotsikkopalstabold"/>
            </w:pPr>
            <w:r>
              <w:t>ISBN PDF</w:t>
            </w:r>
          </w:p>
        </w:tc>
        <w:tc>
          <w:tcPr>
            <w:tcW w:w="3685" w:type="dxa"/>
          </w:tcPr>
          <w:p w14:paraId="7628812E" w14:textId="7D281793" w:rsidR="00F81AFC" w:rsidRDefault="00F81AFC"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c>
          <w:tcPr>
            <w:tcW w:w="1418" w:type="dxa"/>
          </w:tcPr>
          <w:p w14:paraId="0AF0A598" w14:textId="1D44AF52" w:rsidR="00F81AFC" w:rsidRPr="007872D6" w:rsidRDefault="009D2A8D" w:rsidP="007D256A">
            <w:pPr>
              <w:pStyle w:val="VNKuvailulehtiotsikkopalstabold"/>
            </w:pPr>
            <w:r>
              <w:t>ISSN PDF</w:t>
            </w:r>
          </w:p>
        </w:tc>
        <w:tc>
          <w:tcPr>
            <w:tcW w:w="2126" w:type="dxa"/>
          </w:tcPr>
          <w:p w14:paraId="4D0D70A4" w14:textId="3CF2AA77" w:rsidR="00F81AFC" w:rsidRDefault="009D2A8D"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r>
      <w:tr w:rsidR="009D2A8D" w14:paraId="50E0A21F" w14:textId="77777777" w:rsidTr="6BEE1B81">
        <w:trPr>
          <w:trHeight w:val="56"/>
        </w:trPr>
        <w:tc>
          <w:tcPr>
            <w:tcW w:w="1560" w:type="dxa"/>
          </w:tcPr>
          <w:p w14:paraId="26ACA50B" w14:textId="6F06A518" w:rsidR="009D2A8D" w:rsidRDefault="009D2A8D" w:rsidP="007D256A">
            <w:pPr>
              <w:pStyle w:val="VNKuvailulehtiotsikkopalstabold"/>
            </w:pPr>
            <w:r>
              <w:t>ISBN nid.</w:t>
            </w:r>
          </w:p>
        </w:tc>
        <w:tc>
          <w:tcPr>
            <w:tcW w:w="3685" w:type="dxa"/>
          </w:tcPr>
          <w:p w14:paraId="48445423" w14:textId="72C867E8" w:rsidR="009D2A8D" w:rsidRDefault="009D2A8D"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c>
          <w:tcPr>
            <w:tcW w:w="1418" w:type="dxa"/>
          </w:tcPr>
          <w:p w14:paraId="005CA4F3" w14:textId="7920945F" w:rsidR="009D2A8D" w:rsidRDefault="009D2A8D" w:rsidP="007D256A">
            <w:pPr>
              <w:pStyle w:val="VNKuvailulehtiotsikkopalstabold"/>
            </w:pPr>
            <w:r>
              <w:t xml:space="preserve">ISSN </w:t>
            </w:r>
            <w:r w:rsidR="00B31DAC">
              <w:t>painettu</w:t>
            </w:r>
          </w:p>
        </w:tc>
        <w:tc>
          <w:tcPr>
            <w:tcW w:w="2126" w:type="dxa"/>
          </w:tcPr>
          <w:p w14:paraId="7D30B6C5" w14:textId="6ECF390A" w:rsidR="009D2A8D" w:rsidRDefault="009D2A8D"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r>
      <w:tr w:rsidR="009D2A8D" w14:paraId="1DA99F21" w14:textId="77777777" w:rsidTr="6BEE1B81">
        <w:trPr>
          <w:trHeight w:val="519"/>
        </w:trPr>
        <w:tc>
          <w:tcPr>
            <w:tcW w:w="1560" w:type="dxa"/>
            <w:tcBorders>
              <w:bottom w:val="single" w:sz="4" w:space="0" w:color="auto"/>
            </w:tcBorders>
          </w:tcPr>
          <w:p w14:paraId="50F6DCCF" w14:textId="11B103DF" w:rsidR="009D2A8D" w:rsidRDefault="009D2A8D" w:rsidP="007D256A">
            <w:pPr>
              <w:pStyle w:val="VNKuvailulehtiotsikkopalstabold"/>
            </w:pPr>
            <w:r>
              <w:t>Asianumero</w:t>
            </w:r>
          </w:p>
        </w:tc>
        <w:tc>
          <w:tcPr>
            <w:tcW w:w="3685" w:type="dxa"/>
            <w:tcBorders>
              <w:bottom w:val="single" w:sz="4" w:space="0" w:color="auto"/>
            </w:tcBorders>
          </w:tcPr>
          <w:p w14:paraId="2981C3C6" w14:textId="54A161BD" w:rsidR="009D2A8D" w:rsidRDefault="009D2A8D" w:rsidP="007D256A">
            <w:pPr>
              <w:pStyle w:val="VNKuvailulehtitieto"/>
            </w:pPr>
            <w:r>
              <w:fldChar w:fldCharType="begin"/>
            </w:r>
            <w:r>
              <w:instrText xml:space="preserve"> MACROBUTTON nomacro</w:instrText>
            </w:r>
            <w:r w:rsidR="00B65977">
              <w:instrText xml:space="preserve"> </w:instrText>
            </w:r>
            <w:r w:rsidR="00B65977">
              <w:rPr>
                <w:color w:val="4293FF" w:themeColor="accent2"/>
              </w:rPr>
              <w:instrText>Napsauta ja kirjoita</w:instrText>
            </w:r>
            <w:r>
              <w:instrText xml:space="preserve"> </w:instrText>
            </w:r>
            <w:r>
              <w:fldChar w:fldCharType="end"/>
            </w:r>
          </w:p>
        </w:tc>
        <w:tc>
          <w:tcPr>
            <w:tcW w:w="1418" w:type="dxa"/>
            <w:tcBorders>
              <w:bottom w:val="single" w:sz="4" w:space="0" w:color="auto"/>
            </w:tcBorders>
          </w:tcPr>
          <w:p w14:paraId="72403CD9" w14:textId="4EEE455F" w:rsidR="009D2A8D" w:rsidRDefault="009D2A8D" w:rsidP="007D256A">
            <w:pPr>
              <w:pStyle w:val="VNKuvailulehtiotsikkopalstabold"/>
            </w:pPr>
            <w:r>
              <w:t>Hankenumero</w:t>
            </w:r>
          </w:p>
        </w:tc>
        <w:tc>
          <w:tcPr>
            <w:tcW w:w="2126" w:type="dxa"/>
            <w:tcBorders>
              <w:bottom w:val="single" w:sz="4" w:space="0" w:color="auto"/>
            </w:tcBorders>
          </w:tcPr>
          <w:p w14:paraId="256B3A55" w14:textId="61DDADEE" w:rsidR="009D2A8D" w:rsidRDefault="009D2A8D" w:rsidP="007D256A">
            <w:pPr>
              <w:pStyle w:val="VNKuvailulehtitieto"/>
            </w:pPr>
            <w:r>
              <w:fldChar w:fldCharType="begin"/>
            </w:r>
            <w:r>
              <w:instrText xml:space="preserve"> MACROBUTTON nomacro</w:instrText>
            </w:r>
            <w:r>
              <w:rPr>
                <w:color w:val="4293FF" w:themeColor="accent2"/>
              </w:rPr>
              <w:instrText xml:space="preserve"> </w:instrText>
            </w:r>
            <w:r w:rsidR="00B65977">
              <w:rPr>
                <w:color w:val="4293FF" w:themeColor="accent2"/>
              </w:rPr>
              <w:instrText>Napsauta ja kirjoita</w:instrText>
            </w:r>
            <w:r>
              <w:instrText xml:space="preserve"> </w:instrText>
            </w:r>
            <w:r>
              <w:fldChar w:fldCharType="end"/>
            </w:r>
          </w:p>
        </w:tc>
      </w:tr>
      <w:tr w:rsidR="000E1F97" w14:paraId="4411E13D" w14:textId="77777777" w:rsidTr="6BEE1B81">
        <w:trPr>
          <w:trHeight w:val="413"/>
        </w:trPr>
        <w:tc>
          <w:tcPr>
            <w:tcW w:w="1560" w:type="dxa"/>
            <w:tcBorders>
              <w:top w:val="single" w:sz="4" w:space="0" w:color="auto"/>
              <w:bottom w:val="single" w:sz="18" w:space="0" w:color="365ABD" w:themeColor="accent3"/>
            </w:tcBorders>
          </w:tcPr>
          <w:p w14:paraId="1D42D367" w14:textId="77E1C6A5" w:rsidR="000E1F97" w:rsidRDefault="000E1F97" w:rsidP="007D256A">
            <w:pPr>
              <w:pStyle w:val="VNKuvailulehtiotsikkopalstabold"/>
            </w:pPr>
            <w:r>
              <w:t>Julkaisun osoite</w:t>
            </w:r>
          </w:p>
        </w:tc>
        <w:tc>
          <w:tcPr>
            <w:tcW w:w="7229" w:type="dxa"/>
            <w:gridSpan w:val="3"/>
            <w:tcBorders>
              <w:top w:val="single" w:sz="4" w:space="0" w:color="auto"/>
              <w:bottom w:val="single" w:sz="18" w:space="0" w:color="365ABD" w:themeColor="accent3"/>
            </w:tcBorders>
          </w:tcPr>
          <w:p w14:paraId="6F30F41D" w14:textId="6ABEFF31" w:rsidR="000E1F97" w:rsidRDefault="000E1F97" w:rsidP="007D256A">
            <w:pPr>
              <w:pStyle w:val="VNKuvailulehtitieto"/>
            </w:pPr>
            <w:r>
              <w:fldChar w:fldCharType="begin"/>
            </w:r>
            <w:r>
              <w:instrText xml:space="preserve"> MACROBUTTON nomacro </w:instrText>
            </w:r>
            <w:r w:rsidR="00B65977">
              <w:rPr>
                <w:color w:val="4293FF" w:themeColor="accent2"/>
              </w:rPr>
              <w:instrText>VNK täyttää</w:instrText>
            </w:r>
            <w:r>
              <w:instrText xml:space="preserve"> </w:instrText>
            </w:r>
            <w:r>
              <w:fldChar w:fldCharType="end"/>
            </w:r>
          </w:p>
        </w:tc>
      </w:tr>
    </w:tbl>
    <w:p w14:paraId="4B2085CA" w14:textId="45EDF7EA" w:rsidR="00746154" w:rsidRDefault="00746154" w:rsidP="00F36B65">
      <w:pPr>
        <w:pStyle w:val="VNLeip1kappale"/>
        <w:rPr>
          <w:sz w:val="24"/>
        </w:rPr>
      </w:pPr>
    </w:p>
    <w:p w14:paraId="09F06B58" w14:textId="48C40DDA" w:rsidR="00112267" w:rsidRDefault="00112267" w:rsidP="00112267">
      <w:pPr>
        <w:pStyle w:val="VNkuvailulehtitop"/>
      </w:pPr>
      <w:proofErr w:type="spellStart"/>
      <w:r>
        <w:t>Presentationsblad</w:t>
      </w:r>
      <w:proofErr w:type="spellEnd"/>
    </w:p>
    <w:p w14:paraId="6752BF98" w14:textId="7A4E2F26" w:rsidR="00112267" w:rsidRDefault="5E21C1A2" w:rsidP="0F650EA5">
      <w:pPr>
        <w:pStyle w:val="VNKuvailulehtipiv"/>
      </w:pPr>
      <w:r>
        <w:t>2</w:t>
      </w:r>
      <w:r w:rsidR="23F656AD">
        <w:t>.</w:t>
      </w:r>
      <w:r w:rsidR="734B5825">
        <w:t>7</w:t>
      </w:r>
      <w:r w:rsidR="78F57776">
        <w:t>.202</w:t>
      </w:r>
      <w:r w:rsidR="7F06719E">
        <w:t>5</w:t>
      </w:r>
    </w:p>
    <w:p w14:paraId="7DF7AA88" w14:textId="3BDB90F3" w:rsidR="00112267" w:rsidRDefault="00112267" w:rsidP="00112267">
      <w:pPr>
        <w:pStyle w:val="VNKuvailulehtiotsikko"/>
      </w:pPr>
      <w:r>
        <w:fldChar w:fldCharType="begin"/>
      </w:r>
      <w:r>
        <w:instrText xml:space="preserve"> MACROBUTTON nomacro </w:instrText>
      </w:r>
      <w:r w:rsidRPr="0F650EA5">
        <w:rPr>
          <w:color w:val="4293FF" w:themeColor="accent2"/>
        </w:rPr>
        <w:instrText>Napsauta ja kirjoita otsikko ruotsiksi</w:instrText>
      </w:r>
      <w:r>
        <w:instrText xml:space="preserve"> </w:instrText>
      </w:r>
      <w:r>
        <w:fldChar w:fldCharType="end"/>
      </w:r>
      <w:r>
        <w:fldChar w:fldCharType="begin"/>
      </w:r>
      <w:r>
        <w:instrText xml:space="preserve"> MACROBUTTON nomacro </w:instrText>
      </w:r>
      <w:r w:rsidRPr="0F650EA5">
        <w:rPr>
          <w:color w:val="4293FF" w:themeColor="accent2"/>
        </w:rPr>
        <w:instrText xml:space="preserve">Napsauta ja kirjoita alaotsikko ruotsiksi </w:instrText>
      </w:r>
      <w:r>
        <w:fldChar w:fldCharType="end"/>
      </w:r>
    </w:p>
    <w:tbl>
      <w:tblPr>
        <w:tblStyle w:val="Kuvailulehtiyl"/>
        <w:tblW w:w="8647" w:type="dxa"/>
        <w:tblLayout w:type="fixed"/>
        <w:tblLook w:val="04A0" w:firstRow="1" w:lastRow="0" w:firstColumn="1" w:lastColumn="0" w:noHBand="0" w:noVBand="1"/>
      </w:tblPr>
      <w:tblGrid>
        <w:gridCol w:w="1560"/>
        <w:gridCol w:w="3643"/>
        <w:gridCol w:w="1142"/>
        <w:gridCol w:w="2302"/>
      </w:tblGrid>
      <w:tr w:rsidR="00426AA3" w14:paraId="49F9E617" w14:textId="77777777" w:rsidTr="00F36B65">
        <w:trPr>
          <w:trHeight w:val="508"/>
        </w:trPr>
        <w:tc>
          <w:tcPr>
            <w:tcW w:w="5203" w:type="dxa"/>
            <w:gridSpan w:val="2"/>
          </w:tcPr>
          <w:p w14:paraId="7147CE49" w14:textId="434D2F76" w:rsidR="00426AA3" w:rsidRDefault="00426AA3" w:rsidP="00127AB1">
            <w:pPr>
              <w:pStyle w:val="VNKuvailulehtiotsikkopalstabold"/>
            </w:pPr>
            <w:r>
              <w:fldChar w:fldCharType="begin"/>
            </w:r>
            <w:r>
              <w:instrText xml:space="preserve"> MACROBUTTON nomacro </w:instrText>
            </w:r>
            <w:r w:rsidRPr="00D442E3">
              <w:instrText>VNK täyttää, sarjanimi ja numero</w:instrText>
            </w:r>
            <w:r>
              <w:instrText xml:space="preserve"> </w:instrText>
            </w:r>
            <w:r>
              <w:fldChar w:fldCharType="end"/>
            </w:r>
          </w:p>
        </w:tc>
        <w:tc>
          <w:tcPr>
            <w:tcW w:w="1142" w:type="dxa"/>
          </w:tcPr>
          <w:p w14:paraId="6AC1C5F8" w14:textId="4A41C839" w:rsidR="00426AA3" w:rsidRPr="004710F6" w:rsidRDefault="00426AA3" w:rsidP="00127AB1">
            <w:pPr>
              <w:pStyle w:val="VNKuvailulehtiotsikkopalstabold"/>
            </w:pPr>
            <w:proofErr w:type="spellStart"/>
            <w:r>
              <w:t>Te</w:t>
            </w:r>
            <w:r w:rsidRPr="004710F6">
              <w:t>ma</w:t>
            </w:r>
            <w:proofErr w:type="spellEnd"/>
          </w:p>
        </w:tc>
        <w:tc>
          <w:tcPr>
            <w:tcW w:w="2302" w:type="dxa"/>
          </w:tcPr>
          <w:p w14:paraId="26D4BA40" w14:textId="0432EFFC" w:rsidR="00426AA3" w:rsidRDefault="00426AA3" w:rsidP="00127AB1">
            <w:pPr>
              <w:pStyle w:val="VNKuvailulehtitieto"/>
            </w:pPr>
            <w:r>
              <w:fldChar w:fldCharType="begin"/>
            </w:r>
            <w:r>
              <w:instrText xml:space="preserve"> MACROBUTTON nomacro </w:instrText>
            </w:r>
            <w:r>
              <w:rPr>
                <w:color w:val="4293FF" w:themeColor="accent2"/>
              </w:rPr>
              <w:instrText>Napsauta ja kirjoita</w:instrText>
            </w:r>
            <w:r>
              <w:instrText xml:space="preserve"> </w:instrText>
            </w:r>
            <w:r>
              <w:fldChar w:fldCharType="end"/>
            </w:r>
          </w:p>
        </w:tc>
      </w:tr>
      <w:tr w:rsidR="006A0547" w14:paraId="72209081" w14:textId="77777777" w:rsidTr="00F36B65">
        <w:trPr>
          <w:trHeight w:val="575"/>
        </w:trPr>
        <w:tc>
          <w:tcPr>
            <w:tcW w:w="1560" w:type="dxa"/>
            <w:tcBorders>
              <w:bottom w:val="single" w:sz="6" w:space="0" w:color="000000" w:themeColor="text1"/>
            </w:tcBorders>
          </w:tcPr>
          <w:p w14:paraId="12FCED14" w14:textId="4236D32D" w:rsidR="006A0547" w:rsidRPr="004710F6" w:rsidRDefault="00B31DAC" w:rsidP="00127AB1">
            <w:pPr>
              <w:pStyle w:val="VNKuvailulehtiotsikkopalstabold"/>
            </w:pPr>
            <w:proofErr w:type="spellStart"/>
            <w:r>
              <w:t>Utgivare</w:t>
            </w:r>
            <w:proofErr w:type="spellEnd"/>
          </w:p>
        </w:tc>
        <w:tc>
          <w:tcPr>
            <w:tcW w:w="3643" w:type="dxa"/>
            <w:tcBorders>
              <w:bottom w:val="single" w:sz="6" w:space="0" w:color="000000" w:themeColor="text1"/>
            </w:tcBorders>
          </w:tcPr>
          <w:p w14:paraId="0C1FE140" w14:textId="629ED9EA" w:rsidR="006A0547" w:rsidRDefault="006A0547" w:rsidP="00127AB1">
            <w:pPr>
              <w:pStyle w:val="VNKuvailulehtitieto"/>
            </w:pPr>
            <w:r>
              <w:fldChar w:fldCharType="begin"/>
            </w:r>
            <w:r>
              <w:instrText xml:space="preserve"> MACROBUTTON nomacro </w:instrText>
            </w:r>
            <w:r w:rsidR="00B77457">
              <w:instrText>Napsauta ja kirjoita ministeriö</w:instrText>
            </w:r>
            <w:r>
              <w:instrText xml:space="preserve"> </w:instrText>
            </w:r>
            <w:r>
              <w:fldChar w:fldCharType="end"/>
            </w:r>
          </w:p>
        </w:tc>
        <w:tc>
          <w:tcPr>
            <w:tcW w:w="1142" w:type="dxa"/>
            <w:tcBorders>
              <w:bottom w:val="single" w:sz="6" w:space="0" w:color="000000" w:themeColor="text1"/>
            </w:tcBorders>
          </w:tcPr>
          <w:p w14:paraId="3E110494" w14:textId="29BB6665" w:rsidR="006A0547" w:rsidRPr="007872D6" w:rsidRDefault="006A0547" w:rsidP="00127AB1">
            <w:pPr>
              <w:pStyle w:val="VNKuvailulehtiotsikkopalstabold"/>
            </w:pPr>
          </w:p>
        </w:tc>
        <w:tc>
          <w:tcPr>
            <w:tcW w:w="2302" w:type="dxa"/>
            <w:tcBorders>
              <w:bottom w:val="single" w:sz="6" w:space="0" w:color="000000" w:themeColor="text1"/>
            </w:tcBorders>
          </w:tcPr>
          <w:p w14:paraId="2DE981AD" w14:textId="3B64EBEB" w:rsidR="006A0547" w:rsidRDefault="006A0547" w:rsidP="00127AB1">
            <w:pPr>
              <w:pStyle w:val="VNKuvailulehtitieto"/>
            </w:pPr>
          </w:p>
        </w:tc>
      </w:tr>
      <w:tr w:rsidR="000E30EF" w14:paraId="6E7779DE" w14:textId="77777777" w:rsidTr="00F36B65">
        <w:trPr>
          <w:trHeight w:val="270"/>
        </w:trPr>
        <w:tc>
          <w:tcPr>
            <w:tcW w:w="1560" w:type="dxa"/>
            <w:tcBorders>
              <w:top w:val="single" w:sz="6" w:space="0" w:color="000000" w:themeColor="text1"/>
            </w:tcBorders>
          </w:tcPr>
          <w:p w14:paraId="665489B7" w14:textId="60F7363B" w:rsidR="000E30EF" w:rsidRPr="004710F6" w:rsidRDefault="000E30EF" w:rsidP="00127AB1">
            <w:pPr>
              <w:pStyle w:val="VNKuvailulehtiotsikkopalstabold"/>
            </w:pPr>
            <w:proofErr w:type="spellStart"/>
            <w:r w:rsidRPr="00196539">
              <w:t>Författare</w:t>
            </w:r>
            <w:proofErr w:type="spellEnd"/>
          </w:p>
        </w:tc>
        <w:tc>
          <w:tcPr>
            <w:tcW w:w="7087" w:type="dxa"/>
            <w:gridSpan w:val="3"/>
            <w:tcBorders>
              <w:top w:val="single" w:sz="6" w:space="0" w:color="000000" w:themeColor="text1"/>
            </w:tcBorders>
          </w:tcPr>
          <w:p w14:paraId="54341E33" w14:textId="1DF7C070" w:rsidR="000E30EF" w:rsidRDefault="000E30EF" w:rsidP="00127AB1">
            <w:pPr>
              <w:pStyle w:val="VNKuvailulehtitieto"/>
            </w:pPr>
            <w:r>
              <w:fldChar w:fldCharType="begin"/>
            </w:r>
            <w:r>
              <w:instrText xml:space="preserve"> MACROBUTTON nomacro </w:instrText>
            </w:r>
            <w:r w:rsidR="00841AAB">
              <w:rPr>
                <w:color w:val="4293FF" w:themeColor="accent2"/>
              </w:rPr>
              <w:instrText>Napsauta ja kirjoita</w:instrText>
            </w:r>
            <w:r>
              <w:instrText xml:space="preserve"> </w:instrText>
            </w:r>
            <w:r>
              <w:fldChar w:fldCharType="end"/>
            </w:r>
          </w:p>
        </w:tc>
      </w:tr>
      <w:tr w:rsidR="000E30EF" w14:paraId="18F66B94" w14:textId="77777777" w:rsidTr="00F36B65">
        <w:trPr>
          <w:trHeight w:val="61"/>
        </w:trPr>
        <w:tc>
          <w:tcPr>
            <w:tcW w:w="1560" w:type="dxa"/>
          </w:tcPr>
          <w:p w14:paraId="788B36B3" w14:textId="40C6CE97" w:rsidR="000E30EF" w:rsidRPr="004710F6" w:rsidRDefault="00B31DAC" w:rsidP="00127AB1">
            <w:pPr>
              <w:pStyle w:val="VNKuvailulehtiotsikkopalstabold"/>
            </w:pPr>
            <w:proofErr w:type="spellStart"/>
            <w:r>
              <w:t>Redigerare</w:t>
            </w:r>
            <w:proofErr w:type="spellEnd"/>
          </w:p>
        </w:tc>
        <w:tc>
          <w:tcPr>
            <w:tcW w:w="7087" w:type="dxa"/>
            <w:gridSpan w:val="3"/>
          </w:tcPr>
          <w:p w14:paraId="0FBE7761" w14:textId="462161B7" w:rsidR="000E30EF" w:rsidRDefault="000E30EF" w:rsidP="00127AB1">
            <w:pPr>
              <w:pStyle w:val="VNKuvailulehtitieto"/>
            </w:pPr>
            <w:r>
              <w:fldChar w:fldCharType="begin"/>
            </w:r>
            <w:r>
              <w:instrText xml:space="preserve"> MACROBUTTON nomacro</w:instrText>
            </w:r>
            <w:r>
              <w:rPr>
                <w:color w:val="4293FF" w:themeColor="accent2"/>
              </w:rPr>
              <w:instrText xml:space="preserve"> </w:instrText>
            </w:r>
            <w:r w:rsidR="00841AAB">
              <w:rPr>
                <w:color w:val="4293FF" w:themeColor="accent2"/>
              </w:rPr>
              <w:instrText>Napsauta ja kirjoita</w:instrText>
            </w:r>
            <w:r>
              <w:instrText xml:space="preserve"> </w:instrText>
            </w:r>
            <w:r>
              <w:fldChar w:fldCharType="end"/>
            </w:r>
          </w:p>
        </w:tc>
      </w:tr>
      <w:tr w:rsidR="000E30EF" w:rsidRPr="00F0547F" w14:paraId="0A0EC954" w14:textId="77777777" w:rsidTr="00F36B65">
        <w:trPr>
          <w:trHeight w:val="61"/>
        </w:trPr>
        <w:tc>
          <w:tcPr>
            <w:tcW w:w="1560" w:type="dxa"/>
          </w:tcPr>
          <w:p w14:paraId="4089CE1A" w14:textId="529B1AED" w:rsidR="000E30EF" w:rsidRPr="004710F6" w:rsidRDefault="00746154" w:rsidP="00127AB1">
            <w:pPr>
              <w:pStyle w:val="VNKuvailulehtiotsikkopalstabold"/>
            </w:pPr>
            <w:proofErr w:type="spellStart"/>
            <w:r>
              <w:t>Utarbetad</w:t>
            </w:r>
            <w:proofErr w:type="spellEnd"/>
            <w:r>
              <w:t xml:space="preserve"> av</w:t>
            </w:r>
          </w:p>
        </w:tc>
        <w:tc>
          <w:tcPr>
            <w:tcW w:w="7087" w:type="dxa"/>
            <w:gridSpan w:val="3"/>
          </w:tcPr>
          <w:p w14:paraId="01B4A446" w14:textId="0CB832CA" w:rsidR="000E30EF" w:rsidRDefault="000E30EF" w:rsidP="00127AB1">
            <w:pPr>
              <w:pStyle w:val="VNKuvailulehtitieto"/>
            </w:pPr>
            <w:r>
              <w:fldChar w:fldCharType="begin"/>
            </w:r>
            <w:r>
              <w:instrText xml:space="preserve"> MACROBUTTON nomacro</w:instrText>
            </w:r>
            <w:r>
              <w:rPr>
                <w:color w:val="4293FF" w:themeColor="accent2"/>
              </w:rPr>
              <w:instrText xml:space="preserve"> </w:instrText>
            </w:r>
            <w:r w:rsidR="00841AAB">
              <w:rPr>
                <w:color w:val="4293FF" w:themeColor="accent2"/>
              </w:rPr>
              <w:instrText>Napsauta ja kirjoita</w:instrText>
            </w:r>
            <w:r>
              <w:instrText xml:space="preserve"> </w:instrText>
            </w:r>
            <w:r>
              <w:fldChar w:fldCharType="end"/>
            </w:r>
          </w:p>
        </w:tc>
      </w:tr>
      <w:tr w:rsidR="00B77B99" w14:paraId="5BED918A" w14:textId="77777777" w:rsidTr="00F36B65">
        <w:trPr>
          <w:trHeight w:val="456"/>
        </w:trPr>
        <w:tc>
          <w:tcPr>
            <w:tcW w:w="1560" w:type="dxa"/>
            <w:tcBorders>
              <w:bottom w:val="single" w:sz="4" w:space="0" w:color="auto"/>
            </w:tcBorders>
          </w:tcPr>
          <w:p w14:paraId="744E6253" w14:textId="1F413FFF" w:rsidR="000E30EF" w:rsidRPr="004710F6" w:rsidRDefault="000E30EF" w:rsidP="00127AB1">
            <w:pPr>
              <w:pStyle w:val="VNKuvailulehtiotsikkopalstabold"/>
            </w:pPr>
            <w:proofErr w:type="spellStart"/>
            <w:r>
              <w:t>Språk</w:t>
            </w:r>
            <w:proofErr w:type="spellEnd"/>
          </w:p>
        </w:tc>
        <w:tc>
          <w:tcPr>
            <w:tcW w:w="3643" w:type="dxa"/>
            <w:tcBorders>
              <w:bottom w:val="single" w:sz="4" w:space="0" w:color="auto"/>
            </w:tcBorders>
          </w:tcPr>
          <w:p w14:paraId="7E1EED92" w14:textId="3C7899E4" w:rsidR="000E30EF" w:rsidRDefault="000E30EF" w:rsidP="00127AB1">
            <w:pPr>
              <w:pStyle w:val="VNKuvailulehtitieto"/>
            </w:pPr>
            <w:r>
              <w:fldChar w:fldCharType="begin"/>
            </w:r>
            <w:r>
              <w:instrText xml:space="preserve"> MACROBUTTON nomacro </w:instrText>
            </w:r>
            <w:r w:rsidR="00841AAB">
              <w:rPr>
                <w:color w:val="4293FF" w:themeColor="accent2"/>
              </w:rPr>
              <w:instrText>Napsauta ja kirjoita</w:instrText>
            </w:r>
            <w:r>
              <w:instrText xml:space="preserve"> </w:instrText>
            </w:r>
            <w:r>
              <w:fldChar w:fldCharType="end"/>
            </w:r>
          </w:p>
        </w:tc>
        <w:tc>
          <w:tcPr>
            <w:tcW w:w="1142" w:type="dxa"/>
            <w:tcBorders>
              <w:bottom w:val="single" w:sz="4" w:space="0" w:color="auto"/>
            </w:tcBorders>
          </w:tcPr>
          <w:p w14:paraId="038CEC75" w14:textId="4EC43071" w:rsidR="000E30EF" w:rsidRPr="007872D6" w:rsidRDefault="000E30EF" w:rsidP="00127AB1">
            <w:pPr>
              <w:pStyle w:val="VNKuvailulehtiotsikkopalstabold"/>
            </w:pPr>
            <w:proofErr w:type="spellStart"/>
            <w:r>
              <w:t>Sidantal</w:t>
            </w:r>
            <w:proofErr w:type="spellEnd"/>
          </w:p>
        </w:tc>
        <w:tc>
          <w:tcPr>
            <w:tcW w:w="2302" w:type="dxa"/>
            <w:tcBorders>
              <w:bottom w:val="single" w:sz="4" w:space="0" w:color="auto"/>
            </w:tcBorders>
          </w:tcPr>
          <w:p w14:paraId="50580611" w14:textId="25DC3FF4" w:rsidR="000E30EF" w:rsidRDefault="000E30EF"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r>
      <w:tr w:rsidR="006A0547" w:rsidRPr="00FF1D45" w14:paraId="66B6B747" w14:textId="77777777" w:rsidTr="00F36B65">
        <w:trPr>
          <w:trHeight w:val="5259"/>
        </w:trPr>
        <w:tc>
          <w:tcPr>
            <w:tcW w:w="1560" w:type="dxa"/>
            <w:tcBorders>
              <w:top w:val="single" w:sz="4" w:space="0" w:color="auto"/>
              <w:bottom w:val="nil"/>
            </w:tcBorders>
          </w:tcPr>
          <w:p w14:paraId="43F55365" w14:textId="3AA9EB10" w:rsidR="006A0547" w:rsidRPr="00B77AA4" w:rsidRDefault="000E30EF" w:rsidP="00127AB1">
            <w:pPr>
              <w:pStyle w:val="VNKuvailulehtiotsikkopalstabold"/>
            </w:pPr>
            <w:r>
              <w:rPr>
                <w:lang w:val="sv-FI"/>
              </w:rPr>
              <w:t>Referat</w:t>
            </w:r>
          </w:p>
        </w:tc>
        <w:tc>
          <w:tcPr>
            <w:tcW w:w="7087" w:type="dxa"/>
            <w:gridSpan w:val="3"/>
            <w:tcBorders>
              <w:top w:val="single" w:sz="4" w:space="0" w:color="auto"/>
              <w:bottom w:val="nil"/>
            </w:tcBorders>
          </w:tcPr>
          <w:p w14:paraId="77CA3BC1" w14:textId="77777777" w:rsidR="0082653B" w:rsidRPr="00561B84" w:rsidRDefault="0082653B" w:rsidP="0082653B">
            <w:pPr>
              <w:pStyle w:val="VNKuvailulehtiotsikkopalstabold"/>
              <w:rPr>
                <w:rFonts w:asciiTheme="majorHAnsi" w:hAnsiTheme="majorHAnsi" w:cs="Myriad Pro"/>
                <w:b w:val="0"/>
                <w:lang w:val="sv-SE"/>
              </w:rPr>
            </w:pPr>
            <w:r w:rsidRPr="00244854">
              <w:rPr>
                <w:rFonts w:asciiTheme="majorHAnsi" w:hAnsiTheme="majorHAnsi" w:cs="Myriad Pro"/>
                <w:b w:val="0"/>
                <w:lang w:val="sv-SE"/>
              </w:rPr>
              <w:t xml:space="preserve">Upprättandet av en klimatplan på medellång sikt regleras i klimatlagen. </w:t>
            </w:r>
            <w:r w:rsidRPr="00561B84">
              <w:rPr>
                <w:rFonts w:asciiTheme="majorHAnsi" w:hAnsiTheme="majorHAnsi" w:cs="Myriad Pro"/>
                <w:b w:val="0"/>
                <w:lang w:val="sv-SE"/>
              </w:rPr>
              <w:t>Planen gäller utsläppen inom den så kallade ansvarsfördelningssektorn och hur dessa ska minskas. Till ansvarsfördelningssektorn hör utsläpp från transporter, jordbruk, separat uppvärmning av byggnader, arbetsmaskiner, avfallshantering, avfallsförbränning, F-gaser samt utsläpp från industrin utanför utsläppshandeln.</w:t>
            </w:r>
          </w:p>
          <w:p w14:paraId="2463662F" w14:textId="74BB5A03" w:rsidR="0082653B" w:rsidRPr="00561B84" w:rsidRDefault="0082653B" w:rsidP="0082653B">
            <w:pPr>
              <w:pStyle w:val="VNKuvailulehtiotsikkopalstabold"/>
              <w:rPr>
                <w:rFonts w:asciiTheme="majorHAnsi" w:hAnsiTheme="majorHAnsi" w:cs="Myriad Pro"/>
                <w:b w:val="0"/>
                <w:lang w:val="sv-SE"/>
              </w:rPr>
            </w:pPr>
            <w:r w:rsidRPr="00244854">
              <w:rPr>
                <w:rFonts w:asciiTheme="majorHAnsi" w:hAnsiTheme="majorHAnsi" w:cs="Myriad Pro"/>
                <w:b w:val="0"/>
                <w:lang w:val="sv-SE"/>
              </w:rPr>
              <w:t xml:space="preserve">Den tredje klimatplanen på medellång sikt utgår i huvudsak från två faktorer: EU:s klimatlagstiftning och dess utsläppsminskningskrav för år 2030, samt Petteri </w:t>
            </w:r>
            <w:proofErr w:type="spellStart"/>
            <w:r w:rsidRPr="00244854">
              <w:rPr>
                <w:rFonts w:asciiTheme="majorHAnsi" w:hAnsiTheme="majorHAnsi" w:cs="Myriad Pro"/>
                <w:b w:val="0"/>
                <w:lang w:val="sv-SE"/>
              </w:rPr>
              <w:t>Orpos</w:t>
            </w:r>
            <w:proofErr w:type="spellEnd"/>
            <w:r w:rsidRPr="00244854">
              <w:rPr>
                <w:rFonts w:asciiTheme="majorHAnsi" w:hAnsiTheme="majorHAnsi" w:cs="Myriad Pro"/>
                <w:b w:val="0"/>
                <w:lang w:val="sv-SE"/>
              </w:rPr>
              <w:t xml:space="preserve"> regeringsprograms riktlinjer för klimatpolitiken. </w:t>
            </w:r>
            <w:r w:rsidRPr="00561B84">
              <w:rPr>
                <w:rFonts w:asciiTheme="majorHAnsi" w:hAnsiTheme="majorHAnsi" w:cs="Myriad Pro"/>
                <w:b w:val="0"/>
                <w:lang w:val="sv-SE"/>
              </w:rPr>
              <w:t>Enligt EU-lagstiftningen är Finlands utsläppsminskningskrav för ansvarsfördelningssektorn att halvera utsläppen till år 2030 jämfört med utsläppsnivån år 2005. Även klimatlagens mål gäller ansvarsfördelningssektorn, såsom målet om minskade utsläpp till 2030 och målet om klimatneutralitet till 2035. För att uppnå dessa krav och mål behövs nya utsläppsminskande åtgärder. I klimatplanen på medellång sikt presenteras ett åtgärdspaket som består av både sektorspecifika tilläggsåtgärder och tvärsektoriella lösningar.</w:t>
            </w:r>
          </w:p>
          <w:p w14:paraId="3A8A4CF2" w14:textId="10E70028" w:rsidR="006A0547" w:rsidRPr="00BB78D4" w:rsidRDefault="0082653B" w:rsidP="00F36B65">
            <w:pPr>
              <w:pStyle w:val="VNKuvailulehtieityhjvli"/>
              <w:tabs>
                <w:tab w:val="clear" w:pos="6804"/>
                <w:tab w:val="left" w:pos="6737"/>
              </w:tabs>
              <w:rPr>
                <w:lang w:val="sv-SE"/>
              </w:rPr>
            </w:pPr>
            <w:r w:rsidRPr="00244854">
              <w:rPr>
                <w:lang w:val="sv-SE"/>
              </w:rPr>
              <w:t xml:space="preserve">Vid upprättandet av planen har man använt en omfattande kunskapsbas, som inkluderar statistik och scenarioberäkningar om framtida utveckling. </w:t>
            </w:r>
            <w:r w:rsidRPr="00561B84">
              <w:rPr>
                <w:lang w:val="sv-SE"/>
              </w:rPr>
              <w:t>Dessutom har tvärgående teman behandlats, såsom lokalt klimatarbete och konsumtionens betydelse.</w:t>
            </w:r>
          </w:p>
        </w:tc>
      </w:tr>
      <w:tr w:rsidR="000E30EF" w14:paraId="521A4DAD" w14:textId="77777777" w:rsidTr="00F36B65">
        <w:trPr>
          <w:trHeight w:val="270"/>
        </w:trPr>
        <w:tc>
          <w:tcPr>
            <w:tcW w:w="1560" w:type="dxa"/>
            <w:tcBorders>
              <w:top w:val="nil"/>
            </w:tcBorders>
          </w:tcPr>
          <w:p w14:paraId="0AA2170E" w14:textId="4AFC1D0B" w:rsidR="000E30EF" w:rsidRPr="004710F6" w:rsidRDefault="000E30EF" w:rsidP="00127AB1">
            <w:pPr>
              <w:pStyle w:val="VNKuvailulehtiotsikkopalstabold"/>
            </w:pPr>
            <w:proofErr w:type="spellStart"/>
            <w:r>
              <w:t>Klausul</w:t>
            </w:r>
            <w:proofErr w:type="spellEnd"/>
          </w:p>
        </w:tc>
        <w:tc>
          <w:tcPr>
            <w:tcW w:w="7087" w:type="dxa"/>
            <w:gridSpan w:val="3"/>
            <w:tcBorders>
              <w:top w:val="nil"/>
            </w:tcBorders>
          </w:tcPr>
          <w:p w14:paraId="075B3C05" w14:textId="3FB79C5E" w:rsidR="000E30EF" w:rsidRDefault="000E30EF"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r>
      <w:tr w:rsidR="000E30EF" w14:paraId="1A303700" w14:textId="77777777" w:rsidTr="00F36B65">
        <w:trPr>
          <w:trHeight w:val="473"/>
        </w:trPr>
        <w:tc>
          <w:tcPr>
            <w:tcW w:w="1560" w:type="dxa"/>
            <w:tcBorders>
              <w:bottom w:val="single" w:sz="6" w:space="0" w:color="000000" w:themeColor="text1"/>
            </w:tcBorders>
          </w:tcPr>
          <w:p w14:paraId="5622D916" w14:textId="3DF10586" w:rsidR="000E30EF" w:rsidRPr="004710F6" w:rsidRDefault="000E30EF" w:rsidP="00127AB1">
            <w:pPr>
              <w:pStyle w:val="VNKuvailulehtiotsikkopalstabold"/>
            </w:pPr>
            <w:proofErr w:type="spellStart"/>
            <w:r>
              <w:t>Nyckelord</w:t>
            </w:r>
            <w:proofErr w:type="spellEnd"/>
          </w:p>
        </w:tc>
        <w:tc>
          <w:tcPr>
            <w:tcW w:w="7087" w:type="dxa"/>
            <w:gridSpan w:val="3"/>
            <w:tcBorders>
              <w:bottom w:val="single" w:sz="6" w:space="0" w:color="000000" w:themeColor="text1"/>
            </w:tcBorders>
          </w:tcPr>
          <w:p w14:paraId="11EF08C5" w14:textId="40398B23" w:rsidR="000E30EF" w:rsidRDefault="000E30EF" w:rsidP="00127AB1">
            <w:pPr>
              <w:pStyle w:val="VNKuvailulehtitieto"/>
            </w:pPr>
            <w:r>
              <w:fldChar w:fldCharType="begin"/>
            </w:r>
            <w:r>
              <w:instrText xml:space="preserve"> MACROBUTTON nomacro</w:instrText>
            </w:r>
            <w:r>
              <w:rPr>
                <w:color w:val="4293FF" w:themeColor="accent2"/>
              </w:rPr>
              <w:instrText xml:space="preserve"> </w:instrText>
            </w:r>
            <w:r w:rsidR="00841AAB">
              <w:rPr>
                <w:color w:val="4293FF" w:themeColor="accent2"/>
              </w:rPr>
              <w:instrText>Napsauta ja kirjoita</w:instrText>
            </w:r>
            <w:r>
              <w:instrText xml:space="preserve"> </w:instrText>
            </w:r>
            <w:r>
              <w:fldChar w:fldCharType="end"/>
            </w:r>
            <w:hyperlink r:id="rId24" w:history="1">
              <w:r w:rsidR="00C04269" w:rsidRPr="00C04269">
                <w:rPr>
                  <w:rStyle w:val="Hyperlinkki"/>
                </w:rPr>
                <w:t>https://finto.fi/juho/fi/</w:t>
              </w:r>
            </w:hyperlink>
          </w:p>
        </w:tc>
      </w:tr>
      <w:tr w:rsidR="00B77B99" w14:paraId="11B34ADB" w14:textId="77777777" w:rsidTr="00F36B65">
        <w:trPr>
          <w:trHeight w:val="421"/>
        </w:trPr>
        <w:tc>
          <w:tcPr>
            <w:tcW w:w="1560" w:type="dxa"/>
          </w:tcPr>
          <w:p w14:paraId="46BAAEC6" w14:textId="69A4A396" w:rsidR="001B17BD" w:rsidRPr="004710F6" w:rsidRDefault="001B17BD" w:rsidP="00127AB1">
            <w:pPr>
              <w:pStyle w:val="VNKuvailulehtiotsikkopalstabold"/>
            </w:pPr>
            <w:r>
              <w:t>ISBN PDF</w:t>
            </w:r>
          </w:p>
        </w:tc>
        <w:tc>
          <w:tcPr>
            <w:tcW w:w="3643" w:type="dxa"/>
          </w:tcPr>
          <w:p w14:paraId="02CFCF7B" w14:textId="631FFE77" w:rsidR="001B17BD" w:rsidRDefault="001B17BD"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c>
          <w:tcPr>
            <w:tcW w:w="1142" w:type="dxa"/>
          </w:tcPr>
          <w:p w14:paraId="79574439" w14:textId="21A7834E" w:rsidR="001B17BD" w:rsidRPr="007872D6" w:rsidRDefault="001B17BD" w:rsidP="00127AB1">
            <w:pPr>
              <w:pStyle w:val="VNKuvailulehtiotsikkopalstabold"/>
            </w:pPr>
            <w:r>
              <w:t>ISSN PDF</w:t>
            </w:r>
          </w:p>
        </w:tc>
        <w:tc>
          <w:tcPr>
            <w:tcW w:w="2302" w:type="dxa"/>
          </w:tcPr>
          <w:p w14:paraId="23E134CC" w14:textId="3575D9EF" w:rsidR="001B17BD" w:rsidRDefault="001B17BD"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r>
      <w:tr w:rsidR="00B77B99" w14:paraId="3E13A755" w14:textId="77777777" w:rsidTr="00F36B65">
        <w:trPr>
          <w:trHeight w:val="385"/>
        </w:trPr>
        <w:tc>
          <w:tcPr>
            <w:tcW w:w="1560" w:type="dxa"/>
          </w:tcPr>
          <w:p w14:paraId="264B77BF" w14:textId="105C8991" w:rsidR="001B17BD" w:rsidRDefault="001B17BD" w:rsidP="00127AB1">
            <w:pPr>
              <w:pStyle w:val="VNKuvailulehtiotsikkopalstabold"/>
            </w:pPr>
            <w:r>
              <w:t xml:space="preserve">ISBN </w:t>
            </w:r>
            <w:proofErr w:type="spellStart"/>
            <w:r w:rsidR="005F7A5C">
              <w:t>tryckt</w:t>
            </w:r>
            <w:proofErr w:type="spellEnd"/>
          </w:p>
        </w:tc>
        <w:tc>
          <w:tcPr>
            <w:tcW w:w="3643" w:type="dxa"/>
          </w:tcPr>
          <w:p w14:paraId="383D991A" w14:textId="44D0FAC6" w:rsidR="001B17BD" w:rsidRDefault="001B17BD"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c>
          <w:tcPr>
            <w:tcW w:w="1142" w:type="dxa"/>
          </w:tcPr>
          <w:p w14:paraId="2E27558F" w14:textId="0EDE6834" w:rsidR="001B17BD" w:rsidRDefault="001B17BD" w:rsidP="00127AB1">
            <w:pPr>
              <w:pStyle w:val="VNKuvailulehtiotsikkopalstabold"/>
            </w:pPr>
            <w:r>
              <w:t xml:space="preserve">ISSN </w:t>
            </w:r>
            <w:proofErr w:type="spellStart"/>
            <w:r w:rsidR="005F7A5C">
              <w:t>tryckt</w:t>
            </w:r>
            <w:proofErr w:type="spellEnd"/>
          </w:p>
        </w:tc>
        <w:tc>
          <w:tcPr>
            <w:tcW w:w="2302" w:type="dxa"/>
          </w:tcPr>
          <w:p w14:paraId="360A23FE" w14:textId="19315049" w:rsidR="001B17BD" w:rsidRDefault="001B17BD"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r>
      <w:tr w:rsidR="00B77B99" w14:paraId="17B71A17" w14:textId="77777777" w:rsidTr="00F36B65">
        <w:trPr>
          <w:trHeight w:val="519"/>
        </w:trPr>
        <w:tc>
          <w:tcPr>
            <w:tcW w:w="1560" w:type="dxa"/>
            <w:tcBorders>
              <w:bottom w:val="single" w:sz="4" w:space="0" w:color="auto"/>
            </w:tcBorders>
          </w:tcPr>
          <w:p w14:paraId="13073C7A" w14:textId="67FC74D0" w:rsidR="001B17BD" w:rsidRDefault="001B17BD" w:rsidP="00127AB1">
            <w:pPr>
              <w:pStyle w:val="VNKuvailulehtiotsikkopalstabold"/>
            </w:pPr>
            <w:proofErr w:type="spellStart"/>
            <w:r>
              <w:t>Ärenden</w:t>
            </w:r>
            <w:r w:rsidR="00B31DAC">
              <w:t>r</w:t>
            </w:r>
            <w:proofErr w:type="spellEnd"/>
            <w:r w:rsidR="00B31DAC">
              <w:t>.</w:t>
            </w:r>
          </w:p>
        </w:tc>
        <w:tc>
          <w:tcPr>
            <w:tcW w:w="3643" w:type="dxa"/>
            <w:tcBorders>
              <w:bottom w:val="single" w:sz="4" w:space="0" w:color="auto"/>
            </w:tcBorders>
          </w:tcPr>
          <w:p w14:paraId="17A7CA92" w14:textId="07CA0157" w:rsidR="001B17BD" w:rsidRDefault="001B17BD" w:rsidP="00127AB1">
            <w:pPr>
              <w:pStyle w:val="VNKuvailulehtitieto"/>
            </w:pPr>
            <w:r>
              <w:fldChar w:fldCharType="begin"/>
            </w:r>
            <w:r>
              <w:instrText xml:space="preserve"> MACROBUTTON nomacro</w:instrText>
            </w:r>
            <w:r>
              <w:rPr>
                <w:color w:val="4293FF" w:themeColor="accent2"/>
              </w:rPr>
              <w:instrText xml:space="preserve"> </w:instrText>
            </w:r>
            <w:r w:rsidR="00841AAB">
              <w:rPr>
                <w:color w:val="4293FF" w:themeColor="accent2"/>
              </w:rPr>
              <w:instrText>Napsauta ja kirjoita</w:instrText>
            </w:r>
            <w:r>
              <w:instrText xml:space="preserve"> </w:instrText>
            </w:r>
            <w:r>
              <w:fldChar w:fldCharType="end"/>
            </w:r>
          </w:p>
        </w:tc>
        <w:tc>
          <w:tcPr>
            <w:tcW w:w="1142" w:type="dxa"/>
            <w:tcBorders>
              <w:bottom w:val="single" w:sz="4" w:space="0" w:color="auto"/>
            </w:tcBorders>
          </w:tcPr>
          <w:p w14:paraId="1B130A00" w14:textId="0548C6F0" w:rsidR="001B17BD" w:rsidRDefault="001B17BD" w:rsidP="00127AB1">
            <w:pPr>
              <w:pStyle w:val="VNKuvailulehtiotsikkopalstabold"/>
            </w:pPr>
            <w:proofErr w:type="spellStart"/>
            <w:r>
              <w:t>Projektnr</w:t>
            </w:r>
            <w:proofErr w:type="spellEnd"/>
            <w:r>
              <w:t>.</w:t>
            </w:r>
          </w:p>
        </w:tc>
        <w:tc>
          <w:tcPr>
            <w:tcW w:w="2302" w:type="dxa"/>
            <w:tcBorders>
              <w:bottom w:val="single" w:sz="4" w:space="0" w:color="auto"/>
            </w:tcBorders>
          </w:tcPr>
          <w:p w14:paraId="44735600" w14:textId="0C24E542" w:rsidR="001B17BD" w:rsidRDefault="001B17BD" w:rsidP="00127AB1">
            <w:pPr>
              <w:pStyle w:val="VNKuvailulehtitieto"/>
            </w:pPr>
            <w:r>
              <w:fldChar w:fldCharType="begin"/>
            </w:r>
            <w:r>
              <w:instrText xml:space="preserve"> MACROBUTTON nomacro</w:instrText>
            </w:r>
            <w:r>
              <w:rPr>
                <w:color w:val="4293FF" w:themeColor="accent2"/>
              </w:rPr>
              <w:instrText xml:space="preserve"> </w:instrText>
            </w:r>
            <w:r w:rsidR="00841AAB">
              <w:rPr>
                <w:color w:val="4293FF" w:themeColor="accent2"/>
              </w:rPr>
              <w:instrText>Napsauta ja kirjoita</w:instrText>
            </w:r>
            <w:r>
              <w:instrText xml:space="preserve"> </w:instrText>
            </w:r>
            <w:r>
              <w:fldChar w:fldCharType="end"/>
            </w:r>
          </w:p>
        </w:tc>
      </w:tr>
      <w:tr w:rsidR="000E1F97" w14:paraId="748710E1" w14:textId="77777777" w:rsidTr="529FD96C">
        <w:trPr>
          <w:trHeight w:val="413"/>
        </w:trPr>
        <w:tc>
          <w:tcPr>
            <w:tcW w:w="1560" w:type="dxa"/>
            <w:tcBorders>
              <w:top w:val="single" w:sz="4" w:space="0" w:color="auto"/>
              <w:bottom w:val="single" w:sz="18" w:space="0" w:color="365ABD" w:themeColor="accent3"/>
            </w:tcBorders>
          </w:tcPr>
          <w:p w14:paraId="6670A0E5" w14:textId="1505DD1D" w:rsidR="000E1F97" w:rsidRDefault="000E1F97" w:rsidP="00127AB1">
            <w:pPr>
              <w:pStyle w:val="VNKuvailulehtiotsikkopalstabold"/>
            </w:pPr>
            <w:r>
              <w:lastRenderedPageBreak/>
              <w:t>URN-</w:t>
            </w:r>
            <w:proofErr w:type="spellStart"/>
            <w:r>
              <w:t>adress</w:t>
            </w:r>
            <w:proofErr w:type="spellEnd"/>
          </w:p>
        </w:tc>
        <w:tc>
          <w:tcPr>
            <w:tcW w:w="7087" w:type="dxa"/>
            <w:gridSpan w:val="3"/>
            <w:tcBorders>
              <w:top w:val="single" w:sz="4" w:space="0" w:color="auto"/>
              <w:bottom w:val="single" w:sz="18" w:space="0" w:color="365ABD" w:themeColor="accent3"/>
            </w:tcBorders>
          </w:tcPr>
          <w:p w14:paraId="09D96868" w14:textId="7CB3F1A6" w:rsidR="000E1F97" w:rsidRDefault="000E1F97" w:rsidP="00127AB1">
            <w:pPr>
              <w:pStyle w:val="VNKuvailulehtitieto"/>
            </w:pPr>
            <w:r>
              <w:fldChar w:fldCharType="begin"/>
            </w:r>
            <w:r>
              <w:instrText xml:space="preserve"> MACROBUTTON nomacro </w:instrText>
            </w:r>
            <w:r w:rsidR="00841AAB">
              <w:rPr>
                <w:color w:val="4293FF" w:themeColor="accent2"/>
              </w:rPr>
              <w:instrText>VNK täyttää</w:instrText>
            </w:r>
            <w:r>
              <w:instrText xml:space="preserve"> </w:instrText>
            </w:r>
            <w:r>
              <w:fldChar w:fldCharType="end"/>
            </w:r>
          </w:p>
        </w:tc>
      </w:tr>
    </w:tbl>
    <w:p w14:paraId="03FFE695" w14:textId="6BCDAFBB" w:rsidR="00B90477" w:rsidRPr="0082653B" w:rsidRDefault="00B90477" w:rsidP="51F04FF6">
      <w:pPr>
        <w:pStyle w:val="VNLeip1kappale"/>
        <w:spacing w:after="240"/>
        <w:rPr>
          <w:rFonts w:ascii="Aptos" w:eastAsia="Aptos" w:hAnsi="Aptos" w:cs="Aptos"/>
          <w:sz w:val="24"/>
          <w:szCs w:val="24"/>
          <w:lang w:val="sv-SE"/>
        </w:rPr>
      </w:pPr>
      <w:r w:rsidRPr="51F04FF6">
        <w:rPr>
          <w:lang w:val="sv-SE"/>
        </w:rPr>
        <w:br w:type="page"/>
      </w:r>
    </w:p>
    <w:p w14:paraId="4B5CF947" w14:textId="31EC8E48" w:rsidR="00112267" w:rsidRDefault="00E605C3" w:rsidP="00112267">
      <w:pPr>
        <w:pStyle w:val="VNkuvailulehtitop"/>
      </w:pPr>
      <w:proofErr w:type="spellStart"/>
      <w:r>
        <w:lastRenderedPageBreak/>
        <w:t>Description</w:t>
      </w:r>
      <w:proofErr w:type="spellEnd"/>
      <w:r>
        <w:t xml:space="preserve"> </w:t>
      </w:r>
      <w:proofErr w:type="spellStart"/>
      <w:r>
        <w:t>sheet</w:t>
      </w:r>
      <w:proofErr w:type="spellEnd"/>
    </w:p>
    <w:p w14:paraId="48D3F5C7" w14:textId="6A117860" w:rsidR="00112267" w:rsidRDefault="68E86134" w:rsidP="00112267">
      <w:pPr>
        <w:pStyle w:val="VNKuvailulehtipiv"/>
      </w:pPr>
      <w:r>
        <w:t>2</w:t>
      </w:r>
      <w:r w:rsidR="5BDD159A">
        <w:t xml:space="preserve"> </w:t>
      </w:r>
      <w:proofErr w:type="spellStart"/>
      <w:r w:rsidR="711B97ED">
        <w:t>July</w:t>
      </w:r>
      <w:proofErr w:type="spellEnd"/>
      <w:r w:rsidR="00C339A7">
        <w:t xml:space="preserve"> 202</w:t>
      </w:r>
      <w:r w:rsidR="426AEA5F">
        <w:t>5</w:t>
      </w:r>
    </w:p>
    <w:p w14:paraId="0688BD18" w14:textId="34002CC0" w:rsidR="00112267" w:rsidRDefault="00112267" w:rsidP="00112267">
      <w:pPr>
        <w:pStyle w:val="VNKuvailulehtiotsikko"/>
      </w:pPr>
      <w:r>
        <w:fldChar w:fldCharType="begin"/>
      </w:r>
      <w:r>
        <w:instrText xml:space="preserve"> MACROBUTTON nomacro </w:instrText>
      </w:r>
      <w:r w:rsidR="00B44FEF">
        <w:rPr>
          <w:color w:val="4293FF" w:themeColor="accent2"/>
        </w:rPr>
        <w:instrText>Napsauta ja kirjoita otsikko englanniksi</w:instrText>
      </w:r>
      <w:r>
        <w:instrText xml:space="preserve"> </w:instrText>
      </w:r>
      <w:r>
        <w:fldChar w:fldCharType="end"/>
      </w:r>
    </w:p>
    <w:p w14:paraId="46CB077A" w14:textId="3890BF0F" w:rsidR="00112267" w:rsidRDefault="00112267" w:rsidP="00112267">
      <w:pPr>
        <w:pStyle w:val="VNKuvailulehtiotsikko"/>
      </w:pPr>
      <w:r>
        <w:fldChar w:fldCharType="begin"/>
      </w:r>
      <w:r>
        <w:instrText xml:space="preserve"> MACROBUTTON nomacro </w:instrText>
      </w:r>
      <w:r w:rsidR="00B44FEF">
        <w:rPr>
          <w:color w:val="4293FF" w:themeColor="accent2"/>
        </w:rPr>
        <w:instrText>Napsauta ja kirjoita alaotsikko englanniksi</w:instrText>
      </w:r>
      <w:r w:rsidRPr="007721D2">
        <w:rPr>
          <w:color w:val="4293FF" w:themeColor="accent2"/>
        </w:rPr>
        <w:instrText xml:space="preserve"> </w:instrText>
      </w:r>
      <w:r>
        <w:fldChar w:fldCharType="end"/>
      </w:r>
    </w:p>
    <w:tbl>
      <w:tblPr>
        <w:tblStyle w:val="Kuvailulehtiyl"/>
        <w:tblW w:w="8647" w:type="dxa"/>
        <w:tblLook w:val="04A0" w:firstRow="1" w:lastRow="0" w:firstColumn="1" w:lastColumn="0" w:noHBand="0" w:noVBand="1"/>
      </w:tblPr>
      <w:tblGrid>
        <w:gridCol w:w="1317"/>
        <w:gridCol w:w="3406"/>
        <w:gridCol w:w="1198"/>
        <w:gridCol w:w="2726"/>
      </w:tblGrid>
      <w:tr w:rsidR="00B44FEF" w14:paraId="0507E063" w14:textId="77777777" w:rsidTr="003B0EAF">
        <w:trPr>
          <w:trHeight w:val="508"/>
        </w:trPr>
        <w:tc>
          <w:tcPr>
            <w:tcW w:w="4723" w:type="dxa"/>
            <w:gridSpan w:val="2"/>
          </w:tcPr>
          <w:p w14:paraId="5CBD35D5" w14:textId="16B66BB2" w:rsidR="00B44FEF" w:rsidRDefault="00B44FEF" w:rsidP="007D256A">
            <w:pPr>
              <w:pStyle w:val="VNKuvailulehtiotsikkopalstabold"/>
            </w:pPr>
            <w:r>
              <w:fldChar w:fldCharType="begin"/>
            </w:r>
            <w:r>
              <w:instrText xml:space="preserve"> MACROBUTTON nomacro </w:instrText>
            </w:r>
            <w:r w:rsidRPr="00D442E3">
              <w:instrText>VNK täyttää, sarjanimi ja numero</w:instrText>
            </w:r>
            <w:r>
              <w:instrText xml:space="preserve"> </w:instrText>
            </w:r>
            <w:r>
              <w:fldChar w:fldCharType="end"/>
            </w:r>
          </w:p>
        </w:tc>
        <w:tc>
          <w:tcPr>
            <w:tcW w:w="1198" w:type="dxa"/>
          </w:tcPr>
          <w:p w14:paraId="61C71859" w14:textId="128DB9CB" w:rsidR="00B44FEF" w:rsidRPr="004710F6" w:rsidRDefault="00B44FEF" w:rsidP="007D256A">
            <w:pPr>
              <w:pStyle w:val="VNKuvailulehtiotsikkopalstabold"/>
            </w:pPr>
            <w:proofErr w:type="spellStart"/>
            <w:r>
              <w:t>Subject</w:t>
            </w:r>
            <w:proofErr w:type="spellEnd"/>
          </w:p>
        </w:tc>
        <w:tc>
          <w:tcPr>
            <w:tcW w:w="2726" w:type="dxa"/>
          </w:tcPr>
          <w:p w14:paraId="2DFE04B8" w14:textId="08803FA6" w:rsidR="00B44FEF" w:rsidRDefault="00B44FEF" w:rsidP="007D256A">
            <w:pPr>
              <w:pStyle w:val="VNKuvailulehtitieto"/>
            </w:pPr>
            <w:r>
              <w:fldChar w:fldCharType="begin"/>
            </w:r>
            <w:r>
              <w:instrText xml:space="preserve"> MACROBUTTON nomacro </w:instrText>
            </w:r>
            <w:r>
              <w:rPr>
                <w:color w:val="4293FF" w:themeColor="accent2"/>
              </w:rPr>
              <w:instrText>Napsauta ja kirjoita</w:instrText>
            </w:r>
            <w:r>
              <w:instrText xml:space="preserve"> </w:instrText>
            </w:r>
            <w:r>
              <w:fldChar w:fldCharType="end"/>
            </w:r>
          </w:p>
        </w:tc>
      </w:tr>
      <w:tr w:rsidR="001B17BD" w14:paraId="53006F77" w14:textId="77777777" w:rsidTr="003B0EAF">
        <w:trPr>
          <w:trHeight w:val="575"/>
        </w:trPr>
        <w:tc>
          <w:tcPr>
            <w:tcW w:w="1317" w:type="dxa"/>
            <w:tcBorders>
              <w:bottom w:val="single" w:sz="6" w:space="0" w:color="000000" w:themeColor="text1"/>
            </w:tcBorders>
          </w:tcPr>
          <w:p w14:paraId="1A37EBC4" w14:textId="0DEFEDE1" w:rsidR="001B17BD" w:rsidRPr="004710F6" w:rsidRDefault="00B31DAC" w:rsidP="007D256A">
            <w:pPr>
              <w:pStyle w:val="VNKuvailulehtiotsikkopalstabold"/>
            </w:pPr>
            <w:r>
              <w:t>Publisher</w:t>
            </w:r>
          </w:p>
        </w:tc>
        <w:tc>
          <w:tcPr>
            <w:tcW w:w="3406" w:type="dxa"/>
            <w:tcBorders>
              <w:bottom w:val="single" w:sz="6" w:space="0" w:color="000000" w:themeColor="text1"/>
            </w:tcBorders>
          </w:tcPr>
          <w:p w14:paraId="6E5C81B6" w14:textId="5BA37EEC"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0517A5">
              <w:rPr>
                <w:color w:val="4293FF" w:themeColor="accent2"/>
              </w:rPr>
              <w:instrText>Napsauta ja kirjoita</w:instrText>
            </w:r>
            <w:r>
              <w:instrText xml:space="preserve"> </w:instrText>
            </w:r>
            <w:r>
              <w:fldChar w:fldCharType="end"/>
            </w:r>
          </w:p>
        </w:tc>
        <w:tc>
          <w:tcPr>
            <w:tcW w:w="1198" w:type="dxa"/>
            <w:tcBorders>
              <w:bottom w:val="single" w:sz="6" w:space="0" w:color="000000" w:themeColor="text1"/>
            </w:tcBorders>
          </w:tcPr>
          <w:p w14:paraId="6DE91634" w14:textId="2329DAA3" w:rsidR="001B17BD" w:rsidRPr="007872D6" w:rsidRDefault="001B17BD" w:rsidP="007D256A">
            <w:pPr>
              <w:pStyle w:val="VNKuvailulehtiotsikkopalstabold"/>
            </w:pPr>
          </w:p>
        </w:tc>
        <w:tc>
          <w:tcPr>
            <w:tcW w:w="2726" w:type="dxa"/>
            <w:tcBorders>
              <w:bottom w:val="single" w:sz="6" w:space="0" w:color="000000" w:themeColor="text1"/>
            </w:tcBorders>
          </w:tcPr>
          <w:p w14:paraId="2205C918" w14:textId="2BF9A489" w:rsidR="001B17BD" w:rsidRDefault="001B17BD" w:rsidP="007D256A">
            <w:pPr>
              <w:pStyle w:val="VNKuvailulehtitieto"/>
            </w:pPr>
          </w:p>
        </w:tc>
      </w:tr>
      <w:tr w:rsidR="001B17BD" w14:paraId="2D42737F" w14:textId="77777777" w:rsidTr="003B0EAF">
        <w:trPr>
          <w:trHeight w:val="270"/>
        </w:trPr>
        <w:tc>
          <w:tcPr>
            <w:tcW w:w="1317" w:type="dxa"/>
            <w:tcBorders>
              <w:top w:val="single" w:sz="6" w:space="0" w:color="000000" w:themeColor="text1"/>
            </w:tcBorders>
          </w:tcPr>
          <w:p w14:paraId="52C10896" w14:textId="2EA141B8" w:rsidR="001B17BD" w:rsidRPr="004710F6" w:rsidRDefault="00B31DAC" w:rsidP="007D256A">
            <w:pPr>
              <w:pStyle w:val="VNKuvailulehtiotsikkopalstabold"/>
            </w:pPr>
            <w:r>
              <w:t>Author</w:t>
            </w:r>
            <w:r w:rsidR="009705D7">
              <w:t>(</w:t>
            </w:r>
            <w:r>
              <w:t>s</w:t>
            </w:r>
            <w:r w:rsidR="009705D7">
              <w:t>)</w:t>
            </w:r>
          </w:p>
        </w:tc>
        <w:tc>
          <w:tcPr>
            <w:tcW w:w="7330" w:type="dxa"/>
            <w:gridSpan w:val="3"/>
            <w:tcBorders>
              <w:top w:val="single" w:sz="6" w:space="0" w:color="000000" w:themeColor="text1"/>
            </w:tcBorders>
          </w:tcPr>
          <w:p w14:paraId="527352F5" w14:textId="02D55B54" w:rsidR="001B17BD" w:rsidRDefault="001B17BD" w:rsidP="007D256A">
            <w:pPr>
              <w:pStyle w:val="VNKuvailulehtitieto"/>
            </w:pPr>
            <w:r>
              <w:fldChar w:fldCharType="begin"/>
            </w:r>
            <w:r>
              <w:instrText xml:space="preserve"> MACROBUTTON nomacro </w:instrText>
            </w:r>
            <w:r w:rsidR="000517A5">
              <w:rPr>
                <w:color w:val="4293FF" w:themeColor="accent2"/>
              </w:rPr>
              <w:instrText>Napsauta ja kirjoita</w:instrText>
            </w:r>
            <w:r>
              <w:instrText xml:space="preserve"> </w:instrText>
            </w:r>
            <w:r>
              <w:fldChar w:fldCharType="end"/>
            </w:r>
          </w:p>
        </w:tc>
      </w:tr>
      <w:tr w:rsidR="001B17BD" w14:paraId="4C8CD487" w14:textId="77777777" w:rsidTr="003B0EAF">
        <w:trPr>
          <w:trHeight w:val="61"/>
        </w:trPr>
        <w:tc>
          <w:tcPr>
            <w:tcW w:w="1317" w:type="dxa"/>
          </w:tcPr>
          <w:p w14:paraId="69559797" w14:textId="10128F2B" w:rsidR="001B17BD" w:rsidRPr="004710F6" w:rsidRDefault="00B31DAC" w:rsidP="007D256A">
            <w:pPr>
              <w:pStyle w:val="VNKuvailulehtiotsikkopalstabold"/>
            </w:pPr>
            <w:proofErr w:type="spellStart"/>
            <w:r>
              <w:t>Editor</w:t>
            </w:r>
            <w:proofErr w:type="spellEnd"/>
            <w:r w:rsidR="009705D7">
              <w:t>(s)</w:t>
            </w:r>
          </w:p>
        </w:tc>
        <w:tc>
          <w:tcPr>
            <w:tcW w:w="7330" w:type="dxa"/>
            <w:gridSpan w:val="3"/>
          </w:tcPr>
          <w:p w14:paraId="13A56E80" w14:textId="0EA4DFF1"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0517A5">
              <w:rPr>
                <w:color w:val="4293FF" w:themeColor="accent2"/>
              </w:rPr>
              <w:instrText>Napsauta ja kirjoita</w:instrText>
            </w:r>
            <w:r>
              <w:instrText xml:space="preserve"> </w:instrText>
            </w:r>
            <w:r>
              <w:fldChar w:fldCharType="end"/>
            </w:r>
          </w:p>
        </w:tc>
      </w:tr>
      <w:tr w:rsidR="001B17BD" w:rsidRPr="00F0547F" w14:paraId="01005A29" w14:textId="77777777" w:rsidTr="003B0EAF">
        <w:trPr>
          <w:trHeight w:val="61"/>
        </w:trPr>
        <w:tc>
          <w:tcPr>
            <w:tcW w:w="1317" w:type="dxa"/>
          </w:tcPr>
          <w:p w14:paraId="51C22971" w14:textId="7B2CB79E" w:rsidR="001B17BD" w:rsidRPr="004710F6" w:rsidRDefault="00B31DAC" w:rsidP="009705D7">
            <w:pPr>
              <w:pStyle w:val="VNKuvailulehtiotsikkopalstabold"/>
            </w:pPr>
            <w:r>
              <w:t xml:space="preserve">Group </w:t>
            </w:r>
            <w:proofErr w:type="spellStart"/>
            <w:r w:rsidR="009705D7">
              <w:t>a</w:t>
            </w:r>
            <w:r>
              <w:t>uthor</w:t>
            </w:r>
            <w:proofErr w:type="spellEnd"/>
          </w:p>
        </w:tc>
        <w:tc>
          <w:tcPr>
            <w:tcW w:w="7330" w:type="dxa"/>
            <w:gridSpan w:val="3"/>
          </w:tcPr>
          <w:p w14:paraId="20BCAB32" w14:textId="4B01B93F"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0517A5">
              <w:rPr>
                <w:color w:val="4293FF" w:themeColor="accent2"/>
              </w:rPr>
              <w:instrText>Napsauta ja kirjoita</w:instrText>
            </w:r>
            <w:r>
              <w:instrText xml:space="preserve"> </w:instrText>
            </w:r>
            <w:r>
              <w:fldChar w:fldCharType="end"/>
            </w:r>
          </w:p>
        </w:tc>
      </w:tr>
      <w:tr w:rsidR="001B17BD" w14:paraId="7C6A1B60" w14:textId="77777777" w:rsidTr="003B0EAF">
        <w:trPr>
          <w:trHeight w:val="456"/>
        </w:trPr>
        <w:tc>
          <w:tcPr>
            <w:tcW w:w="1317" w:type="dxa"/>
            <w:tcBorders>
              <w:bottom w:val="single" w:sz="4" w:space="0" w:color="auto"/>
            </w:tcBorders>
          </w:tcPr>
          <w:p w14:paraId="058F84D4" w14:textId="4E8E44AB" w:rsidR="001B17BD" w:rsidRPr="004710F6" w:rsidRDefault="001B17BD" w:rsidP="007D256A">
            <w:pPr>
              <w:pStyle w:val="VNKuvailulehtiotsikkopalstabold"/>
            </w:pPr>
            <w:r>
              <w:t>Language</w:t>
            </w:r>
          </w:p>
        </w:tc>
        <w:tc>
          <w:tcPr>
            <w:tcW w:w="3406" w:type="dxa"/>
            <w:tcBorders>
              <w:bottom w:val="single" w:sz="4" w:space="0" w:color="auto"/>
            </w:tcBorders>
          </w:tcPr>
          <w:p w14:paraId="6DE779C1" w14:textId="4532DB4B" w:rsidR="001B17BD" w:rsidRDefault="001B17BD" w:rsidP="007D256A">
            <w:pPr>
              <w:pStyle w:val="VNKuvailulehtitieto"/>
            </w:pPr>
            <w:r>
              <w:fldChar w:fldCharType="begin"/>
            </w:r>
            <w:r>
              <w:instrText xml:space="preserve"> MACROBUTTON nomacro </w:instrText>
            </w:r>
            <w:r w:rsidR="000517A5">
              <w:rPr>
                <w:color w:val="4293FF" w:themeColor="accent2"/>
              </w:rPr>
              <w:instrText>Napsauta ja kirjoita</w:instrText>
            </w:r>
            <w:r>
              <w:instrText xml:space="preserve"> </w:instrText>
            </w:r>
            <w:r>
              <w:fldChar w:fldCharType="end"/>
            </w:r>
          </w:p>
        </w:tc>
        <w:tc>
          <w:tcPr>
            <w:tcW w:w="1198" w:type="dxa"/>
            <w:tcBorders>
              <w:bottom w:val="single" w:sz="4" w:space="0" w:color="auto"/>
            </w:tcBorders>
          </w:tcPr>
          <w:p w14:paraId="6436C40D" w14:textId="1ED49572" w:rsidR="001B17BD" w:rsidRPr="007872D6" w:rsidRDefault="001B17BD" w:rsidP="007D256A">
            <w:pPr>
              <w:pStyle w:val="VNKuvailulehtiotsikkopalstabold"/>
            </w:pPr>
            <w:proofErr w:type="spellStart"/>
            <w:r>
              <w:t>Pages</w:t>
            </w:r>
            <w:proofErr w:type="spellEnd"/>
          </w:p>
        </w:tc>
        <w:tc>
          <w:tcPr>
            <w:tcW w:w="2726" w:type="dxa"/>
            <w:tcBorders>
              <w:bottom w:val="single" w:sz="4" w:space="0" w:color="auto"/>
            </w:tcBorders>
          </w:tcPr>
          <w:p w14:paraId="240C06B5" w14:textId="20106812" w:rsidR="001B17BD" w:rsidRDefault="001B17BD" w:rsidP="00127AB1">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r>
      <w:tr w:rsidR="001B17BD" w:rsidRPr="00FF1D45" w14:paraId="6CBEE448" w14:textId="77777777" w:rsidTr="003B0EAF">
        <w:trPr>
          <w:trHeight w:val="5329"/>
        </w:trPr>
        <w:tc>
          <w:tcPr>
            <w:tcW w:w="1317" w:type="dxa"/>
            <w:tcBorders>
              <w:top w:val="single" w:sz="4" w:space="0" w:color="auto"/>
              <w:bottom w:val="nil"/>
            </w:tcBorders>
          </w:tcPr>
          <w:p w14:paraId="0DA938F9" w14:textId="25021449" w:rsidR="001B17BD" w:rsidRPr="001B17BD" w:rsidRDefault="001B17BD" w:rsidP="00127AB1">
            <w:pPr>
              <w:pStyle w:val="VNKuvailulehtiotsikkopalstabold"/>
              <w:rPr>
                <w:lang w:val="sv-FI"/>
              </w:rPr>
            </w:pPr>
            <w:r>
              <w:rPr>
                <w:lang w:val="sv-FI"/>
              </w:rPr>
              <w:t>Abstract</w:t>
            </w:r>
          </w:p>
        </w:tc>
        <w:tc>
          <w:tcPr>
            <w:tcW w:w="7330" w:type="dxa"/>
            <w:gridSpan w:val="3"/>
            <w:tcBorders>
              <w:top w:val="single" w:sz="4" w:space="0" w:color="auto"/>
              <w:bottom w:val="nil"/>
            </w:tcBorders>
          </w:tcPr>
          <w:p w14:paraId="62F3DF46" w14:textId="17495B23" w:rsidR="00E77E98" w:rsidRPr="00E77E98" w:rsidRDefault="000E6EDE" w:rsidP="00E77E98">
            <w:pPr>
              <w:pStyle w:val="VNKuvailulehtiotsikkopalstabold"/>
              <w:rPr>
                <w:rFonts w:asciiTheme="majorHAnsi" w:hAnsiTheme="majorHAnsi" w:cs="Myriad Pro"/>
                <w:b w:val="0"/>
                <w:szCs w:val="18"/>
                <w:u w:color="000000"/>
                <w:lang w:val="en-GB"/>
              </w:rPr>
            </w:pPr>
            <w:r>
              <w:rPr>
                <w:rFonts w:asciiTheme="majorHAnsi" w:hAnsiTheme="majorHAnsi" w:cs="Myriad Pro"/>
                <w:b w:val="0"/>
                <w:szCs w:val="18"/>
                <w:u w:color="000000"/>
                <w:lang w:val="en-GB"/>
              </w:rPr>
              <w:t>The</w:t>
            </w:r>
            <w:r w:rsidR="006F1017">
              <w:rPr>
                <w:rFonts w:asciiTheme="majorHAnsi" w:hAnsiTheme="majorHAnsi" w:cs="Myriad Pro"/>
                <w:b w:val="0"/>
                <w:szCs w:val="18"/>
                <w:u w:color="000000"/>
                <w:lang w:val="en-GB"/>
              </w:rPr>
              <w:t xml:space="preserve"> Climate Act </w:t>
            </w:r>
            <w:r w:rsidR="002470DD">
              <w:rPr>
                <w:rFonts w:asciiTheme="majorHAnsi" w:hAnsiTheme="majorHAnsi" w:cs="Myriad Pro"/>
                <w:b w:val="0"/>
                <w:szCs w:val="18"/>
                <w:u w:color="000000"/>
                <w:lang w:val="en-GB"/>
              </w:rPr>
              <w:t>manda</w:t>
            </w:r>
            <w:r w:rsidR="00EA2FBE">
              <w:rPr>
                <w:rFonts w:asciiTheme="majorHAnsi" w:hAnsiTheme="majorHAnsi" w:cs="Myriad Pro"/>
                <w:b w:val="0"/>
                <w:szCs w:val="18"/>
                <w:u w:color="000000"/>
                <w:lang w:val="en-GB"/>
              </w:rPr>
              <w:t>te</w:t>
            </w:r>
            <w:r w:rsidR="002470DD">
              <w:rPr>
                <w:rFonts w:asciiTheme="majorHAnsi" w:hAnsiTheme="majorHAnsi" w:cs="Myriad Pro"/>
                <w:b w:val="0"/>
                <w:szCs w:val="18"/>
                <w:u w:color="000000"/>
                <w:lang w:val="en-GB"/>
              </w:rPr>
              <w:t>s t</w:t>
            </w:r>
            <w:r w:rsidR="00E77E98" w:rsidRPr="00E77E98">
              <w:rPr>
                <w:rFonts w:asciiTheme="majorHAnsi" w:hAnsiTheme="majorHAnsi" w:cs="Myriad Pro"/>
                <w:b w:val="0"/>
                <w:szCs w:val="18"/>
                <w:u w:color="000000"/>
                <w:lang w:val="en-GB"/>
              </w:rPr>
              <w:t>he preparation of the Medium-Term Climate Plan</w:t>
            </w:r>
            <w:r w:rsidR="00EA2FBE">
              <w:rPr>
                <w:rFonts w:asciiTheme="majorHAnsi" w:hAnsiTheme="majorHAnsi" w:cs="Myriad Pro"/>
                <w:b w:val="0"/>
                <w:szCs w:val="18"/>
                <w:u w:color="000000"/>
                <w:lang w:val="en-GB"/>
              </w:rPr>
              <w:t>.</w:t>
            </w:r>
            <w:r w:rsidR="00E77E98" w:rsidRPr="00E77E98">
              <w:rPr>
                <w:rFonts w:asciiTheme="majorHAnsi" w:hAnsiTheme="majorHAnsi" w:cs="Myriad Pro"/>
                <w:b w:val="0"/>
                <w:szCs w:val="18"/>
                <w:u w:color="000000"/>
                <w:lang w:val="en-GB"/>
              </w:rPr>
              <w:t xml:space="preserve"> The plan addresses emissions and emission reductions in </w:t>
            </w:r>
            <w:r w:rsidR="002470DD">
              <w:rPr>
                <w:rFonts w:asciiTheme="majorHAnsi" w:hAnsiTheme="majorHAnsi" w:cs="Myriad Pro"/>
                <w:b w:val="0"/>
                <w:szCs w:val="18"/>
                <w:u w:color="000000"/>
                <w:lang w:val="en-GB"/>
              </w:rPr>
              <w:t xml:space="preserve">the </w:t>
            </w:r>
            <w:r w:rsidR="00EA2FBE">
              <w:rPr>
                <w:rFonts w:asciiTheme="majorHAnsi" w:hAnsiTheme="majorHAnsi" w:cs="Myriad Pro"/>
                <w:b w:val="0"/>
                <w:szCs w:val="18"/>
                <w:u w:color="000000"/>
                <w:lang w:val="en-GB"/>
              </w:rPr>
              <w:t>e</w:t>
            </w:r>
            <w:r w:rsidR="00E77E98" w:rsidRPr="00E77E98">
              <w:rPr>
                <w:rFonts w:asciiTheme="majorHAnsi" w:hAnsiTheme="majorHAnsi" w:cs="Myriad Pro"/>
                <w:b w:val="0"/>
                <w:szCs w:val="18"/>
                <w:u w:color="000000"/>
                <w:lang w:val="en-GB"/>
              </w:rPr>
              <w:t xml:space="preserve">ffort </w:t>
            </w:r>
            <w:r w:rsidR="00EA2FBE">
              <w:rPr>
                <w:rFonts w:asciiTheme="majorHAnsi" w:hAnsiTheme="majorHAnsi" w:cs="Myriad Pro"/>
                <w:b w:val="0"/>
                <w:szCs w:val="18"/>
                <w:u w:color="000000"/>
                <w:lang w:val="en-GB"/>
              </w:rPr>
              <w:t>s</w:t>
            </w:r>
            <w:r w:rsidR="00E77E98" w:rsidRPr="00E77E98">
              <w:rPr>
                <w:rFonts w:asciiTheme="majorHAnsi" w:hAnsiTheme="majorHAnsi" w:cs="Myriad Pro"/>
                <w:b w:val="0"/>
                <w:szCs w:val="18"/>
                <w:u w:color="000000"/>
                <w:lang w:val="en-GB"/>
              </w:rPr>
              <w:t>haring sector</w:t>
            </w:r>
            <w:r w:rsidR="00EA2FBE">
              <w:rPr>
                <w:rFonts w:asciiTheme="majorHAnsi" w:hAnsiTheme="majorHAnsi" w:cs="Myriad Pro"/>
                <w:b w:val="0"/>
                <w:szCs w:val="18"/>
                <w:u w:color="000000"/>
                <w:lang w:val="en-GB"/>
              </w:rPr>
              <w:t>, which</w:t>
            </w:r>
            <w:r w:rsidR="00E77E98" w:rsidRPr="00E77E98">
              <w:rPr>
                <w:rFonts w:asciiTheme="majorHAnsi" w:hAnsiTheme="majorHAnsi" w:cs="Myriad Pro"/>
                <w:b w:val="0"/>
                <w:szCs w:val="18"/>
                <w:u w:color="000000"/>
                <w:lang w:val="en-GB"/>
              </w:rPr>
              <w:t xml:space="preserve"> includes emissions from transport, agriculture, heating of buildings, machinery, waste management</w:t>
            </w:r>
            <w:r w:rsidR="00C06ABB">
              <w:rPr>
                <w:rFonts w:asciiTheme="majorHAnsi" w:hAnsiTheme="majorHAnsi" w:cs="Myriad Pro"/>
                <w:b w:val="0"/>
                <w:szCs w:val="18"/>
                <w:u w:color="000000"/>
                <w:lang w:val="en-GB"/>
              </w:rPr>
              <w:t xml:space="preserve"> and</w:t>
            </w:r>
            <w:r w:rsidR="00E77E98" w:rsidRPr="00E77E98">
              <w:rPr>
                <w:rFonts w:asciiTheme="majorHAnsi" w:hAnsiTheme="majorHAnsi" w:cs="Myriad Pro"/>
                <w:b w:val="0"/>
                <w:szCs w:val="18"/>
                <w:u w:color="000000"/>
                <w:lang w:val="en-GB"/>
              </w:rPr>
              <w:t xml:space="preserve"> incineration, F-gases, and industrial emissions not covered by the EU Emissions Trading System.</w:t>
            </w:r>
          </w:p>
          <w:p w14:paraId="40C97791" w14:textId="1475E217" w:rsidR="00E77E98" w:rsidRPr="00E77E98" w:rsidRDefault="00E77E98" w:rsidP="00E77E98">
            <w:pPr>
              <w:pStyle w:val="VNKuvailulehtiotsikkopalstabold"/>
              <w:rPr>
                <w:rFonts w:asciiTheme="majorHAnsi" w:hAnsiTheme="majorHAnsi" w:cs="Myriad Pro"/>
                <w:b w:val="0"/>
                <w:szCs w:val="18"/>
                <w:u w:color="000000"/>
                <w:lang w:val="en-GB"/>
              </w:rPr>
            </w:pPr>
            <w:r w:rsidRPr="00E77E98">
              <w:rPr>
                <w:rFonts w:asciiTheme="majorHAnsi" w:hAnsiTheme="majorHAnsi" w:cs="Myriad Pro"/>
                <w:b w:val="0"/>
                <w:szCs w:val="18"/>
                <w:u w:color="000000"/>
                <w:lang w:val="en-GB"/>
              </w:rPr>
              <w:t xml:space="preserve">The third Medium-Term Climate Plan is based </w:t>
            </w:r>
            <w:r w:rsidR="007D6494">
              <w:rPr>
                <w:rFonts w:asciiTheme="majorHAnsi" w:hAnsiTheme="majorHAnsi" w:cs="Myriad Pro"/>
                <w:b w:val="0"/>
                <w:szCs w:val="18"/>
                <w:u w:color="000000"/>
                <w:lang w:val="en-GB"/>
              </w:rPr>
              <w:t>on</w:t>
            </w:r>
            <w:r w:rsidRPr="00E77E98">
              <w:rPr>
                <w:rFonts w:asciiTheme="majorHAnsi" w:hAnsiTheme="majorHAnsi" w:cs="Myriad Pro"/>
                <w:b w:val="0"/>
                <w:szCs w:val="18"/>
                <w:u w:color="000000"/>
                <w:lang w:val="en-GB"/>
              </w:rPr>
              <w:t xml:space="preserve"> the</w:t>
            </w:r>
            <w:r w:rsidR="000B1C4F">
              <w:rPr>
                <w:rFonts w:asciiTheme="majorHAnsi" w:hAnsiTheme="majorHAnsi" w:cs="Myriad Pro"/>
                <w:b w:val="0"/>
                <w:szCs w:val="18"/>
                <w:u w:color="000000"/>
                <w:lang w:val="en-GB"/>
              </w:rPr>
              <w:t xml:space="preserve"> </w:t>
            </w:r>
            <w:r w:rsidRPr="00E77E98">
              <w:rPr>
                <w:rFonts w:asciiTheme="majorHAnsi" w:hAnsiTheme="majorHAnsi" w:cs="Myriad Pro"/>
                <w:b w:val="0"/>
                <w:szCs w:val="18"/>
                <w:u w:color="000000"/>
                <w:lang w:val="en-GB"/>
              </w:rPr>
              <w:t>EU climate legislation’s emission reduction target for 2030, and the climate polic</w:t>
            </w:r>
            <w:r w:rsidR="00353789">
              <w:rPr>
                <w:rFonts w:asciiTheme="majorHAnsi" w:hAnsiTheme="majorHAnsi" w:cs="Myriad Pro"/>
                <w:b w:val="0"/>
                <w:szCs w:val="18"/>
                <w:u w:color="000000"/>
                <w:lang w:val="en-GB"/>
              </w:rPr>
              <w:t>ies</w:t>
            </w:r>
            <w:r w:rsidRPr="00E77E98">
              <w:rPr>
                <w:rFonts w:asciiTheme="majorHAnsi" w:hAnsiTheme="majorHAnsi" w:cs="Myriad Pro"/>
                <w:b w:val="0"/>
                <w:szCs w:val="18"/>
                <w:u w:color="000000"/>
                <w:lang w:val="en-GB"/>
              </w:rPr>
              <w:t xml:space="preserve"> set out in Prime Minister Petteri </w:t>
            </w:r>
            <w:proofErr w:type="spellStart"/>
            <w:r w:rsidRPr="00E77E98">
              <w:rPr>
                <w:rFonts w:asciiTheme="majorHAnsi" w:hAnsiTheme="majorHAnsi" w:cs="Myriad Pro"/>
                <w:b w:val="0"/>
                <w:szCs w:val="18"/>
                <w:u w:color="000000"/>
                <w:lang w:val="en-GB"/>
              </w:rPr>
              <w:t>Orpo’s</w:t>
            </w:r>
            <w:proofErr w:type="spellEnd"/>
            <w:r w:rsidRPr="00E77E98">
              <w:rPr>
                <w:rFonts w:asciiTheme="majorHAnsi" w:hAnsiTheme="majorHAnsi" w:cs="Myriad Pro"/>
                <w:b w:val="0"/>
                <w:szCs w:val="18"/>
                <w:u w:color="000000"/>
                <w:lang w:val="en-GB"/>
              </w:rPr>
              <w:t xml:space="preserve"> government programme. Under EU law, Finland’s emission reduction obligation for the </w:t>
            </w:r>
            <w:r w:rsidR="00B01015">
              <w:rPr>
                <w:rFonts w:asciiTheme="majorHAnsi" w:hAnsiTheme="majorHAnsi" w:cs="Myriad Pro"/>
                <w:b w:val="0"/>
                <w:szCs w:val="18"/>
                <w:u w:color="000000"/>
                <w:lang w:val="en-GB"/>
              </w:rPr>
              <w:t>e</w:t>
            </w:r>
            <w:r w:rsidRPr="00E77E98">
              <w:rPr>
                <w:rFonts w:asciiTheme="majorHAnsi" w:hAnsiTheme="majorHAnsi" w:cs="Myriad Pro"/>
                <w:b w:val="0"/>
                <w:szCs w:val="18"/>
                <w:u w:color="000000"/>
                <w:lang w:val="en-GB"/>
              </w:rPr>
              <w:t xml:space="preserve">ffort </w:t>
            </w:r>
            <w:r w:rsidR="003611F3">
              <w:rPr>
                <w:rFonts w:asciiTheme="majorHAnsi" w:hAnsiTheme="majorHAnsi" w:cs="Myriad Pro"/>
                <w:b w:val="0"/>
                <w:szCs w:val="18"/>
                <w:u w:color="000000"/>
                <w:lang w:val="en-GB"/>
              </w:rPr>
              <w:t>s</w:t>
            </w:r>
            <w:r w:rsidRPr="00E77E98">
              <w:rPr>
                <w:rFonts w:asciiTheme="majorHAnsi" w:hAnsiTheme="majorHAnsi" w:cs="Myriad Pro"/>
                <w:b w:val="0"/>
                <w:szCs w:val="18"/>
                <w:u w:color="000000"/>
                <w:lang w:val="en-GB"/>
              </w:rPr>
              <w:t>haring sector is to halve emissions by 2030 compared to the 2005 level. The sector is also subject to national targets under the Climate Act, including the 2030 emission reduction target and the 2035 c</w:t>
            </w:r>
            <w:r w:rsidR="00EA69F4">
              <w:rPr>
                <w:rFonts w:asciiTheme="majorHAnsi" w:hAnsiTheme="majorHAnsi" w:cs="Myriad Pro"/>
                <w:b w:val="0"/>
                <w:szCs w:val="18"/>
                <w:u w:color="000000"/>
                <w:lang w:val="en-GB"/>
              </w:rPr>
              <w:t>limate</w:t>
            </w:r>
            <w:r w:rsidRPr="00E77E98">
              <w:rPr>
                <w:rFonts w:asciiTheme="majorHAnsi" w:hAnsiTheme="majorHAnsi" w:cs="Myriad Pro"/>
                <w:b w:val="0"/>
                <w:szCs w:val="18"/>
                <w:u w:color="000000"/>
                <w:lang w:val="en-GB"/>
              </w:rPr>
              <w:t xml:space="preserve"> neutrality goal.</w:t>
            </w:r>
          </w:p>
          <w:p w14:paraId="7B98194C" w14:textId="7FBC9B23" w:rsidR="00E77E98" w:rsidRPr="00E77E98" w:rsidRDefault="00E77E98" w:rsidP="00E77E98">
            <w:pPr>
              <w:pStyle w:val="VNKuvailulehtiotsikkopalstabold"/>
              <w:rPr>
                <w:rFonts w:asciiTheme="majorHAnsi" w:hAnsiTheme="majorHAnsi" w:cs="Myriad Pro"/>
                <w:b w:val="0"/>
                <w:lang w:val="en-GB"/>
              </w:rPr>
            </w:pPr>
            <w:r w:rsidRPr="175A2DAA">
              <w:rPr>
                <w:rFonts w:asciiTheme="majorHAnsi" w:hAnsiTheme="majorHAnsi" w:cs="Myriad Pro"/>
                <w:b w:val="0"/>
                <w:lang w:val="en-GB"/>
              </w:rPr>
              <w:t xml:space="preserve">To meet these obligations and targets, new emission reduction measures are required. The Medium-Term Climate Plan presents a </w:t>
            </w:r>
            <w:r w:rsidR="00245C50" w:rsidRPr="175A2DAA">
              <w:rPr>
                <w:rFonts w:asciiTheme="majorHAnsi" w:hAnsiTheme="majorHAnsi" w:cs="Myriad Pro"/>
                <w:b w:val="0"/>
                <w:lang w:val="en-GB"/>
              </w:rPr>
              <w:t xml:space="preserve">policy </w:t>
            </w:r>
            <w:r w:rsidRPr="175A2DAA">
              <w:rPr>
                <w:rFonts w:asciiTheme="majorHAnsi" w:hAnsiTheme="majorHAnsi" w:cs="Myriad Pro"/>
                <w:b w:val="0"/>
                <w:lang w:val="en-GB"/>
              </w:rPr>
              <w:t>package that includes both sector-specific additional actions and cross-cutting solutions.</w:t>
            </w:r>
          </w:p>
          <w:p w14:paraId="6C35F32D" w14:textId="6F1DBA65" w:rsidR="001B17BD" w:rsidRPr="00E77E98" w:rsidRDefault="00E77E98" w:rsidP="00F36B65">
            <w:pPr>
              <w:pStyle w:val="VNKuvailulehtieityhjvli"/>
              <w:tabs>
                <w:tab w:val="clear" w:pos="6804"/>
                <w:tab w:val="left" w:pos="7112"/>
              </w:tabs>
              <w:rPr>
                <w:lang w:val="en-GB"/>
              </w:rPr>
            </w:pPr>
            <w:r w:rsidRPr="00E77E98">
              <w:rPr>
                <w:lang w:val="en-GB"/>
              </w:rPr>
              <w:t xml:space="preserve">The plan has been prepared </w:t>
            </w:r>
            <w:r w:rsidR="004017F4">
              <w:rPr>
                <w:lang w:val="en-GB"/>
              </w:rPr>
              <w:t xml:space="preserve">based on </w:t>
            </w:r>
            <w:r w:rsidRPr="00E77E98">
              <w:rPr>
                <w:lang w:val="en-GB"/>
              </w:rPr>
              <w:t xml:space="preserve">extensive </w:t>
            </w:r>
            <w:r w:rsidR="008C1F89">
              <w:rPr>
                <w:lang w:val="en-GB"/>
              </w:rPr>
              <w:t>background information</w:t>
            </w:r>
            <w:r w:rsidRPr="00E77E98">
              <w:rPr>
                <w:lang w:val="en-GB"/>
              </w:rPr>
              <w:t>, including statistics and scenario</w:t>
            </w:r>
            <w:r w:rsidR="00726F20">
              <w:rPr>
                <w:lang w:val="en-GB"/>
              </w:rPr>
              <w:t xml:space="preserve"> analyses</w:t>
            </w:r>
            <w:r w:rsidRPr="00E77E98">
              <w:rPr>
                <w:lang w:val="en-GB"/>
              </w:rPr>
              <w:t xml:space="preserve">. In addition, cross-cutting themes have been addressed, such as local climate action and </w:t>
            </w:r>
            <w:r w:rsidR="008C1F89">
              <w:rPr>
                <w:lang w:val="en-GB"/>
              </w:rPr>
              <w:t>consum</w:t>
            </w:r>
            <w:r w:rsidR="00BF3A70">
              <w:rPr>
                <w:lang w:val="en-GB"/>
              </w:rPr>
              <w:t>ption</w:t>
            </w:r>
            <w:r w:rsidR="004017F4">
              <w:rPr>
                <w:lang w:val="en-GB"/>
              </w:rPr>
              <w:t xml:space="preserve"> choices</w:t>
            </w:r>
            <w:r w:rsidR="00A774FA">
              <w:rPr>
                <w:lang w:val="en-GB"/>
              </w:rPr>
              <w:t>.</w:t>
            </w:r>
          </w:p>
        </w:tc>
      </w:tr>
      <w:tr w:rsidR="001B17BD" w14:paraId="1763AF2A" w14:textId="77777777" w:rsidTr="003B0EAF">
        <w:trPr>
          <w:trHeight w:val="439"/>
        </w:trPr>
        <w:tc>
          <w:tcPr>
            <w:tcW w:w="1317" w:type="dxa"/>
            <w:tcBorders>
              <w:top w:val="nil"/>
            </w:tcBorders>
          </w:tcPr>
          <w:p w14:paraId="72487D63" w14:textId="191F8180" w:rsidR="001B17BD" w:rsidRPr="004710F6" w:rsidRDefault="00B31DAC" w:rsidP="00127AB1">
            <w:pPr>
              <w:pStyle w:val="VNKuvailulehtiotsikkopalstabold"/>
            </w:pPr>
            <w:r>
              <w:t>Provision</w:t>
            </w:r>
          </w:p>
        </w:tc>
        <w:tc>
          <w:tcPr>
            <w:tcW w:w="7330" w:type="dxa"/>
            <w:gridSpan w:val="3"/>
            <w:tcBorders>
              <w:top w:val="nil"/>
            </w:tcBorders>
          </w:tcPr>
          <w:p w14:paraId="61FF3A12" w14:textId="670E4894" w:rsidR="001B17BD" w:rsidRDefault="001B17BD" w:rsidP="00127AB1">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r>
      <w:tr w:rsidR="001B17BD" w14:paraId="179448EB" w14:textId="77777777" w:rsidTr="003B0EAF">
        <w:trPr>
          <w:trHeight w:val="473"/>
        </w:trPr>
        <w:tc>
          <w:tcPr>
            <w:tcW w:w="1317" w:type="dxa"/>
            <w:tcBorders>
              <w:bottom w:val="single" w:sz="6" w:space="0" w:color="000000" w:themeColor="text1"/>
            </w:tcBorders>
          </w:tcPr>
          <w:p w14:paraId="6643A3F0" w14:textId="583B06CC" w:rsidR="001B17BD" w:rsidRPr="004710F6" w:rsidRDefault="001B17BD" w:rsidP="007D256A">
            <w:pPr>
              <w:pStyle w:val="VNKuvailulehtiotsikkopalstabold"/>
            </w:pPr>
            <w:proofErr w:type="spellStart"/>
            <w:r>
              <w:t>Keywords</w:t>
            </w:r>
            <w:proofErr w:type="spellEnd"/>
          </w:p>
        </w:tc>
        <w:tc>
          <w:tcPr>
            <w:tcW w:w="7330" w:type="dxa"/>
            <w:gridSpan w:val="3"/>
            <w:tcBorders>
              <w:bottom w:val="single" w:sz="6" w:space="0" w:color="000000" w:themeColor="text1"/>
            </w:tcBorders>
          </w:tcPr>
          <w:p w14:paraId="4BF52B8B" w14:textId="47937E90"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0517A5">
              <w:rPr>
                <w:color w:val="4293FF" w:themeColor="accent2"/>
              </w:rPr>
              <w:instrText>Napsauta ja kirjoita</w:instrText>
            </w:r>
            <w:r>
              <w:instrText xml:space="preserve"> </w:instrText>
            </w:r>
            <w:r>
              <w:fldChar w:fldCharType="end"/>
            </w:r>
            <w:hyperlink r:id="rId25" w:history="1">
              <w:r w:rsidR="00C04269" w:rsidRPr="00C04269">
                <w:rPr>
                  <w:rStyle w:val="Hyperlinkki"/>
                </w:rPr>
                <w:t>https://finto.fi/juho/fi/</w:t>
              </w:r>
            </w:hyperlink>
          </w:p>
        </w:tc>
      </w:tr>
      <w:tr w:rsidR="00B77B99" w14:paraId="51554A24" w14:textId="77777777" w:rsidTr="003B0EAF">
        <w:trPr>
          <w:trHeight w:val="421"/>
        </w:trPr>
        <w:tc>
          <w:tcPr>
            <w:tcW w:w="1317" w:type="dxa"/>
          </w:tcPr>
          <w:p w14:paraId="2EBE158C" w14:textId="1DF44211" w:rsidR="001B17BD" w:rsidRPr="004710F6" w:rsidRDefault="001B17BD" w:rsidP="007D256A">
            <w:pPr>
              <w:pStyle w:val="VNKuvailulehtiotsikkopalstabold"/>
            </w:pPr>
            <w:r>
              <w:t>ISBN PDF</w:t>
            </w:r>
          </w:p>
        </w:tc>
        <w:tc>
          <w:tcPr>
            <w:tcW w:w="3406" w:type="dxa"/>
          </w:tcPr>
          <w:p w14:paraId="4D4D5BD9" w14:textId="02B5C6AD" w:rsidR="001B17BD" w:rsidRDefault="001B17BD"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c>
          <w:tcPr>
            <w:tcW w:w="1198" w:type="dxa"/>
          </w:tcPr>
          <w:p w14:paraId="2BC97251" w14:textId="1C225481" w:rsidR="001B17BD" w:rsidRPr="007872D6" w:rsidRDefault="001B17BD" w:rsidP="007D256A">
            <w:pPr>
              <w:pStyle w:val="VNKuvailulehtiotsikkopalstabold"/>
            </w:pPr>
            <w:r>
              <w:t>ISSN PDF</w:t>
            </w:r>
          </w:p>
        </w:tc>
        <w:tc>
          <w:tcPr>
            <w:tcW w:w="2726" w:type="dxa"/>
          </w:tcPr>
          <w:p w14:paraId="6A336923" w14:textId="386C73A0" w:rsidR="001B17BD" w:rsidRDefault="001B17BD"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r>
      <w:tr w:rsidR="00B77B99" w14:paraId="2A1A21C0" w14:textId="77777777" w:rsidTr="003B0EAF">
        <w:trPr>
          <w:trHeight w:val="360"/>
        </w:trPr>
        <w:tc>
          <w:tcPr>
            <w:tcW w:w="1317" w:type="dxa"/>
          </w:tcPr>
          <w:p w14:paraId="500A2C88" w14:textId="38F25DE0" w:rsidR="001B17BD" w:rsidRDefault="001B17BD" w:rsidP="007D256A">
            <w:pPr>
              <w:pStyle w:val="VNKuvailulehtiotsikkopalstabold"/>
            </w:pPr>
            <w:r>
              <w:t xml:space="preserve">ISBN </w:t>
            </w:r>
            <w:proofErr w:type="spellStart"/>
            <w:r>
              <w:t>print</w:t>
            </w:r>
            <w:r w:rsidR="005F7A5C">
              <w:t>ed</w:t>
            </w:r>
            <w:proofErr w:type="spellEnd"/>
          </w:p>
        </w:tc>
        <w:tc>
          <w:tcPr>
            <w:tcW w:w="3406" w:type="dxa"/>
          </w:tcPr>
          <w:p w14:paraId="315B3500" w14:textId="77872F82" w:rsidR="001B17BD" w:rsidRDefault="001B17BD"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c>
          <w:tcPr>
            <w:tcW w:w="1198" w:type="dxa"/>
          </w:tcPr>
          <w:p w14:paraId="130D0171" w14:textId="7E8FBBD3" w:rsidR="001B17BD" w:rsidRDefault="001B17BD" w:rsidP="007D256A">
            <w:pPr>
              <w:pStyle w:val="VNKuvailulehtiotsikkopalstabold"/>
            </w:pPr>
            <w:r>
              <w:t xml:space="preserve">ISSN </w:t>
            </w:r>
            <w:proofErr w:type="spellStart"/>
            <w:r>
              <w:t>print</w:t>
            </w:r>
            <w:r w:rsidR="005F7A5C">
              <w:t>ed</w:t>
            </w:r>
            <w:proofErr w:type="spellEnd"/>
          </w:p>
        </w:tc>
        <w:tc>
          <w:tcPr>
            <w:tcW w:w="2726" w:type="dxa"/>
          </w:tcPr>
          <w:p w14:paraId="74FD079E" w14:textId="00825C48" w:rsidR="001B17BD" w:rsidRDefault="001B17BD"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r>
      <w:tr w:rsidR="00B77B99" w14:paraId="774B6BD8" w14:textId="77777777" w:rsidTr="003B0EAF">
        <w:trPr>
          <w:trHeight w:val="519"/>
        </w:trPr>
        <w:tc>
          <w:tcPr>
            <w:tcW w:w="1317" w:type="dxa"/>
            <w:tcBorders>
              <w:bottom w:val="single" w:sz="4" w:space="0" w:color="auto"/>
            </w:tcBorders>
          </w:tcPr>
          <w:p w14:paraId="478D8536" w14:textId="3AC6D1D9" w:rsidR="001B17BD" w:rsidRDefault="00B31DAC" w:rsidP="007D256A">
            <w:pPr>
              <w:pStyle w:val="VNKuvailulehtiotsikkopalstabold"/>
            </w:pPr>
            <w:proofErr w:type="spellStart"/>
            <w:r>
              <w:t>Reference</w:t>
            </w:r>
            <w:proofErr w:type="spellEnd"/>
            <w:r w:rsidR="001B17BD">
              <w:t xml:space="preserve"> no.</w:t>
            </w:r>
          </w:p>
        </w:tc>
        <w:tc>
          <w:tcPr>
            <w:tcW w:w="3406" w:type="dxa"/>
            <w:tcBorders>
              <w:bottom w:val="single" w:sz="4" w:space="0" w:color="auto"/>
            </w:tcBorders>
          </w:tcPr>
          <w:p w14:paraId="1B3C46E1" w14:textId="34A16B3D"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0517A5">
              <w:rPr>
                <w:color w:val="4293FF" w:themeColor="accent2"/>
              </w:rPr>
              <w:instrText>Napsauta ja kirjoita</w:instrText>
            </w:r>
            <w:r>
              <w:instrText xml:space="preserve"> </w:instrText>
            </w:r>
            <w:r>
              <w:fldChar w:fldCharType="end"/>
            </w:r>
          </w:p>
        </w:tc>
        <w:tc>
          <w:tcPr>
            <w:tcW w:w="1198" w:type="dxa"/>
            <w:tcBorders>
              <w:bottom w:val="single" w:sz="4" w:space="0" w:color="auto"/>
            </w:tcBorders>
          </w:tcPr>
          <w:p w14:paraId="7277EC8B" w14:textId="316E9956" w:rsidR="001B17BD" w:rsidRDefault="001B17BD" w:rsidP="007D256A">
            <w:pPr>
              <w:pStyle w:val="VNKuvailulehtiotsikkopalstabold"/>
            </w:pPr>
            <w:r>
              <w:t>Project no.</w:t>
            </w:r>
          </w:p>
        </w:tc>
        <w:tc>
          <w:tcPr>
            <w:tcW w:w="2726" w:type="dxa"/>
            <w:tcBorders>
              <w:bottom w:val="single" w:sz="4" w:space="0" w:color="auto"/>
            </w:tcBorders>
          </w:tcPr>
          <w:p w14:paraId="7DBA8348" w14:textId="2969F245" w:rsidR="001B17BD" w:rsidRDefault="001B17BD" w:rsidP="007D256A">
            <w:pPr>
              <w:pStyle w:val="VNKuvailulehtitieto"/>
            </w:pPr>
            <w:r>
              <w:fldChar w:fldCharType="begin"/>
            </w:r>
            <w:r>
              <w:instrText xml:space="preserve"> MACROBUTTON nomacro</w:instrText>
            </w:r>
            <w:r>
              <w:rPr>
                <w:color w:val="4293FF" w:themeColor="accent2"/>
              </w:rPr>
              <w:instrText xml:space="preserve"> </w:instrText>
            </w:r>
            <w:r w:rsidR="000517A5">
              <w:rPr>
                <w:color w:val="4293FF" w:themeColor="accent2"/>
              </w:rPr>
              <w:instrText>Napsauta ja kirjoita</w:instrText>
            </w:r>
            <w:r>
              <w:instrText xml:space="preserve"> </w:instrText>
            </w:r>
            <w:r>
              <w:fldChar w:fldCharType="end"/>
            </w:r>
          </w:p>
        </w:tc>
      </w:tr>
      <w:tr w:rsidR="001B17BD" w14:paraId="598F288B" w14:textId="77777777" w:rsidTr="003B0EAF">
        <w:trPr>
          <w:trHeight w:val="413"/>
        </w:trPr>
        <w:tc>
          <w:tcPr>
            <w:tcW w:w="1317" w:type="dxa"/>
            <w:tcBorders>
              <w:top w:val="single" w:sz="4" w:space="0" w:color="auto"/>
              <w:bottom w:val="single" w:sz="18" w:space="0" w:color="365ABD" w:themeColor="accent3"/>
            </w:tcBorders>
          </w:tcPr>
          <w:p w14:paraId="23754611" w14:textId="08DF444E" w:rsidR="001B17BD" w:rsidRDefault="001B17BD" w:rsidP="007D256A">
            <w:pPr>
              <w:pStyle w:val="VNKuvailulehtiotsikkopalstabold"/>
            </w:pPr>
            <w:r>
              <w:t>URN</w:t>
            </w:r>
            <w:r w:rsidR="00151D11">
              <w:t xml:space="preserve"> </w:t>
            </w:r>
            <w:proofErr w:type="spellStart"/>
            <w:r>
              <w:t>address</w:t>
            </w:r>
            <w:proofErr w:type="spellEnd"/>
          </w:p>
        </w:tc>
        <w:tc>
          <w:tcPr>
            <w:tcW w:w="7330" w:type="dxa"/>
            <w:gridSpan w:val="3"/>
            <w:tcBorders>
              <w:top w:val="single" w:sz="4" w:space="0" w:color="auto"/>
              <w:bottom w:val="single" w:sz="18" w:space="0" w:color="365ABD" w:themeColor="accent3"/>
            </w:tcBorders>
          </w:tcPr>
          <w:p w14:paraId="650DB2BF" w14:textId="669D916C" w:rsidR="001B17BD" w:rsidRDefault="001F559E" w:rsidP="007D256A">
            <w:pPr>
              <w:pStyle w:val="VNKuvailulehtitieto"/>
            </w:pPr>
            <w:r>
              <w:fldChar w:fldCharType="begin"/>
            </w:r>
            <w:r>
              <w:instrText xml:space="preserve"> MACROBUTTON nomacro </w:instrText>
            </w:r>
            <w:r w:rsidR="000517A5">
              <w:rPr>
                <w:color w:val="4293FF" w:themeColor="accent2"/>
              </w:rPr>
              <w:instrText>VNK täyttää</w:instrText>
            </w:r>
            <w:r>
              <w:instrText xml:space="preserve"> </w:instrText>
            </w:r>
            <w:r>
              <w:fldChar w:fldCharType="end"/>
            </w:r>
          </w:p>
        </w:tc>
      </w:tr>
    </w:tbl>
    <w:p w14:paraId="78F64843" w14:textId="28C3E849" w:rsidR="00DF1718" w:rsidRPr="00D02A3A" w:rsidRDefault="007628C9" w:rsidP="00F36B65">
      <w:pPr>
        <w:pStyle w:val="VNKuvailulehtiotsikko"/>
        <w:sectPr w:rsidR="00DF1718" w:rsidRPr="00D02A3A" w:rsidSect="008E54D9">
          <w:headerReference w:type="default" r:id="rId26"/>
          <w:footerReference w:type="even" r:id="rId27"/>
          <w:footerReference w:type="default" r:id="rId28"/>
          <w:headerReference w:type="first" r:id="rId29"/>
          <w:footerReference w:type="first" r:id="rId30"/>
          <w:pgSz w:w="11906" w:h="16838" w:code="9"/>
          <w:pgMar w:top="1531" w:right="1701" w:bottom="1758" w:left="1701" w:header="1701" w:footer="612" w:gutter="0"/>
          <w:cols w:space="708"/>
          <w:docGrid w:linePitch="360"/>
        </w:sectPr>
      </w:pPr>
      <w:r w:rsidRPr="00D02A3A">
        <w:br w:type="page"/>
      </w:r>
    </w:p>
    <w:p w14:paraId="55EB3D18" w14:textId="521F393E" w:rsidR="00AC05D1" w:rsidRDefault="00536DC5">
      <w:pPr>
        <w:pStyle w:val="Sisluet1"/>
        <w:rPr>
          <w:rFonts w:asciiTheme="minorHAnsi" w:eastAsiaTheme="minorEastAsia" w:hAnsiTheme="minorHAnsi" w:cstheme="minorBidi"/>
          <w:b w:val="0"/>
          <w:color w:val="auto"/>
          <w:kern w:val="2"/>
          <w:sz w:val="24"/>
          <w:szCs w:val="24"/>
          <w14:ligatures w14:val="standardContextual"/>
        </w:rPr>
      </w:pPr>
      <w:r>
        <w:lastRenderedPageBreak/>
        <w:fldChar w:fldCharType="begin"/>
      </w:r>
      <w:r>
        <w:instrText>TOC \o "1-9" \z \u \h</w:instrText>
      </w:r>
      <w:r>
        <w:fldChar w:fldCharType="separate"/>
      </w:r>
      <w:hyperlink w:anchor="_Toc202260011" w:history="1">
        <w:r w:rsidR="00AC05D1" w:rsidRPr="00AF7A3E">
          <w:rPr>
            <w:rStyle w:val="Hyperlinkki"/>
            <w:rFonts w:eastAsiaTheme="majorEastAsia"/>
          </w:rPr>
          <w:t>Johdanto</w:t>
        </w:r>
        <w:r w:rsidR="00AC05D1">
          <w:rPr>
            <w:webHidden/>
          </w:rPr>
          <w:tab/>
        </w:r>
        <w:r w:rsidR="00AC05D1">
          <w:rPr>
            <w:webHidden/>
          </w:rPr>
          <w:fldChar w:fldCharType="begin"/>
        </w:r>
        <w:r w:rsidR="00AC05D1">
          <w:rPr>
            <w:webHidden/>
          </w:rPr>
          <w:instrText xml:space="preserve"> PAGEREF _Toc202260011 \h </w:instrText>
        </w:r>
        <w:r w:rsidR="00AC05D1">
          <w:rPr>
            <w:webHidden/>
          </w:rPr>
        </w:r>
        <w:r w:rsidR="00AC05D1">
          <w:rPr>
            <w:webHidden/>
          </w:rPr>
          <w:fldChar w:fldCharType="separate"/>
        </w:r>
        <w:r w:rsidR="00AC05D1">
          <w:rPr>
            <w:webHidden/>
          </w:rPr>
          <w:t>17</w:t>
        </w:r>
        <w:r w:rsidR="00AC05D1">
          <w:rPr>
            <w:webHidden/>
          </w:rPr>
          <w:fldChar w:fldCharType="end"/>
        </w:r>
      </w:hyperlink>
    </w:p>
    <w:p w14:paraId="3C93B46F" w14:textId="5BA9FAA8" w:rsidR="00AC05D1" w:rsidRDefault="0056474A">
      <w:pPr>
        <w:pStyle w:val="Sisluet1"/>
        <w:rPr>
          <w:rFonts w:asciiTheme="minorHAnsi" w:eastAsiaTheme="minorEastAsia" w:hAnsiTheme="minorHAnsi" w:cstheme="minorBidi"/>
          <w:b w:val="0"/>
          <w:color w:val="auto"/>
          <w:kern w:val="2"/>
          <w:sz w:val="24"/>
          <w:szCs w:val="24"/>
          <w14:ligatures w14:val="standardContextual"/>
        </w:rPr>
      </w:pPr>
      <w:hyperlink w:anchor="_Toc202260012" w:history="1">
        <w:r w:rsidR="00AC05D1" w:rsidRPr="00AF7A3E">
          <w:rPr>
            <w:rStyle w:val="Hyperlinkki"/>
            <w:rFonts w:eastAsiaTheme="majorEastAsia"/>
          </w:rPr>
          <w:t>1</w:t>
        </w:r>
        <w:r w:rsidR="00AC05D1">
          <w:rPr>
            <w:rFonts w:asciiTheme="minorHAnsi" w:eastAsiaTheme="minorEastAsia" w:hAnsiTheme="minorHAnsi" w:cstheme="minorBidi"/>
            <w:b w:val="0"/>
            <w:color w:val="auto"/>
            <w:kern w:val="2"/>
            <w:sz w:val="24"/>
            <w:szCs w:val="24"/>
            <w14:ligatures w14:val="standardContextual"/>
          </w:rPr>
          <w:tab/>
        </w:r>
        <w:r w:rsidR="00AC05D1" w:rsidRPr="00AF7A3E">
          <w:rPr>
            <w:rStyle w:val="Hyperlinkki"/>
            <w:rFonts w:eastAsiaTheme="majorEastAsia"/>
          </w:rPr>
          <w:t>Kansainvälinen toimintaympäristö</w:t>
        </w:r>
        <w:r w:rsidR="00AC05D1">
          <w:rPr>
            <w:webHidden/>
          </w:rPr>
          <w:tab/>
        </w:r>
        <w:r w:rsidR="00AC05D1">
          <w:rPr>
            <w:webHidden/>
          </w:rPr>
          <w:fldChar w:fldCharType="begin"/>
        </w:r>
        <w:r w:rsidR="00AC05D1">
          <w:rPr>
            <w:webHidden/>
          </w:rPr>
          <w:instrText xml:space="preserve"> PAGEREF _Toc202260012 \h </w:instrText>
        </w:r>
        <w:r w:rsidR="00AC05D1">
          <w:rPr>
            <w:webHidden/>
          </w:rPr>
        </w:r>
        <w:r w:rsidR="00AC05D1">
          <w:rPr>
            <w:webHidden/>
          </w:rPr>
          <w:fldChar w:fldCharType="separate"/>
        </w:r>
        <w:r w:rsidR="00AC05D1">
          <w:rPr>
            <w:webHidden/>
          </w:rPr>
          <w:t>19</w:t>
        </w:r>
        <w:r w:rsidR="00AC05D1">
          <w:rPr>
            <w:webHidden/>
          </w:rPr>
          <w:fldChar w:fldCharType="end"/>
        </w:r>
      </w:hyperlink>
    </w:p>
    <w:p w14:paraId="097DE3B0" w14:textId="0D56A7C3"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13" w:history="1">
        <w:r w:rsidR="00AC05D1" w:rsidRPr="00AF7A3E">
          <w:rPr>
            <w:rStyle w:val="Hyperlinkki"/>
            <w:rFonts w:eastAsiaTheme="majorEastAsia"/>
          </w:rPr>
          <w:t>Kansainväliset ilmastosopimukset</w:t>
        </w:r>
        <w:r w:rsidR="00AC05D1">
          <w:rPr>
            <w:webHidden/>
          </w:rPr>
          <w:tab/>
        </w:r>
        <w:r w:rsidR="00AC05D1">
          <w:rPr>
            <w:webHidden/>
          </w:rPr>
          <w:fldChar w:fldCharType="begin"/>
        </w:r>
        <w:r w:rsidR="00AC05D1">
          <w:rPr>
            <w:webHidden/>
          </w:rPr>
          <w:instrText xml:space="preserve"> PAGEREF _Toc202260013 \h </w:instrText>
        </w:r>
        <w:r w:rsidR="00AC05D1">
          <w:rPr>
            <w:webHidden/>
          </w:rPr>
        </w:r>
        <w:r w:rsidR="00AC05D1">
          <w:rPr>
            <w:webHidden/>
          </w:rPr>
          <w:fldChar w:fldCharType="separate"/>
        </w:r>
        <w:r w:rsidR="00AC05D1">
          <w:rPr>
            <w:webHidden/>
          </w:rPr>
          <w:t>19</w:t>
        </w:r>
        <w:r w:rsidR="00AC05D1">
          <w:rPr>
            <w:webHidden/>
          </w:rPr>
          <w:fldChar w:fldCharType="end"/>
        </w:r>
      </w:hyperlink>
    </w:p>
    <w:p w14:paraId="3D9496DA" w14:textId="3887A754"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14" w:history="1">
        <w:r w:rsidR="00AC05D1" w:rsidRPr="00AF7A3E">
          <w:rPr>
            <w:rStyle w:val="Hyperlinkki"/>
            <w:rFonts w:eastAsiaTheme="majorEastAsia"/>
          </w:rPr>
          <w:t>Muut kansainväliset aloitteet</w:t>
        </w:r>
        <w:r w:rsidR="00AC05D1">
          <w:rPr>
            <w:webHidden/>
          </w:rPr>
          <w:tab/>
        </w:r>
        <w:r w:rsidR="00AC05D1">
          <w:rPr>
            <w:webHidden/>
          </w:rPr>
          <w:fldChar w:fldCharType="begin"/>
        </w:r>
        <w:r w:rsidR="00AC05D1">
          <w:rPr>
            <w:webHidden/>
          </w:rPr>
          <w:instrText xml:space="preserve"> PAGEREF _Toc202260014 \h </w:instrText>
        </w:r>
        <w:r w:rsidR="00AC05D1">
          <w:rPr>
            <w:webHidden/>
          </w:rPr>
        </w:r>
        <w:r w:rsidR="00AC05D1">
          <w:rPr>
            <w:webHidden/>
          </w:rPr>
          <w:fldChar w:fldCharType="separate"/>
        </w:r>
        <w:r w:rsidR="00AC05D1">
          <w:rPr>
            <w:webHidden/>
          </w:rPr>
          <w:t>21</w:t>
        </w:r>
        <w:r w:rsidR="00AC05D1">
          <w:rPr>
            <w:webHidden/>
          </w:rPr>
          <w:fldChar w:fldCharType="end"/>
        </w:r>
      </w:hyperlink>
    </w:p>
    <w:p w14:paraId="086C00B7" w14:textId="0C905B93" w:rsidR="00AC05D1" w:rsidRDefault="0056474A">
      <w:pPr>
        <w:pStyle w:val="Sisluet1"/>
        <w:rPr>
          <w:rFonts w:asciiTheme="minorHAnsi" w:eastAsiaTheme="minorEastAsia" w:hAnsiTheme="minorHAnsi" w:cstheme="minorBidi"/>
          <w:b w:val="0"/>
          <w:color w:val="auto"/>
          <w:kern w:val="2"/>
          <w:sz w:val="24"/>
          <w:szCs w:val="24"/>
          <w14:ligatures w14:val="standardContextual"/>
        </w:rPr>
      </w:pPr>
      <w:hyperlink w:anchor="_Toc202260015" w:history="1">
        <w:r w:rsidR="00AC05D1" w:rsidRPr="00AF7A3E">
          <w:rPr>
            <w:rStyle w:val="Hyperlinkki"/>
            <w:rFonts w:eastAsiaTheme="majorEastAsia"/>
          </w:rPr>
          <w:t>2</w:t>
        </w:r>
        <w:r w:rsidR="00AC05D1">
          <w:rPr>
            <w:rFonts w:asciiTheme="minorHAnsi" w:eastAsiaTheme="minorEastAsia" w:hAnsiTheme="minorHAnsi" w:cstheme="minorBidi"/>
            <w:b w:val="0"/>
            <w:color w:val="auto"/>
            <w:kern w:val="2"/>
            <w:sz w:val="24"/>
            <w:szCs w:val="24"/>
            <w14:ligatures w14:val="standardContextual"/>
          </w:rPr>
          <w:tab/>
        </w:r>
        <w:r w:rsidR="00AC05D1" w:rsidRPr="00AF7A3E">
          <w:rPr>
            <w:rStyle w:val="Hyperlinkki"/>
            <w:rFonts w:eastAsiaTheme="majorEastAsia"/>
          </w:rPr>
          <w:t>EU:n ilmastopolitiikka</w:t>
        </w:r>
        <w:r w:rsidR="00AC05D1">
          <w:rPr>
            <w:webHidden/>
          </w:rPr>
          <w:tab/>
        </w:r>
        <w:r w:rsidR="00AC05D1">
          <w:rPr>
            <w:webHidden/>
          </w:rPr>
          <w:fldChar w:fldCharType="begin"/>
        </w:r>
        <w:r w:rsidR="00AC05D1">
          <w:rPr>
            <w:webHidden/>
          </w:rPr>
          <w:instrText xml:space="preserve"> PAGEREF _Toc202260015 \h </w:instrText>
        </w:r>
        <w:r w:rsidR="00AC05D1">
          <w:rPr>
            <w:webHidden/>
          </w:rPr>
        </w:r>
        <w:r w:rsidR="00AC05D1">
          <w:rPr>
            <w:webHidden/>
          </w:rPr>
          <w:fldChar w:fldCharType="separate"/>
        </w:r>
        <w:r w:rsidR="00AC05D1">
          <w:rPr>
            <w:webHidden/>
          </w:rPr>
          <w:t>23</w:t>
        </w:r>
        <w:r w:rsidR="00AC05D1">
          <w:rPr>
            <w:webHidden/>
          </w:rPr>
          <w:fldChar w:fldCharType="end"/>
        </w:r>
      </w:hyperlink>
    </w:p>
    <w:p w14:paraId="326425F4" w14:textId="080890BF"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16" w:history="1">
        <w:r w:rsidR="00AC05D1" w:rsidRPr="00AF7A3E">
          <w:rPr>
            <w:rStyle w:val="Hyperlinkki"/>
            <w:rFonts w:eastAsiaTheme="majorEastAsia"/>
          </w:rPr>
          <w:t>2.1 Tavoitteet ja politiikkakokonaisuudet</w:t>
        </w:r>
        <w:r w:rsidR="00AC05D1">
          <w:rPr>
            <w:webHidden/>
          </w:rPr>
          <w:tab/>
        </w:r>
        <w:r w:rsidR="00AC05D1">
          <w:rPr>
            <w:webHidden/>
          </w:rPr>
          <w:fldChar w:fldCharType="begin"/>
        </w:r>
        <w:r w:rsidR="00AC05D1">
          <w:rPr>
            <w:webHidden/>
          </w:rPr>
          <w:instrText xml:space="preserve"> PAGEREF _Toc202260016 \h </w:instrText>
        </w:r>
        <w:r w:rsidR="00AC05D1">
          <w:rPr>
            <w:webHidden/>
          </w:rPr>
        </w:r>
        <w:r w:rsidR="00AC05D1">
          <w:rPr>
            <w:webHidden/>
          </w:rPr>
          <w:fldChar w:fldCharType="separate"/>
        </w:r>
        <w:r w:rsidR="00AC05D1">
          <w:rPr>
            <w:webHidden/>
          </w:rPr>
          <w:t>23</w:t>
        </w:r>
        <w:r w:rsidR="00AC05D1">
          <w:rPr>
            <w:webHidden/>
          </w:rPr>
          <w:fldChar w:fldCharType="end"/>
        </w:r>
      </w:hyperlink>
    </w:p>
    <w:p w14:paraId="4710C154" w14:textId="62007E23"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17" w:history="1">
        <w:r w:rsidR="00AC05D1" w:rsidRPr="00AF7A3E">
          <w:rPr>
            <w:rStyle w:val="Hyperlinkki"/>
            <w:rFonts w:eastAsiaTheme="majorEastAsia"/>
          </w:rPr>
          <w:t>2.2 EU:n päästökauppajärjestelmä</w:t>
        </w:r>
        <w:r w:rsidR="00AC05D1">
          <w:rPr>
            <w:webHidden/>
          </w:rPr>
          <w:tab/>
        </w:r>
        <w:r w:rsidR="00AC05D1">
          <w:rPr>
            <w:webHidden/>
          </w:rPr>
          <w:fldChar w:fldCharType="begin"/>
        </w:r>
        <w:r w:rsidR="00AC05D1">
          <w:rPr>
            <w:webHidden/>
          </w:rPr>
          <w:instrText xml:space="preserve"> PAGEREF _Toc202260017 \h </w:instrText>
        </w:r>
        <w:r w:rsidR="00AC05D1">
          <w:rPr>
            <w:webHidden/>
          </w:rPr>
        </w:r>
        <w:r w:rsidR="00AC05D1">
          <w:rPr>
            <w:webHidden/>
          </w:rPr>
          <w:fldChar w:fldCharType="separate"/>
        </w:r>
        <w:r w:rsidR="00AC05D1">
          <w:rPr>
            <w:webHidden/>
          </w:rPr>
          <w:t>23</w:t>
        </w:r>
        <w:r w:rsidR="00AC05D1">
          <w:rPr>
            <w:webHidden/>
          </w:rPr>
          <w:fldChar w:fldCharType="end"/>
        </w:r>
      </w:hyperlink>
    </w:p>
    <w:p w14:paraId="68D59C7D" w14:textId="388F1F16"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18" w:history="1">
        <w:r w:rsidR="00AC05D1" w:rsidRPr="00AF7A3E">
          <w:rPr>
            <w:rStyle w:val="Hyperlinkki"/>
            <w:rFonts w:eastAsiaTheme="majorEastAsia"/>
          </w:rPr>
          <w:t>2.2.1 Päästökaupan soveltamisalan muutos biomassaa käyttävien laitosten osalta</w:t>
        </w:r>
        <w:r w:rsidR="00AC05D1">
          <w:rPr>
            <w:webHidden/>
          </w:rPr>
          <w:tab/>
        </w:r>
        <w:r w:rsidR="00AC05D1">
          <w:rPr>
            <w:webHidden/>
          </w:rPr>
          <w:fldChar w:fldCharType="begin"/>
        </w:r>
        <w:r w:rsidR="00AC05D1">
          <w:rPr>
            <w:webHidden/>
          </w:rPr>
          <w:instrText xml:space="preserve"> PAGEREF _Toc202260018 \h </w:instrText>
        </w:r>
        <w:r w:rsidR="00AC05D1">
          <w:rPr>
            <w:webHidden/>
          </w:rPr>
        </w:r>
        <w:r w:rsidR="00AC05D1">
          <w:rPr>
            <w:webHidden/>
          </w:rPr>
          <w:fldChar w:fldCharType="separate"/>
        </w:r>
        <w:r w:rsidR="00AC05D1">
          <w:rPr>
            <w:webHidden/>
          </w:rPr>
          <w:t>24</w:t>
        </w:r>
        <w:r w:rsidR="00AC05D1">
          <w:rPr>
            <w:webHidden/>
          </w:rPr>
          <w:fldChar w:fldCharType="end"/>
        </w:r>
      </w:hyperlink>
    </w:p>
    <w:p w14:paraId="65E1539B" w14:textId="63FAAD5E"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19" w:history="1">
        <w:r w:rsidR="00AC05D1" w:rsidRPr="00AF7A3E">
          <w:rPr>
            <w:rStyle w:val="Hyperlinkki"/>
            <w:rFonts w:eastAsiaTheme="majorEastAsia"/>
          </w:rPr>
          <w:t>2.2.2 Jätteenpolttolaitosten siirtäminen päästökaupan piiriin</w:t>
        </w:r>
        <w:r w:rsidR="00AC05D1">
          <w:rPr>
            <w:webHidden/>
          </w:rPr>
          <w:tab/>
        </w:r>
        <w:r w:rsidR="00AC05D1">
          <w:rPr>
            <w:webHidden/>
          </w:rPr>
          <w:fldChar w:fldCharType="begin"/>
        </w:r>
        <w:r w:rsidR="00AC05D1">
          <w:rPr>
            <w:webHidden/>
          </w:rPr>
          <w:instrText xml:space="preserve"> PAGEREF _Toc202260019 \h </w:instrText>
        </w:r>
        <w:r w:rsidR="00AC05D1">
          <w:rPr>
            <w:webHidden/>
          </w:rPr>
        </w:r>
        <w:r w:rsidR="00AC05D1">
          <w:rPr>
            <w:webHidden/>
          </w:rPr>
          <w:fldChar w:fldCharType="separate"/>
        </w:r>
        <w:r w:rsidR="00AC05D1">
          <w:rPr>
            <w:webHidden/>
          </w:rPr>
          <w:t>25</w:t>
        </w:r>
        <w:r w:rsidR="00AC05D1">
          <w:rPr>
            <w:webHidden/>
          </w:rPr>
          <w:fldChar w:fldCharType="end"/>
        </w:r>
      </w:hyperlink>
    </w:p>
    <w:p w14:paraId="1051463E" w14:textId="368D10B9"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20" w:history="1">
        <w:r w:rsidR="00AC05D1" w:rsidRPr="00AF7A3E">
          <w:rPr>
            <w:rStyle w:val="Hyperlinkki"/>
            <w:rFonts w:eastAsiaTheme="majorEastAsia"/>
          </w:rPr>
          <w:t>2.2.3 Fossiilisten polttoaineiden jakelun päästökauppa pääpirteittäin</w:t>
        </w:r>
        <w:r w:rsidR="00AC05D1">
          <w:rPr>
            <w:webHidden/>
          </w:rPr>
          <w:tab/>
        </w:r>
        <w:r w:rsidR="00AC05D1">
          <w:rPr>
            <w:webHidden/>
          </w:rPr>
          <w:fldChar w:fldCharType="begin"/>
        </w:r>
        <w:r w:rsidR="00AC05D1">
          <w:rPr>
            <w:webHidden/>
          </w:rPr>
          <w:instrText xml:space="preserve"> PAGEREF _Toc202260020 \h </w:instrText>
        </w:r>
        <w:r w:rsidR="00AC05D1">
          <w:rPr>
            <w:webHidden/>
          </w:rPr>
        </w:r>
        <w:r w:rsidR="00AC05D1">
          <w:rPr>
            <w:webHidden/>
          </w:rPr>
          <w:fldChar w:fldCharType="separate"/>
        </w:r>
        <w:r w:rsidR="00AC05D1">
          <w:rPr>
            <w:webHidden/>
          </w:rPr>
          <w:t>25</w:t>
        </w:r>
        <w:r w:rsidR="00AC05D1">
          <w:rPr>
            <w:webHidden/>
          </w:rPr>
          <w:fldChar w:fldCharType="end"/>
        </w:r>
      </w:hyperlink>
    </w:p>
    <w:p w14:paraId="19005F57" w14:textId="66B6AD44"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21" w:history="1">
        <w:r w:rsidR="00AC05D1" w:rsidRPr="00AF7A3E">
          <w:rPr>
            <w:rStyle w:val="Hyperlinkki"/>
            <w:rFonts w:eastAsiaTheme="majorEastAsia"/>
          </w:rPr>
          <w:t>2.3 Taakanjakoa koskeva sääntely</w:t>
        </w:r>
        <w:r w:rsidR="00AC05D1">
          <w:rPr>
            <w:webHidden/>
          </w:rPr>
          <w:tab/>
        </w:r>
        <w:r w:rsidR="00AC05D1">
          <w:rPr>
            <w:webHidden/>
          </w:rPr>
          <w:fldChar w:fldCharType="begin"/>
        </w:r>
        <w:r w:rsidR="00AC05D1">
          <w:rPr>
            <w:webHidden/>
          </w:rPr>
          <w:instrText xml:space="preserve"> PAGEREF _Toc202260021 \h </w:instrText>
        </w:r>
        <w:r w:rsidR="00AC05D1">
          <w:rPr>
            <w:webHidden/>
          </w:rPr>
        </w:r>
        <w:r w:rsidR="00AC05D1">
          <w:rPr>
            <w:webHidden/>
          </w:rPr>
          <w:fldChar w:fldCharType="separate"/>
        </w:r>
        <w:r w:rsidR="00AC05D1">
          <w:rPr>
            <w:webHidden/>
          </w:rPr>
          <w:t>26</w:t>
        </w:r>
        <w:r w:rsidR="00AC05D1">
          <w:rPr>
            <w:webHidden/>
          </w:rPr>
          <w:fldChar w:fldCharType="end"/>
        </w:r>
      </w:hyperlink>
    </w:p>
    <w:p w14:paraId="3E564387" w14:textId="28C836D3"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22" w:history="1">
        <w:r w:rsidR="00AC05D1" w:rsidRPr="00AF7A3E">
          <w:rPr>
            <w:rStyle w:val="Hyperlinkki"/>
            <w:rFonts w:eastAsiaTheme="majorEastAsia"/>
          </w:rPr>
          <w:t>2.4 Maankäyttösektori</w:t>
        </w:r>
        <w:r w:rsidR="00AC05D1">
          <w:rPr>
            <w:webHidden/>
          </w:rPr>
          <w:tab/>
        </w:r>
        <w:r w:rsidR="00AC05D1">
          <w:rPr>
            <w:webHidden/>
          </w:rPr>
          <w:fldChar w:fldCharType="begin"/>
        </w:r>
        <w:r w:rsidR="00AC05D1">
          <w:rPr>
            <w:webHidden/>
          </w:rPr>
          <w:instrText xml:space="preserve"> PAGEREF _Toc202260022 \h </w:instrText>
        </w:r>
        <w:r w:rsidR="00AC05D1">
          <w:rPr>
            <w:webHidden/>
          </w:rPr>
        </w:r>
        <w:r w:rsidR="00AC05D1">
          <w:rPr>
            <w:webHidden/>
          </w:rPr>
          <w:fldChar w:fldCharType="separate"/>
        </w:r>
        <w:r w:rsidR="00AC05D1">
          <w:rPr>
            <w:webHidden/>
          </w:rPr>
          <w:t>28</w:t>
        </w:r>
        <w:r w:rsidR="00AC05D1">
          <w:rPr>
            <w:webHidden/>
          </w:rPr>
          <w:fldChar w:fldCharType="end"/>
        </w:r>
      </w:hyperlink>
    </w:p>
    <w:p w14:paraId="0E69715B" w14:textId="5E18ECBB"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23" w:history="1">
        <w:r w:rsidR="00AC05D1" w:rsidRPr="00AF7A3E">
          <w:rPr>
            <w:rStyle w:val="Hyperlinkki"/>
            <w:rFonts w:eastAsiaTheme="majorEastAsia"/>
          </w:rPr>
          <w:t xml:space="preserve">2.5 </w:t>
        </w:r>
        <w:r w:rsidR="00AC05D1" w:rsidRPr="00AF7A3E">
          <w:rPr>
            <w:rStyle w:val="Hyperlinkki"/>
            <w:rFonts w:eastAsiaTheme="majorEastAsia"/>
            <w:bCs/>
          </w:rPr>
          <w:t xml:space="preserve">  </w:t>
        </w:r>
        <w:r w:rsidR="00AC05D1" w:rsidRPr="00AF7A3E">
          <w:rPr>
            <w:rStyle w:val="Hyperlinkki"/>
            <w:rFonts w:eastAsiaTheme="majorEastAsia"/>
          </w:rPr>
          <w:t>Rekisteriasetus</w:t>
        </w:r>
        <w:r w:rsidR="00AC05D1">
          <w:rPr>
            <w:webHidden/>
          </w:rPr>
          <w:tab/>
        </w:r>
        <w:r w:rsidR="00AC05D1">
          <w:rPr>
            <w:webHidden/>
          </w:rPr>
          <w:fldChar w:fldCharType="begin"/>
        </w:r>
        <w:r w:rsidR="00AC05D1">
          <w:rPr>
            <w:webHidden/>
          </w:rPr>
          <w:instrText xml:space="preserve"> PAGEREF _Toc202260023 \h </w:instrText>
        </w:r>
        <w:r w:rsidR="00AC05D1">
          <w:rPr>
            <w:webHidden/>
          </w:rPr>
        </w:r>
        <w:r w:rsidR="00AC05D1">
          <w:rPr>
            <w:webHidden/>
          </w:rPr>
          <w:fldChar w:fldCharType="separate"/>
        </w:r>
        <w:r w:rsidR="00AC05D1">
          <w:rPr>
            <w:webHidden/>
          </w:rPr>
          <w:t>29</w:t>
        </w:r>
        <w:r w:rsidR="00AC05D1">
          <w:rPr>
            <w:webHidden/>
          </w:rPr>
          <w:fldChar w:fldCharType="end"/>
        </w:r>
      </w:hyperlink>
    </w:p>
    <w:p w14:paraId="7E2E6554" w14:textId="4C01B90F"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24" w:history="1">
        <w:r w:rsidR="00AC05D1" w:rsidRPr="00AF7A3E">
          <w:rPr>
            <w:rStyle w:val="Hyperlinkki"/>
            <w:rFonts w:eastAsiaTheme="majorEastAsia"/>
          </w:rPr>
          <w:t>2.6 Energiaunionin hallintomalli</w:t>
        </w:r>
        <w:r w:rsidR="00AC05D1">
          <w:rPr>
            <w:webHidden/>
          </w:rPr>
          <w:tab/>
        </w:r>
        <w:r w:rsidR="00AC05D1">
          <w:rPr>
            <w:webHidden/>
          </w:rPr>
          <w:fldChar w:fldCharType="begin"/>
        </w:r>
        <w:r w:rsidR="00AC05D1">
          <w:rPr>
            <w:webHidden/>
          </w:rPr>
          <w:instrText xml:space="preserve"> PAGEREF _Toc202260024 \h </w:instrText>
        </w:r>
        <w:r w:rsidR="00AC05D1">
          <w:rPr>
            <w:webHidden/>
          </w:rPr>
        </w:r>
        <w:r w:rsidR="00AC05D1">
          <w:rPr>
            <w:webHidden/>
          </w:rPr>
          <w:fldChar w:fldCharType="separate"/>
        </w:r>
        <w:r w:rsidR="00AC05D1">
          <w:rPr>
            <w:webHidden/>
          </w:rPr>
          <w:t>29</w:t>
        </w:r>
        <w:r w:rsidR="00AC05D1">
          <w:rPr>
            <w:webHidden/>
          </w:rPr>
          <w:fldChar w:fldCharType="end"/>
        </w:r>
      </w:hyperlink>
    </w:p>
    <w:p w14:paraId="54F24D56" w14:textId="1CDCE00B"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25" w:history="1">
        <w:r w:rsidR="00AC05D1" w:rsidRPr="00AF7A3E">
          <w:rPr>
            <w:rStyle w:val="Hyperlinkki"/>
            <w:rFonts w:eastAsiaTheme="majorEastAsia"/>
          </w:rPr>
          <w:t>2.7 Energiasäädökset</w:t>
        </w:r>
        <w:r w:rsidR="00AC05D1">
          <w:rPr>
            <w:webHidden/>
          </w:rPr>
          <w:tab/>
        </w:r>
        <w:r w:rsidR="00AC05D1">
          <w:rPr>
            <w:webHidden/>
          </w:rPr>
          <w:fldChar w:fldCharType="begin"/>
        </w:r>
        <w:r w:rsidR="00AC05D1">
          <w:rPr>
            <w:webHidden/>
          </w:rPr>
          <w:instrText xml:space="preserve"> PAGEREF _Toc202260025 \h </w:instrText>
        </w:r>
        <w:r w:rsidR="00AC05D1">
          <w:rPr>
            <w:webHidden/>
          </w:rPr>
        </w:r>
        <w:r w:rsidR="00AC05D1">
          <w:rPr>
            <w:webHidden/>
          </w:rPr>
          <w:fldChar w:fldCharType="separate"/>
        </w:r>
        <w:r w:rsidR="00AC05D1">
          <w:rPr>
            <w:webHidden/>
          </w:rPr>
          <w:t>30</w:t>
        </w:r>
        <w:r w:rsidR="00AC05D1">
          <w:rPr>
            <w:webHidden/>
          </w:rPr>
          <w:fldChar w:fldCharType="end"/>
        </w:r>
      </w:hyperlink>
    </w:p>
    <w:p w14:paraId="6E8DC5F7" w14:textId="15853196"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26" w:history="1">
        <w:r w:rsidR="00AC05D1" w:rsidRPr="00AF7A3E">
          <w:rPr>
            <w:rStyle w:val="Hyperlinkki"/>
            <w:rFonts w:eastAsiaTheme="majorEastAsia"/>
          </w:rPr>
          <w:t>2.7.1 Uusiutuva energia</w:t>
        </w:r>
        <w:r w:rsidR="00AC05D1">
          <w:rPr>
            <w:webHidden/>
          </w:rPr>
          <w:tab/>
        </w:r>
        <w:r w:rsidR="00AC05D1">
          <w:rPr>
            <w:webHidden/>
          </w:rPr>
          <w:fldChar w:fldCharType="begin"/>
        </w:r>
        <w:r w:rsidR="00AC05D1">
          <w:rPr>
            <w:webHidden/>
          </w:rPr>
          <w:instrText xml:space="preserve"> PAGEREF _Toc202260026 \h </w:instrText>
        </w:r>
        <w:r w:rsidR="00AC05D1">
          <w:rPr>
            <w:webHidden/>
          </w:rPr>
        </w:r>
        <w:r w:rsidR="00AC05D1">
          <w:rPr>
            <w:webHidden/>
          </w:rPr>
          <w:fldChar w:fldCharType="separate"/>
        </w:r>
        <w:r w:rsidR="00AC05D1">
          <w:rPr>
            <w:webHidden/>
          </w:rPr>
          <w:t>30</w:t>
        </w:r>
        <w:r w:rsidR="00AC05D1">
          <w:rPr>
            <w:webHidden/>
          </w:rPr>
          <w:fldChar w:fldCharType="end"/>
        </w:r>
      </w:hyperlink>
    </w:p>
    <w:p w14:paraId="4FF079E2" w14:textId="7119D6D7"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27" w:history="1">
        <w:r w:rsidR="00AC05D1" w:rsidRPr="00AF7A3E">
          <w:rPr>
            <w:rStyle w:val="Hyperlinkki"/>
            <w:rFonts w:eastAsiaTheme="majorEastAsia"/>
          </w:rPr>
          <w:t>2.7.2 Energiatehokkuus</w:t>
        </w:r>
        <w:r w:rsidR="00AC05D1">
          <w:rPr>
            <w:webHidden/>
          </w:rPr>
          <w:tab/>
        </w:r>
        <w:r w:rsidR="00AC05D1">
          <w:rPr>
            <w:webHidden/>
          </w:rPr>
          <w:fldChar w:fldCharType="begin"/>
        </w:r>
        <w:r w:rsidR="00AC05D1">
          <w:rPr>
            <w:webHidden/>
          </w:rPr>
          <w:instrText xml:space="preserve"> PAGEREF _Toc202260027 \h </w:instrText>
        </w:r>
        <w:r w:rsidR="00AC05D1">
          <w:rPr>
            <w:webHidden/>
          </w:rPr>
        </w:r>
        <w:r w:rsidR="00AC05D1">
          <w:rPr>
            <w:webHidden/>
          </w:rPr>
          <w:fldChar w:fldCharType="separate"/>
        </w:r>
        <w:r w:rsidR="00AC05D1">
          <w:rPr>
            <w:webHidden/>
          </w:rPr>
          <w:t>31</w:t>
        </w:r>
        <w:r w:rsidR="00AC05D1">
          <w:rPr>
            <w:webHidden/>
          </w:rPr>
          <w:fldChar w:fldCharType="end"/>
        </w:r>
      </w:hyperlink>
    </w:p>
    <w:p w14:paraId="5780B555" w14:textId="2B2E2ADA"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28" w:history="1">
        <w:r w:rsidR="00AC05D1" w:rsidRPr="00AF7A3E">
          <w:rPr>
            <w:rStyle w:val="Hyperlinkki"/>
            <w:rFonts w:eastAsiaTheme="majorEastAsia"/>
          </w:rPr>
          <w:t>2.7.3 Rakennusten energiatehokkuus</w:t>
        </w:r>
        <w:r w:rsidR="00AC05D1">
          <w:rPr>
            <w:webHidden/>
          </w:rPr>
          <w:tab/>
        </w:r>
        <w:r w:rsidR="00AC05D1">
          <w:rPr>
            <w:webHidden/>
          </w:rPr>
          <w:fldChar w:fldCharType="begin"/>
        </w:r>
        <w:r w:rsidR="00AC05D1">
          <w:rPr>
            <w:webHidden/>
          </w:rPr>
          <w:instrText xml:space="preserve"> PAGEREF _Toc202260028 \h </w:instrText>
        </w:r>
        <w:r w:rsidR="00AC05D1">
          <w:rPr>
            <w:webHidden/>
          </w:rPr>
        </w:r>
        <w:r w:rsidR="00AC05D1">
          <w:rPr>
            <w:webHidden/>
          </w:rPr>
          <w:fldChar w:fldCharType="separate"/>
        </w:r>
        <w:r w:rsidR="00AC05D1">
          <w:rPr>
            <w:webHidden/>
          </w:rPr>
          <w:t>32</w:t>
        </w:r>
        <w:r w:rsidR="00AC05D1">
          <w:rPr>
            <w:webHidden/>
          </w:rPr>
          <w:fldChar w:fldCharType="end"/>
        </w:r>
      </w:hyperlink>
    </w:p>
    <w:p w14:paraId="7FB95CBC" w14:textId="60E8DE5F"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29" w:history="1">
        <w:r w:rsidR="00AC05D1" w:rsidRPr="00AF7A3E">
          <w:rPr>
            <w:rStyle w:val="Hyperlinkki"/>
            <w:rFonts w:eastAsiaTheme="majorEastAsia"/>
          </w:rPr>
          <w:t>2.7.4 Energiaverotus</w:t>
        </w:r>
        <w:r w:rsidR="00AC05D1">
          <w:rPr>
            <w:webHidden/>
          </w:rPr>
          <w:tab/>
        </w:r>
        <w:r w:rsidR="00AC05D1">
          <w:rPr>
            <w:webHidden/>
          </w:rPr>
          <w:fldChar w:fldCharType="begin"/>
        </w:r>
        <w:r w:rsidR="00AC05D1">
          <w:rPr>
            <w:webHidden/>
          </w:rPr>
          <w:instrText xml:space="preserve"> PAGEREF _Toc202260029 \h </w:instrText>
        </w:r>
        <w:r w:rsidR="00AC05D1">
          <w:rPr>
            <w:webHidden/>
          </w:rPr>
        </w:r>
        <w:r w:rsidR="00AC05D1">
          <w:rPr>
            <w:webHidden/>
          </w:rPr>
          <w:fldChar w:fldCharType="separate"/>
        </w:r>
        <w:r w:rsidR="00AC05D1">
          <w:rPr>
            <w:webHidden/>
          </w:rPr>
          <w:t>33</w:t>
        </w:r>
        <w:r w:rsidR="00AC05D1">
          <w:rPr>
            <w:webHidden/>
          </w:rPr>
          <w:fldChar w:fldCharType="end"/>
        </w:r>
      </w:hyperlink>
    </w:p>
    <w:p w14:paraId="052796DB" w14:textId="603854AF" w:rsidR="00AC05D1" w:rsidRDefault="0056474A">
      <w:pPr>
        <w:pStyle w:val="Sisluet1"/>
        <w:rPr>
          <w:rFonts w:asciiTheme="minorHAnsi" w:eastAsiaTheme="minorEastAsia" w:hAnsiTheme="minorHAnsi" w:cstheme="minorBidi"/>
          <w:b w:val="0"/>
          <w:color w:val="auto"/>
          <w:kern w:val="2"/>
          <w:sz w:val="24"/>
          <w:szCs w:val="24"/>
          <w14:ligatures w14:val="standardContextual"/>
        </w:rPr>
      </w:pPr>
      <w:hyperlink w:anchor="_Toc202260030" w:history="1">
        <w:r w:rsidR="00AC05D1" w:rsidRPr="00AF7A3E">
          <w:rPr>
            <w:rStyle w:val="Hyperlinkki"/>
            <w:rFonts w:eastAsiaTheme="majorEastAsia"/>
            <w:lang w:val="en-US" w:eastAsia="en-US"/>
          </w:rPr>
          <w:t>3</w:t>
        </w:r>
        <w:r w:rsidR="00AC05D1">
          <w:rPr>
            <w:rFonts w:asciiTheme="minorHAnsi" w:eastAsiaTheme="minorEastAsia" w:hAnsiTheme="minorHAnsi" w:cstheme="minorBidi"/>
            <w:b w:val="0"/>
            <w:color w:val="auto"/>
            <w:kern w:val="2"/>
            <w:sz w:val="24"/>
            <w:szCs w:val="24"/>
            <w14:ligatures w14:val="standardContextual"/>
          </w:rPr>
          <w:tab/>
        </w:r>
        <w:r w:rsidR="00AC05D1" w:rsidRPr="00AF7A3E">
          <w:rPr>
            <w:rStyle w:val="Hyperlinkki"/>
            <w:rFonts w:eastAsiaTheme="majorEastAsia"/>
          </w:rPr>
          <w:t>Suomen</w:t>
        </w:r>
        <w:r w:rsidR="00AC05D1" w:rsidRPr="00AF7A3E">
          <w:rPr>
            <w:rStyle w:val="Hyperlinkki"/>
            <w:rFonts w:eastAsiaTheme="majorEastAsia"/>
            <w:lang w:val="en-US" w:eastAsia="en-US"/>
          </w:rPr>
          <w:t xml:space="preserve"> ilmastopolitiikka</w:t>
        </w:r>
        <w:r w:rsidR="00AC05D1">
          <w:rPr>
            <w:webHidden/>
          </w:rPr>
          <w:tab/>
        </w:r>
        <w:r w:rsidR="00AC05D1">
          <w:rPr>
            <w:webHidden/>
          </w:rPr>
          <w:fldChar w:fldCharType="begin"/>
        </w:r>
        <w:r w:rsidR="00AC05D1">
          <w:rPr>
            <w:webHidden/>
          </w:rPr>
          <w:instrText xml:space="preserve"> PAGEREF _Toc202260030 \h </w:instrText>
        </w:r>
        <w:r w:rsidR="00AC05D1">
          <w:rPr>
            <w:webHidden/>
          </w:rPr>
        </w:r>
        <w:r w:rsidR="00AC05D1">
          <w:rPr>
            <w:webHidden/>
          </w:rPr>
          <w:fldChar w:fldCharType="separate"/>
        </w:r>
        <w:r w:rsidR="00AC05D1">
          <w:rPr>
            <w:webHidden/>
          </w:rPr>
          <w:t>35</w:t>
        </w:r>
        <w:r w:rsidR="00AC05D1">
          <w:rPr>
            <w:webHidden/>
          </w:rPr>
          <w:fldChar w:fldCharType="end"/>
        </w:r>
      </w:hyperlink>
    </w:p>
    <w:p w14:paraId="5AD2FB17" w14:textId="01A00BC6"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31" w:history="1">
        <w:r w:rsidR="00AC05D1" w:rsidRPr="00AF7A3E">
          <w:rPr>
            <w:rStyle w:val="Hyperlinkki"/>
            <w:rFonts w:eastAsiaTheme="majorEastAsia"/>
          </w:rPr>
          <w:t>3.1 Yleiskuva</w:t>
        </w:r>
        <w:r w:rsidR="00AC05D1">
          <w:rPr>
            <w:webHidden/>
          </w:rPr>
          <w:tab/>
        </w:r>
        <w:r w:rsidR="00AC05D1">
          <w:rPr>
            <w:webHidden/>
          </w:rPr>
          <w:fldChar w:fldCharType="begin"/>
        </w:r>
        <w:r w:rsidR="00AC05D1">
          <w:rPr>
            <w:webHidden/>
          </w:rPr>
          <w:instrText xml:space="preserve"> PAGEREF _Toc202260031 \h </w:instrText>
        </w:r>
        <w:r w:rsidR="00AC05D1">
          <w:rPr>
            <w:webHidden/>
          </w:rPr>
        </w:r>
        <w:r w:rsidR="00AC05D1">
          <w:rPr>
            <w:webHidden/>
          </w:rPr>
          <w:fldChar w:fldCharType="separate"/>
        </w:r>
        <w:r w:rsidR="00AC05D1">
          <w:rPr>
            <w:webHidden/>
          </w:rPr>
          <w:t>35</w:t>
        </w:r>
        <w:r w:rsidR="00AC05D1">
          <w:rPr>
            <w:webHidden/>
          </w:rPr>
          <w:fldChar w:fldCharType="end"/>
        </w:r>
      </w:hyperlink>
    </w:p>
    <w:p w14:paraId="6AF78FA6" w14:textId="0395D064"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32" w:history="1">
        <w:r w:rsidR="00AC05D1" w:rsidRPr="00AF7A3E">
          <w:rPr>
            <w:rStyle w:val="Hyperlinkki"/>
            <w:rFonts w:eastAsiaTheme="majorEastAsia"/>
          </w:rPr>
          <w:t>3.2 Hallitusohjelma</w:t>
        </w:r>
        <w:r w:rsidR="00AC05D1">
          <w:rPr>
            <w:webHidden/>
          </w:rPr>
          <w:tab/>
        </w:r>
        <w:r w:rsidR="00AC05D1">
          <w:rPr>
            <w:webHidden/>
          </w:rPr>
          <w:fldChar w:fldCharType="begin"/>
        </w:r>
        <w:r w:rsidR="00AC05D1">
          <w:rPr>
            <w:webHidden/>
          </w:rPr>
          <w:instrText xml:space="preserve"> PAGEREF _Toc202260032 \h </w:instrText>
        </w:r>
        <w:r w:rsidR="00AC05D1">
          <w:rPr>
            <w:webHidden/>
          </w:rPr>
        </w:r>
        <w:r w:rsidR="00AC05D1">
          <w:rPr>
            <w:webHidden/>
          </w:rPr>
          <w:fldChar w:fldCharType="separate"/>
        </w:r>
        <w:r w:rsidR="00AC05D1">
          <w:rPr>
            <w:webHidden/>
          </w:rPr>
          <w:t>36</w:t>
        </w:r>
        <w:r w:rsidR="00AC05D1">
          <w:rPr>
            <w:webHidden/>
          </w:rPr>
          <w:fldChar w:fldCharType="end"/>
        </w:r>
      </w:hyperlink>
    </w:p>
    <w:p w14:paraId="364EBB88" w14:textId="119A4D19"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33" w:history="1">
        <w:r w:rsidR="00AC05D1" w:rsidRPr="00AF7A3E">
          <w:rPr>
            <w:rStyle w:val="Hyperlinkki"/>
            <w:rFonts w:eastAsiaTheme="majorEastAsia"/>
          </w:rPr>
          <w:t>3.3 Raportointi ja seuranta</w:t>
        </w:r>
        <w:r w:rsidR="00AC05D1">
          <w:rPr>
            <w:webHidden/>
          </w:rPr>
          <w:tab/>
        </w:r>
        <w:r w:rsidR="00AC05D1">
          <w:rPr>
            <w:webHidden/>
          </w:rPr>
          <w:fldChar w:fldCharType="begin"/>
        </w:r>
        <w:r w:rsidR="00AC05D1">
          <w:rPr>
            <w:webHidden/>
          </w:rPr>
          <w:instrText xml:space="preserve"> PAGEREF _Toc202260033 \h </w:instrText>
        </w:r>
        <w:r w:rsidR="00AC05D1">
          <w:rPr>
            <w:webHidden/>
          </w:rPr>
        </w:r>
        <w:r w:rsidR="00AC05D1">
          <w:rPr>
            <w:webHidden/>
          </w:rPr>
          <w:fldChar w:fldCharType="separate"/>
        </w:r>
        <w:r w:rsidR="00AC05D1">
          <w:rPr>
            <w:webHidden/>
          </w:rPr>
          <w:t>37</w:t>
        </w:r>
        <w:r w:rsidR="00AC05D1">
          <w:rPr>
            <w:webHidden/>
          </w:rPr>
          <w:fldChar w:fldCharType="end"/>
        </w:r>
      </w:hyperlink>
    </w:p>
    <w:p w14:paraId="057D1D5D" w14:textId="07CCDD8B"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34" w:history="1">
        <w:r w:rsidR="00AC05D1" w:rsidRPr="00AF7A3E">
          <w:rPr>
            <w:rStyle w:val="Hyperlinkki"/>
            <w:rFonts w:eastAsiaTheme="majorEastAsia"/>
          </w:rPr>
          <w:t>3.4 Ilmastopolitiikan suunnittelujärjestelmä</w:t>
        </w:r>
        <w:r w:rsidR="00AC05D1">
          <w:rPr>
            <w:webHidden/>
          </w:rPr>
          <w:tab/>
        </w:r>
        <w:r w:rsidR="00AC05D1">
          <w:rPr>
            <w:webHidden/>
          </w:rPr>
          <w:fldChar w:fldCharType="begin"/>
        </w:r>
        <w:r w:rsidR="00AC05D1">
          <w:rPr>
            <w:webHidden/>
          </w:rPr>
          <w:instrText xml:space="preserve"> PAGEREF _Toc202260034 \h </w:instrText>
        </w:r>
        <w:r w:rsidR="00AC05D1">
          <w:rPr>
            <w:webHidden/>
          </w:rPr>
        </w:r>
        <w:r w:rsidR="00AC05D1">
          <w:rPr>
            <w:webHidden/>
          </w:rPr>
          <w:fldChar w:fldCharType="separate"/>
        </w:r>
        <w:r w:rsidR="00AC05D1">
          <w:rPr>
            <w:webHidden/>
          </w:rPr>
          <w:t>39</w:t>
        </w:r>
        <w:r w:rsidR="00AC05D1">
          <w:rPr>
            <w:webHidden/>
          </w:rPr>
          <w:fldChar w:fldCharType="end"/>
        </w:r>
      </w:hyperlink>
    </w:p>
    <w:p w14:paraId="2BDC1ACE" w14:textId="0CF47436"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35" w:history="1">
        <w:r w:rsidR="00AC05D1" w:rsidRPr="00AF7A3E">
          <w:rPr>
            <w:rStyle w:val="Hyperlinkki"/>
            <w:rFonts w:eastAsiaTheme="majorEastAsia"/>
          </w:rPr>
          <w:t>3.5 Muu sektorilainsäädäntö</w:t>
        </w:r>
        <w:r w:rsidR="00AC05D1">
          <w:rPr>
            <w:webHidden/>
          </w:rPr>
          <w:tab/>
        </w:r>
        <w:r w:rsidR="00AC05D1">
          <w:rPr>
            <w:webHidden/>
          </w:rPr>
          <w:fldChar w:fldCharType="begin"/>
        </w:r>
        <w:r w:rsidR="00AC05D1">
          <w:rPr>
            <w:webHidden/>
          </w:rPr>
          <w:instrText xml:space="preserve"> PAGEREF _Toc202260035 \h </w:instrText>
        </w:r>
        <w:r w:rsidR="00AC05D1">
          <w:rPr>
            <w:webHidden/>
          </w:rPr>
        </w:r>
        <w:r w:rsidR="00AC05D1">
          <w:rPr>
            <w:webHidden/>
          </w:rPr>
          <w:fldChar w:fldCharType="separate"/>
        </w:r>
        <w:r w:rsidR="00AC05D1">
          <w:rPr>
            <w:webHidden/>
          </w:rPr>
          <w:t>40</w:t>
        </w:r>
        <w:r w:rsidR="00AC05D1">
          <w:rPr>
            <w:webHidden/>
          </w:rPr>
          <w:fldChar w:fldCharType="end"/>
        </w:r>
      </w:hyperlink>
    </w:p>
    <w:p w14:paraId="35FD1625" w14:textId="7AA6DBCF" w:rsidR="00AC05D1" w:rsidRDefault="0056474A">
      <w:pPr>
        <w:pStyle w:val="Sisluet1"/>
        <w:rPr>
          <w:rFonts w:asciiTheme="minorHAnsi" w:eastAsiaTheme="minorEastAsia" w:hAnsiTheme="minorHAnsi" w:cstheme="minorBidi"/>
          <w:b w:val="0"/>
          <w:color w:val="auto"/>
          <w:kern w:val="2"/>
          <w:sz w:val="24"/>
          <w:szCs w:val="24"/>
          <w14:ligatures w14:val="standardContextual"/>
        </w:rPr>
      </w:pPr>
      <w:hyperlink w:anchor="_Toc202260036" w:history="1">
        <w:r w:rsidR="00AC05D1" w:rsidRPr="00AF7A3E">
          <w:rPr>
            <w:rStyle w:val="Hyperlinkki"/>
            <w:rFonts w:eastAsiaTheme="majorEastAsia"/>
            <w:lang w:eastAsia="en-US"/>
          </w:rPr>
          <w:t>4</w:t>
        </w:r>
        <w:r w:rsidR="00AC05D1">
          <w:rPr>
            <w:rFonts w:asciiTheme="minorHAnsi" w:eastAsiaTheme="minorEastAsia" w:hAnsiTheme="minorHAnsi" w:cstheme="minorBidi"/>
            <w:b w:val="0"/>
            <w:color w:val="auto"/>
            <w:kern w:val="2"/>
            <w:sz w:val="24"/>
            <w:szCs w:val="24"/>
            <w14:ligatures w14:val="standardContextual"/>
          </w:rPr>
          <w:tab/>
        </w:r>
        <w:r w:rsidR="00AC05D1" w:rsidRPr="00AF7A3E">
          <w:rPr>
            <w:rStyle w:val="Hyperlinkki"/>
            <w:rFonts w:eastAsiaTheme="majorEastAsia"/>
            <w:lang w:eastAsia="en-US"/>
          </w:rPr>
          <w:t>Päästökehitys ja nykytoimien riittävyys</w:t>
        </w:r>
        <w:r w:rsidR="00AC05D1">
          <w:rPr>
            <w:webHidden/>
          </w:rPr>
          <w:tab/>
        </w:r>
        <w:r w:rsidR="00AC05D1">
          <w:rPr>
            <w:webHidden/>
          </w:rPr>
          <w:fldChar w:fldCharType="begin"/>
        </w:r>
        <w:r w:rsidR="00AC05D1">
          <w:rPr>
            <w:webHidden/>
          </w:rPr>
          <w:instrText xml:space="preserve"> PAGEREF _Toc202260036 \h </w:instrText>
        </w:r>
        <w:r w:rsidR="00AC05D1">
          <w:rPr>
            <w:webHidden/>
          </w:rPr>
        </w:r>
        <w:r w:rsidR="00AC05D1">
          <w:rPr>
            <w:webHidden/>
          </w:rPr>
          <w:fldChar w:fldCharType="separate"/>
        </w:r>
        <w:r w:rsidR="00AC05D1">
          <w:rPr>
            <w:webHidden/>
          </w:rPr>
          <w:t>42</w:t>
        </w:r>
        <w:r w:rsidR="00AC05D1">
          <w:rPr>
            <w:webHidden/>
          </w:rPr>
          <w:fldChar w:fldCharType="end"/>
        </w:r>
      </w:hyperlink>
    </w:p>
    <w:p w14:paraId="494763F4" w14:textId="293810FA"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37" w:history="1">
        <w:r w:rsidR="00AC05D1" w:rsidRPr="00AF7A3E">
          <w:rPr>
            <w:rStyle w:val="Hyperlinkki"/>
            <w:rFonts w:eastAsiaTheme="majorEastAsia"/>
          </w:rPr>
          <w:t>4.1 Kokonaispäästöjen ja nielujen kehitys</w:t>
        </w:r>
        <w:r w:rsidR="00AC05D1">
          <w:rPr>
            <w:webHidden/>
          </w:rPr>
          <w:tab/>
        </w:r>
        <w:r w:rsidR="00AC05D1">
          <w:rPr>
            <w:webHidden/>
          </w:rPr>
          <w:fldChar w:fldCharType="begin"/>
        </w:r>
        <w:r w:rsidR="00AC05D1">
          <w:rPr>
            <w:webHidden/>
          </w:rPr>
          <w:instrText xml:space="preserve"> PAGEREF _Toc202260037 \h </w:instrText>
        </w:r>
        <w:r w:rsidR="00AC05D1">
          <w:rPr>
            <w:webHidden/>
          </w:rPr>
        </w:r>
        <w:r w:rsidR="00AC05D1">
          <w:rPr>
            <w:webHidden/>
          </w:rPr>
          <w:fldChar w:fldCharType="separate"/>
        </w:r>
        <w:r w:rsidR="00AC05D1">
          <w:rPr>
            <w:webHidden/>
          </w:rPr>
          <w:t>42</w:t>
        </w:r>
        <w:r w:rsidR="00AC05D1">
          <w:rPr>
            <w:webHidden/>
          </w:rPr>
          <w:fldChar w:fldCharType="end"/>
        </w:r>
      </w:hyperlink>
    </w:p>
    <w:p w14:paraId="52D271AA" w14:textId="15FC677C"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38" w:history="1">
        <w:r w:rsidR="00AC05D1" w:rsidRPr="00AF7A3E">
          <w:rPr>
            <w:rStyle w:val="Hyperlinkki"/>
            <w:rFonts w:eastAsiaTheme="majorEastAsia"/>
          </w:rPr>
          <w:t>4.2 Taakanjakosektorin päästökehitys</w:t>
        </w:r>
        <w:r w:rsidR="00AC05D1">
          <w:rPr>
            <w:webHidden/>
          </w:rPr>
          <w:tab/>
        </w:r>
        <w:r w:rsidR="00AC05D1">
          <w:rPr>
            <w:webHidden/>
          </w:rPr>
          <w:fldChar w:fldCharType="begin"/>
        </w:r>
        <w:r w:rsidR="00AC05D1">
          <w:rPr>
            <w:webHidden/>
          </w:rPr>
          <w:instrText xml:space="preserve"> PAGEREF _Toc202260038 \h </w:instrText>
        </w:r>
        <w:r w:rsidR="00AC05D1">
          <w:rPr>
            <w:webHidden/>
          </w:rPr>
        </w:r>
        <w:r w:rsidR="00AC05D1">
          <w:rPr>
            <w:webHidden/>
          </w:rPr>
          <w:fldChar w:fldCharType="separate"/>
        </w:r>
        <w:r w:rsidR="00AC05D1">
          <w:rPr>
            <w:webHidden/>
          </w:rPr>
          <w:t>44</w:t>
        </w:r>
        <w:r w:rsidR="00AC05D1">
          <w:rPr>
            <w:webHidden/>
          </w:rPr>
          <w:fldChar w:fldCharType="end"/>
        </w:r>
      </w:hyperlink>
    </w:p>
    <w:p w14:paraId="6E5F616B" w14:textId="306916A6"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39" w:history="1">
        <w:r w:rsidR="00AC05D1" w:rsidRPr="00AF7A3E">
          <w:rPr>
            <w:rStyle w:val="Hyperlinkki"/>
            <w:rFonts w:eastAsiaTheme="majorEastAsia"/>
          </w:rPr>
          <w:t>4.3 Suomen taakanjakosektorin 2021-2030 päästövähennysvelvoite</w:t>
        </w:r>
        <w:r w:rsidR="00AC05D1">
          <w:rPr>
            <w:webHidden/>
          </w:rPr>
          <w:tab/>
        </w:r>
        <w:r w:rsidR="00AC05D1">
          <w:rPr>
            <w:webHidden/>
          </w:rPr>
          <w:fldChar w:fldCharType="begin"/>
        </w:r>
        <w:r w:rsidR="00AC05D1">
          <w:rPr>
            <w:webHidden/>
          </w:rPr>
          <w:instrText xml:space="preserve"> PAGEREF _Toc202260039 \h </w:instrText>
        </w:r>
        <w:r w:rsidR="00AC05D1">
          <w:rPr>
            <w:webHidden/>
          </w:rPr>
        </w:r>
        <w:r w:rsidR="00AC05D1">
          <w:rPr>
            <w:webHidden/>
          </w:rPr>
          <w:fldChar w:fldCharType="separate"/>
        </w:r>
        <w:r w:rsidR="00AC05D1">
          <w:rPr>
            <w:webHidden/>
          </w:rPr>
          <w:t>47</w:t>
        </w:r>
        <w:r w:rsidR="00AC05D1">
          <w:rPr>
            <w:webHidden/>
          </w:rPr>
          <w:fldChar w:fldCharType="end"/>
        </w:r>
      </w:hyperlink>
    </w:p>
    <w:p w14:paraId="5C293DD4" w14:textId="21979BB0"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40" w:history="1">
        <w:r w:rsidR="00AC05D1" w:rsidRPr="00AF7A3E">
          <w:rPr>
            <w:rStyle w:val="Hyperlinkki"/>
            <w:rFonts w:eastAsiaTheme="majorEastAsia"/>
          </w:rPr>
          <w:t>4.4 Nykytoimiskenaarion laskentaoletukset</w:t>
        </w:r>
        <w:r w:rsidR="00AC05D1">
          <w:rPr>
            <w:webHidden/>
          </w:rPr>
          <w:tab/>
        </w:r>
        <w:r w:rsidR="00AC05D1">
          <w:rPr>
            <w:webHidden/>
          </w:rPr>
          <w:fldChar w:fldCharType="begin"/>
        </w:r>
        <w:r w:rsidR="00AC05D1">
          <w:rPr>
            <w:webHidden/>
          </w:rPr>
          <w:instrText xml:space="preserve"> PAGEREF _Toc202260040 \h </w:instrText>
        </w:r>
        <w:r w:rsidR="00AC05D1">
          <w:rPr>
            <w:webHidden/>
          </w:rPr>
        </w:r>
        <w:r w:rsidR="00AC05D1">
          <w:rPr>
            <w:webHidden/>
          </w:rPr>
          <w:fldChar w:fldCharType="separate"/>
        </w:r>
        <w:r w:rsidR="00AC05D1">
          <w:rPr>
            <w:webHidden/>
          </w:rPr>
          <w:t>48</w:t>
        </w:r>
        <w:r w:rsidR="00AC05D1">
          <w:rPr>
            <w:webHidden/>
          </w:rPr>
          <w:fldChar w:fldCharType="end"/>
        </w:r>
      </w:hyperlink>
    </w:p>
    <w:p w14:paraId="3535E6E0" w14:textId="7A5852E3"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41" w:history="1">
        <w:r w:rsidR="00AC05D1" w:rsidRPr="00AF7A3E">
          <w:rPr>
            <w:rStyle w:val="Hyperlinkki"/>
            <w:rFonts w:eastAsiaTheme="majorEastAsia"/>
          </w:rPr>
          <w:t>4.5 Nykytoimien riittävyys suhteessa tavoitteisiin</w:t>
        </w:r>
        <w:r w:rsidR="00AC05D1">
          <w:rPr>
            <w:webHidden/>
          </w:rPr>
          <w:tab/>
        </w:r>
        <w:r w:rsidR="00AC05D1">
          <w:rPr>
            <w:webHidden/>
          </w:rPr>
          <w:fldChar w:fldCharType="begin"/>
        </w:r>
        <w:r w:rsidR="00AC05D1">
          <w:rPr>
            <w:webHidden/>
          </w:rPr>
          <w:instrText xml:space="preserve"> PAGEREF _Toc202260041 \h </w:instrText>
        </w:r>
        <w:r w:rsidR="00AC05D1">
          <w:rPr>
            <w:webHidden/>
          </w:rPr>
        </w:r>
        <w:r w:rsidR="00AC05D1">
          <w:rPr>
            <w:webHidden/>
          </w:rPr>
          <w:fldChar w:fldCharType="separate"/>
        </w:r>
        <w:r w:rsidR="00AC05D1">
          <w:rPr>
            <w:webHidden/>
          </w:rPr>
          <w:t>49</w:t>
        </w:r>
        <w:r w:rsidR="00AC05D1">
          <w:rPr>
            <w:webHidden/>
          </w:rPr>
          <w:fldChar w:fldCharType="end"/>
        </w:r>
      </w:hyperlink>
    </w:p>
    <w:p w14:paraId="6FE6F8B0" w14:textId="29195CBB" w:rsidR="00AC05D1" w:rsidRDefault="0056474A">
      <w:pPr>
        <w:pStyle w:val="Sisluet1"/>
        <w:rPr>
          <w:rFonts w:asciiTheme="minorHAnsi" w:eastAsiaTheme="minorEastAsia" w:hAnsiTheme="minorHAnsi" w:cstheme="minorBidi"/>
          <w:b w:val="0"/>
          <w:color w:val="auto"/>
          <w:kern w:val="2"/>
          <w:sz w:val="24"/>
          <w:szCs w:val="24"/>
          <w14:ligatures w14:val="standardContextual"/>
        </w:rPr>
      </w:pPr>
      <w:hyperlink w:anchor="_Toc202260042" w:history="1">
        <w:r w:rsidR="00AC05D1" w:rsidRPr="00AF7A3E">
          <w:rPr>
            <w:rStyle w:val="Hyperlinkki"/>
            <w:rFonts w:eastAsiaTheme="majorEastAsia"/>
          </w:rPr>
          <w:t>5 Sektorikohtainen päästökehitys ja nykytoimet</w:t>
        </w:r>
        <w:r w:rsidR="00AC05D1">
          <w:rPr>
            <w:webHidden/>
          </w:rPr>
          <w:tab/>
        </w:r>
        <w:r w:rsidR="00AC05D1">
          <w:rPr>
            <w:webHidden/>
          </w:rPr>
          <w:fldChar w:fldCharType="begin"/>
        </w:r>
        <w:r w:rsidR="00AC05D1">
          <w:rPr>
            <w:webHidden/>
          </w:rPr>
          <w:instrText xml:space="preserve"> PAGEREF _Toc202260042 \h </w:instrText>
        </w:r>
        <w:r w:rsidR="00AC05D1">
          <w:rPr>
            <w:webHidden/>
          </w:rPr>
        </w:r>
        <w:r w:rsidR="00AC05D1">
          <w:rPr>
            <w:webHidden/>
          </w:rPr>
          <w:fldChar w:fldCharType="separate"/>
        </w:r>
        <w:r w:rsidR="00AC05D1">
          <w:rPr>
            <w:webHidden/>
          </w:rPr>
          <w:t>54</w:t>
        </w:r>
        <w:r w:rsidR="00AC05D1">
          <w:rPr>
            <w:webHidden/>
          </w:rPr>
          <w:fldChar w:fldCharType="end"/>
        </w:r>
      </w:hyperlink>
    </w:p>
    <w:p w14:paraId="0ADF6590" w14:textId="678FEC9A"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43" w:history="1">
        <w:r w:rsidR="00AC05D1" w:rsidRPr="00AF7A3E">
          <w:rPr>
            <w:rStyle w:val="Hyperlinkki"/>
            <w:rFonts w:eastAsiaTheme="majorEastAsia"/>
          </w:rPr>
          <w:t>5.1 Liikenne</w:t>
        </w:r>
        <w:r w:rsidR="00AC05D1">
          <w:rPr>
            <w:webHidden/>
          </w:rPr>
          <w:tab/>
        </w:r>
        <w:r w:rsidR="00AC05D1">
          <w:rPr>
            <w:webHidden/>
          </w:rPr>
          <w:fldChar w:fldCharType="begin"/>
        </w:r>
        <w:r w:rsidR="00AC05D1">
          <w:rPr>
            <w:webHidden/>
          </w:rPr>
          <w:instrText xml:space="preserve"> PAGEREF _Toc202260043 \h </w:instrText>
        </w:r>
        <w:r w:rsidR="00AC05D1">
          <w:rPr>
            <w:webHidden/>
          </w:rPr>
        </w:r>
        <w:r w:rsidR="00AC05D1">
          <w:rPr>
            <w:webHidden/>
          </w:rPr>
          <w:fldChar w:fldCharType="separate"/>
        </w:r>
        <w:r w:rsidR="00AC05D1">
          <w:rPr>
            <w:webHidden/>
          </w:rPr>
          <w:t>54</w:t>
        </w:r>
        <w:r w:rsidR="00AC05D1">
          <w:rPr>
            <w:webHidden/>
          </w:rPr>
          <w:fldChar w:fldCharType="end"/>
        </w:r>
      </w:hyperlink>
    </w:p>
    <w:p w14:paraId="3747EEE6" w14:textId="6D17C411"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44" w:history="1">
        <w:r w:rsidR="00AC05D1" w:rsidRPr="00AF7A3E">
          <w:rPr>
            <w:rStyle w:val="Hyperlinkki"/>
            <w:rFonts w:eastAsiaTheme="majorEastAsia"/>
          </w:rPr>
          <w:t>5.2 Maatalous</w:t>
        </w:r>
        <w:r w:rsidR="00AC05D1">
          <w:rPr>
            <w:webHidden/>
          </w:rPr>
          <w:tab/>
        </w:r>
        <w:r w:rsidR="00AC05D1">
          <w:rPr>
            <w:webHidden/>
          </w:rPr>
          <w:fldChar w:fldCharType="begin"/>
        </w:r>
        <w:r w:rsidR="00AC05D1">
          <w:rPr>
            <w:webHidden/>
          </w:rPr>
          <w:instrText xml:space="preserve"> PAGEREF _Toc202260044 \h </w:instrText>
        </w:r>
        <w:r w:rsidR="00AC05D1">
          <w:rPr>
            <w:webHidden/>
          </w:rPr>
        </w:r>
        <w:r w:rsidR="00AC05D1">
          <w:rPr>
            <w:webHidden/>
          </w:rPr>
          <w:fldChar w:fldCharType="separate"/>
        </w:r>
        <w:r w:rsidR="00AC05D1">
          <w:rPr>
            <w:webHidden/>
          </w:rPr>
          <w:t>63</w:t>
        </w:r>
        <w:r w:rsidR="00AC05D1">
          <w:rPr>
            <w:webHidden/>
          </w:rPr>
          <w:fldChar w:fldCharType="end"/>
        </w:r>
      </w:hyperlink>
    </w:p>
    <w:p w14:paraId="5DA4C020" w14:textId="21A0A1A4"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45" w:history="1">
        <w:r w:rsidR="00AC05D1" w:rsidRPr="00AF7A3E">
          <w:rPr>
            <w:rStyle w:val="Hyperlinkki"/>
            <w:rFonts w:eastAsiaTheme="majorEastAsia"/>
          </w:rPr>
          <w:t>5.3 Rakennusten erillislämmitys</w:t>
        </w:r>
        <w:r w:rsidR="00AC05D1">
          <w:rPr>
            <w:webHidden/>
          </w:rPr>
          <w:tab/>
        </w:r>
        <w:r w:rsidR="00AC05D1">
          <w:rPr>
            <w:webHidden/>
          </w:rPr>
          <w:fldChar w:fldCharType="begin"/>
        </w:r>
        <w:r w:rsidR="00AC05D1">
          <w:rPr>
            <w:webHidden/>
          </w:rPr>
          <w:instrText xml:space="preserve"> PAGEREF _Toc202260045 \h </w:instrText>
        </w:r>
        <w:r w:rsidR="00AC05D1">
          <w:rPr>
            <w:webHidden/>
          </w:rPr>
        </w:r>
        <w:r w:rsidR="00AC05D1">
          <w:rPr>
            <w:webHidden/>
          </w:rPr>
          <w:fldChar w:fldCharType="separate"/>
        </w:r>
        <w:r w:rsidR="00AC05D1">
          <w:rPr>
            <w:webHidden/>
          </w:rPr>
          <w:t>70</w:t>
        </w:r>
        <w:r w:rsidR="00AC05D1">
          <w:rPr>
            <w:webHidden/>
          </w:rPr>
          <w:fldChar w:fldCharType="end"/>
        </w:r>
      </w:hyperlink>
    </w:p>
    <w:p w14:paraId="146B6BE9" w14:textId="1230979A"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46" w:history="1">
        <w:r w:rsidR="00AC05D1" w:rsidRPr="00AF7A3E">
          <w:rPr>
            <w:rStyle w:val="Hyperlinkki"/>
            <w:rFonts w:eastAsiaTheme="majorEastAsia"/>
          </w:rPr>
          <w:t>5.4 Työkoneet</w:t>
        </w:r>
        <w:r w:rsidR="00AC05D1">
          <w:rPr>
            <w:webHidden/>
          </w:rPr>
          <w:tab/>
        </w:r>
        <w:r w:rsidR="00AC05D1">
          <w:rPr>
            <w:webHidden/>
          </w:rPr>
          <w:fldChar w:fldCharType="begin"/>
        </w:r>
        <w:r w:rsidR="00AC05D1">
          <w:rPr>
            <w:webHidden/>
          </w:rPr>
          <w:instrText xml:space="preserve"> PAGEREF _Toc202260046 \h </w:instrText>
        </w:r>
        <w:r w:rsidR="00AC05D1">
          <w:rPr>
            <w:webHidden/>
          </w:rPr>
        </w:r>
        <w:r w:rsidR="00AC05D1">
          <w:rPr>
            <w:webHidden/>
          </w:rPr>
          <w:fldChar w:fldCharType="separate"/>
        </w:r>
        <w:r w:rsidR="00AC05D1">
          <w:rPr>
            <w:webHidden/>
          </w:rPr>
          <w:t>74</w:t>
        </w:r>
        <w:r w:rsidR="00AC05D1">
          <w:rPr>
            <w:webHidden/>
          </w:rPr>
          <w:fldChar w:fldCharType="end"/>
        </w:r>
      </w:hyperlink>
    </w:p>
    <w:p w14:paraId="78178CC7" w14:textId="24E0374C"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47" w:history="1">
        <w:r w:rsidR="00AC05D1" w:rsidRPr="00AF7A3E">
          <w:rPr>
            <w:rStyle w:val="Hyperlinkki"/>
            <w:rFonts w:eastAsiaTheme="majorEastAsia"/>
          </w:rPr>
          <w:t>5.5 Jätteiden käsittely ja jätteenpoltto</w:t>
        </w:r>
        <w:r w:rsidR="00AC05D1">
          <w:rPr>
            <w:webHidden/>
          </w:rPr>
          <w:tab/>
        </w:r>
        <w:r w:rsidR="00AC05D1">
          <w:rPr>
            <w:webHidden/>
          </w:rPr>
          <w:fldChar w:fldCharType="begin"/>
        </w:r>
        <w:r w:rsidR="00AC05D1">
          <w:rPr>
            <w:webHidden/>
          </w:rPr>
          <w:instrText xml:space="preserve"> PAGEREF _Toc202260047 \h </w:instrText>
        </w:r>
        <w:r w:rsidR="00AC05D1">
          <w:rPr>
            <w:webHidden/>
          </w:rPr>
        </w:r>
        <w:r w:rsidR="00AC05D1">
          <w:rPr>
            <w:webHidden/>
          </w:rPr>
          <w:fldChar w:fldCharType="separate"/>
        </w:r>
        <w:r w:rsidR="00AC05D1">
          <w:rPr>
            <w:webHidden/>
          </w:rPr>
          <w:t>78</w:t>
        </w:r>
        <w:r w:rsidR="00AC05D1">
          <w:rPr>
            <w:webHidden/>
          </w:rPr>
          <w:fldChar w:fldCharType="end"/>
        </w:r>
      </w:hyperlink>
    </w:p>
    <w:p w14:paraId="3A80A4E8" w14:textId="22A35EAD"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48" w:history="1">
        <w:r w:rsidR="00AC05D1" w:rsidRPr="00AF7A3E">
          <w:rPr>
            <w:rStyle w:val="Hyperlinkki"/>
            <w:rFonts w:eastAsiaTheme="majorEastAsia"/>
          </w:rPr>
          <w:t>5.6 F-kaasut</w:t>
        </w:r>
        <w:r w:rsidR="00AC05D1">
          <w:rPr>
            <w:webHidden/>
          </w:rPr>
          <w:tab/>
        </w:r>
        <w:r w:rsidR="00AC05D1">
          <w:rPr>
            <w:webHidden/>
          </w:rPr>
          <w:fldChar w:fldCharType="begin"/>
        </w:r>
        <w:r w:rsidR="00AC05D1">
          <w:rPr>
            <w:webHidden/>
          </w:rPr>
          <w:instrText xml:space="preserve"> PAGEREF _Toc202260048 \h </w:instrText>
        </w:r>
        <w:r w:rsidR="00AC05D1">
          <w:rPr>
            <w:webHidden/>
          </w:rPr>
        </w:r>
        <w:r w:rsidR="00AC05D1">
          <w:rPr>
            <w:webHidden/>
          </w:rPr>
          <w:fldChar w:fldCharType="separate"/>
        </w:r>
        <w:r w:rsidR="00AC05D1">
          <w:rPr>
            <w:webHidden/>
          </w:rPr>
          <w:t>83</w:t>
        </w:r>
        <w:r w:rsidR="00AC05D1">
          <w:rPr>
            <w:webHidden/>
          </w:rPr>
          <w:fldChar w:fldCharType="end"/>
        </w:r>
      </w:hyperlink>
    </w:p>
    <w:p w14:paraId="7443206F" w14:textId="2939C093"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49" w:history="1">
        <w:r w:rsidR="00AC05D1" w:rsidRPr="00AF7A3E">
          <w:rPr>
            <w:rStyle w:val="Hyperlinkki"/>
            <w:rFonts w:eastAsiaTheme="majorEastAsia"/>
          </w:rPr>
          <w:t>5.7 Teollisuus</w:t>
        </w:r>
        <w:r w:rsidR="00AC05D1">
          <w:rPr>
            <w:webHidden/>
          </w:rPr>
          <w:tab/>
        </w:r>
        <w:r w:rsidR="00AC05D1">
          <w:rPr>
            <w:webHidden/>
          </w:rPr>
          <w:fldChar w:fldCharType="begin"/>
        </w:r>
        <w:r w:rsidR="00AC05D1">
          <w:rPr>
            <w:webHidden/>
          </w:rPr>
          <w:instrText xml:space="preserve"> PAGEREF _Toc202260049 \h </w:instrText>
        </w:r>
        <w:r w:rsidR="00AC05D1">
          <w:rPr>
            <w:webHidden/>
          </w:rPr>
        </w:r>
        <w:r w:rsidR="00AC05D1">
          <w:rPr>
            <w:webHidden/>
          </w:rPr>
          <w:fldChar w:fldCharType="separate"/>
        </w:r>
        <w:r w:rsidR="00AC05D1">
          <w:rPr>
            <w:webHidden/>
          </w:rPr>
          <w:t>87</w:t>
        </w:r>
        <w:r w:rsidR="00AC05D1">
          <w:rPr>
            <w:webHidden/>
          </w:rPr>
          <w:fldChar w:fldCharType="end"/>
        </w:r>
      </w:hyperlink>
    </w:p>
    <w:p w14:paraId="4E403F74" w14:textId="6801DB27"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50" w:history="1">
        <w:r w:rsidR="00AC05D1" w:rsidRPr="00AF7A3E">
          <w:rPr>
            <w:rStyle w:val="Hyperlinkki"/>
            <w:rFonts w:eastAsiaTheme="majorEastAsia"/>
          </w:rPr>
          <w:t>5.8 Muut päästöt</w:t>
        </w:r>
        <w:r w:rsidR="00AC05D1">
          <w:rPr>
            <w:webHidden/>
          </w:rPr>
          <w:tab/>
        </w:r>
        <w:r w:rsidR="00AC05D1">
          <w:rPr>
            <w:webHidden/>
          </w:rPr>
          <w:fldChar w:fldCharType="begin"/>
        </w:r>
        <w:r w:rsidR="00AC05D1">
          <w:rPr>
            <w:webHidden/>
          </w:rPr>
          <w:instrText xml:space="preserve"> PAGEREF _Toc202260050 \h </w:instrText>
        </w:r>
        <w:r w:rsidR="00AC05D1">
          <w:rPr>
            <w:webHidden/>
          </w:rPr>
        </w:r>
        <w:r w:rsidR="00AC05D1">
          <w:rPr>
            <w:webHidden/>
          </w:rPr>
          <w:fldChar w:fldCharType="separate"/>
        </w:r>
        <w:r w:rsidR="00AC05D1">
          <w:rPr>
            <w:webHidden/>
          </w:rPr>
          <w:t>90</w:t>
        </w:r>
        <w:r w:rsidR="00AC05D1">
          <w:rPr>
            <w:webHidden/>
          </w:rPr>
          <w:fldChar w:fldCharType="end"/>
        </w:r>
      </w:hyperlink>
    </w:p>
    <w:p w14:paraId="11CF2C2C" w14:textId="00F6F575" w:rsidR="00AC05D1" w:rsidRDefault="0056474A">
      <w:pPr>
        <w:pStyle w:val="Sisluet1"/>
        <w:rPr>
          <w:rFonts w:asciiTheme="minorHAnsi" w:eastAsiaTheme="minorEastAsia" w:hAnsiTheme="minorHAnsi" w:cstheme="minorBidi"/>
          <w:b w:val="0"/>
          <w:color w:val="auto"/>
          <w:kern w:val="2"/>
          <w:sz w:val="24"/>
          <w:szCs w:val="24"/>
          <w14:ligatures w14:val="standardContextual"/>
        </w:rPr>
      </w:pPr>
      <w:hyperlink w:anchor="_Toc202260051" w:history="1">
        <w:r w:rsidR="00AC05D1" w:rsidRPr="00AF7A3E">
          <w:rPr>
            <w:rStyle w:val="Hyperlinkki"/>
            <w:rFonts w:eastAsiaTheme="majorEastAsia"/>
          </w:rPr>
          <w:t>6. Toimenpideohjelma päästövähennysten saavuttamiseksi</w:t>
        </w:r>
        <w:r w:rsidR="00AC05D1">
          <w:rPr>
            <w:webHidden/>
          </w:rPr>
          <w:tab/>
        </w:r>
        <w:r w:rsidR="00AC05D1">
          <w:rPr>
            <w:webHidden/>
          </w:rPr>
          <w:fldChar w:fldCharType="begin"/>
        </w:r>
        <w:r w:rsidR="00AC05D1">
          <w:rPr>
            <w:webHidden/>
          </w:rPr>
          <w:instrText xml:space="preserve"> PAGEREF _Toc202260051 \h </w:instrText>
        </w:r>
        <w:r w:rsidR="00AC05D1">
          <w:rPr>
            <w:webHidden/>
          </w:rPr>
        </w:r>
        <w:r w:rsidR="00AC05D1">
          <w:rPr>
            <w:webHidden/>
          </w:rPr>
          <w:fldChar w:fldCharType="separate"/>
        </w:r>
        <w:r w:rsidR="00AC05D1">
          <w:rPr>
            <w:webHidden/>
          </w:rPr>
          <w:t>92</w:t>
        </w:r>
        <w:r w:rsidR="00AC05D1">
          <w:rPr>
            <w:webHidden/>
          </w:rPr>
          <w:fldChar w:fldCharType="end"/>
        </w:r>
      </w:hyperlink>
    </w:p>
    <w:p w14:paraId="53DE3E18" w14:textId="7F218F67"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52" w:history="1">
        <w:r w:rsidR="00AC05D1" w:rsidRPr="00AF7A3E">
          <w:rPr>
            <w:rStyle w:val="Hyperlinkki"/>
            <w:rFonts w:eastAsiaTheme="majorEastAsia"/>
          </w:rPr>
          <w:t>6.1 Lisätoimien määrittelyn periaatteet</w:t>
        </w:r>
        <w:r w:rsidR="00AC05D1">
          <w:rPr>
            <w:webHidden/>
          </w:rPr>
          <w:tab/>
        </w:r>
        <w:r w:rsidR="00AC05D1">
          <w:rPr>
            <w:webHidden/>
          </w:rPr>
          <w:fldChar w:fldCharType="begin"/>
        </w:r>
        <w:r w:rsidR="00AC05D1">
          <w:rPr>
            <w:webHidden/>
          </w:rPr>
          <w:instrText xml:space="preserve"> PAGEREF _Toc202260052 \h </w:instrText>
        </w:r>
        <w:r w:rsidR="00AC05D1">
          <w:rPr>
            <w:webHidden/>
          </w:rPr>
        </w:r>
        <w:r w:rsidR="00AC05D1">
          <w:rPr>
            <w:webHidden/>
          </w:rPr>
          <w:fldChar w:fldCharType="separate"/>
        </w:r>
        <w:r w:rsidR="00AC05D1">
          <w:rPr>
            <w:webHidden/>
          </w:rPr>
          <w:t>92</w:t>
        </w:r>
        <w:r w:rsidR="00AC05D1">
          <w:rPr>
            <w:webHidden/>
          </w:rPr>
          <w:fldChar w:fldCharType="end"/>
        </w:r>
      </w:hyperlink>
    </w:p>
    <w:p w14:paraId="1000FBB5" w14:textId="47A5051B"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53" w:history="1">
        <w:r w:rsidR="00AC05D1" w:rsidRPr="00AF7A3E">
          <w:rPr>
            <w:rStyle w:val="Hyperlinkki"/>
            <w:rFonts w:eastAsiaTheme="majorEastAsia"/>
          </w:rPr>
          <w:t>6.2 Sektorikohtaiset lisätoimet</w:t>
        </w:r>
        <w:r w:rsidR="00AC05D1">
          <w:rPr>
            <w:webHidden/>
          </w:rPr>
          <w:tab/>
        </w:r>
        <w:r w:rsidR="00AC05D1">
          <w:rPr>
            <w:webHidden/>
          </w:rPr>
          <w:fldChar w:fldCharType="begin"/>
        </w:r>
        <w:r w:rsidR="00AC05D1">
          <w:rPr>
            <w:webHidden/>
          </w:rPr>
          <w:instrText xml:space="preserve"> PAGEREF _Toc202260053 \h </w:instrText>
        </w:r>
        <w:r w:rsidR="00AC05D1">
          <w:rPr>
            <w:webHidden/>
          </w:rPr>
        </w:r>
        <w:r w:rsidR="00AC05D1">
          <w:rPr>
            <w:webHidden/>
          </w:rPr>
          <w:fldChar w:fldCharType="separate"/>
        </w:r>
        <w:r w:rsidR="00AC05D1">
          <w:rPr>
            <w:webHidden/>
          </w:rPr>
          <w:t>93</w:t>
        </w:r>
        <w:r w:rsidR="00AC05D1">
          <w:rPr>
            <w:webHidden/>
          </w:rPr>
          <w:fldChar w:fldCharType="end"/>
        </w:r>
      </w:hyperlink>
    </w:p>
    <w:p w14:paraId="10C51231" w14:textId="40EC79E6"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54" w:history="1">
        <w:r w:rsidR="00AC05D1" w:rsidRPr="00AF7A3E">
          <w:rPr>
            <w:rStyle w:val="Hyperlinkki"/>
            <w:rFonts w:eastAsiaTheme="majorEastAsia"/>
          </w:rPr>
          <w:t>6.2.1 Liikenne</w:t>
        </w:r>
        <w:r w:rsidR="00AC05D1">
          <w:rPr>
            <w:webHidden/>
          </w:rPr>
          <w:tab/>
        </w:r>
        <w:r w:rsidR="00AC05D1">
          <w:rPr>
            <w:webHidden/>
          </w:rPr>
          <w:fldChar w:fldCharType="begin"/>
        </w:r>
        <w:r w:rsidR="00AC05D1">
          <w:rPr>
            <w:webHidden/>
          </w:rPr>
          <w:instrText xml:space="preserve"> PAGEREF _Toc202260054 \h </w:instrText>
        </w:r>
        <w:r w:rsidR="00AC05D1">
          <w:rPr>
            <w:webHidden/>
          </w:rPr>
        </w:r>
        <w:r w:rsidR="00AC05D1">
          <w:rPr>
            <w:webHidden/>
          </w:rPr>
          <w:fldChar w:fldCharType="separate"/>
        </w:r>
        <w:r w:rsidR="00AC05D1">
          <w:rPr>
            <w:webHidden/>
          </w:rPr>
          <w:t>93</w:t>
        </w:r>
        <w:r w:rsidR="00AC05D1">
          <w:rPr>
            <w:webHidden/>
          </w:rPr>
          <w:fldChar w:fldCharType="end"/>
        </w:r>
      </w:hyperlink>
    </w:p>
    <w:p w14:paraId="7357A78E" w14:textId="22731790"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55" w:history="1">
        <w:r w:rsidR="00AC05D1" w:rsidRPr="00AF7A3E">
          <w:rPr>
            <w:rStyle w:val="Hyperlinkki"/>
            <w:rFonts w:eastAsiaTheme="majorEastAsia"/>
          </w:rPr>
          <w:t>6.2.2 Maatalous</w:t>
        </w:r>
        <w:r w:rsidR="00AC05D1">
          <w:rPr>
            <w:webHidden/>
          </w:rPr>
          <w:tab/>
        </w:r>
        <w:r w:rsidR="00AC05D1">
          <w:rPr>
            <w:webHidden/>
          </w:rPr>
          <w:fldChar w:fldCharType="begin"/>
        </w:r>
        <w:r w:rsidR="00AC05D1">
          <w:rPr>
            <w:webHidden/>
          </w:rPr>
          <w:instrText xml:space="preserve"> PAGEREF _Toc202260055 \h </w:instrText>
        </w:r>
        <w:r w:rsidR="00AC05D1">
          <w:rPr>
            <w:webHidden/>
          </w:rPr>
        </w:r>
        <w:r w:rsidR="00AC05D1">
          <w:rPr>
            <w:webHidden/>
          </w:rPr>
          <w:fldChar w:fldCharType="separate"/>
        </w:r>
        <w:r w:rsidR="00AC05D1">
          <w:rPr>
            <w:webHidden/>
          </w:rPr>
          <w:t>103</w:t>
        </w:r>
        <w:r w:rsidR="00AC05D1">
          <w:rPr>
            <w:webHidden/>
          </w:rPr>
          <w:fldChar w:fldCharType="end"/>
        </w:r>
      </w:hyperlink>
    </w:p>
    <w:p w14:paraId="04C3F6EA" w14:textId="380B7866"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56" w:history="1">
        <w:r w:rsidR="00AC05D1" w:rsidRPr="00AF7A3E">
          <w:rPr>
            <w:rStyle w:val="Hyperlinkki"/>
            <w:rFonts w:eastAsiaTheme="majorEastAsia"/>
          </w:rPr>
          <w:t>6.2.3 Rakennusten erillislämmitys</w:t>
        </w:r>
        <w:r w:rsidR="00AC05D1">
          <w:rPr>
            <w:webHidden/>
          </w:rPr>
          <w:tab/>
        </w:r>
        <w:r w:rsidR="00AC05D1">
          <w:rPr>
            <w:webHidden/>
          </w:rPr>
          <w:fldChar w:fldCharType="begin"/>
        </w:r>
        <w:r w:rsidR="00AC05D1">
          <w:rPr>
            <w:webHidden/>
          </w:rPr>
          <w:instrText xml:space="preserve"> PAGEREF _Toc202260056 \h </w:instrText>
        </w:r>
        <w:r w:rsidR="00AC05D1">
          <w:rPr>
            <w:webHidden/>
          </w:rPr>
        </w:r>
        <w:r w:rsidR="00AC05D1">
          <w:rPr>
            <w:webHidden/>
          </w:rPr>
          <w:fldChar w:fldCharType="separate"/>
        </w:r>
        <w:r w:rsidR="00AC05D1">
          <w:rPr>
            <w:webHidden/>
          </w:rPr>
          <w:t>116</w:t>
        </w:r>
        <w:r w:rsidR="00AC05D1">
          <w:rPr>
            <w:webHidden/>
          </w:rPr>
          <w:fldChar w:fldCharType="end"/>
        </w:r>
      </w:hyperlink>
    </w:p>
    <w:p w14:paraId="6CE41A17" w14:textId="7E6CFB26"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57" w:history="1">
        <w:r w:rsidR="00AC05D1" w:rsidRPr="00AF7A3E">
          <w:rPr>
            <w:rStyle w:val="Hyperlinkki"/>
            <w:rFonts w:eastAsiaTheme="majorEastAsia"/>
          </w:rPr>
          <w:t>6.2.4 Työkoneet</w:t>
        </w:r>
        <w:r w:rsidR="00AC05D1">
          <w:rPr>
            <w:webHidden/>
          </w:rPr>
          <w:tab/>
        </w:r>
        <w:r w:rsidR="00AC05D1">
          <w:rPr>
            <w:webHidden/>
          </w:rPr>
          <w:fldChar w:fldCharType="begin"/>
        </w:r>
        <w:r w:rsidR="00AC05D1">
          <w:rPr>
            <w:webHidden/>
          </w:rPr>
          <w:instrText xml:space="preserve"> PAGEREF _Toc202260057 \h </w:instrText>
        </w:r>
        <w:r w:rsidR="00AC05D1">
          <w:rPr>
            <w:webHidden/>
          </w:rPr>
        </w:r>
        <w:r w:rsidR="00AC05D1">
          <w:rPr>
            <w:webHidden/>
          </w:rPr>
          <w:fldChar w:fldCharType="separate"/>
        </w:r>
        <w:r w:rsidR="00AC05D1">
          <w:rPr>
            <w:webHidden/>
          </w:rPr>
          <w:t>118</w:t>
        </w:r>
        <w:r w:rsidR="00AC05D1">
          <w:rPr>
            <w:webHidden/>
          </w:rPr>
          <w:fldChar w:fldCharType="end"/>
        </w:r>
      </w:hyperlink>
    </w:p>
    <w:p w14:paraId="05C9CF35" w14:textId="3A3D21AE"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58" w:history="1">
        <w:r w:rsidR="00AC05D1" w:rsidRPr="00AF7A3E">
          <w:rPr>
            <w:rStyle w:val="Hyperlinkki"/>
            <w:rFonts w:eastAsiaTheme="majorEastAsia"/>
          </w:rPr>
          <w:t>6.2.4 Jätteiden käsittely ja jätteenpoltto</w:t>
        </w:r>
        <w:r w:rsidR="00AC05D1">
          <w:rPr>
            <w:webHidden/>
          </w:rPr>
          <w:tab/>
        </w:r>
        <w:r w:rsidR="00AC05D1">
          <w:rPr>
            <w:webHidden/>
          </w:rPr>
          <w:fldChar w:fldCharType="begin"/>
        </w:r>
        <w:r w:rsidR="00AC05D1">
          <w:rPr>
            <w:webHidden/>
          </w:rPr>
          <w:instrText xml:space="preserve"> PAGEREF _Toc202260058 \h </w:instrText>
        </w:r>
        <w:r w:rsidR="00AC05D1">
          <w:rPr>
            <w:webHidden/>
          </w:rPr>
        </w:r>
        <w:r w:rsidR="00AC05D1">
          <w:rPr>
            <w:webHidden/>
          </w:rPr>
          <w:fldChar w:fldCharType="separate"/>
        </w:r>
        <w:r w:rsidR="00AC05D1">
          <w:rPr>
            <w:webHidden/>
          </w:rPr>
          <w:t>123</w:t>
        </w:r>
        <w:r w:rsidR="00AC05D1">
          <w:rPr>
            <w:webHidden/>
          </w:rPr>
          <w:fldChar w:fldCharType="end"/>
        </w:r>
      </w:hyperlink>
    </w:p>
    <w:p w14:paraId="2A1ED8A1" w14:textId="43B836EB"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59" w:history="1">
        <w:r w:rsidR="00AC05D1" w:rsidRPr="00AF7A3E">
          <w:rPr>
            <w:rStyle w:val="Hyperlinkki"/>
            <w:rFonts w:eastAsiaTheme="majorEastAsia"/>
          </w:rPr>
          <w:t>6.2.6 F-kaasut</w:t>
        </w:r>
        <w:r w:rsidR="00AC05D1">
          <w:rPr>
            <w:webHidden/>
          </w:rPr>
          <w:tab/>
        </w:r>
        <w:r w:rsidR="00AC05D1">
          <w:rPr>
            <w:webHidden/>
          </w:rPr>
          <w:fldChar w:fldCharType="begin"/>
        </w:r>
        <w:r w:rsidR="00AC05D1">
          <w:rPr>
            <w:webHidden/>
          </w:rPr>
          <w:instrText xml:space="preserve"> PAGEREF _Toc202260059 \h </w:instrText>
        </w:r>
        <w:r w:rsidR="00AC05D1">
          <w:rPr>
            <w:webHidden/>
          </w:rPr>
        </w:r>
        <w:r w:rsidR="00AC05D1">
          <w:rPr>
            <w:webHidden/>
          </w:rPr>
          <w:fldChar w:fldCharType="separate"/>
        </w:r>
        <w:r w:rsidR="00AC05D1">
          <w:rPr>
            <w:webHidden/>
          </w:rPr>
          <w:t>127</w:t>
        </w:r>
        <w:r w:rsidR="00AC05D1">
          <w:rPr>
            <w:webHidden/>
          </w:rPr>
          <w:fldChar w:fldCharType="end"/>
        </w:r>
      </w:hyperlink>
    </w:p>
    <w:p w14:paraId="7C69710D" w14:textId="7494EF72"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60" w:history="1">
        <w:r w:rsidR="00AC05D1" w:rsidRPr="00AF7A3E">
          <w:rPr>
            <w:rStyle w:val="Hyperlinkki"/>
            <w:rFonts w:eastAsiaTheme="majorEastAsia"/>
          </w:rPr>
          <w:t>6.2.7 Teollisuus</w:t>
        </w:r>
        <w:r w:rsidR="00AC05D1">
          <w:rPr>
            <w:webHidden/>
          </w:rPr>
          <w:tab/>
        </w:r>
        <w:r w:rsidR="00AC05D1">
          <w:rPr>
            <w:webHidden/>
          </w:rPr>
          <w:fldChar w:fldCharType="begin"/>
        </w:r>
        <w:r w:rsidR="00AC05D1">
          <w:rPr>
            <w:webHidden/>
          </w:rPr>
          <w:instrText xml:space="preserve"> PAGEREF _Toc202260060 \h </w:instrText>
        </w:r>
        <w:r w:rsidR="00AC05D1">
          <w:rPr>
            <w:webHidden/>
          </w:rPr>
        </w:r>
        <w:r w:rsidR="00AC05D1">
          <w:rPr>
            <w:webHidden/>
          </w:rPr>
          <w:fldChar w:fldCharType="separate"/>
        </w:r>
        <w:r w:rsidR="00AC05D1">
          <w:rPr>
            <w:webHidden/>
          </w:rPr>
          <w:t>128</w:t>
        </w:r>
        <w:r w:rsidR="00AC05D1">
          <w:rPr>
            <w:webHidden/>
          </w:rPr>
          <w:fldChar w:fldCharType="end"/>
        </w:r>
      </w:hyperlink>
    </w:p>
    <w:p w14:paraId="7422F462" w14:textId="149F919C"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61" w:history="1">
        <w:r w:rsidR="00AC05D1" w:rsidRPr="00AF7A3E">
          <w:rPr>
            <w:rStyle w:val="Hyperlinkki"/>
            <w:rFonts w:eastAsiaTheme="majorEastAsia"/>
          </w:rPr>
          <w:t>6.2.8 Muut päästöt</w:t>
        </w:r>
        <w:r w:rsidR="00AC05D1">
          <w:rPr>
            <w:webHidden/>
          </w:rPr>
          <w:tab/>
        </w:r>
        <w:r w:rsidR="00AC05D1">
          <w:rPr>
            <w:webHidden/>
          </w:rPr>
          <w:fldChar w:fldCharType="begin"/>
        </w:r>
        <w:r w:rsidR="00AC05D1">
          <w:rPr>
            <w:webHidden/>
          </w:rPr>
          <w:instrText xml:space="preserve"> PAGEREF _Toc202260061 \h </w:instrText>
        </w:r>
        <w:r w:rsidR="00AC05D1">
          <w:rPr>
            <w:webHidden/>
          </w:rPr>
        </w:r>
        <w:r w:rsidR="00AC05D1">
          <w:rPr>
            <w:webHidden/>
          </w:rPr>
          <w:fldChar w:fldCharType="separate"/>
        </w:r>
        <w:r w:rsidR="00AC05D1">
          <w:rPr>
            <w:webHidden/>
          </w:rPr>
          <w:t>130</w:t>
        </w:r>
        <w:r w:rsidR="00AC05D1">
          <w:rPr>
            <w:webHidden/>
          </w:rPr>
          <w:fldChar w:fldCharType="end"/>
        </w:r>
      </w:hyperlink>
    </w:p>
    <w:p w14:paraId="7C064CC2" w14:textId="51213ABD"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62" w:history="1">
        <w:r w:rsidR="00AC05D1" w:rsidRPr="00AF7A3E">
          <w:rPr>
            <w:rStyle w:val="Hyperlinkki"/>
            <w:rFonts w:eastAsiaTheme="majorEastAsia"/>
          </w:rPr>
          <w:t>6.3 Poikkisektoraaliset toimet ja muut lähestymistavat</w:t>
        </w:r>
        <w:r w:rsidR="00AC05D1">
          <w:rPr>
            <w:webHidden/>
          </w:rPr>
          <w:tab/>
        </w:r>
        <w:r w:rsidR="00AC05D1">
          <w:rPr>
            <w:webHidden/>
          </w:rPr>
          <w:fldChar w:fldCharType="begin"/>
        </w:r>
        <w:r w:rsidR="00AC05D1">
          <w:rPr>
            <w:webHidden/>
          </w:rPr>
          <w:instrText xml:space="preserve"> PAGEREF _Toc202260062 \h </w:instrText>
        </w:r>
        <w:r w:rsidR="00AC05D1">
          <w:rPr>
            <w:webHidden/>
          </w:rPr>
        </w:r>
        <w:r w:rsidR="00AC05D1">
          <w:rPr>
            <w:webHidden/>
          </w:rPr>
          <w:fldChar w:fldCharType="separate"/>
        </w:r>
        <w:r w:rsidR="00AC05D1">
          <w:rPr>
            <w:webHidden/>
          </w:rPr>
          <w:t>130</w:t>
        </w:r>
        <w:r w:rsidR="00AC05D1">
          <w:rPr>
            <w:webHidden/>
          </w:rPr>
          <w:fldChar w:fldCharType="end"/>
        </w:r>
      </w:hyperlink>
    </w:p>
    <w:p w14:paraId="18BBA3BE" w14:textId="3EAE1162"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63" w:history="1">
        <w:r w:rsidR="00AC05D1" w:rsidRPr="00AF7A3E">
          <w:rPr>
            <w:rStyle w:val="Hyperlinkki"/>
            <w:rFonts w:eastAsiaTheme="majorEastAsia"/>
          </w:rPr>
          <w:t>6.3.1 Vapaaehtoiset hiilimarkkinat ja joustomekanismi</w:t>
        </w:r>
        <w:r w:rsidR="00AC05D1">
          <w:rPr>
            <w:webHidden/>
          </w:rPr>
          <w:tab/>
        </w:r>
        <w:r w:rsidR="00AC05D1">
          <w:rPr>
            <w:webHidden/>
          </w:rPr>
          <w:fldChar w:fldCharType="begin"/>
        </w:r>
        <w:r w:rsidR="00AC05D1">
          <w:rPr>
            <w:webHidden/>
          </w:rPr>
          <w:instrText xml:space="preserve"> PAGEREF _Toc202260063 \h </w:instrText>
        </w:r>
        <w:r w:rsidR="00AC05D1">
          <w:rPr>
            <w:webHidden/>
          </w:rPr>
        </w:r>
        <w:r w:rsidR="00AC05D1">
          <w:rPr>
            <w:webHidden/>
          </w:rPr>
          <w:fldChar w:fldCharType="separate"/>
        </w:r>
        <w:r w:rsidR="00AC05D1">
          <w:rPr>
            <w:webHidden/>
          </w:rPr>
          <w:t>130</w:t>
        </w:r>
        <w:r w:rsidR="00AC05D1">
          <w:rPr>
            <w:webHidden/>
          </w:rPr>
          <w:fldChar w:fldCharType="end"/>
        </w:r>
      </w:hyperlink>
    </w:p>
    <w:p w14:paraId="71856DD6" w14:textId="7D1941F6"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64" w:history="1">
        <w:r w:rsidR="00AC05D1" w:rsidRPr="00AF7A3E">
          <w:rPr>
            <w:rStyle w:val="Hyperlinkki"/>
            <w:rFonts w:eastAsiaTheme="majorEastAsia"/>
          </w:rPr>
          <w:t>6.3.2 Kuntien ja alueiden ilmastotyö</w:t>
        </w:r>
        <w:r w:rsidR="00AC05D1">
          <w:rPr>
            <w:webHidden/>
          </w:rPr>
          <w:tab/>
        </w:r>
        <w:r w:rsidR="00AC05D1">
          <w:rPr>
            <w:webHidden/>
          </w:rPr>
          <w:fldChar w:fldCharType="begin"/>
        </w:r>
        <w:r w:rsidR="00AC05D1">
          <w:rPr>
            <w:webHidden/>
          </w:rPr>
          <w:instrText xml:space="preserve"> PAGEREF _Toc202260064 \h </w:instrText>
        </w:r>
        <w:r w:rsidR="00AC05D1">
          <w:rPr>
            <w:webHidden/>
          </w:rPr>
        </w:r>
        <w:r w:rsidR="00AC05D1">
          <w:rPr>
            <w:webHidden/>
          </w:rPr>
          <w:fldChar w:fldCharType="separate"/>
        </w:r>
        <w:r w:rsidR="00AC05D1">
          <w:rPr>
            <w:webHidden/>
          </w:rPr>
          <w:t>132</w:t>
        </w:r>
        <w:r w:rsidR="00AC05D1">
          <w:rPr>
            <w:webHidden/>
          </w:rPr>
          <w:fldChar w:fldCharType="end"/>
        </w:r>
      </w:hyperlink>
    </w:p>
    <w:p w14:paraId="26D3A554" w14:textId="7E037F15"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65" w:history="1">
        <w:r w:rsidR="00AC05D1" w:rsidRPr="00AF7A3E">
          <w:rPr>
            <w:rStyle w:val="Hyperlinkki"/>
            <w:rFonts w:eastAsiaTheme="majorEastAsia"/>
          </w:rPr>
          <w:t>6.3.3 Kulutuksen hiilijalanjälki</w:t>
        </w:r>
        <w:r w:rsidR="00AC05D1">
          <w:rPr>
            <w:webHidden/>
          </w:rPr>
          <w:tab/>
        </w:r>
        <w:r w:rsidR="00AC05D1">
          <w:rPr>
            <w:webHidden/>
          </w:rPr>
          <w:fldChar w:fldCharType="begin"/>
        </w:r>
        <w:r w:rsidR="00AC05D1">
          <w:rPr>
            <w:webHidden/>
          </w:rPr>
          <w:instrText xml:space="preserve"> PAGEREF _Toc202260065 \h </w:instrText>
        </w:r>
        <w:r w:rsidR="00AC05D1">
          <w:rPr>
            <w:webHidden/>
          </w:rPr>
        </w:r>
        <w:r w:rsidR="00AC05D1">
          <w:rPr>
            <w:webHidden/>
          </w:rPr>
          <w:fldChar w:fldCharType="separate"/>
        </w:r>
        <w:r w:rsidR="00AC05D1">
          <w:rPr>
            <w:webHidden/>
          </w:rPr>
          <w:t>140</w:t>
        </w:r>
        <w:r w:rsidR="00AC05D1">
          <w:rPr>
            <w:webHidden/>
          </w:rPr>
          <w:fldChar w:fldCharType="end"/>
        </w:r>
      </w:hyperlink>
    </w:p>
    <w:p w14:paraId="207A414A" w14:textId="588C928A"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66" w:history="1">
        <w:r w:rsidR="00AC05D1" w:rsidRPr="00AF7A3E">
          <w:rPr>
            <w:rStyle w:val="Hyperlinkki"/>
            <w:rFonts w:eastAsiaTheme="majorEastAsia"/>
          </w:rPr>
          <w:t>6.3.4 Julkiset hankinnat</w:t>
        </w:r>
        <w:r w:rsidR="00AC05D1">
          <w:rPr>
            <w:webHidden/>
          </w:rPr>
          <w:tab/>
        </w:r>
        <w:r w:rsidR="00AC05D1">
          <w:rPr>
            <w:webHidden/>
          </w:rPr>
          <w:fldChar w:fldCharType="begin"/>
        </w:r>
        <w:r w:rsidR="00AC05D1">
          <w:rPr>
            <w:webHidden/>
          </w:rPr>
          <w:instrText xml:space="preserve"> PAGEREF _Toc202260066 \h </w:instrText>
        </w:r>
        <w:r w:rsidR="00AC05D1">
          <w:rPr>
            <w:webHidden/>
          </w:rPr>
        </w:r>
        <w:r w:rsidR="00AC05D1">
          <w:rPr>
            <w:webHidden/>
          </w:rPr>
          <w:fldChar w:fldCharType="separate"/>
        </w:r>
        <w:r w:rsidR="00AC05D1">
          <w:rPr>
            <w:webHidden/>
          </w:rPr>
          <w:t>146</w:t>
        </w:r>
        <w:r w:rsidR="00AC05D1">
          <w:rPr>
            <w:webHidden/>
          </w:rPr>
          <w:fldChar w:fldCharType="end"/>
        </w:r>
      </w:hyperlink>
    </w:p>
    <w:p w14:paraId="0D276916" w14:textId="287D3D2B"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67" w:history="1">
        <w:r w:rsidR="00AC05D1" w:rsidRPr="00AF7A3E">
          <w:rPr>
            <w:rStyle w:val="Hyperlinkki"/>
            <w:rFonts w:eastAsiaTheme="majorEastAsia"/>
          </w:rPr>
          <w:t>6.3.5 Kiertotalous</w:t>
        </w:r>
        <w:r w:rsidR="00AC05D1">
          <w:rPr>
            <w:webHidden/>
          </w:rPr>
          <w:tab/>
        </w:r>
        <w:r w:rsidR="00AC05D1">
          <w:rPr>
            <w:webHidden/>
          </w:rPr>
          <w:fldChar w:fldCharType="begin"/>
        </w:r>
        <w:r w:rsidR="00AC05D1">
          <w:rPr>
            <w:webHidden/>
          </w:rPr>
          <w:instrText xml:space="preserve"> PAGEREF _Toc202260067 \h </w:instrText>
        </w:r>
        <w:r w:rsidR="00AC05D1">
          <w:rPr>
            <w:webHidden/>
          </w:rPr>
        </w:r>
        <w:r w:rsidR="00AC05D1">
          <w:rPr>
            <w:webHidden/>
          </w:rPr>
          <w:fldChar w:fldCharType="separate"/>
        </w:r>
        <w:r w:rsidR="00AC05D1">
          <w:rPr>
            <w:webHidden/>
          </w:rPr>
          <w:t>149</w:t>
        </w:r>
        <w:r w:rsidR="00AC05D1">
          <w:rPr>
            <w:webHidden/>
          </w:rPr>
          <w:fldChar w:fldCharType="end"/>
        </w:r>
      </w:hyperlink>
    </w:p>
    <w:p w14:paraId="3BF7231F" w14:textId="5358A85F"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68" w:history="1">
        <w:r w:rsidR="00AC05D1" w:rsidRPr="00AF7A3E">
          <w:rPr>
            <w:rStyle w:val="Hyperlinkki"/>
            <w:rFonts w:eastAsiaTheme="majorEastAsia"/>
          </w:rPr>
          <w:t>6.3.6 Biotalous</w:t>
        </w:r>
        <w:r w:rsidR="00AC05D1">
          <w:rPr>
            <w:webHidden/>
          </w:rPr>
          <w:tab/>
        </w:r>
        <w:r w:rsidR="00AC05D1">
          <w:rPr>
            <w:webHidden/>
          </w:rPr>
          <w:fldChar w:fldCharType="begin"/>
        </w:r>
        <w:r w:rsidR="00AC05D1">
          <w:rPr>
            <w:webHidden/>
          </w:rPr>
          <w:instrText xml:space="preserve"> PAGEREF _Toc202260068 \h </w:instrText>
        </w:r>
        <w:r w:rsidR="00AC05D1">
          <w:rPr>
            <w:webHidden/>
          </w:rPr>
        </w:r>
        <w:r w:rsidR="00AC05D1">
          <w:rPr>
            <w:webHidden/>
          </w:rPr>
          <w:fldChar w:fldCharType="separate"/>
        </w:r>
        <w:r w:rsidR="00AC05D1">
          <w:rPr>
            <w:webHidden/>
          </w:rPr>
          <w:t>152</w:t>
        </w:r>
        <w:r w:rsidR="00AC05D1">
          <w:rPr>
            <w:webHidden/>
          </w:rPr>
          <w:fldChar w:fldCharType="end"/>
        </w:r>
      </w:hyperlink>
    </w:p>
    <w:p w14:paraId="130B2399" w14:textId="2525CECD"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69" w:history="1">
        <w:r w:rsidR="00AC05D1" w:rsidRPr="00AF7A3E">
          <w:rPr>
            <w:rStyle w:val="Hyperlinkki"/>
            <w:rFonts w:eastAsiaTheme="majorEastAsia"/>
          </w:rPr>
          <w:t>6.3.7 Ilmastorahoitus</w:t>
        </w:r>
        <w:r w:rsidR="00AC05D1">
          <w:rPr>
            <w:webHidden/>
          </w:rPr>
          <w:tab/>
        </w:r>
        <w:r w:rsidR="00AC05D1">
          <w:rPr>
            <w:webHidden/>
          </w:rPr>
          <w:fldChar w:fldCharType="begin"/>
        </w:r>
        <w:r w:rsidR="00AC05D1">
          <w:rPr>
            <w:webHidden/>
          </w:rPr>
          <w:instrText xml:space="preserve"> PAGEREF _Toc202260069 \h </w:instrText>
        </w:r>
        <w:r w:rsidR="00AC05D1">
          <w:rPr>
            <w:webHidden/>
          </w:rPr>
        </w:r>
        <w:r w:rsidR="00AC05D1">
          <w:rPr>
            <w:webHidden/>
          </w:rPr>
          <w:fldChar w:fldCharType="separate"/>
        </w:r>
        <w:r w:rsidR="00AC05D1">
          <w:rPr>
            <w:webHidden/>
          </w:rPr>
          <w:t>153</w:t>
        </w:r>
        <w:r w:rsidR="00AC05D1">
          <w:rPr>
            <w:webHidden/>
          </w:rPr>
          <w:fldChar w:fldCharType="end"/>
        </w:r>
      </w:hyperlink>
    </w:p>
    <w:p w14:paraId="2D615510" w14:textId="5F65F6E3" w:rsidR="00AC05D1" w:rsidRDefault="0056474A">
      <w:pPr>
        <w:pStyle w:val="Sisluet1"/>
        <w:rPr>
          <w:rFonts w:asciiTheme="minorHAnsi" w:eastAsiaTheme="minorEastAsia" w:hAnsiTheme="minorHAnsi" w:cstheme="minorBidi"/>
          <w:b w:val="0"/>
          <w:color w:val="auto"/>
          <w:kern w:val="2"/>
          <w:sz w:val="24"/>
          <w:szCs w:val="24"/>
          <w14:ligatures w14:val="standardContextual"/>
        </w:rPr>
      </w:pPr>
      <w:hyperlink w:anchor="_Toc202260070" w:history="1">
        <w:r w:rsidR="00AC05D1" w:rsidRPr="00AF7A3E">
          <w:rPr>
            <w:rStyle w:val="Hyperlinkki"/>
            <w:rFonts w:eastAsiaTheme="majorEastAsia"/>
          </w:rPr>
          <w:t>7. Päästövähennystavoitteiden saavuttaminen</w:t>
        </w:r>
        <w:r w:rsidR="00AC05D1">
          <w:rPr>
            <w:webHidden/>
          </w:rPr>
          <w:tab/>
        </w:r>
        <w:r w:rsidR="00AC05D1">
          <w:rPr>
            <w:webHidden/>
          </w:rPr>
          <w:fldChar w:fldCharType="begin"/>
        </w:r>
        <w:r w:rsidR="00AC05D1">
          <w:rPr>
            <w:webHidden/>
          </w:rPr>
          <w:instrText xml:space="preserve"> PAGEREF _Toc202260070 \h </w:instrText>
        </w:r>
        <w:r w:rsidR="00AC05D1">
          <w:rPr>
            <w:webHidden/>
          </w:rPr>
        </w:r>
        <w:r w:rsidR="00AC05D1">
          <w:rPr>
            <w:webHidden/>
          </w:rPr>
          <w:fldChar w:fldCharType="separate"/>
        </w:r>
        <w:r w:rsidR="00AC05D1">
          <w:rPr>
            <w:webHidden/>
          </w:rPr>
          <w:t>160</w:t>
        </w:r>
        <w:r w:rsidR="00AC05D1">
          <w:rPr>
            <w:webHidden/>
          </w:rPr>
          <w:fldChar w:fldCharType="end"/>
        </w:r>
      </w:hyperlink>
    </w:p>
    <w:p w14:paraId="0A090E4C" w14:textId="0831671A"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71" w:history="1">
        <w:r w:rsidR="00AC05D1" w:rsidRPr="00AF7A3E">
          <w:rPr>
            <w:rStyle w:val="Hyperlinkki"/>
            <w:rFonts w:eastAsiaTheme="majorEastAsia"/>
          </w:rPr>
          <w:t>7.1 Toimenpideohjelmalla saavutettavat päästövähennykset</w:t>
        </w:r>
        <w:r w:rsidR="00AC05D1">
          <w:rPr>
            <w:webHidden/>
          </w:rPr>
          <w:tab/>
        </w:r>
        <w:r w:rsidR="00AC05D1">
          <w:rPr>
            <w:webHidden/>
          </w:rPr>
          <w:fldChar w:fldCharType="begin"/>
        </w:r>
        <w:r w:rsidR="00AC05D1">
          <w:rPr>
            <w:webHidden/>
          </w:rPr>
          <w:instrText xml:space="preserve"> PAGEREF _Toc202260071 \h </w:instrText>
        </w:r>
        <w:r w:rsidR="00AC05D1">
          <w:rPr>
            <w:webHidden/>
          </w:rPr>
        </w:r>
        <w:r w:rsidR="00AC05D1">
          <w:rPr>
            <w:webHidden/>
          </w:rPr>
          <w:fldChar w:fldCharType="separate"/>
        </w:r>
        <w:r w:rsidR="00AC05D1">
          <w:rPr>
            <w:webHidden/>
          </w:rPr>
          <w:t>160</w:t>
        </w:r>
        <w:r w:rsidR="00AC05D1">
          <w:rPr>
            <w:webHidden/>
          </w:rPr>
          <w:fldChar w:fldCharType="end"/>
        </w:r>
      </w:hyperlink>
    </w:p>
    <w:p w14:paraId="18763807" w14:textId="397CFEF6"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72" w:history="1">
        <w:r w:rsidR="00AC05D1" w:rsidRPr="00AF7A3E">
          <w:rPr>
            <w:rStyle w:val="Hyperlinkki"/>
            <w:rFonts w:eastAsiaTheme="majorEastAsia"/>
          </w:rPr>
          <w:t>7.2 Tavoitteiden saavuttamisen epävarmuudet</w:t>
        </w:r>
        <w:r w:rsidR="00AC05D1">
          <w:rPr>
            <w:webHidden/>
          </w:rPr>
          <w:tab/>
        </w:r>
        <w:r w:rsidR="00AC05D1">
          <w:rPr>
            <w:webHidden/>
          </w:rPr>
          <w:fldChar w:fldCharType="begin"/>
        </w:r>
        <w:r w:rsidR="00AC05D1">
          <w:rPr>
            <w:webHidden/>
          </w:rPr>
          <w:instrText xml:space="preserve"> PAGEREF _Toc202260072 \h </w:instrText>
        </w:r>
        <w:r w:rsidR="00AC05D1">
          <w:rPr>
            <w:webHidden/>
          </w:rPr>
        </w:r>
        <w:r w:rsidR="00AC05D1">
          <w:rPr>
            <w:webHidden/>
          </w:rPr>
          <w:fldChar w:fldCharType="separate"/>
        </w:r>
        <w:r w:rsidR="00AC05D1">
          <w:rPr>
            <w:webHidden/>
          </w:rPr>
          <w:t>167</w:t>
        </w:r>
        <w:r w:rsidR="00AC05D1">
          <w:rPr>
            <w:webHidden/>
          </w:rPr>
          <w:fldChar w:fldCharType="end"/>
        </w:r>
      </w:hyperlink>
    </w:p>
    <w:p w14:paraId="0A5023C9" w14:textId="3BA4986C"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73" w:history="1">
        <w:r w:rsidR="00AC05D1" w:rsidRPr="00AF7A3E">
          <w:rPr>
            <w:rStyle w:val="Hyperlinkki"/>
            <w:rFonts w:eastAsiaTheme="majorEastAsia"/>
          </w:rPr>
          <w:t>7.3 Päästöyksiköiden mahdollinen hankinta</w:t>
        </w:r>
        <w:r w:rsidR="00AC05D1">
          <w:rPr>
            <w:webHidden/>
          </w:rPr>
          <w:tab/>
        </w:r>
        <w:r w:rsidR="00AC05D1">
          <w:rPr>
            <w:webHidden/>
          </w:rPr>
          <w:fldChar w:fldCharType="begin"/>
        </w:r>
        <w:r w:rsidR="00AC05D1">
          <w:rPr>
            <w:webHidden/>
          </w:rPr>
          <w:instrText xml:space="preserve"> PAGEREF _Toc202260073 \h </w:instrText>
        </w:r>
        <w:r w:rsidR="00AC05D1">
          <w:rPr>
            <w:webHidden/>
          </w:rPr>
        </w:r>
        <w:r w:rsidR="00AC05D1">
          <w:rPr>
            <w:webHidden/>
          </w:rPr>
          <w:fldChar w:fldCharType="separate"/>
        </w:r>
        <w:r w:rsidR="00AC05D1">
          <w:rPr>
            <w:webHidden/>
          </w:rPr>
          <w:t>168</w:t>
        </w:r>
        <w:r w:rsidR="00AC05D1">
          <w:rPr>
            <w:webHidden/>
          </w:rPr>
          <w:fldChar w:fldCharType="end"/>
        </w:r>
      </w:hyperlink>
    </w:p>
    <w:p w14:paraId="3F79952F" w14:textId="7B26E270" w:rsidR="00AC05D1" w:rsidRDefault="0056474A">
      <w:pPr>
        <w:pStyle w:val="Sisluet1"/>
        <w:rPr>
          <w:rFonts w:asciiTheme="minorHAnsi" w:eastAsiaTheme="minorEastAsia" w:hAnsiTheme="minorHAnsi" w:cstheme="minorBidi"/>
          <w:b w:val="0"/>
          <w:color w:val="auto"/>
          <w:kern w:val="2"/>
          <w:sz w:val="24"/>
          <w:szCs w:val="24"/>
          <w14:ligatures w14:val="standardContextual"/>
        </w:rPr>
      </w:pPr>
      <w:hyperlink w:anchor="_Toc202260074" w:history="1">
        <w:r w:rsidR="00AC05D1" w:rsidRPr="00AF7A3E">
          <w:rPr>
            <w:rStyle w:val="Hyperlinkki"/>
            <w:rFonts w:eastAsiaTheme="majorEastAsia"/>
          </w:rPr>
          <w:t>8. Osallistaminen ilmastosuunnitelman laadintaan</w:t>
        </w:r>
        <w:r w:rsidR="00AC05D1">
          <w:rPr>
            <w:webHidden/>
          </w:rPr>
          <w:tab/>
        </w:r>
        <w:r w:rsidR="00AC05D1">
          <w:rPr>
            <w:webHidden/>
          </w:rPr>
          <w:fldChar w:fldCharType="begin"/>
        </w:r>
        <w:r w:rsidR="00AC05D1">
          <w:rPr>
            <w:webHidden/>
          </w:rPr>
          <w:instrText xml:space="preserve"> PAGEREF _Toc202260074 \h </w:instrText>
        </w:r>
        <w:r w:rsidR="00AC05D1">
          <w:rPr>
            <w:webHidden/>
          </w:rPr>
        </w:r>
        <w:r w:rsidR="00AC05D1">
          <w:rPr>
            <w:webHidden/>
          </w:rPr>
          <w:fldChar w:fldCharType="separate"/>
        </w:r>
        <w:r w:rsidR="00AC05D1">
          <w:rPr>
            <w:webHidden/>
          </w:rPr>
          <w:t>170</w:t>
        </w:r>
        <w:r w:rsidR="00AC05D1">
          <w:rPr>
            <w:webHidden/>
          </w:rPr>
          <w:fldChar w:fldCharType="end"/>
        </w:r>
      </w:hyperlink>
    </w:p>
    <w:p w14:paraId="365D0AA2" w14:textId="5D1B49E7"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75" w:history="1">
        <w:r w:rsidR="00AC05D1" w:rsidRPr="00AF7A3E">
          <w:rPr>
            <w:rStyle w:val="Hyperlinkki"/>
            <w:rFonts w:eastAsiaTheme="majorEastAsia"/>
          </w:rPr>
          <w:t>8.1 Sidosryhmien kuuleminen</w:t>
        </w:r>
        <w:r w:rsidR="00AC05D1">
          <w:rPr>
            <w:webHidden/>
          </w:rPr>
          <w:tab/>
        </w:r>
        <w:r w:rsidR="00AC05D1">
          <w:rPr>
            <w:webHidden/>
          </w:rPr>
          <w:fldChar w:fldCharType="begin"/>
        </w:r>
        <w:r w:rsidR="00AC05D1">
          <w:rPr>
            <w:webHidden/>
          </w:rPr>
          <w:instrText xml:space="preserve"> PAGEREF _Toc202260075 \h </w:instrText>
        </w:r>
        <w:r w:rsidR="00AC05D1">
          <w:rPr>
            <w:webHidden/>
          </w:rPr>
        </w:r>
        <w:r w:rsidR="00AC05D1">
          <w:rPr>
            <w:webHidden/>
          </w:rPr>
          <w:fldChar w:fldCharType="separate"/>
        </w:r>
        <w:r w:rsidR="00AC05D1">
          <w:rPr>
            <w:webHidden/>
          </w:rPr>
          <w:t>170</w:t>
        </w:r>
        <w:r w:rsidR="00AC05D1">
          <w:rPr>
            <w:webHidden/>
          </w:rPr>
          <w:fldChar w:fldCharType="end"/>
        </w:r>
      </w:hyperlink>
    </w:p>
    <w:p w14:paraId="2A6DCB89" w14:textId="300A731C"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76" w:history="1">
        <w:r w:rsidR="00AC05D1" w:rsidRPr="00AF7A3E">
          <w:rPr>
            <w:rStyle w:val="Hyperlinkki"/>
            <w:rFonts w:eastAsiaTheme="majorEastAsia"/>
          </w:rPr>
          <w:t>8.2 Ilmastobarometri</w:t>
        </w:r>
        <w:r w:rsidR="00AC05D1">
          <w:rPr>
            <w:webHidden/>
          </w:rPr>
          <w:tab/>
        </w:r>
        <w:r w:rsidR="00AC05D1">
          <w:rPr>
            <w:webHidden/>
          </w:rPr>
          <w:fldChar w:fldCharType="begin"/>
        </w:r>
        <w:r w:rsidR="00AC05D1">
          <w:rPr>
            <w:webHidden/>
          </w:rPr>
          <w:instrText xml:space="preserve"> PAGEREF _Toc202260076 \h </w:instrText>
        </w:r>
        <w:r w:rsidR="00AC05D1">
          <w:rPr>
            <w:webHidden/>
          </w:rPr>
        </w:r>
        <w:r w:rsidR="00AC05D1">
          <w:rPr>
            <w:webHidden/>
          </w:rPr>
          <w:fldChar w:fldCharType="separate"/>
        </w:r>
        <w:r w:rsidR="00AC05D1">
          <w:rPr>
            <w:webHidden/>
          </w:rPr>
          <w:t>171</w:t>
        </w:r>
        <w:r w:rsidR="00AC05D1">
          <w:rPr>
            <w:webHidden/>
          </w:rPr>
          <w:fldChar w:fldCharType="end"/>
        </w:r>
      </w:hyperlink>
    </w:p>
    <w:p w14:paraId="512602B6" w14:textId="55AF3A95"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77" w:history="1">
        <w:r w:rsidR="00AC05D1" w:rsidRPr="00AF7A3E">
          <w:rPr>
            <w:rStyle w:val="Hyperlinkki"/>
            <w:rFonts w:eastAsiaTheme="majorEastAsia"/>
          </w:rPr>
          <w:t>8.3 Kansalaiskokous</w:t>
        </w:r>
        <w:r w:rsidR="00AC05D1">
          <w:rPr>
            <w:webHidden/>
          </w:rPr>
          <w:tab/>
        </w:r>
        <w:r w:rsidR="00AC05D1">
          <w:rPr>
            <w:webHidden/>
          </w:rPr>
          <w:fldChar w:fldCharType="begin"/>
        </w:r>
        <w:r w:rsidR="00AC05D1">
          <w:rPr>
            <w:webHidden/>
          </w:rPr>
          <w:instrText xml:space="preserve"> PAGEREF _Toc202260077 \h </w:instrText>
        </w:r>
        <w:r w:rsidR="00AC05D1">
          <w:rPr>
            <w:webHidden/>
          </w:rPr>
        </w:r>
        <w:r w:rsidR="00AC05D1">
          <w:rPr>
            <w:webHidden/>
          </w:rPr>
          <w:fldChar w:fldCharType="separate"/>
        </w:r>
        <w:r w:rsidR="00AC05D1">
          <w:rPr>
            <w:webHidden/>
          </w:rPr>
          <w:t>172</w:t>
        </w:r>
        <w:r w:rsidR="00AC05D1">
          <w:rPr>
            <w:webHidden/>
          </w:rPr>
          <w:fldChar w:fldCharType="end"/>
        </w:r>
      </w:hyperlink>
    </w:p>
    <w:p w14:paraId="3A42E5F2" w14:textId="3CC14058"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78" w:history="1">
        <w:r w:rsidR="00AC05D1" w:rsidRPr="00AF7A3E">
          <w:rPr>
            <w:rStyle w:val="Hyperlinkki"/>
            <w:rFonts w:eastAsia="Calibri"/>
          </w:rPr>
          <w:t>8.4 KEITO-hankeyhteistyön kansalaiskysely</w:t>
        </w:r>
        <w:r w:rsidR="00AC05D1">
          <w:rPr>
            <w:webHidden/>
          </w:rPr>
          <w:tab/>
        </w:r>
        <w:r w:rsidR="00AC05D1">
          <w:rPr>
            <w:webHidden/>
          </w:rPr>
          <w:fldChar w:fldCharType="begin"/>
        </w:r>
        <w:r w:rsidR="00AC05D1">
          <w:rPr>
            <w:webHidden/>
          </w:rPr>
          <w:instrText xml:space="preserve"> PAGEREF _Toc202260078 \h </w:instrText>
        </w:r>
        <w:r w:rsidR="00AC05D1">
          <w:rPr>
            <w:webHidden/>
          </w:rPr>
        </w:r>
        <w:r w:rsidR="00AC05D1">
          <w:rPr>
            <w:webHidden/>
          </w:rPr>
          <w:fldChar w:fldCharType="separate"/>
        </w:r>
        <w:r w:rsidR="00AC05D1">
          <w:rPr>
            <w:webHidden/>
          </w:rPr>
          <w:t>173</w:t>
        </w:r>
        <w:r w:rsidR="00AC05D1">
          <w:rPr>
            <w:webHidden/>
          </w:rPr>
          <w:fldChar w:fldCharType="end"/>
        </w:r>
      </w:hyperlink>
    </w:p>
    <w:p w14:paraId="337C48FC" w14:textId="62181F18"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79" w:history="1">
        <w:r w:rsidR="00AC05D1" w:rsidRPr="00AF7A3E">
          <w:rPr>
            <w:rStyle w:val="Hyperlinkki"/>
            <w:rFonts w:eastAsiaTheme="majorEastAsia"/>
          </w:rPr>
          <w:t>8.5 Neuvottelut saamelaiskäräjien kanssa ja saamelainen ilmastoneuvosto</w:t>
        </w:r>
        <w:r w:rsidR="00AC05D1">
          <w:rPr>
            <w:webHidden/>
          </w:rPr>
          <w:tab/>
        </w:r>
        <w:r w:rsidR="00AC05D1">
          <w:rPr>
            <w:webHidden/>
          </w:rPr>
          <w:fldChar w:fldCharType="begin"/>
        </w:r>
        <w:r w:rsidR="00AC05D1">
          <w:rPr>
            <w:webHidden/>
          </w:rPr>
          <w:instrText xml:space="preserve"> PAGEREF _Toc202260079 \h </w:instrText>
        </w:r>
        <w:r w:rsidR="00AC05D1">
          <w:rPr>
            <w:webHidden/>
          </w:rPr>
        </w:r>
        <w:r w:rsidR="00AC05D1">
          <w:rPr>
            <w:webHidden/>
          </w:rPr>
          <w:fldChar w:fldCharType="separate"/>
        </w:r>
        <w:r w:rsidR="00AC05D1">
          <w:rPr>
            <w:webHidden/>
          </w:rPr>
          <w:t>174</w:t>
        </w:r>
        <w:r w:rsidR="00AC05D1">
          <w:rPr>
            <w:webHidden/>
          </w:rPr>
          <w:fldChar w:fldCharType="end"/>
        </w:r>
      </w:hyperlink>
    </w:p>
    <w:p w14:paraId="4208BDBE" w14:textId="66E9B668"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80" w:history="1">
        <w:r w:rsidR="00AC05D1" w:rsidRPr="00AF7A3E">
          <w:rPr>
            <w:rStyle w:val="Hyperlinkki"/>
            <w:rFonts w:eastAsiaTheme="majorEastAsia"/>
          </w:rPr>
          <w:t>8.6 Nuorten ympäristöhuippukokous</w:t>
        </w:r>
        <w:r w:rsidR="00AC05D1">
          <w:rPr>
            <w:webHidden/>
          </w:rPr>
          <w:tab/>
        </w:r>
        <w:r w:rsidR="00AC05D1">
          <w:rPr>
            <w:webHidden/>
          </w:rPr>
          <w:fldChar w:fldCharType="begin"/>
        </w:r>
        <w:r w:rsidR="00AC05D1">
          <w:rPr>
            <w:webHidden/>
          </w:rPr>
          <w:instrText xml:space="preserve"> PAGEREF _Toc202260080 \h </w:instrText>
        </w:r>
        <w:r w:rsidR="00AC05D1">
          <w:rPr>
            <w:webHidden/>
          </w:rPr>
        </w:r>
        <w:r w:rsidR="00AC05D1">
          <w:rPr>
            <w:webHidden/>
          </w:rPr>
          <w:fldChar w:fldCharType="separate"/>
        </w:r>
        <w:r w:rsidR="00AC05D1">
          <w:rPr>
            <w:webHidden/>
          </w:rPr>
          <w:t>174</w:t>
        </w:r>
        <w:r w:rsidR="00AC05D1">
          <w:rPr>
            <w:webHidden/>
          </w:rPr>
          <w:fldChar w:fldCharType="end"/>
        </w:r>
      </w:hyperlink>
    </w:p>
    <w:p w14:paraId="646405D3" w14:textId="478A6AEE"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81" w:history="1">
        <w:r w:rsidR="00AC05D1" w:rsidRPr="00AF7A3E">
          <w:rPr>
            <w:rStyle w:val="Hyperlinkki"/>
            <w:rFonts w:eastAsiaTheme="majorEastAsia"/>
          </w:rPr>
          <w:t>8.7 Parlamentaarinen ryhmä</w:t>
        </w:r>
        <w:r w:rsidR="00AC05D1">
          <w:rPr>
            <w:webHidden/>
          </w:rPr>
          <w:tab/>
        </w:r>
        <w:r w:rsidR="00AC05D1">
          <w:rPr>
            <w:webHidden/>
          </w:rPr>
          <w:fldChar w:fldCharType="begin"/>
        </w:r>
        <w:r w:rsidR="00AC05D1">
          <w:rPr>
            <w:webHidden/>
          </w:rPr>
          <w:instrText xml:space="preserve"> PAGEREF _Toc202260081 \h </w:instrText>
        </w:r>
        <w:r w:rsidR="00AC05D1">
          <w:rPr>
            <w:webHidden/>
          </w:rPr>
        </w:r>
        <w:r w:rsidR="00AC05D1">
          <w:rPr>
            <w:webHidden/>
          </w:rPr>
          <w:fldChar w:fldCharType="separate"/>
        </w:r>
        <w:r w:rsidR="00AC05D1">
          <w:rPr>
            <w:webHidden/>
          </w:rPr>
          <w:t>175</w:t>
        </w:r>
        <w:r w:rsidR="00AC05D1">
          <w:rPr>
            <w:webHidden/>
          </w:rPr>
          <w:fldChar w:fldCharType="end"/>
        </w:r>
      </w:hyperlink>
    </w:p>
    <w:p w14:paraId="6C406DC1" w14:textId="116C514F"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82" w:history="1">
        <w:r w:rsidR="00AC05D1" w:rsidRPr="00AF7A3E">
          <w:rPr>
            <w:rStyle w:val="Hyperlinkki"/>
            <w:rFonts w:eastAsiaTheme="majorEastAsia"/>
          </w:rPr>
          <w:t>8.8 Kirjalliset lausunnot</w:t>
        </w:r>
        <w:r w:rsidR="00AC05D1">
          <w:rPr>
            <w:webHidden/>
          </w:rPr>
          <w:tab/>
        </w:r>
        <w:r w:rsidR="00AC05D1">
          <w:rPr>
            <w:webHidden/>
          </w:rPr>
          <w:fldChar w:fldCharType="begin"/>
        </w:r>
        <w:r w:rsidR="00AC05D1">
          <w:rPr>
            <w:webHidden/>
          </w:rPr>
          <w:instrText xml:space="preserve"> PAGEREF _Toc202260082 \h </w:instrText>
        </w:r>
        <w:r w:rsidR="00AC05D1">
          <w:rPr>
            <w:webHidden/>
          </w:rPr>
        </w:r>
        <w:r w:rsidR="00AC05D1">
          <w:rPr>
            <w:webHidden/>
          </w:rPr>
          <w:fldChar w:fldCharType="separate"/>
        </w:r>
        <w:r w:rsidR="00AC05D1">
          <w:rPr>
            <w:webHidden/>
          </w:rPr>
          <w:t>175</w:t>
        </w:r>
        <w:r w:rsidR="00AC05D1">
          <w:rPr>
            <w:webHidden/>
          </w:rPr>
          <w:fldChar w:fldCharType="end"/>
        </w:r>
      </w:hyperlink>
    </w:p>
    <w:p w14:paraId="7EBF79D9" w14:textId="5DEAD002" w:rsidR="00AC05D1" w:rsidRDefault="0056474A">
      <w:pPr>
        <w:pStyle w:val="Sisluet1"/>
        <w:rPr>
          <w:rFonts w:asciiTheme="minorHAnsi" w:eastAsiaTheme="minorEastAsia" w:hAnsiTheme="minorHAnsi" w:cstheme="minorBidi"/>
          <w:b w:val="0"/>
          <w:color w:val="auto"/>
          <w:kern w:val="2"/>
          <w:sz w:val="24"/>
          <w:szCs w:val="24"/>
          <w14:ligatures w14:val="standardContextual"/>
        </w:rPr>
      </w:pPr>
      <w:hyperlink w:anchor="_Toc202260083" w:history="1">
        <w:r w:rsidR="00AC05D1" w:rsidRPr="00AF7A3E">
          <w:rPr>
            <w:rStyle w:val="Hyperlinkki"/>
            <w:rFonts w:eastAsiaTheme="majorEastAsia"/>
          </w:rPr>
          <w:t>9. Ilmastosuunnitelman vaikutukset</w:t>
        </w:r>
        <w:r w:rsidR="00AC05D1">
          <w:rPr>
            <w:webHidden/>
          </w:rPr>
          <w:tab/>
        </w:r>
        <w:r w:rsidR="00AC05D1">
          <w:rPr>
            <w:webHidden/>
          </w:rPr>
          <w:fldChar w:fldCharType="begin"/>
        </w:r>
        <w:r w:rsidR="00AC05D1">
          <w:rPr>
            <w:webHidden/>
          </w:rPr>
          <w:instrText xml:space="preserve"> PAGEREF _Toc202260083 \h </w:instrText>
        </w:r>
        <w:r w:rsidR="00AC05D1">
          <w:rPr>
            <w:webHidden/>
          </w:rPr>
        </w:r>
        <w:r w:rsidR="00AC05D1">
          <w:rPr>
            <w:webHidden/>
          </w:rPr>
          <w:fldChar w:fldCharType="separate"/>
        </w:r>
        <w:r w:rsidR="00AC05D1">
          <w:rPr>
            <w:webHidden/>
          </w:rPr>
          <w:t>176</w:t>
        </w:r>
        <w:r w:rsidR="00AC05D1">
          <w:rPr>
            <w:webHidden/>
          </w:rPr>
          <w:fldChar w:fldCharType="end"/>
        </w:r>
      </w:hyperlink>
    </w:p>
    <w:p w14:paraId="12B27A0A" w14:textId="039DE3AD"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84" w:history="1">
        <w:r w:rsidR="00AC05D1" w:rsidRPr="00AF7A3E">
          <w:rPr>
            <w:rStyle w:val="Hyperlinkki"/>
            <w:rFonts w:eastAsiaTheme="majorEastAsia"/>
          </w:rPr>
          <w:t>9.1. Ympäristö- ja terveysvaikutukset</w:t>
        </w:r>
        <w:r w:rsidR="00AC05D1">
          <w:rPr>
            <w:webHidden/>
          </w:rPr>
          <w:tab/>
        </w:r>
        <w:r w:rsidR="00AC05D1">
          <w:rPr>
            <w:webHidden/>
          </w:rPr>
          <w:fldChar w:fldCharType="begin"/>
        </w:r>
        <w:r w:rsidR="00AC05D1">
          <w:rPr>
            <w:webHidden/>
          </w:rPr>
          <w:instrText xml:space="preserve"> PAGEREF _Toc202260084 \h </w:instrText>
        </w:r>
        <w:r w:rsidR="00AC05D1">
          <w:rPr>
            <w:webHidden/>
          </w:rPr>
        </w:r>
        <w:r w:rsidR="00AC05D1">
          <w:rPr>
            <w:webHidden/>
          </w:rPr>
          <w:fldChar w:fldCharType="separate"/>
        </w:r>
        <w:r w:rsidR="00AC05D1">
          <w:rPr>
            <w:webHidden/>
          </w:rPr>
          <w:t>176</w:t>
        </w:r>
        <w:r w:rsidR="00AC05D1">
          <w:rPr>
            <w:webHidden/>
          </w:rPr>
          <w:fldChar w:fldCharType="end"/>
        </w:r>
      </w:hyperlink>
    </w:p>
    <w:p w14:paraId="64007D04" w14:textId="085A68B0"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85" w:history="1">
        <w:r w:rsidR="00AC05D1" w:rsidRPr="00AF7A3E">
          <w:rPr>
            <w:rStyle w:val="Hyperlinkki"/>
            <w:rFonts w:eastAsiaTheme="majorEastAsia"/>
          </w:rPr>
          <w:t>9.2 Kansantaloudelliset vaikutukset</w:t>
        </w:r>
        <w:r w:rsidR="00AC05D1">
          <w:rPr>
            <w:webHidden/>
          </w:rPr>
          <w:tab/>
        </w:r>
        <w:r w:rsidR="00AC05D1">
          <w:rPr>
            <w:webHidden/>
          </w:rPr>
          <w:fldChar w:fldCharType="begin"/>
        </w:r>
        <w:r w:rsidR="00AC05D1">
          <w:rPr>
            <w:webHidden/>
          </w:rPr>
          <w:instrText xml:space="preserve"> PAGEREF _Toc202260085 \h </w:instrText>
        </w:r>
        <w:r w:rsidR="00AC05D1">
          <w:rPr>
            <w:webHidden/>
          </w:rPr>
        </w:r>
        <w:r w:rsidR="00AC05D1">
          <w:rPr>
            <w:webHidden/>
          </w:rPr>
          <w:fldChar w:fldCharType="separate"/>
        </w:r>
        <w:r w:rsidR="00AC05D1">
          <w:rPr>
            <w:webHidden/>
          </w:rPr>
          <w:t>184</w:t>
        </w:r>
        <w:r w:rsidR="00AC05D1">
          <w:rPr>
            <w:webHidden/>
          </w:rPr>
          <w:fldChar w:fldCharType="end"/>
        </w:r>
      </w:hyperlink>
    </w:p>
    <w:p w14:paraId="01C8E2D1" w14:textId="3340230B" w:rsidR="00AC05D1" w:rsidRDefault="0056474A">
      <w:pPr>
        <w:pStyle w:val="Sisluet2"/>
        <w:rPr>
          <w:rFonts w:asciiTheme="minorHAnsi" w:eastAsiaTheme="minorEastAsia" w:hAnsiTheme="minorHAnsi" w:cstheme="minorBidi"/>
          <w:kern w:val="2"/>
          <w:sz w:val="24"/>
          <w:szCs w:val="24"/>
          <w14:ligatures w14:val="standardContextual"/>
        </w:rPr>
      </w:pPr>
      <w:hyperlink w:anchor="_Toc202260086" w:history="1">
        <w:r w:rsidR="00AC05D1" w:rsidRPr="00AF7A3E">
          <w:rPr>
            <w:rStyle w:val="Hyperlinkki"/>
            <w:rFonts w:eastAsiaTheme="majorEastAsia"/>
          </w:rPr>
          <w:t>9.3 Sosiaaliset vaikutukset</w:t>
        </w:r>
        <w:r w:rsidR="00AC05D1">
          <w:rPr>
            <w:webHidden/>
          </w:rPr>
          <w:tab/>
        </w:r>
        <w:r w:rsidR="00AC05D1">
          <w:rPr>
            <w:webHidden/>
          </w:rPr>
          <w:fldChar w:fldCharType="begin"/>
        </w:r>
        <w:r w:rsidR="00AC05D1">
          <w:rPr>
            <w:webHidden/>
          </w:rPr>
          <w:instrText xml:space="preserve"> PAGEREF _Toc202260086 \h </w:instrText>
        </w:r>
        <w:r w:rsidR="00AC05D1">
          <w:rPr>
            <w:webHidden/>
          </w:rPr>
        </w:r>
        <w:r w:rsidR="00AC05D1">
          <w:rPr>
            <w:webHidden/>
          </w:rPr>
          <w:fldChar w:fldCharType="separate"/>
        </w:r>
        <w:r w:rsidR="00AC05D1">
          <w:rPr>
            <w:webHidden/>
          </w:rPr>
          <w:t>186</w:t>
        </w:r>
        <w:r w:rsidR="00AC05D1">
          <w:rPr>
            <w:webHidden/>
          </w:rPr>
          <w:fldChar w:fldCharType="end"/>
        </w:r>
      </w:hyperlink>
    </w:p>
    <w:p w14:paraId="12B20FAB" w14:textId="20EAF988"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87" w:history="1">
        <w:r w:rsidR="00AC05D1" w:rsidRPr="00AF7A3E">
          <w:rPr>
            <w:rStyle w:val="Hyperlinkki"/>
            <w:rFonts w:eastAsiaTheme="majorEastAsia"/>
          </w:rPr>
          <w:t>9.3.1 Sosiaalinen oikeudenmukaisuus ja hyväksyttävyys</w:t>
        </w:r>
        <w:r w:rsidR="00AC05D1">
          <w:rPr>
            <w:webHidden/>
          </w:rPr>
          <w:tab/>
        </w:r>
        <w:r w:rsidR="00AC05D1">
          <w:rPr>
            <w:webHidden/>
          </w:rPr>
          <w:fldChar w:fldCharType="begin"/>
        </w:r>
        <w:r w:rsidR="00AC05D1">
          <w:rPr>
            <w:webHidden/>
          </w:rPr>
          <w:instrText xml:space="preserve"> PAGEREF _Toc202260087 \h </w:instrText>
        </w:r>
        <w:r w:rsidR="00AC05D1">
          <w:rPr>
            <w:webHidden/>
          </w:rPr>
        </w:r>
        <w:r w:rsidR="00AC05D1">
          <w:rPr>
            <w:webHidden/>
          </w:rPr>
          <w:fldChar w:fldCharType="separate"/>
        </w:r>
        <w:r w:rsidR="00AC05D1">
          <w:rPr>
            <w:webHidden/>
          </w:rPr>
          <w:t>187</w:t>
        </w:r>
        <w:r w:rsidR="00AC05D1">
          <w:rPr>
            <w:webHidden/>
          </w:rPr>
          <w:fldChar w:fldCharType="end"/>
        </w:r>
      </w:hyperlink>
    </w:p>
    <w:p w14:paraId="540FDF40" w14:textId="0B20C77E" w:rsidR="00AC05D1" w:rsidRDefault="0056474A">
      <w:pPr>
        <w:pStyle w:val="Sisluet3"/>
        <w:rPr>
          <w:rFonts w:asciiTheme="minorHAnsi" w:eastAsiaTheme="minorEastAsia" w:hAnsiTheme="minorHAnsi" w:cstheme="minorBidi"/>
          <w:kern w:val="2"/>
          <w:sz w:val="24"/>
          <w:szCs w:val="24"/>
          <w14:ligatures w14:val="standardContextual"/>
        </w:rPr>
      </w:pPr>
      <w:hyperlink w:anchor="_Toc202260088" w:history="1">
        <w:r w:rsidR="00AC05D1" w:rsidRPr="00AF7A3E">
          <w:rPr>
            <w:rStyle w:val="Hyperlinkki"/>
            <w:rFonts w:eastAsiaTheme="majorEastAsia"/>
          </w:rPr>
          <w:t>9.3.2 Yhdenvertaisuusarviointi</w:t>
        </w:r>
        <w:r w:rsidR="00AC05D1">
          <w:rPr>
            <w:webHidden/>
          </w:rPr>
          <w:tab/>
        </w:r>
        <w:r w:rsidR="00AC05D1">
          <w:rPr>
            <w:webHidden/>
          </w:rPr>
          <w:fldChar w:fldCharType="begin"/>
        </w:r>
        <w:r w:rsidR="00AC05D1">
          <w:rPr>
            <w:webHidden/>
          </w:rPr>
          <w:instrText xml:space="preserve"> PAGEREF _Toc202260088 \h </w:instrText>
        </w:r>
        <w:r w:rsidR="00AC05D1">
          <w:rPr>
            <w:webHidden/>
          </w:rPr>
        </w:r>
        <w:r w:rsidR="00AC05D1">
          <w:rPr>
            <w:webHidden/>
          </w:rPr>
          <w:fldChar w:fldCharType="separate"/>
        </w:r>
        <w:r w:rsidR="00AC05D1">
          <w:rPr>
            <w:webHidden/>
          </w:rPr>
          <w:t>190</w:t>
        </w:r>
        <w:r w:rsidR="00AC05D1">
          <w:rPr>
            <w:webHidden/>
          </w:rPr>
          <w:fldChar w:fldCharType="end"/>
        </w:r>
      </w:hyperlink>
    </w:p>
    <w:p w14:paraId="7FF479B4" w14:textId="20AD6AC1" w:rsidR="00AC05D1" w:rsidRDefault="0056474A">
      <w:pPr>
        <w:pStyle w:val="Sisluet1"/>
        <w:rPr>
          <w:rFonts w:asciiTheme="minorHAnsi" w:eastAsiaTheme="minorEastAsia" w:hAnsiTheme="minorHAnsi" w:cstheme="minorBidi"/>
          <w:b w:val="0"/>
          <w:color w:val="auto"/>
          <w:kern w:val="2"/>
          <w:sz w:val="24"/>
          <w:szCs w:val="24"/>
          <w14:ligatures w14:val="standardContextual"/>
        </w:rPr>
      </w:pPr>
      <w:hyperlink w:anchor="_Toc202260089" w:history="1">
        <w:r w:rsidR="00AC05D1" w:rsidRPr="00AF7A3E">
          <w:rPr>
            <w:rStyle w:val="Hyperlinkki"/>
            <w:rFonts w:eastAsiaTheme="majorEastAsia"/>
          </w:rPr>
          <w:t>Lähteet</w:t>
        </w:r>
        <w:r w:rsidR="00AC05D1">
          <w:rPr>
            <w:webHidden/>
          </w:rPr>
          <w:tab/>
        </w:r>
        <w:r w:rsidR="00AC05D1">
          <w:rPr>
            <w:webHidden/>
          </w:rPr>
          <w:fldChar w:fldCharType="begin"/>
        </w:r>
        <w:r w:rsidR="00AC05D1">
          <w:rPr>
            <w:webHidden/>
          </w:rPr>
          <w:instrText xml:space="preserve"> PAGEREF _Toc202260089 \h </w:instrText>
        </w:r>
        <w:r w:rsidR="00AC05D1">
          <w:rPr>
            <w:webHidden/>
          </w:rPr>
        </w:r>
        <w:r w:rsidR="00AC05D1">
          <w:rPr>
            <w:webHidden/>
          </w:rPr>
          <w:fldChar w:fldCharType="separate"/>
        </w:r>
        <w:r w:rsidR="00AC05D1">
          <w:rPr>
            <w:webHidden/>
          </w:rPr>
          <w:t>196</w:t>
        </w:r>
        <w:r w:rsidR="00AC05D1">
          <w:rPr>
            <w:webHidden/>
          </w:rPr>
          <w:fldChar w:fldCharType="end"/>
        </w:r>
      </w:hyperlink>
    </w:p>
    <w:p w14:paraId="718C9F7A" w14:textId="60EDFE54" w:rsidR="00DC758F" w:rsidRDefault="00536DC5" w:rsidP="000F4C7B">
      <w:pPr>
        <w:pStyle w:val="Sisluet1"/>
        <w:rPr>
          <w:rFonts w:asciiTheme="minorHAnsi" w:eastAsiaTheme="minorEastAsia" w:hAnsiTheme="minorHAnsi" w:cstheme="minorBidi"/>
          <w:kern w:val="2"/>
          <w:sz w:val="24"/>
          <w:szCs w:val="24"/>
          <w14:ligatures w14:val="standardContextual"/>
        </w:rPr>
      </w:pPr>
      <w:r>
        <w:fldChar w:fldCharType="end"/>
      </w:r>
      <w:bookmarkStart w:id="0" w:name="_Hlk197443018"/>
    </w:p>
    <w:bookmarkEnd w:id="0"/>
    <w:p w14:paraId="78F6484B" w14:textId="75DB7DA2" w:rsidR="00DF34FB" w:rsidRPr="00796641" w:rsidRDefault="00DF34FB" w:rsidP="28C090C9">
      <w:pPr>
        <w:tabs>
          <w:tab w:val="right" w:leader="dot" w:pos="7695"/>
        </w:tabs>
        <w:rPr>
          <w:rFonts w:asciiTheme="minorHAnsi" w:eastAsiaTheme="minorEastAsia" w:hAnsiTheme="minorHAnsi" w:cstheme="minorBidi"/>
          <w:sz w:val="24"/>
          <w:szCs w:val="24"/>
        </w:rPr>
        <w:sectPr w:rsidR="00DF34FB" w:rsidRPr="00796641" w:rsidSect="0016680F">
          <w:headerReference w:type="default" r:id="rId31"/>
          <w:footerReference w:type="default" r:id="rId32"/>
          <w:pgSz w:w="11906" w:h="16838" w:code="9"/>
          <w:pgMar w:top="3119" w:right="2098" w:bottom="1758" w:left="2098" w:header="1502" w:footer="612" w:gutter="0"/>
          <w:cols w:space="708"/>
          <w:docGrid w:linePitch="360"/>
        </w:sectPr>
      </w:pPr>
    </w:p>
    <w:p w14:paraId="73A99C44" w14:textId="7D41F276" w:rsidR="00D95A49" w:rsidRDefault="00B10544" w:rsidP="28C090C9">
      <w:pPr>
        <w:pStyle w:val="VNOtsikkoesipuhe"/>
        <w:rPr>
          <w:rStyle w:val="Otsikko2Char"/>
          <w:lang w:val="fi-FI"/>
        </w:rPr>
      </w:pPr>
      <w:r>
        <w:lastRenderedPageBreak/>
        <w:fldChar w:fldCharType="begin"/>
      </w:r>
      <w:r>
        <w:instrText xml:space="preserve"> MACROBUTTON nomacro </w:instrText>
      </w:r>
      <w:r w:rsidRPr="28C090C9">
        <w:rPr>
          <w:color w:val="4293FF" w:themeColor="accent2"/>
        </w:rPr>
        <w:instrText>Napsauta ja kirjoita ESIPUHEEN otsikko</w:instrText>
      </w:r>
      <w:r>
        <w:fldChar w:fldCharType="end"/>
      </w:r>
      <w:r>
        <w:fldChar w:fldCharType="begin"/>
      </w:r>
      <w:r>
        <w:instrText xml:space="preserve"> MACROBUTTON nomacro</w:instrText>
      </w:r>
      <w:r w:rsidRPr="28C090C9">
        <w:rPr>
          <w:color w:val="4293FF" w:themeColor="accent2"/>
        </w:rPr>
        <w:instrText xml:space="preserve"> Napsauta ja kirjoita teksti. Paina kappaleen lopussa Enter.</w:instrText>
      </w:r>
      <w:r>
        <w:fldChar w:fldCharType="end"/>
      </w:r>
      <w:r>
        <w:fldChar w:fldCharType="begin"/>
      </w:r>
      <w:r>
        <w:instrText xml:space="preserve"> MACROBUTTON nomacro </w:instrText>
      </w:r>
      <w:r w:rsidRPr="28C090C9">
        <w:rPr>
          <w:color w:val="4293FF" w:themeColor="accent2"/>
        </w:rPr>
        <w:instrText>Napsauta ja kirjoita Allekirjoittajan nimi.</w:instrText>
      </w:r>
      <w:r>
        <w:fldChar w:fldCharType="end"/>
      </w:r>
      <w:r>
        <w:br/>
      </w:r>
      <w:r>
        <w:fldChar w:fldCharType="begin"/>
      </w:r>
      <w:r>
        <w:instrText xml:space="preserve"> MACROBUTTON nomacro </w:instrText>
      </w:r>
      <w:r w:rsidRPr="28C090C9">
        <w:rPr>
          <w:color w:val="4293FF" w:themeColor="accent2"/>
        </w:rPr>
        <w:instrText>Napsauta ja kirjoita julkaisukuukausi ja -vuosi, esim. Huhtikuu 2018</w:instrText>
      </w:r>
      <w:r>
        <w:fldChar w:fldCharType="end"/>
      </w:r>
      <w:r>
        <w:br w:type="page"/>
      </w:r>
      <w:r w:rsidR="00EB748F" w:rsidRPr="28C090C9">
        <w:rPr>
          <w:rStyle w:val="Otsikko1Char"/>
        </w:rPr>
        <w:lastRenderedPageBreak/>
        <w:t>Yhteenveto</w:t>
      </w:r>
    </w:p>
    <w:p w14:paraId="2CAFBF8D" w14:textId="4938167A" w:rsidR="252350FE" w:rsidRDefault="252350FE" w:rsidP="252350FE">
      <w:pPr>
        <w:rPr>
          <w:rFonts w:ascii="Aptos" w:eastAsia="Aptos" w:hAnsi="Aptos" w:cs="Aptos"/>
          <w:sz w:val="24"/>
          <w:szCs w:val="24"/>
        </w:rPr>
      </w:pPr>
    </w:p>
    <w:p w14:paraId="397DAB86" w14:textId="70124874" w:rsidR="4DA44295" w:rsidRDefault="4DA44295" w:rsidP="007D49B0">
      <w:pPr>
        <w:pStyle w:val="VNLeip1kappale"/>
        <w:rPr>
          <w:rFonts w:eastAsia="Aptos"/>
        </w:rPr>
      </w:pPr>
      <w:r w:rsidRPr="252350FE">
        <w:rPr>
          <w:rFonts w:eastAsia="Aptos"/>
        </w:rPr>
        <w:t xml:space="preserve">Kolmas keskipitkän aikavälin ilmastosuunnitelma (KAISU 3) on laadittu ilmastolain mukaisesti ja se kattaa päästökaupan ulkopuolisten sektoreiden eli niin sanotun taakanjakosektorin päästövähennystoimet. Suunnitelma perustuu vuonna 2022 voimaan tulleeseen uudistettuun ilmastolakiin, EU:n ilmastolainsäädäntöön sekä Petteri </w:t>
      </w:r>
      <w:proofErr w:type="spellStart"/>
      <w:r w:rsidRPr="252350FE">
        <w:rPr>
          <w:rFonts w:eastAsia="Aptos"/>
        </w:rPr>
        <w:t>Orpon</w:t>
      </w:r>
      <w:proofErr w:type="spellEnd"/>
      <w:r w:rsidRPr="252350FE">
        <w:rPr>
          <w:rFonts w:eastAsia="Aptos"/>
        </w:rPr>
        <w:t xml:space="preserve"> hallitusohjelman linjauksiin. Suunnitelma sisältää sekä </w:t>
      </w:r>
      <w:r w:rsidR="33BA7883" w:rsidRPr="707F5EF8">
        <w:rPr>
          <w:rFonts w:eastAsia="Aptos"/>
        </w:rPr>
        <w:t xml:space="preserve">arvion </w:t>
      </w:r>
      <w:r w:rsidRPr="707F5EF8">
        <w:rPr>
          <w:rFonts w:eastAsia="Aptos"/>
        </w:rPr>
        <w:t>nykyisten</w:t>
      </w:r>
      <w:r w:rsidRPr="252350FE">
        <w:rPr>
          <w:rFonts w:eastAsia="Aptos"/>
        </w:rPr>
        <w:t xml:space="preserve"> toimien </w:t>
      </w:r>
      <w:r w:rsidRPr="758A1CE2">
        <w:rPr>
          <w:rFonts w:eastAsia="Aptos"/>
        </w:rPr>
        <w:t>riittävyy</w:t>
      </w:r>
      <w:r w:rsidR="30F36A62" w:rsidRPr="758A1CE2">
        <w:rPr>
          <w:rFonts w:eastAsia="Aptos"/>
        </w:rPr>
        <w:t>destä</w:t>
      </w:r>
      <w:r w:rsidRPr="252350FE">
        <w:rPr>
          <w:rFonts w:eastAsia="Aptos"/>
        </w:rPr>
        <w:t xml:space="preserve"> että lisätoimia tavoitteiden saavuttamiseksi.</w:t>
      </w:r>
    </w:p>
    <w:p w14:paraId="47C19E9D" w14:textId="5E13B3F4" w:rsidR="4DA44295" w:rsidRPr="008D33B2" w:rsidRDefault="4DA44295" w:rsidP="739C6C67">
      <w:pPr>
        <w:pStyle w:val="VNLeip1kappale"/>
        <w:rPr>
          <w:rFonts w:eastAsia="Aptos"/>
        </w:rPr>
      </w:pPr>
      <w:r w:rsidRPr="008D33B2">
        <w:rPr>
          <w:rFonts w:eastAsia="Aptos"/>
        </w:rPr>
        <w:t>EU:n taakanjakoasetuksen mukainen Suomen päästövähennysvelvoite vuodelle 2030 on vähintään 50 prosenttia vuoden 2005 tasosta, mikä vastaa enintään 17,1 Mt CO</w:t>
      </w:r>
      <w:r w:rsidRPr="3BC5E934">
        <w:rPr>
          <w:rFonts w:eastAsia="Aptos"/>
          <w:vertAlign w:val="subscript"/>
        </w:rPr>
        <w:t>2</w:t>
      </w:r>
      <w:r w:rsidRPr="008D33B2">
        <w:rPr>
          <w:rFonts w:eastAsia="Aptos"/>
        </w:rPr>
        <w:t>-ekv</w:t>
      </w:r>
      <w:r w:rsidR="61099D54" w:rsidRPr="0BB0AD40">
        <w:rPr>
          <w:rFonts w:eastAsia="Aptos"/>
        </w:rPr>
        <w:t>.</w:t>
      </w:r>
      <w:r w:rsidRPr="008D33B2">
        <w:rPr>
          <w:rFonts w:eastAsia="Aptos"/>
        </w:rPr>
        <w:t xml:space="preserve"> päästötasoa. Taakanjakosektorin päästöt vuonna 2024 olivat 25,4 Mt CO</w:t>
      </w:r>
      <w:r w:rsidRPr="3BC5E934">
        <w:rPr>
          <w:rFonts w:eastAsia="Aptos"/>
          <w:vertAlign w:val="subscript"/>
        </w:rPr>
        <w:t>2</w:t>
      </w:r>
      <w:r w:rsidRPr="008D33B2">
        <w:rPr>
          <w:rFonts w:eastAsia="Aptos"/>
        </w:rPr>
        <w:t>-ekv., ja ne ovat vähentyneet noin 26 % vuoden 2005 tasosta. Merkittävimmät päästölähteet ovat liikenne (35 %), maatalous (25 %), työkoneet ja rakennusten erillislämmitys.</w:t>
      </w:r>
    </w:p>
    <w:p w14:paraId="5F6AEA0E" w14:textId="25638825" w:rsidR="4DA44295" w:rsidRPr="008D33B2" w:rsidRDefault="4DA44295" w:rsidP="739C6C67">
      <w:pPr>
        <w:pStyle w:val="VNLeip1kappale"/>
        <w:rPr>
          <w:rFonts w:eastAsia="Aptos"/>
        </w:rPr>
      </w:pPr>
      <w:r w:rsidRPr="008D33B2">
        <w:rPr>
          <w:rFonts w:eastAsia="Aptos"/>
        </w:rPr>
        <w:t xml:space="preserve">Suomen tavoitteena on ilmastolain mukaisesti saavuttaa hiilineutraalisuus vuoteen 2035 mennessä ja tämän jälkeen siirtyä hiilinegatiiviseksi. Hiilineutraaliuden ohella </w:t>
      </w:r>
      <w:r w:rsidR="20E60037" w:rsidRPr="2C126469">
        <w:rPr>
          <w:rFonts w:eastAsia="Aptos"/>
        </w:rPr>
        <w:t xml:space="preserve">taakanjako- ja päästökauppasektorin </w:t>
      </w:r>
      <w:r w:rsidR="20E60037" w:rsidRPr="312B8ABB">
        <w:rPr>
          <w:rFonts w:eastAsia="Aptos"/>
        </w:rPr>
        <w:t xml:space="preserve">yhteenlaskettuja </w:t>
      </w:r>
      <w:r w:rsidRPr="008D33B2">
        <w:rPr>
          <w:rFonts w:eastAsia="Aptos"/>
        </w:rPr>
        <w:t xml:space="preserve">päästöjä </w:t>
      </w:r>
      <w:r w:rsidR="772CCD7F" w:rsidRPr="476C1FBF">
        <w:rPr>
          <w:rFonts w:eastAsia="Aptos"/>
        </w:rPr>
        <w:t xml:space="preserve">tulee </w:t>
      </w:r>
      <w:r w:rsidRPr="008D33B2">
        <w:rPr>
          <w:rFonts w:eastAsia="Aptos"/>
        </w:rPr>
        <w:t xml:space="preserve">vähentää 60 % vuoteen 2030 ja 80 % vuoteen 2040 mennessä verrattuna vuoteen 1990. </w:t>
      </w:r>
    </w:p>
    <w:p w14:paraId="7CFE27A2" w14:textId="20D00587" w:rsidR="4DA44295" w:rsidRPr="008D33B2" w:rsidRDefault="4DA44295" w:rsidP="739C6C67">
      <w:pPr>
        <w:pStyle w:val="VNLeip1kappale"/>
        <w:rPr>
          <w:rFonts w:eastAsia="Aptos"/>
        </w:rPr>
      </w:pPr>
      <w:r w:rsidRPr="008D33B2">
        <w:rPr>
          <w:rFonts w:eastAsia="Aptos"/>
        </w:rPr>
        <w:t>KAISU 3 on valmisteltu rinnakkain uuden energia- ja ilmastostrategian kanssa hyödyntäen yhteistä tietopohjaa, erityisesti KEITO-</w:t>
      </w:r>
      <w:r w:rsidR="00150D51">
        <w:rPr>
          <w:rFonts w:eastAsia="Aptos"/>
        </w:rPr>
        <w:t>työn</w:t>
      </w:r>
      <w:r w:rsidRPr="008D33B2">
        <w:rPr>
          <w:rFonts w:eastAsia="Aptos"/>
        </w:rPr>
        <w:t xml:space="preserve"> päästöskenaarioita. Suunnitelma tarkastelee myös poikkileikkaavia toimintoja, kuten kuntien ja alueiden ilmastotyötä, kulutuksen merkitystä sekä ilmastorahoituksen roolia.</w:t>
      </w:r>
    </w:p>
    <w:p w14:paraId="3791BDAC" w14:textId="4963EEBD" w:rsidR="4DA44295" w:rsidRPr="00EB748F" w:rsidRDefault="4DA44295" w:rsidP="00761725">
      <w:pPr>
        <w:pStyle w:val="Numeroimatonotsikko"/>
        <w:rPr>
          <w:rFonts w:eastAsia="Aptos"/>
        </w:rPr>
      </w:pPr>
      <w:bookmarkStart w:id="1" w:name="_Toc202249958"/>
      <w:r w:rsidRPr="00EB748F">
        <w:rPr>
          <w:rFonts w:eastAsia="Aptos"/>
        </w:rPr>
        <w:t>Lisätoimet päästöjen vähentämiseksi</w:t>
      </w:r>
      <w:bookmarkEnd w:id="1"/>
    </w:p>
    <w:p w14:paraId="563E66FF" w14:textId="7E82DD36" w:rsidR="4DA44295" w:rsidRDefault="4DA44295" w:rsidP="739C6C67">
      <w:pPr>
        <w:pStyle w:val="VNLeip1kappale"/>
        <w:rPr>
          <w:rFonts w:eastAsia="Aptos"/>
        </w:rPr>
      </w:pPr>
      <w:r w:rsidRPr="252350FE">
        <w:rPr>
          <w:rFonts w:eastAsia="Aptos"/>
        </w:rPr>
        <w:t xml:space="preserve">Suunnitelmaan sisältyvä toimenpideohjelma koostuu sekä sektorikohtaisista lisätoimista että poikkileikkaavista ratkaisuista, jotka yhdessä muodostavat </w:t>
      </w:r>
      <w:r w:rsidRPr="43BA9B70">
        <w:rPr>
          <w:rFonts w:eastAsia="Aptos"/>
        </w:rPr>
        <w:t>taakanjakosektori</w:t>
      </w:r>
      <w:r w:rsidR="29BAE34E" w:rsidRPr="43BA9B70">
        <w:rPr>
          <w:rFonts w:eastAsia="Aptos"/>
        </w:rPr>
        <w:t>lla</w:t>
      </w:r>
      <w:r w:rsidRPr="252350FE">
        <w:rPr>
          <w:rFonts w:eastAsia="Aptos"/>
        </w:rPr>
        <w:t xml:space="preserve"> </w:t>
      </w:r>
      <w:r w:rsidRPr="18D4F725">
        <w:rPr>
          <w:rFonts w:eastAsia="Aptos"/>
        </w:rPr>
        <w:t>toteut</w:t>
      </w:r>
      <w:r w:rsidR="00847C92" w:rsidRPr="18D4F725">
        <w:rPr>
          <w:rFonts w:eastAsia="Aptos"/>
        </w:rPr>
        <w:t>u</w:t>
      </w:r>
      <w:r w:rsidRPr="18D4F725">
        <w:rPr>
          <w:rFonts w:eastAsia="Aptos"/>
        </w:rPr>
        <w:t>van</w:t>
      </w:r>
      <w:r w:rsidRPr="252350FE">
        <w:rPr>
          <w:rFonts w:eastAsia="Aptos"/>
        </w:rPr>
        <w:t xml:space="preserve"> politiikkakokonaisuuden. </w:t>
      </w:r>
      <w:r w:rsidRPr="18D4F725">
        <w:rPr>
          <w:rFonts w:eastAsia="Aptos"/>
        </w:rPr>
        <w:t>Toim</w:t>
      </w:r>
      <w:r w:rsidR="2CB1351E" w:rsidRPr="18D4F725">
        <w:rPr>
          <w:rFonts w:eastAsia="Aptos"/>
        </w:rPr>
        <w:t>illa</w:t>
      </w:r>
      <w:r w:rsidRPr="18D4F725">
        <w:rPr>
          <w:rFonts w:eastAsia="Aptos"/>
        </w:rPr>
        <w:t xml:space="preserve"> </w:t>
      </w:r>
      <w:r w:rsidR="296419E9" w:rsidRPr="18D4F725">
        <w:rPr>
          <w:rFonts w:eastAsia="Aptos"/>
        </w:rPr>
        <w:t>pyritään vä</w:t>
      </w:r>
      <w:r w:rsidR="296419E9" w:rsidRPr="18D4F725">
        <w:rPr>
          <w:rFonts w:eastAsia="Aptos"/>
        </w:rPr>
        <w:lastRenderedPageBreak/>
        <w:t>hentämään</w:t>
      </w:r>
      <w:r w:rsidRPr="18D4F725">
        <w:rPr>
          <w:rFonts w:eastAsia="Aptos"/>
        </w:rPr>
        <w:t xml:space="preserve"> Suomen taakanjakosektorin päästö</w:t>
      </w:r>
      <w:r w:rsidR="090F344E" w:rsidRPr="18D4F725">
        <w:rPr>
          <w:rFonts w:eastAsia="Aptos"/>
        </w:rPr>
        <w:t>jä</w:t>
      </w:r>
      <w:r w:rsidR="006748BD">
        <w:rPr>
          <w:rFonts w:eastAsia="Aptos"/>
        </w:rPr>
        <w:t>. Toimenpideohjelmalla</w:t>
      </w:r>
      <w:r w:rsidR="00A74475">
        <w:rPr>
          <w:rFonts w:eastAsia="Aptos"/>
        </w:rPr>
        <w:t xml:space="preserve"> pysytään taakanjakosektorin </w:t>
      </w:r>
      <w:proofErr w:type="gramStart"/>
      <w:r w:rsidR="00A74475">
        <w:rPr>
          <w:rFonts w:eastAsia="Aptos"/>
        </w:rPr>
        <w:t>2021-2030</w:t>
      </w:r>
      <w:proofErr w:type="gramEnd"/>
      <w:r w:rsidR="00A74475">
        <w:rPr>
          <w:rFonts w:eastAsia="Aptos"/>
        </w:rPr>
        <w:t xml:space="preserve"> päästökiintiöissä, kun huomioidaan käytettävissä olevat joustot.  </w:t>
      </w:r>
      <w:r w:rsidR="006748BD">
        <w:rPr>
          <w:rFonts w:eastAsia="Aptos"/>
        </w:rPr>
        <w:t xml:space="preserve"> </w:t>
      </w:r>
    </w:p>
    <w:p w14:paraId="4F63C6B2" w14:textId="0D8556F4" w:rsidR="4DA44295" w:rsidRDefault="4DA44295" w:rsidP="739C6C67">
      <w:pPr>
        <w:pStyle w:val="VNLeip1kappale"/>
        <w:rPr>
          <w:rFonts w:eastAsia="Aptos"/>
        </w:rPr>
      </w:pPr>
      <w:r w:rsidRPr="252350FE">
        <w:rPr>
          <w:rFonts w:eastAsia="Aptos"/>
        </w:rPr>
        <w:t>KEITO-</w:t>
      </w:r>
      <w:r w:rsidR="00C73E1C">
        <w:rPr>
          <w:rFonts w:eastAsia="Aptos"/>
        </w:rPr>
        <w:t>työn</w:t>
      </w:r>
      <w:r w:rsidRPr="252350FE">
        <w:rPr>
          <w:rFonts w:eastAsia="Aptos"/>
        </w:rPr>
        <w:t xml:space="preserve"> nykytoimiskenaarion (WEM) mukaan taakanjakosektorin päästöt laskevat 18,9 Mt CO</w:t>
      </w:r>
      <w:r w:rsidRPr="1472911E">
        <w:rPr>
          <w:rFonts w:eastAsia="Aptos"/>
          <w:vertAlign w:val="subscript"/>
        </w:rPr>
        <w:t>2</w:t>
      </w:r>
      <w:r w:rsidRPr="252350FE">
        <w:rPr>
          <w:rFonts w:eastAsia="Aptos"/>
        </w:rPr>
        <w:t>-ekv. tasolle vuoteen 2030 mennessä. Nykytoimiskenaarion päästövähennykset eivät riitä EU:n päästövelvoitteen saavuttamiseen, joten lisätoimia tarvitaan noin 1,8 Mt CO</w:t>
      </w:r>
      <w:r w:rsidRPr="0BC0E8B8">
        <w:rPr>
          <w:rFonts w:eastAsia="Aptos"/>
          <w:vertAlign w:val="subscript"/>
        </w:rPr>
        <w:t>2</w:t>
      </w:r>
      <w:r w:rsidRPr="252350FE">
        <w:rPr>
          <w:rFonts w:eastAsia="Aptos"/>
        </w:rPr>
        <w:t>-ekv:n verran. Vuosina 2021–2023 Suomi on alittanut vuosittaiset taakanjakoasetuksen mukaiset päästökiintiönsä, mutta pikaennakkotiedon mukaan vuoden 2024 kiintiö kuitenkin ylitettiin 0,1 Mt CO</w:t>
      </w:r>
      <w:r w:rsidRPr="0BC0E8B8">
        <w:rPr>
          <w:rFonts w:eastAsia="Aptos"/>
          <w:vertAlign w:val="subscript"/>
        </w:rPr>
        <w:t>2</w:t>
      </w:r>
      <w:r w:rsidRPr="252350FE">
        <w:rPr>
          <w:rFonts w:eastAsia="Aptos"/>
        </w:rPr>
        <w:t>-ekv. Vuosina 2021</w:t>
      </w:r>
      <w:r w:rsidR="340174BC" w:rsidRPr="3BC389E2">
        <w:rPr>
          <w:rFonts w:eastAsia="Aptos"/>
        </w:rPr>
        <w:t>–</w:t>
      </w:r>
      <w:r w:rsidRPr="252350FE">
        <w:rPr>
          <w:rFonts w:eastAsia="Aptos"/>
        </w:rPr>
        <w:t xml:space="preserve">2024 taakanjakosektorille on kertynyt </w:t>
      </w:r>
      <w:r w:rsidR="5FA806C9" w:rsidRPr="43BA9B70">
        <w:rPr>
          <w:rFonts w:eastAsia="Aptos"/>
        </w:rPr>
        <w:t>arviolta</w:t>
      </w:r>
      <w:r w:rsidRPr="252350FE">
        <w:rPr>
          <w:rFonts w:eastAsia="Aptos"/>
        </w:rPr>
        <w:t xml:space="preserve"> noin 3,8 Mt CO</w:t>
      </w:r>
      <w:r w:rsidRPr="0BC0E8B8">
        <w:rPr>
          <w:rFonts w:eastAsia="Aptos"/>
          <w:vertAlign w:val="subscript"/>
        </w:rPr>
        <w:t>2</w:t>
      </w:r>
      <w:r w:rsidRPr="252350FE">
        <w:rPr>
          <w:rFonts w:eastAsia="Aptos"/>
        </w:rPr>
        <w:t xml:space="preserve">-ekv. ylijäämää. </w:t>
      </w:r>
      <w:r w:rsidR="4882CC4E" w:rsidRPr="548CCC24">
        <w:rPr>
          <w:rFonts w:eastAsia="Aptos"/>
        </w:rPr>
        <w:t xml:space="preserve">Lisäksi </w:t>
      </w:r>
      <w:r w:rsidR="4882CC4E" w:rsidRPr="1F994CDF">
        <w:rPr>
          <w:rFonts w:eastAsia="Aptos"/>
        </w:rPr>
        <w:t>m</w:t>
      </w:r>
      <w:r w:rsidRPr="1F994CDF">
        <w:rPr>
          <w:rFonts w:eastAsia="Aptos"/>
        </w:rPr>
        <w:t>erkittävänä</w:t>
      </w:r>
      <w:r w:rsidRPr="252350FE">
        <w:rPr>
          <w:rFonts w:eastAsia="Aptos"/>
        </w:rPr>
        <w:t xml:space="preserve"> riskinä on, että maankäyttösektorin näköpiirissä oleva alijäämä siirtyy taakanjakosektorin katettavaksi</w:t>
      </w:r>
      <w:r w:rsidR="00B21976">
        <w:rPr>
          <w:rFonts w:eastAsia="Aptos"/>
        </w:rPr>
        <w:t>.</w:t>
      </w:r>
      <w:r w:rsidRPr="252350FE">
        <w:rPr>
          <w:rFonts w:eastAsia="Aptos"/>
        </w:rPr>
        <w:t xml:space="preserve"> </w:t>
      </w:r>
    </w:p>
    <w:p w14:paraId="174B207E" w14:textId="04ABAC64" w:rsidR="4DA44295" w:rsidRDefault="4DA44295" w:rsidP="739C6C67">
      <w:pPr>
        <w:pStyle w:val="VNLeip1kappale"/>
        <w:rPr>
          <w:rFonts w:eastAsia="Aptos"/>
        </w:rPr>
      </w:pPr>
      <w:r w:rsidRPr="252350FE">
        <w:rPr>
          <w:rFonts w:eastAsia="Aptos"/>
        </w:rPr>
        <w:t xml:space="preserve">Toimenpideohjelman mukaisilla politiikkatoimilla laskennallisia päästöjä voidaan vähentää arviolta </w:t>
      </w:r>
      <w:r w:rsidR="18E82248" w:rsidRPr="43BA9B70">
        <w:rPr>
          <w:rFonts w:eastAsia="Aptos"/>
        </w:rPr>
        <w:t>runsaalla</w:t>
      </w:r>
      <w:r w:rsidRPr="252350FE">
        <w:rPr>
          <w:rFonts w:eastAsia="Aptos"/>
        </w:rPr>
        <w:t xml:space="preserve"> miljoonalla tonnilla vuoteen 2030 mennessä, kun otetaan huomioon käytettävissä olevat joustomekanismit. Vuoden 2035 tilanteessa WEM-skenaarion mukainen taakanjakosektorin päästötaso olisi noin 15,4 Mt CO</w:t>
      </w:r>
      <w:r w:rsidRPr="6A8590F1">
        <w:rPr>
          <w:rFonts w:eastAsia="Aptos"/>
          <w:vertAlign w:val="subscript"/>
        </w:rPr>
        <w:t>2-</w:t>
      </w:r>
      <w:r w:rsidRPr="252350FE">
        <w:rPr>
          <w:rFonts w:eastAsia="Aptos"/>
        </w:rPr>
        <w:t xml:space="preserve">ekv., </w:t>
      </w:r>
      <w:r w:rsidRPr="26DEC0AB">
        <w:rPr>
          <w:rFonts w:eastAsia="Aptos"/>
        </w:rPr>
        <w:t xml:space="preserve">kun </w:t>
      </w:r>
      <w:r w:rsidRPr="4F2F20F8">
        <w:rPr>
          <w:rFonts w:eastAsia="Aptos"/>
        </w:rPr>
        <w:t>nykyi</w:t>
      </w:r>
      <w:r w:rsidR="0D8F75FD" w:rsidRPr="4F2F20F8">
        <w:rPr>
          <w:rFonts w:eastAsia="Aptos"/>
        </w:rPr>
        <w:t>n</w:t>
      </w:r>
      <w:r w:rsidR="695B42C2" w:rsidRPr="4F2F20F8">
        <w:rPr>
          <w:rFonts w:eastAsia="Aptos"/>
        </w:rPr>
        <w:t>en</w:t>
      </w:r>
      <w:r w:rsidRPr="252350FE">
        <w:rPr>
          <w:rFonts w:eastAsia="Aptos"/>
        </w:rPr>
        <w:t xml:space="preserve"> </w:t>
      </w:r>
      <w:r w:rsidRPr="5E062BAA">
        <w:rPr>
          <w:rFonts w:eastAsia="Aptos"/>
        </w:rPr>
        <w:t>päästövähennys</w:t>
      </w:r>
      <w:r w:rsidR="6D43934E" w:rsidRPr="5E062BAA">
        <w:rPr>
          <w:rFonts w:eastAsia="Aptos"/>
        </w:rPr>
        <w:t xml:space="preserve">velvoitteen </w:t>
      </w:r>
      <w:r w:rsidR="6D43934E" w:rsidRPr="4F2F20F8">
        <w:rPr>
          <w:rFonts w:eastAsia="Aptos"/>
        </w:rPr>
        <w:t>mukai</w:t>
      </w:r>
      <w:r w:rsidR="19FE2DA9" w:rsidRPr="4F2F20F8">
        <w:rPr>
          <w:rFonts w:eastAsia="Aptos"/>
        </w:rPr>
        <w:t>n</w:t>
      </w:r>
      <w:r w:rsidR="6D43934E" w:rsidRPr="4F2F20F8">
        <w:rPr>
          <w:rFonts w:eastAsia="Aptos"/>
        </w:rPr>
        <w:t>en</w:t>
      </w:r>
      <w:r w:rsidRPr="252350FE">
        <w:rPr>
          <w:rFonts w:eastAsia="Aptos"/>
        </w:rPr>
        <w:t xml:space="preserve"> tavoitepolku johtaisi vajaan 10 Mt CO</w:t>
      </w:r>
      <w:r w:rsidRPr="32CD9BAE">
        <w:rPr>
          <w:rFonts w:eastAsia="Aptos"/>
          <w:vertAlign w:val="subscript"/>
        </w:rPr>
        <w:t>2</w:t>
      </w:r>
      <w:r w:rsidRPr="252350FE">
        <w:rPr>
          <w:rFonts w:eastAsia="Aptos"/>
        </w:rPr>
        <w:t xml:space="preserve">-ekv. </w:t>
      </w:r>
      <w:r w:rsidR="0A6ADBE2" w:rsidRPr="444DF47D">
        <w:rPr>
          <w:rFonts w:eastAsia="Aptos"/>
        </w:rPr>
        <w:t>t</w:t>
      </w:r>
      <w:r w:rsidRPr="444DF47D">
        <w:rPr>
          <w:rFonts w:eastAsia="Aptos"/>
        </w:rPr>
        <w:t>avoitetasoon</w:t>
      </w:r>
      <w:r w:rsidRPr="252350FE">
        <w:rPr>
          <w:rFonts w:eastAsia="Aptos"/>
        </w:rPr>
        <w:t xml:space="preserve">. Vuoden 2040 </w:t>
      </w:r>
      <w:proofErr w:type="spellStart"/>
      <w:r w:rsidRPr="68D075D8">
        <w:rPr>
          <w:rFonts w:eastAsia="Aptos"/>
        </w:rPr>
        <w:t>WEM</w:t>
      </w:r>
      <w:r w:rsidR="0ACC2C5E" w:rsidRPr="68D075D8">
        <w:rPr>
          <w:rFonts w:eastAsia="Aptos"/>
        </w:rPr>
        <w:t>:</w:t>
      </w:r>
      <w:r w:rsidRPr="68D075D8">
        <w:rPr>
          <w:rFonts w:eastAsia="Aptos"/>
        </w:rPr>
        <w:t>in</w:t>
      </w:r>
      <w:proofErr w:type="spellEnd"/>
      <w:r w:rsidRPr="252350FE">
        <w:rPr>
          <w:rFonts w:eastAsia="Aptos"/>
        </w:rPr>
        <w:t xml:space="preserve"> mukainen päästötaso on noin 13,4 Mt CO</w:t>
      </w:r>
      <w:r w:rsidRPr="0BC0E8B8">
        <w:rPr>
          <w:rFonts w:eastAsia="Aptos"/>
          <w:vertAlign w:val="subscript"/>
        </w:rPr>
        <w:t>2</w:t>
      </w:r>
      <w:r w:rsidRPr="252350FE">
        <w:rPr>
          <w:rFonts w:eastAsia="Aptos"/>
        </w:rPr>
        <w:t xml:space="preserve">-ekv., </w:t>
      </w:r>
      <w:r w:rsidR="00C12ADC" w:rsidRPr="4F2F20F8">
        <w:rPr>
          <w:rFonts w:eastAsia="Aptos"/>
        </w:rPr>
        <w:t xml:space="preserve">mutta </w:t>
      </w:r>
      <w:r w:rsidRPr="4F2F20F8">
        <w:rPr>
          <w:rFonts w:eastAsia="Aptos"/>
        </w:rPr>
        <w:t>nykyi</w:t>
      </w:r>
      <w:r w:rsidR="00C12ADC" w:rsidRPr="4F2F20F8">
        <w:rPr>
          <w:rFonts w:eastAsia="Aptos"/>
        </w:rPr>
        <w:t>sten</w:t>
      </w:r>
      <w:r w:rsidRPr="4F2F20F8">
        <w:rPr>
          <w:rFonts w:eastAsia="Aptos"/>
        </w:rPr>
        <w:t xml:space="preserve"> </w:t>
      </w:r>
      <w:r w:rsidR="210FBF75" w:rsidRPr="4F2F20F8">
        <w:rPr>
          <w:rFonts w:eastAsia="Aptos"/>
        </w:rPr>
        <w:t>velvoitteiden</w:t>
      </w:r>
      <w:r w:rsidRPr="252350FE">
        <w:rPr>
          <w:rFonts w:eastAsia="Aptos"/>
        </w:rPr>
        <w:t xml:space="preserve"> mukainen päästövähennystahti edellyttäisi huomattavan paljon alhaisempaa päästötasoa. Erot osoittavat selvästi, kuinka taakanjakosektorin jäljellä olevien päästöjen vähentäminen vaikeutuu vuoden 2030 jälkeen. On selvää, että myös ilmastolain vuoden 2030 jälkeiset tavoitteet tulevat edellyttämään uusia lisätoimia.</w:t>
      </w:r>
    </w:p>
    <w:p w14:paraId="5334B576" w14:textId="312D948E" w:rsidR="4DA44295" w:rsidRDefault="4DA44295" w:rsidP="4792A9CA">
      <w:pPr>
        <w:pStyle w:val="VNLeip1kappale"/>
        <w:rPr>
          <w:rFonts w:eastAsia="Aptos"/>
        </w:rPr>
      </w:pPr>
      <w:proofErr w:type="spellStart"/>
      <w:r w:rsidRPr="252350FE">
        <w:rPr>
          <w:rFonts w:eastAsia="Aptos"/>
        </w:rPr>
        <w:t>KAISUn</w:t>
      </w:r>
      <w:proofErr w:type="spellEnd"/>
      <w:r w:rsidRPr="252350FE">
        <w:rPr>
          <w:rFonts w:eastAsia="Aptos"/>
        </w:rPr>
        <w:t xml:space="preserve"> toimenpideohjelmaan on sisällytetty päästövähennystoimia kaikilta suunnitelman soveltamisalaan kuuluvilta sektoreilta. Liikenteen osalta keskeisiä</w:t>
      </w:r>
      <w:r w:rsidRPr="252350FE" w:rsidDel="0086457C">
        <w:rPr>
          <w:rFonts w:eastAsia="Aptos"/>
        </w:rPr>
        <w:t xml:space="preserve"> </w:t>
      </w:r>
      <w:proofErr w:type="spellStart"/>
      <w:r w:rsidR="0086457C" w:rsidRPr="758A1CE2">
        <w:rPr>
          <w:rFonts w:eastAsia="Aptos"/>
        </w:rPr>
        <w:t>WEM</w:t>
      </w:r>
      <w:r w:rsidR="4F4CE870" w:rsidRPr="758A1CE2">
        <w:rPr>
          <w:rFonts w:eastAsia="Aptos"/>
        </w:rPr>
        <w:t>:</w:t>
      </w:r>
      <w:r w:rsidR="0086457C" w:rsidRPr="758A1CE2">
        <w:rPr>
          <w:rFonts w:eastAsia="Aptos"/>
        </w:rPr>
        <w:t>iin</w:t>
      </w:r>
      <w:proofErr w:type="spellEnd"/>
      <w:r w:rsidR="0086457C" w:rsidRPr="252350FE">
        <w:rPr>
          <w:rFonts w:eastAsia="Aptos"/>
        </w:rPr>
        <w:t xml:space="preserve"> </w:t>
      </w:r>
      <w:r w:rsidRPr="252350FE">
        <w:rPr>
          <w:rFonts w:eastAsia="Aptos"/>
        </w:rPr>
        <w:t>sisältyviä toimenpiteitä ovat EU:n ajoneuvojen CO</w:t>
      </w:r>
      <w:r w:rsidRPr="005D0F68">
        <w:rPr>
          <w:rFonts w:ascii="Cambria Math" w:eastAsia="Aptos" w:hAnsi="Cambria Math" w:cs="Cambria Math"/>
        </w:rPr>
        <w:t>₂</w:t>
      </w:r>
      <w:r w:rsidRPr="252350FE">
        <w:rPr>
          <w:rFonts w:eastAsia="Aptos"/>
        </w:rPr>
        <w:t>-p</w:t>
      </w:r>
      <w:r w:rsidRPr="252350FE">
        <w:rPr>
          <w:rFonts w:eastAsia="Aptos" w:cs="Arial"/>
        </w:rPr>
        <w:t>ää</w:t>
      </w:r>
      <w:r w:rsidRPr="252350FE">
        <w:rPr>
          <w:rFonts w:eastAsia="Aptos"/>
        </w:rPr>
        <w:t>st</w:t>
      </w:r>
      <w:r w:rsidRPr="252350FE">
        <w:rPr>
          <w:rFonts w:eastAsia="Aptos" w:cs="Arial"/>
        </w:rPr>
        <w:t>ö</w:t>
      </w:r>
      <w:r w:rsidRPr="252350FE">
        <w:rPr>
          <w:rFonts w:eastAsia="Aptos"/>
        </w:rPr>
        <w:t>normien kiristykset, joiden mukaan uusien henkil</w:t>
      </w:r>
      <w:r w:rsidRPr="252350FE">
        <w:rPr>
          <w:rFonts w:eastAsia="Aptos" w:cs="Arial"/>
        </w:rPr>
        <w:t>ö</w:t>
      </w:r>
      <w:r w:rsidRPr="252350FE">
        <w:rPr>
          <w:rFonts w:eastAsia="Aptos"/>
        </w:rPr>
        <w:t>- ja pakettiautojen p</w:t>
      </w:r>
      <w:r w:rsidRPr="252350FE">
        <w:rPr>
          <w:rFonts w:eastAsia="Aptos" w:cs="Arial"/>
        </w:rPr>
        <w:t>ää</w:t>
      </w:r>
      <w:r w:rsidRPr="252350FE">
        <w:rPr>
          <w:rFonts w:eastAsia="Aptos"/>
        </w:rPr>
        <w:t>st</w:t>
      </w:r>
      <w:r w:rsidRPr="252350FE">
        <w:rPr>
          <w:rFonts w:eastAsia="Aptos" w:cs="Arial"/>
        </w:rPr>
        <w:t>ö</w:t>
      </w:r>
      <w:r w:rsidRPr="252350FE">
        <w:rPr>
          <w:rFonts w:eastAsia="Aptos"/>
        </w:rPr>
        <w:t>t on v</w:t>
      </w:r>
      <w:r w:rsidRPr="252350FE">
        <w:rPr>
          <w:rFonts w:eastAsia="Aptos" w:cs="Arial"/>
        </w:rPr>
        <w:t>ä</w:t>
      </w:r>
      <w:r w:rsidRPr="252350FE">
        <w:rPr>
          <w:rFonts w:eastAsia="Aptos"/>
        </w:rPr>
        <w:t>hennett</w:t>
      </w:r>
      <w:r w:rsidRPr="252350FE">
        <w:rPr>
          <w:rFonts w:eastAsia="Aptos" w:cs="Arial"/>
        </w:rPr>
        <w:t>ä</w:t>
      </w:r>
      <w:r w:rsidRPr="252350FE">
        <w:rPr>
          <w:rFonts w:eastAsia="Aptos"/>
        </w:rPr>
        <w:t>v</w:t>
      </w:r>
      <w:r w:rsidRPr="252350FE">
        <w:rPr>
          <w:rFonts w:eastAsia="Aptos" w:cs="Arial"/>
        </w:rPr>
        <w:t>ä</w:t>
      </w:r>
      <w:r w:rsidRPr="252350FE">
        <w:rPr>
          <w:rFonts w:eastAsia="Aptos"/>
        </w:rPr>
        <w:t xml:space="preserve"> asteittain, p</w:t>
      </w:r>
      <w:r w:rsidRPr="252350FE">
        <w:rPr>
          <w:rFonts w:eastAsia="Aptos" w:cs="Arial"/>
        </w:rPr>
        <w:t>ää</w:t>
      </w:r>
      <w:r w:rsidRPr="252350FE">
        <w:rPr>
          <w:rFonts w:eastAsia="Aptos"/>
        </w:rPr>
        <w:t>tyen vuoden 2035 j</w:t>
      </w:r>
      <w:r w:rsidRPr="252350FE">
        <w:rPr>
          <w:rFonts w:eastAsia="Aptos" w:cs="Arial"/>
        </w:rPr>
        <w:t>ä</w:t>
      </w:r>
      <w:r w:rsidRPr="252350FE">
        <w:rPr>
          <w:rFonts w:eastAsia="Aptos"/>
        </w:rPr>
        <w:t>lkeen valmistettavien autojen nollap</w:t>
      </w:r>
      <w:r w:rsidRPr="252350FE">
        <w:rPr>
          <w:rFonts w:eastAsia="Aptos" w:cs="Arial"/>
        </w:rPr>
        <w:t>ää</w:t>
      </w:r>
      <w:r w:rsidRPr="252350FE">
        <w:rPr>
          <w:rFonts w:eastAsia="Aptos"/>
        </w:rPr>
        <w:t>st</w:t>
      </w:r>
      <w:r w:rsidRPr="252350FE">
        <w:rPr>
          <w:rFonts w:eastAsia="Aptos" w:cs="Arial"/>
        </w:rPr>
        <w:t>ö</w:t>
      </w:r>
      <w:r w:rsidRPr="252350FE">
        <w:rPr>
          <w:rFonts w:eastAsia="Aptos"/>
        </w:rPr>
        <w:t>vaatimukseen. Lis</w:t>
      </w:r>
      <w:r w:rsidRPr="252350FE">
        <w:rPr>
          <w:rFonts w:eastAsia="Aptos" w:cs="Arial"/>
        </w:rPr>
        <w:t>ä</w:t>
      </w:r>
      <w:r w:rsidRPr="252350FE">
        <w:rPr>
          <w:rFonts w:eastAsia="Aptos"/>
        </w:rPr>
        <w:t>ksi raskaan kaluston osalta otetaan k</w:t>
      </w:r>
      <w:r w:rsidRPr="252350FE">
        <w:rPr>
          <w:rFonts w:eastAsia="Aptos" w:cs="Arial"/>
        </w:rPr>
        <w:t>ä</w:t>
      </w:r>
      <w:r w:rsidRPr="252350FE">
        <w:rPr>
          <w:rFonts w:eastAsia="Aptos"/>
        </w:rPr>
        <w:t>ytt</w:t>
      </w:r>
      <w:r w:rsidRPr="252350FE">
        <w:rPr>
          <w:rFonts w:eastAsia="Aptos" w:cs="Arial"/>
        </w:rPr>
        <w:t>öö</w:t>
      </w:r>
      <w:r w:rsidRPr="252350FE">
        <w:rPr>
          <w:rFonts w:eastAsia="Aptos"/>
        </w:rPr>
        <w:t>n uudet CO</w:t>
      </w:r>
      <w:r w:rsidRPr="252350FE">
        <w:rPr>
          <w:rFonts w:ascii="Cambria Math" w:eastAsia="Aptos" w:hAnsi="Cambria Math" w:cs="Cambria Math"/>
        </w:rPr>
        <w:t>₂</w:t>
      </w:r>
      <w:r w:rsidRPr="252350FE">
        <w:rPr>
          <w:rFonts w:eastAsia="Aptos"/>
        </w:rPr>
        <w:t>-raja-arvot, joiden mukaan p</w:t>
      </w:r>
      <w:r w:rsidRPr="252350FE">
        <w:rPr>
          <w:rFonts w:eastAsia="Aptos" w:cs="Arial"/>
        </w:rPr>
        <w:t>ää</w:t>
      </w:r>
      <w:r w:rsidRPr="252350FE">
        <w:rPr>
          <w:rFonts w:eastAsia="Aptos"/>
        </w:rPr>
        <w:t>st</w:t>
      </w:r>
      <w:r w:rsidRPr="252350FE">
        <w:rPr>
          <w:rFonts w:eastAsia="Aptos" w:cs="Arial"/>
        </w:rPr>
        <w:t>ö</w:t>
      </w:r>
      <w:r w:rsidRPr="252350FE">
        <w:rPr>
          <w:rFonts w:eastAsia="Aptos"/>
        </w:rPr>
        <w:t>t v</w:t>
      </w:r>
      <w:r w:rsidRPr="252350FE">
        <w:rPr>
          <w:rFonts w:eastAsia="Aptos" w:cs="Arial"/>
        </w:rPr>
        <w:t>ä</w:t>
      </w:r>
      <w:r w:rsidRPr="252350FE">
        <w:rPr>
          <w:rFonts w:eastAsia="Aptos"/>
        </w:rPr>
        <w:t>henevät 90 % vuoteen 2040 mennessä.</w:t>
      </w:r>
      <w:r w:rsidRPr="252350FE" w:rsidDel="00B42E11">
        <w:rPr>
          <w:rFonts w:eastAsia="Aptos"/>
        </w:rPr>
        <w:t xml:space="preserve"> </w:t>
      </w:r>
      <w:r w:rsidRPr="252350FE">
        <w:rPr>
          <w:rFonts w:eastAsia="Aptos"/>
        </w:rPr>
        <w:t xml:space="preserve">Kansallisesti liikenteen päästöjen vähentämiseksi hyödynnetään muun muassa uusiutuvien polttoaineiden jakeluvelvoitetta, vaikka sen nousua on vuosina 2024–2027 määräaikaisesti </w:t>
      </w:r>
      <w:proofErr w:type="spellStart"/>
      <w:r w:rsidRPr="252350FE">
        <w:rPr>
          <w:rFonts w:eastAsia="Aptos"/>
        </w:rPr>
        <w:t>maltillistettu</w:t>
      </w:r>
      <w:proofErr w:type="spellEnd"/>
      <w:r w:rsidRPr="252350FE">
        <w:rPr>
          <w:rFonts w:eastAsia="Aptos"/>
        </w:rPr>
        <w:t xml:space="preserve">. Uusina toimina otetaan </w:t>
      </w:r>
      <w:r w:rsidRPr="252350FE">
        <w:rPr>
          <w:rFonts w:eastAsia="Aptos"/>
        </w:rPr>
        <w:lastRenderedPageBreak/>
        <w:t xml:space="preserve">käyttöön mm. raskaan liikenteen hankintatuki, romutuspalkkio sekä latausinfran rakentamisen tuki. </w:t>
      </w:r>
    </w:p>
    <w:p w14:paraId="27E7C9D5" w14:textId="77777777" w:rsidR="003F78AC" w:rsidRPr="002C1D80" w:rsidRDefault="003F78AC" w:rsidP="00A74475">
      <w:pPr>
        <w:pStyle w:val="VNLeip1kappale"/>
        <w:rPr>
          <w:rFonts w:eastAsia="Aptos"/>
        </w:rPr>
      </w:pPr>
      <w:r w:rsidRPr="002C1D80">
        <w:rPr>
          <w:rFonts w:eastAsia="Aptos"/>
        </w:rPr>
        <w:t xml:space="preserve">Maataloudessa päästövähennystoimia kohdistetaan erityisesti turvemaiden kosteikkotoimiin, tilusjärjestelyjen nopeuttamiseen </w:t>
      </w:r>
      <w:proofErr w:type="gramStart"/>
      <w:r w:rsidRPr="002C1D80">
        <w:rPr>
          <w:rFonts w:eastAsia="Aptos"/>
        </w:rPr>
        <w:t>ja  lannankäsittelyn</w:t>
      </w:r>
      <w:proofErr w:type="gramEnd"/>
      <w:r w:rsidRPr="002C1D80">
        <w:rPr>
          <w:rFonts w:eastAsia="Aptos"/>
        </w:rPr>
        <w:t xml:space="preserve"> päästöjen pienentämiseen mm. biokaasun tuotannon ja käytön sekä ravinteiden kierrätystä edistämällä.  Lisäksi kivennäismaiden hiilensidontaa pyritään parantamaan, </w:t>
      </w:r>
      <w:proofErr w:type="spellStart"/>
      <w:r w:rsidRPr="002C1D80">
        <w:rPr>
          <w:rFonts w:eastAsia="Aptos"/>
        </w:rPr>
        <w:t>täsmäviljelyä</w:t>
      </w:r>
      <w:proofErr w:type="spellEnd"/>
      <w:r w:rsidRPr="002C1D80">
        <w:rPr>
          <w:rFonts w:eastAsia="Aptos"/>
        </w:rPr>
        <w:t> kehittämään ja metsäpinta-alaa laajentamaan. Osalla näistä toimista on vaikutusta myös maankäyttösektorin päästöihin.</w:t>
      </w:r>
    </w:p>
    <w:p w14:paraId="7388EFAC" w14:textId="6F9EAC61" w:rsidR="004225BD" w:rsidRPr="002C1D80" w:rsidRDefault="004225BD" w:rsidP="00A74475">
      <w:pPr>
        <w:pStyle w:val="VNLeip1kappale"/>
        <w:rPr>
          <w:rFonts w:eastAsia="Aptos"/>
        </w:rPr>
      </w:pPr>
      <w:r w:rsidRPr="002C1D80">
        <w:rPr>
          <w:rFonts w:eastAsia="Aptos"/>
        </w:rPr>
        <w:t>Lisäksi kestävä biotalous on ratkaisu moniin ilmastoa ja luonnon monimuotoisuutta koskeviin kysymyksiin. Biotalouden aktiivinen rooli vihreässä siirtymässä on osaltaan takaamassa sosiaalisesti ja alueellisesti oikeudenmukaista ja taloudellisesti kestävää muutosta.</w:t>
      </w:r>
    </w:p>
    <w:p w14:paraId="098E69B2" w14:textId="6662056F" w:rsidR="4DA44295" w:rsidRDefault="4DA44295" w:rsidP="739C6C67">
      <w:pPr>
        <w:pStyle w:val="VNLeip1kappale"/>
        <w:rPr>
          <w:rFonts w:eastAsia="Aptos"/>
        </w:rPr>
      </w:pPr>
      <w:r w:rsidRPr="252350FE">
        <w:rPr>
          <w:rFonts w:eastAsia="Aptos"/>
        </w:rPr>
        <w:t>Rakennusten erillislämmityksen osalta päästöjä vähennetään öljylämmityksestä luopumisen tukemisella sekä nostamalla kevyen poltto</w:t>
      </w:r>
      <w:r w:rsidR="00507B13">
        <w:rPr>
          <w:rFonts w:eastAsia="Aptos"/>
        </w:rPr>
        <w:t xml:space="preserve">öljyn </w:t>
      </w:r>
      <w:r w:rsidRPr="252350FE">
        <w:rPr>
          <w:rFonts w:eastAsia="Aptos"/>
        </w:rPr>
        <w:t>bio-osuuden jakeluvelvoitetta.</w:t>
      </w:r>
      <w:r w:rsidRPr="252350FE" w:rsidDel="00853E65">
        <w:rPr>
          <w:rFonts w:eastAsia="Aptos"/>
        </w:rPr>
        <w:t xml:space="preserve"> </w:t>
      </w:r>
      <w:r w:rsidRPr="252350FE">
        <w:rPr>
          <w:rFonts w:eastAsia="Aptos"/>
        </w:rPr>
        <w:t>Työkonesektorilla pyritään vauhdittamaan työkoneiden sähköistymistä</w:t>
      </w:r>
      <w:r w:rsidR="782A55CD" w:rsidRPr="52484BC1">
        <w:rPr>
          <w:rFonts w:eastAsia="Aptos"/>
        </w:rPr>
        <w:t xml:space="preserve"> eri keinoin</w:t>
      </w:r>
      <w:r w:rsidRPr="52484BC1">
        <w:rPr>
          <w:rFonts w:eastAsia="Aptos"/>
        </w:rPr>
        <w:t>.</w:t>
      </w:r>
      <w:r w:rsidRPr="252350FE">
        <w:rPr>
          <w:rFonts w:eastAsia="Aptos"/>
        </w:rPr>
        <w:t xml:space="preserve"> Biopolttoöljyn jakeluvelvoitteen nostaminen vähentää myös työkoneiden ja päästökaupan ulkopuolisen teollisuuden päästöjä. Jätteenpoltossa edistetään päästöjen talteenottohankkeita. </w:t>
      </w:r>
    </w:p>
    <w:p w14:paraId="63B52E07" w14:textId="08AE1825" w:rsidR="4DA44295" w:rsidRDefault="4DA44295" w:rsidP="739C6C67">
      <w:pPr>
        <w:pStyle w:val="VNLeip1kappale"/>
        <w:rPr>
          <w:rFonts w:eastAsia="Aptos"/>
        </w:rPr>
      </w:pPr>
      <w:r w:rsidRPr="252350FE">
        <w:rPr>
          <w:rFonts w:eastAsia="Aptos"/>
        </w:rPr>
        <w:t xml:space="preserve">Vuonna 2027 käyttöönotettava EU:n uusi päästökauppajärjestelmä ETS2 tuo polttoaineiden </w:t>
      </w:r>
      <w:r w:rsidRPr="739C6C67">
        <w:rPr>
          <w:rFonts w:eastAsia="Aptos"/>
        </w:rPr>
        <w:t>jakel</w:t>
      </w:r>
      <w:r w:rsidR="006E4B40">
        <w:rPr>
          <w:rFonts w:eastAsia="Aptos"/>
        </w:rPr>
        <w:t>un</w:t>
      </w:r>
      <w:r w:rsidRPr="252350FE">
        <w:rPr>
          <w:rFonts w:eastAsia="Aptos"/>
        </w:rPr>
        <w:t xml:space="preserve"> päästökaupan piiriin. Tämä vaikuttaa erityisesti liikenteen, työkoneiden ja rakennusten lämmityksen päästöihin ja tukee näiden sektorien päästövähennystavoitteita kustannustehokkaasti.</w:t>
      </w:r>
    </w:p>
    <w:p w14:paraId="51D4534A" w14:textId="44150436" w:rsidR="4DA44295" w:rsidRDefault="4DA44295" w:rsidP="739C6C67">
      <w:pPr>
        <w:pStyle w:val="VNLeip1kappale"/>
        <w:rPr>
          <w:rFonts w:eastAsia="Aptos"/>
        </w:rPr>
      </w:pPr>
      <w:r w:rsidRPr="252350FE">
        <w:rPr>
          <w:rFonts w:eastAsia="Aptos"/>
        </w:rPr>
        <w:t xml:space="preserve">Poikkileikkaavia toimia ovat muun muassa kuluttajien kannustaminen hiilijalanjäljen puolittamiseen, kuntien ja alueiden ilmastotyön jatkuminen kaavoituksen, liikennesuunnittelun ja julkisten hankintojen keinoin sekä kiertotalouden edistäminen. Valtion ja kuntien välisessä yhteistyössä esimerkiksi </w:t>
      </w:r>
      <w:r w:rsidR="58831804" w:rsidRPr="739559A2">
        <w:rPr>
          <w:rFonts w:eastAsia="Aptos"/>
        </w:rPr>
        <w:t xml:space="preserve">Maankäytön, asumisen ja liikenteen </w:t>
      </w:r>
      <w:r w:rsidRPr="252350FE">
        <w:rPr>
          <w:rFonts w:eastAsia="Aptos"/>
        </w:rPr>
        <w:t>sopimusten</w:t>
      </w:r>
      <w:r w:rsidR="58831804" w:rsidRPr="338143E0">
        <w:rPr>
          <w:rFonts w:eastAsia="Aptos"/>
        </w:rPr>
        <w:t xml:space="preserve">, eli </w:t>
      </w:r>
      <w:r w:rsidRPr="338143E0">
        <w:rPr>
          <w:rFonts w:eastAsia="Aptos"/>
        </w:rPr>
        <w:t>MAL-sopimusten</w:t>
      </w:r>
      <w:r w:rsidR="6867730E" w:rsidRPr="338143E0">
        <w:rPr>
          <w:rFonts w:eastAsia="Aptos"/>
        </w:rPr>
        <w:t>,</w:t>
      </w:r>
      <w:r w:rsidRPr="252350FE">
        <w:rPr>
          <w:rFonts w:eastAsia="Aptos"/>
        </w:rPr>
        <w:t xml:space="preserve"> puitteissa voidaan kiinnittää huomiota myös ilmastotavoitteisiin.</w:t>
      </w:r>
    </w:p>
    <w:p w14:paraId="708B03C8" w14:textId="167DEDA8" w:rsidR="4DA44295" w:rsidRPr="00EB748F" w:rsidRDefault="4DA44295" w:rsidP="00761725">
      <w:pPr>
        <w:pStyle w:val="Numeroimatonotsikko"/>
        <w:rPr>
          <w:rFonts w:eastAsia="Aptos"/>
        </w:rPr>
      </w:pPr>
      <w:bookmarkStart w:id="2" w:name="_Toc202249959"/>
      <w:r w:rsidRPr="00EB748F">
        <w:rPr>
          <w:rFonts w:eastAsia="Aptos"/>
        </w:rPr>
        <w:t>Tavoitteiden saavuttamisen epävarmuudet</w:t>
      </w:r>
      <w:bookmarkEnd w:id="2"/>
    </w:p>
    <w:p w14:paraId="0DF88E35" w14:textId="29E8F26E" w:rsidR="4DA44295" w:rsidRDefault="4DA44295" w:rsidP="739C6C67">
      <w:pPr>
        <w:pStyle w:val="VNLeip1kappale"/>
        <w:rPr>
          <w:rFonts w:eastAsia="Aptos"/>
        </w:rPr>
      </w:pPr>
      <w:r w:rsidRPr="252350FE">
        <w:rPr>
          <w:rFonts w:eastAsia="Aptos"/>
        </w:rPr>
        <w:lastRenderedPageBreak/>
        <w:t xml:space="preserve">Ilmastotavoitteiden saavuttamiseen liittyy useita epävarmuustekijöitä, jotka koskevat erityisesti toimenpiteiden toimeenpanoaikatauluja, vaikuttavuusarvioita sekä riippuvuutta muista sektoreista ja ulkoisista olosuhteista. </w:t>
      </w:r>
    </w:p>
    <w:p w14:paraId="14A4C7B3" w14:textId="69150565" w:rsidR="4DA44295" w:rsidRDefault="4DA44295" w:rsidP="739C6C67">
      <w:pPr>
        <w:pStyle w:val="VNLeip1kappale"/>
        <w:rPr>
          <w:rFonts w:eastAsia="Aptos"/>
        </w:rPr>
      </w:pPr>
      <w:r w:rsidRPr="252350FE">
        <w:rPr>
          <w:rFonts w:eastAsia="Aptos"/>
        </w:rPr>
        <w:t>Merkittävä osa suunnitelman sisältämistä ilmastotoimista on tukimuotoisia ohjauskeinoja, joiden toteuttaminen riippuu valtion ja EU:n rahoituksesta. Useiden toimien osalta ei ole vielä tehty sitovia päätöksiä käyttöönoton ajankohdasta, mikä tuo epävarmuutta päästökehitykseen. Tämän vuoksi suunnitelmassa esitettyjen toimien aikataulullinen toteutuminen ei ole varmaa.</w:t>
      </w:r>
    </w:p>
    <w:p w14:paraId="52F347B9" w14:textId="61134B17" w:rsidR="4DA44295" w:rsidRDefault="4DA44295" w:rsidP="739C6C67">
      <w:pPr>
        <w:pStyle w:val="VNLeip1kappale"/>
        <w:rPr>
          <w:rFonts w:eastAsia="Aptos"/>
        </w:rPr>
      </w:pPr>
      <w:r w:rsidRPr="252350FE">
        <w:rPr>
          <w:rFonts w:eastAsia="Aptos"/>
        </w:rPr>
        <w:t xml:space="preserve">Useat suunnitellut päästövähennykset edellyttävät investointeja, joiden toteutumiseen liittyy epävarmuutta. Esimerkiksi jätteenpolton CCS-hankkeen (hiilidioksidin talteenotto ja varastointi) edistyminen siten, että se tuottaisi päästövähennyksiä jo vuoteen 2030 mennessä, ei ole varmaa. Yksi suurimmista epävarmuustekijöistä liittyy EU:n sääntelyyn, jonka mukaan maankäyttösektorin mahdollinen päästövaje vuosilta 2021–2025 </w:t>
      </w:r>
      <w:r w:rsidRPr="43BA9B70">
        <w:rPr>
          <w:rFonts w:eastAsia="Aptos"/>
        </w:rPr>
        <w:t>voi</w:t>
      </w:r>
      <w:r w:rsidR="37F5782A" w:rsidRPr="43BA9B70">
        <w:rPr>
          <w:rFonts w:eastAsia="Aptos"/>
        </w:rPr>
        <w:t xml:space="preserve"> siirtyä katettavaksi </w:t>
      </w:r>
      <w:r w:rsidRPr="43BA9B70">
        <w:rPr>
          <w:rFonts w:eastAsia="Aptos"/>
        </w:rPr>
        <w:t>taakanjakosektori</w:t>
      </w:r>
      <w:r w:rsidR="6B236FF0" w:rsidRPr="43BA9B70">
        <w:rPr>
          <w:rFonts w:eastAsia="Aptos"/>
        </w:rPr>
        <w:t>lle</w:t>
      </w:r>
      <w:r w:rsidRPr="43BA9B70">
        <w:rPr>
          <w:rFonts w:eastAsia="Aptos"/>
        </w:rPr>
        <w:t>.</w:t>
      </w:r>
      <w:r w:rsidRPr="252350FE">
        <w:rPr>
          <w:rFonts w:eastAsia="Aptos"/>
        </w:rPr>
        <w:t xml:space="preserve"> Nykyarvioiden mukaan maankäyttösektorin vaje voi nousta jopa 110–115 Mt CO</w:t>
      </w:r>
      <w:r w:rsidRPr="252350FE">
        <w:rPr>
          <w:rFonts w:ascii="Cambria Math" w:eastAsia="Aptos" w:hAnsi="Cambria Math" w:cs="Cambria Math"/>
        </w:rPr>
        <w:t>₂</w:t>
      </w:r>
      <w:r w:rsidRPr="252350FE">
        <w:rPr>
          <w:rFonts w:eastAsia="Aptos"/>
        </w:rPr>
        <w:t>-</w:t>
      </w:r>
      <w:proofErr w:type="spellStart"/>
      <w:r w:rsidRPr="252350FE">
        <w:rPr>
          <w:rFonts w:eastAsia="Aptos"/>
        </w:rPr>
        <w:t>ekv</w:t>
      </w:r>
      <w:proofErr w:type="spellEnd"/>
      <w:r w:rsidRPr="252350FE">
        <w:rPr>
          <w:rFonts w:eastAsia="Aptos"/>
        </w:rPr>
        <w:t>. jaksolta 2021</w:t>
      </w:r>
      <w:r w:rsidRPr="252350FE">
        <w:rPr>
          <w:rFonts w:eastAsia="Aptos" w:cs="Arial"/>
        </w:rPr>
        <w:t>–</w:t>
      </w:r>
      <w:r w:rsidRPr="252350FE">
        <w:rPr>
          <w:rFonts w:eastAsia="Aptos"/>
        </w:rPr>
        <w:t>2025, ja teknisten korjausten ja joustomekanismien j</w:t>
      </w:r>
      <w:r w:rsidRPr="252350FE">
        <w:rPr>
          <w:rFonts w:eastAsia="Aptos" w:cs="Arial"/>
        </w:rPr>
        <w:t>ä</w:t>
      </w:r>
      <w:r w:rsidRPr="252350FE">
        <w:rPr>
          <w:rFonts w:eastAsia="Aptos"/>
        </w:rPr>
        <w:t>lkeenkin vaje voi j</w:t>
      </w:r>
      <w:r w:rsidRPr="252350FE">
        <w:rPr>
          <w:rFonts w:eastAsia="Aptos" w:cs="Arial"/>
        </w:rPr>
        <w:t>ää</w:t>
      </w:r>
      <w:r w:rsidRPr="252350FE">
        <w:rPr>
          <w:rFonts w:eastAsia="Aptos"/>
        </w:rPr>
        <w:t>d</w:t>
      </w:r>
      <w:r w:rsidRPr="252350FE">
        <w:rPr>
          <w:rFonts w:eastAsia="Aptos" w:cs="Arial"/>
        </w:rPr>
        <w:t>ä</w:t>
      </w:r>
      <w:r w:rsidRPr="252350FE">
        <w:rPr>
          <w:rFonts w:eastAsia="Aptos"/>
        </w:rPr>
        <w:t xml:space="preserve"> noin 84 Mt </w:t>
      </w:r>
      <w:r w:rsidR="3A2500A9" w:rsidRPr="6EB3F009">
        <w:rPr>
          <w:rFonts w:eastAsia="Aptos"/>
        </w:rPr>
        <w:t>CO</w:t>
      </w:r>
      <w:r w:rsidR="3A2500A9" w:rsidRPr="6EB3F009">
        <w:rPr>
          <w:rFonts w:ascii="Cambria Math" w:eastAsia="Aptos" w:hAnsi="Cambria Math" w:cs="Cambria Math"/>
        </w:rPr>
        <w:t>₂</w:t>
      </w:r>
      <w:r w:rsidR="3A2500A9" w:rsidRPr="6EB3F009">
        <w:rPr>
          <w:rFonts w:eastAsia="Aptos"/>
        </w:rPr>
        <w:t>-</w:t>
      </w:r>
      <w:proofErr w:type="spellStart"/>
      <w:r w:rsidR="3A2500A9" w:rsidRPr="6EB3F009">
        <w:rPr>
          <w:rFonts w:eastAsia="Aptos"/>
        </w:rPr>
        <w:t>ekv</w:t>
      </w:r>
      <w:proofErr w:type="spellEnd"/>
      <w:r w:rsidR="3A2500A9" w:rsidRPr="6EB3F009">
        <w:rPr>
          <w:rFonts w:eastAsia="Aptos"/>
        </w:rPr>
        <w:t xml:space="preserve">. </w:t>
      </w:r>
      <w:r w:rsidRPr="252350FE">
        <w:rPr>
          <w:rFonts w:eastAsia="Aptos"/>
        </w:rPr>
        <w:t>tasolle. T</w:t>
      </w:r>
      <w:r w:rsidRPr="252350FE">
        <w:rPr>
          <w:rFonts w:eastAsia="Aptos" w:cs="Arial"/>
        </w:rPr>
        <w:t>ä</w:t>
      </w:r>
      <w:r w:rsidRPr="252350FE">
        <w:rPr>
          <w:rFonts w:eastAsia="Aptos"/>
        </w:rPr>
        <w:t>m</w:t>
      </w:r>
      <w:r w:rsidRPr="252350FE">
        <w:rPr>
          <w:rFonts w:eastAsia="Aptos" w:cs="Arial"/>
        </w:rPr>
        <w:t>ä</w:t>
      </w:r>
      <w:r w:rsidRPr="252350FE">
        <w:rPr>
          <w:rFonts w:eastAsia="Aptos"/>
        </w:rPr>
        <w:t xml:space="preserve">n suuruusluokan vaje on moninkertainen verrattuna </w:t>
      </w:r>
      <w:r w:rsidR="64B20A9A" w:rsidRPr="5E062BAA">
        <w:rPr>
          <w:rFonts w:eastAsia="Aptos"/>
        </w:rPr>
        <w:t xml:space="preserve">koko </w:t>
      </w:r>
      <w:r w:rsidRPr="252350FE">
        <w:rPr>
          <w:rFonts w:eastAsia="Aptos"/>
        </w:rPr>
        <w:t xml:space="preserve">taakanjakosektorin </w:t>
      </w:r>
      <w:r w:rsidR="4DA66B64" w:rsidRPr="5E062BAA">
        <w:rPr>
          <w:rFonts w:eastAsia="Aptos"/>
        </w:rPr>
        <w:t xml:space="preserve">vuosittaisiin </w:t>
      </w:r>
      <w:r w:rsidR="4DA66B64" w:rsidRPr="0CC2E95F">
        <w:rPr>
          <w:rFonts w:eastAsia="Aptos"/>
        </w:rPr>
        <w:t>päästöihin</w:t>
      </w:r>
      <w:r w:rsidRPr="0CC2E95F">
        <w:rPr>
          <w:rFonts w:eastAsia="Aptos"/>
        </w:rPr>
        <w:t>.</w:t>
      </w:r>
    </w:p>
    <w:p w14:paraId="57C23E82" w14:textId="18957E85" w:rsidR="4DA44295" w:rsidRPr="007D49B0" w:rsidRDefault="4DA44295" w:rsidP="739C6C67">
      <w:pPr>
        <w:pStyle w:val="VNLeip1kappale"/>
        <w:rPr>
          <w:rFonts w:eastAsia="Aptos"/>
        </w:rPr>
      </w:pPr>
      <w:r w:rsidRPr="252350FE">
        <w:rPr>
          <w:rFonts w:eastAsia="Aptos"/>
        </w:rPr>
        <w:t xml:space="preserve">EU:n taakanjakosektoria koskeva lainsäädäntö mahdollistaa päästöyksiköiden hankinnan muilta jäsenmailta. Tällaiset yksiköt voivat toimia </w:t>
      </w:r>
      <w:r w:rsidRPr="43BA9B70">
        <w:rPr>
          <w:rFonts w:eastAsia="Aptos"/>
        </w:rPr>
        <w:t>vara</w:t>
      </w:r>
      <w:r w:rsidR="596EC0D2" w:rsidRPr="43BA9B70">
        <w:rPr>
          <w:rFonts w:eastAsia="Aptos"/>
        </w:rPr>
        <w:t>utumiskeinona</w:t>
      </w:r>
      <w:r w:rsidRPr="252350FE">
        <w:rPr>
          <w:rFonts w:eastAsia="Aptos"/>
        </w:rPr>
        <w:t>, jos omat toimet eivät riitä velvoitteiden täyttämiseen. Näiden yksiköiden saatavuuteen ja hintaan liittyy epävarmuutta, sillä myös useat muut jäsenmaat ovat tiukoilla päästövähennystavoitteidensa kanssa. Yksiköiden hankinta tapahtuu kahdenvälisillä sopimuksilla, eikä niille ole olemassa avoimia markkinapaikkoja. Ensimmäistä velvoitekautta tarkastellaan vuonna 2027, jolloin selviää, miten jakson 2021–2025 velvoitteet toteutuvat.</w:t>
      </w:r>
    </w:p>
    <w:p w14:paraId="7DE550AB" w14:textId="2DA33E0B" w:rsidR="4DA44295" w:rsidRDefault="4DA44295" w:rsidP="00761725">
      <w:pPr>
        <w:pStyle w:val="Numeroimatonotsikko"/>
        <w:rPr>
          <w:rFonts w:eastAsia="Aptos"/>
        </w:rPr>
      </w:pPr>
      <w:bookmarkStart w:id="3" w:name="_Toc202249960"/>
      <w:r w:rsidRPr="252350FE">
        <w:rPr>
          <w:rFonts w:eastAsia="Aptos"/>
        </w:rPr>
        <w:t>Suunnitelman vaikutukset</w:t>
      </w:r>
      <w:bookmarkEnd w:id="3"/>
    </w:p>
    <w:p w14:paraId="747687BB" w14:textId="17311172" w:rsidR="4DA44295" w:rsidRDefault="4DA44295" w:rsidP="739C6C67">
      <w:pPr>
        <w:pStyle w:val="VNLeip1kappale"/>
        <w:rPr>
          <w:rFonts w:eastAsia="Aptos"/>
        </w:rPr>
      </w:pPr>
      <w:r w:rsidRPr="252350FE">
        <w:rPr>
          <w:rFonts w:eastAsia="Aptos"/>
        </w:rPr>
        <w:t>Ilmastosuunnitelman vaikutuksia on arvioitu sen valmistelun yhteydessä useista näkökulmista. Arvioinnissa on hyödynnetty KEITO-</w:t>
      </w:r>
      <w:r w:rsidR="00C73E1C">
        <w:rPr>
          <w:rFonts w:eastAsia="Aptos"/>
        </w:rPr>
        <w:t>työn</w:t>
      </w:r>
      <w:r w:rsidRPr="252350FE">
        <w:rPr>
          <w:rFonts w:eastAsia="Aptos"/>
        </w:rPr>
        <w:t xml:space="preserve"> vaikutustenarviointia, sektorikohtaisia selvityksiä sekä virkatyönä tehtyä arviointia. Tavoitteena on ollut muodostaa kokonaiskuva siitä, miten suunnitellut ilmastotoimet vaikuttavat yksilöihin, yhteisöihin, ympäristöön ja kansantalouteen.</w:t>
      </w:r>
    </w:p>
    <w:p w14:paraId="759F39F7" w14:textId="465B8AC0" w:rsidR="4DA44295" w:rsidRDefault="4DA44295" w:rsidP="739C6C67">
      <w:pPr>
        <w:pStyle w:val="VNLeip1kappale"/>
        <w:rPr>
          <w:rFonts w:eastAsia="Aptos"/>
        </w:rPr>
      </w:pPr>
      <w:r w:rsidRPr="252350FE">
        <w:rPr>
          <w:rFonts w:eastAsia="Aptos"/>
        </w:rPr>
        <w:lastRenderedPageBreak/>
        <w:t>Kasvihuonekaasupäästöjä vähentävien toimien keskeisin ympäristövaikutus on ilmastonmuutoksen hillintä. Samalla päästövähennystoimet vaikuttavat laajemmin myös ilmanlaatuun ja sen myötä terveyteen, sillä</w:t>
      </w:r>
      <w:r w:rsidR="00B86112">
        <w:rPr>
          <w:rFonts w:eastAsia="Aptos"/>
        </w:rPr>
        <w:t xml:space="preserve"> esimerkiksi</w:t>
      </w:r>
      <w:r w:rsidRPr="252350FE">
        <w:rPr>
          <w:rFonts w:eastAsia="Aptos"/>
        </w:rPr>
        <w:t xml:space="preserve"> </w:t>
      </w:r>
      <w:r w:rsidRPr="539CBD02">
        <w:rPr>
          <w:rFonts w:eastAsia="Aptos"/>
        </w:rPr>
        <w:t>liikenteen sähköistyminen</w:t>
      </w:r>
      <w:r w:rsidRPr="252350FE">
        <w:rPr>
          <w:rFonts w:eastAsia="Aptos"/>
        </w:rPr>
        <w:t xml:space="preserve"> vähentää paikallisia ilman epäpuhtauksia polttoaineen käytön vähentyessä. Ilmastotoimet eivät ole vaikutuksiltaan yksiselitteisesti myönteisiä, vaan niihin voi välillisesti liittyä myös luonnonvarojen kulutusta ja maankäyttöön kohdistuvia paineita. Sähköautojen ja akkuihin liittyvä teknologia lisää kriittisten mineraalien, kuten litiumin ja koboltin, kysyntää. Kaivostoimintaan voi liittyä merkittäviä ympäristöriskejä, ja materiaaliketjut ulottuvat globaalisti myös haavoittuville alueille. Luonnon monimuotoisuus voi heikentyä, jos investoinnit ohjautuvat alueille, joilla luonto on erityisen herkkää. Maatalousluonnon monimuotoisuuteen vaikuttavat erityisesti laidunnuksen väheneminen ja viljelyn yksipuolistuminen. Ennallistamistoimilla kuten </w:t>
      </w:r>
      <w:proofErr w:type="spellStart"/>
      <w:r w:rsidRPr="252350FE">
        <w:rPr>
          <w:rFonts w:eastAsia="Aptos"/>
        </w:rPr>
        <w:t>vettämisellä</w:t>
      </w:r>
      <w:proofErr w:type="spellEnd"/>
      <w:r w:rsidRPr="252350FE">
        <w:rPr>
          <w:rFonts w:eastAsia="Aptos"/>
        </w:rPr>
        <w:t xml:space="preserve"> voidaan parantaa soiden ekosysteemipalveluja ja hiilensidontaa.</w:t>
      </w:r>
    </w:p>
    <w:p w14:paraId="3852D269" w14:textId="5076FBBC" w:rsidR="4DA44295" w:rsidRDefault="4DA44295" w:rsidP="739C6C67">
      <w:pPr>
        <w:pStyle w:val="VNLeip1kappale"/>
        <w:rPr>
          <w:rFonts w:eastAsia="Aptos"/>
        </w:rPr>
      </w:pPr>
      <w:r w:rsidRPr="252350FE">
        <w:rPr>
          <w:rFonts w:eastAsia="Aptos"/>
        </w:rPr>
        <w:t>Kansantaloudelliset vaikutukset syntyvät ennen kaikkea investoinneista puhtaaseen energiaan, rakennusten energiatehokkuuteen ja liikenteen sähköistymiseen. KEITO-</w:t>
      </w:r>
      <w:r w:rsidR="00C73E1C">
        <w:rPr>
          <w:rFonts w:eastAsia="Aptos"/>
        </w:rPr>
        <w:t>työn</w:t>
      </w:r>
      <w:r w:rsidRPr="252350FE">
        <w:rPr>
          <w:rFonts w:eastAsia="Aptos"/>
        </w:rPr>
        <w:t xml:space="preserve"> </w:t>
      </w:r>
      <w:r w:rsidR="111BCB36" w:rsidRPr="4F1FD5AF">
        <w:rPr>
          <w:rFonts w:eastAsia="Aptos"/>
        </w:rPr>
        <w:t>tulosten</w:t>
      </w:r>
      <w:r w:rsidRPr="4F1FD5AF">
        <w:rPr>
          <w:rFonts w:eastAsia="Aptos"/>
        </w:rPr>
        <w:t xml:space="preserve"> </w:t>
      </w:r>
      <w:r w:rsidRPr="252350FE">
        <w:rPr>
          <w:rFonts w:eastAsia="Aptos"/>
        </w:rPr>
        <w:t xml:space="preserve">mukaan nämä investoinnit lisäävät pääomakantaa ja tuottavuutta, mikä pitkällä aikavälillä kasvattaa </w:t>
      </w:r>
      <w:r w:rsidRPr="0099219D">
        <w:rPr>
          <w:rFonts w:eastAsia="Aptos"/>
        </w:rPr>
        <w:t>kansantuotetta</w:t>
      </w:r>
      <w:r w:rsidRPr="252350FE">
        <w:rPr>
          <w:rFonts w:eastAsia="Aptos"/>
        </w:rPr>
        <w:t xml:space="preserve">. Talouden rakennemuutos näkyy siten tuotannon ja kulutuksen siirtymänä päästöintensiivisistä sektoreista vähäpäästöisiin. Politiikkaskenaarion mukaan kulutuskysyntä laskee hieman verrattuna nykytoimiskenaarioon, mutta samaan aikaan investointien kasvulla on positiivinen vaikutus kansantuotteeseen. Nettovaikutus jää maltilliseksi verrattuna nykytoimiskenaarioon tarkastellulla aikajaksolla. </w:t>
      </w:r>
    </w:p>
    <w:p w14:paraId="297615BC" w14:textId="7B216958" w:rsidR="4DA44295" w:rsidRDefault="4DA44295" w:rsidP="739C6C67">
      <w:pPr>
        <w:pStyle w:val="VNLeip1kappale"/>
        <w:rPr>
          <w:rFonts w:eastAsia="Aptos"/>
        </w:rPr>
      </w:pPr>
      <w:r w:rsidRPr="252350FE">
        <w:rPr>
          <w:rFonts w:eastAsia="Aptos"/>
        </w:rPr>
        <w:t>Ilmastotoimien sosiaaliset vaikutukset kohdistuvat ihmisten arkeen, elinoloihin ja toimeentuloon. Erityistä huomiota kiinnitetään siihen, miten ilmastopolitiikan kustannukset ja hyödyt jakautuvat eri väestöryhmien ja alueiden välillä. Yhdenvertaisuuden arviointi on tehty virkatyönä ja siinä on tarkasteltu vaikutuksia muun muassa sukupuolen, iän, asuinpaikan ja tulotason perusteella.</w:t>
      </w:r>
    </w:p>
    <w:p w14:paraId="7C61D0C1" w14:textId="407F1B90" w:rsidR="4DA44295" w:rsidRDefault="4DA44295" w:rsidP="739C6C67">
      <w:pPr>
        <w:pStyle w:val="VNLeip1kappale"/>
        <w:rPr>
          <w:rFonts w:eastAsia="Aptos"/>
        </w:rPr>
      </w:pPr>
      <w:r w:rsidRPr="252350FE">
        <w:rPr>
          <w:rFonts w:eastAsia="Aptos"/>
        </w:rPr>
        <w:t xml:space="preserve">Sosiaalisesti oikeudenmukainen siirtymä tunnistaa, että vaikutukset voivat kasaantua haavoittuville ryhmille. Esimerkiksi energiaköyhyyden riskit korostuvat haja-asutusalueiden pienituloisilla ikääntyneillä, joiden mahdollisuudet investoida uusiin teknologioihin kuten uuteen lämmitysmuotoon ovat rajalliset. Liikennepolitiikan vaikutukset kohdistuvat eri tavoin miehiin ja naisiin, kaupunkiin ja maaseutuun sekä eri tuloluokkiin. Sähköautojen tukien hyödyntäminen voi </w:t>
      </w:r>
      <w:r w:rsidRPr="252350FE">
        <w:rPr>
          <w:rFonts w:eastAsia="Aptos"/>
        </w:rPr>
        <w:lastRenderedPageBreak/>
        <w:t>kohdentua varakkaampiin, kun taas liikkumiskustannusten nousu kuormittaa erityisesti pienituloisia ja syrjäseuduilla asuvia.</w:t>
      </w:r>
    </w:p>
    <w:p w14:paraId="15368988" w14:textId="1737377C" w:rsidR="4DA44295" w:rsidRDefault="4DA44295" w:rsidP="739C6C67">
      <w:pPr>
        <w:pStyle w:val="VNLeip1kappale"/>
        <w:rPr>
          <w:rFonts w:eastAsia="Aptos"/>
        </w:rPr>
      </w:pPr>
      <w:r w:rsidRPr="252350FE">
        <w:rPr>
          <w:rFonts w:eastAsia="Aptos"/>
        </w:rPr>
        <w:t xml:space="preserve">Ilmastopolitiikan hyväksyttävyys riippuu siitä, koetaanko toimet reiluiksi ja osallistaviksi. </w:t>
      </w:r>
      <w:r w:rsidR="001B1798" w:rsidRPr="0F8983BE">
        <w:rPr>
          <w:rFonts w:eastAsia="Aptos"/>
        </w:rPr>
        <w:t>T</w:t>
      </w:r>
      <w:r w:rsidRPr="0F8983BE">
        <w:rPr>
          <w:rFonts w:eastAsia="Aptos"/>
        </w:rPr>
        <w:t>ämän</w:t>
      </w:r>
      <w:r w:rsidRPr="252350FE">
        <w:rPr>
          <w:rFonts w:eastAsia="Aptos"/>
        </w:rPr>
        <w:t xml:space="preserve"> suunnitelman valmistelussa on pyritty </w:t>
      </w:r>
      <w:r w:rsidR="001B1798">
        <w:rPr>
          <w:rFonts w:eastAsia="Aptos"/>
        </w:rPr>
        <w:t xml:space="preserve">korostamaan päätöksenteon oikeudenmukaisuutta </w:t>
      </w:r>
      <w:r w:rsidRPr="0F8983BE">
        <w:rPr>
          <w:rFonts w:eastAsia="Aptos"/>
        </w:rPr>
        <w:t>kuulema</w:t>
      </w:r>
      <w:r w:rsidR="001F737D" w:rsidRPr="0F8983BE">
        <w:rPr>
          <w:rFonts w:eastAsia="Aptos"/>
        </w:rPr>
        <w:t>lla</w:t>
      </w:r>
      <w:r w:rsidRPr="252350FE">
        <w:rPr>
          <w:rFonts w:eastAsia="Aptos"/>
        </w:rPr>
        <w:t xml:space="preserve"> laajasti kansalaisia, sidosryhmiä ja alkuperäiskansoja. Saamelaiskäräjät ovat nostaneet esiin liikenteen ja elinkeinojen kallistumisen sekä tukitoimien tarpeen paikallisen kulttuurin säilyttämiseksi.</w:t>
      </w:r>
    </w:p>
    <w:p w14:paraId="3FC56C2B" w14:textId="72933915" w:rsidR="4DA44295" w:rsidRDefault="4DA44295" w:rsidP="739C6C67">
      <w:pPr>
        <w:pStyle w:val="VNLeip1kappale"/>
        <w:rPr>
          <w:rFonts w:eastAsia="Aptos"/>
        </w:rPr>
      </w:pPr>
      <w:r w:rsidRPr="252350FE">
        <w:rPr>
          <w:rFonts w:eastAsia="Aptos"/>
        </w:rPr>
        <w:t xml:space="preserve">EU:n sosiaalisen ilmastorahaston kautta haavoittuvia ryhmiä pyritään tukemaan, kun päästökauppa laajenee koskemaan tieliikennettä ja rakennusten erillislämmitystä vuodesta 2027 lähtien (ETS2). Samalla tunnistetaan, että pelkät kompensaatiot eivät riitä, vaan tarvitaan myös rakenteellisia muutoksia, jotka mahdollistavat kestävän elämäntavan kaikille. </w:t>
      </w:r>
    </w:p>
    <w:p w14:paraId="1D67D7C5" w14:textId="44923813" w:rsidR="4DA44295" w:rsidRPr="00CC19CC" w:rsidRDefault="4DA44295" w:rsidP="00761725">
      <w:pPr>
        <w:pStyle w:val="Numeroimatonotsikko"/>
        <w:rPr>
          <w:rFonts w:eastAsia="Aptos"/>
        </w:rPr>
      </w:pPr>
      <w:bookmarkStart w:id="4" w:name="_Toc202249961"/>
      <w:r w:rsidRPr="00CC19CC">
        <w:rPr>
          <w:rFonts w:eastAsia="Aptos"/>
        </w:rPr>
        <w:t>Osallistaminen ja seuranta</w:t>
      </w:r>
      <w:bookmarkEnd w:id="4"/>
    </w:p>
    <w:p w14:paraId="24CBC3BF" w14:textId="7467DEF2" w:rsidR="4DA44295" w:rsidRDefault="4DA44295" w:rsidP="739C6C67">
      <w:pPr>
        <w:pStyle w:val="VNLeip1kappale"/>
        <w:rPr>
          <w:rFonts w:eastAsia="Aptos"/>
        </w:rPr>
      </w:pPr>
      <w:r w:rsidRPr="252350FE">
        <w:rPr>
          <w:rFonts w:eastAsia="Aptos"/>
        </w:rPr>
        <w:t>Valmistelun eri vaiheissa on kuultu kansalaisia ja sidosryhmiä eri tavoin: KEITO-</w:t>
      </w:r>
      <w:r w:rsidR="00C73E1C">
        <w:rPr>
          <w:rFonts w:eastAsia="Aptos"/>
        </w:rPr>
        <w:t>työn</w:t>
      </w:r>
      <w:r w:rsidRPr="252350FE">
        <w:rPr>
          <w:rFonts w:eastAsia="Aptos"/>
        </w:rPr>
        <w:t xml:space="preserve"> valtakunnallinen kansalaiskysely, Turun yliopiston koordinoima kansalaisraati, nuorisokuulemisia, Saamelaiskäräjien kuulemisia sekä lukuisia sidosryhmätapaamisia. Saamelaiskäräjien ja saamelaisen ilmastoneuvoston edustajien kanssa käydyt neuvottelut perustuvat suoraan ilmastolakiin. Sidosryhmätyöpajassa kuultiin eri tahojen näkemyksiä esillä olleista politiikkatoimista erityisesti asumisen ja liikenteen osalta. Osallistamisen yhteydessä kerätty palaute osoitti, että vapaaehtoisuuteen ja kannustimiin perustuvat toimet saavat kannatusta. Tämä on mahdollisuuksien mukaan otettu huomioon suunnitelman toimenpideohjelmassa.</w:t>
      </w:r>
    </w:p>
    <w:p w14:paraId="02B126B0" w14:textId="0D5ADC33" w:rsidR="252350FE" w:rsidRPr="0079115D" w:rsidRDefault="4DA44295" w:rsidP="0079115D">
      <w:pPr>
        <w:pStyle w:val="VNLeip1kappale"/>
        <w:rPr>
          <w:rFonts w:eastAsia="Aptos"/>
        </w:rPr>
      </w:pPr>
      <w:r w:rsidRPr="252350FE">
        <w:rPr>
          <w:rFonts w:eastAsia="Aptos"/>
        </w:rPr>
        <w:t xml:space="preserve">Ilmastosuunnitelman toimeenpanoa seurataan ilmastolain mukaisesti vuosittaisella ilmastovuosikertomuksella. Kertomuksessa arvioidaan </w:t>
      </w:r>
      <w:r w:rsidR="272BBF78" w:rsidRPr="4820CC57">
        <w:rPr>
          <w:rFonts w:eastAsia="Aptos"/>
        </w:rPr>
        <w:t xml:space="preserve">myös </w:t>
      </w:r>
      <w:r w:rsidRPr="4820CC57">
        <w:rPr>
          <w:rFonts w:eastAsia="Aptos"/>
        </w:rPr>
        <w:t>taakanjakosektorin</w:t>
      </w:r>
      <w:r w:rsidRPr="252350FE">
        <w:rPr>
          <w:rFonts w:eastAsia="Aptos"/>
        </w:rPr>
        <w:t xml:space="preserve"> päästökehitystä, toimenpiteiden riittävyyttä sekä mahdollisen lisätoimien tarvetta. Seuranta tarjoaa välineen myös ilmastotoimien vaikuttavuuden arviointiin ja mahdollistaa suunnitelman päivittämisen muuttuvien olosuhteiden ja EU-lainsäädännön edellytysten mukaisesti.</w:t>
      </w:r>
    </w:p>
    <w:p w14:paraId="7BBF5CA5" w14:textId="19039638" w:rsidR="00D95A49" w:rsidRDefault="00D95A49" w:rsidP="00D95A49">
      <w:pPr>
        <w:pStyle w:val="Otsikko1"/>
        <w:numPr>
          <w:ilvl w:val="0"/>
          <w:numId w:val="0"/>
        </w:numPr>
      </w:pPr>
      <w:bookmarkStart w:id="5" w:name="_Toc1011865991"/>
      <w:bookmarkStart w:id="6" w:name="_Toc1283177878"/>
      <w:bookmarkStart w:id="7" w:name="_Toc202260011"/>
      <w:r>
        <w:lastRenderedPageBreak/>
        <w:t>Johdanto</w:t>
      </w:r>
      <w:bookmarkEnd w:id="5"/>
      <w:bookmarkEnd w:id="6"/>
      <w:bookmarkEnd w:id="7"/>
    </w:p>
    <w:p w14:paraId="349F5D21" w14:textId="0AC265CD" w:rsidR="4C457A5A" w:rsidRDefault="02DA7074" w:rsidP="44C2759F">
      <w:pPr>
        <w:spacing w:after="288" w:line="300" w:lineRule="auto"/>
        <w:ind w:left="392" w:right="85" w:hanging="10"/>
        <w:rPr>
          <w:rFonts w:asciiTheme="majorHAnsi" w:eastAsiaTheme="majorEastAsia" w:hAnsiTheme="majorHAnsi" w:cstheme="majorBidi"/>
          <w:color w:val="000000" w:themeColor="text1"/>
          <w:sz w:val="22"/>
          <w:szCs w:val="22"/>
        </w:rPr>
      </w:pPr>
      <w:r w:rsidRPr="44C2759F">
        <w:rPr>
          <w:rFonts w:asciiTheme="majorHAnsi" w:eastAsiaTheme="majorEastAsia" w:hAnsiTheme="majorHAnsi" w:cstheme="majorBidi"/>
          <w:color w:val="000000" w:themeColor="text1"/>
          <w:sz w:val="22"/>
          <w:szCs w:val="22"/>
        </w:rPr>
        <w:t xml:space="preserve">Tämä on järjestyksessä kolmas keskipitkän aikavälin ilmastosuunnitelma. Edellinen suunnitelma annettiin selontekona eduskuntaan vuonna 2022. Ilmastolain (423/2022) mukaan keskipitkän aikavälin ilmastosuunnitelma on laadittava kerran vaalikaudessa. Ilmastolaki määrittelee Suomen ilmastopolitiikan suunnittelujärjestelmän, johon tämä suunnitelma kuuluu yhtenä keskeisenä osana. Ilmastolaissa on määritelty suunnitelman sisältövaatimukset sekä sen valmistelussa huomioon otettavat seikat. </w:t>
      </w:r>
    </w:p>
    <w:p w14:paraId="6A0C129C" w14:textId="39F57FC3" w:rsidR="4C457A5A" w:rsidRDefault="02DA7074" w:rsidP="44C2759F">
      <w:pPr>
        <w:spacing w:after="288" w:line="300" w:lineRule="auto"/>
        <w:ind w:left="392" w:right="85" w:hanging="10"/>
        <w:rPr>
          <w:rFonts w:asciiTheme="majorHAnsi" w:eastAsiaTheme="majorEastAsia" w:hAnsiTheme="majorHAnsi" w:cstheme="majorBidi"/>
          <w:color w:val="000000" w:themeColor="text1"/>
          <w:sz w:val="22"/>
          <w:szCs w:val="22"/>
        </w:rPr>
      </w:pPr>
      <w:r w:rsidRPr="44C2759F">
        <w:rPr>
          <w:rFonts w:asciiTheme="majorHAnsi" w:eastAsiaTheme="majorEastAsia" w:hAnsiTheme="majorHAnsi" w:cstheme="majorBidi"/>
          <w:color w:val="000000" w:themeColor="text1"/>
          <w:sz w:val="22"/>
          <w:szCs w:val="22"/>
        </w:rPr>
        <w:t xml:space="preserve">Keskipitkän aikavälin ilmastosuunnitelman tehtävänä on määritellä niin kutsutun taakanjakosektorin ilmastopoliittiset toimet ja tavoitteet keskipitkällä aikavälillä. Tässä suunnitelmassa tarkastellaan sekä taakanjakosektorin vuodelle 2030 asetetun päästövähennysvelvoitteen </w:t>
      </w:r>
      <w:proofErr w:type="gramStart"/>
      <w:r w:rsidRPr="44C2759F">
        <w:rPr>
          <w:rFonts w:asciiTheme="majorHAnsi" w:eastAsiaTheme="majorEastAsia" w:hAnsiTheme="majorHAnsi" w:cstheme="majorBidi"/>
          <w:color w:val="000000" w:themeColor="text1"/>
          <w:sz w:val="22"/>
          <w:szCs w:val="22"/>
        </w:rPr>
        <w:t>täyttämistä</w:t>
      </w:r>
      <w:proofErr w:type="gramEnd"/>
      <w:r w:rsidRPr="44C2759F">
        <w:rPr>
          <w:rFonts w:asciiTheme="majorHAnsi" w:eastAsiaTheme="majorEastAsia" w:hAnsiTheme="majorHAnsi" w:cstheme="majorBidi"/>
          <w:color w:val="000000" w:themeColor="text1"/>
          <w:sz w:val="22"/>
          <w:szCs w:val="22"/>
        </w:rPr>
        <w:t xml:space="preserve"> että taakanjakosektorin päästökehitystä vuoteen 2040 asti. Taakanjakosektoriin kuuluvat muun muassa liikenteen, rakennusten erillislämmityksen, maatalouden, jätehuollon ja työkoneiden kasvihuonekaasu</w:t>
      </w:r>
      <w:r w:rsidR="00E528F4">
        <w:rPr>
          <w:rFonts w:asciiTheme="majorHAnsi" w:eastAsiaTheme="majorEastAsia" w:hAnsiTheme="majorHAnsi" w:cstheme="majorBidi"/>
          <w:color w:val="000000" w:themeColor="text1"/>
          <w:sz w:val="22"/>
          <w:szCs w:val="22"/>
        </w:rPr>
        <w:t>päästö</w:t>
      </w:r>
      <w:r w:rsidRPr="44C2759F">
        <w:rPr>
          <w:rFonts w:asciiTheme="majorHAnsi" w:eastAsiaTheme="majorEastAsia" w:hAnsiTheme="majorHAnsi" w:cstheme="majorBidi"/>
          <w:color w:val="000000" w:themeColor="text1"/>
          <w:sz w:val="22"/>
          <w:szCs w:val="22"/>
        </w:rPr>
        <w:t>t.</w:t>
      </w:r>
    </w:p>
    <w:p w14:paraId="295CD94A" w14:textId="1101BAA3" w:rsidR="4C457A5A" w:rsidRDefault="02DA7074" w:rsidP="44C2759F">
      <w:pPr>
        <w:spacing w:after="288" w:line="300" w:lineRule="auto"/>
        <w:ind w:left="392" w:right="220" w:hanging="10"/>
        <w:rPr>
          <w:rFonts w:asciiTheme="majorHAnsi" w:eastAsiaTheme="majorEastAsia" w:hAnsiTheme="majorHAnsi" w:cstheme="majorBidi"/>
          <w:color w:val="000000" w:themeColor="text1"/>
          <w:sz w:val="22"/>
          <w:szCs w:val="22"/>
        </w:rPr>
      </w:pPr>
      <w:r w:rsidRPr="44C2759F">
        <w:rPr>
          <w:rFonts w:asciiTheme="majorHAnsi" w:eastAsiaTheme="majorEastAsia" w:hAnsiTheme="majorHAnsi" w:cstheme="majorBidi"/>
          <w:color w:val="000000" w:themeColor="text1"/>
          <w:sz w:val="22"/>
          <w:szCs w:val="22"/>
        </w:rPr>
        <w:t>Keskipitkän aikavälin ilmastosuunnitelma on valmisteltu koordinoidusti rinnakkain kansallisen energia- ja ilmastostrategian kanssa. Näillä kahdella suunnitteluprosessilla on useita yhtymäkohtia. Sekä strategia että suunnitelma nojaavat samoihin taustalaskelmiin ja vaikutusarviointeihin, jotka on laadittu Kansallisen energia- ja ilmastopolitiikan uudet toimet ja skenaariot</w:t>
      </w:r>
      <w:r w:rsidR="6DB28DEA" w:rsidRPr="1F994CDF">
        <w:rPr>
          <w:rFonts w:asciiTheme="majorHAnsi" w:eastAsiaTheme="majorEastAsia" w:hAnsiTheme="majorHAnsi" w:cstheme="majorBidi"/>
          <w:color w:val="000000" w:themeColor="text1"/>
          <w:sz w:val="22"/>
          <w:szCs w:val="22"/>
        </w:rPr>
        <w:t xml:space="preserve"> </w:t>
      </w:r>
      <w:r w:rsidRPr="44C2759F">
        <w:rPr>
          <w:rFonts w:asciiTheme="majorHAnsi" w:eastAsiaTheme="majorEastAsia" w:hAnsiTheme="majorHAnsi" w:cstheme="majorBidi"/>
          <w:color w:val="000000" w:themeColor="text1"/>
          <w:sz w:val="22"/>
          <w:szCs w:val="22"/>
        </w:rPr>
        <w:t>-</w:t>
      </w:r>
      <w:r w:rsidR="00EF504D">
        <w:rPr>
          <w:rFonts w:asciiTheme="majorHAnsi" w:eastAsiaTheme="majorEastAsia" w:hAnsiTheme="majorHAnsi" w:cstheme="majorBidi"/>
          <w:color w:val="000000" w:themeColor="text1"/>
          <w:sz w:val="22"/>
          <w:szCs w:val="22"/>
        </w:rPr>
        <w:t>työssä</w:t>
      </w:r>
      <w:r w:rsidRPr="44C2759F">
        <w:rPr>
          <w:rFonts w:asciiTheme="majorHAnsi" w:eastAsiaTheme="majorEastAsia" w:hAnsiTheme="majorHAnsi" w:cstheme="majorBidi"/>
          <w:color w:val="000000" w:themeColor="text1"/>
          <w:sz w:val="22"/>
          <w:szCs w:val="22"/>
        </w:rPr>
        <w:t xml:space="preserve"> (KEITO) vuonna 2025</w:t>
      </w:r>
      <w:r w:rsidR="00A803A7">
        <w:rPr>
          <w:rFonts w:asciiTheme="majorHAnsi" w:eastAsiaTheme="majorEastAsia" w:hAnsiTheme="majorHAnsi" w:cstheme="majorBidi"/>
          <w:color w:val="000000" w:themeColor="text1"/>
          <w:sz w:val="22"/>
          <w:szCs w:val="22"/>
        </w:rPr>
        <w:t xml:space="preserve"> osana</w:t>
      </w:r>
      <w:r w:rsidRPr="44C2759F">
        <w:rPr>
          <w:rFonts w:asciiTheme="majorHAnsi" w:eastAsiaTheme="majorEastAsia" w:hAnsiTheme="majorHAnsi" w:cstheme="majorBidi"/>
          <w:color w:val="000000" w:themeColor="text1"/>
          <w:sz w:val="22"/>
          <w:szCs w:val="22"/>
        </w:rPr>
        <w:t xml:space="preserve"> </w:t>
      </w:r>
      <w:proofErr w:type="spellStart"/>
      <w:r w:rsidR="00F70209" w:rsidRPr="00F70209">
        <w:rPr>
          <w:rFonts w:asciiTheme="majorHAnsi" w:eastAsiaTheme="majorEastAsia" w:hAnsiTheme="majorHAnsi" w:cstheme="majorBidi"/>
          <w:color w:val="000000" w:themeColor="text1"/>
          <w:sz w:val="22"/>
          <w:szCs w:val="22"/>
        </w:rPr>
        <w:t>Syken</w:t>
      </w:r>
      <w:proofErr w:type="spellEnd"/>
      <w:r w:rsidR="00F70209" w:rsidRPr="00F70209">
        <w:rPr>
          <w:rFonts w:asciiTheme="majorHAnsi" w:eastAsiaTheme="majorEastAsia" w:hAnsiTheme="majorHAnsi" w:cstheme="majorBidi"/>
          <w:color w:val="000000" w:themeColor="text1"/>
          <w:sz w:val="22"/>
          <w:szCs w:val="22"/>
        </w:rPr>
        <w:t xml:space="preserve">, GTK:n ja VTT:n </w:t>
      </w:r>
      <w:proofErr w:type="spellStart"/>
      <w:r w:rsidR="00F70209" w:rsidRPr="00F70209">
        <w:rPr>
          <w:rFonts w:asciiTheme="majorHAnsi" w:eastAsiaTheme="majorEastAsia" w:hAnsiTheme="majorHAnsi" w:cstheme="majorBidi"/>
          <w:color w:val="000000" w:themeColor="text1"/>
          <w:sz w:val="22"/>
          <w:szCs w:val="22"/>
        </w:rPr>
        <w:t>REPower</w:t>
      </w:r>
      <w:proofErr w:type="spellEnd"/>
      <w:r w:rsidR="00F70209" w:rsidRPr="00F70209">
        <w:rPr>
          <w:rFonts w:asciiTheme="majorHAnsi" w:eastAsiaTheme="majorEastAsia" w:hAnsiTheme="majorHAnsi" w:cstheme="majorBidi"/>
          <w:color w:val="000000" w:themeColor="text1"/>
          <w:sz w:val="22"/>
          <w:szCs w:val="22"/>
        </w:rPr>
        <w:t xml:space="preserve">-CEST-hankkeen sekä Luken </w:t>
      </w:r>
      <w:proofErr w:type="spellStart"/>
      <w:r w:rsidR="00F70209" w:rsidRPr="00F70209">
        <w:rPr>
          <w:rFonts w:asciiTheme="majorHAnsi" w:eastAsiaTheme="majorEastAsia" w:hAnsiTheme="majorHAnsi" w:cstheme="majorBidi"/>
          <w:color w:val="000000" w:themeColor="text1"/>
          <w:sz w:val="22"/>
          <w:szCs w:val="22"/>
        </w:rPr>
        <w:t>REPower</w:t>
      </w:r>
      <w:proofErr w:type="spellEnd"/>
      <w:r w:rsidR="00F70209" w:rsidRPr="00F70209">
        <w:rPr>
          <w:rFonts w:asciiTheme="majorHAnsi" w:eastAsiaTheme="majorEastAsia" w:hAnsiTheme="majorHAnsi" w:cstheme="majorBidi"/>
          <w:color w:val="000000" w:themeColor="text1"/>
          <w:sz w:val="22"/>
          <w:szCs w:val="22"/>
        </w:rPr>
        <w:t>-hankkeen</w:t>
      </w:r>
      <w:r w:rsidR="008D5A5E">
        <w:rPr>
          <w:rFonts w:asciiTheme="majorHAnsi" w:eastAsiaTheme="majorEastAsia" w:hAnsiTheme="majorHAnsi" w:cstheme="majorBidi"/>
          <w:color w:val="000000" w:themeColor="text1"/>
          <w:sz w:val="22"/>
          <w:szCs w:val="22"/>
        </w:rPr>
        <w:t xml:space="preserve"> </w:t>
      </w:r>
      <w:r w:rsidR="00F70209" w:rsidRPr="00F70209">
        <w:rPr>
          <w:rFonts w:asciiTheme="majorHAnsi" w:eastAsiaTheme="majorEastAsia" w:hAnsiTheme="majorHAnsi" w:cstheme="majorBidi"/>
          <w:color w:val="000000" w:themeColor="text1"/>
          <w:sz w:val="22"/>
          <w:szCs w:val="22"/>
        </w:rPr>
        <w:t>välises</w:t>
      </w:r>
      <w:r w:rsidR="00E528F4">
        <w:rPr>
          <w:rFonts w:asciiTheme="majorHAnsi" w:eastAsiaTheme="majorEastAsia" w:hAnsiTheme="majorHAnsi" w:cstheme="majorBidi"/>
          <w:color w:val="000000" w:themeColor="text1"/>
          <w:sz w:val="22"/>
          <w:szCs w:val="22"/>
        </w:rPr>
        <w:t>t</w:t>
      </w:r>
      <w:r w:rsidR="00F70209" w:rsidRPr="00F70209">
        <w:rPr>
          <w:rFonts w:asciiTheme="majorHAnsi" w:eastAsiaTheme="majorEastAsia" w:hAnsiTheme="majorHAnsi" w:cstheme="majorBidi"/>
          <w:color w:val="000000" w:themeColor="text1"/>
          <w:sz w:val="22"/>
          <w:szCs w:val="22"/>
        </w:rPr>
        <w:t>ä hankeyhteistyö</w:t>
      </w:r>
      <w:r w:rsidR="00E528F4">
        <w:rPr>
          <w:rFonts w:asciiTheme="majorHAnsi" w:eastAsiaTheme="majorEastAsia" w:hAnsiTheme="majorHAnsi" w:cstheme="majorBidi"/>
          <w:color w:val="000000" w:themeColor="text1"/>
          <w:sz w:val="22"/>
          <w:szCs w:val="22"/>
        </w:rPr>
        <w:t>tä</w:t>
      </w:r>
      <w:r w:rsidR="008D5A5E">
        <w:rPr>
          <w:rFonts w:asciiTheme="majorHAnsi" w:eastAsiaTheme="majorEastAsia" w:hAnsiTheme="majorHAnsi" w:cstheme="majorBidi"/>
          <w:color w:val="000000" w:themeColor="text1"/>
          <w:sz w:val="22"/>
          <w:szCs w:val="22"/>
        </w:rPr>
        <w:t>.</w:t>
      </w:r>
      <w:r w:rsidR="00F70209" w:rsidDel="00F70209">
        <w:rPr>
          <w:rFonts w:asciiTheme="majorHAnsi" w:eastAsiaTheme="majorEastAsia" w:hAnsiTheme="majorHAnsi" w:cstheme="majorBidi"/>
          <w:color w:val="000000" w:themeColor="text1"/>
          <w:sz w:val="22"/>
          <w:szCs w:val="22"/>
        </w:rPr>
        <w:t xml:space="preserve"> </w:t>
      </w:r>
      <w:r w:rsidR="00F70209">
        <w:rPr>
          <w:rFonts w:asciiTheme="majorHAnsi" w:eastAsiaTheme="majorEastAsia" w:hAnsiTheme="majorHAnsi" w:cstheme="majorBidi"/>
          <w:color w:val="000000" w:themeColor="text1"/>
          <w:sz w:val="22"/>
          <w:szCs w:val="22"/>
        </w:rPr>
        <w:t>K</w:t>
      </w:r>
      <w:r w:rsidRPr="44C2759F">
        <w:rPr>
          <w:rFonts w:asciiTheme="majorHAnsi" w:eastAsiaTheme="majorEastAsia" w:hAnsiTheme="majorHAnsi" w:cstheme="majorBidi"/>
          <w:color w:val="000000" w:themeColor="text1"/>
          <w:sz w:val="22"/>
          <w:szCs w:val="22"/>
        </w:rPr>
        <w:t>EITO-</w:t>
      </w:r>
      <w:r w:rsidR="00EF504D">
        <w:rPr>
          <w:rFonts w:asciiTheme="majorHAnsi" w:eastAsiaTheme="majorEastAsia" w:hAnsiTheme="majorHAnsi" w:cstheme="majorBidi"/>
          <w:color w:val="000000" w:themeColor="text1"/>
          <w:sz w:val="22"/>
          <w:szCs w:val="22"/>
        </w:rPr>
        <w:t>työn</w:t>
      </w:r>
      <w:r w:rsidRPr="44C2759F">
        <w:rPr>
          <w:rFonts w:asciiTheme="majorHAnsi" w:eastAsiaTheme="majorEastAsia" w:hAnsiTheme="majorHAnsi" w:cstheme="majorBidi"/>
          <w:color w:val="000000" w:themeColor="text1"/>
          <w:sz w:val="22"/>
          <w:szCs w:val="22"/>
        </w:rPr>
        <w:t xml:space="preserve"> loppuraportti julkaist</w:t>
      </w:r>
      <w:r w:rsidR="006328E5">
        <w:rPr>
          <w:rFonts w:asciiTheme="majorHAnsi" w:eastAsiaTheme="majorEastAsia" w:hAnsiTheme="majorHAnsi" w:cstheme="majorBidi"/>
          <w:color w:val="000000" w:themeColor="text1"/>
          <w:sz w:val="22"/>
          <w:szCs w:val="22"/>
        </w:rPr>
        <w:t>a</w:t>
      </w:r>
      <w:r w:rsidRPr="44C2759F">
        <w:rPr>
          <w:rFonts w:asciiTheme="majorHAnsi" w:eastAsiaTheme="majorEastAsia" w:hAnsiTheme="majorHAnsi" w:cstheme="majorBidi"/>
          <w:color w:val="000000" w:themeColor="text1"/>
          <w:sz w:val="22"/>
          <w:szCs w:val="22"/>
        </w:rPr>
        <w:t xml:space="preserve"> 2025.</w:t>
      </w:r>
    </w:p>
    <w:p w14:paraId="26BDE9FB" w14:textId="59899886" w:rsidR="4C457A5A" w:rsidRDefault="02DA7074" w:rsidP="44C2759F">
      <w:pPr>
        <w:spacing w:after="288" w:line="300" w:lineRule="auto"/>
        <w:ind w:left="392" w:right="85" w:hanging="10"/>
        <w:rPr>
          <w:rFonts w:asciiTheme="majorHAnsi" w:eastAsiaTheme="majorEastAsia" w:hAnsiTheme="majorHAnsi" w:cstheme="majorBidi"/>
          <w:color w:val="000000" w:themeColor="text1"/>
          <w:sz w:val="22"/>
          <w:szCs w:val="22"/>
        </w:rPr>
      </w:pPr>
      <w:r w:rsidRPr="44C2759F">
        <w:rPr>
          <w:rFonts w:asciiTheme="majorHAnsi" w:eastAsiaTheme="majorEastAsia" w:hAnsiTheme="majorHAnsi" w:cstheme="majorBidi"/>
          <w:color w:val="000000" w:themeColor="text1"/>
          <w:sz w:val="22"/>
          <w:szCs w:val="22"/>
        </w:rPr>
        <w:t xml:space="preserve">Suomen velvoitteena on vähentää taakanjakosektorin päästöjä 50 % vuoteen 2030 mennessä verrattuna vuoden 2005 tasoon. </w:t>
      </w:r>
      <w:r w:rsidR="00D727CA" w:rsidRPr="1214011F">
        <w:rPr>
          <w:rFonts w:asciiTheme="majorHAnsi" w:eastAsiaTheme="majorEastAsia" w:hAnsiTheme="majorHAnsi" w:cstheme="majorBidi"/>
          <w:color w:val="000000" w:themeColor="text1"/>
          <w:sz w:val="22"/>
          <w:szCs w:val="22"/>
        </w:rPr>
        <w:t>Lisäksi</w:t>
      </w:r>
      <w:r w:rsidR="00D727CA">
        <w:rPr>
          <w:rFonts w:asciiTheme="majorHAnsi" w:eastAsiaTheme="majorEastAsia" w:hAnsiTheme="majorHAnsi" w:cstheme="majorBidi"/>
          <w:color w:val="000000" w:themeColor="text1"/>
          <w:sz w:val="22"/>
          <w:szCs w:val="22"/>
        </w:rPr>
        <w:t xml:space="preserve"> v</w:t>
      </w:r>
      <w:r w:rsidRPr="44C2759F">
        <w:rPr>
          <w:rFonts w:asciiTheme="majorHAnsi" w:eastAsiaTheme="majorEastAsia" w:hAnsiTheme="majorHAnsi" w:cstheme="majorBidi"/>
          <w:color w:val="000000" w:themeColor="text1"/>
          <w:sz w:val="22"/>
          <w:szCs w:val="22"/>
        </w:rPr>
        <w:t>elvoit</w:t>
      </w:r>
      <w:r w:rsidR="00D727CA">
        <w:rPr>
          <w:rFonts w:asciiTheme="majorHAnsi" w:eastAsiaTheme="majorEastAsia" w:hAnsiTheme="majorHAnsi" w:cstheme="majorBidi"/>
          <w:color w:val="000000" w:themeColor="text1"/>
          <w:sz w:val="22"/>
          <w:szCs w:val="22"/>
        </w:rPr>
        <w:t>t</w:t>
      </w:r>
      <w:r w:rsidRPr="44C2759F">
        <w:rPr>
          <w:rFonts w:asciiTheme="majorHAnsi" w:eastAsiaTheme="majorEastAsia" w:hAnsiTheme="majorHAnsi" w:cstheme="majorBidi"/>
          <w:color w:val="000000" w:themeColor="text1"/>
          <w:sz w:val="22"/>
          <w:szCs w:val="22"/>
        </w:rPr>
        <w:t>e</w:t>
      </w:r>
      <w:r w:rsidR="00D727CA">
        <w:rPr>
          <w:rFonts w:asciiTheme="majorHAnsi" w:eastAsiaTheme="majorEastAsia" w:hAnsiTheme="majorHAnsi" w:cstheme="majorBidi"/>
          <w:color w:val="000000" w:themeColor="text1"/>
          <w:sz w:val="22"/>
          <w:szCs w:val="22"/>
        </w:rPr>
        <w:t xml:space="preserve">eseen </w:t>
      </w:r>
      <w:r w:rsidR="00D727CA" w:rsidRPr="1214011F">
        <w:rPr>
          <w:rFonts w:asciiTheme="majorHAnsi" w:eastAsiaTheme="majorEastAsia" w:hAnsiTheme="majorHAnsi" w:cstheme="majorBidi"/>
          <w:color w:val="000000" w:themeColor="text1"/>
          <w:sz w:val="22"/>
          <w:szCs w:val="22"/>
        </w:rPr>
        <w:t>sisälty</w:t>
      </w:r>
      <w:r w:rsidR="3F875C5F" w:rsidRPr="1214011F">
        <w:rPr>
          <w:rFonts w:asciiTheme="majorHAnsi" w:eastAsiaTheme="majorEastAsia" w:hAnsiTheme="majorHAnsi" w:cstheme="majorBidi"/>
          <w:color w:val="000000" w:themeColor="text1"/>
          <w:sz w:val="22"/>
          <w:szCs w:val="22"/>
        </w:rPr>
        <w:t>vät</w:t>
      </w:r>
      <w:r w:rsidR="00D727CA">
        <w:rPr>
          <w:rFonts w:asciiTheme="majorHAnsi" w:eastAsiaTheme="majorEastAsia" w:hAnsiTheme="majorHAnsi" w:cstheme="majorBidi"/>
          <w:color w:val="000000" w:themeColor="text1"/>
          <w:sz w:val="22"/>
          <w:szCs w:val="22"/>
        </w:rPr>
        <w:t xml:space="preserve"> vuosikohtaiset päästökiin</w:t>
      </w:r>
      <w:r w:rsidR="00B60A3B">
        <w:rPr>
          <w:rFonts w:asciiTheme="majorHAnsi" w:eastAsiaTheme="majorEastAsia" w:hAnsiTheme="majorHAnsi" w:cstheme="majorBidi"/>
          <w:color w:val="000000" w:themeColor="text1"/>
          <w:sz w:val="22"/>
          <w:szCs w:val="22"/>
        </w:rPr>
        <w:t>ti</w:t>
      </w:r>
      <w:r w:rsidR="00D727CA">
        <w:rPr>
          <w:rFonts w:asciiTheme="majorHAnsi" w:eastAsiaTheme="majorEastAsia" w:hAnsiTheme="majorHAnsi" w:cstheme="majorBidi"/>
          <w:color w:val="000000" w:themeColor="text1"/>
          <w:sz w:val="22"/>
          <w:szCs w:val="22"/>
        </w:rPr>
        <w:t xml:space="preserve">öt ja siten </w:t>
      </w:r>
      <w:r w:rsidR="00B60A3B">
        <w:rPr>
          <w:rFonts w:asciiTheme="majorHAnsi" w:eastAsiaTheme="majorEastAsia" w:hAnsiTheme="majorHAnsi" w:cstheme="majorBidi"/>
          <w:color w:val="000000" w:themeColor="text1"/>
          <w:sz w:val="22"/>
          <w:szCs w:val="22"/>
        </w:rPr>
        <w:t>velvoite</w:t>
      </w:r>
      <w:r w:rsidRPr="44C2759F">
        <w:rPr>
          <w:rFonts w:asciiTheme="majorHAnsi" w:eastAsiaTheme="majorEastAsia" w:hAnsiTheme="majorHAnsi" w:cstheme="majorBidi"/>
          <w:color w:val="000000" w:themeColor="text1"/>
          <w:sz w:val="22"/>
          <w:szCs w:val="22"/>
        </w:rPr>
        <w:t xml:space="preserve"> on luonteeltaan kumulatiivinen eli sen laskennassa otetaan huomioon koko jakson 2021</w:t>
      </w:r>
      <w:r w:rsidR="4958FBB3" w:rsidRPr="11EEEB25">
        <w:rPr>
          <w:rFonts w:asciiTheme="majorHAnsi" w:eastAsiaTheme="majorEastAsia" w:hAnsiTheme="majorHAnsi" w:cstheme="majorBidi"/>
          <w:color w:val="000000" w:themeColor="text1"/>
          <w:sz w:val="22"/>
          <w:szCs w:val="22"/>
        </w:rPr>
        <w:t>–</w:t>
      </w:r>
      <w:r w:rsidRPr="44C2759F">
        <w:rPr>
          <w:rFonts w:asciiTheme="majorHAnsi" w:eastAsiaTheme="majorEastAsia" w:hAnsiTheme="majorHAnsi" w:cstheme="majorBidi"/>
          <w:color w:val="000000" w:themeColor="text1"/>
          <w:sz w:val="22"/>
          <w:szCs w:val="22"/>
        </w:rPr>
        <w:t xml:space="preserve">2030 päästökehitys. </w:t>
      </w:r>
      <w:r w:rsidR="00F6790C" w:rsidRPr="0ED2F20E">
        <w:rPr>
          <w:rFonts w:asciiTheme="majorHAnsi" w:eastAsiaTheme="majorEastAsia" w:hAnsiTheme="majorHAnsi" w:cstheme="majorBidi"/>
          <w:color w:val="000000" w:themeColor="text1"/>
          <w:sz w:val="22"/>
          <w:szCs w:val="22"/>
        </w:rPr>
        <w:t xml:space="preserve">Tässä suunnitelmassa esitetään toimenpidekokonaisuus, </w:t>
      </w:r>
      <w:r w:rsidR="00F6790C" w:rsidRPr="13AD6CB8">
        <w:rPr>
          <w:rFonts w:asciiTheme="majorHAnsi" w:eastAsiaTheme="majorEastAsia" w:hAnsiTheme="majorHAnsi" w:cstheme="majorBidi"/>
          <w:color w:val="000000" w:themeColor="text1"/>
          <w:sz w:val="22"/>
          <w:szCs w:val="22"/>
        </w:rPr>
        <w:t xml:space="preserve">jolla pyritään </w:t>
      </w:r>
      <w:r w:rsidR="00F6790C" w:rsidRPr="1C0E7C57">
        <w:rPr>
          <w:rFonts w:asciiTheme="majorHAnsi" w:eastAsiaTheme="majorEastAsia" w:hAnsiTheme="majorHAnsi" w:cstheme="majorBidi"/>
          <w:color w:val="000000" w:themeColor="text1"/>
          <w:sz w:val="22"/>
          <w:szCs w:val="22"/>
        </w:rPr>
        <w:t>vähentämään taakanjakosektorin päästö</w:t>
      </w:r>
      <w:r w:rsidR="384F5FDF" w:rsidRPr="1C0E7C57">
        <w:rPr>
          <w:rFonts w:asciiTheme="majorHAnsi" w:eastAsiaTheme="majorEastAsia" w:hAnsiTheme="majorHAnsi" w:cstheme="majorBidi"/>
          <w:color w:val="000000" w:themeColor="text1"/>
          <w:sz w:val="22"/>
          <w:szCs w:val="22"/>
        </w:rPr>
        <w:t xml:space="preserve">jä. </w:t>
      </w:r>
      <w:r w:rsidRPr="1C0E7C57">
        <w:rPr>
          <w:rFonts w:asciiTheme="majorHAnsi" w:eastAsiaTheme="majorEastAsia" w:hAnsiTheme="majorHAnsi" w:cstheme="majorBidi"/>
          <w:color w:val="000000" w:themeColor="text1"/>
          <w:sz w:val="22"/>
          <w:szCs w:val="22"/>
        </w:rPr>
        <w:t>Uusia</w:t>
      </w:r>
      <w:r w:rsidRPr="5508F7CD">
        <w:rPr>
          <w:rFonts w:asciiTheme="majorHAnsi" w:eastAsiaTheme="majorEastAsia" w:hAnsiTheme="majorHAnsi" w:cstheme="majorBidi"/>
          <w:color w:val="000000" w:themeColor="text1"/>
          <w:sz w:val="22"/>
          <w:szCs w:val="22"/>
        </w:rPr>
        <w:t xml:space="preserve"> toimia on määritelty kaikkien taakanjakosektorin kuuluvien päästöjen vähentämiseksi. </w:t>
      </w:r>
    </w:p>
    <w:p w14:paraId="3BEBEC8E" w14:textId="27E36446" w:rsidR="4C457A5A" w:rsidRDefault="02DA7074" w:rsidP="44C2759F">
      <w:pPr>
        <w:spacing w:after="288" w:line="300" w:lineRule="auto"/>
        <w:ind w:left="392" w:right="85" w:hanging="10"/>
        <w:rPr>
          <w:rFonts w:asciiTheme="majorHAnsi" w:eastAsiaTheme="majorEastAsia" w:hAnsiTheme="majorHAnsi" w:cstheme="majorBidi"/>
          <w:color w:val="000000" w:themeColor="text1"/>
          <w:sz w:val="22"/>
          <w:szCs w:val="22"/>
        </w:rPr>
      </w:pPr>
      <w:r w:rsidRPr="44C2759F">
        <w:rPr>
          <w:rFonts w:asciiTheme="majorHAnsi" w:eastAsiaTheme="majorEastAsia" w:hAnsiTheme="majorHAnsi" w:cstheme="majorBidi"/>
          <w:color w:val="000000" w:themeColor="text1"/>
          <w:sz w:val="22"/>
          <w:szCs w:val="22"/>
        </w:rPr>
        <w:lastRenderedPageBreak/>
        <w:t xml:space="preserve">Päästövähennystoimien määrittelyssä on kiinnitetty huomiota niiden kustannustehokkuuteen ja oikeudenmukaisuuteen. Toimien päästövaikutusten arviointiin liittyy aina epävarmuutta, joka on otettava huomioon, kun tarkastellaan tulevaa päästökehitystä. Uusien toimien mitoittaminen pohjautuu </w:t>
      </w:r>
      <w:r w:rsidRPr="75BE596C">
        <w:rPr>
          <w:rFonts w:asciiTheme="majorHAnsi" w:eastAsiaTheme="majorEastAsia" w:hAnsiTheme="majorHAnsi" w:cstheme="majorBidi"/>
          <w:color w:val="000000" w:themeColor="text1"/>
          <w:sz w:val="22"/>
          <w:szCs w:val="22"/>
        </w:rPr>
        <w:t>nykykehityks</w:t>
      </w:r>
      <w:r w:rsidR="08B7702B" w:rsidRPr="75BE596C">
        <w:rPr>
          <w:rFonts w:asciiTheme="majorHAnsi" w:eastAsiaTheme="majorEastAsia" w:hAnsiTheme="majorHAnsi" w:cstheme="majorBidi"/>
          <w:color w:val="000000" w:themeColor="text1"/>
          <w:sz w:val="22"/>
          <w:szCs w:val="22"/>
        </w:rPr>
        <w:t>e</w:t>
      </w:r>
      <w:r w:rsidRPr="75BE596C">
        <w:rPr>
          <w:rFonts w:asciiTheme="majorHAnsi" w:eastAsiaTheme="majorEastAsia" w:hAnsiTheme="majorHAnsi" w:cstheme="majorBidi"/>
          <w:color w:val="000000" w:themeColor="text1"/>
          <w:sz w:val="22"/>
          <w:szCs w:val="22"/>
        </w:rPr>
        <w:t>en</w:t>
      </w:r>
      <w:r w:rsidRPr="44C2759F">
        <w:rPr>
          <w:rFonts w:asciiTheme="majorHAnsi" w:eastAsiaTheme="majorEastAsia" w:hAnsiTheme="majorHAnsi" w:cstheme="majorBidi"/>
          <w:color w:val="000000" w:themeColor="text1"/>
          <w:sz w:val="22"/>
          <w:szCs w:val="22"/>
        </w:rPr>
        <w:t xml:space="preserve">, jonka mukaan tarvittava yhteenlaskettu päästövähennystarve määräytyy. </w:t>
      </w:r>
      <w:r w:rsidR="0E43E215" w:rsidRPr="75DB2EEB">
        <w:rPr>
          <w:rFonts w:asciiTheme="majorHAnsi" w:eastAsiaTheme="majorEastAsia" w:hAnsiTheme="majorHAnsi" w:cstheme="majorBidi"/>
          <w:color w:val="000000" w:themeColor="text1"/>
          <w:sz w:val="22"/>
          <w:szCs w:val="22"/>
        </w:rPr>
        <w:t xml:space="preserve">Arviona </w:t>
      </w:r>
      <w:r w:rsidR="51FCF48F" w:rsidRPr="75DB2EEB">
        <w:rPr>
          <w:rFonts w:asciiTheme="majorHAnsi" w:eastAsiaTheme="majorEastAsia" w:hAnsiTheme="majorHAnsi" w:cstheme="majorBidi"/>
          <w:color w:val="000000" w:themeColor="text1"/>
          <w:sz w:val="22"/>
          <w:szCs w:val="22"/>
        </w:rPr>
        <w:t>n</w:t>
      </w:r>
      <w:r w:rsidRPr="75DB2EEB">
        <w:rPr>
          <w:rFonts w:asciiTheme="majorHAnsi" w:eastAsiaTheme="majorEastAsia" w:hAnsiTheme="majorHAnsi" w:cstheme="majorBidi"/>
          <w:color w:val="000000" w:themeColor="text1"/>
          <w:sz w:val="22"/>
          <w:szCs w:val="22"/>
        </w:rPr>
        <w:t>ykykehityksen</w:t>
      </w:r>
      <w:r w:rsidRPr="44C2759F">
        <w:rPr>
          <w:rFonts w:asciiTheme="majorHAnsi" w:eastAsiaTheme="majorEastAsia" w:hAnsiTheme="majorHAnsi" w:cstheme="majorBidi"/>
          <w:color w:val="000000" w:themeColor="text1"/>
          <w:sz w:val="22"/>
          <w:szCs w:val="22"/>
        </w:rPr>
        <w:t xml:space="preserve"> mukaisesta päästökehityksestä on käytetty KEITO-</w:t>
      </w:r>
      <w:r w:rsidR="00FB496C">
        <w:rPr>
          <w:rFonts w:asciiTheme="majorHAnsi" w:eastAsiaTheme="majorEastAsia" w:hAnsiTheme="majorHAnsi" w:cstheme="majorBidi"/>
          <w:color w:val="000000" w:themeColor="text1"/>
          <w:sz w:val="22"/>
          <w:szCs w:val="22"/>
        </w:rPr>
        <w:t>työssä</w:t>
      </w:r>
      <w:r w:rsidRPr="44C2759F">
        <w:rPr>
          <w:rFonts w:asciiTheme="majorHAnsi" w:eastAsiaTheme="majorEastAsia" w:hAnsiTheme="majorHAnsi" w:cstheme="majorBidi"/>
          <w:color w:val="000000" w:themeColor="text1"/>
          <w:sz w:val="22"/>
          <w:szCs w:val="22"/>
        </w:rPr>
        <w:t xml:space="preserve"> </w:t>
      </w:r>
      <w:r w:rsidRPr="118B0BB7">
        <w:rPr>
          <w:rFonts w:asciiTheme="majorHAnsi" w:eastAsiaTheme="majorEastAsia" w:hAnsiTheme="majorHAnsi" w:cstheme="majorBidi"/>
          <w:color w:val="000000" w:themeColor="text1"/>
          <w:sz w:val="22"/>
          <w:szCs w:val="22"/>
        </w:rPr>
        <w:t>laskettu</w:t>
      </w:r>
      <w:r w:rsidR="0CDA2472" w:rsidRPr="118B0BB7">
        <w:rPr>
          <w:rFonts w:asciiTheme="majorHAnsi" w:eastAsiaTheme="majorEastAsia" w:hAnsiTheme="majorHAnsi" w:cstheme="majorBidi"/>
          <w:color w:val="000000" w:themeColor="text1"/>
          <w:sz w:val="22"/>
          <w:szCs w:val="22"/>
        </w:rPr>
        <w:t>a</w:t>
      </w:r>
      <w:r w:rsidRPr="44C2759F">
        <w:rPr>
          <w:rFonts w:asciiTheme="majorHAnsi" w:eastAsiaTheme="majorEastAsia" w:hAnsiTheme="majorHAnsi" w:cstheme="majorBidi"/>
          <w:color w:val="000000" w:themeColor="text1"/>
          <w:sz w:val="22"/>
          <w:szCs w:val="22"/>
        </w:rPr>
        <w:t xml:space="preserve"> nykytoimiskenaariota.  </w:t>
      </w:r>
    </w:p>
    <w:p w14:paraId="480FCAF2" w14:textId="1227E47A" w:rsidR="4C457A5A" w:rsidRDefault="02DA7074" w:rsidP="44C2759F">
      <w:pPr>
        <w:spacing w:after="288" w:line="300" w:lineRule="auto"/>
        <w:ind w:left="392" w:right="85" w:hanging="10"/>
        <w:rPr>
          <w:rFonts w:asciiTheme="majorHAnsi" w:eastAsiaTheme="majorEastAsia" w:hAnsiTheme="majorHAnsi" w:cstheme="majorBidi"/>
          <w:color w:val="000000" w:themeColor="text1"/>
          <w:sz w:val="22"/>
          <w:szCs w:val="22"/>
        </w:rPr>
      </w:pPr>
      <w:r w:rsidRPr="44C2759F">
        <w:rPr>
          <w:rFonts w:asciiTheme="majorHAnsi" w:eastAsiaTheme="majorEastAsia" w:hAnsiTheme="majorHAnsi" w:cstheme="majorBidi"/>
          <w:color w:val="000000" w:themeColor="text1"/>
          <w:sz w:val="22"/>
          <w:szCs w:val="22"/>
        </w:rPr>
        <w:t>Uusien päästövähennystoimien arvioinnissa on kuultu eri sidosryhmiä ja kansalaisia laajasti ja monipuolisesti. Osana valmisteluprosessia järjestettiin sidosryhmätilaisuus, jossa pyydettiin näkemyksiä alustavasti määritellyistä päästövähennystoimista. Tämän lisäksi järjestettiin yhteistyössä Turun yliopiston kanssa kansalaiskokous, joka keskusteli erityisesti asumiseen liittyvistä toimista, ja antoi niistä lausuman.</w:t>
      </w:r>
    </w:p>
    <w:p w14:paraId="27154C92" w14:textId="30DB4190" w:rsidR="4C457A5A" w:rsidRDefault="02DA7074" w:rsidP="44C2759F">
      <w:pPr>
        <w:spacing w:after="288" w:line="300" w:lineRule="auto"/>
        <w:ind w:left="392" w:right="85" w:hanging="10"/>
        <w:rPr>
          <w:rFonts w:asciiTheme="majorHAnsi" w:eastAsiaTheme="majorEastAsia" w:hAnsiTheme="majorHAnsi" w:cstheme="majorBidi"/>
          <w:color w:val="000000" w:themeColor="text1"/>
          <w:sz w:val="22"/>
          <w:szCs w:val="22"/>
        </w:rPr>
      </w:pPr>
      <w:r w:rsidRPr="44C2759F">
        <w:rPr>
          <w:rFonts w:asciiTheme="majorHAnsi" w:eastAsiaTheme="majorEastAsia" w:hAnsiTheme="majorHAnsi" w:cstheme="majorBidi"/>
          <w:color w:val="000000" w:themeColor="text1"/>
          <w:sz w:val="22"/>
          <w:szCs w:val="22"/>
        </w:rPr>
        <w:t xml:space="preserve">Keskipitkän aikavälin </w:t>
      </w:r>
      <w:r w:rsidR="202079DD" w:rsidRPr="38E66213">
        <w:rPr>
          <w:rFonts w:asciiTheme="majorHAnsi" w:eastAsiaTheme="majorEastAsia" w:hAnsiTheme="majorHAnsi" w:cstheme="majorBidi"/>
          <w:color w:val="000000" w:themeColor="text1"/>
          <w:sz w:val="22"/>
          <w:szCs w:val="22"/>
        </w:rPr>
        <w:t>ilmastosuunnitelma</w:t>
      </w:r>
      <w:r w:rsidRPr="44C2759F">
        <w:rPr>
          <w:rFonts w:asciiTheme="majorHAnsi" w:eastAsiaTheme="majorEastAsia" w:hAnsiTheme="majorHAnsi" w:cstheme="majorBidi"/>
          <w:color w:val="000000" w:themeColor="text1"/>
          <w:sz w:val="22"/>
          <w:szCs w:val="22"/>
        </w:rPr>
        <w:t xml:space="preserve"> kattaa perinteisten taakanjakosektorin toimialojen lisäksi myös </w:t>
      </w:r>
      <w:proofErr w:type="spellStart"/>
      <w:r w:rsidRPr="44C2759F">
        <w:rPr>
          <w:rFonts w:asciiTheme="majorHAnsi" w:eastAsiaTheme="majorEastAsia" w:hAnsiTheme="majorHAnsi" w:cstheme="majorBidi"/>
          <w:color w:val="000000" w:themeColor="text1"/>
          <w:sz w:val="22"/>
          <w:szCs w:val="22"/>
        </w:rPr>
        <w:t>poikkisektoraaliset</w:t>
      </w:r>
      <w:proofErr w:type="spellEnd"/>
      <w:r w:rsidRPr="44C2759F">
        <w:rPr>
          <w:rFonts w:asciiTheme="majorHAnsi" w:eastAsiaTheme="majorEastAsia" w:hAnsiTheme="majorHAnsi" w:cstheme="majorBidi"/>
          <w:color w:val="000000" w:themeColor="text1"/>
          <w:sz w:val="22"/>
          <w:szCs w:val="22"/>
        </w:rPr>
        <w:t xml:space="preserve"> toimet. Näihin kuuluvat kuntien ja alueiden ilmastotyö sekä vaikuttaminen päästökehitykseen kulutuksen kautta. Monet kunnat tekevät hyvin aktiivista ilmastotyötä ja suunnitelman avulla halutaan kannustaa kaikkia kuntia samanlaiseen aktiivisuuteen. Kulutuksen ja kuluttajien suhteellinen merkitys ilmastopolitiikassa on selvästi kasvanut viime vuosina, ja tämä kehitys heijastuu erityisesti tämän suunnitelman soveltamisalaan. Myös julkisten hankintojen ja kiertotalouden tarjoamiin ilmastopolitiikan kytkentöihin kiinnitetään tässä suunnitelmassa huomiota. Lisäksi suunnitelmassa luodaan katsaus ilmastorahoitukseen ja sen tuomiin mahdollisuuksiin eri sektoreilla.</w:t>
      </w:r>
    </w:p>
    <w:p w14:paraId="7F0BC525" w14:textId="55E09F73" w:rsidR="4C457A5A" w:rsidRDefault="02DA7074" w:rsidP="44C2759F">
      <w:pPr>
        <w:spacing w:after="288" w:line="300" w:lineRule="auto"/>
        <w:ind w:left="392" w:right="85" w:hanging="10"/>
        <w:rPr>
          <w:rFonts w:asciiTheme="majorHAnsi" w:eastAsiaTheme="majorEastAsia" w:hAnsiTheme="majorHAnsi" w:cstheme="majorBidi"/>
          <w:color w:val="000000" w:themeColor="text1"/>
          <w:sz w:val="22"/>
          <w:szCs w:val="22"/>
        </w:rPr>
      </w:pPr>
      <w:r w:rsidRPr="44C2759F">
        <w:rPr>
          <w:rFonts w:asciiTheme="majorHAnsi" w:eastAsiaTheme="majorEastAsia" w:hAnsiTheme="majorHAnsi" w:cstheme="majorBidi"/>
          <w:color w:val="000000" w:themeColor="text1"/>
          <w:sz w:val="22"/>
          <w:szCs w:val="22"/>
        </w:rPr>
        <w:t xml:space="preserve">Keskipitkän aikavälin </w:t>
      </w:r>
      <w:r w:rsidR="202079DD" w:rsidRPr="38E66213">
        <w:rPr>
          <w:rFonts w:asciiTheme="majorHAnsi" w:eastAsiaTheme="majorEastAsia" w:hAnsiTheme="majorHAnsi" w:cstheme="majorBidi"/>
          <w:color w:val="000000" w:themeColor="text1"/>
          <w:sz w:val="22"/>
          <w:szCs w:val="22"/>
        </w:rPr>
        <w:t>ilmastosuunnitelman</w:t>
      </w:r>
      <w:r w:rsidRPr="44C2759F">
        <w:rPr>
          <w:rFonts w:asciiTheme="majorHAnsi" w:eastAsiaTheme="majorEastAsia" w:hAnsiTheme="majorHAnsi" w:cstheme="majorBidi"/>
          <w:color w:val="000000" w:themeColor="text1"/>
          <w:sz w:val="22"/>
          <w:szCs w:val="22"/>
        </w:rPr>
        <w:t xml:space="preserve"> valmistelun tueksi ympäristöministeriö kutsui koolle epävirallisen keskeisten ministeriöiden virkamiehistä koostuvan kontaktiryhmän. Kontaktiryhmä on toiminut tärkeänä </w:t>
      </w:r>
      <w:r w:rsidRPr="5E062BAA">
        <w:rPr>
          <w:rFonts w:asciiTheme="majorHAnsi" w:eastAsiaTheme="majorEastAsia" w:hAnsiTheme="majorHAnsi" w:cstheme="majorBidi"/>
          <w:color w:val="000000" w:themeColor="text1"/>
          <w:sz w:val="22"/>
          <w:szCs w:val="22"/>
        </w:rPr>
        <w:t>keskustelu</w:t>
      </w:r>
      <w:r w:rsidR="41F77EA7" w:rsidRPr="5E062BAA">
        <w:rPr>
          <w:rFonts w:asciiTheme="majorHAnsi" w:eastAsiaTheme="majorEastAsia" w:hAnsiTheme="majorHAnsi" w:cstheme="majorBidi"/>
          <w:color w:val="000000" w:themeColor="text1"/>
          <w:sz w:val="22"/>
          <w:szCs w:val="22"/>
        </w:rPr>
        <w:t>- ja koordinaatio</w:t>
      </w:r>
      <w:r w:rsidRPr="5E062BAA">
        <w:rPr>
          <w:rFonts w:asciiTheme="majorHAnsi" w:eastAsiaTheme="majorEastAsia" w:hAnsiTheme="majorHAnsi" w:cstheme="majorBidi"/>
          <w:color w:val="000000" w:themeColor="text1"/>
          <w:sz w:val="22"/>
          <w:szCs w:val="22"/>
        </w:rPr>
        <w:t>foorumina</w:t>
      </w:r>
      <w:r w:rsidRPr="44C2759F">
        <w:rPr>
          <w:rFonts w:asciiTheme="majorHAnsi" w:eastAsiaTheme="majorEastAsia" w:hAnsiTheme="majorHAnsi" w:cstheme="majorBidi"/>
          <w:color w:val="000000" w:themeColor="text1"/>
          <w:sz w:val="22"/>
          <w:szCs w:val="22"/>
        </w:rPr>
        <w:t xml:space="preserve"> suunnitelman valmistelutyön aikana. </w:t>
      </w:r>
    </w:p>
    <w:p w14:paraId="5400ADA4" w14:textId="49833E40" w:rsidR="4C457A5A" w:rsidRDefault="02DA7074" w:rsidP="44C2759F">
      <w:pPr>
        <w:spacing w:after="288" w:line="300" w:lineRule="auto"/>
        <w:ind w:left="392" w:right="85" w:hanging="10"/>
        <w:rPr>
          <w:rFonts w:asciiTheme="majorHAnsi" w:eastAsiaTheme="majorEastAsia" w:hAnsiTheme="majorHAnsi" w:cstheme="majorBidi"/>
          <w:color w:val="000000" w:themeColor="text1"/>
          <w:sz w:val="22"/>
          <w:szCs w:val="22"/>
        </w:rPr>
      </w:pPr>
      <w:r w:rsidRPr="44C2759F">
        <w:rPr>
          <w:rFonts w:asciiTheme="majorHAnsi" w:eastAsiaTheme="majorEastAsia" w:hAnsiTheme="majorHAnsi" w:cstheme="majorBidi"/>
          <w:color w:val="000000" w:themeColor="text1"/>
          <w:sz w:val="22"/>
          <w:szCs w:val="22"/>
        </w:rPr>
        <w:t>Rahoitustarpeita koskevat asiat käsitellään normaaliin tapaan valtion talousarviota ja julkisen talouden suunnitelmaa koskevissa menettelyissä valtiontalouden menokehysten puitteissa sovittaen ne yhteen muiden menotarpeiden kanssa.</w:t>
      </w:r>
    </w:p>
    <w:p w14:paraId="3214E469" w14:textId="019E6893" w:rsidR="4C530B76" w:rsidRDefault="4C530B76" w:rsidP="4C530B76">
      <w:pPr>
        <w:pStyle w:val="VNLeip1kappale"/>
      </w:pPr>
    </w:p>
    <w:p w14:paraId="24B418C3" w14:textId="601EF8AA" w:rsidR="00D95A49" w:rsidRPr="00B67B70" w:rsidRDefault="00D95A49" w:rsidP="00B67B70">
      <w:pPr>
        <w:pStyle w:val="Otsikko1"/>
        <w:rPr>
          <w:color w:val="365ABD" w:themeColor="accent3"/>
        </w:rPr>
      </w:pPr>
      <w:bookmarkStart w:id="8" w:name="_Toc1766621223"/>
      <w:bookmarkStart w:id="9" w:name="_Toc642544433"/>
      <w:bookmarkStart w:id="10" w:name="_Toc202260012"/>
      <w:r>
        <w:lastRenderedPageBreak/>
        <w:t>Kansainvälinen toimintaympäristö</w:t>
      </w:r>
      <w:bookmarkEnd w:id="8"/>
      <w:bookmarkEnd w:id="9"/>
      <w:bookmarkEnd w:id="10"/>
    </w:p>
    <w:p w14:paraId="0374B819" w14:textId="4DA332FF" w:rsidR="00A42012" w:rsidRPr="009715C1" w:rsidRDefault="00D95A49" w:rsidP="56EFA041">
      <w:pPr>
        <w:pStyle w:val="Otsikko2"/>
      </w:pPr>
      <w:bookmarkStart w:id="11" w:name="_Toc1238690996"/>
      <w:bookmarkStart w:id="12" w:name="_Toc1500806431"/>
      <w:bookmarkStart w:id="13" w:name="_Toc202260013"/>
      <w:proofErr w:type="spellStart"/>
      <w:r>
        <w:t>Kansainväliset</w:t>
      </w:r>
      <w:proofErr w:type="spellEnd"/>
      <w:r>
        <w:t xml:space="preserve"> </w:t>
      </w:r>
      <w:proofErr w:type="spellStart"/>
      <w:r>
        <w:t>ilmastosopimukset</w:t>
      </w:r>
      <w:bookmarkEnd w:id="11"/>
      <w:bookmarkEnd w:id="12"/>
      <w:bookmarkEnd w:id="13"/>
      <w:proofErr w:type="spellEnd"/>
    </w:p>
    <w:p w14:paraId="785CF2BF" w14:textId="4D47ABF7" w:rsidR="00A42012" w:rsidRPr="00A42012" w:rsidRDefault="4DCD62FB" w:rsidP="00A42012">
      <w:pPr>
        <w:pStyle w:val="VNLeip1kappale"/>
        <w:rPr>
          <w:lang w:eastAsia="en-US"/>
        </w:rPr>
      </w:pPr>
      <w:r w:rsidRPr="5124B464">
        <w:rPr>
          <w:lang w:eastAsia="en-US"/>
        </w:rPr>
        <w:t xml:space="preserve">Pariisin sopimukseen kirjattuna tavoitteena on pitää maapallon keskilämpötilan nousu selvästi alle kahdessa celsiusasteessa, pyrkien rajoittamaan keskilämpötilan nousu 1,5 celsiusasteeseen esiteolliseen aikaan verrattuna. Lisäksi tavoitteena on vahvistaa sopimuksen osapuolten sopeutumiskykyä ja ilmastokestävyyttä sekä suunnata rahoitusvirrat kohti vähäpäästöistä kehitystä. Lämpötilatavoitteen saavuttamiseksi maailmanlaajuisten kasvihuonekaasujen päästöt on käännettävä laskuun mahdollisimman pian ja niitä tulee vähentää nopeasti sen jälkeen siten, että ihmisen aiheuttamat </w:t>
      </w:r>
      <w:r w:rsidR="44BB719A" w:rsidRPr="157A244A">
        <w:rPr>
          <w:lang w:eastAsia="en-US"/>
        </w:rPr>
        <w:t>kasvihuonekaasujen</w:t>
      </w:r>
      <w:r w:rsidRPr="5124B464">
        <w:rPr>
          <w:lang w:eastAsia="en-US"/>
        </w:rPr>
        <w:t xml:space="preserve"> päästöt ja nielut ovat tasapainossa tämän vuosisadan jälkipuoliskolla.</w:t>
      </w:r>
      <w:r w:rsidR="5C049547" w:rsidRPr="5124B464">
        <w:rPr>
          <w:lang w:eastAsia="en-US"/>
        </w:rPr>
        <w:t xml:space="preserve"> Vuonna 2015 solmittu ja vuonna 2016 voimaan tullut Pariisin sopimus kattaa yli 97 % maailman kasvihuonekaasupäästöistä.   </w:t>
      </w:r>
    </w:p>
    <w:p w14:paraId="51A058B5" w14:textId="0E0F0E66" w:rsidR="00A42012" w:rsidRPr="00A42012" w:rsidRDefault="1A57BBD1" w:rsidP="00A42012">
      <w:pPr>
        <w:pStyle w:val="VNLeip1kappale"/>
        <w:rPr>
          <w:lang w:eastAsia="en-US"/>
        </w:rPr>
      </w:pPr>
      <w:r w:rsidRPr="5124B464">
        <w:rPr>
          <w:lang w:eastAsia="en-US"/>
        </w:rPr>
        <w:t>Pariisin sopimuksen keskeisiä elementtejä on osapuolten velvollisuus laatia niin kutsutut kansallisesti määritellyt panokset (</w:t>
      </w:r>
      <w:proofErr w:type="spellStart"/>
      <w:r w:rsidRPr="5124B464">
        <w:rPr>
          <w:lang w:eastAsia="en-US"/>
        </w:rPr>
        <w:t>Nationally</w:t>
      </w:r>
      <w:proofErr w:type="spellEnd"/>
      <w:r w:rsidRPr="5124B464">
        <w:rPr>
          <w:lang w:eastAsia="en-US"/>
        </w:rPr>
        <w:t xml:space="preserve"> </w:t>
      </w:r>
      <w:proofErr w:type="spellStart"/>
      <w:r w:rsidRPr="5124B464">
        <w:rPr>
          <w:lang w:eastAsia="en-US"/>
        </w:rPr>
        <w:t>Determined</w:t>
      </w:r>
      <w:proofErr w:type="spellEnd"/>
      <w:r w:rsidR="015C839B" w:rsidRPr="5124B464">
        <w:rPr>
          <w:lang w:eastAsia="en-US"/>
        </w:rPr>
        <w:t xml:space="preserve"> </w:t>
      </w:r>
      <w:proofErr w:type="spellStart"/>
      <w:r w:rsidRPr="5124B464">
        <w:rPr>
          <w:lang w:eastAsia="en-US"/>
        </w:rPr>
        <w:t>Contribution</w:t>
      </w:r>
      <w:proofErr w:type="spellEnd"/>
      <w:r w:rsidRPr="5124B464">
        <w:rPr>
          <w:lang w:eastAsia="en-US"/>
        </w:rPr>
        <w:t xml:space="preserve">, NDC), joilla osapuolet ilmoittavat päästövähennys- ja sopeutumistavoitteensa ja kertovat suunnitelluista ilmastotoimistaan. Panoksia tulee kiristää vähintään viiden vuoden välein ja niiden on vastattava osapuolen korkeinta mahdollista tavoitetasoa. </w:t>
      </w:r>
      <w:r w:rsidR="1E1FA563" w:rsidRPr="5124B464">
        <w:rPr>
          <w:lang w:eastAsia="en-US"/>
        </w:rPr>
        <w:t>Tämänhetkisten osapuolten</w:t>
      </w:r>
      <w:r w:rsidRPr="5124B464">
        <w:rPr>
          <w:lang w:eastAsia="en-US"/>
        </w:rPr>
        <w:t xml:space="preserve"> päästövähennystavoitteiden ja niiden toimeenpanosuunnitelmien perusteella lämpeneminen tulee ylittämään kaksi astetta. Hallitustenvälisen ilmastopaneelin (</w:t>
      </w:r>
      <w:proofErr w:type="spellStart"/>
      <w:r w:rsidRPr="5124B464">
        <w:rPr>
          <w:lang w:eastAsia="en-US"/>
        </w:rPr>
        <w:t>Intergovernmental</w:t>
      </w:r>
      <w:proofErr w:type="spellEnd"/>
      <w:r w:rsidRPr="5124B464">
        <w:rPr>
          <w:lang w:eastAsia="en-US"/>
        </w:rPr>
        <w:t xml:space="preserve"> </w:t>
      </w:r>
      <w:proofErr w:type="spellStart"/>
      <w:r w:rsidRPr="5124B464">
        <w:rPr>
          <w:lang w:eastAsia="en-US"/>
        </w:rPr>
        <w:t>Panel</w:t>
      </w:r>
      <w:proofErr w:type="spellEnd"/>
      <w:r w:rsidRPr="5124B464">
        <w:rPr>
          <w:lang w:eastAsia="en-US"/>
        </w:rPr>
        <w:t xml:space="preserve"> on </w:t>
      </w:r>
      <w:proofErr w:type="spellStart"/>
      <w:r w:rsidRPr="5124B464">
        <w:rPr>
          <w:lang w:eastAsia="en-US"/>
        </w:rPr>
        <w:t>Climate</w:t>
      </w:r>
      <w:proofErr w:type="spellEnd"/>
      <w:r w:rsidRPr="5124B464">
        <w:rPr>
          <w:lang w:eastAsia="en-US"/>
        </w:rPr>
        <w:t xml:space="preserve"> </w:t>
      </w:r>
      <w:proofErr w:type="spellStart"/>
      <w:r w:rsidRPr="5124B464">
        <w:rPr>
          <w:lang w:eastAsia="en-US"/>
        </w:rPr>
        <w:t>Change</w:t>
      </w:r>
      <w:proofErr w:type="spellEnd"/>
      <w:r w:rsidRPr="5124B464">
        <w:rPr>
          <w:lang w:eastAsia="en-US"/>
        </w:rPr>
        <w:t>, IPCC)</w:t>
      </w:r>
      <w:r w:rsidR="2ECAAFA6" w:rsidRPr="5124B464">
        <w:rPr>
          <w:lang w:eastAsia="en-US"/>
        </w:rPr>
        <w:t xml:space="preserve"> mukaan</w:t>
      </w:r>
      <w:r w:rsidR="007F212B" w:rsidRPr="5124B464">
        <w:rPr>
          <w:lang w:eastAsia="en-US"/>
        </w:rPr>
        <w:t xml:space="preserve"> globaalit päästöt on saatava laskuun vuonna 2025 ja</w:t>
      </w:r>
      <w:r w:rsidRPr="5124B464">
        <w:rPr>
          <w:lang w:eastAsia="en-US"/>
        </w:rPr>
        <w:t xml:space="preserve"> päästövähennystoimia kiihdytettävä </w:t>
      </w:r>
      <w:r w:rsidR="00712F91" w:rsidRPr="5124B464">
        <w:rPr>
          <w:lang w:eastAsia="en-US"/>
        </w:rPr>
        <w:t>merkittävästi jo ennen vuotta 2030</w:t>
      </w:r>
      <w:r w:rsidRPr="5124B464">
        <w:rPr>
          <w:lang w:eastAsia="en-US"/>
        </w:rPr>
        <w:t>, jotta kansainväliset tavoitteet ilmaston lämpenemisen rajaamiseksi olisi mahdollista saavuttaa.</w:t>
      </w:r>
    </w:p>
    <w:p w14:paraId="0B561989" w14:textId="07CC372B" w:rsidR="00A42012" w:rsidRPr="00A42012" w:rsidRDefault="0E282190" w:rsidP="00A42012">
      <w:pPr>
        <w:pStyle w:val="VNLeip1kappale"/>
        <w:rPr>
          <w:lang w:eastAsia="en-US"/>
        </w:rPr>
      </w:pPr>
      <w:r w:rsidRPr="5124B464">
        <w:rPr>
          <w:lang w:eastAsia="en-US"/>
        </w:rPr>
        <w:t xml:space="preserve">Maiden kollektiivista etenemistä kohti Pariisin sopimuksen tavoitteita tarkasteltiin ensimmäisessä maailmanlaajuisissa tilannekatsauksessa </w:t>
      </w:r>
      <w:r w:rsidR="00712F91" w:rsidRPr="5124B464">
        <w:rPr>
          <w:lang w:eastAsia="en-US"/>
        </w:rPr>
        <w:t>Dubain</w:t>
      </w:r>
      <w:r w:rsidRPr="5124B464">
        <w:rPr>
          <w:lang w:eastAsia="en-US"/>
        </w:rPr>
        <w:t xml:space="preserve"> </w:t>
      </w:r>
      <w:r w:rsidR="00712F91" w:rsidRPr="5124B464">
        <w:rPr>
          <w:lang w:eastAsia="en-US"/>
        </w:rPr>
        <w:t>ilmasto</w:t>
      </w:r>
      <w:r w:rsidRPr="5124B464">
        <w:rPr>
          <w:lang w:eastAsia="en-US"/>
        </w:rPr>
        <w:t>kokouksessa</w:t>
      </w:r>
      <w:r w:rsidR="5F63D4EB" w:rsidRPr="5124B464">
        <w:rPr>
          <w:lang w:eastAsia="en-US"/>
        </w:rPr>
        <w:t xml:space="preserve"> </w:t>
      </w:r>
      <w:r w:rsidR="004F6925" w:rsidRPr="5124B464">
        <w:rPr>
          <w:lang w:eastAsia="en-US"/>
        </w:rPr>
        <w:t xml:space="preserve">vuonna </w:t>
      </w:r>
      <w:r w:rsidR="5F63D4EB" w:rsidRPr="5124B464">
        <w:rPr>
          <w:lang w:eastAsia="en-US"/>
        </w:rPr>
        <w:t>2023</w:t>
      </w:r>
      <w:r w:rsidRPr="5124B464">
        <w:rPr>
          <w:lang w:eastAsia="en-US"/>
        </w:rPr>
        <w:t xml:space="preserve">. Tilannekatsauksen tulosten </w:t>
      </w:r>
      <w:r w:rsidR="004F6925" w:rsidRPr="5124B464">
        <w:rPr>
          <w:lang w:eastAsia="en-US"/>
        </w:rPr>
        <w:t>tulisi</w:t>
      </w:r>
      <w:r w:rsidRPr="5124B464">
        <w:rPr>
          <w:lang w:eastAsia="en-US"/>
        </w:rPr>
        <w:t xml:space="preserve"> osaltaan ohjata seuraavien kansallisten </w:t>
      </w:r>
      <w:r w:rsidRPr="5250D7F3">
        <w:rPr>
          <w:lang w:eastAsia="en-US"/>
        </w:rPr>
        <w:t>päästövähennystavoitteiden</w:t>
      </w:r>
      <w:r w:rsidRPr="5124B464">
        <w:rPr>
          <w:lang w:eastAsia="en-US"/>
        </w:rPr>
        <w:t xml:space="preserve"> valmistelua siten, että Pariisin sopimuksen tavoitteet saavutetaan. Dubain </w:t>
      </w:r>
      <w:r w:rsidR="55D68F1F" w:rsidRPr="5124B464">
        <w:rPr>
          <w:lang w:eastAsia="en-US"/>
        </w:rPr>
        <w:t xml:space="preserve">kokouksen </w:t>
      </w:r>
      <w:r w:rsidRPr="5124B464">
        <w:rPr>
          <w:lang w:eastAsia="en-US"/>
        </w:rPr>
        <w:t xml:space="preserve">päätös sisältää mm. kehotuksen fossiilisista polttoaineista luopumisesta. Osapuolten tulee </w:t>
      </w:r>
      <w:r w:rsidR="679D26B2" w:rsidRPr="5124B464">
        <w:rPr>
          <w:lang w:eastAsia="en-US"/>
        </w:rPr>
        <w:t>il</w:t>
      </w:r>
      <w:r w:rsidR="679D26B2" w:rsidRPr="5124B464">
        <w:rPr>
          <w:lang w:eastAsia="en-US"/>
        </w:rPr>
        <w:lastRenderedPageBreak/>
        <w:t>moittaa</w:t>
      </w:r>
      <w:r w:rsidRPr="5124B464">
        <w:rPr>
          <w:lang w:eastAsia="en-US"/>
        </w:rPr>
        <w:t xml:space="preserve"> seuraavat, </w:t>
      </w:r>
      <w:r w:rsidR="4F9B57B8" w:rsidRPr="5124B464">
        <w:rPr>
          <w:lang w:eastAsia="en-US"/>
        </w:rPr>
        <w:t>vuoden 2035</w:t>
      </w:r>
      <w:r w:rsidRPr="5124B464">
        <w:rPr>
          <w:lang w:eastAsia="en-US"/>
        </w:rPr>
        <w:t xml:space="preserve"> päästövähennystavoitteet ennen </w:t>
      </w:r>
      <w:r w:rsidR="003469B4" w:rsidRPr="5124B464">
        <w:rPr>
          <w:lang w:eastAsia="en-US"/>
        </w:rPr>
        <w:t xml:space="preserve">marraskuussa 2025 pidettävää Brasilian </w:t>
      </w:r>
      <w:r w:rsidRPr="5124B464">
        <w:rPr>
          <w:lang w:eastAsia="en-US"/>
        </w:rPr>
        <w:t>COP30</w:t>
      </w:r>
      <w:r w:rsidR="54E111DE" w:rsidRPr="268F1B3D">
        <w:rPr>
          <w:lang w:eastAsia="en-US"/>
        </w:rPr>
        <w:t>-</w:t>
      </w:r>
      <w:r w:rsidR="003469B4" w:rsidRPr="5124B464">
        <w:rPr>
          <w:lang w:eastAsia="en-US"/>
        </w:rPr>
        <w:t>ilmasto</w:t>
      </w:r>
      <w:r w:rsidRPr="5124B464">
        <w:rPr>
          <w:lang w:eastAsia="en-US"/>
        </w:rPr>
        <w:t>kokousta. Myös EU</w:t>
      </w:r>
      <w:r w:rsidR="1993A9E9" w:rsidRPr="5124B464">
        <w:rPr>
          <w:lang w:eastAsia="en-US"/>
        </w:rPr>
        <w:t xml:space="preserve"> </w:t>
      </w:r>
      <w:r w:rsidR="6B5F92E0" w:rsidRPr="5124B464">
        <w:rPr>
          <w:lang w:eastAsia="en-US"/>
        </w:rPr>
        <w:t xml:space="preserve">valmistautuu ilmoittamaan </w:t>
      </w:r>
      <w:r w:rsidR="00C614F6" w:rsidRPr="5124B464">
        <w:rPr>
          <w:lang w:eastAsia="en-US"/>
        </w:rPr>
        <w:t xml:space="preserve">oman </w:t>
      </w:r>
      <w:r w:rsidR="3DBB6AA9" w:rsidRPr="5124B464">
        <w:rPr>
          <w:lang w:eastAsia="en-US"/>
        </w:rPr>
        <w:t>päästövähennystavoitteensa viimeistään syyskuussa 2025.</w:t>
      </w:r>
    </w:p>
    <w:p w14:paraId="518049B0" w14:textId="3ECE87FA" w:rsidR="00A42012" w:rsidRDefault="1A57BBD1" w:rsidP="00A42012">
      <w:pPr>
        <w:pStyle w:val="VNLeip1kappale"/>
        <w:rPr>
          <w:lang w:eastAsia="en-US"/>
        </w:rPr>
      </w:pPr>
      <w:r w:rsidRPr="5124B464">
        <w:rPr>
          <w:lang w:eastAsia="en-US"/>
        </w:rPr>
        <w:t xml:space="preserve">Ilmastosopimusten osapuolena Suomi on sitoutunut rahoittamaan </w:t>
      </w:r>
      <w:r w:rsidRPr="107C8F76">
        <w:rPr>
          <w:lang w:eastAsia="en-US"/>
        </w:rPr>
        <w:t>kehitysmaaosapuolten</w:t>
      </w:r>
      <w:r w:rsidRPr="5124B464">
        <w:rPr>
          <w:lang w:eastAsia="en-US"/>
        </w:rPr>
        <w:t xml:space="preserve"> ilmastotoimia ja raportoimaan rahoituksesta. Suomessa tämä rahoitus on osa kehitysyhteistyöbudjettia. Suomi laatii ilmastorahoituksestaan neljän vuoden välein maaraportin</w:t>
      </w:r>
      <w:r w:rsidR="4B91E485" w:rsidRPr="107C8F76">
        <w:rPr>
          <w:lang w:eastAsia="en-US"/>
        </w:rPr>
        <w:t>,</w:t>
      </w:r>
      <w:r w:rsidRPr="5124B464">
        <w:rPr>
          <w:lang w:eastAsia="en-US"/>
        </w:rPr>
        <w:t xml:space="preserve"> joka toinen vuosi kaksivuotisraportin YK:lle ja vuosittain EU:n hallintomalliasetuksen (</w:t>
      </w:r>
      <w:proofErr w:type="spellStart"/>
      <w:r w:rsidRPr="5124B464">
        <w:rPr>
          <w:lang w:eastAsia="en-US"/>
        </w:rPr>
        <w:t>Regulation</w:t>
      </w:r>
      <w:proofErr w:type="spellEnd"/>
      <w:r w:rsidRPr="5124B464">
        <w:rPr>
          <w:lang w:eastAsia="en-US"/>
        </w:rPr>
        <w:t xml:space="preserve"> 2018/1999 on </w:t>
      </w:r>
      <w:proofErr w:type="spellStart"/>
      <w:r w:rsidRPr="5124B464">
        <w:rPr>
          <w:lang w:eastAsia="en-US"/>
        </w:rPr>
        <w:t>the</w:t>
      </w:r>
      <w:proofErr w:type="spellEnd"/>
      <w:r w:rsidRPr="5124B464">
        <w:rPr>
          <w:lang w:eastAsia="en-US"/>
        </w:rPr>
        <w:t xml:space="preserve"> </w:t>
      </w:r>
      <w:proofErr w:type="spellStart"/>
      <w:r w:rsidRPr="5124B464">
        <w:rPr>
          <w:lang w:eastAsia="en-US"/>
        </w:rPr>
        <w:t>Governance</w:t>
      </w:r>
      <w:proofErr w:type="spellEnd"/>
      <w:r w:rsidRPr="5124B464">
        <w:rPr>
          <w:lang w:eastAsia="en-US"/>
        </w:rPr>
        <w:t xml:space="preserve"> of </w:t>
      </w:r>
      <w:proofErr w:type="spellStart"/>
      <w:r w:rsidRPr="5124B464">
        <w:rPr>
          <w:lang w:eastAsia="en-US"/>
        </w:rPr>
        <w:t>the</w:t>
      </w:r>
      <w:proofErr w:type="spellEnd"/>
      <w:r w:rsidRPr="5124B464">
        <w:rPr>
          <w:lang w:eastAsia="en-US"/>
        </w:rPr>
        <w:t xml:space="preserve"> Energy Union and </w:t>
      </w:r>
      <w:proofErr w:type="spellStart"/>
      <w:r w:rsidRPr="5124B464">
        <w:rPr>
          <w:lang w:eastAsia="en-US"/>
        </w:rPr>
        <w:t>Climate</w:t>
      </w:r>
      <w:proofErr w:type="spellEnd"/>
      <w:r w:rsidRPr="5124B464">
        <w:rPr>
          <w:lang w:eastAsia="en-US"/>
        </w:rPr>
        <w:t>) mukaisen raportin. Ilmastosopimuksen alla Suomi on osana ns. teollisuusmaita sitoutunut kollektiivisesti mobilisoimaan ilmastorahoitusta eri lähteistä (julkinen, yksityinen ja innovatiiviset lähteet) 100 mrd. USD vuosittain aikavälillä 2020–2025. Mobilisointitavoitetta ei ole ositettu maakohtaisesti, mutta käytännössä EU kokonaisuudessaan vastaa tällä hetkellä suuresta osasta sen toteutusta. Uudesta</w:t>
      </w:r>
      <w:r w:rsidR="4D6C6566" w:rsidRPr="5124B464">
        <w:rPr>
          <w:lang w:eastAsia="en-US"/>
        </w:rPr>
        <w:t xml:space="preserve"> </w:t>
      </w:r>
      <w:r w:rsidR="656A7CD3" w:rsidRPr="5124B464">
        <w:rPr>
          <w:lang w:eastAsia="en-US"/>
        </w:rPr>
        <w:t>3</w:t>
      </w:r>
      <w:r w:rsidR="17C8455E" w:rsidRPr="5124B464">
        <w:rPr>
          <w:lang w:eastAsia="en-US"/>
        </w:rPr>
        <w:t>0</w:t>
      </w:r>
      <w:r w:rsidR="656A7CD3" w:rsidRPr="5124B464">
        <w:rPr>
          <w:lang w:eastAsia="en-US"/>
        </w:rPr>
        <w:t>0 mrd</w:t>
      </w:r>
      <w:r w:rsidR="4491C38E" w:rsidRPr="0A255FBA">
        <w:rPr>
          <w:lang w:eastAsia="en-US"/>
        </w:rPr>
        <w:t>.</w:t>
      </w:r>
      <w:r w:rsidR="656A7CD3" w:rsidRPr="5124B464">
        <w:rPr>
          <w:lang w:eastAsia="en-US"/>
        </w:rPr>
        <w:t xml:space="preserve"> USD </w:t>
      </w:r>
      <w:r w:rsidR="6CA53297" w:rsidRPr="5124B464">
        <w:rPr>
          <w:lang w:eastAsia="en-US"/>
        </w:rPr>
        <w:t xml:space="preserve">suuruisesta </w:t>
      </w:r>
      <w:r w:rsidR="656A7CD3" w:rsidRPr="5124B464">
        <w:rPr>
          <w:lang w:eastAsia="en-US"/>
        </w:rPr>
        <w:t xml:space="preserve">vuotuisesta </w:t>
      </w:r>
      <w:r w:rsidRPr="5124B464">
        <w:rPr>
          <w:lang w:eastAsia="en-US"/>
        </w:rPr>
        <w:t xml:space="preserve">kollektiivisesta ilmastorahoitustavoitteesta (New </w:t>
      </w:r>
      <w:proofErr w:type="spellStart"/>
      <w:r w:rsidRPr="5124B464">
        <w:rPr>
          <w:lang w:eastAsia="en-US"/>
        </w:rPr>
        <w:t>Collective</w:t>
      </w:r>
      <w:proofErr w:type="spellEnd"/>
      <w:r w:rsidRPr="5124B464">
        <w:rPr>
          <w:lang w:eastAsia="en-US"/>
        </w:rPr>
        <w:t xml:space="preserve"> </w:t>
      </w:r>
      <w:proofErr w:type="spellStart"/>
      <w:r w:rsidRPr="7C89779C">
        <w:rPr>
          <w:lang w:eastAsia="en-US"/>
        </w:rPr>
        <w:t>Qu</w:t>
      </w:r>
      <w:r w:rsidR="1368657A" w:rsidRPr="7C89779C">
        <w:rPr>
          <w:lang w:eastAsia="en-US"/>
        </w:rPr>
        <w:t>a</w:t>
      </w:r>
      <w:r w:rsidRPr="7C89779C">
        <w:rPr>
          <w:lang w:eastAsia="en-US"/>
        </w:rPr>
        <w:t>ntified</w:t>
      </w:r>
      <w:proofErr w:type="spellEnd"/>
      <w:r w:rsidRPr="5124B464">
        <w:rPr>
          <w:lang w:eastAsia="en-US"/>
        </w:rPr>
        <w:t xml:space="preserve"> </w:t>
      </w:r>
      <w:proofErr w:type="spellStart"/>
      <w:r w:rsidRPr="5124B464">
        <w:rPr>
          <w:lang w:eastAsia="en-US"/>
        </w:rPr>
        <w:t>Goal</w:t>
      </w:r>
      <w:proofErr w:type="spellEnd"/>
      <w:r w:rsidRPr="5124B464">
        <w:rPr>
          <w:lang w:eastAsia="en-US"/>
        </w:rPr>
        <w:t xml:space="preserve">) </w:t>
      </w:r>
      <w:r w:rsidR="003469B4" w:rsidRPr="5124B464">
        <w:rPr>
          <w:lang w:eastAsia="en-US"/>
        </w:rPr>
        <w:t>sovittiin</w:t>
      </w:r>
      <w:r w:rsidR="183BA38E" w:rsidRPr="5124B464">
        <w:rPr>
          <w:lang w:eastAsia="en-US"/>
        </w:rPr>
        <w:t xml:space="preserve"> </w:t>
      </w:r>
      <w:r w:rsidRPr="5124B464">
        <w:rPr>
          <w:lang w:eastAsia="en-US"/>
        </w:rPr>
        <w:t xml:space="preserve">COP29-kokouksessa </w:t>
      </w:r>
      <w:r w:rsidR="0EF6AA09" w:rsidRPr="5124B464">
        <w:rPr>
          <w:lang w:eastAsia="en-US"/>
        </w:rPr>
        <w:t xml:space="preserve">Bakussa </w:t>
      </w:r>
      <w:r w:rsidR="003469B4" w:rsidRPr="5124B464">
        <w:rPr>
          <w:lang w:eastAsia="en-US"/>
        </w:rPr>
        <w:t>vuonna</w:t>
      </w:r>
      <w:r w:rsidRPr="5124B464">
        <w:rPr>
          <w:lang w:eastAsia="en-US"/>
        </w:rPr>
        <w:t xml:space="preserve"> 202</w:t>
      </w:r>
      <w:r w:rsidR="00B11075" w:rsidRPr="5124B464">
        <w:rPr>
          <w:lang w:eastAsia="en-US"/>
        </w:rPr>
        <w:t>4</w:t>
      </w:r>
      <w:r w:rsidR="3CFA418D" w:rsidRPr="5124B464">
        <w:rPr>
          <w:lang w:eastAsia="en-US"/>
        </w:rPr>
        <w:t>.</w:t>
      </w:r>
    </w:p>
    <w:p w14:paraId="77AE39CC" w14:textId="7853185F" w:rsidR="00AA7634" w:rsidRDefault="5FFD50AF" w:rsidP="56EFA041">
      <w:pPr>
        <w:pStyle w:val="Numeroimatonotsikko"/>
        <w:rPr>
          <w:lang w:eastAsia="en-US"/>
        </w:rPr>
      </w:pPr>
      <w:r>
        <w:t>IPCC</w:t>
      </w:r>
    </w:p>
    <w:p w14:paraId="43AD33E2" w14:textId="2D8F2094" w:rsidR="00E143BB" w:rsidRPr="00A42012" w:rsidRDefault="21DC7DF7" w:rsidP="00A42012">
      <w:pPr>
        <w:pStyle w:val="VNLeip1kappale"/>
        <w:rPr>
          <w:lang w:eastAsia="en-US"/>
        </w:rPr>
      </w:pPr>
      <w:r w:rsidRPr="61E66E8E">
        <w:rPr>
          <w:lang w:eastAsia="en-US"/>
        </w:rPr>
        <w:t>Hallitustenvälinen ilmastopaneeli IPCC (</w:t>
      </w:r>
      <w:proofErr w:type="spellStart"/>
      <w:r w:rsidRPr="61E66E8E">
        <w:rPr>
          <w:lang w:eastAsia="en-US"/>
        </w:rPr>
        <w:t>Intergovernmental</w:t>
      </w:r>
      <w:proofErr w:type="spellEnd"/>
      <w:r w:rsidRPr="61E66E8E">
        <w:rPr>
          <w:lang w:eastAsia="en-US"/>
        </w:rPr>
        <w:t xml:space="preserve"> </w:t>
      </w:r>
      <w:proofErr w:type="spellStart"/>
      <w:r w:rsidRPr="61E66E8E">
        <w:rPr>
          <w:lang w:eastAsia="en-US"/>
        </w:rPr>
        <w:t>Panel</w:t>
      </w:r>
      <w:proofErr w:type="spellEnd"/>
      <w:r w:rsidRPr="61E66E8E">
        <w:rPr>
          <w:lang w:eastAsia="en-US"/>
        </w:rPr>
        <w:t xml:space="preserve"> on </w:t>
      </w:r>
      <w:proofErr w:type="spellStart"/>
      <w:r w:rsidRPr="61E66E8E">
        <w:rPr>
          <w:lang w:eastAsia="en-US"/>
        </w:rPr>
        <w:t>Climate</w:t>
      </w:r>
      <w:proofErr w:type="spellEnd"/>
      <w:r w:rsidRPr="61E66E8E">
        <w:rPr>
          <w:lang w:eastAsia="en-US"/>
        </w:rPr>
        <w:t xml:space="preserve"> </w:t>
      </w:r>
      <w:proofErr w:type="spellStart"/>
      <w:r w:rsidRPr="61E66E8E">
        <w:rPr>
          <w:lang w:eastAsia="en-US"/>
        </w:rPr>
        <w:t>Change</w:t>
      </w:r>
      <w:proofErr w:type="spellEnd"/>
      <w:r w:rsidRPr="61E66E8E">
        <w:rPr>
          <w:lang w:eastAsia="en-US"/>
        </w:rPr>
        <w:t xml:space="preserve">) perustettiin 30 vuotta sitten kokoamaan ja analysoimaan tieteellistä tietoa ilmastonmuutoksesta sekä ilmastonmuutoksen hillinnästä ja siihen sopeutumisesta poliittisen päätöksenteon tueksi. Koottu tieto julkaistaan laajoina arviointiraportteina, joiden laadintaan osallistuu satoja tutkijoita eri puolilta maailmaa. IPCC laatii myös tiettyihin teemoihin keskittyviä erikoisraportteja sekä menetelmäohjeita kasvihuonekaasupäästöjen raportoinnin tueksi osana ilmastosopimuksen toimeenpanoa. Ennen julkistusta </w:t>
      </w:r>
      <w:proofErr w:type="spellStart"/>
      <w:r w:rsidRPr="61E66E8E">
        <w:rPr>
          <w:lang w:eastAsia="en-US"/>
        </w:rPr>
        <w:t>IPCC:n</w:t>
      </w:r>
      <w:proofErr w:type="spellEnd"/>
      <w:r w:rsidRPr="61E66E8E">
        <w:rPr>
          <w:lang w:eastAsia="en-US"/>
        </w:rPr>
        <w:t xml:space="preserve"> laatimille raporteille tehdään tieteellinen vertaisarviointi ja</w:t>
      </w:r>
      <w:r w:rsidR="2B5B4649" w:rsidRPr="61E66E8E">
        <w:rPr>
          <w:lang w:eastAsia="en-US"/>
        </w:rPr>
        <w:t xml:space="preserve"> päätöksentekijöiden yhteenvedoille myös</w:t>
      </w:r>
      <w:r w:rsidRPr="61E66E8E">
        <w:rPr>
          <w:lang w:eastAsia="en-US"/>
        </w:rPr>
        <w:t xml:space="preserve"> hallitusten arviointi. Raportit hyväksytään </w:t>
      </w:r>
      <w:proofErr w:type="spellStart"/>
      <w:r w:rsidRPr="61E66E8E">
        <w:rPr>
          <w:lang w:eastAsia="en-US"/>
        </w:rPr>
        <w:t>IPCC:n</w:t>
      </w:r>
      <w:proofErr w:type="spellEnd"/>
      <w:r w:rsidRPr="61E66E8E">
        <w:rPr>
          <w:lang w:eastAsia="en-US"/>
        </w:rPr>
        <w:t xml:space="preserve"> yleiskokouksissa. IPCC työstää parhaillaan 7. </w:t>
      </w:r>
      <w:proofErr w:type="spellStart"/>
      <w:r w:rsidRPr="61E66E8E">
        <w:rPr>
          <w:lang w:eastAsia="en-US"/>
        </w:rPr>
        <w:t>arviontiraportointisykliä</w:t>
      </w:r>
      <w:proofErr w:type="spellEnd"/>
      <w:r w:rsidR="6C30776C" w:rsidRPr="61E66E8E">
        <w:rPr>
          <w:lang w:eastAsia="en-US"/>
        </w:rPr>
        <w:t xml:space="preserve">, jonka päätuotokset julkaistaan vuosien </w:t>
      </w:r>
      <w:proofErr w:type="gramStart"/>
      <w:r w:rsidR="6C30776C" w:rsidRPr="61E66E8E">
        <w:rPr>
          <w:lang w:eastAsia="en-US"/>
        </w:rPr>
        <w:t>2027-2029</w:t>
      </w:r>
      <w:proofErr w:type="gramEnd"/>
      <w:r w:rsidR="6C30776C" w:rsidRPr="61E66E8E">
        <w:rPr>
          <w:lang w:eastAsia="en-US"/>
        </w:rPr>
        <w:t xml:space="preserve"> aikana</w:t>
      </w:r>
      <w:r w:rsidRPr="61E66E8E">
        <w:rPr>
          <w:lang w:eastAsia="en-US"/>
        </w:rPr>
        <w:t xml:space="preserve">. </w:t>
      </w:r>
      <w:r w:rsidR="78D6AB5C" w:rsidRPr="61E66E8E">
        <w:rPr>
          <w:lang w:eastAsia="en-US"/>
        </w:rPr>
        <w:t xml:space="preserve">Suomen osallistumista </w:t>
      </w:r>
      <w:proofErr w:type="spellStart"/>
      <w:r w:rsidR="78D6AB5C" w:rsidRPr="61E66E8E">
        <w:rPr>
          <w:lang w:eastAsia="en-US"/>
        </w:rPr>
        <w:t>IPCC:n</w:t>
      </w:r>
      <w:proofErr w:type="spellEnd"/>
      <w:r w:rsidR="78D6AB5C" w:rsidRPr="61E66E8E">
        <w:rPr>
          <w:lang w:eastAsia="en-US"/>
        </w:rPr>
        <w:t xml:space="preserve"> toimintaan koordinoi</w:t>
      </w:r>
      <w:r w:rsidR="0FE8C108" w:rsidRPr="61E66E8E">
        <w:rPr>
          <w:lang w:eastAsia="en-US"/>
        </w:rPr>
        <w:t xml:space="preserve"> vuodesta 1993 </w:t>
      </w:r>
      <w:r w:rsidR="4B384877" w:rsidRPr="61E66E8E">
        <w:rPr>
          <w:lang w:eastAsia="en-US"/>
        </w:rPr>
        <w:t>alkaen</w:t>
      </w:r>
      <w:r w:rsidR="78D6AB5C" w:rsidRPr="61E66E8E">
        <w:rPr>
          <w:lang w:eastAsia="en-US"/>
        </w:rPr>
        <w:t xml:space="preserve"> kansallinen</w:t>
      </w:r>
      <w:r w:rsidRPr="61E66E8E">
        <w:rPr>
          <w:lang w:eastAsia="en-US"/>
        </w:rPr>
        <w:t xml:space="preserve"> IPCC-</w:t>
      </w:r>
      <w:r w:rsidR="5A0FD9FF" w:rsidRPr="61E66E8E">
        <w:rPr>
          <w:lang w:eastAsia="en-US"/>
        </w:rPr>
        <w:t>työ</w:t>
      </w:r>
      <w:r w:rsidRPr="61E66E8E">
        <w:rPr>
          <w:lang w:eastAsia="en-US"/>
        </w:rPr>
        <w:t>ryhmä</w:t>
      </w:r>
      <w:r w:rsidR="74726631" w:rsidRPr="61E66E8E">
        <w:rPr>
          <w:lang w:eastAsia="en-US"/>
        </w:rPr>
        <w:t>, joka nimetään 5-vuotiskausittain</w:t>
      </w:r>
      <w:r w:rsidRPr="61E66E8E">
        <w:rPr>
          <w:lang w:eastAsia="en-US"/>
        </w:rPr>
        <w:t>. Työryhmän puheenjohtajana toimii Ilmatieteen laitoksen pääjohtaja</w:t>
      </w:r>
      <w:r w:rsidR="38615DCE" w:rsidRPr="61E66E8E">
        <w:rPr>
          <w:lang w:eastAsia="en-US"/>
        </w:rPr>
        <w:t xml:space="preserve"> ja jäsenistössä taustatahojensa nimeäminä edustajia Suomen korkeakouluista, yliopistoista, tutkimuslaitoksista ja ministeriöistä</w:t>
      </w:r>
      <w:r w:rsidRPr="61E66E8E">
        <w:rPr>
          <w:lang w:eastAsia="en-US"/>
        </w:rPr>
        <w:t>.</w:t>
      </w:r>
    </w:p>
    <w:p w14:paraId="553DF851" w14:textId="1F5AB977" w:rsidR="00D95A49" w:rsidRPr="00DC758F" w:rsidRDefault="00D95A49" w:rsidP="00D95A49">
      <w:pPr>
        <w:pStyle w:val="Otsikko2"/>
        <w:rPr>
          <w:lang w:val="fi-FI"/>
        </w:rPr>
      </w:pPr>
      <w:bookmarkStart w:id="14" w:name="_Toc1950925904"/>
      <w:bookmarkStart w:id="15" w:name="_Toc1624516637"/>
      <w:bookmarkStart w:id="16" w:name="_Toc202260014"/>
      <w:r w:rsidRPr="1A881142">
        <w:rPr>
          <w:lang w:val="fi-FI"/>
        </w:rPr>
        <w:lastRenderedPageBreak/>
        <w:t>Muut kansainväliset aloitteet</w:t>
      </w:r>
      <w:bookmarkEnd w:id="14"/>
      <w:bookmarkEnd w:id="15"/>
      <w:bookmarkEnd w:id="16"/>
    </w:p>
    <w:p w14:paraId="5DD04C5F" w14:textId="6E2EEE23" w:rsidR="764CFA68" w:rsidRPr="00DC758F" w:rsidRDefault="764CFA68" w:rsidP="668BC20E">
      <w:pPr>
        <w:spacing w:before="440" w:after="60"/>
        <w:rPr>
          <w:rFonts w:ascii="Arial Narrow" w:eastAsia="Arial Narrow" w:hAnsi="Arial Narrow" w:cs="Arial Narrow"/>
          <w:b/>
          <w:bCs/>
          <w:color w:val="365ABD" w:themeColor="accent3"/>
          <w:sz w:val="26"/>
          <w:szCs w:val="26"/>
          <w:highlight w:val="yellow"/>
        </w:rPr>
      </w:pPr>
      <w:proofErr w:type="spellStart"/>
      <w:r w:rsidRPr="00DC758F">
        <w:rPr>
          <w:rFonts w:ascii="Arial Narrow" w:eastAsia="Arial Narrow" w:hAnsi="Arial Narrow" w:cs="Arial Narrow"/>
          <w:b/>
          <w:bCs/>
          <w:color w:val="365ABD" w:themeColor="accent3"/>
          <w:sz w:val="26"/>
          <w:szCs w:val="26"/>
        </w:rPr>
        <w:t>Climate</w:t>
      </w:r>
      <w:proofErr w:type="spellEnd"/>
      <w:r w:rsidRPr="00DC758F">
        <w:rPr>
          <w:rFonts w:ascii="Arial Narrow" w:eastAsia="Arial Narrow" w:hAnsi="Arial Narrow" w:cs="Arial Narrow"/>
          <w:b/>
          <w:bCs/>
          <w:color w:val="365ABD" w:themeColor="accent3"/>
          <w:sz w:val="26"/>
          <w:szCs w:val="26"/>
        </w:rPr>
        <w:t xml:space="preserve"> and </w:t>
      </w:r>
      <w:proofErr w:type="spellStart"/>
      <w:r w:rsidRPr="00DC758F">
        <w:rPr>
          <w:rFonts w:ascii="Arial Narrow" w:eastAsia="Arial Narrow" w:hAnsi="Arial Narrow" w:cs="Arial Narrow"/>
          <w:b/>
          <w:bCs/>
          <w:color w:val="365ABD" w:themeColor="accent3"/>
          <w:sz w:val="26"/>
          <w:szCs w:val="26"/>
        </w:rPr>
        <w:t>Clean</w:t>
      </w:r>
      <w:proofErr w:type="spellEnd"/>
      <w:r w:rsidRPr="00DC758F">
        <w:rPr>
          <w:rFonts w:ascii="Arial Narrow" w:eastAsia="Arial Narrow" w:hAnsi="Arial Narrow" w:cs="Arial Narrow"/>
          <w:b/>
          <w:bCs/>
          <w:color w:val="365ABD" w:themeColor="accent3"/>
          <w:sz w:val="26"/>
          <w:szCs w:val="26"/>
        </w:rPr>
        <w:t xml:space="preserve"> Air </w:t>
      </w:r>
      <w:proofErr w:type="spellStart"/>
      <w:r w:rsidRPr="00DC758F">
        <w:rPr>
          <w:rFonts w:ascii="Arial Narrow" w:eastAsia="Arial Narrow" w:hAnsi="Arial Narrow" w:cs="Arial Narrow"/>
          <w:b/>
          <w:bCs/>
          <w:color w:val="365ABD" w:themeColor="accent3"/>
          <w:sz w:val="26"/>
          <w:szCs w:val="26"/>
        </w:rPr>
        <w:t>Coalition</w:t>
      </w:r>
      <w:proofErr w:type="spellEnd"/>
      <w:r w:rsidRPr="00DC758F">
        <w:rPr>
          <w:rFonts w:ascii="Arial Narrow" w:eastAsia="Arial Narrow" w:hAnsi="Arial Narrow" w:cs="Arial Narrow"/>
          <w:b/>
          <w:bCs/>
          <w:color w:val="365ABD" w:themeColor="accent3"/>
          <w:sz w:val="26"/>
          <w:szCs w:val="26"/>
        </w:rPr>
        <w:t xml:space="preserve"> </w:t>
      </w:r>
    </w:p>
    <w:p w14:paraId="613DF109" w14:textId="58EB2EDB" w:rsidR="00D95A49" w:rsidRPr="00AB1511" w:rsidRDefault="764CFA68" w:rsidP="56EFA041">
      <w:pPr>
        <w:pStyle w:val="VNLeip1kappale"/>
        <w:rPr>
          <w:lang w:eastAsia="en-US"/>
        </w:rPr>
      </w:pPr>
      <w:r w:rsidRPr="56EFA041">
        <w:rPr>
          <w:lang w:eastAsia="en-US"/>
        </w:rPr>
        <w:t>Vuonna 2012 perustettu CCAC (</w:t>
      </w:r>
      <w:proofErr w:type="spellStart"/>
      <w:r w:rsidRPr="56EFA041">
        <w:rPr>
          <w:lang w:eastAsia="en-US"/>
        </w:rPr>
        <w:t>Climate</w:t>
      </w:r>
      <w:proofErr w:type="spellEnd"/>
      <w:r w:rsidRPr="56EFA041">
        <w:rPr>
          <w:lang w:eastAsia="en-US"/>
        </w:rPr>
        <w:t xml:space="preserve"> and </w:t>
      </w:r>
      <w:proofErr w:type="spellStart"/>
      <w:r w:rsidRPr="56EFA041">
        <w:rPr>
          <w:lang w:eastAsia="en-US"/>
        </w:rPr>
        <w:t>Clean</w:t>
      </w:r>
      <w:proofErr w:type="spellEnd"/>
      <w:r w:rsidRPr="56EFA041">
        <w:rPr>
          <w:lang w:eastAsia="en-US"/>
        </w:rPr>
        <w:t xml:space="preserve"> Air </w:t>
      </w:r>
      <w:proofErr w:type="spellStart"/>
      <w:r w:rsidRPr="56EFA041">
        <w:rPr>
          <w:lang w:eastAsia="en-US"/>
        </w:rPr>
        <w:t>Coalition</w:t>
      </w:r>
      <w:proofErr w:type="spellEnd"/>
      <w:r w:rsidRPr="56EFA041">
        <w:rPr>
          <w:lang w:eastAsia="en-US"/>
        </w:rPr>
        <w:t xml:space="preserve"> to </w:t>
      </w:r>
      <w:proofErr w:type="spellStart"/>
      <w:r w:rsidRPr="56EFA041">
        <w:rPr>
          <w:lang w:eastAsia="en-US"/>
        </w:rPr>
        <w:t>Reduce</w:t>
      </w:r>
      <w:proofErr w:type="spellEnd"/>
      <w:r w:rsidRPr="56EFA041">
        <w:rPr>
          <w:lang w:eastAsia="en-US"/>
        </w:rPr>
        <w:t xml:space="preserve"> Short-</w:t>
      </w:r>
      <w:proofErr w:type="spellStart"/>
      <w:r w:rsidRPr="56EFA041">
        <w:rPr>
          <w:lang w:eastAsia="en-US"/>
        </w:rPr>
        <w:t>Lived</w:t>
      </w:r>
      <w:proofErr w:type="spellEnd"/>
      <w:r w:rsidRPr="56EFA041">
        <w:rPr>
          <w:lang w:eastAsia="en-US"/>
        </w:rPr>
        <w:t xml:space="preserve"> </w:t>
      </w:r>
      <w:proofErr w:type="spellStart"/>
      <w:r w:rsidRPr="56EFA041">
        <w:rPr>
          <w:lang w:eastAsia="en-US"/>
        </w:rPr>
        <w:t>Climate</w:t>
      </w:r>
      <w:proofErr w:type="spellEnd"/>
      <w:r w:rsidRPr="56EFA041">
        <w:rPr>
          <w:lang w:eastAsia="en-US"/>
        </w:rPr>
        <w:t xml:space="preserve"> </w:t>
      </w:r>
      <w:proofErr w:type="spellStart"/>
      <w:r w:rsidRPr="56EFA041">
        <w:rPr>
          <w:lang w:eastAsia="en-US"/>
        </w:rPr>
        <w:t>Pollutants</w:t>
      </w:r>
      <w:proofErr w:type="spellEnd"/>
      <w:r w:rsidRPr="56EFA041">
        <w:rPr>
          <w:lang w:eastAsia="en-US"/>
        </w:rPr>
        <w:t xml:space="preserve">) on </w:t>
      </w:r>
      <w:r w:rsidRPr="6A15F120">
        <w:rPr>
          <w:lang w:eastAsia="en-US"/>
        </w:rPr>
        <w:t>valtioiden, hallitustenvälisten</w:t>
      </w:r>
      <w:r w:rsidR="1E5336A1" w:rsidRPr="6A15F120">
        <w:rPr>
          <w:lang w:eastAsia="en-US"/>
        </w:rPr>
        <w:t xml:space="preserve"> </w:t>
      </w:r>
      <w:r w:rsidRPr="6A15F120">
        <w:rPr>
          <w:lang w:eastAsia="en-US"/>
        </w:rPr>
        <w:t>järjestöjen, yritysten, tutkimuslaitosten ja kansalaisjärjestöjen välinen vapaaehtoinen ilmaston ja puhtaan ilman kumppanuusaloite. Koalition tavoitteena on edesauttaa globaaleja lyhytikäisten ilmastovaikutteisten ilmansaasteiden (</w:t>
      </w:r>
      <w:proofErr w:type="spellStart"/>
      <w:r w:rsidRPr="6A15F120">
        <w:rPr>
          <w:lang w:eastAsia="en-US"/>
        </w:rPr>
        <w:t>short-lived</w:t>
      </w:r>
      <w:proofErr w:type="spellEnd"/>
      <w:r w:rsidRPr="6A15F120">
        <w:rPr>
          <w:lang w:eastAsia="en-US"/>
        </w:rPr>
        <w:t xml:space="preserve"> </w:t>
      </w:r>
      <w:proofErr w:type="spellStart"/>
      <w:r w:rsidRPr="6A15F120">
        <w:rPr>
          <w:lang w:eastAsia="en-US"/>
        </w:rPr>
        <w:t>climate</w:t>
      </w:r>
      <w:proofErr w:type="spellEnd"/>
      <w:r w:rsidRPr="6A15F120">
        <w:rPr>
          <w:lang w:eastAsia="en-US"/>
        </w:rPr>
        <w:t xml:space="preserve"> </w:t>
      </w:r>
      <w:proofErr w:type="spellStart"/>
      <w:r w:rsidRPr="6A15F120">
        <w:rPr>
          <w:lang w:eastAsia="en-US"/>
        </w:rPr>
        <w:t>pollutants</w:t>
      </w:r>
      <w:proofErr w:type="spellEnd"/>
      <w:r w:rsidRPr="6A15F120">
        <w:rPr>
          <w:lang w:eastAsia="en-US"/>
        </w:rPr>
        <w:t xml:space="preserve">, SLCP) ja kasvihuonekaasujen päästövähennyksiä ja näin suojella ympäristöä ja ihmisen terveyttä, parantaa ruoka- ja energiaturvaa sekä torjua ilmastonmuutosta. </w:t>
      </w:r>
      <w:proofErr w:type="spellStart"/>
      <w:r w:rsidRPr="6A15F120">
        <w:rPr>
          <w:lang w:eastAsia="en-US"/>
        </w:rPr>
        <w:t>CCAC:ssa</w:t>
      </w:r>
      <w:proofErr w:type="spellEnd"/>
      <w:r w:rsidRPr="6A15F120">
        <w:rPr>
          <w:lang w:eastAsia="en-US"/>
        </w:rPr>
        <w:t xml:space="preserve"> SLCP-aineisiin lasketaan musta hiili, metaani ja troposfäärinen otsoni sekä </w:t>
      </w:r>
      <w:r w:rsidR="02F652CE" w:rsidRPr="6A15F120">
        <w:rPr>
          <w:lang w:eastAsia="en-US"/>
        </w:rPr>
        <w:t xml:space="preserve">lyhytikäisiä </w:t>
      </w:r>
      <w:r w:rsidRPr="6A15F120">
        <w:rPr>
          <w:lang w:eastAsia="en-US"/>
        </w:rPr>
        <w:t>F-</w:t>
      </w:r>
      <w:r w:rsidR="2E998052" w:rsidRPr="6A15F120">
        <w:rPr>
          <w:lang w:eastAsia="en-US"/>
        </w:rPr>
        <w:t>kaasuja</w:t>
      </w:r>
      <w:r w:rsidRPr="6A15F120">
        <w:rPr>
          <w:lang w:eastAsia="en-US"/>
        </w:rPr>
        <w:t xml:space="preserve">. Tällä hetkellä jäseninä on </w:t>
      </w:r>
      <w:r w:rsidR="301CC762" w:rsidRPr="6A15F120">
        <w:rPr>
          <w:lang w:eastAsia="en-US"/>
        </w:rPr>
        <w:t>89</w:t>
      </w:r>
      <w:r w:rsidRPr="6A15F120">
        <w:rPr>
          <w:lang w:eastAsia="en-US"/>
        </w:rPr>
        <w:t xml:space="preserve"> valtiota ja </w:t>
      </w:r>
      <w:r w:rsidR="5EADED50" w:rsidRPr="6A15F120">
        <w:rPr>
          <w:lang w:eastAsia="en-US"/>
        </w:rPr>
        <w:t>9</w:t>
      </w:r>
      <w:r w:rsidRPr="6A15F120">
        <w:rPr>
          <w:lang w:eastAsia="en-US"/>
        </w:rPr>
        <w:t>8 ei-valtiollista toimijaa. Suomi liittyi koalitioon kesäkuussa 2012. YK:n ympäristöohjelma toimii koalition sihteeristönä.</w:t>
      </w:r>
    </w:p>
    <w:p w14:paraId="490F914B" w14:textId="47F927F5" w:rsidR="00D95A49" w:rsidRDefault="764CFA68" w:rsidP="56EFA041">
      <w:pPr>
        <w:pStyle w:val="VNLeip1kappale"/>
        <w:rPr>
          <w:rFonts w:ascii="Arial Narrow" w:eastAsia="Arial Narrow" w:hAnsi="Arial Narrow" w:cs="Arial Narrow"/>
          <w:b/>
          <w:bCs/>
          <w:color w:val="365ABD" w:themeColor="accent3"/>
          <w:sz w:val="26"/>
          <w:szCs w:val="26"/>
          <w:highlight w:val="yellow"/>
        </w:rPr>
      </w:pPr>
      <w:r w:rsidRPr="668BC20E">
        <w:rPr>
          <w:rFonts w:ascii="Arial Narrow" w:eastAsia="Arial Narrow" w:hAnsi="Arial Narrow" w:cs="Arial Narrow"/>
          <w:b/>
          <w:bCs/>
          <w:color w:val="365ABD" w:themeColor="accent3"/>
          <w:sz w:val="26"/>
          <w:szCs w:val="26"/>
        </w:rPr>
        <w:t xml:space="preserve">Kansainväliset metaanialoitteet </w:t>
      </w:r>
    </w:p>
    <w:p w14:paraId="3F05EA9B" w14:textId="569C348C" w:rsidR="00D95A49" w:rsidRPr="00AB1511" w:rsidRDefault="764CFA68" w:rsidP="56EFA041">
      <w:pPr>
        <w:pStyle w:val="VNLeip1kappale"/>
        <w:rPr>
          <w:szCs w:val="22"/>
          <w:lang w:eastAsia="en-US"/>
        </w:rPr>
      </w:pPr>
      <w:r w:rsidRPr="56EFA041">
        <w:rPr>
          <w:lang w:eastAsia="en-US"/>
        </w:rPr>
        <w:t xml:space="preserve">YK:n ilmastosopimuksen 2021 osapuolikokouksessa Glasgow’ssa (COP26), EU:n ja Yhdysvaltojen johdolla, käynnistettiin maailmanlaajuinen metaanisitoumus (Global </w:t>
      </w:r>
      <w:proofErr w:type="spellStart"/>
      <w:r w:rsidRPr="56EFA041">
        <w:rPr>
          <w:lang w:eastAsia="en-US"/>
        </w:rPr>
        <w:t>Methane</w:t>
      </w:r>
      <w:proofErr w:type="spellEnd"/>
      <w:r w:rsidRPr="56EFA041">
        <w:rPr>
          <w:lang w:eastAsia="en-US"/>
        </w:rPr>
        <w:t xml:space="preserve"> </w:t>
      </w:r>
      <w:proofErr w:type="spellStart"/>
      <w:r w:rsidRPr="56EFA041">
        <w:rPr>
          <w:lang w:eastAsia="en-US"/>
        </w:rPr>
        <w:t>Pledge</w:t>
      </w:r>
      <w:proofErr w:type="spellEnd"/>
      <w:r w:rsidRPr="56EFA041">
        <w:rPr>
          <w:lang w:eastAsia="en-US"/>
        </w:rPr>
        <w:t>), joka tavoittelee määrällistä 30 prosentin globaalia vähennystä ihmisperäisissä metaanipäästöissä aikavälillä 2020–2030. Maailmanlaajuinen metaanisitoumus tukee, tiedeyhteisön arvioihin perustuen, Pariisin sopimuksen lämpötilatavoitteen mukaista globaalia päästökehitystä metaanin osalta, täydentämään toimia hiilidioksidin ja muiden kasvihuonekaasujen vähentämiseksi. Sitoumukseen on liittynyt yhteensä 15</w:t>
      </w:r>
      <w:r w:rsidR="5802C17B" w:rsidRPr="00AB1511">
        <w:rPr>
          <w:szCs w:val="22"/>
          <w:lang w:eastAsia="en-US"/>
        </w:rPr>
        <w:t>8</w:t>
      </w:r>
      <w:r w:rsidRPr="00AB1511">
        <w:rPr>
          <w:szCs w:val="22"/>
          <w:lang w:eastAsia="en-US"/>
        </w:rPr>
        <w:t xml:space="preserve"> maata, mukaan lukien Suomi. Sitoumus ei sisällä allekirjoittajamaille kansallisia tai sektorikohtaisia vähennystavoitteita. </w:t>
      </w:r>
    </w:p>
    <w:p w14:paraId="7302EE6A" w14:textId="7BA58851" w:rsidR="00D95A49" w:rsidRDefault="764CFA68" w:rsidP="56EFA041">
      <w:pPr>
        <w:pStyle w:val="VNLeip1kappale"/>
        <w:rPr>
          <w:szCs w:val="22"/>
          <w:lang w:val="en-US" w:eastAsia="en-US"/>
        </w:rPr>
      </w:pPr>
      <w:r w:rsidRPr="56EFA041">
        <w:rPr>
          <w:lang w:eastAsia="en-US"/>
        </w:rPr>
        <w:t xml:space="preserve">Maailmanlaajuinen metaanialoite (GMI) on </w:t>
      </w:r>
      <w:r w:rsidR="63509E14" w:rsidRPr="00AB1511">
        <w:rPr>
          <w:szCs w:val="22"/>
          <w:lang w:eastAsia="en-US"/>
        </w:rPr>
        <w:t xml:space="preserve">vuonna 2004 käynnistynyt </w:t>
      </w:r>
      <w:r w:rsidRPr="00AB1511">
        <w:rPr>
          <w:szCs w:val="22"/>
          <w:lang w:eastAsia="en-US"/>
        </w:rPr>
        <w:t xml:space="preserve">vapaaehtoinen kansainvälisen yhteistyön ja tiedonvaihdon ohjelma metaanipäästöjen vähentämiseksi sekä metaanin hyödyntämisen edistämiseksi energiantuotannossa. Työssä on vahva painotus julkisen ja yksityisen sektorin yhteistyölle ja sen puitteissa toteutetaan teknologiademonstraatioita sekä levitetään tietoa politiikkatoimista investointien kirittämiseksi ja tehokkaiden päästövähennystoimien tunnistamiseksi. Työ kohdentuu erityisesti öljy- ja kaasu-, biokaasu- sekä hiilikaivossektorien toimenpiteisiin. Biokaasusektorilla käsitellään maatalouden ja jätesektorin kysymyksiä. Tällä hetkellä </w:t>
      </w:r>
      <w:proofErr w:type="spellStart"/>
      <w:r w:rsidRPr="00AB1511">
        <w:rPr>
          <w:szCs w:val="22"/>
          <w:lang w:eastAsia="en-US"/>
        </w:rPr>
        <w:t>GMI:llä</w:t>
      </w:r>
      <w:proofErr w:type="spellEnd"/>
      <w:r w:rsidRPr="00AB1511">
        <w:rPr>
          <w:szCs w:val="22"/>
          <w:lang w:eastAsia="en-US"/>
        </w:rPr>
        <w:t xml:space="preserve"> on </w:t>
      </w:r>
      <w:r w:rsidR="10743EE7" w:rsidRPr="00AB1511">
        <w:rPr>
          <w:szCs w:val="22"/>
          <w:lang w:eastAsia="en-US"/>
        </w:rPr>
        <w:t>4</w:t>
      </w:r>
      <w:r w:rsidRPr="00AB1511">
        <w:rPr>
          <w:szCs w:val="22"/>
          <w:lang w:eastAsia="en-US"/>
        </w:rPr>
        <w:t xml:space="preserve">9 partnerimaata </w:t>
      </w:r>
      <w:r w:rsidRPr="00AB1511">
        <w:rPr>
          <w:szCs w:val="22"/>
          <w:lang w:eastAsia="en-US"/>
        </w:rPr>
        <w:lastRenderedPageBreak/>
        <w:t xml:space="preserve">ja sen projektiverkostoissa on yli 1000 osallistujatahoa. </w:t>
      </w:r>
      <w:r w:rsidRPr="41366032">
        <w:rPr>
          <w:szCs w:val="22"/>
          <w:lang w:val="en-US" w:eastAsia="en-US"/>
        </w:rPr>
        <w:t xml:space="preserve">Suomi on </w:t>
      </w:r>
      <w:proofErr w:type="spellStart"/>
      <w:r w:rsidRPr="41366032">
        <w:rPr>
          <w:szCs w:val="22"/>
          <w:lang w:val="en-US" w:eastAsia="en-US"/>
        </w:rPr>
        <w:t>osallistunut</w:t>
      </w:r>
      <w:proofErr w:type="spellEnd"/>
      <w:r w:rsidRPr="41366032">
        <w:rPr>
          <w:szCs w:val="22"/>
          <w:lang w:val="en-US" w:eastAsia="en-US"/>
        </w:rPr>
        <w:t xml:space="preserve"> </w:t>
      </w:r>
      <w:proofErr w:type="spellStart"/>
      <w:r w:rsidRPr="41366032">
        <w:rPr>
          <w:szCs w:val="22"/>
          <w:lang w:val="en-US" w:eastAsia="en-US"/>
        </w:rPr>
        <w:t>toimintaan</w:t>
      </w:r>
      <w:proofErr w:type="spellEnd"/>
      <w:r w:rsidRPr="41366032">
        <w:rPr>
          <w:szCs w:val="22"/>
          <w:lang w:val="en-US" w:eastAsia="en-US"/>
        </w:rPr>
        <w:t xml:space="preserve"> </w:t>
      </w:r>
      <w:proofErr w:type="spellStart"/>
      <w:r w:rsidRPr="41366032">
        <w:rPr>
          <w:szCs w:val="22"/>
          <w:lang w:val="en-US" w:eastAsia="en-US"/>
        </w:rPr>
        <w:t>vuodesta</w:t>
      </w:r>
      <w:proofErr w:type="spellEnd"/>
      <w:r w:rsidRPr="41366032">
        <w:rPr>
          <w:szCs w:val="22"/>
          <w:lang w:val="en-US" w:eastAsia="en-US"/>
        </w:rPr>
        <w:t xml:space="preserve"> 2008.</w:t>
      </w:r>
    </w:p>
    <w:p w14:paraId="0B0B43B8" w14:textId="54E47AD4" w:rsidR="00D95A49" w:rsidRDefault="00D95A49" w:rsidP="00D95A49">
      <w:pPr>
        <w:pStyle w:val="VNLeip1kappale"/>
        <w:rPr>
          <w:lang w:val="en-US" w:eastAsia="en-US"/>
        </w:rPr>
      </w:pPr>
    </w:p>
    <w:p w14:paraId="681BA48A" w14:textId="588D23A7" w:rsidR="00D95A49" w:rsidRDefault="00D95A49" w:rsidP="00D95A49">
      <w:pPr>
        <w:pStyle w:val="VNLeip1kappale"/>
        <w:rPr>
          <w:lang w:val="en-US" w:eastAsia="en-US"/>
        </w:rPr>
      </w:pPr>
    </w:p>
    <w:p w14:paraId="399D945C" w14:textId="6BEEB177" w:rsidR="00D95A49" w:rsidRPr="00F53516" w:rsidRDefault="740E8092" w:rsidP="003E54B7">
      <w:pPr>
        <w:pStyle w:val="Otsikko1"/>
      </w:pPr>
      <w:bookmarkStart w:id="17" w:name="_Toc1390788822"/>
      <w:bookmarkStart w:id="18" w:name="_Toc595779579"/>
      <w:r>
        <w:lastRenderedPageBreak/>
        <w:t xml:space="preserve"> </w:t>
      </w:r>
      <w:bookmarkStart w:id="19" w:name="_Toc202260015"/>
      <w:r w:rsidR="00D95A49">
        <w:t>EU:n ilmastopolitiikka</w:t>
      </w:r>
      <w:bookmarkEnd w:id="17"/>
      <w:bookmarkEnd w:id="18"/>
      <w:bookmarkEnd w:id="19"/>
    </w:p>
    <w:p w14:paraId="7D714994" w14:textId="7E9A6AE7" w:rsidR="00D7596D" w:rsidRDefault="22A14380" w:rsidP="006C5409">
      <w:pPr>
        <w:pStyle w:val="Otsikko2"/>
      </w:pPr>
      <w:bookmarkStart w:id="20" w:name="_Toc1064317482"/>
      <w:bookmarkStart w:id="21" w:name="_Toc1781913403"/>
      <w:r>
        <w:t xml:space="preserve"> </w:t>
      </w:r>
      <w:bookmarkStart w:id="22" w:name="_Toc202260016"/>
      <w:r w:rsidR="00214A02">
        <w:t>2.1</w:t>
      </w:r>
      <w:r w:rsidR="003469B4">
        <w:t xml:space="preserve"> </w:t>
      </w:r>
      <w:proofErr w:type="spellStart"/>
      <w:r w:rsidR="00D95A49">
        <w:t>Tavoitteet</w:t>
      </w:r>
      <w:proofErr w:type="spellEnd"/>
      <w:r w:rsidR="00D95A49">
        <w:t xml:space="preserve"> ja </w:t>
      </w:r>
      <w:proofErr w:type="spellStart"/>
      <w:r w:rsidR="00D95A49">
        <w:t>politiikkakokonaisuudet</w:t>
      </w:r>
      <w:bookmarkEnd w:id="20"/>
      <w:bookmarkEnd w:id="21"/>
      <w:bookmarkEnd w:id="22"/>
      <w:proofErr w:type="spellEnd"/>
    </w:p>
    <w:p w14:paraId="69CA004F" w14:textId="6E57439A" w:rsidR="00C01E6C" w:rsidRPr="00D7596D" w:rsidRDefault="00D7596D" w:rsidP="211EF6CA">
      <w:pPr>
        <w:pStyle w:val="VNLeip1kappale"/>
        <w:rPr>
          <w:lang w:eastAsia="en-US"/>
        </w:rPr>
      </w:pPr>
      <w:r w:rsidRPr="5124B464">
        <w:rPr>
          <w:lang w:eastAsia="en-US"/>
        </w:rPr>
        <w:t xml:space="preserve">Euroopan unionin ilmastopolitiikalla ohjataan EU:n yhteisiä toimia ja jäsenmaiden toimia ilmastonmuutoksen hillitsemiseksi. EU:n ilmastopolitiikka pohjautuu YK:n ilmastosopimukseen, </w:t>
      </w:r>
      <w:r w:rsidR="00BA2F99" w:rsidRPr="5124B464">
        <w:rPr>
          <w:lang w:eastAsia="en-US"/>
        </w:rPr>
        <w:t xml:space="preserve">ja </w:t>
      </w:r>
      <w:r w:rsidRPr="5124B464">
        <w:rPr>
          <w:lang w:eastAsia="en-US"/>
        </w:rPr>
        <w:t xml:space="preserve">sitä täydentävään Pariisin ilmastosopimukseen. EU:n pitkän aikavälin tavoite on saavuttaa </w:t>
      </w:r>
      <w:r w:rsidR="27DB6DD1" w:rsidRPr="5124B464">
        <w:rPr>
          <w:lang w:eastAsia="en-US"/>
        </w:rPr>
        <w:t>ilmasto</w:t>
      </w:r>
      <w:r w:rsidRPr="5124B464">
        <w:rPr>
          <w:lang w:eastAsia="en-US"/>
        </w:rPr>
        <w:t xml:space="preserve">neutraalius vuoteen 2050 mennessä, eli päästöjä tulee vähentää siten, että kokonaispäästöjen määrä vastaa </w:t>
      </w:r>
      <w:r w:rsidR="4DDE8423" w:rsidRPr="70B02B76">
        <w:rPr>
          <w:lang w:eastAsia="en-US"/>
        </w:rPr>
        <w:t>hiili</w:t>
      </w:r>
      <w:r w:rsidRPr="70B02B76">
        <w:rPr>
          <w:lang w:eastAsia="en-US"/>
        </w:rPr>
        <w:t>nielujen</w:t>
      </w:r>
      <w:r w:rsidRPr="5124B464">
        <w:rPr>
          <w:lang w:eastAsia="en-US"/>
        </w:rPr>
        <w:t xml:space="preserve"> aikaansaamaa poistumien määrää.</w:t>
      </w:r>
      <w:r w:rsidR="6E426274" w:rsidRPr="5124B464">
        <w:rPr>
          <w:lang w:eastAsia="en-US"/>
        </w:rPr>
        <w:t xml:space="preserve"> Lisäksi EU:n tavoitteena on vähentää</w:t>
      </w:r>
      <w:r w:rsidR="005537D4" w:rsidRPr="5124B464">
        <w:rPr>
          <w:lang w:eastAsia="en-US"/>
        </w:rPr>
        <w:t xml:space="preserve"> </w:t>
      </w:r>
      <w:r w:rsidR="2CE41631" w:rsidRPr="5124B464">
        <w:rPr>
          <w:lang w:eastAsia="en-US"/>
        </w:rPr>
        <w:t>netto</w:t>
      </w:r>
      <w:r w:rsidR="03BD938A" w:rsidRPr="5124B464">
        <w:rPr>
          <w:lang w:eastAsia="en-US"/>
        </w:rPr>
        <w:t>kasvihuonekaasu</w:t>
      </w:r>
      <w:r w:rsidRPr="5124B464">
        <w:rPr>
          <w:lang w:eastAsia="en-US"/>
        </w:rPr>
        <w:t xml:space="preserve">päästöjä vähintään 55 prosenttia vuoteen 2030 mennessä verrattuna vuoden 1990 tasoon. </w:t>
      </w:r>
      <w:r w:rsidR="469D4412" w:rsidRPr="5124B464">
        <w:rPr>
          <w:lang w:eastAsia="en-US"/>
        </w:rPr>
        <w:t>EU:n 2030 ja 2050 ilmasto</w:t>
      </w:r>
      <w:r w:rsidR="4E85D539" w:rsidRPr="5124B464">
        <w:rPr>
          <w:lang w:eastAsia="en-US"/>
        </w:rPr>
        <w:t>tavoitteet on kirjattu a</w:t>
      </w:r>
      <w:r w:rsidR="1D400B49" w:rsidRPr="5124B464">
        <w:rPr>
          <w:lang w:eastAsia="en-US"/>
        </w:rPr>
        <w:t>setu</w:t>
      </w:r>
      <w:r w:rsidR="550BD7B0" w:rsidRPr="5124B464">
        <w:rPr>
          <w:lang w:eastAsia="en-US"/>
        </w:rPr>
        <w:t>kseen</w:t>
      </w:r>
      <w:r w:rsidR="1D400B49" w:rsidRPr="5124B464">
        <w:rPr>
          <w:lang w:eastAsia="en-US"/>
        </w:rPr>
        <w:t xml:space="preserve"> </w:t>
      </w:r>
      <w:r w:rsidR="04F67B8C" w:rsidRPr="5124B464">
        <w:rPr>
          <w:lang w:eastAsia="en-US"/>
        </w:rPr>
        <w:t xml:space="preserve">eurooppalaisesta </w:t>
      </w:r>
      <w:r w:rsidR="03BD938A" w:rsidRPr="5124B464">
        <w:rPr>
          <w:lang w:eastAsia="en-US"/>
        </w:rPr>
        <w:t>ilmastolai</w:t>
      </w:r>
      <w:r w:rsidR="4588D651" w:rsidRPr="5124B464">
        <w:rPr>
          <w:lang w:eastAsia="en-US"/>
        </w:rPr>
        <w:t>sta</w:t>
      </w:r>
      <w:r w:rsidR="4CC3B7B8" w:rsidRPr="5124B464">
        <w:rPr>
          <w:lang w:eastAsia="en-US"/>
        </w:rPr>
        <w:t xml:space="preserve">, joka </w:t>
      </w:r>
      <w:r w:rsidR="2547EE74" w:rsidRPr="5124B464">
        <w:rPr>
          <w:lang w:eastAsia="en-US"/>
        </w:rPr>
        <w:t xml:space="preserve">tuli </w:t>
      </w:r>
      <w:r w:rsidRPr="5124B464">
        <w:rPr>
          <w:lang w:eastAsia="en-US"/>
        </w:rPr>
        <w:t xml:space="preserve">voimaan kesällä 2021. </w:t>
      </w:r>
      <w:r w:rsidR="7932CFBF" w:rsidRPr="6BA933B5">
        <w:rPr>
          <w:lang w:eastAsia="en-US"/>
        </w:rPr>
        <w:t>Vuoden</w:t>
      </w:r>
      <w:r w:rsidR="23980439" w:rsidRPr="5124B464">
        <w:rPr>
          <w:lang w:eastAsia="en-US"/>
        </w:rPr>
        <w:t xml:space="preserve"> 2025</w:t>
      </w:r>
      <w:r w:rsidR="7932CFBF" w:rsidRPr="6BA933B5">
        <w:rPr>
          <w:lang w:eastAsia="en-US"/>
        </w:rPr>
        <w:t xml:space="preserve"> syksyllä</w:t>
      </w:r>
      <w:r w:rsidR="23980439" w:rsidRPr="5124B464">
        <w:rPr>
          <w:lang w:eastAsia="en-US"/>
        </w:rPr>
        <w:t xml:space="preserve"> </w:t>
      </w:r>
      <w:r w:rsidR="1DDF0E9E" w:rsidRPr="5124B464">
        <w:rPr>
          <w:lang w:eastAsia="en-US"/>
        </w:rPr>
        <w:t xml:space="preserve">sovittava EU:n vuoden 2040 ilmastotavoite sisällytetään EU:n ilmastolakiin välitavoitteeksi. </w:t>
      </w:r>
    </w:p>
    <w:p w14:paraId="4418BD51" w14:textId="058D8807" w:rsidR="00C01E6C" w:rsidRPr="00D7596D" w:rsidRDefault="797426FA" w:rsidP="00D7596D">
      <w:pPr>
        <w:pStyle w:val="VNLeip1kappale"/>
        <w:rPr>
          <w:lang w:eastAsia="en-US"/>
        </w:rPr>
      </w:pPr>
      <w:r w:rsidRPr="5124B464">
        <w:rPr>
          <w:lang w:eastAsia="en-US"/>
        </w:rPr>
        <w:t xml:space="preserve">EU:n ilmastoarkkitehtuurissa kasvihuonekaasupäästöt ja poistumat </w:t>
      </w:r>
      <w:r w:rsidR="27730C1C" w:rsidRPr="5124B464">
        <w:rPr>
          <w:lang w:eastAsia="en-US"/>
        </w:rPr>
        <w:t xml:space="preserve">jakautuvat </w:t>
      </w:r>
      <w:r w:rsidRPr="5124B464">
        <w:rPr>
          <w:lang w:eastAsia="en-US"/>
        </w:rPr>
        <w:t>päästökauppasektorille, taakanjakosektorille sekä maankäyttösekto</w:t>
      </w:r>
      <w:r w:rsidR="55A75FB6" w:rsidRPr="5124B464">
        <w:rPr>
          <w:lang w:eastAsia="en-US"/>
        </w:rPr>
        <w:t>rille.</w:t>
      </w:r>
      <w:r w:rsidR="00D7596D" w:rsidRPr="5124B464">
        <w:rPr>
          <w:lang w:eastAsia="en-US"/>
        </w:rPr>
        <w:t xml:space="preserve"> </w:t>
      </w:r>
      <w:r w:rsidR="00934074" w:rsidRPr="5124B464">
        <w:rPr>
          <w:lang w:eastAsia="en-US"/>
        </w:rPr>
        <w:t>EU:n vuoden 2030 tavoite toimeenpannaan</w:t>
      </w:r>
      <w:r w:rsidR="007603EA" w:rsidRPr="5124B464">
        <w:rPr>
          <w:lang w:eastAsia="en-US"/>
        </w:rPr>
        <w:t xml:space="preserve"> 14 säädöstä sisältävällä</w:t>
      </w:r>
      <w:r w:rsidR="00934074" w:rsidRPr="5124B464">
        <w:rPr>
          <w:lang w:eastAsia="en-US"/>
        </w:rPr>
        <w:t xml:space="preserve"> niin kutsutulla 55-valmiuspaketilla.</w:t>
      </w:r>
      <w:r w:rsidR="00D7596D" w:rsidRPr="5124B464">
        <w:rPr>
          <w:lang w:eastAsia="en-US"/>
        </w:rPr>
        <w:t xml:space="preserve"> </w:t>
      </w:r>
      <w:r w:rsidR="3B06B62B" w:rsidRPr="5124B464">
        <w:rPr>
          <w:lang w:eastAsia="en-US"/>
        </w:rPr>
        <w:t>EU:n instituutioiden välisissä</w:t>
      </w:r>
      <w:r w:rsidR="15AD7D18" w:rsidRPr="5124B464">
        <w:rPr>
          <w:lang w:eastAsia="en-US"/>
        </w:rPr>
        <w:t>, vuosien 2021</w:t>
      </w:r>
      <w:r w:rsidR="5FF6D61A" w:rsidRPr="6BA933B5">
        <w:rPr>
          <w:lang w:eastAsia="en-US"/>
        </w:rPr>
        <w:t>–</w:t>
      </w:r>
      <w:r w:rsidR="15AD7D18" w:rsidRPr="5124B464">
        <w:rPr>
          <w:lang w:eastAsia="en-US"/>
        </w:rPr>
        <w:t xml:space="preserve">2024 aikana käydyissä neuvotteluissa on sovittu </w:t>
      </w:r>
      <w:r w:rsidR="3B06B62B" w:rsidRPr="5124B464">
        <w:rPr>
          <w:lang w:eastAsia="en-US"/>
        </w:rPr>
        <w:t>kaikista muista 55-valmiuspaketin säädöksistä paitsi ehdotuksesta energiaverodirektiivin uudistamiseksi.</w:t>
      </w:r>
    </w:p>
    <w:p w14:paraId="20D5D094" w14:textId="56C6831C" w:rsidR="00D95A49" w:rsidRPr="006B5175" w:rsidRDefault="483EDF31" w:rsidP="006C5409">
      <w:pPr>
        <w:pStyle w:val="Otsikko2"/>
        <w:rPr>
          <w:lang w:val="fi-FI"/>
        </w:rPr>
      </w:pPr>
      <w:bookmarkStart w:id="23" w:name="_Toc501168246"/>
      <w:bookmarkStart w:id="24" w:name="_Toc382838483"/>
      <w:r w:rsidRPr="1A881142">
        <w:rPr>
          <w:lang w:val="fi-FI"/>
        </w:rPr>
        <w:t xml:space="preserve"> </w:t>
      </w:r>
      <w:bookmarkStart w:id="25" w:name="_Toc202260017"/>
      <w:r w:rsidR="006F211A">
        <w:rPr>
          <w:lang w:val="fi-FI"/>
        </w:rPr>
        <w:t>2.2</w:t>
      </w:r>
      <w:r w:rsidRPr="1A881142">
        <w:rPr>
          <w:lang w:val="fi-FI"/>
        </w:rPr>
        <w:t xml:space="preserve"> </w:t>
      </w:r>
      <w:r w:rsidR="00D95A49" w:rsidRPr="006B5175">
        <w:rPr>
          <w:lang w:val="fi-FI"/>
        </w:rPr>
        <w:t>EU:n päästökauppajärjestelmä</w:t>
      </w:r>
      <w:bookmarkEnd w:id="23"/>
      <w:bookmarkEnd w:id="24"/>
      <w:bookmarkEnd w:id="25"/>
    </w:p>
    <w:p w14:paraId="1ECD2B89" w14:textId="448B54E2" w:rsidR="00FD56E8" w:rsidRDefault="5A4B4E48" w:rsidP="4C51E561">
      <w:pPr>
        <w:pStyle w:val="VNLeip1kappale"/>
      </w:pPr>
      <w:r w:rsidRPr="5124B464">
        <w:rPr>
          <w:lang w:eastAsia="en-US"/>
        </w:rPr>
        <w:t>EU:n</w:t>
      </w:r>
      <w:r w:rsidR="002E48AA" w:rsidRPr="5124B464">
        <w:rPr>
          <w:lang w:eastAsia="en-US"/>
        </w:rPr>
        <w:t xml:space="preserve"> </w:t>
      </w:r>
      <w:r w:rsidR="54E498EE" w:rsidRPr="5124B464">
        <w:rPr>
          <w:lang w:eastAsia="en-US"/>
        </w:rPr>
        <w:t>päästökauppadirektiivi</w:t>
      </w:r>
      <w:r w:rsidR="002E48AA" w:rsidRPr="5124B464">
        <w:rPr>
          <w:lang w:eastAsia="en-US"/>
        </w:rPr>
        <w:t>n</w:t>
      </w:r>
      <w:r w:rsidR="00B63FA8" w:rsidRPr="5124B464">
        <w:rPr>
          <w:lang w:eastAsia="en-US"/>
        </w:rPr>
        <w:t xml:space="preserve"> (2003/87)</w:t>
      </w:r>
      <w:r w:rsidR="54E498EE" w:rsidRPr="5124B464">
        <w:rPr>
          <w:lang w:eastAsia="en-US"/>
        </w:rPr>
        <w:t xml:space="preserve"> </w:t>
      </w:r>
      <w:r w:rsidR="002E48AA" w:rsidRPr="5124B464">
        <w:rPr>
          <w:lang w:eastAsia="en-US"/>
        </w:rPr>
        <w:t>uudistus</w:t>
      </w:r>
      <w:r w:rsidR="54E498EE" w:rsidRPr="5124B464">
        <w:rPr>
          <w:lang w:eastAsia="en-US"/>
        </w:rPr>
        <w:t xml:space="preserve"> tuli voimaan kesällä 2023. EU:n </w:t>
      </w:r>
      <w:r w:rsidRPr="5124B464">
        <w:rPr>
          <w:lang w:eastAsia="en-US"/>
        </w:rPr>
        <w:t>päästökauppajärjestelmä</w:t>
      </w:r>
      <w:r w:rsidR="2150BB5B" w:rsidRPr="5124B464">
        <w:rPr>
          <w:lang w:eastAsia="en-US"/>
        </w:rPr>
        <w:t>n</w:t>
      </w:r>
      <w:r w:rsidRPr="5124B464">
        <w:rPr>
          <w:lang w:eastAsia="en-US"/>
        </w:rPr>
        <w:t xml:space="preserve"> </w:t>
      </w:r>
      <w:r w:rsidR="4B3E0A29" w:rsidRPr="5124B464">
        <w:rPr>
          <w:lang w:eastAsia="en-US"/>
        </w:rPr>
        <w:t xml:space="preserve">tavoitteena on EU:n yleisen päästökaupan </w:t>
      </w:r>
      <w:r w:rsidR="00747A67" w:rsidRPr="5124B464">
        <w:rPr>
          <w:lang w:eastAsia="en-US"/>
        </w:rPr>
        <w:t xml:space="preserve">(ETS) </w:t>
      </w:r>
      <w:r w:rsidR="4B3E0A29" w:rsidRPr="5124B464">
        <w:rPr>
          <w:lang w:eastAsia="en-US"/>
        </w:rPr>
        <w:t>alaisten toimialojen päästöjen vähentäminen 62 prosentilla vuoden 2005 tasosta vuoteen 2030 mennessä.</w:t>
      </w:r>
      <w:r w:rsidR="0076719D" w:rsidRPr="5124B464">
        <w:rPr>
          <w:lang w:eastAsia="en-US"/>
        </w:rPr>
        <w:t xml:space="preserve"> </w:t>
      </w:r>
      <w:r w:rsidR="00B637FE" w:rsidRPr="5124B464">
        <w:rPr>
          <w:lang w:eastAsia="en-US"/>
        </w:rPr>
        <w:t>Päästökauppajä</w:t>
      </w:r>
      <w:r w:rsidR="009035CE" w:rsidRPr="5124B464">
        <w:rPr>
          <w:lang w:eastAsia="en-US"/>
        </w:rPr>
        <w:t>rjestelmä katt</w:t>
      </w:r>
      <w:r w:rsidR="00AA2FED" w:rsidRPr="5124B464">
        <w:rPr>
          <w:lang w:eastAsia="en-US"/>
        </w:rPr>
        <w:t>a</w:t>
      </w:r>
      <w:r w:rsidR="009035CE" w:rsidRPr="5124B464">
        <w:rPr>
          <w:lang w:eastAsia="en-US"/>
        </w:rPr>
        <w:t>a suuret teollisuus- ja energialaitokset sekä</w:t>
      </w:r>
      <w:r w:rsidR="00AA2FED">
        <w:t xml:space="preserve"> </w:t>
      </w:r>
      <w:r w:rsidR="00AA2FED" w:rsidRPr="5124B464">
        <w:rPr>
          <w:lang w:eastAsia="en-US"/>
        </w:rPr>
        <w:t>Euroopan sisäisen lentoliikenteen.</w:t>
      </w:r>
      <w:r w:rsidR="3C5E73B7">
        <w:t xml:space="preserve"> </w:t>
      </w:r>
      <w:r w:rsidR="7F9D3D33">
        <w:t xml:space="preserve">Vuodesta 2024 </w:t>
      </w:r>
      <w:r w:rsidR="11B717D9">
        <w:t xml:space="preserve">alkaen järjestelmän piiriin sisällytettiin </w:t>
      </w:r>
      <w:r w:rsidR="00063938">
        <w:t>myös</w:t>
      </w:r>
      <w:r w:rsidR="11B717D9">
        <w:t xml:space="preserve"> </w:t>
      </w:r>
      <w:r w:rsidR="7F9D3D33" w:rsidRPr="5124B464">
        <w:rPr>
          <w:color w:val="000000" w:themeColor="text1"/>
        </w:rPr>
        <w:t>Euroopan sisäinen meriliikenne ja 50 % EU:n ja kolmansien maiden välisestä meriliikenteestä</w:t>
      </w:r>
      <w:r w:rsidR="32129E8B" w:rsidRPr="5124B464">
        <w:rPr>
          <w:color w:val="000000" w:themeColor="text1"/>
        </w:rPr>
        <w:t>.</w:t>
      </w:r>
      <w:r w:rsidR="7F9D3D33">
        <w:t xml:space="preserve"> </w:t>
      </w:r>
      <w:r w:rsidR="00C868A7">
        <w:t>Vuonna 202</w:t>
      </w:r>
      <w:r w:rsidR="00E62042">
        <w:t>6</w:t>
      </w:r>
      <w:r w:rsidR="00C868A7">
        <w:t xml:space="preserve"> komissio arvio</w:t>
      </w:r>
      <w:r w:rsidR="007B66CB">
        <w:t>i</w:t>
      </w:r>
      <w:r w:rsidR="00C868A7">
        <w:t xml:space="preserve"> </w:t>
      </w:r>
      <w:r w:rsidR="009B73EF">
        <w:t>yhdyskuntajätettä</w:t>
      </w:r>
      <w:r w:rsidR="00821A78">
        <w:t xml:space="preserve"> </w:t>
      </w:r>
      <w:r w:rsidR="009B73EF">
        <w:t xml:space="preserve">polttavien laitosten </w:t>
      </w:r>
      <w:r w:rsidR="00821A78">
        <w:t>sisällyttä</w:t>
      </w:r>
      <w:r w:rsidR="00821A78">
        <w:lastRenderedPageBreak/>
        <w:t>mistä päästökauppajärjestelmään</w:t>
      </w:r>
      <w:r w:rsidR="00E62042">
        <w:t xml:space="preserve"> vuodesta 2028 lähtien</w:t>
      </w:r>
      <w:r w:rsidR="00E44BD0">
        <w:t xml:space="preserve"> (ks. luku 2.2.2)</w:t>
      </w:r>
      <w:r w:rsidR="633C567F">
        <w:t>.</w:t>
      </w:r>
      <w:r w:rsidR="6FC7B00D">
        <w:t xml:space="preserve"> </w:t>
      </w:r>
      <w:r w:rsidR="005A2ADB">
        <w:t>L</w:t>
      </w:r>
      <w:r w:rsidR="1BF871B0">
        <w:t xml:space="preserve">isäksi perustetaan uusi </w:t>
      </w:r>
      <w:r w:rsidR="41CBC859">
        <w:t>fossiilisten</w:t>
      </w:r>
      <w:r w:rsidR="1BF871B0">
        <w:t xml:space="preserve"> polttoaineiden jakel</w:t>
      </w:r>
      <w:r w:rsidR="009920CE">
        <w:t>un</w:t>
      </w:r>
      <w:r w:rsidR="1BF871B0">
        <w:t xml:space="preserve"> päästökauppajärjestelmä </w:t>
      </w:r>
      <w:r w:rsidR="00345F43">
        <w:t>(</w:t>
      </w:r>
      <w:r w:rsidR="595AADFA">
        <w:t>ETS2</w:t>
      </w:r>
      <w:r w:rsidR="00345F43">
        <w:t>)</w:t>
      </w:r>
      <w:r w:rsidR="595AADFA">
        <w:t>,</w:t>
      </w:r>
      <w:r w:rsidR="1BF871B0">
        <w:t xml:space="preserve"> jonka toiminta alkaa vuonna 202</w:t>
      </w:r>
      <w:r w:rsidR="45BF7DB8">
        <w:t>7</w:t>
      </w:r>
      <w:r w:rsidR="00345F43">
        <w:t xml:space="preserve"> (</w:t>
      </w:r>
      <w:r w:rsidR="007D44E2">
        <w:t>ks. luku 2.2.3</w:t>
      </w:r>
      <w:r w:rsidR="00345F43">
        <w:t>)</w:t>
      </w:r>
      <w:r w:rsidR="1BF871B0">
        <w:t>.</w:t>
      </w:r>
      <w:r w:rsidR="70E19C8B">
        <w:t xml:space="preserve"> </w:t>
      </w:r>
      <w:r w:rsidR="46264DEF">
        <w:t>L</w:t>
      </w:r>
      <w:r w:rsidR="5D660389">
        <w:t xml:space="preserve">aajennusten myötä suurin osa EU:n kasvihuonekaasupäästöistä tulee päästökaupan piiriin. </w:t>
      </w:r>
      <w:r w:rsidR="0019596F">
        <w:t>Se</w:t>
      </w:r>
      <w:r w:rsidR="00EB644D">
        <w:t>n sijaan pääosin biomassaa (yli 95 %) polttava</w:t>
      </w:r>
      <w:r w:rsidR="00717AA7">
        <w:t xml:space="preserve">t laitokset rajataan päästökaupan ulkopuolelle </w:t>
      </w:r>
      <w:r w:rsidR="000A341D">
        <w:t>vuodesta 2026 lähtien (ks. luku 2.2.1).</w:t>
      </w:r>
      <w:r w:rsidR="00A6665F">
        <w:t xml:space="preserve"> Osa näistä muutoksista vaikuttaa myös taakanjakosektorin tilanteeseen, joista t</w:t>
      </w:r>
      <w:r w:rsidR="00213A86">
        <w:t xml:space="preserve">arkemmin luvuissa </w:t>
      </w:r>
      <w:r w:rsidR="00C70DD0">
        <w:t>2.2</w:t>
      </w:r>
      <w:r w:rsidR="00794BA6">
        <w:t>.1</w:t>
      </w:r>
      <w:r w:rsidR="0C91BD3F">
        <w:t>–</w:t>
      </w:r>
      <w:r w:rsidR="00794BA6">
        <w:t>2.2</w:t>
      </w:r>
      <w:r w:rsidR="00FB6FC1">
        <w:t>.3.</w:t>
      </w:r>
    </w:p>
    <w:p w14:paraId="44419097" w14:textId="3FF87E81" w:rsidR="0076719D" w:rsidRPr="0076719D" w:rsidRDefault="68FCAD7F" w:rsidP="0076719D">
      <w:pPr>
        <w:pStyle w:val="VNLeip1kappale"/>
        <w:rPr>
          <w:lang w:eastAsia="en-US"/>
        </w:rPr>
      </w:pPr>
      <w:r>
        <w:t>Fossiilisten polttoaineiden j</w:t>
      </w:r>
      <w:r w:rsidR="5D660389">
        <w:t>ak</w:t>
      </w:r>
      <w:r w:rsidR="7EFE7C35">
        <w:t>el</w:t>
      </w:r>
      <w:r w:rsidR="00585C17">
        <w:t>un</w:t>
      </w:r>
      <w:r w:rsidR="7EFE7C35">
        <w:t xml:space="preserve"> päästökaupan aiheuttamien sosiaalisten vaikutusten lieventämiseksi perustetaan sosiaalinen ilmastorahasto</w:t>
      </w:r>
      <w:r w:rsidR="00241F32">
        <w:t xml:space="preserve">, jonka tarkoituksena on tukea haavoittuvassa asemassa olevia </w:t>
      </w:r>
      <w:r w:rsidR="00A8630E">
        <w:t>kotitalouksia</w:t>
      </w:r>
      <w:r w:rsidR="00150197">
        <w:t xml:space="preserve"> ja</w:t>
      </w:r>
      <w:r w:rsidR="00A8630E">
        <w:t xml:space="preserve"> mikroyrityks</w:t>
      </w:r>
      <w:r w:rsidR="00150197">
        <w:t>iä</w:t>
      </w:r>
      <w:r w:rsidR="62DDAD63">
        <w:t>. Merkittävä muutos on myös asteittainen lu</w:t>
      </w:r>
      <w:r w:rsidR="02E47F3B">
        <w:t>opuminen laitoskohtaisen päästökaupan päästöoikeuksien ilmaisjaosta, sen tilalle käyttöön otetaan hiil</w:t>
      </w:r>
      <w:r w:rsidR="26451B9F">
        <w:t>i</w:t>
      </w:r>
      <w:r w:rsidR="02E47F3B">
        <w:t>rajamekanismi</w:t>
      </w:r>
      <w:r w:rsidR="5992551C">
        <w:t xml:space="preserve"> (CBAM)</w:t>
      </w:r>
      <w:r w:rsidR="13383642">
        <w:t>. Myös lentoliikenteen päästökaupassa luovutaan ilmaisjaosta.</w:t>
      </w:r>
    </w:p>
    <w:p w14:paraId="604C5E83" w14:textId="4EFB18B5" w:rsidR="00D7596D" w:rsidRPr="005B28CE" w:rsidRDefault="00A90FC6" w:rsidP="00A90FC6">
      <w:pPr>
        <w:pStyle w:val="Otsikko3"/>
        <w:numPr>
          <w:ilvl w:val="0"/>
          <w:numId w:val="0"/>
        </w:numPr>
        <w:ind w:left="720"/>
      </w:pPr>
      <w:bookmarkStart w:id="26" w:name="_Toc1205913406"/>
      <w:bookmarkStart w:id="27" w:name="_Toc522894522"/>
      <w:bookmarkStart w:id="28" w:name="_Toc202260018"/>
      <w:r>
        <w:t>2.2.1</w:t>
      </w:r>
      <w:r w:rsidR="00FD063E">
        <w:t xml:space="preserve"> </w:t>
      </w:r>
      <w:r w:rsidR="005B28CE">
        <w:t>P</w:t>
      </w:r>
      <w:r w:rsidR="00D7596D">
        <w:t>äästökaupan soveltamisalan muutos biomassaa käyttävien laitosten osalta</w:t>
      </w:r>
      <w:bookmarkEnd w:id="26"/>
      <w:bookmarkEnd w:id="27"/>
      <w:bookmarkEnd w:id="28"/>
    </w:p>
    <w:p w14:paraId="72DD5F2F" w14:textId="1E2F7AFE" w:rsidR="00767ACF" w:rsidRDefault="55101DE3" w:rsidP="008F6FA3">
      <w:pPr>
        <w:pStyle w:val="VNLeip1kappale"/>
      </w:pPr>
      <w:r>
        <w:t>Kansallisesti merkittävin päästökauppadirektiivin soveltamisalaan liittyvä muutos on</w:t>
      </w:r>
      <w:r w:rsidR="00FD063E">
        <w:t xml:space="preserve"> </w:t>
      </w:r>
      <w:r>
        <w:t>rajaus, jonka seurauksena laitokset</w:t>
      </w:r>
      <w:r w:rsidR="0548D948">
        <w:t>,</w:t>
      </w:r>
      <w:r>
        <w:t xml:space="preserve"> joiden päästöistä yli 95 % synty</w:t>
      </w:r>
      <w:r w:rsidR="154726C9">
        <w:t>i</w:t>
      </w:r>
      <w:r>
        <w:t xml:space="preserve"> </w:t>
      </w:r>
      <w:r w:rsidR="5C2E754F">
        <w:t xml:space="preserve">kestävän </w:t>
      </w:r>
      <w:r>
        <w:t>biomassan poltosta</w:t>
      </w:r>
      <w:r w:rsidR="04FBB512">
        <w:t xml:space="preserve"> vuosina 2019</w:t>
      </w:r>
      <w:r w:rsidR="7EA43040">
        <w:t>–</w:t>
      </w:r>
      <w:r w:rsidR="04FBB512">
        <w:t>2023</w:t>
      </w:r>
      <w:r>
        <w:t xml:space="preserve">, suljetaan </w:t>
      </w:r>
      <w:r w:rsidR="00A17BF8">
        <w:t xml:space="preserve">päästökaupan </w:t>
      </w:r>
      <w:r>
        <w:t>soveltamisalan ulkopuolelle</w:t>
      </w:r>
      <w:r w:rsidR="3B906BB6">
        <w:t xml:space="preserve"> vuodesta 2026 alkaen</w:t>
      </w:r>
      <w:r>
        <w:t>.</w:t>
      </w:r>
      <w:r w:rsidRPr="5124B464">
        <w:rPr>
          <w:color w:val="000000" w:themeColor="text1"/>
        </w:rPr>
        <w:t xml:space="preserve"> </w:t>
      </w:r>
      <w:r w:rsidR="7D9B3A5E">
        <w:t>Suomessa lähes yksinomaa biomassaa käyttäviä laitoksia on sekä massa- ja paperiteollisuudessa että energiantuotannossa</w:t>
      </w:r>
      <w:r w:rsidR="25A5E904">
        <w:t>,</w:t>
      </w:r>
      <w:r w:rsidR="51B1ECA9">
        <w:t xml:space="preserve"> ja valtaosa päästöistä syntyy metsäteollisuuden laitoksista</w:t>
      </w:r>
      <w:r w:rsidR="7D9B3A5E">
        <w:t>.</w:t>
      </w:r>
      <w:r w:rsidR="4577D91C">
        <w:t xml:space="preserve"> </w:t>
      </w:r>
      <w:r w:rsidR="7D9B3A5E" w:rsidRPr="5124B464">
        <w:rPr>
          <w:color w:val="000000" w:themeColor="text1"/>
        </w:rPr>
        <w:t xml:space="preserve">Päästökaupasta poistuvien noin 80 laitoksen fossiilisen polttoaineen poltosta syntyvät päästöt siirtyvät päästökauppasektorilta taakanjakosektorille. Päästökaupasta poissiirtyvien laitosten </w:t>
      </w:r>
      <w:r w:rsidR="000B51D9" w:rsidRPr="5124B464">
        <w:rPr>
          <w:color w:val="000000" w:themeColor="text1"/>
        </w:rPr>
        <w:t xml:space="preserve">vuosittaiset </w:t>
      </w:r>
      <w:r w:rsidR="7D9B3A5E" w:rsidRPr="5124B464">
        <w:rPr>
          <w:color w:val="000000" w:themeColor="text1"/>
        </w:rPr>
        <w:t xml:space="preserve">fossiiliset päästöt ovat olleet yhteensä noin 0,2 Mt </w:t>
      </w:r>
      <w:r w:rsidR="7D9B3A5E" w:rsidRPr="688A585F">
        <w:rPr>
          <w:color w:val="000000" w:themeColor="text1"/>
        </w:rPr>
        <w:t>CO</w:t>
      </w:r>
      <w:r w:rsidR="7D9B3A5E" w:rsidRPr="688A585F">
        <w:rPr>
          <w:color w:val="000000" w:themeColor="text1"/>
          <w:vertAlign w:val="subscript"/>
        </w:rPr>
        <w:t>2</w:t>
      </w:r>
      <w:r w:rsidR="16B0FD38" w:rsidRPr="688A585F">
        <w:rPr>
          <w:color w:val="000000" w:themeColor="text1"/>
          <w:vertAlign w:val="subscript"/>
        </w:rPr>
        <w:t xml:space="preserve"> </w:t>
      </w:r>
      <w:r w:rsidR="7D9B3A5E" w:rsidRPr="688A585F">
        <w:rPr>
          <w:color w:val="000000" w:themeColor="text1"/>
        </w:rPr>
        <w:t>vuosina</w:t>
      </w:r>
      <w:r w:rsidR="7D9B3A5E" w:rsidRPr="5124B464">
        <w:rPr>
          <w:color w:val="000000" w:themeColor="text1"/>
        </w:rPr>
        <w:t xml:space="preserve"> 2019–2022.</w:t>
      </w:r>
      <w:r w:rsidR="7D9B3A5E">
        <w:t xml:space="preserve"> </w:t>
      </w:r>
    </w:p>
    <w:p w14:paraId="1EFAD0A1" w14:textId="0641F2B4" w:rsidR="00767ACF" w:rsidRDefault="55101DE3" w:rsidP="008F6FA3">
      <w:pPr>
        <w:pStyle w:val="VNLeip1kappale"/>
      </w:pPr>
      <w:r>
        <w:t>Direktiivimuutoksen perustelujen mukaan aiempi rajaus</w:t>
      </w:r>
      <w:r w:rsidR="3E4B6BAD">
        <w:t>, joka</w:t>
      </w:r>
      <w:r w:rsidR="00767ACF">
        <w:t xml:space="preserve"> sul</w:t>
      </w:r>
      <w:r w:rsidR="5773607B">
        <w:t>ki</w:t>
      </w:r>
      <w:r w:rsidR="00767ACF">
        <w:t xml:space="preserve"> </w:t>
      </w:r>
      <w:r w:rsidR="29A52B95">
        <w:t>soveltamisalasta vain täysin</w:t>
      </w:r>
      <w:r>
        <w:t xml:space="preserve"> </w:t>
      </w:r>
      <w:r w:rsidR="2B0CA386">
        <w:t>(</w:t>
      </w:r>
      <w:r>
        <w:t xml:space="preserve">100 </w:t>
      </w:r>
      <w:r w:rsidR="00767ACF">
        <w:t>%</w:t>
      </w:r>
      <w:r w:rsidR="72B547E7">
        <w:t>)</w:t>
      </w:r>
      <w:r>
        <w:t xml:space="preserve"> biomassaa käyttävät laitokset</w:t>
      </w:r>
      <w:r w:rsidR="7BE0A4AF">
        <w:t>,</w:t>
      </w:r>
      <w:r>
        <w:t xml:space="preserve"> on johtanut </w:t>
      </w:r>
      <w:r w:rsidR="0E618B78">
        <w:t>siihen</w:t>
      </w:r>
      <w:r w:rsidR="00767ACF">
        <w:t>,</w:t>
      </w:r>
      <w:r w:rsidR="15B52A08">
        <w:t xml:space="preserve"> </w:t>
      </w:r>
      <w:r w:rsidR="61507632">
        <w:t>että</w:t>
      </w:r>
      <w:r>
        <w:t xml:space="preserve"> merkittävästi biomassaa polttoaineenaan käyttävät laitokset ovat saaneet </w:t>
      </w:r>
      <w:r w:rsidR="4E4CCD7C">
        <w:t>ilmaisja</w:t>
      </w:r>
      <w:r w:rsidR="4276C30A">
        <w:t>ossa</w:t>
      </w:r>
      <w:r w:rsidR="00767ACF" w:rsidDel="4E4CCD7C">
        <w:t xml:space="preserve"> </w:t>
      </w:r>
      <w:r w:rsidR="09B55261">
        <w:t>enemmän päästöoikeuksia kuin niiden todelliset päästöt edellyt</w:t>
      </w:r>
      <w:r w:rsidR="09B55261">
        <w:lastRenderedPageBreak/>
        <w:t xml:space="preserve">täisivät. </w:t>
      </w:r>
      <w:r>
        <w:t>Uuden rajauksen</w:t>
      </w:r>
      <w:r w:rsidR="6718994F">
        <w:t xml:space="preserve"> </w:t>
      </w:r>
      <w:r w:rsidR="5DA1063A">
        <w:t>tavoitteena on selkeyttää</w:t>
      </w:r>
      <w:r>
        <w:t>, mitkä laitokset ovat päästökaupan soveltamisalassa</w:t>
      </w:r>
      <w:r w:rsidR="20139F01">
        <w:t>,</w:t>
      </w:r>
      <w:r>
        <w:t xml:space="preserve"> ja </w:t>
      </w:r>
      <w:r w:rsidR="335CD6AA">
        <w:t xml:space="preserve">varmistaa että ilmaisjako kohdistuu tasapuolisemmin sektoreille, </w:t>
      </w:r>
      <w:r>
        <w:t xml:space="preserve">joilla </w:t>
      </w:r>
      <w:r w:rsidR="00767ACF">
        <w:t>hiilivuodo</w:t>
      </w:r>
      <w:r w:rsidR="0217E342">
        <w:t>n riski</w:t>
      </w:r>
      <w:r w:rsidR="00767ACF">
        <w:t xml:space="preserve"> on suur</w:t>
      </w:r>
      <w:r w:rsidR="51B53A91">
        <w:t>in</w:t>
      </w:r>
      <w:r>
        <w:t>.</w:t>
      </w:r>
    </w:p>
    <w:p w14:paraId="69483675" w14:textId="2896D13D" w:rsidR="00D7596D" w:rsidRPr="005B28CE" w:rsidRDefault="00A90FC6" w:rsidP="00A90FC6">
      <w:pPr>
        <w:pStyle w:val="Otsikko3"/>
        <w:numPr>
          <w:ilvl w:val="0"/>
          <w:numId w:val="0"/>
        </w:numPr>
        <w:ind w:left="720"/>
      </w:pPr>
      <w:bookmarkStart w:id="29" w:name="_Toc507499806"/>
      <w:bookmarkStart w:id="30" w:name="_Toc1408837723"/>
      <w:bookmarkStart w:id="31" w:name="_Toc202260019"/>
      <w:r>
        <w:t>2.2.2</w:t>
      </w:r>
      <w:r w:rsidR="001F4921">
        <w:t xml:space="preserve"> </w:t>
      </w:r>
      <w:r w:rsidR="005B28CE">
        <w:t>J</w:t>
      </w:r>
      <w:r w:rsidR="00D7596D">
        <w:t>ätteenpolttolaitosten siirtäminen päästökaupan piiriin</w:t>
      </w:r>
      <w:bookmarkEnd w:id="29"/>
      <w:bookmarkEnd w:id="30"/>
      <w:bookmarkEnd w:id="31"/>
    </w:p>
    <w:p w14:paraId="5F3F13E4" w14:textId="071F50A0" w:rsidR="00FF533B" w:rsidRDefault="00FF533B" w:rsidP="008F6FA3">
      <w:pPr>
        <w:pStyle w:val="VNLeip1kappale"/>
        <w:rPr>
          <w:lang w:eastAsia="en-US"/>
        </w:rPr>
      </w:pPr>
      <w:r>
        <w:t>Uudistetun päästökauppadirektiivin muka</w:t>
      </w:r>
      <w:r w:rsidR="006E7A7E">
        <w:t>isesti</w:t>
      </w:r>
      <w:r>
        <w:t xml:space="preserve"> päästöjen tarkkailua ja raportointia sekä todentamista koskevia vaatimuksia ryhdyttiin soveltamaan yhdyskuntajätettä polttaviin, kokonaislämpöteholtaan yli 20 MW:n laitoksiin</w:t>
      </w:r>
      <w:r w:rsidR="009203C9">
        <w:t xml:space="preserve"> 1.1.2024 alkaen</w:t>
      </w:r>
      <w:r>
        <w:t xml:space="preserve">. Muutos ei koske vaarallisen jätteen käsittelyä. Tämä tarkoittaa, että laitosten tulee tarkkailla, todennuttaa ja raportoida hiilidioksidipäästönsä vuosittain. </w:t>
      </w:r>
      <w:r w:rsidR="445F6BFF">
        <w:t xml:space="preserve">Direktiivin mukaan </w:t>
      </w:r>
      <w:r w:rsidR="30054DD3">
        <w:t>k</w:t>
      </w:r>
      <w:r>
        <w:t xml:space="preserve">omissio tulee tekemään vuonna 2026 arvion sekä mahdollisen lainsäädäntöehdotuksen sektorin täysimääräisestä sisällyttämisestä järjestelmään vuodesta 2028 alkaen mukaan lukien vuoteen 2030 ulottuva jäsenvaltioiden mahdollisuus ns. </w:t>
      </w:r>
      <w:proofErr w:type="spellStart"/>
      <w:r>
        <w:t>opt</w:t>
      </w:r>
      <w:proofErr w:type="spellEnd"/>
      <w:r>
        <w:t>-out menettelyyn eli mahdollisuuteen</w:t>
      </w:r>
      <w:r w:rsidR="2735A793">
        <w:t xml:space="preserve"> </w:t>
      </w:r>
      <w:r>
        <w:t>lykätä sektorin täysimääräistä sisällyttämistä kuluvan päästökauppakauden loppuun saakka.</w:t>
      </w:r>
      <w:r w:rsidR="005B28CE">
        <w:t xml:space="preserve"> Soveltamisalan </w:t>
      </w:r>
      <w:r w:rsidR="2A8BE67E">
        <w:t xml:space="preserve">mahdollinen </w:t>
      </w:r>
      <w:r w:rsidR="005B28CE">
        <w:t>muutos jätteenpolttolaitosten osalta tarkoittaa</w:t>
      </w:r>
      <w:r w:rsidR="12890136">
        <w:t>,</w:t>
      </w:r>
      <w:r w:rsidR="005B28CE">
        <w:t xml:space="preserve"> että </w:t>
      </w:r>
      <w:r w:rsidR="7120F20C">
        <w:t xml:space="preserve">laitosten </w:t>
      </w:r>
      <w:r w:rsidR="005B28CE">
        <w:t>päästöt siirtyvät taakanjakosektorin puolelta päästökauppaan. Muutos aiheuttaa tarvetta mukauttaa taakanjakosektorin päästökiintiöitä vastaavasti.</w:t>
      </w:r>
    </w:p>
    <w:p w14:paraId="694E525E" w14:textId="229EDAE2" w:rsidR="278F7151" w:rsidRPr="0086385D" w:rsidRDefault="0057177C" w:rsidP="0057177C">
      <w:pPr>
        <w:pStyle w:val="Otsikko3"/>
        <w:numPr>
          <w:ilvl w:val="0"/>
          <w:numId w:val="0"/>
        </w:numPr>
        <w:ind w:left="720"/>
        <w:rPr>
          <w:rStyle w:val="Otsikko3Char"/>
          <w:b/>
          <w:bCs/>
        </w:rPr>
      </w:pPr>
      <w:bookmarkStart w:id="32" w:name="_Toc648401007"/>
      <w:bookmarkStart w:id="33" w:name="_Toc1220881378"/>
      <w:bookmarkStart w:id="34" w:name="_Toc202260020"/>
      <w:r w:rsidRPr="5124B464">
        <w:rPr>
          <w:rStyle w:val="Otsikko3Char"/>
          <w:b/>
          <w:bCs/>
        </w:rPr>
        <w:t>2.2.3</w:t>
      </w:r>
      <w:r w:rsidR="001F4921" w:rsidRPr="5124B464">
        <w:rPr>
          <w:rStyle w:val="Otsikko3Char"/>
          <w:b/>
          <w:bCs/>
        </w:rPr>
        <w:t xml:space="preserve"> </w:t>
      </w:r>
      <w:r w:rsidR="0095457E" w:rsidRPr="5124B464">
        <w:rPr>
          <w:rStyle w:val="Otsikko3Char"/>
          <w:b/>
          <w:bCs/>
        </w:rPr>
        <w:t>Fossiilisten polttoaineiden</w:t>
      </w:r>
      <w:r w:rsidR="00054707" w:rsidRPr="5124B464">
        <w:rPr>
          <w:rStyle w:val="Otsikko3Char"/>
          <w:b/>
          <w:bCs/>
        </w:rPr>
        <w:t xml:space="preserve"> jakel</w:t>
      </w:r>
      <w:r w:rsidR="00AC1373" w:rsidRPr="5124B464">
        <w:rPr>
          <w:rStyle w:val="Otsikko3Char"/>
          <w:b/>
          <w:bCs/>
        </w:rPr>
        <w:t>u</w:t>
      </w:r>
      <w:r w:rsidR="00054707" w:rsidRPr="5124B464">
        <w:rPr>
          <w:rStyle w:val="Otsikko3Char"/>
          <w:b/>
          <w:bCs/>
        </w:rPr>
        <w:t>n</w:t>
      </w:r>
      <w:r w:rsidR="7383E2B7" w:rsidRPr="5124B464">
        <w:rPr>
          <w:rStyle w:val="Otsikko3Char"/>
          <w:b/>
          <w:bCs/>
        </w:rPr>
        <w:t xml:space="preserve"> päästökauppa pääpirteittäin</w:t>
      </w:r>
      <w:bookmarkEnd w:id="32"/>
      <w:bookmarkEnd w:id="33"/>
      <w:bookmarkEnd w:id="34"/>
    </w:p>
    <w:p w14:paraId="22F74173" w14:textId="71EC17A9" w:rsidR="278F7151" w:rsidRDefault="00532FD5" w:rsidP="2E224923">
      <w:pPr>
        <w:pStyle w:val="VNLeip1kappale"/>
        <w:rPr>
          <w:lang w:eastAsia="en-US"/>
        </w:rPr>
      </w:pPr>
      <w:r w:rsidRPr="5124B464">
        <w:rPr>
          <w:lang w:eastAsia="en-US"/>
        </w:rPr>
        <w:t xml:space="preserve">Päästökauppadirektiivin uudistuksen </w:t>
      </w:r>
      <w:r w:rsidR="007410ED" w:rsidRPr="5124B464">
        <w:rPr>
          <w:lang w:eastAsia="en-US"/>
        </w:rPr>
        <w:t xml:space="preserve">yhteydessä perustettu </w:t>
      </w:r>
      <w:r w:rsidR="7383E2B7" w:rsidRPr="5124B464">
        <w:rPr>
          <w:lang w:eastAsia="en-US"/>
        </w:rPr>
        <w:t>fossiilisen polttoaineen jakel</w:t>
      </w:r>
      <w:r w:rsidR="00BB4393">
        <w:rPr>
          <w:lang w:eastAsia="en-US"/>
        </w:rPr>
        <w:t>un</w:t>
      </w:r>
      <w:r w:rsidR="7383E2B7" w:rsidRPr="5124B464">
        <w:rPr>
          <w:lang w:eastAsia="en-US"/>
        </w:rPr>
        <w:t xml:space="preserve"> päästökauppa kattaa tieliikentee</w:t>
      </w:r>
      <w:r w:rsidR="0047250B" w:rsidRPr="5124B464">
        <w:rPr>
          <w:lang w:eastAsia="en-US"/>
        </w:rPr>
        <w:t>ssä</w:t>
      </w:r>
      <w:r w:rsidR="7383E2B7" w:rsidRPr="5124B464">
        <w:rPr>
          <w:lang w:eastAsia="en-US"/>
        </w:rPr>
        <w:t>, rakennusten erillislämmitykse</w:t>
      </w:r>
      <w:r w:rsidR="0047250B" w:rsidRPr="5124B464">
        <w:rPr>
          <w:lang w:eastAsia="en-US"/>
        </w:rPr>
        <w:t>ssä</w:t>
      </w:r>
      <w:r w:rsidR="7383E2B7" w:rsidRPr="5124B464">
        <w:rPr>
          <w:lang w:eastAsia="en-US"/>
        </w:rPr>
        <w:t>, rakentamise</w:t>
      </w:r>
      <w:r w:rsidR="0047250B" w:rsidRPr="5124B464">
        <w:rPr>
          <w:lang w:eastAsia="en-US"/>
        </w:rPr>
        <w:t>ssa</w:t>
      </w:r>
      <w:r w:rsidR="7383E2B7" w:rsidRPr="5124B464">
        <w:rPr>
          <w:lang w:eastAsia="en-US"/>
        </w:rPr>
        <w:t xml:space="preserve"> sekä nykyisen yleisen päästökaupan ulkopuolise</w:t>
      </w:r>
      <w:r w:rsidR="0047250B" w:rsidRPr="5124B464">
        <w:rPr>
          <w:lang w:eastAsia="en-US"/>
        </w:rPr>
        <w:t>ssa</w:t>
      </w:r>
      <w:r w:rsidR="7383E2B7" w:rsidRPr="5124B464">
        <w:rPr>
          <w:lang w:eastAsia="en-US"/>
        </w:rPr>
        <w:t xml:space="preserve"> teollisuude</w:t>
      </w:r>
      <w:r w:rsidR="0047250B" w:rsidRPr="5124B464">
        <w:rPr>
          <w:lang w:eastAsia="en-US"/>
        </w:rPr>
        <w:t>ssa</w:t>
      </w:r>
      <w:r w:rsidR="7383E2B7" w:rsidRPr="5124B464">
        <w:rPr>
          <w:lang w:eastAsia="en-US"/>
        </w:rPr>
        <w:t xml:space="preserve"> ja energiantuotanno</w:t>
      </w:r>
      <w:r w:rsidR="0047250B" w:rsidRPr="5124B464">
        <w:rPr>
          <w:lang w:eastAsia="en-US"/>
        </w:rPr>
        <w:t>ssa</w:t>
      </w:r>
      <w:r w:rsidR="7383E2B7" w:rsidRPr="5124B464">
        <w:rPr>
          <w:lang w:eastAsia="en-US"/>
        </w:rPr>
        <w:t xml:space="preserve"> </w:t>
      </w:r>
      <w:r w:rsidR="0047250B" w:rsidRPr="5124B464">
        <w:rPr>
          <w:lang w:eastAsia="en-US"/>
        </w:rPr>
        <w:t>käytettävän</w:t>
      </w:r>
      <w:r w:rsidR="7383E2B7" w:rsidRPr="5124B464">
        <w:rPr>
          <w:lang w:eastAsia="en-US"/>
        </w:rPr>
        <w:t xml:space="preserve"> fossiilisen polttoaineen</w:t>
      </w:r>
      <w:r w:rsidR="004678FF" w:rsidRPr="5124B464">
        <w:rPr>
          <w:lang w:eastAsia="en-US"/>
        </w:rPr>
        <w:t xml:space="preserve"> CO</w:t>
      </w:r>
      <w:r w:rsidR="00D9492E" w:rsidRPr="5124B464">
        <w:rPr>
          <w:vertAlign w:val="subscript"/>
          <w:lang w:eastAsia="en-US"/>
        </w:rPr>
        <w:t>2</w:t>
      </w:r>
      <w:r w:rsidR="00D9492E" w:rsidRPr="5124B464">
        <w:rPr>
          <w:lang w:eastAsia="en-US"/>
        </w:rPr>
        <w:t>-päästöt</w:t>
      </w:r>
      <w:r w:rsidR="7383E2B7" w:rsidRPr="5124B464">
        <w:rPr>
          <w:lang w:eastAsia="en-US"/>
        </w:rPr>
        <w:t xml:space="preserve">. </w:t>
      </w:r>
      <w:r w:rsidR="125E3C81" w:rsidRPr="5124B464">
        <w:rPr>
          <w:lang w:eastAsia="en-US"/>
        </w:rPr>
        <w:t>Suomessa l</w:t>
      </w:r>
      <w:r w:rsidR="7383E2B7" w:rsidRPr="5124B464">
        <w:rPr>
          <w:lang w:eastAsia="en-US"/>
        </w:rPr>
        <w:t>opulli</w:t>
      </w:r>
      <w:r w:rsidR="571E49B4" w:rsidRPr="5124B464">
        <w:rPr>
          <w:lang w:eastAsia="en-US"/>
        </w:rPr>
        <w:t>s</w:t>
      </w:r>
      <w:r w:rsidR="7383E2B7" w:rsidRPr="5124B464">
        <w:rPr>
          <w:lang w:eastAsia="en-US"/>
        </w:rPr>
        <w:t>en soveltamisala</w:t>
      </w:r>
      <w:r w:rsidR="764200DC" w:rsidRPr="5124B464">
        <w:rPr>
          <w:lang w:eastAsia="en-US"/>
        </w:rPr>
        <w:t>n arvioidaan</w:t>
      </w:r>
      <w:r w:rsidR="7383E2B7" w:rsidRPr="5124B464">
        <w:rPr>
          <w:lang w:eastAsia="en-US"/>
        </w:rPr>
        <w:t xml:space="preserve"> katta</w:t>
      </w:r>
      <w:r w:rsidR="0C223014" w:rsidRPr="5124B464">
        <w:rPr>
          <w:lang w:eastAsia="en-US"/>
        </w:rPr>
        <w:t>van</w:t>
      </w:r>
      <w:r w:rsidR="7383E2B7" w:rsidRPr="5124B464">
        <w:rPr>
          <w:lang w:eastAsia="en-US"/>
        </w:rPr>
        <w:t xml:space="preserve"> vuoden 2021 päästötietojen nojalla noin 14,7 Mt CO</w:t>
      </w:r>
      <w:r w:rsidR="7383E2B7" w:rsidRPr="007603FC">
        <w:rPr>
          <w:vertAlign w:val="subscript"/>
          <w:lang w:eastAsia="en-US"/>
        </w:rPr>
        <w:t>2</w:t>
      </w:r>
      <w:r w:rsidR="00A42EF6" w:rsidRPr="5124B464">
        <w:rPr>
          <w:lang w:eastAsia="en-US"/>
        </w:rPr>
        <w:t>-</w:t>
      </w:r>
      <w:r w:rsidR="7383E2B7" w:rsidRPr="5124B464">
        <w:rPr>
          <w:lang w:eastAsia="en-US"/>
        </w:rPr>
        <w:t xml:space="preserve">ekv., eli 53 % </w:t>
      </w:r>
      <w:r w:rsidR="4FE2ECF9" w:rsidRPr="5124B464">
        <w:rPr>
          <w:lang w:eastAsia="en-US"/>
        </w:rPr>
        <w:t xml:space="preserve">Suomen </w:t>
      </w:r>
      <w:r w:rsidR="7383E2B7" w:rsidRPr="5124B464">
        <w:rPr>
          <w:lang w:eastAsia="en-US"/>
        </w:rPr>
        <w:t xml:space="preserve">taakanjakosektorin kokonaispäästöistä. </w:t>
      </w:r>
      <w:r w:rsidR="41AE80DD" w:rsidRPr="5124B464">
        <w:rPr>
          <w:lang w:eastAsia="en-US"/>
        </w:rPr>
        <w:t xml:space="preserve">Soveltamisalan laajentaminen tuo </w:t>
      </w:r>
      <w:r w:rsidR="00BB4393">
        <w:rPr>
          <w:lang w:eastAsia="en-US"/>
        </w:rPr>
        <w:t>jakelun</w:t>
      </w:r>
      <w:r w:rsidR="41AE80DD" w:rsidRPr="5124B464">
        <w:rPr>
          <w:lang w:eastAsia="en-US"/>
        </w:rPr>
        <w:t xml:space="preserve"> päästökaupan piiriin </w:t>
      </w:r>
      <w:r w:rsidR="009A4378" w:rsidRPr="5124B464">
        <w:rPr>
          <w:lang w:eastAsia="en-US"/>
        </w:rPr>
        <w:t xml:space="preserve">myös </w:t>
      </w:r>
      <w:r w:rsidR="41AE80DD" w:rsidRPr="5124B464">
        <w:rPr>
          <w:lang w:eastAsia="en-US"/>
        </w:rPr>
        <w:t>maa- ja metsätalouden sekä kaupallisen vesiliikenteen polttoaine</w:t>
      </w:r>
      <w:r w:rsidR="4EFC2667" w:rsidRPr="5124B464">
        <w:rPr>
          <w:lang w:eastAsia="en-US"/>
        </w:rPr>
        <w:t>käytön. Tästä aiheutuiva kustannusrasitus on tarkoitus hyvittää to</w:t>
      </w:r>
      <w:r w:rsidR="605E1E5E" w:rsidRPr="5124B464">
        <w:rPr>
          <w:lang w:eastAsia="en-US"/>
        </w:rPr>
        <w:t>i</w:t>
      </w:r>
      <w:r w:rsidR="4EFC2667" w:rsidRPr="5124B464">
        <w:rPr>
          <w:lang w:eastAsia="en-US"/>
        </w:rPr>
        <w:t>minna</w:t>
      </w:r>
      <w:r w:rsidR="03714FAA" w:rsidRPr="5124B464">
        <w:rPr>
          <w:lang w:eastAsia="en-US"/>
        </w:rPr>
        <w:t>n</w:t>
      </w:r>
      <w:r w:rsidR="4EFC2667" w:rsidRPr="5124B464">
        <w:rPr>
          <w:lang w:eastAsia="en-US"/>
        </w:rPr>
        <w:t>h</w:t>
      </w:r>
      <w:r w:rsidR="1FAAAC61" w:rsidRPr="5124B464">
        <w:rPr>
          <w:lang w:eastAsia="en-US"/>
        </w:rPr>
        <w:t>a</w:t>
      </w:r>
      <w:r w:rsidR="4EFC2667" w:rsidRPr="5124B464">
        <w:rPr>
          <w:lang w:eastAsia="en-US"/>
        </w:rPr>
        <w:t xml:space="preserve">rjoittajille </w:t>
      </w:r>
      <w:r w:rsidR="001F4921" w:rsidRPr="5124B464">
        <w:rPr>
          <w:lang w:eastAsia="en-US"/>
        </w:rPr>
        <w:t>erillisen</w:t>
      </w:r>
      <w:r w:rsidR="1A32C791" w:rsidRPr="5124B464">
        <w:rPr>
          <w:lang w:eastAsia="en-US"/>
        </w:rPr>
        <w:t xml:space="preserve"> järjestelmän avulla. </w:t>
      </w:r>
    </w:p>
    <w:p w14:paraId="6C71D2F8" w14:textId="02897032" w:rsidR="2EEB6A79" w:rsidRDefault="58CE24D1" w:rsidP="2EEB6A79">
      <w:pPr>
        <w:pStyle w:val="VNLeip1kappale"/>
        <w:rPr>
          <w:lang w:eastAsia="en-US"/>
        </w:rPr>
      </w:pPr>
      <w:r w:rsidRPr="4836801C">
        <w:rPr>
          <w:lang w:eastAsia="en-US"/>
        </w:rPr>
        <w:lastRenderedPageBreak/>
        <w:t>U</w:t>
      </w:r>
      <w:r w:rsidR="7383E2B7" w:rsidRPr="4836801C">
        <w:rPr>
          <w:lang w:eastAsia="en-US"/>
        </w:rPr>
        <w:t>usi</w:t>
      </w:r>
      <w:r w:rsidR="7383E2B7" w:rsidRPr="668BC20E">
        <w:rPr>
          <w:lang w:eastAsia="en-US"/>
        </w:rPr>
        <w:t xml:space="preserve"> fossiilisen polttoaineen jakelua koskeva päästökauppa on erillinen järjestelmä, joka ei </w:t>
      </w:r>
      <w:r w:rsidR="53668417" w:rsidRPr="7D9B3A5E">
        <w:rPr>
          <w:lang w:eastAsia="en-US"/>
        </w:rPr>
        <w:t xml:space="preserve">ole </w:t>
      </w:r>
      <w:r w:rsidR="7383E2B7" w:rsidRPr="668BC20E">
        <w:rPr>
          <w:lang w:eastAsia="en-US"/>
        </w:rPr>
        <w:t xml:space="preserve">miltään osin sidottu nykyiseen, yleiseen päästökauppaan. Järjestelmä on EU:n laajuinen </w:t>
      </w:r>
      <w:r w:rsidR="3EC1977B" w:rsidRPr="7D9B3A5E">
        <w:rPr>
          <w:lang w:eastAsia="en-US"/>
        </w:rPr>
        <w:t>ja</w:t>
      </w:r>
      <w:r w:rsidR="7383E2B7" w:rsidRPr="7D9B3A5E">
        <w:rPr>
          <w:lang w:eastAsia="en-US"/>
        </w:rPr>
        <w:t xml:space="preserve"> </w:t>
      </w:r>
      <w:r w:rsidR="7383E2B7" w:rsidRPr="668BC20E">
        <w:rPr>
          <w:lang w:eastAsia="en-US"/>
        </w:rPr>
        <w:t xml:space="preserve">sääntelyn kohteena oleva taho eli polttoaineen jakelija on velvollinen hankkimaan päästöjään vastaavan määrän päästöoikeuksia. Päästöoikeudet huutokaupataan EU:n tasolla ja </w:t>
      </w:r>
      <w:r w:rsidR="7383E2B7" w:rsidRPr="4836801C">
        <w:rPr>
          <w:lang w:eastAsia="en-US"/>
        </w:rPr>
        <w:t>n</w:t>
      </w:r>
      <w:r w:rsidR="15893E46" w:rsidRPr="4836801C">
        <w:rPr>
          <w:lang w:eastAsia="en-US"/>
        </w:rPr>
        <w:t>iille</w:t>
      </w:r>
      <w:r w:rsidR="7383E2B7" w:rsidRPr="668BC20E">
        <w:rPr>
          <w:lang w:eastAsia="en-US"/>
        </w:rPr>
        <w:t xml:space="preserve"> asetetaan yhteinen katto, joka pienenee vuosittain kohti asetettua päästövähennystavoitetta. Jak</w:t>
      </w:r>
      <w:r w:rsidR="005F374D">
        <w:rPr>
          <w:lang w:eastAsia="en-US"/>
        </w:rPr>
        <w:t>elun</w:t>
      </w:r>
      <w:r w:rsidR="7383E2B7" w:rsidRPr="668BC20E">
        <w:rPr>
          <w:lang w:eastAsia="en-US"/>
        </w:rPr>
        <w:t xml:space="preserve"> päästökauppaan kuuluvat toimialat säilyvät osana taakanjakosektoria ja kuuluvat kansallisten velvoitteiden alle, eli uusi päästökauppa on luonteeltaan EU:n laajuinen päästövähennystoimi taakanjakosektorille eikä oma itsenäinen päästövähennyssektori.</w:t>
      </w:r>
    </w:p>
    <w:p w14:paraId="4D904297" w14:textId="72A169CC" w:rsidR="00F06CA8" w:rsidRDefault="002776B5" w:rsidP="00852E39">
      <w:pPr>
        <w:pStyle w:val="Numeroimatonotsikko"/>
        <w:rPr>
          <w:lang w:eastAsia="en-US"/>
        </w:rPr>
      </w:pPr>
      <w:r>
        <w:rPr>
          <w:lang w:eastAsia="en-US"/>
        </w:rPr>
        <w:t>Sosiaalinen</w:t>
      </w:r>
      <w:r w:rsidR="005C013C">
        <w:rPr>
          <w:lang w:eastAsia="en-US"/>
        </w:rPr>
        <w:t xml:space="preserve"> ilmastorah</w:t>
      </w:r>
      <w:r w:rsidR="00852E39">
        <w:rPr>
          <w:lang w:eastAsia="en-US"/>
        </w:rPr>
        <w:t>asto</w:t>
      </w:r>
    </w:p>
    <w:p w14:paraId="51714F3B" w14:textId="123F3E94" w:rsidR="278F7151" w:rsidRDefault="7383E2B7" w:rsidP="2E224923">
      <w:pPr>
        <w:pStyle w:val="VNLeip1kappale"/>
        <w:rPr>
          <w:lang w:eastAsia="en-US"/>
        </w:rPr>
      </w:pPr>
      <w:r w:rsidRPr="5124B464">
        <w:rPr>
          <w:lang w:eastAsia="en-US"/>
        </w:rPr>
        <w:t>Uuden fossiilisen polttoaineen jakelua koskevan päästökauppajärjestelmän neuvotteluiden yhteydessä sovittiin myös uudesta Sosiaalisesta ilmastorahastosta (</w:t>
      </w:r>
      <w:proofErr w:type="spellStart"/>
      <w:r w:rsidRPr="5124B464">
        <w:rPr>
          <w:lang w:eastAsia="en-US"/>
        </w:rPr>
        <w:t>Social</w:t>
      </w:r>
      <w:proofErr w:type="spellEnd"/>
      <w:r w:rsidRPr="5124B464">
        <w:rPr>
          <w:lang w:eastAsia="en-US"/>
        </w:rPr>
        <w:t xml:space="preserve"> </w:t>
      </w:r>
      <w:proofErr w:type="spellStart"/>
      <w:r w:rsidRPr="5124B464">
        <w:rPr>
          <w:lang w:eastAsia="en-US"/>
        </w:rPr>
        <w:t>Climate</w:t>
      </w:r>
      <w:proofErr w:type="spellEnd"/>
      <w:r w:rsidRPr="5124B464">
        <w:rPr>
          <w:lang w:eastAsia="en-US"/>
        </w:rPr>
        <w:t xml:space="preserve"> Fund, SCF</w:t>
      </w:r>
      <w:r w:rsidR="0F3E7325" w:rsidRPr="5E6B965A">
        <w:rPr>
          <w:lang w:eastAsia="en-US"/>
        </w:rPr>
        <w:t>,</w:t>
      </w:r>
      <w:r w:rsidRPr="5E6B965A">
        <w:rPr>
          <w:lang w:eastAsia="en-US"/>
        </w:rPr>
        <w:t xml:space="preserve"> </w:t>
      </w:r>
      <w:r w:rsidRPr="5124B464">
        <w:rPr>
          <w:lang w:eastAsia="en-US"/>
        </w:rPr>
        <w:t>EU 2023/955</w:t>
      </w:r>
      <w:r w:rsidRPr="5E6B965A">
        <w:rPr>
          <w:lang w:eastAsia="en-US"/>
        </w:rPr>
        <w:t>)</w:t>
      </w:r>
      <w:r w:rsidR="7A3A32DC" w:rsidRPr="5E6B965A">
        <w:rPr>
          <w:lang w:eastAsia="en-US"/>
        </w:rPr>
        <w:t>,</w:t>
      </w:r>
      <w:r w:rsidR="7A3A32DC" w:rsidRPr="5124B464">
        <w:rPr>
          <w:lang w:eastAsia="en-US"/>
        </w:rPr>
        <w:t xml:space="preserve"> jonka</w:t>
      </w:r>
      <w:r w:rsidRPr="5124B464">
        <w:rPr>
          <w:lang w:eastAsia="en-US"/>
        </w:rPr>
        <w:t xml:space="preserve"> tavoitteena on vähentää </w:t>
      </w:r>
      <w:r w:rsidRPr="01982045">
        <w:rPr>
          <w:lang w:eastAsia="en-US"/>
        </w:rPr>
        <w:t>päästökaup</w:t>
      </w:r>
      <w:r w:rsidR="001947FF" w:rsidRPr="01982045">
        <w:rPr>
          <w:lang w:eastAsia="en-US"/>
        </w:rPr>
        <w:t>an</w:t>
      </w:r>
      <w:r w:rsidR="6F5FEF14" w:rsidRPr="01982045">
        <w:rPr>
          <w:lang w:eastAsia="en-US"/>
        </w:rPr>
        <w:t xml:space="preserve"> </w:t>
      </w:r>
      <w:r w:rsidR="00253D8A" w:rsidRPr="01982045">
        <w:rPr>
          <w:lang w:eastAsia="en-US"/>
        </w:rPr>
        <w:t>aiheuttamia</w:t>
      </w:r>
      <w:r w:rsidR="00253D8A" w:rsidRPr="5124B464">
        <w:rPr>
          <w:lang w:eastAsia="en-US"/>
        </w:rPr>
        <w:t xml:space="preserve"> kustannuksia</w:t>
      </w:r>
      <w:r w:rsidRPr="5124B464">
        <w:rPr>
          <w:lang w:eastAsia="en-US"/>
        </w:rPr>
        <w:t xml:space="preserve"> haavoittuvassa asemassa oleville kotitalouksille, mikroyrityksille ja liikenteen käyttäjille </w:t>
      </w:r>
      <w:r w:rsidR="4139BA87" w:rsidRPr="5124B464">
        <w:rPr>
          <w:lang w:eastAsia="en-US"/>
        </w:rPr>
        <w:t>sekä</w:t>
      </w:r>
      <w:r w:rsidRPr="5124B464">
        <w:rPr>
          <w:lang w:eastAsia="en-US"/>
        </w:rPr>
        <w:t xml:space="preserve"> edistää irtautumista fossiilisista polttoaineista.</w:t>
      </w:r>
    </w:p>
    <w:p w14:paraId="6223891A" w14:textId="29DF8FE2" w:rsidR="278F7151" w:rsidRDefault="7383E2B7" w:rsidP="2E224923">
      <w:pPr>
        <w:pStyle w:val="VNLeip1kappale"/>
        <w:rPr>
          <w:lang w:eastAsia="en-US"/>
        </w:rPr>
      </w:pPr>
      <w:r w:rsidRPr="18FB1B2B">
        <w:rPr>
          <w:lang w:eastAsia="en-US"/>
        </w:rPr>
        <w:t>Rahaston</w:t>
      </w:r>
      <w:r w:rsidR="21C8C921" w:rsidRPr="18FB1B2B">
        <w:rPr>
          <w:lang w:eastAsia="en-US"/>
        </w:rPr>
        <w:t xml:space="preserve"> </w:t>
      </w:r>
      <w:r w:rsidR="00FA6E6E" w:rsidRPr="18FB1B2B">
        <w:rPr>
          <w:lang w:eastAsia="en-US"/>
        </w:rPr>
        <w:t>toiminta</w:t>
      </w:r>
      <w:r w:rsidR="00FA6E6E">
        <w:rPr>
          <w:lang w:eastAsia="en-US"/>
        </w:rPr>
        <w:t xml:space="preserve"> käynnistyy vuonna </w:t>
      </w:r>
      <w:r w:rsidRPr="5124B464">
        <w:rPr>
          <w:lang w:eastAsia="en-US"/>
        </w:rPr>
        <w:t>2026</w:t>
      </w:r>
      <w:r w:rsidR="00FA6E6E">
        <w:rPr>
          <w:lang w:eastAsia="en-US"/>
        </w:rPr>
        <w:t xml:space="preserve"> ja jatkuu </w:t>
      </w:r>
      <w:r w:rsidR="00FA6E6E" w:rsidRPr="617839AA">
        <w:rPr>
          <w:lang w:eastAsia="en-US"/>
        </w:rPr>
        <w:t>vuoteen</w:t>
      </w:r>
      <w:r w:rsidR="44952F7F" w:rsidRPr="617839AA">
        <w:rPr>
          <w:lang w:eastAsia="en-US"/>
        </w:rPr>
        <w:t xml:space="preserve"> </w:t>
      </w:r>
      <w:r w:rsidRPr="617839AA">
        <w:rPr>
          <w:lang w:eastAsia="en-US"/>
        </w:rPr>
        <w:t>2032.</w:t>
      </w:r>
      <w:r w:rsidRPr="5124B464">
        <w:rPr>
          <w:lang w:eastAsia="en-US"/>
        </w:rPr>
        <w:t xml:space="preserve"> Rahasto rahoitetaan päästökaupan huutokauppatuloi</w:t>
      </w:r>
      <w:r w:rsidR="3D0744AA" w:rsidRPr="5124B464">
        <w:rPr>
          <w:lang w:eastAsia="en-US"/>
        </w:rPr>
        <w:t>lla</w:t>
      </w:r>
      <w:r w:rsidRPr="5124B464">
        <w:rPr>
          <w:lang w:eastAsia="en-US"/>
        </w:rPr>
        <w:t xml:space="preserve"> ja kansallisella osarahoituksella, jonka osuus on 25 prosenttia</w:t>
      </w:r>
      <w:r w:rsidR="006A4937" w:rsidRPr="5124B464">
        <w:rPr>
          <w:lang w:eastAsia="en-US"/>
        </w:rPr>
        <w:t xml:space="preserve"> kokonaisrahoituksesta</w:t>
      </w:r>
      <w:r w:rsidRPr="5124B464">
        <w:rPr>
          <w:lang w:eastAsia="en-US"/>
        </w:rPr>
        <w:t>. Suomen maksut huutokauppatuloilla rahoitetusta osuudesta o</w:t>
      </w:r>
      <w:r w:rsidR="6B38E764" w:rsidRPr="5124B464">
        <w:rPr>
          <w:lang w:eastAsia="en-US"/>
        </w:rPr>
        <w:t>vat</w:t>
      </w:r>
      <w:r w:rsidRPr="5124B464">
        <w:rPr>
          <w:lang w:eastAsia="en-US"/>
        </w:rPr>
        <w:t xml:space="preserve"> </w:t>
      </w:r>
      <w:r w:rsidR="00B679D9" w:rsidRPr="5124B464">
        <w:rPr>
          <w:lang w:eastAsia="en-US"/>
        </w:rPr>
        <w:t xml:space="preserve">yhteensä </w:t>
      </w:r>
      <w:r w:rsidRPr="5124B464">
        <w:rPr>
          <w:lang w:eastAsia="en-US"/>
        </w:rPr>
        <w:t>596 miljoonaa euroa</w:t>
      </w:r>
      <w:r w:rsidR="12920287" w:rsidRPr="5124B464">
        <w:rPr>
          <w:lang w:eastAsia="en-US"/>
        </w:rPr>
        <w:t xml:space="preserve"> </w:t>
      </w:r>
      <w:r w:rsidR="00B679D9" w:rsidRPr="5124B464">
        <w:rPr>
          <w:lang w:eastAsia="en-US"/>
        </w:rPr>
        <w:t>vuosina 2026</w:t>
      </w:r>
      <w:r w:rsidR="7950D020" w:rsidRPr="3302B597">
        <w:rPr>
          <w:lang w:eastAsia="en-US"/>
        </w:rPr>
        <w:t>–</w:t>
      </w:r>
      <w:r w:rsidR="00B679D9" w:rsidRPr="5124B464">
        <w:rPr>
          <w:lang w:eastAsia="en-US"/>
        </w:rPr>
        <w:t xml:space="preserve">2032 </w:t>
      </w:r>
      <w:r w:rsidR="12920287" w:rsidRPr="5124B464">
        <w:rPr>
          <w:lang w:eastAsia="en-US"/>
        </w:rPr>
        <w:t xml:space="preserve">ja </w:t>
      </w:r>
      <w:r w:rsidRPr="5124B464">
        <w:rPr>
          <w:lang w:eastAsia="en-US"/>
        </w:rPr>
        <w:t xml:space="preserve">Suomen saanto </w:t>
      </w:r>
      <w:r w:rsidR="00B679D9" w:rsidRPr="5124B464">
        <w:rPr>
          <w:lang w:eastAsia="en-US"/>
        </w:rPr>
        <w:t>rahastosta</w:t>
      </w:r>
      <w:r w:rsidRPr="5124B464">
        <w:rPr>
          <w:lang w:eastAsia="en-US"/>
        </w:rPr>
        <w:t xml:space="preserve"> on </w:t>
      </w:r>
      <w:r w:rsidR="5F3AFA08" w:rsidRPr="5124B464">
        <w:rPr>
          <w:lang w:eastAsia="en-US"/>
        </w:rPr>
        <w:t xml:space="preserve">samalta ajalta </w:t>
      </w:r>
      <w:r w:rsidRPr="5124B464">
        <w:rPr>
          <w:lang w:eastAsia="en-US"/>
        </w:rPr>
        <w:t xml:space="preserve">korkeintaan 348 miljoonaa euroa. </w:t>
      </w:r>
      <w:r w:rsidR="00297893" w:rsidRPr="5124B464">
        <w:rPr>
          <w:lang w:eastAsia="en-US"/>
        </w:rPr>
        <w:t>K</w:t>
      </w:r>
      <w:r w:rsidRPr="5124B464">
        <w:rPr>
          <w:lang w:eastAsia="en-US"/>
        </w:rPr>
        <w:t>ansallisen rahoituksen määrä on 116 miljoonaa euroa. Rahoitus myönnetään jäsenvaltion laatiman ilmastotoimien sosiaalisen tuen suunnitelman (SCP) perusteella, joka tul</w:t>
      </w:r>
      <w:r w:rsidR="00F959BF" w:rsidRPr="5124B464">
        <w:rPr>
          <w:lang w:eastAsia="en-US"/>
        </w:rPr>
        <w:t>isi</w:t>
      </w:r>
      <w:r w:rsidRPr="5124B464">
        <w:rPr>
          <w:lang w:eastAsia="en-US"/>
        </w:rPr>
        <w:t xml:space="preserve"> toimittaa komissiolle 30.6.2025 mennessä.</w:t>
      </w:r>
    </w:p>
    <w:p w14:paraId="5CC356B5" w14:textId="5EE7217C" w:rsidR="00D95A49" w:rsidRPr="00DC758F" w:rsidRDefault="6B2E15B5" w:rsidP="00DC758F">
      <w:pPr>
        <w:pStyle w:val="Otsikko2"/>
        <w:tabs>
          <w:tab w:val="clear" w:pos="360"/>
        </w:tabs>
        <w:ind w:left="576" w:hanging="576"/>
        <w:rPr>
          <w:lang w:val="fi-FI"/>
        </w:rPr>
      </w:pPr>
      <w:bookmarkStart w:id="35" w:name="_Toc1138488377"/>
      <w:bookmarkStart w:id="36" w:name="_Toc236137999"/>
      <w:bookmarkStart w:id="37" w:name="_Toc202260021"/>
      <w:r w:rsidRPr="1A881142">
        <w:rPr>
          <w:lang w:val="fi-FI"/>
        </w:rPr>
        <w:t xml:space="preserve">2.3 </w:t>
      </w:r>
      <w:r w:rsidR="00D95A49" w:rsidRPr="1A881142">
        <w:rPr>
          <w:lang w:val="fi-FI"/>
        </w:rPr>
        <w:t>Taakanjakoa koskeva sääntely</w:t>
      </w:r>
      <w:bookmarkEnd w:id="35"/>
      <w:bookmarkEnd w:id="36"/>
      <w:bookmarkEnd w:id="37"/>
    </w:p>
    <w:p w14:paraId="61389A99" w14:textId="42532E3B" w:rsidR="00D7596D" w:rsidRDefault="00D7596D" w:rsidP="3CF86168">
      <w:pPr>
        <w:pStyle w:val="VNLeip1kappale"/>
        <w:rPr>
          <w:lang w:eastAsia="en-US"/>
        </w:rPr>
      </w:pPr>
      <w:r w:rsidRPr="668BC20E">
        <w:rPr>
          <w:lang w:eastAsia="en-US"/>
        </w:rPr>
        <w:t xml:space="preserve">EU:n </w:t>
      </w:r>
      <w:r w:rsidRPr="7D9B3A5E">
        <w:rPr>
          <w:lang w:eastAsia="en-US"/>
        </w:rPr>
        <w:t>taakanjakoasetu</w:t>
      </w:r>
      <w:r w:rsidR="00AB02B1" w:rsidRPr="7D9B3A5E">
        <w:rPr>
          <w:lang w:eastAsia="en-US"/>
        </w:rPr>
        <w:t xml:space="preserve">s </w:t>
      </w:r>
      <w:r w:rsidR="0075590C">
        <w:rPr>
          <w:lang w:eastAsia="en-US"/>
        </w:rPr>
        <w:t>(2018</w:t>
      </w:r>
      <w:r w:rsidR="0099546A">
        <w:rPr>
          <w:lang w:eastAsia="en-US"/>
        </w:rPr>
        <w:t>/842</w:t>
      </w:r>
      <w:r w:rsidR="0075590C">
        <w:rPr>
          <w:lang w:eastAsia="en-US"/>
        </w:rPr>
        <w:t xml:space="preserve">) </w:t>
      </w:r>
      <w:r w:rsidR="00AB02B1" w:rsidRPr="4836801C">
        <w:rPr>
          <w:lang w:eastAsia="en-US"/>
        </w:rPr>
        <w:t>asettaa</w:t>
      </w:r>
      <w:r w:rsidRPr="668BC20E">
        <w:rPr>
          <w:lang w:eastAsia="en-US"/>
        </w:rPr>
        <w:t xml:space="preserve"> jäsenmaille </w:t>
      </w:r>
      <w:r w:rsidR="07CBCB7A" w:rsidRPr="7D9B3A5E">
        <w:rPr>
          <w:lang w:eastAsia="en-US"/>
        </w:rPr>
        <w:t>taakanjakosektori</w:t>
      </w:r>
      <w:r w:rsidR="5AA0369F" w:rsidRPr="7D9B3A5E">
        <w:rPr>
          <w:lang w:eastAsia="en-US"/>
        </w:rPr>
        <w:t xml:space="preserve">n </w:t>
      </w:r>
      <w:r w:rsidRPr="668BC20E">
        <w:rPr>
          <w:lang w:eastAsia="en-US"/>
        </w:rPr>
        <w:t>sitovat päästövähennysvelvoitteet</w:t>
      </w:r>
      <w:r w:rsidR="01941D43" w:rsidRPr="1ADBA22E">
        <w:rPr>
          <w:lang w:eastAsia="en-US"/>
        </w:rPr>
        <w:t>,</w:t>
      </w:r>
      <w:r w:rsidRPr="668BC20E">
        <w:rPr>
          <w:lang w:eastAsia="en-US"/>
        </w:rPr>
        <w:t xml:space="preserve"> jotka muodostuvat tavoitevuodelle 2030 asetetusta prosentuaalisesta päästövähennysvelvoitteesta ja vuosikohtaisista päästökiintiöistä. </w:t>
      </w:r>
      <w:r w:rsidR="00BC22B4">
        <w:rPr>
          <w:lang w:eastAsia="en-US"/>
        </w:rPr>
        <w:t xml:space="preserve">Vuonna 2023 </w:t>
      </w:r>
      <w:r w:rsidR="00FE47F8">
        <w:rPr>
          <w:lang w:eastAsia="en-US"/>
        </w:rPr>
        <w:t>päivitetyn t</w:t>
      </w:r>
      <w:r w:rsidR="38614531" w:rsidRPr="7D9B3A5E">
        <w:rPr>
          <w:lang w:eastAsia="en-US"/>
        </w:rPr>
        <w:t>aakanjakoasetuksen</w:t>
      </w:r>
      <w:r w:rsidR="00FE47F8">
        <w:rPr>
          <w:lang w:eastAsia="en-US"/>
        </w:rPr>
        <w:t xml:space="preserve"> (</w:t>
      </w:r>
      <w:r w:rsidR="00DE0977">
        <w:rPr>
          <w:lang w:eastAsia="en-US"/>
        </w:rPr>
        <w:t>2023/857</w:t>
      </w:r>
      <w:r w:rsidR="00FE47F8">
        <w:rPr>
          <w:lang w:eastAsia="en-US"/>
        </w:rPr>
        <w:t>)</w:t>
      </w:r>
      <w:r w:rsidR="38614531" w:rsidRPr="7D9B3A5E">
        <w:rPr>
          <w:lang w:eastAsia="en-US"/>
        </w:rPr>
        <w:t xml:space="preserve"> mukaan Suomen taakanjakosektorin päästövähennysvelvoite vuodelle 2030 </w:t>
      </w:r>
      <w:r w:rsidR="38614531" w:rsidRPr="7D9B3A5E">
        <w:rPr>
          <w:lang w:eastAsia="en-US"/>
        </w:rPr>
        <w:lastRenderedPageBreak/>
        <w:t xml:space="preserve">on 50 % verrattuna vuoteen 2005. </w:t>
      </w:r>
      <w:r w:rsidR="005B21C9">
        <w:rPr>
          <w:lang w:eastAsia="en-US"/>
        </w:rPr>
        <w:t>V</w:t>
      </w:r>
      <w:r w:rsidR="38614531" w:rsidRPr="7D9B3A5E">
        <w:rPr>
          <w:lang w:eastAsia="en-US"/>
        </w:rPr>
        <w:t>uosien 2023–2025 päästökiintiöt</w:t>
      </w:r>
      <w:r w:rsidR="005B21C9">
        <w:rPr>
          <w:lang w:eastAsia="en-US"/>
        </w:rPr>
        <w:t xml:space="preserve"> on asetettu </w:t>
      </w:r>
      <w:r w:rsidR="005B21C9" w:rsidRPr="1D48B842">
        <w:rPr>
          <w:lang w:eastAsia="en-US"/>
        </w:rPr>
        <w:t>toimeenpano</w:t>
      </w:r>
      <w:r w:rsidR="009E0D74" w:rsidRPr="1D48B842">
        <w:rPr>
          <w:lang w:eastAsia="en-US"/>
        </w:rPr>
        <w:t>p</w:t>
      </w:r>
      <w:r w:rsidR="005B21C9" w:rsidRPr="1D48B842">
        <w:rPr>
          <w:lang w:eastAsia="en-US"/>
        </w:rPr>
        <w:t>ää</w:t>
      </w:r>
      <w:r w:rsidR="009E0D74" w:rsidRPr="1D48B842">
        <w:rPr>
          <w:lang w:eastAsia="en-US"/>
        </w:rPr>
        <w:t>t</w:t>
      </w:r>
      <w:r w:rsidR="005B21C9" w:rsidRPr="1D48B842">
        <w:rPr>
          <w:lang w:eastAsia="en-US"/>
        </w:rPr>
        <w:t>öksellä</w:t>
      </w:r>
      <w:r w:rsidR="005B21C9" w:rsidRPr="7CD853AD">
        <w:rPr>
          <w:lang w:eastAsia="en-US"/>
        </w:rPr>
        <w:t xml:space="preserve"> </w:t>
      </w:r>
      <w:r w:rsidR="00A313A6" w:rsidRPr="7CD853AD">
        <w:rPr>
          <w:lang w:eastAsia="en-US"/>
        </w:rPr>
        <w:t>2023/1319</w:t>
      </w:r>
      <w:r w:rsidR="38614531" w:rsidRPr="7CD853AD">
        <w:rPr>
          <w:lang w:eastAsia="en-US"/>
        </w:rPr>
        <w:t>.</w:t>
      </w:r>
      <w:r w:rsidR="38614531" w:rsidRPr="7D9B3A5E">
        <w:rPr>
          <w:lang w:eastAsia="en-US"/>
        </w:rPr>
        <w:t xml:space="preserve"> </w:t>
      </w:r>
      <w:r w:rsidR="38614531" w:rsidRPr="6A15F120">
        <w:rPr>
          <w:lang w:eastAsia="en-US"/>
        </w:rPr>
        <w:t>Vuosien</w:t>
      </w:r>
      <w:r w:rsidR="38614531" w:rsidRPr="7D9B3A5E">
        <w:rPr>
          <w:lang w:eastAsia="en-US"/>
        </w:rPr>
        <w:t xml:space="preserve"> 2026</w:t>
      </w:r>
      <w:r w:rsidR="549A9122" w:rsidRPr="6CE83665">
        <w:rPr>
          <w:lang w:eastAsia="en-US"/>
        </w:rPr>
        <w:t>–</w:t>
      </w:r>
      <w:r w:rsidR="38614531" w:rsidRPr="7D9B3A5E">
        <w:rPr>
          <w:lang w:eastAsia="en-US"/>
        </w:rPr>
        <w:t>2030 päästökiintiö</w:t>
      </w:r>
      <w:r w:rsidR="00A313A6">
        <w:rPr>
          <w:lang w:eastAsia="en-US"/>
        </w:rPr>
        <w:t xml:space="preserve">t asetetaan vuonna 2025 </w:t>
      </w:r>
      <w:r w:rsidR="004B6FC3">
        <w:rPr>
          <w:lang w:eastAsia="en-US"/>
        </w:rPr>
        <w:t xml:space="preserve">taakanjakoasetuksen </w:t>
      </w:r>
      <w:r w:rsidR="00524FE5">
        <w:rPr>
          <w:lang w:eastAsia="en-US"/>
        </w:rPr>
        <w:t>laskentasääntöjen perusteella</w:t>
      </w:r>
      <w:r w:rsidR="38614531" w:rsidRPr="7D9B3A5E">
        <w:rPr>
          <w:lang w:eastAsia="en-US"/>
        </w:rPr>
        <w:t>. Taakanjakosektorin velvoitteen noudattamista valvotaan viiden vuoden jakso</w:t>
      </w:r>
      <w:r w:rsidR="00493DE7">
        <w:rPr>
          <w:lang w:eastAsia="en-US"/>
        </w:rPr>
        <w:t>issa</w:t>
      </w:r>
      <w:r w:rsidR="38614531" w:rsidRPr="6A15F120">
        <w:rPr>
          <w:lang w:eastAsia="en-US"/>
        </w:rPr>
        <w:t xml:space="preserve">. </w:t>
      </w:r>
      <w:r w:rsidR="001E2999">
        <w:rPr>
          <w:lang w:eastAsia="en-US"/>
        </w:rPr>
        <w:t>J</w:t>
      </w:r>
      <w:r w:rsidR="38614531" w:rsidRPr="7D9B3A5E">
        <w:rPr>
          <w:lang w:eastAsia="en-US"/>
        </w:rPr>
        <w:t>akson 2021</w:t>
      </w:r>
      <w:r w:rsidR="386A2B4B" w:rsidRPr="32DDD442">
        <w:rPr>
          <w:lang w:eastAsia="en-US"/>
        </w:rPr>
        <w:t>–</w:t>
      </w:r>
      <w:r w:rsidR="38614531" w:rsidRPr="7D9B3A5E">
        <w:rPr>
          <w:lang w:eastAsia="en-US"/>
        </w:rPr>
        <w:t>2025 velvoitteen noudattamista tarkastellaan vuonna 2027 ja jakson 2026</w:t>
      </w:r>
      <w:r w:rsidR="6EB4B32A" w:rsidRPr="32DDD442">
        <w:rPr>
          <w:lang w:eastAsia="en-US"/>
        </w:rPr>
        <w:t>–</w:t>
      </w:r>
      <w:r w:rsidR="38614531" w:rsidRPr="7D9B3A5E">
        <w:rPr>
          <w:lang w:eastAsia="en-US"/>
        </w:rPr>
        <w:t>2030 vuonna 2032.</w:t>
      </w:r>
    </w:p>
    <w:p w14:paraId="3CDE58EF" w14:textId="1B7459C1" w:rsidR="00D7596D" w:rsidRDefault="00253D8A" w:rsidP="00D7596D">
      <w:pPr>
        <w:pStyle w:val="VNLeip1kappale"/>
        <w:rPr>
          <w:lang w:eastAsia="en-US"/>
        </w:rPr>
      </w:pPr>
      <w:r w:rsidRPr="5124B464">
        <w:rPr>
          <w:lang w:eastAsia="en-US"/>
        </w:rPr>
        <w:t>T</w:t>
      </w:r>
      <w:r w:rsidR="00D7596D" w:rsidRPr="5124B464">
        <w:rPr>
          <w:lang w:eastAsia="en-US"/>
        </w:rPr>
        <w:t xml:space="preserve">aakanjakoa koskevassa lainsäädännössä on määritelty </w:t>
      </w:r>
      <w:r w:rsidRPr="5124B464">
        <w:rPr>
          <w:lang w:eastAsia="en-US"/>
        </w:rPr>
        <w:t xml:space="preserve">myös </w:t>
      </w:r>
      <w:r w:rsidR="00D7596D" w:rsidRPr="5124B464">
        <w:rPr>
          <w:lang w:eastAsia="en-US"/>
        </w:rPr>
        <w:t>joustokeinoja, joita jäsenmaat voivat hyödyntää tavoitteiden saavuttamise</w:t>
      </w:r>
      <w:r w:rsidRPr="5124B464">
        <w:rPr>
          <w:lang w:eastAsia="en-US"/>
        </w:rPr>
        <w:t>ssa</w:t>
      </w:r>
      <w:r w:rsidR="00D7596D" w:rsidRPr="5124B464">
        <w:rPr>
          <w:lang w:eastAsia="en-US"/>
        </w:rPr>
        <w:t xml:space="preserve">. Jäsenmaat voivat esimerkiksi hyödyntää ajallisia joustoja siten, että päästöjä tasataan yksittäisten vuosien välillä. </w:t>
      </w:r>
      <w:r w:rsidRPr="5124B464">
        <w:rPr>
          <w:lang w:eastAsia="en-US"/>
        </w:rPr>
        <w:t>Jäsenmaat voivat</w:t>
      </w:r>
      <w:r w:rsidR="00D7596D" w:rsidRPr="5124B464">
        <w:rPr>
          <w:lang w:eastAsia="en-US"/>
        </w:rPr>
        <w:t xml:space="preserve"> myös hankkia päästöyksiköitä muilta jäsenmailta päästövähennysvelvoitteen kattamiseksi.</w:t>
      </w:r>
      <w:r w:rsidR="00406C0F" w:rsidRPr="5124B464">
        <w:rPr>
          <w:lang w:eastAsia="en-US"/>
        </w:rPr>
        <w:t xml:space="preserve"> </w:t>
      </w:r>
      <w:r w:rsidR="00D7596D" w:rsidRPr="5124B464">
        <w:rPr>
          <w:lang w:eastAsia="en-US"/>
        </w:rPr>
        <w:t>Lisäksi rajallinen määrä päästöoikeuksia voidaan siirtää päästökaupan puolelta kattamaan taakanjakosektorin päästöjä ns. kertaluontoisen joustomekanismin (</w:t>
      </w:r>
      <w:r w:rsidR="4E995699" w:rsidRPr="5124B464">
        <w:rPr>
          <w:lang w:eastAsia="en-US"/>
        </w:rPr>
        <w:t>ETS-jousto</w:t>
      </w:r>
      <w:r w:rsidR="00D7596D" w:rsidRPr="5124B464">
        <w:rPr>
          <w:lang w:eastAsia="en-US"/>
        </w:rPr>
        <w:t>) avulla</w:t>
      </w:r>
      <w:r w:rsidR="009D3EA5" w:rsidRPr="5124B464">
        <w:rPr>
          <w:lang w:eastAsia="en-US"/>
        </w:rPr>
        <w:t>. Myös</w:t>
      </w:r>
      <w:r w:rsidR="00D7596D" w:rsidRPr="5124B464">
        <w:rPr>
          <w:lang w:eastAsia="en-US"/>
        </w:rPr>
        <w:t xml:space="preserve"> maankäyttösektorin mahdollisia ylijäämäyksiköitä voidaan </w:t>
      </w:r>
      <w:r w:rsidR="009D3EA5" w:rsidRPr="5124B464">
        <w:rPr>
          <w:lang w:eastAsia="en-US"/>
        </w:rPr>
        <w:t xml:space="preserve">tietyin ehdoin </w:t>
      </w:r>
      <w:r w:rsidR="00D7596D" w:rsidRPr="5124B464">
        <w:rPr>
          <w:lang w:eastAsia="en-US"/>
        </w:rPr>
        <w:t>hyödyntää taakanjakosektorin velvoitteen täyttämiseen. Toisaalta, mikäli maankäyttösektorista muodostuu laskennallisesti päästölähde, maankäyttösektorin laskennallisia päästöjä voidaan joutua kompensoimaan lisäpäästövähennyksillä taakanjakosektorilla ja/tai yksiköiden ostoilla muista jäsenmaista kaudella 2021–2025.</w:t>
      </w:r>
    </w:p>
    <w:p w14:paraId="50945DC0" w14:textId="06ABA6C3" w:rsidR="00D7596D" w:rsidRDefault="00D7596D" w:rsidP="00D7596D">
      <w:pPr>
        <w:pStyle w:val="VNLeip1kappale"/>
        <w:rPr>
          <w:lang w:eastAsia="en-US"/>
        </w:rPr>
      </w:pPr>
      <w:r w:rsidRPr="5124B464">
        <w:rPr>
          <w:lang w:eastAsia="en-US"/>
        </w:rPr>
        <w:t>Valtioneuvoston päätöksen mukaan päästökauppasektorin päästöoikeuksia käytetään taakanjakosektorin velvoitteen kattamiseksi Suomelle sallittu enimmäismäärä, joka vastaa 0,7 Mt CO</w:t>
      </w:r>
      <w:r w:rsidRPr="26EE8C73">
        <w:rPr>
          <w:vertAlign w:val="subscript"/>
          <w:lang w:eastAsia="en-US"/>
        </w:rPr>
        <w:t>2</w:t>
      </w:r>
      <w:r w:rsidRPr="5124B464">
        <w:rPr>
          <w:lang w:eastAsia="en-US"/>
        </w:rPr>
        <w:t>-ekv. vuodessa eli yhteensä 7 Mt CO</w:t>
      </w:r>
      <w:r w:rsidRPr="6B6376F2">
        <w:rPr>
          <w:vertAlign w:val="subscript"/>
          <w:lang w:eastAsia="en-US"/>
        </w:rPr>
        <w:t>2</w:t>
      </w:r>
      <w:r w:rsidRPr="5124B464">
        <w:rPr>
          <w:lang w:eastAsia="en-US"/>
        </w:rPr>
        <w:t>-ekv. koko jakson 2021</w:t>
      </w:r>
      <w:r w:rsidR="71EDE54C" w:rsidRPr="47B16B5B">
        <w:rPr>
          <w:lang w:eastAsia="en-US"/>
        </w:rPr>
        <w:t>–2030</w:t>
      </w:r>
      <w:r w:rsidRPr="5124B464">
        <w:rPr>
          <w:lang w:eastAsia="en-US"/>
        </w:rPr>
        <w:t xml:space="preserve"> ajalta. </w:t>
      </w:r>
      <w:r w:rsidR="002404B2" w:rsidRPr="5124B464">
        <w:rPr>
          <w:lang w:eastAsia="en-US"/>
        </w:rPr>
        <w:t xml:space="preserve">Suomi on vuonna 2019 tehnyt </w:t>
      </w:r>
      <w:proofErr w:type="spellStart"/>
      <w:r w:rsidR="002404B2" w:rsidRPr="5124B464">
        <w:rPr>
          <w:lang w:eastAsia="en-US"/>
        </w:rPr>
        <w:t>notifikaation</w:t>
      </w:r>
      <w:proofErr w:type="spellEnd"/>
      <w:r w:rsidR="002404B2" w:rsidRPr="5124B464">
        <w:rPr>
          <w:lang w:eastAsia="en-US"/>
        </w:rPr>
        <w:t xml:space="preserve"> asiasta komissiolle. Taakanjakoasetuksen mukaan on mahdollista tehdä tarkistuksia tähän </w:t>
      </w:r>
      <w:proofErr w:type="spellStart"/>
      <w:r w:rsidR="002404B2" w:rsidRPr="5124B464">
        <w:rPr>
          <w:lang w:eastAsia="en-US"/>
        </w:rPr>
        <w:t>notifikaatioon</w:t>
      </w:r>
      <w:proofErr w:type="spellEnd"/>
      <w:r w:rsidR="002404B2" w:rsidRPr="5124B464">
        <w:rPr>
          <w:lang w:eastAsia="en-US"/>
        </w:rPr>
        <w:t xml:space="preserve"> vuosina 2024 ja 2027.</w:t>
      </w:r>
      <w:r w:rsidR="00952371" w:rsidRPr="5124B464">
        <w:rPr>
          <w:lang w:eastAsia="en-US"/>
        </w:rPr>
        <w:t xml:space="preserve"> Käytettyä joustoa vastaava määrä päästöoikeuksia mitätöidään päästökauppasektorilla.</w:t>
      </w:r>
      <w:r w:rsidR="00FE5D02" w:rsidRPr="5124B464">
        <w:rPr>
          <w:lang w:eastAsia="en-US"/>
        </w:rPr>
        <w:t xml:space="preserve"> </w:t>
      </w:r>
      <w:r w:rsidR="00B020EA" w:rsidRPr="5124B464">
        <w:rPr>
          <w:lang w:eastAsia="en-US"/>
        </w:rPr>
        <w:t>On epätodennäköistä</w:t>
      </w:r>
      <w:r w:rsidRPr="5124B464">
        <w:rPr>
          <w:lang w:eastAsia="en-US"/>
        </w:rPr>
        <w:t>, että taakanjakoasetuksen artiklan 7 mukaista maankäyttösektorin joustomekanismia olisi mahdollista käyttää johtuen maankäyttösektorin tilanteesta. Mikäli taakanjakosektorin päästökiintiötä ei jonain vuonna saavuteta, siirtyy vaje seuraavalle vuodelle kertoimella 1,08.</w:t>
      </w:r>
    </w:p>
    <w:p w14:paraId="12B5D7CD" w14:textId="66DD648A" w:rsidR="00D7596D" w:rsidRPr="00D7596D" w:rsidRDefault="00D7596D" w:rsidP="00D7596D">
      <w:pPr>
        <w:pStyle w:val="VNLeip1kappale"/>
        <w:rPr>
          <w:lang w:eastAsia="en-US"/>
        </w:rPr>
      </w:pPr>
      <w:r>
        <w:rPr>
          <w:lang w:eastAsia="en-US"/>
        </w:rPr>
        <w:t>Taakanjakosektoria koskeva sääntely ulottuu tällä hetkellä vuoteen 2030 asti. Vuoden 2030 jälkeistä aikaa koskeva sääntely liittyy EU:n vuoden 2040 ilmastotavoitteen määrittämiseen ja tarkentuu osana sitä valmisteluprosessia.</w:t>
      </w:r>
    </w:p>
    <w:p w14:paraId="1A2B4936" w14:textId="5296845C" w:rsidR="008F1201" w:rsidRPr="00747D32" w:rsidRDefault="2D3792F4" w:rsidP="001709B7">
      <w:pPr>
        <w:pStyle w:val="Otsikko2"/>
        <w:tabs>
          <w:tab w:val="clear" w:pos="360"/>
        </w:tabs>
        <w:ind w:left="576" w:hanging="576"/>
        <w:rPr>
          <w:lang w:val="fi-FI"/>
        </w:rPr>
      </w:pPr>
      <w:bookmarkStart w:id="38" w:name="_Toc655668099"/>
      <w:bookmarkStart w:id="39" w:name="_Toc1846859249"/>
      <w:bookmarkStart w:id="40" w:name="_Toc202260022"/>
      <w:r w:rsidRPr="001709B7">
        <w:rPr>
          <w:lang w:val="fi-FI"/>
        </w:rPr>
        <w:lastRenderedPageBreak/>
        <w:t xml:space="preserve">2.4 </w:t>
      </w:r>
      <w:r w:rsidR="00D95A49" w:rsidRPr="001709B7">
        <w:rPr>
          <w:lang w:val="fi-FI"/>
        </w:rPr>
        <w:t>M</w:t>
      </w:r>
      <w:r w:rsidR="0A783C7F" w:rsidRPr="001709B7">
        <w:rPr>
          <w:lang w:val="fi-FI"/>
        </w:rPr>
        <w:t>aankäyttösektori</w:t>
      </w:r>
      <w:bookmarkEnd w:id="38"/>
      <w:bookmarkEnd w:id="39"/>
      <w:bookmarkEnd w:id="40"/>
    </w:p>
    <w:p w14:paraId="782E291A" w14:textId="225D530B" w:rsidR="008F1201" w:rsidRPr="00390104" w:rsidRDefault="05283B60" w:rsidP="008F1201">
      <w:pPr>
        <w:pStyle w:val="VNLeip1kappale"/>
        <w:rPr>
          <w:lang w:eastAsia="en-US"/>
        </w:rPr>
      </w:pPr>
      <w:r w:rsidRPr="5124B464">
        <w:rPr>
          <w:lang w:eastAsia="en-US"/>
        </w:rPr>
        <w:t>Maankäyttösektorin päästöt ja nielut määritellään EU:ssa LULUCF-asetusten (</w:t>
      </w:r>
      <w:proofErr w:type="spellStart"/>
      <w:r w:rsidRPr="5124B464">
        <w:rPr>
          <w:lang w:eastAsia="en-US"/>
        </w:rPr>
        <w:t>land</w:t>
      </w:r>
      <w:proofErr w:type="spellEnd"/>
      <w:r w:rsidRPr="5124B464">
        <w:rPr>
          <w:lang w:eastAsia="en-US"/>
        </w:rPr>
        <w:t xml:space="preserve"> </w:t>
      </w:r>
      <w:proofErr w:type="spellStart"/>
      <w:r w:rsidRPr="5124B464">
        <w:rPr>
          <w:lang w:eastAsia="en-US"/>
        </w:rPr>
        <w:t>use</w:t>
      </w:r>
      <w:proofErr w:type="spellEnd"/>
      <w:r w:rsidRPr="5124B464">
        <w:rPr>
          <w:lang w:eastAsia="en-US"/>
        </w:rPr>
        <w:t xml:space="preserve">, </w:t>
      </w:r>
      <w:proofErr w:type="spellStart"/>
      <w:r w:rsidRPr="5124B464">
        <w:rPr>
          <w:lang w:eastAsia="en-US"/>
        </w:rPr>
        <w:t>land</w:t>
      </w:r>
      <w:proofErr w:type="spellEnd"/>
      <w:r w:rsidRPr="5124B464">
        <w:rPr>
          <w:lang w:eastAsia="en-US"/>
        </w:rPr>
        <w:t xml:space="preserve"> </w:t>
      </w:r>
      <w:proofErr w:type="spellStart"/>
      <w:r w:rsidRPr="5124B464">
        <w:rPr>
          <w:lang w:eastAsia="en-US"/>
        </w:rPr>
        <w:t>use</w:t>
      </w:r>
      <w:proofErr w:type="spellEnd"/>
      <w:r w:rsidRPr="5124B464">
        <w:rPr>
          <w:lang w:eastAsia="en-US"/>
        </w:rPr>
        <w:t xml:space="preserve"> </w:t>
      </w:r>
      <w:proofErr w:type="spellStart"/>
      <w:r w:rsidRPr="5124B464">
        <w:rPr>
          <w:lang w:eastAsia="en-US"/>
        </w:rPr>
        <w:t>change</w:t>
      </w:r>
      <w:proofErr w:type="spellEnd"/>
      <w:r w:rsidRPr="5124B464">
        <w:rPr>
          <w:lang w:eastAsia="en-US"/>
        </w:rPr>
        <w:t xml:space="preserve"> and </w:t>
      </w:r>
      <w:proofErr w:type="spellStart"/>
      <w:r w:rsidRPr="5124B464">
        <w:rPr>
          <w:lang w:eastAsia="en-US"/>
        </w:rPr>
        <w:t>forestry</w:t>
      </w:r>
      <w:proofErr w:type="spellEnd"/>
      <w:r w:rsidRPr="5124B464">
        <w:rPr>
          <w:lang w:eastAsia="en-US"/>
        </w:rPr>
        <w:t>) (EU 2018/841 ja 2023/839) muka</w:t>
      </w:r>
      <w:r w:rsidR="0C76639B" w:rsidRPr="5124B464">
        <w:rPr>
          <w:lang w:eastAsia="en-US"/>
        </w:rPr>
        <w:t>an</w:t>
      </w:r>
      <w:r w:rsidRPr="5124B464">
        <w:rPr>
          <w:lang w:eastAsia="en-US"/>
        </w:rPr>
        <w:t xml:space="preserve"> </w:t>
      </w:r>
      <w:r w:rsidR="3E2C0E5C" w:rsidRPr="5124B464">
        <w:rPr>
          <w:lang w:eastAsia="en-US"/>
        </w:rPr>
        <w:t xml:space="preserve">kattaen </w:t>
      </w:r>
      <w:r w:rsidRPr="5124B464">
        <w:rPr>
          <w:lang w:eastAsia="en-US"/>
        </w:rPr>
        <w:t>metsien, viljelysmaan, ruohikkoalueiden</w:t>
      </w:r>
      <w:r w:rsidR="743F6603" w:rsidRPr="5124B464">
        <w:rPr>
          <w:lang w:eastAsia="en-US"/>
        </w:rPr>
        <w:t xml:space="preserve"> ja kosteikkojen</w:t>
      </w:r>
      <w:r w:rsidRPr="5124B464">
        <w:rPr>
          <w:lang w:eastAsia="en-US"/>
        </w:rPr>
        <w:t xml:space="preserve"> sekä metsityksen ja metsäkadon päästöt ja nielut. </w:t>
      </w:r>
      <w:r w:rsidR="002F114F" w:rsidRPr="5124B464">
        <w:rPr>
          <w:lang w:eastAsia="en-US"/>
        </w:rPr>
        <w:t xml:space="preserve">Eurooppalaisen ilmastolain mukaan EU:n tavoitteena on vähentää maankäyttösektorin päästöjä ja vahvistaa nieluja </w:t>
      </w:r>
      <w:r w:rsidR="009D663D" w:rsidRPr="5124B464">
        <w:rPr>
          <w:lang w:eastAsia="en-US"/>
        </w:rPr>
        <w:t>siten</w:t>
      </w:r>
      <w:r w:rsidR="002F114F" w:rsidRPr="5124B464">
        <w:rPr>
          <w:lang w:eastAsia="en-US"/>
        </w:rPr>
        <w:t>, että EU saavuttaisi 310 miljoonan CO</w:t>
      </w:r>
      <w:r w:rsidR="002F114F" w:rsidRPr="5124B464">
        <w:rPr>
          <w:vertAlign w:val="subscript"/>
          <w:lang w:eastAsia="en-US"/>
        </w:rPr>
        <w:t>2</w:t>
      </w:r>
      <w:r w:rsidR="002F114F" w:rsidRPr="5124B464">
        <w:rPr>
          <w:lang w:eastAsia="en-US"/>
        </w:rPr>
        <w:t xml:space="preserve">-ekv. nielun vuoteen 2030 mennessä. </w:t>
      </w:r>
      <w:r w:rsidRPr="5124B464">
        <w:rPr>
          <w:lang w:eastAsia="en-US"/>
        </w:rPr>
        <w:t>Maankäyttösektori</w:t>
      </w:r>
      <w:r w:rsidR="47FBCE7E" w:rsidRPr="5124B464">
        <w:rPr>
          <w:lang w:eastAsia="en-US"/>
        </w:rPr>
        <w:t>n</w:t>
      </w:r>
      <w:r w:rsidR="55AAAFD2" w:rsidRPr="5124B464">
        <w:rPr>
          <w:lang w:eastAsia="en-US"/>
        </w:rPr>
        <w:t xml:space="preserve"> nettopäästöille (</w:t>
      </w:r>
      <w:r w:rsidR="0AC9F606" w:rsidRPr="5124B464">
        <w:rPr>
          <w:lang w:eastAsia="en-US"/>
        </w:rPr>
        <w:t xml:space="preserve">kasvihuonekaasupäästöt ja nielujen aikaansaamat poistumat) </w:t>
      </w:r>
      <w:r w:rsidRPr="5124B464">
        <w:rPr>
          <w:lang w:eastAsia="en-US"/>
        </w:rPr>
        <w:t xml:space="preserve">on asetettu </w:t>
      </w:r>
      <w:r w:rsidR="002F114F" w:rsidRPr="5124B464">
        <w:rPr>
          <w:lang w:eastAsia="en-US"/>
        </w:rPr>
        <w:t xml:space="preserve">jäsenmaakohtaiset </w:t>
      </w:r>
      <w:r w:rsidRPr="5124B464">
        <w:rPr>
          <w:lang w:eastAsia="en-US"/>
        </w:rPr>
        <w:t xml:space="preserve">velvoitteet </w:t>
      </w:r>
      <w:r w:rsidR="67619BB4" w:rsidRPr="5124B464">
        <w:rPr>
          <w:lang w:eastAsia="en-US"/>
        </w:rPr>
        <w:t>kausille</w:t>
      </w:r>
      <w:r w:rsidRPr="5124B464">
        <w:rPr>
          <w:lang w:eastAsia="en-US"/>
        </w:rPr>
        <w:t xml:space="preserve"> 2021–2025 ja 2026–2030</w:t>
      </w:r>
      <w:r w:rsidR="5D338705" w:rsidRPr="5124B464">
        <w:rPr>
          <w:lang w:eastAsia="en-US"/>
        </w:rPr>
        <w:t xml:space="preserve">, </w:t>
      </w:r>
      <w:r w:rsidR="5D338705" w:rsidRPr="27DD6A23">
        <w:rPr>
          <w:lang w:eastAsia="en-US"/>
        </w:rPr>
        <w:t>joi</w:t>
      </w:r>
      <w:r w:rsidR="00EF2C21" w:rsidRPr="27DD6A23">
        <w:rPr>
          <w:lang w:eastAsia="en-US"/>
        </w:rPr>
        <w:t>den</w:t>
      </w:r>
      <w:r w:rsidRPr="5124B464">
        <w:rPr>
          <w:lang w:eastAsia="en-US"/>
        </w:rPr>
        <w:t xml:space="preserve"> </w:t>
      </w:r>
      <w:r w:rsidR="39FC90A6" w:rsidRPr="5124B464">
        <w:rPr>
          <w:lang w:eastAsia="en-US"/>
        </w:rPr>
        <w:t>p</w:t>
      </w:r>
      <w:r w:rsidR="0B7DC311" w:rsidRPr="5124B464">
        <w:rPr>
          <w:lang w:eastAsia="en-US"/>
        </w:rPr>
        <w:t xml:space="preserve">äästöjen ja poistumien tarkastelutapa poikkeaa </w:t>
      </w:r>
      <w:r w:rsidR="7581EDCC" w:rsidRPr="5124B464">
        <w:rPr>
          <w:lang w:eastAsia="en-US"/>
        </w:rPr>
        <w:t xml:space="preserve">kuitenkin </w:t>
      </w:r>
      <w:r w:rsidR="0B7DC311" w:rsidRPr="5124B464">
        <w:rPr>
          <w:lang w:eastAsia="en-US"/>
        </w:rPr>
        <w:t xml:space="preserve">merkittävästi </w:t>
      </w:r>
      <w:r w:rsidR="2E7318FF" w:rsidRPr="5124B464">
        <w:rPr>
          <w:lang w:eastAsia="en-US"/>
        </w:rPr>
        <w:t>toisistaan</w:t>
      </w:r>
      <w:r w:rsidR="0B7DC311" w:rsidRPr="5124B464">
        <w:rPr>
          <w:lang w:eastAsia="en-US"/>
        </w:rPr>
        <w:t>.</w:t>
      </w:r>
      <w:r w:rsidR="00A9342C" w:rsidRPr="5124B464">
        <w:rPr>
          <w:lang w:eastAsia="en-US"/>
        </w:rPr>
        <w:t xml:space="preserve"> </w:t>
      </w:r>
      <w:r w:rsidR="00A94841">
        <w:rPr>
          <w:lang w:eastAsia="en-US"/>
        </w:rPr>
        <w:t xml:space="preserve">Ensimmäisen </w:t>
      </w:r>
      <w:r w:rsidR="001E7A54">
        <w:rPr>
          <w:lang w:eastAsia="en-US"/>
        </w:rPr>
        <w:t xml:space="preserve">tarkastelujakson päättyessä </w:t>
      </w:r>
      <w:r w:rsidR="001E7A54" w:rsidRPr="18E539ED">
        <w:rPr>
          <w:lang w:eastAsia="en-US"/>
        </w:rPr>
        <w:t>v</w:t>
      </w:r>
      <w:r w:rsidR="00A9342C" w:rsidRPr="18E539ED">
        <w:rPr>
          <w:lang w:eastAsia="en-US"/>
        </w:rPr>
        <w:t>uonna</w:t>
      </w:r>
      <w:r w:rsidR="00A9342C" w:rsidRPr="5124B464">
        <w:rPr>
          <w:lang w:eastAsia="en-US"/>
        </w:rPr>
        <w:t xml:space="preserve"> 2025 tehtävät</w:t>
      </w:r>
      <w:r w:rsidRPr="5124B464">
        <w:rPr>
          <w:lang w:eastAsia="en-US"/>
        </w:rPr>
        <w:t xml:space="preserve"> tarkistuks</w:t>
      </w:r>
      <w:r w:rsidR="00A9342C" w:rsidRPr="5124B464">
        <w:rPr>
          <w:lang w:eastAsia="en-US"/>
        </w:rPr>
        <w:t>et</w:t>
      </w:r>
      <w:r w:rsidRPr="5124B464">
        <w:rPr>
          <w:lang w:eastAsia="en-US"/>
        </w:rPr>
        <w:t xml:space="preserve"> </w:t>
      </w:r>
      <w:r w:rsidR="00687ABB">
        <w:rPr>
          <w:lang w:eastAsia="en-US"/>
        </w:rPr>
        <w:t xml:space="preserve">osana EU:n ilmastopolitiikan väliarviointia </w:t>
      </w:r>
      <w:r w:rsidR="246466D9" w:rsidRPr="5124B464">
        <w:rPr>
          <w:lang w:eastAsia="en-US"/>
        </w:rPr>
        <w:t>voi</w:t>
      </w:r>
      <w:r w:rsidR="00A9342C" w:rsidRPr="5124B464">
        <w:rPr>
          <w:lang w:eastAsia="en-US"/>
        </w:rPr>
        <w:t>vat</w:t>
      </w:r>
      <w:r w:rsidR="246466D9" w:rsidRPr="5124B464">
        <w:rPr>
          <w:lang w:eastAsia="en-US"/>
        </w:rPr>
        <w:t xml:space="preserve"> vaikuttaa</w:t>
      </w:r>
      <w:r w:rsidRPr="5124B464">
        <w:rPr>
          <w:lang w:eastAsia="en-US"/>
        </w:rPr>
        <w:t xml:space="preserve"> myös LULUCF-sektori</w:t>
      </w:r>
      <w:r w:rsidR="07D24129" w:rsidRPr="5124B464">
        <w:rPr>
          <w:lang w:eastAsia="en-US"/>
        </w:rPr>
        <w:t>in</w:t>
      </w:r>
      <w:r w:rsidRPr="5124B464">
        <w:rPr>
          <w:lang w:eastAsia="en-US"/>
        </w:rPr>
        <w:t xml:space="preserve"> ja </w:t>
      </w:r>
      <w:r w:rsidR="00EF2C21">
        <w:rPr>
          <w:lang w:eastAsia="en-US"/>
        </w:rPr>
        <w:t xml:space="preserve">vuoden </w:t>
      </w:r>
      <w:r w:rsidR="2547409C" w:rsidRPr="5124B464">
        <w:rPr>
          <w:lang w:eastAsia="en-US"/>
        </w:rPr>
        <w:t>2030 jälkeisiin</w:t>
      </w:r>
      <w:r w:rsidRPr="5124B464">
        <w:rPr>
          <w:lang w:eastAsia="en-US"/>
        </w:rPr>
        <w:t xml:space="preserve"> tavoittei</w:t>
      </w:r>
      <w:r w:rsidR="0C15A0CC" w:rsidRPr="5124B464">
        <w:rPr>
          <w:lang w:eastAsia="en-US"/>
        </w:rPr>
        <w:t>siin</w:t>
      </w:r>
      <w:r w:rsidRPr="5124B464">
        <w:rPr>
          <w:lang w:eastAsia="en-US"/>
        </w:rPr>
        <w:t>.</w:t>
      </w:r>
    </w:p>
    <w:p w14:paraId="1DEBCF4C" w14:textId="17F29B2D" w:rsidR="008F1201" w:rsidRPr="00390104" w:rsidRDefault="05283B60">
      <w:pPr>
        <w:pStyle w:val="VNLeip1kappale"/>
        <w:rPr>
          <w:lang w:eastAsia="en-US"/>
        </w:rPr>
      </w:pPr>
      <w:r w:rsidRPr="004B272E">
        <w:rPr>
          <w:lang w:eastAsia="en-US"/>
        </w:rPr>
        <w:t xml:space="preserve">LULUCF-asetuksen </w:t>
      </w:r>
      <w:r w:rsidR="2FCA94CB" w:rsidRPr="7D9B3A5E">
        <w:rPr>
          <w:lang w:eastAsia="en-US"/>
        </w:rPr>
        <w:t>(</w:t>
      </w:r>
      <w:r w:rsidRPr="004B272E">
        <w:rPr>
          <w:lang w:eastAsia="en-US"/>
        </w:rPr>
        <w:t>2018/841</w:t>
      </w:r>
      <w:r w:rsidR="250537FD" w:rsidRPr="7D9B3A5E">
        <w:rPr>
          <w:lang w:eastAsia="en-US"/>
        </w:rPr>
        <w:t>)</w:t>
      </w:r>
      <w:r w:rsidRPr="004B272E">
        <w:rPr>
          <w:lang w:eastAsia="en-US"/>
        </w:rPr>
        <w:t xml:space="preserve"> mukaisesti jäsenvaltioiden tulee varmistaa, että maankäyttösektorin laskennalliset kasvihuonekaasujen poistumat ovat vähintään yhtä suuria kuin päästöt kaudella 2021–20</w:t>
      </w:r>
      <w:r w:rsidR="3543E823" w:rsidRPr="1B80C2BB">
        <w:rPr>
          <w:lang w:eastAsia="en-US"/>
        </w:rPr>
        <w:t>25</w:t>
      </w:r>
      <w:r w:rsidR="0D41BE40" w:rsidRPr="7D9B3A5E">
        <w:rPr>
          <w:lang w:eastAsia="en-US"/>
        </w:rPr>
        <w:t xml:space="preserve"> </w:t>
      </w:r>
      <w:r w:rsidR="0D41BE40" w:rsidRPr="4836801C">
        <w:rPr>
          <w:lang w:eastAsia="en-US"/>
        </w:rPr>
        <w:t>(</w:t>
      </w:r>
      <w:r w:rsidR="3543E823" w:rsidRPr="4836801C">
        <w:rPr>
          <w:lang w:eastAsia="en-US"/>
        </w:rPr>
        <w:t>n</w:t>
      </w:r>
      <w:r w:rsidR="00D7036E">
        <w:rPr>
          <w:lang w:eastAsia="en-US"/>
        </w:rPr>
        <w:t xml:space="preserve">iin </w:t>
      </w:r>
      <w:r w:rsidR="00D7036E" w:rsidRPr="18E539ED">
        <w:rPr>
          <w:lang w:eastAsia="en-US"/>
        </w:rPr>
        <w:t>kutsuttu</w:t>
      </w:r>
      <w:r w:rsidR="3543E823" w:rsidRPr="1B80C2BB">
        <w:rPr>
          <w:lang w:eastAsia="en-US"/>
        </w:rPr>
        <w:t xml:space="preserve"> no-</w:t>
      </w:r>
      <w:proofErr w:type="spellStart"/>
      <w:r w:rsidR="3543E823" w:rsidRPr="1B80C2BB">
        <w:rPr>
          <w:lang w:eastAsia="en-US"/>
        </w:rPr>
        <w:t>debit</w:t>
      </w:r>
      <w:proofErr w:type="spellEnd"/>
      <w:r w:rsidR="3543E823" w:rsidRPr="1B80C2BB">
        <w:rPr>
          <w:lang w:eastAsia="en-US"/>
        </w:rPr>
        <w:t xml:space="preserve"> sääntö</w:t>
      </w:r>
      <w:r w:rsidR="714AEC26" w:rsidRPr="7D9B3A5E">
        <w:rPr>
          <w:lang w:eastAsia="en-US"/>
        </w:rPr>
        <w:t>)</w:t>
      </w:r>
      <w:r w:rsidRPr="7D9B3A5E">
        <w:rPr>
          <w:lang w:eastAsia="en-US"/>
        </w:rPr>
        <w:t>.</w:t>
      </w:r>
      <w:r w:rsidRPr="004B272E">
        <w:rPr>
          <w:lang w:eastAsia="en-US"/>
        </w:rPr>
        <w:t xml:space="preserve"> Metsien luonne</w:t>
      </w:r>
      <w:r w:rsidR="001B08AE">
        <w:rPr>
          <w:lang w:eastAsia="en-US"/>
        </w:rPr>
        <w:t xml:space="preserve"> joko</w:t>
      </w:r>
      <w:r w:rsidRPr="004B272E">
        <w:rPr>
          <w:lang w:eastAsia="en-US"/>
        </w:rPr>
        <w:t xml:space="preserve"> nieluna tai päästölähteenä </w:t>
      </w:r>
      <w:r w:rsidR="001B08AE">
        <w:rPr>
          <w:lang w:eastAsia="en-US"/>
        </w:rPr>
        <w:t xml:space="preserve">määräytyy </w:t>
      </w:r>
      <w:r w:rsidRPr="004B272E">
        <w:rPr>
          <w:lang w:eastAsia="en-US"/>
        </w:rPr>
        <w:t xml:space="preserve">vertaamalla velvoitekauden toteutuneita poistumia </w:t>
      </w:r>
      <w:r w:rsidR="322193A0" w:rsidRPr="1B80C2BB">
        <w:rPr>
          <w:lang w:eastAsia="en-US"/>
        </w:rPr>
        <w:t xml:space="preserve">kullekin maankäyttöluokalle </w:t>
      </w:r>
      <w:r w:rsidR="00BD332F">
        <w:rPr>
          <w:lang w:eastAsia="en-US"/>
        </w:rPr>
        <w:t xml:space="preserve">ennalta </w:t>
      </w:r>
      <w:r w:rsidRPr="004B272E">
        <w:rPr>
          <w:lang w:eastAsia="en-US"/>
        </w:rPr>
        <w:t>määritettyyn vertailutasoon.</w:t>
      </w:r>
      <w:r w:rsidR="002C05D1">
        <w:rPr>
          <w:lang w:eastAsia="en-US"/>
        </w:rPr>
        <w:t xml:space="preserve"> </w:t>
      </w:r>
      <w:r w:rsidR="00BD332F">
        <w:rPr>
          <w:lang w:eastAsia="en-US"/>
        </w:rPr>
        <w:t xml:space="preserve">Kaudella </w:t>
      </w:r>
      <w:r w:rsidR="002C05D1" w:rsidRPr="002C05D1">
        <w:rPr>
          <w:lang w:eastAsia="en-US"/>
        </w:rPr>
        <w:t>2026–2030 velvoite pohjautuu inventaarion mukaiseen laskentaan</w:t>
      </w:r>
      <w:r w:rsidR="00E91D3B">
        <w:rPr>
          <w:lang w:eastAsia="en-US"/>
        </w:rPr>
        <w:t>.</w:t>
      </w:r>
      <w:r w:rsidR="002C05D1" w:rsidRPr="002C05D1">
        <w:rPr>
          <w:lang w:eastAsia="en-US"/>
        </w:rPr>
        <w:t xml:space="preserve"> Suomen </w:t>
      </w:r>
      <w:r w:rsidR="00CC68EA" w:rsidRPr="77233C1B">
        <w:rPr>
          <w:lang w:eastAsia="en-US"/>
        </w:rPr>
        <w:t>velvoite</w:t>
      </w:r>
      <w:r w:rsidR="005E294F">
        <w:rPr>
          <w:lang w:eastAsia="en-US"/>
        </w:rPr>
        <w:t xml:space="preserve"> on</w:t>
      </w:r>
      <w:r w:rsidR="00374E2F">
        <w:rPr>
          <w:lang w:eastAsia="en-US"/>
        </w:rPr>
        <w:t xml:space="preserve"> lisätä nettonieluja</w:t>
      </w:r>
      <w:r w:rsidR="002C05D1" w:rsidRPr="002C05D1">
        <w:rPr>
          <w:lang w:eastAsia="en-US"/>
        </w:rPr>
        <w:t xml:space="preserve"> -2,9 Mt CO</w:t>
      </w:r>
      <w:r w:rsidR="002C05D1" w:rsidRPr="2F49C8F1">
        <w:rPr>
          <w:vertAlign w:val="subscript"/>
          <w:lang w:eastAsia="en-US"/>
        </w:rPr>
        <w:t>2</w:t>
      </w:r>
      <w:r w:rsidR="002C05D1" w:rsidRPr="002C05D1">
        <w:rPr>
          <w:lang w:eastAsia="en-US"/>
        </w:rPr>
        <w:t>-ekv.</w:t>
      </w:r>
      <w:r w:rsidR="00374E2F">
        <w:rPr>
          <w:lang w:eastAsia="en-US"/>
        </w:rPr>
        <w:t xml:space="preserve"> </w:t>
      </w:r>
      <w:r w:rsidR="00CC68EA">
        <w:rPr>
          <w:lang w:eastAsia="en-US"/>
        </w:rPr>
        <w:t>vuonna 2030 verrattuna vuosien 2016</w:t>
      </w:r>
      <w:r w:rsidR="58D6A5B4" w:rsidRPr="7ED3CEB8">
        <w:rPr>
          <w:lang w:eastAsia="en-US"/>
        </w:rPr>
        <w:t>–</w:t>
      </w:r>
      <w:r w:rsidR="00CC68EA">
        <w:rPr>
          <w:lang w:eastAsia="en-US"/>
        </w:rPr>
        <w:t xml:space="preserve">2018 keskiarvonieluun. </w:t>
      </w:r>
    </w:p>
    <w:p w14:paraId="740C1D6B" w14:textId="3519B1A2" w:rsidR="00B22A2F" w:rsidRPr="00DC758F" w:rsidRDefault="71C79757" w:rsidP="6A15F120">
      <w:pPr>
        <w:pStyle w:val="VNLeip1kappale"/>
        <w:rPr>
          <w:lang w:eastAsia="en-US"/>
        </w:rPr>
      </w:pPr>
      <w:r w:rsidRPr="5124B464">
        <w:rPr>
          <w:lang w:eastAsia="en-US"/>
        </w:rPr>
        <w:t>LULUCF-a</w:t>
      </w:r>
      <w:r w:rsidR="008F1201" w:rsidRPr="5124B464">
        <w:rPr>
          <w:lang w:eastAsia="en-US"/>
        </w:rPr>
        <w:t>setuksessa määritellään joustomahdollisuuksia, kuten</w:t>
      </w:r>
      <w:r w:rsidR="00282A98" w:rsidRPr="5124B464">
        <w:rPr>
          <w:lang w:eastAsia="en-US"/>
        </w:rPr>
        <w:t xml:space="preserve"> </w:t>
      </w:r>
      <w:r w:rsidR="008F1201" w:rsidRPr="5124B464">
        <w:rPr>
          <w:lang w:eastAsia="en-US"/>
        </w:rPr>
        <w:t>sektorin sisäisiä ja jäsenmaiden välisiä</w:t>
      </w:r>
      <w:r w:rsidR="0087496A" w:rsidRPr="5124B464">
        <w:rPr>
          <w:lang w:eastAsia="en-US"/>
        </w:rPr>
        <w:t xml:space="preserve"> </w:t>
      </w:r>
      <w:r w:rsidR="005F6A3C" w:rsidRPr="5124B464">
        <w:rPr>
          <w:lang w:eastAsia="en-US"/>
        </w:rPr>
        <w:t>LULUCF-</w:t>
      </w:r>
      <w:r w:rsidR="001512D3" w:rsidRPr="5124B464">
        <w:rPr>
          <w:lang w:eastAsia="en-US"/>
        </w:rPr>
        <w:t>yksiköiden</w:t>
      </w:r>
      <w:r w:rsidR="008F1201" w:rsidRPr="5124B464">
        <w:rPr>
          <w:lang w:eastAsia="en-US"/>
        </w:rPr>
        <w:t xml:space="preserve"> siirtoja. </w:t>
      </w:r>
      <w:r w:rsidR="05283B60" w:rsidRPr="5124B464">
        <w:rPr>
          <w:lang w:eastAsia="en-US"/>
        </w:rPr>
        <w:t xml:space="preserve">Mikäli maankäyttösektori </w:t>
      </w:r>
      <w:r w:rsidR="00E03BDA">
        <w:rPr>
          <w:lang w:eastAsia="en-US"/>
        </w:rPr>
        <w:t>toimii</w:t>
      </w:r>
      <w:r w:rsidR="00E03BDA" w:rsidRPr="5124B464">
        <w:rPr>
          <w:lang w:eastAsia="en-US"/>
        </w:rPr>
        <w:t xml:space="preserve"> </w:t>
      </w:r>
      <w:r w:rsidR="05283B60" w:rsidRPr="5124B464">
        <w:rPr>
          <w:lang w:eastAsia="en-US"/>
        </w:rPr>
        <w:t>nettonielu</w:t>
      </w:r>
      <w:r w:rsidR="00E03BDA">
        <w:rPr>
          <w:lang w:eastAsia="en-US"/>
        </w:rPr>
        <w:t>na</w:t>
      </w:r>
      <w:r w:rsidR="05283B60" w:rsidRPr="5124B464">
        <w:rPr>
          <w:lang w:eastAsia="en-US"/>
        </w:rPr>
        <w:t>, poistumilla voidaan kompensoida taakanjakosektorin päästöjä enintään 0,45 Mt CO</w:t>
      </w:r>
      <w:r w:rsidR="05283B60" w:rsidRPr="5124B464">
        <w:rPr>
          <w:vertAlign w:val="subscript"/>
          <w:lang w:eastAsia="en-US"/>
        </w:rPr>
        <w:t>2</w:t>
      </w:r>
      <w:r w:rsidR="05283B60" w:rsidRPr="5124B464">
        <w:rPr>
          <w:lang w:eastAsia="en-US"/>
        </w:rPr>
        <w:t>-ekv. vuodessa 2021–20</w:t>
      </w:r>
      <w:r w:rsidR="5B8260A9" w:rsidRPr="5124B464">
        <w:rPr>
          <w:lang w:eastAsia="en-US"/>
        </w:rPr>
        <w:t>25</w:t>
      </w:r>
      <w:r w:rsidR="05283B60" w:rsidRPr="5124B464">
        <w:rPr>
          <w:lang w:eastAsia="en-US"/>
        </w:rPr>
        <w:t xml:space="preserve"> välisenä aikana. Jos sektorista</w:t>
      </w:r>
      <w:r w:rsidR="4CD93B81" w:rsidRPr="5124B464">
        <w:rPr>
          <w:lang w:eastAsia="en-US"/>
        </w:rPr>
        <w:t xml:space="preserve"> </w:t>
      </w:r>
      <w:r w:rsidR="00F2623B">
        <w:rPr>
          <w:lang w:eastAsia="en-US"/>
        </w:rPr>
        <w:t>sen sijaan</w:t>
      </w:r>
      <w:r w:rsidR="00F2623B" w:rsidRPr="5124B464">
        <w:rPr>
          <w:lang w:eastAsia="en-US"/>
        </w:rPr>
        <w:t xml:space="preserve"> </w:t>
      </w:r>
      <w:r w:rsidR="05283B60" w:rsidRPr="5124B464">
        <w:rPr>
          <w:lang w:eastAsia="en-US"/>
        </w:rPr>
        <w:t xml:space="preserve">muodostuu päästölähde, </w:t>
      </w:r>
      <w:r w:rsidR="00120084">
        <w:rPr>
          <w:lang w:eastAsia="en-US"/>
        </w:rPr>
        <w:t xml:space="preserve">yli menevät </w:t>
      </w:r>
      <w:r w:rsidR="05283B60" w:rsidRPr="18E539ED">
        <w:rPr>
          <w:lang w:eastAsia="en-US"/>
        </w:rPr>
        <w:t>pääst</w:t>
      </w:r>
      <w:r w:rsidR="00120084" w:rsidRPr="18E539ED">
        <w:rPr>
          <w:lang w:eastAsia="en-US"/>
        </w:rPr>
        <w:t>öt</w:t>
      </w:r>
      <w:r w:rsidR="05283B60" w:rsidRPr="5124B464">
        <w:rPr>
          <w:lang w:eastAsia="en-US"/>
        </w:rPr>
        <w:t xml:space="preserve"> joudutaan kompensoimaan lisäpäästövähennyksillä taakanjakosektorilta tai </w:t>
      </w:r>
      <w:r w:rsidR="5513CA77" w:rsidRPr="5124B464">
        <w:rPr>
          <w:lang w:eastAsia="en-US"/>
        </w:rPr>
        <w:t>hankkimalla</w:t>
      </w:r>
      <w:r w:rsidR="65D92E5E" w:rsidRPr="5124B464">
        <w:rPr>
          <w:lang w:eastAsia="en-US"/>
        </w:rPr>
        <w:t xml:space="preserve"> päästöyksiköitä muilta jäsenvaltio</w:t>
      </w:r>
      <w:r w:rsidR="5BEE6712" w:rsidRPr="5124B464">
        <w:rPr>
          <w:lang w:eastAsia="en-US"/>
        </w:rPr>
        <w:t>i</w:t>
      </w:r>
      <w:r w:rsidR="65D92E5E" w:rsidRPr="5124B464">
        <w:rPr>
          <w:lang w:eastAsia="en-US"/>
        </w:rPr>
        <w:t xml:space="preserve">lta. </w:t>
      </w:r>
      <w:r w:rsidR="3E6130DA" w:rsidRPr="5124B464">
        <w:rPr>
          <w:lang w:eastAsia="en-US"/>
        </w:rPr>
        <w:t xml:space="preserve">Nykytilanteessa tämä on merkittävä riski Suomen kannalta. </w:t>
      </w:r>
    </w:p>
    <w:p w14:paraId="63362DA6" w14:textId="3AE0AD38" w:rsidR="00B22A2F" w:rsidRPr="0082653B" w:rsidRDefault="336849AC" w:rsidP="00815D4B">
      <w:pPr>
        <w:pStyle w:val="Otsikko2"/>
        <w:rPr>
          <w:rStyle w:val="Otsikko2Char"/>
          <w:b/>
          <w:lang w:val="fi-FI"/>
        </w:rPr>
      </w:pPr>
      <w:bookmarkStart w:id="41" w:name="_Toc202260023"/>
      <w:r w:rsidRPr="0082653B">
        <w:rPr>
          <w:lang w:val="fi-FI"/>
        </w:rPr>
        <w:lastRenderedPageBreak/>
        <w:t xml:space="preserve">2.5 </w:t>
      </w:r>
      <w:r w:rsidR="2046E484" w:rsidRPr="0082653B">
        <w:rPr>
          <w:rStyle w:val="Otsikko3Char"/>
          <w:rFonts w:cs="Times New Roman"/>
          <w:b/>
          <w:spacing w:val="10"/>
          <w:position w:val="0"/>
          <w:sz w:val="38"/>
          <w:szCs w:val="20"/>
          <w:lang w:val="fi-FI"/>
        </w:rPr>
        <w:t xml:space="preserve"> </w:t>
      </w:r>
      <w:r w:rsidR="00123C52" w:rsidRPr="0082653B">
        <w:rPr>
          <w:rStyle w:val="Otsikko3Char"/>
          <w:rFonts w:cs="Times New Roman"/>
          <w:b/>
          <w:spacing w:val="10"/>
          <w:position w:val="0"/>
          <w:sz w:val="38"/>
          <w:szCs w:val="20"/>
          <w:lang w:val="fi-FI"/>
        </w:rPr>
        <w:t xml:space="preserve"> </w:t>
      </w:r>
      <w:r w:rsidR="00B22A2F" w:rsidRPr="0082653B">
        <w:rPr>
          <w:rStyle w:val="Otsikko2Char"/>
          <w:b/>
          <w:lang w:val="fi-FI"/>
        </w:rPr>
        <w:t>Rekisteriasetus</w:t>
      </w:r>
      <w:bookmarkEnd w:id="41"/>
    </w:p>
    <w:p w14:paraId="0158F255" w14:textId="2D7633BE" w:rsidR="00B22A2F" w:rsidRPr="00827A90" w:rsidRDefault="52575352" w:rsidP="00F34FF9">
      <w:pPr>
        <w:pStyle w:val="VNLeip1kappale"/>
        <w:rPr>
          <w:rFonts w:eastAsia="Calibri"/>
        </w:rPr>
      </w:pPr>
      <w:r w:rsidDel="00C4151F">
        <w:t xml:space="preserve">Rekisteriasetus </w:t>
      </w:r>
      <w:r w:rsidR="00B22A2F" w:rsidDel="00C4151F">
        <w:t>(EU 2019/1122</w:t>
      </w:r>
      <w:r w:rsidR="13666FDF" w:rsidDel="00C4151F">
        <w:t>)</w:t>
      </w:r>
      <w:r w:rsidR="00B22A2F" w:rsidDel="00C4151F">
        <w:t xml:space="preserve"> määrittelee yleiset säännökset sekä toimintaa ja ylläpitoa koskevat vaatimukset, joita sovelletaan </w:t>
      </w:r>
      <w:r w:rsidR="00B22A2F">
        <w:t xml:space="preserve">unionin </w:t>
      </w:r>
      <w:r w:rsidR="00B22A2F" w:rsidDel="00C4151F">
        <w:t>rekisteriin sekä riippumattomaan tapahtumalokiin</w:t>
      </w:r>
      <w:r w:rsidR="001F3F02">
        <w:t xml:space="preserve">, kuten </w:t>
      </w:r>
      <w:r w:rsidR="00412A85">
        <w:t>direktiivissä 2003/87/EY on säädetty</w:t>
      </w:r>
      <w:r w:rsidR="00B22A2F" w:rsidDel="00C4151F">
        <w:t xml:space="preserve">. </w:t>
      </w:r>
      <w:r w:rsidR="00412A85">
        <w:t xml:space="preserve">Asetus </w:t>
      </w:r>
      <w:r w:rsidR="00B22A2F">
        <w:t xml:space="preserve">sisältää </w:t>
      </w:r>
      <w:r w:rsidR="002865E8">
        <w:t xml:space="preserve">säännökset </w:t>
      </w:r>
      <w:r w:rsidR="00B22A2F">
        <w:t>EU:n päästökauppaan kuuluvien kiinteiden laitosten, ilma-alus</w:t>
      </w:r>
      <w:r w:rsidR="00EC19BA">
        <w:t>t</w:t>
      </w:r>
      <w:r w:rsidR="00B22A2F">
        <w:t>en käyttäjien ja meriliikenteen harjoittajien päästöoikeustilei</w:t>
      </w:r>
      <w:r w:rsidR="00751262">
        <w:t>stä</w:t>
      </w:r>
      <w:r w:rsidR="00EB2FC2">
        <w:t xml:space="preserve"> </w:t>
      </w:r>
      <w:r w:rsidR="00B22A2F">
        <w:t>sekä todentajien rekisteröin</w:t>
      </w:r>
      <w:r w:rsidR="00751262">
        <w:t>nistä</w:t>
      </w:r>
      <w:r w:rsidR="00B22A2F">
        <w:t xml:space="preserve">. Lisäksi </w:t>
      </w:r>
      <w:r w:rsidR="0099662F">
        <w:t xml:space="preserve">se kattaa </w:t>
      </w:r>
      <w:r w:rsidR="00B22A2F">
        <w:t>uuteen polttoaineen jakel</w:t>
      </w:r>
      <w:r w:rsidR="001E5645">
        <w:t>un</w:t>
      </w:r>
      <w:r w:rsidR="00B22A2F">
        <w:t xml:space="preserve"> päästökauppaan </w:t>
      </w:r>
      <w:r w:rsidR="00850679">
        <w:t xml:space="preserve">ja </w:t>
      </w:r>
      <w:r w:rsidR="00B22A2F">
        <w:t>taakanjakoasetukseen (EU 2018/842</w:t>
      </w:r>
      <w:r w:rsidR="00220094">
        <w:t>)</w:t>
      </w:r>
      <w:r w:rsidR="00B22A2F">
        <w:t xml:space="preserve"> liittyv</w:t>
      </w:r>
      <w:r w:rsidR="00850679">
        <w:t>ät</w:t>
      </w:r>
      <w:r w:rsidR="00B22A2F">
        <w:t xml:space="preserve"> til</w:t>
      </w:r>
      <w:r w:rsidR="00850679">
        <w:t>it</w:t>
      </w:r>
      <w:r w:rsidR="00B22A2F">
        <w:t xml:space="preserve"> ja rekisteritoiminno</w:t>
      </w:r>
      <w:r w:rsidR="00850679">
        <w:t>t</w:t>
      </w:r>
      <w:r w:rsidR="00B22A2F">
        <w:t>.</w:t>
      </w:r>
      <w:r w:rsidR="00850679">
        <w:t xml:space="preserve"> </w:t>
      </w:r>
      <w:r w:rsidR="2996910D">
        <w:t>Tiivistetysti</w:t>
      </w:r>
      <w:r w:rsidR="00850679">
        <w:t xml:space="preserve"> rekisteriasetus määrittelee</w:t>
      </w:r>
      <w:r w:rsidR="00E25727">
        <w:t>, miten päästöoikeuksia</w:t>
      </w:r>
      <w:r w:rsidR="3D45A07B">
        <w:t>,</w:t>
      </w:r>
      <w:r w:rsidR="00E25727">
        <w:t xml:space="preserve"> </w:t>
      </w:r>
      <w:r w:rsidR="00DD6D1A">
        <w:t xml:space="preserve">Kioton pöytäkirjan </w:t>
      </w:r>
      <w:r w:rsidR="68BC8A8F">
        <w:t>ja taaka</w:t>
      </w:r>
      <w:r w:rsidR="1947EA62">
        <w:t>n</w:t>
      </w:r>
      <w:r w:rsidR="68BC8A8F">
        <w:t>jakoasetuksen</w:t>
      </w:r>
      <w:r w:rsidR="00DD6D1A">
        <w:t xml:space="preserve"> </w:t>
      </w:r>
      <w:r w:rsidR="4B0BC9B5">
        <w:t xml:space="preserve">mukaisia </w:t>
      </w:r>
      <w:r w:rsidR="00DD6D1A">
        <w:t xml:space="preserve">päästöyksiköitä </w:t>
      </w:r>
      <w:r w:rsidR="00E25727">
        <w:t>hallinnoidaan</w:t>
      </w:r>
      <w:r w:rsidR="11D6C51C">
        <w:t>,</w:t>
      </w:r>
      <w:r w:rsidR="00E25727">
        <w:t xml:space="preserve"> ja kirjataan EU:n rekisterijärjestelmässä.</w:t>
      </w:r>
      <w:r w:rsidR="00850679" w:rsidDel="00E25727">
        <w:t xml:space="preserve"> </w:t>
      </w:r>
    </w:p>
    <w:p w14:paraId="4C55612C" w14:textId="540AE404" w:rsidR="00B22A2F" w:rsidRPr="009C605F" w:rsidRDefault="1E1B0DBE" w:rsidP="00F34FF9">
      <w:pPr>
        <w:pStyle w:val="VNLeip1kappale"/>
        <w:rPr>
          <w:rFonts w:asciiTheme="majorHAnsi" w:eastAsia="Calibri" w:hAnsiTheme="majorHAnsi" w:cstheme="majorBidi"/>
        </w:rPr>
      </w:pPr>
      <w:r>
        <w:t>Rekisteriasetukseen on valmiste</w:t>
      </w:r>
      <w:r w:rsidR="00737563">
        <w:t>illa</w:t>
      </w:r>
      <w:r>
        <w:t xml:space="preserve"> </w:t>
      </w:r>
      <w:r w:rsidR="00B22A2F">
        <w:t>yleismuutos, jossa päivitetään muun muassa polttoaineen jakel</w:t>
      </w:r>
      <w:r w:rsidR="001E5645">
        <w:t>un</w:t>
      </w:r>
      <w:r w:rsidR="00B22A2F">
        <w:t xml:space="preserve"> päästökauppaan ja lentoliikenteen päästökauppaan liittyvää sääntelyä. </w:t>
      </w:r>
      <w:r w:rsidR="00737563">
        <w:t>M</w:t>
      </w:r>
      <w:r w:rsidR="00B22A2F">
        <w:t xml:space="preserve">uutoksen arvioidaan tulevan voimaan vuoden 2025 </w:t>
      </w:r>
      <w:r w:rsidR="7CCDD12F">
        <w:t>aikana</w:t>
      </w:r>
      <w:r w:rsidR="00B22A2F">
        <w:t>.</w:t>
      </w:r>
      <w:r w:rsidR="538CD850">
        <w:t xml:space="preserve"> </w:t>
      </w:r>
      <w:r w:rsidR="00B22A2F">
        <w:t>Lisäksi valmiste</w:t>
      </w:r>
      <w:r w:rsidR="00995B7C">
        <w:t>llaan</w:t>
      </w:r>
      <w:r w:rsidR="00B22A2F">
        <w:t xml:space="preserve"> </w:t>
      </w:r>
      <w:r w:rsidR="00995B7C">
        <w:t>erillistä</w:t>
      </w:r>
      <w:r w:rsidR="00EB2FC2">
        <w:t xml:space="preserve"> </w:t>
      </w:r>
      <w:r w:rsidR="00B22A2F">
        <w:t>muutos</w:t>
      </w:r>
      <w:r w:rsidR="00995B7C">
        <w:t>ta</w:t>
      </w:r>
      <w:r w:rsidR="00B22A2F">
        <w:t xml:space="preserve">, jossa </w:t>
      </w:r>
      <w:r w:rsidR="00E83474">
        <w:t xml:space="preserve">asetukseen lisätään </w:t>
      </w:r>
      <w:r w:rsidR="00B22A2F">
        <w:t>taakanjakoasetuks</w:t>
      </w:r>
      <w:r w:rsidR="008C2E6D">
        <w:t>e</w:t>
      </w:r>
      <w:r w:rsidR="00B22A2F">
        <w:t>e</w:t>
      </w:r>
      <w:r w:rsidR="00E83474">
        <w:t>n</w:t>
      </w:r>
      <w:r w:rsidR="00B22A2F">
        <w:t xml:space="preserve"> (EU 2023/857) </w:t>
      </w:r>
      <w:r w:rsidR="00B22A2F" w:rsidDel="00EE401E">
        <w:t xml:space="preserve">tehdyt muutokset. Samalla rekisteriasetukseen lisätään myös maankäyttösektoria koskevan </w:t>
      </w:r>
      <w:r w:rsidR="00B22A2F">
        <w:t>LULUCF-asetuksen (EU 2018/841</w:t>
      </w:r>
      <w:r w:rsidR="00220094">
        <w:t>)</w:t>
      </w:r>
      <w:r w:rsidR="00EE401E">
        <w:t xml:space="preserve"> </w:t>
      </w:r>
      <w:r w:rsidR="00B22A2F">
        <w:t>rekisteritoimintoihin</w:t>
      </w:r>
      <w:r w:rsidR="00B22A2F" w:rsidDel="003B3292">
        <w:t xml:space="preserve"> liittyvät säännökset</w:t>
      </w:r>
      <w:r w:rsidR="00B22A2F">
        <w:t xml:space="preserve">. </w:t>
      </w:r>
      <w:r w:rsidR="0F196F12">
        <w:t>M</w:t>
      </w:r>
      <w:r w:rsidR="00B22A2F">
        <w:t>uutosten on tarkoitus tulla voimaan lähivuosina</w:t>
      </w:r>
      <w:r w:rsidR="00EB2FC2">
        <w:t>.</w:t>
      </w:r>
    </w:p>
    <w:p w14:paraId="5317B904" w14:textId="275E3802" w:rsidR="00D95A49" w:rsidRPr="005047B8" w:rsidRDefault="59F06512" w:rsidP="009C605F">
      <w:pPr>
        <w:pStyle w:val="Otsikko2"/>
        <w:tabs>
          <w:tab w:val="clear" w:pos="360"/>
        </w:tabs>
        <w:ind w:left="576" w:hanging="576"/>
        <w:rPr>
          <w:lang w:val="fi-FI"/>
        </w:rPr>
      </w:pPr>
      <w:bookmarkStart w:id="42" w:name="_Toc1560772993"/>
      <w:bookmarkStart w:id="43" w:name="_Toc760616802"/>
      <w:bookmarkStart w:id="44" w:name="_Toc202260024"/>
      <w:r w:rsidRPr="1A881142">
        <w:rPr>
          <w:lang w:val="fi-FI"/>
        </w:rPr>
        <w:t xml:space="preserve">2.6 </w:t>
      </w:r>
      <w:r w:rsidR="0A783C7F" w:rsidRPr="1A881142">
        <w:rPr>
          <w:lang w:val="fi-FI"/>
        </w:rPr>
        <w:t>Energiaunionin hallintomalli</w:t>
      </w:r>
      <w:bookmarkEnd w:id="42"/>
      <w:bookmarkEnd w:id="43"/>
      <w:bookmarkEnd w:id="44"/>
    </w:p>
    <w:p w14:paraId="0107F502" w14:textId="32B6AA00" w:rsidR="00D81996" w:rsidRPr="00D81996" w:rsidRDefault="4FE17C6A" w:rsidP="00D81996">
      <w:pPr>
        <w:pStyle w:val="VNLeip1kappale"/>
        <w:rPr>
          <w:lang w:eastAsia="en-US"/>
        </w:rPr>
      </w:pPr>
      <w:r w:rsidRPr="6FEDFA99">
        <w:rPr>
          <w:lang w:eastAsia="en-US"/>
        </w:rPr>
        <w:t>Vuonna</w:t>
      </w:r>
      <w:r w:rsidRPr="7D9B3A5E">
        <w:rPr>
          <w:lang w:eastAsia="en-US"/>
        </w:rPr>
        <w:t xml:space="preserve"> 2018 hyväksytyn </w:t>
      </w:r>
      <w:r w:rsidR="00D81996" w:rsidRPr="00AE79AC">
        <w:rPr>
          <w:lang w:eastAsia="en-US"/>
        </w:rPr>
        <w:t xml:space="preserve">EU:n energiaunionin </w:t>
      </w:r>
      <w:r w:rsidR="00D81996" w:rsidRPr="7D9B3A5E">
        <w:rPr>
          <w:lang w:eastAsia="en-US"/>
        </w:rPr>
        <w:t>hallintomalliasetu</w:t>
      </w:r>
      <w:r w:rsidR="64A9EDA6" w:rsidRPr="7D9B3A5E">
        <w:rPr>
          <w:lang w:eastAsia="en-US"/>
        </w:rPr>
        <w:t xml:space="preserve">ksen </w:t>
      </w:r>
      <w:r w:rsidR="00D81996" w:rsidRPr="4836801C">
        <w:rPr>
          <w:lang w:eastAsia="en-US"/>
        </w:rPr>
        <w:t>(2018/1999)</w:t>
      </w:r>
      <w:r w:rsidR="00D81996" w:rsidRPr="00AE79AC">
        <w:rPr>
          <w:lang w:eastAsia="en-US"/>
        </w:rPr>
        <w:t xml:space="preserve"> </w:t>
      </w:r>
      <w:r w:rsidR="005C13F0">
        <w:rPr>
          <w:lang w:eastAsia="en-US"/>
        </w:rPr>
        <w:t xml:space="preserve">tarkoituksena </w:t>
      </w:r>
      <w:r w:rsidR="00A5369C">
        <w:rPr>
          <w:lang w:eastAsia="en-US"/>
        </w:rPr>
        <w:t xml:space="preserve">on toimeenpanna </w:t>
      </w:r>
      <w:r w:rsidR="00D81996" w:rsidRPr="31B28D31">
        <w:rPr>
          <w:lang w:eastAsia="en-US"/>
        </w:rPr>
        <w:t>EU</w:t>
      </w:r>
      <w:r w:rsidR="00D81996" w:rsidRPr="00AE79AC">
        <w:rPr>
          <w:lang w:eastAsia="en-US"/>
        </w:rPr>
        <w:t>:n ilmasto- ja energiapolitiikan</w:t>
      </w:r>
      <w:r w:rsidR="00D81996" w:rsidRPr="00D81996">
        <w:rPr>
          <w:lang w:eastAsia="en-US"/>
        </w:rPr>
        <w:t xml:space="preserve"> </w:t>
      </w:r>
      <w:r w:rsidR="00D81996" w:rsidRPr="6B6581B9">
        <w:rPr>
          <w:lang w:eastAsia="en-US"/>
        </w:rPr>
        <w:t>seurantajärjestelmä</w:t>
      </w:r>
      <w:r w:rsidR="00D81996" w:rsidRPr="00D81996">
        <w:rPr>
          <w:lang w:eastAsia="en-US"/>
        </w:rPr>
        <w:t xml:space="preserve">, jolla ohjataan </w:t>
      </w:r>
      <w:r w:rsidR="00D81996" w:rsidRPr="31B28D31">
        <w:rPr>
          <w:lang w:eastAsia="en-US"/>
        </w:rPr>
        <w:t>energiaunioni</w:t>
      </w:r>
      <w:r w:rsidR="00CB71C4" w:rsidRPr="31B28D31">
        <w:rPr>
          <w:lang w:eastAsia="en-US"/>
        </w:rPr>
        <w:t>strategian</w:t>
      </w:r>
      <w:r w:rsidR="00D81996" w:rsidRPr="00D81996">
        <w:rPr>
          <w:lang w:eastAsia="en-US"/>
        </w:rPr>
        <w:t xml:space="preserve"> tavoitteita ja päästövähennystavoitteiden toteutumista. Energiaunioni kattaa viisi ulottuvuutta: energiaturvallisuus, energian sisämarkkinat, energiatehokkuus, hiilestä irtautuminen sekä tutkimus, innovointi ja kilpailukyky. Hallintomallin keskeisiä elementtejä ovat kansalliset ilmasto- ja energiasuunnitelmat (National Energy and </w:t>
      </w:r>
      <w:proofErr w:type="spellStart"/>
      <w:r w:rsidR="00D81996" w:rsidRPr="00D81996">
        <w:rPr>
          <w:lang w:eastAsia="en-US"/>
        </w:rPr>
        <w:t>Climate</w:t>
      </w:r>
      <w:proofErr w:type="spellEnd"/>
      <w:r w:rsidR="00D81996" w:rsidRPr="00D81996">
        <w:rPr>
          <w:lang w:eastAsia="en-US"/>
        </w:rPr>
        <w:t xml:space="preserve"> </w:t>
      </w:r>
      <w:proofErr w:type="spellStart"/>
      <w:r w:rsidR="00D81996" w:rsidRPr="00D81996">
        <w:rPr>
          <w:lang w:eastAsia="en-US"/>
        </w:rPr>
        <w:t>Plans</w:t>
      </w:r>
      <w:proofErr w:type="spellEnd"/>
      <w:r w:rsidR="00D81996" w:rsidRPr="00D81996">
        <w:rPr>
          <w:lang w:eastAsia="en-US"/>
        </w:rPr>
        <w:t>, NECP)</w:t>
      </w:r>
      <w:r w:rsidR="007E11AC">
        <w:rPr>
          <w:lang w:eastAsia="en-US"/>
        </w:rPr>
        <w:t>,</w:t>
      </w:r>
      <w:r w:rsidR="00D81996" w:rsidRPr="00D81996" w:rsidDel="007E11AC">
        <w:rPr>
          <w:lang w:eastAsia="en-US"/>
        </w:rPr>
        <w:t xml:space="preserve"> </w:t>
      </w:r>
      <w:r w:rsidR="00D81996" w:rsidRPr="00D81996">
        <w:rPr>
          <w:lang w:eastAsia="en-US"/>
        </w:rPr>
        <w:t>pitkän aikavälin vähä</w:t>
      </w:r>
      <w:r w:rsidR="00CD528B">
        <w:rPr>
          <w:lang w:eastAsia="en-US"/>
        </w:rPr>
        <w:t xml:space="preserve">päästöisyyttä </w:t>
      </w:r>
      <w:r w:rsidR="00AE69A2">
        <w:rPr>
          <w:lang w:eastAsia="en-US"/>
        </w:rPr>
        <w:t xml:space="preserve">koskevat strategiat </w:t>
      </w:r>
      <w:r w:rsidR="00D81996" w:rsidRPr="00D81996">
        <w:rPr>
          <w:lang w:eastAsia="en-US"/>
        </w:rPr>
        <w:t xml:space="preserve">(Long </w:t>
      </w:r>
      <w:proofErr w:type="spellStart"/>
      <w:r w:rsidR="00D81996" w:rsidRPr="00D81996">
        <w:rPr>
          <w:lang w:eastAsia="en-US"/>
        </w:rPr>
        <w:t>Term</w:t>
      </w:r>
      <w:proofErr w:type="spellEnd"/>
      <w:r w:rsidR="00D81996" w:rsidRPr="00D81996">
        <w:rPr>
          <w:lang w:eastAsia="en-US"/>
        </w:rPr>
        <w:t xml:space="preserve"> </w:t>
      </w:r>
      <w:proofErr w:type="spellStart"/>
      <w:r w:rsidR="00D81996" w:rsidRPr="00D81996">
        <w:rPr>
          <w:lang w:eastAsia="en-US"/>
        </w:rPr>
        <w:t>Strategy</w:t>
      </w:r>
      <w:proofErr w:type="spellEnd"/>
      <w:r w:rsidR="00D81996" w:rsidRPr="00D81996">
        <w:rPr>
          <w:lang w:eastAsia="en-US"/>
        </w:rPr>
        <w:t>, LTS)</w:t>
      </w:r>
      <w:r w:rsidR="00AE69A2">
        <w:rPr>
          <w:lang w:eastAsia="en-US"/>
        </w:rPr>
        <w:t>, sekä kaksivuoti</w:t>
      </w:r>
      <w:r w:rsidR="007E11AC">
        <w:rPr>
          <w:lang w:eastAsia="en-US"/>
        </w:rPr>
        <w:t xml:space="preserve">set edistymisraportit </w:t>
      </w:r>
      <w:proofErr w:type="spellStart"/>
      <w:r w:rsidR="00D77153">
        <w:rPr>
          <w:lang w:eastAsia="en-US"/>
        </w:rPr>
        <w:t>NECPien</w:t>
      </w:r>
      <w:proofErr w:type="spellEnd"/>
      <w:r w:rsidR="00D77153">
        <w:rPr>
          <w:lang w:eastAsia="en-US"/>
        </w:rPr>
        <w:t xml:space="preserve"> </w:t>
      </w:r>
      <w:r w:rsidR="007E11AC">
        <w:rPr>
          <w:lang w:eastAsia="en-US"/>
        </w:rPr>
        <w:t>täytäntöönpanosta</w:t>
      </w:r>
      <w:r w:rsidR="00D81996" w:rsidRPr="00D81996">
        <w:rPr>
          <w:lang w:eastAsia="en-US"/>
        </w:rPr>
        <w:t>. Hallintomalliasetus sisältää sekä energiasektorin että kasvihuonekaasupäästöjen seurantaa koskevia määräyksiä. NECP-suunnitelmissa jäsenvaltiot kuvaavat oman panoksensa EU:n vuotta 2030 koskevien yhteisten energia- ja ilmas</w:t>
      </w:r>
      <w:r w:rsidR="00D81996">
        <w:rPr>
          <w:lang w:eastAsia="en-US"/>
        </w:rPr>
        <w:t>totavoitteiden saavuttamiseksi.</w:t>
      </w:r>
    </w:p>
    <w:p w14:paraId="4A38D67B" w14:textId="68ECF381" w:rsidR="00D81996" w:rsidRPr="00AE79AC" w:rsidRDefault="00D81996" w:rsidP="00D81996">
      <w:pPr>
        <w:pStyle w:val="VNLeip1kappale"/>
        <w:rPr>
          <w:lang w:eastAsia="en-US"/>
        </w:rPr>
      </w:pPr>
      <w:r w:rsidRPr="00D81996">
        <w:rPr>
          <w:lang w:eastAsia="en-US"/>
        </w:rPr>
        <w:lastRenderedPageBreak/>
        <w:t>Suomi to</w:t>
      </w:r>
      <w:r w:rsidR="00DE57EA">
        <w:rPr>
          <w:lang w:eastAsia="en-US"/>
        </w:rPr>
        <w:t>imitti</w:t>
      </w:r>
      <w:r w:rsidRPr="00D81996">
        <w:rPr>
          <w:lang w:eastAsia="en-US"/>
        </w:rPr>
        <w:t xml:space="preserve"> </w:t>
      </w:r>
      <w:r w:rsidR="0034227A">
        <w:rPr>
          <w:lang w:eastAsia="en-US"/>
        </w:rPr>
        <w:t>viimeisimmän</w:t>
      </w:r>
      <w:r w:rsidRPr="00D81996">
        <w:rPr>
          <w:lang w:eastAsia="en-US"/>
        </w:rPr>
        <w:t xml:space="preserve"> lopullisen NECP-suunnitelmansa komissiolle kesäkuussa 2024</w:t>
      </w:r>
      <w:r w:rsidR="00DE57EA" w:rsidRPr="09326179">
        <w:rPr>
          <w:lang w:eastAsia="en-US"/>
        </w:rPr>
        <w:t>.</w:t>
      </w:r>
      <w:r w:rsidR="00DE57EA">
        <w:rPr>
          <w:lang w:eastAsia="en-US"/>
        </w:rPr>
        <w:t xml:space="preserve"> </w:t>
      </w:r>
      <w:r w:rsidRPr="00D81996">
        <w:rPr>
          <w:lang w:eastAsia="en-US"/>
        </w:rPr>
        <w:t xml:space="preserve">Hallintomalliasetuksessa määriteltyä pitkän aikavälin strategian sisältöä ovat muun muassa odotettu edistyminen siirtymisessä vähähiiliseen talouteen, kasvihuonekaasuintensiteetti, tutkimus-, kehitys- ja innovaatiostrategiat sekä </w:t>
      </w:r>
      <w:r w:rsidRPr="00AE79AC">
        <w:rPr>
          <w:lang w:eastAsia="en-US"/>
        </w:rPr>
        <w:t xml:space="preserve">yhteydet muihin kansallisiin pitkän aikavälin suunnitelmiin. </w:t>
      </w:r>
      <w:r w:rsidRPr="5409B8EC">
        <w:rPr>
          <w:lang w:eastAsia="en-US"/>
        </w:rPr>
        <w:t xml:space="preserve">Suomi toimitti </w:t>
      </w:r>
      <w:r w:rsidRPr="5409B8EC" w:rsidDel="002D358A">
        <w:rPr>
          <w:lang w:eastAsia="en-US"/>
        </w:rPr>
        <w:t xml:space="preserve">oman pitkän aikavälin strategiansa </w:t>
      </w:r>
      <w:r w:rsidRPr="5409B8EC">
        <w:rPr>
          <w:lang w:eastAsia="en-US"/>
        </w:rPr>
        <w:t xml:space="preserve">komissiolle </w:t>
      </w:r>
      <w:r w:rsidRPr="397A7690">
        <w:rPr>
          <w:lang w:eastAsia="en-US"/>
        </w:rPr>
        <w:t>2020</w:t>
      </w:r>
      <w:r w:rsidR="2377BA0C" w:rsidRPr="5409B8EC">
        <w:rPr>
          <w:lang w:eastAsia="en-US"/>
        </w:rPr>
        <w:t>.</w:t>
      </w:r>
      <w:r w:rsidR="003C2CFA" w:rsidRPr="5409B8EC">
        <w:rPr>
          <w:lang w:eastAsia="en-US"/>
        </w:rPr>
        <w:t xml:space="preserve"> </w:t>
      </w:r>
    </w:p>
    <w:p w14:paraId="01C9A7C1" w14:textId="4AD19A45" w:rsidR="00D95A49" w:rsidRPr="005047B8" w:rsidRDefault="6802F32B" w:rsidP="006F330C">
      <w:pPr>
        <w:pStyle w:val="Otsikko2"/>
        <w:tabs>
          <w:tab w:val="clear" w:pos="360"/>
        </w:tabs>
        <w:ind w:left="576" w:hanging="576"/>
        <w:rPr>
          <w:lang w:val="fi-FI"/>
        </w:rPr>
      </w:pPr>
      <w:bookmarkStart w:id="45" w:name="_Toc1197942135"/>
      <w:bookmarkStart w:id="46" w:name="_Toc1612590228"/>
      <w:bookmarkStart w:id="47" w:name="_Toc202260025"/>
      <w:r w:rsidRPr="1A881142">
        <w:rPr>
          <w:lang w:val="fi-FI"/>
        </w:rPr>
        <w:t xml:space="preserve">2.7 </w:t>
      </w:r>
      <w:r w:rsidR="00D95A49" w:rsidRPr="1A881142">
        <w:rPr>
          <w:lang w:val="fi-FI"/>
        </w:rPr>
        <w:t>Energiasäädökset</w:t>
      </w:r>
      <w:bookmarkEnd w:id="45"/>
      <w:bookmarkEnd w:id="46"/>
      <w:bookmarkEnd w:id="47"/>
    </w:p>
    <w:p w14:paraId="1B03A552" w14:textId="76B376D3" w:rsidR="00FC7245" w:rsidRPr="002D3B1E" w:rsidRDefault="00A25093" w:rsidP="6B01E0CB">
      <w:pPr>
        <w:pStyle w:val="VNLeip1kappale"/>
        <w:rPr>
          <w:lang w:eastAsia="en-US"/>
        </w:rPr>
      </w:pPr>
      <w:r w:rsidRPr="5124B464">
        <w:rPr>
          <w:lang w:eastAsia="en-US"/>
        </w:rPr>
        <w:t xml:space="preserve">EU:n energiapolitiikkaa ja siihen liittyviä tavoitteita ohjataan usean EU-direktiivin kokonaisuudella. Ilmastonäkökulmasta keskeisiä säädöksiä ovat uusiutuvan energian direktiivi, energiatehokkuusdirektiivi ja rakennusten energiatehokkuusdirektiivi. Komission </w:t>
      </w:r>
      <w:r w:rsidR="00C4151F" w:rsidRPr="5124B464">
        <w:rPr>
          <w:lang w:eastAsia="en-US"/>
        </w:rPr>
        <w:t xml:space="preserve">vuonna </w:t>
      </w:r>
      <w:r w:rsidRPr="5124B464">
        <w:rPr>
          <w:lang w:eastAsia="en-US"/>
        </w:rPr>
        <w:t xml:space="preserve">2021 julkaisemaa ilmastopakettia päivitettiin useiden näiden säädösten osalta </w:t>
      </w:r>
      <w:r w:rsidR="00C4151F" w:rsidRPr="5124B464">
        <w:rPr>
          <w:lang w:eastAsia="en-US"/>
        </w:rPr>
        <w:t>vuonna</w:t>
      </w:r>
      <w:r w:rsidRPr="5124B464">
        <w:rPr>
          <w:lang w:eastAsia="en-US"/>
        </w:rPr>
        <w:t xml:space="preserve"> 2022, tuoden muutoksia myös Suomen energiapolitiikkaan. Myös</w:t>
      </w:r>
      <w:r w:rsidR="00916BFC" w:rsidRPr="5124B464">
        <w:rPr>
          <w:lang w:eastAsia="en-US"/>
        </w:rPr>
        <w:t xml:space="preserve"> syksyn</w:t>
      </w:r>
      <w:r w:rsidRPr="5124B464">
        <w:rPr>
          <w:lang w:eastAsia="en-US"/>
        </w:rPr>
        <w:t xml:space="preserve"> </w:t>
      </w:r>
      <w:r w:rsidR="3154A4BC" w:rsidRPr="5124B464">
        <w:rPr>
          <w:lang w:eastAsia="en-US"/>
        </w:rPr>
        <w:t>2025 aikana sovittava</w:t>
      </w:r>
      <w:r w:rsidR="00916BFC" w:rsidRPr="5124B464">
        <w:rPr>
          <w:lang w:eastAsia="en-US"/>
        </w:rPr>
        <w:t xml:space="preserve"> EU:n</w:t>
      </w:r>
      <w:r w:rsidRPr="5124B464">
        <w:rPr>
          <w:lang w:eastAsia="en-US"/>
        </w:rPr>
        <w:t xml:space="preserve"> 2040-tavoite tulee </w:t>
      </w:r>
      <w:r w:rsidR="00916BFC" w:rsidRPr="5124B464">
        <w:rPr>
          <w:lang w:eastAsia="en-US"/>
        </w:rPr>
        <w:t>aiheuttamaan</w:t>
      </w:r>
      <w:r w:rsidRPr="5124B464">
        <w:rPr>
          <w:lang w:eastAsia="en-US"/>
        </w:rPr>
        <w:t xml:space="preserve"> muutoksia energiapolitiikkaan 2030-luvulla.</w:t>
      </w:r>
    </w:p>
    <w:p w14:paraId="6C53BE1B" w14:textId="7F84B69D" w:rsidR="00D95A49" w:rsidRPr="00AE79AC" w:rsidRDefault="77AFCBFA" w:rsidP="006F330C">
      <w:pPr>
        <w:pStyle w:val="Otsikko3"/>
        <w:numPr>
          <w:ilvl w:val="0"/>
          <w:numId w:val="0"/>
        </w:numPr>
        <w:ind w:left="720" w:hanging="720"/>
      </w:pPr>
      <w:bookmarkStart w:id="48" w:name="_Toc37271641"/>
      <w:bookmarkStart w:id="49" w:name="_Toc690618584"/>
      <w:bookmarkStart w:id="50" w:name="_Toc202260026"/>
      <w:r>
        <w:t xml:space="preserve">2.7.1 </w:t>
      </w:r>
      <w:r w:rsidR="00D95A49">
        <w:t>Uusiutuva energia</w:t>
      </w:r>
      <w:bookmarkEnd w:id="48"/>
      <w:bookmarkEnd w:id="49"/>
      <w:bookmarkEnd w:id="50"/>
    </w:p>
    <w:p w14:paraId="73A472F6" w14:textId="3244B0F3" w:rsidR="00FF4623" w:rsidRPr="00FF4623" w:rsidRDefault="00FF4623" w:rsidP="00FF4623">
      <w:pPr>
        <w:pStyle w:val="VNLeip1kappale"/>
        <w:rPr>
          <w:lang w:eastAsia="en-US"/>
        </w:rPr>
      </w:pPr>
      <w:r w:rsidRPr="5124B464">
        <w:rPr>
          <w:lang w:eastAsia="en-US"/>
        </w:rPr>
        <w:t xml:space="preserve">Uusiutuvan energian direktiivin tavoitteena on edistää uusiutuvista energialähteistä peräisin olevaa energian tuotantoa ja käyttöä. Päivitetty uusiutuvan energian direktiivi (ns. RED III) astui voimaan </w:t>
      </w:r>
      <w:r w:rsidR="00916BFC" w:rsidRPr="5124B464">
        <w:rPr>
          <w:lang w:eastAsia="en-US"/>
        </w:rPr>
        <w:t xml:space="preserve">vuonna </w:t>
      </w:r>
      <w:r w:rsidRPr="5124B464">
        <w:rPr>
          <w:lang w:eastAsia="en-US"/>
        </w:rPr>
        <w:t xml:space="preserve">2023. Direktiivissä on asetettu EU:ta yhteisesti sitova 42,5 %:n uusiutuvan energian tavoite vuodelle 2030. Jäsenvaltioiden olisi kuitenkin pyrittävä yhdessä nostamaan uusiutuvan energian osuus 45 %:iin vuonna 2030. </w:t>
      </w:r>
    </w:p>
    <w:p w14:paraId="262D142A" w14:textId="5C2C6FF2" w:rsidR="00FF4623" w:rsidRPr="00FF4623" w:rsidRDefault="00FF4623" w:rsidP="00FF4623">
      <w:pPr>
        <w:pStyle w:val="VNLeip1kappale"/>
        <w:rPr>
          <w:lang w:eastAsia="en-US"/>
        </w:rPr>
      </w:pPr>
      <w:r w:rsidRPr="00FF4623">
        <w:rPr>
          <w:lang w:eastAsia="en-US"/>
        </w:rPr>
        <w:t xml:space="preserve">Direktiivissä on lisäksi asetettu jäsenvaltiokohtaiset uusiutuvien tavoitteet liikennesektorille (29 % vuonna 2030) sekä lämmitys- ja jäähdytyssektorille. Myös teollisuudelle on asetettu indikatiivinen uusiutuvan energian lisäystavoite (1,6 %) ja sitova RFNBO-tavoite </w:t>
      </w:r>
      <w:r w:rsidR="0A6D3E7A" w:rsidRPr="5DC161F1">
        <w:rPr>
          <w:lang w:eastAsia="en-US"/>
        </w:rPr>
        <w:t>(</w:t>
      </w:r>
      <w:proofErr w:type="spellStart"/>
      <w:r w:rsidR="0A6D3E7A" w:rsidRPr="5DC161F1">
        <w:rPr>
          <w:lang w:eastAsia="en-US"/>
        </w:rPr>
        <w:t>renewable</w:t>
      </w:r>
      <w:proofErr w:type="spellEnd"/>
      <w:r w:rsidR="0A6D3E7A" w:rsidRPr="5DC161F1">
        <w:rPr>
          <w:lang w:eastAsia="en-US"/>
        </w:rPr>
        <w:t xml:space="preserve"> </w:t>
      </w:r>
      <w:proofErr w:type="spellStart"/>
      <w:r w:rsidR="0A6D3E7A" w:rsidRPr="5DC161F1">
        <w:rPr>
          <w:lang w:eastAsia="en-US"/>
        </w:rPr>
        <w:t>fuel</w:t>
      </w:r>
      <w:r w:rsidR="530C4C9B" w:rsidRPr="5DC161F1">
        <w:rPr>
          <w:lang w:eastAsia="en-US"/>
        </w:rPr>
        <w:t>s</w:t>
      </w:r>
      <w:proofErr w:type="spellEnd"/>
      <w:r w:rsidR="0A6D3E7A" w:rsidRPr="5DC161F1">
        <w:rPr>
          <w:lang w:eastAsia="en-US"/>
        </w:rPr>
        <w:t xml:space="preserve"> of non-</w:t>
      </w:r>
      <w:proofErr w:type="spellStart"/>
      <w:r w:rsidR="0A6D3E7A" w:rsidRPr="5DC161F1">
        <w:rPr>
          <w:lang w:eastAsia="en-US"/>
        </w:rPr>
        <w:t>biologic</w:t>
      </w:r>
      <w:proofErr w:type="spellEnd"/>
      <w:r w:rsidR="0A6D3E7A" w:rsidRPr="5DC161F1">
        <w:rPr>
          <w:lang w:eastAsia="en-US"/>
        </w:rPr>
        <w:t xml:space="preserve"> </w:t>
      </w:r>
      <w:proofErr w:type="spellStart"/>
      <w:r w:rsidR="0A6D3E7A" w:rsidRPr="5DC161F1">
        <w:rPr>
          <w:lang w:eastAsia="en-US"/>
        </w:rPr>
        <w:t>origin</w:t>
      </w:r>
      <w:proofErr w:type="spellEnd"/>
      <w:r w:rsidR="0A6D3E7A" w:rsidRPr="5DC161F1">
        <w:rPr>
          <w:lang w:eastAsia="en-US"/>
        </w:rPr>
        <w:t xml:space="preserve">) </w:t>
      </w:r>
      <w:r w:rsidRPr="00FF4623">
        <w:rPr>
          <w:lang w:eastAsia="en-US"/>
        </w:rPr>
        <w:t xml:space="preserve">teollisuuden vetykäytölle (42 % vuonna 2030, 60 % vuonna 2035). Jäsenvaltioiden olisi myös asetettava ohjeellinen tavoite, jonka mukaan innovatiivisen uusiutuvan energian teknologian osuus asennetusta uudesta uusiutuvan energian kapasiteetista on vähintään 5 % vuoteen 2030 mennessä. Lisäksi direktiivissä säädetään muun muassa lupamenettelyistä, bioenergian kestävyydestä </w:t>
      </w:r>
      <w:r w:rsidRPr="00FF4623">
        <w:rPr>
          <w:lang w:eastAsia="en-US"/>
        </w:rPr>
        <w:lastRenderedPageBreak/>
        <w:t>ja biomassojen kaskadikäytöstä, alkuperätakuista, omatuotannosta ja uusiutuvan energian yhteisöistä, informaatio-ohjauksesta, jäsenvaltioiden yhteishankkeista ja tilastollisista siirroista sekä systeemi-integraatiosta.</w:t>
      </w:r>
    </w:p>
    <w:p w14:paraId="2A6B4E0D" w14:textId="77777777" w:rsidR="00FF4623" w:rsidRPr="00FF4623" w:rsidRDefault="00FF4623" w:rsidP="00FF4623">
      <w:pPr>
        <w:pStyle w:val="VNLeip1kappale"/>
        <w:rPr>
          <w:lang w:eastAsia="en-US"/>
        </w:rPr>
      </w:pPr>
      <w:r w:rsidRPr="00FF4623">
        <w:rPr>
          <w:lang w:eastAsia="en-US"/>
        </w:rPr>
        <w:t xml:space="preserve">RED III toimeenpanon määräaika on pääosin 21.5.2025. Toimeenpano on meneillään ja siihen sisältyy useita hallituksen esityksiä ja muita toimia. Suomi on myös ilmoittanut vuoden 2030 uusiutuvan energian tavoitteeksi 62 % kansallisessa energia- ja ilmastosuunnitelmassa (NECP), joka toimitettiin kesällä 2024 EU:lle. Osa toimeenpanosta edellyttää kuitenkin linjauksia sekä tavoitteiden asettamista myös energia- ja ilmastostrategiassa. </w:t>
      </w:r>
    </w:p>
    <w:p w14:paraId="40742509" w14:textId="46DC159E" w:rsidR="00D95A49" w:rsidRDefault="27D30596" w:rsidP="615CA84E">
      <w:pPr>
        <w:pStyle w:val="Otsikko3"/>
        <w:numPr>
          <w:ilvl w:val="0"/>
          <w:numId w:val="0"/>
        </w:numPr>
        <w:ind w:left="720"/>
      </w:pPr>
      <w:bookmarkStart w:id="51" w:name="_Toc1048531601"/>
      <w:bookmarkStart w:id="52" w:name="_Toc895842816"/>
      <w:bookmarkStart w:id="53" w:name="_Toc202260027"/>
      <w:r>
        <w:t xml:space="preserve">2.7.2 </w:t>
      </w:r>
      <w:r w:rsidR="00D95A49">
        <w:t>Energiatehokkuus</w:t>
      </w:r>
      <w:bookmarkEnd w:id="51"/>
      <w:bookmarkEnd w:id="52"/>
      <w:bookmarkEnd w:id="53"/>
    </w:p>
    <w:p w14:paraId="2466DAE0" w14:textId="2A53ECC9" w:rsidR="000D6B42" w:rsidRDefault="000D6B42" w:rsidP="000D6B42">
      <w:pPr>
        <w:pStyle w:val="VNLeip1kappale"/>
      </w:pPr>
      <w:r w:rsidRPr="601C6C48">
        <w:t>Energiatehokkuusdirektiivin tavoitteena on energiatehokkuuden edistäminen. Uud</w:t>
      </w:r>
      <w:r w:rsidR="00BF3402">
        <w:t>istettu</w:t>
      </w:r>
      <w:r w:rsidRPr="601C6C48">
        <w:t>energiatehokkuusdirektiivi tuli voimaan 1</w:t>
      </w:r>
      <w:r>
        <w:t>0</w:t>
      </w:r>
      <w:r w:rsidRPr="601C6C48">
        <w:t>.10.2023</w:t>
      </w:r>
      <w:r w:rsidR="00BF3402">
        <w:t xml:space="preserve"> ja sen toimeenpanon määräaika on pääosin 11.10.2025.</w:t>
      </w:r>
    </w:p>
    <w:p w14:paraId="717FE868" w14:textId="7D8DDD8A" w:rsidR="000D6B42" w:rsidRDefault="000D6B42" w:rsidP="000D6B42">
      <w:pPr>
        <w:pStyle w:val="VNLeip1kappale"/>
      </w:pPr>
      <w:r w:rsidRPr="001B64B6">
        <w:t xml:space="preserve">Direktiivissä on asetettu sitova EU-tason energiankulutuksen tavoite vuodelle 2030. Jäsenvaltioiden on yhteisesti varmistettava, että energiankulutus vähenee vuoteen 2030 mennessä vähintään 11,7 % EU:n vuoden 2020 viiteskenaarion ennusteisiin verrattuna siten, että unionin energian loppukulutus (FEC) on enintään 763 </w:t>
      </w:r>
      <w:proofErr w:type="spellStart"/>
      <w:r w:rsidRPr="001B64B6">
        <w:t>Mtoe</w:t>
      </w:r>
      <w:proofErr w:type="spellEnd"/>
      <w:r w:rsidRPr="001B64B6">
        <w:t xml:space="preserve">. Lisäksi on pyrittävä saavuttamaan ohjeellinen unionin primäärienergian kulutuksen tavoite (PEC) 992,5 </w:t>
      </w:r>
      <w:proofErr w:type="spellStart"/>
      <w:r w:rsidRPr="001B64B6">
        <w:t>Mtoe</w:t>
      </w:r>
      <w:proofErr w:type="spellEnd"/>
      <w:r w:rsidRPr="001B64B6">
        <w:t xml:space="preserve"> vuonna 2030. </w:t>
      </w:r>
      <w:r w:rsidRPr="4836801C">
        <w:rPr>
          <w:rStyle w:val="normaltextrun"/>
          <w:color w:val="000000" w:themeColor="text1"/>
        </w:rPr>
        <w:t xml:space="preserve">Jäsenvaltioiden on asetettava ohjeelliset kontribuutiot, joilla kollektiivisesti saavutetaan sitova EU-tason energian loppukulutuksen tavoite. Lisäksi on pyrittävä saavuttamaan EU-tason primäärienergiankulutuksen tavoite. Jäsenvaltiotasolla FEC-tavoite on asetettava direktiivin liitteessä I esitetyllä kaavalla, jolla laskettu Suomen FEC-luku on 239,6 </w:t>
      </w:r>
      <w:proofErr w:type="spellStart"/>
      <w:r w:rsidRPr="4836801C">
        <w:rPr>
          <w:rStyle w:val="normaltextrun"/>
          <w:color w:val="000000" w:themeColor="text1"/>
        </w:rPr>
        <w:t>TWh</w:t>
      </w:r>
      <w:proofErr w:type="spellEnd"/>
      <w:r w:rsidRPr="4836801C">
        <w:rPr>
          <w:rStyle w:val="normaltextrun"/>
          <w:color w:val="000000" w:themeColor="text1"/>
        </w:rPr>
        <w:t xml:space="preserve">. Suomi on kesällä 2024 ilmoittanut kansallisessa energia- ja ilmastosuunnitelmassa (NECP), että direktiivin liitteen I kaavalla laskettu FEC-luku on 20,6 </w:t>
      </w:r>
      <w:proofErr w:type="spellStart"/>
      <w:r w:rsidRPr="4836801C">
        <w:rPr>
          <w:rStyle w:val="normaltextrun"/>
          <w:color w:val="000000" w:themeColor="text1"/>
        </w:rPr>
        <w:t>Mtoe</w:t>
      </w:r>
      <w:proofErr w:type="spellEnd"/>
      <w:r w:rsidRPr="4836801C">
        <w:rPr>
          <w:rStyle w:val="normaltextrun"/>
          <w:color w:val="000000" w:themeColor="text1"/>
        </w:rPr>
        <w:t xml:space="preserve"> (239,6 </w:t>
      </w:r>
      <w:proofErr w:type="spellStart"/>
      <w:r w:rsidRPr="4836801C">
        <w:rPr>
          <w:rStyle w:val="normaltextrun"/>
          <w:color w:val="000000" w:themeColor="text1"/>
        </w:rPr>
        <w:t>TWh</w:t>
      </w:r>
      <w:proofErr w:type="spellEnd"/>
      <w:r w:rsidRPr="4836801C">
        <w:rPr>
          <w:rStyle w:val="normaltextrun"/>
          <w:color w:val="000000" w:themeColor="text1"/>
        </w:rPr>
        <w:t xml:space="preserve">) ja PEC-luku on 28,78 </w:t>
      </w:r>
      <w:proofErr w:type="spellStart"/>
      <w:r w:rsidRPr="4836801C">
        <w:rPr>
          <w:rStyle w:val="normaltextrun"/>
          <w:color w:val="000000" w:themeColor="text1"/>
        </w:rPr>
        <w:t>Mtoe</w:t>
      </w:r>
      <w:proofErr w:type="spellEnd"/>
      <w:r w:rsidRPr="4836801C">
        <w:rPr>
          <w:rStyle w:val="normaltextrun"/>
          <w:color w:val="000000" w:themeColor="text1"/>
        </w:rPr>
        <w:t xml:space="preserve"> (346,3 </w:t>
      </w:r>
      <w:proofErr w:type="spellStart"/>
      <w:r w:rsidRPr="4836801C">
        <w:rPr>
          <w:rStyle w:val="normaltextrun"/>
          <w:color w:val="000000" w:themeColor="text1"/>
        </w:rPr>
        <w:t>TWh</w:t>
      </w:r>
      <w:proofErr w:type="spellEnd"/>
      <w:r w:rsidRPr="4836801C">
        <w:rPr>
          <w:rStyle w:val="normaltextrun"/>
          <w:color w:val="000000" w:themeColor="text1"/>
        </w:rPr>
        <w:t xml:space="preserve">). Suomi ilmoitti myös direktiivin toimeenpanon arvioinnin ja valmistelun olevan on vielä kesken ja, että arviot Suomen </w:t>
      </w:r>
      <w:proofErr w:type="spellStart"/>
      <w:r w:rsidRPr="4836801C">
        <w:rPr>
          <w:rStyle w:val="normaltextrun"/>
          <w:color w:val="000000" w:themeColor="text1"/>
        </w:rPr>
        <w:t>FEC:n</w:t>
      </w:r>
      <w:proofErr w:type="spellEnd"/>
      <w:r w:rsidRPr="4836801C">
        <w:rPr>
          <w:rStyle w:val="normaltextrun"/>
          <w:color w:val="000000" w:themeColor="text1"/>
        </w:rPr>
        <w:t xml:space="preserve"> ja </w:t>
      </w:r>
      <w:proofErr w:type="spellStart"/>
      <w:r w:rsidRPr="4836801C">
        <w:rPr>
          <w:rStyle w:val="normaltextrun"/>
          <w:color w:val="000000" w:themeColor="text1"/>
        </w:rPr>
        <w:t>PEC:n</w:t>
      </w:r>
      <w:proofErr w:type="spellEnd"/>
      <w:r w:rsidRPr="001B64B6">
        <w:rPr>
          <w:rStyle w:val="normaltextrun"/>
          <w:color w:val="000000"/>
          <w:shd w:val="clear" w:color="auto" w:fill="FFFFFF"/>
        </w:rPr>
        <w:t xml:space="preserve"> ennusteista vuodelle 2030 sekä suunnitelmat toimenpiteistä ja niiden vaikutuksista tullaan tekemään Suomen kansallisen energia- ja ilmastostrategin valmistelun yhteydessä. </w:t>
      </w:r>
      <w:r>
        <w:rPr>
          <w:rStyle w:val="normaltextrun"/>
          <w:color w:val="000000"/>
          <w:shd w:val="clear" w:color="auto" w:fill="FFFFFF"/>
        </w:rPr>
        <w:t>Lisäksi direktiivissä on asetettu j</w:t>
      </w:r>
      <w:r w:rsidRPr="001B64B6">
        <w:rPr>
          <w:rStyle w:val="normaltextrun"/>
          <w:color w:val="000000"/>
          <w:shd w:val="clear" w:color="auto" w:fill="FFFFFF"/>
        </w:rPr>
        <w:t xml:space="preserve">ulkiselle sektorille </w:t>
      </w:r>
      <w:r w:rsidRPr="001B64B6">
        <w:rPr>
          <w:rStyle w:val="normaltextrun"/>
          <w:color w:val="000000"/>
          <w:shd w:val="clear" w:color="auto" w:fill="FFFFFF"/>
        </w:rPr>
        <w:lastRenderedPageBreak/>
        <w:t>sitova 1,9 % vuotuinen energiankulutuksen vähentämistavoite</w:t>
      </w:r>
      <w:r>
        <w:rPr>
          <w:rStyle w:val="normaltextrun"/>
          <w:color w:val="000000"/>
          <w:shd w:val="clear" w:color="auto" w:fill="FFFFFF"/>
        </w:rPr>
        <w:t xml:space="preserve"> ja</w:t>
      </w:r>
      <w:r w:rsidRPr="000A544E">
        <w:t xml:space="preserve"> </w:t>
      </w:r>
      <w:r>
        <w:t xml:space="preserve">koko energian loppukulutusta koskeva sitova 3,4 </w:t>
      </w:r>
      <w:proofErr w:type="spellStart"/>
      <w:r>
        <w:t>TWh</w:t>
      </w:r>
      <w:proofErr w:type="spellEnd"/>
      <w:r>
        <w:t xml:space="preserve"> vuotuinen </w:t>
      </w:r>
      <w:r w:rsidRPr="601C6C48">
        <w:t>energia</w:t>
      </w:r>
      <w:r>
        <w:t>nsäästö</w:t>
      </w:r>
      <w:r w:rsidRPr="601C6C48">
        <w:t>velvoit</w:t>
      </w:r>
      <w:r>
        <w:t>e</w:t>
      </w:r>
      <w:r w:rsidRPr="601C6C48">
        <w:t xml:space="preserve"> kaudelle </w:t>
      </w:r>
      <w:proofErr w:type="gramStart"/>
      <w:r w:rsidRPr="601C6C48">
        <w:t>2021-2030</w:t>
      </w:r>
      <w:proofErr w:type="gramEnd"/>
      <w:r>
        <w:t>.</w:t>
      </w:r>
    </w:p>
    <w:p w14:paraId="5303C4CF" w14:textId="3EC63E22" w:rsidR="000D6B42" w:rsidRDefault="000D6B42" w:rsidP="000D6B42">
      <w:pPr>
        <w:pStyle w:val="VNLeip1kappale"/>
      </w:pPr>
      <w:r>
        <w:t xml:space="preserve">Direktiivissä on lisäksi asetettu velvoite soveltaa niin sanottua </w:t>
      </w:r>
      <w:r w:rsidR="00D357A1">
        <w:t>e</w:t>
      </w:r>
      <w:r w:rsidRPr="601C6C48">
        <w:t>nergiatehokkuus ensin –periaat</w:t>
      </w:r>
      <w:r>
        <w:t>etta kaikessa suunnittelussa, politiikassa sekä merkittävissä investointipäätöksissä. Muut direktiivin lukuisat toimet ja velvoitteet liittyvät</w:t>
      </w:r>
      <w:r w:rsidRPr="601C6C48">
        <w:t xml:space="preserve"> m</w:t>
      </w:r>
      <w:r>
        <w:t>uun muassa</w:t>
      </w:r>
      <w:r w:rsidRPr="601C6C48">
        <w:t xml:space="preserve"> hukkalämmön hyödyntämiseen, fossiilisen polttoaineen käytön vähentämiseen</w:t>
      </w:r>
      <w:r>
        <w:t xml:space="preserve">, </w:t>
      </w:r>
      <w:r w:rsidRPr="601C6C48">
        <w:t>julkisten hankintojen energiatehokkuuteen</w:t>
      </w:r>
      <w:r>
        <w:t>, energianeuvontaan, pakollisiin energiahallintajärjestelmiin ja energiakatselmuksiin sekä toimiin, joilla pyritään estämään energiaköyhyyttä.</w:t>
      </w:r>
    </w:p>
    <w:p w14:paraId="1CE3338E" w14:textId="16C68EBB" w:rsidR="00D95A49" w:rsidRPr="00AE79AC" w:rsidRDefault="23F2C111" w:rsidP="7D9B7CE4">
      <w:pPr>
        <w:pStyle w:val="Otsikko3"/>
        <w:numPr>
          <w:ilvl w:val="0"/>
          <w:numId w:val="0"/>
        </w:numPr>
        <w:ind w:left="720"/>
      </w:pPr>
      <w:bookmarkStart w:id="54" w:name="_Toc1437126245"/>
      <w:bookmarkStart w:id="55" w:name="_Toc1905644833"/>
      <w:bookmarkStart w:id="56" w:name="_Toc202260028"/>
      <w:r>
        <w:t xml:space="preserve">2.7.3 </w:t>
      </w:r>
      <w:r w:rsidR="00D95A49">
        <w:t>Rakennusten energiatehokkuus</w:t>
      </w:r>
      <w:bookmarkEnd w:id="54"/>
      <w:bookmarkEnd w:id="55"/>
      <w:bookmarkEnd w:id="56"/>
    </w:p>
    <w:p w14:paraId="3BAA0FE2" w14:textId="1621A3F0" w:rsidR="00E74E6E" w:rsidRDefault="00E74E6E" w:rsidP="00E74E6E">
      <w:pPr>
        <w:pStyle w:val="VNLeip1kappale"/>
      </w:pPr>
      <w:r>
        <w:t>Rakennusten energiatehokkuusdirektiivin (</w:t>
      </w:r>
      <w:r>
        <w:rPr>
          <w:lang w:eastAsia="en-US"/>
        </w:rPr>
        <w:t>2024/1275</w:t>
      </w:r>
      <w:r>
        <w:t xml:space="preserve">) tavoitteena on parantaa rakennusten energiatehokkuutta ja hillitä sitä kautta ilmastonmuutosta. Komission mukaan rakennusten osuus EU:n kokonaisenergiankulutuksesta on noin 40 prosenttia ja energian käyttöön liittyvistä kasvihuonepäästöistä 36 prosenttia. </w:t>
      </w:r>
    </w:p>
    <w:p w14:paraId="093635BC" w14:textId="0463A27E" w:rsidR="00E74E6E" w:rsidRPr="003E7AF3" w:rsidRDefault="6AB5D687" w:rsidP="003E7AF3">
      <w:pPr>
        <w:pStyle w:val="VNLeip1kappale"/>
      </w:pPr>
      <w:r>
        <w:t>Rakennusten energiatehokkuutta säädellään rakennusten energiatehokkuusdirektiivissä, jonka uudistus tuli voimaan vuonna 2024. Uusitulla direktiivillä pyritään rakennusten kasvihuonekaasupäästöjen ja energian loppukulutuksen vähentämiseen vuoteen 2030 mennessä</w:t>
      </w:r>
      <w:r w:rsidR="79A7280D">
        <w:t>,</w:t>
      </w:r>
      <w:r>
        <w:t xml:space="preserve"> </w:t>
      </w:r>
      <w:r w:rsidR="49533B46">
        <w:t xml:space="preserve">uusien rakennusten </w:t>
      </w:r>
      <w:r w:rsidR="7F76EA60">
        <w:t>tulisi oll</w:t>
      </w:r>
      <w:r w:rsidR="49533B46">
        <w:t>a päästöttömiä</w:t>
      </w:r>
      <w:r w:rsidR="2EAD3241">
        <w:t xml:space="preserve"> vuoteen 2030 mennessä</w:t>
      </w:r>
      <w:r w:rsidR="49533B46">
        <w:t>, ja vuoteen 2050 mennessä EU</w:t>
      </w:r>
      <w:r w:rsidR="2EAD3241">
        <w:t>:n rakennuskannan tulisi olla päästötön</w:t>
      </w:r>
      <w:r w:rsidR="1DE022BE">
        <w:t>tä</w:t>
      </w:r>
      <w:r w:rsidR="49533B46">
        <w:t xml:space="preserve">. </w:t>
      </w:r>
      <w:r>
        <w:t>Direktiivimuutos on osa EU:n 55-valmiuspakettia</w:t>
      </w:r>
      <w:r w:rsidR="49533B46">
        <w:t>. Direktiivin toimeenpanoon on aikaa kaksi vuotta, eli muutokset Suomen lainsäädäntöön on tehtävä kesään 2026 mennessä.</w:t>
      </w:r>
    </w:p>
    <w:p w14:paraId="7930D10A" w14:textId="711EB6EA" w:rsidR="00E74E6E" w:rsidRDefault="714DE46D" w:rsidP="00E74E6E">
      <w:pPr>
        <w:pStyle w:val="VNLeip1kappale"/>
      </w:pPr>
      <w:r>
        <w:t>R</w:t>
      </w:r>
      <w:r w:rsidR="00E74E6E">
        <w:t>akennusten energiateho</w:t>
      </w:r>
      <w:r w:rsidR="00240ABA">
        <w:t>kkuusdirektiivillä on edistetty</w:t>
      </w:r>
      <w:r w:rsidR="00E74E6E">
        <w:t xml:space="preserve"> kustannustehokkaita energiara</w:t>
      </w:r>
      <w:r w:rsidR="00FB3FD5">
        <w:t xml:space="preserve">tkaisuja peruskorjauksissa, </w:t>
      </w:r>
      <w:r w:rsidR="00E74E6E">
        <w:t>älykkään tekno</w:t>
      </w:r>
      <w:r w:rsidR="00FB3FD5">
        <w:t xml:space="preserve">logian käyttöä rakennuksissa sekä </w:t>
      </w:r>
      <w:r w:rsidR="00E74E6E">
        <w:t>sähköa</w:t>
      </w:r>
      <w:r w:rsidR="00FB3FD5">
        <w:t>utojen latausmahdollisuuksien lisäämistä</w:t>
      </w:r>
      <w:r w:rsidR="00E74E6E">
        <w:t xml:space="preserve">. </w:t>
      </w:r>
      <w:r w:rsidR="7B825CDD">
        <w:t>D</w:t>
      </w:r>
      <w:r w:rsidR="00E74E6E">
        <w:t xml:space="preserve">irektiivi on edellyttänyt </w:t>
      </w:r>
      <w:r w:rsidR="579C9F83">
        <w:t xml:space="preserve">vähimmäisvaatimuksia </w:t>
      </w:r>
      <w:r w:rsidR="20D5ECE5">
        <w:t>uudisrakentamise</w:t>
      </w:r>
      <w:r w:rsidR="2C645BE8">
        <w:t>n</w:t>
      </w:r>
      <w:r w:rsidR="7B5AF714">
        <w:t xml:space="preserve"> ja korjausrakentamise</w:t>
      </w:r>
      <w:r w:rsidR="4B00C75B">
        <w:t>n</w:t>
      </w:r>
      <w:r w:rsidR="20D5ECE5">
        <w:t xml:space="preserve"> </w:t>
      </w:r>
      <w:r w:rsidR="00E74E6E">
        <w:t>energiatehokkuude</w:t>
      </w:r>
      <w:r w:rsidR="13F516C6">
        <w:t>lle</w:t>
      </w:r>
      <w:r w:rsidR="00E74E6E">
        <w:t xml:space="preserve">, lähes nollaenergiarakennuksia, rakennusten energiatodistuksia sekä lämmitys- ja ilmastointijärjestelmien tarkastuksia tai </w:t>
      </w:r>
      <w:r w:rsidR="5470FFA8">
        <w:t>vastaavien sää</w:t>
      </w:r>
      <w:r w:rsidR="161DEC71">
        <w:t>s</w:t>
      </w:r>
      <w:r w:rsidR="5470FFA8">
        <w:t xml:space="preserve">töjen </w:t>
      </w:r>
      <w:r w:rsidR="00E74E6E">
        <w:t>vaihtoehtoisia toimia</w:t>
      </w:r>
      <w:r w:rsidR="3841010B">
        <w:t>.</w:t>
      </w:r>
    </w:p>
    <w:p w14:paraId="3AA214F2" w14:textId="1E984A1B" w:rsidR="00D95A49" w:rsidRPr="00AE79AC" w:rsidRDefault="322FC3CC" w:rsidP="002A75F1">
      <w:pPr>
        <w:pStyle w:val="Otsikko3"/>
        <w:numPr>
          <w:ilvl w:val="0"/>
          <w:numId w:val="0"/>
        </w:numPr>
        <w:ind w:left="720" w:hanging="720"/>
      </w:pPr>
      <w:bookmarkStart w:id="57" w:name="_Toc2138713999"/>
      <w:bookmarkStart w:id="58" w:name="_Toc2072515368"/>
      <w:bookmarkStart w:id="59" w:name="_Toc202260029"/>
      <w:r>
        <w:lastRenderedPageBreak/>
        <w:t xml:space="preserve">2.7.4 </w:t>
      </w:r>
      <w:r w:rsidR="00D95A49">
        <w:t>Energiaverotus</w:t>
      </w:r>
      <w:bookmarkEnd w:id="57"/>
      <w:bookmarkEnd w:id="58"/>
      <w:bookmarkEnd w:id="59"/>
    </w:p>
    <w:p w14:paraId="5E1798CE" w14:textId="7885D09D" w:rsidR="00140624" w:rsidRDefault="00280ED1" w:rsidP="00280ED1">
      <w:pPr>
        <w:pStyle w:val="VNLeip1kappale"/>
      </w:pPr>
      <w:r>
        <w:t xml:space="preserve">Energiaverot ovat EU:ssa harmonisoituja veroja, joita säädellään neuvoston direktiivissä (2003/96). Direktiivi </w:t>
      </w:r>
      <w:r w:rsidR="6775F8E5">
        <w:t xml:space="preserve">asettaa </w:t>
      </w:r>
      <w:r>
        <w:t>vähimmäisverotas</w:t>
      </w:r>
      <w:r w:rsidR="19EFD86C">
        <w:t xml:space="preserve">ot </w:t>
      </w:r>
      <w:r>
        <w:t>ja verotuksen rakente</w:t>
      </w:r>
      <w:r w:rsidR="23311F2E">
        <w:t>en</w:t>
      </w:r>
      <w:r w:rsidR="4B1C6111">
        <w:t>, mutta</w:t>
      </w:r>
      <w:r>
        <w:t xml:space="preserve"> Suomessa on käytössä yksittäisiä direktiivin mahdollistamia poikkeuksia perusverorakenteesta. </w:t>
      </w:r>
    </w:p>
    <w:p w14:paraId="58EF4F23" w14:textId="7916F61A" w:rsidR="00EA42AF" w:rsidRDefault="6E03C8CD" w:rsidP="6676D59A">
      <w:pPr>
        <w:pStyle w:val="VNLeip1kappale"/>
        <w:rPr>
          <w:lang w:eastAsia="en-US"/>
        </w:rPr>
      </w:pPr>
      <w:r>
        <w:t>Osa</w:t>
      </w:r>
      <w:r w:rsidR="4DBD5FEB">
        <w:t>na</w:t>
      </w:r>
      <w:r>
        <w:t xml:space="preserve"> 55-valmiuspakettia </w:t>
      </w:r>
      <w:r w:rsidR="32A9093D">
        <w:t xml:space="preserve">komissio antoi </w:t>
      </w:r>
      <w:r w:rsidR="286690EE">
        <w:t xml:space="preserve">vuonna 2021 </w:t>
      </w:r>
      <w:r w:rsidR="32A9093D">
        <w:t>ehdotuksen energiaverodirektiivin uudistamisesta</w:t>
      </w:r>
      <w:r w:rsidR="175A529B">
        <w:t>, jo</w:t>
      </w:r>
      <w:r w:rsidR="4657A3C7">
        <w:t>nka</w:t>
      </w:r>
      <w:r w:rsidR="63DF7EED">
        <w:t xml:space="preserve"> </w:t>
      </w:r>
      <w:r w:rsidR="75A5C3BF">
        <w:t>on</w:t>
      </w:r>
      <w:r w:rsidR="63DF7EED">
        <w:t xml:space="preserve"> tavoitteena</w:t>
      </w:r>
      <w:r w:rsidR="46FD06CF">
        <w:t xml:space="preserve"> </w:t>
      </w:r>
      <w:r w:rsidR="2551E582">
        <w:t>sovittaa</w:t>
      </w:r>
      <w:r w:rsidR="63DF7EED">
        <w:t xml:space="preserve"> energiatuotteiden ja sähkön verotus EU:n energia-, ymp</w:t>
      </w:r>
      <w:r w:rsidR="2551E582">
        <w:t>äristö- ja ilmastopolitiikkaa tukevaksi</w:t>
      </w:r>
      <w:r w:rsidR="63DF7EED">
        <w:t>.</w:t>
      </w:r>
      <w:r w:rsidR="313747D3">
        <w:t xml:space="preserve"> </w:t>
      </w:r>
      <w:r w:rsidR="51223860">
        <w:t>Jäsenmaat eivät ole toistaiseksi saavuttaneet uudistuksen sisällöstä yksimielisyyttä.</w:t>
      </w:r>
      <w:r w:rsidR="53DA9162">
        <w:t xml:space="preserve"> </w:t>
      </w:r>
    </w:p>
    <w:p w14:paraId="5BC07461" w14:textId="4902DE46" w:rsidR="00280ED1" w:rsidRDefault="5C2ED987" w:rsidP="00280ED1">
      <w:pPr>
        <w:pStyle w:val="VNLeip1kappale"/>
      </w:pPr>
      <w:r>
        <w:t>D</w:t>
      </w:r>
      <w:r w:rsidR="00280ED1">
        <w:t xml:space="preserve">irektiiviehdotuksessa polttoaineiden ja sähkön verotus ja niiden minimiverotasot </w:t>
      </w:r>
      <w:r w:rsidR="3585EBE6">
        <w:t>porrastettaisiin</w:t>
      </w:r>
      <w:r w:rsidR="00280ED1">
        <w:t xml:space="preserve"> ympäristöominaisuuksien perusteella veroluokkiin </w:t>
      </w:r>
      <w:r w:rsidR="02E27DF6">
        <w:t xml:space="preserve">ja </w:t>
      </w:r>
      <w:r w:rsidR="37A39A9A">
        <w:t xml:space="preserve">jäsenmaiden olisi </w:t>
      </w:r>
      <w:r w:rsidR="00280ED1">
        <w:t>asetettava verotasot luokkien sisällä energiasisältöön suhteutettuna yhtenäisesti</w:t>
      </w:r>
      <w:r w:rsidR="6D46535D">
        <w:t>.</w:t>
      </w:r>
      <w:r w:rsidR="2E5F8CFF">
        <w:t xml:space="preserve"> </w:t>
      </w:r>
      <w:r w:rsidR="00280ED1">
        <w:t>Siirtymäajan jälkeen kaikkien fossiilisten polttoaineiden, ei-kestävien bioperäisten polttoaineiden ja kestävien ruoka- ja rehukasviperäisten bioperäisten polttoaineiden verotasot olisi verotettava ylimmän veroluokan mukaan. Sähkön verotaso ehdotetaan sidottavan alimpaan veroluokkaan yhdessä kehittyneiden bioperäisten polttoaineiden ja uusiutuvien ei-bioperäisten polttoaineiden kanssa. Keskimmäiseen veroluokkaan sisältyisi kestävät bioperäiset polttoaineet (pois lukien kestävät ruoka</w:t>
      </w:r>
      <w:r w:rsidR="00FD10ED">
        <w:t xml:space="preserve"> </w:t>
      </w:r>
      <w:r w:rsidR="00280ED1">
        <w:t xml:space="preserve">ja rehukasviperäiset bioperäiset polttoaineet) ja vähähiiliset polttoaineet. </w:t>
      </w:r>
    </w:p>
    <w:p w14:paraId="2992507E" w14:textId="70887079" w:rsidR="00280ED1" w:rsidRDefault="00280ED1" w:rsidP="00280ED1">
      <w:pPr>
        <w:pStyle w:val="VNLeip1kappale"/>
      </w:pPr>
      <w:r>
        <w:t>Komissio ehdottaa energiaverotusta laajennettavaksi muun muassa kiinteään biomassaan ja vetyyn. EU:n sisäisen merenkulun</w:t>
      </w:r>
      <w:r w:rsidDel="00280ED1">
        <w:t xml:space="preserve"> </w:t>
      </w:r>
      <w:r w:rsidR="61775E02">
        <w:t>ja</w:t>
      </w:r>
      <w:r>
        <w:t xml:space="preserve"> lentoliikenteen (muun kuin rahtiliikenteen) polttoaineiden verovapaudesta ehdotetaan luopumista siirtymäajan puitteissa. Lämmityksessä ja työkoneissa polttoaineiden verotasot </w:t>
      </w:r>
      <w:proofErr w:type="gramStart"/>
      <w:r>
        <w:t>olisi</w:t>
      </w:r>
      <w:proofErr w:type="gramEnd"/>
      <w:r w:rsidR="00874B0B">
        <w:t xml:space="preserve"> komission mukaan</w:t>
      </w:r>
      <w:r>
        <w:t xml:space="preserve"> edelleen mahdollista asettaa alhaisemmalle tasolle kuin liikenteessä. Kotitalouksien ja elinkeinoelämän verotusta ehdotetaan yhtenäistettävän, joskin energiaintensiivisille yrityksille mahdollistetaan edelleen kohdistettuja veronalennuksia lämmityspolttoaineille ja sähkölle, mutta nykyistä tiukemmin kriteerein. </w:t>
      </w:r>
    </w:p>
    <w:p w14:paraId="29A83DAD" w14:textId="188CE181" w:rsidR="00C250C1" w:rsidRDefault="00280ED1" w:rsidP="002A75F1">
      <w:pPr>
        <w:pStyle w:val="VNLeip1kappale"/>
      </w:pPr>
      <w:r>
        <w:t xml:space="preserve">Vähimmäisverotasot ovat komission ehdotuksessa hyvin matalia. Komission voimassa olevasta direktiivistä kirjoittaman arviointiraportin mukaan ne olivat </w:t>
      </w:r>
      <w:r>
        <w:lastRenderedPageBreak/>
        <w:t>matalia jo sen tultua voimaan vuonna 2003, eikä tasoja ole pääasiassa sittemmin tarkistettu. Komissio on ottanut nämä tasot lähtötasoksi myös ehdotuksessaan ja esitt</w:t>
      </w:r>
      <w:r w:rsidR="5E50965C">
        <w:t>änyt</w:t>
      </w:r>
      <w:r>
        <w:t xml:space="preserve"> inflaatiokorjauksia niihin vuodesta 2018 lähtien.</w:t>
      </w:r>
    </w:p>
    <w:p w14:paraId="4D24ED2E" w14:textId="0AC5BFA9" w:rsidR="00D95A49" w:rsidRPr="00AE79AC" w:rsidRDefault="00D95A49" w:rsidP="615CA84E">
      <w:pPr>
        <w:pStyle w:val="VNLeip1kappale"/>
        <w:ind w:left="576" w:hanging="576"/>
      </w:pPr>
    </w:p>
    <w:p w14:paraId="075B4A2F" w14:textId="04DB915A" w:rsidR="00D95A49" w:rsidRDefault="01972B15" w:rsidP="002B457B">
      <w:pPr>
        <w:pStyle w:val="Otsikko1"/>
        <w:rPr>
          <w:color w:val="365ABD" w:themeColor="accent3"/>
          <w:lang w:val="en-US" w:eastAsia="en-US"/>
        </w:rPr>
      </w:pPr>
      <w:bookmarkStart w:id="60" w:name="_Toc823585365"/>
      <w:bookmarkStart w:id="61" w:name="_Toc1064640213"/>
      <w:bookmarkStart w:id="62" w:name="_Toc202260030"/>
      <w:r>
        <w:lastRenderedPageBreak/>
        <w:t>Suomen</w:t>
      </w:r>
      <w:r w:rsidRPr="1A881142">
        <w:rPr>
          <w:lang w:val="en-US" w:eastAsia="en-US"/>
        </w:rPr>
        <w:t xml:space="preserve"> </w:t>
      </w:r>
      <w:proofErr w:type="spellStart"/>
      <w:r w:rsidRPr="1A881142">
        <w:rPr>
          <w:lang w:val="en-US" w:eastAsia="en-US"/>
        </w:rPr>
        <w:t>ilmastopolitiikka</w:t>
      </w:r>
      <w:bookmarkEnd w:id="60"/>
      <w:bookmarkEnd w:id="61"/>
      <w:bookmarkEnd w:id="62"/>
      <w:proofErr w:type="spellEnd"/>
    </w:p>
    <w:p w14:paraId="3B291302" w14:textId="57A2A568" w:rsidR="00D95A49" w:rsidRDefault="7E4D2BC5" w:rsidP="002A75F1">
      <w:pPr>
        <w:pStyle w:val="Otsikko2"/>
        <w:tabs>
          <w:tab w:val="clear" w:pos="360"/>
        </w:tabs>
        <w:ind w:left="576" w:hanging="576"/>
      </w:pPr>
      <w:bookmarkStart w:id="63" w:name="_Toc202260031"/>
      <w:r>
        <w:t>3.1</w:t>
      </w:r>
      <w:r w:rsidR="7ACC63DF">
        <w:t xml:space="preserve"> </w:t>
      </w:r>
      <w:bookmarkStart w:id="64" w:name="_Toc1749414067"/>
      <w:bookmarkStart w:id="65" w:name="_Toc1073458630"/>
      <w:proofErr w:type="spellStart"/>
      <w:r w:rsidR="00D95A49">
        <w:t>Yleiskuva</w:t>
      </w:r>
      <w:bookmarkEnd w:id="63"/>
      <w:bookmarkEnd w:id="64"/>
      <w:bookmarkEnd w:id="65"/>
      <w:proofErr w:type="spellEnd"/>
    </w:p>
    <w:p w14:paraId="4EA4B4FE" w14:textId="4495233C" w:rsidR="000E0409" w:rsidRPr="006A5084" w:rsidRDefault="7AD45EEC" w:rsidP="36891BA6">
      <w:pPr>
        <w:pStyle w:val="VNLeip1kappale"/>
        <w:rPr>
          <w:lang w:eastAsia="en-US"/>
        </w:rPr>
      </w:pPr>
      <w:r w:rsidRPr="36891BA6">
        <w:rPr>
          <w:lang w:eastAsia="en-US"/>
        </w:rPr>
        <w:t xml:space="preserve">Vuonna 2022 </w:t>
      </w:r>
      <w:r w:rsidR="00372A43">
        <w:rPr>
          <w:lang w:eastAsia="en-US"/>
        </w:rPr>
        <w:t>voimaan tulleessa</w:t>
      </w:r>
      <w:r w:rsidRPr="36891BA6">
        <w:rPr>
          <w:lang w:eastAsia="en-US"/>
        </w:rPr>
        <w:t xml:space="preserve"> ilmastolai</w:t>
      </w:r>
      <w:r w:rsidR="00372A43">
        <w:rPr>
          <w:lang w:eastAsia="en-US"/>
        </w:rPr>
        <w:t>ssa</w:t>
      </w:r>
      <w:r w:rsidRPr="36891BA6">
        <w:rPr>
          <w:lang w:eastAsia="en-US"/>
        </w:rPr>
        <w:t xml:space="preserve"> mukaan säädetään </w:t>
      </w:r>
      <w:r w:rsidR="00A5373E">
        <w:rPr>
          <w:lang w:eastAsia="en-US"/>
        </w:rPr>
        <w:t xml:space="preserve">päästöjen </w:t>
      </w:r>
      <w:r w:rsidR="00380D4B">
        <w:rPr>
          <w:lang w:eastAsia="en-US"/>
        </w:rPr>
        <w:t>vähentämis</w:t>
      </w:r>
      <w:r w:rsidR="00C92B29">
        <w:rPr>
          <w:lang w:eastAsia="en-US"/>
        </w:rPr>
        <w:t xml:space="preserve">tä, nielujen vahvistamista ja ilmastonmuutokseen sopeutumisen tavoitteista </w:t>
      </w:r>
      <w:r w:rsidR="004569CC">
        <w:rPr>
          <w:lang w:eastAsia="en-US"/>
        </w:rPr>
        <w:t xml:space="preserve">sekä </w:t>
      </w:r>
      <w:r w:rsidRPr="36891BA6">
        <w:rPr>
          <w:lang w:eastAsia="en-US"/>
        </w:rPr>
        <w:t>ilmastopolitiikan suunnittelusta ja seurannasta</w:t>
      </w:r>
      <w:r w:rsidR="00FA43B0">
        <w:rPr>
          <w:lang w:eastAsia="en-US"/>
        </w:rPr>
        <w:t>.</w:t>
      </w:r>
      <w:r w:rsidRPr="36891BA6">
        <w:rPr>
          <w:lang w:eastAsia="en-US"/>
        </w:rPr>
        <w:t xml:space="preserve"> Lain ohjausvaikutus perustuu </w:t>
      </w:r>
      <w:r w:rsidR="3CC3F598" w:rsidRPr="36891BA6">
        <w:rPr>
          <w:lang w:eastAsia="en-US"/>
        </w:rPr>
        <w:t xml:space="preserve">asetettujen tavoitteiden ohella </w:t>
      </w:r>
      <w:r w:rsidRPr="36891BA6">
        <w:rPr>
          <w:lang w:eastAsia="en-US"/>
        </w:rPr>
        <w:t xml:space="preserve">ilmastopolitiikan suunnittelujärjestelmään, </w:t>
      </w:r>
      <w:r w:rsidRPr="4EDF6AAC">
        <w:rPr>
          <w:lang w:eastAsia="en-US"/>
        </w:rPr>
        <w:t>jo</w:t>
      </w:r>
      <w:r w:rsidR="005E300F" w:rsidRPr="4EDF6AAC">
        <w:rPr>
          <w:lang w:eastAsia="en-US"/>
        </w:rPr>
        <w:t>nka</w:t>
      </w:r>
      <w:r w:rsidRPr="36891BA6">
        <w:rPr>
          <w:lang w:eastAsia="en-US"/>
        </w:rPr>
        <w:t xml:space="preserve"> </w:t>
      </w:r>
      <w:r w:rsidR="005E300F">
        <w:rPr>
          <w:lang w:eastAsia="en-US"/>
        </w:rPr>
        <w:t xml:space="preserve">avulla </w:t>
      </w:r>
      <w:r w:rsidRPr="4EDF6AAC">
        <w:rPr>
          <w:lang w:eastAsia="en-US"/>
        </w:rPr>
        <w:t>määrit</w:t>
      </w:r>
      <w:r w:rsidR="005E300F" w:rsidRPr="4EDF6AAC">
        <w:rPr>
          <w:lang w:eastAsia="en-US"/>
        </w:rPr>
        <w:t>etään</w:t>
      </w:r>
      <w:r w:rsidRPr="36891BA6">
        <w:rPr>
          <w:lang w:eastAsia="en-US"/>
        </w:rPr>
        <w:t xml:space="preserve"> kasvihuonekaasujen päästöjen vähentämisen ja ilmastonmuutokseen sopeutumisen tarkemmat tavoitteet sekä niiden saavuttamiseksi tarvittavat toimet eri hallinnonaloilla. Ilmastolain nojalla valtioneuvoston on seurattava ilmastopolitiikan suunnitelmien toteutumista sekä Suomen päästökehitystä. </w:t>
      </w:r>
    </w:p>
    <w:p w14:paraId="16CB78FD" w14:textId="4C266061" w:rsidR="000E0409" w:rsidRPr="006A5084" w:rsidRDefault="00064759" w:rsidP="36891BA6">
      <w:pPr>
        <w:pStyle w:val="VNLeip1kappale"/>
        <w:rPr>
          <w:lang w:eastAsia="en-US"/>
        </w:rPr>
      </w:pPr>
      <w:r>
        <w:rPr>
          <w:lang w:eastAsia="en-US"/>
        </w:rPr>
        <w:t>Ilmastopolitiikan suunnittelujärjestelmää toteutetaan erilaisilla</w:t>
      </w:r>
      <w:r w:rsidR="008A138F" w:rsidRPr="008A138F">
        <w:rPr>
          <w:lang w:eastAsia="en-US"/>
        </w:rPr>
        <w:t xml:space="preserve"> suunnitelmilla</w:t>
      </w:r>
      <w:r>
        <w:rPr>
          <w:lang w:eastAsia="en-US"/>
        </w:rPr>
        <w:t xml:space="preserve">, </w:t>
      </w:r>
      <w:r w:rsidR="00A45E7B">
        <w:rPr>
          <w:lang w:eastAsia="en-US"/>
        </w:rPr>
        <w:t xml:space="preserve">jotka määrittävät </w:t>
      </w:r>
      <w:r w:rsidR="008A138F" w:rsidRPr="008A138F">
        <w:rPr>
          <w:lang w:eastAsia="en-US"/>
        </w:rPr>
        <w:t xml:space="preserve">tavoitteet </w:t>
      </w:r>
      <w:r w:rsidR="00E8344B">
        <w:rPr>
          <w:lang w:eastAsia="en-US"/>
        </w:rPr>
        <w:t xml:space="preserve">ja </w:t>
      </w:r>
      <w:r w:rsidR="008A138F" w:rsidRPr="008A138F">
        <w:rPr>
          <w:lang w:eastAsia="en-US"/>
        </w:rPr>
        <w:t>keinot eri sektoreilla ja hallinnonaloilla.</w:t>
      </w:r>
      <w:r w:rsidR="009F02F6">
        <w:rPr>
          <w:lang w:eastAsia="en-US"/>
        </w:rPr>
        <w:t xml:space="preserve"> </w:t>
      </w:r>
      <w:r w:rsidR="00B14727">
        <w:rPr>
          <w:lang w:eastAsia="en-US"/>
        </w:rPr>
        <w:t>Suunnitelmista</w:t>
      </w:r>
      <w:r w:rsidR="009F02F6">
        <w:rPr>
          <w:lang w:eastAsia="en-US"/>
        </w:rPr>
        <w:t xml:space="preserve"> kerrotaan tarkemmin kappaleessa 3.4.</w:t>
      </w:r>
      <w:r w:rsidR="008A138F">
        <w:rPr>
          <w:lang w:eastAsia="en-US"/>
        </w:rPr>
        <w:t xml:space="preserve"> </w:t>
      </w:r>
      <w:r w:rsidR="7AD45EEC" w:rsidRPr="5124B464">
        <w:rPr>
          <w:lang w:eastAsia="en-US"/>
        </w:rPr>
        <w:t xml:space="preserve">Ilmastolain ja ilmastopolitiikan suunnittelujärjestelmän ohella on myös muita kansallista ilmastopolitiikkaa ohjaavia instrumentteja. Työ- ja elinkeinoministeriön johdolla on valmisteltu vaalikausittain energia- ja ilmastostrategia, joka kattaa kaikki kasvihuonekaasupäästölähteet (päästökauppasektori, taakanjakosektori sekä maankäyttösektori) ja nielujen aikaansaamat poistumat. Strategian lähtökohtana on tarkastella energia- ja ilmastopolitiikkaa kokonaisvaltaisesti eri sektoreilla päästöjen vähentämisen, energiapolitiikan sekä kasvun ja työllisyyden näkökulmasta. Strategia käsittelee päästöjen vähentämisen ohella myös ilmastonmuutokseen sopeutumista. </w:t>
      </w:r>
    </w:p>
    <w:p w14:paraId="77B23709" w14:textId="7364C40C" w:rsidR="002A60AB" w:rsidRPr="006A5084" w:rsidRDefault="000E0409" w:rsidP="009108DA">
      <w:pPr>
        <w:pStyle w:val="VNLeip1kappale"/>
        <w:rPr>
          <w:lang w:eastAsia="en-US"/>
        </w:rPr>
      </w:pPr>
      <w:r w:rsidRPr="5CCC585D">
        <w:rPr>
          <w:lang w:eastAsia="en-US"/>
        </w:rPr>
        <w:t>Strategia ja keskipitkän aikavälin ilmastosuunnitelma ovat perustuneet yhteiseen tietopohjaan, esi</w:t>
      </w:r>
      <w:r w:rsidR="002A60AB" w:rsidRPr="5CCC585D">
        <w:rPr>
          <w:lang w:eastAsia="en-US"/>
        </w:rPr>
        <w:t>merkiksi energiatuotantoa ja -käyttöä sekä pääs</w:t>
      </w:r>
      <w:r w:rsidRPr="5CCC585D">
        <w:rPr>
          <w:lang w:eastAsia="en-US"/>
        </w:rPr>
        <w:t xml:space="preserve">tökehitystä koskevaan perusskenaarioon. Valmistelu on perustunut asian kannalta keskeisten ministeriöiden väliseen yhteistyöhön. Valmistelussa hyödynnetty yhteinen tietopohja on tukenut keskipitkän aikavälin </w:t>
      </w:r>
      <w:r w:rsidR="78904BDA" w:rsidRPr="38E66213">
        <w:rPr>
          <w:lang w:eastAsia="en-US"/>
        </w:rPr>
        <w:t>ilmastosuunnitelman</w:t>
      </w:r>
      <w:r w:rsidRPr="5CCC585D">
        <w:rPr>
          <w:lang w:eastAsia="en-US"/>
        </w:rPr>
        <w:t xml:space="preserve"> sekä energia-</w:t>
      </w:r>
      <w:r w:rsidR="6AF733BE" w:rsidRPr="5CCC585D">
        <w:rPr>
          <w:lang w:eastAsia="en-US"/>
        </w:rPr>
        <w:t xml:space="preserve"> </w:t>
      </w:r>
      <w:r w:rsidRPr="5CCC585D">
        <w:rPr>
          <w:lang w:eastAsia="en-US"/>
        </w:rPr>
        <w:t xml:space="preserve">ja ilmastostrategian laatimista. </w:t>
      </w:r>
    </w:p>
    <w:p w14:paraId="54D7B335" w14:textId="495E471C" w:rsidR="00D95A49" w:rsidRPr="002A60AB" w:rsidRDefault="000E0409" w:rsidP="28C090C9">
      <w:pPr>
        <w:pStyle w:val="VNLeip1kappale"/>
        <w:rPr>
          <w:rFonts w:asciiTheme="minorHAnsi" w:hAnsiTheme="minorHAnsi" w:cstheme="minorBidi"/>
        </w:rPr>
      </w:pPr>
      <w:r w:rsidRPr="28C090C9">
        <w:rPr>
          <w:rFonts w:asciiTheme="minorHAnsi" w:hAnsiTheme="minorHAnsi" w:cstheme="minorBidi"/>
        </w:rPr>
        <w:t>Ilmastopolitiikkaa ohjaa</w:t>
      </w:r>
      <w:r w:rsidR="008B347C" w:rsidRPr="28C090C9">
        <w:rPr>
          <w:rFonts w:asciiTheme="minorHAnsi" w:hAnsiTheme="minorHAnsi" w:cstheme="minorBidi"/>
        </w:rPr>
        <w:t>vat</w:t>
      </w:r>
      <w:r w:rsidRPr="28C090C9">
        <w:rPr>
          <w:rFonts w:asciiTheme="minorHAnsi" w:hAnsiTheme="minorHAnsi" w:cstheme="minorBidi"/>
        </w:rPr>
        <w:t xml:space="preserve"> myös eri</w:t>
      </w:r>
      <w:r w:rsidR="008B347C" w:rsidRPr="28C090C9">
        <w:rPr>
          <w:rFonts w:asciiTheme="minorHAnsi" w:hAnsiTheme="minorHAnsi" w:cstheme="minorBidi"/>
        </w:rPr>
        <w:t>lliset</w:t>
      </w:r>
      <w:r w:rsidRPr="28C090C9">
        <w:rPr>
          <w:rFonts w:asciiTheme="minorHAnsi" w:hAnsiTheme="minorHAnsi" w:cstheme="minorBidi"/>
        </w:rPr>
        <w:t xml:space="preserve"> ilmastolakiin li</w:t>
      </w:r>
      <w:r w:rsidR="002A60AB" w:rsidRPr="28C090C9">
        <w:rPr>
          <w:rFonts w:asciiTheme="minorHAnsi" w:hAnsiTheme="minorHAnsi" w:cstheme="minorBidi"/>
        </w:rPr>
        <w:t>ittymättömät poliittiset periaa</w:t>
      </w:r>
      <w:r w:rsidRPr="28C090C9">
        <w:rPr>
          <w:rFonts w:asciiTheme="minorHAnsi" w:hAnsiTheme="minorHAnsi" w:cstheme="minorBidi"/>
        </w:rPr>
        <w:t xml:space="preserve">teratkaisut, tiekartat ja ilmastopolitiikkaa konkretisoivat ohjelmat. </w:t>
      </w:r>
      <w:r w:rsidR="00F54940" w:rsidRPr="28C090C9">
        <w:rPr>
          <w:rFonts w:asciiTheme="minorHAnsi" w:hAnsiTheme="minorHAnsi" w:cstheme="minorBidi"/>
        </w:rPr>
        <w:t>T</w:t>
      </w:r>
      <w:r w:rsidR="002A60AB" w:rsidRPr="28C090C9">
        <w:rPr>
          <w:rFonts w:asciiTheme="minorHAnsi" w:hAnsiTheme="minorHAnsi" w:cstheme="minorBidi"/>
        </w:rPr>
        <w:t xml:space="preserve">ällä </w:t>
      </w:r>
      <w:r w:rsidR="002A60AB" w:rsidRPr="28C090C9">
        <w:rPr>
          <w:rFonts w:asciiTheme="minorHAnsi" w:hAnsiTheme="minorHAnsi" w:cstheme="minorBidi"/>
        </w:rPr>
        <w:lastRenderedPageBreak/>
        <w:t xml:space="preserve">hallituskaudella </w:t>
      </w:r>
      <w:r w:rsidR="2958026B" w:rsidRPr="28C090C9">
        <w:rPr>
          <w:rFonts w:asciiTheme="minorHAnsi" w:hAnsiTheme="minorHAnsi" w:cstheme="minorBidi"/>
        </w:rPr>
        <w:t>monet</w:t>
      </w:r>
      <w:r w:rsidR="00F54940" w:rsidRPr="28C090C9">
        <w:rPr>
          <w:rFonts w:asciiTheme="minorHAnsi" w:hAnsiTheme="minorHAnsi" w:cstheme="minorBidi"/>
        </w:rPr>
        <w:t xml:space="preserve"> toimialat ovat </w:t>
      </w:r>
      <w:r w:rsidR="002A60AB" w:rsidRPr="28C090C9">
        <w:rPr>
          <w:rFonts w:asciiTheme="minorHAnsi" w:hAnsiTheme="minorHAnsi" w:cstheme="minorBidi"/>
        </w:rPr>
        <w:t>päivittäneet omat tiekarttansa</w:t>
      </w:r>
      <w:r w:rsidRPr="28C090C9">
        <w:rPr>
          <w:rFonts w:asciiTheme="minorHAnsi" w:hAnsiTheme="minorHAnsi" w:cstheme="minorBidi"/>
        </w:rPr>
        <w:t xml:space="preserve"> vähähiilisyyteen yhteistyössä viranomaisten kanssa. Toimialat esittävät tiekartoissaan päästövähennysmahdollisuuk</w:t>
      </w:r>
      <w:r w:rsidR="002A60AB" w:rsidRPr="28C090C9">
        <w:rPr>
          <w:rFonts w:asciiTheme="minorHAnsi" w:hAnsiTheme="minorHAnsi" w:cstheme="minorBidi"/>
        </w:rPr>
        <w:t>sia ja edellytyksistä niiden to</w:t>
      </w:r>
      <w:r w:rsidRPr="28C090C9">
        <w:rPr>
          <w:rFonts w:asciiTheme="minorHAnsi" w:hAnsiTheme="minorHAnsi" w:cstheme="minorBidi"/>
        </w:rPr>
        <w:t xml:space="preserve">teuttamiseen. </w:t>
      </w:r>
    </w:p>
    <w:p w14:paraId="0BF94BC0" w14:textId="2686C93B" w:rsidR="002A60AB" w:rsidRDefault="002A60AB" w:rsidP="28C090C9">
      <w:pPr>
        <w:pStyle w:val="VNLeip1kappale"/>
        <w:rPr>
          <w:rFonts w:asciiTheme="minorHAnsi" w:hAnsiTheme="minorHAnsi" w:cstheme="minorBidi"/>
        </w:rPr>
      </w:pPr>
      <w:r w:rsidRPr="28C090C9">
        <w:rPr>
          <w:rFonts w:asciiTheme="minorHAnsi" w:hAnsiTheme="minorHAnsi" w:cstheme="minorBidi"/>
        </w:rPr>
        <w:t>Kunnat ja alueet ovat tärkeässä asemassa</w:t>
      </w:r>
      <w:r w:rsidR="008E5724" w:rsidRPr="28C090C9">
        <w:rPr>
          <w:rFonts w:asciiTheme="minorHAnsi" w:hAnsiTheme="minorHAnsi" w:cstheme="minorBidi"/>
        </w:rPr>
        <w:t xml:space="preserve"> ilmastotavoitteiden </w:t>
      </w:r>
      <w:r w:rsidR="63D37BA5" w:rsidRPr="28C090C9">
        <w:rPr>
          <w:rFonts w:asciiTheme="minorHAnsi" w:hAnsiTheme="minorHAnsi" w:cstheme="minorBidi"/>
        </w:rPr>
        <w:t>edistämisessä</w:t>
      </w:r>
      <w:r w:rsidRPr="28C090C9">
        <w:rPr>
          <w:rFonts w:asciiTheme="minorHAnsi" w:hAnsiTheme="minorHAnsi" w:cstheme="minorBidi"/>
        </w:rPr>
        <w:t>. Suomen 309 kunnasta 163 on asettanut ilmastotavoitteen.</w:t>
      </w:r>
      <w:r w:rsidR="1E5E5C7A" w:rsidRPr="28C090C9">
        <w:rPr>
          <w:rFonts w:asciiTheme="minorHAnsi" w:hAnsiTheme="minorHAnsi" w:cstheme="minorBidi"/>
        </w:rPr>
        <w:t xml:space="preserve"> </w:t>
      </w:r>
      <w:r w:rsidRPr="28C090C9">
        <w:rPr>
          <w:rFonts w:asciiTheme="minorHAnsi" w:hAnsiTheme="minorHAnsi" w:cstheme="minorBidi"/>
        </w:rPr>
        <w:t>Kuntaliiton selvityksen mukaan noin 5 miljoonaa eli runsaat 90 % suomalaisista asuu kunnissa, joilla on ilmastotavoite. Noin kaksi</w:t>
      </w:r>
      <w:r w:rsidR="00781F17" w:rsidRPr="28C090C9">
        <w:rPr>
          <w:rFonts w:asciiTheme="minorHAnsi" w:hAnsiTheme="minorHAnsi" w:cstheme="minorBidi"/>
        </w:rPr>
        <w:t xml:space="preserve">kolmasosaa </w:t>
      </w:r>
      <w:r w:rsidRPr="28C090C9">
        <w:rPr>
          <w:rFonts w:asciiTheme="minorHAnsi" w:hAnsiTheme="minorHAnsi" w:cstheme="minorBidi"/>
        </w:rPr>
        <w:t xml:space="preserve">suomalaisista asuu kunnissa, jotka tavoittelevat 80 % päästövähennystä </w:t>
      </w:r>
      <w:r w:rsidR="00D84A2E" w:rsidRPr="28C090C9">
        <w:rPr>
          <w:rFonts w:asciiTheme="minorHAnsi" w:hAnsiTheme="minorHAnsi" w:cstheme="minorBidi"/>
        </w:rPr>
        <w:t xml:space="preserve">vuosien </w:t>
      </w:r>
      <w:r w:rsidRPr="28C090C9">
        <w:rPr>
          <w:rFonts w:asciiTheme="minorHAnsi" w:hAnsiTheme="minorHAnsi" w:cstheme="minorBidi"/>
        </w:rPr>
        <w:t xml:space="preserve">2007–2030 </w:t>
      </w:r>
      <w:r w:rsidR="00D84A2E" w:rsidRPr="28C090C9">
        <w:rPr>
          <w:rFonts w:asciiTheme="minorHAnsi" w:hAnsiTheme="minorHAnsi" w:cstheme="minorBidi"/>
        </w:rPr>
        <w:t xml:space="preserve">välillä </w:t>
      </w:r>
      <w:r w:rsidRPr="28C090C9">
        <w:rPr>
          <w:rFonts w:asciiTheme="minorHAnsi" w:hAnsiTheme="minorHAnsi" w:cstheme="minorBidi"/>
        </w:rPr>
        <w:t>(erityisesti Kohti hiilineutraalia kuntaa-verkoston eli Hinku-verkoston kunnat) tai hiilineutraaliutta vuoden 2030 jälkeen.</w:t>
      </w:r>
    </w:p>
    <w:p w14:paraId="2F414112" w14:textId="6F22A3E9" w:rsidR="0075162B" w:rsidRPr="00747D32" w:rsidRDefault="10C38BD2" w:rsidP="002A75F1">
      <w:pPr>
        <w:pStyle w:val="Otsikko2"/>
        <w:tabs>
          <w:tab w:val="clear" w:pos="360"/>
        </w:tabs>
        <w:ind w:left="576" w:hanging="576"/>
        <w:rPr>
          <w:lang w:val="fi-FI"/>
        </w:rPr>
      </w:pPr>
      <w:bookmarkStart w:id="66" w:name="_Toc1862801380"/>
      <w:bookmarkStart w:id="67" w:name="_Toc1674769890"/>
      <w:bookmarkStart w:id="68" w:name="_Toc202260032"/>
      <w:r w:rsidRPr="002A75F1">
        <w:rPr>
          <w:lang w:val="fi-FI"/>
        </w:rPr>
        <w:t xml:space="preserve">3.2 </w:t>
      </w:r>
      <w:r w:rsidR="00250FA9" w:rsidRPr="002A75F1">
        <w:rPr>
          <w:lang w:val="fi-FI"/>
        </w:rPr>
        <w:t>Hallitusohjelma</w:t>
      </w:r>
      <w:bookmarkEnd w:id="66"/>
      <w:bookmarkEnd w:id="67"/>
      <w:bookmarkEnd w:id="68"/>
    </w:p>
    <w:p w14:paraId="24373A49" w14:textId="77331250" w:rsidR="00250FA9" w:rsidRPr="00250FA9" w:rsidRDefault="58622FDF" w:rsidP="00EA3FF6">
      <w:pPr>
        <w:pStyle w:val="VNLeip1kappale"/>
      </w:pPr>
      <w:r>
        <w:t xml:space="preserve">Kesäkuussa 2023 julkaistun Petteri </w:t>
      </w:r>
      <w:proofErr w:type="spellStart"/>
      <w:r>
        <w:t>Orpon</w:t>
      </w:r>
      <w:proofErr w:type="spellEnd"/>
      <w:r>
        <w:t xml:space="preserve"> hallitusohjelman mukaan Suomesta tulee puhtaan energian edelläkävijä ja samalla maksimoi</w:t>
      </w:r>
      <w:r w:rsidR="0DFA0001">
        <w:t>d</w:t>
      </w:r>
      <w:r w:rsidR="3ACB731C">
        <w:t>a</w:t>
      </w:r>
      <w:r w:rsidR="0DFA0001">
        <w:t>a</w:t>
      </w:r>
      <w:r w:rsidR="5DD2F41A">
        <w:t>n</w:t>
      </w:r>
      <w:r w:rsidR="6C6AEAD2">
        <w:t xml:space="preserve"> </w:t>
      </w:r>
      <w:r w:rsidRPr="00EB4DF3">
        <w:t xml:space="preserve">ilmastokädenjälki. </w:t>
      </w:r>
      <w:r w:rsidR="06017583" w:rsidRPr="00EB4DF3">
        <w:t>Ohjelman linjausten mukaan</w:t>
      </w:r>
      <w:r w:rsidRPr="00EB4DF3">
        <w:t xml:space="preserve"> Suomi luo puhdasta talouskasvua kotimaassaan ja korvaa saastuttavia ratkaisuja ympäri maailmaa teknologiaviennillä. Suomi </w:t>
      </w:r>
      <w:r w:rsidR="04C6F90E" w:rsidRPr="00EB4DF3">
        <w:t>myös</w:t>
      </w:r>
      <w:r w:rsidRPr="00EB4DF3">
        <w:t xml:space="preserve"> lisää osuuttaan puhtaaseen talouteen liittyvistä investoinneista, työpaikoista ja lisäarvosta. </w:t>
      </w:r>
      <w:r w:rsidR="73645139" w:rsidRPr="00EB4DF3">
        <w:t>Tavoitteena on myös, että</w:t>
      </w:r>
      <w:r w:rsidRPr="00EB4DF3">
        <w:t xml:space="preserve"> Suomi käyttää luonnonvarojaan kestävästi parantaakseen omavaraisuuttaan.</w:t>
      </w:r>
      <w:r w:rsidR="007E5A98" w:rsidRPr="00EB4DF3">
        <w:t xml:space="preserve"> </w:t>
      </w:r>
      <w:r w:rsidR="00250FA9" w:rsidRPr="00EB4DF3">
        <w:t xml:space="preserve">Hallitus on </w:t>
      </w:r>
      <w:r w:rsidR="738A49A1" w:rsidRPr="00EB4DF3">
        <w:t>ohjelmassaan</w:t>
      </w:r>
      <w:r w:rsidR="00250FA9" w:rsidRPr="00EB4DF3">
        <w:t xml:space="preserve"> </w:t>
      </w:r>
      <w:r w:rsidR="583FF33A" w:rsidRPr="00EB4DF3">
        <w:t>linjannut</w:t>
      </w:r>
      <w:r w:rsidR="6084BB0A" w:rsidRPr="00EB4DF3">
        <w:t>,</w:t>
      </w:r>
      <w:r w:rsidR="583FF33A" w:rsidRPr="00EB4DF3">
        <w:t xml:space="preserve"> että Suomi vastaa päästöjen vähennystavoitteisiin ja etenee hiilineutraaliustavoitteeseen ja hiilin</w:t>
      </w:r>
      <w:r w:rsidR="6B5E1590" w:rsidRPr="00EB4DF3">
        <w:t>egatiivisuuteen ilman että arjen kustannukset nousevat tai kilpailukyky heikkenee. Ilmastotavoitteiden toteutumista on tarkoitus edistää kon</w:t>
      </w:r>
      <w:r w:rsidR="34C2D210" w:rsidRPr="00EB4DF3">
        <w:t>kreettisin toimin ja vaikuttavalla ilmastopolitiikalla</w:t>
      </w:r>
      <w:r w:rsidR="11F5C0CE" w:rsidRPr="00EB4DF3">
        <w:t xml:space="preserve"> niin kansallisesti, EU-tasolla kuin kansainvälisiin sopimuksiin liittyen.</w:t>
      </w:r>
      <w:r w:rsidR="00250FA9" w:rsidRPr="00EB4DF3">
        <w:t xml:space="preserve"> </w:t>
      </w:r>
      <w:r w:rsidR="00493989" w:rsidRPr="00EB4DF3">
        <w:t xml:space="preserve"> Tavoitteiden saavuttamisen tukemiseksi hallitus aikoo toteuttaa järkevää ja tehokasta ilmastopolitiikkaa kansallisella ja EU-tasolla sekä kansainvälisiä sopimuksia kunnioittaen.</w:t>
      </w:r>
      <w:r w:rsidR="00A6170F" w:rsidRPr="00EB4DF3">
        <w:t xml:space="preserve"> </w:t>
      </w:r>
      <w:r w:rsidR="00BE321F" w:rsidRPr="00EB4DF3">
        <w:t>Hallitus sitoutui ohjelmassaan laatimaan erillisen päästövelan lyhentämisohjelman. Käytännössä päästövelan lyhentämisohjelma on tarkoitus sisällyttää hallituksen energia- ja ilmastostrategiaan.</w:t>
      </w:r>
    </w:p>
    <w:p w14:paraId="70200DE9" w14:textId="5FE4711D" w:rsidR="007B3965" w:rsidRPr="007B3965" w:rsidRDefault="007B3965" w:rsidP="00EA3FF6">
      <w:pPr>
        <w:pStyle w:val="VNLeip1kappale"/>
      </w:pPr>
      <w:r>
        <w:t>Hallituksen tarkoituksena on</w:t>
      </w:r>
      <w:r w:rsidR="00250FA9" w:rsidRPr="00250FA9">
        <w:t xml:space="preserve"> edistää tehokasta energiapolitiikkaa ennakoitavasti ja pitkäjänteisesti.  Hallitus </w:t>
      </w:r>
      <w:r w:rsidR="6CFC5F96">
        <w:t xml:space="preserve">aikoo </w:t>
      </w:r>
      <w:r w:rsidR="00250FA9">
        <w:t>huolehti</w:t>
      </w:r>
      <w:r w:rsidR="2795F4FF">
        <w:t>a</w:t>
      </w:r>
      <w:r w:rsidR="00250FA9" w:rsidRPr="00250FA9">
        <w:t xml:space="preserve"> siitä, että sähkö ja siitä saadut tuotteet säilyvät toimitusvarmuuden kannalta edullisina ja luotettavina. </w:t>
      </w:r>
      <w:r w:rsidR="00250FA9" w:rsidRPr="007B3965">
        <w:t>Suju</w:t>
      </w:r>
      <w:r>
        <w:t>vat, ennakoitavat ja oikeudellisesti</w:t>
      </w:r>
      <w:r w:rsidR="00250FA9" w:rsidRPr="007B3965">
        <w:t xml:space="preserve"> varmat lupaprosessit ovat </w:t>
      </w:r>
      <w:r w:rsidR="0C1CCA8B">
        <w:t xml:space="preserve">hallitusohjelman mukaan </w:t>
      </w:r>
      <w:r w:rsidR="00250FA9" w:rsidRPr="007B3965">
        <w:t>Suomen kilpailuetu.</w:t>
      </w:r>
    </w:p>
    <w:p w14:paraId="0F4110A6" w14:textId="0DC835BE" w:rsidR="296C3024" w:rsidRDefault="1B71B8D6" w:rsidP="3F2EABD4">
      <w:pPr>
        <w:pStyle w:val="VNLeip1kappale"/>
      </w:pPr>
      <w:r w:rsidRPr="00EB4DF3">
        <w:rPr>
          <w:lang w:eastAsia="en-US"/>
        </w:rPr>
        <w:lastRenderedPageBreak/>
        <w:t xml:space="preserve">Suomi on </w:t>
      </w:r>
      <w:r w:rsidR="1A7247F0" w:rsidRPr="00EB4DF3">
        <w:rPr>
          <w:lang w:eastAsia="en-US"/>
        </w:rPr>
        <w:t>hallitusohjelman mukaan</w:t>
      </w:r>
      <w:r w:rsidRPr="00EB4DF3">
        <w:rPr>
          <w:lang w:eastAsia="en-US"/>
        </w:rPr>
        <w:t xml:space="preserve"> sitoutunut ilmastolain tavoitteisiin. </w:t>
      </w:r>
      <w:r w:rsidR="58622FDF" w:rsidRPr="00EB4DF3">
        <w:t>Hallitus</w:t>
      </w:r>
      <w:r w:rsidR="5735AB80" w:rsidRPr="00EB4DF3">
        <w:t xml:space="preserve"> aikoo</w:t>
      </w:r>
      <w:r w:rsidR="58622FDF" w:rsidRPr="00EB4DF3">
        <w:t xml:space="preserve"> edistää Suomen asemaa edelläkävijänä kehittämällä uuden hiilinegatiivisuuteen tähtäävän energia- ja ilmastostrategian, jonka painopiste on puhtaan siirtymän ja teollisuuden investointien edistämisessä. Hallitus</w:t>
      </w:r>
      <w:r w:rsidR="1FBC6C23" w:rsidRPr="00EB4DF3">
        <w:t xml:space="preserve"> aikoo</w:t>
      </w:r>
      <w:r w:rsidR="58622FDF" w:rsidRPr="00EB4DF3">
        <w:t xml:space="preserve"> saavuttaa ilmastovaikutukset tehokkailla päästövähennystoimenpiteillä, hiilinielujen lisäämisellä ja suomalaisilla puhtaan talouden ratkaisuilla. </w:t>
      </w:r>
      <w:r w:rsidR="6DFB709D" w:rsidRPr="00EB4DF3">
        <w:t>Suomi luo hallitusohjelman mukaan hyvät edellytykset kestäville investoinneille uusiutuvaan ja fossiilivapaaseen energiantuotantoon, hiilidioksidin talteenottoon, energian varastointiin ja uusiin energiaratkaisuihin. Suomesta on tarkoitus tehdä vetytalouden avaintoimija ja houkutteleva paikka vedynjalostusprojekteille.</w:t>
      </w:r>
      <w:r w:rsidR="50CC0FD8" w:rsidRPr="00EB4DF3">
        <w:t xml:space="preserve"> </w:t>
      </w:r>
      <w:r w:rsidR="58622FDF" w:rsidRPr="00EB4DF3">
        <w:t xml:space="preserve">Uusi energia- ja ilmastostrategia sekä teknologiakehitys auttavat </w:t>
      </w:r>
      <w:r w:rsidR="42205BEA" w:rsidRPr="00EB4DF3">
        <w:t xml:space="preserve">hallituksen mukaan </w:t>
      </w:r>
      <w:r w:rsidR="58622FDF" w:rsidRPr="00EB4DF3">
        <w:t>synnyttämään investointeja, joilla Suomi voi maksaa päästövelkansa 2030-luvulla.</w:t>
      </w:r>
      <w:r w:rsidR="5CAD44EE" w:rsidRPr="00EB4DF3">
        <w:t xml:space="preserve"> Samaan aikaan hallituskaudella ei tehdä kansallisesti sellaisia päätöksiä, jotka lisäävät maatalouteen kohdistuvia kustannuksia.</w:t>
      </w:r>
    </w:p>
    <w:p w14:paraId="4F765E5C" w14:textId="560A1C3B" w:rsidR="00993BE0" w:rsidRPr="00EA3FF6" w:rsidRDefault="00993BE0" w:rsidP="00EA3FF6">
      <w:pPr>
        <w:pStyle w:val="VNLeip1kappale"/>
      </w:pPr>
      <w:r w:rsidRPr="00EA3FF6">
        <w:t xml:space="preserve">Julkisten varojen käytössä </w:t>
      </w:r>
      <w:r w:rsidR="025F4A1B">
        <w:t xml:space="preserve">hallitusohjelmassa </w:t>
      </w:r>
      <w:r w:rsidRPr="00EA3FF6">
        <w:t>painotetaan kilpailuedun saavuttamista TKI-rahoituksen, sujuvien lupaprosessien ja energiansiirtoinfrastruktuurin avulla. Hallitus</w:t>
      </w:r>
      <w:r>
        <w:t xml:space="preserve"> </w:t>
      </w:r>
      <w:r w:rsidR="5DCE115A">
        <w:t>aikoo</w:t>
      </w:r>
      <w:r w:rsidRPr="00EA3FF6">
        <w:t xml:space="preserve"> panostaa tutkimukseen, kehitykseen ja innovaatioihin, jotka lisäävät energia- ja resurssitehokkuutta sekä vähentävät energian tarvetta.</w:t>
      </w:r>
    </w:p>
    <w:p w14:paraId="01E1CC3C" w14:textId="31148A5B" w:rsidR="00993BE0" w:rsidRPr="00EA3FF6" w:rsidRDefault="78E59909" w:rsidP="00EA3FF6">
      <w:pPr>
        <w:pStyle w:val="VNLeip1kappale"/>
      </w:pPr>
      <w:r>
        <w:t>Hallitusohjelma linjaa</w:t>
      </w:r>
      <w:r w:rsidR="3A8E973A">
        <w:t>,</w:t>
      </w:r>
      <w:r>
        <w:t xml:space="preserve"> ett</w:t>
      </w:r>
      <w:r w:rsidR="100CD409">
        <w:t>ä</w:t>
      </w:r>
      <w:r>
        <w:t xml:space="preserve"> p</w:t>
      </w:r>
      <w:r w:rsidR="00993BE0">
        <w:t>uhdas ja monimuotoinen luonto tulee entistä tärkeämmäksi kilpailue</w:t>
      </w:r>
      <w:r w:rsidR="70054335">
        <w:t>d</w:t>
      </w:r>
      <w:r w:rsidR="00993BE0">
        <w:t xml:space="preserve">uksi ja elämänlaadun lähteeksi Suomessa. </w:t>
      </w:r>
      <w:r w:rsidR="5F383E34">
        <w:t xml:space="preserve">Hallitusohjelmassa todetaan, että </w:t>
      </w:r>
      <w:r w:rsidR="00993BE0">
        <w:t xml:space="preserve">Suomi pysäyttää luonnon monimuotoisuuden häviämisen osana kestävää talouspolitiikkaa. Suomi parantaa </w:t>
      </w:r>
      <w:r w:rsidR="2F3BD068">
        <w:t>hallitusohjelman mukaan</w:t>
      </w:r>
      <w:r w:rsidR="00993BE0">
        <w:t xml:space="preserve"> omavaraisuuttaan ja luonnon tilaa, lisää lisäarvoa ja edistää luonnonvarojen kestävää käyttöä edistämällä kiertotalouden ratkaisuja.</w:t>
      </w:r>
    </w:p>
    <w:p w14:paraId="1367EDE1" w14:textId="2DB0A450" w:rsidR="0075162B" w:rsidRPr="00747D32" w:rsidRDefault="00C53569" w:rsidP="002A75F1">
      <w:pPr>
        <w:pStyle w:val="Otsikko2"/>
        <w:tabs>
          <w:tab w:val="clear" w:pos="360"/>
        </w:tabs>
        <w:ind w:left="576" w:hanging="576"/>
        <w:rPr>
          <w:lang w:val="fi-FI"/>
        </w:rPr>
      </w:pPr>
      <w:bookmarkStart w:id="69" w:name="_Toc634998610"/>
      <w:bookmarkStart w:id="70" w:name="_Toc1779638356"/>
      <w:bookmarkStart w:id="71" w:name="_Toc202260033"/>
      <w:r w:rsidRPr="002A75F1">
        <w:rPr>
          <w:lang w:val="fi-FI"/>
        </w:rPr>
        <w:t xml:space="preserve">3.3 </w:t>
      </w:r>
      <w:r w:rsidR="0075162B" w:rsidRPr="002A75F1">
        <w:rPr>
          <w:lang w:val="fi-FI"/>
        </w:rPr>
        <w:t>Raportointi ja seuranta</w:t>
      </w:r>
      <w:bookmarkEnd w:id="69"/>
      <w:bookmarkEnd w:id="70"/>
      <w:bookmarkEnd w:id="71"/>
    </w:p>
    <w:p w14:paraId="4437C718" w14:textId="75F7FC5E" w:rsidR="00D943FD" w:rsidRPr="000F21F0" w:rsidRDefault="000F21F0" w:rsidP="00D943FD">
      <w:pPr>
        <w:pStyle w:val="VNLeip1kappale"/>
        <w:rPr>
          <w:lang w:eastAsia="en-US"/>
        </w:rPr>
      </w:pPr>
      <w:r w:rsidRPr="18C37C79">
        <w:rPr>
          <w:lang w:eastAsia="en-US"/>
        </w:rPr>
        <w:t xml:space="preserve">Ilmastopolitiikan toimeenpanosta raportoitavan tiedon on tarkoitus palvella sekä velvoitteiden seurantaa että kansallista poliittista päätöksentekoa. Raportoinnin avulla politiikkatoimien riittävyyttä voidaan arvioida suhteessa tavoitteisiin ja tilanteeseen voidaan tarvittaessa puuttua uusien politiikkatoimien ja kansallisten suunnitelmien avulla. </w:t>
      </w:r>
      <w:r w:rsidR="001D1A14" w:rsidDel="369BC0CB">
        <w:rPr>
          <w:rFonts w:eastAsia="Calibri"/>
        </w:rPr>
        <w:t>I</w:t>
      </w:r>
      <w:r w:rsidR="001D1A14">
        <w:rPr>
          <w:rFonts w:eastAsia="Calibri"/>
        </w:rPr>
        <w:t>l</w:t>
      </w:r>
      <w:r w:rsidR="001D1A14" w:rsidRPr="006B657F">
        <w:rPr>
          <w:rFonts w:eastAsia="Calibri"/>
        </w:rPr>
        <w:t>mastolain mukaisesti valtioneuvoston tulee riittävästi seurata ilmastosuunnitelman toteutumista. Jos seurannan perus</w:t>
      </w:r>
      <w:r w:rsidR="001D1A14" w:rsidRPr="006B657F">
        <w:rPr>
          <w:rFonts w:eastAsia="Calibri"/>
        </w:rPr>
        <w:lastRenderedPageBreak/>
        <w:t>teella ilmenee, että toimenpideohjelmassa määritellyt toimet eivät riitä asetettujen tavoitteiden saavuttamiseen, valtioneuvosto päättää tarvittavista lisätoimista.</w:t>
      </w:r>
      <w:r w:rsidR="001D1A14">
        <w:rPr>
          <w:rFonts w:eastAsia="Calibri"/>
        </w:rPr>
        <w:t xml:space="preserve"> </w:t>
      </w:r>
      <w:r w:rsidRPr="18C37C79">
        <w:rPr>
          <w:lang w:eastAsia="en-US"/>
        </w:rPr>
        <w:t xml:space="preserve">Lisäksi jälkikäteisarvioinnit mahdollistavat politiikkatoimien tehokkuuden ja vaikuttavuuden arvioinnin </w:t>
      </w:r>
      <w:r w:rsidRPr="7FC34D61">
        <w:rPr>
          <w:lang w:eastAsia="en-US"/>
        </w:rPr>
        <w:t>tulevaisuuden</w:t>
      </w:r>
      <w:r w:rsidRPr="18C37C79">
        <w:rPr>
          <w:lang w:eastAsia="en-US"/>
        </w:rPr>
        <w:t xml:space="preserve"> resurssien kohdentamista varten. </w:t>
      </w:r>
      <w:r w:rsidR="00AB79AA" w:rsidRPr="668BC20E">
        <w:rPr>
          <w:rFonts w:eastAsia="Calibri"/>
        </w:rPr>
        <w:t>Myös esimerkiksi yksittäisten taloudellisten tukiohjelmien osalta tukiviranomaisen olisi määräajoin arvioitava tuen vaikuttavuutta, tehokkuutta ja toimivuutta. Näin voidaan tarkastella tukiohjelman tarpeellisuutta ja kehittämistarpeita, ja ottaa nämä tiedot osaksi poliittista päätöksentekoa.</w:t>
      </w:r>
    </w:p>
    <w:p w14:paraId="1689728D" w14:textId="00E38DF7" w:rsidR="000F21F0" w:rsidRDefault="000F21F0" w:rsidP="5837620E">
      <w:pPr>
        <w:pStyle w:val="VNLeip1kappale"/>
        <w:rPr>
          <w:lang w:eastAsia="en-US"/>
        </w:rPr>
      </w:pPr>
      <w:r w:rsidRPr="18C37C79">
        <w:rPr>
          <w:lang w:eastAsia="en-US"/>
        </w:rPr>
        <w:t xml:space="preserve">Suomen on YK:n ilmastosopimuksen osapuolena sekä EU:n jäsenmaana raportoitava ilmastomuutoksen hillintään ja sopeutumiseen liittyvistä tiedoista useissa eri raporteissa. Raportoitaviin tietoihin kuuluvat muun muassa kasvihuonekaasupäästöjen ja poistumien määrien vuosittainen kehitys ja arviot tulevasta päästökehityksestä sekä toteutetut ja uudet politiikkatoimet. Keskeisiä raportteja ovat muun muassa vuosittainen EU:lle ja </w:t>
      </w:r>
      <w:proofErr w:type="spellStart"/>
      <w:r w:rsidRPr="18C37C79">
        <w:rPr>
          <w:lang w:eastAsia="en-US"/>
        </w:rPr>
        <w:t>UNFCCC:n</w:t>
      </w:r>
      <w:proofErr w:type="spellEnd"/>
      <w:r w:rsidRPr="18C37C79">
        <w:rPr>
          <w:lang w:eastAsia="en-US"/>
        </w:rPr>
        <w:t xml:space="preserve"> sihteeristölle lähetettävä kasvihuonekaasuinventaario sekä komissiolle toimitettava politiikkatoimia ja niiden toteutumista käsittelevä </w:t>
      </w:r>
      <w:r w:rsidR="02DE5878" w:rsidRPr="4836801C">
        <w:rPr>
          <w:lang w:eastAsia="en-US"/>
        </w:rPr>
        <w:t xml:space="preserve">edistymisraportointi (National Energy and </w:t>
      </w:r>
      <w:proofErr w:type="spellStart"/>
      <w:r w:rsidR="02DE5878" w:rsidRPr="4836801C">
        <w:rPr>
          <w:lang w:eastAsia="en-US"/>
        </w:rPr>
        <w:t>Climate</w:t>
      </w:r>
      <w:proofErr w:type="spellEnd"/>
      <w:r w:rsidR="02DE5878" w:rsidRPr="4836801C">
        <w:rPr>
          <w:lang w:eastAsia="en-US"/>
        </w:rPr>
        <w:t xml:space="preserve"> </w:t>
      </w:r>
      <w:proofErr w:type="spellStart"/>
      <w:r w:rsidR="02DE5878" w:rsidRPr="4836801C">
        <w:rPr>
          <w:lang w:eastAsia="en-US"/>
        </w:rPr>
        <w:t>Progress</w:t>
      </w:r>
      <w:proofErr w:type="spellEnd"/>
      <w:r w:rsidR="02DE5878" w:rsidRPr="4836801C">
        <w:rPr>
          <w:lang w:eastAsia="en-US"/>
        </w:rPr>
        <w:t xml:space="preserve"> Reporting, NECPR)</w:t>
      </w:r>
      <w:r w:rsidR="78FABDA1" w:rsidRPr="4836801C">
        <w:rPr>
          <w:lang w:eastAsia="en-US"/>
        </w:rPr>
        <w:t>.</w:t>
      </w:r>
      <w:r w:rsidR="02DE5878" w:rsidRPr="4836801C">
        <w:rPr>
          <w:lang w:eastAsia="en-US"/>
        </w:rPr>
        <w:t xml:space="preserve"> </w:t>
      </w:r>
      <w:r w:rsidRPr="18C37C79">
        <w:rPr>
          <w:lang w:eastAsia="en-US"/>
        </w:rPr>
        <w:t xml:space="preserve">Näiden lisäksi </w:t>
      </w:r>
      <w:proofErr w:type="spellStart"/>
      <w:r w:rsidRPr="18C37C79">
        <w:rPr>
          <w:lang w:eastAsia="en-US"/>
        </w:rPr>
        <w:t>UNFCCC:n</w:t>
      </w:r>
      <w:proofErr w:type="spellEnd"/>
      <w:r w:rsidRPr="18C37C79">
        <w:rPr>
          <w:lang w:eastAsia="en-US"/>
        </w:rPr>
        <w:t xml:space="preserve"> sihteeristölle toimitetaan ilmastosopimuksen kansallista toimeenpanoa käsittelevä maaraportti (National </w:t>
      </w:r>
      <w:proofErr w:type="spellStart"/>
      <w:r w:rsidRPr="18C37C79">
        <w:rPr>
          <w:lang w:eastAsia="en-US"/>
        </w:rPr>
        <w:t>Communication</w:t>
      </w:r>
      <w:proofErr w:type="spellEnd"/>
      <w:r w:rsidRPr="18C37C79">
        <w:rPr>
          <w:lang w:eastAsia="en-US"/>
        </w:rPr>
        <w:t xml:space="preserve">) ja </w:t>
      </w:r>
      <w:r w:rsidR="11FA0080" w:rsidRPr="4836801C">
        <w:rPr>
          <w:lang w:eastAsia="en-US"/>
        </w:rPr>
        <w:t xml:space="preserve">Pariisin sopimuksen </w:t>
      </w:r>
      <w:r w:rsidRPr="3684E6F8">
        <w:rPr>
          <w:lang w:eastAsia="en-US"/>
        </w:rPr>
        <w:t>tavoitteiden</w:t>
      </w:r>
      <w:r w:rsidRPr="18C37C79">
        <w:rPr>
          <w:lang w:eastAsia="en-US"/>
        </w:rPr>
        <w:t xml:space="preserve"> edistymistä seuraava kaksivuotisraportti (</w:t>
      </w:r>
      <w:proofErr w:type="spellStart"/>
      <w:r w:rsidRPr="18C37C79">
        <w:rPr>
          <w:lang w:eastAsia="en-US"/>
        </w:rPr>
        <w:t>Biennial</w:t>
      </w:r>
      <w:proofErr w:type="spellEnd"/>
      <w:r w:rsidRPr="18C37C79">
        <w:rPr>
          <w:lang w:eastAsia="en-US"/>
        </w:rPr>
        <w:t xml:space="preserve"> </w:t>
      </w:r>
      <w:proofErr w:type="spellStart"/>
      <w:r w:rsidR="2DD952E9" w:rsidRPr="4836801C">
        <w:rPr>
          <w:lang w:eastAsia="en-US"/>
        </w:rPr>
        <w:t>Transparency</w:t>
      </w:r>
      <w:proofErr w:type="spellEnd"/>
      <w:r w:rsidR="2DD952E9" w:rsidRPr="4836801C">
        <w:rPr>
          <w:lang w:eastAsia="en-US"/>
        </w:rPr>
        <w:t xml:space="preserve"> </w:t>
      </w:r>
      <w:r w:rsidRPr="18C37C79">
        <w:rPr>
          <w:lang w:eastAsia="en-US"/>
        </w:rPr>
        <w:t>Report).</w:t>
      </w:r>
      <w:r w:rsidR="00497725">
        <w:rPr>
          <w:lang w:eastAsia="en-US"/>
        </w:rPr>
        <w:t xml:space="preserve"> </w:t>
      </w:r>
      <w:r w:rsidRPr="30125593">
        <w:rPr>
          <w:lang w:eastAsia="en-US"/>
        </w:rPr>
        <w:t>EU:n kasvihuonekaasupäästöjen seuranta perustu</w:t>
      </w:r>
      <w:r w:rsidR="00497725">
        <w:rPr>
          <w:lang w:eastAsia="en-US"/>
        </w:rPr>
        <w:t>u</w:t>
      </w:r>
      <w:r w:rsidRPr="30125593">
        <w:rPr>
          <w:lang w:eastAsia="en-US"/>
        </w:rPr>
        <w:t xml:space="preserve"> EU:n hallintomalliasetukse</w:t>
      </w:r>
      <w:r w:rsidR="00690C47">
        <w:rPr>
          <w:lang w:eastAsia="en-US"/>
        </w:rPr>
        <w:t>e</w:t>
      </w:r>
      <w:r w:rsidRPr="30125593">
        <w:rPr>
          <w:lang w:eastAsia="en-US"/>
        </w:rPr>
        <w:t xml:space="preserve">n (2018/1999). </w:t>
      </w:r>
    </w:p>
    <w:p w14:paraId="3167BCC6" w14:textId="7B0644B5" w:rsidR="000F21F0" w:rsidRDefault="000F21F0" w:rsidP="00D943FD">
      <w:pPr>
        <w:pStyle w:val="VNLeip1kappale"/>
        <w:rPr>
          <w:lang w:eastAsia="en-US"/>
        </w:rPr>
      </w:pPr>
      <w:r w:rsidRPr="18C37C79">
        <w:rPr>
          <w:lang w:eastAsia="en-US"/>
        </w:rPr>
        <w:t>Kansallisella tasolla päästöjen ja ilmastotoimien seuranta perustuu ilmastolain mukaiseen vuosittain laadittavaan ilmastovuosikertomukseen</w:t>
      </w:r>
      <w:r w:rsidR="006A7469">
        <w:rPr>
          <w:lang w:eastAsia="en-US"/>
        </w:rPr>
        <w:t xml:space="preserve">, jossa raportoidaan eduskunnalle </w:t>
      </w:r>
      <w:r w:rsidR="00E6277D" w:rsidRPr="00443345">
        <w:rPr>
          <w:rFonts w:eastAsia="Calibri"/>
        </w:rPr>
        <w:t>päästö</w:t>
      </w:r>
      <w:r w:rsidR="00E6277D">
        <w:rPr>
          <w:rFonts w:eastAsia="Calibri"/>
        </w:rPr>
        <w:t>-</w:t>
      </w:r>
      <w:r w:rsidR="00E6277D" w:rsidRPr="00443345">
        <w:rPr>
          <w:rFonts w:eastAsia="Calibri"/>
        </w:rPr>
        <w:t xml:space="preserve"> </w:t>
      </w:r>
      <w:r w:rsidR="00E6277D">
        <w:rPr>
          <w:rFonts w:eastAsia="Calibri"/>
        </w:rPr>
        <w:t>ja nielukehityksestä, toimien riittävyydestä päästövähennystavoitteiden saavuttamiseksi, mahdollisesta lisätoimien tarpeesta</w:t>
      </w:r>
      <w:r>
        <w:rPr>
          <w:rFonts w:eastAsia="Calibri"/>
        </w:rPr>
        <w:t xml:space="preserve"> sekä keskipitkän aikavälin </w:t>
      </w:r>
      <w:r w:rsidR="00E6277D">
        <w:rPr>
          <w:rFonts w:eastAsia="Calibri"/>
        </w:rPr>
        <w:t>ja</w:t>
      </w:r>
      <w:r w:rsidR="35929575">
        <w:rPr>
          <w:rFonts w:eastAsia="Calibri"/>
        </w:rPr>
        <w:t xml:space="preserve"> maankäyttösektorin </w:t>
      </w:r>
      <w:r w:rsidR="00E6277D">
        <w:rPr>
          <w:rFonts w:eastAsia="Calibri"/>
        </w:rPr>
        <w:t xml:space="preserve">ilmastosuunnitelmien tavoitteiden ja toimien toteutumista. </w:t>
      </w:r>
      <w:r w:rsidR="00E6277D" w:rsidRPr="00237E4A">
        <w:rPr>
          <w:rFonts w:eastAsia="Calibri"/>
        </w:rPr>
        <w:t xml:space="preserve">Osana seurantaa tarkastellaan myös hiilineutraaliuden sekä muiden tavoitteiden saavuttamiseen liittyviä tekijöitä. Ilmastolain mukaan kertomukseen tulee sisällyttää tiedot politiikkatoimien toteutumisen seurannasta kahden vuoden välein. </w:t>
      </w:r>
      <w:r w:rsidR="00E6277D" w:rsidRPr="668BC20E">
        <w:rPr>
          <w:rFonts w:eastAsia="Calibri"/>
        </w:rPr>
        <w:t>Ilmastovuosikertomuksen sisältöä on kehitetty vuosien varrella eduskuntakäsittelyissä esitettyjen toivomusten perusteella. Ilmastoasioita on alettu raportoimaan kokonaisvaltaisemmin sisällyttämällä ilmastovuosikertomukseen taakanjakosektorin lisäksi myös päästökauppa- ja maankäyttösektorin päästökehityksen.</w:t>
      </w:r>
    </w:p>
    <w:p w14:paraId="5399923D" w14:textId="27D4D76A" w:rsidR="00C03FE9" w:rsidRPr="005047B8" w:rsidRDefault="76542CE8" w:rsidP="002A75F1">
      <w:pPr>
        <w:pStyle w:val="Otsikko2"/>
        <w:tabs>
          <w:tab w:val="clear" w:pos="360"/>
        </w:tabs>
        <w:ind w:left="576" w:hanging="576"/>
        <w:rPr>
          <w:lang w:val="fi-FI"/>
        </w:rPr>
      </w:pPr>
      <w:bookmarkStart w:id="72" w:name="_Toc1231430607"/>
      <w:bookmarkStart w:id="73" w:name="_Toc1543459835"/>
      <w:bookmarkStart w:id="74" w:name="_Toc202260034"/>
      <w:r w:rsidRPr="002A75F1">
        <w:rPr>
          <w:lang w:val="fi-FI"/>
        </w:rPr>
        <w:lastRenderedPageBreak/>
        <w:t xml:space="preserve">3.4 </w:t>
      </w:r>
      <w:r w:rsidR="00C03FE9" w:rsidRPr="1A881142">
        <w:rPr>
          <w:lang w:val="fi-FI"/>
        </w:rPr>
        <w:t>Ilmastopolitiikan suunnittelujärjestelmä</w:t>
      </w:r>
      <w:bookmarkEnd w:id="72"/>
      <w:bookmarkEnd w:id="73"/>
      <w:bookmarkEnd w:id="74"/>
    </w:p>
    <w:p w14:paraId="5A358D7B" w14:textId="7C1E632F" w:rsidR="00575E47" w:rsidRDefault="00B23351" w:rsidP="00C03FE9">
      <w:pPr>
        <w:pStyle w:val="VNLeip1kappale"/>
        <w:rPr>
          <w:lang w:eastAsia="en-US"/>
        </w:rPr>
      </w:pPr>
      <w:r w:rsidRPr="36891BA6">
        <w:rPr>
          <w:lang w:eastAsia="en-US"/>
        </w:rPr>
        <w:t xml:space="preserve">Ilmastolain mukaiseen suunnittelujärjestelmään kuuluu neljä ilmastopolitiikan suunnitelmaa: keskipitkän aikavälin </w:t>
      </w:r>
      <w:r w:rsidR="38492471" w:rsidRPr="38E66213">
        <w:rPr>
          <w:lang w:eastAsia="en-US"/>
        </w:rPr>
        <w:t xml:space="preserve">ilmastosuunnitelma, </w:t>
      </w:r>
      <w:r w:rsidRPr="36891BA6">
        <w:rPr>
          <w:lang w:eastAsia="en-US"/>
        </w:rPr>
        <w:t xml:space="preserve">maankäyttösektorin ilmastosuunnitelma, ilmastonmuutoksen kansallinen sopeutumissuunnitelma sekä pitkän aikavälin </w:t>
      </w:r>
      <w:r w:rsidR="38492471" w:rsidRPr="38E66213">
        <w:rPr>
          <w:lang w:eastAsia="en-US"/>
        </w:rPr>
        <w:t>ilmastosuunnitelma.</w:t>
      </w:r>
      <w:r w:rsidR="00480FA1">
        <w:rPr>
          <w:lang w:eastAsia="en-US"/>
        </w:rPr>
        <w:t xml:space="preserve"> </w:t>
      </w:r>
      <w:r w:rsidR="00480FA1" w:rsidRPr="00EC5346">
        <w:rPr>
          <w:lang w:eastAsia="en-US"/>
        </w:rPr>
        <w:t>Suunnitelmat antavat pohjan ja suunnan ilmastopolitiikan yksityiskohtaiselle valmistelulle eri hallinnonaloilla. Suunnitelmia tarkistetaan laissa määritellyin väliajoin</w:t>
      </w:r>
      <w:r w:rsidR="00480FA1">
        <w:rPr>
          <w:lang w:eastAsia="en-US"/>
        </w:rPr>
        <w:t>,</w:t>
      </w:r>
      <w:r w:rsidR="00480FA1">
        <w:t xml:space="preserve"> </w:t>
      </w:r>
      <w:r w:rsidR="00480FA1" w:rsidRPr="00EC5346">
        <w:t>minkä ansiosta suunnitelmissa voidaan joustavasti ottaa huomioon uusia esiin nousevia tarpeita ja uutta tietoa ilmastonmuutoksesta</w:t>
      </w:r>
      <w:r w:rsidR="00480FA1">
        <w:rPr>
          <w:lang w:eastAsia="en-US"/>
        </w:rPr>
        <w:t>.</w:t>
      </w:r>
    </w:p>
    <w:p w14:paraId="2FE0FFFA" w14:textId="675D2FAC" w:rsidR="00EC5346" w:rsidRDefault="00B737FA" w:rsidP="00C03FE9">
      <w:pPr>
        <w:pStyle w:val="VNLeip1kappale"/>
        <w:rPr>
          <w:lang w:eastAsia="en-US"/>
        </w:rPr>
      </w:pPr>
      <w:r w:rsidRPr="6B01E0CB">
        <w:rPr>
          <w:lang w:eastAsia="en-US"/>
        </w:rPr>
        <w:t>Ilmastopolitiikan suunnitelmat tulee lain mukaan valmistella avoimesti eri osapuolia kuullen. Ilmastopolitiikan suunnitelmat valmistellaan yhteistyössä asianomaisten ministeriöiden kesken, ja valtioneuvosto hyväksyy ne. Jokaisen suunnitelman kohdalla yksi ministeriö toimii kokoavana tahona, joka koordinoi muiden työtä. Suunnittelujärjestelmän mukaiset suunnitelmat tulee tarvittavilta osin sovittaa yhteen keskenään. Lisäksi suunnitelmien laadinta tulee sovittaa tarvittavilta osin yhteen muiden ilmasto- ja energiapoliittisten suunnitelmien kuten ilmasto- ja energiastrategian kanssa.</w:t>
      </w:r>
    </w:p>
    <w:p w14:paraId="70FAF785" w14:textId="57C522EB" w:rsidR="00FD2D9D" w:rsidRDefault="00FD2D9D" w:rsidP="00C03FE9">
      <w:pPr>
        <w:pStyle w:val="VNLeip1kappale"/>
        <w:rPr>
          <w:lang w:eastAsia="en-US"/>
        </w:rPr>
      </w:pPr>
      <w:r w:rsidRPr="7DDADD02">
        <w:rPr>
          <w:lang w:eastAsia="en-US"/>
        </w:rPr>
        <w:t xml:space="preserve">Ilmastolain mukaisesti keskipitkän aikavälin </w:t>
      </w:r>
      <w:r w:rsidR="61B072DE" w:rsidRPr="38E66213">
        <w:rPr>
          <w:lang w:eastAsia="en-US"/>
        </w:rPr>
        <w:t>ilmastosuunnitelma</w:t>
      </w:r>
      <w:r w:rsidRPr="7DDADD02">
        <w:rPr>
          <w:lang w:eastAsia="en-US"/>
        </w:rPr>
        <w:t xml:space="preserve"> laaditaan kerran </w:t>
      </w:r>
      <w:proofErr w:type="spellStart"/>
      <w:proofErr w:type="gramStart"/>
      <w:r w:rsidRPr="7DDADD02">
        <w:rPr>
          <w:lang w:eastAsia="en-US"/>
        </w:rPr>
        <w:t>vaalikaudessa</w:t>
      </w:r>
      <w:r w:rsidR="00C418DC">
        <w:rPr>
          <w:lang w:eastAsia="en-US"/>
        </w:rPr>
        <w:t>,ja</w:t>
      </w:r>
      <w:proofErr w:type="spellEnd"/>
      <w:proofErr w:type="gramEnd"/>
      <w:r w:rsidR="00C418DC">
        <w:rPr>
          <w:lang w:eastAsia="en-US"/>
        </w:rPr>
        <w:t xml:space="preserve"> sen valmistelun </w:t>
      </w:r>
      <w:r w:rsidRPr="7DDADD02">
        <w:rPr>
          <w:lang w:eastAsia="en-US"/>
        </w:rPr>
        <w:t>koordinoinnista vastaa ympäristöministeriö.</w:t>
      </w:r>
      <w:r w:rsidRPr="7DDADD02">
        <w:rPr>
          <w:i/>
          <w:iCs/>
          <w:lang w:eastAsia="en-US"/>
        </w:rPr>
        <w:t xml:space="preserve"> </w:t>
      </w:r>
      <w:r w:rsidRPr="7DDADD02">
        <w:rPr>
          <w:lang w:eastAsia="en-US"/>
        </w:rPr>
        <w:t>Suunnitelma sisältää toimenpideohjelman päästökaupan ulkopuolisten sektoreiden eli niin sanotun taakanjakosektorin päästöjen vähentämiseksi.</w:t>
      </w:r>
      <w:r w:rsidRPr="7DDADD02">
        <w:rPr>
          <w:i/>
          <w:iCs/>
          <w:lang w:eastAsia="en-US"/>
        </w:rPr>
        <w:t xml:space="preserve"> </w:t>
      </w:r>
      <w:r w:rsidRPr="7DDADD02">
        <w:rPr>
          <w:lang w:eastAsia="en-US"/>
        </w:rPr>
        <w:t>Tähän kuuluvat liikenteen, maatalouden, rakennusten erillislämmityksen, työkoneiden, jätehuollon ja F-kaasujen päästöt. Lisäksi taakanjakosektorille lasketaan päästökaupan ulkopuolisen kaukolämmön tuotannon ja pienteollisuuden päästöt sekä pieni joukko muita päästölähteitä. Edellinen keskipitkän aikavälin suunnitelma valmistui vuonna 2022</w:t>
      </w:r>
      <w:r w:rsidRPr="5BA1D447">
        <w:rPr>
          <w:lang w:eastAsia="en-US"/>
        </w:rPr>
        <w:t>.</w:t>
      </w:r>
    </w:p>
    <w:p w14:paraId="4F212C44" w14:textId="3457DF74" w:rsidR="00276D39" w:rsidRPr="001B07A0" w:rsidRDefault="00276D39" w:rsidP="00276D39">
      <w:pPr>
        <w:pStyle w:val="VNLeip1kappale"/>
        <w:rPr>
          <w:lang w:eastAsia="en-US"/>
        </w:rPr>
      </w:pPr>
      <w:r w:rsidRPr="30125593">
        <w:rPr>
          <w:lang w:eastAsia="en-US"/>
        </w:rPr>
        <w:t xml:space="preserve">Pitkän aikavälin </w:t>
      </w:r>
      <w:r w:rsidR="67557022" w:rsidRPr="38E66213">
        <w:rPr>
          <w:lang w:eastAsia="en-US"/>
        </w:rPr>
        <w:t>ilmastosuunnitelma</w:t>
      </w:r>
      <w:r w:rsidRPr="30125593">
        <w:rPr>
          <w:lang w:eastAsia="en-US"/>
        </w:rPr>
        <w:t xml:space="preserve"> ulottuu vuodelle 2050 ja pitää sisällään keskeiset pitkän tähtäimen toimet taakanjakosektori</w:t>
      </w:r>
      <w:r w:rsidR="00CF6C80">
        <w:rPr>
          <w:lang w:eastAsia="en-US"/>
        </w:rPr>
        <w:t xml:space="preserve">n lisäksi </w:t>
      </w:r>
      <w:r w:rsidR="00CF6C80" w:rsidRPr="30125593">
        <w:rPr>
          <w:lang w:eastAsia="en-US"/>
        </w:rPr>
        <w:t>päästökauppasektorilla</w:t>
      </w:r>
      <w:r w:rsidR="70A278C0" w:rsidRPr="6825D228">
        <w:rPr>
          <w:lang w:eastAsia="en-US"/>
        </w:rPr>
        <w:t xml:space="preserve"> ja </w:t>
      </w:r>
      <w:r w:rsidR="70A278C0" w:rsidRPr="74F7226B">
        <w:rPr>
          <w:lang w:eastAsia="en-US"/>
        </w:rPr>
        <w:t>maankäyttösektorilla</w:t>
      </w:r>
      <w:r w:rsidR="00CF6C80" w:rsidRPr="74F7226B">
        <w:rPr>
          <w:lang w:eastAsia="en-US"/>
        </w:rPr>
        <w:t>.</w:t>
      </w:r>
      <w:r w:rsidRPr="30125593">
        <w:rPr>
          <w:lang w:eastAsia="en-US"/>
        </w:rPr>
        <w:t xml:space="preserve"> Suunnitelma valmistellaan vähintään kerran kymmenessä vuodessa, ja sen valmistelun koordinoinnista vastaa työ- ja elinkeinoministeriö. Ensimmäis</w:t>
      </w:r>
      <w:r w:rsidR="00290AEB" w:rsidRPr="30125593">
        <w:rPr>
          <w:lang w:eastAsia="en-US"/>
        </w:rPr>
        <w:t>en</w:t>
      </w:r>
      <w:r w:rsidRPr="30125593">
        <w:rPr>
          <w:lang w:eastAsia="en-US"/>
        </w:rPr>
        <w:t xml:space="preserve"> ilmastolain mukais</w:t>
      </w:r>
      <w:r w:rsidR="00290AEB" w:rsidRPr="30125593">
        <w:rPr>
          <w:lang w:eastAsia="en-US"/>
        </w:rPr>
        <w:t>en</w:t>
      </w:r>
      <w:r w:rsidRPr="30125593">
        <w:rPr>
          <w:lang w:eastAsia="en-US"/>
        </w:rPr>
        <w:t xml:space="preserve"> pitkän aikavälin ilmastopolitiikan suunnitelma</w:t>
      </w:r>
      <w:r w:rsidR="00290AEB" w:rsidRPr="30125593">
        <w:rPr>
          <w:lang w:eastAsia="en-US"/>
        </w:rPr>
        <w:t>n on määrä valmistua vu</w:t>
      </w:r>
      <w:r w:rsidR="735B5EAE" w:rsidRPr="30125593">
        <w:rPr>
          <w:lang w:eastAsia="en-US"/>
        </w:rPr>
        <w:t>oden</w:t>
      </w:r>
      <w:r w:rsidR="00290AEB" w:rsidRPr="30125593">
        <w:rPr>
          <w:lang w:eastAsia="en-US"/>
        </w:rPr>
        <w:t xml:space="preserve"> 2025</w:t>
      </w:r>
      <w:r w:rsidR="34B560DA" w:rsidRPr="30125593">
        <w:rPr>
          <w:lang w:eastAsia="en-US"/>
        </w:rPr>
        <w:t xml:space="preserve"> loppuun mennessä</w:t>
      </w:r>
      <w:r w:rsidRPr="30125593">
        <w:rPr>
          <w:lang w:eastAsia="en-US"/>
        </w:rPr>
        <w:t>.</w:t>
      </w:r>
    </w:p>
    <w:p w14:paraId="4D148EFE" w14:textId="7BB846CF" w:rsidR="001018F1" w:rsidRPr="00977FF8" w:rsidRDefault="00276D39" w:rsidP="00276D39">
      <w:pPr>
        <w:pStyle w:val="VNLeip1kappale"/>
        <w:rPr>
          <w:lang w:eastAsia="en-US"/>
        </w:rPr>
      </w:pPr>
      <w:r w:rsidRPr="00977FF8">
        <w:rPr>
          <w:lang w:eastAsia="en-US"/>
        </w:rPr>
        <w:lastRenderedPageBreak/>
        <w:t>Sopeutumissuunnitelma laaditaan vähintään kerran kymmenessä vuodessa. Sen valmistelusta vastaa maa- ja metsätalousministeriö. Sopeutumissuunnitelman tarkoituksena on käsitellä ilmastonmuutoksen aiheuttamia riskejä ja suunnitella sopeutumiseen tarvittavia toimia</w:t>
      </w:r>
      <w:r w:rsidR="00977FF8" w:rsidRPr="00977FF8">
        <w:rPr>
          <w:lang w:eastAsia="en-US"/>
        </w:rPr>
        <w:t xml:space="preserve"> ja siihen </w:t>
      </w:r>
      <w:r w:rsidRPr="00977FF8">
        <w:rPr>
          <w:lang w:eastAsia="en-US"/>
        </w:rPr>
        <w:t>sisällytetään riski- ja haavoittuvuustarkastelu sekä tarpeen mukaan hallinnonaloittaisia, sopeutumista koskevia toimintaohjelmia.</w:t>
      </w:r>
      <w:r w:rsidR="00977FF8" w:rsidRPr="00977FF8">
        <w:rPr>
          <w:lang w:eastAsia="en-US"/>
        </w:rPr>
        <w:t xml:space="preserve"> </w:t>
      </w:r>
      <w:r w:rsidR="00977FF8" w:rsidRPr="3786CE67">
        <w:rPr>
          <w:lang w:eastAsia="en-US"/>
        </w:rPr>
        <w:t>Viimeisin kansallinen ilmastonmuutoksen sopeutumissuunnitelma on laadittu vuonna 2022</w:t>
      </w:r>
      <w:r w:rsidR="00977FF8">
        <w:t>.</w:t>
      </w:r>
    </w:p>
    <w:p w14:paraId="129AF468" w14:textId="13D30FC3" w:rsidR="00F45156" w:rsidRPr="006A5084" w:rsidRDefault="79752186" w:rsidP="00F45156">
      <w:pPr>
        <w:pStyle w:val="VNLeip1kappale"/>
        <w:rPr>
          <w:lang w:eastAsia="en-US"/>
        </w:rPr>
      </w:pPr>
      <w:r w:rsidRPr="006C5409">
        <w:rPr>
          <w:rFonts w:eastAsia="Arial"/>
          <w:lang w:eastAsia="en-US"/>
        </w:rPr>
        <w:t>Maankäyttösektorin ilmastosuunnitelma laaditaan joka toinen vaalikausi. Valmistelusta vastaa maa- ja metsätalousministeriö. Suunnitelma kattaa maankäytön muutoksiin, maatalousmaiden hiilidioksidipäästöihin, metsiin ja pitkäikäisiin puutuotteisiin kohdentuvat toimenpiteet sekä erilaisia poikkileikkaavia toimenpiteitä. Ensimmäinen maankäyttösektorin ilmastosuunnitelma valmistui vuonna 2022</w:t>
      </w:r>
      <w:r w:rsidR="75A486CC" w:rsidRPr="573821C8">
        <w:rPr>
          <w:rFonts w:eastAsia="Arial"/>
          <w:lang w:eastAsia="en-US"/>
        </w:rPr>
        <w:t>.</w:t>
      </w:r>
    </w:p>
    <w:p w14:paraId="120A57E2" w14:textId="28875EEE" w:rsidR="00F45156" w:rsidRDefault="001F6DFD" w:rsidP="006C5409">
      <w:pPr>
        <w:pStyle w:val="VNLeip1kappale"/>
        <w:rPr>
          <w:rStyle w:val="Hyperlinkki"/>
          <w:rFonts w:eastAsia="Arial" w:cs="Arial"/>
          <w:color w:val="365ABD" w:themeColor="accent3"/>
        </w:rPr>
      </w:pPr>
      <w:r w:rsidRPr="4BF55D78">
        <w:rPr>
          <w:lang w:eastAsia="en-US"/>
        </w:rPr>
        <w:t>K</w:t>
      </w:r>
      <w:r w:rsidR="00F45156" w:rsidRPr="4BF55D78">
        <w:rPr>
          <w:lang w:eastAsia="en-US"/>
        </w:rPr>
        <w:t>eskipitkän</w:t>
      </w:r>
      <w:r w:rsidR="00F45156" w:rsidRPr="5CCC585D">
        <w:rPr>
          <w:lang w:eastAsia="en-US"/>
        </w:rPr>
        <w:t xml:space="preserve"> aikavälin suunnitelma sekä energia- ja ilmastostrategia on ilmastolain voimaantulon jälkeen valmisteltu rinnakkain. Strategia ja keskipitkän aikavälin ilmastosuunnitelma ovat perustuneet yhteiseen tietopohjaan</w:t>
      </w:r>
      <w:r w:rsidR="00A13378">
        <w:rPr>
          <w:lang w:eastAsia="en-US"/>
        </w:rPr>
        <w:t xml:space="preserve">. </w:t>
      </w:r>
      <w:r w:rsidR="00A13378" w:rsidRPr="7DDADD02">
        <w:rPr>
          <w:lang w:eastAsia="en-US"/>
        </w:rPr>
        <w:t xml:space="preserve">Keskipitkän aikavälin </w:t>
      </w:r>
      <w:r w:rsidR="7806F196" w:rsidRPr="38E66213">
        <w:rPr>
          <w:lang w:eastAsia="en-US"/>
        </w:rPr>
        <w:t>ilmastosuunnitelman</w:t>
      </w:r>
      <w:r w:rsidR="00A13378" w:rsidRPr="7DDADD02">
        <w:rPr>
          <w:lang w:eastAsia="en-US"/>
        </w:rPr>
        <w:t xml:space="preserve"> </w:t>
      </w:r>
      <w:r w:rsidR="00A13378">
        <w:rPr>
          <w:lang w:eastAsia="en-US"/>
        </w:rPr>
        <w:t xml:space="preserve">ja ilmasto- ja energiastrategian </w:t>
      </w:r>
      <w:r w:rsidR="00A13378" w:rsidRPr="7DDADD02">
        <w:rPr>
          <w:lang w:eastAsia="en-US"/>
        </w:rPr>
        <w:t>toimenpiteillä toimeenpannaan hallitusohjelman ilmasto- ja energiapolitiikan tavoitteet</w:t>
      </w:r>
      <w:r w:rsidR="00A13378">
        <w:rPr>
          <w:lang w:eastAsia="en-US"/>
        </w:rPr>
        <w:t>.</w:t>
      </w:r>
    </w:p>
    <w:p w14:paraId="23AEF930" w14:textId="578C634D" w:rsidR="00C03FE9" w:rsidRPr="005047B8" w:rsidRDefault="2E9EE939" w:rsidP="570C63F0">
      <w:pPr>
        <w:pStyle w:val="Otsikko2"/>
        <w:tabs>
          <w:tab w:val="clear" w:pos="360"/>
        </w:tabs>
        <w:ind w:left="576"/>
        <w:rPr>
          <w:lang w:val="fi-FI"/>
        </w:rPr>
      </w:pPr>
      <w:bookmarkStart w:id="75" w:name="_Toc896133187"/>
      <w:bookmarkStart w:id="76" w:name="_Toc520718127"/>
      <w:bookmarkStart w:id="77" w:name="_Toc202260035"/>
      <w:r w:rsidRPr="002A75F1">
        <w:rPr>
          <w:lang w:val="fi-FI"/>
        </w:rPr>
        <w:t xml:space="preserve">3.5 </w:t>
      </w:r>
      <w:r w:rsidR="00C03FE9" w:rsidRPr="1A881142">
        <w:rPr>
          <w:lang w:val="fi-FI"/>
        </w:rPr>
        <w:t>Muu sektorilainsäädäntö</w:t>
      </w:r>
      <w:bookmarkEnd w:id="75"/>
      <w:bookmarkEnd w:id="76"/>
      <w:bookmarkEnd w:id="77"/>
    </w:p>
    <w:p w14:paraId="7E901419" w14:textId="0628D169" w:rsidR="00C03FE9" w:rsidRPr="008566F8" w:rsidRDefault="008566F8" w:rsidP="008566F8">
      <w:pPr>
        <w:pStyle w:val="VNLeip1kappale"/>
        <w:rPr>
          <w:lang w:eastAsia="en-US"/>
        </w:rPr>
      </w:pPr>
      <w:r w:rsidRPr="30125593">
        <w:rPr>
          <w:lang w:eastAsia="en-US"/>
        </w:rPr>
        <w:t xml:space="preserve">Päästökauppasektorin ulkopuolista toimintaa, eli niin kutsuttua taakanjakosektoria, säännellään usealla kansallisella lailla, joilla on vaikutuksia toiminnasta aiheutuviin kasvihuonekaasupäästöihin. Liikennettä, maankäyttöä ja rakentamista, maa- ja metsätaloutta, jätealaa sekä ympäristönsuojelua koskevalla sääntelyllä voidaan vaikuttaa ilmastonmuutoksen hillintään ja siihen sopeutumiseen. Esimerkiksi </w:t>
      </w:r>
      <w:r w:rsidR="4FD86183" w:rsidRPr="30125593">
        <w:rPr>
          <w:lang w:eastAsia="en-US"/>
        </w:rPr>
        <w:t xml:space="preserve">rakentamislaki </w:t>
      </w:r>
      <w:r w:rsidRPr="30125593">
        <w:rPr>
          <w:lang w:eastAsia="en-US"/>
        </w:rPr>
        <w:t>(</w:t>
      </w:r>
      <w:r w:rsidR="0C0A53B5" w:rsidRPr="30125593">
        <w:rPr>
          <w:lang w:eastAsia="en-US"/>
        </w:rPr>
        <w:t>751</w:t>
      </w:r>
      <w:r w:rsidRPr="30125593">
        <w:rPr>
          <w:lang w:eastAsia="en-US"/>
        </w:rPr>
        <w:t>/</w:t>
      </w:r>
      <w:r w:rsidR="585181C0" w:rsidRPr="30125593">
        <w:rPr>
          <w:lang w:eastAsia="en-US"/>
        </w:rPr>
        <w:t>2023</w:t>
      </w:r>
      <w:r w:rsidRPr="30125593">
        <w:rPr>
          <w:lang w:eastAsia="en-US"/>
        </w:rPr>
        <w:t>) ja sen nojalla annetut asetukset ovat keskeisiä säädöksiä, joilla säädellään rakentamista.</w:t>
      </w:r>
      <w:r w:rsidR="3E09D340" w:rsidRPr="30125593">
        <w:rPr>
          <w:lang w:eastAsia="en-US"/>
        </w:rPr>
        <w:t xml:space="preserve"> Lain mukaan rakentamisen ilmastovaikutukset otetaan entistä paremmin huomioon lain soveltamisessa.</w:t>
      </w:r>
      <w:r w:rsidRPr="30125593">
        <w:rPr>
          <w:lang w:eastAsia="en-US"/>
        </w:rPr>
        <w:t xml:space="preserve"> </w:t>
      </w:r>
      <w:r w:rsidR="1B6304FD" w:rsidRPr="30125593">
        <w:rPr>
          <w:lang w:eastAsia="en-US"/>
        </w:rPr>
        <w:t>Alueidenkäytöstä ja kaavoituksesta on valmisteilla alueidenkäyttölaki</w:t>
      </w:r>
      <w:r w:rsidR="4569EB3E" w:rsidRPr="30125593">
        <w:rPr>
          <w:lang w:eastAsia="en-US"/>
        </w:rPr>
        <w:t>,</w:t>
      </w:r>
      <w:r w:rsidR="1B6304FD" w:rsidRPr="30125593">
        <w:rPr>
          <w:lang w:eastAsia="en-US"/>
        </w:rPr>
        <w:t xml:space="preserve"> josta on tarkoitus antaa hallituksen esitys eduskunnalle vuoden 2025 aikana. </w:t>
      </w:r>
      <w:r w:rsidRPr="30125593">
        <w:rPr>
          <w:lang w:eastAsia="en-US"/>
        </w:rPr>
        <w:t xml:space="preserve">Myös energiatehokkuuslailla (1429/2014) säädetään energiatehokkuuteen liittyvistä asioista. Liikennesektorilla keskeisiä säädöksiä ovat esimerkiksi laki uusiutuvien polttoaineiden käytön edistämisestä liikenteessä (419/2019; 1279/2023) ja laki nestemäisten polttoaineiden valmisteverosta (1472/1994). </w:t>
      </w:r>
      <w:r w:rsidRPr="30125593">
        <w:rPr>
          <w:lang w:eastAsia="en-US"/>
        </w:rPr>
        <w:lastRenderedPageBreak/>
        <w:t>Jätelaissa (646/2011) säädetään muun muassa jätteiden kierrätyksestä, ja laissa biopolttoöljyn käytön edistämisestä (418/2019) biopolttoöljyn jakeluvelvoitteesta.</w:t>
      </w:r>
    </w:p>
    <w:p w14:paraId="413F6292" w14:textId="5BEB0C9D" w:rsidR="0075162B" w:rsidRPr="00673AC1" w:rsidRDefault="00673AC1" w:rsidP="003A281A">
      <w:pPr>
        <w:pStyle w:val="Otsikko1"/>
        <w:ind w:left="0" w:firstLine="0"/>
        <w:rPr>
          <w:lang w:eastAsia="en-US"/>
        </w:rPr>
      </w:pPr>
      <w:bookmarkStart w:id="78" w:name="_Toc818413596"/>
      <w:bookmarkStart w:id="79" w:name="_Toc309327284"/>
      <w:bookmarkStart w:id="80" w:name="_Toc202260036"/>
      <w:r w:rsidRPr="00673AC1">
        <w:rPr>
          <w:lang w:eastAsia="en-US"/>
        </w:rPr>
        <w:lastRenderedPageBreak/>
        <w:t>Päästökehitys ja nykytoimien riittä</w:t>
      </w:r>
      <w:r>
        <w:rPr>
          <w:lang w:eastAsia="en-US"/>
        </w:rPr>
        <w:t>vyys</w:t>
      </w:r>
      <w:bookmarkEnd w:id="78"/>
      <w:bookmarkEnd w:id="79"/>
      <w:bookmarkEnd w:id="80"/>
    </w:p>
    <w:p w14:paraId="3D55F65C" w14:textId="2B0312E6" w:rsidR="00926EAC" w:rsidRDefault="00926EAC" w:rsidP="002A75F1">
      <w:pPr>
        <w:pStyle w:val="Otsikko2"/>
      </w:pPr>
      <w:r w:rsidRPr="00673AC1">
        <w:rPr>
          <w:lang w:val="fi-FI"/>
        </w:rPr>
        <w:t xml:space="preserve"> </w:t>
      </w:r>
      <w:bookmarkStart w:id="81" w:name="_Toc202260037"/>
      <w:r w:rsidR="00873E36">
        <w:rPr>
          <w:lang w:val="fi-FI"/>
        </w:rPr>
        <w:t>4.1</w:t>
      </w:r>
      <w:r w:rsidRPr="00673AC1">
        <w:rPr>
          <w:lang w:val="fi-FI"/>
        </w:rPr>
        <w:t xml:space="preserve"> </w:t>
      </w:r>
      <w:proofErr w:type="spellStart"/>
      <w:r w:rsidR="009B7269">
        <w:t>Kokonaispäästöjen</w:t>
      </w:r>
      <w:proofErr w:type="spellEnd"/>
      <w:r w:rsidR="009B7269">
        <w:t xml:space="preserve"> ja </w:t>
      </w:r>
      <w:proofErr w:type="spellStart"/>
      <w:r w:rsidR="009B7269">
        <w:t>nielujen</w:t>
      </w:r>
      <w:proofErr w:type="spellEnd"/>
      <w:r w:rsidR="009B7269">
        <w:t xml:space="preserve"> </w:t>
      </w:r>
      <w:proofErr w:type="spellStart"/>
      <w:r w:rsidR="009B7269">
        <w:t>kehitys</w:t>
      </w:r>
      <w:bookmarkEnd w:id="81"/>
      <w:proofErr w:type="spellEnd"/>
    </w:p>
    <w:p w14:paraId="3B7DDD49" w14:textId="0F3C6BEB" w:rsidR="00C87F6E" w:rsidRDefault="00C87F6E" w:rsidP="00C87F6E">
      <w:pPr>
        <w:pStyle w:val="VNLeip1kappale"/>
        <w:rPr>
          <w:lang w:eastAsia="en-US"/>
        </w:rPr>
      </w:pPr>
      <w:r w:rsidRPr="1D8792A9">
        <w:rPr>
          <w:rFonts w:eastAsia="Arial" w:cs="Arial"/>
          <w:color w:val="000000" w:themeColor="text1"/>
        </w:rPr>
        <w:t>Suomen kokonaispäästöt ilman maankäyttösektoria (LULUCF) vuonna 2023 olivat 41,1 Mt CO</w:t>
      </w:r>
      <w:r w:rsidRPr="1D8792A9">
        <w:rPr>
          <w:rFonts w:eastAsia="Arial" w:cs="Arial"/>
          <w:color w:val="000000" w:themeColor="text1"/>
          <w:vertAlign w:val="subscript"/>
        </w:rPr>
        <w:t>2</w:t>
      </w:r>
      <w:r w:rsidRPr="1D8792A9">
        <w:rPr>
          <w:rFonts w:eastAsia="Arial" w:cs="Arial"/>
          <w:color w:val="000000" w:themeColor="text1"/>
        </w:rPr>
        <w:t xml:space="preserve">-ekv. ja vuonna 2024 </w:t>
      </w:r>
      <w:r w:rsidR="004B4736">
        <w:rPr>
          <w:rFonts w:eastAsia="Arial" w:cs="Arial"/>
          <w:color w:val="000000" w:themeColor="text1"/>
        </w:rPr>
        <w:t xml:space="preserve">Tilastokeskuksen </w:t>
      </w:r>
      <w:r w:rsidRPr="1D8792A9">
        <w:rPr>
          <w:rFonts w:eastAsia="Arial" w:cs="Arial"/>
          <w:color w:val="000000" w:themeColor="text1"/>
        </w:rPr>
        <w:t>pikaennakkotietojen mukaan 38,8 Mt CO</w:t>
      </w:r>
      <w:r w:rsidRPr="1D8792A9">
        <w:rPr>
          <w:rFonts w:eastAsia="Arial" w:cs="Arial"/>
          <w:color w:val="000000" w:themeColor="text1"/>
          <w:vertAlign w:val="subscript"/>
        </w:rPr>
        <w:t>2</w:t>
      </w:r>
      <w:r w:rsidRPr="1D8792A9">
        <w:rPr>
          <w:rFonts w:eastAsia="Arial" w:cs="Arial"/>
          <w:color w:val="000000" w:themeColor="text1"/>
        </w:rPr>
        <w:t>-ekv. Vuonna 2024 päästöt vähenivät edellisvuodesta 2,3 Mt CO</w:t>
      </w:r>
      <w:r w:rsidRPr="1D8792A9">
        <w:rPr>
          <w:rFonts w:eastAsia="Arial" w:cs="Arial"/>
          <w:color w:val="000000" w:themeColor="text1"/>
          <w:vertAlign w:val="subscript"/>
        </w:rPr>
        <w:t>2</w:t>
      </w:r>
      <w:r w:rsidRPr="1D8792A9">
        <w:rPr>
          <w:rFonts w:eastAsia="Arial" w:cs="Arial"/>
          <w:color w:val="000000" w:themeColor="text1"/>
        </w:rPr>
        <w:t>-ekv. Vuoden 2005 jälkeen kokonaispäästöt ilman maankäyttösektoria ovat vähentyneet keskimäärin yli 3 %-yksikköä vuodessa. Viitenä viimeisenä vuonna vähennystahti on ollut keskimäärin lähes 6 % vuodessa verrattuna edelliseen vuoteen. Aikajaksolla 2005–2024 kokonaispäästöt ovat vähentyneet 31,1 Mt CO</w:t>
      </w:r>
      <w:r w:rsidRPr="1D8792A9">
        <w:rPr>
          <w:rFonts w:eastAsia="Arial" w:cs="Arial"/>
          <w:color w:val="000000" w:themeColor="text1"/>
          <w:vertAlign w:val="subscript"/>
        </w:rPr>
        <w:t>2</w:t>
      </w:r>
      <w:r w:rsidRPr="1D8792A9">
        <w:rPr>
          <w:rFonts w:eastAsia="Arial" w:cs="Arial"/>
          <w:color w:val="000000" w:themeColor="text1"/>
        </w:rPr>
        <w:t>-ekv. eli 44 %. Maankäyttösektori on aiemmin ollut Suomessa merkittävä nettonielu</w:t>
      </w:r>
      <w:r w:rsidR="00D8449F">
        <w:rPr>
          <w:rFonts w:eastAsia="Arial" w:cs="Arial"/>
          <w:color w:val="000000" w:themeColor="text1"/>
        </w:rPr>
        <w:t>, mutta</w:t>
      </w:r>
      <w:r w:rsidRPr="1D8792A9">
        <w:rPr>
          <w:rFonts w:eastAsia="Arial" w:cs="Arial"/>
          <w:color w:val="000000" w:themeColor="text1"/>
        </w:rPr>
        <w:t xml:space="preserve"> nieluvaikutus on pienentynyt viime vuosina ja vuosina 2018–2024 maankäyttösektori oli kokonaisuutena nettopäästölähde</w:t>
      </w:r>
      <w:r w:rsidRPr="1D8792A9">
        <w:rPr>
          <w:rFonts w:eastAsia="Arial" w:cs="Arial"/>
          <w:color w:val="FF0000"/>
        </w:rPr>
        <w:t>.</w:t>
      </w:r>
      <w:r w:rsidRPr="1D8792A9">
        <w:rPr>
          <w:rFonts w:eastAsia="Arial" w:cs="Arial"/>
          <w:color w:val="000000" w:themeColor="text1"/>
        </w:rPr>
        <w:t xml:space="preserve"> Pikaennakkotietojen mukaan vuonna 2024 maankäyttösektori oli 13,5 Mt CO</w:t>
      </w:r>
      <w:r w:rsidRPr="1D8792A9">
        <w:rPr>
          <w:rFonts w:eastAsia="Arial" w:cs="Arial"/>
          <w:color w:val="000000" w:themeColor="text1"/>
          <w:vertAlign w:val="subscript"/>
        </w:rPr>
        <w:t>2</w:t>
      </w:r>
      <w:r w:rsidRPr="1D8792A9">
        <w:rPr>
          <w:rFonts w:eastAsia="Arial" w:cs="Arial"/>
          <w:color w:val="000000" w:themeColor="text1"/>
        </w:rPr>
        <w:t>-ekv. suuruinen päästölähde (</w:t>
      </w:r>
      <w:r w:rsidR="00B6602D">
        <w:rPr>
          <w:rFonts w:eastAsia="Arial" w:cs="Arial"/>
          <w:color w:val="000000" w:themeColor="text1"/>
        </w:rPr>
        <w:fldChar w:fldCharType="begin"/>
      </w:r>
      <w:r w:rsidR="00B6602D">
        <w:rPr>
          <w:rFonts w:eastAsia="Arial" w:cs="Arial"/>
          <w:color w:val="000000" w:themeColor="text1"/>
        </w:rPr>
        <w:instrText xml:space="preserve"> REF _Ref201650476 \h </w:instrText>
      </w:r>
      <w:r w:rsidR="00B6602D">
        <w:rPr>
          <w:rFonts w:eastAsia="Arial" w:cs="Arial"/>
          <w:color w:val="000000" w:themeColor="text1"/>
        </w:rPr>
      </w:r>
      <w:r w:rsidR="00B6602D">
        <w:rPr>
          <w:rFonts w:eastAsia="Arial" w:cs="Arial"/>
          <w:color w:val="000000" w:themeColor="text1"/>
        </w:rPr>
        <w:fldChar w:fldCharType="separate"/>
      </w:r>
      <w:r w:rsidR="00B6602D">
        <w:t xml:space="preserve">Kuvio </w:t>
      </w:r>
      <w:r w:rsidR="00B6602D">
        <w:rPr>
          <w:noProof/>
        </w:rPr>
        <w:t>1</w:t>
      </w:r>
      <w:r w:rsidR="00B6602D">
        <w:rPr>
          <w:rFonts w:eastAsia="Arial" w:cs="Arial"/>
          <w:color w:val="000000" w:themeColor="text1"/>
        </w:rPr>
        <w:fldChar w:fldCharType="end"/>
      </w:r>
      <w:r w:rsidRPr="1D8792A9">
        <w:rPr>
          <w:rFonts w:eastAsia="Arial" w:cs="Arial"/>
          <w:color w:val="000000" w:themeColor="text1"/>
        </w:rPr>
        <w:t>).</w:t>
      </w:r>
    </w:p>
    <w:p w14:paraId="669EFE60" w14:textId="555E046A" w:rsidR="00C87F6E" w:rsidRPr="008777BF" w:rsidRDefault="00FD71C0" w:rsidP="00FD71C0">
      <w:pPr>
        <w:pStyle w:val="Kuvaotsikko"/>
        <w:rPr>
          <w:lang w:eastAsia="en-US"/>
        </w:rPr>
      </w:pPr>
      <w:bookmarkStart w:id="82" w:name="_Ref201650476"/>
      <w:r>
        <w:t>Kuvio</w:t>
      </w:r>
      <w:r w:rsidR="0027641E">
        <w:t xml:space="preserve"> </w:t>
      </w:r>
      <w:r>
        <w:fldChar w:fldCharType="begin"/>
      </w:r>
      <w:r>
        <w:instrText xml:space="preserve"> SEQ Kuvio \* ARABIC </w:instrText>
      </w:r>
      <w:r>
        <w:fldChar w:fldCharType="separate"/>
      </w:r>
      <w:r w:rsidR="00D87A85">
        <w:rPr>
          <w:noProof/>
        </w:rPr>
        <w:t>1</w:t>
      </w:r>
      <w:r>
        <w:fldChar w:fldCharType="end"/>
      </w:r>
      <w:bookmarkEnd w:id="82"/>
      <w:r w:rsidR="0027641E">
        <w:t>.</w:t>
      </w:r>
      <w:r w:rsidR="00C87F6E" w:rsidRPr="61E66E8E">
        <w:rPr>
          <w:lang w:eastAsia="en-US"/>
        </w:rPr>
        <w:t xml:space="preserve"> Kokonaispäästöjen kehitys 1990–</w:t>
      </w:r>
      <w:r w:rsidR="00C87F6E" w:rsidRPr="4A6B64DC">
        <w:rPr>
          <w:lang w:eastAsia="en-US"/>
        </w:rPr>
        <w:t>2024</w:t>
      </w:r>
      <w:r w:rsidR="00C87F6E" w:rsidRPr="61E66E8E">
        <w:rPr>
          <w:lang w:eastAsia="en-US"/>
        </w:rPr>
        <w:t xml:space="preserve"> (Tilastokeskus 2024). Negatiiviset arvot kuvaavat maankäyttösektorin nettonielua. Vuodesta 2005 eteenpäin kokonaispäästöt on jaettu taakanjako- ja päästökauppasektoreille.</w:t>
      </w:r>
    </w:p>
    <w:p w14:paraId="7C91A64D" w14:textId="4A8C7B6C" w:rsidR="00C87F6E" w:rsidRPr="008777BF" w:rsidRDefault="0064706E" w:rsidP="00C87F6E">
      <w:pPr>
        <w:pStyle w:val="VNLeip1kappale"/>
        <w:rPr>
          <w:lang w:eastAsia="en-US"/>
        </w:rPr>
      </w:pPr>
      <w:r>
        <w:rPr>
          <w:noProof/>
        </w:rPr>
        <w:lastRenderedPageBreak/>
        <w:drawing>
          <wp:inline distT="0" distB="0" distL="0" distR="0" wp14:anchorId="0A67C484" wp14:editId="72CA5A04">
            <wp:extent cx="4895850" cy="5118100"/>
            <wp:effectExtent l="0" t="0" r="0" b="6350"/>
            <wp:docPr id="1093213387" name="Chart 1">
              <a:extLst xmlns:a="http://schemas.openxmlformats.org/drawingml/2006/main">
                <a:ext uri="{FF2B5EF4-FFF2-40B4-BE49-F238E27FC236}">
                  <a16:creationId xmlns:a16="http://schemas.microsoft.com/office/drawing/2014/main" id="{BC4A8D48-7E30-D5D8-6875-157DB8620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AA5DAB8" w14:textId="39B12627" w:rsidR="00C87F6E" w:rsidRDefault="00C87F6E" w:rsidP="00C87F6E">
      <w:pPr>
        <w:pStyle w:val="VNLeip1kappale"/>
        <w:rPr>
          <w:rFonts w:eastAsia="Arial" w:cs="Arial"/>
          <w:color w:val="000000" w:themeColor="text1"/>
        </w:rPr>
      </w:pPr>
      <w:r w:rsidRPr="5124B464">
        <w:rPr>
          <w:rFonts w:eastAsia="Arial" w:cs="Arial"/>
          <w:color w:val="000000" w:themeColor="text1"/>
        </w:rPr>
        <w:t>Ilmastonmuutoksen hillinnän ja Suomen hiilineutraaliustavoitteen saavuttamisen kannalta olennaista on nettopäästöjen kehitys. Nettopäästöillä tarkoitetaan päästöjen ja poistumien erotusta. Nettopäästöt ovat vaihdelleet 35,2 Mt CO</w:t>
      </w:r>
      <w:r w:rsidRPr="5124B464">
        <w:rPr>
          <w:rFonts w:eastAsia="Arial" w:cs="Arial"/>
          <w:color w:val="000000" w:themeColor="text1"/>
          <w:vertAlign w:val="subscript"/>
        </w:rPr>
        <w:t>2</w:t>
      </w:r>
      <w:r w:rsidRPr="5124B464">
        <w:rPr>
          <w:rFonts w:eastAsia="Arial" w:cs="Arial"/>
          <w:color w:val="000000" w:themeColor="text1"/>
        </w:rPr>
        <w:t>-ekv. ja 63,3 Mt CO</w:t>
      </w:r>
      <w:r w:rsidRPr="5124B464">
        <w:rPr>
          <w:rFonts w:eastAsia="Arial" w:cs="Arial"/>
          <w:color w:val="000000" w:themeColor="text1"/>
          <w:vertAlign w:val="subscript"/>
        </w:rPr>
        <w:t>2</w:t>
      </w:r>
      <w:r w:rsidRPr="5124B464">
        <w:rPr>
          <w:rFonts w:eastAsia="Arial" w:cs="Arial"/>
          <w:color w:val="000000" w:themeColor="text1"/>
        </w:rPr>
        <w:t>-ekv. välillä vuosina 2005–2024 ollen keskimäärin 50,7 Mt CO</w:t>
      </w:r>
      <w:r w:rsidRPr="5124B464">
        <w:rPr>
          <w:rFonts w:eastAsia="Arial" w:cs="Arial"/>
          <w:color w:val="000000" w:themeColor="text1"/>
          <w:vertAlign w:val="subscript"/>
        </w:rPr>
        <w:t>2</w:t>
      </w:r>
      <w:r w:rsidRPr="5124B464">
        <w:rPr>
          <w:rFonts w:eastAsia="Arial" w:cs="Arial"/>
          <w:color w:val="000000" w:themeColor="text1"/>
        </w:rPr>
        <w:t>-ekv. Vuonna 2024 nettopäästöt laskivat 0,8 Mt CO</w:t>
      </w:r>
      <w:r w:rsidRPr="5124B464">
        <w:rPr>
          <w:rFonts w:eastAsia="Arial" w:cs="Arial"/>
          <w:color w:val="000000" w:themeColor="text1"/>
          <w:vertAlign w:val="subscript"/>
        </w:rPr>
        <w:t>2</w:t>
      </w:r>
      <w:r w:rsidRPr="5124B464">
        <w:rPr>
          <w:rFonts w:eastAsia="Arial" w:cs="Arial"/>
          <w:color w:val="000000" w:themeColor="text1"/>
        </w:rPr>
        <w:t xml:space="preserve"> -</w:t>
      </w:r>
      <w:proofErr w:type="spellStart"/>
      <w:r w:rsidRPr="5124B464">
        <w:rPr>
          <w:rFonts w:eastAsia="Arial" w:cs="Arial"/>
          <w:color w:val="000000" w:themeColor="text1"/>
        </w:rPr>
        <w:t>ekv</w:t>
      </w:r>
      <w:proofErr w:type="spellEnd"/>
      <w:r w:rsidRPr="5124B464">
        <w:rPr>
          <w:rFonts w:eastAsia="Arial" w:cs="Arial"/>
          <w:color w:val="000000" w:themeColor="text1"/>
        </w:rPr>
        <w:t>. edellisvuodesta ollen 52,3 Mt CO</w:t>
      </w:r>
      <w:r w:rsidRPr="5124B464">
        <w:rPr>
          <w:rFonts w:ascii="Cambria Math" w:eastAsia="Cambria Math" w:hAnsi="Cambria Math" w:cs="Cambria Math"/>
          <w:color w:val="000000" w:themeColor="text1"/>
        </w:rPr>
        <w:t>₂</w:t>
      </w:r>
      <w:r w:rsidRPr="5124B464">
        <w:rPr>
          <w:rFonts w:eastAsia="Arial" w:cs="Arial"/>
          <w:color w:val="000000" w:themeColor="text1"/>
        </w:rPr>
        <w:t>-</w:t>
      </w:r>
      <w:proofErr w:type="spellStart"/>
      <w:r w:rsidRPr="5124B464">
        <w:rPr>
          <w:rFonts w:eastAsia="Arial" w:cs="Arial"/>
          <w:color w:val="000000" w:themeColor="text1"/>
        </w:rPr>
        <w:t>ekv</w:t>
      </w:r>
      <w:proofErr w:type="spellEnd"/>
      <w:r w:rsidRPr="5124B464">
        <w:rPr>
          <w:rFonts w:eastAsia="Arial" w:cs="Arial"/>
          <w:color w:val="000000" w:themeColor="text1"/>
        </w:rPr>
        <w:t xml:space="preserve">. Nettopäästöjen </w:t>
      </w:r>
      <w:r w:rsidR="00E6505C" w:rsidRPr="5124B464">
        <w:rPr>
          <w:rFonts w:eastAsia="Arial" w:cs="Arial"/>
          <w:color w:val="000000" w:themeColor="text1"/>
        </w:rPr>
        <w:t xml:space="preserve">kehitykseen </w:t>
      </w:r>
      <w:r w:rsidRPr="5124B464">
        <w:rPr>
          <w:rFonts w:eastAsia="Arial" w:cs="Arial"/>
          <w:color w:val="000000" w:themeColor="text1"/>
        </w:rPr>
        <w:t>vaikutti päästöjen vähentyminen taakanjako- ja päästökauppasektoreilla sekä maankäyttösektorin</w:t>
      </w:r>
      <w:r w:rsidRPr="5124B464">
        <w:rPr>
          <w:rFonts w:eastAsia="Arial" w:cs="Arial"/>
          <w:color w:val="FF0000"/>
        </w:rPr>
        <w:t xml:space="preserve"> </w:t>
      </w:r>
      <w:r w:rsidRPr="5124B464">
        <w:rPr>
          <w:rFonts w:eastAsia="Arial" w:cs="Arial"/>
          <w:color w:val="000000" w:themeColor="text1"/>
        </w:rPr>
        <w:t>nettopäästöjen kasvu 1,5 Mt CO</w:t>
      </w:r>
      <w:r w:rsidRPr="5124B464">
        <w:rPr>
          <w:rFonts w:eastAsia="Arial" w:cs="Arial"/>
          <w:color w:val="000000" w:themeColor="text1"/>
          <w:vertAlign w:val="subscript"/>
        </w:rPr>
        <w:t>2</w:t>
      </w:r>
      <w:r w:rsidRPr="5124B464">
        <w:rPr>
          <w:rFonts w:eastAsia="Arial" w:cs="Arial"/>
          <w:color w:val="000000" w:themeColor="text1"/>
        </w:rPr>
        <w:t>-ekv. edellisvuoteen verrattuna (</w:t>
      </w:r>
      <w:r w:rsidR="00B6602D">
        <w:rPr>
          <w:rFonts w:eastAsia="Arial" w:cs="Arial"/>
          <w:color w:val="000000" w:themeColor="text1"/>
        </w:rPr>
        <w:fldChar w:fldCharType="begin"/>
      </w:r>
      <w:r w:rsidR="00B6602D">
        <w:rPr>
          <w:rFonts w:eastAsia="Arial" w:cs="Arial"/>
          <w:color w:val="000000" w:themeColor="text1"/>
        </w:rPr>
        <w:instrText xml:space="preserve"> REF _Ref201650476 \h </w:instrText>
      </w:r>
      <w:r w:rsidR="00B6602D">
        <w:rPr>
          <w:rFonts w:eastAsia="Arial" w:cs="Arial"/>
          <w:color w:val="000000" w:themeColor="text1"/>
        </w:rPr>
      </w:r>
      <w:r w:rsidR="00B6602D">
        <w:rPr>
          <w:rFonts w:eastAsia="Arial" w:cs="Arial"/>
          <w:color w:val="000000" w:themeColor="text1"/>
        </w:rPr>
        <w:fldChar w:fldCharType="separate"/>
      </w:r>
      <w:r w:rsidR="00B6602D">
        <w:t xml:space="preserve">Kuvio </w:t>
      </w:r>
      <w:r w:rsidR="00B6602D">
        <w:rPr>
          <w:noProof/>
        </w:rPr>
        <w:t>1</w:t>
      </w:r>
      <w:r w:rsidR="00B6602D">
        <w:rPr>
          <w:rFonts w:eastAsia="Arial" w:cs="Arial"/>
          <w:color w:val="000000" w:themeColor="text1"/>
        </w:rPr>
        <w:fldChar w:fldCharType="end"/>
      </w:r>
      <w:r w:rsidRPr="5124B464">
        <w:rPr>
          <w:rFonts w:eastAsia="Arial" w:cs="Arial"/>
          <w:color w:val="000000" w:themeColor="text1"/>
        </w:rPr>
        <w:t>).</w:t>
      </w:r>
    </w:p>
    <w:p w14:paraId="47C4C3B2" w14:textId="3D2DF37C" w:rsidR="00C87F6E" w:rsidRDefault="00C87F6E" w:rsidP="00C87F6E">
      <w:pPr>
        <w:pStyle w:val="VNLeip1kappale"/>
        <w:rPr>
          <w:lang w:eastAsia="en-US"/>
        </w:rPr>
      </w:pPr>
      <w:r w:rsidRPr="25CEE2C3">
        <w:rPr>
          <w:lang w:eastAsia="en-US"/>
        </w:rPr>
        <w:lastRenderedPageBreak/>
        <w:t xml:space="preserve">EU:n päästökaupan piiriin kuuluvat suuret teollisuus- ja energiantuotantolaitokset, Euroopan talousalueen sisäinen lentoliikenne sekä vuodesta 2024 alkaen </w:t>
      </w:r>
      <w:r w:rsidRPr="25CEE2C3">
        <w:rPr>
          <w:color w:val="000000" w:themeColor="text1"/>
        </w:rPr>
        <w:t>myös meriliikenteen alukset, joiden bruttovetoisuus on vähintään 5000 ja 50 % EU:n ja kolmansien maiden välisestä meriliikenteestä</w:t>
      </w:r>
      <w:r w:rsidRPr="4A6B64DC">
        <w:rPr>
          <w:color w:val="000000" w:themeColor="text1"/>
        </w:rPr>
        <w:t>.</w:t>
      </w:r>
      <w:r w:rsidRPr="25CEE2C3">
        <w:rPr>
          <w:lang w:eastAsia="en-US"/>
        </w:rPr>
        <w:t xml:space="preserve"> Suomen kokonaispäästökehitykseen ilman maankäyttösektoria on vaikuttanut erityisesti päästökauppasektorin päästöjen merkittävä väheneminen viime vuosina. Vuonna </w:t>
      </w:r>
      <w:r w:rsidRPr="4C5A11CB">
        <w:rPr>
          <w:lang w:eastAsia="en-US"/>
        </w:rPr>
        <w:t>2024</w:t>
      </w:r>
      <w:r w:rsidRPr="25CEE2C3">
        <w:rPr>
          <w:lang w:eastAsia="en-US"/>
        </w:rPr>
        <w:t xml:space="preserve"> päästökauppaan kuuluvien suomalaisten laitosten päästöt olivat yhteensä </w:t>
      </w:r>
      <w:r w:rsidRPr="4A6B64DC">
        <w:rPr>
          <w:lang w:eastAsia="en-US"/>
        </w:rPr>
        <w:t>13,</w:t>
      </w:r>
      <w:r w:rsidRPr="4C5A11CB">
        <w:rPr>
          <w:lang w:eastAsia="en-US"/>
        </w:rPr>
        <w:t>3</w:t>
      </w:r>
      <w:r w:rsidRPr="25CEE2C3">
        <w:rPr>
          <w:lang w:eastAsia="en-US"/>
        </w:rPr>
        <w:t xml:space="preserve"> miljoonaa tonnia hiilidioksidia. Päästöt vähenivät edellisvuodesta </w:t>
      </w:r>
      <w:r w:rsidRPr="4A6B64DC">
        <w:rPr>
          <w:lang w:eastAsia="en-US"/>
        </w:rPr>
        <w:t>2,</w:t>
      </w:r>
      <w:r w:rsidRPr="4C5A11CB">
        <w:rPr>
          <w:lang w:eastAsia="en-US"/>
        </w:rPr>
        <w:t>1</w:t>
      </w:r>
      <w:r w:rsidRPr="25CEE2C3">
        <w:rPr>
          <w:lang w:eastAsia="en-US"/>
        </w:rPr>
        <w:t xml:space="preserve"> Mt CO</w:t>
      </w:r>
      <w:r w:rsidRPr="00EA3D68">
        <w:rPr>
          <w:vertAlign w:val="subscript"/>
          <w:lang w:eastAsia="en-US"/>
        </w:rPr>
        <w:t>2</w:t>
      </w:r>
      <w:r w:rsidRPr="25CEE2C3">
        <w:rPr>
          <w:lang w:eastAsia="en-US"/>
        </w:rPr>
        <w:t xml:space="preserve">-ekv. eli </w:t>
      </w:r>
      <w:r w:rsidRPr="4C5A11CB">
        <w:rPr>
          <w:lang w:eastAsia="en-US"/>
        </w:rPr>
        <w:t>14</w:t>
      </w:r>
      <w:r w:rsidRPr="25CEE2C3">
        <w:rPr>
          <w:lang w:eastAsia="en-US"/>
        </w:rPr>
        <w:t xml:space="preserve"> prosenttia. Päästöjen laskun taustalla oli sekä kivihiilen että turpeen edellisvuotta pienempi kulutus. Vuoden 2005 jälkeen päästöt ovat vähentyneet keskimäärin noin </w:t>
      </w:r>
      <w:r w:rsidRPr="4C5A11CB">
        <w:rPr>
          <w:lang w:eastAsia="en-US"/>
        </w:rPr>
        <w:t>5</w:t>
      </w:r>
      <w:r w:rsidRPr="25CEE2C3">
        <w:rPr>
          <w:lang w:eastAsia="en-US"/>
        </w:rPr>
        <w:t xml:space="preserve"> prosenttia vuodessa. Vuoteen 2005 verrattuna päästökauppasektorin päästöt ovat vähentyneet </w:t>
      </w:r>
      <w:r w:rsidRPr="4C5A11CB">
        <w:rPr>
          <w:lang w:eastAsia="en-US"/>
        </w:rPr>
        <w:t>22</w:t>
      </w:r>
      <w:r w:rsidRPr="25CEE2C3">
        <w:rPr>
          <w:lang w:eastAsia="en-US"/>
        </w:rPr>
        <w:t xml:space="preserve"> Mt CO</w:t>
      </w:r>
      <w:r w:rsidRPr="00EA3D68">
        <w:rPr>
          <w:vertAlign w:val="subscript"/>
          <w:lang w:eastAsia="en-US"/>
        </w:rPr>
        <w:t>2</w:t>
      </w:r>
      <w:r w:rsidRPr="25CEE2C3">
        <w:rPr>
          <w:lang w:eastAsia="en-US"/>
        </w:rPr>
        <w:t xml:space="preserve">-ekv. eli </w:t>
      </w:r>
      <w:r w:rsidRPr="4C5A11CB">
        <w:rPr>
          <w:lang w:eastAsia="en-US"/>
        </w:rPr>
        <w:t>62</w:t>
      </w:r>
      <w:r w:rsidRPr="25CEE2C3">
        <w:rPr>
          <w:lang w:eastAsia="en-US"/>
        </w:rPr>
        <w:t xml:space="preserve"> prosenttia.</w:t>
      </w:r>
      <w:r w:rsidR="00BA1575">
        <w:rPr>
          <w:lang w:eastAsia="en-US"/>
        </w:rPr>
        <w:t xml:space="preserve"> Myös taakanjakosektorin päästöt ovat pienentyneet, mutta hitaammin kuin päästökauppasektorilla.</w:t>
      </w:r>
    </w:p>
    <w:p w14:paraId="0409D1A3" w14:textId="15F7D6D9" w:rsidR="00C87F6E" w:rsidRPr="00C87F6E" w:rsidRDefault="00C87F6E" w:rsidP="00C87F6E">
      <w:pPr>
        <w:pStyle w:val="VNLeip1kappale"/>
        <w:rPr>
          <w:color w:val="000000" w:themeColor="text1"/>
        </w:rPr>
      </w:pPr>
      <w:r w:rsidRPr="36852597">
        <w:rPr>
          <w:color w:val="000000" w:themeColor="text1"/>
        </w:rPr>
        <w:t>Keskeinen päästökauppasektorin päästökehitykseen vaikuttava tekijä on päästöoikeuden hinta. Korkea päästöoikeuden hinta kannustaa toimijoita vähentämään fossiilisten polttoaineiden käyttöä ja siirtymään vähäpäästöisempiin energialähteisiin ja teollisuusprosesseihin. Sähköntuotannossa polttoon perustuva tuotanto on vähentynyt samalla ku</w:t>
      </w:r>
      <w:r>
        <w:t>i</w:t>
      </w:r>
      <w:r w:rsidRPr="36852597">
        <w:rPr>
          <w:color w:val="000000" w:themeColor="text1"/>
        </w:rPr>
        <w:t>n tuulivoiman ja ydinvoiman määrä on kasvanut merkittävästi. Teollisuudessa ja kaukolämmön tuotannossa sähkökattilat, lämpöpumput ja ylijäämälämmön hyödyntäminen ovat yleistyneet.</w:t>
      </w:r>
    </w:p>
    <w:p w14:paraId="0B534EAF" w14:textId="5BED6A72" w:rsidR="3D65ED08" w:rsidRPr="00873E36" w:rsidRDefault="006E13CE" w:rsidP="002A75F1">
      <w:pPr>
        <w:pStyle w:val="Otsikko2"/>
        <w:rPr>
          <w:lang w:val="fi-FI"/>
        </w:rPr>
      </w:pPr>
      <w:r w:rsidRPr="00421747">
        <w:rPr>
          <w:lang w:val="fi-FI"/>
        </w:rPr>
        <w:t xml:space="preserve"> </w:t>
      </w:r>
      <w:bookmarkStart w:id="83" w:name="_Toc202260038"/>
      <w:r w:rsidR="00873E36">
        <w:rPr>
          <w:lang w:val="fi-FI"/>
        </w:rPr>
        <w:t>4.2</w:t>
      </w:r>
      <w:r w:rsidRPr="00421747">
        <w:rPr>
          <w:lang w:val="fi-FI"/>
        </w:rPr>
        <w:t xml:space="preserve"> </w:t>
      </w:r>
      <w:r w:rsidR="3D65ED08" w:rsidRPr="00873E36">
        <w:rPr>
          <w:lang w:val="fi-FI"/>
        </w:rPr>
        <w:t xml:space="preserve">Taakanjakosektorin </w:t>
      </w:r>
      <w:r w:rsidR="00BC680D" w:rsidRPr="00873E36">
        <w:rPr>
          <w:lang w:val="fi-FI"/>
        </w:rPr>
        <w:t>päästökehitys</w:t>
      </w:r>
      <w:bookmarkEnd w:id="83"/>
    </w:p>
    <w:p w14:paraId="58B53BD5" w14:textId="35585DC3" w:rsidR="00586CF1" w:rsidRDefault="00586CF1" w:rsidP="00586CF1">
      <w:pPr>
        <w:pStyle w:val="VNLeip1kappale"/>
      </w:pPr>
      <w:r>
        <w:t xml:space="preserve">Taakanjakosektorille kuuluvat kaikki ne </w:t>
      </w:r>
      <w:r w:rsidR="00C93517">
        <w:t xml:space="preserve">yleisen </w:t>
      </w:r>
      <w:r>
        <w:t xml:space="preserve">päästökauppajärjestelmän </w:t>
      </w:r>
      <w:r w:rsidR="00025685">
        <w:t>(</w:t>
      </w:r>
      <w:r w:rsidR="00C93517">
        <w:t>ETS1</w:t>
      </w:r>
      <w:r w:rsidR="00025685">
        <w:t xml:space="preserve">) </w:t>
      </w:r>
      <w:r>
        <w:t>ja maankäyttösektorin ulkopuoliset kasvihuonekaasupäästöt, jotka raportoidaan kansallisessa päästöinventaariossa</w:t>
      </w:r>
      <w:r w:rsidR="00C93517">
        <w:t xml:space="preserve"> pois lukien</w:t>
      </w:r>
      <w:r>
        <w:t xml:space="preserve"> kotimaan lentoliikenteen hiilidioksidipäästöt. Tärkeimmät taakanjakosektorin päästölähteet ovat liikenne ja maatalous, rakennusten lämmitys, työkoneet, jätteiden käsittely ja F-kaasut.</w:t>
      </w:r>
      <w:r w:rsidR="0016421B">
        <w:t xml:space="preserve"> </w:t>
      </w:r>
      <w:r>
        <w:t>Lisäksi taakanjakosektorille lasketaan pienteollisuuden, puolustusvoimien ja muun erittelemättömän polttoainekäytön päästöjä sekä päästökauppasektorin energiankäytön muut kuin hiilidioksidipäästöt. Myös jätteenpoltto kuuluu pääosin taakanjakosektorille. Kuv</w:t>
      </w:r>
      <w:r w:rsidR="00775979">
        <w:t>io</w:t>
      </w:r>
      <w:r>
        <w:t xml:space="preserve">ssa </w:t>
      </w:r>
      <w:r w:rsidR="00196445">
        <w:t>2</w:t>
      </w:r>
      <w:r>
        <w:t xml:space="preserve"> on esitetty taakanjakosektorin päästöjen jakauma vuonna 202</w:t>
      </w:r>
      <w:r w:rsidR="4C099821">
        <w:t>3</w:t>
      </w:r>
      <w:r>
        <w:t>.</w:t>
      </w:r>
    </w:p>
    <w:p w14:paraId="3BC2F771" w14:textId="0C4D594B" w:rsidR="0012105A" w:rsidRDefault="00B6602D" w:rsidP="00B6602D">
      <w:pPr>
        <w:pStyle w:val="Kuvaotsikko"/>
      </w:pPr>
      <w:r>
        <w:lastRenderedPageBreak/>
        <w:t>Kuvio</w:t>
      </w:r>
      <w:r w:rsidR="003039BA">
        <w:t xml:space="preserve"> </w:t>
      </w:r>
      <w:r>
        <w:fldChar w:fldCharType="begin"/>
      </w:r>
      <w:r>
        <w:instrText xml:space="preserve"> SEQ Kuvio \* ARABIC </w:instrText>
      </w:r>
      <w:r>
        <w:fldChar w:fldCharType="separate"/>
      </w:r>
      <w:r w:rsidR="00D87A85">
        <w:rPr>
          <w:noProof/>
        </w:rPr>
        <w:t>2</w:t>
      </w:r>
      <w:r>
        <w:fldChar w:fldCharType="end"/>
      </w:r>
      <w:r>
        <w:t>.</w:t>
      </w:r>
      <w:r w:rsidR="36335BE9">
        <w:t xml:space="preserve"> </w:t>
      </w:r>
      <w:r w:rsidR="00C353CF">
        <w:t>Taakanjakosektorin päästöjen jakauma vuonna 2023</w:t>
      </w:r>
    </w:p>
    <w:p w14:paraId="0B081DC1" w14:textId="638FE582" w:rsidR="006E1B0C" w:rsidRPr="006E1B0C" w:rsidRDefault="00E8264E" w:rsidP="006F330C">
      <w:pPr>
        <w:pStyle w:val="VNLeip1kappale"/>
        <w:rPr>
          <w:lang w:val="en-US" w:eastAsia="en-US"/>
        </w:rPr>
      </w:pPr>
      <w:bookmarkStart w:id="84" w:name="_Toc789604179"/>
      <w:bookmarkStart w:id="85" w:name="_Toc951418979"/>
      <w:r>
        <w:rPr>
          <w:noProof/>
        </w:rPr>
        <w:drawing>
          <wp:inline distT="0" distB="0" distL="0" distR="0" wp14:anchorId="463C15C1" wp14:editId="6A80DFC2">
            <wp:extent cx="4772025" cy="3400425"/>
            <wp:effectExtent l="0" t="0" r="0" b="0"/>
            <wp:docPr id="1076722576" name="Kaavio 1">
              <a:extLst xmlns:a="http://schemas.openxmlformats.org/drawingml/2006/main">
                <a:ext uri="{FF2B5EF4-FFF2-40B4-BE49-F238E27FC236}">
                  <a16:creationId xmlns:a16="http://schemas.microsoft.com/office/drawing/2014/main" id="{67F0A1FE-6A43-D68C-700C-DB2100978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E259A00" w14:textId="40E950D3" w:rsidR="00EB765E" w:rsidRPr="008777BF" w:rsidRDefault="00EB765E" w:rsidP="00EB765E">
      <w:pPr>
        <w:pStyle w:val="VNLeip1kappale"/>
        <w:rPr>
          <w:rFonts w:eastAsia="Arial" w:cs="Arial"/>
          <w:color w:val="000000" w:themeColor="text1"/>
        </w:rPr>
      </w:pPr>
      <w:r w:rsidRPr="7FC34D61">
        <w:rPr>
          <w:rFonts w:eastAsia="Arial" w:cs="Arial"/>
          <w:color w:val="000000" w:themeColor="text1"/>
        </w:rPr>
        <w:t>Vuonna 2023 taakanjakosektorin päästöt olivat 25,1 Mt CO</w:t>
      </w:r>
      <w:r w:rsidRPr="7FC34D61">
        <w:rPr>
          <w:rFonts w:eastAsia="Arial" w:cs="Arial"/>
          <w:color w:val="000000" w:themeColor="text1"/>
          <w:vertAlign w:val="subscript"/>
        </w:rPr>
        <w:t>2</w:t>
      </w:r>
      <w:r w:rsidRPr="7FC34D61">
        <w:rPr>
          <w:rFonts w:eastAsia="Arial" w:cs="Arial"/>
          <w:color w:val="000000" w:themeColor="text1"/>
        </w:rPr>
        <w:t>-ekv. ja vuonna 2024 pikaennakkotietojen mukaan 25,4 Mt CO</w:t>
      </w:r>
      <w:r w:rsidRPr="7FC34D61">
        <w:rPr>
          <w:rFonts w:eastAsia="Arial" w:cs="Arial"/>
          <w:color w:val="000000" w:themeColor="text1"/>
          <w:vertAlign w:val="subscript"/>
        </w:rPr>
        <w:t>2</w:t>
      </w:r>
      <w:r w:rsidRPr="7FC34D61">
        <w:rPr>
          <w:rFonts w:eastAsia="Arial" w:cs="Arial"/>
          <w:color w:val="000000" w:themeColor="text1"/>
        </w:rPr>
        <w:t xml:space="preserve">-ekv. </w:t>
      </w:r>
      <w:r w:rsidR="004423CB" w:rsidRPr="7FC34D61">
        <w:rPr>
          <w:rFonts w:eastAsia="Arial" w:cs="Arial"/>
          <w:color w:val="000000" w:themeColor="text1"/>
        </w:rPr>
        <w:t xml:space="preserve">Vuodesta </w:t>
      </w:r>
      <w:r w:rsidR="008275CF" w:rsidRPr="7FC34D61">
        <w:rPr>
          <w:rFonts w:eastAsia="Arial" w:cs="Arial"/>
          <w:color w:val="000000" w:themeColor="text1"/>
        </w:rPr>
        <w:t xml:space="preserve">2005 taakanjakosektorin päästöt ovat vähentyneet </w:t>
      </w:r>
      <w:r w:rsidR="00B12CCE" w:rsidRPr="7FC34D61">
        <w:rPr>
          <w:rFonts w:eastAsia="Arial" w:cs="Arial"/>
          <w:color w:val="000000" w:themeColor="text1"/>
        </w:rPr>
        <w:t>noin 26 %.</w:t>
      </w:r>
      <w:r w:rsidR="00905C44" w:rsidRPr="7FC34D61">
        <w:rPr>
          <w:rFonts w:eastAsia="Arial" w:cs="Arial"/>
          <w:color w:val="000000" w:themeColor="text1"/>
        </w:rPr>
        <w:t xml:space="preserve"> Päästöt ovat vähentyneet erityisesti l</w:t>
      </w:r>
      <w:r w:rsidR="00011A0C" w:rsidRPr="7FC34D61">
        <w:rPr>
          <w:rFonts w:eastAsia="Arial" w:cs="Arial"/>
          <w:color w:val="000000" w:themeColor="text1"/>
        </w:rPr>
        <w:t xml:space="preserve">iikenteessä </w:t>
      </w:r>
      <w:r w:rsidR="00C0300E" w:rsidRPr="7FC34D61">
        <w:rPr>
          <w:rFonts w:eastAsia="Arial" w:cs="Arial"/>
          <w:color w:val="000000" w:themeColor="text1"/>
        </w:rPr>
        <w:t xml:space="preserve">ja </w:t>
      </w:r>
      <w:r w:rsidR="001604DF" w:rsidRPr="7FC34D61">
        <w:rPr>
          <w:rFonts w:eastAsia="Arial" w:cs="Arial"/>
          <w:color w:val="000000" w:themeColor="text1"/>
        </w:rPr>
        <w:t>rakennusten lämmityksessä.</w:t>
      </w:r>
      <w:r w:rsidR="001604DF">
        <w:rPr>
          <w:rFonts w:eastAsia="Arial" w:cs="Arial"/>
          <w:color w:val="000000" w:themeColor="text1"/>
        </w:rPr>
        <w:t xml:space="preserve"> </w:t>
      </w:r>
      <w:r w:rsidRPr="0EBA5103">
        <w:rPr>
          <w:rFonts w:eastAsia="Arial" w:cs="Arial"/>
          <w:color w:val="000000" w:themeColor="text1"/>
        </w:rPr>
        <w:t>Myös jätteiden käsittelyn ja F-kaasujen aiheuttamat päästöt ovat nykyisin selvästi pienemmät kuin vuonna 2005</w:t>
      </w:r>
      <w:r w:rsidR="00561666">
        <w:rPr>
          <w:rFonts w:eastAsia="Arial" w:cs="Arial"/>
          <w:color w:val="000000" w:themeColor="text1"/>
        </w:rPr>
        <w:t xml:space="preserve"> (ks. </w:t>
      </w:r>
      <w:r w:rsidR="00BF7B43">
        <w:rPr>
          <w:rFonts w:eastAsia="Arial" w:cs="Arial"/>
          <w:color w:val="000000" w:themeColor="text1"/>
        </w:rPr>
        <w:fldChar w:fldCharType="begin"/>
      </w:r>
      <w:r w:rsidR="00BF7B43">
        <w:rPr>
          <w:rFonts w:eastAsia="Arial" w:cs="Arial"/>
          <w:color w:val="000000" w:themeColor="text1"/>
        </w:rPr>
        <w:instrText xml:space="preserve"> REF _Ref201650584 \h </w:instrText>
      </w:r>
      <w:r w:rsidR="00BF7B43">
        <w:rPr>
          <w:rFonts w:eastAsia="Arial" w:cs="Arial"/>
          <w:color w:val="000000" w:themeColor="text1"/>
        </w:rPr>
      </w:r>
      <w:r w:rsidR="00BF7B43">
        <w:rPr>
          <w:rFonts w:eastAsia="Arial" w:cs="Arial"/>
          <w:color w:val="000000" w:themeColor="text1"/>
        </w:rPr>
        <w:fldChar w:fldCharType="separate"/>
      </w:r>
      <w:r w:rsidR="00BF7B43">
        <w:t xml:space="preserve">Taulukko </w:t>
      </w:r>
      <w:r w:rsidR="00BF7B43">
        <w:rPr>
          <w:noProof/>
        </w:rPr>
        <w:t>1</w:t>
      </w:r>
      <w:r w:rsidR="00BF7B43">
        <w:rPr>
          <w:rFonts w:eastAsia="Arial" w:cs="Arial"/>
          <w:color w:val="000000" w:themeColor="text1"/>
        </w:rPr>
        <w:fldChar w:fldCharType="end"/>
      </w:r>
      <w:r w:rsidR="00561666">
        <w:rPr>
          <w:rFonts w:eastAsia="Arial" w:cs="Arial"/>
          <w:color w:val="000000" w:themeColor="text1"/>
        </w:rPr>
        <w:t>)</w:t>
      </w:r>
      <w:r w:rsidRPr="0EBA5103">
        <w:rPr>
          <w:rFonts w:eastAsia="Arial" w:cs="Arial"/>
          <w:color w:val="000000" w:themeColor="text1"/>
        </w:rPr>
        <w:t>.</w:t>
      </w:r>
    </w:p>
    <w:p w14:paraId="1391DF8C" w14:textId="5A55771B" w:rsidR="00EB765E" w:rsidRPr="008777BF" w:rsidRDefault="00775979" w:rsidP="00775979">
      <w:pPr>
        <w:pStyle w:val="Kuvaotsikko"/>
        <w:rPr>
          <w:lang w:eastAsia="en-US"/>
        </w:rPr>
      </w:pPr>
      <w:r>
        <w:t>Kuvio</w:t>
      </w:r>
      <w:r w:rsidR="00517E3D">
        <w:t xml:space="preserve"> </w:t>
      </w:r>
      <w:r>
        <w:fldChar w:fldCharType="begin"/>
      </w:r>
      <w:r>
        <w:instrText xml:space="preserve"> SEQ Kuvio \* ARABIC </w:instrText>
      </w:r>
      <w:r>
        <w:fldChar w:fldCharType="separate"/>
      </w:r>
      <w:r w:rsidR="00D87A85">
        <w:rPr>
          <w:noProof/>
        </w:rPr>
        <w:t>3</w:t>
      </w:r>
      <w:r>
        <w:fldChar w:fldCharType="end"/>
      </w:r>
      <w:r w:rsidR="00517E3D">
        <w:t>.</w:t>
      </w:r>
      <w:r w:rsidR="00EB765E" w:rsidRPr="61E66E8E">
        <w:rPr>
          <w:lang w:eastAsia="en-US"/>
        </w:rPr>
        <w:t>Taakanjakosektorin kasvihuonekaasupäästöt vuosina 2005–2024 (Tilastokeskus 2024). Teollisuuden päästöt sisältävät polttoaineiden käytön ja teollisuusprosessit. Jätehuollon päästöissä on mukana jätteenpoltto. Muut päästöt sisältävät pienten lämpölaitosten päästöt, energiaperäiset erittelemättömät päästöt sekä liuottimien ja tuotteiden käytön. Myös polttoaineiden haihtumapäästöt ja epäsuorat hiilidioksidipäästöt sisältyvät muihin päästöihin. Päästökauppasektorin energiankäytön muut kuin hiilidioksidipäästöt jakautuvat teollisuudelle ja muihin päästöihin.</w:t>
      </w:r>
      <w:r w:rsidR="00EB765E" w:rsidRPr="00EE684D">
        <w:rPr>
          <w:noProof/>
        </w:rPr>
        <w:t xml:space="preserve"> </w:t>
      </w:r>
    </w:p>
    <w:p w14:paraId="5E39C6C3" w14:textId="77777777" w:rsidR="00EB765E" w:rsidRPr="008777BF" w:rsidRDefault="00EB765E" w:rsidP="00EB765E">
      <w:pPr>
        <w:pStyle w:val="VNLeip1kappale"/>
        <w:rPr>
          <w:lang w:eastAsia="en-US"/>
        </w:rPr>
      </w:pPr>
      <w:r>
        <w:rPr>
          <w:noProof/>
        </w:rPr>
        <w:lastRenderedPageBreak/>
        <w:drawing>
          <wp:inline distT="0" distB="0" distL="0" distR="0" wp14:anchorId="56DF2AFC" wp14:editId="4A80F8C9">
            <wp:extent cx="4895850" cy="2899410"/>
            <wp:effectExtent l="0" t="0" r="0" b="0"/>
            <wp:docPr id="659087417" name="Kaavio 1">
              <a:extLst xmlns:a="http://schemas.openxmlformats.org/drawingml/2006/main">
                <a:ext uri="{FF2B5EF4-FFF2-40B4-BE49-F238E27FC236}">
                  <a16:creationId xmlns:a16="http://schemas.microsoft.com/office/drawing/2014/main" id="{DC9BB08A-CDAE-457C-A384-1D6690061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98B1CED" w14:textId="4D5393A1" w:rsidR="00EB765E" w:rsidRDefault="00052839" w:rsidP="00BF7B43">
      <w:pPr>
        <w:pStyle w:val="Kuvaotsikko"/>
        <w:rPr>
          <w:lang w:eastAsia="en-US"/>
        </w:rPr>
      </w:pPr>
      <w:bookmarkStart w:id="86" w:name="_Ref201650584"/>
      <w:r>
        <w:t xml:space="preserve">Taulukko </w:t>
      </w:r>
      <w:r>
        <w:fldChar w:fldCharType="begin"/>
      </w:r>
      <w:r>
        <w:instrText xml:space="preserve"> SEQ Taulukko \* ARABIC </w:instrText>
      </w:r>
      <w:r>
        <w:fldChar w:fldCharType="separate"/>
      </w:r>
      <w:r w:rsidR="00327A3A">
        <w:rPr>
          <w:noProof/>
        </w:rPr>
        <w:t>1</w:t>
      </w:r>
      <w:r>
        <w:fldChar w:fldCharType="end"/>
      </w:r>
      <w:bookmarkEnd w:id="86"/>
      <w:r>
        <w:t>.</w:t>
      </w:r>
      <w:r w:rsidR="00EB765E" w:rsidRPr="000C6C34">
        <w:rPr>
          <w:lang w:eastAsia="en-US"/>
        </w:rPr>
        <w:t xml:space="preserve">Taakanjakosektorin päästöt vuosina </w:t>
      </w:r>
      <w:proofErr w:type="gramStart"/>
      <w:r w:rsidR="00EB765E" w:rsidRPr="7FC34D61">
        <w:rPr>
          <w:lang w:eastAsia="en-US"/>
        </w:rPr>
        <w:t>2005</w:t>
      </w:r>
      <w:r w:rsidR="4EB8F0B2" w:rsidRPr="7FC34D61">
        <w:rPr>
          <w:lang w:eastAsia="en-US"/>
        </w:rPr>
        <w:t>-</w:t>
      </w:r>
      <w:r w:rsidR="00EB765E" w:rsidRPr="7FC34D61">
        <w:rPr>
          <w:lang w:eastAsia="en-US"/>
        </w:rPr>
        <w:t>2023</w:t>
      </w:r>
      <w:proofErr w:type="gramEnd"/>
      <w:r w:rsidR="00ED2DC0">
        <w:rPr>
          <w:lang w:eastAsia="en-US"/>
        </w:rPr>
        <w:t xml:space="preserve"> ja 2024</w:t>
      </w:r>
      <w:r w:rsidR="00EB765E" w:rsidRPr="000C6C34">
        <w:rPr>
          <w:lang w:eastAsia="en-US"/>
        </w:rPr>
        <w:t xml:space="preserve"> sekä muutos vuoteen 2005 verrattuna. (Tilastokeskus 202</w:t>
      </w:r>
      <w:r w:rsidR="00ED2DC0">
        <w:rPr>
          <w:lang w:eastAsia="en-US"/>
        </w:rPr>
        <w:t>5</w:t>
      </w:r>
      <w:r w:rsidR="00EB765E" w:rsidRPr="000C6C34">
        <w:rPr>
          <w:lang w:eastAsia="en-US"/>
        </w:rPr>
        <w:t>)</w:t>
      </w:r>
      <w:r w:rsidR="00EB765E" w:rsidRPr="4D620AC3">
        <w:rPr>
          <w:lang w:eastAsia="en-US"/>
        </w:rPr>
        <w:t xml:space="preserve"> </w:t>
      </w:r>
    </w:p>
    <w:tbl>
      <w:tblPr>
        <w:tblW w:w="7760" w:type="dxa"/>
        <w:tblCellMar>
          <w:left w:w="70" w:type="dxa"/>
          <w:right w:w="70" w:type="dxa"/>
        </w:tblCellMar>
        <w:tblLook w:val="04A0" w:firstRow="1" w:lastRow="0" w:firstColumn="1" w:lastColumn="0" w:noHBand="0" w:noVBand="1"/>
      </w:tblPr>
      <w:tblGrid>
        <w:gridCol w:w="2560"/>
        <w:gridCol w:w="1040"/>
        <w:gridCol w:w="1040"/>
        <w:gridCol w:w="1040"/>
        <w:gridCol w:w="1040"/>
        <w:gridCol w:w="1040"/>
      </w:tblGrid>
      <w:tr w:rsidR="00ED2DC0" w:rsidRPr="00ED2DC0" w14:paraId="58F5F16A" w14:textId="77777777" w:rsidTr="003B0EAF">
        <w:trPr>
          <w:trHeight w:val="520"/>
        </w:trPr>
        <w:tc>
          <w:tcPr>
            <w:tcW w:w="2560" w:type="dxa"/>
            <w:tcBorders>
              <w:top w:val="nil"/>
              <w:left w:val="nil"/>
              <w:bottom w:val="nil"/>
              <w:right w:val="nil"/>
            </w:tcBorders>
            <w:noWrap/>
            <w:vAlign w:val="center"/>
            <w:hideMark/>
          </w:tcPr>
          <w:p w14:paraId="0E13BEE8" w14:textId="77777777" w:rsidR="00ED2DC0" w:rsidRPr="00ED2DC0" w:rsidRDefault="00ED2DC0" w:rsidP="00ED2DC0">
            <w:pPr>
              <w:rPr>
                <w:rFonts w:ascii="Times New Roman" w:hAnsi="Times New Roman"/>
                <w:sz w:val="24"/>
                <w:szCs w:val="24"/>
                <w:vertAlign w:val="subscript"/>
              </w:rPr>
            </w:pPr>
          </w:p>
        </w:tc>
        <w:tc>
          <w:tcPr>
            <w:tcW w:w="1040" w:type="dxa"/>
            <w:tcBorders>
              <w:top w:val="single" w:sz="4" w:space="0" w:color="auto"/>
              <w:left w:val="single" w:sz="4" w:space="0" w:color="auto"/>
              <w:bottom w:val="single" w:sz="4" w:space="0" w:color="auto"/>
              <w:right w:val="single" w:sz="4" w:space="0" w:color="auto"/>
            </w:tcBorders>
            <w:shd w:val="clear" w:color="auto" w:fill="B9FFFC"/>
            <w:vAlign w:val="center"/>
            <w:hideMark/>
          </w:tcPr>
          <w:p w14:paraId="77A8A1F2" w14:textId="3EFD4342" w:rsidR="00ED2DC0" w:rsidRPr="00ED2DC0" w:rsidRDefault="00ED2DC0" w:rsidP="1CC415EA">
            <w:pPr>
              <w:jc w:val="center"/>
              <w:rPr>
                <w:rFonts w:cs="Arial"/>
                <w:b/>
                <w:bCs/>
                <w:color w:val="000000" w:themeColor="text1"/>
              </w:rPr>
            </w:pPr>
            <w:r w:rsidRPr="1CC415EA">
              <w:rPr>
                <w:rFonts w:cs="Arial"/>
                <w:b/>
                <w:color w:val="000000" w:themeColor="text1"/>
              </w:rPr>
              <w:t>2005</w:t>
            </w:r>
          </w:p>
          <w:p w14:paraId="268F8F71" w14:textId="5E1A7A4B" w:rsidR="00ED2DC0" w:rsidRPr="00ED2DC0" w:rsidRDefault="40C6EBBD" w:rsidP="00ED2DC0">
            <w:pPr>
              <w:jc w:val="center"/>
              <w:rPr>
                <w:rFonts w:cs="Arial"/>
                <w:b/>
                <w:bCs/>
                <w:color w:val="000000"/>
              </w:rPr>
            </w:pPr>
            <w:r w:rsidRPr="00084674">
              <w:rPr>
                <w:rFonts w:cs="Arial"/>
                <w:b/>
                <w:color w:val="000000" w:themeColor="text1"/>
                <w:sz w:val="16"/>
                <w:szCs w:val="16"/>
              </w:rPr>
              <w:t>(Mt CO</w:t>
            </w:r>
            <w:r w:rsidRPr="00084674">
              <w:rPr>
                <w:rFonts w:cs="Arial"/>
                <w:b/>
                <w:color w:val="000000" w:themeColor="text1"/>
                <w:sz w:val="16"/>
                <w:szCs w:val="16"/>
                <w:vertAlign w:val="subscript"/>
              </w:rPr>
              <w:t>2</w:t>
            </w:r>
            <w:r w:rsidRPr="00084674">
              <w:rPr>
                <w:rFonts w:cs="Arial"/>
                <w:b/>
                <w:color w:val="000000" w:themeColor="text1"/>
                <w:sz w:val="16"/>
                <w:szCs w:val="16"/>
              </w:rPr>
              <w:t>-ekv.</w:t>
            </w:r>
            <w:r w:rsidRPr="1CC415EA">
              <w:rPr>
                <w:rFonts w:cs="Arial"/>
                <w:b/>
                <w:bCs/>
                <w:color w:val="000000" w:themeColor="text1"/>
              </w:rPr>
              <w:t>)</w:t>
            </w:r>
          </w:p>
        </w:tc>
        <w:tc>
          <w:tcPr>
            <w:tcW w:w="1040" w:type="dxa"/>
            <w:tcBorders>
              <w:top w:val="single" w:sz="4" w:space="0" w:color="auto"/>
              <w:left w:val="nil"/>
              <w:bottom w:val="single" w:sz="4" w:space="0" w:color="auto"/>
              <w:right w:val="single" w:sz="4" w:space="0" w:color="auto"/>
            </w:tcBorders>
            <w:shd w:val="clear" w:color="auto" w:fill="B9FFFC"/>
            <w:vAlign w:val="center"/>
            <w:hideMark/>
          </w:tcPr>
          <w:p w14:paraId="50AFD26C" w14:textId="330EB1C4" w:rsidR="00ED2DC0" w:rsidRPr="00ED2DC0" w:rsidRDefault="00ED2DC0" w:rsidP="0234ADF9">
            <w:pPr>
              <w:jc w:val="center"/>
              <w:rPr>
                <w:rFonts w:cs="Arial"/>
                <w:b/>
                <w:bCs/>
                <w:color w:val="000000" w:themeColor="text1"/>
              </w:rPr>
            </w:pPr>
            <w:r w:rsidRPr="0234ADF9">
              <w:rPr>
                <w:rFonts w:cs="Arial"/>
                <w:b/>
                <w:color w:val="000000" w:themeColor="text1"/>
              </w:rPr>
              <w:t>2023</w:t>
            </w:r>
          </w:p>
          <w:p w14:paraId="6C7EAEA0" w14:textId="07DCC247" w:rsidR="00ED2DC0" w:rsidRPr="00084674" w:rsidRDefault="73029B68" w:rsidP="00ED2DC0">
            <w:pPr>
              <w:jc w:val="center"/>
              <w:rPr>
                <w:rFonts w:cs="Arial"/>
                <w:b/>
                <w:color w:val="000000"/>
                <w:sz w:val="16"/>
                <w:szCs w:val="16"/>
              </w:rPr>
            </w:pPr>
            <w:r w:rsidRPr="00084674">
              <w:rPr>
                <w:rFonts w:cs="Arial"/>
                <w:b/>
                <w:color w:val="000000" w:themeColor="text1"/>
                <w:sz w:val="16"/>
                <w:szCs w:val="16"/>
              </w:rPr>
              <w:t>(Mt CO</w:t>
            </w:r>
            <w:r w:rsidRPr="00084674">
              <w:rPr>
                <w:rFonts w:cs="Arial"/>
                <w:b/>
                <w:color w:val="000000" w:themeColor="text1"/>
                <w:sz w:val="16"/>
                <w:szCs w:val="16"/>
                <w:vertAlign w:val="subscript"/>
              </w:rPr>
              <w:t>2</w:t>
            </w:r>
            <w:r w:rsidRPr="00084674">
              <w:rPr>
                <w:rFonts w:cs="Arial"/>
                <w:b/>
                <w:color w:val="000000" w:themeColor="text1"/>
                <w:sz w:val="16"/>
                <w:szCs w:val="16"/>
              </w:rPr>
              <w:t>-ekv.)</w:t>
            </w:r>
          </w:p>
        </w:tc>
        <w:tc>
          <w:tcPr>
            <w:tcW w:w="1040" w:type="dxa"/>
            <w:tcBorders>
              <w:top w:val="single" w:sz="4" w:space="0" w:color="auto"/>
              <w:left w:val="nil"/>
              <w:bottom w:val="single" w:sz="4" w:space="0" w:color="auto"/>
              <w:right w:val="single" w:sz="4" w:space="0" w:color="auto"/>
            </w:tcBorders>
            <w:shd w:val="clear" w:color="auto" w:fill="B9FFFC"/>
            <w:vAlign w:val="center"/>
            <w:hideMark/>
          </w:tcPr>
          <w:p w14:paraId="7F6E5F1A" w14:textId="11075D51" w:rsidR="00ED2DC0" w:rsidRPr="00ED2DC0" w:rsidRDefault="00ED2DC0" w:rsidP="0234ADF9">
            <w:pPr>
              <w:jc w:val="center"/>
              <w:rPr>
                <w:rFonts w:cs="Arial"/>
                <w:b/>
                <w:bCs/>
                <w:color w:val="000000" w:themeColor="text1"/>
              </w:rPr>
            </w:pPr>
            <w:r w:rsidRPr="0234ADF9">
              <w:rPr>
                <w:rFonts w:cs="Arial"/>
                <w:b/>
                <w:color w:val="000000" w:themeColor="text1"/>
              </w:rPr>
              <w:t>2024</w:t>
            </w:r>
          </w:p>
          <w:p w14:paraId="52FE2264" w14:textId="06E4528A" w:rsidR="00ED2DC0" w:rsidRPr="00084674" w:rsidRDefault="0C5BF62D" w:rsidP="00ED2DC0">
            <w:pPr>
              <w:jc w:val="center"/>
              <w:rPr>
                <w:rFonts w:cs="Arial"/>
                <w:b/>
                <w:color w:val="000000"/>
                <w:sz w:val="16"/>
                <w:szCs w:val="16"/>
              </w:rPr>
            </w:pPr>
            <w:r w:rsidRPr="00084674">
              <w:rPr>
                <w:rFonts w:cs="Arial"/>
                <w:b/>
                <w:color w:val="000000" w:themeColor="text1"/>
                <w:sz w:val="16"/>
                <w:szCs w:val="16"/>
              </w:rPr>
              <w:t>(Mt CO</w:t>
            </w:r>
            <w:r w:rsidRPr="00084674">
              <w:rPr>
                <w:rFonts w:cs="Arial"/>
                <w:b/>
                <w:color w:val="000000" w:themeColor="text1"/>
                <w:sz w:val="16"/>
                <w:szCs w:val="16"/>
                <w:vertAlign w:val="subscript"/>
              </w:rPr>
              <w:t>2</w:t>
            </w:r>
            <w:r w:rsidRPr="00084674">
              <w:rPr>
                <w:rFonts w:cs="Arial"/>
                <w:b/>
                <w:color w:val="000000" w:themeColor="text1"/>
                <w:sz w:val="16"/>
                <w:szCs w:val="16"/>
              </w:rPr>
              <w:t>-ekv.)</w:t>
            </w:r>
          </w:p>
        </w:tc>
        <w:tc>
          <w:tcPr>
            <w:tcW w:w="1040" w:type="dxa"/>
            <w:tcBorders>
              <w:top w:val="single" w:sz="4" w:space="0" w:color="auto"/>
              <w:left w:val="nil"/>
              <w:bottom w:val="single" w:sz="4" w:space="0" w:color="auto"/>
              <w:right w:val="single" w:sz="4" w:space="0" w:color="auto"/>
            </w:tcBorders>
            <w:shd w:val="clear" w:color="auto" w:fill="B9FFFC"/>
            <w:vAlign w:val="center"/>
            <w:hideMark/>
          </w:tcPr>
          <w:p w14:paraId="7A7A3050" w14:textId="5ABC3FA8" w:rsidR="00ED2DC0" w:rsidRPr="00ED2DC0" w:rsidRDefault="00ED2DC0" w:rsidP="00ED2DC0">
            <w:pPr>
              <w:jc w:val="center"/>
              <w:rPr>
                <w:rFonts w:cs="Arial"/>
                <w:b/>
                <w:bCs/>
                <w:color w:val="000000"/>
              </w:rPr>
            </w:pPr>
            <w:r w:rsidRPr="320090D4">
              <w:rPr>
                <w:rFonts w:cs="Arial"/>
                <w:b/>
                <w:color w:val="000000" w:themeColor="text1"/>
              </w:rPr>
              <w:t xml:space="preserve">Muutos 05-23 </w:t>
            </w:r>
            <w:r w:rsidRPr="00084674">
              <w:rPr>
                <w:rFonts w:cs="Arial"/>
                <w:b/>
                <w:color w:val="000000" w:themeColor="text1"/>
                <w:sz w:val="16"/>
                <w:szCs w:val="16"/>
              </w:rPr>
              <w:t>(Mt</w:t>
            </w:r>
            <w:r w:rsidR="05511B88" w:rsidRPr="00084674">
              <w:rPr>
                <w:rFonts w:cs="Arial"/>
                <w:b/>
                <w:color w:val="000000" w:themeColor="text1"/>
                <w:sz w:val="16"/>
                <w:szCs w:val="16"/>
              </w:rPr>
              <w:t xml:space="preserve"> CO</w:t>
            </w:r>
            <w:r w:rsidR="05511B88" w:rsidRPr="00084674">
              <w:rPr>
                <w:rFonts w:cs="Arial"/>
                <w:b/>
                <w:color w:val="000000" w:themeColor="text1"/>
                <w:sz w:val="16"/>
                <w:szCs w:val="16"/>
                <w:vertAlign w:val="subscript"/>
              </w:rPr>
              <w:t>2</w:t>
            </w:r>
            <w:r w:rsidR="05511B88" w:rsidRPr="00084674">
              <w:rPr>
                <w:rFonts w:cs="Arial"/>
                <w:b/>
                <w:color w:val="000000" w:themeColor="text1"/>
                <w:sz w:val="16"/>
                <w:szCs w:val="16"/>
              </w:rPr>
              <w:t>-ekv.</w:t>
            </w:r>
            <w:r w:rsidRPr="00084674">
              <w:rPr>
                <w:rFonts w:cs="Arial"/>
                <w:b/>
                <w:color w:val="000000" w:themeColor="text1"/>
                <w:sz w:val="16"/>
                <w:szCs w:val="16"/>
              </w:rPr>
              <w:t>)</w:t>
            </w:r>
          </w:p>
        </w:tc>
        <w:tc>
          <w:tcPr>
            <w:tcW w:w="1040" w:type="dxa"/>
            <w:tcBorders>
              <w:top w:val="single" w:sz="4" w:space="0" w:color="auto"/>
              <w:left w:val="nil"/>
              <w:bottom w:val="single" w:sz="4" w:space="0" w:color="auto"/>
              <w:right w:val="single" w:sz="4" w:space="0" w:color="auto"/>
            </w:tcBorders>
            <w:shd w:val="clear" w:color="auto" w:fill="B9FFFC"/>
            <w:vAlign w:val="center"/>
            <w:hideMark/>
          </w:tcPr>
          <w:p w14:paraId="3C9C7309" w14:textId="77777777" w:rsidR="00ED2DC0" w:rsidRPr="00ED2DC0" w:rsidRDefault="00ED2DC0" w:rsidP="00ED2DC0">
            <w:pPr>
              <w:jc w:val="center"/>
              <w:rPr>
                <w:rFonts w:cs="Arial"/>
                <w:b/>
                <w:bCs/>
                <w:color w:val="000000"/>
              </w:rPr>
            </w:pPr>
            <w:r w:rsidRPr="3D3AFB34">
              <w:rPr>
                <w:rFonts w:cs="Arial"/>
                <w:b/>
                <w:color w:val="000000" w:themeColor="text1"/>
              </w:rPr>
              <w:t xml:space="preserve">Muutos 05-23 </w:t>
            </w:r>
            <w:r w:rsidRPr="00084674">
              <w:rPr>
                <w:rFonts w:cs="Arial"/>
                <w:b/>
                <w:color w:val="000000" w:themeColor="text1"/>
                <w:sz w:val="16"/>
                <w:szCs w:val="16"/>
              </w:rPr>
              <w:t>(%)</w:t>
            </w:r>
          </w:p>
        </w:tc>
      </w:tr>
      <w:tr w:rsidR="00ED2DC0" w:rsidRPr="00ED2DC0" w14:paraId="1F1F2232" w14:textId="77777777" w:rsidTr="003B0EAF">
        <w:trPr>
          <w:trHeight w:val="280"/>
        </w:trPr>
        <w:tc>
          <w:tcPr>
            <w:tcW w:w="2560" w:type="dxa"/>
            <w:tcBorders>
              <w:top w:val="single" w:sz="4" w:space="0" w:color="auto"/>
              <w:left w:val="single" w:sz="4" w:space="0" w:color="auto"/>
              <w:bottom w:val="single" w:sz="4" w:space="0" w:color="auto"/>
              <w:right w:val="single" w:sz="4" w:space="0" w:color="auto"/>
            </w:tcBorders>
            <w:vAlign w:val="center"/>
            <w:hideMark/>
          </w:tcPr>
          <w:p w14:paraId="6E3B64D8" w14:textId="77777777" w:rsidR="00ED2DC0" w:rsidRPr="00ED2DC0" w:rsidRDefault="00ED2DC0" w:rsidP="00ED2DC0">
            <w:pPr>
              <w:rPr>
                <w:rFonts w:cs="Arial"/>
                <w:b/>
                <w:bCs/>
                <w:color w:val="000000"/>
              </w:rPr>
            </w:pPr>
            <w:r w:rsidRPr="00ED2DC0">
              <w:rPr>
                <w:rFonts w:cs="Arial"/>
                <w:b/>
                <w:bCs/>
                <w:color w:val="000000"/>
              </w:rPr>
              <w:t>Liikenne</w:t>
            </w:r>
          </w:p>
        </w:tc>
        <w:tc>
          <w:tcPr>
            <w:tcW w:w="1040" w:type="dxa"/>
            <w:tcBorders>
              <w:top w:val="nil"/>
              <w:left w:val="nil"/>
              <w:bottom w:val="single" w:sz="4" w:space="0" w:color="auto"/>
              <w:right w:val="single" w:sz="4" w:space="0" w:color="auto"/>
            </w:tcBorders>
            <w:noWrap/>
            <w:vAlign w:val="center"/>
            <w:hideMark/>
          </w:tcPr>
          <w:p w14:paraId="77989D8A" w14:textId="77777777" w:rsidR="00ED2DC0" w:rsidRPr="00ED2DC0" w:rsidRDefault="00ED2DC0" w:rsidP="00ED2DC0">
            <w:pPr>
              <w:jc w:val="center"/>
              <w:rPr>
                <w:rFonts w:cs="Arial"/>
                <w:color w:val="000000"/>
              </w:rPr>
            </w:pPr>
            <w:r w:rsidRPr="00ED2DC0">
              <w:rPr>
                <w:rFonts w:cs="Arial"/>
                <w:color w:val="000000"/>
              </w:rPr>
              <w:t>12,6</w:t>
            </w:r>
          </w:p>
        </w:tc>
        <w:tc>
          <w:tcPr>
            <w:tcW w:w="1040" w:type="dxa"/>
            <w:tcBorders>
              <w:top w:val="nil"/>
              <w:left w:val="nil"/>
              <w:bottom w:val="single" w:sz="4" w:space="0" w:color="auto"/>
              <w:right w:val="single" w:sz="4" w:space="0" w:color="auto"/>
            </w:tcBorders>
            <w:noWrap/>
            <w:vAlign w:val="center"/>
            <w:hideMark/>
          </w:tcPr>
          <w:p w14:paraId="34E0A6B4" w14:textId="77777777" w:rsidR="00ED2DC0" w:rsidRPr="00ED2DC0" w:rsidRDefault="00ED2DC0" w:rsidP="00ED2DC0">
            <w:pPr>
              <w:jc w:val="center"/>
              <w:rPr>
                <w:rFonts w:cs="Arial"/>
                <w:color w:val="000000"/>
              </w:rPr>
            </w:pPr>
            <w:r w:rsidRPr="00ED2DC0">
              <w:rPr>
                <w:rFonts w:cs="Arial"/>
                <w:color w:val="000000"/>
              </w:rPr>
              <w:t>9,3</w:t>
            </w:r>
          </w:p>
        </w:tc>
        <w:tc>
          <w:tcPr>
            <w:tcW w:w="1040" w:type="dxa"/>
            <w:tcBorders>
              <w:top w:val="nil"/>
              <w:left w:val="nil"/>
              <w:bottom w:val="single" w:sz="4" w:space="0" w:color="auto"/>
              <w:right w:val="single" w:sz="4" w:space="0" w:color="auto"/>
            </w:tcBorders>
            <w:noWrap/>
            <w:vAlign w:val="center"/>
            <w:hideMark/>
          </w:tcPr>
          <w:p w14:paraId="29680CB3" w14:textId="77777777" w:rsidR="00ED2DC0" w:rsidRPr="00ED2DC0" w:rsidRDefault="00ED2DC0" w:rsidP="00ED2DC0">
            <w:pPr>
              <w:jc w:val="center"/>
              <w:rPr>
                <w:rFonts w:cs="Arial"/>
                <w:color w:val="000000"/>
              </w:rPr>
            </w:pPr>
            <w:r w:rsidRPr="00ED2DC0">
              <w:rPr>
                <w:rFonts w:cs="Arial"/>
                <w:color w:val="000000"/>
              </w:rPr>
              <w:t>9,7</w:t>
            </w:r>
          </w:p>
        </w:tc>
        <w:tc>
          <w:tcPr>
            <w:tcW w:w="1040" w:type="dxa"/>
            <w:tcBorders>
              <w:top w:val="nil"/>
              <w:left w:val="nil"/>
              <w:bottom w:val="single" w:sz="4" w:space="0" w:color="auto"/>
              <w:right w:val="single" w:sz="4" w:space="0" w:color="auto"/>
            </w:tcBorders>
            <w:noWrap/>
            <w:vAlign w:val="center"/>
            <w:hideMark/>
          </w:tcPr>
          <w:p w14:paraId="17BC098B" w14:textId="77777777" w:rsidR="00ED2DC0" w:rsidRPr="00ED2DC0" w:rsidRDefault="00ED2DC0" w:rsidP="00ED2DC0">
            <w:pPr>
              <w:jc w:val="center"/>
              <w:rPr>
                <w:rFonts w:cs="Arial"/>
                <w:color w:val="000000"/>
              </w:rPr>
            </w:pPr>
            <w:r w:rsidRPr="00ED2DC0">
              <w:rPr>
                <w:rFonts w:cs="Arial"/>
                <w:color w:val="000000"/>
              </w:rPr>
              <w:t>-2,9</w:t>
            </w:r>
          </w:p>
        </w:tc>
        <w:tc>
          <w:tcPr>
            <w:tcW w:w="1040" w:type="dxa"/>
            <w:tcBorders>
              <w:top w:val="nil"/>
              <w:left w:val="nil"/>
              <w:bottom w:val="single" w:sz="4" w:space="0" w:color="auto"/>
              <w:right w:val="single" w:sz="4" w:space="0" w:color="auto"/>
            </w:tcBorders>
            <w:noWrap/>
            <w:vAlign w:val="center"/>
            <w:hideMark/>
          </w:tcPr>
          <w:p w14:paraId="23C6DD29" w14:textId="77777777" w:rsidR="00ED2DC0" w:rsidRPr="00ED2DC0" w:rsidRDefault="00ED2DC0" w:rsidP="00ED2DC0">
            <w:pPr>
              <w:jc w:val="center"/>
              <w:rPr>
                <w:rFonts w:cs="Arial"/>
                <w:color w:val="000000"/>
              </w:rPr>
            </w:pPr>
            <w:r w:rsidRPr="00ED2DC0">
              <w:rPr>
                <w:rFonts w:cs="Arial"/>
                <w:color w:val="000000"/>
              </w:rPr>
              <w:t>-23 %</w:t>
            </w:r>
          </w:p>
        </w:tc>
      </w:tr>
      <w:tr w:rsidR="00ED2DC0" w:rsidRPr="00ED2DC0" w14:paraId="22F6A95B" w14:textId="77777777" w:rsidTr="003B0EAF">
        <w:trPr>
          <w:trHeight w:val="280"/>
        </w:trPr>
        <w:tc>
          <w:tcPr>
            <w:tcW w:w="2560" w:type="dxa"/>
            <w:tcBorders>
              <w:top w:val="nil"/>
              <w:left w:val="single" w:sz="4" w:space="0" w:color="auto"/>
              <w:bottom w:val="single" w:sz="4" w:space="0" w:color="auto"/>
              <w:right w:val="single" w:sz="4" w:space="0" w:color="auto"/>
            </w:tcBorders>
            <w:vAlign w:val="center"/>
            <w:hideMark/>
          </w:tcPr>
          <w:p w14:paraId="086FA9C4" w14:textId="77777777" w:rsidR="00ED2DC0" w:rsidRPr="00ED2DC0" w:rsidRDefault="00ED2DC0" w:rsidP="00ED2DC0">
            <w:pPr>
              <w:rPr>
                <w:rFonts w:cs="Arial"/>
                <w:b/>
                <w:bCs/>
                <w:color w:val="000000"/>
              </w:rPr>
            </w:pPr>
            <w:r w:rsidRPr="00ED2DC0">
              <w:rPr>
                <w:rFonts w:cs="Arial"/>
                <w:b/>
                <w:bCs/>
                <w:color w:val="000000"/>
              </w:rPr>
              <w:t>Maatalous</w:t>
            </w:r>
          </w:p>
        </w:tc>
        <w:tc>
          <w:tcPr>
            <w:tcW w:w="1040" w:type="dxa"/>
            <w:tcBorders>
              <w:top w:val="nil"/>
              <w:left w:val="nil"/>
              <w:bottom w:val="single" w:sz="4" w:space="0" w:color="auto"/>
              <w:right w:val="single" w:sz="4" w:space="0" w:color="auto"/>
            </w:tcBorders>
            <w:noWrap/>
            <w:vAlign w:val="center"/>
            <w:hideMark/>
          </w:tcPr>
          <w:p w14:paraId="3ED07043" w14:textId="77777777" w:rsidR="00ED2DC0" w:rsidRPr="00ED2DC0" w:rsidRDefault="00ED2DC0" w:rsidP="00ED2DC0">
            <w:pPr>
              <w:jc w:val="center"/>
              <w:rPr>
                <w:rFonts w:cs="Arial"/>
                <w:color w:val="000000"/>
              </w:rPr>
            </w:pPr>
            <w:r w:rsidRPr="00ED2DC0">
              <w:rPr>
                <w:rFonts w:cs="Arial"/>
                <w:color w:val="000000"/>
              </w:rPr>
              <w:t>6,4</w:t>
            </w:r>
          </w:p>
        </w:tc>
        <w:tc>
          <w:tcPr>
            <w:tcW w:w="1040" w:type="dxa"/>
            <w:tcBorders>
              <w:top w:val="nil"/>
              <w:left w:val="nil"/>
              <w:bottom w:val="single" w:sz="4" w:space="0" w:color="auto"/>
              <w:right w:val="single" w:sz="4" w:space="0" w:color="auto"/>
            </w:tcBorders>
            <w:noWrap/>
            <w:vAlign w:val="center"/>
            <w:hideMark/>
          </w:tcPr>
          <w:p w14:paraId="5D6F8CAF" w14:textId="77777777" w:rsidR="00ED2DC0" w:rsidRPr="00ED2DC0" w:rsidRDefault="00ED2DC0" w:rsidP="00ED2DC0">
            <w:pPr>
              <w:jc w:val="center"/>
              <w:rPr>
                <w:rFonts w:cs="Arial"/>
                <w:color w:val="000000"/>
              </w:rPr>
            </w:pPr>
            <w:r w:rsidRPr="00ED2DC0">
              <w:rPr>
                <w:rFonts w:cs="Arial"/>
                <w:color w:val="000000"/>
              </w:rPr>
              <w:t>6,2</w:t>
            </w:r>
          </w:p>
        </w:tc>
        <w:tc>
          <w:tcPr>
            <w:tcW w:w="1040" w:type="dxa"/>
            <w:tcBorders>
              <w:top w:val="nil"/>
              <w:left w:val="nil"/>
              <w:bottom w:val="single" w:sz="4" w:space="0" w:color="auto"/>
              <w:right w:val="single" w:sz="4" w:space="0" w:color="auto"/>
            </w:tcBorders>
            <w:noWrap/>
            <w:vAlign w:val="center"/>
            <w:hideMark/>
          </w:tcPr>
          <w:p w14:paraId="1B750751" w14:textId="77777777" w:rsidR="00ED2DC0" w:rsidRPr="00ED2DC0" w:rsidRDefault="00ED2DC0" w:rsidP="00ED2DC0">
            <w:pPr>
              <w:jc w:val="center"/>
              <w:rPr>
                <w:rFonts w:cs="Arial"/>
                <w:color w:val="000000"/>
              </w:rPr>
            </w:pPr>
            <w:r w:rsidRPr="00ED2DC0">
              <w:rPr>
                <w:rFonts w:cs="Arial"/>
                <w:color w:val="000000"/>
              </w:rPr>
              <w:t>6,1</w:t>
            </w:r>
          </w:p>
        </w:tc>
        <w:tc>
          <w:tcPr>
            <w:tcW w:w="1040" w:type="dxa"/>
            <w:tcBorders>
              <w:top w:val="nil"/>
              <w:left w:val="nil"/>
              <w:bottom w:val="single" w:sz="4" w:space="0" w:color="auto"/>
              <w:right w:val="single" w:sz="4" w:space="0" w:color="auto"/>
            </w:tcBorders>
            <w:noWrap/>
            <w:vAlign w:val="center"/>
            <w:hideMark/>
          </w:tcPr>
          <w:p w14:paraId="73A67DEC" w14:textId="77777777" w:rsidR="00ED2DC0" w:rsidRPr="00ED2DC0" w:rsidRDefault="00ED2DC0" w:rsidP="00ED2DC0">
            <w:pPr>
              <w:jc w:val="center"/>
              <w:rPr>
                <w:rFonts w:cs="Arial"/>
                <w:color w:val="000000"/>
              </w:rPr>
            </w:pPr>
            <w:r w:rsidRPr="00ED2DC0">
              <w:rPr>
                <w:rFonts w:cs="Arial"/>
                <w:color w:val="000000"/>
              </w:rPr>
              <w:t>-0,2</w:t>
            </w:r>
          </w:p>
        </w:tc>
        <w:tc>
          <w:tcPr>
            <w:tcW w:w="1040" w:type="dxa"/>
            <w:tcBorders>
              <w:top w:val="nil"/>
              <w:left w:val="nil"/>
              <w:bottom w:val="single" w:sz="4" w:space="0" w:color="auto"/>
              <w:right w:val="single" w:sz="4" w:space="0" w:color="auto"/>
            </w:tcBorders>
            <w:noWrap/>
            <w:vAlign w:val="center"/>
            <w:hideMark/>
          </w:tcPr>
          <w:p w14:paraId="5539BC39" w14:textId="77777777" w:rsidR="00ED2DC0" w:rsidRPr="00ED2DC0" w:rsidRDefault="00ED2DC0" w:rsidP="00ED2DC0">
            <w:pPr>
              <w:jc w:val="center"/>
              <w:rPr>
                <w:rFonts w:cs="Arial"/>
                <w:color w:val="000000"/>
              </w:rPr>
            </w:pPr>
            <w:r w:rsidRPr="00ED2DC0">
              <w:rPr>
                <w:rFonts w:cs="Arial"/>
                <w:color w:val="000000"/>
              </w:rPr>
              <w:t>-4 %</w:t>
            </w:r>
          </w:p>
        </w:tc>
      </w:tr>
      <w:tr w:rsidR="00ED2DC0" w:rsidRPr="00ED2DC0" w14:paraId="6B67DBA4" w14:textId="77777777" w:rsidTr="003B0EAF">
        <w:trPr>
          <w:trHeight w:val="520"/>
        </w:trPr>
        <w:tc>
          <w:tcPr>
            <w:tcW w:w="2560" w:type="dxa"/>
            <w:tcBorders>
              <w:top w:val="nil"/>
              <w:left w:val="single" w:sz="4" w:space="0" w:color="auto"/>
              <w:bottom w:val="single" w:sz="4" w:space="0" w:color="auto"/>
              <w:right w:val="single" w:sz="4" w:space="0" w:color="auto"/>
            </w:tcBorders>
            <w:vAlign w:val="center"/>
            <w:hideMark/>
          </w:tcPr>
          <w:p w14:paraId="6BCBC8F2" w14:textId="77777777" w:rsidR="00ED2DC0" w:rsidRPr="00ED2DC0" w:rsidRDefault="00ED2DC0" w:rsidP="00ED2DC0">
            <w:pPr>
              <w:rPr>
                <w:rFonts w:cs="Arial"/>
                <w:b/>
                <w:bCs/>
                <w:color w:val="000000"/>
              </w:rPr>
            </w:pPr>
            <w:r w:rsidRPr="00ED2DC0">
              <w:rPr>
                <w:rFonts w:cs="Arial"/>
                <w:b/>
                <w:bCs/>
                <w:color w:val="000000"/>
              </w:rPr>
              <w:t>Rakennusten erillislämmitys</w:t>
            </w:r>
          </w:p>
        </w:tc>
        <w:tc>
          <w:tcPr>
            <w:tcW w:w="1040" w:type="dxa"/>
            <w:tcBorders>
              <w:top w:val="nil"/>
              <w:left w:val="nil"/>
              <w:bottom w:val="single" w:sz="4" w:space="0" w:color="auto"/>
              <w:right w:val="single" w:sz="4" w:space="0" w:color="auto"/>
            </w:tcBorders>
            <w:noWrap/>
            <w:vAlign w:val="center"/>
            <w:hideMark/>
          </w:tcPr>
          <w:p w14:paraId="03E8D14C" w14:textId="77777777" w:rsidR="00ED2DC0" w:rsidRPr="00ED2DC0" w:rsidRDefault="00ED2DC0" w:rsidP="00ED2DC0">
            <w:pPr>
              <w:jc w:val="center"/>
              <w:rPr>
                <w:rFonts w:cs="Arial"/>
                <w:color w:val="000000"/>
              </w:rPr>
            </w:pPr>
            <w:r w:rsidRPr="00ED2DC0">
              <w:rPr>
                <w:rFonts w:cs="Arial"/>
                <w:color w:val="000000"/>
              </w:rPr>
              <w:t>4,1</w:t>
            </w:r>
          </w:p>
        </w:tc>
        <w:tc>
          <w:tcPr>
            <w:tcW w:w="1040" w:type="dxa"/>
            <w:tcBorders>
              <w:top w:val="nil"/>
              <w:left w:val="nil"/>
              <w:bottom w:val="single" w:sz="4" w:space="0" w:color="auto"/>
              <w:right w:val="single" w:sz="4" w:space="0" w:color="auto"/>
            </w:tcBorders>
            <w:noWrap/>
            <w:vAlign w:val="center"/>
            <w:hideMark/>
          </w:tcPr>
          <w:p w14:paraId="15B1FAF2" w14:textId="77777777" w:rsidR="00ED2DC0" w:rsidRPr="00ED2DC0" w:rsidRDefault="00ED2DC0" w:rsidP="00ED2DC0">
            <w:pPr>
              <w:jc w:val="center"/>
              <w:rPr>
                <w:rFonts w:cs="Arial"/>
                <w:color w:val="000000"/>
              </w:rPr>
            </w:pPr>
            <w:r w:rsidRPr="00ED2DC0">
              <w:rPr>
                <w:rFonts w:cs="Arial"/>
                <w:color w:val="000000"/>
              </w:rPr>
              <w:t>1,6</w:t>
            </w:r>
          </w:p>
        </w:tc>
        <w:tc>
          <w:tcPr>
            <w:tcW w:w="1040" w:type="dxa"/>
            <w:tcBorders>
              <w:top w:val="nil"/>
              <w:left w:val="nil"/>
              <w:bottom w:val="single" w:sz="4" w:space="0" w:color="auto"/>
              <w:right w:val="single" w:sz="4" w:space="0" w:color="auto"/>
            </w:tcBorders>
            <w:noWrap/>
            <w:vAlign w:val="center"/>
            <w:hideMark/>
          </w:tcPr>
          <w:p w14:paraId="67F4E171" w14:textId="77777777" w:rsidR="00ED2DC0" w:rsidRPr="00ED2DC0" w:rsidRDefault="00ED2DC0" w:rsidP="00ED2DC0">
            <w:pPr>
              <w:jc w:val="center"/>
              <w:rPr>
                <w:rFonts w:cs="Arial"/>
                <w:color w:val="000000"/>
              </w:rPr>
            </w:pPr>
            <w:r w:rsidRPr="00ED2DC0">
              <w:rPr>
                <w:rFonts w:cs="Arial"/>
                <w:color w:val="000000"/>
              </w:rPr>
              <w:t>-</w:t>
            </w:r>
          </w:p>
        </w:tc>
        <w:tc>
          <w:tcPr>
            <w:tcW w:w="1040" w:type="dxa"/>
            <w:tcBorders>
              <w:top w:val="nil"/>
              <w:left w:val="nil"/>
              <w:bottom w:val="single" w:sz="4" w:space="0" w:color="auto"/>
              <w:right w:val="single" w:sz="4" w:space="0" w:color="auto"/>
            </w:tcBorders>
            <w:noWrap/>
            <w:vAlign w:val="center"/>
            <w:hideMark/>
          </w:tcPr>
          <w:p w14:paraId="3879897D" w14:textId="77777777" w:rsidR="00ED2DC0" w:rsidRPr="00ED2DC0" w:rsidRDefault="00ED2DC0" w:rsidP="00ED2DC0">
            <w:pPr>
              <w:jc w:val="center"/>
              <w:rPr>
                <w:rFonts w:cs="Arial"/>
                <w:color w:val="000000"/>
              </w:rPr>
            </w:pPr>
            <w:r w:rsidRPr="00ED2DC0">
              <w:rPr>
                <w:rFonts w:cs="Arial"/>
                <w:color w:val="000000"/>
              </w:rPr>
              <w:t>-</w:t>
            </w:r>
          </w:p>
        </w:tc>
        <w:tc>
          <w:tcPr>
            <w:tcW w:w="1040" w:type="dxa"/>
            <w:tcBorders>
              <w:top w:val="nil"/>
              <w:left w:val="nil"/>
              <w:bottom w:val="single" w:sz="4" w:space="0" w:color="auto"/>
              <w:right w:val="single" w:sz="4" w:space="0" w:color="auto"/>
            </w:tcBorders>
            <w:noWrap/>
            <w:vAlign w:val="center"/>
            <w:hideMark/>
          </w:tcPr>
          <w:p w14:paraId="299C474B" w14:textId="77777777" w:rsidR="00ED2DC0" w:rsidRPr="00ED2DC0" w:rsidRDefault="00ED2DC0" w:rsidP="00ED2DC0">
            <w:pPr>
              <w:jc w:val="center"/>
              <w:rPr>
                <w:rFonts w:cs="Arial"/>
                <w:color w:val="000000"/>
              </w:rPr>
            </w:pPr>
            <w:r w:rsidRPr="00ED2DC0">
              <w:rPr>
                <w:rFonts w:cs="Arial"/>
                <w:color w:val="000000"/>
              </w:rPr>
              <w:t> </w:t>
            </w:r>
          </w:p>
        </w:tc>
      </w:tr>
      <w:tr w:rsidR="00ED2DC0" w:rsidRPr="00ED2DC0" w14:paraId="188F0C3B" w14:textId="77777777" w:rsidTr="003B0EAF">
        <w:trPr>
          <w:trHeight w:val="280"/>
        </w:trPr>
        <w:tc>
          <w:tcPr>
            <w:tcW w:w="2560" w:type="dxa"/>
            <w:tcBorders>
              <w:top w:val="nil"/>
              <w:left w:val="single" w:sz="4" w:space="0" w:color="auto"/>
              <w:bottom w:val="single" w:sz="4" w:space="0" w:color="auto"/>
              <w:right w:val="single" w:sz="4" w:space="0" w:color="auto"/>
            </w:tcBorders>
            <w:vAlign w:val="center"/>
            <w:hideMark/>
          </w:tcPr>
          <w:p w14:paraId="0A6202CA" w14:textId="77777777" w:rsidR="00ED2DC0" w:rsidRPr="00ED2DC0" w:rsidRDefault="00ED2DC0" w:rsidP="00ED2DC0">
            <w:pPr>
              <w:rPr>
                <w:rFonts w:cs="Arial"/>
                <w:b/>
                <w:bCs/>
                <w:color w:val="000000"/>
              </w:rPr>
            </w:pPr>
            <w:r w:rsidRPr="00ED2DC0">
              <w:rPr>
                <w:rFonts w:cs="Arial"/>
                <w:b/>
                <w:bCs/>
                <w:color w:val="000000"/>
              </w:rPr>
              <w:t>Työkoneet</w:t>
            </w:r>
          </w:p>
        </w:tc>
        <w:tc>
          <w:tcPr>
            <w:tcW w:w="1040" w:type="dxa"/>
            <w:tcBorders>
              <w:top w:val="nil"/>
              <w:left w:val="nil"/>
              <w:bottom w:val="single" w:sz="4" w:space="0" w:color="auto"/>
              <w:right w:val="single" w:sz="4" w:space="0" w:color="auto"/>
            </w:tcBorders>
            <w:noWrap/>
            <w:vAlign w:val="center"/>
            <w:hideMark/>
          </w:tcPr>
          <w:p w14:paraId="6D11BB8C" w14:textId="77777777" w:rsidR="00ED2DC0" w:rsidRPr="00ED2DC0" w:rsidRDefault="00ED2DC0" w:rsidP="00ED2DC0">
            <w:pPr>
              <w:jc w:val="center"/>
              <w:rPr>
                <w:rFonts w:cs="Arial"/>
                <w:color w:val="000000"/>
              </w:rPr>
            </w:pPr>
            <w:r w:rsidRPr="00ED2DC0">
              <w:rPr>
                <w:rFonts w:cs="Arial"/>
                <w:color w:val="000000"/>
              </w:rPr>
              <w:t>2,6</w:t>
            </w:r>
          </w:p>
        </w:tc>
        <w:tc>
          <w:tcPr>
            <w:tcW w:w="1040" w:type="dxa"/>
            <w:tcBorders>
              <w:top w:val="nil"/>
              <w:left w:val="nil"/>
              <w:bottom w:val="single" w:sz="4" w:space="0" w:color="auto"/>
              <w:right w:val="single" w:sz="4" w:space="0" w:color="auto"/>
            </w:tcBorders>
            <w:noWrap/>
            <w:vAlign w:val="center"/>
            <w:hideMark/>
          </w:tcPr>
          <w:p w14:paraId="5C54E497" w14:textId="77777777" w:rsidR="00ED2DC0" w:rsidRPr="00ED2DC0" w:rsidRDefault="00ED2DC0" w:rsidP="00ED2DC0">
            <w:pPr>
              <w:jc w:val="center"/>
              <w:rPr>
                <w:rFonts w:cs="Arial"/>
                <w:color w:val="000000"/>
              </w:rPr>
            </w:pPr>
            <w:r w:rsidRPr="00ED2DC0">
              <w:rPr>
                <w:rFonts w:cs="Arial"/>
                <w:color w:val="000000"/>
              </w:rPr>
              <w:t>2,4</w:t>
            </w:r>
          </w:p>
        </w:tc>
        <w:tc>
          <w:tcPr>
            <w:tcW w:w="1040" w:type="dxa"/>
            <w:tcBorders>
              <w:top w:val="nil"/>
              <w:left w:val="nil"/>
              <w:bottom w:val="single" w:sz="4" w:space="0" w:color="auto"/>
              <w:right w:val="single" w:sz="4" w:space="0" w:color="auto"/>
            </w:tcBorders>
            <w:noWrap/>
            <w:vAlign w:val="center"/>
            <w:hideMark/>
          </w:tcPr>
          <w:p w14:paraId="3FD26313" w14:textId="77777777" w:rsidR="00ED2DC0" w:rsidRPr="00ED2DC0" w:rsidRDefault="00ED2DC0" w:rsidP="00ED2DC0">
            <w:pPr>
              <w:jc w:val="center"/>
              <w:rPr>
                <w:rFonts w:cs="Arial"/>
                <w:color w:val="000000"/>
              </w:rPr>
            </w:pPr>
            <w:r w:rsidRPr="00ED2DC0">
              <w:rPr>
                <w:rFonts w:cs="Arial"/>
                <w:color w:val="000000"/>
              </w:rPr>
              <w:t>-</w:t>
            </w:r>
          </w:p>
        </w:tc>
        <w:tc>
          <w:tcPr>
            <w:tcW w:w="1040" w:type="dxa"/>
            <w:tcBorders>
              <w:top w:val="nil"/>
              <w:left w:val="nil"/>
              <w:bottom w:val="single" w:sz="4" w:space="0" w:color="auto"/>
              <w:right w:val="single" w:sz="4" w:space="0" w:color="auto"/>
            </w:tcBorders>
            <w:noWrap/>
            <w:vAlign w:val="center"/>
            <w:hideMark/>
          </w:tcPr>
          <w:p w14:paraId="052FB12A" w14:textId="77777777" w:rsidR="00ED2DC0" w:rsidRPr="00ED2DC0" w:rsidRDefault="00ED2DC0" w:rsidP="00ED2DC0">
            <w:pPr>
              <w:jc w:val="center"/>
              <w:rPr>
                <w:rFonts w:cs="Arial"/>
                <w:color w:val="000000"/>
              </w:rPr>
            </w:pPr>
            <w:r w:rsidRPr="00ED2DC0">
              <w:rPr>
                <w:rFonts w:cs="Arial"/>
                <w:color w:val="000000"/>
              </w:rPr>
              <w:t>-</w:t>
            </w:r>
          </w:p>
        </w:tc>
        <w:tc>
          <w:tcPr>
            <w:tcW w:w="1040" w:type="dxa"/>
            <w:tcBorders>
              <w:top w:val="nil"/>
              <w:left w:val="nil"/>
              <w:bottom w:val="single" w:sz="4" w:space="0" w:color="auto"/>
              <w:right w:val="single" w:sz="4" w:space="0" w:color="auto"/>
            </w:tcBorders>
            <w:noWrap/>
            <w:vAlign w:val="center"/>
            <w:hideMark/>
          </w:tcPr>
          <w:p w14:paraId="11AC42E5" w14:textId="77777777" w:rsidR="00ED2DC0" w:rsidRPr="00ED2DC0" w:rsidRDefault="00ED2DC0" w:rsidP="00ED2DC0">
            <w:pPr>
              <w:jc w:val="center"/>
              <w:rPr>
                <w:rFonts w:cs="Arial"/>
                <w:color w:val="000000"/>
              </w:rPr>
            </w:pPr>
            <w:r w:rsidRPr="00ED2DC0">
              <w:rPr>
                <w:rFonts w:cs="Arial"/>
                <w:color w:val="000000"/>
              </w:rPr>
              <w:t> </w:t>
            </w:r>
          </w:p>
        </w:tc>
      </w:tr>
      <w:tr w:rsidR="00ED2DC0" w:rsidRPr="00ED2DC0" w14:paraId="30EC62CA" w14:textId="77777777" w:rsidTr="003B0EAF">
        <w:trPr>
          <w:trHeight w:val="280"/>
        </w:trPr>
        <w:tc>
          <w:tcPr>
            <w:tcW w:w="2560" w:type="dxa"/>
            <w:tcBorders>
              <w:top w:val="nil"/>
              <w:left w:val="single" w:sz="4" w:space="0" w:color="auto"/>
              <w:bottom w:val="single" w:sz="4" w:space="0" w:color="auto"/>
              <w:right w:val="single" w:sz="4" w:space="0" w:color="auto"/>
            </w:tcBorders>
            <w:vAlign w:val="center"/>
            <w:hideMark/>
          </w:tcPr>
          <w:p w14:paraId="42D50063" w14:textId="77777777" w:rsidR="00ED2DC0" w:rsidRPr="00ED2DC0" w:rsidRDefault="00ED2DC0" w:rsidP="00ED2DC0">
            <w:pPr>
              <w:rPr>
                <w:rFonts w:cs="Arial"/>
                <w:b/>
                <w:bCs/>
                <w:color w:val="000000"/>
              </w:rPr>
            </w:pPr>
            <w:r w:rsidRPr="00ED2DC0">
              <w:rPr>
                <w:rFonts w:cs="Arial"/>
                <w:b/>
                <w:bCs/>
                <w:color w:val="000000"/>
              </w:rPr>
              <w:t>Jätteiden käsittely</w:t>
            </w:r>
          </w:p>
        </w:tc>
        <w:tc>
          <w:tcPr>
            <w:tcW w:w="1040" w:type="dxa"/>
            <w:tcBorders>
              <w:top w:val="nil"/>
              <w:left w:val="nil"/>
              <w:bottom w:val="single" w:sz="4" w:space="0" w:color="auto"/>
              <w:right w:val="single" w:sz="4" w:space="0" w:color="auto"/>
            </w:tcBorders>
            <w:noWrap/>
            <w:vAlign w:val="center"/>
            <w:hideMark/>
          </w:tcPr>
          <w:p w14:paraId="007C9E5A" w14:textId="77777777" w:rsidR="00ED2DC0" w:rsidRPr="00ED2DC0" w:rsidRDefault="00ED2DC0" w:rsidP="00ED2DC0">
            <w:pPr>
              <w:jc w:val="center"/>
              <w:rPr>
                <w:rFonts w:cs="Arial"/>
                <w:color w:val="000000"/>
              </w:rPr>
            </w:pPr>
            <w:r w:rsidRPr="00ED2DC0">
              <w:rPr>
                <w:rFonts w:cs="Arial"/>
                <w:color w:val="000000"/>
              </w:rPr>
              <w:t>3,1</w:t>
            </w:r>
          </w:p>
        </w:tc>
        <w:tc>
          <w:tcPr>
            <w:tcW w:w="1040" w:type="dxa"/>
            <w:tcBorders>
              <w:top w:val="nil"/>
              <w:left w:val="nil"/>
              <w:bottom w:val="single" w:sz="4" w:space="0" w:color="auto"/>
              <w:right w:val="single" w:sz="4" w:space="0" w:color="auto"/>
            </w:tcBorders>
            <w:noWrap/>
            <w:vAlign w:val="center"/>
            <w:hideMark/>
          </w:tcPr>
          <w:p w14:paraId="47D381A4" w14:textId="77777777" w:rsidR="00ED2DC0" w:rsidRPr="00ED2DC0" w:rsidRDefault="00ED2DC0" w:rsidP="00ED2DC0">
            <w:pPr>
              <w:jc w:val="center"/>
              <w:rPr>
                <w:rFonts w:cs="Arial"/>
                <w:color w:val="000000"/>
              </w:rPr>
            </w:pPr>
            <w:r w:rsidRPr="00ED2DC0">
              <w:rPr>
                <w:rFonts w:cs="Arial"/>
                <w:color w:val="000000"/>
              </w:rPr>
              <w:t>1,6</w:t>
            </w:r>
          </w:p>
        </w:tc>
        <w:tc>
          <w:tcPr>
            <w:tcW w:w="1040" w:type="dxa"/>
            <w:tcBorders>
              <w:top w:val="nil"/>
              <w:left w:val="nil"/>
              <w:bottom w:val="single" w:sz="4" w:space="0" w:color="auto"/>
              <w:right w:val="single" w:sz="4" w:space="0" w:color="auto"/>
            </w:tcBorders>
            <w:noWrap/>
            <w:vAlign w:val="center"/>
            <w:hideMark/>
          </w:tcPr>
          <w:p w14:paraId="18214B18" w14:textId="77777777" w:rsidR="00ED2DC0" w:rsidRPr="00ED2DC0" w:rsidRDefault="00ED2DC0" w:rsidP="00ED2DC0">
            <w:pPr>
              <w:jc w:val="center"/>
              <w:rPr>
                <w:rFonts w:cs="Arial"/>
                <w:color w:val="000000"/>
              </w:rPr>
            </w:pPr>
            <w:r w:rsidRPr="00ED2DC0">
              <w:rPr>
                <w:rFonts w:cs="Arial"/>
                <w:color w:val="000000"/>
              </w:rPr>
              <w:t>1,5</w:t>
            </w:r>
          </w:p>
        </w:tc>
        <w:tc>
          <w:tcPr>
            <w:tcW w:w="1040" w:type="dxa"/>
            <w:tcBorders>
              <w:top w:val="nil"/>
              <w:left w:val="nil"/>
              <w:bottom w:val="single" w:sz="4" w:space="0" w:color="auto"/>
              <w:right w:val="single" w:sz="4" w:space="0" w:color="auto"/>
            </w:tcBorders>
            <w:noWrap/>
            <w:vAlign w:val="center"/>
            <w:hideMark/>
          </w:tcPr>
          <w:p w14:paraId="504AA6D8" w14:textId="77777777" w:rsidR="00ED2DC0" w:rsidRPr="00ED2DC0" w:rsidRDefault="00ED2DC0" w:rsidP="00ED2DC0">
            <w:pPr>
              <w:jc w:val="center"/>
              <w:rPr>
                <w:rFonts w:cs="Arial"/>
                <w:color w:val="000000"/>
              </w:rPr>
            </w:pPr>
            <w:r w:rsidRPr="00ED2DC0">
              <w:rPr>
                <w:rFonts w:cs="Arial"/>
                <w:color w:val="000000"/>
              </w:rPr>
              <w:t>-1,6</w:t>
            </w:r>
          </w:p>
        </w:tc>
        <w:tc>
          <w:tcPr>
            <w:tcW w:w="1040" w:type="dxa"/>
            <w:tcBorders>
              <w:top w:val="nil"/>
              <w:left w:val="nil"/>
              <w:bottom w:val="single" w:sz="4" w:space="0" w:color="auto"/>
              <w:right w:val="single" w:sz="4" w:space="0" w:color="auto"/>
            </w:tcBorders>
            <w:noWrap/>
            <w:vAlign w:val="center"/>
            <w:hideMark/>
          </w:tcPr>
          <w:p w14:paraId="5AEF7F1D" w14:textId="77777777" w:rsidR="00ED2DC0" w:rsidRPr="00ED2DC0" w:rsidRDefault="00ED2DC0" w:rsidP="00ED2DC0">
            <w:pPr>
              <w:jc w:val="center"/>
              <w:rPr>
                <w:rFonts w:cs="Arial"/>
                <w:color w:val="000000"/>
              </w:rPr>
            </w:pPr>
            <w:r w:rsidRPr="00ED2DC0">
              <w:rPr>
                <w:rFonts w:cs="Arial"/>
                <w:color w:val="000000"/>
              </w:rPr>
              <w:t>-51 %</w:t>
            </w:r>
          </w:p>
        </w:tc>
      </w:tr>
      <w:tr w:rsidR="00ED2DC0" w:rsidRPr="00ED2DC0" w14:paraId="57A1B784" w14:textId="77777777" w:rsidTr="003B0EAF">
        <w:trPr>
          <w:trHeight w:val="280"/>
        </w:trPr>
        <w:tc>
          <w:tcPr>
            <w:tcW w:w="2560" w:type="dxa"/>
            <w:tcBorders>
              <w:top w:val="nil"/>
              <w:left w:val="single" w:sz="4" w:space="0" w:color="auto"/>
              <w:bottom w:val="single" w:sz="4" w:space="0" w:color="auto"/>
              <w:right w:val="single" w:sz="4" w:space="0" w:color="auto"/>
            </w:tcBorders>
            <w:vAlign w:val="center"/>
            <w:hideMark/>
          </w:tcPr>
          <w:p w14:paraId="77969E65" w14:textId="77777777" w:rsidR="00ED2DC0" w:rsidRPr="00ED2DC0" w:rsidRDefault="00ED2DC0" w:rsidP="00ED2DC0">
            <w:pPr>
              <w:rPr>
                <w:rFonts w:cs="Arial"/>
                <w:b/>
                <w:bCs/>
                <w:color w:val="000000"/>
              </w:rPr>
            </w:pPr>
            <w:r w:rsidRPr="00ED2DC0">
              <w:rPr>
                <w:rFonts w:cs="Arial"/>
                <w:b/>
                <w:bCs/>
                <w:color w:val="000000"/>
              </w:rPr>
              <w:t>F-kaasut</w:t>
            </w:r>
          </w:p>
        </w:tc>
        <w:tc>
          <w:tcPr>
            <w:tcW w:w="1040" w:type="dxa"/>
            <w:tcBorders>
              <w:top w:val="nil"/>
              <w:left w:val="nil"/>
              <w:bottom w:val="single" w:sz="4" w:space="0" w:color="auto"/>
              <w:right w:val="single" w:sz="4" w:space="0" w:color="auto"/>
            </w:tcBorders>
            <w:noWrap/>
            <w:vAlign w:val="center"/>
            <w:hideMark/>
          </w:tcPr>
          <w:p w14:paraId="68477FAD" w14:textId="77777777" w:rsidR="00ED2DC0" w:rsidRPr="00ED2DC0" w:rsidRDefault="00ED2DC0" w:rsidP="00ED2DC0">
            <w:pPr>
              <w:jc w:val="center"/>
              <w:rPr>
                <w:rFonts w:cs="Arial"/>
                <w:color w:val="000000"/>
              </w:rPr>
            </w:pPr>
            <w:r w:rsidRPr="00ED2DC0">
              <w:rPr>
                <w:rFonts w:cs="Arial"/>
                <w:color w:val="000000"/>
              </w:rPr>
              <w:t>1,1</w:t>
            </w:r>
          </w:p>
        </w:tc>
        <w:tc>
          <w:tcPr>
            <w:tcW w:w="1040" w:type="dxa"/>
            <w:tcBorders>
              <w:top w:val="nil"/>
              <w:left w:val="nil"/>
              <w:bottom w:val="single" w:sz="4" w:space="0" w:color="auto"/>
              <w:right w:val="single" w:sz="4" w:space="0" w:color="auto"/>
            </w:tcBorders>
            <w:noWrap/>
            <w:vAlign w:val="center"/>
            <w:hideMark/>
          </w:tcPr>
          <w:p w14:paraId="19F9FAC6" w14:textId="77777777" w:rsidR="00ED2DC0" w:rsidRPr="00ED2DC0" w:rsidRDefault="00ED2DC0" w:rsidP="00ED2DC0">
            <w:pPr>
              <w:jc w:val="center"/>
              <w:rPr>
                <w:rFonts w:cs="Arial"/>
                <w:color w:val="000000"/>
              </w:rPr>
            </w:pPr>
            <w:r w:rsidRPr="00ED2DC0">
              <w:rPr>
                <w:rFonts w:cs="Arial"/>
                <w:color w:val="000000"/>
              </w:rPr>
              <w:t>0,7</w:t>
            </w:r>
          </w:p>
        </w:tc>
        <w:tc>
          <w:tcPr>
            <w:tcW w:w="1040" w:type="dxa"/>
            <w:tcBorders>
              <w:top w:val="nil"/>
              <w:left w:val="nil"/>
              <w:bottom w:val="single" w:sz="4" w:space="0" w:color="auto"/>
              <w:right w:val="single" w:sz="4" w:space="0" w:color="auto"/>
            </w:tcBorders>
            <w:noWrap/>
            <w:vAlign w:val="center"/>
            <w:hideMark/>
          </w:tcPr>
          <w:p w14:paraId="26163920" w14:textId="77777777" w:rsidR="00ED2DC0" w:rsidRPr="00ED2DC0" w:rsidRDefault="00ED2DC0" w:rsidP="00ED2DC0">
            <w:pPr>
              <w:jc w:val="center"/>
              <w:rPr>
                <w:rFonts w:cs="Arial"/>
                <w:color w:val="000000"/>
              </w:rPr>
            </w:pPr>
            <w:r w:rsidRPr="00ED2DC0">
              <w:rPr>
                <w:rFonts w:cs="Arial"/>
                <w:color w:val="000000"/>
              </w:rPr>
              <w:t>0,6</w:t>
            </w:r>
          </w:p>
        </w:tc>
        <w:tc>
          <w:tcPr>
            <w:tcW w:w="1040" w:type="dxa"/>
            <w:tcBorders>
              <w:top w:val="nil"/>
              <w:left w:val="nil"/>
              <w:bottom w:val="single" w:sz="4" w:space="0" w:color="auto"/>
              <w:right w:val="single" w:sz="4" w:space="0" w:color="auto"/>
            </w:tcBorders>
            <w:noWrap/>
            <w:vAlign w:val="center"/>
            <w:hideMark/>
          </w:tcPr>
          <w:p w14:paraId="3D9A4722" w14:textId="77777777" w:rsidR="00ED2DC0" w:rsidRPr="00ED2DC0" w:rsidRDefault="00ED2DC0" w:rsidP="00ED2DC0">
            <w:pPr>
              <w:jc w:val="center"/>
              <w:rPr>
                <w:rFonts w:cs="Arial"/>
                <w:color w:val="000000"/>
              </w:rPr>
            </w:pPr>
            <w:r w:rsidRPr="00ED2DC0">
              <w:rPr>
                <w:rFonts w:cs="Arial"/>
                <w:color w:val="000000"/>
              </w:rPr>
              <w:t>-0,5</w:t>
            </w:r>
          </w:p>
        </w:tc>
        <w:tc>
          <w:tcPr>
            <w:tcW w:w="1040" w:type="dxa"/>
            <w:tcBorders>
              <w:top w:val="nil"/>
              <w:left w:val="nil"/>
              <w:bottom w:val="single" w:sz="4" w:space="0" w:color="auto"/>
              <w:right w:val="single" w:sz="4" w:space="0" w:color="auto"/>
            </w:tcBorders>
            <w:noWrap/>
            <w:vAlign w:val="center"/>
            <w:hideMark/>
          </w:tcPr>
          <w:p w14:paraId="62A7BA44" w14:textId="77777777" w:rsidR="00ED2DC0" w:rsidRPr="00ED2DC0" w:rsidRDefault="00ED2DC0" w:rsidP="00ED2DC0">
            <w:pPr>
              <w:jc w:val="center"/>
              <w:rPr>
                <w:rFonts w:cs="Arial"/>
                <w:color w:val="000000"/>
              </w:rPr>
            </w:pPr>
            <w:r w:rsidRPr="00ED2DC0">
              <w:rPr>
                <w:rFonts w:cs="Arial"/>
                <w:color w:val="000000"/>
              </w:rPr>
              <w:t>-44 %</w:t>
            </w:r>
          </w:p>
        </w:tc>
      </w:tr>
      <w:tr w:rsidR="00ED2DC0" w:rsidRPr="00ED2DC0" w14:paraId="06ACED80" w14:textId="77777777" w:rsidTr="003B0EAF">
        <w:trPr>
          <w:trHeight w:val="780"/>
        </w:trPr>
        <w:tc>
          <w:tcPr>
            <w:tcW w:w="2560" w:type="dxa"/>
            <w:tcBorders>
              <w:top w:val="nil"/>
              <w:left w:val="single" w:sz="4" w:space="0" w:color="auto"/>
              <w:bottom w:val="single" w:sz="4" w:space="0" w:color="auto"/>
              <w:right w:val="single" w:sz="4" w:space="0" w:color="auto"/>
            </w:tcBorders>
            <w:vAlign w:val="center"/>
            <w:hideMark/>
          </w:tcPr>
          <w:p w14:paraId="720A239C" w14:textId="77777777" w:rsidR="00ED2DC0" w:rsidRPr="00ED2DC0" w:rsidRDefault="00ED2DC0" w:rsidP="00ED2DC0">
            <w:pPr>
              <w:rPr>
                <w:rFonts w:cs="Arial"/>
                <w:b/>
                <w:bCs/>
                <w:color w:val="000000"/>
              </w:rPr>
            </w:pPr>
            <w:r w:rsidRPr="00ED2DC0">
              <w:rPr>
                <w:rFonts w:cs="Arial"/>
                <w:b/>
                <w:bCs/>
                <w:color w:val="000000"/>
              </w:rPr>
              <w:t>Teollisuusprosessit ja muiden tuotteiden käyttö, pl. F-kaasut</w:t>
            </w:r>
          </w:p>
        </w:tc>
        <w:tc>
          <w:tcPr>
            <w:tcW w:w="1040" w:type="dxa"/>
            <w:tcBorders>
              <w:top w:val="nil"/>
              <w:left w:val="nil"/>
              <w:bottom w:val="single" w:sz="4" w:space="0" w:color="auto"/>
              <w:right w:val="single" w:sz="4" w:space="0" w:color="auto"/>
            </w:tcBorders>
            <w:noWrap/>
            <w:vAlign w:val="center"/>
            <w:hideMark/>
          </w:tcPr>
          <w:p w14:paraId="0A04FDA7" w14:textId="77777777" w:rsidR="00ED2DC0" w:rsidRPr="00ED2DC0" w:rsidRDefault="00ED2DC0" w:rsidP="00ED2DC0">
            <w:pPr>
              <w:jc w:val="center"/>
              <w:rPr>
                <w:rFonts w:cs="Arial"/>
                <w:color w:val="000000"/>
              </w:rPr>
            </w:pPr>
            <w:r w:rsidRPr="00ED2DC0">
              <w:rPr>
                <w:rFonts w:cs="Arial"/>
                <w:color w:val="000000"/>
              </w:rPr>
              <w:t>0,5</w:t>
            </w:r>
          </w:p>
        </w:tc>
        <w:tc>
          <w:tcPr>
            <w:tcW w:w="1040" w:type="dxa"/>
            <w:tcBorders>
              <w:top w:val="nil"/>
              <w:left w:val="nil"/>
              <w:bottom w:val="single" w:sz="4" w:space="0" w:color="auto"/>
              <w:right w:val="single" w:sz="4" w:space="0" w:color="auto"/>
            </w:tcBorders>
            <w:noWrap/>
            <w:vAlign w:val="center"/>
            <w:hideMark/>
          </w:tcPr>
          <w:p w14:paraId="7C83AB62" w14:textId="77777777" w:rsidR="00ED2DC0" w:rsidRPr="00ED2DC0" w:rsidRDefault="00ED2DC0" w:rsidP="00ED2DC0">
            <w:pPr>
              <w:jc w:val="center"/>
              <w:rPr>
                <w:rFonts w:cs="Arial"/>
                <w:color w:val="000000"/>
              </w:rPr>
            </w:pPr>
            <w:r w:rsidRPr="00ED2DC0">
              <w:rPr>
                <w:rFonts w:cs="Arial"/>
                <w:color w:val="000000"/>
              </w:rPr>
              <w:t>0,5</w:t>
            </w:r>
          </w:p>
        </w:tc>
        <w:tc>
          <w:tcPr>
            <w:tcW w:w="1040" w:type="dxa"/>
            <w:tcBorders>
              <w:top w:val="nil"/>
              <w:left w:val="nil"/>
              <w:bottom w:val="single" w:sz="4" w:space="0" w:color="auto"/>
              <w:right w:val="single" w:sz="4" w:space="0" w:color="auto"/>
            </w:tcBorders>
            <w:noWrap/>
            <w:vAlign w:val="center"/>
            <w:hideMark/>
          </w:tcPr>
          <w:p w14:paraId="6252C5E3" w14:textId="77777777" w:rsidR="00ED2DC0" w:rsidRPr="00ED2DC0" w:rsidRDefault="00ED2DC0" w:rsidP="00ED2DC0">
            <w:pPr>
              <w:jc w:val="center"/>
              <w:rPr>
                <w:rFonts w:cs="Arial"/>
                <w:color w:val="000000"/>
              </w:rPr>
            </w:pPr>
            <w:r w:rsidRPr="00ED2DC0">
              <w:rPr>
                <w:rFonts w:cs="Arial"/>
                <w:color w:val="000000"/>
              </w:rPr>
              <w:t>0,4</w:t>
            </w:r>
          </w:p>
        </w:tc>
        <w:tc>
          <w:tcPr>
            <w:tcW w:w="1040" w:type="dxa"/>
            <w:tcBorders>
              <w:top w:val="nil"/>
              <w:left w:val="nil"/>
              <w:bottom w:val="single" w:sz="4" w:space="0" w:color="auto"/>
              <w:right w:val="single" w:sz="4" w:space="0" w:color="auto"/>
            </w:tcBorders>
            <w:noWrap/>
            <w:vAlign w:val="center"/>
            <w:hideMark/>
          </w:tcPr>
          <w:p w14:paraId="1C7E75E6" w14:textId="77777777" w:rsidR="00ED2DC0" w:rsidRPr="00ED2DC0" w:rsidRDefault="00ED2DC0" w:rsidP="00ED2DC0">
            <w:pPr>
              <w:jc w:val="center"/>
              <w:rPr>
                <w:rFonts w:cs="Arial"/>
                <w:color w:val="000000"/>
              </w:rPr>
            </w:pPr>
            <w:r w:rsidRPr="00ED2DC0">
              <w:rPr>
                <w:rFonts w:cs="Arial"/>
                <w:color w:val="000000"/>
              </w:rPr>
              <w:t>-0,1</w:t>
            </w:r>
          </w:p>
        </w:tc>
        <w:tc>
          <w:tcPr>
            <w:tcW w:w="1040" w:type="dxa"/>
            <w:tcBorders>
              <w:top w:val="nil"/>
              <w:left w:val="nil"/>
              <w:bottom w:val="single" w:sz="4" w:space="0" w:color="auto"/>
              <w:right w:val="single" w:sz="4" w:space="0" w:color="auto"/>
            </w:tcBorders>
            <w:noWrap/>
            <w:vAlign w:val="center"/>
            <w:hideMark/>
          </w:tcPr>
          <w:p w14:paraId="3A7DC9A1" w14:textId="77777777" w:rsidR="00ED2DC0" w:rsidRPr="00ED2DC0" w:rsidRDefault="00ED2DC0" w:rsidP="00ED2DC0">
            <w:pPr>
              <w:jc w:val="center"/>
              <w:rPr>
                <w:rFonts w:cs="Arial"/>
                <w:color w:val="000000"/>
              </w:rPr>
            </w:pPr>
            <w:r w:rsidRPr="00ED2DC0">
              <w:rPr>
                <w:rFonts w:cs="Arial"/>
                <w:color w:val="000000"/>
              </w:rPr>
              <w:t>-25 %</w:t>
            </w:r>
          </w:p>
        </w:tc>
      </w:tr>
      <w:tr w:rsidR="00ED2DC0" w:rsidRPr="00ED2DC0" w14:paraId="0CA2915D" w14:textId="77777777" w:rsidTr="003B0EAF">
        <w:trPr>
          <w:trHeight w:val="280"/>
        </w:trPr>
        <w:tc>
          <w:tcPr>
            <w:tcW w:w="2560" w:type="dxa"/>
            <w:tcBorders>
              <w:top w:val="nil"/>
              <w:left w:val="single" w:sz="4" w:space="0" w:color="auto"/>
              <w:bottom w:val="single" w:sz="4" w:space="0" w:color="auto"/>
              <w:right w:val="single" w:sz="4" w:space="0" w:color="auto"/>
            </w:tcBorders>
            <w:vAlign w:val="center"/>
            <w:hideMark/>
          </w:tcPr>
          <w:p w14:paraId="331FE9F8" w14:textId="77777777" w:rsidR="00ED2DC0" w:rsidRPr="00ED2DC0" w:rsidRDefault="00ED2DC0" w:rsidP="00ED2DC0">
            <w:pPr>
              <w:rPr>
                <w:rFonts w:cs="Arial"/>
                <w:b/>
                <w:bCs/>
                <w:color w:val="000000"/>
              </w:rPr>
            </w:pPr>
            <w:r w:rsidRPr="00ED2DC0">
              <w:rPr>
                <w:rFonts w:cs="Arial"/>
                <w:b/>
                <w:bCs/>
                <w:color w:val="000000"/>
              </w:rPr>
              <w:t>Muut päästöt</w:t>
            </w:r>
          </w:p>
        </w:tc>
        <w:tc>
          <w:tcPr>
            <w:tcW w:w="1040" w:type="dxa"/>
            <w:tcBorders>
              <w:top w:val="nil"/>
              <w:left w:val="nil"/>
              <w:bottom w:val="single" w:sz="4" w:space="0" w:color="auto"/>
              <w:right w:val="single" w:sz="4" w:space="0" w:color="auto"/>
            </w:tcBorders>
            <w:noWrap/>
            <w:vAlign w:val="center"/>
            <w:hideMark/>
          </w:tcPr>
          <w:p w14:paraId="6A5F97D9" w14:textId="77777777" w:rsidR="00ED2DC0" w:rsidRPr="00ED2DC0" w:rsidRDefault="00ED2DC0" w:rsidP="00ED2DC0">
            <w:pPr>
              <w:jc w:val="center"/>
              <w:rPr>
                <w:rFonts w:cs="Arial"/>
                <w:color w:val="000000"/>
              </w:rPr>
            </w:pPr>
            <w:r w:rsidRPr="00ED2DC0">
              <w:rPr>
                <w:rFonts w:cs="Arial"/>
                <w:color w:val="000000"/>
              </w:rPr>
              <w:t>3,9</w:t>
            </w:r>
          </w:p>
        </w:tc>
        <w:tc>
          <w:tcPr>
            <w:tcW w:w="1040" w:type="dxa"/>
            <w:tcBorders>
              <w:top w:val="nil"/>
              <w:left w:val="nil"/>
              <w:bottom w:val="single" w:sz="4" w:space="0" w:color="auto"/>
              <w:right w:val="single" w:sz="4" w:space="0" w:color="auto"/>
            </w:tcBorders>
            <w:noWrap/>
            <w:vAlign w:val="center"/>
            <w:hideMark/>
          </w:tcPr>
          <w:p w14:paraId="705147FB" w14:textId="77777777" w:rsidR="00ED2DC0" w:rsidRPr="00ED2DC0" w:rsidRDefault="00ED2DC0" w:rsidP="00ED2DC0">
            <w:pPr>
              <w:jc w:val="center"/>
              <w:rPr>
                <w:rFonts w:cs="Arial"/>
                <w:color w:val="000000"/>
              </w:rPr>
            </w:pPr>
            <w:r w:rsidRPr="00ED2DC0">
              <w:rPr>
                <w:rFonts w:cs="Arial"/>
                <w:color w:val="000000"/>
              </w:rPr>
              <w:t>3,2</w:t>
            </w:r>
          </w:p>
        </w:tc>
        <w:tc>
          <w:tcPr>
            <w:tcW w:w="1040" w:type="dxa"/>
            <w:tcBorders>
              <w:top w:val="nil"/>
              <w:left w:val="nil"/>
              <w:bottom w:val="single" w:sz="4" w:space="0" w:color="auto"/>
              <w:right w:val="single" w:sz="4" w:space="0" w:color="auto"/>
            </w:tcBorders>
            <w:noWrap/>
            <w:vAlign w:val="center"/>
            <w:hideMark/>
          </w:tcPr>
          <w:p w14:paraId="79435474" w14:textId="77777777" w:rsidR="00ED2DC0" w:rsidRPr="00ED2DC0" w:rsidRDefault="00ED2DC0" w:rsidP="00ED2DC0">
            <w:pPr>
              <w:jc w:val="center"/>
              <w:rPr>
                <w:rFonts w:cs="Arial"/>
                <w:color w:val="000000"/>
              </w:rPr>
            </w:pPr>
            <w:r w:rsidRPr="00ED2DC0">
              <w:rPr>
                <w:rFonts w:cs="Arial"/>
                <w:color w:val="000000"/>
              </w:rPr>
              <w:t>-</w:t>
            </w:r>
          </w:p>
        </w:tc>
        <w:tc>
          <w:tcPr>
            <w:tcW w:w="1040" w:type="dxa"/>
            <w:tcBorders>
              <w:top w:val="nil"/>
              <w:left w:val="nil"/>
              <w:bottom w:val="single" w:sz="4" w:space="0" w:color="auto"/>
              <w:right w:val="single" w:sz="4" w:space="0" w:color="auto"/>
            </w:tcBorders>
            <w:noWrap/>
            <w:vAlign w:val="center"/>
            <w:hideMark/>
          </w:tcPr>
          <w:p w14:paraId="270BD21D" w14:textId="77777777" w:rsidR="00ED2DC0" w:rsidRPr="00ED2DC0" w:rsidRDefault="00ED2DC0" w:rsidP="00ED2DC0">
            <w:pPr>
              <w:jc w:val="center"/>
              <w:rPr>
                <w:rFonts w:cs="Arial"/>
                <w:color w:val="000000"/>
              </w:rPr>
            </w:pPr>
            <w:r w:rsidRPr="00ED2DC0">
              <w:rPr>
                <w:rFonts w:cs="Arial"/>
                <w:color w:val="000000"/>
              </w:rPr>
              <w:t>-</w:t>
            </w:r>
          </w:p>
        </w:tc>
        <w:tc>
          <w:tcPr>
            <w:tcW w:w="1040" w:type="dxa"/>
            <w:tcBorders>
              <w:top w:val="nil"/>
              <w:left w:val="nil"/>
              <w:bottom w:val="single" w:sz="4" w:space="0" w:color="auto"/>
              <w:right w:val="single" w:sz="4" w:space="0" w:color="auto"/>
            </w:tcBorders>
            <w:noWrap/>
            <w:vAlign w:val="center"/>
            <w:hideMark/>
          </w:tcPr>
          <w:p w14:paraId="0B8872A3" w14:textId="77777777" w:rsidR="00ED2DC0" w:rsidRPr="00ED2DC0" w:rsidRDefault="00ED2DC0" w:rsidP="00ED2DC0">
            <w:pPr>
              <w:jc w:val="center"/>
              <w:rPr>
                <w:rFonts w:cs="Arial"/>
                <w:color w:val="000000"/>
              </w:rPr>
            </w:pPr>
            <w:r w:rsidRPr="00ED2DC0">
              <w:rPr>
                <w:rFonts w:cs="Arial"/>
                <w:color w:val="000000"/>
              </w:rPr>
              <w:t> </w:t>
            </w:r>
          </w:p>
        </w:tc>
      </w:tr>
      <w:tr w:rsidR="00ED2DC0" w:rsidRPr="00ED2DC0" w14:paraId="56082AF4" w14:textId="77777777" w:rsidTr="003B0EAF">
        <w:trPr>
          <w:trHeight w:val="280"/>
        </w:trPr>
        <w:tc>
          <w:tcPr>
            <w:tcW w:w="2560" w:type="dxa"/>
            <w:tcBorders>
              <w:top w:val="nil"/>
              <w:left w:val="single" w:sz="4" w:space="0" w:color="auto"/>
              <w:bottom w:val="single" w:sz="4" w:space="0" w:color="auto"/>
              <w:right w:val="single" w:sz="4" w:space="0" w:color="auto"/>
            </w:tcBorders>
            <w:vAlign w:val="center"/>
            <w:hideMark/>
          </w:tcPr>
          <w:p w14:paraId="53AF4E76" w14:textId="77777777" w:rsidR="00ED2DC0" w:rsidRPr="00ED2DC0" w:rsidRDefault="00ED2DC0" w:rsidP="00ED2DC0">
            <w:pPr>
              <w:rPr>
                <w:rFonts w:cs="Arial"/>
                <w:b/>
                <w:bCs/>
                <w:color w:val="000000"/>
                <w:u w:val="single"/>
              </w:rPr>
            </w:pPr>
            <w:r w:rsidRPr="00ED2DC0">
              <w:rPr>
                <w:rFonts w:cs="Arial"/>
                <w:b/>
                <w:bCs/>
                <w:color w:val="000000"/>
                <w:u w:val="single"/>
              </w:rPr>
              <w:t>Yhteensä</w:t>
            </w:r>
          </w:p>
        </w:tc>
        <w:tc>
          <w:tcPr>
            <w:tcW w:w="1040" w:type="dxa"/>
            <w:tcBorders>
              <w:top w:val="nil"/>
              <w:left w:val="nil"/>
              <w:bottom w:val="single" w:sz="4" w:space="0" w:color="auto"/>
              <w:right w:val="single" w:sz="4" w:space="0" w:color="auto"/>
            </w:tcBorders>
            <w:noWrap/>
            <w:vAlign w:val="center"/>
            <w:hideMark/>
          </w:tcPr>
          <w:p w14:paraId="0761EF1F" w14:textId="77777777" w:rsidR="00ED2DC0" w:rsidRPr="00ED2DC0" w:rsidRDefault="00ED2DC0" w:rsidP="00ED2DC0">
            <w:pPr>
              <w:jc w:val="center"/>
              <w:rPr>
                <w:rFonts w:cs="Arial"/>
                <w:color w:val="000000"/>
                <w:u w:val="single"/>
              </w:rPr>
            </w:pPr>
            <w:r w:rsidRPr="00ED2DC0">
              <w:rPr>
                <w:rFonts w:cs="Arial"/>
                <w:color w:val="000000"/>
                <w:u w:val="single"/>
              </w:rPr>
              <w:t>34,3</w:t>
            </w:r>
          </w:p>
        </w:tc>
        <w:tc>
          <w:tcPr>
            <w:tcW w:w="1040" w:type="dxa"/>
            <w:tcBorders>
              <w:top w:val="nil"/>
              <w:left w:val="nil"/>
              <w:bottom w:val="single" w:sz="4" w:space="0" w:color="auto"/>
              <w:right w:val="single" w:sz="4" w:space="0" w:color="auto"/>
            </w:tcBorders>
            <w:noWrap/>
            <w:vAlign w:val="center"/>
            <w:hideMark/>
          </w:tcPr>
          <w:p w14:paraId="531F1B1A" w14:textId="77777777" w:rsidR="00ED2DC0" w:rsidRPr="00ED2DC0" w:rsidRDefault="00ED2DC0" w:rsidP="00ED2DC0">
            <w:pPr>
              <w:jc w:val="center"/>
              <w:rPr>
                <w:rFonts w:cs="Arial"/>
                <w:color w:val="000000"/>
                <w:u w:val="single"/>
              </w:rPr>
            </w:pPr>
            <w:r w:rsidRPr="00ED2DC0">
              <w:rPr>
                <w:rFonts w:cs="Arial"/>
                <w:color w:val="000000"/>
                <w:u w:val="single"/>
              </w:rPr>
              <w:t>25,6</w:t>
            </w:r>
          </w:p>
        </w:tc>
        <w:tc>
          <w:tcPr>
            <w:tcW w:w="1040" w:type="dxa"/>
            <w:tcBorders>
              <w:top w:val="nil"/>
              <w:left w:val="nil"/>
              <w:bottom w:val="single" w:sz="4" w:space="0" w:color="auto"/>
              <w:right w:val="single" w:sz="4" w:space="0" w:color="auto"/>
            </w:tcBorders>
            <w:noWrap/>
            <w:vAlign w:val="center"/>
            <w:hideMark/>
          </w:tcPr>
          <w:p w14:paraId="6B5FA00A" w14:textId="77777777" w:rsidR="00ED2DC0" w:rsidRPr="00ED2DC0" w:rsidRDefault="00ED2DC0" w:rsidP="00ED2DC0">
            <w:pPr>
              <w:jc w:val="center"/>
              <w:rPr>
                <w:rFonts w:cs="Arial"/>
                <w:color w:val="000000"/>
                <w:u w:val="single"/>
              </w:rPr>
            </w:pPr>
            <w:r w:rsidRPr="00ED2DC0">
              <w:rPr>
                <w:rFonts w:cs="Arial"/>
                <w:color w:val="000000"/>
                <w:u w:val="single"/>
              </w:rPr>
              <w:t>25,4</w:t>
            </w:r>
          </w:p>
        </w:tc>
        <w:tc>
          <w:tcPr>
            <w:tcW w:w="1040" w:type="dxa"/>
            <w:tcBorders>
              <w:top w:val="nil"/>
              <w:left w:val="nil"/>
              <w:bottom w:val="single" w:sz="4" w:space="0" w:color="auto"/>
              <w:right w:val="single" w:sz="4" w:space="0" w:color="auto"/>
            </w:tcBorders>
            <w:noWrap/>
            <w:vAlign w:val="center"/>
            <w:hideMark/>
          </w:tcPr>
          <w:p w14:paraId="4E8B998A" w14:textId="77777777" w:rsidR="00ED2DC0" w:rsidRPr="00ED2DC0" w:rsidRDefault="00ED2DC0" w:rsidP="00ED2DC0">
            <w:pPr>
              <w:jc w:val="center"/>
              <w:rPr>
                <w:rFonts w:cs="Arial"/>
                <w:color w:val="000000"/>
                <w:u w:val="single"/>
              </w:rPr>
            </w:pPr>
            <w:r w:rsidRPr="00ED2DC0">
              <w:rPr>
                <w:rFonts w:cs="Arial"/>
                <w:color w:val="000000"/>
                <w:u w:val="single"/>
              </w:rPr>
              <w:t>-8,9</w:t>
            </w:r>
          </w:p>
        </w:tc>
        <w:tc>
          <w:tcPr>
            <w:tcW w:w="1040" w:type="dxa"/>
            <w:tcBorders>
              <w:top w:val="nil"/>
              <w:left w:val="nil"/>
              <w:bottom w:val="single" w:sz="4" w:space="0" w:color="auto"/>
              <w:right w:val="single" w:sz="4" w:space="0" w:color="auto"/>
            </w:tcBorders>
            <w:noWrap/>
            <w:vAlign w:val="center"/>
            <w:hideMark/>
          </w:tcPr>
          <w:p w14:paraId="5C8E315A" w14:textId="77777777" w:rsidR="00ED2DC0" w:rsidRPr="00ED2DC0" w:rsidRDefault="00ED2DC0" w:rsidP="00ED2DC0">
            <w:pPr>
              <w:jc w:val="center"/>
              <w:rPr>
                <w:rFonts w:cs="Arial"/>
                <w:color w:val="000000"/>
                <w:u w:val="single"/>
              </w:rPr>
            </w:pPr>
            <w:r w:rsidRPr="00ED2DC0">
              <w:rPr>
                <w:rFonts w:cs="Arial"/>
                <w:color w:val="000000"/>
                <w:u w:val="single"/>
              </w:rPr>
              <w:t>-26 %</w:t>
            </w:r>
          </w:p>
        </w:tc>
      </w:tr>
    </w:tbl>
    <w:p w14:paraId="7AEC98DD" w14:textId="77777777" w:rsidR="004D212B" w:rsidRPr="004D212B" w:rsidRDefault="004D212B" w:rsidP="004D212B">
      <w:pPr>
        <w:pStyle w:val="VNLeip1kappale"/>
        <w:rPr>
          <w:lang w:eastAsia="en-US"/>
        </w:rPr>
      </w:pPr>
    </w:p>
    <w:p w14:paraId="6377ACC5" w14:textId="71EF4888" w:rsidR="56EFA041" w:rsidRPr="002975ED" w:rsidRDefault="006C5409" w:rsidP="002975ED">
      <w:pPr>
        <w:pStyle w:val="Otsikko2"/>
      </w:pPr>
      <w:r>
        <w:rPr>
          <w:b w:val="0"/>
        </w:rPr>
        <w:lastRenderedPageBreak/>
        <w:t xml:space="preserve"> </w:t>
      </w:r>
      <w:bookmarkStart w:id="87" w:name="_Toc202260039"/>
      <w:r w:rsidR="00873E36" w:rsidRPr="002975ED">
        <w:t>4.3</w:t>
      </w:r>
      <w:r w:rsidRPr="002975ED">
        <w:t xml:space="preserve"> </w:t>
      </w:r>
      <w:proofErr w:type="spellStart"/>
      <w:r w:rsidR="0051483F" w:rsidRPr="002975ED">
        <w:t>Suomen</w:t>
      </w:r>
      <w:proofErr w:type="spellEnd"/>
      <w:r w:rsidR="0051483F" w:rsidRPr="002975ED">
        <w:t xml:space="preserve"> </w:t>
      </w:r>
      <w:proofErr w:type="spellStart"/>
      <w:r w:rsidR="00536B8C" w:rsidRPr="002975ED">
        <w:t>taakanjakosektorin</w:t>
      </w:r>
      <w:proofErr w:type="spellEnd"/>
      <w:r w:rsidR="00536B8C" w:rsidRPr="002975ED">
        <w:t xml:space="preserve"> </w:t>
      </w:r>
      <w:r w:rsidR="0051483F" w:rsidRPr="002975ED">
        <w:t xml:space="preserve">2021-2030 </w:t>
      </w:r>
      <w:bookmarkEnd w:id="84"/>
      <w:bookmarkEnd w:id="85"/>
      <w:proofErr w:type="spellStart"/>
      <w:r w:rsidR="0CADE3B9" w:rsidRPr="002975ED">
        <w:t>päästövähennys</w:t>
      </w:r>
      <w:r w:rsidR="7DF4A6BB" w:rsidRPr="002975ED">
        <w:t>velvoite</w:t>
      </w:r>
      <w:bookmarkEnd w:id="87"/>
      <w:proofErr w:type="spellEnd"/>
    </w:p>
    <w:p w14:paraId="6519D5ED" w14:textId="7C71B5E9" w:rsidR="0051483F" w:rsidRDefault="00491BC9" w:rsidP="30125593">
      <w:pPr>
        <w:pStyle w:val="VNLeip1kappale"/>
        <w:rPr>
          <w:color w:val="000000" w:themeColor="text1"/>
        </w:rPr>
      </w:pPr>
      <w:r>
        <w:rPr>
          <w:color w:val="000000" w:themeColor="text1"/>
        </w:rPr>
        <w:t>Taakanjakoa</w:t>
      </w:r>
      <w:r w:rsidR="0051483F" w:rsidRPr="273BEB38">
        <w:rPr>
          <w:color w:val="000000" w:themeColor="text1"/>
        </w:rPr>
        <w:t>setuksen</w:t>
      </w:r>
      <w:r w:rsidR="0051483F" w:rsidRPr="30125593">
        <w:rPr>
          <w:color w:val="000000" w:themeColor="text1"/>
        </w:rPr>
        <w:t xml:space="preserve"> mukaan Suomen taakanjakosektorin päästövähennysvelvoite vuodelle 2030 on vähintään 50 % verrattuna vuoteen 2005</w:t>
      </w:r>
      <w:r>
        <w:rPr>
          <w:color w:val="000000" w:themeColor="text1"/>
        </w:rPr>
        <w:t xml:space="preserve"> (</w:t>
      </w:r>
      <w:r w:rsidR="006957DC">
        <w:rPr>
          <w:color w:val="000000" w:themeColor="text1"/>
        </w:rPr>
        <w:t>asetuksen sisältö</w:t>
      </w:r>
      <w:r w:rsidR="001029A3">
        <w:rPr>
          <w:color w:val="000000" w:themeColor="text1"/>
        </w:rPr>
        <w:t>ä</w:t>
      </w:r>
      <w:r w:rsidR="006957DC">
        <w:rPr>
          <w:color w:val="000000" w:themeColor="text1"/>
        </w:rPr>
        <w:t xml:space="preserve"> </w:t>
      </w:r>
      <w:r w:rsidR="001029A3">
        <w:rPr>
          <w:color w:val="000000" w:themeColor="text1"/>
        </w:rPr>
        <w:t>kuvattu</w:t>
      </w:r>
      <w:r w:rsidR="006957DC">
        <w:rPr>
          <w:color w:val="000000" w:themeColor="text1"/>
        </w:rPr>
        <w:t xml:space="preserve"> tarkemmin luvussa 2.3</w:t>
      </w:r>
      <w:r>
        <w:rPr>
          <w:color w:val="000000" w:themeColor="text1"/>
        </w:rPr>
        <w:t>)</w:t>
      </w:r>
      <w:r w:rsidR="0051483F" w:rsidRPr="30125593">
        <w:rPr>
          <w:color w:val="000000" w:themeColor="text1"/>
        </w:rPr>
        <w:t>.</w:t>
      </w:r>
      <w:r w:rsidR="00F706C1">
        <w:rPr>
          <w:color w:val="000000" w:themeColor="text1"/>
        </w:rPr>
        <w:t xml:space="preserve"> Vuosittaiset</w:t>
      </w:r>
      <w:r w:rsidR="00536B8C">
        <w:rPr>
          <w:color w:val="000000" w:themeColor="text1"/>
        </w:rPr>
        <w:t xml:space="preserve"> päästökiintiöt on asetettu </w:t>
      </w:r>
      <w:r w:rsidR="00992ABB">
        <w:rPr>
          <w:color w:val="000000" w:themeColor="text1"/>
        </w:rPr>
        <w:t>vuosille 2021</w:t>
      </w:r>
      <w:r w:rsidR="2EF5A641">
        <w:rPr>
          <w:color w:val="000000" w:themeColor="text1"/>
        </w:rPr>
        <w:t>–</w:t>
      </w:r>
      <w:r w:rsidR="00992ABB">
        <w:rPr>
          <w:color w:val="000000" w:themeColor="text1"/>
        </w:rPr>
        <w:t xml:space="preserve">2025 ja ne on esitetty taulukossa </w:t>
      </w:r>
      <w:r w:rsidR="00D61BD5" w:rsidRPr="00D61BD5">
        <w:rPr>
          <w:color w:val="000000" w:themeColor="text1"/>
        </w:rPr>
        <w:t>2</w:t>
      </w:r>
      <w:r w:rsidR="00746220" w:rsidRPr="00D61BD5">
        <w:rPr>
          <w:color w:val="000000" w:themeColor="text1"/>
        </w:rPr>
        <w:t xml:space="preserve"> ja</w:t>
      </w:r>
      <w:r w:rsidR="00746220">
        <w:rPr>
          <w:color w:val="000000" w:themeColor="text1"/>
        </w:rPr>
        <w:t xml:space="preserve"> kuvassa </w:t>
      </w:r>
      <w:r w:rsidR="00F241A9" w:rsidRPr="00F241A9">
        <w:rPr>
          <w:color w:val="000000" w:themeColor="text1"/>
        </w:rPr>
        <w:t>4</w:t>
      </w:r>
      <w:r w:rsidR="00992ABB" w:rsidRPr="00F241A9">
        <w:rPr>
          <w:color w:val="000000" w:themeColor="text1"/>
        </w:rPr>
        <w:t>.</w:t>
      </w:r>
      <w:r w:rsidR="002F7A6B" w:rsidRPr="00F241A9">
        <w:rPr>
          <w:color w:val="000000" w:themeColor="text1"/>
        </w:rPr>
        <w:t xml:space="preserve"> Suomi on alittanut päästökiintiönsä vuosina 2021</w:t>
      </w:r>
      <w:r w:rsidR="402F4E2F" w:rsidRPr="00F241A9">
        <w:rPr>
          <w:color w:val="000000" w:themeColor="text1"/>
        </w:rPr>
        <w:t>–</w:t>
      </w:r>
      <w:r w:rsidR="002F7A6B" w:rsidRPr="00F241A9">
        <w:rPr>
          <w:color w:val="000000" w:themeColor="text1"/>
        </w:rPr>
        <w:t xml:space="preserve">2023, mutta </w:t>
      </w:r>
      <w:r w:rsidR="006A587E" w:rsidRPr="00F241A9">
        <w:rPr>
          <w:color w:val="000000" w:themeColor="text1"/>
        </w:rPr>
        <w:t xml:space="preserve">pikaennakkotiedon mukaan Suomi ylitti vuoden 2024 kiintiön 0,1 </w:t>
      </w:r>
      <w:r w:rsidR="00BE355A" w:rsidRPr="00F241A9">
        <w:rPr>
          <w:color w:val="000000" w:themeColor="text1"/>
        </w:rPr>
        <w:t>Mt CO</w:t>
      </w:r>
      <w:r w:rsidR="00BE355A" w:rsidRPr="00F241A9">
        <w:rPr>
          <w:color w:val="000000" w:themeColor="text1"/>
          <w:vertAlign w:val="subscript"/>
        </w:rPr>
        <w:t>2</w:t>
      </w:r>
      <w:r w:rsidR="00BE355A" w:rsidRPr="00F241A9">
        <w:rPr>
          <w:color w:val="000000" w:themeColor="text1"/>
        </w:rPr>
        <w:t>-ekv.</w:t>
      </w:r>
      <w:r w:rsidR="00457E76" w:rsidRPr="00F241A9">
        <w:rPr>
          <w:color w:val="000000" w:themeColor="text1"/>
        </w:rPr>
        <w:t xml:space="preserve"> </w:t>
      </w:r>
      <w:r w:rsidR="00FF2352" w:rsidRPr="00F241A9">
        <w:rPr>
          <w:color w:val="000000" w:themeColor="text1"/>
        </w:rPr>
        <w:t xml:space="preserve">(ks. </w:t>
      </w:r>
      <w:r w:rsidR="00BF7B43">
        <w:rPr>
          <w:color w:val="000000" w:themeColor="text1"/>
        </w:rPr>
        <w:fldChar w:fldCharType="begin"/>
      </w:r>
      <w:r w:rsidR="00BF7B43">
        <w:rPr>
          <w:color w:val="000000" w:themeColor="text1"/>
        </w:rPr>
        <w:instrText xml:space="preserve"> REF _Ref201650614 \h </w:instrText>
      </w:r>
      <w:r w:rsidR="00BF7B43">
        <w:rPr>
          <w:color w:val="000000" w:themeColor="text1"/>
        </w:rPr>
      </w:r>
      <w:r w:rsidR="00BF7B43">
        <w:rPr>
          <w:color w:val="000000" w:themeColor="text1"/>
        </w:rPr>
        <w:fldChar w:fldCharType="separate"/>
      </w:r>
      <w:r w:rsidR="00BF7B43">
        <w:t xml:space="preserve">Taulukko </w:t>
      </w:r>
      <w:r w:rsidR="00BF7B43">
        <w:rPr>
          <w:noProof/>
        </w:rPr>
        <w:t>2</w:t>
      </w:r>
      <w:r w:rsidR="00BF7B43">
        <w:rPr>
          <w:color w:val="000000" w:themeColor="text1"/>
        </w:rPr>
        <w:fldChar w:fldCharType="end"/>
      </w:r>
      <w:r w:rsidR="00746220" w:rsidRPr="00F241A9">
        <w:rPr>
          <w:color w:val="000000" w:themeColor="text1"/>
        </w:rPr>
        <w:t xml:space="preserve"> ja </w:t>
      </w:r>
      <w:r w:rsidR="00BF7B43">
        <w:rPr>
          <w:color w:val="000000" w:themeColor="text1"/>
        </w:rPr>
        <w:fldChar w:fldCharType="begin"/>
      </w:r>
      <w:r w:rsidR="00BF7B43">
        <w:rPr>
          <w:color w:val="000000" w:themeColor="text1"/>
        </w:rPr>
        <w:instrText xml:space="preserve"> REF _Ref201650655 \h </w:instrText>
      </w:r>
      <w:r w:rsidR="00BF7B43">
        <w:rPr>
          <w:color w:val="000000" w:themeColor="text1"/>
        </w:rPr>
      </w:r>
      <w:r w:rsidR="00BF7B43">
        <w:rPr>
          <w:color w:val="000000" w:themeColor="text1"/>
        </w:rPr>
        <w:fldChar w:fldCharType="separate"/>
      </w:r>
      <w:r w:rsidR="00BF7B43">
        <w:t xml:space="preserve">Kuvio </w:t>
      </w:r>
      <w:r w:rsidR="00BF7B43">
        <w:rPr>
          <w:noProof/>
        </w:rPr>
        <w:t>4</w:t>
      </w:r>
      <w:r w:rsidR="00BF7B43">
        <w:rPr>
          <w:color w:val="000000" w:themeColor="text1"/>
        </w:rPr>
        <w:fldChar w:fldCharType="end"/>
      </w:r>
      <w:r w:rsidR="00FF2352" w:rsidRPr="00F241A9">
        <w:rPr>
          <w:color w:val="000000" w:themeColor="text1"/>
        </w:rPr>
        <w:t>).</w:t>
      </w:r>
      <w:r w:rsidR="00457E76">
        <w:rPr>
          <w:color w:val="000000" w:themeColor="text1"/>
        </w:rPr>
        <w:t xml:space="preserve"> </w:t>
      </w:r>
      <w:r w:rsidR="00457E76" w:rsidRPr="005E51DE">
        <w:t>Suomella olisi näiden tietojen valossa vuosilta 2021–</w:t>
      </w:r>
      <w:r w:rsidR="00457E76">
        <w:t>2024</w:t>
      </w:r>
      <w:r w:rsidR="00457E76" w:rsidRPr="005E51DE">
        <w:t xml:space="preserve"> yhteensä noin </w:t>
      </w:r>
      <w:r w:rsidR="00457E76">
        <w:t>3,8</w:t>
      </w:r>
      <w:r w:rsidR="00457E76" w:rsidRPr="005E51DE">
        <w:t xml:space="preserve"> Mt CO</w:t>
      </w:r>
      <w:r w:rsidR="00457E76" w:rsidRPr="7FC34D61">
        <w:rPr>
          <w:vertAlign w:val="subscript"/>
        </w:rPr>
        <w:t>2</w:t>
      </w:r>
      <w:r w:rsidR="00457E76" w:rsidRPr="005E51DE">
        <w:t xml:space="preserve">-ekv. </w:t>
      </w:r>
      <w:r w:rsidR="00457E76">
        <w:t>ylijäämää</w:t>
      </w:r>
      <w:r w:rsidR="00457E76" w:rsidRPr="005E51DE">
        <w:t xml:space="preserve">, jolla voidaan kompensoida mahdollisia tulevien vuosien ylityksiä. Lopulliset velvoitteen saavuttamisen tarkastelussa käytettävät päästötiedot kiinnitetään </w:t>
      </w:r>
      <w:r w:rsidR="00457E76">
        <w:t>kuitenkin</w:t>
      </w:r>
      <w:r w:rsidR="00457E76" w:rsidRPr="005E51DE">
        <w:t xml:space="preserve"> vasta vuonna 2027 ja 2032 eli tiedot voivat vielä muuttua.</w:t>
      </w:r>
    </w:p>
    <w:p w14:paraId="37A78D6F" w14:textId="65BB30E7" w:rsidR="00145A00" w:rsidRDefault="00052839" w:rsidP="00BF7B43">
      <w:pPr>
        <w:pStyle w:val="Kuvaotsikko"/>
      </w:pPr>
      <w:bookmarkStart w:id="88" w:name="_Ref201650614"/>
      <w:r>
        <w:t xml:space="preserve">Taulukko </w:t>
      </w:r>
      <w:r>
        <w:fldChar w:fldCharType="begin"/>
      </w:r>
      <w:r>
        <w:instrText xml:space="preserve"> SEQ Taulukko \* ARABIC </w:instrText>
      </w:r>
      <w:r>
        <w:fldChar w:fldCharType="separate"/>
      </w:r>
      <w:r w:rsidR="00327A3A" w:rsidRPr="28C090C9">
        <w:rPr>
          <w:noProof/>
        </w:rPr>
        <w:t>2</w:t>
      </w:r>
      <w:r>
        <w:fldChar w:fldCharType="end"/>
      </w:r>
      <w:bookmarkEnd w:id="88"/>
      <w:r>
        <w:t>.</w:t>
      </w:r>
      <w:r w:rsidR="00145A00">
        <w:t xml:space="preserve">Suomen päästökiintiöt vuosille </w:t>
      </w:r>
      <w:r w:rsidR="7FD631AE">
        <w:t>2021–2025</w:t>
      </w:r>
      <w:r w:rsidR="00145A00">
        <w:t xml:space="preserve">, toteutuneet päästöt vuosina </w:t>
      </w:r>
      <w:r w:rsidR="3DB7E271">
        <w:t>2021–2024</w:t>
      </w:r>
      <w:r w:rsidR="00145A00">
        <w:t xml:space="preserve"> sekä vuosittainen yli- tai alijäämä suhteessa velvoitteeseen. Vuoden 2024 päästötieto on pikaennakkotieto.</w:t>
      </w:r>
    </w:p>
    <w:tbl>
      <w:tblPr>
        <w:tblStyle w:val="VNTaulukkovasentasaus"/>
        <w:tblW w:w="6813" w:type="dxa"/>
        <w:tblLook w:val="04A0" w:firstRow="1" w:lastRow="0" w:firstColumn="1" w:lastColumn="0" w:noHBand="0" w:noVBand="1"/>
      </w:tblPr>
      <w:tblGrid>
        <w:gridCol w:w="2138"/>
        <w:gridCol w:w="935"/>
        <w:gridCol w:w="935"/>
        <w:gridCol w:w="935"/>
        <w:gridCol w:w="935"/>
        <w:gridCol w:w="935"/>
      </w:tblGrid>
      <w:tr w:rsidR="00370703" w14:paraId="4132B499" w14:textId="77777777" w:rsidTr="003B0EA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8" w:type="dxa"/>
          </w:tcPr>
          <w:p w14:paraId="5B44817E" w14:textId="77777777" w:rsidR="00370703" w:rsidRDefault="00370703" w:rsidP="30125593">
            <w:pPr>
              <w:pStyle w:val="VNLeip1kappale"/>
              <w:rPr>
                <w:color w:val="000000"/>
              </w:rPr>
            </w:pPr>
          </w:p>
        </w:tc>
        <w:tc>
          <w:tcPr>
            <w:tcW w:w="935" w:type="dxa"/>
          </w:tcPr>
          <w:p w14:paraId="6E289C95" w14:textId="1F8E5DD0" w:rsidR="00370703" w:rsidRPr="00075291" w:rsidRDefault="00075291" w:rsidP="30125593">
            <w:pPr>
              <w:pStyle w:val="VNLeip1kappale"/>
              <w:cnfStyle w:val="100000000000" w:firstRow="1" w:lastRow="0" w:firstColumn="0" w:lastColumn="0" w:oddVBand="0" w:evenVBand="0" w:oddHBand="0" w:evenHBand="0" w:firstRowFirstColumn="0" w:firstRowLastColumn="0" w:lastRowFirstColumn="0" w:lastRowLastColumn="0"/>
              <w:rPr>
                <w:rFonts w:ascii="Cambria" w:hAnsi="Cambria"/>
                <w:color w:val="000000"/>
              </w:rPr>
            </w:pPr>
            <w:r>
              <w:rPr>
                <w:rFonts w:ascii="Cambria" w:hAnsi="Cambria"/>
                <w:color w:val="000000"/>
              </w:rPr>
              <w:t>2021</w:t>
            </w:r>
          </w:p>
        </w:tc>
        <w:tc>
          <w:tcPr>
            <w:tcW w:w="935" w:type="dxa"/>
          </w:tcPr>
          <w:p w14:paraId="270BE9DB" w14:textId="3C065919" w:rsidR="00370703" w:rsidRPr="00075291" w:rsidRDefault="00075291" w:rsidP="30125593">
            <w:pPr>
              <w:pStyle w:val="VNLeip1kappale"/>
              <w:cnfStyle w:val="100000000000" w:firstRow="1" w:lastRow="0" w:firstColumn="0" w:lastColumn="0" w:oddVBand="0" w:evenVBand="0" w:oddHBand="0" w:evenHBand="0" w:firstRowFirstColumn="0" w:firstRowLastColumn="0" w:lastRowFirstColumn="0" w:lastRowLastColumn="0"/>
              <w:rPr>
                <w:rFonts w:ascii="Cambria" w:hAnsi="Cambria"/>
                <w:color w:val="000000"/>
              </w:rPr>
            </w:pPr>
            <w:r>
              <w:rPr>
                <w:rFonts w:ascii="Cambria" w:hAnsi="Cambria"/>
                <w:color w:val="000000"/>
              </w:rPr>
              <w:t>2022</w:t>
            </w:r>
          </w:p>
        </w:tc>
        <w:tc>
          <w:tcPr>
            <w:tcW w:w="935" w:type="dxa"/>
          </w:tcPr>
          <w:p w14:paraId="0F17356D" w14:textId="5592FCBD" w:rsidR="00370703" w:rsidRPr="00075291" w:rsidRDefault="00075291" w:rsidP="30125593">
            <w:pPr>
              <w:pStyle w:val="VNLeip1kappale"/>
              <w:cnfStyle w:val="100000000000" w:firstRow="1" w:lastRow="0" w:firstColumn="0" w:lastColumn="0" w:oddVBand="0" w:evenVBand="0" w:oddHBand="0" w:evenHBand="0" w:firstRowFirstColumn="0" w:firstRowLastColumn="0" w:lastRowFirstColumn="0" w:lastRowLastColumn="0"/>
              <w:rPr>
                <w:rFonts w:ascii="Cambria" w:hAnsi="Cambria"/>
                <w:color w:val="000000"/>
              </w:rPr>
            </w:pPr>
            <w:r>
              <w:rPr>
                <w:rFonts w:ascii="Cambria" w:hAnsi="Cambria"/>
                <w:color w:val="000000"/>
              </w:rPr>
              <w:t>2023</w:t>
            </w:r>
          </w:p>
        </w:tc>
        <w:tc>
          <w:tcPr>
            <w:tcW w:w="935" w:type="dxa"/>
          </w:tcPr>
          <w:p w14:paraId="0869594A" w14:textId="447A50BC" w:rsidR="00370703" w:rsidRPr="00075291" w:rsidRDefault="00075291" w:rsidP="30125593">
            <w:pPr>
              <w:pStyle w:val="VNLeip1kappale"/>
              <w:cnfStyle w:val="100000000000" w:firstRow="1" w:lastRow="0" w:firstColumn="0" w:lastColumn="0" w:oddVBand="0" w:evenVBand="0" w:oddHBand="0" w:evenHBand="0" w:firstRowFirstColumn="0" w:firstRowLastColumn="0" w:lastRowFirstColumn="0" w:lastRowLastColumn="0"/>
              <w:rPr>
                <w:rFonts w:ascii="Cambria" w:hAnsi="Cambria"/>
                <w:color w:val="000000"/>
              </w:rPr>
            </w:pPr>
            <w:r>
              <w:rPr>
                <w:rFonts w:ascii="Cambria" w:hAnsi="Cambria"/>
                <w:color w:val="000000"/>
              </w:rPr>
              <w:t>2024</w:t>
            </w:r>
          </w:p>
        </w:tc>
        <w:tc>
          <w:tcPr>
            <w:tcW w:w="935" w:type="dxa"/>
          </w:tcPr>
          <w:p w14:paraId="4C931252" w14:textId="5CE08A0A" w:rsidR="00370703" w:rsidRPr="00075291" w:rsidRDefault="00075291" w:rsidP="30125593">
            <w:pPr>
              <w:pStyle w:val="VNLeip1kappale"/>
              <w:cnfStyle w:val="100000000000" w:firstRow="1" w:lastRow="0" w:firstColumn="0" w:lastColumn="0" w:oddVBand="0" w:evenVBand="0" w:oddHBand="0" w:evenHBand="0" w:firstRowFirstColumn="0" w:firstRowLastColumn="0" w:lastRowFirstColumn="0" w:lastRowLastColumn="0"/>
              <w:rPr>
                <w:rFonts w:ascii="Cambria" w:hAnsi="Cambria"/>
                <w:color w:val="000000"/>
              </w:rPr>
            </w:pPr>
            <w:r>
              <w:rPr>
                <w:rFonts w:ascii="Cambria" w:hAnsi="Cambria"/>
                <w:color w:val="000000"/>
              </w:rPr>
              <w:t>2025</w:t>
            </w:r>
          </w:p>
        </w:tc>
      </w:tr>
      <w:tr w:rsidR="00370703" w14:paraId="34DEEC76" w14:textId="77777777" w:rsidTr="003B0E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8" w:type="dxa"/>
          </w:tcPr>
          <w:p w14:paraId="105275DC" w14:textId="06E71B66" w:rsidR="00DF2894" w:rsidRDefault="00370703" w:rsidP="00356521">
            <w:pPr>
              <w:spacing w:before="0" w:after="120"/>
              <w:rPr>
                <w:color w:val="000000" w:themeColor="text1"/>
              </w:rPr>
            </w:pPr>
            <w:r w:rsidRPr="0A8D5BEF">
              <w:rPr>
                <w:color w:val="000000" w:themeColor="text1"/>
              </w:rPr>
              <w:t>Päästökiintiö</w:t>
            </w:r>
          </w:p>
          <w:p w14:paraId="51471F22" w14:textId="7D8E129C" w:rsidR="00370703" w:rsidRDefault="4EB899B0" w:rsidP="00356521">
            <w:pPr>
              <w:spacing w:before="0" w:after="120"/>
              <w:rPr>
                <w:rFonts w:cs="Arial"/>
                <w:b/>
                <w:color w:val="000000"/>
              </w:rPr>
            </w:pPr>
            <w:r w:rsidRPr="0A8D5BEF">
              <w:rPr>
                <w:rFonts w:cs="Arial"/>
                <w:b/>
                <w:bCs/>
                <w:color w:val="000000" w:themeColor="text1"/>
              </w:rPr>
              <w:t>(Mt CO</w:t>
            </w:r>
            <w:r w:rsidRPr="0A8D5BEF">
              <w:rPr>
                <w:rFonts w:cs="Arial"/>
                <w:b/>
                <w:bCs/>
                <w:color w:val="000000" w:themeColor="text1"/>
                <w:vertAlign w:val="subscript"/>
              </w:rPr>
              <w:t>2</w:t>
            </w:r>
            <w:r w:rsidRPr="0A8D5BEF">
              <w:rPr>
                <w:rFonts w:cs="Arial"/>
                <w:b/>
                <w:bCs/>
                <w:color w:val="000000" w:themeColor="text1"/>
              </w:rPr>
              <w:t>-ekv.)</w:t>
            </w:r>
          </w:p>
        </w:tc>
        <w:tc>
          <w:tcPr>
            <w:tcW w:w="935" w:type="dxa"/>
            <w:vAlign w:val="center"/>
          </w:tcPr>
          <w:p w14:paraId="3082351E" w14:textId="6DA9ECF6" w:rsidR="00370703" w:rsidRDefault="00075291" w:rsidP="00356521">
            <w:pPr>
              <w:pStyle w:val="VNLeip1kappale"/>
              <w:spacing w:before="120" w:after="12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28,8</w:t>
            </w:r>
          </w:p>
        </w:tc>
        <w:tc>
          <w:tcPr>
            <w:tcW w:w="935" w:type="dxa"/>
            <w:vAlign w:val="center"/>
          </w:tcPr>
          <w:p w14:paraId="0E3C8A9B" w14:textId="3FB6E259" w:rsidR="00370703" w:rsidRDefault="00D22ECE" w:rsidP="00356521">
            <w:pPr>
              <w:pStyle w:val="VNLeip1kappale"/>
              <w:spacing w:before="120" w:after="12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28,0</w:t>
            </w:r>
          </w:p>
        </w:tc>
        <w:tc>
          <w:tcPr>
            <w:tcW w:w="935" w:type="dxa"/>
            <w:vAlign w:val="center"/>
          </w:tcPr>
          <w:p w14:paraId="439E1375" w14:textId="0A064F8A" w:rsidR="00370703" w:rsidRDefault="00D22ECE" w:rsidP="00356521">
            <w:pPr>
              <w:pStyle w:val="VNLeip1kappale"/>
              <w:spacing w:before="120" w:after="12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26,6</w:t>
            </w:r>
          </w:p>
        </w:tc>
        <w:tc>
          <w:tcPr>
            <w:tcW w:w="935" w:type="dxa"/>
            <w:vAlign w:val="center"/>
          </w:tcPr>
          <w:p w14:paraId="225D3D5B" w14:textId="43B8B943" w:rsidR="00370703" w:rsidRDefault="00D22ECE" w:rsidP="00356521">
            <w:pPr>
              <w:pStyle w:val="VNLeip1kappale"/>
              <w:spacing w:before="120" w:after="12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25,</w:t>
            </w:r>
            <w:r w:rsidR="00FD411A">
              <w:rPr>
                <w:color w:val="000000"/>
              </w:rPr>
              <w:t>3</w:t>
            </w:r>
          </w:p>
        </w:tc>
        <w:tc>
          <w:tcPr>
            <w:tcW w:w="935" w:type="dxa"/>
            <w:vAlign w:val="center"/>
          </w:tcPr>
          <w:p w14:paraId="6E079B55" w14:textId="41AAC98D" w:rsidR="00370703" w:rsidRDefault="006A3CC7" w:rsidP="00356521">
            <w:pPr>
              <w:pStyle w:val="VNLeip1kappale"/>
              <w:spacing w:before="120" w:after="12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23,9</w:t>
            </w:r>
          </w:p>
        </w:tc>
      </w:tr>
      <w:tr w:rsidR="00370703" w14:paraId="2BB458BC" w14:textId="77777777" w:rsidTr="003B0E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8" w:type="dxa"/>
          </w:tcPr>
          <w:p w14:paraId="79E194E9" w14:textId="77777777" w:rsidR="00370703" w:rsidRDefault="00370703" w:rsidP="00356521">
            <w:pPr>
              <w:pStyle w:val="VNLeip1kappale"/>
              <w:spacing w:before="120" w:after="0"/>
              <w:rPr>
                <w:color w:val="000000"/>
              </w:rPr>
            </w:pPr>
            <w:r>
              <w:rPr>
                <w:color w:val="000000"/>
              </w:rPr>
              <w:t>Päästöt</w:t>
            </w:r>
          </w:p>
          <w:p w14:paraId="672249F3" w14:textId="2B0BD0D3" w:rsidR="00370703" w:rsidRDefault="00356521" w:rsidP="00356521">
            <w:pPr>
              <w:pStyle w:val="VNLeip1kappale"/>
              <w:spacing w:before="0" w:after="120"/>
              <w:rPr>
                <w:color w:val="000000"/>
              </w:rPr>
            </w:pPr>
            <w:r w:rsidRPr="113C9280">
              <w:rPr>
                <w:rFonts w:cs="Arial"/>
                <w:b/>
                <w:bCs/>
                <w:color w:val="000000" w:themeColor="text1"/>
              </w:rPr>
              <w:t>(Mt CO</w:t>
            </w:r>
            <w:r w:rsidRPr="113C9280">
              <w:rPr>
                <w:rFonts w:cs="Arial"/>
                <w:b/>
                <w:bCs/>
                <w:color w:val="000000" w:themeColor="text1"/>
                <w:vertAlign w:val="subscript"/>
              </w:rPr>
              <w:t>2</w:t>
            </w:r>
            <w:r w:rsidRPr="113C9280">
              <w:rPr>
                <w:rFonts w:cs="Arial"/>
                <w:b/>
                <w:bCs/>
                <w:color w:val="000000" w:themeColor="text1"/>
              </w:rPr>
              <w:t>-ekv.)</w:t>
            </w:r>
          </w:p>
        </w:tc>
        <w:tc>
          <w:tcPr>
            <w:tcW w:w="935" w:type="dxa"/>
            <w:vAlign w:val="center"/>
          </w:tcPr>
          <w:p w14:paraId="297BDC60" w14:textId="14014249" w:rsidR="00370703" w:rsidRDefault="00A8793A" w:rsidP="00356521">
            <w:pPr>
              <w:pStyle w:val="VNLeip1kappale"/>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27,4</w:t>
            </w:r>
          </w:p>
        </w:tc>
        <w:tc>
          <w:tcPr>
            <w:tcW w:w="935" w:type="dxa"/>
            <w:vAlign w:val="center"/>
          </w:tcPr>
          <w:p w14:paraId="0FC21456" w14:textId="47963EA1" w:rsidR="00370703" w:rsidRDefault="00A8793A" w:rsidP="00356521">
            <w:pPr>
              <w:pStyle w:val="VNLeip1kappale"/>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26,5</w:t>
            </w:r>
          </w:p>
        </w:tc>
        <w:tc>
          <w:tcPr>
            <w:tcW w:w="935" w:type="dxa"/>
            <w:vAlign w:val="center"/>
          </w:tcPr>
          <w:p w14:paraId="2392E955" w14:textId="2F0AEF49" w:rsidR="00370703" w:rsidRDefault="00217E89" w:rsidP="00356521">
            <w:pPr>
              <w:pStyle w:val="VNLeip1kappale"/>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25,6</w:t>
            </w:r>
          </w:p>
        </w:tc>
        <w:tc>
          <w:tcPr>
            <w:tcW w:w="935" w:type="dxa"/>
            <w:vAlign w:val="center"/>
          </w:tcPr>
          <w:p w14:paraId="560E1D4C" w14:textId="09955AFF" w:rsidR="00370703" w:rsidRDefault="00145A00" w:rsidP="00356521">
            <w:pPr>
              <w:pStyle w:val="VNLeip1kappale"/>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25,4</w:t>
            </w:r>
          </w:p>
        </w:tc>
        <w:tc>
          <w:tcPr>
            <w:tcW w:w="935" w:type="dxa"/>
            <w:vAlign w:val="center"/>
          </w:tcPr>
          <w:p w14:paraId="7686C805" w14:textId="77777777" w:rsidR="00370703" w:rsidRDefault="00370703" w:rsidP="00356521">
            <w:pPr>
              <w:pStyle w:val="VNLeip1kappale"/>
              <w:jc w:val="center"/>
              <w:cnfStyle w:val="000000010000" w:firstRow="0" w:lastRow="0" w:firstColumn="0" w:lastColumn="0" w:oddVBand="0" w:evenVBand="0" w:oddHBand="0" w:evenHBand="1" w:firstRowFirstColumn="0" w:firstRowLastColumn="0" w:lastRowFirstColumn="0" w:lastRowLastColumn="0"/>
              <w:rPr>
                <w:color w:val="000000"/>
              </w:rPr>
            </w:pPr>
          </w:p>
        </w:tc>
      </w:tr>
      <w:tr w:rsidR="00370703" w14:paraId="15ED34A9" w14:textId="77777777" w:rsidTr="003B0E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8" w:type="dxa"/>
          </w:tcPr>
          <w:p w14:paraId="3778DEA9" w14:textId="77777777" w:rsidR="00370703" w:rsidRDefault="00370703" w:rsidP="00356521">
            <w:pPr>
              <w:pStyle w:val="VNLeip1kappale"/>
              <w:spacing w:before="120" w:after="0"/>
              <w:rPr>
                <w:color w:val="000000"/>
              </w:rPr>
            </w:pPr>
            <w:r>
              <w:rPr>
                <w:color w:val="000000"/>
              </w:rPr>
              <w:t xml:space="preserve">Ylijäämä </w:t>
            </w:r>
            <w:r w:rsidR="00075291">
              <w:rPr>
                <w:color w:val="000000"/>
              </w:rPr>
              <w:t>(+) / Vaje (-)</w:t>
            </w:r>
          </w:p>
          <w:p w14:paraId="40BCF3F2" w14:textId="29B3D796" w:rsidR="00370703" w:rsidRDefault="00356521" w:rsidP="00356521">
            <w:pPr>
              <w:pStyle w:val="VNLeip1kappale"/>
              <w:spacing w:before="0" w:after="120"/>
              <w:rPr>
                <w:color w:val="000000"/>
              </w:rPr>
            </w:pPr>
            <w:r w:rsidRPr="113C9280">
              <w:rPr>
                <w:rFonts w:cs="Arial"/>
                <w:b/>
                <w:bCs/>
                <w:color w:val="000000" w:themeColor="text1"/>
              </w:rPr>
              <w:t>(Mt CO</w:t>
            </w:r>
            <w:r w:rsidRPr="113C9280">
              <w:rPr>
                <w:rFonts w:cs="Arial"/>
                <w:b/>
                <w:bCs/>
                <w:color w:val="000000" w:themeColor="text1"/>
                <w:vertAlign w:val="subscript"/>
              </w:rPr>
              <w:t>2</w:t>
            </w:r>
            <w:r w:rsidRPr="113C9280">
              <w:rPr>
                <w:rFonts w:cs="Arial"/>
                <w:b/>
                <w:bCs/>
                <w:color w:val="000000" w:themeColor="text1"/>
              </w:rPr>
              <w:t>-ekv.)</w:t>
            </w:r>
          </w:p>
        </w:tc>
        <w:tc>
          <w:tcPr>
            <w:tcW w:w="935" w:type="dxa"/>
            <w:vAlign w:val="center"/>
          </w:tcPr>
          <w:p w14:paraId="2BE767FA" w14:textId="4FBF3C72" w:rsidR="00370703" w:rsidRDefault="00A8793A" w:rsidP="00356521">
            <w:pPr>
              <w:pStyle w:val="VNLeip1kappale"/>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tcW w:w="935" w:type="dxa"/>
            <w:vAlign w:val="center"/>
          </w:tcPr>
          <w:p w14:paraId="678CAC39" w14:textId="2F5521C0" w:rsidR="00370703" w:rsidRDefault="00217E89" w:rsidP="00356521">
            <w:pPr>
              <w:pStyle w:val="VNLeip1kappale"/>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tcW w:w="935" w:type="dxa"/>
            <w:vAlign w:val="center"/>
          </w:tcPr>
          <w:p w14:paraId="1AB7EEB6" w14:textId="529032F6" w:rsidR="00370703" w:rsidRDefault="00217E89" w:rsidP="00356521">
            <w:pPr>
              <w:pStyle w:val="VNLeip1kappale"/>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p>
        </w:tc>
        <w:tc>
          <w:tcPr>
            <w:tcW w:w="935" w:type="dxa"/>
            <w:vAlign w:val="center"/>
          </w:tcPr>
          <w:p w14:paraId="1D4D7417" w14:textId="6B485528" w:rsidR="00370703" w:rsidRDefault="00C3544E" w:rsidP="00356521">
            <w:pPr>
              <w:pStyle w:val="VNLeip1kappale"/>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-0,1</w:t>
            </w:r>
          </w:p>
        </w:tc>
        <w:tc>
          <w:tcPr>
            <w:tcW w:w="935" w:type="dxa"/>
            <w:vAlign w:val="center"/>
          </w:tcPr>
          <w:p w14:paraId="3F6B6422" w14:textId="77777777" w:rsidR="00370703" w:rsidRDefault="00370703" w:rsidP="00356521">
            <w:pPr>
              <w:pStyle w:val="VNLeip1kappale"/>
              <w:jc w:val="center"/>
              <w:cnfStyle w:val="000000100000" w:firstRow="0" w:lastRow="0" w:firstColumn="0" w:lastColumn="0" w:oddVBand="0" w:evenVBand="0" w:oddHBand="1" w:evenHBand="0" w:firstRowFirstColumn="0" w:firstRowLastColumn="0" w:lastRowFirstColumn="0" w:lastRowLastColumn="0"/>
              <w:rPr>
                <w:color w:val="000000"/>
              </w:rPr>
            </w:pPr>
          </w:p>
        </w:tc>
      </w:tr>
    </w:tbl>
    <w:p w14:paraId="23F816DD" w14:textId="77777777" w:rsidR="00992ABB" w:rsidRPr="005E51DE" w:rsidRDefault="00992ABB" w:rsidP="00052839">
      <w:pPr>
        <w:pStyle w:val="VNKuvateksti"/>
      </w:pPr>
    </w:p>
    <w:p w14:paraId="672A6318" w14:textId="77027061" w:rsidR="00402D51" w:rsidRDefault="00BF7B43" w:rsidP="00BF7B43">
      <w:pPr>
        <w:pStyle w:val="Kuvaotsikko"/>
      </w:pPr>
      <w:bookmarkStart w:id="89" w:name="_Ref201650655"/>
      <w:r>
        <w:t>Kuvio</w:t>
      </w:r>
      <w:r w:rsidR="00052839">
        <w:t xml:space="preserve"> </w:t>
      </w:r>
      <w:r>
        <w:fldChar w:fldCharType="begin"/>
      </w:r>
      <w:r>
        <w:instrText xml:space="preserve"> SEQ Kuvio \* ARABIC </w:instrText>
      </w:r>
      <w:r>
        <w:fldChar w:fldCharType="separate"/>
      </w:r>
      <w:r w:rsidR="00D87A85">
        <w:rPr>
          <w:noProof/>
        </w:rPr>
        <w:t>4</w:t>
      </w:r>
      <w:r>
        <w:fldChar w:fldCharType="end"/>
      </w:r>
      <w:bookmarkEnd w:id="89"/>
      <w:r w:rsidR="00052839">
        <w:t>.</w:t>
      </w:r>
      <w:r>
        <w:t xml:space="preserve"> </w:t>
      </w:r>
      <w:r w:rsidR="00402D51">
        <w:t xml:space="preserve">Taakanjakosektorin päästökiintiöt ja </w:t>
      </w:r>
      <w:r w:rsidR="00C34921">
        <w:t>toteutuneet päästöt</w:t>
      </w:r>
      <w:r w:rsidR="00660F88">
        <w:t xml:space="preserve"> vuosina</w:t>
      </w:r>
      <w:r w:rsidR="009C17D1">
        <w:t xml:space="preserve"> </w:t>
      </w:r>
      <w:proofErr w:type="gramStart"/>
      <w:r w:rsidR="009C17D1">
        <w:t>2021-2024</w:t>
      </w:r>
      <w:proofErr w:type="gramEnd"/>
      <w:r w:rsidR="00A477E6">
        <w:t xml:space="preserve">. </w:t>
      </w:r>
      <w:r w:rsidR="00372D5E">
        <w:t>Vuoden 2024 päästötieto on pikaennakkotieto.</w:t>
      </w:r>
    </w:p>
    <w:p w14:paraId="4BC18E9B" w14:textId="2785DC78" w:rsidR="0051483F" w:rsidRDefault="00D15DAD" w:rsidP="00586CF1">
      <w:pPr>
        <w:pStyle w:val="VNLeip1kappale"/>
        <w:rPr>
          <w:lang w:eastAsia="en-US"/>
        </w:rPr>
      </w:pPr>
      <w:r>
        <w:rPr>
          <w:noProof/>
        </w:rPr>
        <w:lastRenderedPageBreak/>
        <w:drawing>
          <wp:inline distT="0" distB="0" distL="0" distR="0" wp14:anchorId="37FB8E04" wp14:editId="34F4520F">
            <wp:extent cx="4568825" cy="2740025"/>
            <wp:effectExtent l="0" t="0" r="3175" b="3175"/>
            <wp:docPr id="2014888598" name="Kaavio 1">
              <a:extLst xmlns:a="http://schemas.openxmlformats.org/drawingml/2006/main">
                <a:ext uri="{FF2B5EF4-FFF2-40B4-BE49-F238E27FC236}">
                  <a16:creationId xmlns:a16="http://schemas.microsoft.com/office/drawing/2014/main" id="{81F4C70E-1E13-897B-EEEB-FF7DED0078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3542047" w14:textId="3669011E" w:rsidR="003A6AD5" w:rsidRPr="00C6790C" w:rsidRDefault="04BB5972" w:rsidP="614BB909">
      <w:pPr>
        <w:pStyle w:val="Otsikko2"/>
        <w:rPr>
          <w:lang w:val="fi-FI"/>
        </w:rPr>
      </w:pPr>
      <w:bookmarkStart w:id="90" w:name="_Toc1837523767"/>
      <w:bookmarkStart w:id="91" w:name="_Toc605059266"/>
      <w:r w:rsidRPr="44C2759F">
        <w:rPr>
          <w:lang w:val="fi-FI"/>
        </w:rPr>
        <w:t xml:space="preserve"> </w:t>
      </w:r>
      <w:bookmarkStart w:id="92" w:name="_Toc202260040"/>
      <w:r w:rsidR="7F816A41" w:rsidRPr="44C2759F">
        <w:rPr>
          <w:lang w:val="fi-FI"/>
        </w:rPr>
        <w:t>4.4</w:t>
      </w:r>
      <w:r w:rsidRPr="44C2759F">
        <w:rPr>
          <w:lang w:val="fi-FI"/>
        </w:rPr>
        <w:t xml:space="preserve"> </w:t>
      </w:r>
      <w:r w:rsidR="59CA75AB" w:rsidRPr="44C2759F">
        <w:rPr>
          <w:lang w:val="fi-FI"/>
        </w:rPr>
        <w:t>Nykytoimi</w:t>
      </w:r>
      <w:r w:rsidR="662321EA" w:rsidRPr="44C2759F">
        <w:rPr>
          <w:lang w:val="fi-FI"/>
        </w:rPr>
        <w:t>skenaarion</w:t>
      </w:r>
      <w:r w:rsidR="459E563F" w:rsidRPr="44C2759F">
        <w:rPr>
          <w:lang w:val="fi-FI"/>
        </w:rPr>
        <w:t xml:space="preserve"> laskentaoletukset</w:t>
      </w:r>
      <w:bookmarkEnd w:id="90"/>
      <w:bookmarkEnd w:id="91"/>
      <w:bookmarkEnd w:id="92"/>
    </w:p>
    <w:p w14:paraId="6479763A" w14:textId="72249A5F" w:rsidR="00D0331E" w:rsidRDefault="00D822BA" w:rsidP="3AC8EB2A">
      <w:pPr>
        <w:pStyle w:val="VNLeip1kappale"/>
        <w:rPr>
          <w:lang w:eastAsia="en-US"/>
        </w:rPr>
      </w:pPr>
      <w:r w:rsidRPr="1D9389B3">
        <w:rPr>
          <w:lang w:eastAsia="en-US"/>
        </w:rPr>
        <w:t>KEITO</w:t>
      </w:r>
      <w:r w:rsidR="003A6AD5">
        <w:t>-</w:t>
      </w:r>
      <w:r w:rsidR="00FB496C">
        <w:t>työssä</w:t>
      </w:r>
      <w:r w:rsidR="003A6AD5">
        <w:t xml:space="preserve"> laadittu kokonaispäästöjen, vuoteen 2055 asti ulottuva nykytoimi</w:t>
      </w:r>
      <w:r w:rsidR="003A6AD5" w:rsidRPr="0096196D">
        <w:t>skenaario (</w:t>
      </w:r>
      <w:proofErr w:type="spellStart"/>
      <w:r w:rsidR="003A6AD5" w:rsidRPr="0096196D">
        <w:t>With</w:t>
      </w:r>
      <w:proofErr w:type="spellEnd"/>
      <w:r w:rsidR="003A6AD5" w:rsidRPr="5928A1BF">
        <w:t xml:space="preserve"> </w:t>
      </w:r>
      <w:proofErr w:type="spellStart"/>
      <w:r w:rsidR="003A6AD5" w:rsidRPr="0096196D">
        <w:t>Existing</w:t>
      </w:r>
      <w:proofErr w:type="spellEnd"/>
      <w:r w:rsidR="003A6AD5" w:rsidRPr="5928A1BF">
        <w:t xml:space="preserve"> </w:t>
      </w:r>
      <w:proofErr w:type="spellStart"/>
      <w:r w:rsidR="003A6AD5" w:rsidRPr="0096196D">
        <w:t>Measures</w:t>
      </w:r>
      <w:proofErr w:type="spellEnd"/>
      <w:r w:rsidR="003A6AD5" w:rsidRPr="0096196D">
        <w:t xml:space="preserve">, WEM) on tuotettu VTT:n </w:t>
      </w:r>
      <w:r w:rsidR="003A6AD5">
        <w:t>käyttämän TIMES-mallin avulla. S</w:t>
      </w:r>
      <w:r w:rsidR="003A6AD5" w:rsidRPr="0096196D">
        <w:t>kenaario</w:t>
      </w:r>
      <w:r w:rsidR="003A6AD5">
        <w:t xml:space="preserve"> perustuu</w:t>
      </w:r>
      <w:r w:rsidR="003A6AD5" w:rsidRPr="0096196D">
        <w:t xml:space="preserve"> </w:t>
      </w:r>
      <w:r w:rsidR="0C0712A2">
        <w:t xml:space="preserve">aikaisemmin tuotetun PEIKKO-hankkeen nykytoimiskenaarioon </w:t>
      </w:r>
      <w:r w:rsidR="64BD9288">
        <w:t xml:space="preserve">(WEM-P) </w:t>
      </w:r>
      <w:r w:rsidR="0C0712A2">
        <w:t xml:space="preserve">päivitetyssä muodossa. </w:t>
      </w:r>
      <w:r w:rsidR="00D0331E">
        <w:rPr>
          <w:lang w:eastAsia="en-US"/>
        </w:rPr>
        <w:t>Tarkastelut kattoivat</w:t>
      </w:r>
      <w:r w:rsidR="00D0331E" w:rsidRPr="009F3D93">
        <w:rPr>
          <w:lang w:eastAsia="en-US"/>
        </w:rPr>
        <w:t xml:space="preserve"> kaikki </w:t>
      </w:r>
      <w:r w:rsidR="00D0331E" w:rsidRPr="009F3D93" w:rsidDel="00A02E41">
        <w:rPr>
          <w:lang w:eastAsia="en-US"/>
        </w:rPr>
        <w:t xml:space="preserve">Kioton </w:t>
      </w:r>
      <w:r w:rsidR="00D0331E" w:rsidRPr="528440DE">
        <w:rPr>
          <w:lang w:eastAsia="en-US"/>
        </w:rPr>
        <w:t>pöytäkirjan Pariisin</w:t>
      </w:r>
      <w:r w:rsidR="00D0331E">
        <w:rPr>
          <w:lang w:eastAsia="en-US"/>
        </w:rPr>
        <w:t xml:space="preserve"> ilmastosopimuksen mukaiset kasvihuonekaasut</w:t>
      </w:r>
      <w:r w:rsidR="00D0331E" w:rsidRPr="009F3D93">
        <w:rPr>
          <w:lang w:eastAsia="en-US"/>
        </w:rPr>
        <w:t xml:space="preserve"> ja niiden taseet käyttämällä hallitusten välisen ilmastonmuutospaneelin, eli </w:t>
      </w:r>
      <w:proofErr w:type="spellStart"/>
      <w:r w:rsidR="00D0331E" w:rsidRPr="009F3D93">
        <w:rPr>
          <w:lang w:eastAsia="en-US"/>
        </w:rPr>
        <w:t>IPCC:n</w:t>
      </w:r>
      <w:proofErr w:type="spellEnd"/>
      <w:r w:rsidR="00D0331E" w:rsidRPr="009F3D93">
        <w:rPr>
          <w:lang w:eastAsia="en-US"/>
        </w:rPr>
        <w:t>, viidennen arviointiraportin (AR5) mukaisia säteilypakotekertoimia (GWP).</w:t>
      </w:r>
      <w:r w:rsidR="003E50E6">
        <w:rPr>
          <w:lang w:eastAsia="en-US"/>
        </w:rPr>
        <w:t xml:space="preserve"> </w:t>
      </w:r>
    </w:p>
    <w:p w14:paraId="0567A28B" w14:textId="6974254D" w:rsidR="003A6AD5" w:rsidRDefault="008E3938" w:rsidP="003A6AD5">
      <w:pPr>
        <w:pStyle w:val="VNLeip1kappale"/>
        <w:rPr>
          <w:lang w:eastAsia="en-US"/>
        </w:rPr>
      </w:pPr>
      <w:r>
        <w:t>Nykytoimiskenaariossa</w:t>
      </w:r>
      <w:r w:rsidR="64BD9288">
        <w:t xml:space="preserve"> on otettu huomioon vuo</w:t>
      </w:r>
      <w:r w:rsidR="2275F1F0">
        <w:t>den</w:t>
      </w:r>
      <w:r w:rsidR="64BD9288">
        <w:t xml:space="preserve"> 202</w:t>
      </w:r>
      <w:r w:rsidR="00E31903">
        <w:t>3</w:t>
      </w:r>
      <w:r w:rsidR="560149EF">
        <w:t xml:space="preserve"> kevään</w:t>
      </w:r>
      <w:r w:rsidR="00E31903">
        <w:t xml:space="preserve"> mennessä toteutetut kansalliset toimet </w:t>
      </w:r>
      <w:r w:rsidR="003A6AD5" w:rsidRPr="0096196D">
        <w:t xml:space="preserve">sekä EU:n ilmasto- ja energiapolitiikan </w:t>
      </w:r>
      <w:r w:rsidR="003A6AD5">
        <w:t>mukais</w:t>
      </w:r>
      <w:r w:rsidR="1F9574E8">
        <w:t xml:space="preserve">et </w:t>
      </w:r>
      <w:r w:rsidR="003A6AD5">
        <w:t>toim</w:t>
      </w:r>
      <w:r w:rsidR="4811A54A">
        <w:t>et</w:t>
      </w:r>
      <w:r w:rsidR="00612FAF">
        <w:t xml:space="preserve">. </w:t>
      </w:r>
      <w:r w:rsidR="00321B95" w:rsidRPr="30125593">
        <w:rPr>
          <w:lang w:eastAsia="en-US"/>
        </w:rPr>
        <w:t>Näin ollen jakeluvelvoitelainsäädäntö on huomio</w:t>
      </w:r>
      <w:r w:rsidR="00321B95">
        <w:rPr>
          <w:lang w:eastAsia="en-US"/>
        </w:rPr>
        <w:t>i</w:t>
      </w:r>
      <w:r w:rsidR="00321B95" w:rsidRPr="30125593">
        <w:rPr>
          <w:lang w:eastAsia="en-US"/>
        </w:rPr>
        <w:t>tu</w:t>
      </w:r>
      <w:r w:rsidR="003A6AD5" w:rsidRPr="30125593">
        <w:rPr>
          <w:lang w:eastAsia="en-US"/>
        </w:rPr>
        <w:t xml:space="preserve"> edellisen hallituskauden lainsäädännön mukaisesti eikä </w:t>
      </w:r>
      <w:proofErr w:type="spellStart"/>
      <w:r w:rsidR="003A6AD5" w:rsidRPr="30125593">
        <w:rPr>
          <w:lang w:eastAsia="en-US"/>
        </w:rPr>
        <w:t>Orpon</w:t>
      </w:r>
      <w:proofErr w:type="spellEnd"/>
      <w:r w:rsidR="003A6AD5" w:rsidRPr="30125593">
        <w:rPr>
          <w:lang w:eastAsia="en-US"/>
        </w:rPr>
        <w:t xml:space="preserve"> hallituksen aikana tehtyjä muutoksia ole otettu mukaan laskentaan. Kevyen polttoöljyn jakeluvelvoite on otettu huomioon vielä voimassa olevan lainsäädännön pohjalta</w:t>
      </w:r>
      <w:r w:rsidR="00373CE1">
        <w:rPr>
          <w:lang w:eastAsia="en-US"/>
        </w:rPr>
        <w:t>,</w:t>
      </w:r>
      <w:r w:rsidR="003A6AD5" w:rsidRPr="30125593">
        <w:rPr>
          <w:lang w:eastAsia="en-US"/>
        </w:rPr>
        <w:t xml:space="preserve"> eikä edellisen KAISU-suunnitelman linjauksen mukaisesti. </w:t>
      </w:r>
      <w:r w:rsidR="00DA23FD">
        <w:rPr>
          <w:lang w:eastAsia="en-US"/>
        </w:rPr>
        <w:t xml:space="preserve">Joidenkin muidenkin </w:t>
      </w:r>
      <w:r w:rsidR="003A6AD5" w:rsidRPr="30125593">
        <w:rPr>
          <w:lang w:eastAsia="en-US"/>
        </w:rPr>
        <w:t xml:space="preserve">edellisen </w:t>
      </w:r>
      <w:proofErr w:type="spellStart"/>
      <w:r w:rsidR="003A6AD5" w:rsidRPr="30125593">
        <w:rPr>
          <w:lang w:eastAsia="en-US"/>
        </w:rPr>
        <w:t>KAISUn</w:t>
      </w:r>
      <w:proofErr w:type="spellEnd"/>
      <w:r w:rsidR="003A6AD5" w:rsidRPr="30125593">
        <w:rPr>
          <w:lang w:eastAsia="en-US"/>
        </w:rPr>
        <w:t xml:space="preserve"> mukaisten toimien toimeenpano ei ole toteutunut, mikä on heijastunut skenaariolaskentaan. </w:t>
      </w:r>
      <w:r w:rsidR="00373CE1">
        <w:rPr>
          <w:lang w:eastAsia="en-US"/>
        </w:rPr>
        <w:t>N</w:t>
      </w:r>
      <w:r w:rsidR="00373CE1" w:rsidRPr="0323BCFE">
        <w:rPr>
          <w:lang w:eastAsia="en-US"/>
        </w:rPr>
        <w:t>ykytoimiskenaariossa</w:t>
      </w:r>
      <w:r w:rsidR="00373CE1" w:rsidRPr="30125593">
        <w:rPr>
          <w:lang w:eastAsia="en-US"/>
        </w:rPr>
        <w:t xml:space="preserve"> on oletettu, että energiahyödykkeiden tuontikielto Venäjältä pysyy voimassa tarkastelujakson aikana.</w:t>
      </w:r>
      <w:r w:rsidR="003A6AD5" w:rsidRPr="30125593">
        <w:rPr>
          <w:lang w:eastAsia="en-US"/>
        </w:rPr>
        <w:t xml:space="preserve"> </w:t>
      </w:r>
      <w:r w:rsidR="00954371" w:rsidRPr="7863D920">
        <w:rPr>
          <w:lang w:eastAsia="en-US"/>
        </w:rPr>
        <w:t>KEITO</w:t>
      </w:r>
      <w:r w:rsidR="003A6AD5" w:rsidRPr="30125593">
        <w:rPr>
          <w:lang w:eastAsia="en-US"/>
        </w:rPr>
        <w:t>-</w:t>
      </w:r>
      <w:r w:rsidR="006A054C">
        <w:rPr>
          <w:lang w:eastAsia="en-US"/>
        </w:rPr>
        <w:lastRenderedPageBreak/>
        <w:t>työ</w:t>
      </w:r>
      <w:r w:rsidR="003A6AD5" w:rsidRPr="30125593">
        <w:rPr>
          <w:lang w:eastAsia="en-US"/>
        </w:rPr>
        <w:t xml:space="preserve">n loppuraportissa on yksityiskohtaisesti selostettu käytettyjä laskentaoletuksia politiikkatoimitasolla.  </w:t>
      </w:r>
    </w:p>
    <w:p w14:paraId="73D36245" w14:textId="0982CD97" w:rsidR="003A6AD5" w:rsidRDefault="459E563F" w:rsidP="003A6AD5">
      <w:pPr>
        <w:pStyle w:val="VNLeip1kappale"/>
        <w:rPr>
          <w:lang w:eastAsia="en-US"/>
        </w:rPr>
      </w:pPr>
      <w:r w:rsidRPr="44C2759F">
        <w:rPr>
          <w:lang w:eastAsia="en-US"/>
        </w:rPr>
        <w:t xml:space="preserve">Muutamalla poikkeuksella EU:n </w:t>
      </w:r>
      <w:r w:rsidR="37A9BFF7" w:rsidRPr="44C2759F">
        <w:rPr>
          <w:lang w:eastAsia="en-US"/>
        </w:rPr>
        <w:t>55-</w:t>
      </w:r>
      <w:r w:rsidRPr="44C2759F">
        <w:rPr>
          <w:lang w:eastAsia="en-US"/>
        </w:rPr>
        <w:t xml:space="preserve">valmiuspaketin mukainen lainsäädäntö on otettu huomioon laskennassa. </w:t>
      </w:r>
      <w:r w:rsidR="309F3232" w:rsidRPr="29FA1935">
        <w:rPr>
          <w:lang w:eastAsia="en-US"/>
        </w:rPr>
        <w:t>T</w:t>
      </w:r>
      <w:r w:rsidR="003A6AD5" w:rsidRPr="29FA1935">
        <w:rPr>
          <w:lang w:eastAsia="en-US"/>
        </w:rPr>
        <w:t>aakanjakosektorin</w:t>
      </w:r>
      <w:r w:rsidRPr="44C2759F">
        <w:rPr>
          <w:lang w:eastAsia="en-US"/>
        </w:rPr>
        <w:t xml:space="preserve"> soveltamisalan muutos biomassaa käyttävien polttolaitosten osalta</w:t>
      </w:r>
      <w:r w:rsidR="6A7B1C5A" w:rsidRPr="44C2759F">
        <w:rPr>
          <w:lang w:eastAsia="en-US"/>
        </w:rPr>
        <w:t xml:space="preserve"> ei ole mukana laskennassa</w:t>
      </w:r>
      <w:r w:rsidRPr="44C2759F">
        <w:rPr>
          <w:lang w:eastAsia="en-US"/>
        </w:rPr>
        <w:t xml:space="preserve">. Toisaalta uuden </w:t>
      </w:r>
      <w:r w:rsidR="540820D6" w:rsidRPr="44C2759F">
        <w:rPr>
          <w:lang w:eastAsia="en-US"/>
        </w:rPr>
        <w:t xml:space="preserve">fossiilisten polttoaineiden </w:t>
      </w:r>
      <w:r w:rsidR="003A6AD5" w:rsidRPr="0C1C0A20">
        <w:rPr>
          <w:lang w:eastAsia="en-US"/>
        </w:rPr>
        <w:t>jakel</w:t>
      </w:r>
      <w:r w:rsidR="006E4B40">
        <w:rPr>
          <w:lang w:eastAsia="en-US"/>
        </w:rPr>
        <w:t>ua</w:t>
      </w:r>
      <w:r w:rsidRPr="44C2759F">
        <w:rPr>
          <w:lang w:eastAsia="en-US"/>
        </w:rPr>
        <w:t xml:space="preserve"> </w:t>
      </w:r>
      <w:r w:rsidR="540820D6" w:rsidRPr="44C2759F">
        <w:rPr>
          <w:lang w:eastAsia="en-US"/>
        </w:rPr>
        <w:t>koskevan</w:t>
      </w:r>
      <w:r w:rsidRPr="44C2759F">
        <w:rPr>
          <w:lang w:eastAsia="en-US"/>
        </w:rPr>
        <w:t xml:space="preserve"> päästökaupan (ns. ETS 2) käyttöönotto on otettu huomioon.</w:t>
      </w:r>
    </w:p>
    <w:p w14:paraId="5EEC954E" w14:textId="432D5B98" w:rsidR="007D07E5" w:rsidRPr="007D07E5" w:rsidRDefault="007D07E5" w:rsidP="003A6AD5">
      <w:pPr>
        <w:pStyle w:val="VNLeip1kappale"/>
        <w:rPr>
          <w:rFonts w:asciiTheme="minorHAnsi" w:eastAsiaTheme="minorEastAsia" w:hAnsiTheme="minorHAnsi" w:cstheme="minorBidi"/>
          <w:strike/>
        </w:rPr>
      </w:pPr>
      <w:r w:rsidRPr="680E8BB1">
        <w:rPr>
          <w:rFonts w:eastAsiaTheme="minorEastAsia"/>
        </w:rPr>
        <w:t>Mallinnuksessa on käytetty Euroopan komission suosittelemia oletuksia polttoaineiden tuontihintojen ja päästöoikeuksien hintojen kehityksestä. Lisäksi arvioon nykytoimilla saavutettavasta päästökehityksestä vaikuttavat muun muassa teollisuuden eri toimialojen kehitys sekä väestöennuste.</w:t>
      </w:r>
    </w:p>
    <w:p w14:paraId="0F6DDE9D" w14:textId="20852142" w:rsidR="003A6AD5" w:rsidRDefault="003A6AD5" w:rsidP="003A6AD5">
      <w:pPr>
        <w:pStyle w:val="VNLeip1kappale"/>
        <w:rPr>
          <w:lang w:eastAsia="en-US"/>
        </w:rPr>
      </w:pPr>
      <w:r w:rsidRPr="00284349">
        <w:rPr>
          <w:lang w:eastAsia="en-US"/>
        </w:rPr>
        <w:t xml:space="preserve">Tieliikenteen WEM-skenaariot on laskettu </w:t>
      </w:r>
      <w:r>
        <w:rPr>
          <w:lang w:eastAsia="en-US"/>
        </w:rPr>
        <w:t>VTT:n ELIISA-skenaariomallilla</w:t>
      </w:r>
      <w:r w:rsidRPr="00284349">
        <w:rPr>
          <w:lang w:eastAsia="en-US"/>
        </w:rPr>
        <w:t>. ELIISA-malli sisältää aiempaa tarkemman energiankulutus- ja kasvihuonekaasupäästölaskennan ajoneuvoille sekä sisältää myös laskennan L-luokan ajoneuvoille eli moottoripyörille, mopoille ja muille liikennekäytössä oleville kevyille kolmi- ja nelipyörille. ELIISA-mallin lähtötietoina on aina edellisen tilastovuoden vuosimallikohtainen liikennekäytössä oleva ajoneuvokanta, tilastoitu ajoneuvokohtainen suorite ja tilastoitu liikennepolttoaineiden kulutus.</w:t>
      </w:r>
    </w:p>
    <w:p w14:paraId="75A34589" w14:textId="5AD3C6F6" w:rsidR="00EB50EB" w:rsidRPr="00873E36" w:rsidRDefault="00356288" w:rsidP="00D97E1B">
      <w:pPr>
        <w:pStyle w:val="Otsikko2"/>
        <w:rPr>
          <w:lang w:val="fi-FI"/>
        </w:rPr>
      </w:pPr>
      <w:r w:rsidRPr="00366F52">
        <w:rPr>
          <w:lang w:val="fi-FI"/>
        </w:rPr>
        <w:t xml:space="preserve"> </w:t>
      </w:r>
      <w:bookmarkStart w:id="93" w:name="_Toc202260041"/>
      <w:r w:rsidR="00873E36">
        <w:rPr>
          <w:lang w:val="fi-FI"/>
        </w:rPr>
        <w:t>4.5</w:t>
      </w:r>
      <w:r w:rsidRPr="00366F52">
        <w:rPr>
          <w:lang w:val="fi-FI"/>
        </w:rPr>
        <w:t xml:space="preserve"> </w:t>
      </w:r>
      <w:r w:rsidR="00EB50EB" w:rsidRPr="00873E36">
        <w:rPr>
          <w:lang w:val="fi-FI"/>
        </w:rPr>
        <w:t xml:space="preserve">Nykytoimien riittävyys suhteessa </w:t>
      </w:r>
      <w:r w:rsidR="00F15CE9" w:rsidRPr="00873E36">
        <w:rPr>
          <w:lang w:val="fi-FI"/>
        </w:rPr>
        <w:t>tavoitte</w:t>
      </w:r>
      <w:r w:rsidR="00413311">
        <w:rPr>
          <w:lang w:val="fi-FI"/>
        </w:rPr>
        <w:t>i</w:t>
      </w:r>
      <w:r w:rsidR="00F15CE9" w:rsidRPr="00873E36">
        <w:rPr>
          <w:lang w:val="fi-FI"/>
        </w:rPr>
        <w:t>s</w:t>
      </w:r>
      <w:r w:rsidR="00547BB0" w:rsidRPr="00873E36">
        <w:rPr>
          <w:lang w:val="fi-FI"/>
        </w:rPr>
        <w:t>ii</w:t>
      </w:r>
      <w:r w:rsidR="00F15CE9" w:rsidRPr="00873E36">
        <w:rPr>
          <w:lang w:val="fi-FI"/>
        </w:rPr>
        <w:t>n</w:t>
      </w:r>
      <w:bookmarkEnd w:id="93"/>
    </w:p>
    <w:p w14:paraId="6B3A2162" w14:textId="6E1DC9BA" w:rsidR="00C57157" w:rsidRPr="00C57157" w:rsidRDefault="266FE185" w:rsidP="00C57157">
      <w:pPr>
        <w:pStyle w:val="VNLeip1kappale"/>
        <w:rPr>
          <w:lang w:eastAsia="en-US"/>
        </w:rPr>
      </w:pPr>
      <w:r w:rsidRPr="44C2759F">
        <w:rPr>
          <w:lang w:eastAsia="en-US"/>
        </w:rPr>
        <w:t xml:space="preserve">Edellinen keskipitkän aikavälin ilmastosuunnitelma annettiin eduskunnalle alkukesästä 2022. Siinä linjattiin toimia taakanjakoasetuksen mukaisen 50 % päästövähennysvelvoitteen saavuttamiseksi. Osa </w:t>
      </w:r>
      <w:r w:rsidR="28B9197A" w:rsidRPr="44C2759F">
        <w:rPr>
          <w:lang w:eastAsia="en-US"/>
        </w:rPr>
        <w:t>näistä</w:t>
      </w:r>
      <w:r w:rsidRPr="44C2759F">
        <w:rPr>
          <w:lang w:eastAsia="en-US"/>
        </w:rPr>
        <w:t xml:space="preserve"> toimista on toimeenpantu</w:t>
      </w:r>
      <w:r w:rsidR="28B9197A" w:rsidRPr="44C2759F">
        <w:rPr>
          <w:lang w:eastAsia="en-US"/>
        </w:rPr>
        <w:t>.</w:t>
      </w:r>
      <w:r w:rsidR="69402722" w:rsidRPr="44C2759F">
        <w:rPr>
          <w:lang w:eastAsia="en-US"/>
        </w:rPr>
        <w:t xml:space="preserve"> Edellistä </w:t>
      </w:r>
      <w:proofErr w:type="spellStart"/>
      <w:r w:rsidR="004323E9" w:rsidRPr="43BA9B70">
        <w:rPr>
          <w:lang w:eastAsia="en-US"/>
        </w:rPr>
        <w:t>KAISUa</w:t>
      </w:r>
      <w:proofErr w:type="spellEnd"/>
      <w:r w:rsidR="69402722" w:rsidRPr="44C2759F">
        <w:rPr>
          <w:lang w:eastAsia="en-US"/>
        </w:rPr>
        <w:t xml:space="preserve"> laadittaessa lähtökohtana oli, että Suomi hyödyntää kertaluontoista joustoa (EST-jousto) ja maankäyttösektorin joustoa taakanjakosektorille (LULUCF-jousto) 2030 tavoitteen saavuttamiseksi.</w:t>
      </w:r>
      <w:r w:rsidR="272A2DC5" w:rsidRPr="44C2759F">
        <w:rPr>
          <w:lang w:eastAsia="en-US"/>
        </w:rPr>
        <w:t xml:space="preserve"> Ensimmäisen käytöstä on tehty Valtioneuvoston päätös ja </w:t>
      </w:r>
      <w:proofErr w:type="spellStart"/>
      <w:r w:rsidR="272A2DC5" w:rsidRPr="44C2759F">
        <w:rPr>
          <w:lang w:eastAsia="en-US"/>
        </w:rPr>
        <w:t>notifioitu</w:t>
      </w:r>
      <w:proofErr w:type="spellEnd"/>
      <w:r w:rsidR="272A2DC5" w:rsidRPr="44C2759F">
        <w:rPr>
          <w:lang w:eastAsia="en-US"/>
        </w:rPr>
        <w:t xml:space="preserve"> komissiota (ks. luku </w:t>
      </w:r>
      <w:r w:rsidR="4211B705" w:rsidRPr="44C2759F">
        <w:rPr>
          <w:lang w:eastAsia="en-US"/>
        </w:rPr>
        <w:t>2.3</w:t>
      </w:r>
      <w:r w:rsidR="272A2DC5" w:rsidRPr="44C2759F">
        <w:rPr>
          <w:lang w:eastAsia="en-US"/>
        </w:rPr>
        <w:t>)</w:t>
      </w:r>
      <w:r w:rsidR="60886D2C" w:rsidRPr="44C2759F">
        <w:rPr>
          <w:lang w:eastAsia="en-US"/>
        </w:rPr>
        <w:t>.</w:t>
      </w:r>
      <w:r w:rsidR="65165255" w:rsidRPr="44C2759F">
        <w:rPr>
          <w:lang w:eastAsia="en-US"/>
        </w:rPr>
        <w:t xml:space="preserve"> Tilannekuva maankäyttösektorin nettonielun kehityksestä on viime vuosina muuttunut merkittävästi</w:t>
      </w:r>
      <w:r w:rsidR="004F5AE6">
        <w:rPr>
          <w:lang w:eastAsia="en-US"/>
        </w:rPr>
        <w:t>,</w:t>
      </w:r>
      <w:r w:rsidR="65165255" w:rsidRPr="44C2759F">
        <w:rPr>
          <w:lang w:eastAsia="en-US"/>
        </w:rPr>
        <w:t xml:space="preserve"> eikä nieluyksiköiden ylijäämän syntymistä voida pitää todennäköisenä nykytietojen valossa.</w:t>
      </w:r>
      <w:r w:rsidR="21145FD3" w:rsidRPr="44C2759F">
        <w:rPr>
          <w:lang w:eastAsia="en-US"/>
        </w:rPr>
        <w:t xml:space="preserve"> Sen sijaan on olemassa selvä riski, että </w:t>
      </w:r>
      <w:r w:rsidR="21145FD3" w:rsidRPr="44C2759F">
        <w:rPr>
          <w:lang w:eastAsia="en-US"/>
        </w:rPr>
        <w:lastRenderedPageBreak/>
        <w:t>maankäyttösektorin vaje kaudelta 2021</w:t>
      </w:r>
      <w:r w:rsidR="62DF804E" w:rsidRPr="188465B4">
        <w:rPr>
          <w:lang w:eastAsia="en-US"/>
        </w:rPr>
        <w:t>–</w:t>
      </w:r>
      <w:r w:rsidR="21145FD3" w:rsidRPr="44C2759F">
        <w:rPr>
          <w:lang w:eastAsia="en-US"/>
        </w:rPr>
        <w:t>2025 siirtyy katettavaksi taakanjakosektorille. Jos tämän jälkeen taakanjakosektorin päästövähennysvelvoitteita ei saavuteta, voi jäsenmaa ostaa taakanjakosektorin päästövähennysyksiköitä muista jäsenmaista, mikäli näitä on tarjolla. Mikäli taakanjakosektorin päästökiintiötä ei jonain vuonna saavuteta, siirtyy vaje seuraavalle vuodelle korotettuna kertoimella 1,08.</w:t>
      </w:r>
      <w:r w:rsidR="25D3F26F" w:rsidRPr="44C2759F">
        <w:rPr>
          <w:lang w:eastAsia="en-US"/>
        </w:rPr>
        <w:t xml:space="preserve"> Arvio maankäyttösektorin laskennallisesta alijäämästä on hyvin mittava, noin </w:t>
      </w:r>
      <w:r w:rsidR="25D3F26F" w:rsidRPr="66A88599">
        <w:rPr>
          <w:lang w:eastAsia="en-US"/>
        </w:rPr>
        <w:t>110</w:t>
      </w:r>
      <w:r w:rsidR="47779DBA" w:rsidRPr="188465B4">
        <w:rPr>
          <w:lang w:eastAsia="en-US"/>
        </w:rPr>
        <w:t>–</w:t>
      </w:r>
      <w:r w:rsidR="25D3F26F" w:rsidRPr="66A88599">
        <w:rPr>
          <w:lang w:eastAsia="en-US"/>
        </w:rPr>
        <w:t>115</w:t>
      </w:r>
      <w:r w:rsidR="25D3F26F" w:rsidRPr="44C2759F">
        <w:rPr>
          <w:lang w:eastAsia="en-US"/>
        </w:rPr>
        <w:t xml:space="preserve"> Mt jaksolta 2021</w:t>
      </w:r>
      <w:r w:rsidR="64800CD8" w:rsidRPr="188465B4">
        <w:rPr>
          <w:lang w:eastAsia="en-US"/>
        </w:rPr>
        <w:t>–</w:t>
      </w:r>
      <w:r w:rsidR="25D3F26F" w:rsidRPr="44C2759F">
        <w:rPr>
          <w:lang w:eastAsia="en-US"/>
        </w:rPr>
        <w:t>2025.</w:t>
      </w:r>
    </w:p>
    <w:p w14:paraId="1B21346A" w14:textId="62F89861" w:rsidR="00EB50EB" w:rsidRPr="00BC53C9" w:rsidRDefault="00D3597B" w:rsidP="44C2759F">
      <w:pPr>
        <w:pStyle w:val="VNLeip1kappale"/>
        <w:rPr>
          <w:rFonts w:asciiTheme="minorHAnsi" w:eastAsiaTheme="minorEastAsia" w:hAnsiTheme="minorHAnsi" w:cstheme="minorBidi"/>
          <w:strike/>
        </w:rPr>
      </w:pPr>
      <w:r w:rsidRPr="44C2759F">
        <w:rPr>
          <w:rFonts w:eastAsiaTheme="minorEastAsia"/>
        </w:rPr>
        <w:t>Nykyisten ilmastotoimien riittävyyttä arvioidaan vertaamalla EU:n taakanjakoasetuksen kiintiöiden ja ilmastolain tavoitteiden mukaisia kasvihuonekaasupäästötasoja niin sanottuun nykytoimi- eli WEM-skenaarioon (</w:t>
      </w:r>
      <w:proofErr w:type="spellStart"/>
      <w:r w:rsidRPr="44C2759F">
        <w:rPr>
          <w:rFonts w:eastAsiaTheme="minorEastAsia"/>
        </w:rPr>
        <w:t>With</w:t>
      </w:r>
      <w:proofErr w:type="spellEnd"/>
      <w:r w:rsidRPr="44C2759F">
        <w:rPr>
          <w:rFonts w:eastAsiaTheme="minorEastAsia"/>
        </w:rPr>
        <w:t xml:space="preserve"> </w:t>
      </w:r>
      <w:proofErr w:type="spellStart"/>
      <w:r w:rsidRPr="44C2759F">
        <w:rPr>
          <w:rFonts w:eastAsiaTheme="minorEastAsia"/>
        </w:rPr>
        <w:t>Existing</w:t>
      </w:r>
      <w:proofErr w:type="spellEnd"/>
      <w:r w:rsidRPr="44C2759F">
        <w:rPr>
          <w:rFonts w:eastAsiaTheme="minorEastAsia"/>
        </w:rPr>
        <w:t xml:space="preserve"> </w:t>
      </w:r>
      <w:proofErr w:type="spellStart"/>
      <w:r w:rsidRPr="44C2759F">
        <w:rPr>
          <w:rFonts w:eastAsiaTheme="minorEastAsia"/>
        </w:rPr>
        <w:t>Measures</w:t>
      </w:r>
      <w:proofErr w:type="spellEnd"/>
      <w:r w:rsidRPr="44C2759F">
        <w:rPr>
          <w:rFonts w:eastAsiaTheme="minorEastAsia"/>
        </w:rPr>
        <w:t>). KEITO-</w:t>
      </w:r>
      <w:r w:rsidR="006A054C">
        <w:rPr>
          <w:rFonts w:eastAsiaTheme="minorEastAsia"/>
        </w:rPr>
        <w:t>työssä</w:t>
      </w:r>
      <w:r w:rsidRPr="44C2759F">
        <w:rPr>
          <w:rFonts w:eastAsiaTheme="minorEastAsia"/>
        </w:rPr>
        <w:t xml:space="preserve"> keväällä 2025 laadittu nykytoimiskenaario kuvaa vuoden 2023 kevääseen mennessä päätettyjen politiikkatoimien vaikutusta Suomen tuleviin kasvihuonekaasupäästöihin. Mallinnuksessa on käytetty Euroopan komission suosittelemia oletuksia polttoaineiden tuontihintojen ja päästöoikeuksien hintojen kehityksestä. Lisäksi arvioon nykytoimilla saavutettavasta päästökehityksestä vaikuttavat muun muassa teollisuuden eri toimialojen kehitys sekä väestöennuste.</w:t>
      </w:r>
    </w:p>
    <w:p w14:paraId="45EA5DDF" w14:textId="20C0C4CD" w:rsidR="00EB50EB" w:rsidRPr="008E791C" w:rsidRDefault="00EB50EB" w:rsidP="00EB50EB">
      <w:pPr>
        <w:pStyle w:val="VNLeip1kappale"/>
        <w:rPr>
          <w:rFonts w:eastAsiaTheme="minorEastAsia"/>
        </w:rPr>
      </w:pPr>
      <w:r w:rsidRPr="0056086B">
        <w:rPr>
          <w:rFonts w:eastAsiaTheme="minorEastAsia"/>
        </w:rPr>
        <w:t>Nykytoimiskenaarion</w:t>
      </w:r>
      <w:r w:rsidRPr="0323BCFE">
        <w:rPr>
          <w:rFonts w:eastAsiaTheme="minorEastAsia"/>
        </w:rPr>
        <w:t xml:space="preserve"> mukaan taakanjakosektorin päästöt laskevat </w:t>
      </w:r>
      <w:r w:rsidRPr="0056086B">
        <w:rPr>
          <w:rFonts w:eastAsiaTheme="minorEastAsia"/>
        </w:rPr>
        <w:t>18,9</w:t>
      </w:r>
      <w:r w:rsidRPr="0323BCFE">
        <w:rPr>
          <w:rFonts w:eastAsiaTheme="minorEastAsia"/>
        </w:rPr>
        <w:t xml:space="preserve"> miljoonaan tonniin CO</w:t>
      </w:r>
      <w:r w:rsidRPr="001C0E3E">
        <w:rPr>
          <w:rFonts w:eastAsiaTheme="minorEastAsia"/>
          <w:vertAlign w:val="subscript"/>
        </w:rPr>
        <w:t>2</w:t>
      </w:r>
      <w:r w:rsidRPr="0323BCFE">
        <w:rPr>
          <w:rFonts w:eastAsiaTheme="minorEastAsia"/>
        </w:rPr>
        <w:t xml:space="preserve">-ekv. vuonna 2030 ja edelleen </w:t>
      </w:r>
      <w:r w:rsidRPr="0056086B">
        <w:rPr>
          <w:rFonts w:eastAsiaTheme="minorEastAsia"/>
        </w:rPr>
        <w:t>15,4</w:t>
      </w:r>
      <w:r w:rsidRPr="0323BCFE">
        <w:rPr>
          <w:rFonts w:eastAsiaTheme="minorEastAsia"/>
        </w:rPr>
        <w:t xml:space="preserve"> miljoonaan tonniin vuonna 2035 sekä 13,</w:t>
      </w:r>
      <w:r w:rsidRPr="0056086B">
        <w:rPr>
          <w:rFonts w:eastAsiaTheme="minorEastAsia"/>
        </w:rPr>
        <w:t>4</w:t>
      </w:r>
      <w:r w:rsidRPr="0323BCFE">
        <w:rPr>
          <w:rFonts w:eastAsiaTheme="minorEastAsia"/>
        </w:rPr>
        <w:t xml:space="preserve"> miljoonaan tonniin vuonna 2040 (</w:t>
      </w:r>
      <w:r w:rsidR="008E791C">
        <w:rPr>
          <w:rFonts w:eastAsiaTheme="minorEastAsia"/>
        </w:rPr>
        <w:fldChar w:fldCharType="begin"/>
      </w:r>
      <w:r w:rsidR="008E791C">
        <w:rPr>
          <w:rFonts w:eastAsiaTheme="minorEastAsia"/>
        </w:rPr>
        <w:instrText xml:space="preserve"> REF _Ref201671802 \h </w:instrText>
      </w:r>
      <w:r w:rsidR="008E791C">
        <w:rPr>
          <w:rFonts w:eastAsiaTheme="minorEastAsia"/>
        </w:rPr>
      </w:r>
      <w:r w:rsidR="008E791C">
        <w:rPr>
          <w:rFonts w:eastAsiaTheme="minorEastAsia"/>
        </w:rPr>
        <w:fldChar w:fldCharType="separate"/>
      </w:r>
      <w:r w:rsidR="008E791C">
        <w:t>Kuvio</w:t>
      </w:r>
      <w:r w:rsidR="008E791C">
        <w:rPr>
          <w:rFonts w:eastAsiaTheme="minorEastAsia"/>
        </w:rPr>
        <w:t xml:space="preserve"> </w:t>
      </w:r>
      <w:r w:rsidR="008E791C">
        <w:rPr>
          <w:noProof/>
        </w:rPr>
        <w:t>5</w:t>
      </w:r>
      <w:r w:rsidR="008E791C">
        <w:rPr>
          <w:rFonts w:eastAsiaTheme="minorEastAsia"/>
        </w:rPr>
        <w:fldChar w:fldCharType="end"/>
      </w:r>
      <w:r w:rsidRPr="0323BCFE">
        <w:rPr>
          <w:rFonts w:eastAsiaTheme="minorEastAsia"/>
        </w:rPr>
        <w:t xml:space="preserve">). Vuonna 2030 päästöjen tulisi olla Suomelle </w:t>
      </w:r>
      <w:r w:rsidR="00B53D54">
        <w:rPr>
          <w:rFonts w:eastAsiaTheme="minorEastAsia"/>
        </w:rPr>
        <w:t>EU</w:t>
      </w:r>
      <w:r w:rsidRPr="0323BCFE">
        <w:rPr>
          <w:rFonts w:eastAsiaTheme="minorEastAsia"/>
        </w:rPr>
        <w:t>-</w:t>
      </w:r>
      <w:r w:rsidR="00A1646C">
        <w:rPr>
          <w:rFonts w:eastAsiaTheme="minorEastAsia"/>
        </w:rPr>
        <w:t xml:space="preserve">lainsäädännössä asetetun </w:t>
      </w:r>
      <w:r w:rsidRPr="0323BCFE">
        <w:rPr>
          <w:rFonts w:eastAsiaTheme="minorEastAsia"/>
        </w:rPr>
        <w:t xml:space="preserve">-50 </w:t>
      </w:r>
      <w:r w:rsidR="00AB7603">
        <w:rPr>
          <w:rFonts w:eastAsiaTheme="minorEastAsia"/>
        </w:rPr>
        <w:t>%</w:t>
      </w:r>
      <w:r w:rsidR="00AB7603" w:rsidRPr="0323BCFE">
        <w:rPr>
          <w:rFonts w:eastAsiaTheme="minorEastAsia"/>
        </w:rPr>
        <w:t xml:space="preserve"> </w:t>
      </w:r>
      <w:r w:rsidRPr="0323BCFE">
        <w:rPr>
          <w:rFonts w:eastAsiaTheme="minorEastAsia"/>
        </w:rPr>
        <w:t>velvoitteen mukaisesti 17,</w:t>
      </w:r>
      <w:r w:rsidRPr="0056086B">
        <w:rPr>
          <w:rFonts w:eastAsiaTheme="minorEastAsia"/>
        </w:rPr>
        <w:t xml:space="preserve">1 </w:t>
      </w:r>
      <w:r w:rsidRPr="0323BCFE">
        <w:rPr>
          <w:rFonts w:eastAsiaTheme="minorEastAsia"/>
        </w:rPr>
        <w:t>Mt CO</w:t>
      </w:r>
      <w:r w:rsidRPr="001C0E3E">
        <w:rPr>
          <w:rFonts w:eastAsiaTheme="minorEastAsia"/>
          <w:vertAlign w:val="subscript"/>
        </w:rPr>
        <w:t>2</w:t>
      </w:r>
      <w:r w:rsidRPr="0323BCFE">
        <w:rPr>
          <w:rFonts w:eastAsiaTheme="minorEastAsia"/>
        </w:rPr>
        <w:t xml:space="preserve">-ekv., eli nykytoimien ja velvoitteen välille jää </w:t>
      </w:r>
      <w:r w:rsidRPr="0056086B">
        <w:rPr>
          <w:rFonts w:eastAsiaTheme="minorEastAsia"/>
        </w:rPr>
        <w:t>n. 1,8</w:t>
      </w:r>
      <w:r w:rsidRPr="0323BCFE">
        <w:rPr>
          <w:rFonts w:eastAsiaTheme="minorEastAsia"/>
        </w:rPr>
        <w:t xml:space="preserve"> miljoonan tonnin päästökuilu vuonna 2030.</w:t>
      </w:r>
      <w:r w:rsidRPr="06650BE6">
        <w:rPr>
          <w:rFonts w:asciiTheme="minorHAnsi" w:eastAsiaTheme="minorEastAsia" w:hAnsiTheme="minorHAnsi" w:cstheme="minorBidi"/>
          <w:color w:val="000000" w:themeColor="text1"/>
        </w:rPr>
        <w:t xml:space="preserve"> </w:t>
      </w:r>
      <w:r w:rsidR="00E77576" w:rsidRPr="700B880C">
        <w:rPr>
          <w:rFonts w:asciiTheme="minorHAnsi" w:eastAsiaTheme="minorEastAsia" w:hAnsiTheme="minorHAnsi" w:cstheme="minorBidi"/>
          <w:color w:val="000000" w:themeColor="text1"/>
        </w:rPr>
        <w:t>Koska t</w:t>
      </w:r>
      <w:r w:rsidRPr="700B880C">
        <w:rPr>
          <w:rFonts w:asciiTheme="minorHAnsi" w:eastAsiaTheme="minorEastAsia" w:hAnsiTheme="minorHAnsi" w:cstheme="minorBidi"/>
          <w:color w:val="000000" w:themeColor="text1"/>
        </w:rPr>
        <w:t>aakanjakosektorin velvoit</w:t>
      </w:r>
      <w:r w:rsidR="00F83D92" w:rsidRPr="700B880C">
        <w:rPr>
          <w:rFonts w:asciiTheme="minorHAnsi" w:eastAsiaTheme="minorEastAsia" w:hAnsiTheme="minorHAnsi" w:cstheme="minorBidi"/>
          <w:color w:val="000000" w:themeColor="text1"/>
        </w:rPr>
        <w:t>teeseen</w:t>
      </w:r>
      <w:r w:rsidRPr="06650BE6">
        <w:rPr>
          <w:rFonts w:asciiTheme="minorHAnsi" w:eastAsiaTheme="minorEastAsia" w:hAnsiTheme="minorHAnsi" w:cstheme="minorBidi"/>
          <w:color w:val="000000" w:themeColor="text1"/>
        </w:rPr>
        <w:t xml:space="preserve"> </w:t>
      </w:r>
      <w:r w:rsidR="00CC37EC">
        <w:rPr>
          <w:rFonts w:asciiTheme="minorHAnsi" w:eastAsiaTheme="minorEastAsia" w:hAnsiTheme="minorHAnsi" w:cstheme="minorBidi"/>
          <w:color w:val="000000" w:themeColor="text1"/>
        </w:rPr>
        <w:t>sisältyy myös vuosikohtaiset päästökiintiöt</w:t>
      </w:r>
      <w:r w:rsidR="00C55B0C">
        <w:rPr>
          <w:rFonts w:asciiTheme="minorHAnsi" w:eastAsiaTheme="minorEastAsia" w:hAnsiTheme="minorHAnsi" w:cstheme="minorBidi"/>
          <w:color w:val="000000" w:themeColor="text1"/>
        </w:rPr>
        <w:t>,</w:t>
      </w:r>
      <w:r w:rsidR="00E77576">
        <w:rPr>
          <w:rFonts w:asciiTheme="minorHAnsi" w:eastAsiaTheme="minorEastAsia" w:hAnsiTheme="minorHAnsi" w:cstheme="minorBidi"/>
          <w:color w:val="000000" w:themeColor="text1"/>
        </w:rPr>
        <w:t xml:space="preserve"> tavoite</w:t>
      </w:r>
      <w:r w:rsidRPr="06650BE6">
        <w:rPr>
          <w:rFonts w:asciiTheme="minorHAnsi" w:eastAsiaTheme="minorEastAsia" w:hAnsiTheme="minorHAnsi" w:cstheme="minorBidi"/>
          <w:color w:val="000000" w:themeColor="text1"/>
        </w:rPr>
        <w:t xml:space="preserve"> on kuitenkin luonteeltaan kumulatiivinen ja kohdistuu koko jaksolle 2021</w:t>
      </w:r>
      <w:r w:rsidRPr="4D9D080F">
        <w:rPr>
          <w:rFonts w:asciiTheme="minorHAnsi" w:eastAsiaTheme="minorEastAsia" w:hAnsiTheme="minorHAnsi" w:cstheme="minorBidi"/>
          <w:color w:val="000000" w:themeColor="text1"/>
        </w:rPr>
        <w:t>–2030.</w:t>
      </w:r>
      <w:r w:rsidRPr="06650BE6">
        <w:rPr>
          <w:rFonts w:asciiTheme="minorHAnsi" w:eastAsiaTheme="minorEastAsia" w:hAnsiTheme="minorHAnsi" w:cstheme="minorBidi"/>
          <w:color w:val="000000" w:themeColor="text1"/>
        </w:rPr>
        <w:t xml:space="preserve"> Lisäksi velvoitteen noudattamisessa on mahdollista käyttää taakanjakoasetuksen mukaisia jou</w:t>
      </w:r>
      <w:r w:rsidR="00FF44FF">
        <w:rPr>
          <w:rFonts w:asciiTheme="minorHAnsi" w:eastAsiaTheme="minorEastAsia" w:hAnsiTheme="minorHAnsi" w:cstheme="minorBidi"/>
          <w:color w:val="000000" w:themeColor="text1"/>
        </w:rPr>
        <w:t>s</w:t>
      </w:r>
      <w:r w:rsidRPr="06650BE6">
        <w:rPr>
          <w:rFonts w:asciiTheme="minorHAnsi" w:eastAsiaTheme="minorEastAsia" w:hAnsiTheme="minorHAnsi" w:cstheme="minorBidi"/>
          <w:color w:val="000000" w:themeColor="text1"/>
        </w:rPr>
        <w:t xml:space="preserve">tokeinoja. Näin ollen yksittäisen vuoden päästökiintiön ylitys ei aiheuta ongelmia, kunhan velvoitteen puitteissa pysytään koko jaksolla. Kumulatiivisen päästökehityksen arvio suhteessa velvoitteeseen esitetään alempana. </w:t>
      </w:r>
    </w:p>
    <w:p w14:paraId="27AEF6A5" w14:textId="352126EF" w:rsidR="00EB50EB" w:rsidRDefault="6BF4616B" w:rsidP="44C2759F">
      <w:pPr>
        <w:pStyle w:val="VNLeip1kappale"/>
        <w:rPr>
          <w:rFonts w:asciiTheme="minorHAnsi" w:eastAsiaTheme="minorEastAsia" w:hAnsiTheme="minorHAnsi" w:cstheme="minorBidi"/>
          <w:color w:val="000000" w:themeColor="text1"/>
        </w:rPr>
      </w:pPr>
      <w:r w:rsidRPr="44C2759F">
        <w:rPr>
          <w:rFonts w:asciiTheme="minorHAnsi" w:eastAsiaTheme="minorEastAsia" w:hAnsiTheme="minorHAnsi" w:cstheme="minorBidi"/>
          <w:color w:val="000000" w:themeColor="text1"/>
        </w:rPr>
        <w:t>P</w:t>
      </w:r>
      <w:r w:rsidR="00D3597B" w:rsidRPr="44C2759F">
        <w:rPr>
          <w:rFonts w:asciiTheme="minorHAnsi" w:eastAsiaTheme="minorEastAsia" w:hAnsiTheme="minorHAnsi" w:cstheme="minorBidi"/>
          <w:color w:val="000000" w:themeColor="text1"/>
        </w:rPr>
        <w:t xml:space="preserve">äästövähennysten </w:t>
      </w:r>
      <w:r w:rsidR="00D3597B" w:rsidRPr="37A574C0">
        <w:rPr>
          <w:rFonts w:asciiTheme="minorHAnsi" w:eastAsiaTheme="minorEastAsia" w:hAnsiTheme="minorHAnsi" w:cstheme="minorBidi"/>
          <w:color w:val="000000" w:themeColor="text1"/>
        </w:rPr>
        <w:t>vajaus</w:t>
      </w:r>
      <w:r w:rsidR="6C6E2876" w:rsidRPr="37A574C0">
        <w:rPr>
          <w:rFonts w:asciiTheme="minorHAnsi" w:eastAsiaTheme="minorEastAsia" w:hAnsiTheme="minorHAnsi" w:cstheme="minorBidi"/>
          <w:color w:val="000000" w:themeColor="text1"/>
        </w:rPr>
        <w:t xml:space="preserve">ta </w:t>
      </w:r>
      <w:r w:rsidR="00D3597B" w:rsidRPr="44C2759F">
        <w:rPr>
          <w:rFonts w:asciiTheme="minorHAnsi" w:eastAsiaTheme="minorEastAsia" w:hAnsiTheme="minorHAnsi" w:cstheme="minorBidi"/>
          <w:color w:val="000000" w:themeColor="text1"/>
        </w:rPr>
        <w:t xml:space="preserve">kaudella 2021–2030 katetaan lisätoimilla, jotka muodostavat taakanjakosektorin toimenpideohjelman (ks. luvut 6 ja 7). </w:t>
      </w:r>
      <w:r w:rsidR="00EB50EB" w:rsidRPr="00052839">
        <w:rPr>
          <w:rFonts w:asciiTheme="minorHAnsi" w:eastAsiaTheme="minorEastAsia" w:hAnsiTheme="minorHAnsi" w:cstheme="minorBidi"/>
          <w:color w:val="000000" w:themeColor="text1"/>
        </w:rPr>
        <w:t>Kuv</w:t>
      </w:r>
      <w:r w:rsidR="008E791C">
        <w:rPr>
          <w:rFonts w:asciiTheme="minorHAnsi" w:eastAsiaTheme="minorEastAsia" w:hAnsiTheme="minorHAnsi" w:cstheme="minorBidi"/>
          <w:color w:val="000000" w:themeColor="text1"/>
        </w:rPr>
        <w:t>io</w:t>
      </w:r>
      <w:r w:rsidR="00EB50EB" w:rsidRPr="00052839">
        <w:rPr>
          <w:rFonts w:asciiTheme="minorHAnsi" w:eastAsiaTheme="minorEastAsia" w:hAnsiTheme="minorHAnsi" w:cstheme="minorBidi"/>
          <w:color w:val="000000" w:themeColor="text1"/>
        </w:rPr>
        <w:t>ssa</w:t>
      </w:r>
      <w:r w:rsidR="00D3597B" w:rsidRPr="44C2759F">
        <w:rPr>
          <w:rFonts w:asciiTheme="minorHAnsi" w:eastAsiaTheme="minorEastAsia" w:hAnsiTheme="minorHAnsi" w:cstheme="minorBidi"/>
          <w:color w:val="000000" w:themeColor="text1"/>
        </w:rPr>
        <w:t xml:space="preserve"> </w:t>
      </w:r>
      <w:r w:rsidR="395895B4" w:rsidRPr="44C2759F">
        <w:rPr>
          <w:rFonts w:asciiTheme="minorHAnsi" w:eastAsiaTheme="minorEastAsia" w:hAnsiTheme="minorHAnsi" w:cstheme="minorBidi"/>
          <w:color w:val="000000" w:themeColor="text1"/>
        </w:rPr>
        <w:t>5</w:t>
      </w:r>
      <w:r w:rsidR="00D3597B" w:rsidRPr="44C2759F">
        <w:rPr>
          <w:rFonts w:asciiTheme="minorHAnsi" w:eastAsiaTheme="minorEastAsia" w:hAnsiTheme="minorHAnsi" w:cstheme="minorBidi"/>
          <w:color w:val="000000" w:themeColor="text1"/>
        </w:rPr>
        <w:t xml:space="preserve"> on esitetty taakanjakosektorin toteutuneet päästöt ja nykytoimien perusteella laskettu päästökehitys suhteessa EU:n asettamiin vuosittaisiin päästökiintiöihin. Päästövähennysten tarve kasvaa 2020-luvun loppua kohti. Nyky</w:t>
      </w:r>
      <w:r w:rsidR="00D3597B" w:rsidRPr="44C2759F">
        <w:rPr>
          <w:rFonts w:asciiTheme="minorHAnsi" w:eastAsiaTheme="minorEastAsia" w:hAnsiTheme="minorHAnsi" w:cstheme="minorBidi"/>
          <w:color w:val="000000" w:themeColor="text1"/>
        </w:rPr>
        <w:lastRenderedPageBreak/>
        <w:t>toimiin perustuvaa päästökehitysarviota ei kuitenkaan ole tehty vuosikohtaisesti. Lisäksi vuosien 2026–2030 kiintiöt vahvistetaan vasta myöhemmin</w:t>
      </w:r>
      <w:r w:rsidR="430D5AA0" w:rsidRPr="44C2759F">
        <w:rPr>
          <w:rFonts w:asciiTheme="minorHAnsi" w:eastAsiaTheme="minorEastAsia" w:hAnsiTheme="minorHAnsi" w:cstheme="minorBidi"/>
          <w:color w:val="000000" w:themeColor="text1"/>
        </w:rPr>
        <w:t xml:space="preserve"> vuonna 2025</w:t>
      </w:r>
      <w:r w:rsidR="00D3597B" w:rsidRPr="44C2759F">
        <w:rPr>
          <w:rFonts w:asciiTheme="minorHAnsi" w:eastAsiaTheme="minorEastAsia" w:hAnsiTheme="minorHAnsi" w:cstheme="minorBidi"/>
          <w:color w:val="000000" w:themeColor="text1"/>
        </w:rPr>
        <w:t xml:space="preserve">, </w:t>
      </w:r>
      <w:r w:rsidR="2FED0962" w:rsidRPr="44C2759F">
        <w:rPr>
          <w:rFonts w:asciiTheme="minorHAnsi" w:eastAsiaTheme="minorEastAsia" w:hAnsiTheme="minorHAnsi" w:cstheme="minorBidi"/>
          <w:color w:val="000000" w:themeColor="text1"/>
        </w:rPr>
        <w:t>sillä ne perustuvat</w:t>
      </w:r>
      <w:r w:rsidR="00D3597B" w:rsidRPr="44C2759F">
        <w:rPr>
          <w:rFonts w:asciiTheme="minorHAnsi" w:eastAsiaTheme="minorEastAsia" w:hAnsiTheme="minorHAnsi" w:cstheme="minorBidi"/>
          <w:color w:val="000000" w:themeColor="text1"/>
        </w:rPr>
        <w:t xml:space="preserve"> vuosien 2021–2023 toteutuneisiin päästöihin.</w:t>
      </w:r>
    </w:p>
    <w:p w14:paraId="7E38E3B1" w14:textId="51109A34" w:rsidR="00EB50EB" w:rsidRPr="006A111B" w:rsidRDefault="00E86585" w:rsidP="00E86585">
      <w:pPr>
        <w:pStyle w:val="Kuvaotsikko"/>
        <w:rPr>
          <w:rFonts w:asciiTheme="minorHAnsi" w:eastAsiaTheme="minorEastAsia" w:hAnsiTheme="minorHAnsi" w:cstheme="minorBidi"/>
          <w:color w:val="000000" w:themeColor="text1"/>
        </w:rPr>
      </w:pPr>
      <w:bookmarkStart w:id="94" w:name="_Ref201671802"/>
      <w:r>
        <w:t>Kuvio</w:t>
      </w:r>
      <w:r w:rsidR="00052839">
        <w:rPr>
          <w:rFonts w:eastAsiaTheme="minorEastAsia"/>
        </w:rPr>
        <w:t xml:space="preserve"> </w:t>
      </w:r>
      <w:r>
        <w:fldChar w:fldCharType="begin"/>
      </w:r>
      <w:r>
        <w:instrText xml:space="preserve"> SEQ Kuvio \* ARABIC </w:instrText>
      </w:r>
      <w:r>
        <w:fldChar w:fldCharType="separate"/>
      </w:r>
      <w:r w:rsidR="00D87A85">
        <w:rPr>
          <w:noProof/>
        </w:rPr>
        <w:t>5</w:t>
      </w:r>
      <w:r>
        <w:fldChar w:fldCharType="end"/>
      </w:r>
      <w:bookmarkEnd w:id="94"/>
      <w:r w:rsidR="00052839">
        <w:t>.</w:t>
      </w:r>
      <w:r w:rsidR="00EB50EB" w:rsidRPr="43BA9B70">
        <w:rPr>
          <w:rFonts w:asciiTheme="minorHAnsi" w:eastAsiaTheme="minorEastAsia" w:hAnsiTheme="minorHAnsi" w:cstheme="minorBidi"/>
        </w:rPr>
        <w:t>Taakanjakosektorin päästökiintiöt 20</w:t>
      </w:r>
      <w:r w:rsidR="00193B85" w:rsidRPr="43BA9B70">
        <w:rPr>
          <w:rFonts w:asciiTheme="minorHAnsi" w:eastAsiaTheme="minorEastAsia" w:hAnsiTheme="minorHAnsi" w:cstheme="minorBidi"/>
        </w:rPr>
        <w:t>21</w:t>
      </w:r>
      <w:r w:rsidR="00EB50EB" w:rsidRPr="43BA9B70">
        <w:rPr>
          <w:rFonts w:asciiTheme="minorHAnsi" w:eastAsiaTheme="minorEastAsia" w:hAnsiTheme="minorHAnsi" w:cstheme="minorBidi"/>
        </w:rPr>
        <w:t>–20</w:t>
      </w:r>
      <w:r w:rsidR="00A606A6" w:rsidRPr="43BA9B70">
        <w:rPr>
          <w:rFonts w:asciiTheme="minorHAnsi" w:eastAsiaTheme="minorEastAsia" w:hAnsiTheme="minorHAnsi" w:cstheme="minorBidi"/>
        </w:rPr>
        <w:t>25</w:t>
      </w:r>
      <w:r w:rsidR="00EB50EB" w:rsidRPr="43BA9B70">
        <w:rPr>
          <w:rFonts w:asciiTheme="minorHAnsi" w:eastAsiaTheme="minorEastAsia" w:hAnsiTheme="minorHAnsi" w:cstheme="minorBidi"/>
        </w:rPr>
        <w:t xml:space="preserve"> (EU 2021d), toteutuneet kasvihuonekaasupäästöt 20</w:t>
      </w:r>
      <w:r w:rsidR="00A606A6" w:rsidRPr="43BA9B70">
        <w:rPr>
          <w:rFonts w:asciiTheme="minorHAnsi" w:eastAsiaTheme="minorEastAsia" w:hAnsiTheme="minorHAnsi" w:cstheme="minorBidi"/>
        </w:rPr>
        <w:t>21</w:t>
      </w:r>
      <w:r w:rsidR="078AA734" w:rsidRPr="34563D5C">
        <w:rPr>
          <w:rFonts w:asciiTheme="minorHAnsi" w:eastAsiaTheme="minorEastAsia" w:hAnsiTheme="minorHAnsi" w:cstheme="minorBidi"/>
        </w:rPr>
        <w:t>–</w:t>
      </w:r>
      <w:r w:rsidR="00A606A6" w:rsidRPr="43BA9B70">
        <w:rPr>
          <w:rFonts w:asciiTheme="minorHAnsi" w:eastAsiaTheme="minorEastAsia" w:hAnsiTheme="minorHAnsi" w:cstheme="minorBidi"/>
        </w:rPr>
        <w:t>2024</w:t>
      </w:r>
      <w:r w:rsidR="00EB50EB" w:rsidRPr="43BA9B70">
        <w:rPr>
          <w:rFonts w:asciiTheme="minorHAnsi" w:eastAsiaTheme="minorEastAsia" w:hAnsiTheme="minorHAnsi" w:cstheme="minorBidi"/>
        </w:rPr>
        <w:t xml:space="preserve"> ja nykytoimien mukainen päästökehitys</w:t>
      </w:r>
      <w:r w:rsidR="00A606A6" w:rsidRPr="43BA9B70">
        <w:rPr>
          <w:rFonts w:asciiTheme="minorHAnsi" w:eastAsiaTheme="minorEastAsia" w:hAnsiTheme="minorHAnsi" w:cstheme="minorBidi"/>
        </w:rPr>
        <w:t xml:space="preserve"> (KEIT</w:t>
      </w:r>
      <w:r w:rsidR="007C09FE" w:rsidRPr="43BA9B70">
        <w:rPr>
          <w:rFonts w:asciiTheme="minorHAnsi" w:eastAsiaTheme="minorEastAsia" w:hAnsiTheme="minorHAnsi" w:cstheme="minorBidi"/>
        </w:rPr>
        <w:t>O</w:t>
      </w:r>
      <w:r w:rsidR="00A606A6" w:rsidRPr="43BA9B70">
        <w:rPr>
          <w:rFonts w:asciiTheme="minorHAnsi" w:eastAsiaTheme="minorEastAsia" w:hAnsiTheme="minorHAnsi" w:cstheme="minorBidi"/>
        </w:rPr>
        <w:t xml:space="preserve"> WEM)</w:t>
      </w:r>
      <w:r w:rsidR="00EB50EB" w:rsidRPr="43BA9B70">
        <w:rPr>
          <w:rFonts w:asciiTheme="minorHAnsi" w:eastAsiaTheme="minorEastAsia" w:hAnsiTheme="minorHAnsi" w:cstheme="minorBidi"/>
        </w:rPr>
        <w:t>. Vuosien 2026–2030 päästökiintiöt vahvistetaan vuonna 2025, kuv</w:t>
      </w:r>
      <w:r w:rsidR="00376849" w:rsidRPr="43BA9B70">
        <w:rPr>
          <w:rFonts w:asciiTheme="minorHAnsi" w:eastAsiaTheme="minorEastAsia" w:hAnsiTheme="minorHAnsi" w:cstheme="minorBidi"/>
        </w:rPr>
        <w:t>i</w:t>
      </w:r>
      <w:r w:rsidR="00E1327D" w:rsidRPr="43BA9B70">
        <w:rPr>
          <w:rFonts w:asciiTheme="minorHAnsi" w:eastAsiaTheme="minorEastAsia" w:hAnsiTheme="minorHAnsi" w:cstheme="minorBidi"/>
        </w:rPr>
        <w:t>o</w:t>
      </w:r>
      <w:r w:rsidR="00EB50EB" w:rsidRPr="43BA9B70">
        <w:rPr>
          <w:rFonts w:asciiTheme="minorHAnsi" w:eastAsiaTheme="minorEastAsia" w:hAnsiTheme="minorHAnsi" w:cstheme="minorBidi"/>
        </w:rPr>
        <w:t xml:space="preserve">ssa ne on arvioitu </w:t>
      </w:r>
      <w:r w:rsidR="00DC6FD0" w:rsidRPr="43BA9B70">
        <w:rPr>
          <w:rFonts w:asciiTheme="minorHAnsi" w:eastAsiaTheme="minorEastAsia" w:hAnsiTheme="minorHAnsi" w:cstheme="minorBidi"/>
        </w:rPr>
        <w:t>taakanjakoasetuksen laskentasääntöihin ja vuosien 2021</w:t>
      </w:r>
      <w:r w:rsidR="3E11B20B" w:rsidRPr="34563D5C">
        <w:rPr>
          <w:rFonts w:asciiTheme="minorHAnsi" w:eastAsiaTheme="minorEastAsia" w:hAnsiTheme="minorHAnsi" w:cstheme="minorBidi"/>
        </w:rPr>
        <w:t>–</w:t>
      </w:r>
      <w:r w:rsidR="00DC6FD0" w:rsidRPr="43BA9B70">
        <w:rPr>
          <w:rFonts w:asciiTheme="minorHAnsi" w:eastAsiaTheme="minorEastAsia" w:hAnsiTheme="minorHAnsi" w:cstheme="minorBidi"/>
        </w:rPr>
        <w:t>2023 päästöihin perustuen</w:t>
      </w:r>
      <w:r w:rsidR="00F2372B">
        <w:rPr>
          <w:rFonts w:asciiTheme="minorHAnsi" w:eastAsiaTheme="minorEastAsia" w:hAnsiTheme="minorHAnsi" w:cstheme="minorBidi"/>
        </w:rPr>
        <w:t xml:space="preserve"> </w:t>
      </w:r>
      <w:r w:rsidR="00EB50EB" w:rsidRPr="43BA9B70">
        <w:rPr>
          <w:rFonts w:asciiTheme="minorHAnsi" w:eastAsiaTheme="minorEastAsia" w:hAnsiTheme="minorHAnsi" w:cstheme="minorBidi"/>
        </w:rPr>
        <w:t>lineaarisesti komission ehdottamaan Suomen vuoden 2030 velvoitteeseen perustuen.</w:t>
      </w:r>
    </w:p>
    <w:p w14:paraId="6701A045" w14:textId="1CFE0345" w:rsidR="002948CE" w:rsidRDefault="002948CE" w:rsidP="00EB50EB">
      <w:pPr>
        <w:rPr>
          <w:rFonts w:eastAsiaTheme="minorEastAsia"/>
        </w:rPr>
      </w:pPr>
    </w:p>
    <w:p w14:paraId="680DD2DF" w14:textId="56072D08" w:rsidR="00B61B5D" w:rsidRPr="006A111B" w:rsidRDefault="003D2DFC" w:rsidP="75AB52C2">
      <w:pPr>
        <w:rPr>
          <w:rFonts w:asciiTheme="minorHAnsi" w:eastAsiaTheme="minorEastAsia" w:hAnsiTheme="minorHAnsi" w:cstheme="minorBidi"/>
          <w:color w:val="000000" w:themeColor="text1"/>
          <w:sz w:val="22"/>
          <w:szCs w:val="22"/>
        </w:rPr>
      </w:pPr>
      <w:r>
        <w:rPr>
          <w:noProof/>
        </w:rPr>
        <w:drawing>
          <wp:inline distT="0" distB="0" distL="0" distR="0" wp14:anchorId="6C576E49" wp14:editId="712ED350">
            <wp:extent cx="4562474" cy="2733675"/>
            <wp:effectExtent l="0" t="0" r="0" b="0"/>
            <wp:docPr id="1736686810" name="Chart 1">
              <a:extLst xmlns:a="http://schemas.openxmlformats.org/drawingml/2006/main">
                <a:ext uri="{FF2B5EF4-FFF2-40B4-BE49-F238E27FC236}">
                  <a16:creationId xmlns:a16="http://schemas.microsoft.com/office/drawing/2014/main" id="{647C0B34-077B-4E2B-B467-A52A23013D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783EFA4" w14:textId="618B44E7" w:rsidR="00EB50EB" w:rsidRDefault="00EB50EB" w:rsidP="00EB50EB">
      <w:pPr>
        <w:rPr>
          <w:rFonts w:eastAsiaTheme="minorEastAsia"/>
        </w:rPr>
      </w:pPr>
    </w:p>
    <w:p w14:paraId="5A64B4D0" w14:textId="77777777" w:rsidR="00426377" w:rsidRDefault="00426377" w:rsidP="75AB52C2">
      <w:pPr>
        <w:rPr>
          <w:rFonts w:eastAsiaTheme="minorEastAsia"/>
        </w:rPr>
      </w:pPr>
    </w:p>
    <w:p w14:paraId="70B2F8C1" w14:textId="77777777" w:rsidR="00B61B5D" w:rsidRPr="006A111B" w:rsidRDefault="00B61B5D" w:rsidP="75AB52C2">
      <w:pPr>
        <w:rPr>
          <w:rFonts w:eastAsiaTheme="minorEastAsia"/>
        </w:rPr>
      </w:pPr>
    </w:p>
    <w:p w14:paraId="4B8D479C" w14:textId="77777777" w:rsidR="00EB50EB" w:rsidRPr="006A111B" w:rsidRDefault="00EB50EB" w:rsidP="00EB50EB">
      <w:pPr>
        <w:rPr>
          <w:rFonts w:asciiTheme="minorHAnsi" w:eastAsiaTheme="minorEastAsia" w:hAnsiTheme="minorHAnsi" w:cstheme="minorBidi"/>
          <w:color w:val="000000" w:themeColor="text1"/>
          <w:sz w:val="22"/>
          <w:szCs w:val="22"/>
        </w:rPr>
      </w:pPr>
    </w:p>
    <w:p w14:paraId="403403DF" w14:textId="6EFC37F1" w:rsidR="00EB50EB" w:rsidRPr="006A111B" w:rsidRDefault="00D3597B" w:rsidP="44C2759F">
      <w:pPr>
        <w:pStyle w:val="VNLeip1kappale"/>
        <w:rPr>
          <w:rFonts w:asciiTheme="minorHAnsi" w:eastAsiaTheme="minorEastAsia" w:hAnsiTheme="minorHAnsi" w:cstheme="minorBidi"/>
          <w:color w:val="000000" w:themeColor="text1"/>
        </w:rPr>
      </w:pPr>
      <w:r w:rsidRPr="44C2759F">
        <w:rPr>
          <w:rFonts w:eastAsiaTheme="minorEastAsia"/>
          <w:color w:val="000000" w:themeColor="text1"/>
        </w:rPr>
        <w:t>Vuoden 2035 tilanteessa taakanjakosektorin nykytoimiskenaarion</w:t>
      </w:r>
      <w:r w:rsidRPr="44C2759F">
        <w:rPr>
          <w:rFonts w:eastAsiaTheme="minorEastAsia"/>
        </w:rPr>
        <w:t xml:space="preserve"> mukainen päästötaso on n. 15,4 Mt</w:t>
      </w:r>
      <w:r w:rsidR="64B3D406" w:rsidRPr="44C2759F">
        <w:rPr>
          <w:rFonts w:eastAsiaTheme="minorEastAsia"/>
        </w:rPr>
        <w:t xml:space="preserve"> CO</w:t>
      </w:r>
      <w:r w:rsidR="64B3D406" w:rsidRPr="44C2759F">
        <w:rPr>
          <w:rFonts w:eastAsiaTheme="minorEastAsia"/>
          <w:vertAlign w:val="subscript"/>
        </w:rPr>
        <w:t>2</w:t>
      </w:r>
      <w:r w:rsidR="64B3D406" w:rsidRPr="44C2759F">
        <w:rPr>
          <w:rFonts w:eastAsiaTheme="minorEastAsia"/>
        </w:rPr>
        <w:t>-ekv</w:t>
      </w:r>
      <w:r w:rsidRPr="44C2759F">
        <w:rPr>
          <w:rFonts w:eastAsiaTheme="minorEastAsia"/>
        </w:rPr>
        <w:t xml:space="preserve">. </w:t>
      </w:r>
      <w:r w:rsidR="7CCC3D75" w:rsidRPr="44C2759F">
        <w:rPr>
          <w:rFonts w:eastAsiaTheme="minorEastAsia"/>
        </w:rPr>
        <w:t>ja vuonna 2040 n. 13,4 Mt CO</w:t>
      </w:r>
      <w:r w:rsidR="7CCC3D75" w:rsidRPr="44C2759F">
        <w:rPr>
          <w:rFonts w:eastAsiaTheme="minorEastAsia"/>
          <w:vertAlign w:val="subscript"/>
        </w:rPr>
        <w:t>2</w:t>
      </w:r>
      <w:r w:rsidR="7CCC3D75" w:rsidRPr="44C2759F">
        <w:rPr>
          <w:rFonts w:eastAsiaTheme="minorEastAsia"/>
        </w:rPr>
        <w:t>-ekv.</w:t>
      </w:r>
      <w:r w:rsidRPr="44C2759F">
        <w:rPr>
          <w:rFonts w:eastAsiaTheme="minorEastAsia"/>
        </w:rPr>
        <w:t xml:space="preserve"> </w:t>
      </w:r>
      <w:r w:rsidRPr="44C2759F">
        <w:rPr>
          <w:rFonts w:eastAsiaTheme="minorEastAsia"/>
          <w:color w:val="000000" w:themeColor="text1"/>
        </w:rPr>
        <w:t xml:space="preserve">Ilmastosuunnitelman lähtökohtana on kuitenkin se, että päästövähennyksiä vauhditetaan niin, että taakanjakosektorin päästöt </w:t>
      </w:r>
      <w:r w:rsidRPr="44C2759F">
        <w:rPr>
          <w:rFonts w:eastAsiaTheme="minorEastAsia"/>
        </w:rPr>
        <w:t xml:space="preserve">vuonna 2035 ja 2040 ovat alemmalla tasolla kuin nykytoimiskenaariossa. </w:t>
      </w:r>
      <w:r w:rsidR="18BCD5FE" w:rsidRPr="44C2759F">
        <w:rPr>
          <w:rFonts w:asciiTheme="minorHAnsi" w:eastAsiaTheme="minorEastAsia" w:hAnsiTheme="minorHAnsi" w:cstheme="minorBidi"/>
          <w:color w:val="000000" w:themeColor="text1"/>
        </w:rPr>
        <w:t xml:space="preserve">Ilmastosuunnitelman toimien mukaan </w:t>
      </w:r>
      <w:r w:rsidR="13454A39" w:rsidRPr="44C2759F">
        <w:rPr>
          <w:rFonts w:asciiTheme="minorHAnsi" w:eastAsiaTheme="minorEastAsia" w:hAnsiTheme="minorHAnsi" w:cstheme="minorBidi"/>
          <w:color w:val="000000" w:themeColor="text1"/>
        </w:rPr>
        <w:t>päästöjä</w:t>
      </w:r>
      <w:r w:rsidR="18BCD5FE" w:rsidRPr="44C2759F">
        <w:rPr>
          <w:rFonts w:asciiTheme="minorHAnsi" w:eastAsiaTheme="minorEastAsia" w:hAnsiTheme="minorHAnsi" w:cstheme="minorBidi"/>
          <w:color w:val="000000" w:themeColor="text1"/>
        </w:rPr>
        <w:t xml:space="preserve"> voidaan vähentää myös vuoden 2030 jälkeen samoilla toimilla, jotka johtavat päästövähennyksiin vuonna 2030. </w:t>
      </w:r>
      <w:r w:rsidR="18BCD5FE">
        <w:t>EU lainsäädännössä ei ole myöskään linjauksia siitä, mille tasolle taakanjakosektorin päästöjä rajoitetaan vuoden 2030 jälkeen</w:t>
      </w:r>
      <w:r w:rsidR="6F4C850F">
        <w:t xml:space="preserve"> tai miten sektorin päästöjä ylipäänsä säännellään vuoden 2030 jälkeen.</w:t>
      </w:r>
      <w:r w:rsidR="18BCD5FE">
        <w:t xml:space="preserve"> On varsin todennäköistä, että nykyisen taakanjakosektorin päästöt ovat tavalla tai toisella tiukkenevien rajoitusten kohteena EU-lainsää</w:t>
      </w:r>
      <w:r w:rsidR="18BCD5FE">
        <w:lastRenderedPageBreak/>
        <w:t>dännössä myös vuoden 2030 jälkeen.</w:t>
      </w:r>
      <w:r w:rsidRPr="44C2759F">
        <w:rPr>
          <w:rFonts w:eastAsiaTheme="minorEastAsia"/>
        </w:rPr>
        <w:t xml:space="preserve"> Luvuissa 6 ja 7 tarkastellaan politiikkatoimiskenaarion </w:t>
      </w:r>
      <w:r w:rsidR="003E560E">
        <w:rPr>
          <w:rFonts w:eastAsiaTheme="minorEastAsia"/>
        </w:rPr>
        <w:t>mukaista</w:t>
      </w:r>
      <w:r w:rsidR="003E560E" w:rsidRPr="44C2759F">
        <w:rPr>
          <w:rFonts w:eastAsiaTheme="minorEastAsia"/>
        </w:rPr>
        <w:t xml:space="preserve"> </w:t>
      </w:r>
      <w:r w:rsidRPr="0DA70BD4">
        <w:rPr>
          <w:rFonts w:eastAsiaTheme="minorEastAsia"/>
        </w:rPr>
        <w:t>päästötaso</w:t>
      </w:r>
      <w:r w:rsidR="003F51E7" w:rsidRPr="0DA70BD4">
        <w:rPr>
          <w:rFonts w:eastAsiaTheme="minorEastAsia"/>
        </w:rPr>
        <w:t>a</w:t>
      </w:r>
      <w:r w:rsidRPr="44C2759F">
        <w:rPr>
          <w:rFonts w:eastAsiaTheme="minorEastAsia"/>
        </w:rPr>
        <w:t xml:space="preserve"> vuonna 2035 ja 2040. </w:t>
      </w:r>
      <w:r w:rsidRPr="44C2759F">
        <w:rPr>
          <w:rFonts w:eastAsiaTheme="minorEastAsia"/>
          <w:color w:val="000000" w:themeColor="text1"/>
        </w:rPr>
        <w:t xml:space="preserve">Mikäli Suomi hyödyntää vuoden 2030 taakanjakosektorin velvoitteen saavuttamiseksi käytössä olevat joustot täysimääräisesti </w:t>
      </w:r>
      <w:r w:rsidRPr="44C2759F">
        <w:rPr>
          <w:rFonts w:eastAsiaTheme="minorEastAsia"/>
        </w:rPr>
        <w:t>tämä on otettava huomioon, kun arvioidaan päästökehitystä sekä päästövähennystarvetta vuoden 2030 jälkeen.</w:t>
      </w:r>
    </w:p>
    <w:p w14:paraId="6AC1B679" w14:textId="3C6DC6AF" w:rsidR="00EB50EB" w:rsidRPr="006A111B" w:rsidRDefault="00171729" w:rsidP="00171729">
      <w:pPr>
        <w:pStyle w:val="Kuvaotsikko"/>
        <w:rPr>
          <w:rFonts w:asciiTheme="minorHAnsi" w:eastAsiaTheme="minorEastAsia" w:hAnsiTheme="minorHAnsi" w:cstheme="minorBidi"/>
          <w:color w:val="000000" w:themeColor="text1"/>
        </w:rPr>
      </w:pPr>
      <w:r>
        <w:t>Kuvio</w:t>
      </w:r>
      <w:r w:rsidR="395895B4">
        <w:rPr>
          <w:rFonts w:eastAsiaTheme="minorEastAsia"/>
        </w:rPr>
        <w:t xml:space="preserve"> </w:t>
      </w:r>
      <w:r>
        <w:fldChar w:fldCharType="begin"/>
      </w:r>
      <w:r>
        <w:instrText xml:space="preserve"> SEQ Kuvio \* ARABIC </w:instrText>
      </w:r>
      <w:r>
        <w:fldChar w:fldCharType="separate"/>
      </w:r>
      <w:r w:rsidR="00D87A85">
        <w:rPr>
          <w:noProof/>
        </w:rPr>
        <w:t>6</w:t>
      </w:r>
      <w:r>
        <w:fldChar w:fldCharType="end"/>
      </w:r>
      <w:r>
        <w:t>.</w:t>
      </w:r>
      <w:r w:rsidR="395895B4">
        <w:rPr>
          <w:rFonts w:eastAsiaTheme="minorEastAsia"/>
        </w:rPr>
        <w:t xml:space="preserve"> </w:t>
      </w:r>
      <w:r w:rsidR="00D3597B" w:rsidRPr="43BA9B70">
        <w:rPr>
          <w:rFonts w:asciiTheme="minorHAnsi" w:eastAsiaTheme="minorEastAsia" w:hAnsiTheme="minorHAnsi" w:cstheme="minorBidi"/>
          <w:color w:val="365ABD" w:themeColor="accent3"/>
        </w:rPr>
        <w:t>Nykykehityksellä ja nykyisillä toimilla saavutettavat päästövähennykset sekä lisätoimet suhteessa tarvittaviin päästövähennyksiin vuosina 2025–2030</w:t>
      </w:r>
    </w:p>
    <w:p w14:paraId="07A38625" w14:textId="48AC73F7" w:rsidR="003A6AD5" w:rsidRDefault="003A6AD5" w:rsidP="44C2759F">
      <w:pPr>
        <w:rPr>
          <w:rFonts w:asciiTheme="minorHAnsi" w:eastAsiaTheme="minorEastAsia" w:hAnsiTheme="minorHAnsi" w:cstheme="minorBidi"/>
          <w:color w:val="000000" w:themeColor="text1"/>
          <w:sz w:val="22"/>
          <w:szCs w:val="22"/>
        </w:rPr>
      </w:pPr>
    </w:p>
    <w:p w14:paraId="2D7B16E3" w14:textId="6629CA3F" w:rsidR="00B61B5D" w:rsidRDefault="00B61B5D" w:rsidP="629D67CF">
      <w:pPr>
        <w:rPr>
          <w:rFonts w:asciiTheme="minorHAnsi" w:eastAsiaTheme="minorEastAsia" w:hAnsiTheme="minorHAnsi" w:cstheme="minorBidi"/>
          <w:color w:val="000000" w:themeColor="text1"/>
          <w:sz w:val="22"/>
          <w:szCs w:val="22"/>
        </w:rPr>
      </w:pPr>
      <w:r>
        <w:rPr>
          <w:noProof/>
        </w:rPr>
        <w:drawing>
          <wp:inline distT="0" distB="0" distL="0" distR="0" wp14:anchorId="6C40AD2C" wp14:editId="7EBBA556">
            <wp:extent cx="4895850" cy="3197867"/>
            <wp:effectExtent l="0" t="0" r="0" b="2540"/>
            <wp:docPr id="1083903287" name="Kaavio 1">
              <a:extLst xmlns:a="http://schemas.openxmlformats.org/drawingml/2006/main">
                <a:ext uri="{FF2B5EF4-FFF2-40B4-BE49-F238E27FC236}">
                  <a16:creationId xmlns:a16="http://schemas.microsoft.com/office/drawing/2014/main" id="{10576804-E063-DF3D-2467-98E12AF4F4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B8FE193" w14:textId="4F105892" w:rsidR="00050CC4" w:rsidRPr="00050CC4" w:rsidRDefault="56F8367A" w:rsidP="5CCC47F8">
      <w:pPr>
        <w:pStyle w:val="VNLeip1kappale"/>
      </w:pPr>
      <w:r w:rsidRPr="44C2759F">
        <w:rPr>
          <w:lang w:eastAsia="en-US"/>
        </w:rPr>
        <w:t>Ilmastolain</w:t>
      </w:r>
      <w:r>
        <w:t xml:space="preserve"> mukaan Suomen tavoitteena on olla hiilineutraali 2035 ja hiilinegatiivinen pian tämän jälkeen. Hiilineutraaliudessa keskeistä on se</w:t>
      </w:r>
      <w:r w:rsidR="01953FAE">
        <w:t>kä</w:t>
      </w:r>
      <w:r>
        <w:t xml:space="preserve"> hiilinielujen </w:t>
      </w:r>
      <w:r w:rsidR="01953FAE">
        <w:t>että</w:t>
      </w:r>
      <w:r>
        <w:t xml:space="preserve"> päästöjen taso</w:t>
      </w:r>
      <w:r w:rsidR="01953FAE">
        <w:t>.</w:t>
      </w:r>
      <w:r w:rsidR="2164868F">
        <w:t xml:space="preserve"> </w:t>
      </w:r>
    </w:p>
    <w:p w14:paraId="54F01548" w14:textId="152D2662" w:rsidR="00050CC4" w:rsidRPr="00050CC4" w:rsidRDefault="2A3D30EE" w:rsidP="00050CC4">
      <w:pPr>
        <w:pStyle w:val="VNLeip1kappale"/>
      </w:pPr>
      <w:r>
        <w:t>KEITO</w:t>
      </w:r>
      <w:r w:rsidR="4EE812D0">
        <w:t>-</w:t>
      </w:r>
      <w:r w:rsidR="006A054C">
        <w:t>työn</w:t>
      </w:r>
      <w:r w:rsidR="4EE812D0">
        <w:t xml:space="preserve"> </w:t>
      </w:r>
      <w:r w:rsidR="006252D2">
        <w:t>skenaarioissa</w:t>
      </w:r>
      <w:r w:rsidR="4EE812D0">
        <w:t xml:space="preserve"> on tarkasteltu sekä </w:t>
      </w:r>
      <w:r w:rsidR="001709D5">
        <w:t xml:space="preserve">päästökauppa- ja taakanjakosektorin </w:t>
      </w:r>
      <w:r w:rsidR="4EE812D0">
        <w:t>kokonaispäästö</w:t>
      </w:r>
      <w:r w:rsidR="001F35F6">
        <w:t>jä</w:t>
      </w:r>
      <w:r w:rsidR="4EE812D0">
        <w:t xml:space="preserve"> että maankäyttösektorin nettonielu</w:t>
      </w:r>
      <w:r w:rsidR="001709D5">
        <w:t>ja</w:t>
      </w:r>
      <w:r w:rsidR="00F06464">
        <w:t>/-päästöjä</w:t>
      </w:r>
      <w:r w:rsidR="005430DD">
        <w:t>.</w:t>
      </w:r>
      <w:r w:rsidR="4EE812D0">
        <w:t xml:space="preserve"> Skenaariot perustuvat nykyisiin toimiin eivätkä sisällä uusia politiikkatoimia. </w:t>
      </w:r>
      <w:r w:rsidR="0056686C">
        <w:t xml:space="preserve">Päästökauppa- ja taakanjakosektorin </w:t>
      </w:r>
      <w:r w:rsidR="765B7DB2">
        <w:t xml:space="preserve">kokonaispäästöt </w:t>
      </w:r>
      <w:r w:rsidR="00154177">
        <w:t>ovat</w:t>
      </w:r>
      <w:r w:rsidR="56F181BD">
        <w:t xml:space="preserve"> </w:t>
      </w:r>
      <w:r w:rsidR="765B7DB2">
        <w:t xml:space="preserve">skenaariossa </w:t>
      </w:r>
      <w:r w:rsidR="4E3B21A6">
        <w:t xml:space="preserve">tasolla </w:t>
      </w:r>
      <w:r w:rsidR="256B0F9D">
        <w:t>21,9</w:t>
      </w:r>
      <w:r w:rsidR="00E72384" w:rsidDel="765B7DB2">
        <w:t xml:space="preserve"> </w:t>
      </w:r>
      <w:r w:rsidR="765B7DB2">
        <w:t>Mt</w:t>
      </w:r>
      <w:r w:rsidR="001A2C74">
        <w:t xml:space="preserve"> CO</w:t>
      </w:r>
      <w:r w:rsidR="001A2C74" w:rsidRPr="001A2C74">
        <w:rPr>
          <w:vertAlign w:val="subscript"/>
        </w:rPr>
        <w:t>2</w:t>
      </w:r>
      <w:r w:rsidR="001A2C74">
        <w:t>-ekv.</w:t>
      </w:r>
      <w:r w:rsidR="001701DF">
        <w:t xml:space="preserve">, josta </w:t>
      </w:r>
      <w:r w:rsidR="765B7DB2">
        <w:t xml:space="preserve">taakanjakosektorin osuus on </w:t>
      </w:r>
      <w:r w:rsidR="1999EAB0">
        <w:t>n</w:t>
      </w:r>
      <w:r w:rsidR="00342777">
        <w:t>oin</w:t>
      </w:r>
      <w:r w:rsidR="1999EAB0">
        <w:t xml:space="preserve"> 70 prosenttia</w:t>
      </w:r>
      <w:r w:rsidR="765B7DB2">
        <w:t>. Koska päästökaupan osuus jää vuoden 2035 tasolla niin pieneksi on selvää</w:t>
      </w:r>
      <w:r w:rsidR="5916F2DE">
        <w:t>,</w:t>
      </w:r>
      <w:r w:rsidR="70135888">
        <w:t xml:space="preserve"> </w:t>
      </w:r>
      <w:r w:rsidR="765B7DB2">
        <w:t xml:space="preserve">että taakanjakosektorin osuus tarvittavista lisäpäästövähennyksistä on huomattava. </w:t>
      </w:r>
      <w:r w:rsidR="78D64A34">
        <w:t>Maankäyttösektorin netto</w:t>
      </w:r>
      <w:r w:rsidR="4178D6CB">
        <w:t>päästö</w:t>
      </w:r>
      <w:r w:rsidR="78D64A34">
        <w:t xml:space="preserve"> </w:t>
      </w:r>
      <w:r w:rsidR="64EED71B">
        <w:t>vuonna 2035</w:t>
      </w:r>
      <w:r w:rsidR="78D64A34">
        <w:t xml:space="preserve"> on tuntuva laadit</w:t>
      </w:r>
      <w:r w:rsidR="0AEB4348">
        <w:t xml:space="preserve">un </w:t>
      </w:r>
      <w:r w:rsidR="56F181BD">
        <w:lastRenderedPageBreak/>
        <w:t>nykytoimi</w:t>
      </w:r>
      <w:r w:rsidR="78D64A34">
        <w:t>skenaarion</w:t>
      </w:r>
      <w:r w:rsidR="744A681B">
        <w:t xml:space="preserve"> perusteella, n. 16 Mt CO</w:t>
      </w:r>
      <w:r w:rsidR="744A681B" w:rsidRPr="4711CD4A">
        <w:rPr>
          <w:vertAlign w:val="subscript"/>
        </w:rPr>
        <w:t>2</w:t>
      </w:r>
      <w:r w:rsidR="744A681B">
        <w:t xml:space="preserve">-ekv. </w:t>
      </w:r>
      <w:r w:rsidR="78D64A34">
        <w:t>Päästövähennystarve riippuu toisin sanoen ratkaisevasti maankäyttösektorin kehityksestä. Hiilineutraaliustavoitteen saavuttaminen edellyttää</w:t>
      </w:r>
      <w:r w:rsidR="2CA33267">
        <w:t>,</w:t>
      </w:r>
      <w:r w:rsidR="78D64A34">
        <w:t xml:space="preserve"> että eri sektoreiden toimet sovitetaan yhteen niin</w:t>
      </w:r>
      <w:r w:rsidR="0FCABF43">
        <w:t>,</w:t>
      </w:r>
      <w:r w:rsidR="78D64A34">
        <w:t xml:space="preserve"> että saavutettava päästö- ja nielukehitys on riittävä. Mikäli yhden sektorin lisätoimien vaikuttavuus jää vaatimattomaksi</w:t>
      </w:r>
      <w:r w:rsidR="2A3CF300">
        <w:t>,</w:t>
      </w:r>
      <w:r w:rsidR="78D64A34">
        <w:t xml:space="preserve"> paine </w:t>
      </w:r>
      <w:r w:rsidR="56F181BD">
        <w:t xml:space="preserve">toteuttaa vaikuttavia lisätoimia </w:t>
      </w:r>
      <w:r w:rsidR="78D64A34">
        <w:t xml:space="preserve">siirtyy toiselle sektorille. </w:t>
      </w:r>
    </w:p>
    <w:p w14:paraId="29F75617" w14:textId="0E594D04" w:rsidR="00307A3F" w:rsidRPr="006A111B" w:rsidRDefault="00307A3F" w:rsidP="61E66E8E">
      <w:pPr>
        <w:rPr>
          <w:rFonts w:asciiTheme="minorHAnsi" w:eastAsiaTheme="minorEastAsia" w:hAnsiTheme="minorHAnsi" w:cstheme="minorBidi"/>
          <w:color w:val="000000" w:themeColor="text1"/>
          <w:sz w:val="22"/>
          <w:szCs w:val="22"/>
        </w:rPr>
      </w:pPr>
    </w:p>
    <w:p w14:paraId="32DADD4C" w14:textId="5C7D1BD9" w:rsidR="005F4D87" w:rsidRPr="005F4D87" w:rsidRDefault="12964743" w:rsidP="5F722977">
      <w:pPr>
        <w:pStyle w:val="Otsikko1"/>
        <w:numPr>
          <w:ilvl w:val="0"/>
          <w:numId w:val="0"/>
        </w:numPr>
        <w:ind w:left="432"/>
        <w:rPr>
          <w:rFonts w:ascii="Segoe UI" w:hAnsi="Segoe UI"/>
          <w:color w:val="365ABD" w:themeColor="accent3"/>
        </w:rPr>
      </w:pPr>
      <w:bookmarkStart w:id="95" w:name="_Toc202260042"/>
      <w:r>
        <w:t>5</w:t>
      </w:r>
      <w:r w:rsidR="005F4D87">
        <w:t xml:space="preserve"> </w:t>
      </w:r>
      <w:bookmarkStart w:id="96" w:name="_Toc1046915691"/>
      <w:r w:rsidR="005F4D87">
        <w:t>Sektorikohtainen päästökehitys ja nykytoimet</w:t>
      </w:r>
      <w:bookmarkEnd w:id="95"/>
      <w:bookmarkEnd w:id="96"/>
      <w:r w:rsidR="005F4D87">
        <w:t> </w:t>
      </w:r>
    </w:p>
    <w:p w14:paraId="11687B70" w14:textId="556B2AC1" w:rsidR="005F4D87" w:rsidRPr="00011BC7" w:rsidRDefault="73A8BB90" w:rsidP="00564CA5">
      <w:pPr>
        <w:pStyle w:val="Otsikko2"/>
        <w:rPr>
          <w:lang w:val="fi-FI"/>
        </w:rPr>
      </w:pPr>
      <w:r w:rsidRPr="004B164B">
        <w:rPr>
          <w:lang w:val="fi-FI"/>
        </w:rPr>
        <w:t xml:space="preserve"> </w:t>
      </w:r>
      <w:bookmarkStart w:id="97" w:name="_Toc202260043"/>
      <w:r w:rsidR="006B5175" w:rsidRPr="00011BC7">
        <w:rPr>
          <w:lang w:val="fi-FI"/>
        </w:rPr>
        <w:t>5.1</w:t>
      </w:r>
      <w:r w:rsidRPr="00011BC7">
        <w:rPr>
          <w:lang w:val="fi-FI"/>
        </w:rPr>
        <w:t xml:space="preserve"> </w:t>
      </w:r>
      <w:r w:rsidR="005F4D87" w:rsidRPr="00011BC7">
        <w:rPr>
          <w:lang w:val="fi-FI"/>
        </w:rPr>
        <w:t>Liikenne</w:t>
      </w:r>
      <w:bookmarkEnd w:id="97"/>
      <w:r w:rsidR="005F4D87" w:rsidRPr="00011BC7">
        <w:rPr>
          <w:lang w:val="fi-FI"/>
        </w:rPr>
        <w:t> </w:t>
      </w:r>
    </w:p>
    <w:p w14:paraId="70542E75" w14:textId="1D2797AC" w:rsidR="005F4D87" w:rsidRPr="005F4D87" w:rsidRDefault="005F4D87" w:rsidP="008C2255">
      <w:pPr>
        <w:pStyle w:val="VNLeip1kappale"/>
        <w:rPr>
          <w:rFonts w:ascii="Segoe UI" w:hAnsi="Segoe UI" w:cs="Segoe UI"/>
          <w:sz w:val="18"/>
          <w:szCs w:val="18"/>
        </w:rPr>
      </w:pPr>
      <w:r w:rsidRPr="005F4D87">
        <w:t xml:space="preserve">Taakanjakosektorille lasketaan kotimaan liikenteen kasvihuonekaasupäästöt kotimaan lentoliikenteen hiilidioksidipäästöjä lukuun ottamatta. Kotimaan liikenteen päästöihin lasketaan tieliikenteen, dieselkäyttöisen raideliikenteen ja kotimaan vesiliikenteen päästöt kalastusaluksia lukuun ottamatta. Sähkökäyttöisen raide-, tie- ja vesiliikenteen </w:t>
      </w:r>
      <w:r w:rsidR="009B1739">
        <w:t xml:space="preserve">tarvitseman energian tuotannon </w:t>
      </w:r>
      <w:r w:rsidRPr="005F4D87">
        <w:t xml:space="preserve">päästöt lasketaan päästökauppasektorille, </w:t>
      </w:r>
      <w:r w:rsidR="009B1739">
        <w:t>samoin</w:t>
      </w:r>
      <w:r w:rsidR="009B1739" w:rsidRPr="005F4D87">
        <w:t xml:space="preserve"> </w:t>
      </w:r>
      <w:r w:rsidRPr="005F4D87">
        <w:t>kotimaan lentoliikenteen päästöt. Kalastusalusten polttoaineiden käytön päästöt raportoidaan osana taakanjakosektorin muita energiaperäisiä päästöjä. </w:t>
      </w:r>
    </w:p>
    <w:p w14:paraId="6887363D" w14:textId="77777777" w:rsidR="005F4D87" w:rsidRPr="005F4D87" w:rsidRDefault="005F4D87" w:rsidP="005F4D87">
      <w:pPr>
        <w:textAlignment w:val="baseline"/>
        <w:rPr>
          <w:rFonts w:ascii="Segoe UI" w:hAnsi="Segoe UI" w:cs="Segoe UI"/>
          <w:b/>
          <w:bCs/>
          <w:color w:val="365ABD"/>
          <w:sz w:val="18"/>
          <w:szCs w:val="18"/>
        </w:rPr>
      </w:pPr>
      <w:r w:rsidRPr="0B6BB178">
        <w:rPr>
          <w:rFonts w:ascii="Arial Narrow" w:hAnsi="Arial Narrow" w:cs="Segoe UI"/>
          <w:b/>
          <w:color w:val="365ABD" w:themeColor="accent3"/>
          <w:sz w:val="26"/>
          <w:szCs w:val="26"/>
        </w:rPr>
        <w:t>Päästökehitys </w:t>
      </w:r>
    </w:p>
    <w:p w14:paraId="2638A631" w14:textId="5231155F" w:rsidR="005F4D87" w:rsidRPr="002D2946" w:rsidRDefault="005F4D87" w:rsidP="008C2255">
      <w:pPr>
        <w:pStyle w:val="VNLeip1kappale"/>
      </w:pPr>
      <w:r w:rsidRPr="005F4D87">
        <w:t>Liikenne on taakanjakosektorin suurin päästölähde Suomessa. Sen osuus taakanjakosektorin päästöistä oli noin 35 % ja Suomen kokonaispäästöistä noin 23 % vuonna 2023. Suurin osa kotimaan liikenteen päästöistä syntyy tieliikenteessä (n. 96 %), jonka tarkempi päästöjakauma eri liikennemuotojen välille on kuvattu kuv</w:t>
      </w:r>
      <w:r w:rsidR="002D2946">
        <w:t>io</w:t>
      </w:r>
      <w:r w:rsidRPr="005F4D87">
        <w:t xml:space="preserve">ssa </w:t>
      </w:r>
      <w:r w:rsidR="00CD6469">
        <w:t>7</w:t>
      </w:r>
      <w:r w:rsidRPr="005F4D87">
        <w:t>. </w:t>
      </w:r>
    </w:p>
    <w:p w14:paraId="664C6C15" w14:textId="6B23468C" w:rsidR="005F4D87" w:rsidRPr="005F4D87" w:rsidRDefault="3077E405" w:rsidP="008C2255">
      <w:pPr>
        <w:pStyle w:val="VNLeip1kappale"/>
        <w:rPr>
          <w:rFonts w:ascii="Segoe UI" w:hAnsi="Segoe UI" w:cs="Segoe UI"/>
          <w:sz w:val="18"/>
          <w:szCs w:val="18"/>
        </w:rPr>
      </w:pPr>
      <w:r>
        <w:t>Liikenteen päästöt ovat pääsääntöisesti vähentyneet vuodesta 2007. Päästöt vähenivät myös vuonna 2023</w:t>
      </w:r>
      <w:r w:rsidR="5487A8DD">
        <w:t>, mutta kasvoivat vuonna 2024</w:t>
      </w:r>
      <w:r>
        <w:t>. Tilastokeskuksen pikaennakkotiedon mukaan kotimaan liikenteen kasvihuonekaasupäästöt ilman kotimaan lentoliikenteen hiilidioksidipäästöjä olivat vuonna 2023 yhteensä noin 9,3 Mt CO</w:t>
      </w:r>
      <w:r w:rsidRPr="44C2759F">
        <w:rPr>
          <w:sz w:val="17"/>
          <w:szCs w:val="17"/>
          <w:vertAlign w:val="subscript"/>
        </w:rPr>
        <w:t>2</w:t>
      </w:r>
      <w:r>
        <w:t xml:space="preserve">-ekv. </w:t>
      </w:r>
      <w:r w:rsidR="5487A8DD">
        <w:t>Vuonna 2024 ne olivat</w:t>
      </w:r>
      <w:r>
        <w:t xml:space="preserve"> noin </w:t>
      </w:r>
      <w:r w:rsidR="5487A8DD">
        <w:t>9,7 Mt</w:t>
      </w:r>
      <w:r w:rsidR="30470FDB">
        <w:t xml:space="preserve"> CO</w:t>
      </w:r>
      <w:r w:rsidR="30470FDB" w:rsidRPr="34563D5C">
        <w:rPr>
          <w:vertAlign w:val="subscript"/>
        </w:rPr>
        <w:t>2</w:t>
      </w:r>
      <w:r w:rsidR="30470FDB">
        <w:t>-ekv.</w:t>
      </w:r>
      <w:r>
        <w:t xml:space="preserve"> (ks</w:t>
      </w:r>
      <w:r w:rsidR="00FF328D">
        <w:t xml:space="preserve">. </w:t>
      </w:r>
      <w:r w:rsidR="002D2946">
        <w:fldChar w:fldCharType="begin"/>
      </w:r>
      <w:r w:rsidR="002D2946">
        <w:instrText xml:space="preserve"> REF _Ref201650835 \h </w:instrText>
      </w:r>
      <w:r w:rsidR="002D2946">
        <w:fldChar w:fldCharType="separate"/>
      </w:r>
      <w:r w:rsidR="002D2946">
        <w:t xml:space="preserve">Kuvio </w:t>
      </w:r>
      <w:r w:rsidR="002D2946">
        <w:rPr>
          <w:noProof/>
        </w:rPr>
        <w:t>8</w:t>
      </w:r>
      <w:r w:rsidR="002D2946">
        <w:fldChar w:fldCharType="end"/>
      </w:r>
      <w:r w:rsidR="005F4D87" w:rsidRPr="005F4D87">
        <w:t>).  </w:t>
      </w:r>
    </w:p>
    <w:p w14:paraId="1CDB4A02" w14:textId="2867B625" w:rsidR="005F4D87" w:rsidRPr="005F4D87" w:rsidRDefault="002D2946" w:rsidP="002D2946">
      <w:pPr>
        <w:pStyle w:val="Kuvaotsikko"/>
        <w:rPr>
          <w:rFonts w:ascii="Segoe UI" w:hAnsi="Segoe UI" w:cs="Segoe UI"/>
        </w:rPr>
      </w:pPr>
      <w:r>
        <w:t>Kuvio</w:t>
      </w:r>
      <w:r w:rsidR="023B7BA9">
        <w:t xml:space="preserve"> </w:t>
      </w:r>
      <w:r>
        <w:fldChar w:fldCharType="begin"/>
      </w:r>
      <w:r>
        <w:instrText xml:space="preserve"> SEQ Kuvio \* ARABIC </w:instrText>
      </w:r>
      <w:r>
        <w:fldChar w:fldCharType="separate"/>
      </w:r>
      <w:r w:rsidR="00D87A85">
        <w:rPr>
          <w:noProof/>
        </w:rPr>
        <w:t>7</w:t>
      </w:r>
      <w:r>
        <w:fldChar w:fldCharType="end"/>
      </w:r>
      <w:r w:rsidR="00CD6469">
        <w:t>.</w:t>
      </w:r>
      <w:r w:rsidR="023B7BA9">
        <w:t xml:space="preserve"> </w:t>
      </w:r>
      <w:r w:rsidR="3077E405" w:rsidRPr="005F4D87">
        <w:rPr>
          <w:rFonts w:cs="Arial"/>
          <w:szCs w:val="22"/>
        </w:rPr>
        <w:t>Tieliikenteen kasvihuonekaasupäästöjen jakauma vuonna 2023. </w:t>
      </w:r>
    </w:p>
    <w:p w14:paraId="50A7EC48" w14:textId="6DBD3EE1" w:rsidR="005F4D87" w:rsidRPr="005F4D87" w:rsidRDefault="005F4D87" w:rsidP="005F4D87">
      <w:pPr>
        <w:textAlignment w:val="baseline"/>
        <w:rPr>
          <w:rFonts w:ascii="Segoe UI" w:hAnsi="Segoe UI" w:cs="Segoe UI"/>
          <w:sz w:val="18"/>
          <w:szCs w:val="18"/>
        </w:rPr>
      </w:pPr>
      <w:r>
        <w:rPr>
          <w:noProof/>
        </w:rPr>
        <w:drawing>
          <wp:inline distT="0" distB="0" distL="0" distR="0" wp14:anchorId="12F33F14" wp14:editId="42FF2BFE">
            <wp:extent cx="5080612" cy="2840878"/>
            <wp:effectExtent l="0" t="0" r="6350" b="0"/>
            <wp:docPr id="115" name="Kuva 94" descr="Kuva 59,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4"/>
                    <pic:cNvPicPr/>
                  </pic:nvPicPr>
                  <pic:blipFill>
                    <a:blip r:embed="rId39">
                      <a:extLst>
                        <a:ext uri="{28A0092B-C50C-407E-A947-70E740481C1C}">
                          <a14:useLocalDpi xmlns:a14="http://schemas.microsoft.com/office/drawing/2010/main" val="0"/>
                        </a:ext>
                      </a:extLst>
                    </a:blip>
                    <a:stretch>
                      <a:fillRect/>
                    </a:stretch>
                  </pic:blipFill>
                  <pic:spPr>
                    <a:xfrm>
                      <a:off x="0" y="0"/>
                      <a:ext cx="5080612" cy="2840878"/>
                    </a:xfrm>
                    <a:prstGeom prst="rect">
                      <a:avLst/>
                    </a:prstGeom>
                  </pic:spPr>
                </pic:pic>
              </a:graphicData>
            </a:graphic>
          </wp:inline>
        </w:drawing>
      </w:r>
      <w:r w:rsidRPr="005F4D87">
        <w:rPr>
          <w:rFonts w:cs="Arial"/>
          <w:sz w:val="22"/>
          <w:szCs w:val="22"/>
        </w:rPr>
        <w:t> </w:t>
      </w:r>
    </w:p>
    <w:p w14:paraId="55205940" w14:textId="409FD391" w:rsidR="005F4D87" w:rsidRPr="005F4D87" w:rsidRDefault="002D2946" w:rsidP="002D2946">
      <w:pPr>
        <w:pStyle w:val="Kuvaotsikko"/>
        <w:rPr>
          <w:rFonts w:ascii="Segoe UI" w:hAnsi="Segoe UI" w:cs="Segoe UI"/>
        </w:rPr>
      </w:pPr>
      <w:bookmarkStart w:id="98" w:name="_Ref201650835"/>
      <w:r>
        <w:t>Kuvio</w:t>
      </w:r>
      <w:r w:rsidR="023B7BA9">
        <w:t xml:space="preserve"> </w:t>
      </w:r>
      <w:r>
        <w:fldChar w:fldCharType="begin"/>
      </w:r>
      <w:r>
        <w:instrText xml:space="preserve"> SEQ Kuvio \* ARABIC </w:instrText>
      </w:r>
      <w:r>
        <w:fldChar w:fldCharType="separate"/>
      </w:r>
      <w:r w:rsidR="00D87A85">
        <w:rPr>
          <w:noProof/>
        </w:rPr>
        <w:t>8</w:t>
      </w:r>
      <w:r>
        <w:fldChar w:fldCharType="end"/>
      </w:r>
      <w:bookmarkEnd w:id="98"/>
      <w:r w:rsidR="00CD6469">
        <w:t>.</w:t>
      </w:r>
      <w:r w:rsidR="023B7BA9">
        <w:t xml:space="preserve"> </w:t>
      </w:r>
      <w:r w:rsidR="3077E405" w:rsidRPr="4711CD4A">
        <w:rPr>
          <w:rFonts w:cs="Arial"/>
        </w:rPr>
        <w:t xml:space="preserve">Kotimaan liikenteen päästöt (pl. kotimaan lentoliikenteen hiilidioksidipäästöt) vuosina 2005–2024 sekä </w:t>
      </w:r>
      <w:r w:rsidR="5A08F7F9" w:rsidRPr="4711CD4A">
        <w:rPr>
          <w:rFonts w:cs="Arial"/>
        </w:rPr>
        <w:t>KEITO</w:t>
      </w:r>
      <w:r w:rsidR="3077E405" w:rsidRPr="4711CD4A">
        <w:rPr>
          <w:rFonts w:cs="Arial"/>
        </w:rPr>
        <w:t xml:space="preserve"> WEM</w:t>
      </w:r>
      <w:r w:rsidR="795F0FE3" w:rsidRPr="4711CD4A">
        <w:rPr>
          <w:rFonts w:cs="Arial"/>
        </w:rPr>
        <w:t>-</w:t>
      </w:r>
      <w:r w:rsidR="3077E405" w:rsidRPr="4711CD4A">
        <w:rPr>
          <w:rFonts w:cs="Arial"/>
        </w:rPr>
        <w:t>skenaarion mukainen arvio päästökehityksestä vuosille 2025–2035.  </w:t>
      </w:r>
      <w:r w:rsidR="7116744F" w:rsidRPr="4711CD4A">
        <w:rPr>
          <w:rFonts w:cs="Arial"/>
        </w:rPr>
        <w:t>Vuoden 2024 tieto on pikaennakko.</w:t>
      </w:r>
    </w:p>
    <w:p w14:paraId="550CD6F2" w14:textId="067BF14D" w:rsidR="005F4D87" w:rsidRPr="005F4D87" w:rsidRDefault="00BF6112" w:rsidP="005F4D87">
      <w:pPr>
        <w:textAlignment w:val="baseline"/>
        <w:rPr>
          <w:rFonts w:ascii="Segoe UI" w:hAnsi="Segoe UI" w:cs="Segoe UI"/>
          <w:sz w:val="18"/>
          <w:szCs w:val="18"/>
        </w:rPr>
      </w:pPr>
      <w:r>
        <w:rPr>
          <w:noProof/>
        </w:rPr>
        <w:drawing>
          <wp:inline distT="0" distB="0" distL="0" distR="0" wp14:anchorId="5F1DE442" wp14:editId="117B578C">
            <wp:extent cx="4876800" cy="2876550"/>
            <wp:effectExtent l="0" t="0" r="0" b="0"/>
            <wp:docPr id="755774549" name="Kaavio 1">
              <a:extLst xmlns:a="http://schemas.openxmlformats.org/drawingml/2006/main">
                <a:ext uri="{FF2B5EF4-FFF2-40B4-BE49-F238E27FC236}">
                  <a16:creationId xmlns:a16="http://schemas.microsoft.com/office/drawing/2014/main" id="{0518B848-F21A-460A-874A-273EB35FE3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5F4D87">
        <w:br/>
      </w:r>
      <w:r w:rsidR="005F4D87" w:rsidRPr="005F4D87">
        <w:rPr>
          <w:rFonts w:cs="Arial"/>
          <w:sz w:val="22"/>
          <w:szCs w:val="22"/>
        </w:rPr>
        <w:t> </w:t>
      </w:r>
    </w:p>
    <w:p w14:paraId="689EF4ED" w14:textId="77777777" w:rsidR="005F4D87" w:rsidRPr="005F4D87" w:rsidRDefault="005F4D87" w:rsidP="005F4D87">
      <w:pPr>
        <w:textAlignment w:val="baseline"/>
        <w:rPr>
          <w:rFonts w:ascii="Segoe UI" w:hAnsi="Segoe UI" w:cs="Segoe UI"/>
          <w:sz w:val="18"/>
          <w:szCs w:val="18"/>
        </w:rPr>
      </w:pPr>
      <w:r w:rsidRPr="005F4D87">
        <w:rPr>
          <w:rFonts w:cs="Arial"/>
          <w:sz w:val="22"/>
          <w:szCs w:val="22"/>
        </w:rPr>
        <w:t> </w:t>
      </w:r>
    </w:p>
    <w:p w14:paraId="35272155" w14:textId="77777777" w:rsidR="005F4D87" w:rsidRPr="005F4D87" w:rsidRDefault="005F4D87" w:rsidP="005F4D87">
      <w:pPr>
        <w:textAlignment w:val="baseline"/>
        <w:rPr>
          <w:rFonts w:ascii="Segoe UI" w:hAnsi="Segoe UI" w:cs="Segoe UI"/>
          <w:b/>
          <w:bCs/>
          <w:color w:val="365ABD"/>
          <w:sz w:val="18"/>
          <w:szCs w:val="18"/>
        </w:rPr>
      </w:pPr>
      <w:r w:rsidRPr="09243E2F">
        <w:rPr>
          <w:rFonts w:ascii="Arial Narrow" w:hAnsi="Arial Narrow" w:cs="Segoe UI"/>
          <w:b/>
          <w:color w:val="365ABD" w:themeColor="accent3"/>
          <w:sz w:val="26"/>
          <w:szCs w:val="26"/>
        </w:rPr>
        <w:t>Nykytoimet </w:t>
      </w:r>
    </w:p>
    <w:p w14:paraId="39368FAC" w14:textId="77777777" w:rsidR="005F4D87" w:rsidRPr="005F4D87" w:rsidRDefault="005F4D87" w:rsidP="0B6BB178">
      <w:pPr>
        <w:pStyle w:val="VNLeip1kappale"/>
        <w:rPr>
          <w:rFonts w:ascii="Segoe UI" w:hAnsi="Segoe UI" w:cs="Segoe UI"/>
          <w:sz w:val="18"/>
          <w:szCs w:val="18"/>
        </w:rPr>
      </w:pPr>
      <w:r w:rsidRPr="005F4D87">
        <w:t>Edellisen keskipitkän aikavälin ilmastopolitiikan suunnitelman (YM 2022) kotimaan liikenteen päästöjä vähentävien toimenpiteiden toimeenpano on käynnissä. </w:t>
      </w:r>
    </w:p>
    <w:p w14:paraId="7D32927F" w14:textId="6D7B9254" w:rsidR="005F4D87" w:rsidRPr="005F4D87" w:rsidRDefault="005F4D87" w:rsidP="0B6BB178">
      <w:pPr>
        <w:pStyle w:val="VNLeip1kappale"/>
        <w:rPr>
          <w:rFonts w:ascii="Segoe UI" w:hAnsi="Segoe UI" w:cs="Segoe UI"/>
          <w:sz w:val="18"/>
          <w:szCs w:val="18"/>
        </w:rPr>
      </w:pPr>
      <w:r w:rsidRPr="005F4D87">
        <w:t>Edellisen ilmastosuunnitelman politiikkatoimet pohjautuivat erityisesti valtioneuvoston periaatepäätökseen (LVM/2021/62) kotimaan liikenteen kasvihuonekaasupäästöjen vähentämisestä (nk. fossiilittoman liikenteen tiekartta, 2021). Tiekartan mukaiset toimet liittyvät fossiilisten polttoaineiden korvaamiseen vaihtoehtoisilla käyttövoimilla, autokannan uudistamiseen ja liikennejärjestelmän tehostamiseen. Suunnitelmassa on arvioitu myös etätyön lisääntymisen, liikenteen palveluiden edistämisen sekä yhdistettyjen kuljetusten uudelleen käynnistämisen päästövähennyspotentiaaleja. Lisäksi suunnitelmassa on arvioitu myös EU:n </w:t>
      </w:r>
      <w:proofErr w:type="spellStart"/>
      <w:r w:rsidRPr="005F4D87">
        <w:t>Fit</w:t>
      </w:r>
      <w:proofErr w:type="spellEnd"/>
      <w:r w:rsidRPr="005F4D87">
        <w:t xml:space="preserve"> for 55-ilmastopaketin lainsäädäntöaloitteiden päästövähennysvaikutuksia Suomessa. </w:t>
      </w:r>
    </w:p>
    <w:p w14:paraId="182B0A40" w14:textId="40E8B948" w:rsidR="005F4D87" w:rsidRPr="005F4D87" w:rsidRDefault="005F4D87" w:rsidP="0B6BB178">
      <w:pPr>
        <w:pStyle w:val="VNLeip1kappale"/>
        <w:rPr>
          <w:rFonts w:ascii="Segoe UI" w:hAnsi="Segoe UI" w:cs="Segoe UI"/>
          <w:sz w:val="18"/>
          <w:szCs w:val="18"/>
        </w:rPr>
      </w:pPr>
      <w:r>
        <w:t xml:space="preserve">Liikenteen uusiutuvien polttoaineiden käytön kannalta keskeisin toimi on laki uusiutuvien polttoaineiden käytön edistämisestä liikenteessä (jakeluvelvoitelaki). </w:t>
      </w:r>
      <w:r w:rsidR="005C6E7A">
        <w:t>Liikenteen kasvihuonekaasupäästöjen p</w:t>
      </w:r>
      <w:r>
        <w:t>erusennusteen laskennassa pohjana olleen lainsäädännön mukaan jakeluvelvoitetta korotetaan vuosina 2024–2030 niin, että velvoitetaso nousee vuoden 2023 tasosta (13,5 %) 28 %:iin vuonna 2024 ja 34 %:iin vuonna 2030. Jakeluvelvoitelakia muutettiin kuitenkin vuonna 2023 ja 2024 niin, että vuoden 2024 jakeluvelvoit</w:t>
      </w:r>
      <w:r w:rsidR="00DF531A">
        <w:t>t</w:t>
      </w:r>
      <w:r>
        <w:t>e</w:t>
      </w:r>
      <w:r w:rsidR="00DF531A">
        <w:t>e</w:t>
      </w:r>
      <w:r w:rsidR="007D3E66">
        <w:t xml:space="preserve">n nousua </w:t>
      </w:r>
      <w:proofErr w:type="spellStart"/>
      <w:r w:rsidR="007D3E66">
        <w:t>maltillistettiin</w:t>
      </w:r>
      <w:proofErr w:type="spellEnd"/>
      <w:r w:rsidR="007D3E66">
        <w:t xml:space="preserve"> määräaikaisesti</w:t>
      </w:r>
      <w:r>
        <w:t xml:space="preserve"> </w:t>
      </w:r>
      <w:r w:rsidR="007D3E66">
        <w:t>(</w:t>
      </w:r>
      <w:r>
        <w:t>28 %:sta 13,5 %:iin</w:t>
      </w:r>
      <w:r w:rsidR="002E11A3">
        <w:t>)</w:t>
      </w:r>
      <w:r w:rsidR="007B5D0F">
        <w:t>. V</w:t>
      </w:r>
      <w:r>
        <w:t xml:space="preserve">uosien 2025–2027 jakeluvelvoitetta </w:t>
      </w:r>
      <w:r w:rsidR="007B5D0F">
        <w:t xml:space="preserve">määräaikaisesti </w:t>
      </w:r>
      <w:proofErr w:type="spellStart"/>
      <w:r w:rsidR="007B5D0F">
        <w:t>maltillistettiin</w:t>
      </w:r>
      <w:proofErr w:type="spellEnd"/>
      <w:r>
        <w:t xml:space="preserve"> vuonna 2024 edelleen niin, että vuonna 2025 taso on 16,5 % (</w:t>
      </w:r>
      <w:r w:rsidR="007B5D0F">
        <w:t>tasosta</w:t>
      </w:r>
      <w:r>
        <w:t xml:space="preserve"> 29 %), </w:t>
      </w:r>
      <w:r w:rsidR="000238B7">
        <w:t xml:space="preserve">19,5 % </w:t>
      </w:r>
      <w:r>
        <w:t>vuonna 2026 (</w:t>
      </w:r>
      <w:r w:rsidR="007B5D0F">
        <w:t xml:space="preserve">tasosta </w:t>
      </w:r>
      <w:r>
        <w:t xml:space="preserve">29 %) ja </w:t>
      </w:r>
      <w:r w:rsidR="0021097D">
        <w:t xml:space="preserve">22,5 % </w:t>
      </w:r>
      <w:r>
        <w:t>vuonna 2027 (</w:t>
      </w:r>
      <w:r w:rsidR="007B5D0F">
        <w:t xml:space="preserve">tasosta </w:t>
      </w:r>
      <w:r>
        <w:t xml:space="preserve">30 %). Jakeluvelvoitteen </w:t>
      </w:r>
      <w:r w:rsidR="00C72D1C">
        <w:t>nousun määräaik</w:t>
      </w:r>
      <w:r w:rsidR="00185593">
        <w:t>a</w:t>
      </w:r>
      <w:r w:rsidR="00C72D1C">
        <w:t xml:space="preserve">inen </w:t>
      </w:r>
      <w:proofErr w:type="spellStart"/>
      <w:r w:rsidR="00C72D1C">
        <w:t>maltillistaminen</w:t>
      </w:r>
      <w:proofErr w:type="spellEnd"/>
      <w:r>
        <w:t xml:space="preserve"> kasvattaa liikenteen päästöjä perusennusteeseen verrattuna. Jakeluvelvoitteen </w:t>
      </w:r>
      <w:r w:rsidR="00ED0C37">
        <w:t>muuttamista</w:t>
      </w:r>
      <w:r>
        <w:t xml:space="preserve"> ja muita hallitusohjelmakirjauksia ja niiden vaikutuksia liikenteen päästöihin käsitellään myöhemmin tässä luvussa. </w:t>
      </w:r>
    </w:p>
    <w:p w14:paraId="4634F352" w14:textId="77777777" w:rsidR="005F4D87" w:rsidRPr="005F4D87" w:rsidRDefault="005F4D87" w:rsidP="0B6BB178">
      <w:pPr>
        <w:pStyle w:val="VNLeip1kappale"/>
        <w:rPr>
          <w:rFonts w:ascii="Segoe UI" w:hAnsi="Segoe UI" w:cs="Segoe UI"/>
          <w:sz w:val="18"/>
          <w:szCs w:val="18"/>
        </w:rPr>
      </w:pPr>
      <w:r w:rsidRPr="005F4D87">
        <w:t>Keskeisimmät toimet, jotka tulevina vuosina vaikuttavat Suomen autokantaan ja sen käyttövoimiin, ovat EU:n autovalmistajia koskevat CO</w:t>
      </w:r>
      <w:r w:rsidRPr="005F4D87">
        <w:rPr>
          <w:sz w:val="17"/>
          <w:szCs w:val="17"/>
          <w:vertAlign w:val="subscript"/>
        </w:rPr>
        <w:t>2</w:t>
      </w:r>
      <w:r w:rsidRPr="005F4D87">
        <w:t>-raja-arvoasetukset. Uusi CO</w:t>
      </w:r>
      <w:r w:rsidRPr="005F4D87">
        <w:rPr>
          <w:sz w:val="17"/>
          <w:szCs w:val="17"/>
          <w:vertAlign w:val="subscript"/>
        </w:rPr>
        <w:t>2</w:t>
      </w:r>
      <w:r w:rsidRPr="005F4D87">
        <w:t>-raja-arvoasetus henkilö- ja pakettiautoille hyväksyttiin EU:ssa maaliskuussa 2023. Uusien raja-arvojen mukaisesti EU:n ajoneuvovalmistajien tulee vähentää valmistamiensa uusien henkilöautojen hiilidioksidipäästöjä keskimäärin 55 prosenttia ja pakettiautojen päästöjä keskimäärin 50 prosenttia vuonna 2030 verrattuna vuoden 2021 tasoon. Vuoden 2035 velvoitteena on vähentää uusien autojen päästöjä 100 prosenttia. Tämä tarkoittaa sitä, että uusien fossiilisilla polttoaineilla kulkevien polttomoottoriautojen valmistus loppuu käytännössä kokonaan vuonna 2035.  </w:t>
      </w:r>
    </w:p>
    <w:p w14:paraId="786761DC" w14:textId="77777777" w:rsidR="005F4D87" w:rsidRPr="005F4D87" w:rsidRDefault="005F4D87" w:rsidP="0B6BB178">
      <w:pPr>
        <w:pStyle w:val="VNLeip1kappale"/>
        <w:rPr>
          <w:rFonts w:ascii="Segoe UI" w:hAnsi="Segoe UI" w:cs="Segoe UI"/>
          <w:sz w:val="18"/>
          <w:szCs w:val="18"/>
        </w:rPr>
      </w:pPr>
      <w:r w:rsidRPr="005F4D87">
        <w:t>Uusi raskaan kaluston CO</w:t>
      </w:r>
      <w:r w:rsidRPr="005F4D87">
        <w:rPr>
          <w:sz w:val="17"/>
          <w:szCs w:val="17"/>
          <w:vertAlign w:val="subscript"/>
        </w:rPr>
        <w:t>2</w:t>
      </w:r>
      <w:r w:rsidRPr="005F4D87">
        <w:t>-raja-arvoasetus hyväksyttiin EU:ssa huhtikuussa 2024. Uuden asetuksen mukaan raja-arvoja kiristetään niin, että EU:n tasolla vuodesta 2030 lähtien uusien raskaiden ajoneuvojen päästöt vähenevät keskimäärin 45 prosenttia, vuodesta 2035 lähtien 65 prosenttia ja vuodesta 2040 lähtien 90 prosenttia verrattuna vuoteen 2019. Asetus ohjaa kehitystä vahvasti kohti sähköä ja vetyä myös raskaan kaluston puolella.  </w:t>
      </w:r>
    </w:p>
    <w:p w14:paraId="3122234B" w14:textId="695D9202" w:rsidR="005F4D87" w:rsidRPr="005F4D87" w:rsidRDefault="005F4D87" w:rsidP="0B6BB178">
      <w:pPr>
        <w:pStyle w:val="VNLeip1kappale"/>
        <w:rPr>
          <w:rFonts w:ascii="Segoe UI" w:hAnsi="Segoe UI" w:cs="Segoe UI"/>
          <w:sz w:val="18"/>
          <w:szCs w:val="18"/>
        </w:rPr>
      </w:pPr>
      <w:r>
        <w:t>Muita autokannan uudistamiseen ja vaihtoehtoisten käyttövoimien yleistymiseen tähtääviä toimia ovat kansalliset jakeluinfratuet, sähkö- ja kaasukäyttöisten ajoneuvojen hankinta- ja konversiotuet sekä liikenteen verotuksen muutokset. </w:t>
      </w:r>
    </w:p>
    <w:p w14:paraId="05B0BD28" w14:textId="42580B2C" w:rsidR="005F4D87" w:rsidRPr="005F4D87" w:rsidRDefault="005F4D87" w:rsidP="0B6BB178">
      <w:pPr>
        <w:pStyle w:val="VNLeip1kappale"/>
      </w:pPr>
      <w:r w:rsidRPr="005F4D87">
        <w:t xml:space="preserve">Julkisten latauspisteiden ja tankkausasemien rakentamisen tukiin oli vuosille 2022–2023 varattu yhteensä 35 M€. Vuodelle 2024 oli varattu 16,67 M€. Taloyhtiöiden ja työpaikkojen latausavustuksiin oli vuosille 2022–2023 varattu yhteensä 42 M€. </w:t>
      </w:r>
    </w:p>
    <w:p w14:paraId="685550E4" w14:textId="34110C37" w:rsidR="005F4D87" w:rsidRPr="005F4D87" w:rsidRDefault="005F4D87" w:rsidP="0B6BB178">
      <w:pPr>
        <w:pStyle w:val="VNLeip1kappale"/>
        <w:rPr>
          <w:rFonts w:ascii="Segoe UI" w:hAnsi="Segoe UI" w:cs="Segoe UI"/>
          <w:sz w:val="18"/>
          <w:szCs w:val="18"/>
        </w:rPr>
      </w:pPr>
      <w:r w:rsidRPr="005F4D87">
        <w:t xml:space="preserve">Henkilö-, paketti- ja kuorma-autojen hankinta- ja muuntotukiin on toistaiseksi osoitettu yhteensä 50 M€ vuosille 2018–2024. Henkilöautojen tukiohjelma päättyi vuoden 2022 lopussa. Henkilöautojen muuntotuet palautettiin lainsäädäntöön elokuussa 2024, ja näitä tukia oli mahdollista hakea 15.12.2024 asti. Kuorma-autojen tukia oli mahdollista hakea vuoden 2024 loppuun asti, mutta tarkoitukseen varattu määräraha tuli varatuksi loppuun jo elokuussa 2024. Pakettiautojen tukia oli mahdollista hakea vuoden 2024 loppuun asti. </w:t>
      </w:r>
    </w:p>
    <w:p w14:paraId="2C0D1EDC" w14:textId="0016D2AF" w:rsidR="005F4D87" w:rsidRPr="005F4D87" w:rsidRDefault="3077E405" w:rsidP="0B6BB178">
      <w:pPr>
        <w:pStyle w:val="VNLeip1kappale"/>
        <w:rPr>
          <w:rFonts w:ascii="Segoe UI" w:hAnsi="Segoe UI" w:cs="Segoe UI"/>
          <w:sz w:val="18"/>
          <w:szCs w:val="18"/>
        </w:rPr>
      </w:pPr>
      <w:r>
        <w:t>Täyssähköautot vapautettiin autoverosta lokakuusta 2021 alkaen. Vuosina 2020 ja 2021 toteutettiin myös eräitä liikenteen työsuhde-etuihin liittyvän verotuksen muutoksia. Muutoksilla kannustetaan vähäpäästöisten ajoneuvojen hankintaan työsuhdeautoiksi, työsuhdepolkupyörien ja työsuhdematkalipun hankintaan. Täyssähköisten työsuhdeautojen veroetua päätettiin kevään 2024 kehysriihessä jatkaa vuoden 2029 loppuun asti. Samalla sähköautojen ja lataushybridien ajoneuvoveroa päätettiin nostaa. </w:t>
      </w:r>
      <w:r w:rsidR="207E5437">
        <w:t xml:space="preserve">Samalla </w:t>
      </w:r>
      <w:r w:rsidR="207E5437" w:rsidRPr="44C2759F">
        <w:t xml:space="preserve">matkailuautojen ajoneuvoverotusta korotettiin vastaamaan henkilöautojen käyttövoimaverotusta vuoden 2026 alusta. </w:t>
      </w:r>
      <w:r w:rsidR="66436BD1">
        <w:t>Työsuhdepolkupyörien veroetu päätettiin kevään 2025 kehysriihessä poistaa.</w:t>
      </w:r>
    </w:p>
    <w:p w14:paraId="72BBFB0A" w14:textId="6F7244B4" w:rsidR="005F4D87" w:rsidRPr="005F4D87" w:rsidRDefault="3077E405" w:rsidP="44C2759F">
      <w:pPr>
        <w:pStyle w:val="VNLeip1kappale"/>
        <w:rPr>
          <w:rFonts w:ascii="Segoe UI" w:hAnsi="Segoe UI" w:cs="Segoe UI"/>
          <w:sz w:val="18"/>
          <w:szCs w:val="18"/>
        </w:rPr>
      </w:pPr>
      <w:r>
        <w:t>Polttoaineveroa kevennettiin vuoden 2024 alusta 168 miljoonalla eurolla ja vanhojen keski- ja suuripäästöisten ajoneuvojen ajoneuvoveroa noin 50 miljoonalla eurolla. </w:t>
      </w:r>
      <w:r w:rsidR="11E9BBF6">
        <w:t xml:space="preserve">Polttoaineveroa tullaan vuoden 2026 alusta keventämään </w:t>
      </w:r>
      <w:r w:rsidR="059A7484">
        <w:t>50 m</w:t>
      </w:r>
      <w:r w:rsidR="11E9BBF6">
        <w:t xml:space="preserve">iljoonalla </w:t>
      </w:r>
      <w:r w:rsidR="55D59D9E">
        <w:t>ja vuoden 2027 alusta 50 miljoonalla e</w:t>
      </w:r>
      <w:r w:rsidR="13AEB2A1">
        <w:t>urolla.</w:t>
      </w:r>
      <w:r>
        <w:t> </w:t>
      </w:r>
    </w:p>
    <w:p w14:paraId="6C594743" w14:textId="6F7B0A4B" w:rsidR="005F4D87" w:rsidRPr="005F4D87" w:rsidRDefault="3077E405" w:rsidP="0B6BB178">
      <w:pPr>
        <w:pStyle w:val="VNLeip1kappale"/>
        <w:rPr>
          <w:rFonts w:ascii="Segoe UI" w:hAnsi="Segoe UI" w:cs="Segoe UI"/>
          <w:sz w:val="18"/>
          <w:szCs w:val="18"/>
        </w:rPr>
      </w:pPr>
      <w:r>
        <w:t>Liikennejärjestelmän energiatehokkuutta parannetaan muun muassa MAL-sopimusten, kävelyn ja pyöräilyn investointiohjelman sekä joukkoliikenteen tukien kautta.  </w:t>
      </w:r>
    </w:p>
    <w:p w14:paraId="380FD684" w14:textId="79E5FBFC" w:rsidR="005F4D87" w:rsidRPr="005F4D87" w:rsidRDefault="005F4D87" w:rsidP="0B6BB178">
      <w:pPr>
        <w:pStyle w:val="VNLeip1kappale"/>
        <w:rPr>
          <w:rFonts w:ascii="Segoe UI" w:hAnsi="Segoe UI" w:cs="Segoe UI"/>
          <w:sz w:val="18"/>
          <w:szCs w:val="18"/>
        </w:rPr>
      </w:pPr>
      <w:r w:rsidRPr="005F4D87">
        <w:t>Kävelyn ja pyöräilyn investointiohjelman kautta ohjataan valtion rahoitusta kuntien vaikuttaviin kävely- ja pyöräilyhankkeisiin. Hankkeilla parannetaan kävelyn ja -pyöräilyn olosuhteita ja houkuttelevuutta ja siten lisätään kävely- ja pyöräilymatkojen määrää ja kulkutapaosuutta. Valtio ohjasi kävelyn ja pyöräilyn investointiohjelmaan rahoitusta noin 30 miljoonaa euroa/vuosi vuosina 2021–2022. Vuonna 2023 rahoitusta kävely- ja pyöräilyhankkeisiin myönnettiin yhteensä noin 17,1 miljoonaa euroa ja vuonna 2024 8,7 miljoonaa euroa. 2025 vuodelle on talousarviossa esitetty 1,8 miljoonaa euroa. </w:t>
      </w:r>
    </w:p>
    <w:p w14:paraId="52A5657C" w14:textId="5CE8AA3C" w:rsidR="005F4D87" w:rsidRPr="005F4D87" w:rsidRDefault="005F4D87" w:rsidP="0B6BB178">
      <w:pPr>
        <w:pStyle w:val="VNLeip1kappale"/>
        <w:rPr>
          <w:rFonts w:ascii="Segoe UI" w:hAnsi="Segoe UI" w:cs="Segoe UI"/>
          <w:sz w:val="18"/>
          <w:szCs w:val="18"/>
        </w:rPr>
      </w:pPr>
      <w:r w:rsidRPr="005F4D87">
        <w:t xml:space="preserve">Valtio tukee vuosittain suurten ja keskisuurten kaupunkiseutujen joukkoliikennettä. Vuonna 2024 suurten kaupunkiseutujen joukkoliikenteen tuki oli 9,75 M€ ja keskisuurten kaupunkiseutujen tuki 8,125 M€. Vuodelle 2025 talousarviossa on sekä suurille että keskisuurille kaupungeille myönnetty samat määrärahat. Aiemmin tukea suurille kaupunkiseuduille myönnettiin enemmän, noin 13,25 M€/vuosi. Lisäksi kaupunkiseuduille suunnattiin vuosina 2021–2023 tukea ilmastoperusteisten toimenpiteiden toteuttamiseen noin </w:t>
      </w:r>
      <w:r w:rsidR="000C2D2F">
        <w:t>13</w:t>
      </w:r>
      <w:r w:rsidRPr="005F4D87">
        <w:t xml:space="preserve"> M€/vuosi. </w:t>
      </w:r>
    </w:p>
    <w:p w14:paraId="2E333697" w14:textId="117A5816" w:rsidR="005F4D87" w:rsidRPr="005F4D87" w:rsidRDefault="005F4D87" w:rsidP="0B6BB178">
      <w:pPr>
        <w:pStyle w:val="VNLeip1kappale"/>
        <w:rPr>
          <w:rFonts w:ascii="Segoe UI" w:hAnsi="Segoe UI" w:cs="Segoe UI"/>
          <w:sz w:val="18"/>
          <w:szCs w:val="18"/>
        </w:rPr>
      </w:pPr>
      <w:r w:rsidRPr="005F4D87">
        <w:t>Kuten luvussa 2.</w:t>
      </w:r>
      <w:r w:rsidR="18EB8CDB" w:rsidRPr="005F4D87">
        <w:t>2.3</w:t>
      </w:r>
      <w:r w:rsidRPr="005F4D87">
        <w:t xml:space="preserve"> on todettu, vuoden 2027 alusta Suomessa käynnistyy uusi </w:t>
      </w:r>
      <w:r w:rsidR="006641EB">
        <w:t xml:space="preserve">fossiilisen polttoaineen </w:t>
      </w:r>
      <w:r w:rsidRPr="005F4D87">
        <w:t>jakel</w:t>
      </w:r>
      <w:r w:rsidR="006641EB">
        <w:t>un</w:t>
      </w:r>
      <w:r w:rsidRPr="005F4D87">
        <w:t xml:space="preserve"> päästökauppa (ETS2). Tämä tulee vaikuttamaan liikenteen päästövähennyskehitykseen, ja on otettu huomioon tämän suunnitelman nykytoimiskenaariossa.  </w:t>
      </w:r>
    </w:p>
    <w:p w14:paraId="7DC211F3" w14:textId="77777777" w:rsidR="005F4D87" w:rsidRPr="005F4D87" w:rsidRDefault="005F4D87" w:rsidP="00CD6469">
      <w:pPr>
        <w:pStyle w:val="VNKuvateksti"/>
        <w:rPr>
          <w:rFonts w:ascii="Segoe UI" w:hAnsi="Segoe UI" w:cs="Segoe UI"/>
          <w:sz w:val="18"/>
        </w:rPr>
      </w:pPr>
      <w:r w:rsidRPr="005F4D87">
        <w:t> </w:t>
      </w:r>
    </w:p>
    <w:p w14:paraId="193781FA" w14:textId="4FDAF5EB" w:rsidR="005F4D87" w:rsidRPr="00CD6469" w:rsidRDefault="023B7BA9" w:rsidP="000E2197">
      <w:pPr>
        <w:pStyle w:val="Kuvaotsikko"/>
      </w:pPr>
      <w:r>
        <w:t xml:space="preserve">Taulukko </w:t>
      </w:r>
      <w:r w:rsidR="00CD6469">
        <w:fldChar w:fldCharType="begin"/>
      </w:r>
      <w:r w:rsidR="00CD6469">
        <w:instrText xml:space="preserve"> SEQ Taulukko \* ARABIC </w:instrText>
      </w:r>
      <w:r w:rsidR="00CD6469">
        <w:fldChar w:fldCharType="separate"/>
      </w:r>
      <w:r w:rsidR="2393C37E" w:rsidRPr="44C2759F">
        <w:rPr>
          <w:noProof/>
        </w:rPr>
        <w:t>3</w:t>
      </w:r>
      <w:r w:rsidR="00CD6469">
        <w:fldChar w:fldCharType="end"/>
      </w:r>
      <w:r>
        <w:t xml:space="preserve">. </w:t>
      </w:r>
      <w:r w:rsidR="3077E405" w:rsidRPr="005F4D87">
        <w:rPr>
          <w:rFonts w:cs="Arial"/>
          <w:i w:val="0"/>
          <w:szCs w:val="22"/>
        </w:rPr>
        <w:t>Liikennesektori – keskeiset käytössä olevat kansalliset politiikkatoimet</w:t>
      </w:r>
      <w:r w:rsidR="3077E405" w:rsidRPr="005F4D87">
        <w:rPr>
          <w:rFonts w:cs="Arial"/>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1"/>
        <w:gridCol w:w="5713"/>
      </w:tblGrid>
      <w:tr w:rsidR="005F4D87" w:rsidRPr="005F4D87" w14:paraId="2E6E5ED0" w14:textId="77777777" w:rsidTr="003B0EAF">
        <w:trPr>
          <w:trHeight w:val="300"/>
        </w:trPr>
        <w:tc>
          <w:tcPr>
            <w:tcW w:w="2115" w:type="dxa"/>
            <w:tcBorders>
              <w:top w:val="single" w:sz="6" w:space="0" w:color="auto"/>
              <w:left w:val="single" w:sz="6" w:space="0" w:color="auto"/>
              <w:bottom w:val="single" w:sz="6" w:space="0" w:color="auto"/>
              <w:right w:val="single" w:sz="6" w:space="0" w:color="auto"/>
            </w:tcBorders>
            <w:hideMark/>
          </w:tcPr>
          <w:p w14:paraId="0182207A" w14:textId="77777777" w:rsidR="005F4D87" w:rsidRPr="005F4D87" w:rsidRDefault="005F4D87" w:rsidP="0B6BB178">
            <w:pPr>
              <w:pStyle w:val="VNLeip1kappale"/>
              <w:rPr>
                <w:rFonts w:ascii="Times New Roman" w:hAnsi="Times New Roman"/>
                <w:sz w:val="24"/>
                <w:szCs w:val="24"/>
              </w:rPr>
            </w:pPr>
            <w:r w:rsidRPr="005F4D87">
              <w:t>Politiikkatoimi </w:t>
            </w:r>
          </w:p>
        </w:tc>
        <w:tc>
          <w:tcPr>
            <w:tcW w:w="6225" w:type="dxa"/>
            <w:tcBorders>
              <w:top w:val="single" w:sz="6" w:space="0" w:color="auto"/>
              <w:left w:val="single" w:sz="6" w:space="0" w:color="auto"/>
              <w:bottom w:val="single" w:sz="6" w:space="0" w:color="auto"/>
              <w:right w:val="single" w:sz="6" w:space="0" w:color="auto"/>
            </w:tcBorders>
            <w:hideMark/>
          </w:tcPr>
          <w:p w14:paraId="782494D3" w14:textId="77777777" w:rsidR="005F4D87" w:rsidRPr="005F4D87" w:rsidRDefault="005F4D87" w:rsidP="0B6BB178">
            <w:pPr>
              <w:pStyle w:val="VNLeip1kappale"/>
              <w:rPr>
                <w:rFonts w:ascii="Times New Roman" w:hAnsi="Times New Roman"/>
                <w:sz w:val="24"/>
                <w:szCs w:val="24"/>
              </w:rPr>
            </w:pPr>
            <w:r w:rsidRPr="005F4D87">
              <w:t>Toimeenpanon tilanne </w:t>
            </w:r>
          </w:p>
        </w:tc>
      </w:tr>
      <w:tr w:rsidR="005F4D87" w:rsidRPr="005F4D87" w14:paraId="4C9A73FB" w14:textId="77777777" w:rsidTr="003B0EAF">
        <w:trPr>
          <w:trHeight w:val="300"/>
        </w:trPr>
        <w:tc>
          <w:tcPr>
            <w:tcW w:w="2115" w:type="dxa"/>
            <w:tcBorders>
              <w:top w:val="single" w:sz="6" w:space="0" w:color="auto"/>
              <w:left w:val="single" w:sz="6" w:space="0" w:color="auto"/>
              <w:bottom w:val="single" w:sz="6" w:space="0" w:color="auto"/>
              <w:right w:val="single" w:sz="6" w:space="0" w:color="auto"/>
            </w:tcBorders>
            <w:hideMark/>
          </w:tcPr>
          <w:p w14:paraId="5B380FD4" w14:textId="77777777" w:rsidR="005F4D87" w:rsidRPr="005F4D87" w:rsidRDefault="005F4D87" w:rsidP="0B6BB178">
            <w:pPr>
              <w:pStyle w:val="VNLeip1kappale"/>
              <w:rPr>
                <w:rFonts w:ascii="Times New Roman" w:hAnsi="Times New Roman"/>
                <w:sz w:val="24"/>
                <w:szCs w:val="24"/>
              </w:rPr>
            </w:pPr>
            <w:r w:rsidRPr="005F4D87">
              <w:t>Uusiutuvien polttoaineiden jakeluvelvoite </w:t>
            </w:r>
          </w:p>
        </w:tc>
        <w:tc>
          <w:tcPr>
            <w:tcW w:w="6225" w:type="dxa"/>
            <w:tcBorders>
              <w:top w:val="single" w:sz="6" w:space="0" w:color="auto"/>
              <w:left w:val="single" w:sz="6" w:space="0" w:color="auto"/>
              <w:bottom w:val="single" w:sz="6" w:space="0" w:color="auto"/>
              <w:right w:val="single" w:sz="6" w:space="0" w:color="auto"/>
            </w:tcBorders>
            <w:hideMark/>
          </w:tcPr>
          <w:p w14:paraId="10C40FAF" w14:textId="77777777" w:rsidR="005F4D87" w:rsidRPr="005F4D87" w:rsidRDefault="005F4D87" w:rsidP="0B6BB178">
            <w:pPr>
              <w:pStyle w:val="VNLeip1kappale"/>
              <w:rPr>
                <w:rFonts w:ascii="Times New Roman" w:hAnsi="Times New Roman"/>
                <w:sz w:val="24"/>
                <w:szCs w:val="24"/>
              </w:rPr>
            </w:pPr>
            <w:r w:rsidRPr="005F4D87">
              <w:t>Vuosina 2025–2027 kevennyksiä jatketaan (2025: 16,5 %, 2026: 19,5 %, 2027: 22,5 %). Lisäksi seuraamusmaksuja alennetaan, lisätään uusi joustomekanismi, ja julkisten latauspisteiden sähkö mukaan. </w:t>
            </w:r>
          </w:p>
        </w:tc>
      </w:tr>
      <w:tr w:rsidR="005F4D87" w:rsidRPr="005F4D87" w14:paraId="243D99CB" w14:textId="77777777" w:rsidTr="003B0EAF">
        <w:trPr>
          <w:trHeight w:val="300"/>
        </w:trPr>
        <w:tc>
          <w:tcPr>
            <w:tcW w:w="2115" w:type="dxa"/>
            <w:tcBorders>
              <w:top w:val="single" w:sz="6" w:space="0" w:color="auto"/>
              <w:left w:val="single" w:sz="6" w:space="0" w:color="auto"/>
              <w:bottom w:val="single" w:sz="6" w:space="0" w:color="auto"/>
              <w:right w:val="single" w:sz="6" w:space="0" w:color="auto"/>
            </w:tcBorders>
            <w:hideMark/>
          </w:tcPr>
          <w:p w14:paraId="5C6041FE" w14:textId="77777777" w:rsidR="005F4D87" w:rsidRPr="005F4D87" w:rsidRDefault="005F4D87" w:rsidP="0B6BB178">
            <w:pPr>
              <w:pStyle w:val="VNLeip1kappale"/>
              <w:rPr>
                <w:rFonts w:ascii="Times New Roman" w:hAnsi="Times New Roman"/>
                <w:sz w:val="24"/>
                <w:szCs w:val="24"/>
              </w:rPr>
            </w:pPr>
            <w:r w:rsidRPr="005F4D87">
              <w:t>Jakeluinfratuet </w:t>
            </w:r>
          </w:p>
        </w:tc>
        <w:tc>
          <w:tcPr>
            <w:tcW w:w="6225" w:type="dxa"/>
            <w:tcBorders>
              <w:top w:val="single" w:sz="6" w:space="0" w:color="auto"/>
              <w:left w:val="single" w:sz="6" w:space="0" w:color="auto"/>
              <w:bottom w:val="single" w:sz="6" w:space="0" w:color="auto"/>
              <w:right w:val="single" w:sz="6" w:space="0" w:color="auto"/>
            </w:tcBorders>
            <w:hideMark/>
          </w:tcPr>
          <w:p w14:paraId="73D096FF" w14:textId="64D7B090" w:rsidR="005F4D87" w:rsidRPr="005F4D87" w:rsidRDefault="005F4D87" w:rsidP="0B6BB178">
            <w:pPr>
              <w:pStyle w:val="VNLeip1kappale"/>
              <w:rPr>
                <w:rFonts w:ascii="Times New Roman" w:hAnsi="Times New Roman"/>
                <w:sz w:val="24"/>
                <w:szCs w:val="24"/>
              </w:rPr>
            </w:pPr>
            <w:r w:rsidRPr="005F4D87">
              <w:t>Julkisten lataus- ja tankkausasemien tukeen oli varattu 16,67 M€ (2024). Taloyhtiöiden ja työpaikkojen latausavustukset: 42 M€ (2022–2023)</w:t>
            </w:r>
          </w:p>
        </w:tc>
      </w:tr>
      <w:tr w:rsidR="005F4D87" w:rsidRPr="005F4D87" w14:paraId="17CE7663" w14:textId="77777777" w:rsidTr="003B0EAF">
        <w:trPr>
          <w:trHeight w:val="300"/>
        </w:trPr>
        <w:tc>
          <w:tcPr>
            <w:tcW w:w="2115" w:type="dxa"/>
            <w:tcBorders>
              <w:top w:val="single" w:sz="6" w:space="0" w:color="auto"/>
              <w:left w:val="single" w:sz="6" w:space="0" w:color="auto"/>
              <w:bottom w:val="single" w:sz="6" w:space="0" w:color="auto"/>
              <w:right w:val="single" w:sz="6" w:space="0" w:color="auto"/>
            </w:tcBorders>
            <w:hideMark/>
          </w:tcPr>
          <w:p w14:paraId="6A41BC9D" w14:textId="77777777" w:rsidR="005F4D87" w:rsidRPr="005F4D87" w:rsidRDefault="005F4D87" w:rsidP="0B6BB178">
            <w:pPr>
              <w:pStyle w:val="VNLeip1kappale"/>
              <w:rPr>
                <w:rFonts w:ascii="Times New Roman" w:hAnsi="Times New Roman"/>
                <w:sz w:val="24"/>
                <w:szCs w:val="24"/>
              </w:rPr>
            </w:pPr>
            <w:r w:rsidRPr="005F4D87">
              <w:t>Sähkö- ja kaasukäyttöiset ajoneuvot </w:t>
            </w:r>
          </w:p>
        </w:tc>
        <w:tc>
          <w:tcPr>
            <w:tcW w:w="6225" w:type="dxa"/>
            <w:tcBorders>
              <w:top w:val="single" w:sz="6" w:space="0" w:color="auto"/>
              <w:left w:val="single" w:sz="6" w:space="0" w:color="auto"/>
              <w:bottom w:val="single" w:sz="6" w:space="0" w:color="auto"/>
              <w:right w:val="single" w:sz="6" w:space="0" w:color="auto"/>
            </w:tcBorders>
            <w:hideMark/>
          </w:tcPr>
          <w:p w14:paraId="76EDB1E4" w14:textId="745E7F86" w:rsidR="005F4D87" w:rsidRPr="005F4D87" w:rsidRDefault="005F4D87" w:rsidP="0B6BB178">
            <w:pPr>
              <w:pStyle w:val="VNLeip1kappale"/>
              <w:rPr>
                <w:rFonts w:ascii="Times New Roman" w:hAnsi="Times New Roman"/>
                <w:sz w:val="24"/>
                <w:szCs w:val="24"/>
              </w:rPr>
            </w:pPr>
            <w:r w:rsidRPr="005F4D87">
              <w:t xml:space="preserve">Henkilö-, paketti- ja kuorma-autojen hankinta- ja muuntotukiin oli osoitettu 50 M€ (2018–2024) sähkö- ja kaasuajoneuvot. Henkilöautojen </w:t>
            </w:r>
            <w:r w:rsidR="00E42860">
              <w:t xml:space="preserve">hankintatukien </w:t>
            </w:r>
            <w:r w:rsidRPr="005F4D87">
              <w:t>jakaminen päättyi vuoden 202</w:t>
            </w:r>
            <w:r w:rsidR="00E42860">
              <w:t>2</w:t>
            </w:r>
            <w:r w:rsidRPr="005F4D87">
              <w:t xml:space="preserve"> loppuun</w:t>
            </w:r>
            <w:r w:rsidR="00E42860">
              <w:t xml:space="preserve"> ja muuntotukien vuoden </w:t>
            </w:r>
            <w:r w:rsidRPr="005F4D87">
              <w:t>2024 loppuun. Kuorma- ja pakettiautojen tukiohjelma päättyi vuonna 2024.  </w:t>
            </w:r>
          </w:p>
        </w:tc>
      </w:tr>
      <w:tr w:rsidR="005F4D87" w:rsidRPr="005F4D87" w14:paraId="0F4B5931" w14:textId="77777777" w:rsidTr="003B0EAF">
        <w:trPr>
          <w:trHeight w:val="300"/>
        </w:trPr>
        <w:tc>
          <w:tcPr>
            <w:tcW w:w="2115" w:type="dxa"/>
            <w:tcBorders>
              <w:top w:val="single" w:sz="6" w:space="0" w:color="auto"/>
              <w:left w:val="single" w:sz="6" w:space="0" w:color="auto"/>
              <w:bottom w:val="single" w:sz="6" w:space="0" w:color="auto"/>
              <w:right w:val="single" w:sz="6" w:space="0" w:color="auto"/>
            </w:tcBorders>
            <w:hideMark/>
          </w:tcPr>
          <w:p w14:paraId="66A05F7F" w14:textId="77777777" w:rsidR="005F4D87" w:rsidRPr="005F4D87" w:rsidRDefault="005F4D87" w:rsidP="0B6BB178">
            <w:pPr>
              <w:pStyle w:val="VNLeip1kappale"/>
              <w:rPr>
                <w:rFonts w:ascii="Times New Roman" w:hAnsi="Times New Roman"/>
                <w:sz w:val="24"/>
                <w:szCs w:val="24"/>
              </w:rPr>
            </w:pPr>
            <w:r w:rsidRPr="005F4D87">
              <w:t>Liikenteen verotuksen muutokset </w:t>
            </w:r>
          </w:p>
        </w:tc>
        <w:tc>
          <w:tcPr>
            <w:tcW w:w="6225" w:type="dxa"/>
            <w:tcBorders>
              <w:top w:val="single" w:sz="6" w:space="0" w:color="auto"/>
              <w:left w:val="single" w:sz="6" w:space="0" w:color="auto"/>
              <w:bottom w:val="single" w:sz="6" w:space="0" w:color="auto"/>
              <w:right w:val="single" w:sz="6" w:space="0" w:color="auto"/>
            </w:tcBorders>
            <w:hideMark/>
          </w:tcPr>
          <w:p w14:paraId="317C796F" w14:textId="08241690" w:rsidR="005F4D87" w:rsidRPr="005F4D87" w:rsidRDefault="005F4D87" w:rsidP="0B6BB178">
            <w:pPr>
              <w:pStyle w:val="VNLeip1kappale"/>
              <w:rPr>
                <w:rFonts w:ascii="Times New Roman" w:hAnsi="Times New Roman"/>
                <w:sz w:val="24"/>
                <w:szCs w:val="24"/>
              </w:rPr>
            </w:pPr>
            <w:r w:rsidRPr="005F4D87">
              <w:t xml:space="preserve">Täyssähköautot vapautettu autoverosta lokakuusta 2021 alkaen. Täyssähköisten työsuhdeautojen veroetua jatketaan vuoden 2029 loppuun asti. Polttoaineveroa alennettu 168 M€ (HE arvio 2024) ja </w:t>
            </w:r>
            <w:r w:rsidR="008C6783">
              <w:t>veroa alennetaan lisää 100 M€ vuoden 2026 alusta.</w:t>
            </w:r>
            <w:r w:rsidRPr="005F4D87">
              <w:t xml:space="preserve"> </w:t>
            </w:r>
            <w:r w:rsidR="008C6783">
              <w:t>V</w:t>
            </w:r>
            <w:r w:rsidRPr="005F4D87">
              <w:t xml:space="preserve">anhojen keski- ja suuripäästöisten autojen ajoneuvoveroa </w:t>
            </w:r>
            <w:r w:rsidR="008C6783">
              <w:t>alenne</w:t>
            </w:r>
            <w:r w:rsidR="002B49CC">
              <w:t>ttiin</w:t>
            </w:r>
            <w:r w:rsidRPr="005F4D87">
              <w:t xml:space="preserve"> 50 M€ (HE arvio 2024). </w:t>
            </w:r>
          </w:p>
        </w:tc>
      </w:tr>
      <w:tr w:rsidR="005F4D87" w:rsidRPr="005F4D87" w14:paraId="31490089" w14:textId="77777777" w:rsidTr="003B0EAF">
        <w:trPr>
          <w:trHeight w:val="300"/>
        </w:trPr>
        <w:tc>
          <w:tcPr>
            <w:tcW w:w="2115" w:type="dxa"/>
            <w:tcBorders>
              <w:top w:val="single" w:sz="6" w:space="0" w:color="auto"/>
              <w:left w:val="single" w:sz="6" w:space="0" w:color="auto"/>
              <w:bottom w:val="single" w:sz="6" w:space="0" w:color="auto"/>
              <w:right w:val="single" w:sz="6" w:space="0" w:color="auto"/>
            </w:tcBorders>
            <w:hideMark/>
          </w:tcPr>
          <w:p w14:paraId="58A95350" w14:textId="77777777" w:rsidR="005F4D87" w:rsidRPr="005F4D87" w:rsidRDefault="005F4D87" w:rsidP="0B6BB178">
            <w:pPr>
              <w:pStyle w:val="VNLeip1kappale"/>
              <w:rPr>
                <w:rFonts w:ascii="Times New Roman" w:hAnsi="Times New Roman"/>
                <w:sz w:val="24"/>
                <w:szCs w:val="24"/>
              </w:rPr>
            </w:pPr>
            <w:r w:rsidRPr="005F4D87">
              <w:t>MAL-sopimukset </w:t>
            </w:r>
          </w:p>
        </w:tc>
        <w:tc>
          <w:tcPr>
            <w:tcW w:w="6225" w:type="dxa"/>
            <w:tcBorders>
              <w:top w:val="single" w:sz="6" w:space="0" w:color="auto"/>
              <w:left w:val="single" w:sz="6" w:space="0" w:color="auto"/>
              <w:bottom w:val="single" w:sz="6" w:space="0" w:color="auto"/>
              <w:right w:val="single" w:sz="6" w:space="0" w:color="auto"/>
            </w:tcBorders>
            <w:hideMark/>
          </w:tcPr>
          <w:p w14:paraId="72EE0BD6" w14:textId="77777777" w:rsidR="005F4D87" w:rsidRPr="005F4D87" w:rsidRDefault="005F4D87" w:rsidP="0B6BB178">
            <w:pPr>
              <w:pStyle w:val="VNLeip1kappale"/>
              <w:rPr>
                <w:rFonts w:ascii="Times New Roman" w:hAnsi="Times New Roman"/>
                <w:sz w:val="24"/>
                <w:szCs w:val="24"/>
              </w:rPr>
            </w:pPr>
            <w:r w:rsidRPr="005F4D87">
              <w:t>Uusi sopimuskausi on alkanut joulukuussa 2024 ja valtakunnallinen seurantakatsaus valmistuu kesään 2025 mennessä. </w:t>
            </w:r>
          </w:p>
        </w:tc>
      </w:tr>
      <w:tr w:rsidR="005F4D87" w:rsidRPr="005F4D87" w14:paraId="5F0503EB" w14:textId="77777777" w:rsidTr="003B0EAF">
        <w:trPr>
          <w:trHeight w:val="300"/>
        </w:trPr>
        <w:tc>
          <w:tcPr>
            <w:tcW w:w="2115" w:type="dxa"/>
            <w:tcBorders>
              <w:top w:val="single" w:sz="6" w:space="0" w:color="auto"/>
              <w:left w:val="single" w:sz="6" w:space="0" w:color="auto"/>
              <w:bottom w:val="single" w:sz="6" w:space="0" w:color="auto"/>
              <w:right w:val="single" w:sz="6" w:space="0" w:color="auto"/>
            </w:tcBorders>
            <w:hideMark/>
          </w:tcPr>
          <w:p w14:paraId="58A661E8" w14:textId="77777777" w:rsidR="005F4D87" w:rsidRPr="005F4D87" w:rsidRDefault="005F4D87" w:rsidP="0B6BB178">
            <w:pPr>
              <w:pStyle w:val="VNLeip1kappale"/>
              <w:rPr>
                <w:rFonts w:ascii="Times New Roman" w:hAnsi="Times New Roman"/>
                <w:sz w:val="24"/>
                <w:szCs w:val="24"/>
              </w:rPr>
            </w:pPr>
            <w:r w:rsidRPr="005F4D87">
              <w:t>Kävelyn ja pyöräilyn investointiohjelma </w:t>
            </w:r>
          </w:p>
        </w:tc>
        <w:tc>
          <w:tcPr>
            <w:tcW w:w="6225" w:type="dxa"/>
            <w:tcBorders>
              <w:top w:val="single" w:sz="6" w:space="0" w:color="auto"/>
              <w:left w:val="single" w:sz="6" w:space="0" w:color="auto"/>
              <w:bottom w:val="single" w:sz="6" w:space="0" w:color="auto"/>
              <w:right w:val="single" w:sz="6" w:space="0" w:color="auto"/>
            </w:tcBorders>
            <w:hideMark/>
          </w:tcPr>
          <w:p w14:paraId="0206EED5" w14:textId="77777777" w:rsidR="005F4D87" w:rsidRPr="005F4D87" w:rsidRDefault="005F4D87" w:rsidP="0B6BB178">
            <w:pPr>
              <w:pStyle w:val="VNLeip1kappale"/>
              <w:rPr>
                <w:rFonts w:ascii="Times New Roman" w:hAnsi="Times New Roman"/>
                <w:sz w:val="24"/>
                <w:szCs w:val="24"/>
              </w:rPr>
            </w:pPr>
            <w:r w:rsidRPr="005F4D87">
              <w:t>Kävelyn ja pyöräilyn investointiohjelmaan myönnettiin rahoitusta 17,1 M€ (2023) ja 8,7 M€ (2024). Vuodelle 2025 määrärahaa on varattu 1,8 M€. </w:t>
            </w:r>
          </w:p>
        </w:tc>
      </w:tr>
      <w:tr w:rsidR="005F4D87" w:rsidRPr="005F4D87" w14:paraId="3826665A" w14:textId="77777777" w:rsidTr="003B0EAF">
        <w:trPr>
          <w:trHeight w:val="300"/>
        </w:trPr>
        <w:tc>
          <w:tcPr>
            <w:tcW w:w="2115" w:type="dxa"/>
            <w:tcBorders>
              <w:top w:val="single" w:sz="6" w:space="0" w:color="auto"/>
              <w:left w:val="single" w:sz="6" w:space="0" w:color="auto"/>
              <w:bottom w:val="single" w:sz="6" w:space="0" w:color="auto"/>
              <w:right w:val="single" w:sz="6" w:space="0" w:color="auto"/>
            </w:tcBorders>
            <w:hideMark/>
          </w:tcPr>
          <w:p w14:paraId="5E744475" w14:textId="77777777" w:rsidR="005F4D87" w:rsidRPr="005F4D87" w:rsidRDefault="005F4D87" w:rsidP="0B6BB178">
            <w:pPr>
              <w:pStyle w:val="VNLeip1kappale"/>
              <w:rPr>
                <w:rFonts w:ascii="Times New Roman" w:hAnsi="Times New Roman"/>
                <w:sz w:val="24"/>
                <w:szCs w:val="24"/>
              </w:rPr>
            </w:pPr>
            <w:r w:rsidRPr="005F4D87">
              <w:t>Joukkoliikenteen tuet </w:t>
            </w:r>
          </w:p>
        </w:tc>
        <w:tc>
          <w:tcPr>
            <w:tcW w:w="6225" w:type="dxa"/>
            <w:tcBorders>
              <w:top w:val="single" w:sz="6" w:space="0" w:color="auto"/>
              <w:left w:val="single" w:sz="6" w:space="0" w:color="auto"/>
              <w:bottom w:val="single" w:sz="6" w:space="0" w:color="auto"/>
              <w:right w:val="single" w:sz="6" w:space="0" w:color="auto"/>
            </w:tcBorders>
            <w:hideMark/>
          </w:tcPr>
          <w:p w14:paraId="2D73378A" w14:textId="77777777" w:rsidR="005F4D87" w:rsidRPr="005F4D87" w:rsidRDefault="005F4D87" w:rsidP="0B6BB178">
            <w:pPr>
              <w:pStyle w:val="VNLeip1kappale"/>
              <w:rPr>
                <w:rFonts w:ascii="Times New Roman" w:hAnsi="Times New Roman"/>
                <w:sz w:val="24"/>
                <w:szCs w:val="24"/>
              </w:rPr>
            </w:pPr>
            <w:r w:rsidRPr="005F4D87">
              <w:t>Vuodesta 2023 alkaen vuosittainen suurten kaupunkiseutujen joukkoliikenteen tuki on 9,75 M€ ja keskisuurten 8,125 M€ (2025). </w:t>
            </w:r>
          </w:p>
        </w:tc>
      </w:tr>
    </w:tbl>
    <w:p w14:paraId="34314D88" w14:textId="77777777" w:rsidR="005F4D87" w:rsidRPr="005F4D87" w:rsidRDefault="005F4D87" w:rsidP="005F4D87">
      <w:pPr>
        <w:textAlignment w:val="baseline"/>
        <w:rPr>
          <w:rFonts w:ascii="Segoe UI" w:hAnsi="Segoe UI" w:cs="Segoe UI"/>
          <w:sz w:val="18"/>
          <w:szCs w:val="18"/>
        </w:rPr>
      </w:pPr>
      <w:r w:rsidRPr="005F4D87">
        <w:rPr>
          <w:rFonts w:cs="Arial"/>
          <w:sz w:val="24"/>
          <w:szCs w:val="24"/>
        </w:rPr>
        <w:t> </w:t>
      </w:r>
    </w:p>
    <w:p w14:paraId="62783525" w14:textId="77777777" w:rsidR="005F4D87" w:rsidRPr="005F4D87" w:rsidRDefault="005F4D87" w:rsidP="005F4D87">
      <w:pPr>
        <w:textAlignment w:val="baseline"/>
        <w:rPr>
          <w:rFonts w:ascii="Segoe UI" w:hAnsi="Segoe UI" w:cs="Segoe UI"/>
          <w:sz w:val="18"/>
          <w:szCs w:val="18"/>
        </w:rPr>
      </w:pPr>
      <w:r w:rsidRPr="09243E2F">
        <w:rPr>
          <w:rFonts w:ascii="Arial Narrow" w:hAnsi="Arial Narrow" w:cs="Segoe UI"/>
          <w:b/>
          <w:color w:val="365ABD" w:themeColor="accent3"/>
          <w:sz w:val="26"/>
          <w:szCs w:val="26"/>
        </w:rPr>
        <w:t>Liikenteen kasvihuonekaasupäästöjen perusennuste</w:t>
      </w:r>
      <w:r w:rsidRPr="09243E2F">
        <w:rPr>
          <w:rFonts w:ascii="Arial Narrow" w:hAnsi="Arial Narrow" w:cs="Segoe UI"/>
          <w:color w:val="365ABD" w:themeColor="accent3"/>
          <w:sz w:val="26"/>
          <w:szCs w:val="26"/>
        </w:rPr>
        <w:t> </w:t>
      </w:r>
    </w:p>
    <w:p w14:paraId="389BA502" w14:textId="77777777" w:rsidR="005F4D87" w:rsidRPr="005F4D87" w:rsidRDefault="005F4D87" w:rsidP="0B6BB178">
      <w:pPr>
        <w:pStyle w:val="VNLeip1kappale"/>
        <w:rPr>
          <w:rFonts w:ascii="Segoe UI" w:hAnsi="Segoe UI" w:cs="Segoe UI"/>
          <w:sz w:val="18"/>
          <w:szCs w:val="18"/>
        </w:rPr>
      </w:pPr>
      <w:r w:rsidRPr="005F4D87">
        <w:t xml:space="preserve">Liikenteen kasvihuonekaasujen perusennuste valmistui vuonna vuoden 2023 lopussa ja </w:t>
      </w:r>
      <w:r w:rsidRPr="007A45DA">
        <w:t>julkaistiin</w:t>
      </w:r>
      <w:r w:rsidRPr="005F4D87">
        <w:t xml:space="preserve"> vuonna 2024. Perusennusteen mukaan liikenteen päästöt laskevat 2020-luvulla muun muassa jakeluvelvoitteen nousun ja EU:n autovalmistajia koskevien CO</w:t>
      </w:r>
      <w:r w:rsidRPr="005F4D87">
        <w:rPr>
          <w:sz w:val="17"/>
          <w:szCs w:val="17"/>
          <w:vertAlign w:val="subscript"/>
        </w:rPr>
        <w:t>2</w:t>
      </w:r>
      <w:r w:rsidRPr="005F4D87">
        <w:t>-raja-arvoasetusten vuoksi. Jakeluvelvoitteen muutoksilla on suurin vaikutus päästöjen vähentämisessä vuoteen 2030 asti, jonka jälkeen sen vaikutus tulee pienenemään sähköautojen yleistyessä.  Kotimaan liikenteen kasvihuonekaasupäästöt vähenevät arviolta 52 % vuoden 2005 tasoon verrattuna eli taakanjakosektorin tavoite puolittaa päästöt tullaan perusennusteen mukaan liikenteessä saavuttamaan. Kotimaan liikenteen kasvihuonekaasupäästöt (ilman lentoliikennettä) olisivat vuonna 2030 yhteensä noin 6 Mt. Perusennusteessa ei ole huomioitu 1.4.2023 jälkeen käyttöön otettujen toimien vaikutuksia.  </w:t>
      </w:r>
    </w:p>
    <w:p w14:paraId="46160C07" w14:textId="4B09EE9F" w:rsidR="005F4D87" w:rsidRPr="005F4D87" w:rsidRDefault="005F4D87" w:rsidP="0B6BB178">
      <w:pPr>
        <w:pStyle w:val="VNLeip1kappale"/>
        <w:rPr>
          <w:rFonts w:ascii="Segoe UI" w:hAnsi="Segoe UI" w:cs="Segoe UI"/>
          <w:sz w:val="18"/>
          <w:szCs w:val="18"/>
        </w:rPr>
      </w:pPr>
      <w:r w:rsidRPr="005F4D87">
        <w:t xml:space="preserve">Perusennuste pohjautuu Traficomin vuoteen 2030 ulottuvaan liikennesuorite-ennusteeseen. Tieliikenteessä henkilöautojen liikennesuorite kasvaa aiemmin ennakoitua enemmän sähköautojen määrän voimakkaan kasvun ja ajamisen kustannusten laskun myötä. Arvion mukaan henkilöautojen suorite kasvaa 6,3 % vuoteen 2030 mennessä vuoteen 2021 verrattuna. Myös kuorma-autojen suorite kasvaa ennusteen mukaan reippaasti, noin 8,3 %. Perusennusteessa autokannan keskimääräiseksi uusiutumisnopeudeksi on arvioitu noin </w:t>
      </w:r>
      <w:r w:rsidR="008659B7">
        <w:t>4,</w:t>
      </w:r>
      <w:r w:rsidRPr="005F4D87">
        <w:t xml:space="preserve">5 %. </w:t>
      </w:r>
      <w:r w:rsidR="00F1787B">
        <w:t xml:space="preserve">Uusia </w:t>
      </w:r>
      <w:r w:rsidR="00430EC8">
        <w:t xml:space="preserve">autoja myytäisiin siten noin </w:t>
      </w:r>
      <w:r w:rsidR="008659B7">
        <w:t>125 </w:t>
      </w:r>
      <w:r w:rsidR="00430EC8">
        <w:t>000 kappaletta/vuosi.</w:t>
      </w:r>
      <w:r w:rsidRPr="005F4D87">
        <w:t xml:space="preserve"> Vuonna 2030 uusien autojen hiilidioksidipäästöt ovat ennusteen mukaan lähellä EU:n autovalmistajille asettamaa </w:t>
      </w:r>
      <w:proofErr w:type="gramStart"/>
      <w:r w:rsidRPr="005F4D87">
        <w:t>rajaa</w:t>
      </w:r>
      <w:proofErr w:type="gramEnd"/>
      <w:r w:rsidRPr="005F4D87">
        <w:t xml:space="preserve"> ja Suomessa olisi tuolloin yhteensä jo noin 925 000 sähkökäyttöistä henkilöautoa. </w:t>
      </w:r>
      <w:r w:rsidR="008A45C0">
        <w:t>U</w:t>
      </w:r>
      <w:r w:rsidRPr="005F4D87">
        <w:t>usiutuvien polttoaineiden osuus nous</w:t>
      </w:r>
      <w:r w:rsidR="008A45C0">
        <w:t>ee p</w:t>
      </w:r>
      <w:r w:rsidR="008A45C0" w:rsidRPr="005F4D87">
        <w:t>erusennusteessa</w:t>
      </w:r>
      <w:r w:rsidRPr="005F4D87">
        <w:t xml:space="preserve"> 13,5 prosentista 28 prosenttiin </w:t>
      </w:r>
      <w:r w:rsidR="00471FBE" w:rsidRPr="005F4D87">
        <w:t xml:space="preserve">vuonna 2024 </w:t>
      </w:r>
      <w:r w:rsidRPr="005F4D87">
        <w:t>ja 34 prosenttiin</w:t>
      </w:r>
      <w:r w:rsidR="00471FBE">
        <w:t xml:space="preserve"> </w:t>
      </w:r>
      <w:r w:rsidR="00471FBE" w:rsidRPr="005F4D87">
        <w:t>vuonna 2030</w:t>
      </w:r>
      <w:r w:rsidRPr="005F4D87">
        <w:t>. Nykyinen hallitus on kuitenkin keventänyt jakeluvelvoitetta vuosille 2024</w:t>
      </w:r>
      <w:r w:rsidR="5C428F94">
        <w:t>–2027</w:t>
      </w:r>
      <w:r>
        <w:t>.</w:t>
      </w:r>
      <w:r w:rsidRPr="005F4D87">
        <w:t xml:space="preserve"> Jakeluvelvoitteen keventämisen vaikutuksia on arvioitu osana liikenteen politiikka- eli WAM-skenaarion valmistelua syksyllä 2024. </w:t>
      </w:r>
    </w:p>
    <w:p w14:paraId="56D83B43" w14:textId="77777777" w:rsidR="005F4D87" w:rsidRPr="005F4D87" w:rsidRDefault="005F4D87" w:rsidP="005F4D87">
      <w:pPr>
        <w:textAlignment w:val="baseline"/>
        <w:rPr>
          <w:rFonts w:ascii="Segoe UI" w:hAnsi="Segoe UI" w:cs="Segoe UI"/>
          <w:b/>
          <w:bCs/>
          <w:color w:val="365ABD"/>
          <w:sz w:val="18"/>
          <w:szCs w:val="18"/>
        </w:rPr>
      </w:pPr>
      <w:r w:rsidRPr="09243E2F">
        <w:rPr>
          <w:rFonts w:ascii="Arial Narrow" w:hAnsi="Arial Narrow" w:cs="Segoe UI"/>
          <w:b/>
          <w:color w:val="365ABD" w:themeColor="accent3"/>
          <w:sz w:val="26"/>
          <w:szCs w:val="26"/>
        </w:rPr>
        <w:t> </w:t>
      </w:r>
    </w:p>
    <w:p w14:paraId="4066678F" w14:textId="77777777" w:rsidR="005F4D87" w:rsidRPr="005F4D87" w:rsidRDefault="005F4D87" w:rsidP="005F4D87">
      <w:pPr>
        <w:textAlignment w:val="baseline"/>
        <w:rPr>
          <w:rFonts w:ascii="Segoe UI" w:hAnsi="Segoe UI" w:cs="Segoe UI"/>
          <w:b/>
          <w:bCs/>
          <w:color w:val="365ABD"/>
          <w:sz w:val="18"/>
          <w:szCs w:val="18"/>
        </w:rPr>
      </w:pPr>
      <w:r w:rsidRPr="09243E2F">
        <w:rPr>
          <w:rFonts w:ascii="Arial Narrow" w:hAnsi="Arial Narrow" w:cs="Segoe UI"/>
          <w:b/>
          <w:color w:val="365ABD" w:themeColor="accent3"/>
          <w:sz w:val="26"/>
          <w:szCs w:val="26"/>
        </w:rPr>
        <w:t xml:space="preserve">PMI </w:t>
      </w:r>
      <w:proofErr w:type="spellStart"/>
      <w:r w:rsidRPr="09243E2F">
        <w:rPr>
          <w:rFonts w:ascii="Arial Narrow" w:hAnsi="Arial Narrow" w:cs="Segoe UI"/>
          <w:b/>
          <w:color w:val="365ABD" w:themeColor="accent3"/>
          <w:sz w:val="26"/>
          <w:szCs w:val="26"/>
        </w:rPr>
        <w:t>Orpon</w:t>
      </w:r>
      <w:proofErr w:type="spellEnd"/>
      <w:r w:rsidRPr="09243E2F">
        <w:rPr>
          <w:rFonts w:ascii="Arial Narrow" w:hAnsi="Arial Narrow" w:cs="Segoe UI"/>
          <w:b/>
          <w:color w:val="365ABD" w:themeColor="accent3"/>
          <w:sz w:val="26"/>
          <w:szCs w:val="26"/>
        </w:rPr>
        <w:t xml:space="preserve"> hallitusohjelmakirjaukset ja niiden vaikutukset liikenteen kasvihuonekaasupäästöihin </w:t>
      </w:r>
    </w:p>
    <w:p w14:paraId="11B75441" w14:textId="5002215E" w:rsidR="005F4D87" w:rsidRPr="005F4D87" w:rsidRDefault="005F4D87" w:rsidP="0B6BB178">
      <w:pPr>
        <w:pStyle w:val="VNLeip1kappale"/>
        <w:rPr>
          <w:rFonts w:ascii="Segoe UI" w:hAnsi="Segoe UI" w:cs="Segoe UI"/>
          <w:sz w:val="18"/>
          <w:szCs w:val="18"/>
        </w:rPr>
      </w:pPr>
      <w:r w:rsidRPr="005F4D87">
        <w:t xml:space="preserve">Kuten muidenkin sektoreiden kohdalla, myös liikenteen kasvihuonekaasupäästöjen perusennuste sisältää ainoastaan ne toimenpiteet, joista oli tehty päätös (rahoituspäätös tai lainsäädäntöä) ennen 1.4.2023. Perusennuste ei siten pidä sisällään pääministeri </w:t>
      </w:r>
      <w:proofErr w:type="spellStart"/>
      <w:r w:rsidRPr="005F4D87">
        <w:t>Orpon</w:t>
      </w:r>
      <w:proofErr w:type="spellEnd"/>
      <w:r w:rsidRPr="005F4D87">
        <w:t xml:space="preserve"> hallitusohjelman kirjauksia eikä muita tämän hallituksen toimia, joilla on vaikutusta liikenteen kasvihuonekaasupäästöihin.  </w:t>
      </w:r>
    </w:p>
    <w:p w14:paraId="412802A7" w14:textId="6747588E" w:rsidR="005F4D87" w:rsidRDefault="005F4D87" w:rsidP="0B6BB178">
      <w:pPr>
        <w:pStyle w:val="VNLeip1kappale"/>
      </w:pPr>
      <w:r w:rsidRPr="005F4D87">
        <w:t xml:space="preserve">PMI </w:t>
      </w:r>
      <w:proofErr w:type="spellStart"/>
      <w:r w:rsidRPr="005F4D87">
        <w:t>Orpon</w:t>
      </w:r>
      <w:proofErr w:type="spellEnd"/>
      <w:r w:rsidRPr="005F4D87">
        <w:t xml:space="preserve"> hallitusohjelmassa on useita toimenpidelinjauksia, jotka kasvattavat tieliikenteen kasvihuonekaasupäästöjä perusennusteeseen verrattuna. Näitä toimia ovat muun muassa jakeluvelvoitteen</w:t>
      </w:r>
      <w:r w:rsidR="00932997">
        <w:t xml:space="preserve"> nousun määräaikainen </w:t>
      </w:r>
      <w:proofErr w:type="spellStart"/>
      <w:r w:rsidR="00932997">
        <w:t>maltillistaminen</w:t>
      </w:r>
      <w:proofErr w:type="spellEnd"/>
      <w:r w:rsidRPr="005F4D87">
        <w:t>, liikennesähkön sisällyttäminen jakeluvelvoitteeseen ilman velvoitetason nostoa, jakeluvelvoitteen joustomekanismi, polttoaineveron keventäminen, ajoneuvoveron keventäminen suuripäästöisiltä autoilta ja joukkoliikenteen ALV:n nostaminen 10 prosentista 14 prosenttiin. </w:t>
      </w:r>
    </w:p>
    <w:p w14:paraId="2F45A7A3" w14:textId="306DC912" w:rsidR="002E3E5C" w:rsidRPr="007E593E" w:rsidRDefault="00CD6469" w:rsidP="000E2197">
      <w:pPr>
        <w:pStyle w:val="Kuvaotsikko"/>
      </w:pPr>
      <w:r>
        <w:t xml:space="preserve">Taulukko </w:t>
      </w:r>
      <w:r>
        <w:fldChar w:fldCharType="begin"/>
      </w:r>
      <w:r>
        <w:instrText xml:space="preserve"> SEQ Taulukko \* ARABIC </w:instrText>
      </w:r>
      <w:r>
        <w:fldChar w:fldCharType="separate"/>
      </w:r>
      <w:r w:rsidR="00327A3A">
        <w:rPr>
          <w:noProof/>
        </w:rPr>
        <w:t>4</w:t>
      </w:r>
      <w:r>
        <w:fldChar w:fldCharType="end"/>
      </w:r>
      <w:r>
        <w:t>.</w:t>
      </w:r>
      <w:r w:rsidR="002E3E5C">
        <w:t xml:space="preserve">Hallitusohjelmaan kirjatut toimenpiteet, joilla on vaikutuksia liikenteen kasvihuonekaasupäästöihin </w:t>
      </w:r>
      <w:r w:rsidR="008E639A">
        <w:t>ja arviot niiden päästövaikutuksista</w:t>
      </w:r>
    </w:p>
    <w:p w14:paraId="1E3CD249" w14:textId="01AFCAF0" w:rsidR="002E3E5C" w:rsidRDefault="002E3E5C" w:rsidP="002E3E5C">
      <w:pPr>
        <w:pStyle w:val="VMleipteksti"/>
        <w:ind w:left="0"/>
      </w:pPr>
    </w:p>
    <w:tbl>
      <w:tblPr>
        <w:tblStyle w:val="TaulukkoRuudukko"/>
        <w:tblW w:w="5000" w:type="pct"/>
        <w:tblLook w:val="04A0" w:firstRow="1" w:lastRow="0" w:firstColumn="1" w:lastColumn="0" w:noHBand="0" w:noVBand="1"/>
      </w:tblPr>
      <w:tblGrid>
        <w:gridCol w:w="1562"/>
        <w:gridCol w:w="661"/>
        <w:gridCol w:w="672"/>
        <w:gridCol w:w="672"/>
        <w:gridCol w:w="672"/>
        <w:gridCol w:w="672"/>
        <w:gridCol w:w="672"/>
        <w:gridCol w:w="672"/>
        <w:gridCol w:w="672"/>
        <w:gridCol w:w="773"/>
      </w:tblGrid>
      <w:tr w:rsidR="002E3E5C" w14:paraId="4BE4EEFC" w14:textId="77777777" w:rsidTr="003B0EAF">
        <w:trPr>
          <w:trHeight w:val="326"/>
        </w:trPr>
        <w:tc>
          <w:tcPr>
            <w:tcW w:w="1156" w:type="pct"/>
            <w:shd w:val="clear" w:color="auto" w:fill="CAF4DB" w:themeFill="accent4" w:themeFillTint="33"/>
            <w:vAlign w:val="center"/>
          </w:tcPr>
          <w:p w14:paraId="1E5C0B98" w14:textId="60100E8A" w:rsidR="002E3E5C" w:rsidRPr="009B287C" w:rsidRDefault="002E3E5C">
            <w:pPr>
              <w:rPr>
                <w:b/>
              </w:rPr>
            </w:pPr>
            <w:r w:rsidRPr="009B287C">
              <w:rPr>
                <w:b/>
              </w:rPr>
              <w:t>Mt</w:t>
            </w:r>
            <w:r w:rsidR="00F202CF" w:rsidRPr="009B287C">
              <w:rPr>
                <w:b/>
              </w:rPr>
              <w:t xml:space="preserve"> </w:t>
            </w:r>
            <w:r w:rsidRPr="009B287C">
              <w:rPr>
                <w:b/>
              </w:rPr>
              <w:t>CO</w:t>
            </w:r>
            <w:r w:rsidRPr="009B287C">
              <w:rPr>
                <w:b/>
                <w:vertAlign w:val="subscript"/>
              </w:rPr>
              <w:t>2</w:t>
            </w:r>
            <w:r w:rsidRPr="009B287C">
              <w:rPr>
                <w:b/>
              </w:rPr>
              <w:t>/v.</w:t>
            </w:r>
          </w:p>
          <w:p w14:paraId="4C358E39" w14:textId="77777777" w:rsidR="002E3E5C" w:rsidRPr="009B287C" w:rsidRDefault="002E3E5C">
            <w:pPr>
              <w:rPr>
                <w:b/>
              </w:rPr>
            </w:pPr>
          </w:p>
        </w:tc>
        <w:tc>
          <w:tcPr>
            <w:tcW w:w="427" w:type="pct"/>
            <w:shd w:val="clear" w:color="auto" w:fill="CAF4DB" w:themeFill="accent4" w:themeFillTint="33"/>
            <w:vAlign w:val="center"/>
          </w:tcPr>
          <w:p w14:paraId="3D9E0FE7" w14:textId="77777777" w:rsidR="002E3E5C" w:rsidRPr="009B287C" w:rsidRDefault="002E3E5C">
            <w:pPr>
              <w:rPr>
                <w:b/>
              </w:rPr>
            </w:pPr>
            <w:r w:rsidRPr="009B287C">
              <w:rPr>
                <w:b/>
              </w:rPr>
              <w:t>2023</w:t>
            </w:r>
          </w:p>
        </w:tc>
        <w:tc>
          <w:tcPr>
            <w:tcW w:w="427" w:type="pct"/>
            <w:shd w:val="clear" w:color="auto" w:fill="CAF4DB" w:themeFill="accent4" w:themeFillTint="33"/>
            <w:vAlign w:val="center"/>
          </w:tcPr>
          <w:p w14:paraId="73D4D9AC" w14:textId="77777777" w:rsidR="002E3E5C" w:rsidRPr="009B287C" w:rsidRDefault="002E3E5C">
            <w:pPr>
              <w:rPr>
                <w:b/>
              </w:rPr>
            </w:pPr>
            <w:r w:rsidRPr="009B287C">
              <w:rPr>
                <w:b/>
              </w:rPr>
              <w:t>2024</w:t>
            </w:r>
          </w:p>
        </w:tc>
        <w:tc>
          <w:tcPr>
            <w:tcW w:w="427" w:type="pct"/>
            <w:shd w:val="clear" w:color="auto" w:fill="CAF4DB" w:themeFill="accent4" w:themeFillTint="33"/>
            <w:vAlign w:val="center"/>
          </w:tcPr>
          <w:p w14:paraId="47AF83A2" w14:textId="77777777" w:rsidR="002E3E5C" w:rsidRPr="009B287C" w:rsidRDefault="002E3E5C">
            <w:pPr>
              <w:rPr>
                <w:b/>
              </w:rPr>
            </w:pPr>
            <w:r w:rsidRPr="009B287C">
              <w:rPr>
                <w:b/>
              </w:rPr>
              <w:t>2025</w:t>
            </w:r>
          </w:p>
        </w:tc>
        <w:tc>
          <w:tcPr>
            <w:tcW w:w="427" w:type="pct"/>
            <w:shd w:val="clear" w:color="auto" w:fill="CAF4DB" w:themeFill="accent4" w:themeFillTint="33"/>
            <w:vAlign w:val="center"/>
          </w:tcPr>
          <w:p w14:paraId="3359CA46" w14:textId="77777777" w:rsidR="002E3E5C" w:rsidRPr="009B287C" w:rsidRDefault="002E3E5C">
            <w:pPr>
              <w:rPr>
                <w:b/>
              </w:rPr>
            </w:pPr>
            <w:r w:rsidRPr="009B287C">
              <w:rPr>
                <w:b/>
              </w:rPr>
              <w:t>2026</w:t>
            </w:r>
          </w:p>
        </w:tc>
        <w:tc>
          <w:tcPr>
            <w:tcW w:w="427" w:type="pct"/>
            <w:shd w:val="clear" w:color="auto" w:fill="CAF4DB" w:themeFill="accent4" w:themeFillTint="33"/>
            <w:vAlign w:val="center"/>
          </w:tcPr>
          <w:p w14:paraId="16B1B2E7" w14:textId="77777777" w:rsidR="002E3E5C" w:rsidRPr="009B287C" w:rsidRDefault="002E3E5C">
            <w:pPr>
              <w:rPr>
                <w:b/>
              </w:rPr>
            </w:pPr>
            <w:r w:rsidRPr="009B287C">
              <w:rPr>
                <w:b/>
              </w:rPr>
              <w:t>2027</w:t>
            </w:r>
          </w:p>
        </w:tc>
        <w:tc>
          <w:tcPr>
            <w:tcW w:w="427" w:type="pct"/>
            <w:shd w:val="clear" w:color="auto" w:fill="CAF4DB" w:themeFill="accent4" w:themeFillTint="33"/>
            <w:vAlign w:val="center"/>
          </w:tcPr>
          <w:p w14:paraId="3A2908BB" w14:textId="77777777" w:rsidR="002E3E5C" w:rsidRPr="009B287C" w:rsidRDefault="002E3E5C">
            <w:pPr>
              <w:rPr>
                <w:b/>
              </w:rPr>
            </w:pPr>
            <w:r w:rsidRPr="009B287C">
              <w:rPr>
                <w:b/>
              </w:rPr>
              <w:t>2028</w:t>
            </w:r>
          </w:p>
        </w:tc>
        <w:tc>
          <w:tcPr>
            <w:tcW w:w="427" w:type="pct"/>
            <w:shd w:val="clear" w:color="auto" w:fill="CAF4DB" w:themeFill="accent4" w:themeFillTint="33"/>
            <w:vAlign w:val="center"/>
          </w:tcPr>
          <w:p w14:paraId="5340CC58" w14:textId="77777777" w:rsidR="002E3E5C" w:rsidRPr="009B287C" w:rsidRDefault="002E3E5C">
            <w:pPr>
              <w:rPr>
                <w:b/>
              </w:rPr>
            </w:pPr>
            <w:r w:rsidRPr="009B287C">
              <w:rPr>
                <w:b/>
              </w:rPr>
              <w:t>2029</w:t>
            </w:r>
          </w:p>
        </w:tc>
        <w:tc>
          <w:tcPr>
            <w:tcW w:w="427" w:type="pct"/>
            <w:shd w:val="clear" w:color="auto" w:fill="CAF4DB" w:themeFill="accent4" w:themeFillTint="33"/>
            <w:vAlign w:val="center"/>
          </w:tcPr>
          <w:p w14:paraId="77EC20B6" w14:textId="77777777" w:rsidR="002E3E5C" w:rsidRPr="009B287C" w:rsidRDefault="002E3E5C">
            <w:pPr>
              <w:rPr>
                <w:b/>
              </w:rPr>
            </w:pPr>
            <w:r w:rsidRPr="009B287C">
              <w:rPr>
                <w:b/>
              </w:rPr>
              <w:t>2030</w:t>
            </w:r>
          </w:p>
        </w:tc>
        <w:tc>
          <w:tcPr>
            <w:tcW w:w="427" w:type="pct"/>
            <w:shd w:val="clear" w:color="auto" w:fill="CAF4DB" w:themeFill="accent4" w:themeFillTint="33"/>
            <w:vAlign w:val="center"/>
          </w:tcPr>
          <w:p w14:paraId="38AFD0AA" w14:textId="5DEC41CE" w:rsidR="002E3E5C" w:rsidRPr="00F97433" w:rsidRDefault="377F193C" w:rsidP="02B2E58A">
            <w:pPr>
              <w:rPr>
                <w:b/>
                <w:bCs/>
              </w:rPr>
            </w:pPr>
            <w:r w:rsidRPr="02B2E58A">
              <w:rPr>
                <w:b/>
                <w:bCs/>
              </w:rPr>
              <w:t>2024–2030</w:t>
            </w:r>
            <w:r w:rsidR="002E3E5C" w:rsidRPr="02B2E58A">
              <w:rPr>
                <w:b/>
                <w:bCs/>
              </w:rPr>
              <w:t xml:space="preserve"> yht.</w:t>
            </w:r>
          </w:p>
        </w:tc>
      </w:tr>
      <w:tr w:rsidR="002E3E5C" w14:paraId="002ACBC5" w14:textId="77777777" w:rsidTr="003B0EAF">
        <w:trPr>
          <w:trHeight w:val="300"/>
        </w:trPr>
        <w:tc>
          <w:tcPr>
            <w:tcW w:w="1156" w:type="pct"/>
            <w:vAlign w:val="center"/>
          </w:tcPr>
          <w:p w14:paraId="28B12299" w14:textId="77777777" w:rsidR="002E3E5C" w:rsidRPr="002A6355" w:rsidRDefault="002E3E5C">
            <w:pPr>
              <w:rPr>
                <w:b/>
                <w:lang w:val="sv-SE"/>
              </w:rPr>
            </w:pPr>
            <w:r w:rsidRPr="002A6355">
              <w:rPr>
                <w:b/>
                <w:lang w:val="sv-SE"/>
              </w:rPr>
              <w:t>WEM-</w:t>
            </w:r>
            <w:proofErr w:type="spellStart"/>
            <w:r w:rsidRPr="002A6355">
              <w:rPr>
                <w:b/>
                <w:lang w:val="sv-SE"/>
              </w:rPr>
              <w:t>skenaario</w:t>
            </w:r>
            <w:proofErr w:type="spellEnd"/>
            <w:r>
              <w:rPr>
                <w:b/>
                <w:lang w:val="sv-SE"/>
              </w:rPr>
              <w:t xml:space="preserve"> (</w:t>
            </w:r>
            <w:proofErr w:type="spellStart"/>
            <w:r>
              <w:rPr>
                <w:b/>
                <w:lang w:val="sv-SE"/>
              </w:rPr>
              <w:t>tieliikenteen</w:t>
            </w:r>
            <w:proofErr w:type="spellEnd"/>
            <w:r>
              <w:rPr>
                <w:b/>
                <w:lang w:val="sv-SE"/>
              </w:rPr>
              <w:t xml:space="preserve"> </w:t>
            </w:r>
            <w:proofErr w:type="spellStart"/>
            <w:r>
              <w:rPr>
                <w:b/>
                <w:lang w:val="sv-SE"/>
              </w:rPr>
              <w:t>päästöt</w:t>
            </w:r>
            <w:proofErr w:type="spellEnd"/>
            <w:r>
              <w:rPr>
                <w:b/>
                <w:lang w:val="sv-SE"/>
              </w:rPr>
              <w:t>)</w:t>
            </w:r>
          </w:p>
        </w:tc>
        <w:tc>
          <w:tcPr>
            <w:tcW w:w="427" w:type="pct"/>
            <w:vAlign w:val="center"/>
          </w:tcPr>
          <w:p w14:paraId="2E891463" w14:textId="77777777" w:rsidR="002E3E5C" w:rsidRPr="00950DDE" w:rsidRDefault="002E3E5C">
            <w:pPr>
              <w:rPr>
                <w:b/>
              </w:rPr>
            </w:pPr>
            <w:r w:rsidRPr="00950DDE">
              <w:rPr>
                <w:b/>
              </w:rPr>
              <w:t>9,</w:t>
            </w:r>
            <w:r>
              <w:rPr>
                <w:b/>
              </w:rPr>
              <w:t>69</w:t>
            </w:r>
          </w:p>
        </w:tc>
        <w:tc>
          <w:tcPr>
            <w:tcW w:w="427" w:type="pct"/>
            <w:vAlign w:val="center"/>
          </w:tcPr>
          <w:p w14:paraId="5BDFD468" w14:textId="77777777" w:rsidR="002E3E5C" w:rsidRPr="00950DDE" w:rsidRDefault="002E3E5C">
            <w:pPr>
              <w:rPr>
                <w:b/>
              </w:rPr>
            </w:pPr>
            <w:r>
              <w:rPr>
                <w:b/>
              </w:rPr>
              <w:t>7,87</w:t>
            </w:r>
          </w:p>
        </w:tc>
        <w:tc>
          <w:tcPr>
            <w:tcW w:w="427" w:type="pct"/>
            <w:vAlign w:val="center"/>
          </w:tcPr>
          <w:p w14:paraId="34E48DB2" w14:textId="77777777" w:rsidR="002E3E5C" w:rsidRPr="00950DDE" w:rsidRDefault="002E3E5C">
            <w:pPr>
              <w:rPr>
                <w:b/>
              </w:rPr>
            </w:pPr>
            <w:r w:rsidRPr="00950DDE">
              <w:rPr>
                <w:b/>
              </w:rPr>
              <w:t>7,</w:t>
            </w:r>
            <w:r>
              <w:rPr>
                <w:b/>
              </w:rPr>
              <w:t>58</w:t>
            </w:r>
          </w:p>
        </w:tc>
        <w:tc>
          <w:tcPr>
            <w:tcW w:w="427" w:type="pct"/>
            <w:vAlign w:val="center"/>
          </w:tcPr>
          <w:p w14:paraId="3F1CBF6E" w14:textId="77777777" w:rsidR="002E3E5C" w:rsidRPr="00950DDE" w:rsidRDefault="002E3E5C">
            <w:pPr>
              <w:rPr>
                <w:b/>
              </w:rPr>
            </w:pPr>
            <w:r w:rsidRPr="00950DDE">
              <w:rPr>
                <w:b/>
              </w:rPr>
              <w:t>7,</w:t>
            </w:r>
            <w:r>
              <w:rPr>
                <w:b/>
              </w:rPr>
              <w:t>39</w:t>
            </w:r>
          </w:p>
        </w:tc>
        <w:tc>
          <w:tcPr>
            <w:tcW w:w="427" w:type="pct"/>
            <w:vAlign w:val="center"/>
          </w:tcPr>
          <w:p w14:paraId="4CE8A9AA" w14:textId="77777777" w:rsidR="002E3E5C" w:rsidRPr="00950DDE" w:rsidRDefault="002E3E5C">
            <w:pPr>
              <w:rPr>
                <w:b/>
              </w:rPr>
            </w:pPr>
            <w:r w:rsidRPr="00950DDE">
              <w:rPr>
                <w:b/>
              </w:rPr>
              <w:t>7</w:t>
            </w:r>
            <w:r>
              <w:rPr>
                <w:b/>
              </w:rPr>
              <w:t>,05</w:t>
            </w:r>
          </w:p>
        </w:tc>
        <w:tc>
          <w:tcPr>
            <w:tcW w:w="427" w:type="pct"/>
            <w:vAlign w:val="center"/>
          </w:tcPr>
          <w:p w14:paraId="14C1BC45" w14:textId="77777777" w:rsidR="002E3E5C" w:rsidRPr="00950DDE" w:rsidRDefault="002E3E5C">
            <w:pPr>
              <w:rPr>
                <w:b/>
              </w:rPr>
            </w:pPr>
            <w:r w:rsidRPr="00950DDE">
              <w:rPr>
                <w:b/>
              </w:rPr>
              <w:t>6,</w:t>
            </w:r>
            <w:r>
              <w:rPr>
                <w:b/>
              </w:rPr>
              <w:t>70</w:t>
            </w:r>
          </w:p>
        </w:tc>
        <w:tc>
          <w:tcPr>
            <w:tcW w:w="427" w:type="pct"/>
            <w:vAlign w:val="center"/>
          </w:tcPr>
          <w:p w14:paraId="676070EA" w14:textId="77777777" w:rsidR="002E3E5C" w:rsidRPr="00950DDE" w:rsidRDefault="002E3E5C">
            <w:pPr>
              <w:rPr>
                <w:b/>
              </w:rPr>
            </w:pPr>
            <w:r w:rsidRPr="00950DDE">
              <w:rPr>
                <w:b/>
              </w:rPr>
              <w:t>6,</w:t>
            </w:r>
            <w:r>
              <w:rPr>
                <w:b/>
              </w:rPr>
              <w:t>35</w:t>
            </w:r>
          </w:p>
        </w:tc>
        <w:tc>
          <w:tcPr>
            <w:tcW w:w="427" w:type="pct"/>
            <w:vAlign w:val="center"/>
          </w:tcPr>
          <w:p w14:paraId="79D8B6A4" w14:textId="77777777" w:rsidR="002E3E5C" w:rsidRPr="00950DDE" w:rsidRDefault="002E3E5C">
            <w:pPr>
              <w:rPr>
                <w:b/>
              </w:rPr>
            </w:pPr>
            <w:r>
              <w:rPr>
                <w:b/>
              </w:rPr>
              <w:t>5,89</w:t>
            </w:r>
          </w:p>
        </w:tc>
        <w:tc>
          <w:tcPr>
            <w:tcW w:w="427" w:type="pct"/>
            <w:vAlign w:val="center"/>
          </w:tcPr>
          <w:p w14:paraId="09E3B887" w14:textId="77777777" w:rsidR="002E3E5C" w:rsidRPr="00950DDE" w:rsidRDefault="002E3E5C">
            <w:pPr>
              <w:rPr>
                <w:b/>
              </w:rPr>
            </w:pPr>
            <w:r w:rsidRPr="00950DDE">
              <w:rPr>
                <w:b/>
              </w:rPr>
              <w:t>48,</w:t>
            </w:r>
            <w:r>
              <w:rPr>
                <w:b/>
              </w:rPr>
              <w:t>83</w:t>
            </w:r>
          </w:p>
        </w:tc>
      </w:tr>
      <w:tr w:rsidR="002E3E5C" w14:paraId="6AFE9988" w14:textId="77777777" w:rsidTr="003B0EAF">
        <w:trPr>
          <w:trHeight w:val="300"/>
        </w:trPr>
        <w:tc>
          <w:tcPr>
            <w:tcW w:w="1156" w:type="pct"/>
            <w:vAlign w:val="center"/>
          </w:tcPr>
          <w:p w14:paraId="04D7E4F0" w14:textId="77777777" w:rsidR="002E3E5C" w:rsidRDefault="002E3E5C">
            <w:pPr>
              <w:rPr>
                <w:b/>
              </w:rPr>
            </w:pPr>
            <w:r>
              <w:rPr>
                <w:b/>
              </w:rPr>
              <w:t>HO-toimet, ennakoitu päästöjen kasvu:</w:t>
            </w:r>
          </w:p>
        </w:tc>
        <w:tc>
          <w:tcPr>
            <w:tcW w:w="427" w:type="pct"/>
            <w:vAlign w:val="center"/>
          </w:tcPr>
          <w:p w14:paraId="697690A5" w14:textId="77777777" w:rsidR="002E3E5C" w:rsidRDefault="002E3E5C"/>
        </w:tc>
        <w:tc>
          <w:tcPr>
            <w:tcW w:w="427" w:type="pct"/>
            <w:vAlign w:val="center"/>
          </w:tcPr>
          <w:p w14:paraId="049800C5" w14:textId="77777777" w:rsidR="002E3E5C" w:rsidRDefault="002E3E5C"/>
        </w:tc>
        <w:tc>
          <w:tcPr>
            <w:tcW w:w="427" w:type="pct"/>
            <w:vAlign w:val="center"/>
          </w:tcPr>
          <w:p w14:paraId="56622556" w14:textId="77777777" w:rsidR="002E3E5C" w:rsidRDefault="002E3E5C"/>
        </w:tc>
        <w:tc>
          <w:tcPr>
            <w:tcW w:w="427" w:type="pct"/>
            <w:vAlign w:val="center"/>
          </w:tcPr>
          <w:p w14:paraId="0E3F2EAF" w14:textId="77777777" w:rsidR="002E3E5C" w:rsidRDefault="002E3E5C"/>
        </w:tc>
        <w:tc>
          <w:tcPr>
            <w:tcW w:w="427" w:type="pct"/>
            <w:vAlign w:val="center"/>
          </w:tcPr>
          <w:p w14:paraId="28EEAC45" w14:textId="77777777" w:rsidR="002E3E5C" w:rsidRDefault="002E3E5C"/>
        </w:tc>
        <w:tc>
          <w:tcPr>
            <w:tcW w:w="427" w:type="pct"/>
            <w:vAlign w:val="center"/>
          </w:tcPr>
          <w:p w14:paraId="67538B7C" w14:textId="77777777" w:rsidR="002E3E5C" w:rsidRDefault="002E3E5C"/>
        </w:tc>
        <w:tc>
          <w:tcPr>
            <w:tcW w:w="427" w:type="pct"/>
            <w:vAlign w:val="center"/>
          </w:tcPr>
          <w:p w14:paraId="0B1B0BA3" w14:textId="77777777" w:rsidR="002E3E5C" w:rsidRDefault="002E3E5C"/>
        </w:tc>
        <w:tc>
          <w:tcPr>
            <w:tcW w:w="427" w:type="pct"/>
            <w:vAlign w:val="center"/>
          </w:tcPr>
          <w:p w14:paraId="279A1BCC" w14:textId="77777777" w:rsidR="002E3E5C" w:rsidRDefault="002E3E5C"/>
        </w:tc>
        <w:tc>
          <w:tcPr>
            <w:tcW w:w="427" w:type="pct"/>
            <w:vAlign w:val="center"/>
          </w:tcPr>
          <w:p w14:paraId="5E2921B2" w14:textId="77777777" w:rsidR="002E3E5C" w:rsidRDefault="002E3E5C"/>
        </w:tc>
      </w:tr>
      <w:tr w:rsidR="002E3E5C" w14:paraId="6909FB6D" w14:textId="77777777" w:rsidTr="003B0EAF">
        <w:trPr>
          <w:trHeight w:val="50"/>
        </w:trPr>
        <w:tc>
          <w:tcPr>
            <w:tcW w:w="1156" w:type="pct"/>
            <w:vAlign w:val="center"/>
          </w:tcPr>
          <w:p w14:paraId="4454D783" w14:textId="363FFD49" w:rsidR="002E3E5C" w:rsidRDefault="002E3E5C">
            <w:r>
              <w:t xml:space="preserve">Jakeluvelvoitteen </w:t>
            </w:r>
            <w:r w:rsidR="00932997">
              <w:t xml:space="preserve">nousun </w:t>
            </w:r>
            <w:proofErr w:type="spellStart"/>
            <w:r w:rsidR="00932997">
              <w:t>maltillistaminen</w:t>
            </w:r>
            <w:proofErr w:type="spellEnd"/>
          </w:p>
        </w:tc>
        <w:tc>
          <w:tcPr>
            <w:tcW w:w="427" w:type="pct"/>
            <w:vAlign w:val="center"/>
          </w:tcPr>
          <w:p w14:paraId="05DCA605" w14:textId="77777777" w:rsidR="002E3E5C" w:rsidRDefault="002E3E5C"/>
        </w:tc>
        <w:tc>
          <w:tcPr>
            <w:tcW w:w="427" w:type="pct"/>
            <w:vAlign w:val="center"/>
          </w:tcPr>
          <w:p w14:paraId="7CD9B0BB" w14:textId="77777777" w:rsidR="002E3E5C" w:rsidRDefault="002E3E5C">
            <w:r>
              <w:t>1,45</w:t>
            </w:r>
          </w:p>
        </w:tc>
        <w:tc>
          <w:tcPr>
            <w:tcW w:w="427" w:type="pct"/>
            <w:vAlign w:val="center"/>
          </w:tcPr>
          <w:p w14:paraId="465DE880" w14:textId="77777777" w:rsidR="002E3E5C" w:rsidRDefault="002E3E5C">
            <w:r>
              <w:t>1,25</w:t>
            </w:r>
          </w:p>
        </w:tc>
        <w:tc>
          <w:tcPr>
            <w:tcW w:w="427" w:type="pct"/>
            <w:vAlign w:val="center"/>
          </w:tcPr>
          <w:p w14:paraId="1BAD4600" w14:textId="77777777" w:rsidR="002E3E5C" w:rsidRDefault="002E3E5C">
            <w:r>
              <w:t>0,95</w:t>
            </w:r>
          </w:p>
        </w:tc>
        <w:tc>
          <w:tcPr>
            <w:tcW w:w="427" w:type="pct"/>
            <w:vAlign w:val="center"/>
          </w:tcPr>
          <w:p w14:paraId="61633D1F" w14:textId="77777777" w:rsidR="002E3E5C" w:rsidRDefault="002E3E5C">
            <w:r>
              <w:t>0,75</w:t>
            </w:r>
          </w:p>
        </w:tc>
        <w:tc>
          <w:tcPr>
            <w:tcW w:w="427" w:type="pct"/>
            <w:vAlign w:val="center"/>
          </w:tcPr>
          <w:p w14:paraId="372CC746" w14:textId="77777777" w:rsidR="002E3E5C" w:rsidRDefault="002E3E5C">
            <w:r>
              <w:t>-</w:t>
            </w:r>
          </w:p>
        </w:tc>
        <w:tc>
          <w:tcPr>
            <w:tcW w:w="427" w:type="pct"/>
            <w:vAlign w:val="center"/>
          </w:tcPr>
          <w:p w14:paraId="4BE58951" w14:textId="77777777" w:rsidR="002E3E5C" w:rsidRDefault="002E3E5C">
            <w:r>
              <w:t>-</w:t>
            </w:r>
          </w:p>
        </w:tc>
        <w:tc>
          <w:tcPr>
            <w:tcW w:w="427" w:type="pct"/>
            <w:vAlign w:val="center"/>
          </w:tcPr>
          <w:p w14:paraId="3FD1CDCE" w14:textId="77777777" w:rsidR="002E3E5C" w:rsidRDefault="002E3E5C">
            <w:r>
              <w:t>-</w:t>
            </w:r>
          </w:p>
        </w:tc>
        <w:tc>
          <w:tcPr>
            <w:tcW w:w="427" w:type="pct"/>
            <w:vAlign w:val="center"/>
          </w:tcPr>
          <w:p w14:paraId="6ED12875" w14:textId="77777777" w:rsidR="002E3E5C" w:rsidRDefault="002E3E5C">
            <w:r>
              <w:t>4,4</w:t>
            </w:r>
          </w:p>
        </w:tc>
      </w:tr>
      <w:tr w:rsidR="002E3E5C" w14:paraId="6A3C00C8" w14:textId="77777777" w:rsidTr="003B0EAF">
        <w:trPr>
          <w:trHeight w:val="300"/>
        </w:trPr>
        <w:tc>
          <w:tcPr>
            <w:tcW w:w="1156" w:type="pct"/>
            <w:vAlign w:val="center"/>
          </w:tcPr>
          <w:p w14:paraId="3EFF663B" w14:textId="17A22A5D" w:rsidR="002E3E5C" w:rsidRDefault="002E3E5C">
            <w:r>
              <w:t>Liikennesähkön sisällyttäminen jakeluvelvoitteeseen (ilman velvoitetason nostamista)</w:t>
            </w:r>
          </w:p>
        </w:tc>
        <w:tc>
          <w:tcPr>
            <w:tcW w:w="427" w:type="pct"/>
            <w:vAlign w:val="center"/>
          </w:tcPr>
          <w:p w14:paraId="6701B2E8" w14:textId="77777777" w:rsidR="002E3E5C" w:rsidRDefault="002E3E5C"/>
        </w:tc>
        <w:tc>
          <w:tcPr>
            <w:tcW w:w="427" w:type="pct"/>
            <w:vAlign w:val="center"/>
          </w:tcPr>
          <w:p w14:paraId="47396771" w14:textId="77777777" w:rsidR="002E3E5C" w:rsidRDefault="002E3E5C">
            <w:r>
              <w:t>-</w:t>
            </w:r>
          </w:p>
        </w:tc>
        <w:tc>
          <w:tcPr>
            <w:tcW w:w="427" w:type="pct"/>
            <w:vAlign w:val="center"/>
          </w:tcPr>
          <w:p w14:paraId="004228E1" w14:textId="77777777" w:rsidR="002E3E5C" w:rsidRDefault="002E3E5C">
            <w:r>
              <w:t>0,1</w:t>
            </w:r>
          </w:p>
        </w:tc>
        <w:tc>
          <w:tcPr>
            <w:tcW w:w="427" w:type="pct"/>
            <w:vAlign w:val="center"/>
          </w:tcPr>
          <w:p w14:paraId="0526F684" w14:textId="77777777" w:rsidR="002E3E5C" w:rsidRDefault="002E3E5C">
            <w:r>
              <w:t>0,1</w:t>
            </w:r>
          </w:p>
        </w:tc>
        <w:tc>
          <w:tcPr>
            <w:tcW w:w="427" w:type="pct"/>
            <w:vAlign w:val="center"/>
          </w:tcPr>
          <w:p w14:paraId="42CBD0F7" w14:textId="77777777" w:rsidR="002E3E5C" w:rsidRDefault="002E3E5C">
            <w:r>
              <w:t>0,1</w:t>
            </w:r>
          </w:p>
        </w:tc>
        <w:tc>
          <w:tcPr>
            <w:tcW w:w="427" w:type="pct"/>
            <w:vAlign w:val="center"/>
          </w:tcPr>
          <w:p w14:paraId="201C5F9F" w14:textId="77777777" w:rsidR="002E3E5C" w:rsidRDefault="002E3E5C">
            <w:r>
              <w:t>0,2</w:t>
            </w:r>
          </w:p>
        </w:tc>
        <w:tc>
          <w:tcPr>
            <w:tcW w:w="427" w:type="pct"/>
            <w:vAlign w:val="center"/>
          </w:tcPr>
          <w:p w14:paraId="7B8D19D2" w14:textId="77777777" w:rsidR="002E3E5C" w:rsidRDefault="002E3E5C">
            <w:r>
              <w:t>0,2</w:t>
            </w:r>
          </w:p>
        </w:tc>
        <w:tc>
          <w:tcPr>
            <w:tcW w:w="427" w:type="pct"/>
            <w:vAlign w:val="center"/>
          </w:tcPr>
          <w:p w14:paraId="6F247CEE" w14:textId="77777777" w:rsidR="002E3E5C" w:rsidRDefault="002E3E5C">
            <w:r>
              <w:t>0,3</w:t>
            </w:r>
          </w:p>
        </w:tc>
        <w:tc>
          <w:tcPr>
            <w:tcW w:w="427" w:type="pct"/>
            <w:vAlign w:val="center"/>
          </w:tcPr>
          <w:p w14:paraId="65D9A92D" w14:textId="77777777" w:rsidR="002E3E5C" w:rsidRDefault="002E3E5C">
            <w:r>
              <w:t>1,0</w:t>
            </w:r>
          </w:p>
        </w:tc>
      </w:tr>
      <w:tr w:rsidR="002E3E5C" w14:paraId="2D8C9277" w14:textId="77777777" w:rsidTr="003B0EAF">
        <w:trPr>
          <w:trHeight w:val="300"/>
        </w:trPr>
        <w:tc>
          <w:tcPr>
            <w:tcW w:w="1156" w:type="pct"/>
            <w:vAlign w:val="center"/>
          </w:tcPr>
          <w:p w14:paraId="1AF6E5E7" w14:textId="77777777" w:rsidR="002E3E5C" w:rsidRDefault="002E3E5C">
            <w:r>
              <w:t>Jakeluvelvoitteen joustomekanismi</w:t>
            </w:r>
          </w:p>
        </w:tc>
        <w:tc>
          <w:tcPr>
            <w:tcW w:w="427" w:type="pct"/>
            <w:vAlign w:val="center"/>
          </w:tcPr>
          <w:p w14:paraId="0CDEA251" w14:textId="77777777" w:rsidR="002E3E5C" w:rsidRDefault="002E3E5C"/>
        </w:tc>
        <w:tc>
          <w:tcPr>
            <w:tcW w:w="427" w:type="pct"/>
            <w:vAlign w:val="center"/>
          </w:tcPr>
          <w:p w14:paraId="5405B745" w14:textId="77777777" w:rsidR="002E3E5C" w:rsidRDefault="002E3E5C"/>
        </w:tc>
        <w:tc>
          <w:tcPr>
            <w:tcW w:w="427" w:type="pct"/>
            <w:vAlign w:val="center"/>
          </w:tcPr>
          <w:p w14:paraId="7A54B498" w14:textId="77777777" w:rsidR="002E3E5C" w:rsidRDefault="002E3E5C"/>
        </w:tc>
        <w:tc>
          <w:tcPr>
            <w:tcW w:w="427" w:type="pct"/>
            <w:vAlign w:val="center"/>
          </w:tcPr>
          <w:p w14:paraId="1EA125F4" w14:textId="77777777" w:rsidR="002E3E5C" w:rsidRDefault="002E3E5C">
            <w:proofErr w:type="gramStart"/>
            <w:r>
              <w:t>0-0,5</w:t>
            </w:r>
            <w:proofErr w:type="gramEnd"/>
          </w:p>
        </w:tc>
        <w:tc>
          <w:tcPr>
            <w:tcW w:w="427" w:type="pct"/>
            <w:vAlign w:val="center"/>
          </w:tcPr>
          <w:p w14:paraId="2739C980" w14:textId="77777777" w:rsidR="002E3E5C" w:rsidRDefault="002E3E5C">
            <w:proofErr w:type="gramStart"/>
            <w:r>
              <w:t>0-0,5</w:t>
            </w:r>
            <w:proofErr w:type="gramEnd"/>
          </w:p>
        </w:tc>
        <w:tc>
          <w:tcPr>
            <w:tcW w:w="427" w:type="pct"/>
            <w:vAlign w:val="center"/>
          </w:tcPr>
          <w:p w14:paraId="6EF3EE64" w14:textId="77777777" w:rsidR="002E3E5C" w:rsidRDefault="002E3E5C">
            <w:proofErr w:type="gramStart"/>
            <w:r>
              <w:t>0-0,5</w:t>
            </w:r>
            <w:proofErr w:type="gramEnd"/>
          </w:p>
        </w:tc>
        <w:tc>
          <w:tcPr>
            <w:tcW w:w="427" w:type="pct"/>
            <w:vAlign w:val="center"/>
          </w:tcPr>
          <w:p w14:paraId="1F0D69B1" w14:textId="77777777" w:rsidR="002E3E5C" w:rsidRDefault="002E3E5C">
            <w:proofErr w:type="gramStart"/>
            <w:r>
              <w:t>0-0,5</w:t>
            </w:r>
            <w:proofErr w:type="gramEnd"/>
          </w:p>
        </w:tc>
        <w:tc>
          <w:tcPr>
            <w:tcW w:w="427" w:type="pct"/>
            <w:vAlign w:val="center"/>
          </w:tcPr>
          <w:p w14:paraId="609C6C69" w14:textId="77777777" w:rsidR="002E3E5C" w:rsidRDefault="002E3E5C">
            <w:proofErr w:type="gramStart"/>
            <w:r>
              <w:t>0-0,5</w:t>
            </w:r>
            <w:proofErr w:type="gramEnd"/>
          </w:p>
        </w:tc>
        <w:tc>
          <w:tcPr>
            <w:tcW w:w="427" w:type="pct"/>
            <w:vAlign w:val="center"/>
          </w:tcPr>
          <w:p w14:paraId="6BF7F26D" w14:textId="77777777" w:rsidR="002E3E5C" w:rsidRDefault="002E3E5C">
            <w:proofErr w:type="gramStart"/>
            <w:r>
              <w:t>0-2,5</w:t>
            </w:r>
            <w:proofErr w:type="gramEnd"/>
          </w:p>
          <w:p w14:paraId="221C2A39" w14:textId="77777777" w:rsidR="002E3E5C" w:rsidRDefault="002E3E5C"/>
        </w:tc>
      </w:tr>
      <w:tr w:rsidR="002E3E5C" w14:paraId="133B28B7" w14:textId="77777777" w:rsidTr="003B0EAF">
        <w:trPr>
          <w:trHeight w:val="300"/>
        </w:trPr>
        <w:tc>
          <w:tcPr>
            <w:tcW w:w="1156" w:type="pct"/>
            <w:vAlign w:val="center"/>
          </w:tcPr>
          <w:p w14:paraId="04DBBD32" w14:textId="57C4E887" w:rsidR="002E3E5C" w:rsidRDefault="002E3E5C">
            <w:r>
              <w:t>Jakeluvelvoitteen seuraamusmaksutasojen keventäminen</w:t>
            </w:r>
          </w:p>
        </w:tc>
        <w:tc>
          <w:tcPr>
            <w:tcW w:w="427" w:type="pct"/>
            <w:vAlign w:val="center"/>
          </w:tcPr>
          <w:p w14:paraId="7CF5D218" w14:textId="77777777" w:rsidR="002E3E5C" w:rsidRDefault="002E3E5C"/>
        </w:tc>
        <w:tc>
          <w:tcPr>
            <w:tcW w:w="427" w:type="pct"/>
            <w:vAlign w:val="center"/>
          </w:tcPr>
          <w:p w14:paraId="7D89E5FD" w14:textId="77777777" w:rsidR="002E3E5C" w:rsidRDefault="002E3E5C">
            <w:r>
              <w:t>-</w:t>
            </w:r>
          </w:p>
        </w:tc>
        <w:tc>
          <w:tcPr>
            <w:tcW w:w="427" w:type="pct"/>
            <w:vAlign w:val="center"/>
          </w:tcPr>
          <w:p w14:paraId="2E49241B" w14:textId="77777777" w:rsidR="002E3E5C" w:rsidRDefault="002E3E5C">
            <w:r>
              <w:t>-</w:t>
            </w:r>
          </w:p>
        </w:tc>
        <w:tc>
          <w:tcPr>
            <w:tcW w:w="427" w:type="pct"/>
            <w:vAlign w:val="center"/>
          </w:tcPr>
          <w:p w14:paraId="46FAE9C3" w14:textId="77777777" w:rsidR="002E3E5C" w:rsidRDefault="002E3E5C">
            <w:proofErr w:type="gramStart"/>
            <w:r>
              <w:t>0-0,15</w:t>
            </w:r>
            <w:proofErr w:type="gramEnd"/>
          </w:p>
        </w:tc>
        <w:tc>
          <w:tcPr>
            <w:tcW w:w="427" w:type="pct"/>
            <w:vAlign w:val="center"/>
          </w:tcPr>
          <w:p w14:paraId="22E6C265" w14:textId="77777777" w:rsidR="002E3E5C" w:rsidRDefault="002E3E5C">
            <w:proofErr w:type="gramStart"/>
            <w:r>
              <w:t>0-0,45</w:t>
            </w:r>
            <w:proofErr w:type="gramEnd"/>
          </w:p>
        </w:tc>
        <w:tc>
          <w:tcPr>
            <w:tcW w:w="427" w:type="pct"/>
            <w:vAlign w:val="center"/>
          </w:tcPr>
          <w:p w14:paraId="09BC6D65" w14:textId="77777777" w:rsidR="002E3E5C" w:rsidRDefault="002E3E5C">
            <w:r>
              <w:t>-</w:t>
            </w:r>
          </w:p>
        </w:tc>
        <w:tc>
          <w:tcPr>
            <w:tcW w:w="427" w:type="pct"/>
            <w:vAlign w:val="center"/>
          </w:tcPr>
          <w:p w14:paraId="1CBD60DC" w14:textId="77777777" w:rsidR="002E3E5C" w:rsidRDefault="002E3E5C">
            <w:r>
              <w:t>-</w:t>
            </w:r>
          </w:p>
        </w:tc>
        <w:tc>
          <w:tcPr>
            <w:tcW w:w="427" w:type="pct"/>
            <w:vAlign w:val="center"/>
          </w:tcPr>
          <w:p w14:paraId="28398EFF" w14:textId="77777777" w:rsidR="002E3E5C" w:rsidRDefault="002E3E5C">
            <w:r>
              <w:t>-</w:t>
            </w:r>
          </w:p>
        </w:tc>
        <w:tc>
          <w:tcPr>
            <w:tcW w:w="427" w:type="pct"/>
            <w:vAlign w:val="center"/>
          </w:tcPr>
          <w:p w14:paraId="432F9385" w14:textId="77777777" w:rsidR="002E3E5C" w:rsidRDefault="002E3E5C">
            <w:proofErr w:type="gramStart"/>
            <w:r>
              <w:t>0-0,6</w:t>
            </w:r>
            <w:proofErr w:type="gramEnd"/>
          </w:p>
        </w:tc>
      </w:tr>
      <w:tr w:rsidR="002E3E5C" w14:paraId="6E3DB4BC" w14:textId="77777777" w:rsidTr="003B0EAF">
        <w:trPr>
          <w:trHeight w:val="300"/>
        </w:trPr>
        <w:tc>
          <w:tcPr>
            <w:tcW w:w="1156" w:type="pct"/>
            <w:vAlign w:val="center"/>
          </w:tcPr>
          <w:p w14:paraId="5F95AE53" w14:textId="041A16F4" w:rsidR="002E3E5C" w:rsidRDefault="002E3E5C">
            <w:r>
              <w:t>Polttoaineveron keventäminen (2024</w:t>
            </w:r>
            <w:r w:rsidR="00335AEA">
              <w:t>, 2026</w:t>
            </w:r>
            <w:r>
              <w:t xml:space="preserve"> ja </w:t>
            </w:r>
            <w:r w:rsidR="004256A8">
              <w:t>2027</w:t>
            </w:r>
          </w:p>
        </w:tc>
        <w:tc>
          <w:tcPr>
            <w:tcW w:w="427" w:type="pct"/>
            <w:vAlign w:val="center"/>
          </w:tcPr>
          <w:p w14:paraId="0C4D88B0" w14:textId="77777777" w:rsidR="002E3E5C" w:rsidRPr="00ED1BCA" w:rsidRDefault="002E3E5C"/>
        </w:tc>
        <w:tc>
          <w:tcPr>
            <w:tcW w:w="427" w:type="pct"/>
            <w:vAlign w:val="center"/>
          </w:tcPr>
          <w:p w14:paraId="158175F2" w14:textId="77777777" w:rsidR="002E3E5C" w:rsidRDefault="002E3E5C">
            <w:proofErr w:type="gramStart"/>
            <w:r w:rsidRPr="00ED1BCA">
              <w:t>0,0</w:t>
            </w:r>
            <w:r>
              <w:t>8-0,18</w:t>
            </w:r>
            <w:proofErr w:type="gramEnd"/>
          </w:p>
        </w:tc>
        <w:tc>
          <w:tcPr>
            <w:tcW w:w="427" w:type="pct"/>
            <w:vAlign w:val="center"/>
          </w:tcPr>
          <w:p w14:paraId="22968C9F" w14:textId="77777777" w:rsidR="002E3E5C" w:rsidRDefault="002E3E5C">
            <w:proofErr w:type="gramStart"/>
            <w:r w:rsidRPr="00ED1BCA">
              <w:t>0,0</w:t>
            </w:r>
            <w:r>
              <w:t>8-0,18</w:t>
            </w:r>
            <w:proofErr w:type="gramEnd"/>
          </w:p>
        </w:tc>
        <w:tc>
          <w:tcPr>
            <w:tcW w:w="427" w:type="pct"/>
            <w:vAlign w:val="center"/>
          </w:tcPr>
          <w:p w14:paraId="049D8316" w14:textId="77777777" w:rsidR="002E3E5C" w:rsidRDefault="002E3E5C">
            <w:proofErr w:type="gramStart"/>
            <w:r w:rsidRPr="00ED1BCA">
              <w:t>0,0</w:t>
            </w:r>
            <w:r>
              <w:t>8-0,18</w:t>
            </w:r>
            <w:proofErr w:type="gramEnd"/>
          </w:p>
        </w:tc>
        <w:tc>
          <w:tcPr>
            <w:tcW w:w="427" w:type="pct"/>
            <w:vAlign w:val="center"/>
          </w:tcPr>
          <w:p w14:paraId="29BA95DF" w14:textId="77777777" w:rsidR="002E3E5C" w:rsidRDefault="002E3E5C">
            <w:proofErr w:type="gramStart"/>
            <w:r w:rsidRPr="00ED1BCA">
              <w:t>0,0</w:t>
            </w:r>
            <w:r>
              <w:t>8-0,18</w:t>
            </w:r>
            <w:proofErr w:type="gramEnd"/>
          </w:p>
        </w:tc>
        <w:tc>
          <w:tcPr>
            <w:tcW w:w="427" w:type="pct"/>
            <w:vAlign w:val="center"/>
          </w:tcPr>
          <w:p w14:paraId="76144C4C" w14:textId="77777777" w:rsidR="002E3E5C" w:rsidRDefault="002E3E5C">
            <w:proofErr w:type="gramStart"/>
            <w:r w:rsidRPr="00ED1BCA">
              <w:t>0,0</w:t>
            </w:r>
            <w:r>
              <w:t>8-0,18</w:t>
            </w:r>
            <w:proofErr w:type="gramEnd"/>
          </w:p>
        </w:tc>
        <w:tc>
          <w:tcPr>
            <w:tcW w:w="427" w:type="pct"/>
            <w:vAlign w:val="center"/>
          </w:tcPr>
          <w:p w14:paraId="03BFF9F9" w14:textId="77777777" w:rsidR="002E3E5C" w:rsidRDefault="002E3E5C">
            <w:proofErr w:type="gramStart"/>
            <w:r w:rsidRPr="00ED1BCA">
              <w:t>0,0</w:t>
            </w:r>
            <w:r>
              <w:t>8-0,18</w:t>
            </w:r>
            <w:proofErr w:type="gramEnd"/>
          </w:p>
        </w:tc>
        <w:tc>
          <w:tcPr>
            <w:tcW w:w="427" w:type="pct"/>
            <w:vAlign w:val="center"/>
          </w:tcPr>
          <w:p w14:paraId="76E56A65" w14:textId="77777777" w:rsidR="002E3E5C" w:rsidRDefault="002E3E5C">
            <w:proofErr w:type="gramStart"/>
            <w:r w:rsidRPr="00ED1BCA">
              <w:t>0,0</w:t>
            </w:r>
            <w:r>
              <w:t>8-0,18</w:t>
            </w:r>
            <w:proofErr w:type="gramEnd"/>
          </w:p>
        </w:tc>
        <w:tc>
          <w:tcPr>
            <w:tcW w:w="427" w:type="pct"/>
            <w:vAlign w:val="center"/>
          </w:tcPr>
          <w:p w14:paraId="5A2F9396" w14:textId="77777777" w:rsidR="002E3E5C" w:rsidRPr="00ED1BCA" w:rsidRDefault="002E3E5C">
            <w:proofErr w:type="gramStart"/>
            <w:r>
              <w:t>0,56-1,26</w:t>
            </w:r>
            <w:proofErr w:type="gramEnd"/>
          </w:p>
        </w:tc>
      </w:tr>
      <w:tr w:rsidR="002E3E5C" w14:paraId="3377849D" w14:textId="77777777" w:rsidTr="003B0EAF">
        <w:trPr>
          <w:trHeight w:val="300"/>
        </w:trPr>
        <w:tc>
          <w:tcPr>
            <w:tcW w:w="1156" w:type="pct"/>
            <w:vAlign w:val="center"/>
          </w:tcPr>
          <w:p w14:paraId="504B88EE" w14:textId="77777777" w:rsidR="002E3E5C" w:rsidRDefault="002E3E5C">
            <w:r>
              <w:t xml:space="preserve">Ajoneuvoveron keventäminen </w:t>
            </w:r>
          </w:p>
        </w:tc>
        <w:tc>
          <w:tcPr>
            <w:tcW w:w="427" w:type="pct"/>
            <w:vAlign w:val="center"/>
          </w:tcPr>
          <w:p w14:paraId="7CD0FD61" w14:textId="77777777" w:rsidR="002E3E5C" w:rsidRDefault="002E3E5C"/>
        </w:tc>
        <w:tc>
          <w:tcPr>
            <w:tcW w:w="427" w:type="pct"/>
            <w:vAlign w:val="center"/>
          </w:tcPr>
          <w:p w14:paraId="78957A28" w14:textId="77777777" w:rsidR="002E3E5C" w:rsidRDefault="002E3E5C">
            <w:r>
              <w:t>Ei arviota</w:t>
            </w:r>
          </w:p>
        </w:tc>
        <w:tc>
          <w:tcPr>
            <w:tcW w:w="427" w:type="pct"/>
            <w:vAlign w:val="center"/>
          </w:tcPr>
          <w:p w14:paraId="197C3D8E" w14:textId="77777777" w:rsidR="002E3E5C" w:rsidRDefault="002E3E5C">
            <w:r>
              <w:t>Ei arviota</w:t>
            </w:r>
          </w:p>
        </w:tc>
        <w:tc>
          <w:tcPr>
            <w:tcW w:w="427" w:type="pct"/>
            <w:vAlign w:val="center"/>
          </w:tcPr>
          <w:p w14:paraId="4E522F27" w14:textId="77777777" w:rsidR="002E3E5C" w:rsidRDefault="002E3E5C">
            <w:r>
              <w:t>Ei arviota</w:t>
            </w:r>
          </w:p>
        </w:tc>
        <w:tc>
          <w:tcPr>
            <w:tcW w:w="427" w:type="pct"/>
            <w:vAlign w:val="center"/>
          </w:tcPr>
          <w:p w14:paraId="41E7B858" w14:textId="77777777" w:rsidR="002E3E5C" w:rsidRDefault="002E3E5C">
            <w:r>
              <w:t>Ei arviota</w:t>
            </w:r>
          </w:p>
        </w:tc>
        <w:tc>
          <w:tcPr>
            <w:tcW w:w="427" w:type="pct"/>
            <w:vAlign w:val="center"/>
          </w:tcPr>
          <w:p w14:paraId="7197E540" w14:textId="77777777" w:rsidR="002E3E5C" w:rsidRDefault="002E3E5C">
            <w:r>
              <w:t>Ei arviota</w:t>
            </w:r>
          </w:p>
        </w:tc>
        <w:tc>
          <w:tcPr>
            <w:tcW w:w="427" w:type="pct"/>
            <w:vAlign w:val="center"/>
          </w:tcPr>
          <w:p w14:paraId="6B42CDEB" w14:textId="77777777" w:rsidR="002E3E5C" w:rsidRDefault="002E3E5C">
            <w:r>
              <w:t>Ei arviota</w:t>
            </w:r>
          </w:p>
        </w:tc>
        <w:tc>
          <w:tcPr>
            <w:tcW w:w="427" w:type="pct"/>
            <w:vAlign w:val="center"/>
          </w:tcPr>
          <w:p w14:paraId="7CE2B25E" w14:textId="77777777" w:rsidR="002E3E5C" w:rsidRDefault="002E3E5C">
            <w:r>
              <w:t>Ei arviota</w:t>
            </w:r>
          </w:p>
        </w:tc>
        <w:tc>
          <w:tcPr>
            <w:tcW w:w="427" w:type="pct"/>
            <w:vAlign w:val="center"/>
          </w:tcPr>
          <w:p w14:paraId="1FE1C60C" w14:textId="77777777" w:rsidR="002E3E5C" w:rsidRDefault="002E3E5C">
            <w:r>
              <w:t>Ei arviota</w:t>
            </w:r>
          </w:p>
        </w:tc>
      </w:tr>
      <w:tr w:rsidR="002E3E5C" w14:paraId="3FEFC5BB" w14:textId="77777777" w:rsidTr="003B0EAF">
        <w:trPr>
          <w:trHeight w:val="300"/>
        </w:trPr>
        <w:tc>
          <w:tcPr>
            <w:tcW w:w="1156" w:type="pct"/>
            <w:vAlign w:val="center"/>
          </w:tcPr>
          <w:p w14:paraId="0B27551A" w14:textId="77777777" w:rsidR="002E3E5C" w:rsidRDefault="002E3E5C">
            <w:r>
              <w:t>Matkakuluvähennyksen omavastuun nostaminen</w:t>
            </w:r>
          </w:p>
        </w:tc>
        <w:tc>
          <w:tcPr>
            <w:tcW w:w="427" w:type="pct"/>
            <w:vAlign w:val="center"/>
          </w:tcPr>
          <w:p w14:paraId="7EF886A8" w14:textId="77777777" w:rsidR="002E3E5C" w:rsidRDefault="002E3E5C"/>
        </w:tc>
        <w:tc>
          <w:tcPr>
            <w:tcW w:w="427" w:type="pct"/>
            <w:vAlign w:val="center"/>
          </w:tcPr>
          <w:p w14:paraId="1F52CE6C" w14:textId="77777777" w:rsidR="002E3E5C" w:rsidRDefault="002E3E5C">
            <w:r>
              <w:t>?</w:t>
            </w:r>
          </w:p>
        </w:tc>
        <w:tc>
          <w:tcPr>
            <w:tcW w:w="427" w:type="pct"/>
            <w:vAlign w:val="center"/>
          </w:tcPr>
          <w:p w14:paraId="46C5D495" w14:textId="77777777" w:rsidR="002E3E5C" w:rsidRDefault="002E3E5C">
            <w:r>
              <w:t>?</w:t>
            </w:r>
          </w:p>
        </w:tc>
        <w:tc>
          <w:tcPr>
            <w:tcW w:w="427" w:type="pct"/>
            <w:vAlign w:val="center"/>
          </w:tcPr>
          <w:p w14:paraId="2E793FAE" w14:textId="77777777" w:rsidR="002E3E5C" w:rsidRDefault="002E3E5C">
            <w:r>
              <w:t>?</w:t>
            </w:r>
          </w:p>
        </w:tc>
        <w:tc>
          <w:tcPr>
            <w:tcW w:w="427" w:type="pct"/>
            <w:vAlign w:val="center"/>
          </w:tcPr>
          <w:p w14:paraId="7C8CD118" w14:textId="77777777" w:rsidR="002E3E5C" w:rsidRDefault="002E3E5C">
            <w:r>
              <w:t>?</w:t>
            </w:r>
          </w:p>
        </w:tc>
        <w:tc>
          <w:tcPr>
            <w:tcW w:w="427" w:type="pct"/>
            <w:vAlign w:val="center"/>
          </w:tcPr>
          <w:p w14:paraId="413E9296" w14:textId="77777777" w:rsidR="002E3E5C" w:rsidRDefault="002E3E5C">
            <w:r>
              <w:t>?</w:t>
            </w:r>
          </w:p>
        </w:tc>
        <w:tc>
          <w:tcPr>
            <w:tcW w:w="427" w:type="pct"/>
            <w:vAlign w:val="center"/>
          </w:tcPr>
          <w:p w14:paraId="188A4A8E" w14:textId="77777777" w:rsidR="002E3E5C" w:rsidRDefault="002E3E5C">
            <w:r>
              <w:t>?</w:t>
            </w:r>
          </w:p>
        </w:tc>
        <w:tc>
          <w:tcPr>
            <w:tcW w:w="427" w:type="pct"/>
            <w:vAlign w:val="center"/>
          </w:tcPr>
          <w:p w14:paraId="0C5AD6B2" w14:textId="77777777" w:rsidR="002E3E5C" w:rsidRDefault="002E3E5C">
            <w:r>
              <w:t>?</w:t>
            </w:r>
          </w:p>
        </w:tc>
        <w:tc>
          <w:tcPr>
            <w:tcW w:w="427" w:type="pct"/>
            <w:vAlign w:val="center"/>
          </w:tcPr>
          <w:p w14:paraId="13EB2B7B" w14:textId="77777777" w:rsidR="002E3E5C" w:rsidRDefault="002E3E5C">
            <w:r>
              <w:t>?</w:t>
            </w:r>
          </w:p>
        </w:tc>
      </w:tr>
      <w:tr w:rsidR="002E3E5C" w14:paraId="5173BF80" w14:textId="77777777" w:rsidTr="003B0EAF">
        <w:trPr>
          <w:trHeight w:val="300"/>
        </w:trPr>
        <w:tc>
          <w:tcPr>
            <w:tcW w:w="1156" w:type="pct"/>
            <w:vAlign w:val="center"/>
          </w:tcPr>
          <w:p w14:paraId="6C816BAD" w14:textId="77777777" w:rsidR="002E3E5C" w:rsidRDefault="002E3E5C">
            <w:r>
              <w:t xml:space="preserve">Liikenteen palveluiden alv:n nostaminen </w:t>
            </w:r>
          </w:p>
        </w:tc>
        <w:tc>
          <w:tcPr>
            <w:tcW w:w="427" w:type="pct"/>
            <w:vAlign w:val="center"/>
          </w:tcPr>
          <w:p w14:paraId="3C0CB665" w14:textId="77777777" w:rsidR="002E3E5C" w:rsidRDefault="002E3E5C"/>
        </w:tc>
        <w:tc>
          <w:tcPr>
            <w:tcW w:w="427" w:type="pct"/>
            <w:vAlign w:val="center"/>
          </w:tcPr>
          <w:p w14:paraId="4EBE25EB" w14:textId="77777777" w:rsidR="002E3E5C" w:rsidRDefault="002E3E5C">
            <w:r>
              <w:t>?</w:t>
            </w:r>
          </w:p>
        </w:tc>
        <w:tc>
          <w:tcPr>
            <w:tcW w:w="427" w:type="pct"/>
            <w:vAlign w:val="center"/>
          </w:tcPr>
          <w:p w14:paraId="6FC1916B" w14:textId="77777777" w:rsidR="002E3E5C" w:rsidRDefault="002E3E5C">
            <w:r>
              <w:t>?</w:t>
            </w:r>
          </w:p>
        </w:tc>
        <w:tc>
          <w:tcPr>
            <w:tcW w:w="427" w:type="pct"/>
            <w:vAlign w:val="center"/>
          </w:tcPr>
          <w:p w14:paraId="6FF4A909" w14:textId="77777777" w:rsidR="002E3E5C" w:rsidRDefault="002E3E5C">
            <w:r>
              <w:t>?</w:t>
            </w:r>
          </w:p>
        </w:tc>
        <w:tc>
          <w:tcPr>
            <w:tcW w:w="427" w:type="pct"/>
            <w:vAlign w:val="center"/>
          </w:tcPr>
          <w:p w14:paraId="18059F28" w14:textId="77777777" w:rsidR="002E3E5C" w:rsidRDefault="002E3E5C">
            <w:r>
              <w:t>?</w:t>
            </w:r>
          </w:p>
        </w:tc>
        <w:tc>
          <w:tcPr>
            <w:tcW w:w="427" w:type="pct"/>
            <w:vAlign w:val="center"/>
          </w:tcPr>
          <w:p w14:paraId="2AB76FC3" w14:textId="77777777" w:rsidR="002E3E5C" w:rsidRDefault="002E3E5C">
            <w:r>
              <w:t>?</w:t>
            </w:r>
          </w:p>
        </w:tc>
        <w:tc>
          <w:tcPr>
            <w:tcW w:w="427" w:type="pct"/>
            <w:vAlign w:val="center"/>
          </w:tcPr>
          <w:p w14:paraId="5A476873" w14:textId="77777777" w:rsidR="002E3E5C" w:rsidRDefault="002E3E5C">
            <w:r>
              <w:t>?</w:t>
            </w:r>
          </w:p>
        </w:tc>
        <w:tc>
          <w:tcPr>
            <w:tcW w:w="427" w:type="pct"/>
            <w:vAlign w:val="center"/>
          </w:tcPr>
          <w:p w14:paraId="007EF11A" w14:textId="77777777" w:rsidR="002E3E5C" w:rsidRDefault="002E3E5C">
            <w:r>
              <w:t>?</w:t>
            </w:r>
          </w:p>
        </w:tc>
        <w:tc>
          <w:tcPr>
            <w:tcW w:w="427" w:type="pct"/>
            <w:vAlign w:val="center"/>
          </w:tcPr>
          <w:p w14:paraId="20F42673" w14:textId="77777777" w:rsidR="002E3E5C" w:rsidRDefault="002E3E5C">
            <w:r>
              <w:t>?</w:t>
            </w:r>
          </w:p>
        </w:tc>
      </w:tr>
      <w:tr w:rsidR="002E3E5C" w14:paraId="2EF1F078" w14:textId="77777777" w:rsidTr="003B0EAF">
        <w:trPr>
          <w:trHeight w:val="300"/>
        </w:trPr>
        <w:tc>
          <w:tcPr>
            <w:tcW w:w="1156" w:type="pct"/>
            <w:vAlign w:val="center"/>
          </w:tcPr>
          <w:p w14:paraId="60867FE8" w14:textId="77777777" w:rsidR="002E3E5C" w:rsidRDefault="002E3E5C">
            <w:r w:rsidRPr="002C1F24">
              <w:t>J</w:t>
            </w:r>
            <w:r>
              <w:t>oukkoliikent</w:t>
            </w:r>
            <w:r w:rsidRPr="002C1F24">
              <w:t>een ilmastoperusteisen valtionavustuksen poistaminen</w:t>
            </w:r>
          </w:p>
        </w:tc>
        <w:tc>
          <w:tcPr>
            <w:tcW w:w="427" w:type="pct"/>
            <w:vAlign w:val="center"/>
          </w:tcPr>
          <w:p w14:paraId="22E5C6BE" w14:textId="77777777" w:rsidR="002E3E5C" w:rsidRDefault="002E3E5C"/>
        </w:tc>
        <w:tc>
          <w:tcPr>
            <w:tcW w:w="427" w:type="pct"/>
            <w:vAlign w:val="center"/>
          </w:tcPr>
          <w:p w14:paraId="64062A3B" w14:textId="77777777" w:rsidR="002E3E5C" w:rsidRDefault="002E3E5C">
            <w:proofErr w:type="gramStart"/>
            <w:r>
              <w:t>0-0,05</w:t>
            </w:r>
            <w:proofErr w:type="gramEnd"/>
          </w:p>
        </w:tc>
        <w:tc>
          <w:tcPr>
            <w:tcW w:w="427" w:type="pct"/>
            <w:vAlign w:val="center"/>
          </w:tcPr>
          <w:p w14:paraId="5B8F1703" w14:textId="77777777" w:rsidR="002E3E5C" w:rsidRDefault="002E3E5C">
            <w:proofErr w:type="gramStart"/>
            <w:r>
              <w:t>0-0,05</w:t>
            </w:r>
            <w:proofErr w:type="gramEnd"/>
          </w:p>
        </w:tc>
        <w:tc>
          <w:tcPr>
            <w:tcW w:w="427" w:type="pct"/>
            <w:vAlign w:val="center"/>
          </w:tcPr>
          <w:p w14:paraId="1B72B86A" w14:textId="77777777" w:rsidR="002E3E5C" w:rsidRDefault="002E3E5C">
            <w:proofErr w:type="gramStart"/>
            <w:r>
              <w:t>0-0,05</w:t>
            </w:r>
            <w:proofErr w:type="gramEnd"/>
          </w:p>
        </w:tc>
        <w:tc>
          <w:tcPr>
            <w:tcW w:w="427" w:type="pct"/>
            <w:vAlign w:val="center"/>
          </w:tcPr>
          <w:p w14:paraId="1B198AAF" w14:textId="77777777" w:rsidR="002E3E5C" w:rsidRDefault="002E3E5C">
            <w:proofErr w:type="gramStart"/>
            <w:r>
              <w:t>0-0,05</w:t>
            </w:r>
            <w:proofErr w:type="gramEnd"/>
          </w:p>
        </w:tc>
        <w:tc>
          <w:tcPr>
            <w:tcW w:w="427" w:type="pct"/>
            <w:vAlign w:val="center"/>
          </w:tcPr>
          <w:p w14:paraId="3DEA1CB0" w14:textId="77777777" w:rsidR="002E3E5C" w:rsidRDefault="002E3E5C">
            <w:proofErr w:type="gramStart"/>
            <w:r>
              <w:t>0-0,05</w:t>
            </w:r>
            <w:proofErr w:type="gramEnd"/>
          </w:p>
        </w:tc>
        <w:tc>
          <w:tcPr>
            <w:tcW w:w="427" w:type="pct"/>
            <w:vAlign w:val="center"/>
          </w:tcPr>
          <w:p w14:paraId="595B5FDB" w14:textId="77777777" w:rsidR="002E3E5C" w:rsidRDefault="002E3E5C">
            <w:proofErr w:type="gramStart"/>
            <w:r>
              <w:t>0-0,05</w:t>
            </w:r>
            <w:proofErr w:type="gramEnd"/>
          </w:p>
        </w:tc>
        <w:tc>
          <w:tcPr>
            <w:tcW w:w="427" w:type="pct"/>
            <w:vAlign w:val="center"/>
          </w:tcPr>
          <w:p w14:paraId="21793F2F" w14:textId="77777777" w:rsidR="002E3E5C" w:rsidRDefault="002E3E5C">
            <w:proofErr w:type="gramStart"/>
            <w:r>
              <w:t>0-0,05</w:t>
            </w:r>
            <w:proofErr w:type="gramEnd"/>
          </w:p>
        </w:tc>
        <w:tc>
          <w:tcPr>
            <w:tcW w:w="427" w:type="pct"/>
            <w:vAlign w:val="center"/>
          </w:tcPr>
          <w:p w14:paraId="4379B3C2" w14:textId="77777777" w:rsidR="002E3E5C" w:rsidRDefault="002E3E5C">
            <w:proofErr w:type="gramStart"/>
            <w:r>
              <w:t>0-0,35</w:t>
            </w:r>
            <w:proofErr w:type="gramEnd"/>
          </w:p>
        </w:tc>
      </w:tr>
      <w:tr w:rsidR="002E3E5C" w14:paraId="49BB5F00" w14:textId="77777777" w:rsidTr="003B0EAF">
        <w:trPr>
          <w:trHeight w:val="300"/>
        </w:trPr>
        <w:tc>
          <w:tcPr>
            <w:tcW w:w="1156" w:type="pct"/>
            <w:vAlign w:val="center"/>
          </w:tcPr>
          <w:p w14:paraId="12A30104" w14:textId="77777777" w:rsidR="002E3E5C" w:rsidRDefault="002E3E5C">
            <w:r w:rsidRPr="002C1F24">
              <w:t>Kävelyn ja pyöräilyn investointio</w:t>
            </w:r>
            <w:r>
              <w:t>hjelman rahoituksen alentaminen</w:t>
            </w:r>
          </w:p>
        </w:tc>
        <w:tc>
          <w:tcPr>
            <w:tcW w:w="427" w:type="pct"/>
            <w:vAlign w:val="center"/>
          </w:tcPr>
          <w:p w14:paraId="126AACA1" w14:textId="77777777" w:rsidR="002E3E5C" w:rsidRDefault="002E3E5C"/>
        </w:tc>
        <w:tc>
          <w:tcPr>
            <w:tcW w:w="427" w:type="pct"/>
            <w:vAlign w:val="center"/>
          </w:tcPr>
          <w:p w14:paraId="216D5C7B" w14:textId="77777777" w:rsidR="002E3E5C" w:rsidRDefault="002E3E5C">
            <w:r>
              <w:t>?</w:t>
            </w:r>
          </w:p>
        </w:tc>
        <w:tc>
          <w:tcPr>
            <w:tcW w:w="427" w:type="pct"/>
            <w:vAlign w:val="center"/>
          </w:tcPr>
          <w:p w14:paraId="7B8192CD" w14:textId="77777777" w:rsidR="002E3E5C" w:rsidRDefault="002E3E5C">
            <w:r>
              <w:t>?</w:t>
            </w:r>
          </w:p>
        </w:tc>
        <w:tc>
          <w:tcPr>
            <w:tcW w:w="427" w:type="pct"/>
            <w:vAlign w:val="center"/>
          </w:tcPr>
          <w:p w14:paraId="34E9C48D" w14:textId="77777777" w:rsidR="002E3E5C" w:rsidRDefault="002E3E5C">
            <w:r>
              <w:t>?</w:t>
            </w:r>
          </w:p>
        </w:tc>
        <w:tc>
          <w:tcPr>
            <w:tcW w:w="427" w:type="pct"/>
            <w:vAlign w:val="center"/>
          </w:tcPr>
          <w:p w14:paraId="0726154A" w14:textId="77777777" w:rsidR="002E3E5C" w:rsidRDefault="002E3E5C">
            <w:r>
              <w:t>?</w:t>
            </w:r>
          </w:p>
        </w:tc>
        <w:tc>
          <w:tcPr>
            <w:tcW w:w="427" w:type="pct"/>
            <w:vAlign w:val="center"/>
          </w:tcPr>
          <w:p w14:paraId="5B0B76F9" w14:textId="77777777" w:rsidR="002E3E5C" w:rsidRDefault="002E3E5C">
            <w:r>
              <w:t>?</w:t>
            </w:r>
          </w:p>
        </w:tc>
        <w:tc>
          <w:tcPr>
            <w:tcW w:w="427" w:type="pct"/>
            <w:vAlign w:val="center"/>
          </w:tcPr>
          <w:p w14:paraId="61E0060C" w14:textId="77777777" w:rsidR="002E3E5C" w:rsidRDefault="002E3E5C">
            <w:r>
              <w:t>?</w:t>
            </w:r>
          </w:p>
        </w:tc>
        <w:tc>
          <w:tcPr>
            <w:tcW w:w="427" w:type="pct"/>
            <w:vAlign w:val="center"/>
          </w:tcPr>
          <w:p w14:paraId="6A54E129" w14:textId="77777777" w:rsidR="002E3E5C" w:rsidRDefault="002E3E5C">
            <w:r>
              <w:t>?</w:t>
            </w:r>
          </w:p>
        </w:tc>
        <w:tc>
          <w:tcPr>
            <w:tcW w:w="427" w:type="pct"/>
            <w:vAlign w:val="center"/>
          </w:tcPr>
          <w:p w14:paraId="554EC3D3" w14:textId="77777777" w:rsidR="002E3E5C" w:rsidRDefault="002E3E5C">
            <w:r>
              <w:t>?</w:t>
            </w:r>
          </w:p>
        </w:tc>
      </w:tr>
      <w:tr w:rsidR="002E3E5C" w14:paraId="3555B7E7" w14:textId="77777777" w:rsidTr="003B0EAF">
        <w:trPr>
          <w:trHeight w:val="300"/>
        </w:trPr>
        <w:tc>
          <w:tcPr>
            <w:tcW w:w="1156" w:type="pct"/>
            <w:vAlign w:val="center"/>
          </w:tcPr>
          <w:p w14:paraId="34386BAD" w14:textId="77777777" w:rsidR="002E3E5C" w:rsidRDefault="002E3E5C">
            <w:r>
              <w:t>Vinjettimaksun käyttöön ottaminen</w:t>
            </w:r>
          </w:p>
        </w:tc>
        <w:tc>
          <w:tcPr>
            <w:tcW w:w="427" w:type="pct"/>
            <w:vAlign w:val="center"/>
          </w:tcPr>
          <w:p w14:paraId="73879C2B" w14:textId="77777777" w:rsidR="002E3E5C" w:rsidRDefault="002E3E5C"/>
        </w:tc>
        <w:tc>
          <w:tcPr>
            <w:tcW w:w="427" w:type="pct"/>
            <w:vAlign w:val="center"/>
          </w:tcPr>
          <w:p w14:paraId="347F1309" w14:textId="77777777" w:rsidR="002E3E5C" w:rsidRDefault="002E3E5C">
            <w:r>
              <w:t>?</w:t>
            </w:r>
          </w:p>
        </w:tc>
        <w:tc>
          <w:tcPr>
            <w:tcW w:w="427" w:type="pct"/>
            <w:vAlign w:val="center"/>
          </w:tcPr>
          <w:p w14:paraId="0A0A0C07" w14:textId="77777777" w:rsidR="002E3E5C" w:rsidRDefault="002E3E5C">
            <w:r>
              <w:t>?</w:t>
            </w:r>
          </w:p>
        </w:tc>
        <w:tc>
          <w:tcPr>
            <w:tcW w:w="427" w:type="pct"/>
            <w:vAlign w:val="center"/>
          </w:tcPr>
          <w:p w14:paraId="3E7C0E28" w14:textId="77777777" w:rsidR="002E3E5C" w:rsidRDefault="002E3E5C">
            <w:r>
              <w:t>?</w:t>
            </w:r>
          </w:p>
        </w:tc>
        <w:tc>
          <w:tcPr>
            <w:tcW w:w="427" w:type="pct"/>
            <w:vAlign w:val="center"/>
          </w:tcPr>
          <w:p w14:paraId="3837F56A" w14:textId="77777777" w:rsidR="002E3E5C" w:rsidRDefault="002E3E5C">
            <w:r>
              <w:t>?</w:t>
            </w:r>
          </w:p>
        </w:tc>
        <w:tc>
          <w:tcPr>
            <w:tcW w:w="427" w:type="pct"/>
            <w:vAlign w:val="center"/>
          </w:tcPr>
          <w:p w14:paraId="55CEB807" w14:textId="77777777" w:rsidR="002E3E5C" w:rsidRDefault="002E3E5C">
            <w:r>
              <w:t>?</w:t>
            </w:r>
          </w:p>
        </w:tc>
        <w:tc>
          <w:tcPr>
            <w:tcW w:w="427" w:type="pct"/>
            <w:vAlign w:val="center"/>
          </w:tcPr>
          <w:p w14:paraId="7676BA2F" w14:textId="77777777" w:rsidR="002E3E5C" w:rsidRDefault="002E3E5C">
            <w:r>
              <w:t>?</w:t>
            </w:r>
          </w:p>
        </w:tc>
        <w:tc>
          <w:tcPr>
            <w:tcW w:w="427" w:type="pct"/>
            <w:vAlign w:val="center"/>
          </w:tcPr>
          <w:p w14:paraId="43D18E84" w14:textId="77777777" w:rsidR="002E3E5C" w:rsidRDefault="002E3E5C">
            <w:r>
              <w:t>?</w:t>
            </w:r>
          </w:p>
        </w:tc>
        <w:tc>
          <w:tcPr>
            <w:tcW w:w="427" w:type="pct"/>
            <w:vAlign w:val="center"/>
          </w:tcPr>
          <w:p w14:paraId="59553817" w14:textId="77777777" w:rsidR="002E3E5C" w:rsidRDefault="002E3E5C">
            <w:r>
              <w:t>?</w:t>
            </w:r>
          </w:p>
        </w:tc>
      </w:tr>
      <w:tr w:rsidR="002E3E5C" w14:paraId="27ABE5B0" w14:textId="77777777" w:rsidTr="003B0EAF">
        <w:trPr>
          <w:trHeight w:val="300"/>
        </w:trPr>
        <w:tc>
          <w:tcPr>
            <w:tcW w:w="1156" w:type="pct"/>
            <w:tcBorders>
              <w:top w:val="double" w:sz="4" w:space="0" w:color="auto"/>
            </w:tcBorders>
            <w:vAlign w:val="center"/>
          </w:tcPr>
          <w:p w14:paraId="347CE1D3" w14:textId="77777777" w:rsidR="002E3E5C" w:rsidRPr="00216ACE" w:rsidRDefault="002E3E5C">
            <w:pPr>
              <w:rPr>
                <w:b/>
              </w:rPr>
            </w:pPr>
            <w:r w:rsidRPr="00216ACE">
              <w:rPr>
                <w:b/>
              </w:rPr>
              <w:t>Päästöjen kasvu (perusennusteeseen verrattuna) yhteensä</w:t>
            </w:r>
          </w:p>
        </w:tc>
        <w:tc>
          <w:tcPr>
            <w:tcW w:w="427" w:type="pct"/>
            <w:tcBorders>
              <w:top w:val="double" w:sz="4" w:space="0" w:color="auto"/>
            </w:tcBorders>
            <w:vAlign w:val="center"/>
          </w:tcPr>
          <w:p w14:paraId="35F02B61" w14:textId="77777777" w:rsidR="002E3E5C" w:rsidRPr="00216ACE" w:rsidRDefault="002E3E5C">
            <w:pPr>
              <w:rPr>
                <w:rFonts w:ascii="Calibri" w:hAnsi="Calibri" w:cs="Calibri"/>
                <w:b/>
                <w:sz w:val="22"/>
                <w:szCs w:val="22"/>
              </w:rPr>
            </w:pPr>
          </w:p>
        </w:tc>
        <w:tc>
          <w:tcPr>
            <w:tcW w:w="427" w:type="pct"/>
            <w:tcBorders>
              <w:top w:val="double" w:sz="4" w:space="0" w:color="auto"/>
            </w:tcBorders>
            <w:vAlign w:val="center"/>
          </w:tcPr>
          <w:p w14:paraId="59BCE5E7" w14:textId="77777777" w:rsidR="002E3E5C" w:rsidRPr="00216ACE" w:rsidRDefault="002E3E5C">
            <w:pPr>
              <w:rPr>
                <w:b/>
              </w:rPr>
            </w:pPr>
            <w:proofErr w:type="gramStart"/>
            <w:r>
              <w:rPr>
                <w:b/>
              </w:rPr>
              <w:t>1,53-1,68</w:t>
            </w:r>
            <w:proofErr w:type="gramEnd"/>
          </w:p>
        </w:tc>
        <w:tc>
          <w:tcPr>
            <w:tcW w:w="427" w:type="pct"/>
            <w:tcBorders>
              <w:top w:val="double" w:sz="4" w:space="0" w:color="auto"/>
            </w:tcBorders>
            <w:vAlign w:val="center"/>
          </w:tcPr>
          <w:p w14:paraId="3ECCBB90" w14:textId="77777777" w:rsidR="002E3E5C" w:rsidRPr="00216ACE" w:rsidRDefault="002E3E5C">
            <w:pPr>
              <w:rPr>
                <w:b/>
              </w:rPr>
            </w:pPr>
            <w:proofErr w:type="gramStart"/>
            <w:r>
              <w:rPr>
                <w:b/>
              </w:rPr>
              <w:t>1,43-1,58</w:t>
            </w:r>
            <w:proofErr w:type="gramEnd"/>
          </w:p>
        </w:tc>
        <w:tc>
          <w:tcPr>
            <w:tcW w:w="427" w:type="pct"/>
            <w:tcBorders>
              <w:top w:val="double" w:sz="4" w:space="0" w:color="auto"/>
            </w:tcBorders>
            <w:vAlign w:val="center"/>
          </w:tcPr>
          <w:p w14:paraId="4F446BB0" w14:textId="77777777" w:rsidR="002E3E5C" w:rsidRPr="00216ACE" w:rsidRDefault="002E3E5C">
            <w:pPr>
              <w:rPr>
                <w:b/>
              </w:rPr>
            </w:pPr>
            <w:proofErr w:type="gramStart"/>
            <w:r>
              <w:rPr>
                <w:b/>
              </w:rPr>
              <w:t>1,13-1,93</w:t>
            </w:r>
            <w:proofErr w:type="gramEnd"/>
          </w:p>
        </w:tc>
        <w:tc>
          <w:tcPr>
            <w:tcW w:w="427" w:type="pct"/>
            <w:tcBorders>
              <w:top w:val="double" w:sz="4" w:space="0" w:color="auto"/>
            </w:tcBorders>
            <w:vAlign w:val="center"/>
          </w:tcPr>
          <w:p w14:paraId="0EE419C1" w14:textId="77777777" w:rsidR="002E3E5C" w:rsidRPr="00216ACE" w:rsidRDefault="002E3E5C">
            <w:pPr>
              <w:rPr>
                <w:b/>
              </w:rPr>
            </w:pPr>
            <w:proofErr w:type="gramStart"/>
            <w:r>
              <w:rPr>
                <w:b/>
              </w:rPr>
              <w:t>0,93-2,03</w:t>
            </w:r>
            <w:proofErr w:type="gramEnd"/>
          </w:p>
        </w:tc>
        <w:tc>
          <w:tcPr>
            <w:tcW w:w="427" w:type="pct"/>
            <w:tcBorders>
              <w:top w:val="double" w:sz="4" w:space="0" w:color="auto"/>
            </w:tcBorders>
            <w:vAlign w:val="center"/>
          </w:tcPr>
          <w:p w14:paraId="5FBCBA48" w14:textId="77777777" w:rsidR="002E3E5C" w:rsidRPr="00216ACE" w:rsidRDefault="002E3E5C">
            <w:pPr>
              <w:rPr>
                <w:b/>
              </w:rPr>
            </w:pPr>
            <w:proofErr w:type="gramStart"/>
            <w:r>
              <w:rPr>
                <w:b/>
              </w:rPr>
              <w:t>0,28-0,93</w:t>
            </w:r>
            <w:proofErr w:type="gramEnd"/>
          </w:p>
        </w:tc>
        <w:tc>
          <w:tcPr>
            <w:tcW w:w="427" w:type="pct"/>
            <w:tcBorders>
              <w:top w:val="double" w:sz="4" w:space="0" w:color="auto"/>
            </w:tcBorders>
            <w:vAlign w:val="center"/>
          </w:tcPr>
          <w:p w14:paraId="66434CB2" w14:textId="77777777" w:rsidR="002E3E5C" w:rsidRPr="00216ACE" w:rsidRDefault="002E3E5C">
            <w:pPr>
              <w:rPr>
                <w:b/>
              </w:rPr>
            </w:pPr>
            <w:proofErr w:type="gramStart"/>
            <w:r>
              <w:rPr>
                <w:b/>
              </w:rPr>
              <w:t>0,28-0,93</w:t>
            </w:r>
            <w:proofErr w:type="gramEnd"/>
          </w:p>
        </w:tc>
        <w:tc>
          <w:tcPr>
            <w:tcW w:w="427" w:type="pct"/>
            <w:tcBorders>
              <w:top w:val="double" w:sz="4" w:space="0" w:color="auto"/>
            </w:tcBorders>
            <w:vAlign w:val="center"/>
          </w:tcPr>
          <w:p w14:paraId="3EE24220" w14:textId="77777777" w:rsidR="002E3E5C" w:rsidRPr="00216ACE" w:rsidRDefault="002E3E5C">
            <w:pPr>
              <w:rPr>
                <w:b/>
              </w:rPr>
            </w:pPr>
            <w:proofErr w:type="gramStart"/>
            <w:r>
              <w:rPr>
                <w:b/>
              </w:rPr>
              <w:t>0,38-1,03</w:t>
            </w:r>
            <w:proofErr w:type="gramEnd"/>
          </w:p>
        </w:tc>
        <w:tc>
          <w:tcPr>
            <w:tcW w:w="427" w:type="pct"/>
            <w:tcBorders>
              <w:top w:val="double" w:sz="4" w:space="0" w:color="auto"/>
            </w:tcBorders>
            <w:vAlign w:val="center"/>
          </w:tcPr>
          <w:p w14:paraId="090F89F7" w14:textId="77777777" w:rsidR="002E3E5C" w:rsidRDefault="002E3E5C">
            <w:pPr>
              <w:rPr>
                <w:b/>
              </w:rPr>
            </w:pPr>
            <w:proofErr w:type="gramStart"/>
            <w:r>
              <w:rPr>
                <w:b/>
              </w:rPr>
              <w:t>5,96-10,11</w:t>
            </w:r>
            <w:proofErr w:type="gramEnd"/>
          </w:p>
          <w:p w14:paraId="342C6F05" w14:textId="77777777" w:rsidR="002E3E5C" w:rsidRPr="00216ACE" w:rsidRDefault="002E3E5C">
            <w:pPr>
              <w:rPr>
                <w:b/>
              </w:rPr>
            </w:pPr>
          </w:p>
        </w:tc>
      </w:tr>
    </w:tbl>
    <w:p w14:paraId="75FAEAC9" w14:textId="6422BD30" w:rsidR="002E3E5C" w:rsidRPr="005F4D87" w:rsidRDefault="002E3E5C" w:rsidP="0B6BB178">
      <w:pPr>
        <w:pStyle w:val="VNLeip1kappale"/>
        <w:rPr>
          <w:rFonts w:ascii="Segoe UI" w:hAnsi="Segoe UI" w:cs="Segoe UI"/>
          <w:sz w:val="18"/>
          <w:szCs w:val="18"/>
        </w:rPr>
      </w:pPr>
    </w:p>
    <w:p w14:paraId="4517D524" w14:textId="3918511C" w:rsidR="005F4D87" w:rsidRPr="005F4D87" w:rsidRDefault="005F4D87" w:rsidP="0B6BB178">
      <w:pPr>
        <w:pStyle w:val="VNLeip1kappale"/>
        <w:rPr>
          <w:rFonts w:ascii="Segoe UI" w:hAnsi="Segoe UI" w:cs="Segoe UI"/>
          <w:sz w:val="18"/>
          <w:szCs w:val="18"/>
        </w:rPr>
      </w:pPr>
      <w:r>
        <w:t>Hallitu</w:t>
      </w:r>
      <w:r w:rsidR="52A7D1BF">
        <w:t>ks</w:t>
      </w:r>
      <w:r>
        <w:t>en</w:t>
      </w:r>
      <w:r w:rsidRPr="005F4D87">
        <w:t xml:space="preserve"> esityksissä ja muualla </w:t>
      </w:r>
      <w:r w:rsidR="00C87566">
        <w:t>esitettyjen</w:t>
      </w:r>
      <w:r w:rsidRPr="005F4D87">
        <w:t xml:space="preserve"> vaikutusarviointien pohjalta voidaan todeta, että </w:t>
      </w:r>
      <w:r w:rsidR="00FC79FD">
        <w:t>hallitusohjelma</w:t>
      </w:r>
      <w:r w:rsidRPr="005F4D87">
        <w:t>toimien vaikutuksesta tieliikenteen päästöt vuonna 2030 kasvaisivat (perusennusteeseen verrattuna) noin 0,</w:t>
      </w:r>
      <w:r w:rsidR="00C23223" w:rsidRPr="00C23223">
        <w:t>38-1,03</w:t>
      </w:r>
      <w:r w:rsidRPr="005F4D87">
        <w:t xml:space="preserve"> Mt ja olisivat noin 6,2</w:t>
      </w:r>
      <w:r w:rsidR="007C3A24">
        <w:t>7</w:t>
      </w:r>
      <w:r w:rsidRPr="005F4D87">
        <w:t>-6,</w:t>
      </w:r>
      <w:r w:rsidR="00AC4F86">
        <w:t>9</w:t>
      </w:r>
      <w:r w:rsidRPr="005F4D87">
        <w:t>2 Mt eli noin 0,</w:t>
      </w:r>
      <w:r w:rsidR="00B57771">
        <w:t>32</w:t>
      </w:r>
      <w:r w:rsidRPr="005F4D87">
        <w:t>-0,</w:t>
      </w:r>
      <w:r w:rsidR="001B154A">
        <w:t>9</w:t>
      </w:r>
      <w:r w:rsidRPr="005F4D87">
        <w:t>7 Mt yli tieliikenteelle lasketun, -50 % päästövähennystason (~5,95 Mt). </w:t>
      </w:r>
      <w:r w:rsidR="00AF40AD">
        <w:t xml:space="preserve"> Uusia toimia liikenteen päästöjen vähentämiseksi tarvittaisiin siten </w:t>
      </w:r>
      <w:r w:rsidR="00C1201D">
        <w:t>vuo</w:t>
      </w:r>
      <w:r w:rsidR="00023833">
        <w:t>den</w:t>
      </w:r>
      <w:r w:rsidR="00C1201D">
        <w:t xml:space="preserve"> 2030 </w:t>
      </w:r>
      <w:r w:rsidR="00BC7EBF">
        <w:t xml:space="preserve">osalta </w:t>
      </w:r>
      <w:r w:rsidR="00F64F36">
        <w:t>noin 0,32</w:t>
      </w:r>
      <w:r w:rsidR="4D0D996C">
        <w:t>–0,97</w:t>
      </w:r>
      <w:r w:rsidR="00F64F36">
        <w:t xml:space="preserve"> Mt verran.</w:t>
      </w:r>
      <w:r w:rsidRPr="005F4D87">
        <w:t> </w:t>
      </w:r>
      <w:r w:rsidR="00704BAA" w:rsidRPr="005F4D87">
        <w:t>Kumulatiivinen päästöjen kasvu vuosina 2024</w:t>
      </w:r>
      <w:r w:rsidR="55622928">
        <w:t>–</w:t>
      </w:r>
      <w:r w:rsidR="00704BAA" w:rsidRPr="005F4D87">
        <w:t xml:space="preserve">2030 olisi (perusennusteeseen verrattuna) noin </w:t>
      </w:r>
      <w:r w:rsidR="00704BAA" w:rsidRPr="008C0BAD">
        <w:t>5,96</w:t>
      </w:r>
      <w:r w:rsidR="3BA92050">
        <w:t>–</w:t>
      </w:r>
      <w:r w:rsidR="00704BAA" w:rsidRPr="008C0BAD">
        <w:t>10,11</w:t>
      </w:r>
      <w:r w:rsidR="00704BAA">
        <w:t xml:space="preserve"> </w:t>
      </w:r>
      <w:r w:rsidR="00704BAA" w:rsidRPr="005F4D87">
        <w:t>Mt.</w:t>
      </w:r>
      <w:r w:rsidRPr="005F4D87">
        <w:t>  </w:t>
      </w:r>
    </w:p>
    <w:p w14:paraId="3E58B1C0" w14:textId="5AF980F8" w:rsidR="005F4D87" w:rsidRPr="00873E36" w:rsidRDefault="0004676D" w:rsidP="00564CA5">
      <w:pPr>
        <w:pStyle w:val="Otsikko2"/>
        <w:rPr>
          <w:lang w:val="fi-FI"/>
        </w:rPr>
      </w:pPr>
      <w:bookmarkStart w:id="99" w:name="_Toc202260044"/>
      <w:r>
        <w:rPr>
          <w:lang w:val="fi-FI"/>
        </w:rPr>
        <w:t xml:space="preserve">5.2 </w:t>
      </w:r>
      <w:r w:rsidR="005F4D87" w:rsidRPr="00873E36">
        <w:rPr>
          <w:lang w:val="fi-FI"/>
        </w:rPr>
        <w:t>Maatalous</w:t>
      </w:r>
      <w:bookmarkEnd w:id="99"/>
      <w:r w:rsidR="005F4D87" w:rsidRPr="00873E36">
        <w:rPr>
          <w:lang w:val="fi-FI"/>
        </w:rPr>
        <w:t> </w:t>
      </w:r>
    </w:p>
    <w:p w14:paraId="6BA7ED43" w14:textId="158B73C5" w:rsidR="005F4D87" w:rsidRPr="00671FF9" w:rsidRDefault="005F4D87" w:rsidP="009B287C">
      <w:pPr>
        <w:pStyle w:val="VNLeip1kappale"/>
      </w:pPr>
      <w:r w:rsidRPr="005F4D87">
        <w:t>Maatalouden kasvihuonekaasupäästöjä raportoidaan useammalla raportointisektorilla (</w:t>
      </w:r>
      <w:r w:rsidR="000E2197">
        <w:fldChar w:fldCharType="begin"/>
      </w:r>
      <w:r w:rsidR="000E2197">
        <w:instrText xml:space="preserve"> REF _Ref201650936 \h </w:instrText>
      </w:r>
      <w:r w:rsidR="000E2197">
        <w:fldChar w:fldCharType="separate"/>
      </w:r>
      <w:r w:rsidR="000E2197">
        <w:t xml:space="preserve">Kuvio </w:t>
      </w:r>
      <w:r w:rsidR="000E2197">
        <w:rPr>
          <w:noProof/>
        </w:rPr>
        <w:t>9</w:t>
      </w:r>
      <w:r w:rsidR="000E2197">
        <w:fldChar w:fldCharType="end"/>
      </w:r>
      <w:r w:rsidRPr="005F4D87">
        <w:t xml:space="preserve">). Taakanjakosektorille kuuluvat maataloussektorilla raportoitavat metaani- ja dityppioksidipäästöt, jotka ovat pääasiassa peräisin tuotantoeläimistä, lannasta ja maaperästä, sekä kalkituksen hiilidioksidipäästöistä. </w:t>
      </w:r>
      <w:r w:rsidR="00227D2D">
        <w:t>Taakanjakosektorilla raportoidaan myös</w:t>
      </w:r>
      <w:r w:rsidRPr="005F4D87">
        <w:t xml:space="preserve"> urealannoituksesta ja kasvintähteiden peltopoltosta</w:t>
      </w:r>
      <w:r w:rsidR="00227D2D">
        <w:t xml:space="preserve"> syntyvät </w:t>
      </w:r>
      <w:r w:rsidR="00092D82">
        <w:t xml:space="preserve">pienet </w:t>
      </w:r>
      <w:r w:rsidR="00227D2D">
        <w:t>päästöt</w:t>
      </w:r>
      <w:r w:rsidR="00092D82">
        <w:t xml:space="preserve">. </w:t>
      </w:r>
      <w:r w:rsidR="00227D2D">
        <w:t xml:space="preserve">Suomessa </w:t>
      </w:r>
      <w:r w:rsidR="00B859D0">
        <w:t>kasvitähteiden poltto</w:t>
      </w:r>
      <w:r w:rsidR="00227D2D">
        <w:t xml:space="preserve"> on </w:t>
      </w:r>
      <w:r w:rsidR="4E733F41">
        <w:t xml:space="preserve">nykyään </w:t>
      </w:r>
      <w:r w:rsidR="00227D2D">
        <w:t xml:space="preserve">erittäin harvinaista. EU:n yhteisen maatalouspolitiikan (YMP) ehdollisuuden säännössä sängen ja siten myös kasvuston poltto on </w:t>
      </w:r>
      <w:r w:rsidR="00CF2E6D">
        <w:t>lähtökohtaisesti</w:t>
      </w:r>
      <w:r w:rsidR="00B859D0">
        <w:t xml:space="preserve"> </w:t>
      </w:r>
      <w:r w:rsidR="00227D2D">
        <w:t>kielletty.</w:t>
      </w:r>
      <w:r w:rsidRPr="005F4D87">
        <w:t xml:space="preserve"> Maankäyttösektorilla (</w:t>
      </w:r>
      <w:proofErr w:type="spellStart"/>
      <w:r w:rsidRPr="005F4D87">
        <w:t>land-use</w:t>
      </w:r>
      <w:proofErr w:type="spellEnd"/>
      <w:r w:rsidRPr="005F4D87">
        <w:t xml:space="preserve">, </w:t>
      </w:r>
      <w:proofErr w:type="spellStart"/>
      <w:r w:rsidRPr="005F4D87">
        <w:t>land</w:t>
      </w:r>
      <w:proofErr w:type="spellEnd"/>
      <w:r w:rsidRPr="005F4D87">
        <w:t xml:space="preserve"> </w:t>
      </w:r>
      <w:proofErr w:type="spellStart"/>
      <w:r w:rsidRPr="005F4D87">
        <w:t>use</w:t>
      </w:r>
      <w:proofErr w:type="spellEnd"/>
      <w:r w:rsidRPr="005F4D87">
        <w:t xml:space="preserve"> </w:t>
      </w:r>
      <w:proofErr w:type="spellStart"/>
      <w:r w:rsidRPr="005F4D87">
        <w:t>change</w:t>
      </w:r>
      <w:proofErr w:type="spellEnd"/>
      <w:r w:rsidRPr="005F4D87">
        <w:t xml:space="preserve"> and </w:t>
      </w:r>
      <w:proofErr w:type="spellStart"/>
      <w:r w:rsidRPr="005F4D87">
        <w:t>forestry</w:t>
      </w:r>
      <w:proofErr w:type="spellEnd"/>
      <w:r w:rsidRPr="005F4D87">
        <w:t>, LULUCF) raportoidaan viljelysmaiden ja ruohikkoalueiden hiilidioksidipäästöt</w:t>
      </w:r>
      <w:r w:rsidR="00F672AD" w:rsidRPr="00671FF9">
        <w:t xml:space="preserve"> sekä alueiden raivaamisesta pelloiksi aihetuvat päästöt</w:t>
      </w:r>
      <w:r w:rsidRPr="00671FF9">
        <w:t>.</w:t>
      </w:r>
      <w:r w:rsidRPr="005F4D87">
        <w:t xml:space="preserve"> Lisäksi taakanjakosektorin muilla sektoreilla raportoidaan maatalouden työkoneiden, kiinteistökohtaisen lämmityksen ja viljankuivureiden polttoaineiden käytön päästöt, jotka käsitellään keskipitkän aikavälin ilmastosuunnitelmassa osana työkoneita ja rakennusten erillislämmitystä koskevia lukuja. </w:t>
      </w:r>
    </w:p>
    <w:p w14:paraId="651DE6B5" w14:textId="59923623" w:rsidR="00B739FF" w:rsidRPr="00671FF9" w:rsidRDefault="005F4D87" w:rsidP="037CA8D4">
      <w:pPr>
        <w:pStyle w:val="VNLeip1kappale"/>
        <w:spacing w:before="120" w:after="120" w:line="276" w:lineRule="auto"/>
      </w:pPr>
      <w:r w:rsidRPr="0CE6B9F7">
        <w:t>Maatalou</w:t>
      </w:r>
      <w:r w:rsidR="006F1C44" w:rsidRPr="00671FF9">
        <w:t>dessa on päästövähennystoimia, jo</w:t>
      </w:r>
      <w:r w:rsidR="00775F74" w:rsidRPr="00671FF9">
        <w:t xml:space="preserve">iden vaikutuksia raportoidaan sekä </w:t>
      </w:r>
      <w:r w:rsidR="006F1C44" w:rsidRPr="00671FF9">
        <w:t xml:space="preserve">taakanjakosektorilla että </w:t>
      </w:r>
      <w:r w:rsidR="00D21B03" w:rsidRPr="00671FF9">
        <w:t>LULUCF- sektorilla</w:t>
      </w:r>
      <w:r w:rsidRPr="00671FF9">
        <w:t xml:space="preserve">. Ilmastosuunnitelmassa on pyritty tuomaan esille vaikutukset molemmilla sektoreilla. </w:t>
      </w:r>
    </w:p>
    <w:p w14:paraId="694A0DB3" w14:textId="252A5C26" w:rsidR="002E6BE3" w:rsidRDefault="002E6BE3" w:rsidP="009B287C">
      <w:pPr>
        <w:pStyle w:val="VNLeip1kappale"/>
        <w:rPr>
          <w:szCs w:val="22"/>
        </w:rPr>
      </w:pPr>
      <w:r w:rsidRPr="0071592B">
        <w:t>LULUCF-sektorilla voidaan saavuttaa merkittäviä päästövähennyksiä hidastamalla turvepeltojen hiilivarastojen hajoamista nostamalla pohjaveden pintaa ja vähentämällä uusien eloperäisten peltojen raivausta. Maataloussektorilla tulisi keskittyä kotieläinten ruuansulatuksesta, lannankäsittelystä ja typpilannoitteiden käytöstä aiheutuvien päästöjen vähentämiseen vähentämättä kotimaista tuotantoa, jolloin päästövähennyksiä voidaan saavuttaa esimerkiksi nautojen ruokinnan muutosten ja rehun lisäaineiden avulla, käsittelemällä lantaa biokaasulaitoksissa ja kierrättämällä ravinteita sekä tarkentamalla lannoitteiden käyttöä.</w:t>
      </w:r>
    </w:p>
    <w:p w14:paraId="51519659" w14:textId="77777777" w:rsidR="00671FF9" w:rsidRPr="00671FF9" w:rsidRDefault="00671FF9" w:rsidP="002E6BE3">
      <w:pPr>
        <w:spacing w:before="120" w:after="120"/>
        <w:rPr>
          <w:rFonts w:cs="Myriad Pro"/>
          <w:spacing w:val="1"/>
          <w:sz w:val="22"/>
        </w:rPr>
      </w:pPr>
    </w:p>
    <w:p w14:paraId="2E7B8386" w14:textId="77777777" w:rsidR="005F4D87" w:rsidRDefault="005F4D87" w:rsidP="005F4D87">
      <w:pPr>
        <w:textAlignment w:val="baseline"/>
        <w:rPr>
          <w:rFonts w:ascii="Arial Narrow" w:hAnsi="Arial Narrow" w:cs="Segoe UI"/>
          <w:b/>
          <w:color w:val="365ABD" w:themeColor="accent3"/>
          <w:sz w:val="26"/>
          <w:szCs w:val="26"/>
        </w:rPr>
      </w:pPr>
      <w:r w:rsidRPr="09243E2F">
        <w:rPr>
          <w:rFonts w:ascii="Arial Narrow" w:hAnsi="Arial Narrow" w:cs="Segoe UI"/>
          <w:b/>
          <w:color w:val="365ABD" w:themeColor="accent3"/>
          <w:sz w:val="26"/>
          <w:szCs w:val="26"/>
        </w:rPr>
        <w:t>Päästökehitys </w:t>
      </w:r>
    </w:p>
    <w:p w14:paraId="13262442" w14:textId="77777777" w:rsidR="000E2197" w:rsidRPr="005F4D87" w:rsidRDefault="000E2197" w:rsidP="005F4D87">
      <w:pPr>
        <w:textAlignment w:val="baseline"/>
        <w:rPr>
          <w:rFonts w:ascii="Segoe UI" w:hAnsi="Segoe UI" w:cs="Segoe UI"/>
          <w:b/>
          <w:bCs/>
          <w:color w:val="365ABD"/>
          <w:sz w:val="18"/>
          <w:szCs w:val="18"/>
        </w:rPr>
      </w:pPr>
    </w:p>
    <w:p w14:paraId="5371843E" w14:textId="576BCCAE" w:rsidR="005F4D87" w:rsidRPr="005F4D87" w:rsidRDefault="000E2197" w:rsidP="000E2197">
      <w:pPr>
        <w:pStyle w:val="Kuvaotsikko"/>
        <w:rPr>
          <w:rFonts w:ascii="Segoe UI" w:hAnsi="Segoe UI" w:cs="Segoe UI"/>
        </w:rPr>
      </w:pPr>
      <w:bookmarkStart w:id="100" w:name="_Ref201650936"/>
      <w:r>
        <w:t>Kuvio</w:t>
      </w:r>
      <w:r w:rsidR="52439BCB">
        <w:t xml:space="preserve"> </w:t>
      </w:r>
      <w:r>
        <w:fldChar w:fldCharType="begin"/>
      </w:r>
      <w:r>
        <w:instrText xml:space="preserve"> SEQ Kuvio \* ARABIC </w:instrText>
      </w:r>
      <w:r>
        <w:fldChar w:fldCharType="separate"/>
      </w:r>
      <w:r w:rsidR="00D87A85">
        <w:rPr>
          <w:noProof/>
        </w:rPr>
        <w:t>9</w:t>
      </w:r>
      <w:r>
        <w:fldChar w:fldCharType="end"/>
      </w:r>
      <w:bookmarkEnd w:id="100"/>
      <w:r w:rsidR="00047C51">
        <w:t>.</w:t>
      </w:r>
      <w:r w:rsidR="52439BCB">
        <w:t xml:space="preserve"> </w:t>
      </w:r>
      <w:r w:rsidR="3077E405">
        <w:t xml:space="preserve">Maatalouden kasvihuonekaasupäästöjen jakauma taakanjakosektorille (maatalous ja </w:t>
      </w:r>
      <w:r w:rsidR="003F5544">
        <w:t xml:space="preserve">maatalouden </w:t>
      </w:r>
      <w:r w:rsidR="00266E9B">
        <w:t>energiankäyttö</w:t>
      </w:r>
      <w:r w:rsidR="3077E405">
        <w:t xml:space="preserve">) ja maankäyttösektorille (LULUCF) vuonna 2023 </w:t>
      </w:r>
      <w:r w:rsidR="3077E405" w:rsidRPr="44C2759F">
        <w:rPr>
          <w:color w:val="CC3595"/>
        </w:rPr>
        <w:t> </w:t>
      </w:r>
    </w:p>
    <w:p w14:paraId="44EB3330" w14:textId="77777777" w:rsidR="005F4D87" w:rsidRPr="005F4D87" w:rsidRDefault="005F4D87" w:rsidP="005F4D87">
      <w:pPr>
        <w:textAlignment w:val="baseline"/>
        <w:rPr>
          <w:rFonts w:ascii="Segoe UI" w:hAnsi="Segoe UI" w:cs="Segoe UI"/>
          <w:sz w:val="18"/>
          <w:szCs w:val="18"/>
        </w:rPr>
      </w:pPr>
      <w:r>
        <w:rPr>
          <w:noProof/>
        </w:rPr>
        <w:drawing>
          <wp:inline distT="0" distB="0" distL="0" distR="0" wp14:anchorId="40AD2A2D" wp14:editId="313D9D67">
            <wp:extent cx="5006952" cy="3082418"/>
            <wp:effectExtent l="0" t="0" r="3810" b="3810"/>
            <wp:docPr id="117" name="Kuva 92" descr="Kuva 1297725028,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2"/>
                    <pic:cNvPicPr/>
                  </pic:nvPicPr>
                  <pic:blipFill>
                    <a:blip r:embed="rId41">
                      <a:extLst>
                        <a:ext uri="{28A0092B-C50C-407E-A947-70E740481C1C}">
                          <a14:useLocalDpi xmlns:a14="http://schemas.microsoft.com/office/drawing/2010/main" val="0"/>
                        </a:ext>
                      </a:extLst>
                    </a:blip>
                    <a:stretch>
                      <a:fillRect/>
                    </a:stretch>
                  </pic:blipFill>
                  <pic:spPr>
                    <a:xfrm>
                      <a:off x="0" y="0"/>
                      <a:ext cx="5006952" cy="3082418"/>
                    </a:xfrm>
                    <a:prstGeom prst="rect">
                      <a:avLst/>
                    </a:prstGeom>
                  </pic:spPr>
                </pic:pic>
              </a:graphicData>
            </a:graphic>
          </wp:inline>
        </w:drawing>
      </w:r>
      <w:r w:rsidRPr="005F4D87">
        <w:rPr>
          <w:rFonts w:cs="Arial"/>
          <w:sz w:val="22"/>
          <w:szCs w:val="22"/>
        </w:rPr>
        <w:t> </w:t>
      </w:r>
    </w:p>
    <w:p w14:paraId="0E178B29" w14:textId="77777777" w:rsidR="005F4D87" w:rsidRPr="005F4D87" w:rsidRDefault="005F4D87" w:rsidP="005F4D87">
      <w:pPr>
        <w:textAlignment w:val="baseline"/>
        <w:rPr>
          <w:rFonts w:ascii="Segoe UI" w:hAnsi="Segoe UI" w:cs="Segoe UI"/>
          <w:sz w:val="18"/>
          <w:szCs w:val="18"/>
        </w:rPr>
      </w:pPr>
      <w:r w:rsidRPr="005F4D87">
        <w:rPr>
          <w:rFonts w:cs="Arial"/>
          <w:sz w:val="22"/>
          <w:szCs w:val="22"/>
        </w:rPr>
        <w:t> </w:t>
      </w:r>
    </w:p>
    <w:p w14:paraId="38426BC0" w14:textId="5E588BCE" w:rsidR="005F4D87" w:rsidRPr="005F4D87" w:rsidRDefault="005F4D87" w:rsidP="00973D69">
      <w:pPr>
        <w:pStyle w:val="VNLeip1kappale"/>
        <w:rPr>
          <w:rFonts w:ascii="Segoe UI" w:hAnsi="Segoe UI" w:cs="Segoe UI"/>
          <w:sz w:val="18"/>
          <w:szCs w:val="18"/>
        </w:rPr>
      </w:pPr>
      <w:r w:rsidRPr="005F4D87">
        <w:t>Maatalouden taakanjakosektorille laskettavat päästöt, pois lukien energian käytön päästöt, ovat pysyneet suhteellisen tasaisena viime vuosina.</w:t>
      </w:r>
      <w:r w:rsidRPr="00973D69">
        <w:t xml:space="preserve"> Vuonna 202</w:t>
      </w:r>
      <w:r w:rsidR="00973D69">
        <w:t>4</w:t>
      </w:r>
      <w:r w:rsidRPr="00973D69">
        <w:t xml:space="preserve"> maatalouden päästöt olivat n. 0,</w:t>
      </w:r>
      <w:r w:rsidR="009A6BBF">
        <w:t>05</w:t>
      </w:r>
      <w:r w:rsidRPr="00973D69">
        <w:t xml:space="preserve"> Mt CO</w:t>
      </w:r>
      <w:r w:rsidRPr="00973D69">
        <w:rPr>
          <w:sz w:val="17"/>
          <w:szCs w:val="17"/>
          <w:vertAlign w:val="subscript"/>
        </w:rPr>
        <w:t>2</w:t>
      </w:r>
      <w:r w:rsidRPr="00973D69">
        <w:t xml:space="preserve">-ekv. </w:t>
      </w:r>
      <w:r w:rsidR="009A6BBF">
        <w:t>vähemmän</w:t>
      </w:r>
      <w:r>
        <w:t xml:space="preserve"> </w:t>
      </w:r>
      <w:r w:rsidRPr="00973D69">
        <w:t xml:space="preserve">kuin vuonna </w:t>
      </w:r>
      <w:r w:rsidR="00650F16">
        <w:t xml:space="preserve">2023 </w:t>
      </w:r>
      <w:r w:rsidRPr="00973D69">
        <w:t>ollen noin 6,</w:t>
      </w:r>
      <w:r w:rsidR="009A6BBF">
        <w:t>15</w:t>
      </w:r>
      <w:r w:rsidRPr="00973D69">
        <w:t xml:space="preserve"> Mt CO</w:t>
      </w:r>
      <w:r w:rsidRPr="00973D69">
        <w:rPr>
          <w:sz w:val="17"/>
          <w:szCs w:val="17"/>
          <w:vertAlign w:val="subscript"/>
        </w:rPr>
        <w:t>2</w:t>
      </w:r>
      <w:r w:rsidRPr="00973D69">
        <w:t>-ekv. (</w:t>
      </w:r>
      <w:r w:rsidR="008052AF">
        <w:t xml:space="preserve">ks. </w:t>
      </w:r>
      <w:r w:rsidR="000E2197">
        <w:fldChar w:fldCharType="begin"/>
      </w:r>
      <w:r w:rsidR="000E2197">
        <w:instrText xml:space="preserve"> REF _Ref201650956 \h </w:instrText>
      </w:r>
      <w:r w:rsidR="000E2197">
        <w:fldChar w:fldCharType="separate"/>
      </w:r>
      <w:r w:rsidR="000E2197">
        <w:t xml:space="preserve">Kuvio </w:t>
      </w:r>
      <w:r w:rsidR="000E2197">
        <w:rPr>
          <w:noProof/>
        </w:rPr>
        <w:t>10</w:t>
      </w:r>
      <w:r w:rsidR="000E2197">
        <w:fldChar w:fldCharType="end"/>
      </w:r>
      <w:r w:rsidRPr="00973D69">
        <w:t>.) Vuonna 2022 päästöt olivat poikkeuksellisen pienet lannoituksesta syntyneiden vähäisempien päästöjen vuoksi. Vuonna 2022 lannoitteiden korkea hinta vähensi niiden käyttöä. </w:t>
      </w:r>
    </w:p>
    <w:p w14:paraId="63E75F52" w14:textId="0C5AC525" w:rsidR="007A45DA" w:rsidRPr="005F4D87" w:rsidRDefault="007A45DA" w:rsidP="00047C51">
      <w:pPr>
        <w:pStyle w:val="VNKuvateksti"/>
      </w:pPr>
    </w:p>
    <w:p w14:paraId="321DCBBA" w14:textId="304DFFDF" w:rsidR="005F4D87" w:rsidRDefault="000E2197" w:rsidP="000E2197">
      <w:pPr>
        <w:pStyle w:val="Kuvaotsikko"/>
      </w:pPr>
      <w:bookmarkStart w:id="101" w:name="_Ref201650956"/>
      <w:r>
        <w:t>Kuvio</w:t>
      </w:r>
      <w:r w:rsidR="52439BCB">
        <w:t xml:space="preserve"> </w:t>
      </w:r>
      <w:r>
        <w:fldChar w:fldCharType="begin"/>
      </w:r>
      <w:r>
        <w:instrText xml:space="preserve"> SEQ Kuvio \* ARABIC </w:instrText>
      </w:r>
      <w:r>
        <w:fldChar w:fldCharType="separate"/>
      </w:r>
      <w:r w:rsidR="00D87A85">
        <w:rPr>
          <w:noProof/>
        </w:rPr>
        <w:t>10</w:t>
      </w:r>
      <w:r>
        <w:fldChar w:fldCharType="end"/>
      </w:r>
      <w:bookmarkEnd w:id="101"/>
      <w:r w:rsidR="00047C51">
        <w:t>.</w:t>
      </w:r>
      <w:r w:rsidR="52439BCB">
        <w:t xml:space="preserve"> </w:t>
      </w:r>
      <w:r w:rsidR="3077E405">
        <w:t>Maatalouden</w:t>
      </w:r>
      <w:r w:rsidR="01BEB458">
        <w:t xml:space="preserve"> taakanjakosektorille kuuluvat</w:t>
      </w:r>
      <w:r w:rsidR="3077E405">
        <w:t xml:space="preserve"> päästöt vuosina 2005–202</w:t>
      </w:r>
      <w:r w:rsidR="31AC5DB7">
        <w:t>4</w:t>
      </w:r>
      <w:r w:rsidR="3077E405">
        <w:t xml:space="preserve"> sekä arvio nykytoimilla saavutettavasta päästökehityksestä vuosina 202</w:t>
      </w:r>
      <w:r w:rsidR="7472B350">
        <w:t>5</w:t>
      </w:r>
      <w:r w:rsidR="3077E405">
        <w:t>–2040.  </w:t>
      </w:r>
      <w:r w:rsidR="6A9CCAB4">
        <w:t xml:space="preserve">Vuoden 2024 tieto </w:t>
      </w:r>
      <w:r w:rsidR="1440B35D">
        <w:t xml:space="preserve">perustuu </w:t>
      </w:r>
      <w:r w:rsidR="3E0D50E4">
        <w:t xml:space="preserve">22.5.2025 </w:t>
      </w:r>
      <w:r w:rsidR="6A9CCAB4">
        <w:t>pikaennakko</w:t>
      </w:r>
      <w:r w:rsidR="3E0D50E4">
        <w:t>tietoon</w:t>
      </w:r>
      <w:r w:rsidR="6A9CCAB4">
        <w:t>.</w:t>
      </w:r>
    </w:p>
    <w:p w14:paraId="3C1D5F9C" w14:textId="648D6419" w:rsidR="005F4D87" w:rsidRPr="005F4D87" w:rsidRDefault="009C2694" w:rsidP="009C2694">
      <w:pPr>
        <w:pStyle w:val="VNLeip1kappale"/>
        <w:rPr>
          <w:rFonts w:ascii="Segoe UI" w:hAnsi="Segoe UI" w:cs="Segoe UI"/>
          <w:sz w:val="18"/>
          <w:szCs w:val="18"/>
        </w:rPr>
      </w:pPr>
      <w:r>
        <w:rPr>
          <w:noProof/>
        </w:rPr>
        <w:drawing>
          <wp:inline distT="0" distB="0" distL="0" distR="0" wp14:anchorId="2776DB9F" wp14:editId="37548D17">
            <wp:extent cx="4498340" cy="2895600"/>
            <wp:effectExtent l="0" t="0" r="0" b="0"/>
            <wp:docPr id="1387183104" name="Kaavio 1">
              <a:extLst xmlns:a="http://schemas.openxmlformats.org/drawingml/2006/main">
                <a:ext uri="{FF2B5EF4-FFF2-40B4-BE49-F238E27FC236}">
                  <a16:creationId xmlns:a16="http://schemas.microsoft.com/office/drawing/2014/main" id="{04C1409E-8825-5CE7-817C-BF56BC6ACF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DE9B09F" w14:textId="7E3EA02E" w:rsidR="005F4D87" w:rsidRPr="005F4D87" w:rsidRDefault="005F4D87" w:rsidP="0B6BB178">
      <w:pPr>
        <w:pStyle w:val="VNLeip1kappale"/>
        <w:rPr>
          <w:rFonts w:ascii="Segoe UI" w:hAnsi="Segoe UI" w:cs="Segoe UI"/>
          <w:sz w:val="18"/>
          <w:szCs w:val="18"/>
        </w:rPr>
      </w:pPr>
      <w:r w:rsidRPr="000570A4">
        <w:t>Maankäyttösektorilla</w:t>
      </w:r>
      <w:r w:rsidRPr="005F4D87">
        <w:t xml:space="preserve"> raportoitavat </w:t>
      </w:r>
      <w:r w:rsidRPr="000570A4">
        <w:t>maatalousmaiden CO</w:t>
      </w:r>
      <w:r w:rsidRPr="000570A4">
        <w:rPr>
          <w:sz w:val="17"/>
          <w:szCs w:val="17"/>
          <w:vertAlign w:val="subscript"/>
        </w:rPr>
        <w:t>2</w:t>
      </w:r>
      <w:r w:rsidRPr="000570A4">
        <w:t>-</w:t>
      </w:r>
      <w:r w:rsidRPr="005F4D87">
        <w:t xml:space="preserve">päästöt </w:t>
      </w:r>
      <w:r>
        <w:t>o</w:t>
      </w:r>
      <w:r w:rsidR="4B73AD33">
        <w:t>li</w:t>
      </w:r>
      <w:r>
        <w:t xml:space="preserve">vat noin </w:t>
      </w:r>
      <w:r w:rsidR="38D6693F">
        <w:t>9,4</w:t>
      </w:r>
      <w:r w:rsidRPr="000570A4">
        <w:t xml:space="preserve"> milj. t</w:t>
      </w:r>
      <w:r w:rsidRPr="005F4D87">
        <w:t xml:space="preserve"> </w:t>
      </w:r>
      <w:r w:rsidRPr="000570A4">
        <w:t>CO</w:t>
      </w:r>
      <w:r w:rsidRPr="000570A4">
        <w:rPr>
          <w:sz w:val="17"/>
          <w:szCs w:val="17"/>
          <w:vertAlign w:val="subscript"/>
        </w:rPr>
        <w:t>2</w:t>
      </w:r>
      <w:r w:rsidRPr="000570A4">
        <w:t xml:space="preserve">-ekv. </w:t>
      </w:r>
      <w:r w:rsidR="5E9D812C">
        <w:t>vuonna 2023.</w:t>
      </w:r>
      <w:r w:rsidRPr="005F4D87">
        <w:t xml:space="preserve"> Maatalouden kokonaispäästöistä noin kolme neljäsosaa on maaperään liittyviä päästöjä, kun mukaan luetaan maankäyttösektorin hiilidioksidipäästöjen lisäksi maataloussektorin dityppioksidipäästöt. Näistä päästöistä taas noin kolme neljäsosaa liittyy eloperäisiin eli turvemaihin. Tutkimusten mukaan maatalouden tehokkaimmat päästövähennystoimet liittyvät juuri eloperäisiin maihin, joten </w:t>
      </w:r>
      <w:proofErr w:type="spellStart"/>
      <w:r w:rsidRPr="005F4D87">
        <w:t>KAISUssa</w:t>
      </w:r>
      <w:proofErr w:type="spellEnd"/>
      <w:r w:rsidRPr="005F4D87">
        <w:t xml:space="preserve"> on tyypillisesti ollut useita päästövähennystoimia turvemaihin liittyen. Nämä toimet vähentävät sekä taakanjako- että maankäyttösektorin päästöjä ja ovat samoja toimia, joita on maankäyttösektorin ilmastosuunnitelmassa (MISU). </w:t>
      </w:r>
    </w:p>
    <w:p w14:paraId="1929B282" w14:textId="77777777" w:rsidR="005F4D87" w:rsidRPr="005F4D87" w:rsidRDefault="005F4D87" w:rsidP="005F4D87">
      <w:pPr>
        <w:textAlignment w:val="baseline"/>
        <w:rPr>
          <w:rFonts w:ascii="Segoe UI" w:hAnsi="Segoe UI" w:cs="Segoe UI"/>
          <w:b/>
          <w:bCs/>
          <w:color w:val="365ABD"/>
          <w:sz w:val="18"/>
          <w:szCs w:val="18"/>
        </w:rPr>
      </w:pPr>
      <w:r w:rsidRPr="0B6BB178">
        <w:rPr>
          <w:rFonts w:ascii="Arial Narrow" w:hAnsi="Arial Narrow" w:cs="Segoe UI"/>
          <w:b/>
          <w:color w:val="365ABD" w:themeColor="accent3"/>
          <w:sz w:val="26"/>
          <w:szCs w:val="26"/>
        </w:rPr>
        <w:t> </w:t>
      </w:r>
    </w:p>
    <w:p w14:paraId="6FB1EA88" w14:textId="77777777" w:rsidR="005F4D87" w:rsidRPr="005F4D87" w:rsidRDefault="005F4D87" w:rsidP="005F4D87">
      <w:pPr>
        <w:textAlignment w:val="baseline"/>
        <w:rPr>
          <w:rFonts w:ascii="Segoe UI" w:hAnsi="Segoe UI" w:cs="Segoe UI"/>
          <w:b/>
          <w:bCs/>
          <w:color w:val="365ABD"/>
          <w:sz w:val="18"/>
          <w:szCs w:val="18"/>
        </w:rPr>
      </w:pPr>
      <w:r w:rsidRPr="0B6BB178">
        <w:rPr>
          <w:rFonts w:ascii="Arial Narrow" w:hAnsi="Arial Narrow" w:cs="Segoe UI"/>
          <w:b/>
          <w:color w:val="365ABD" w:themeColor="accent3"/>
          <w:sz w:val="26"/>
          <w:szCs w:val="26"/>
        </w:rPr>
        <w:t>Nykytoimet </w:t>
      </w:r>
    </w:p>
    <w:p w14:paraId="177F6449" w14:textId="64A17029" w:rsidR="005F4D87" w:rsidRPr="005F4D87" w:rsidRDefault="005F4D87" w:rsidP="0B6BB178">
      <w:pPr>
        <w:pStyle w:val="VNLeip1kappale"/>
        <w:rPr>
          <w:rFonts w:ascii="Segoe UI" w:hAnsi="Segoe UI" w:cs="Segoe UI"/>
          <w:sz w:val="18"/>
          <w:szCs w:val="18"/>
        </w:rPr>
      </w:pPr>
      <w:r w:rsidRPr="005F4D87">
        <w:t xml:space="preserve">Vuonna 2022 julkaistun keskipitkän aikavälin ilmastopolitiikan suunnitelman toimenpiteistä osa </w:t>
      </w:r>
      <w:r w:rsidRPr="00E25C16">
        <w:t xml:space="preserve">on jo toimeenpantu, mutta merkittävältä osalta toimenpiteistä </w:t>
      </w:r>
      <w:r w:rsidR="009A7F5F">
        <w:t>o</w:t>
      </w:r>
      <w:r w:rsidR="39977B66">
        <w:t>vat</w:t>
      </w:r>
      <w:r w:rsidR="009A7F5F">
        <w:t xml:space="preserve"> </w:t>
      </w:r>
      <w:r>
        <w:t>puuttu</w:t>
      </w:r>
      <w:r w:rsidR="009A7F5F">
        <w:t>n</w:t>
      </w:r>
      <w:r w:rsidR="59CCB8D2">
        <w:t>eet</w:t>
      </w:r>
      <w:r w:rsidRPr="00E25C16">
        <w:t xml:space="preserve"> tarvittavat resurssit niiden toimeenpanemiseksi. </w:t>
      </w:r>
      <w:r w:rsidRPr="005F4D87">
        <w:t xml:space="preserve">Toimenpiteitä on toimeenpantu pääasiassa EU:n yhteisen maatalouspolitiikan (YMP) kansallisen strategiasuunnitelman (Suomen YMP- suunnitelma 2023–2027) toimenpiteiden avulla. </w:t>
      </w:r>
      <w:r w:rsidRPr="00E25C16">
        <w:t>EU:n vuosien 2023–2027 YMP rakentuu kymmenen päätavoitteen ympärille. Nämä sosiaalisiin sekä ympäristöön ja talouteen liittyviin näkökohtiin keskittyvät tavoitteet toimivat kunkin EU-maan kansallisen strategiasuunnitelman perustana</w:t>
      </w:r>
      <w:r w:rsidR="22ED3F3D" w:rsidRPr="00E25C16">
        <w:t>.</w:t>
      </w:r>
      <w:r w:rsidRPr="00E25C16">
        <w:t xml:space="preserve"> Yksi tavoitteista koskee ilmastonmuutosta.</w:t>
      </w:r>
      <w:r>
        <w:t xml:space="preserve"> </w:t>
      </w:r>
      <w:r w:rsidRPr="005F4D87">
        <w:t>Kansallinen YMP-suunnitelma sisältää lukuisia toimia kasvihuonekaasupäästöjen vähentämiseksi</w:t>
      </w:r>
      <w:r w:rsidR="096C9A12" w:rsidRPr="005F4D87">
        <w:t xml:space="preserve">, ilmastonmuutokseen sopeutumiseksi ja </w:t>
      </w:r>
      <w:r w:rsidRPr="005F4D87">
        <w:t xml:space="preserve">maaperän hiilivaraston kasvattamiseksi ja ylläpitämiseksi: pellon vesitalouden kunnostus, maatalousmaan rakenteen parantaminen, monipuolinen viljelykierto, kasvipeitteisyys, syväjuuristen kasvien viljely, maanmuokkauksen vähentäminen, eloperäisen aineksen lisääminen peltoon, turvepeltojen nurmet, hiiltä maksimaalisesti sitovat laidunnuskäytännöt ja vedenpinnan nostaminen turvemailla. </w:t>
      </w:r>
      <w:r w:rsidR="0F8E8BB2" w:rsidRPr="005F4D87">
        <w:t>Useat maatalouden ilmastotoimet toimivat s</w:t>
      </w:r>
      <w:r w:rsidR="001E28CC">
        <w:t>a</w:t>
      </w:r>
      <w:r w:rsidR="0F8E8BB2" w:rsidRPr="005F4D87">
        <w:t>man</w:t>
      </w:r>
      <w:r w:rsidR="001E28CC">
        <w:t xml:space="preserve"> </w:t>
      </w:r>
      <w:r w:rsidR="001E28CC" w:rsidRPr="005F4D87">
        <w:t>aikaisesti</w:t>
      </w:r>
      <w:r w:rsidR="001E28CC">
        <w:t xml:space="preserve"> sekä</w:t>
      </w:r>
      <w:r w:rsidR="0F8E8BB2" w:rsidRPr="005F4D87">
        <w:t xml:space="preserve"> ilmaston muutosta hillitsevästi </w:t>
      </w:r>
      <w:r w:rsidR="001E28CC">
        <w:t xml:space="preserve">että </w:t>
      </w:r>
      <w:r w:rsidR="00A67922">
        <w:t xml:space="preserve">edistävät siihen sopeutumista. </w:t>
      </w:r>
      <w:r w:rsidRPr="005F4D87">
        <w:t>YMP:n kautta ei kuitenkaan ole mahdollista tai tarkoituksenmukaista toteuttaa kaikkia maatalouden ilmastonmuutoksen hillintä- tai sopeutumistoimenpiteitä, vaan käyttöön tulisi olla mahdollisuus ottaa myös muita EU- tai kansallisia toimenpiteitä.  </w:t>
      </w:r>
    </w:p>
    <w:p w14:paraId="0D37082F" w14:textId="3FEE54EE" w:rsidR="005F4D87" w:rsidRPr="005F4D87" w:rsidRDefault="0CA42938" w:rsidP="0B6BB178">
      <w:pPr>
        <w:pStyle w:val="VNLeip1kappale"/>
        <w:rPr>
          <w:rFonts w:ascii="Segoe UI" w:hAnsi="Segoe UI" w:cs="Segoe UI"/>
          <w:sz w:val="18"/>
          <w:szCs w:val="18"/>
        </w:rPr>
      </w:pPr>
      <w:r>
        <w:t>M</w:t>
      </w:r>
      <w:r w:rsidR="005F4D87">
        <w:t>aankäytön</w:t>
      </w:r>
      <w:r w:rsidR="005F4D87" w:rsidRPr="005F4D87">
        <w:t xml:space="preserve"> muutoksiin liittyviä päästövähennystoimia ovat pellonraivauksen rajoittaminen, entisten turvetuotantoalueiden maatalouskäyttöön siirtymisen rajoittaminen, joutoalueiden metsitys ja maatalousmaiden muuttaminen ilmastokosteikoiksi. Pellonkäyttöön liittyviä toimia ovat turvemaiden viljely märkänä (kosteikkoviljely), hiilen lisääminen </w:t>
      </w:r>
      <w:r w:rsidR="005F4D87" w:rsidRPr="00E25C16">
        <w:t>kivennäismaa</w:t>
      </w:r>
      <w:r w:rsidR="005F4D87" w:rsidRPr="005F4D87">
        <w:t xml:space="preserve">peltoon viljelemällä nurmea yksivuotisten kasvien tilalla ja ottamalla käyttöön </w:t>
      </w:r>
      <w:proofErr w:type="spellStart"/>
      <w:r w:rsidR="005F4D87" w:rsidRPr="005F4D87">
        <w:t>täsmäviljelymenetelmiä</w:t>
      </w:r>
      <w:proofErr w:type="spellEnd"/>
      <w:r w:rsidR="005F4D87" w:rsidRPr="005F4D87">
        <w:t>. Lisäksi lypsylehmien metaanipäästöjä pyritään vähentämään ruokinnallisilla keinoilla.  </w:t>
      </w:r>
    </w:p>
    <w:p w14:paraId="1341A761" w14:textId="4890EE20" w:rsidR="005F4D87" w:rsidRPr="005F4D87" w:rsidRDefault="1C1EDDC5" w:rsidP="0B6BB178">
      <w:pPr>
        <w:pStyle w:val="VNLeip1kappale"/>
        <w:rPr>
          <w:rFonts w:ascii="Segoe UI" w:hAnsi="Segoe UI" w:cs="Segoe UI"/>
          <w:sz w:val="18"/>
          <w:szCs w:val="18"/>
        </w:rPr>
      </w:pPr>
      <w:r>
        <w:t>Valmistelussa on ollut esillä</w:t>
      </w:r>
      <w:r w:rsidR="005F4D87" w:rsidRPr="005F4D87">
        <w:t xml:space="preserve"> joukko toimia, jotka todennäköisesti tulevat vaikuttamaan maatalouden kasvihuonekaasupäästöjä vähentävästi tulevaisuudessa, mutta joille ei tällä hetkellä pystytä laskemaan päästövaikutusta. Tällaisia toimia ovat muun muassa peltojen kiinteistörakenteen parantaminen, muutokset karjan ikärakenteessa, sukupuolilajitellun siemenen käytön yleistyminen, hiilen sidonnan parantaminen erilaisilla maanparannusaineilla, ravitsemussuositusten noudattamisen yleistyminen, ruokahävikin väheneminen, julkisissa hankinnoissa tapahtuva kehitys, hiilimarkkinoiden kehittyminen sekä ruokajärjestelmän toimijoiden yhteistyön syveneminen. </w:t>
      </w:r>
    </w:p>
    <w:p w14:paraId="58BEDF79" w14:textId="174D96C7" w:rsidR="005F4D87" w:rsidRDefault="005F4D87" w:rsidP="0B6BB178">
      <w:pPr>
        <w:pStyle w:val="VNLeip1kappale"/>
      </w:pPr>
      <w:r w:rsidRPr="005F4D87">
        <w:t xml:space="preserve">Loppuvuodesta 2024 valmistui ”Ilmastoviisaat ruokintaratkaisut Suomen maidontuotannossa (IRMA)” </w:t>
      </w:r>
      <w:r w:rsidR="26FCA6B5">
        <w:t>-</w:t>
      </w:r>
      <w:r w:rsidRPr="005F4D87">
        <w:t>tutkimushanke</w:t>
      </w:r>
      <w:r>
        <w:t>.</w:t>
      </w:r>
      <w:r w:rsidRPr="005F4D87">
        <w:t xml:space="preserve"> Luonnonvarakeskuksen (LUKE) vetämässä tutkimuksessa selvitettiin Euroopan unionissa vuonna 2022 hyväksytyn ensimmäisen pötsimetaanin muodostumista vähentävän rehun lisäaineen, 3-nitro-oksipropanolin (3-NOP; </w:t>
      </w:r>
      <w:proofErr w:type="spellStart"/>
      <w:r w:rsidRPr="005F4D87">
        <w:t>Bovaer</w:t>
      </w:r>
      <w:proofErr w:type="spellEnd"/>
      <w:r w:rsidRPr="005F4D87">
        <w:t>® (kauppanimi)), käyttöönottoon liittyviä kysymyksiä suomalaisilla maitotiloilla. Tutkimus osoitti, että 3-NOP vähentää metaanipäästöjä myös suomalaisessa nurmisäilörehuun perustuvassa ruokinnassa, vaikka vähennys (n. 20 %) oli hieman pienempi kuin kansainvälisten tutkimusten perusteella odotettu (n. 30 %). Lisäaine on todettu kustannustehokkaaksi ja hyväksynnän ehtojen mukaisesti käytettynä sillä ei ole haittavaikutuksia. Lisäaine hajoaa lehmän ruoansulatuskanavassa, se ei siirry maitoon tai lihaan, eikä sillä ole todettu olevan haitallisia vaikutuksia lehmien terveyteen. Suomessa lisäaine on tällä hetkellä käytössä muutamilla kymmenillä maidontuotantotiloilla.  </w:t>
      </w:r>
    </w:p>
    <w:p w14:paraId="07121697" w14:textId="04C6C122" w:rsidR="005F4D87" w:rsidRPr="005F4D87" w:rsidRDefault="005F4D87" w:rsidP="0B6BB178">
      <w:pPr>
        <w:pStyle w:val="VNLeip1kappale"/>
        <w:rPr>
          <w:rFonts w:ascii="Segoe UI" w:hAnsi="Segoe UI" w:cs="Segoe UI"/>
          <w:sz w:val="18"/>
          <w:szCs w:val="18"/>
        </w:rPr>
      </w:pPr>
      <w:r w:rsidRPr="005F4D87">
        <w:t>Marraskuussa 2024 valmistui turvepeltojen käytön tiekartta</w:t>
      </w:r>
      <w:r w:rsidRPr="2D904630">
        <w:rPr>
          <w:strike/>
        </w:rPr>
        <w:t>,</w:t>
      </w:r>
      <w:r w:rsidRPr="005F4D87">
        <w:t xml:space="preserve"> joka esittelee maakunnittain toimenpiteitä, joilla turvepeltojen käyttöä voitaisiin sopeuttaa ympäristötavoitteiden ja maataloustuotannon tarpeisiin vuoteen 2050 mennessä. Tiekartta on päätöksenteon tueksi tehty työkalu, joka esittää kaksi erilaista vuoden 2050 tulevaisuuskuvaa perusteluineen: ympäristötavoitteita painottava ja tuotantomahdollisuuksia painottava. Turvepeltojen käyttöön liittyvät muutokset vaativat koko yhteiskunnan panostusta, koska toimenpiteiden toteuttaminen vaatii tarkkaa suunnittelua, erityisosaamista, investointeja, ja ne aiheuttavat viljelijöille kustannuksia ja tulonmenetyksiä.  </w:t>
      </w:r>
    </w:p>
    <w:p w14:paraId="5BF943DE" w14:textId="77777777" w:rsidR="005F4D87" w:rsidRPr="005F4D87" w:rsidRDefault="005F4D87" w:rsidP="00047C51">
      <w:pPr>
        <w:pStyle w:val="VNKuvateksti"/>
      </w:pPr>
      <w:r w:rsidRPr="005F4D87">
        <w:rPr>
          <w:rFonts w:cs="Arial"/>
          <w:color w:val="CC3595"/>
        </w:rPr>
        <w:t> </w:t>
      </w:r>
    </w:p>
    <w:p w14:paraId="11B41DB8" w14:textId="2A85F3DC" w:rsidR="005F4D87" w:rsidRPr="00047C51" w:rsidRDefault="00047C51" w:rsidP="008052AF">
      <w:pPr>
        <w:pStyle w:val="Kuvaotsikko"/>
      </w:pPr>
      <w:r w:rsidRPr="00047C51">
        <w:t xml:space="preserve">Taulukko </w:t>
      </w:r>
      <w:r w:rsidRPr="00047C51">
        <w:fldChar w:fldCharType="begin"/>
      </w:r>
      <w:r w:rsidRPr="00047C51">
        <w:instrText xml:space="preserve"> SEQ Taulukko \* ARABIC </w:instrText>
      </w:r>
      <w:r w:rsidRPr="00047C51">
        <w:fldChar w:fldCharType="separate"/>
      </w:r>
      <w:r w:rsidR="00327A3A">
        <w:rPr>
          <w:noProof/>
        </w:rPr>
        <w:t>5</w:t>
      </w:r>
      <w:r w:rsidRPr="00047C51">
        <w:fldChar w:fldCharType="end"/>
      </w:r>
      <w:r w:rsidRPr="00047C51">
        <w:t xml:space="preserve">. </w:t>
      </w:r>
      <w:r w:rsidR="005F4D87" w:rsidRPr="005F4D87">
        <w:rPr>
          <w:rFonts w:cs="Arial"/>
          <w:i w:val="0"/>
          <w:szCs w:val="22"/>
        </w:rPr>
        <w:t>Maatalous – keskeiset käytössä olevat politiikkatoimet</w:t>
      </w:r>
      <w:r w:rsidR="005F4D87" w:rsidRPr="005F4D87">
        <w:rPr>
          <w:rFonts w:cs="Arial"/>
          <w:szCs w:val="22"/>
        </w:rPr>
        <w:t>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4890"/>
      </w:tblGrid>
      <w:tr w:rsidR="005F4D87" w:rsidRPr="005F4D87" w14:paraId="067DAB18" w14:textId="77777777" w:rsidTr="003B0EAF">
        <w:trPr>
          <w:trHeight w:val="300"/>
        </w:trPr>
        <w:tc>
          <w:tcPr>
            <w:tcW w:w="2835" w:type="dxa"/>
            <w:tcBorders>
              <w:top w:val="single" w:sz="6" w:space="0" w:color="auto"/>
              <w:left w:val="single" w:sz="6" w:space="0" w:color="auto"/>
              <w:bottom w:val="single" w:sz="6" w:space="0" w:color="auto"/>
              <w:right w:val="single" w:sz="6" w:space="0" w:color="auto"/>
            </w:tcBorders>
            <w:hideMark/>
          </w:tcPr>
          <w:p w14:paraId="45E4C820" w14:textId="77777777" w:rsidR="005F4D87" w:rsidRPr="005F4D87" w:rsidRDefault="005F4D87" w:rsidP="005F4D87">
            <w:pPr>
              <w:textAlignment w:val="baseline"/>
              <w:rPr>
                <w:rFonts w:ascii="Times New Roman" w:hAnsi="Times New Roman"/>
                <w:sz w:val="24"/>
                <w:szCs w:val="24"/>
              </w:rPr>
            </w:pPr>
            <w:r w:rsidRPr="005F4D87">
              <w:rPr>
                <w:rFonts w:cs="Arial"/>
                <w:sz w:val="22"/>
                <w:szCs w:val="22"/>
              </w:rPr>
              <w:t> </w:t>
            </w:r>
          </w:p>
          <w:p w14:paraId="74DE5AE0" w14:textId="77777777" w:rsidR="005F4D87" w:rsidRPr="005F4D87" w:rsidRDefault="005F4D87" w:rsidP="005F4D87">
            <w:pPr>
              <w:textAlignment w:val="baseline"/>
              <w:rPr>
                <w:rFonts w:ascii="Times New Roman" w:hAnsi="Times New Roman"/>
                <w:sz w:val="24"/>
                <w:szCs w:val="24"/>
              </w:rPr>
            </w:pPr>
            <w:r w:rsidRPr="005F4D87">
              <w:rPr>
                <w:rFonts w:cs="Arial"/>
                <w:b/>
                <w:bCs/>
                <w:sz w:val="22"/>
                <w:szCs w:val="22"/>
              </w:rPr>
              <w:t>Politiikkatoimi</w:t>
            </w:r>
            <w:r w:rsidRPr="005F4D87">
              <w:rPr>
                <w:rFonts w:cs="Arial"/>
                <w:sz w:val="22"/>
                <w:szCs w:val="22"/>
              </w:rPr>
              <w:t> </w:t>
            </w:r>
          </w:p>
        </w:tc>
        <w:tc>
          <w:tcPr>
            <w:tcW w:w="4890" w:type="dxa"/>
            <w:tcBorders>
              <w:top w:val="single" w:sz="6" w:space="0" w:color="auto"/>
              <w:left w:val="single" w:sz="6" w:space="0" w:color="auto"/>
              <w:bottom w:val="single" w:sz="6" w:space="0" w:color="auto"/>
              <w:right w:val="single" w:sz="6" w:space="0" w:color="auto"/>
            </w:tcBorders>
            <w:hideMark/>
          </w:tcPr>
          <w:p w14:paraId="115128C2" w14:textId="77777777" w:rsidR="005F4D87" w:rsidRPr="005F4D87" w:rsidRDefault="005F4D87" w:rsidP="005F4D87">
            <w:pPr>
              <w:textAlignment w:val="baseline"/>
              <w:rPr>
                <w:rFonts w:ascii="Times New Roman" w:hAnsi="Times New Roman"/>
                <w:sz w:val="24"/>
                <w:szCs w:val="24"/>
              </w:rPr>
            </w:pPr>
            <w:r w:rsidRPr="005F4D87">
              <w:rPr>
                <w:rFonts w:cs="Arial"/>
                <w:sz w:val="22"/>
                <w:szCs w:val="22"/>
              </w:rPr>
              <w:t> </w:t>
            </w:r>
          </w:p>
          <w:p w14:paraId="719544CF" w14:textId="77777777" w:rsidR="005F4D87" w:rsidRPr="005F4D87" w:rsidRDefault="005F4D87" w:rsidP="005F4D87">
            <w:pPr>
              <w:textAlignment w:val="baseline"/>
              <w:rPr>
                <w:rFonts w:ascii="Times New Roman" w:hAnsi="Times New Roman"/>
                <w:sz w:val="24"/>
                <w:szCs w:val="24"/>
              </w:rPr>
            </w:pPr>
            <w:r w:rsidRPr="005F4D87">
              <w:rPr>
                <w:rFonts w:cs="Arial"/>
                <w:b/>
                <w:bCs/>
                <w:sz w:val="22"/>
                <w:szCs w:val="22"/>
              </w:rPr>
              <w:t>Toimeenpanon tilanne</w:t>
            </w:r>
            <w:r w:rsidRPr="005F4D87">
              <w:rPr>
                <w:rFonts w:cs="Arial"/>
                <w:sz w:val="22"/>
                <w:szCs w:val="22"/>
              </w:rPr>
              <w:t> </w:t>
            </w:r>
          </w:p>
        </w:tc>
      </w:tr>
      <w:tr w:rsidR="005F4D87" w:rsidRPr="005F4D87" w14:paraId="5A9E523B" w14:textId="77777777" w:rsidTr="003B0EAF">
        <w:trPr>
          <w:trHeight w:val="300"/>
        </w:trPr>
        <w:tc>
          <w:tcPr>
            <w:tcW w:w="2835" w:type="dxa"/>
            <w:tcBorders>
              <w:top w:val="single" w:sz="6" w:space="0" w:color="auto"/>
              <w:left w:val="single" w:sz="6" w:space="0" w:color="auto"/>
              <w:bottom w:val="single" w:sz="6" w:space="0" w:color="auto"/>
              <w:right w:val="single" w:sz="6" w:space="0" w:color="auto"/>
            </w:tcBorders>
            <w:hideMark/>
          </w:tcPr>
          <w:p w14:paraId="1E196ECB" w14:textId="77777777" w:rsidR="005F4D87" w:rsidRPr="000C600C" w:rsidRDefault="005F4D87" w:rsidP="005F4D87">
            <w:pPr>
              <w:textAlignment w:val="baseline"/>
              <w:rPr>
                <w:rFonts w:ascii="Times New Roman" w:hAnsi="Times New Roman"/>
                <w:sz w:val="22"/>
                <w:szCs w:val="22"/>
              </w:rPr>
            </w:pPr>
            <w:r w:rsidRPr="000C600C">
              <w:rPr>
                <w:rFonts w:cs="Arial"/>
                <w:sz w:val="22"/>
                <w:szCs w:val="22"/>
              </w:rPr>
              <w:t> </w:t>
            </w:r>
          </w:p>
          <w:p w14:paraId="50BC28A1" w14:textId="272831D9" w:rsidR="005F4D87" w:rsidRPr="000C600C" w:rsidRDefault="005F4D87" w:rsidP="0B6BB178">
            <w:pPr>
              <w:pStyle w:val="VNLeip1kappale"/>
              <w:rPr>
                <w:rFonts w:ascii="Times New Roman" w:hAnsi="Times New Roman"/>
                <w:szCs w:val="22"/>
              </w:rPr>
            </w:pPr>
            <w:r w:rsidRPr="000C600C">
              <w:rPr>
                <w:szCs w:val="22"/>
              </w:rPr>
              <w:t>EU:n yhteisen maatalouspolitiikan kansallinen strategiasuunnitelma (Suomen YMP-suunnitelma 2023–2027) </w:t>
            </w:r>
          </w:p>
        </w:tc>
        <w:tc>
          <w:tcPr>
            <w:tcW w:w="4890" w:type="dxa"/>
            <w:tcBorders>
              <w:top w:val="single" w:sz="6" w:space="0" w:color="auto"/>
              <w:left w:val="single" w:sz="6" w:space="0" w:color="auto"/>
              <w:bottom w:val="single" w:sz="6" w:space="0" w:color="auto"/>
              <w:right w:val="single" w:sz="6" w:space="0" w:color="auto"/>
            </w:tcBorders>
            <w:hideMark/>
          </w:tcPr>
          <w:p w14:paraId="5D6F7BE2" w14:textId="77777777" w:rsidR="005F4D87" w:rsidRPr="000C600C" w:rsidRDefault="005F4D87" w:rsidP="005F4D87">
            <w:pPr>
              <w:textAlignment w:val="baseline"/>
              <w:rPr>
                <w:rFonts w:ascii="Times New Roman" w:hAnsi="Times New Roman"/>
                <w:sz w:val="22"/>
                <w:szCs w:val="22"/>
              </w:rPr>
            </w:pPr>
            <w:r w:rsidRPr="000C600C">
              <w:rPr>
                <w:rFonts w:cs="Arial"/>
                <w:sz w:val="22"/>
                <w:szCs w:val="22"/>
              </w:rPr>
              <w:t> </w:t>
            </w:r>
          </w:p>
          <w:p w14:paraId="18F06D50" w14:textId="1752FB72" w:rsidR="005F4D87" w:rsidRPr="000C600C" w:rsidRDefault="005F4D87" w:rsidP="0B6BB178">
            <w:pPr>
              <w:pStyle w:val="VNLeip1kappale"/>
              <w:rPr>
                <w:rFonts w:ascii="Times New Roman" w:hAnsi="Times New Roman"/>
                <w:szCs w:val="22"/>
              </w:rPr>
            </w:pPr>
            <w:r w:rsidRPr="000C600C">
              <w:rPr>
                <w:szCs w:val="22"/>
              </w:rPr>
              <w:t>Kansalliset YMP-uudistusta koskevat lait astuivat voimaan 1.1.2023, ja Suomen YMP- suunnitelman toimeenpano alkoi suunnitellusti ja vaiheittain vuoden 2023 alusta.</w:t>
            </w:r>
            <w:r w:rsidRPr="000C600C">
              <w:rPr>
                <w:color w:val="26324B"/>
                <w:szCs w:val="22"/>
              </w:rPr>
              <w:t xml:space="preserve"> </w:t>
            </w:r>
            <w:r w:rsidR="00B672CF" w:rsidRPr="000C600C">
              <w:rPr>
                <w:color w:val="26324B"/>
                <w:szCs w:val="22"/>
              </w:rPr>
              <w:t xml:space="preserve">YMP sisältää useita toimia ilmastonmuutoksen hillitsemiseksi ja siihen sopeutumiseksi (kts. </w:t>
            </w:r>
            <w:r w:rsidR="00CB0518" w:rsidRPr="000C600C">
              <w:rPr>
                <w:color w:val="26324B"/>
                <w:szCs w:val="22"/>
              </w:rPr>
              <w:t>teksti yllä)</w:t>
            </w:r>
            <w:r w:rsidR="005F328B" w:rsidRPr="000C600C">
              <w:rPr>
                <w:color w:val="26324B"/>
                <w:szCs w:val="22"/>
              </w:rPr>
              <w:t xml:space="preserve">. </w:t>
            </w:r>
            <w:r w:rsidRPr="000C600C">
              <w:rPr>
                <w:szCs w:val="22"/>
              </w:rPr>
              <w:t>Suomen vuotuisessa tuloksellisuuskertomuksessa esitetään yleiskatsaus suunnitelman täytäntöönpanosta. </w:t>
            </w:r>
          </w:p>
        </w:tc>
      </w:tr>
      <w:tr w:rsidR="005F4D87" w:rsidRPr="005F4D87" w14:paraId="5409B2E9" w14:textId="77777777" w:rsidTr="003B0EAF">
        <w:trPr>
          <w:trHeight w:val="300"/>
        </w:trPr>
        <w:tc>
          <w:tcPr>
            <w:tcW w:w="2835" w:type="dxa"/>
            <w:tcBorders>
              <w:top w:val="single" w:sz="6" w:space="0" w:color="auto"/>
              <w:left w:val="single" w:sz="6" w:space="0" w:color="auto"/>
              <w:bottom w:val="single" w:sz="6" w:space="0" w:color="auto"/>
              <w:right w:val="single" w:sz="6" w:space="0" w:color="auto"/>
            </w:tcBorders>
            <w:hideMark/>
          </w:tcPr>
          <w:p w14:paraId="6045278A" w14:textId="14707F48" w:rsidR="005F4D87" w:rsidRPr="000C600C" w:rsidRDefault="005F4D87" w:rsidP="0B6BB178">
            <w:pPr>
              <w:pStyle w:val="VNLeip1kappale"/>
              <w:rPr>
                <w:rFonts w:asciiTheme="majorHAnsi" w:hAnsiTheme="majorHAnsi" w:cstheme="majorHAnsi"/>
                <w:szCs w:val="22"/>
              </w:rPr>
            </w:pPr>
            <w:r w:rsidRPr="000C600C">
              <w:rPr>
                <w:rFonts w:asciiTheme="majorHAnsi" w:hAnsiTheme="majorHAnsi" w:cstheme="majorHAnsi"/>
                <w:szCs w:val="22"/>
              </w:rPr>
              <w:t>Nautojen metaanipäästöjen vähentäminen ruokinnallisin keinoin  </w:t>
            </w:r>
          </w:p>
        </w:tc>
        <w:tc>
          <w:tcPr>
            <w:tcW w:w="4890" w:type="dxa"/>
            <w:tcBorders>
              <w:top w:val="single" w:sz="6" w:space="0" w:color="auto"/>
              <w:left w:val="single" w:sz="6" w:space="0" w:color="auto"/>
              <w:bottom w:val="single" w:sz="6" w:space="0" w:color="auto"/>
              <w:right w:val="single" w:sz="6" w:space="0" w:color="auto"/>
            </w:tcBorders>
            <w:hideMark/>
          </w:tcPr>
          <w:p w14:paraId="580AD2D1" w14:textId="352D8362" w:rsidR="005F4D87" w:rsidRPr="000C600C" w:rsidRDefault="00A92086" w:rsidP="0B6BB178">
            <w:pPr>
              <w:pStyle w:val="VNLeip1kappale"/>
              <w:rPr>
                <w:rFonts w:asciiTheme="majorHAnsi" w:hAnsiTheme="majorHAnsi" w:cstheme="majorBidi"/>
              </w:rPr>
            </w:pPr>
            <w:r w:rsidRPr="4D9308DE">
              <w:rPr>
                <w:rFonts w:asciiTheme="majorHAnsi" w:hAnsiTheme="majorHAnsi" w:cstheme="majorBidi"/>
              </w:rPr>
              <w:t xml:space="preserve">Käytössä ei ole </w:t>
            </w:r>
            <w:r w:rsidR="0024650C" w:rsidRPr="4D9308DE">
              <w:rPr>
                <w:rFonts w:asciiTheme="majorHAnsi" w:hAnsiTheme="majorHAnsi" w:cstheme="majorBidi"/>
              </w:rPr>
              <w:t xml:space="preserve">erillistä </w:t>
            </w:r>
            <w:r w:rsidR="00516F86" w:rsidRPr="4D9308DE">
              <w:rPr>
                <w:rFonts w:asciiTheme="majorHAnsi" w:hAnsiTheme="majorHAnsi" w:cstheme="majorBidi"/>
              </w:rPr>
              <w:t xml:space="preserve">julkista </w:t>
            </w:r>
            <w:r w:rsidR="0024650C" w:rsidRPr="4D9308DE">
              <w:rPr>
                <w:rFonts w:asciiTheme="majorHAnsi" w:hAnsiTheme="majorHAnsi" w:cstheme="majorBidi"/>
              </w:rPr>
              <w:t>kannustin</w:t>
            </w:r>
            <w:r w:rsidR="002C1F3E" w:rsidRPr="4D9308DE">
              <w:rPr>
                <w:rFonts w:asciiTheme="majorHAnsi" w:hAnsiTheme="majorHAnsi" w:cstheme="majorBidi"/>
              </w:rPr>
              <w:t>ta</w:t>
            </w:r>
            <w:r w:rsidR="0024650C" w:rsidRPr="4D9308DE">
              <w:rPr>
                <w:rFonts w:asciiTheme="majorHAnsi" w:hAnsiTheme="majorHAnsi" w:cstheme="majorBidi"/>
              </w:rPr>
              <w:t xml:space="preserve"> tämän edistämiseksi</w:t>
            </w:r>
            <w:r w:rsidRPr="4D9308DE">
              <w:rPr>
                <w:rFonts w:asciiTheme="majorHAnsi" w:hAnsiTheme="majorHAnsi" w:cstheme="majorBidi"/>
              </w:rPr>
              <w:t>, vaan oletuksena</w:t>
            </w:r>
            <w:r w:rsidR="0024650C" w:rsidRPr="4D9308DE">
              <w:rPr>
                <w:rFonts w:asciiTheme="majorHAnsi" w:hAnsiTheme="majorHAnsi" w:cstheme="majorBidi"/>
              </w:rPr>
              <w:t xml:space="preserve"> on</w:t>
            </w:r>
            <w:r w:rsidR="00163306" w:rsidRPr="4D9308DE">
              <w:rPr>
                <w:rFonts w:asciiTheme="majorHAnsi" w:hAnsiTheme="majorHAnsi" w:cstheme="majorBidi"/>
              </w:rPr>
              <w:t xml:space="preserve">, että </w:t>
            </w:r>
            <w:r w:rsidR="0024650C" w:rsidRPr="4D9308DE">
              <w:rPr>
                <w:rFonts w:asciiTheme="majorHAnsi" w:hAnsiTheme="majorHAnsi" w:cstheme="majorBidi"/>
              </w:rPr>
              <w:t xml:space="preserve">asia etenee </w:t>
            </w:r>
            <w:r w:rsidR="00163306" w:rsidRPr="4D9308DE">
              <w:rPr>
                <w:rFonts w:asciiTheme="majorHAnsi" w:hAnsiTheme="majorHAnsi" w:cstheme="majorBidi"/>
              </w:rPr>
              <w:t xml:space="preserve">elinkeinon </w:t>
            </w:r>
            <w:r w:rsidR="0024650C" w:rsidRPr="4D9308DE">
              <w:rPr>
                <w:rFonts w:asciiTheme="majorHAnsi" w:hAnsiTheme="majorHAnsi" w:cstheme="majorBidi"/>
              </w:rPr>
              <w:t>omi</w:t>
            </w:r>
            <w:r w:rsidR="00346799" w:rsidRPr="4D9308DE">
              <w:rPr>
                <w:rFonts w:asciiTheme="majorHAnsi" w:hAnsiTheme="majorHAnsi" w:cstheme="majorBidi"/>
              </w:rPr>
              <w:t>en</w:t>
            </w:r>
            <w:r w:rsidR="0024650C" w:rsidRPr="4D9308DE">
              <w:rPr>
                <w:rFonts w:asciiTheme="majorHAnsi" w:hAnsiTheme="majorHAnsi" w:cstheme="majorBidi"/>
              </w:rPr>
              <w:t xml:space="preserve"> </w:t>
            </w:r>
            <w:r w:rsidR="00163306" w:rsidRPr="4D9308DE">
              <w:rPr>
                <w:rFonts w:asciiTheme="majorHAnsi" w:hAnsiTheme="majorHAnsi" w:cstheme="majorBidi"/>
              </w:rPr>
              <w:t>toimi</w:t>
            </w:r>
            <w:r w:rsidR="00346799" w:rsidRPr="4D9308DE">
              <w:rPr>
                <w:rFonts w:asciiTheme="majorHAnsi" w:hAnsiTheme="majorHAnsi" w:cstheme="majorBidi"/>
              </w:rPr>
              <w:t>en</w:t>
            </w:r>
            <w:r w:rsidR="0024650C" w:rsidRPr="4D9308DE">
              <w:rPr>
                <w:rFonts w:asciiTheme="majorHAnsi" w:hAnsiTheme="majorHAnsi" w:cstheme="majorBidi"/>
              </w:rPr>
              <w:t xml:space="preserve">, EU:n </w:t>
            </w:r>
            <w:r w:rsidR="00AE6F10" w:rsidRPr="4D9308DE">
              <w:rPr>
                <w:rFonts w:asciiTheme="majorHAnsi" w:hAnsiTheme="majorHAnsi" w:cstheme="majorBidi"/>
              </w:rPr>
              <w:t>pysyvää hiilenpoistoa, hiiliviljelyä ja hiilenvarastointia tuotteissa k</w:t>
            </w:r>
            <w:r w:rsidR="00F2278C" w:rsidRPr="4D9308DE">
              <w:rPr>
                <w:rFonts w:asciiTheme="majorHAnsi" w:hAnsiTheme="majorHAnsi" w:cstheme="majorBidi"/>
              </w:rPr>
              <w:t xml:space="preserve">oskevan sertifiointikehyksen tai jakeluvelvoitteen joustomekanismin </w:t>
            </w:r>
            <w:r w:rsidR="00934776" w:rsidRPr="4D9308DE">
              <w:rPr>
                <w:rFonts w:asciiTheme="majorHAnsi" w:hAnsiTheme="majorHAnsi" w:cstheme="majorBidi"/>
              </w:rPr>
              <w:t>avulla.</w:t>
            </w:r>
            <w:r w:rsidRPr="4D9308DE" w:rsidDel="00163306">
              <w:rPr>
                <w:rFonts w:asciiTheme="majorHAnsi" w:hAnsiTheme="majorHAnsi" w:cstheme="majorBidi"/>
              </w:rPr>
              <w:t xml:space="preserve"> </w:t>
            </w:r>
          </w:p>
          <w:p w14:paraId="3246752B" w14:textId="119B53C4" w:rsidR="005F4D87" w:rsidRPr="000C600C" w:rsidRDefault="005F4D87" w:rsidP="0B6BB178">
            <w:pPr>
              <w:pStyle w:val="VNLeip1kappale"/>
              <w:rPr>
                <w:rFonts w:asciiTheme="majorHAnsi" w:hAnsiTheme="majorHAnsi" w:cstheme="majorBidi"/>
              </w:rPr>
            </w:pPr>
            <w:r w:rsidRPr="4D9308DE">
              <w:rPr>
                <w:rFonts w:asciiTheme="majorHAnsi" w:hAnsiTheme="majorHAnsi" w:cstheme="majorBidi"/>
              </w:rPr>
              <w:t xml:space="preserve">Hiilestä kiinni -hanke ”Ilmastoviisaat </w:t>
            </w:r>
            <w:r w:rsidRPr="2F7ADE65">
              <w:rPr>
                <w:rFonts w:asciiTheme="majorHAnsi" w:hAnsiTheme="majorHAnsi" w:cstheme="majorBidi"/>
              </w:rPr>
              <w:t>ruokintaratkaisut Suomen maidontuotannossa (IRMA)” valmistui loppuvuodesta 2024.</w:t>
            </w:r>
          </w:p>
        </w:tc>
      </w:tr>
      <w:tr w:rsidR="005F4D87" w:rsidRPr="005F4D87" w14:paraId="3318D435" w14:textId="77777777" w:rsidTr="003B0EAF">
        <w:trPr>
          <w:trHeight w:val="300"/>
        </w:trPr>
        <w:tc>
          <w:tcPr>
            <w:tcW w:w="2835" w:type="dxa"/>
            <w:tcBorders>
              <w:top w:val="single" w:sz="6" w:space="0" w:color="auto"/>
              <w:left w:val="single" w:sz="6" w:space="0" w:color="auto"/>
              <w:bottom w:val="single" w:sz="6" w:space="0" w:color="auto"/>
              <w:right w:val="single" w:sz="6" w:space="0" w:color="auto"/>
            </w:tcBorders>
            <w:hideMark/>
          </w:tcPr>
          <w:p w14:paraId="132168A4" w14:textId="6D68A23F" w:rsidR="005F4D87" w:rsidRPr="000C600C" w:rsidRDefault="005F4D87" w:rsidP="0B6BB178">
            <w:pPr>
              <w:pStyle w:val="VNLeip1kappale"/>
              <w:rPr>
                <w:rFonts w:asciiTheme="majorHAnsi" w:hAnsiTheme="majorHAnsi" w:cstheme="majorHAnsi"/>
                <w:szCs w:val="22"/>
              </w:rPr>
            </w:pPr>
          </w:p>
          <w:p w14:paraId="03B826CF" w14:textId="77777777" w:rsidR="005F4D87" w:rsidRPr="000C600C" w:rsidRDefault="005F4D87" w:rsidP="0B6BB178">
            <w:pPr>
              <w:pStyle w:val="VNLeip1kappale"/>
              <w:rPr>
                <w:rFonts w:asciiTheme="majorHAnsi" w:hAnsiTheme="majorHAnsi" w:cstheme="majorHAnsi"/>
                <w:szCs w:val="22"/>
              </w:rPr>
            </w:pPr>
            <w:r w:rsidRPr="000C600C">
              <w:rPr>
                <w:rFonts w:asciiTheme="majorHAnsi" w:hAnsiTheme="majorHAnsi" w:cstheme="majorHAnsi"/>
                <w:szCs w:val="22"/>
              </w:rPr>
              <w:t>Turvepeltojen pohjaveden pinnan nostaminen ja käytön kestävyyden edistäminen </w:t>
            </w:r>
          </w:p>
        </w:tc>
        <w:tc>
          <w:tcPr>
            <w:tcW w:w="4890" w:type="dxa"/>
            <w:tcBorders>
              <w:top w:val="single" w:sz="6" w:space="0" w:color="auto"/>
              <w:left w:val="single" w:sz="6" w:space="0" w:color="auto"/>
              <w:bottom w:val="single" w:sz="6" w:space="0" w:color="auto"/>
              <w:right w:val="single" w:sz="6" w:space="0" w:color="auto"/>
            </w:tcBorders>
            <w:hideMark/>
          </w:tcPr>
          <w:p w14:paraId="52B0309C" w14:textId="62254B03" w:rsidR="00147E2C" w:rsidRPr="000C600C" w:rsidRDefault="00147E2C" w:rsidP="0B6BB178">
            <w:pPr>
              <w:pStyle w:val="VNLeip1kappale"/>
              <w:rPr>
                <w:rFonts w:asciiTheme="majorHAnsi" w:hAnsiTheme="majorHAnsi" w:cstheme="majorHAnsi"/>
                <w:szCs w:val="22"/>
              </w:rPr>
            </w:pPr>
          </w:p>
          <w:p w14:paraId="2CABA742" w14:textId="4E85D64F" w:rsidR="00147E2C" w:rsidRPr="000C600C" w:rsidRDefault="00147E2C" w:rsidP="0B6BB178">
            <w:pPr>
              <w:pStyle w:val="VNLeip1kappale"/>
              <w:rPr>
                <w:rFonts w:asciiTheme="majorHAnsi" w:hAnsiTheme="majorHAnsi" w:cstheme="majorHAnsi"/>
                <w:szCs w:val="22"/>
              </w:rPr>
            </w:pPr>
            <w:r w:rsidRPr="000C600C">
              <w:rPr>
                <w:rFonts w:asciiTheme="majorHAnsi" w:hAnsiTheme="majorHAnsi" w:cstheme="majorHAnsi"/>
                <w:szCs w:val="22"/>
              </w:rPr>
              <w:t xml:space="preserve">YMP: </w:t>
            </w:r>
            <w:r w:rsidR="006322C1" w:rsidRPr="000C600C">
              <w:rPr>
                <w:rFonts w:asciiTheme="majorHAnsi" w:hAnsiTheme="majorHAnsi" w:cstheme="majorHAnsi"/>
                <w:szCs w:val="22"/>
              </w:rPr>
              <w:t>ympäristökorvau</w:t>
            </w:r>
            <w:r w:rsidR="001329AD" w:rsidRPr="000C600C">
              <w:rPr>
                <w:rFonts w:asciiTheme="majorHAnsi" w:hAnsiTheme="majorHAnsi" w:cstheme="majorHAnsi"/>
                <w:szCs w:val="22"/>
              </w:rPr>
              <w:t>kset:</w:t>
            </w:r>
            <w:r w:rsidR="1A36DC9F" w:rsidRPr="000C600C">
              <w:rPr>
                <w:rFonts w:asciiTheme="majorHAnsi" w:hAnsiTheme="majorHAnsi" w:cstheme="majorHAnsi"/>
                <w:szCs w:val="22"/>
              </w:rPr>
              <w:t xml:space="preserve"> </w:t>
            </w:r>
            <w:r w:rsidR="0071085F" w:rsidRPr="000C600C">
              <w:rPr>
                <w:rFonts w:asciiTheme="majorHAnsi" w:hAnsiTheme="majorHAnsi" w:cstheme="majorHAnsi"/>
                <w:szCs w:val="22"/>
              </w:rPr>
              <w:t>turvepeltojen nurmet</w:t>
            </w:r>
            <w:r w:rsidR="002A18A1" w:rsidRPr="000C600C">
              <w:rPr>
                <w:rFonts w:asciiTheme="majorHAnsi" w:hAnsiTheme="majorHAnsi" w:cstheme="majorHAnsi"/>
                <w:szCs w:val="22"/>
              </w:rPr>
              <w:t xml:space="preserve">, </w:t>
            </w:r>
            <w:r w:rsidR="00EF5338" w:rsidRPr="000C600C">
              <w:rPr>
                <w:rFonts w:asciiTheme="majorHAnsi" w:hAnsiTheme="majorHAnsi" w:cstheme="majorHAnsi"/>
                <w:szCs w:val="22"/>
              </w:rPr>
              <w:t xml:space="preserve">säätösalaojituksen </w:t>
            </w:r>
            <w:r w:rsidR="00E62F02" w:rsidRPr="000C600C">
              <w:rPr>
                <w:rFonts w:asciiTheme="majorHAnsi" w:hAnsiTheme="majorHAnsi" w:cstheme="majorHAnsi"/>
                <w:szCs w:val="22"/>
              </w:rPr>
              <w:t>investointituki</w:t>
            </w:r>
            <w:r w:rsidR="00EF5338" w:rsidRPr="000C600C">
              <w:rPr>
                <w:rFonts w:asciiTheme="majorHAnsi" w:hAnsiTheme="majorHAnsi" w:cstheme="majorHAnsi"/>
                <w:szCs w:val="22"/>
              </w:rPr>
              <w:t xml:space="preserve"> ja ympäristökorvausten valumavesien hallinnan hoitotu</w:t>
            </w:r>
            <w:r w:rsidR="001C268F" w:rsidRPr="000C600C">
              <w:rPr>
                <w:rFonts w:asciiTheme="majorHAnsi" w:hAnsiTheme="majorHAnsi" w:cstheme="majorHAnsi"/>
                <w:szCs w:val="22"/>
              </w:rPr>
              <w:t>ki</w:t>
            </w:r>
            <w:r w:rsidR="000040A9" w:rsidRPr="000C600C">
              <w:rPr>
                <w:rFonts w:asciiTheme="majorHAnsi" w:hAnsiTheme="majorHAnsi" w:cstheme="majorHAnsi"/>
                <w:szCs w:val="22"/>
              </w:rPr>
              <w:t>;</w:t>
            </w:r>
            <w:r w:rsidR="00EF5338" w:rsidRPr="000C600C">
              <w:rPr>
                <w:rFonts w:asciiTheme="majorHAnsi" w:hAnsiTheme="majorHAnsi" w:cstheme="majorHAnsi"/>
                <w:szCs w:val="22"/>
              </w:rPr>
              <w:t xml:space="preserve"> </w:t>
            </w:r>
            <w:r w:rsidR="00D07F10" w:rsidRPr="000C600C">
              <w:rPr>
                <w:rFonts w:asciiTheme="majorHAnsi" w:hAnsiTheme="majorHAnsi" w:cstheme="majorHAnsi"/>
                <w:szCs w:val="22"/>
              </w:rPr>
              <w:t>ei- tuotannolliset investoinnit</w:t>
            </w:r>
            <w:r w:rsidR="00BD36ED" w:rsidRPr="000C600C">
              <w:rPr>
                <w:rFonts w:asciiTheme="majorHAnsi" w:hAnsiTheme="majorHAnsi" w:cstheme="majorHAnsi"/>
                <w:szCs w:val="22"/>
              </w:rPr>
              <w:t xml:space="preserve"> </w:t>
            </w:r>
            <w:r w:rsidR="00EF5338" w:rsidRPr="000C600C">
              <w:rPr>
                <w:rFonts w:asciiTheme="majorHAnsi" w:hAnsiTheme="majorHAnsi" w:cstheme="majorHAnsi"/>
                <w:szCs w:val="22"/>
              </w:rPr>
              <w:t>(ilmastokosteikot)</w:t>
            </w:r>
            <w:r w:rsidR="00D07F10" w:rsidRPr="000C600C">
              <w:rPr>
                <w:rFonts w:asciiTheme="majorHAnsi" w:hAnsiTheme="majorHAnsi" w:cstheme="majorHAnsi"/>
                <w:szCs w:val="22"/>
              </w:rPr>
              <w:t xml:space="preserve">, </w:t>
            </w:r>
          </w:p>
          <w:p w14:paraId="4AB594C3" w14:textId="3B980979" w:rsidR="005F4D87" w:rsidRPr="000C600C" w:rsidRDefault="005F4D87" w:rsidP="0B6BB178">
            <w:pPr>
              <w:pStyle w:val="VNLeip1kappale"/>
              <w:rPr>
                <w:rFonts w:asciiTheme="majorHAnsi" w:hAnsiTheme="majorHAnsi" w:cstheme="majorHAnsi"/>
                <w:szCs w:val="22"/>
              </w:rPr>
            </w:pPr>
            <w:r w:rsidRPr="000C600C">
              <w:rPr>
                <w:rFonts w:asciiTheme="majorHAnsi" w:hAnsiTheme="majorHAnsi" w:cstheme="majorHAnsi"/>
                <w:szCs w:val="22"/>
              </w:rPr>
              <w:t>Turvepeltojen käytön tiekartta on valmistunut marraskuussa 2024. </w:t>
            </w:r>
          </w:p>
        </w:tc>
      </w:tr>
      <w:tr w:rsidR="005F4D87" w:rsidRPr="005F4D87" w14:paraId="3D371117" w14:textId="77777777" w:rsidTr="003B0EAF">
        <w:trPr>
          <w:trHeight w:val="300"/>
        </w:trPr>
        <w:tc>
          <w:tcPr>
            <w:tcW w:w="2835" w:type="dxa"/>
            <w:tcBorders>
              <w:top w:val="single" w:sz="6" w:space="0" w:color="auto"/>
              <w:left w:val="single" w:sz="6" w:space="0" w:color="auto"/>
              <w:bottom w:val="single" w:sz="6" w:space="0" w:color="auto"/>
              <w:right w:val="single" w:sz="6" w:space="0" w:color="auto"/>
            </w:tcBorders>
            <w:hideMark/>
          </w:tcPr>
          <w:p w14:paraId="5A91C726" w14:textId="77777777" w:rsidR="005F4D87" w:rsidRPr="000C600C" w:rsidRDefault="005F4D87" w:rsidP="0B6BB178">
            <w:pPr>
              <w:pStyle w:val="VNLeip1kappale"/>
              <w:rPr>
                <w:rFonts w:asciiTheme="majorHAnsi" w:hAnsiTheme="majorHAnsi" w:cstheme="majorHAnsi"/>
                <w:szCs w:val="22"/>
              </w:rPr>
            </w:pPr>
            <w:r w:rsidRPr="000C600C">
              <w:rPr>
                <w:rFonts w:asciiTheme="majorHAnsi" w:hAnsiTheme="majorHAnsi" w:cstheme="majorHAnsi"/>
                <w:szCs w:val="22"/>
              </w:rPr>
              <w:t> </w:t>
            </w:r>
          </w:p>
          <w:p w14:paraId="2591EB1A" w14:textId="77777777" w:rsidR="005F4D87" w:rsidRPr="000C600C" w:rsidRDefault="005F4D87" w:rsidP="0B6BB178">
            <w:pPr>
              <w:pStyle w:val="VNLeip1kappale"/>
              <w:rPr>
                <w:rFonts w:asciiTheme="majorHAnsi" w:hAnsiTheme="majorHAnsi" w:cstheme="majorHAnsi"/>
                <w:szCs w:val="22"/>
              </w:rPr>
            </w:pPr>
            <w:r w:rsidRPr="000C600C">
              <w:rPr>
                <w:rFonts w:asciiTheme="majorHAnsi" w:hAnsiTheme="majorHAnsi" w:cstheme="majorHAnsi"/>
                <w:szCs w:val="22"/>
              </w:rPr>
              <w:t>Biokaasutuotannon edistäminen </w:t>
            </w:r>
          </w:p>
        </w:tc>
        <w:tc>
          <w:tcPr>
            <w:tcW w:w="4890" w:type="dxa"/>
            <w:tcBorders>
              <w:top w:val="single" w:sz="6" w:space="0" w:color="auto"/>
              <w:left w:val="single" w:sz="6" w:space="0" w:color="auto"/>
              <w:bottom w:val="single" w:sz="6" w:space="0" w:color="auto"/>
              <w:right w:val="single" w:sz="6" w:space="0" w:color="auto"/>
            </w:tcBorders>
            <w:hideMark/>
          </w:tcPr>
          <w:p w14:paraId="69F5064E" w14:textId="77777777" w:rsidR="005F4D87" w:rsidRPr="000C600C" w:rsidRDefault="005F4D87" w:rsidP="0B6BB178">
            <w:pPr>
              <w:pStyle w:val="VNLeip1kappale"/>
              <w:rPr>
                <w:rFonts w:asciiTheme="majorHAnsi" w:hAnsiTheme="majorHAnsi" w:cstheme="majorHAnsi"/>
                <w:szCs w:val="22"/>
              </w:rPr>
            </w:pPr>
            <w:r w:rsidRPr="000C600C">
              <w:rPr>
                <w:rFonts w:asciiTheme="majorHAnsi" w:hAnsiTheme="majorHAnsi" w:cstheme="majorHAnsi"/>
                <w:szCs w:val="22"/>
              </w:rPr>
              <w:t>Kansallinen biokaasuohjelma valmistui vuonna 2020. Työryhmän ehdottamien toimenpiteiden toimeenpano on jatkunut. </w:t>
            </w:r>
          </w:p>
          <w:p w14:paraId="77FFD193" w14:textId="77777777" w:rsidR="005F4D87" w:rsidRPr="000C600C" w:rsidRDefault="005F4D87" w:rsidP="0B6BB178">
            <w:pPr>
              <w:pStyle w:val="VNLeip1kappale"/>
              <w:rPr>
                <w:rFonts w:asciiTheme="majorHAnsi" w:hAnsiTheme="majorHAnsi" w:cstheme="majorHAnsi"/>
                <w:szCs w:val="22"/>
              </w:rPr>
            </w:pPr>
            <w:r w:rsidRPr="000C600C">
              <w:rPr>
                <w:rFonts w:asciiTheme="majorHAnsi" w:hAnsiTheme="majorHAnsi" w:cstheme="majorHAnsi"/>
                <w:szCs w:val="22"/>
              </w:rPr>
              <w:t>YMP-suunnitelma: maatalouden investointituki ja maaseudun yritystuki. </w:t>
            </w:r>
          </w:p>
          <w:p w14:paraId="2C17DC2E" w14:textId="77777777" w:rsidR="005F4D87" w:rsidRPr="000C600C" w:rsidRDefault="005F4D87" w:rsidP="0B6BB178">
            <w:pPr>
              <w:pStyle w:val="VNLeip1kappale"/>
              <w:rPr>
                <w:rFonts w:asciiTheme="majorHAnsi" w:hAnsiTheme="majorHAnsi" w:cstheme="majorHAnsi"/>
                <w:szCs w:val="22"/>
              </w:rPr>
            </w:pPr>
            <w:r w:rsidRPr="000C600C">
              <w:rPr>
                <w:rFonts w:asciiTheme="majorHAnsi" w:hAnsiTheme="majorHAnsi" w:cstheme="majorHAnsi"/>
                <w:szCs w:val="22"/>
              </w:rPr>
              <w:t>MMM:n Ravinteiden kierrätyksen kokeiluohjelman TKI ja investointituki 2020–2025 käynnissä.  </w:t>
            </w:r>
          </w:p>
          <w:p w14:paraId="442493CB" w14:textId="1C31D95A" w:rsidR="005F4D87" w:rsidRPr="000C600C" w:rsidRDefault="005F4D87" w:rsidP="0B6BB178">
            <w:pPr>
              <w:pStyle w:val="VNLeip1kappale"/>
              <w:rPr>
                <w:rFonts w:asciiTheme="majorHAnsi" w:hAnsiTheme="majorHAnsi" w:cstheme="majorBidi"/>
              </w:rPr>
            </w:pPr>
            <w:r w:rsidRPr="2F7ADE65">
              <w:rPr>
                <w:rFonts w:asciiTheme="majorHAnsi" w:hAnsiTheme="majorHAnsi" w:cstheme="majorBidi"/>
              </w:rPr>
              <w:t>Biokaasulaitosten ravinnekiertotuki on käynnistynyt maaliskuussa 2024. Tukiohjelmaan on käytettävissä yhteensä 9 miljoonaa euroa vuosille 2023</w:t>
            </w:r>
            <w:r w:rsidR="10551D84" w:rsidRPr="76B75F95">
              <w:rPr>
                <w:rFonts w:asciiTheme="majorHAnsi" w:hAnsiTheme="majorHAnsi" w:cstheme="majorBidi"/>
              </w:rPr>
              <w:t>–2026</w:t>
            </w:r>
            <w:r w:rsidRPr="76B75F95">
              <w:rPr>
                <w:rFonts w:asciiTheme="majorHAnsi" w:hAnsiTheme="majorHAnsi" w:cstheme="majorBidi"/>
              </w:rPr>
              <w:t>.</w:t>
            </w:r>
            <w:r w:rsidRPr="2F7ADE65">
              <w:rPr>
                <w:rFonts w:asciiTheme="majorHAnsi" w:hAnsiTheme="majorHAnsi" w:cstheme="majorBidi"/>
              </w:rPr>
              <w:t xml:space="preserve"> Keväällä 2023 valmistui VN TEAS -hanke ”Kestävät käytännöt biokaasun tuotannon prosessiketjuissa (KEBIO)” </w:t>
            </w:r>
          </w:p>
          <w:p w14:paraId="2A669A38" w14:textId="0CE242D6" w:rsidR="006F5958" w:rsidRPr="000C600C" w:rsidRDefault="006F5958" w:rsidP="0B6BB178">
            <w:pPr>
              <w:pStyle w:val="VNLeip1kappale"/>
              <w:rPr>
                <w:rFonts w:asciiTheme="majorHAnsi" w:hAnsiTheme="majorHAnsi" w:cstheme="majorHAnsi"/>
                <w:szCs w:val="22"/>
              </w:rPr>
            </w:pPr>
            <w:r w:rsidRPr="000C600C">
              <w:rPr>
                <w:rFonts w:asciiTheme="majorHAnsi" w:hAnsiTheme="majorHAnsi" w:cstheme="majorHAnsi"/>
                <w:szCs w:val="22"/>
              </w:rPr>
              <w:t>Energiatukivaltuudesta tällä vaalikaudella tehdyt tukipäätökset, ml. 10 miljoonaa euroa vuonna 2025.</w:t>
            </w:r>
          </w:p>
        </w:tc>
      </w:tr>
      <w:tr w:rsidR="005F4D87" w:rsidRPr="005F4D87" w14:paraId="73246CBC" w14:textId="77777777" w:rsidTr="003B0EAF">
        <w:trPr>
          <w:trHeight w:val="300"/>
        </w:trPr>
        <w:tc>
          <w:tcPr>
            <w:tcW w:w="2835" w:type="dxa"/>
            <w:tcBorders>
              <w:top w:val="single" w:sz="6" w:space="0" w:color="auto"/>
              <w:left w:val="single" w:sz="6" w:space="0" w:color="auto"/>
              <w:bottom w:val="single" w:sz="6" w:space="0" w:color="auto"/>
              <w:right w:val="single" w:sz="6" w:space="0" w:color="auto"/>
            </w:tcBorders>
            <w:hideMark/>
          </w:tcPr>
          <w:p w14:paraId="0497626C" w14:textId="77777777" w:rsidR="005F4D87" w:rsidRPr="000C600C" w:rsidRDefault="005F4D87" w:rsidP="0B6BB178">
            <w:pPr>
              <w:pStyle w:val="VNLeip1kappale"/>
              <w:rPr>
                <w:rFonts w:asciiTheme="majorHAnsi" w:hAnsiTheme="majorHAnsi" w:cstheme="majorHAnsi"/>
                <w:szCs w:val="22"/>
              </w:rPr>
            </w:pPr>
            <w:r w:rsidRPr="000C600C">
              <w:rPr>
                <w:rFonts w:asciiTheme="majorHAnsi" w:hAnsiTheme="majorHAnsi" w:cstheme="majorHAnsi"/>
                <w:szCs w:val="22"/>
              </w:rPr>
              <w:t> </w:t>
            </w:r>
          </w:p>
          <w:p w14:paraId="3EA76C27" w14:textId="77777777" w:rsidR="005F4D87" w:rsidRPr="000C600C" w:rsidRDefault="005F4D87" w:rsidP="0B6BB178">
            <w:pPr>
              <w:pStyle w:val="VNLeip1kappale"/>
              <w:rPr>
                <w:rFonts w:asciiTheme="majorHAnsi" w:hAnsiTheme="majorHAnsi" w:cstheme="majorHAnsi"/>
                <w:szCs w:val="22"/>
              </w:rPr>
            </w:pPr>
            <w:r w:rsidRPr="000C600C">
              <w:rPr>
                <w:rFonts w:asciiTheme="majorHAnsi" w:hAnsiTheme="majorHAnsi" w:cstheme="majorHAnsi"/>
                <w:szCs w:val="22"/>
              </w:rPr>
              <w:t>Ruuan kulutus, ruokahävikki ja ravitsemussuositukset </w:t>
            </w:r>
          </w:p>
        </w:tc>
        <w:tc>
          <w:tcPr>
            <w:tcW w:w="4890" w:type="dxa"/>
            <w:tcBorders>
              <w:top w:val="single" w:sz="6" w:space="0" w:color="auto"/>
              <w:left w:val="single" w:sz="6" w:space="0" w:color="auto"/>
              <w:bottom w:val="single" w:sz="6" w:space="0" w:color="auto"/>
              <w:right w:val="single" w:sz="6" w:space="0" w:color="auto"/>
            </w:tcBorders>
            <w:hideMark/>
          </w:tcPr>
          <w:p w14:paraId="37ECE05F" w14:textId="77777777" w:rsidR="005F4D87" w:rsidRPr="000C600C" w:rsidRDefault="005F4D87" w:rsidP="0B6BB178">
            <w:pPr>
              <w:pStyle w:val="VNLeip1kappale"/>
              <w:rPr>
                <w:rFonts w:asciiTheme="majorHAnsi" w:hAnsiTheme="majorHAnsi" w:cstheme="majorHAnsi"/>
                <w:szCs w:val="22"/>
              </w:rPr>
            </w:pPr>
            <w:r w:rsidRPr="000C600C">
              <w:rPr>
                <w:rFonts w:asciiTheme="majorHAnsi" w:hAnsiTheme="majorHAnsi" w:cstheme="majorHAnsi"/>
                <w:szCs w:val="22"/>
              </w:rPr>
              <w:t>Pohjoismaisten ravitsemussuositusten päivitys valmistui kesäkuussa 2023 ja kansalliset suositukset julkaistiin marraskuussa 2024.  </w:t>
            </w:r>
          </w:p>
          <w:p w14:paraId="62019E57" w14:textId="5854A696" w:rsidR="005F4D87" w:rsidRPr="000C600C" w:rsidRDefault="005F4D87" w:rsidP="0B6BB178">
            <w:pPr>
              <w:pStyle w:val="VNLeip1kappale"/>
              <w:rPr>
                <w:rFonts w:asciiTheme="majorHAnsi" w:hAnsiTheme="majorHAnsi" w:cstheme="majorHAnsi"/>
                <w:szCs w:val="22"/>
              </w:rPr>
            </w:pPr>
            <w:r w:rsidRPr="000C600C">
              <w:rPr>
                <w:rFonts w:asciiTheme="majorHAnsi" w:hAnsiTheme="majorHAnsi" w:cstheme="majorHAnsi"/>
                <w:szCs w:val="22"/>
              </w:rPr>
              <w:t>Kansallinen ruokahävikin seurantajärjestelmä julkaistiin vuonna 2021.  </w:t>
            </w:r>
          </w:p>
        </w:tc>
      </w:tr>
    </w:tbl>
    <w:p w14:paraId="576C4F2C" w14:textId="77777777" w:rsidR="005F4D87" w:rsidRPr="005F4D87" w:rsidRDefault="005F4D87" w:rsidP="005F4D87">
      <w:pPr>
        <w:textAlignment w:val="baseline"/>
        <w:rPr>
          <w:rFonts w:ascii="Segoe UI" w:hAnsi="Segoe UI" w:cs="Segoe UI"/>
          <w:sz w:val="18"/>
          <w:szCs w:val="18"/>
        </w:rPr>
      </w:pPr>
      <w:r w:rsidRPr="005F4D87">
        <w:rPr>
          <w:rFonts w:cs="Arial"/>
        </w:rPr>
        <w:t> </w:t>
      </w:r>
    </w:p>
    <w:p w14:paraId="264931A2" w14:textId="77777777" w:rsidR="0013561F" w:rsidRDefault="0013561F" w:rsidP="005F4D87">
      <w:pPr>
        <w:textAlignment w:val="baseline"/>
        <w:rPr>
          <w:rFonts w:ascii="Arial Narrow" w:hAnsi="Arial Narrow" w:cs="Segoe UI"/>
          <w:b/>
          <w:color w:val="365ABD" w:themeColor="accent3"/>
          <w:sz w:val="26"/>
          <w:szCs w:val="26"/>
        </w:rPr>
      </w:pPr>
    </w:p>
    <w:p w14:paraId="712633F5" w14:textId="7BA28EB2" w:rsidR="005F4D87" w:rsidRDefault="005F4D87" w:rsidP="005F4D87">
      <w:pPr>
        <w:textAlignment w:val="baseline"/>
        <w:rPr>
          <w:rFonts w:ascii="Arial Narrow" w:hAnsi="Arial Narrow" w:cs="Segoe UI"/>
          <w:color w:val="365ABD"/>
          <w:sz w:val="26"/>
          <w:szCs w:val="26"/>
        </w:rPr>
      </w:pPr>
      <w:r w:rsidRPr="0B6BB178">
        <w:rPr>
          <w:rFonts w:ascii="Arial Narrow" w:hAnsi="Arial Narrow" w:cs="Segoe UI"/>
          <w:b/>
          <w:color w:val="365ABD" w:themeColor="accent3"/>
          <w:sz w:val="26"/>
          <w:szCs w:val="26"/>
        </w:rPr>
        <w:t>Maataloussektorin nykytoimiskenaario</w:t>
      </w:r>
      <w:r w:rsidRPr="0B6BB178">
        <w:rPr>
          <w:rFonts w:ascii="Arial Narrow" w:hAnsi="Arial Narrow" w:cs="Segoe UI"/>
          <w:color w:val="365ABD" w:themeColor="accent3"/>
          <w:sz w:val="26"/>
          <w:szCs w:val="26"/>
        </w:rPr>
        <w:t> </w:t>
      </w:r>
    </w:p>
    <w:p w14:paraId="6CF98C61" w14:textId="77777777" w:rsidR="007A45DA" w:rsidRPr="005F4D87" w:rsidRDefault="007A45DA" w:rsidP="005F4D87">
      <w:pPr>
        <w:textAlignment w:val="baseline"/>
        <w:rPr>
          <w:rFonts w:ascii="Segoe UI" w:hAnsi="Segoe UI" w:cs="Segoe UI"/>
          <w:sz w:val="18"/>
          <w:szCs w:val="18"/>
        </w:rPr>
      </w:pPr>
    </w:p>
    <w:p w14:paraId="30D114AE" w14:textId="0A2ECE3B" w:rsidR="005F4D87" w:rsidRPr="005F4D87" w:rsidRDefault="005F4D87" w:rsidP="00A16461">
      <w:pPr>
        <w:pStyle w:val="VNLeip1kappale"/>
        <w:rPr>
          <w:rFonts w:ascii="Segoe UI" w:hAnsi="Segoe UI" w:cs="Segoe UI"/>
          <w:sz w:val="18"/>
          <w:szCs w:val="18"/>
        </w:rPr>
      </w:pPr>
      <w:r w:rsidRPr="0036377C">
        <w:rPr>
          <w:rFonts w:cs="Arial"/>
        </w:rPr>
        <w:t xml:space="preserve">Maatalouden </w:t>
      </w:r>
      <w:r w:rsidR="14147941" w:rsidRPr="0036377C">
        <w:rPr>
          <w:rFonts w:cs="Arial"/>
        </w:rPr>
        <w:t>nykytoimiskenaario</w:t>
      </w:r>
      <w:r w:rsidRPr="0036377C">
        <w:rPr>
          <w:rFonts w:cs="Arial"/>
        </w:rPr>
        <w:t xml:space="preserve"> päivitettiin keväällä 2024 (</w:t>
      </w:r>
      <w:hyperlink r:id="rId43" w:tgtFrame="_blank" w:history="1">
        <w:r w:rsidR="003B6288" w:rsidRPr="0036377C">
          <w:rPr>
            <w:rFonts w:cs="Arial"/>
            <w:shd w:val="clear" w:color="auto" w:fill="E1E3E6"/>
          </w:rPr>
          <w:t>KEITO</w:t>
        </w:r>
        <w:r w:rsidRPr="0036377C">
          <w:rPr>
            <w:rFonts w:cs="Arial"/>
            <w:shd w:val="clear" w:color="auto" w:fill="E1E3E6"/>
          </w:rPr>
          <w:t>-</w:t>
        </w:r>
        <w:r w:rsidR="006A054C">
          <w:rPr>
            <w:rFonts w:cs="Arial"/>
            <w:shd w:val="clear" w:color="auto" w:fill="E1E3E6"/>
          </w:rPr>
          <w:t>työ</w:t>
        </w:r>
      </w:hyperlink>
      <w:r w:rsidRPr="0036377C">
        <w:rPr>
          <w:rFonts w:cs="Arial"/>
        </w:rPr>
        <w:t>)</w:t>
      </w:r>
      <w:r w:rsidR="50BDC9A9" w:rsidRPr="0036377C">
        <w:rPr>
          <w:rFonts w:cs="Arial"/>
        </w:rPr>
        <w:t>.</w:t>
      </w:r>
      <w:r w:rsidRPr="0036377C">
        <w:rPr>
          <w:rFonts w:cs="Arial"/>
        </w:rPr>
        <w:t xml:space="preserve"> Maataloussektorin päästöt alenevat vuodesta 2022 vuoteen 2025 mennessä eläinmäärien vähentyessä ja turvepeltojen nurmi- ja kosteikkoviljelyn lisääntyessä. </w:t>
      </w:r>
      <w:r w:rsidR="095B4957" w:rsidRPr="0036377C">
        <w:rPr>
          <w:rFonts w:cs="Arial"/>
        </w:rPr>
        <w:t>Nykytoimiskenaarion</w:t>
      </w:r>
      <w:r w:rsidRPr="0036377C">
        <w:rPr>
          <w:rFonts w:cs="Arial"/>
        </w:rPr>
        <w:t xml:space="preserve"> mukaan maataloussektorin kokonaispäästöjen odotetaan laskevan 0,5 Mt CO</w:t>
      </w:r>
      <w:r w:rsidRPr="005F4D87">
        <w:rPr>
          <w:rFonts w:cs="Arial"/>
          <w:sz w:val="17"/>
          <w:szCs w:val="17"/>
          <w:vertAlign w:val="subscript"/>
        </w:rPr>
        <w:t>2</w:t>
      </w:r>
      <w:r w:rsidRPr="0036377C">
        <w:rPr>
          <w:rFonts w:cs="Arial"/>
        </w:rPr>
        <w:t xml:space="preserve">-ekv. vuoden 2022 tasosta vuoteen 2030 mennessä. Tämän jälkeen maataloussektorin päästöjen odotetaan pysyvän 5,6 </w:t>
      </w:r>
      <w:proofErr w:type="spellStart"/>
      <w:r w:rsidRPr="0036377C">
        <w:rPr>
          <w:rFonts w:cs="Arial"/>
        </w:rPr>
        <w:t>Mt:n</w:t>
      </w:r>
      <w:proofErr w:type="spellEnd"/>
      <w:r w:rsidRPr="0036377C">
        <w:rPr>
          <w:rFonts w:cs="Arial"/>
        </w:rPr>
        <w:t xml:space="preserve"> ja 5,5 </w:t>
      </w:r>
      <w:proofErr w:type="spellStart"/>
      <w:r w:rsidRPr="0036377C">
        <w:rPr>
          <w:rFonts w:cs="Arial"/>
        </w:rPr>
        <w:t>Mt:n</w:t>
      </w:r>
      <w:proofErr w:type="spellEnd"/>
      <w:r w:rsidRPr="0036377C">
        <w:rPr>
          <w:rFonts w:cs="Arial"/>
        </w:rPr>
        <w:t xml:space="preserve"> välillä vuoteen 2055 asti, sillä eläinmäärä tulee pysymään vuoden 2025 tasolla tai laskemaan hitaasti. Turvepeltoihin kohdistuvien toimien pinta-ala ei myöskään kasva</w:t>
      </w:r>
      <w:r w:rsidRPr="00607F4F">
        <w:rPr>
          <w:rFonts w:cs="Arial"/>
        </w:rPr>
        <w:t xml:space="preserve"> vuoden 2035 jälkeen.</w:t>
      </w:r>
      <w:r w:rsidR="001D5E4E">
        <w:rPr>
          <w:rFonts w:cs="Arial"/>
        </w:rPr>
        <w:t xml:space="preserve"> Tässä yhteydessä on hyvä huomata, että nykytoimi</w:t>
      </w:r>
      <w:r w:rsidR="007375E5">
        <w:rPr>
          <w:rFonts w:cs="Arial"/>
        </w:rPr>
        <w:t>skenaario sisältää muun muassa tavoitepinta-aloja, joihin ei tämänhetkisen ti</w:t>
      </w:r>
      <w:r w:rsidR="00040EEE">
        <w:rPr>
          <w:rFonts w:cs="Arial"/>
        </w:rPr>
        <w:t>edon ja toimien perusteella olla pääsemässä.</w:t>
      </w:r>
      <w:r w:rsidRPr="00607F4F">
        <w:rPr>
          <w:rFonts w:cs="Arial"/>
        </w:rPr>
        <w:t xml:space="preserve"> Pieni lasku karjan määrässä vähentää lannankäsittelyn ja -le</w:t>
      </w:r>
      <w:r w:rsidRPr="0B6BB178">
        <w:rPr>
          <w:rFonts w:cs="Arial"/>
        </w:rPr>
        <w:t>vityksen päästöjä noin 0,05 miljoonalla tonnilla vuoteen 2030 mennessä ja noin 0,</w:t>
      </w:r>
      <w:r w:rsidR="3808B22E" w:rsidRPr="0B6BB178">
        <w:rPr>
          <w:rFonts w:cs="Arial"/>
        </w:rPr>
        <w:t>16</w:t>
      </w:r>
      <w:r w:rsidRPr="0B6BB178">
        <w:rPr>
          <w:rFonts w:cs="Arial"/>
        </w:rPr>
        <w:t xml:space="preserve"> miljoonalla tonnilla vuoteen 2055 mennessä. Maaperän dityppioksidipäästöjen odotetaan laskevan noin 0,29 Mt CO</w:t>
      </w:r>
      <w:r w:rsidRPr="005F4D87">
        <w:rPr>
          <w:rFonts w:cs="Arial"/>
          <w:sz w:val="17"/>
          <w:szCs w:val="17"/>
          <w:vertAlign w:val="subscript"/>
        </w:rPr>
        <w:t>2</w:t>
      </w:r>
      <w:r w:rsidRPr="0B6BB178">
        <w:rPr>
          <w:rFonts w:cs="Arial"/>
        </w:rPr>
        <w:t>-ekv. vuoteen 2035 mennessä, minkä jälkeen ne pysyvät tasaisena vuoteen 2055 saakka. </w:t>
      </w:r>
    </w:p>
    <w:p w14:paraId="601334A5" w14:textId="3F6F7378" w:rsidR="005F4D87" w:rsidRPr="00873E36" w:rsidRDefault="6D8FB442" w:rsidP="00564CA5">
      <w:pPr>
        <w:pStyle w:val="Otsikko2"/>
        <w:rPr>
          <w:lang w:val="fi-FI"/>
        </w:rPr>
      </w:pPr>
      <w:r w:rsidRPr="00366F52">
        <w:rPr>
          <w:lang w:val="fi-FI"/>
        </w:rPr>
        <w:t xml:space="preserve"> </w:t>
      </w:r>
      <w:bookmarkStart w:id="102" w:name="_Toc202260045"/>
      <w:r w:rsidR="009D39D1">
        <w:rPr>
          <w:lang w:val="fi-FI"/>
        </w:rPr>
        <w:t>5.3</w:t>
      </w:r>
      <w:r w:rsidRPr="009E7E7E">
        <w:rPr>
          <w:lang w:val="fi-FI"/>
        </w:rPr>
        <w:t xml:space="preserve"> </w:t>
      </w:r>
      <w:r w:rsidR="005F4D87" w:rsidRPr="00873E36">
        <w:rPr>
          <w:lang w:val="fi-FI"/>
        </w:rPr>
        <w:t>Rakennusten erillislämmitys</w:t>
      </w:r>
      <w:bookmarkEnd w:id="102"/>
      <w:r w:rsidR="005F4D87" w:rsidRPr="00873E36">
        <w:rPr>
          <w:lang w:val="fi-FI"/>
        </w:rPr>
        <w:t> </w:t>
      </w:r>
    </w:p>
    <w:p w14:paraId="5BD78B2F" w14:textId="77777777" w:rsidR="005F4D87" w:rsidRPr="005F4D87" w:rsidRDefault="005F4D87" w:rsidP="0B6BB178">
      <w:pPr>
        <w:pStyle w:val="VNLeip1kappale"/>
        <w:rPr>
          <w:rFonts w:ascii="Segoe UI" w:hAnsi="Segoe UI" w:cs="Segoe UI"/>
          <w:sz w:val="18"/>
          <w:szCs w:val="18"/>
        </w:rPr>
      </w:pPr>
      <w:r w:rsidRPr="005F4D87">
        <w:t>Rakennusten erillislämmityksen päästöt aiheutuvat polttoaineiden kiinteistökohtaisesta lämmityskäytöstä asuinrakennuksissa, liike- ja palvelurakennuksissa, julkisissa rakennuksissa sekä maatalouden tuotantorakennuksissa ja kuivureissa. Suurin osa polttoaineista on kevyttä polttoöljyä, mutta erillislämmityksen päästöjä syntyy jonkin verran myös turpeesta, maakaasusta ja raskaasta polttoöljystä. Lisäksi päästöihin lasketaan puun pienpolton metaani- ja dityppioksidipäästöt. </w:t>
      </w:r>
    </w:p>
    <w:p w14:paraId="770383D4" w14:textId="77777777" w:rsidR="005F4D87" w:rsidRPr="005F4D87" w:rsidRDefault="005F4D87" w:rsidP="005F4D87">
      <w:pPr>
        <w:textAlignment w:val="baseline"/>
        <w:rPr>
          <w:rFonts w:ascii="Segoe UI" w:hAnsi="Segoe UI" w:cs="Segoe UI"/>
          <w:b/>
          <w:bCs/>
          <w:color w:val="365ABD"/>
          <w:sz w:val="18"/>
          <w:szCs w:val="18"/>
        </w:rPr>
      </w:pPr>
      <w:r w:rsidRPr="0B6BB178">
        <w:rPr>
          <w:rFonts w:ascii="Arial Narrow" w:hAnsi="Arial Narrow" w:cs="Segoe UI"/>
          <w:b/>
          <w:color w:val="365ABD" w:themeColor="accent3"/>
          <w:sz w:val="26"/>
          <w:szCs w:val="26"/>
        </w:rPr>
        <w:t>Päästökehitys </w:t>
      </w:r>
    </w:p>
    <w:p w14:paraId="5CE56296" w14:textId="693FA784" w:rsidR="005F4D87" w:rsidRPr="005F4D87" w:rsidRDefault="005F4D87" w:rsidP="0B6BB178">
      <w:pPr>
        <w:pStyle w:val="VNLeip1kappale"/>
        <w:rPr>
          <w:rFonts w:ascii="Segoe UI" w:hAnsi="Segoe UI" w:cs="Segoe UI"/>
          <w:sz w:val="18"/>
          <w:szCs w:val="18"/>
        </w:rPr>
      </w:pPr>
      <w:r w:rsidRPr="005F4D87">
        <w:t>Rakennusten erillislämmityksen päästöt ovat olleet trendinomaisesti laskusuunnassa viime vuosina, mutta vuosittaista vaihtelua esiintyy muun muassa lämmitystarpeen vuoksi. Erillislämmityksen päästöjen laskevan trendin syynä ovat öljylämmityksen väheneminen ja rakennusten energiatehokkuuden paraneminen. Valtaosa erillislämmityksen päästöistä aiheutuu öljylämmityksestä. Vuonna 2023 erillislämmityksen päästöt olivat 1,8 Mt CO</w:t>
      </w:r>
      <w:r w:rsidRPr="005F4D87">
        <w:rPr>
          <w:sz w:val="17"/>
          <w:szCs w:val="17"/>
          <w:vertAlign w:val="subscript"/>
        </w:rPr>
        <w:t>2</w:t>
      </w:r>
      <w:r w:rsidRPr="005F4D87">
        <w:t>-ekv. Asuinrakennusten osuus erillislämmityksen päästöistä vuonna 2023 oli 34 %, liike- ja palvelurakennusten 45 % ja maatalouden 22 % (</w:t>
      </w:r>
      <w:r w:rsidR="000924F6">
        <w:fldChar w:fldCharType="begin"/>
      </w:r>
      <w:r w:rsidR="000924F6">
        <w:instrText xml:space="preserve"> REF _Ref201651068 \h </w:instrText>
      </w:r>
      <w:r w:rsidR="000924F6">
        <w:fldChar w:fldCharType="separate"/>
      </w:r>
      <w:r w:rsidR="000924F6">
        <w:t xml:space="preserve">Kuvio </w:t>
      </w:r>
      <w:r w:rsidR="000924F6">
        <w:rPr>
          <w:noProof/>
        </w:rPr>
        <w:t>11</w:t>
      </w:r>
      <w:r w:rsidR="000924F6">
        <w:fldChar w:fldCharType="end"/>
      </w:r>
      <w:r w:rsidRPr="005F4D87">
        <w:t>). Rakennusten erillislämmityksen päästöt ovat laskeneet 56 % vuoden 2005 tasosta (</w:t>
      </w:r>
      <w:r w:rsidR="000924F6">
        <w:fldChar w:fldCharType="begin"/>
      </w:r>
      <w:r w:rsidR="000924F6">
        <w:instrText xml:space="preserve"> REF _Ref201651077 \h </w:instrText>
      </w:r>
      <w:r w:rsidR="000924F6">
        <w:fldChar w:fldCharType="separate"/>
      </w:r>
      <w:r w:rsidR="000924F6">
        <w:t xml:space="preserve">Kuvio </w:t>
      </w:r>
      <w:r w:rsidR="000924F6">
        <w:rPr>
          <w:noProof/>
        </w:rPr>
        <w:t>12</w:t>
      </w:r>
      <w:r w:rsidR="000924F6">
        <w:fldChar w:fldCharType="end"/>
      </w:r>
      <w:r w:rsidRPr="005F4D87">
        <w:t>). </w:t>
      </w:r>
    </w:p>
    <w:p w14:paraId="6703F705" w14:textId="73A32905" w:rsidR="005F4D87" w:rsidRPr="005F4D87" w:rsidRDefault="52439BCB" w:rsidP="006520BE">
      <w:pPr>
        <w:pStyle w:val="Kuvaotsikko"/>
        <w:rPr>
          <w:rFonts w:ascii="Segoe UI" w:hAnsi="Segoe UI" w:cs="Segoe UI"/>
        </w:rPr>
      </w:pPr>
      <w:r>
        <w:t xml:space="preserve"> </w:t>
      </w:r>
      <w:bookmarkStart w:id="103" w:name="_Ref201651068"/>
      <w:r w:rsidR="006520BE">
        <w:t>Kuvio</w:t>
      </w:r>
      <w:r>
        <w:t xml:space="preserve"> </w:t>
      </w:r>
      <w:r w:rsidR="006520BE">
        <w:fldChar w:fldCharType="begin"/>
      </w:r>
      <w:r w:rsidR="006520BE">
        <w:instrText xml:space="preserve"> SEQ Kuvio \* ARABIC </w:instrText>
      </w:r>
      <w:r w:rsidR="006520BE">
        <w:fldChar w:fldCharType="separate"/>
      </w:r>
      <w:r w:rsidR="00D87A85">
        <w:rPr>
          <w:noProof/>
        </w:rPr>
        <w:t>11</w:t>
      </w:r>
      <w:r w:rsidR="006520BE">
        <w:fldChar w:fldCharType="end"/>
      </w:r>
      <w:bookmarkEnd w:id="103"/>
      <w:r w:rsidR="006520BE">
        <w:t>.</w:t>
      </w:r>
      <w:r>
        <w:t xml:space="preserve"> </w:t>
      </w:r>
      <w:r w:rsidR="3077E405" w:rsidRPr="005F4D87">
        <w:rPr>
          <w:rFonts w:cs="Arial"/>
          <w:szCs w:val="22"/>
        </w:rPr>
        <w:t>Rakennusten erillislämmityksen päästöjen jakautuminen 2023. </w:t>
      </w:r>
    </w:p>
    <w:p w14:paraId="1E28758D" w14:textId="77777777" w:rsidR="005F4D87" w:rsidRPr="005F4D87" w:rsidRDefault="005F4D87" w:rsidP="005F4D87">
      <w:pPr>
        <w:textAlignment w:val="baseline"/>
        <w:rPr>
          <w:rFonts w:ascii="Segoe UI" w:hAnsi="Segoe UI" w:cs="Segoe UI"/>
          <w:sz w:val="18"/>
          <w:szCs w:val="18"/>
        </w:rPr>
      </w:pPr>
      <w:r>
        <w:rPr>
          <w:noProof/>
        </w:rPr>
        <w:drawing>
          <wp:inline distT="0" distB="0" distL="0" distR="0" wp14:anchorId="6C08BCE4" wp14:editId="02112D9E">
            <wp:extent cx="5325088" cy="2231244"/>
            <wp:effectExtent l="0" t="0" r="0" b="0"/>
            <wp:docPr id="119" name="Kuva 90" descr="Kuva 2024522265,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0"/>
                    <pic:cNvPicPr/>
                  </pic:nvPicPr>
                  <pic:blipFill>
                    <a:blip r:embed="rId44">
                      <a:extLst>
                        <a:ext uri="{28A0092B-C50C-407E-A947-70E740481C1C}">
                          <a14:useLocalDpi xmlns:a14="http://schemas.microsoft.com/office/drawing/2010/main" val="0"/>
                        </a:ext>
                      </a:extLst>
                    </a:blip>
                    <a:stretch>
                      <a:fillRect/>
                    </a:stretch>
                  </pic:blipFill>
                  <pic:spPr>
                    <a:xfrm>
                      <a:off x="0" y="0"/>
                      <a:ext cx="5325088" cy="2231244"/>
                    </a:xfrm>
                    <a:prstGeom prst="rect">
                      <a:avLst/>
                    </a:prstGeom>
                  </pic:spPr>
                </pic:pic>
              </a:graphicData>
            </a:graphic>
          </wp:inline>
        </w:drawing>
      </w:r>
      <w:r w:rsidRPr="005F4D87">
        <w:rPr>
          <w:rFonts w:cs="Arial"/>
          <w:sz w:val="22"/>
          <w:szCs w:val="22"/>
        </w:rPr>
        <w:t> </w:t>
      </w:r>
    </w:p>
    <w:p w14:paraId="113269EF" w14:textId="77777777" w:rsidR="005F4D87" w:rsidRPr="005F4D87" w:rsidRDefault="005F4D87" w:rsidP="005F4D87">
      <w:pPr>
        <w:textAlignment w:val="baseline"/>
        <w:rPr>
          <w:rFonts w:ascii="Segoe UI" w:hAnsi="Segoe UI" w:cs="Segoe UI"/>
          <w:sz w:val="18"/>
          <w:szCs w:val="18"/>
        </w:rPr>
      </w:pPr>
      <w:r w:rsidRPr="005F4D87">
        <w:rPr>
          <w:rFonts w:cs="Arial"/>
          <w:sz w:val="22"/>
          <w:szCs w:val="22"/>
        </w:rPr>
        <w:t> </w:t>
      </w:r>
    </w:p>
    <w:p w14:paraId="5616A2C8" w14:textId="77777777" w:rsidR="005F4D87" w:rsidRPr="005F4D87" w:rsidRDefault="005F4D87" w:rsidP="005F4D87">
      <w:pPr>
        <w:textAlignment w:val="baseline"/>
        <w:rPr>
          <w:rFonts w:ascii="Segoe UI" w:hAnsi="Segoe UI" w:cs="Segoe UI"/>
          <w:sz w:val="18"/>
          <w:szCs w:val="18"/>
        </w:rPr>
      </w:pPr>
      <w:r w:rsidRPr="005F4D87">
        <w:rPr>
          <w:rFonts w:cs="Arial"/>
          <w:sz w:val="22"/>
          <w:szCs w:val="22"/>
        </w:rPr>
        <w:t> </w:t>
      </w:r>
    </w:p>
    <w:p w14:paraId="3D6FABE5" w14:textId="695BC0F3" w:rsidR="005F4D87" w:rsidRPr="005F4D87" w:rsidRDefault="006520BE" w:rsidP="006520BE">
      <w:pPr>
        <w:pStyle w:val="Kuvaotsikko"/>
        <w:rPr>
          <w:rFonts w:ascii="Segoe UI" w:hAnsi="Segoe UI" w:cs="Segoe UI"/>
        </w:rPr>
      </w:pPr>
      <w:bookmarkStart w:id="104" w:name="_Ref201651077"/>
      <w:r>
        <w:t>Kuvio</w:t>
      </w:r>
      <w:r w:rsidR="52439BCB">
        <w:t xml:space="preserve"> </w:t>
      </w:r>
      <w:r>
        <w:fldChar w:fldCharType="begin"/>
      </w:r>
      <w:r>
        <w:instrText xml:space="preserve"> SEQ Kuvio \* ARABIC </w:instrText>
      </w:r>
      <w:r>
        <w:fldChar w:fldCharType="separate"/>
      </w:r>
      <w:r w:rsidR="00D87A85">
        <w:rPr>
          <w:noProof/>
        </w:rPr>
        <w:t>12</w:t>
      </w:r>
      <w:r>
        <w:fldChar w:fldCharType="end"/>
      </w:r>
      <w:bookmarkEnd w:id="104"/>
      <w:r>
        <w:t>.</w:t>
      </w:r>
      <w:r w:rsidR="52439BCB">
        <w:t xml:space="preserve"> </w:t>
      </w:r>
      <w:r w:rsidR="3077E405">
        <w:t>Rakennusten erillislämmityksen kasvihuonekaasupäästöt vuosina 2005–2023 sekä arviot nykytoimilla saavutettavasta päästökehityksestä vuosina 202</w:t>
      </w:r>
      <w:r w:rsidR="2BEBC622">
        <w:t>5</w:t>
      </w:r>
      <w:r w:rsidR="3077E405">
        <w:t>–2040. </w:t>
      </w:r>
    </w:p>
    <w:p w14:paraId="2AE752EE" w14:textId="23DD97A1" w:rsidR="00D91251" w:rsidRDefault="00D91251" w:rsidP="005F4D87">
      <w:pPr>
        <w:textAlignment w:val="baseline"/>
        <w:rPr>
          <w:rFonts w:cs="Arial"/>
          <w:sz w:val="22"/>
          <w:szCs w:val="22"/>
        </w:rPr>
      </w:pPr>
    </w:p>
    <w:p w14:paraId="002256D9" w14:textId="5534C0C2" w:rsidR="005F4D87" w:rsidRPr="005F4D87" w:rsidRDefault="00D91251" w:rsidP="005F4D87">
      <w:pPr>
        <w:textAlignment w:val="baseline"/>
        <w:rPr>
          <w:rFonts w:ascii="Segoe UI" w:hAnsi="Segoe UI" w:cs="Segoe UI"/>
          <w:sz w:val="18"/>
          <w:szCs w:val="18"/>
        </w:rPr>
      </w:pPr>
      <w:r>
        <w:rPr>
          <w:noProof/>
        </w:rPr>
        <w:drawing>
          <wp:inline distT="0" distB="0" distL="0" distR="0" wp14:anchorId="63D3A904" wp14:editId="08B6FF58">
            <wp:extent cx="4895850" cy="2122805"/>
            <wp:effectExtent l="0" t="0" r="0" b="0"/>
            <wp:docPr id="892022933" name="Chart 1">
              <a:extLst xmlns:a="http://schemas.openxmlformats.org/drawingml/2006/main">
                <a:ext uri="{FF2B5EF4-FFF2-40B4-BE49-F238E27FC236}">
                  <a16:creationId xmlns:a16="http://schemas.microsoft.com/office/drawing/2014/main" id="{F86E9419-5CDE-EF04-5F5D-8EE1B1514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5F4D87">
        <w:br/>
      </w:r>
      <w:r w:rsidR="005F4D87" w:rsidRPr="005F4D87">
        <w:rPr>
          <w:rFonts w:cs="Arial"/>
          <w:sz w:val="22"/>
          <w:szCs w:val="22"/>
        </w:rPr>
        <w:t> </w:t>
      </w:r>
    </w:p>
    <w:p w14:paraId="406A7077" w14:textId="77777777" w:rsidR="005F4D87" w:rsidRPr="005F4D87" w:rsidRDefault="005F4D87" w:rsidP="005F4D87">
      <w:pPr>
        <w:textAlignment w:val="baseline"/>
        <w:rPr>
          <w:rFonts w:ascii="Segoe UI" w:hAnsi="Segoe UI" w:cs="Segoe UI"/>
          <w:b/>
          <w:bCs/>
          <w:color w:val="365ABD"/>
          <w:sz w:val="18"/>
          <w:szCs w:val="18"/>
        </w:rPr>
      </w:pPr>
      <w:r w:rsidRPr="0B6BB178">
        <w:rPr>
          <w:rFonts w:ascii="Arial Narrow" w:hAnsi="Arial Narrow" w:cs="Segoe UI"/>
          <w:b/>
          <w:color w:val="365ABD" w:themeColor="accent3"/>
          <w:sz w:val="26"/>
          <w:szCs w:val="26"/>
        </w:rPr>
        <w:t>Nykytoimet </w:t>
      </w:r>
    </w:p>
    <w:p w14:paraId="4E695076" w14:textId="77777777" w:rsidR="005F4D87" w:rsidRPr="005F4D87" w:rsidRDefault="005F4D87" w:rsidP="0B6BB178">
      <w:pPr>
        <w:pStyle w:val="VNLeip1kappale"/>
        <w:rPr>
          <w:rFonts w:ascii="Segoe UI" w:hAnsi="Segoe UI" w:cs="Segoe UI"/>
          <w:sz w:val="18"/>
          <w:szCs w:val="18"/>
        </w:rPr>
      </w:pPr>
      <w:r w:rsidRPr="005F4D87">
        <w:t xml:space="preserve">Nykytoimiskenaariossa päästöjen odotetaan laskevan rakennuskannan uusiutumisen, korjausrakentamisen ja lämmitysjärjestelmien muutosten seurauksena. Merkittävä päästövähennysvaikutus tulee biopolttoöljyn jakeluvelvoitteesta ja fossiilisen öljylämmityksen korvaamisesta muilla lämmitysmuodoilla. Nykytoimiskenaarion mukaan asuinrakennusten, </w:t>
      </w:r>
      <w:r w:rsidRPr="00810A8D">
        <w:t>julkisten sekä kaupallisten rakennusten erillislämmityksen päästöt tulevat laskemaan 0,7 miljoonaan hiilidioksidiekvivalenttitonniin vuonna 2030.</w:t>
      </w:r>
      <w:r w:rsidRPr="005F4D87">
        <w:t>  </w:t>
      </w:r>
    </w:p>
    <w:p w14:paraId="39408ED1" w14:textId="77777777" w:rsidR="005F4D87" w:rsidRPr="005F4D87" w:rsidRDefault="005F4D87" w:rsidP="0B6BB178">
      <w:pPr>
        <w:pStyle w:val="VNLeip1kappale"/>
        <w:rPr>
          <w:rFonts w:ascii="Segoe UI" w:hAnsi="Segoe UI" w:cs="Segoe UI"/>
          <w:sz w:val="18"/>
          <w:szCs w:val="18"/>
        </w:rPr>
      </w:pPr>
      <w:r w:rsidRPr="005F4D87">
        <w:t>Öljyalalla on valtiovallan kanssa solmittu lämmityspolttonesteiden jakelutoiminnan energiatehokkuussopimus Höylä IV, jonka tarkoituksena on öljyllä lämmitettyjen rakennusten energiatehokkuuden parantaminen ja uusiutuvien energiamuotojen edistäminen öljylämmityksessä. Sopimus kattaa vuodet 2017–2025. Neuvottelut uudesta sopimuskaudesta vuodesta 2026 alkaen on käynnistetty. </w:t>
      </w:r>
    </w:p>
    <w:p w14:paraId="7CB3BA7E" w14:textId="7124F8AB" w:rsidR="005F4D87" w:rsidRPr="005F4D87" w:rsidRDefault="005F4D87" w:rsidP="0B6BB178">
      <w:pPr>
        <w:pStyle w:val="VNLeip1kappale"/>
        <w:rPr>
          <w:rFonts w:ascii="Segoe UI" w:hAnsi="Segoe UI" w:cs="Segoe UI"/>
          <w:sz w:val="18"/>
          <w:szCs w:val="18"/>
        </w:rPr>
      </w:pPr>
      <w:r w:rsidRPr="005F4D87">
        <w:t>Asuinkiinteistöjen öljystä luopumista edistetään käyttöön otetuilla avustuksilla. Kesällä vuonna 2022 pientalojen avustusjärjestelmä laajennettiin koskemaan myös maakaasulämmityksestä luopumista. Öljylämmityksestä luopumisen avustus on aktivoinut lämmitysjärjestelmän vaihtamista huomattavasti. Vuoden 2024 loppuun mennessä myönteisen päätöksen saaneiden toteuttaessa lämmitystapamuutoksen arvioitu vaikutus vuotuisiin päästöihin on noin 0,14 Mt CO</w:t>
      </w:r>
      <w:r w:rsidRPr="005F4D87">
        <w:rPr>
          <w:sz w:val="17"/>
          <w:szCs w:val="17"/>
          <w:vertAlign w:val="subscript"/>
        </w:rPr>
        <w:t>2</w:t>
      </w:r>
      <w:r w:rsidRPr="005F4D87">
        <w:t xml:space="preserve">-ekv. Tukea on myönnetty n. 30 000 kiinteistölle vuoden 2024 loppuun mennessä. </w:t>
      </w:r>
      <w:r>
        <w:t>Avustuksia on myönnetty vuoden 2024 loppuun mennessä 111 miljoonalla eurolla.</w:t>
      </w:r>
      <w:r w:rsidRPr="005F4D87">
        <w:t xml:space="preserve"> Eduskunta ei ole myöntänyt </w:t>
      </w:r>
      <w:r w:rsidR="29E60DEF">
        <w:t>u</w:t>
      </w:r>
      <w:r>
        <w:t>utta</w:t>
      </w:r>
      <w:r w:rsidRPr="005F4D87">
        <w:t xml:space="preserve"> määrärahaa vuoden 2023 jälkeen. Avustusten myöntämistä pyritään jatkamaan uuden sosiaalisen ilmastorahaston kautta vuodesta 2026 lähtien. Tuloverotuksessa käytettävissä oleva kotitalousvähennys on vaihtoehtoinen tukimuoto pientalon lämmitysjärjestelmän uusimista suunnittelevalle pientalon omistajalle.  </w:t>
      </w:r>
    </w:p>
    <w:p w14:paraId="16067A6C" w14:textId="6F53566F" w:rsidR="005F4D87" w:rsidRPr="005F4D87" w:rsidRDefault="005F4D87" w:rsidP="0B6BB178">
      <w:pPr>
        <w:pStyle w:val="VNLeip1kappale"/>
        <w:rPr>
          <w:rFonts w:ascii="Segoe UI" w:hAnsi="Segoe UI" w:cs="Segoe UI"/>
          <w:sz w:val="18"/>
          <w:szCs w:val="18"/>
        </w:rPr>
      </w:pPr>
      <w:r w:rsidRPr="005F4D87">
        <w:t xml:space="preserve">Kuntien omistamien rakennusten luopumista öljylämmityksestä ja siirtymistä muihin lämmitysmuotoihin on vauhditettu avustuksin lokakuusta 2020 lähtien. Avustukseen on vuoden 2023 talousarviossa uudelleenbudjetoitu 10,86 miljoonan euron määräraha, jolla tavoiteltu vuotuinen päästövähenemä on noin 11 </w:t>
      </w:r>
      <w:proofErr w:type="spellStart"/>
      <w:r w:rsidRPr="005F4D87">
        <w:t>kt</w:t>
      </w:r>
      <w:proofErr w:type="spellEnd"/>
      <w:r w:rsidRPr="005F4D87">
        <w:t xml:space="preserve"> CO</w:t>
      </w:r>
      <w:r w:rsidRPr="005F4D87">
        <w:rPr>
          <w:sz w:val="17"/>
          <w:szCs w:val="17"/>
          <w:vertAlign w:val="subscript"/>
        </w:rPr>
        <w:t>2</w:t>
      </w:r>
      <w:r w:rsidRPr="005F4D87">
        <w:t xml:space="preserve">-ekv. </w:t>
      </w:r>
      <w:r w:rsidRPr="00A80316">
        <w:t>Tukipäätöksiä on annettu vuosina 2020</w:t>
      </w:r>
      <w:r w:rsidR="4130BAFC">
        <w:t>–</w:t>
      </w:r>
      <w:r w:rsidR="692187F7">
        <w:t>20</w:t>
      </w:r>
      <w:r>
        <w:t>24</w:t>
      </w:r>
      <w:r w:rsidRPr="00A80316">
        <w:t xml:space="preserve"> yhteensä 174 kappaletta, yhteissummaltaan 17 miljoonaa euroa</w:t>
      </w:r>
      <w:r w:rsidRPr="005F4D87">
        <w:t>. Avustusta voidaan myöntää kevään 2025 tietojen perusteella syyskuuhun 2025. </w:t>
      </w:r>
    </w:p>
    <w:p w14:paraId="11934473" w14:textId="77777777" w:rsidR="005F4D87" w:rsidRPr="005F4D87" w:rsidRDefault="005F4D87" w:rsidP="0B6BB178">
      <w:pPr>
        <w:pStyle w:val="VNLeip1kappale"/>
        <w:rPr>
          <w:rFonts w:ascii="Segoe UI" w:hAnsi="Segoe UI" w:cs="Segoe UI"/>
          <w:sz w:val="18"/>
          <w:szCs w:val="18"/>
        </w:rPr>
      </w:pPr>
      <w:r w:rsidRPr="005F4D87">
        <w:t>Asuinrakennusten päästöjä on pyritty vähentämään myös asuinrakennusten energia-avustuksilla, jota myönnettiin energiatehokkuutta merkittävästi määräystasoa parempaan tasoon parantaviin hankkeisiin. Viimeisin myönnetty määräraha oli 98,67 miljoonaa euroa vuonna 2023, joka on käytetty kokonaan. Arvioitu vaikutus vuotuisiin päästöihin on noin 0,16 Mt CO</w:t>
      </w:r>
      <w:r w:rsidRPr="005F4D87">
        <w:rPr>
          <w:sz w:val="17"/>
          <w:szCs w:val="17"/>
          <w:vertAlign w:val="subscript"/>
        </w:rPr>
        <w:t>2</w:t>
      </w:r>
      <w:r w:rsidRPr="005F4D87">
        <w:t>-ekv. Vaikutus kohdistuu kaikkien asuinrakennusten päästöihin eikä pelkästään öljylämmitteisiin kiinteistöihin. Näin ollen osa päästövähennysvaikutuksista kohdentuu päästökauppasektorin puolelle.  </w:t>
      </w:r>
    </w:p>
    <w:p w14:paraId="59B5A0A1" w14:textId="4C3B20F1" w:rsidR="005F4D87" w:rsidRPr="005F4D87" w:rsidRDefault="005F4D87" w:rsidP="0B6BB178">
      <w:pPr>
        <w:pStyle w:val="VNLeip1kappale"/>
        <w:rPr>
          <w:rFonts w:ascii="Segoe UI" w:hAnsi="Segoe UI" w:cs="Segoe UI"/>
          <w:sz w:val="18"/>
          <w:szCs w:val="18"/>
        </w:rPr>
      </w:pPr>
      <w:r>
        <w:t xml:space="preserve">Korotettua kotitalousvähennystä energiaremontteihin ja fossiilisesta öljystä ja maakaasusta luopumiseen myönnettiin </w:t>
      </w:r>
      <w:r w:rsidR="76E3D9C1">
        <w:t>2022–2024</w:t>
      </w:r>
      <w:r>
        <w:t>. Tukea myönnettiin vuonna 2022 noin 10 000 kotitaloudelle.  </w:t>
      </w:r>
    </w:p>
    <w:p w14:paraId="5DD73DBC" w14:textId="5FAC31CA" w:rsidR="005F4D87" w:rsidRPr="005F4D87" w:rsidRDefault="005F4D87" w:rsidP="0B6BB178">
      <w:pPr>
        <w:pStyle w:val="VNLeip1kappale"/>
        <w:rPr>
          <w:rFonts w:ascii="Segoe UI" w:hAnsi="Segoe UI" w:cs="Segoe UI"/>
          <w:sz w:val="18"/>
          <w:szCs w:val="18"/>
        </w:rPr>
      </w:pPr>
      <w:r w:rsidRPr="005F4D87">
        <w:t>Lisäksi Euroopan aluekehitysrahaston (EAKR) kautta on hankittavissa valtakunnallista ja alueellista rahoitusta rakennusten energiatehokkuustoimiin. Alueellinen rahoitus kohdistuu erityisesti Itä- ja Pohjois-Suomeen. </w:t>
      </w:r>
    </w:p>
    <w:p w14:paraId="25683CC6" w14:textId="4CEA3145" w:rsidR="005F4D87" w:rsidRPr="005F4D87" w:rsidRDefault="005F4D87" w:rsidP="0B6BB178">
      <w:pPr>
        <w:pStyle w:val="VNLeip1kappale"/>
        <w:rPr>
          <w:rFonts w:ascii="Segoe UI" w:hAnsi="Segoe UI" w:cs="Segoe UI"/>
          <w:sz w:val="18"/>
          <w:szCs w:val="18"/>
        </w:rPr>
      </w:pPr>
      <w:r>
        <w:t>Kuten luvussa 2.</w:t>
      </w:r>
      <w:r w:rsidR="1FFFD16A">
        <w:t xml:space="preserve">2.3 </w:t>
      </w:r>
      <w:r>
        <w:t xml:space="preserve">on todettu, vuoden 2027 alusta Suomessa käynnistyy uusi </w:t>
      </w:r>
      <w:r w:rsidR="00692C2C">
        <w:t xml:space="preserve">fossiilisen polttoaineen </w:t>
      </w:r>
      <w:r>
        <w:t>jakel</w:t>
      </w:r>
      <w:r w:rsidR="00692C2C">
        <w:t>un</w:t>
      </w:r>
      <w:r>
        <w:t xml:space="preserve"> päästökauppa (ETS2). Tämä tulee vaikuttamaan erillislämmityksen päästövähennyskehitykseen, ja on otettu huomioon tämän suunnitelman nykytoimiskenaariossa.  </w:t>
      </w:r>
    </w:p>
    <w:p w14:paraId="5F9AAE74" w14:textId="4C4651CE" w:rsidR="005F4D87" w:rsidRPr="005F4D87" w:rsidRDefault="005F4D87" w:rsidP="007A465A">
      <w:pPr>
        <w:pStyle w:val="Kuvaotsikko"/>
        <w:rPr>
          <w:rFonts w:ascii="Segoe UI" w:hAnsi="Segoe UI" w:cs="Segoe UI"/>
        </w:rPr>
      </w:pPr>
      <w:r w:rsidRPr="005F4D87">
        <w:rPr>
          <w:rFonts w:cs="Arial"/>
          <w:color w:val="0F0F0F"/>
          <w:sz w:val="22"/>
          <w:szCs w:val="22"/>
        </w:rPr>
        <w:t> </w:t>
      </w:r>
      <w:r w:rsidR="52439BCB">
        <w:t xml:space="preserve">Taulukko </w:t>
      </w:r>
      <w:r w:rsidR="00047C51">
        <w:fldChar w:fldCharType="begin"/>
      </w:r>
      <w:r w:rsidR="00047C51">
        <w:instrText xml:space="preserve"> SEQ Taulukko \* ARABIC </w:instrText>
      </w:r>
      <w:r w:rsidR="00047C51">
        <w:fldChar w:fldCharType="separate"/>
      </w:r>
      <w:r w:rsidR="2393C37E" w:rsidRPr="44C2759F">
        <w:rPr>
          <w:noProof/>
        </w:rPr>
        <w:t>6</w:t>
      </w:r>
      <w:r w:rsidR="00047C51">
        <w:fldChar w:fldCharType="end"/>
      </w:r>
      <w:r w:rsidR="52439BCB">
        <w:t xml:space="preserve">. </w:t>
      </w:r>
      <w:r w:rsidR="3077E405">
        <w:t>Rakennusten lämmitys – keskeiset kansalliset käytössä olevat politiikkatoimet </w:t>
      </w:r>
    </w:p>
    <w:tbl>
      <w:tblPr>
        <w:tblW w:w="76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5594"/>
      </w:tblGrid>
      <w:tr w:rsidR="005F4D87" w:rsidRPr="005F4D87" w14:paraId="66EADD61" w14:textId="77777777" w:rsidTr="003B0EAF">
        <w:trPr>
          <w:trHeight w:val="300"/>
        </w:trPr>
        <w:tc>
          <w:tcPr>
            <w:tcW w:w="2100" w:type="dxa"/>
            <w:tcBorders>
              <w:top w:val="single" w:sz="6" w:space="0" w:color="auto"/>
              <w:left w:val="single" w:sz="6" w:space="0" w:color="auto"/>
              <w:bottom w:val="single" w:sz="6" w:space="0" w:color="auto"/>
              <w:right w:val="single" w:sz="6" w:space="0" w:color="auto"/>
            </w:tcBorders>
            <w:hideMark/>
          </w:tcPr>
          <w:p w14:paraId="4C238430" w14:textId="77777777" w:rsidR="005F4D87" w:rsidRPr="005F4D87" w:rsidRDefault="005F4D87" w:rsidP="0B6BB178">
            <w:pPr>
              <w:pStyle w:val="VNLeip1kappale"/>
              <w:rPr>
                <w:rFonts w:ascii="Times New Roman" w:hAnsi="Times New Roman"/>
                <w:sz w:val="24"/>
                <w:szCs w:val="24"/>
              </w:rPr>
            </w:pPr>
            <w:r w:rsidRPr="005F4D87">
              <w:rPr>
                <w:b/>
                <w:bCs/>
              </w:rPr>
              <w:t>Politiikkatoimi</w:t>
            </w:r>
            <w:r w:rsidRPr="005F4D87">
              <w:t> </w:t>
            </w:r>
          </w:p>
        </w:tc>
        <w:tc>
          <w:tcPr>
            <w:tcW w:w="5594" w:type="dxa"/>
            <w:tcBorders>
              <w:top w:val="single" w:sz="6" w:space="0" w:color="auto"/>
              <w:left w:val="single" w:sz="6" w:space="0" w:color="auto"/>
              <w:bottom w:val="single" w:sz="6" w:space="0" w:color="auto"/>
              <w:right w:val="single" w:sz="6" w:space="0" w:color="auto"/>
            </w:tcBorders>
            <w:hideMark/>
          </w:tcPr>
          <w:p w14:paraId="0992FC6F" w14:textId="77777777" w:rsidR="005F4D87" w:rsidRPr="005F4D87" w:rsidRDefault="005F4D87" w:rsidP="0B6BB178">
            <w:pPr>
              <w:pStyle w:val="VNLeip1kappale"/>
              <w:rPr>
                <w:rFonts w:ascii="Times New Roman" w:hAnsi="Times New Roman"/>
                <w:sz w:val="24"/>
                <w:szCs w:val="24"/>
              </w:rPr>
            </w:pPr>
            <w:r w:rsidRPr="005F4D87">
              <w:rPr>
                <w:b/>
                <w:bCs/>
              </w:rPr>
              <w:t>Toimeenpanon tilanne</w:t>
            </w:r>
            <w:r w:rsidRPr="005F4D87">
              <w:t> </w:t>
            </w:r>
          </w:p>
        </w:tc>
      </w:tr>
      <w:tr w:rsidR="005F4D87" w:rsidRPr="005F4D87" w14:paraId="4E8C50A4" w14:textId="77777777" w:rsidTr="003B0EAF">
        <w:trPr>
          <w:trHeight w:val="300"/>
        </w:trPr>
        <w:tc>
          <w:tcPr>
            <w:tcW w:w="2100" w:type="dxa"/>
            <w:tcBorders>
              <w:top w:val="single" w:sz="6" w:space="0" w:color="auto"/>
              <w:left w:val="single" w:sz="6" w:space="0" w:color="auto"/>
              <w:bottom w:val="single" w:sz="6" w:space="0" w:color="auto"/>
              <w:right w:val="single" w:sz="6" w:space="0" w:color="auto"/>
            </w:tcBorders>
            <w:hideMark/>
          </w:tcPr>
          <w:p w14:paraId="5B3BAEC6" w14:textId="77777777" w:rsidR="005F4D87" w:rsidRPr="005F4D87" w:rsidRDefault="005F4D87" w:rsidP="0B6BB178">
            <w:pPr>
              <w:pStyle w:val="VNLeip1kappale"/>
              <w:rPr>
                <w:rFonts w:ascii="Times New Roman" w:hAnsi="Times New Roman"/>
                <w:sz w:val="24"/>
                <w:szCs w:val="24"/>
              </w:rPr>
            </w:pPr>
            <w:r w:rsidRPr="005F4D87">
              <w:t>Asuinkiinteistöjen öljy- ja kaasulämmityksestä luopumisen avustus   </w:t>
            </w:r>
          </w:p>
        </w:tc>
        <w:tc>
          <w:tcPr>
            <w:tcW w:w="5594" w:type="dxa"/>
            <w:tcBorders>
              <w:top w:val="single" w:sz="6" w:space="0" w:color="auto"/>
              <w:left w:val="single" w:sz="6" w:space="0" w:color="auto"/>
              <w:bottom w:val="single" w:sz="6" w:space="0" w:color="auto"/>
              <w:right w:val="single" w:sz="6" w:space="0" w:color="auto"/>
            </w:tcBorders>
            <w:hideMark/>
          </w:tcPr>
          <w:p w14:paraId="1BACC849" w14:textId="1D6A6DF6" w:rsidR="005F4D87" w:rsidRPr="005F4D87" w:rsidRDefault="005F4D87" w:rsidP="0B6BB178">
            <w:pPr>
              <w:pStyle w:val="VNLeip1kappale"/>
              <w:rPr>
                <w:rFonts w:ascii="Times New Roman" w:hAnsi="Times New Roman"/>
                <w:sz w:val="24"/>
                <w:szCs w:val="24"/>
              </w:rPr>
            </w:pPr>
            <w:r w:rsidRPr="005F4D87">
              <w:t xml:space="preserve">Pientaloja koskeva avustusjärjestelmä käynnistyi syyskuussa 2020 ja laajennettiin huhtikuussa 2022 koskemaan myös maakaasulämmitystä. Määrärahat vuosina 2020–2023 yhteensä 143,94 M€. </w:t>
            </w:r>
            <w:r w:rsidR="003F3FA0">
              <w:t xml:space="preserve"> Lisätalousarviossa tehtiin päätös jatkaa tuen hakua</w:t>
            </w:r>
            <w:r w:rsidRPr="005F4D87">
              <w:t xml:space="preserve"> </w:t>
            </w:r>
            <w:r w:rsidR="003447F5">
              <w:t>jäljell</w:t>
            </w:r>
            <w:r w:rsidR="002F22EC">
              <w:t>ä</w:t>
            </w:r>
            <w:r w:rsidR="003447F5">
              <w:t xml:space="preserve"> olevan määrärahan</w:t>
            </w:r>
            <w:r w:rsidR="00F314E0">
              <w:t xml:space="preserve"> puitteissa.</w:t>
            </w:r>
            <w:r w:rsidR="003447F5">
              <w:t xml:space="preserve"> </w:t>
            </w:r>
            <w:r w:rsidR="00514D1C" w:rsidRPr="005F4D87">
              <w:rPr>
                <w:rFonts w:ascii="Times New Roman" w:hAnsi="Times New Roman"/>
                <w:sz w:val="24"/>
                <w:szCs w:val="24"/>
              </w:rPr>
              <w:t xml:space="preserve"> </w:t>
            </w:r>
          </w:p>
        </w:tc>
      </w:tr>
      <w:tr w:rsidR="005F4D87" w:rsidRPr="005F4D87" w14:paraId="5DF25C3A" w14:textId="77777777" w:rsidTr="003B0EAF">
        <w:trPr>
          <w:trHeight w:val="300"/>
        </w:trPr>
        <w:tc>
          <w:tcPr>
            <w:tcW w:w="2100" w:type="dxa"/>
            <w:tcBorders>
              <w:top w:val="single" w:sz="6" w:space="0" w:color="auto"/>
              <w:left w:val="single" w:sz="6" w:space="0" w:color="auto"/>
              <w:bottom w:val="single" w:sz="6" w:space="0" w:color="auto"/>
              <w:right w:val="single" w:sz="6" w:space="0" w:color="auto"/>
            </w:tcBorders>
            <w:hideMark/>
          </w:tcPr>
          <w:p w14:paraId="77FE7F4A" w14:textId="7D5C8F62" w:rsidR="005F4D87" w:rsidRPr="005F4D87" w:rsidRDefault="005F4D87" w:rsidP="0B6BB178">
            <w:pPr>
              <w:pStyle w:val="VNLeip1kappale"/>
              <w:rPr>
                <w:rFonts w:ascii="Times New Roman" w:hAnsi="Times New Roman"/>
                <w:sz w:val="24"/>
                <w:szCs w:val="24"/>
              </w:rPr>
            </w:pPr>
            <w:r w:rsidRPr="005F4D87">
              <w:t>Fossiilisesta öljy- ja kaasulämmityksestä luopumisen tuki kuntien, seurakuntien ja yhdistysten omistamissa rakennuksissa  </w:t>
            </w:r>
          </w:p>
        </w:tc>
        <w:tc>
          <w:tcPr>
            <w:tcW w:w="5594" w:type="dxa"/>
            <w:tcBorders>
              <w:top w:val="single" w:sz="6" w:space="0" w:color="auto"/>
              <w:left w:val="single" w:sz="6" w:space="0" w:color="auto"/>
              <w:bottom w:val="single" w:sz="6" w:space="0" w:color="auto"/>
              <w:right w:val="single" w:sz="6" w:space="0" w:color="auto"/>
            </w:tcBorders>
            <w:hideMark/>
          </w:tcPr>
          <w:p w14:paraId="7966204E" w14:textId="0A4A67C7" w:rsidR="005F4D87" w:rsidRPr="005F4D87" w:rsidRDefault="005F4D87" w:rsidP="0B6BB178">
            <w:pPr>
              <w:pStyle w:val="VNLeip1kappale"/>
              <w:rPr>
                <w:rFonts w:ascii="Times New Roman" w:hAnsi="Times New Roman"/>
                <w:sz w:val="24"/>
                <w:szCs w:val="24"/>
              </w:rPr>
            </w:pPr>
            <w:r w:rsidRPr="005F4D87">
              <w:t xml:space="preserve">Kuntien, seurakuntien ja yhdistysten rakennusten siirtymistä muihin lämmitysmuotoihin tuettiin 17 M€ (2020 alkaen). Tukea on </w:t>
            </w:r>
            <w:r w:rsidR="009A7778">
              <w:t xml:space="preserve">kunnille </w:t>
            </w:r>
            <w:r w:rsidRPr="005F4D87">
              <w:t xml:space="preserve">haettavissa </w:t>
            </w:r>
            <w:r w:rsidR="000E7D6A">
              <w:t>lisätalousarvion päätöksellä jäljellä olevan määrärahan puitteissa</w:t>
            </w:r>
            <w:r w:rsidRPr="005F4D87">
              <w:t>. </w:t>
            </w:r>
          </w:p>
        </w:tc>
      </w:tr>
      <w:tr w:rsidR="005F4D87" w:rsidRPr="005F4D87" w14:paraId="4559E7D1" w14:textId="77777777" w:rsidTr="003B0EAF">
        <w:trPr>
          <w:trHeight w:val="300"/>
        </w:trPr>
        <w:tc>
          <w:tcPr>
            <w:tcW w:w="2100" w:type="dxa"/>
            <w:tcBorders>
              <w:top w:val="single" w:sz="6" w:space="0" w:color="auto"/>
              <w:left w:val="single" w:sz="6" w:space="0" w:color="auto"/>
              <w:bottom w:val="single" w:sz="6" w:space="0" w:color="auto"/>
              <w:right w:val="single" w:sz="6" w:space="0" w:color="auto"/>
            </w:tcBorders>
            <w:hideMark/>
          </w:tcPr>
          <w:p w14:paraId="35C8FBB5" w14:textId="77777777" w:rsidR="005F4D87" w:rsidRPr="005F4D87" w:rsidRDefault="005F4D87" w:rsidP="0B6BB178">
            <w:pPr>
              <w:pStyle w:val="VNLeip1kappale"/>
              <w:rPr>
                <w:rFonts w:ascii="Times New Roman" w:hAnsi="Times New Roman"/>
                <w:sz w:val="24"/>
                <w:szCs w:val="24"/>
              </w:rPr>
            </w:pPr>
            <w:r w:rsidRPr="005F4D87">
              <w:t>Asuinrakennusten energia-avustus energiatehokkuuden parantamiseksi ja päästöjen vähentämiseksi  </w:t>
            </w:r>
          </w:p>
        </w:tc>
        <w:tc>
          <w:tcPr>
            <w:tcW w:w="5594" w:type="dxa"/>
            <w:tcBorders>
              <w:top w:val="single" w:sz="6" w:space="0" w:color="auto"/>
              <w:left w:val="single" w:sz="6" w:space="0" w:color="auto"/>
              <w:bottom w:val="single" w:sz="6" w:space="0" w:color="auto"/>
              <w:right w:val="single" w:sz="6" w:space="0" w:color="auto"/>
            </w:tcBorders>
            <w:hideMark/>
          </w:tcPr>
          <w:p w14:paraId="7A6D1209" w14:textId="5A1A7B44" w:rsidR="005F4D87" w:rsidRPr="005F4D87" w:rsidRDefault="005F4D87" w:rsidP="0B6BB178">
            <w:pPr>
              <w:pStyle w:val="VNLeip1kappale"/>
              <w:rPr>
                <w:rFonts w:ascii="Times New Roman" w:hAnsi="Times New Roman"/>
                <w:sz w:val="24"/>
                <w:szCs w:val="24"/>
              </w:rPr>
            </w:pPr>
            <w:r w:rsidRPr="005F4D87">
              <w:t>Energia-avustuksia oli käytettävissä 244,4 M€ (2020–2023). </w:t>
            </w:r>
          </w:p>
        </w:tc>
      </w:tr>
      <w:tr w:rsidR="005F4D87" w:rsidRPr="005F4D87" w14:paraId="7099CF16" w14:textId="77777777" w:rsidTr="003B0EAF">
        <w:trPr>
          <w:trHeight w:val="300"/>
        </w:trPr>
        <w:tc>
          <w:tcPr>
            <w:tcW w:w="2100" w:type="dxa"/>
            <w:tcBorders>
              <w:top w:val="single" w:sz="6" w:space="0" w:color="auto"/>
              <w:left w:val="single" w:sz="6" w:space="0" w:color="auto"/>
              <w:bottom w:val="single" w:sz="6" w:space="0" w:color="auto"/>
              <w:right w:val="single" w:sz="6" w:space="0" w:color="auto"/>
            </w:tcBorders>
            <w:hideMark/>
          </w:tcPr>
          <w:p w14:paraId="36965968" w14:textId="27CBFAAC" w:rsidR="005F4D87" w:rsidRPr="005F4D87" w:rsidRDefault="005F4D87" w:rsidP="0B6BB178">
            <w:pPr>
              <w:pStyle w:val="VNLeip1kappale"/>
              <w:rPr>
                <w:rFonts w:ascii="Times New Roman" w:hAnsi="Times New Roman"/>
                <w:sz w:val="24"/>
                <w:szCs w:val="24"/>
              </w:rPr>
            </w:pPr>
            <w:r w:rsidRPr="005F4D87">
              <w:t>K</w:t>
            </w:r>
            <w:r w:rsidR="00B57110">
              <w:t>orotettu k</w:t>
            </w:r>
            <w:r w:rsidRPr="005F4D87">
              <w:t>otitalousvähennys öljylämmityksestä luovuttaessa.   </w:t>
            </w:r>
          </w:p>
        </w:tc>
        <w:tc>
          <w:tcPr>
            <w:tcW w:w="5594" w:type="dxa"/>
            <w:tcBorders>
              <w:top w:val="single" w:sz="6" w:space="0" w:color="auto"/>
              <w:left w:val="single" w:sz="6" w:space="0" w:color="auto"/>
              <w:bottom w:val="single" w:sz="6" w:space="0" w:color="auto"/>
              <w:right w:val="single" w:sz="6" w:space="0" w:color="auto"/>
            </w:tcBorders>
            <w:hideMark/>
          </w:tcPr>
          <w:p w14:paraId="40F0CA9D" w14:textId="77777777" w:rsidR="005F4D87" w:rsidRPr="005F4D87" w:rsidRDefault="005F4D87" w:rsidP="0B6BB178">
            <w:pPr>
              <w:pStyle w:val="VNLeip1kappale"/>
              <w:rPr>
                <w:rFonts w:ascii="Times New Roman" w:hAnsi="Times New Roman"/>
                <w:sz w:val="24"/>
                <w:szCs w:val="24"/>
              </w:rPr>
            </w:pPr>
            <w:r w:rsidRPr="005F4D87">
              <w:t>Vuosina 2022–2027 korotettu vähennys enintään 3 500 € (työn osuudesta). Korvausprosentti nostettu 40 %:sta 60 %:iin. </w:t>
            </w:r>
          </w:p>
        </w:tc>
      </w:tr>
      <w:tr w:rsidR="005F4D87" w:rsidRPr="005F4D87" w14:paraId="61A6FAE5" w14:textId="77777777" w:rsidTr="003B0EAF">
        <w:trPr>
          <w:trHeight w:val="300"/>
        </w:trPr>
        <w:tc>
          <w:tcPr>
            <w:tcW w:w="2100" w:type="dxa"/>
            <w:tcBorders>
              <w:top w:val="single" w:sz="6" w:space="0" w:color="auto"/>
              <w:left w:val="single" w:sz="6" w:space="0" w:color="auto"/>
              <w:bottom w:val="single" w:sz="6" w:space="0" w:color="auto"/>
              <w:right w:val="single" w:sz="6" w:space="0" w:color="auto"/>
            </w:tcBorders>
            <w:hideMark/>
          </w:tcPr>
          <w:p w14:paraId="57AA67F7" w14:textId="77777777" w:rsidR="005F4D87" w:rsidRPr="005F4D87" w:rsidRDefault="005F4D87" w:rsidP="0B6BB178">
            <w:pPr>
              <w:pStyle w:val="VNLeip1kappale"/>
              <w:rPr>
                <w:rFonts w:ascii="Times New Roman" w:hAnsi="Times New Roman"/>
                <w:sz w:val="24"/>
                <w:szCs w:val="24"/>
              </w:rPr>
            </w:pPr>
            <w:r w:rsidRPr="005F4D87">
              <w:t>Biopolttoöljyn jakeluvelvoite  </w:t>
            </w:r>
          </w:p>
        </w:tc>
        <w:tc>
          <w:tcPr>
            <w:tcW w:w="5594" w:type="dxa"/>
            <w:tcBorders>
              <w:top w:val="single" w:sz="6" w:space="0" w:color="auto"/>
              <w:left w:val="single" w:sz="6" w:space="0" w:color="auto"/>
              <w:bottom w:val="single" w:sz="6" w:space="0" w:color="auto"/>
              <w:right w:val="single" w:sz="6" w:space="0" w:color="auto"/>
            </w:tcBorders>
            <w:hideMark/>
          </w:tcPr>
          <w:p w14:paraId="3F635B01" w14:textId="77777777" w:rsidR="005F4D87" w:rsidRPr="005F4D87" w:rsidRDefault="005F4D87" w:rsidP="0B6BB178">
            <w:pPr>
              <w:pStyle w:val="VNLeip1kappale"/>
              <w:rPr>
                <w:rFonts w:ascii="Times New Roman" w:hAnsi="Times New Roman"/>
                <w:sz w:val="24"/>
                <w:szCs w:val="24"/>
              </w:rPr>
            </w:pPr>
            <w:r w:rsidRPr="005F4D87">
              <w:t>Kevyen polttoöljyn bio-osuus 3 % vuonna 2021, tavoite 10 % vuoteen 2028 mennessä (418/2019). </w:t>
            </w:r>
          </w:p>
        </w:tc>
      </w:tr>
    </w:tbl>
    <w:p w14:paraId="28FBF0A6" w14:textId="77777777" w:rsidR="007A45DA" w:rsidRDefault="007A45DA" w:rsidP="00747D32">
      <w:pPr>
        <w:textAlignment w:val="baseline"/>
        <w:rPr>
          <w:rFonts w:ascii="Arial Narrow" w:hAnsi="Arial Narrow" w:cs="Segoe UI"/>
          <w:b/>
          <w:bCs/>
          <w:color w:val="365ABD"/>
          <w:sz w:val="33"/>
          <w:szCs w:val="33"/>
        </w:rPr>
      </w:pPr>
    </w:p>
    <w:p w14:paraId="5573B99A" w14:textId="741409A5" w:rsidR="007A45DA" w:rsidRPr="00873E36" w:rsidRDefault="632A1E5B" w:rsidP="00564CA5">
      <w:pPr>
        <w:pStyle w:val="Otsikko2"/>
        <w:rPr>
          <w:lang w:val="fi-FI"/>
        </w:rPr>
      </w:pPr>
      <w:r w:rsidRPr="00366F52">
        <w:rPr>
          <w:lang w:val="fi-FI"/>
        </w:rPr>
        <w:t xml:space="preserve"> </w:t>
      </w:r>
      <w:bookmarkStart w:id="105" w:name="_Toc202260046"/>
      <w:r w:rsidR="009D39D1">
        <w:rPr>
          <w:lang w:val="fi-FI"/>
        </w:rPr>
        <w:t>5.4</w:t>
      </w:r>
      <w:r w:rsidRPr="009E7E7E">
        <w:rPr>
          <w:lang w:val="fi-FI"/>
        </w:rPr>
        <w:t xml:space="preserve"> </w:t>
      </w:r>
      <w:r w:rsidR="005F4D87" w:rsidRPr="00873E36">
        <w:rPr>
          <w:lang w:val="fi-FI"/>
        </w:rPr>
        <w:t>Työkoneet</w:t>
      </w:r>
      <w:bookmarkEnd w:id="105"/>
      <w:r w:rsidR="005F4D87" w:rsidRPr="00873E36">
        <w:rPr>
          <w:lang w:val="fi-FI"/>
        </w:rPr>
        <w:t> </w:t>
      </w:r>
    </w:p>
    <w:p w14:paraId="777AC854" w14:textId="7B86F16C" w:rsidR="005F4D87" w:rsidRPr="005F4D87" w:rsidRDefault="005F4D87" w:rsidP="0B6BB178">
      <w:pPr>
        <w:pStyle w:val="VNLeip1kappale"/>
        <w:rPr>
          <w:rFonts w:ascii="Segoe UI" w:hAnsi="Segoe UI" w:cs="Segoe UI"/>
          <w:sz w:val="18"/>
          <w:szCs w:val="18"/>
        </w:rPr>
      </w:pPr>
      <w:r w:rsidRPr="005F4D87">
        <w:t>Työkoneisiin kuuluu hyvin erilaisiin käyttötarkoituksiin tarkoitettuja laitteita järeistä kaivinkoneista, tiehöylistä ja maa- ja metsätalouden työkoneista trukkeihin, mönkijöihin ja ruohonleikkureihin. Työkoneita käytetään monilla eri sektoreilla ja erilaisissa käyttöympäristöissä. </w:t>
      </w:r>
      <w:r w:rsidRPr="005F4D87">
        <w:rPr>
          <w:strike/>
          <w:color w:val="D13438"/>
        </w:rPr>
        <w:t xml:space="preserve"> </w:t>
      </w:r>
      <w:r w:rsidRPr="005F4D87">
        <w:t>Työkoneiden päästöt vaihtelevat vuosittain riippuen muun muassa teollisuuden ja rakentamisen suhdanteista. Valtaosa Suomen työkoneiden kasvihuonekaasupäästöistä on peräisin dieselkäyttövoimalla toimivista työkoneista. Työkoneiden ikä vaihtelee Suomessa merkittävästi</w:t>
      </w:r>
      <w:r w:rsidR="00967CF9">
        <w:t>.</w:t>
      </w:r>
      <w:r w:rsidRPr="005F4D87">
        <w:t xml:space="preserve"> </w:t>
      </w:r>
      <w:r w:rsidR="6E405218">
        <w:t>V</w:t>
      </w:r>
      <w:r w:rsidR="0B1CBCCC">
        <w:t>anhaa</w:t>
      </w:r>
      <w:r w:rsidRPr="005F4D87">
        <w:t xml:space="preserve"> kalustoa on käytössä huomattavan paljon. Korkean käyttöasteen työkoneet ovat selvästi uudempia kuin matalan käyttöasteen työkoneet. Vaihtoehtoisiin käyttövoimiin perustuvien työkoneiden ensirekisteröinnit ovat lisääntyneet viime vuosina, mutta siirtymä nolla- ja vähäpäästöisiin työkoneisiin on edennyt kuitenkin verrattain hitaasti. </w:t>
      </w:r>
    </w:p>
    <w:p w14:paraId="3C6440AB" w14:textId="77777777" w:rsidR="005F4D87" w:rsidRPr="005F4D87" w:rsidRDefault="005F4D87" w:rsidP="0B6BB178">
      <w:pPr>
        <w:pStyle w:val="VNLeip1kappale"/>
        <w:rPr>
          <w:rFonts w:ascii="Segoe UI" w:hAnsi="Segoe UI" w:cs="Segoe UI"/>
          <w:sz w:val="18"/>
          <w:szCs w:val="18"/>
        </w:rPr>
      </w:pPr>
      <w:r w:rsidRPr="005F4D87">
        <w:t>Merkittävin osa työkoneiden ympäristövaikutuksista syntyy käytön aikana, ja niihin vaikuttavat erityisesti kaluston ominaisuudet, mutta myös ajo- tai käyttötavalla sekä työvaiheiden suunnittelulla on merkitystä. Käytön aikaisista ympäristövaikutuksista merkittävimpiä ovat hiilidioksidipäästöt sekä terveydelle haitalliset pakokaasupäästöt. Työkoneen pakokaasupäästöt ovat yleensä henkilöauton päästöjä huomattavasti suuremmat.  </w:t>
      </w:r>
    </w:p>
    <w:p w14:paraId="6D11A73A" w14:textId="77777777" w:rsidR="005F4D87" w:rsidRPr="005F4D87" w:rsidRDefault="005F4D87" w:rsidP="005F4D87">
      <w:pPr>
        <w:textAlignment w:val="baseline"/>
        <w:rPr>
          <w:rFonts w:ascii="Segoe UI" w:hAnsi="Segoe UI" w:cs="Segoe UI"/>
          <w:sz w:val="18"/>
          <w:szCs w:val="18"/>
        </w:rPr>
      </w:pPr>
      <w:r w:rsidRPr="005F4D87">
        <w:rPr>
          <w:rFonts w:cs="Arial"/>
          <w:sz w:val="22"/>
          <w:szCs w:val="22"/>
        </w:rPr>
        <w:t> </w:t>
      </w:r>
    </w:p>
    <w:p w14:paraId="5949445F" w14:textId="77777777" w:rsidR="005F4D87" w:rsidRPr="005F4D87" w:rsidRDefault="005F4D87" w:rsidP="005F4D87">
      <w:pPr>
        <w:textAlignment w:val="baseline"/>
        <w:rPr>
          <w:rFonts w:ascii="Segoe UI" w:hAnsi="Segoe UI" w:cs="Segoe UI"/>
          <w:b/>
          <w:bCs/>
          <w:color w:val="365ABD"/>
          <w:sz w:val="18"/>
          <w:szCs w:val="18"/>
        </w:rPr>
      </w:pPr>
      <w:r w:rsidRPr="0B6BB178">
        <w:rPr>
          <w:rFonts w:ascii="Arial Narrow" w:hAnsi="Arial Narrow" w:cs="Segoe UI"/>
          <w:b/>
          <w:color w:val="365ABD" w:themeColor="accent3"/>
          <w:sz w:val="26"/>
          <w:szCs w:val="26"/>
        </w:rPr>
        <w:t>Päästökehitys </w:t>
      </w:r>
    </w:p>
    <w:p w14:paraId="6AD0C45B" w14:textId="5959BE52" w:rsidR="005F4D87" w:rsidRPr="005F4D87" w:rsidRDefault="005F4D87" w:rsidP="0B6BB178">
      <w:pPr>
        <w:pStyle w:val="VNLeip1kappale"/>
        <w:rPr>
          <w:rFonts w:ascii="Segoe UI" w:hAnsi="Segoe UI" w:cs="Segoe UI"/>
          <w:sz w:val="18"/>
          <w:szCs w:val="18"/>
        </w:rPr>
      </w:pPr>
      <w:r w:rsidRPr="005F4D87">
        <w:t>Työkoneiden kasvihuonekaasupäästöt vuonna 2023 olivat 2,4 Mt CO</w:t>
      </w:r>
      <w:r w:rsidRPr="005F4D87">
        <w:rPr>
          <w:sz w:val="17"/>
          <w:szCs w:val="17"/>
          <w:vertAlign w:val="subscript"/>
        </w:rPr>
        <w:t>2</w:t>
      </w:r>
      <w:r w:rsidRPr="005F4D87">
        <w:t>-ekv., joka oli noin 6 % Suomen kokonaispäästöistä ja 9 % taakanjakosektorin päästöistä. Työkoneiden päästöt ovat pysyneet viime vuosina suurin piirtein samalla tasolla (</w:t>
      </w:r>
      <w:r w:rsidR="00D87A85">
        <w:fldChar w:fldCharType="begin"/>
      </w:r>
      <w:r w:rsidR="00D87A85">
        <w:instrText xml:space="preserve"> REF _Ref201651165 \h </w:instrText>
      </w:r>
      <w:r w:rsidR="00D87A85">
        <w:fldChar w:fldCharType="separate"/>
      </w:r>
      <w:r w:rsidR="00D87A85">
        <w:t xml:space="preserve">Kuvio </w:t>
      </w:r>
      <w:r w:rsidR="00D87A85">
        <w:rPr>
          <w:noProof/>
        </w:rPr>
        <w:t>14</w:t>
      </w:r>
      <w:r w:rsidR="00D87A85">
        <w:fldChar w:fldCharType="end"/>
      </w:r>
      <w:r w:rsidRPr="005F4D87">
        <w:t>).  Työkoneiden päästöistä 46 % syntyi teollisuudessa, 12 % palvelusektorilta, 35 % maa- ja metsätalouden työkoneista ja 7 % kotitalouksien työkoneista. </w:t>
      </w:r>
    </w:p>
    <w:p w14:paraId="6609BAB6" w14:textId="3DB6367E" w:rsidR="005F4D87" w:rsidRPr="005F4D87" w:rsidRDefault="007A465A" w:rsidP="007A465A">
      <w:pPr>
        <w:pStyle w:val="Kuvaotsikko"/>
        <w:rPr>
          <w:rFonts w:ascii="Segoe UI" w:hAnsi="Segoe UI" w:cs="Segoe UI"/>
        </w:rPr>
      </w:pPr>
      <w:r>
        <w:t>Kuvio</w:t>
      </w:r>
      <w:r w:rsidR="00327A3A">
        <w:t xml:space="preserve"> </w:t>
      </w:r>
      <w:r>
        <w:fldChar w:fldCharType="begin"/>
      </w:r>
      <w:r>
        <w:instrText xml:space="preserve"> SEQ Kuvio \* ARABIC </w:instrText>
      </w:r>
      <w:r>
        <w:fldChar w:fldCharType="separate"/>
      </w:r>
      <w:r w:rsidR="00D87A85">
        <w:rPr>
          <w:noProof/>
        </w:rPr>
        <w:t>13</w:t>
      </w:r>
      <w:r>
        <w:fldChar w:fldCharType="end"/>
      </w:r>
      <w:r w:rsidR="00327A3A">
        <w:t>.</w:t>
      </w:r>
      <w:r w:rsidR="005F4D87" w:rsidRPr="005F4D87">
        <w:t>Työkoneiden kasvihuonekaasupäästöjen jakautuminen vuonna 2023. </w:t>
      </w:r>
    </w:p>
    <w:p w14:paraId="1E4CC870" w14:textId="77777777" w:rsidR="005F4D87" w:rsidRPr="005F4D87" w:rsidRDefault="005F4D87" w:rsidP="005F4D87">
      <w:pPr>
        <w:textAlignment w:val="baseline"/>
        <w:rPr>
          <w:rFonts w:ascii="Segoe UI" w:hAnsi="Segoe UI" w:cs="Segoe UI"/>
          <w:sz w:val="18"/>
          <w:szCs w:val="18"/>
        </w:rPr>
      </w:pPr>
      <w:r>
        <w:rPr>
          <w:noProof/>
        </w:rPr>
        <w:drawing>
          <wp:inline distT="0" distB="0" distL="0" distR="0" wp14:anchorId="020271EE" wp14:editId="2A429B57">
            <wp:extent cx="5762602" cy="3317984"/>
            <wp:effectExtent l="0" t="0" r="0" b="0"/>
            <wp:docPr id="121" name="Kuva 88" descr="Kuva 69,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8"/>
                    <pic:cNvPicPr/>
                  </pic:nvPicPr>
                  <pic:blipFill>
                    <a:blip r:embed="rId46">
                      <a:extLst>
                        <a:ext uri="{28A0092B-C50C-407E-A947-70E740481C1C}">
                          <a14:useLocalDpi xmlns:a14="http://schemas.microsoft.com/office/drawing/2010/main" val="0"/>
                        </a:ext>
                      </a:extLst>
                    </a:blip>
                    <a:stretch>
                      <a:fillRect/>
                    </a:stretch>
                  </pic:blipFill>
                  <pic:spPr>
                    <a:xfrm>
                      <a:off x="0" y="0"/>
                      <a:ext cx="5762602" cy="3317984"/>
                    </a:xfrm>
                    <a:prstGeom prst="rect">
                      <a:avLst/>
                    </a:prstGeom>
                  </pic:spPr>
                </pic:pic>
              </a:graphicData>
            </a:graphic>
          </wp:inline>
        </w:drawing>
      </w:r>
      <w:r w:rsidRPr="005F4D87">
        <w:rPr>
          <w:rFonts w:cs="Arial"/>
          <w:sz w:val="22"/>
          <w:szCs w:val="22"/>
        </w:rPr>
        <w:t> </w:t>
      </w:r>
    </w:p>
    <w:p w14:paraId="02B22EE2" w14:textId="77777777" w:rsidR="005F4D87" w:rsidRPr="005F4D87" w:rsidRDefault="005F4D87" w:rsidP="00327A3A">
      <w:pPr>
        <w:pStyle w:val="VNKuvateksti"/>
        <w:rPr>
          <w:rFonts w:ascii="Segoe UI" w:hAnsi="Segoe UI" w:cs="Segoe UI"/>
          <w:sz w:val="18"/>
        </w:rPr>
      </w:pPr>
      <w:r w:rsidRPr="005F4D87">
        <w:t> </w:t>
      </w:r>
    </w:p>
    <w:p w14:paraId="08BD3E71" w14:textId="7166A9C4" w:rsidR="005F4D87" w:rsidRPr="005F4D87" w:rsidRDefault="00D87A85" w:rsidP="00D87A85">
      <w:pPr>
        <w:pStyle w:val="Kuvaotsikko"/>
        <w:rPr>
          <w:rFonts w:ascii="Segoe UI" w:hAnsi="Segoe UI" w:cs="Segoe UI"/>
        </w:rPr>
      </w:pPr>
      <w:bookmarkStart w:id="106" w:name="_Ref201651165"/>
      <w:r>
        <w:t>Kuvio</w:t>
      </w:r>
      <w:r w:rsidR="2393C37E">
        <w:t xml:space="preserve"> </w:t>
      </w:r>
      <w:r>
        <w:fldChar w:fldCharType="begin"/>
      </w:r>
      <w:r>
        <w:instrText xml:space="preserve"> SEQ Kuvio \* ARABIC </w:instrText>
      </w:r>
      <w:r>
        <w:fldChar w:fldCharType="separate"/>
      </w:r>
      <w:r>
        <w:rPr>
          <w:noProof/>
        </w:rPr>
        <w:t>14</w:t>
      </w:r>
      <w:r>
        <w:fldChar w:fldCharType="end"/>
      </w:r>
      <w:bookmarkEnd w:id="106"/>
      <w:r>
        <w:t>.</w:t>
      </w:r>
      <w:r w:rsidR="2393C37E">
        <w:t xml:space="preserve"> </w:t>
      </w:r>
      <w:r w:rsidR="3077E405">
        <w:t>Työkoneiden päästöt vuosina 2005–2023 sekä nykytoimiskenaarion mukainen arvio päästökehityksestä. Vuoden 2024 tieto on pikaennakko. </w:t>
      </w:r>
    </w:p>
    <w:p w14:paraId="5F111A37" w14:textId="40D9D754" w:rsidR="005F4D87" w:rsidRPr="005F4D87" w:rsidRDefault="006A134F" w:rsidP="005F4D87">
      <w:pPr>
        <w:textAlignment w:val="baseline"/>
        <w:rPr>
          <w:rFonts w:ascii="Segoe UI" w:hAnsi="Segoe UI" w:cs="Segoe UI"/>
          <w:sz w:val="18"/>
          <w:szCs w:val="18"/>
        </w:rPr>
      </w:pPr>
      <w:r>
        <w:rPr>
          <w:noProof/>
        </w:rPr>
        <w:drawing>
          <wp:inline distT="0" distB="0" distL="0" distR="0" wp14:anchorId="61724988" wp14:editId="787BCB55">
            <wp:extent cx="4505325" cy="2895600"/>
            <wp:effectExtent l="0" t="0" r="0" b="0"/>
            <wp:docPr id="186262681" name="Kaavio 1">
              <a:extLst xmlns:a="http://schemas.openxmlformats.org/drawingml/2006/main">
                <a:ext uri="{FF2B5EF4-FFF2-40B4-BE49-F238E27FC236}">
                  <a16:creationId xmlns:a16="http://schemas.microsoft.com/office/drawing/2014/main" id="{AD91A979-F393-63C9-4151-0B96A2458B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5F4D87" w:rsidRPr="005F4D87">
        <w:rPr>
          <w:rFonts w:cs="Arial"/>
          <w:sz w:val="22"/>
          <w:szCs w:val="22"/>
        </w:rPr>
        <w:t> </w:t>
      </w:r>
      <w:r w:rsidR="005F4D87">
        <w:br/>
      </w:r>
      <w:r w:rsidR="005F4D87" w:rsidRPr="005F4D87">
        <w:rPr>
          <w:rFonts w:cs="Arial"/>
          <w:sz w:val="22"/>
          <w:szCs w:val="22"/>
        </w:rPr>
        <w:t> </w:t>
      </w:r>
    </w:p>
    <w:p w14:paraId="2E27A469" w14:textId="77777777" w:rsidR="005F4D87" w:rsidRPr="005F4D87" w:rsidRDefault="005F4D87" w:rsidP="005F4D87">
      <w:pPr>
        <w:textAlignment w:val="baseline"/>
        <w:rPr>
          <w:rFonts w:ascii="Segoe UI" w:hAnsi="Segoe UI" w:cs="Segoe UI"/>
          <w:b/>
          <w:bCs/>
          <w:color w:val="365ABD"/>
          <w:sz w:val="18"/>
          <w:szCs w:val="18"/>
        </w:rPr>
      </w:pPr>
      <w:r w:rsidRPr="0B6BB178">
        <w:rPr>
          <w:rFonts w:ascii="Arial Narrow" w:hAnsi="Arial Narrow" w:cs="Segoe UI"/>
          <w:b/>
          <w:color w:val="365ABD" w:themeColor="accent3"/>
          <w:sz w:val="26"/>
          <w:szCs w:val="26"/>
        </w:rPr>
        <w:t>Nykytoimet </w:t>
      </w:r>
    </w:p>
    <w:p w14:paraId="3B0172F2" w14:textId="363EE15D" w:rsidR="005F4D87" w:rsidRPr="005F4D87" w:rsidRDefault="005F4D87" w:rsidP="0EBA5103">
      <w:pPr>
        <w:pStyle w:val="VNLeip1kappale"/>
        <w:rPr>
          <w:rFonts w:ascii="Segoe UI" w:hAnsi="Segoe UI" w:cs="Segoe UI"/>
          <w:sz w:val="18"/>
          <w:szCs w:val="18"/>
        </w:rPr>
      </w:pPr>
      <w:r>
        <w:t>Edellisessä keskipitkän aikavälin ilmastopolitiikan suunnitelmassa työkoneiden uusien politiikkatoimien arvioitiin laskevan taakanjakosektorin päästöjä 0,5 Mt CO</w:t>
      </w:r>
      <w:r w:rsidRPr="02B2E58A">
        <w:rPr>
          <w:sz w:val="17"/>
          <w:szCs w:val="17"/>
          <w:vertAlign w:val="subscript"/>
        </w:rPr>
        <w:t>2</w:t>
      </w:r>
      <w:r>
        <w:t>-ekv. vuonna 2030.  Kasvihuonekaasupäästöjen vähentämisen kannalta merkittävin yksittäinen toimi oli kevyen polttoöljyn bio-osuuden nostaminen 30 %:iin vuoteen 2030 mennessä. Eduskuntaan edellise</w:t>
      </w:r>
      <w:r w:rsidR="56F48423">
        <w:t>llä</w:t>
      </w:r>
      <w:r>
        <w:t xml:space="preserve"> hallitu</w:t>
      </w:r>
      <w:r w:rsidR="4316788F">
        <w:t>s</w:t>
      </w:r>
      <w:r>
        <w:t>kaudella valmisteltu hallituksen esitys raukesi, ja näin ollen tätä toimea ei olla toimeenpantu. EU-tasoisen fossiilisen polttoaineiden jakel</w:t>
      </w:r>
      <w:r w:rsidR="00C92E7C">
        <w:t>un</w:t>
      </w:r>
      <w:r>
        <w:t xml:space="preserve"> päästökauppa eteni, ja sen kansallisen toimeenpanon valmistelu on käynnissä. Jakel</w:t>
      </w:r>
      <w:r w:rsidR="00C92E7C">
        <w:t>un</w:t>
      </w:r>
      <w:r>
        <w:t xml:space="preserve"> päästökauppa koskee myös työkoneiden käyttämiä polttoaineita. Green </w:t>
      </w:r>
      <w:proofErr w:type="spellStart"/>
      <w:r>
        <w:t>dealien</w:t>
      </w:r>
      <w:proofErr w:type="spellEnd"/>
      <w:r>
        <w:t xml:space="preserve"> ja vähäpäästöisten työkoneiden koulutuskokonaisuuden toimeenpano ovat edenneet. EU- tason säädöskehikon kehittymistä on pyritty edistämään. </w:t>
      </w:r>
    </w:p>
    <w:p w14:paraId="0F28C2C2" w14:textId="00268C55" w:rsidR="005F4D87" w:rsidRPr="005F4D87" w:rsidRDefault="005F4D87" w:rsidP="0B6BB178">
      <w:pPr>
        <w:pStyle w:val="VNLeip1kappale"/>
        <w:rPr>
          <w:rFonts w:ascii="Segoe UI" w:hAnsi="Segoe UI" w:cs="Segoe UI"/>
          <w:sz w:val="18"/>
          <w:szCs w:val="18"/>
        </w:rPr>
      </w:pPr>
      <w:r w:rsidRPr="005F4D87">
        <w:t>Kevyen polttoöljyn bio-osuuden jakeluvelvoitteen osalta on voimassa biopolttoöljyn käytön edistämisestä annettu laki (418/2019), jonka mukaisesti kevyen polttoöljyn bio-osuuden jakeluvelvoite on 3 % vuonna 2021 ja nousee 10 %:iin vuoteen 2028 mennessä. Lisäksi traktorien muuttamista biokaasukäyttöisiksi tuetaan ympäristöinvestointina maatalouden investointituen kautta. </w:t>
      </w:r>
    </w:p>
    <w:p w14:paraId="29C442F3" w14:textId="601E96EA" w:rsidR="005F4D87" w:rsidRPr="005F4D87" w:rsidRDefault="005F4D87" w:rsidP="0B6BB178">
      <w:pPr>
        <w:pStyle w:val="VNLeip1kappale"/>
        <w:rPr>
          <w:rFonts w:ascii="Segoe UI" w:hAnsi="Segoe UI" w:cs="Segoe UI"/>
          <w:sz w:val="18"/>
          <w:szCs w:val="18"/>
        </w:rPr>
      </w:pPr>
      <w:r w:rsidRPr="005F4D87">
        <w:t>Kuten luvussa 2.</w:t>
      </w:r>
      <w:r w:rsidR="38B99018">
        <w:t>2.3</w:t>
      </w:r>
      <w:r w:rsidRPr="005F4D87">
        <w:t xml:space="preserve"> on todettu, vuoden 2027 alusta Suomessa käynnistyy uusi </w:t>
      </w:r>
      <w:r w:rsidR="00C92E7C">
        <w:t xml:space="preserve">fossiilisen polttoaineen </w:t>
      </w:r>
      <w:r w:rsidRPr="005F4D87">
        <w:t>jakel</w:t>
      </w:r>
      <w:r w:rsidR="00C92E7C">
        <w:t>un</w:t>
      </w:r>
      <w:r w:rsidRPr="005F4D87">
        <w:t xml:space="preserve"> päästökauppa (ETS2). Tämä tulee vaikuttamaan työkoneiden päästövähennyskehitykseen, ja on otettu huomioon tämän suunnitelman nykytoimiskenaariossa. Samoin polttoaineverotuksella voidaan vaikuttaa päästöjen kehitykseen. </w:t>
      </w:r>
    </w:p>
    <w:p w14:paraId="69494023" w14:textId="02DDBA5A" w:rsidR="005F4D87" w:rsidRPr="005F4D87" w:rsidRDefault="005F4D87" w:rsidP="0B6BB178">
      <w:pPr>
        <w:pStyle w:val="VNLeip1kappale"/>
        <w:rPr>
          <w:rFonts w:ascii="Segoe UI" w:hAnsi="Segoe UI" w:cs="Segoe UI"/>
          <w:sz w:val="18"/>
          <w:szCs w:val="18"/>
        </w:rPr>
      </w:pPr>
      <w:r w:rsidRPr="005F4D87">
        <w:t xml:space="preserve">Täyssähköisten ja muiden vähäpäästöisten työkoneiden osuuden lisäämiseksi ympäristöministeriö ja Teknisen Kaupan Liitto ry solmivat lokakuussa 2019 </w:t>
      </w:r>
      <w:r w:rsidR="00AB273F">
        <w:t>T</w:t>
      </w:r>
      <w:r>
        <w:t>yökonealan</w:t>
      </w:r>
      <w:r w:rsidRPr="005F4D87">
        <w:t xml:space="preserve"> </w:t>
      </w:r>
      <w:proofErr w:type="spellStart"/>
      <w:r w:rsidRPr="005F4D87">
        <w:t>green</w:t>
      </w:r>
      <w:proofErr w:type="spellEnd"/>
      <w:r w:rsidRPr="005F4D87">
        <w:t xml:space="preserve"> </w:t>
      </w:r>
      <w:proofErr w:type="spellStart"/>
      <w:r w:rsidRPr="005F4D87">
        <w:t>deal</w:t>
      </w:r>
      <w:proofErr w:type="spellEnd"/>
      <w:r w:rsidRPr="005F4D87">
        <w:t xml:space="preserve"> -sopimuksen. Sopimuksen kautta tehtävillä vapaaehtoisilla sitoumuksilla alan toimijat pyrkivät lisäämään täyssähkökäyttöisten ja muiden vähäpäästöisten työkoneiden tarjontaa ja kannustamaan niiden laajempaa hyödyntämistä. Vuonna 2023 toteutetun väliarvioinnin mukaan vuoden 2022 tavoitteet on lähes saavutettu. Arvioinnin mukaan sopimuksen vaikuttavuutta voisi parantaa kasvattamalla siihen sitoutuneiden yritysten määrää sekä tavoitteiden kunnianhimoa. </w:t>
      </w:r>
    </w:p>
    <w:p w14:paraId="3A2E7314" w14:textId="74CBFA84" w:rsidR="005F4D87" w:rsidRPr="005F4D87" w:rsidRDefault="005F4D87" w:rsidP="0B6BB178">
      <w:pPr>
        <w:pStyle w:val="VNLeip1kappale"/>
        <w:rPr>
          <w:rFonts w:ascii="Segoe UI" w:hAnsi="Segoe UI" w:cs="Segoe UI"/>
          <w:sz w:val="18"/>
          <w:szCs w:val="18"/>
        </w:rPr>
      </w:pPr>
      <w:r w:rsidRPr="005F4D87">
        <w:t xml:space="preserve">Päästöttömät työmaat – Kestävien hankintojen </w:t>
      </w:r>
      <w:proofErr w:type="spellStart"/>
      <w:r w:rsidRPr="005F4D87">
        <w:t>green</w:t>
      </w:r>
      <w:proofErr w:type="spellEnd"/>
      <w:r w:rsidRPr="005F4D87">
        <w:t xml:space="preserve"> </w:t>
      </w:r>
      <w:proofErr w:type="spellStart"/>
      <w:r w:rsidRPr="005F4D87">
        <w:t>deal</w:t>
      </w:r>
      <w:proofErr w:type="spellEnd"/>
      <w:r w:rsidRPr="005F4D87">
        <w:t xml:space="preserve"> -sopimuksen tavoitteena on, että mukana olevien kuntien ja </w:t>
      </w:r>
      <w:r>
        <w:t>Senaat</w:t>
      </w:r>
      <w:r w:rsidR="00802E6A">
        <w:t>ti</w:t>
      </w:r>
      <w:r w:rsidR="005D67E1">
        <w:t>-</w:t>
      </w:r>
      <w:r w:rsidR="53ABC8FC">
        <w:t>kiinteistöjen</w:t>
      </w:r>
      <w:r w:rsidRPr="005F4D87">
        <w:t xml:space="preserve"> työmailla ei käytetä fossiilisia polttoaineita vuoden 2025 jälkeen. Lisäksi vuoteen 2030 mennessä työmailla käytettävistä työkoneista ja työmaiden kuljetuksista vähintään </w:t>
      </w:r>
      <w:r>
        <w:t>50 </w:t>
      </w:r>
      <w:r w:rsidRPr="005F4D87">
        <w:t>% toimii sähköllä, biokaasulla tai vedyllä. Vuonna 2024 julkaistun väliarvioinnin mukaan sopimuksen välitavoitteet on saavutettu lähes kokonaan. </w:t>
      </w:r>
    </w:p>
    <w:p w14:paraId="2301A37A" w14:textId="7335F859" w:rsidR="005F4D87" w:rsidRPr="005F4D87" w:rsidRDefault="005F4D87" w:rsidP="0B6BB178">
      <w:pPr>
        <w:pStyle w:val="VNLeip1kappale"/>
        <w:rPr>
          <w:rFonts w:ascii="Segoe UI" w:hAnsi="Segoe UI" w:cs="Segoe UI"/>
          <w:sz w:val="18"/>
          <w:szCs w:val="18"/>
        </w:rPr>
      </w:pPr>
      <w:r w:rsidRPr="005F4D87">
        <w:t xml:space="preserve">Green </w:t>
      </w:r>
      <w:proofErr w:type="spellStart"/>
      <w:r w:rsidRPr="005F4D87">
        <w:t>dealeihin</w:t>
      </w:r>
      <w:proofErr w:type="spellEnd"/>
      <w:r w:rsidRPr="005F4D87">
        <w:t xml:space="preserve"> liittyvä </w:t>
      </w:r>
      <w:r w:rsidR="00027CCD">
        <w:t>Vähäpäästöiset työkoneet -</w:t>
      </w:r>
      <w:r w:rsidRPr="005F4D87">
        <w:t xml:space="preserve">koulutuskokonaisuus luotiin vuonna 2021. Koulutus tukee työkoneiden päästöjen vähentämistä ja se on </w:t>
      </w:r>
      <w:r>
        <w:t>suunnattu työkoneiden</w:t>
      </w:r>
      <w:r w:rsidRPr="005F4D87">
        <w:t xml:space="preserve"> käyttäjille, urakoitsijoille, aliurakoitsijoille ja työmaavalvojille sekä julkisille hankkijoille. Koulutuskokonaisuutta kehitettiin ja jalkautettiin vuosien 2022 ja 2023 aikana toteutetulla hankkeella. Hanke lisäsi merkittävästi koulutuksen hyödyntämistä. Koulutuksen ylläpito jatkuu vuosien 2024 ja 2025 aikana </w:t>
      </w:r>
      <w:r>
        <w:t>tot</w:t>
      </w:r>
      <w:r w:rsidR="00C46BBE">
        <w:t>e</w:t>
      </w:r>
      <w:r>
        <w:t>utettavassa</w:t>
      </w:r>
      <w:r w:rsidRPr="005F4D87">
        <w:t xml:space="preserve"> hankkeessa. </w:t>
      </w:r>
    </w:p>
    <w:p w14:paraId="10E957AA" w14:textId="7F3D208B" w:rsidR="005F4D87" w:rsidRPr="005F4D87" w:rsidRDefault="005F4D87" w:rsidP="0B6BB178">
      <w:pPr>
        <w:pStyle w:val="VNLeip1kappale"/>
        <w:rPr>
          <w:rFonts w:ascii="Segoe UI" w:hAnsi="Segoe UI" w:cs="Segoe UI"/>
          <w:sz w:val="18"/>
          <w:szCs w:val="18"/>
        </w:rPr>
      </w:pPr>
      <w:r w:rsidRPr="005F4D87">
        <w:t xml:space="preserve">Työkoneiden päästövähennysten edistämiseksi käynnissä on myös </w:t>
      </w:r>
      <w:r w:rsidR="22A85E2D">
        <w:t xml:space="preserve">pyrkimyksiä </w:t>
      </w:r>
      <w:r w:rsidR="0B1CBCCC">
        <w:t>EU-taso</w:t>
      </w:r>
      <w:r w:rsidR="1E7F74C2">
        <w:t>lla, mm.</w:t>
      </w:r>
      <w:r w:rsidRPr="005F4D87">
        <w:t xml:space="preserve"> sääntelyn kehittäminen.  </w:t>
      </w:r>
    </w:p>
    <w:p w14:paraId="18F58D41" w14:textId="6D527B02" w:rsidR="005F4D87" w:rsidRPr="005F4D87" w:rsidRDefault="005F4D87" w:rsidP="00D87A85">
      <w:pPr>
        <w:pStyle w:val="VNLeip1kappale"/>
      </w:pPr>
      <w:r w:rsidRPr="005F4D87">
        <w:t>Työkoneiden päästölaskentaa kehitetään osana Tilastokeskuksessa toteutettavaa LIIKE-hanketta. </w:t>
      </w:r>
      <w:r w:rsidR="7845F6F4" w:rsidRPr="0EBA5103">
        <w:t>Osana ACE-h</w:t>
      </w:r>
      <w:r w:rsidR="6A694754" w:rsidRPr="0EBA5103">
        <w:t>a</w:t>
      </w:r>
      <w:r w:rsidR="7845F6F4" w:rsidRPr="0EBA5103">
        <w:t>nketta (EU LIFE) selvitetään työkoneiden päästövähennysmahdollisuuksia yhdessä sidosryhmien kanssa.</w:t>
      </w:r>
    </w:p>
    <w:p w14:paraId="1F38BD59" w14:textId="77777777" w:rsidR="005F4D87" w:rsidRPr="005F4D87" w:rsidRDefault="005F4D87" w:rsidP="005F4D87">
      <w:pPr>
        <w:textAlignment w:val="baseline"/>
        <w:rPr>
          <w:rFonts w:ascii="Segoe UI" w:hAnsi="Segoe UI" w:cs="Segoe UI"/>
          <w:sz w:val="18"/>
          <w:szCs w:val="18"/>
        </w:rPr>
      </w:pPr>
      <w:r w:rsidRPr="005F4D87">
        <w:rPr>
          <w:rFonts w:cs="Arial"/>
          <w:sz w:val="22"/>
          <w:szCs w:val="22"/>
        </w:rPr>
        <w:t> </w:t>
      </w:r>
    </w:p>
    <w:p w14:paraId="5EC4C4CA" w14:textId="77777777" w:rsidR="005F4D87" w:rsidRPr="005F4D87" w:rsidRDefault="005F4D87" w:rsidP="005F4D87">
      <w:pPr>
        <w:textAlignment w:val="baseline"/>
        <w:rPr>
          <w:rFonts w:ascii="Segoe UI" w:hAnsi="Segoe UI" w:cs="Segoe UI"/>
          <w:sz w:val="18"/>
          <w:szCs w:val="18"/>
        </w:rPr>
      </w:pPr>
      <w:r w:rsidRPr="005F4D87">
        <w:rPr>
          <w:rFonts w:cs="Arial"/>
          <w:sz w:val="22"/>
          <w:szCs w:val="22"/>
        </w:rPr>
        <w:t> </w:t>
      </w:r>
    </w:p>
    <w:p w14:paraId="3DBE61D5" w14:textId="4442C3A1" w:rsidR="005F4D87" w:rsidRPr="005F4D87" w:rsidRDefault="00327A3A" w:rsidP="00D87A85">
      <w:pPr>
        <w:pStyle w:val="Kuvaotsikko"/>
        <w:rPr>
          <w:rFonts w:ascii="Segoe UI" w:hAnsi="Segoe UI" w:cs="Segoe UI"/>
        </w:rPr>
      </w:pPr>
      <w:r>
        <w:t xml:space="preserve">Taulukko </w:t>
      </w:r>
      <w:r>
        <w:fldChar w:fldCharType="begin"/>
      </w:r>
      <w:r>
        <w:instrText xml:space="preserve"> SEQ Taulukko \* ARABIC </w:instrText>
      </w:r>
      <w:r>
        <w:fldChar w:fldCharType="separate"/>
      </w:r>
      <w:r>
        <w:rPr>
          <w:noProof/>
        </w:rPr>
        <w:t>7</w:t>
      </w:r>
      <w:r>
        <w:fldChar w:fldCharType="end"/>
      </w:r>
      <w:r>
        <w:t>.</w:t>
      </w:r>
      <w:r w:rsidR="00D87A85">
        <w:t xml:space="preserve"> </w:t>
      </w:r>
      <w:r w:rsidR="005F4D87" w:rsidRPr="005F4D87">
        <w:t>Työkoneet – keskeiset käytössä olevat politiikkatoimet </w:t>
      </w:r>
    </w:p>
    <w:tbl>
      <w:tblPr>
        <w:tblW w:w="76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5594"/>
      </w:tblGrid>
      <w:tr w:rsidR="005F4D87" w:rsidRPr="005F4D87" w14:paraId="03057B42" w14:textId="77777777" w:rsidTr="003B0EAF">
        <w:trPr>
          <w:trHeight w:val="300"/>
        </w:trPr>
        <w:tc>
          <w:tcPr>
            <w:tcW w:w="2100" w:type="dxa"/>
            <w:tcBorders>
              <w:top w:val="single" w:sz="6" w:space="0" w:color="auto"/>
              <w:left w:val="single" w:sz="6" w:space="0" w:color="auto"/>
              <w:bottom w:val="single" w:sz="6" w:space="0" w:color="auto"/>
              <w:right w:val="single" w:sz="6" w:space="0" w:color="auto"/>
            </w:tcBorders>
            <w:hideMark/>
          </w:tcPr>
          <w:p w14:paraId="4BBC0A29" w14:textId="77777777" w:rsidR="005F4D87" w:rsidRPr="005F4D87" w:rsidRDefault="005F4D87" w:rsidP="0B6BB178">
            <w:pPr>
              <w:pStyle w:val="VNLeip1kappale"/>
              <w:rPr>
                <w:rFonts w:ascii="Times New Roman" w:hAnsi="Times New Roman"/>
                <w:sz w:val="24"/>
                <w:szCs w:val="24"/>
              </w:rPr>
            </w:pPr>
            <w:r w:rsidRPr="005F4D87">
              <w:rPr>
                <w:b/>
                <w:bCs/>
              </w:rPr>
              <w:t>Politiikkatoimi</w:t>
            </w:r>
            <w:r w:rsidRPr="005F4D87">
              <w:t> </w:t>
            </w:r>
          </w:p>
        </w:tc>
        <w:tc>
          <w:tcPr>
            <w:tcW w:w="5594" w:type="dxa"/>
            <w:tcBorders>
              <w:top w:val="single" w:sz="6" w:space="0" w:color="auto"/>
              <w:left w:val="single" w:sz="6" w:space="0" w:color="auto"/>
              <w:bottom w:val="single" w:sz="6" w:space="0" w:color="auto"/>
              <w:right w:val="single" w:sz="6" w:space="0" w:color="auto"/>
            </w:tcBorders>
            <w:hideMark/>
          </w:tcPr>
          <w:p w14:paraId="07DEA250" w14:textId="77777777" w:rsidR="005F4D87" w:rsidRPr="005F4D87" w:rsidRDefault="005F4D87" w:rsidP="0B6BB178">
            <w:pPr>
              <w:pStyle w:val="VNLeip1kappale"/>
              <w:rPr>
                <w:rFonts w:ascii="Times New Roman" w:hAnsi="Times New Roman"/>
                <w:sz w:val="24"/>
                <w:szCs w:val="24"/>
              </w:rPr>
            </w:pPr>
            <w:r w:rsidRPr="005F4D87">
              <w:rPr>
                <w:b/>
                <w:bCs/>
              </w:rPr>
              <w:t>Toimeenpanon tilanne</w:t>
            </w:r>
            <w:r w:rsidRPr="005F4D87">
              <w:t> </w:t>
            </w:r>
          </w:p>
        </w:tc>
      </w:tr>
      <w:tr w:rsidR="005F4D87" w:rsidRPr="005F4D87" w14:paraId="4072EDED" w14:textId="77777777" w:rsidTr="003B0EAF">
        <w:trPr>
          <w:trHeight w:val="300"/>
        </w:trPr>
        <w:tc>
          <w:tcPr>
            <w:tcW w:w="2100" w:type="dxa"/>
            <w:tcBorders>
              <w:top w:val="single" w:sz="6" w:space="0" w:color="auto"/>
              <w:left w:val="single" w:sz="6" w:space="0" w:color="auto"/>
              <w:bottom w:val="single" w:sz="6" w:space="0" w:color="auto"/>
              <w:right w:val="single" w:sz="6" w:space="0" w:color="auto"/>
            </w:tcBorders>
            <w:hideMark/>
          </w:tcPr>
          <w:p w14:paraId="04563C31" w14:textId="77777777" w:rsidR="005F4D87" w:rsidRPr="005F4D87" w:rsidRDefault="005F4D87" w:rsidP="0B6BB178">
            <w:pPr>
              <w:pStyle w:val="VNLeip1kappale"/>
              <w:rPr>
                <w:rFonts w:ascii="Times New Roman" w:hAnsi="Times New Roman"/>
                <w:sz w:val="24"/>
                <w:szCs w:val="24"/>
              </w:rPr>
            </w:pPr>
            <w:r w:rsidRPr="005F4D87">
              <w:t>Kevyen biopolttoöljyn jakeluvelvoite </w:t>
            </w:r>
          </w:p>
        </w:tc>
        <w:tc>
          <w:tcPr>
            <w:tcW w:w="5594" w:type="dxa"/>
            <w:tcBorders>
              <w:top w:val="single" w:sz="6" w:space="0" w:color="auto"/>
              <w:left w:val="single" w:sz="6" w:space="0" w:color="auto"/>
              <w:bottom w:val="single" w:sz="6" w:space="0" w:color="auto"/>
              <w:right w:val="single" w:sz="6" w:space="0" w:color="auto"/>
            </w:tcBorders>
            <w:hideMark/>
          </w:tcPr>
          <w:p w14:paraId="7B4FD387" w14:textId="77777777" w:rsidR="005F4D87" w:rsidRPr="005F4D87" w:rsidRDefault="005F4D87" w:rsidP="0B6BB178">
            <w:pPr>
              <w:pStyle w:val="VNLeip1kappale"/>
              <w:rPr>
                <w:rFonts w:ascii="Times New Roman" w:hAnsi="Times New Roman"/>
                <w:sz w:val="24"/>
                <w:szCs w:val="24"/>
              </w:rPr>
            </w:pPr>
            <w:r w:rsidRPr="005F4D87">
              <w:t>Biopolttoöljyn käytön edistämisestä annetun lain (418/2019) mukaisesti kevyen polttoöljyn bio-osuuden jakeluvelvoite oli 3 % vuonna 2021 ja nousee 10 %:iin vuoteen 2028 mennessä.  </w:t>
            </w:r>
          </w:p>
        </w:tc>
      </w:tr>
      <w:tr w:rsidR="005F4D87" w:rsidRPr="005F4D87" w14:paraId="3E1D369E" w14:textId="77777777" w:rsidTr="003B0EAF">
        <w:trPr>
          <w:trHeight w:val="300"/>
        </w:trPr>
        <w:tc>
          <w:tcPr>
            <w:tcW w:w="2100" w:type="dxa"/>
            <w:tcBorders>
              <w:top w:val="single" w:sz="6" w:space="0" w:color="auto"/>
              <w:left w:val="single" w:sz="6" w:space="0" w:color="auto"/>
              <w:bottom w:val="single" w:sz="6" w:space="0" w:color="auto"/>
              <w:right w:val="single" w:sz="6" w:space="0" w:color="auto"/>
            </w:tcBorders>
            <w:hideMark/>
          </w:tcPr>
          <w:p w14:paraId="141E6C73" w14:textId="77777777" w:rsidR="005F4D87" w:rsidRPr="005F4D87" w:rsidRDefault="005F4D87" w:rsidP="0B6BB178">
            <w:pPr>
              <w:pStyle w:val="VNLeip1kappale"/>
              <w:rPr>
                <w:rFonts w:ascii="Times New Roman" w:hAnsi="Times New Roman"/>
                <w:sz w:val="24"/>
                <w:szCs w:val="24"/>
              </w:rPr>
            </w:pPr>
            <w:r w:rsidRPr="005F4D87">
              <w:t>Verotus </w:t>
            </w:r>
          </w:p>
        </w:tc>
        <w:tc>
          <w:tcPr>
            <w:tcW w:w="5594" w:type="dxa"/>
            <w:tcBorders>
              <w:top w:val="single" w:sz="6" w:space="0" w:color="auto"/>
              <w:left w:val="single" w:sz="6" w:space="0" w:color="auto"/>
              <w:bottom w:val="single" w:sz="6" w:space="0" w:color="auto"/>
              <w:right w:val="single" w:sz="6" w:space="0" w:color="auto"/>
            </w:tcBorders>
            <w:hideMark/>
          </w:tcPr>
          <w:p w14:paraId="6E3338F6" w14:textId="77777777" w:rsidR="005F4D87" w:rsidRPr="005F4D87" w:rsidRDefault="005F4D87" w:rsidP="0B6BB178">
            <w:pPr>
              <w:pStyle w:val="VNLeip1kappale"/>
              <w:rPr>
                <w:rFonts w:ascii="Times New Roman" w:hAnsi="Times New Roman"/>
                <w:sz w:val="24"/>
                <w:szCs w:val="24"/>
              </w:rPr>
            </w:pPr>
            <w:r w:rsidRPr="005F4D87">
              <w:t xml:space="preserve">Nestemäisten polttoaineiden valmisteveroa koskevan lain (1472/1994) mukaisesti työkoneissa käytettävän rikittömän kevyen polttoöljyn verotaso on kevyellä polttoöljyllä 27,58 </w:t>
            </w:r>
            <w:proofErr w:type="spellStart"/>
            <w:r w:rsidRPr="005F4D87">
              <w:t>snt</w:t>
            </w:r>
            <w:proofErr w:type="spellEnd"/>
            <w:r w:rsidRPr="005F4D87">
              <w:t xml:space="preserve">/l ja moottoribensiinillä 71,77 </w:t>
            </w:r>
            <w:proofErr w:type="spellStart"/>
            <w:r w:rsidRPr="005F4D87">
              <w:t>snt</w:t>
            </w:r>
            <w:proofErr w:type="spellEnd"/>
            <w:r w:rsidRPr="005F4D87">
              <w:t>/l (Laki 1472/1994). </w:t>
            </w:r>
          </w:p>
        </w:tc>
      </w:tr>
      <w:tr w:rsidR="005F4D87" w:rsidRPr="005F4D87" w14:paraId="7A62242E" w14:textId="77777777" w:rsidTr="003B0EAF">
        <w:trPr>
          <w:trHeight w:val="300"/>
        </w:trPr>
        <w:tc>
          <w:tcPr>
            <w:tcW w:w="2100" w:type="dxa"/>
            <w:tcBorders>
              <w:top w:val="single" w:sz="6" w:space="0" w:color="auto"/>
              <w:left w:val="single" w:sz="6" w:space="0" w:color="auto"/>
              <w:bottom w:val="single" w:sz="6" w:space="0" w:color="auto"/>
              <w:right w:val="single" w:sz="6" w:space="0" w:color="auto"/>
            </w:tcBorders>
            <w:hideMark/>
          </w:tcPr>
          <w:p w14:paraId="01C531FB" w14:textId="678F7C1F" w:rsidR="005F4D87" w:rsidRPr="005F4D87" w:rsidRDefault="005F4D87" w:rsidP="0B6BB178">
            <w:pPr>
              <w:pStyle w:val="VNLeip1kappale"/>
              <w:rPr>
                <w:rFonts w:ascii="Times New Roman" w:hAnsi="Times New Roman"/>
                <w:sz w:val="24"/>
                <w:szCs w:val="24"/>
              </w:rPr>
            </w:pPr>
            <w:r w:rsidRPr="005F4D87">
              <w:t xml:space="preserve">Päästöttömät työmaat ja </w:t>
            </w:r>
            <w:r w:rsidR="00605D62">
              <w:t>T</w:t>
            </w:r>
            <w:r>
              <w:t>yökonealan</w:t>
            </w:r>
            <w:r w:rsidRPr="005F4D87">
              <w:t xml:space="preserve"> </w:t>
            </w:r>
            <w:proofErr w:type="spellStart"/>
            <w:r w:rsidRPr="005F4D87">
              <w:t>green</w:t>
            </w:r>
            <w:proofErr w:type="spellEnd"/>
            <w:r w:rsidRPr="005F4D87">
              <w:t xml:space="preserve"> </w:t>
            </w:r>
            <w:proofErr w:type="spellStart"/>
            <w:r w:rsidRPr="005F4D87">
              <w:t>dealit</w:t>
            </w:r>
            <w:proofErr w:type="spellEnd"/>
            <w:r w:rsidRPr="005F4D87">
              <w:t xml:space="preserve"> sekä </w:t>
            </w:r>
            <w:r w:rsidR="00210C9A">
              <w:t>Vähäpäästöiset työkoneet -</w:t>
            </w:r>
            <w:r w:rsidRPr="005F4D87">
              <w:t>koulutuskokonaisuus </w:t>
            </w:r>
          </w:p>
        </w:tc>
        <w:tc>
          <w:tcPr>
            <w:tcW w:w="5594" w:type="dxa"/>
            <w:tcBorders>
              <w:top w:val="single" w:sz="6" w:space="0" w:color="auto"/>
              <w:left w:val="single" w:sz="6" w:space="0" w:color="auto"/>
              <w:bottom w:val="single" w:sz="6" w:space="0" w:color="auto"/>
              <w:right w:val="single" w:sz="6" w:space="0" w:color="auto"/>
            </w:tcBorders>
            <w:hideMark/>
          </w:tcPr>
          <w:p w14:paraId="051B10DA" w14:textId="70465220" w:rsidR="005F4D87" w:rsidRPr="005F4D87" w:rsidRDefault="005F4D87" w:rsidP="0B6BB178">
            <w:pPr>
              <w:pStyle w:val="VNLeip1kappale"/>
            </w:pPr>
            <w:r w:rsidRPr="005F4D87">
              <w:t xml:space="preserve">Green </w:t>
            </w:r>
            <w:proofErr w:type="spellStart"/>
            <w:r w:rsidRPr="005F4D87">
              <w:t>deal</w:t>
            </w:r>
            <w:proofErr w:type="spellEnd"/>
            <w:r w:rsidRPr="005F4D87">
              <w:t xml:space="preserve">-sopimukset työkonealalla (2019) ja työmailla (2020), väliarvioinnit vuosina 2023 ja 2024. </w:t>
            </w:r>
            <w:r w:rsidR="00755072">
              <w:t xml:space="preserve">Vähäpäästöiset työkoneet -koulutuskokonaisuus on </w:t>
            </w:r>
            <w:r w:rsidR="004647CF">
              <w:t>luotu, sitä on kehitetty ja siitä</w:t>
            </w:r>
            <w:r w:rsidR="00561AEB">
              <w:t xml:space="preserve"> </w:t>
            </w:r>
            <w:r w:rsidR="004C1637">
              <w:t xml:space="preserve">on viestitty sidosryhmille. </w:t>
            </w:r>
            <w:r w:rsidR="00ED1236">
              <w:t>Koulutuskokonaisuuden ylläpito jatkuu</w:t>
            </w:r>
            <w:r w:rsidR="00D12C42">
              <w:t xml:space="preserve"> hank</w:t>
            </w:r>
            <w:r w:rsidR="00106E1A">
              <w:t>erahoituksella</w:t>
            </w:r>
            <w:r w:rsidR="00D12C42">
              <w:t xml:space="preserve"> ainakin vuoden 2025 loppuun saakka.</w:t>
            </w:r>
            <w:r w:rsidR="00ED1236">
              <w:t xml:space="preserve"> </w:t>
            </w:r>
          </w:p>
        </w:tc>
      </w:tr>
      <w:tr w:rsidR="005F4D87" w:rsidRPr="005F4D87" w14:paraId="5940A3B0" w14:textId="77777777" w:rsidTr="003B0EAF">
        <w:trPr>
          <w:trHeight w:val="300"/>
        </w:trPr>
        <w:tc>
          <w:tcPr>
            <w:tcW w:w="2100" w:type="dxa"/>
            <w:tcBorders>
              <w:top w:val="single" w:sz="6" w:space="0" w:color="auto"/>
              <w:left w:val="single" w:sz="6" w:space="0" w:color="auto"/>
              <w:bottom w:val="single" w:sz="6" w:space="0" w:color="auto"/>
              <w:right w:val="single" w:sz="6" w:space="0" w:color="auto"/>
            </w:tcBorders>
            <w:hideMark/>
          </w:tcPr>
          <w:p w14:paraId="2212F742" w14:textId="77777777" w:rsidR="005F4D87" w:rsidRPr="005F4D87" w:rsidRDefault="005F4D87" w:rsidP="0B6BB178">
            <w:pPr>
              <w:pStyle w:val="VNLeip1kappale"/>
              <w:rPr>
                <w:rFonts w:ascii="Times New Roman" w:hAnsi="Times New Roman"/>
                <w:sz w:val="24"/>
                <w:szCs w:val="24"/>
              </w:rPr>
            </w:pPr>
            <w:r w:rsidRPr="005F4D87">
              <w:t>Traktoreiden muuttaminen biokaasukäyttöisiksi ja työkoneiden hankintatuki </w:t>
            </w:r>
          </w:p>
        </w:tc>
        <w:tc>
          <w:tcPr>
            <w:tcW w:w="5594" w:type="dxa"/>
            <w:tcBorders>
              <w:top w:val="single" w:sz="6" w:space="0" w:color="auto"/>
              <w:left w:val="single" w:sz="6" w:space="0" w:color="auto"/>
              <w:bottom w:val="single" w:sz="6" w:space="0" w:color="auto"/>
              <w:right w:val="single" w:sz="6" w:space="0" w:color="auto"/>
            </w:tcBorders>
            <w:hideMark/>
          </w:tcPr>
          <w:p w14:paraId="4CA46196" w14:textId="786541EB" w:rsidR="005F4D87" w:rsidRPr="005F4D87" w:rsidRDefault="005F4D87" w:rsidP="0B6BB178">
            <w:pPr>
              <w:pStyle w:val="VNLeip1kappale"/>
              <w:rPr>
                <w:rFonts w:ascii="Times New Roman" w:hAnsi="Times New Roman"/>
                <w:sz w:val="24"/>
                <w:szCs w:val="24"/>
              </w:rPr>
            </w:pPr>
            <w:r w:rsidRPr="005F4D87">
              <w:t xml:space="preserve">Traktorien muuttamista biokaasukäyttöisiksi tuetaan ympäristöinvestointina maatalouden investointituen kautta. Investointitukia ei </w:t>
            </w:r>
            <w:r w:rsidR="0069579A">
              <w:t xml:space="preserve">ole </w:t>
            </w:r>
            <w:r w:rsidRPr="005F4D87">
              <w:t>toistaiseksi käytetty.  </w:t>
            </w:r>
          </w:p>
        </w:tc>
      </w:tr>
      <w:tr w:rsidR="005F4D87" w:rsidRPr="005F4D87" w14:paraId="73123BEF" w14:textId="77777777" w:rsidTr="003B0EAF">
        <w:trPr>
          <w:trHeight w:val="300"/>
        </w:trPr>
        <w:tc>
          <w:tcPr>
            <w:tcW w:w="2100" w:type="dxa"/>
            <w:tcBorders>
              <w:top w:val="single" w:sz="6" w:space="0" w:color="auto"/>
              <w:left w:val="single" w:sz="6" w:space="0" w:color="auto"/>
              <w:bottom w:val="single" w:sz="6" w:space="0" w:color="auto"/>
              <w:right w:val="single" w:sz="6" w:space="0" w:color="auto"/>
            </w:tcBorders>
            <w:hideMark/>
          </w:tcPr>
          <w:p w14:paraId="1FD47BDE" w14:textId="77777777" w:rsidR="005F4D87" w:rsidRPr="005F4D87" w:rsidRDefault="005F4D87" w:rsidP="0B6BB178">
            <w:pPr>
              <w:pStyle w:val="VNLeip1kappale"/>
              <w:rPr>
                <w:rFonts w:ascii="Times New Roman" w:hAnsi="Times New Roman"/>
                <w:sz w:val="24"/>
                <w:szCs w:val="24"/>
              </w:rPr>
            </w:pPr>
            <w:r w:rsidRPr="005F4D87">
              <w:t>EU-tason sääntelyn kehittäminen </w:t>
            </w:r>
          </w:p>
        </w:tc>
        <w:tc>
          <w:tcPr>
            <w:tcW w:w="5594" w:type="dxa"/>
            <w:tcBorders>
              <w:top w:val="single" w:sz="6" w:space="0" w:color="auto"/>
              <w:left w:val="single" w:sz="6" w:space="0" w:color="auto"/>
              <w:bottom w:val="single" w:sz="6" w:space="0" w:color="auto"/>
              <w:right w:val="single" w:sz="6" w:space="0" w:color="auto"/>
            </w:tcBorders>
            <w:hideMark/>
          </w:tcPr>
          <w:p w14:paraId="35A0C0D3" w14:textId="1D2692A8" w:rsidR="005F4D87" w:rsidRPr="005F4D87" w:rsidRDefault="005F4D87" w:rsidP="0B6BB178">
            <w:pPr>
              <w:pStyle w:val="VNLeip1kappale"/>
              <w:rPr>
                <w:rFonts w:ascii="Times New Roman" w:hAnsi="Times New Roman"/>
                <w:sz w:val="24"/>
                <w:szCs w:val="24"/>
              </w:rPr>
            </w:pPr>
            <w:r w:rsidRPr="005F4D87">
              <w:t>Työkoneiden päästöjen vähentämiseen tähtäävän säädöskehyksen kehittämismahdollisuuksia EU-tasolla tarkasteltiin selvityksessä, jonka tulokset julkaistiin 2024. </w:t>
            </w:r>
          </w:p>
        </w:tc>
      </w:tr>
    </w:tbl>
    <w:p w14:paraId="6E66F26A" w14:textId="00AEF261" w:rsidR="0B6BB178" w:rsidRPr="00873E36" w:rsidRDefault="005F4D87" w:rsidP="0B6BB178">
      <w:pPr>
        <w:pStyle w:val="Otsikko2"/>
        <w:rPr>
          <w:lang w:val="fi-FI"/>
        </w:rPr>
      </w:pPr>
      <w:r w:rsidRPr="004822B5">
        <w:rPr>
          <w:rFonts w:cs="Arial"/>
          <w:sz w:val="22"/>
          <w:szCs w:val="22"/>
          <w:lang w:val="fi-FI"/>
        </w:rPr>
        <w:t> </w:t>
      </w:r>
      <w:bookmarkStart w:id="107" w:name="_Toc202260047"/>
      <w:r w:rsidR="481859B3">
        <w:rPr>
          <w:lang w:val="fi-FI"/>
        </w:rPr>
        <w:t xml:space="preserve">5.5 </w:t>
      </w:r>
      <w:r w:rsidRPr="00873E36">
        <w:rPr>
          <w:lang w:val="fi-FI"/>
        </w:rPr>
        <w:t>Jätteiden käsittely ja jätteenpoltto</w:t>
      </w:r>
      <w:bookmarkEnd w:id="107"/>
      <w:r w:rsidRPr="00873E36">
        <w:rPr>
          <w:lang w:val="fi-FI"/>
        </w:rPr>
        <w:t> </w:t>
      </w:r>
    </w:p>
    <w:p w14:paraId="613B2F63" w14:textId="77777777" w:rsidR="005F4D87" w:rsidRPr="005F4D87" w:rsidRDefault="005F4D87" w:rsidP="005F4D87">
      <w:pPr>
        <w:textAlignment w:val="baseline"/>
        <w:rPr>
          <w:rFonts w:ascii="Segoe UI" w:hAnsi="Segoe UI" w:cs="Segoe UI"/>
          <w:b/>
          <w:bCs/>
          <w:color w:val="365ABD"/>
          <w:sz w:val="18"/>
          <w:szCs w:val="18"/>
        </w:rPr>
      </w:pPr>
      <w:r w:rsidRPr="0B6BB178">
        <w:rPr>
          <w:rFonts w:ascii="Arial Narrow" w:hAnsi="Arial Narrow" w:cs="Segoe UI"/>
          <w:b/>
          <w:color w:val="365ABD" w:themeColor="accent3"/>
          <w:sz w:val="26"/>
          <w:szCs w:val="26"/>
        </w:rPr>
        <w:t>Päästökehitys </w:t>
      </w:r>
    </w:p>
    <w:p w14:paraId="3695D28A" w14:textId="6BEB9426" w:rsidR="005F4D87" w:rsidRPr="005F4D87" w:rsidRDefault="005F4D87" w:rsidP="270D2444">
      <w:pPr>
        <w:pStyle w:val="VNLeip1kappale"/>
        <w:rPr>
          <w:rFonts w:ascii="Segoe UI" w:hAnsi="Segoe UI" w:cs="Segoe UI"/>
          <w:sz w:val="18"/>
          <w:szCs w:val="18"/>
        </w:rPr>
      </w:pPr>
      <w:r w:rsidRPr="0E9B27CE">
        <w:rPr>
          <w:rFonts w:eastAsia="Arial" w:cs="Arial"/>
          <w:color w:val="000000" w:themeColor="text1"/>
        </w:rPr>
        <w:t>Jätteiden käsittelyn kasvihuonekaasupäästöt olivat 1,</w:t>
      </w:r>
      <w:r w:rsidR="3785E67D" w:rsidRPr="0E9B27CE">
        <w:rPr>
          <w:rFonts w:eastAsia="Arial" w:cs="Arial"/>
          <w:color w:val="000000" w:themeColor="text1"/>
        </w:rPr>
        <w:t>6</w:t>
      </w:r>
      <w:r w:rsidRPr="0E9B27CE">
        <w:rPr>
          <w:rFonts w:eastAsia="Arial" w:cs="Arial"/>
          <w:color w:val="000000" w:themeColor="text1"/>
        </w:rPr>
        <w:t xml:space="preserve"> Mt CO</w:t>
      </w:r>
      <w:r w:rsidRPr="0E9B27CE">
        <w:rPr>
          <w:rFonts w:eastAsia="Arial" w:cs="Arial"/>
          <w:color w:val="000000" w:themeColor="text1"/>
          <w:vertAlign w:val="subscript"/>
        </w:rPr>
        <w:t>2</w:t>
      </w:r>
      <w:r w:rsidRPr="0E9B27CE">
        <w:rPr>
          <w:rFonts w:eastAsia="Arial" w:cs="Arial"/>
          <w:color w:val="000000" w:themeColor="text1"/>
        </w:rPr>
        <w:t xml:space="preserve">-ekv. vuonna </w:t>
      </w:r>
      <w:r w:rsidR="3785E67D" w:rsidRPr="0E9B27CE">
        <w:rPr>
          <w:rFonts w:eastAsia="Arial" w:cs="Arial"/>
          <w:color w:val="000000" w:themeColor="text1"/>
        </w:rPr>
        <w:t>2023</w:t>
      </w:r>
      <w:r w:rsidRPr="0E9B27CE">
        <w:rPr>
          <w:rFonts w:eastAsia="Arial" w:cs="Arial"/>
          <w:color w:val="000000" w:themeColor="text1"/>
        </w:rPr>
        <w:t xml:space="preserve"> ja pikaennakkotiedon mukaan 1,</w:t>
      </w:r>
      <w:r w:rsidR="3785E67D" w:rsidRPr="0E9B27CE">
        <w:rPr>
          <w:rFonts w:eastAsia="Arial" w:cs="Arial"/>
          <w:color w:val="000000" w:themeColor="text1"/>
        </w:rPr>
        <w:t>5</w:t>
      </w:r>
      <w:r w:rsidRPr="0E9B27CE">
        <w:rPr>
          <w:rFonts w:eastAsia="Arial" w:cs="Arial"/>
          <w:color w:val="000000" w:themeColor="text1"/>
        </w:rPr>
        <w:t xml:space="preserve"> Mt CO</w:t>
      </w:r>
      <w:r w:rsidRPr="0E9B27CE">
        <w:rPr>
          <w:rFonts w:eastAsia="Arial" w:cs="Arial"/>
          <w:color w:val="000000" w:themeColor="text1"/>
          <w:vertAlign w:val="subscript"/>
        </w:rPr>
        <w:t>2</w:t>
      </w:r>
      <w:r w:rsidRPr="0E9B27CE">
        <w:rPr>
          <w:rFonts w:eastAsia="Arial" w:cs="Arial"/>
          <w:color w:val="000000" w:themeColor="text1"/>
        </w:rPr>
        <w:t xml:space="preserve">-ekv. vuonna </w:t>
      </w:r>
      <w:r w:rsidR="3785E67D" w:rsidRPr="00E5481D">
        <w:rPr>
          <w:rFonts w:eastAsia="Arial" w:cs="Arial"/>
          <w:color w:val="000000" w:themeColor="text1"/>
        </w:rPr>
        <w:t>2024</w:t>
      </w:r>
      <w:r w:rsidRPr="00E5481D">
        <w:t xml:space="preserve"> (</w:t>
      </w:r>
      <w:r w:rsidR="00E1327D">
        <w:fldChar w:fldCharType="begin"/>
      </w:r>
      <w:r w:rsidR="00E1327D">
        <w:instrText xml:space="preserve"> REF _Ref201671890 \h </w:instrText>
      </w:r>
      <w:r w:rsidR="00E1327D">
        <w:fldChar w:fldCharType="separate"/>
      </w:r>
      <w:r w:rsidR="00E1327D">
        <w:t xml:space="preserve">Kuvio </w:t>
      </w:r>
      <w:r w:rsidR="00E1327D">
        <w:rPr>
          <w:noProof/>
        </w:rPr>
        <w:t>16</w:t>
      </w:r>
      <w:r w:rsidR="00E1327D">
        <w:fldChar w:fldCharType="end"/>
      </w:r>
      <w:r w:rsidRPr="00E5481D">
        <w:t xml:space="preserve">). </w:t>
      </w:r>
      <w:r w:rsidRPr="005F4D87">
        <w:t xml:space="preserve">Tämä on noin </w:t>
      </w:r>
      <w:r w:rsidR="0B1CBCCC" w:rsidRPr="005F4D87">
        <w:t>6 </w:t>
      </w:r>
      <w:r w:rsidRPr="005F4D87">
        <w:t xml:space="preserve">% Suomen taakanjakosektorin päästöistä. Jätteiden käsittelyn päästöt ovat vähentyneet tasaisesti 1990-luvulta lähtien. Vuodesta 2005 päästöt ovat vähentyneet </w:t>
      </w:r>
      <w:r w:rsidR="00005C97">
        <w:t>5</w:t>
      </w:r>
      <w:r w:rsidR="007322D8">
        <w:t>1</w:t>
      </w:r>
      <w:r w:rsidR="00005C97">
        <w:t xml:space="preserve"> prosenttia</w:t>
      </w:r>
      <w:r w:rsidRPr="005F4D87">
        <w:t>. Kaatopaikkojen tuottama metaani on merkittävin päästölähde jätteiden käsittelyssä. Muita päästölähteitä ovat jätteiden biologinen käsittely eli kompostointi ja mädätys sekä jäteveden puhdistus (</w:t>
      </w:r>
      <w:r w:rsidR="0017451F">
        <w:fldChar w:fldCharType="begin"/>
      </w:r>
      <w:r w:rsidR="0017451F">
        <w:instrText xml:space="preserve"> REF _Ref201651242 \h </w:instrText>
      </w:r>
      <w:r w:rsidR="0017451F">
        <w:fldChar w:fldCharType="separate"/>
      </w:r>
      <w:r w:rsidR="0017451F">
        <w:t xml:space="preserve">Kuvio </w:t>
      </w:r>
      <w:r w:rsidR="0017451F">
        <w:rPr>
          <w:noProof/>
        </w:rPr>
        <w:t>15</w:t>
      </w:r>
      <w:r w:rsidR="0017451F">
        <w:fldChar w:fldCharType="end"/>
      </w:r>
      <w:r w:rsidRPr="005F4D87">
        <w:t>).  </w:t>
      </w:r>
    </w:p>
    <w:p w14:paraId="2CBACF5A" w14:textId="6C650844" w:rsidR="005F4D87" w:rsidRPr="005F4D87" w:rsidRDefault="00D87A85" w:rsidP="00D87A85">
      <w:pPr>
        <w:pStyle w:val="Kuvaotsikko"/>
        <w:rPr>
          <w:rFonts w:ascii="Segoe UI" w:hAnsi="Segoe UI" w:cs="Segoe UI"/>
        </w:rPr>
      </w:pPr>
      <w:bookmarkStart w:id="108" w:name="_Ref201651242"/>
      <w:r>
        <w:t>Kuvio</w:t>
      </w:r>
      <w:r w:rsidR="00327A3A">
        <w:t xml:space="preserve"> </w:t>
      </w:r>
      <w:r>
        <w:fldChar w:fldCharType="begin"/>
      </w:r>
      <w:r>
        <w:instrText xml:space="preserve"> SEQ Kuvio \* ARABIC </w:instrText>
      </w:r>
      <w:r>
        <w:fldChar w:fldCharType="separate"/>
      </w:r>
      <w:r>
        <w:rPr>
          <w:noProof/>
        </w:rPr>
        <w:t>15</w:t>
      </w:r>
      <w:r>
        <w:fldChar w:fldCharType="end"/>
      </w:r>
      <w:bookmarkEnd w:id="108"/>
      <w:r w:rsidR="00327A3A">
        <w:t>.</w:t>
      </w:r>
      <w:r w:rsidR="005F4D87" w:rsidRPr="005F4D87">
        <w:t>Jätteiden käsittelyn kasvihuonekaasupäästöjen jakautuminen vuonna 2023. </w:t>
      </w:r>
    </w:p>
    <w:p w14:paraId="15B173A8" w14:textId="77777777" w:rsidR="005F4D87" w:rsidRDefault="005F4D87" w:rsidP="005F4D87">
      <w:pPr>
        <w:textAlignment w:val="baseline"/>
        <w:rPr>
          <w:rFonts w:cs="Arial"/>
          <w:sz w:val="22"/>
          <w:szCs w:val="22"/>
        </w:rPr>
      </w:pPr>
      <w:r>
        <w:rPr>
          <w:noProof/>
        </w:rPr>
        <w:drawing>
          <wp:inline distT="0" distB="0" distL="0" distR="0" wp14:anchorId="359623D5" wp14:editId="1C6A09E0">
            <wp:extent cx="4625975" cy="2680970"/>
            <wp:effectExtent l="0" t="0" r="3175" b="5080"/>
            <wp:docPr id="123" name="Kuva 86" descr="Kuva 1421058114,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6"/>
                    <pic:cNvPicPr/>
                  </pic:nvPicPr>
                  <pic:blipFill>
                    <a:blip r:embed="rId48">
                      <a:extLst>
                        <a:ext uri="{28A0092B-C50C-407E-A947-70E740481C1C}">
                          <a14:useLocalDpi xmlns:a14="http://schemas.microsoft.com/office/drawing/2010/main" val="0"/>
                        </a:ext>
                      </a:extLst>
                    </a:blip>
                    <a:stretch>
                      <a:fillRect/>
                    </a:stretch>
                  </pic:blipFill>
                  <pic:spPr>
                    <a:xfrm>
                      <a:off x="0" y="0"/>
                      <a:ext cx="4625975" cy="2680970"/>
                    </a:xfrm>
                    <a:prstGeom prst="rect">
                      <a:avLst/>
                    </a:prstGeom>
                  </pic:spPr>
                </pic:pic>
              </a:graphicData>
            </a:graphic>
          </wp:inline>
        </w:drawing>
      </w:r>
      <w:r w:rsidRPr="005F4D87">
        <w:rPr>
          <w:rFonts w:cs="Arial"/>
          <w:sz w:val="22"/>
          <w:szCs w:val="22"/>
        </w:rPr>
        <w:t> </w:t>
      </w:r>
    </w:p>
    <w:p w14:paraId="02F32D1A" w14:textId="77777777" w:rsidR="0017451F" w:rsidRPr="005F4D87" w:rsidRDefault="0017451F" w:rsidP="005F4D87">
      <w:pPr>
        <w:textAlignment w:val="baseline"/>
        <w:rPr>
          <w:rFonts w:ascii="Segoe UI" w:hAnsi="Segoe UI" w:cs="Segoe UI"/>
          <w:sz w:val="18"/>
          <w:szCs w:val="18"/>
        </w:rPr>
      </w:pPr>
    </w:p>
    <w:p w14:paraId="2EB71CA3" w14:textId="77777777" w:rsidR="00260E40" w:rsidRDefault="00260E40" w:rsidP="0017451F">
      <w:pPr>
        <w:pStyle w:val="Kuvaotsikko"/>
      </w:pPr>
    </w:p>
    <w:p w14:paraId="725CA836" w14:textId="77777777" w:rsidR="00260E40" w:rsidRDefault="00260E40" w:rsidP="0017451F">
      <w:pPr>
        <w:pStyle w:val="Kuvaotsikko"/>
      </w:pPr>
    </w:p>
    <w:p w14:paraId="4219AD64" w14:textId="77777777" w:rsidR="00260E40" w:rsidRDefault="00260E40" w:rsidP="0017451F">
      <w:pPr>
        <w:pStyle w:val="Kuvaotsikko"/>
      </w:pPr>
    </w:p>
    <w:p w14:paraId="61672BF0" w14:textId="77777777" w:rsidR="00260E40" w:rsidRDefault="00260E40" w:rsidP="0017451F">
      <w:pPr>
        <w:pStyle w:val="Kuvaotsikko"/>
      </w:pPr>
    </w:p>
    <w:p w14:paraId="49556483" w14:textId="77777777" w:rsidR="00260E40" w:rsidRDefault="00260E40" w:rsidP="0017451F">
      <w:pPr>
        <w:pStyle w:val="Kuvaotsikko"/>
      </w:pPr>
    </w:p>
    <w:p w14:paraId="3C603F34" w14:textId="77777777" w:rsidR="00260E40" w:rsidRDefault="00260E40" w:rsidP="0017451F">
      <w:pPr>
        <w:pStyle w:val="Kuvaotsikko"/>
      </w:pPr>
    </w:p>
    <w:p w14:paraId="4B193068" w14:textId="77777777" w:rsidR="00260E40" w:rsidRDefault="00260E40" w:rsidP="0017451F">
      <w:pPr>
        <w:pStyle w:val="Kuvaotsikko"/>
      </w:pPr>
    </w:p>
    <w:p w14:paraId="1E2A8A65" w14:textId="77777777" w:rsidR="00260E40" w:rsidRDefault="00260E40" w:rsidP="0017451F">
      <w:pPr>
        <w:pStyle w:val="Kuvaotsikko"/>
      </w:pPr>
    </w:p>
    <w:p w14:paraId="53AEC434" w14:textId="50121336" w:rsidR="005F4D87" w:rsidRPr="005F4D87" w:rsidRDefault="0017451F" w:rsidP="0017451F">
      <w:pPr>
        <w:pStyle w:val="Kuvaotsikko"/>
        <w:rPr>
          <w:rFonts w:ascii="Segoe UI" w:hAnsi="Segoe UI" w:cs="Segoe UI"/>
        </w:rPr>
      </w:pPr>
      <w:bookmarkStart w:id="109" w:name="_Ref201671890"/>
      <w:r>
        <w:t>Kuvio</w:t>
      </w:r>
      <w:r w:rsidR="00327A3A">
        <w:t xml:space="preserve"> </w:t>
      </w:r>
      <w:r>
        <w:fldChar w:fldCharType="begin"/>
      </w:r>
      <w:r>
        <w:instrText xml:space="preserve"> SEQ Kuvio \* ARABIC </w:instrText>
      </w:r>
      <w:r>
        <w:fldChar w:fldCharType="separate"/>
      </w:r>
      <w:r w:rsidR="00CE0AE0">
        <w:rPr>
          <w:noProof/>
        </w:rPr>
        <w:t>16</w:t>
      </w:r>
      <w:r>
        <w:fldChar w:fldCharType="end"/>
      </w:r>
      <w:bookmarkEnd w:id="109"/>
      <w:r w:rsidR="00327A3A">
        <w:t>.</w:t>
      </w:r>
      <w:r w:rsidR="005F4D87" w:rsidRPr="005F4D87">
        <w:t>Jätteiden käsittelyn päästökehitys vuosina 2005–2023 sekä nykytoimiskenaarion mukainen arvio nykytoimilla saavutettavasta päästökehityksestä vuosina 2024–</w:t>
      </w:r>
      <w:r w:rsidR="005F4D87" w:rsidRPr="007322D8">
        <w:t>2040</w:t>
      </w:r>
      <w:r w:rsidR="005F4D87" w:rsidRPr="005F4D87">
        <w:t xml:space="preserve">. </w:t>
      </w:r>
      <w:r w:rsidR="005F4D87" w:rsidRPr="00640F90">
        <w:t>Vuoden 202</w:t>
      </w:r>
      <w:r w:rsidR="09DF028A" w:rsidRPr="00640F90">
        <w:t>4</w:t>
      </w:r>
      <w:r w:rsidR="005F4D87" w:rsidRPr="00640F90">
        <w:t xml:space="preserve"> tieto on </w:t>
      </w:r>
      <w:r w:rsidR="5CDE79B4" w:rsidRPr="00640F90">
        <w:t>pika</w:t>
      </w:r>
      <w:r w:rsidR="005F4D87" w:rsidRPr="00640F90">
        <w:t>ennakko.</w:t>
      </w:r>
      <w:r w:rsidR="005F4D87" w:rsidRPr="005F4D87">
        <w:t xml:space="preserve"> Kuv</w:t>
      </w:r>
      <w:r w:rsidR="00E1327D">
        <w:t>io</w:t>
      </w:r>
      <w:r w:rsidR="005F4D87" w:rsidRPr="005F4D87">
        <w:t>ssa ei ole mukana jätteenpolton aiheuttamia kasvihuonekaasupäästöjä. </w:t>
      </w:r>
    </w:p>
    <w:p w14:paraId="72A9E65D" w14:textId="5B17FD78" w:rsidR="005F4D87" w:rsidRPr="005F4D87" w:rsidRDefault="00874DD8" w:rsidP="005F4D87">
      <w:pPr>
        <w:textAlignment w:val="baseline"/>
        <w:rPr>
          <w:rFonts w:ascii="Segoe UI" w:hAnsi="Segoe UI" w:cs="Segoe UI"/>
          <w:sz w:val="18"/>
          <w:szCs w:val="18"/>
        </w:rPr>
      </w:pPr>
      <w:r>
        <w:rPr>
          <w:noProof/>
        </w:rPr>
        <w:drawing>
          <wp:inline distT="0" distB="0" distL="0" distR="0" wp14:anchorId="4E4B79E2" wp14:editId="4A2520C8">
            <wp:extent cx="4505325" cy="2895600"/>
            <wp:effectExtent l="0" t="0" r="0" b="0"/>
            <wp:docPr id="55010429" name="Kaavio 1">
              <a:extLst xmlns:a="http://schemas.openxmlformats.org/drawingml/2006/main">
                <a:ext uri="{FF2B5EF4-FFF2-40B4-BE49-F238E27FC236}">
                  <a16:creationId xmlns:a16="http://schemas.microsoft.com/office/drawing/2014/main" id="{9D5C4A42-102D-3557-8729-1FA6D019BC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5F4D87" w:rsidRPr="005F4D87">
        <w:rPr>
          <w:rFonts w:cs="Arial"/>
          <w:sz w:val="22"/>
          <w:szCs w:val="22"/>
        </w:rPr>
        <w:t> </w:t>
      </w:r>
      <w:r w:rsidR="005F4D87">
        <w:br/>
      </w:r>
      <w:r w:rsidR="005F4D87" w:rsidRPr="005F4D87">
        <w:rPr>
          <w:rFonts w:cs="Arial"/>
          <w:sz w:val="22"/>
          <w:szCs w:val="22"/>
        </w:rPr>
        <w:t> </w:t>
      </w:r>
    </w:p>
    <w:p w14:paraId="16967D74" w14:textId="23742CC4" w:rsidR="005F4D87" w:rsidRPr="005F4D87" w:rsidRDefault="3077E405" w:rsidP="44C2759F">
      <w:pPr>
        <w:pStyle w:val="VNLeip1kappale"/>
      </w:pPr>
      <w:r w:rsidRPr="005F4D87">
        <w:t xml:space="preserve">Jätteiden energiakäytöstä eli jätteenpoltosta aiheutuvat päästöt raportoidaan energiaperäisinä päästöinä, eivätkä ne siten sisälly edellä esitettyihin jätteiden käsittelyn päästötietoihin. Taakanjakosektorille lasketaan pääosin yhdyskuntajätettä polttavien laitosten päästöt, kun taas rinnakkaispolttolaitosten päästöt kuuluvat </w:t>
      </w:r>
      <w:r w:rsidRPr="008C77F5">
        <w:t xml:space="preserve">päästökauppasektorille. Taakanjakosektorin jätteenpolton päästöt ovat kasvaneet vuodesta 2005 lähtien hyvin merkittävästi </w:t>
      </w:r>
      <w:r w:rsidR="005F4D87" w:rsidRPr="008C77F5">
        <w:t>(</w:t>
      </w:r>
      <w:r w:rsidR="0017451F">
        <w:fldChar w:fldCharType="begin"/>
      </w:r>
      <w:r w:rsidR="0017451F">
        <w:instrText xml:space="preserve"> REF _Ref201651272 \h </w:instrText>
      </w:r>
      <w:r w:rsidR="0017451F">
        <w:fldChar w:fldCharType="separate"/>
      </w:r>
      <w:r w:rsidR="0017451F">
        <w:t xml:space="preserve">Kuvio </w:t>
      </w:r>
      <w:r w:rsidR="0017451F">
        <w:rPr>
          <w:noProof/>
        </w:rPr>
        <w:t>17</w:t>
      </w:r>
      <w:r w:rsidR="0017451F">
        <w:fldChar w:fldCharType="end"/>
      </w:r>
      <w:r w:rsidR="005F4D87" w:rsidRPr="008C77F5">
        <w:t>).</w:t>
      </w:r>
      <w:r w:rsidRPr="008C77F5">
        <w:t xml:space="preserve"> Päästöjen kasvu johtuu yhdyskuntajätteen ja muun jätteen energiahyödyntämisen lisääntymisestä. Vuonna 2023 syntyneestä yhdyskuntajätteestä noin 55 % hyödynnettiin energiana, kun vastaavasti vuonna 2008 vain noin 17 % syntyneestä yhdyskuntajätteestä poltettiin.</w:t>
      </w:r>
    </w:p>
    <w:p w14:paraId="006990A1" w14:textId="77777777" w:rsidR="00543785" w:rsidRDefault="00543785" w:rsidP="0017451F">
      <w:pPr>
        <w:pStyle w:val="Kuvaotsikko"/>
      </w:pPr>
      <w:bookmarkStart w:id="110" w:name="_Ref201651272"/>
    </w:p>
    <w:p w14:paraId="73335D9C" w14:textId="77777777" w:rsidR="00543785" w:rsidRDefault="00543785" w:rsidP="0017451F">
      <w:pPr>
        <w:pStyle w:val="Kuvaotsikko"/>
      </w:pPr>
    </w:p>
    <w:p w14:paraId="473CF480" w14:textId="77777777" w:rsidR="00543785" w:rsidRDefault="00543785" w:rsidP="0017451F">
      <w:pPr>
        <w:pStyle w:val="Kuvaotsikko"/>
      </w:pPr>
    </w:p>
    <w:p w14:paraId="447580BA" w14:textId="77777777" w:rsidR="00543785" w:rsidRDefault="00543785" w:rsidP="0017451F">
      <w:pPr>
        <w:pStyle w:val="Kuvaotsikko"/>
      </w:pPr>
    </w:p>
    <w:p w14:paraId="35FFEA7B" w14:textId="77777777" w:rsidR="00543785" w:rsidRDefault="00543785" w:rsidP="0017451F">
      <w:pPr>
        <w:pStyle w:val="Kuvaotsikko"/>
      </w:pPr>
    </w:p>
    <w:p w14:paraId="02A256C2" w14:textId="77777777" w:rsidR="00543785" w:rsidRDefault="00543785" w:rsidP="0017451F">
      <w:pPr>
        <w:pStyle w:val="Kuvaotsikko"/>
      </w:pPr>
    </w:p>
    <w:p w14:paraId="5EBC81D2" w14:textId="77777777" w:rsidR="00543785" w:rsidRDefault="00543785" w:rsidP="0017451F">
      <w:pPr>
        <w:pStyle w:val="Kuvaotsikko"/>
      </w:pPr>
    </w:p>
    <w:p w14:paraId="0C5D696F" w14:textId="77777777" w:rsidR="00543785" w:rsidRDefault="00543785" w:rsidP="0017451F">
      <w:pPr>
        <w:pStyle w:val="Kuvaotsikko"/>
      </w:pPr>
    </w:p>
    <w:p w14:paraId="085803D8" w14:textId="77777777" w:rsidR="00543785" w:rsidRDefault="00543785" w:rsidP="0017451F">
      <w:pPr>
        <w:pStyle w:val="Kuvaotsikko"/>
      </w:pPr>
    </w:p>
    <w:p w14:paraId="406A5762" w14:textId="15BCD585" w:rsidR="00F046F7" w:rsidRDefault="0017451F" w:rsidP="0017451F">
      <w:pPr>
        <w:pStyle w:val="Kuvaotsikko"/>
      </w:pPr>
      <w:r>
        <w:t>Kuvio</w:t>
      </w:r>
      <w:r w:rsidR="00327A3A">
        <w:t xml:space="preserve"> </w:t>
      </w:r>
      <w:r>
        <w:fldChar w:fldCharType="begin"/>
      </w:r>
      <w:r>
        <w:instrText xml:space="preserve"> SEQ Kuvio \* ARABIC </w:instrText>
      </w:r>
      <w:r>
        <w:fldChar w:fldCharType="separate"/>
      </w:r>
      <w:r w:rsidR="00CE0AE0">
        <w:rPr>
          <w:noProof/>
        </w:rPr>
        <w:t>17</w:t>
      </w:r>
      <w:r>
        <w:fldChar w:fldCharType="end"/>
      </w:r>
      <w:bookmarkEnd w:id="110"/>
      <w:r w:rsidR="00327A3A">
        <w:t>.</w:t>
      </w:r>
      <w:r w:rsidR="005F4D87" w:rsidRPr="74016834">
        <w:t>Jätteenpolton päästökehitys taakanjakosektorilla 2005–202</w:t>
      </w:r>
      <w:r w:rsidR="00FA5BA6" w:rsidRPr="74016834">
        <w:t>3</w:t>
      </w:r>
      <w:r w:rsidR="005F4D87" w:rsidRPr="74016834">
        <w:t>.</w:t>
      </w:r>
    </w:p>
    <w:p w14:paraId="02C60ECE" w14:textId="371B735D" w:rsidR="005F4D87" w:rsidRPr="005F4D87" w:rsidRDefault="00F046F7" w:rsidP="12F83CC3">
      <w:pPr>
        <w:pStyle w:val="VNLeip1kappale"/>
        <w:rPr>
          <w:rFonts w:ascii="Segoe UI" w:hAnsi="Segoe UI" w:cs="Segoe UI"/>
          <w:sz w:val="18"/>
          <w:szCs w:val="18"/>
        </w:rPr>
      </w:pPr>
      <w:r>
        <w:rPr>
          <w:noProof/>
        </w:rPr>
        <w:drawing>
          <wp:inline distT="0" distB="0" distL="0" distR="0" wp14:anchorId="33258888" wp14:editId="41F3A9C4">
            <wp:extent cx="4505325" cy="2895600"/>
            <wp:effectExtent l="0" t="0" r="0" b="0"/>
            <wp:docPr id="880219538" name="Kaavio 1">
              <a:extLst xmlns:a="http://schemas.openxmlformats.org/drawingml/2006/main">
                <a:ext uri="{FF2B5EF4-FFF2-40B4-BE49-F238E27FC236}">
                  <a16:creationId xmlns:a16="http://schemas.microsoft.com/office/drawing/2014/main" id="{47C0A0F5-97C4-D19D-8C55-BE0A9B3846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5F4D87" w:rsidRPr="70EA18F2">
        <w:rPr>
          <w:rFonts w:cs="Arial"/>
        </w:rPr>
        <w:t> </w:t>
      </w:r>
    </w:p>
    <w:p w14:paraId="0332943C" w14:textId="44743A09" w:rsidR="005F4D87" w:rsidRPr="005F4D87" w:rsidRDefault="005F4D87" w:rsidP="005F4D87">
      <w:pPr>
        <w:textAlignment w:val="baseline"/>
        <w:rPr>
          <w:rFonts w:ascii="Segoe UI" w:hAnsi="Segoe UI" w:cs="Segoe UI"/>
          <w:sz w:val="18"/>
          <w:szCs w:val="18"/>
        </w:rPr>
      </w:pPr>
      <w:r w:rsidRPr="005F4D87">
        <w:rPr>
          <w:rFonts w:cs="Arial"/>
          <w:sz w:val="22"/>
          <w:szCs w:val="22"/>
        </w:rPr>
        <w:t> </w:t>
      </w:r>
    </w:p>
    <w:p w14:paraId="466D7965" w14:textId="77777777" w:rsidR="005F4D87" w:rsidRPr="005F4D87" w:rsidRDefault="005F4D87" w:rsidP="005F4D87">
      <w:pPr>
        <w:textAlignment w:val="baseline"/>
        <w:rPr>
          <w:rFonts w:ascii="Segoe UI" w:hAnsi="Segoe UI" w:cs="Segoe UI"/>
          <w:b/>
          <w:bCs/>
          <w:color w:val="365ABD"/>
          <w:sz w:val="18"/>
          <w:szCs w:val="18"/>
        </w:rPr>
      </w:pPr>
      <w:r w:rsidRPr="12F83CC3">
        <w:rPr>
          <w:rFonts w:ascii="Arial Narrow" w:hAnsi="Arial Narrow" w:cs="Segoe UI"/>
          <w:b/>
          <w:color w:val="365ABD" w:themeColor="accent3"/>
          <w:sz w:val="26"/>
          <w:szCs w:val="26"/>
        </w:rPr>
        <w:t>Nykytoimet </w:t>
      </w:r>
    </w:p>
    <w:p w14:paraId="70D6FFFC" w14:textId="39776688" w:rsidR="005F4D87" w:rsidRPr="005F4D87" w:rsidRDefault="005F4D87" w:rsidP="12F83CC3">
      <w:pPr>
        <w:pStyle w:val="VNLeip1kappale"/>
        <w:rPr>
          <w:rFonts w:ascii="Segoe UI" w:hAnsi="Segoe UI" w:cs="Segoe UI"/>
          <w:sz w:val="18"/>
          <w:szCs w:val="18"/>
        </w:rPr>
      </w:pPr>
      <w:r w:rsidRPr="005F4D87">
        <w:t>Edellisen keskipitkän aikavälin ilmastopolitiikan suunnitelman jätteiden käsittelyä koskevien politiikkatoimien arvioitiin laskevan taakanjakosektorin päästöjä 0,1 Mt CO</w:t>
      </w:r>
      <w:r w:rsidRPr="005F4D87">
        <w:rPr>
          <w:sz w:val="17"/>
          <w:szCs w:val="17"/>
          <w:vertAlign w:val="subscript"/>
        </w:rPr>
        <w:t>2</w:t>
      </w:r>
      <w:r w:rsidRPr="005F4D87">
        <w:t>-ekv. vuonna 2030. Suunnitelman toimia olivat vapaaehtoisen yhdyskuntajätteen polton koko jätearvoketjun huomioivan sopimuksen (</w:t>
      </w:r>
      <w:proofErr w:type="spellStart"/>
      <w:r w:rsidRPr="005F4D87">
        <w:t>green</w:t>
      </w:r>
      <w:proofErr w:type="spellEnd"/>
      <w:r w:rsidRPr="005F4D87">
        <w:t xml:space="preserve"> </w:t>
      </w:r>
      <w:proofErr w:type="spellStart"/>
      <w:r w:rsidRPr="005F4D87">
        <w:t>deal</w:t>
      </w:r>
      <w:proofErr w:type="spellEnd"/>
      <w:r w:rsidRPr="005F4D87">
        <w:t xml:space="preserve">) valmistelu sekä hiilidioksidin talteenoton ja hyödyntämisen (CCS/CCSU) tekniikoiden pilotointi jätteenpolttolaitoksissa. Jätteenpolton </w:t>
      </w:r>
      <w:proofErr w:type="spellStart"/>
      <w:r w:rsidRPr="005F4D87">
        <w:t>green</w:t>
      </w:r>
      <w:proofErr w:type="spellEnd"/>
      <w:r w:rsidRPr="005F4D87">
        <w:t xml:space="preserve"> </w:t>
      </w:r>
      <w:proofErr w:type="spellStart"/>
      <w:r w:rsidRPr="005F4D87">
        <w:t>deal</w:t>
      </w:r>
      <w:proofErr w:type="spellEnd"/>
      <w:r w:rsidRPr="005F4D87">
        <w:t xml:space="preserve"> sopimuksen neuvottelut päätettiin lopettaa vuonna 2023, sillä sopimuksella ei katsottu päästävän sillä tavoiteltuihin tavoitteisiin. Jätteenpoltossa syntyvän hiilidioksidin talteenoton ja hyödyntämisen tekniikoita on pilotoitu useamman yhtiön toimesta</w:t>
      </w:r>
      <w:r w:rsidR="00C0399A">
        <w:t>.</w:t>
      </w:r>
      <w:r w:rsidRPr="005F4D87">
        <w:t xml:space="preserve">  </w:t>
      </w:r>
    </w:p>
    <w:p w14:paraId="0327591E" w14:textId="77777777" w:rsidR="005F4D87" w:rsidRPr="005F4D87" w:rsidRDefault="005F4D87" w:rsidP="12F83CC3">
      <w:pPr>
        <w:pStyle w:val="VNLeip1kappale"/>
        <w:rPr>
          <w:rFonts w:ascii="Segoe UI" w:hAnsi="Segoe UI" w:cs="Segoe UI"/>
          <w:sz w:val="18"/>
          <w:szCs w:val="18"/>
        </w:rPr>
      </w:pPr>
      <w:r w:rsidRPr="005F4D87">
        <w:t xml:space="preserve">Moni jätteenpolttolaitos on myös ilmoittanut suunnittelevansa hiilidioksidin talteenoton laitoksissaan (CCS). </w:t>
      </w:r>
      <w:proofErr w:type="spellStart"/>
      <w:r w:rsidRPr="005F4D87">
        <w:t>Talteenotettu</w:t>
      </w:r>
      <w:proofErr w:type="spellEnd"/>
      <w:r w:rsidRPr="005F4D87">
        <w:t xml:space="preserve"> hiilidioksidi on </w:t>
      </w:r>
      <w:proofErr w:type="gramStart"/>
      <w:r w:rsidRPr="005F4D87">
        <w:t>laitoksesta riippuen</w:t>
      </w:r>
      <w:proofErr w:type="gramEnd"/>
      <w:r w:rsidRPr="005F4D87">
        <w:t xml:space="preserve"> tarkoitus joko kuljettaa ulkomaille varastoitavaksi tai hyödyntää sitä joko polttoaineen tai jonkun muun tuotteen tuotannossa (</w:t>
      </w:r>
      <w:proofErr w:type="spellStart"/>
      <w:r w:rsidRPr="005F4D87">
        <w:t>Carbon</w:t>
      </w:r>
      <w:proofErr w:type="spellEnd"/>
      <w:r w:rsidRPr="005F4D87">
        <w:t xml:space="preserve"> </w:t>
      </w:r>
      <w:proofErr w:type="spellStart"/>
      <w:r w:rsidRPr="005F4D87">
        <w:t>capture</w:t>
      </w:r>
      <w:proofErr w:type="spellEnd"/>
      <w:r w:rsidRPr="005F4D87">
        <w:t xml:space="preserve"> and </w:t>
      </w:r>
      <w:proofErr w:type="spellStart"/>
      <w:r w:rsidRPr="005F4D87">
        <w:t>utilisation</w:t>
      </w:r>
      <w:proofErr w:type="spellEnd"/>
      <w:r w:rsidRPr="005F4D87">
        <w:t>, CCU). Jos tällainen kehitys toteutuu laajamittaisesti, jätteenpolton päästöt saattaisivat vähentyä tulevaisuudessa, mutta konkreettisia päästövähennyksiä on vielä haastavaa arvioida. </w:t>
      </w:r>
    </w:p>
    <w:p w14:paraId="69D39165" w14:textId="7FAD15E9" w:rsidR="005F4D87" w:rsidRPr="005F4D87" w:rsidRDefault="005F4D87" w:rsidP="12F83CC3">
      <w:pPr>
        <w:pStyle w:val="VNLeip1kappale"/>
        <w:rPr>
          <w:b/>
        </w:rPr>
      </w:pPr>
      <w:r>
        <w:t xml:space="preserve">Jätteiden tuonti poltettavaksi on </w:t>
      </w:r>
      <w:r w:rsidR="00CE0F0E">
        <w:t xml:space="preserve">kasvanut </w:t>
      </w:r>
      <w:r>
        <w:t xml:space="preserve">merkittävästi. </w:t>
      </w:r>
      <w:r w:rsidR="50F90CEC">
        <w:t>Vuodesta</w:t>
      </w:r>
      <w:r>
        <w:t xml:space="preserve"> 2022 vuoteen 2023 </w:t>
      </w:r>
      <w:r w:rsidR="50F90CEC">
        <w:t>jätteiden tuonti lähes kaksinkertaistui. Vuonna 2024 j</w:t>
      </w:r>
      <w:r>
        <w:t>ät</w:t>
      </w:r>
      <w:r w:rsidR="79F03888">
        <w:t>teen tuonti jatkoi kasvua</w:t>
      </w:r>
      <w:r w:rsidR="5721D0AD">
        <w:t xml:space="preserve"> edelleen</w:t>
      </w:r>
      <w:r w:rsidR="79F03888">
        <w:t xml:space="preserve"> </w:t>
      </w:r>
      <w:r w:rsidR="40B4B548">
        <w:t>ollen</w:t>
      </w:r>
      <w:r w:rsidR="79F03888">
        <w:t xml:space="preserve"> vuonna 2024 noin 470 000 tonnia. Kasvu johtui pääosin</w:t>
      </w:r>
      <w:r>
        <w:t xml:space="preserve"> jäteperäisten polttoaineiden </w:t>
      </w:r>
      <w:r w:rsidR="79F03888">
        <w:t>tuonnin kasvusta</w:t>
      </w:r>
      <w:r>
        <w:t xml:space="preserve">, joka </w:t>
      </w:r>
      <w:r w:rsidR="79F03888">
        <w:t xml:space="preserve">miltei kaksinkertaistui vuoteen 2023 verrattuna.  </w:t>
      </w:r>
      <w:r w:rsidRPr="005F4D87">
        <w:t xml:space="preserve">Jäteperäisten polttoaineiden tuonti miltei kaksinkertaistui </w:t>
      </w:r>
      <w:r>
        <w:t xml:space="preserve">vuodesta 2023 vuoteen 2024. n </w:t>
      </w:r>
      <w:r w:rsidRPr="005F4D87">
        <w:t>2024 ennakkotietojen mukaan verrattuna vuoteen 2023.</w:t>
      </w:r>
      <w:r w:rsidRPr="00E87C37">
        <w:t> </w:t>
      </w:r>
      <w:r w:rsidR="56F3A4B9">
        <w:t xml:space="preserve">Vuoden 2024 luvut ovat ennakkotietoja ja lopulliset luvut vuodelta 2024 ovat saatavilla vuoden 2025 lopussa.  </w:t>
      </w:r>
    </w:p>
    <w:p w14:paraId="747DB956" w14:textId="7A08812D" w:rsidR="005F4D87" w:rsidRPr="005F4D87" w:rsidRDefault="005F4D87" w:rsidP="12F83CC3">
      <w:pPr>
        <w:pStyle w:val="VNLeip1kappale"/>
        <w:rPr>
          <w:rFonts w:ascii="Segoe UI" w:hAnsi="Segoe UI" w:cs="Segoe UI"/>
          <w:sz w:val="18"/>
          <w:szCs w:val="18"/>
        </w:rPr>
      </w:pPr>
      <w:r w:rsidRPr="005F4D87">
        <w:t>Euroopan komission odotetaan vuonna 2026 ehdottavan, että yhdyskuntajätteenpolttolaitokset sisällytetään EU:n päästökauppaan vuonna 2028. Tähän valmistautumiseksi jätteenpolttolaitokset alkoivat vuoden 2024 alusta tarkkailla ja raportoida kasvihuonekaasupäästöjään päästökauppalainsäädännön mukaisesti. </w:t>
      </w:r>
    </w:p>
    <w:p w14:paraId="163C1CCB" w14:textId="4E5784B5" w:rsidR="005F4D87" w:rsidRPr="005F4D87" w:rsidRDefault="005F4D87" w:rsidP="12F83CC3">
      <w:pPr>
        <w:pStyle w:val="VNLeip1kappale"/>
        <w:rPr>
          <w:rFonts w:ascii="Segoe UI" w:hAnsi="Segoe UI" w:cs="Segoe UI"/>
          <w:sz w:val="18"/>
          <w:szCs w:val="18"/>
        </w:rPr>
      </w:pPr>
      <w:r w:rsidRPr="005F4D87">
        <w:t>Vuodesta 2005 eniten ovat vähentyneet kaatopaikkojen metaanipäästöt, kun orgaanisen jätteen kaatopaikalle sijoittamista on vähennetty niin, että käytännössä yhdyskuntajätettä tai muuta orgaanista jätettä ei enää sijoiteta kaatopaikalle. Yhdyskuntajätteiden kaatopaikkasijoittaminen on korvautunut lähes kokonaan jätteen energiahyödyntämisellä ja kierrätyksellä. Myös kaatopaikkakaasun talteenotolla on vähennetty päästöjä. Laskevan päästötrendin odotetaan jatkuvan lähitulevaisuudessa, kun vuonna 2016 voimaan astunut orgaanisen jätteen kaatopaikkasijoitusta rajoittava asetus vähentää edelleen kaatopaikkojen kasvihuonekaasupäästöjä ja vanhojen kaatopaikkojen kaasuntuotanto samalla vähenee. Mädätyksen metaanipäästöt ovat hieman kasvaneet mädätyksen lisääntymisen seurauksena, kun taas vastaavasti kompostoinnin kasvihuonekaasupäästöt ovat vähentyneet kompostoinnin vähenemisen seurauksena. Jäteveden puhdistuksen päästökehitys on ollut suhteellisen vakaata ja päästöjen on arvioitu säilyvän jokseenkin ennallaan. </w:t>
      </w:r>
    </w:p>
    <w:p w14:paraId="1B2957AA" w14:textId="77777777" w:rsidR="005F4D87" w:rsidRPr="005F4D87" w:rsidRDefault="005F4D87" w:rsidP="12F83CC3">
      <w:pPr>
        <w:pStyle w:val="VNLeip1kappale"/>
        <w:rPr>
          <w:rFonts w:ascii="Segoe UI" w:hAnsi="Segoe UI" w:cs="Segoe UI"/>
          <w:sz w:val="18"/>
          <w:szCs w:val="18"/>
        </w:rPr>
      </w:pPr>
      <w:r w:rsidRPr="005F4D87">
        <w:t>Jätelainsäädäntö uudistui pääosin vuonna 2021. Uudistuksen keskeisenä tavoitteena on vähentää jätteen määrää ja lisätä uudelleenkäyttöä ja kierrätystä. Jätteen erilliskeräysvelvoitteet tiukentuivat ja näin ollen entistä enemmän jätettä, erityisesti yhdyskuntajätettä, pakkausjätettä ja rakennus- ja purkujätettä pyritään ohjaamaan kierrätykseen jätteenpolton sijasta. Vuonna 2022 päivitetyllä valtakunnallisella jätesuunnitelmalla pyritään enenevässä määrin jätteen synnyn ehkäisyyn ja yhdessä lainsäädännön muutosten kanssa kierrätysasteen nostamiseen. Nämä politiikkatoimet tulevat vähentämään jätesektorin kasvihuonekaasupäästöjä välillisesti pidemmällä aikavälillä, mutta niiden päästövähennyspotentiaalia on vaikea arvioida. </w:t>
      </w:r>
    </w:p>
    <w:p w14:paraId="1C14C5EA" w14:textId="0CC6D389" w:rsidR="005F4D87" w:rsidRPr="005F4D87" w:rsidRDefault="005F4D87" w:rsidP="12F83CC3">
      <w:pPr>
        <w:pStyle w:val="VNLeip1kappale"/>
        <w:rPr>
          <w:rFonts w:ascii="Segoe UI" w:hAnsi="Segoe UI" w:cs="Segoe UI"/>
          <w:sz w:val="18"/>
          <w:szCs w:val="18"/>
        </w:rPr>
      </w:pPr>
      <w:r w:rsidRPr="005F4D87">
        <w:t xml:space="preserve">Nykytoimiskenaarion mukaan jätteiden käsittelyn päästöt laskevan noin 60 % vuoteen 2030 mennessä vuoden 2005 tasoon verrattuna. Jätteenpolton päästöjen </w:t>
      </w:r>
      <w:r w:rsidR="00EC3241">
        <w:t>kehitys on epävarmaa.</w:t>
      </w:r>
    </w:p>
    <w:p w14:paraId="63F95B7A" w14:textId="15BCDC2A" w:rsidR="005F4D87" w:rsidRPr="003641B4" w:rsidRDefault="00FB5C5C" w:rsidP="00564CA5">
      <w:pPr>
        <w:pStyle w:val="Otsikko2"/>
        <w:rPr>
          <w:lang w:val="fi-FI"/>
        </w:rPr>
      </w:pPr>
      <w:r w:rsidRPr="003641B4">
        <w:rPr>
          <w:lang w:val="fi-FI"/>
        </w:rPr>
        <w:t xml:space="preserve"> </w:t>
      </w:r>
      <w:bookmarkStart w:id="111" w:name="_Toc202260048"/>
      <w:r w:rsidR="13BBE41D" w:rsidRPr="003641B4">
        <w:rPr>
          <w:lang w:val="fi-FI"/>
        </w:rPr>
        <w:t xml:space="preserve">5.6 </w:t>
      </w:r>
      <w:r w:rsidR="005F4D87" w:rsidRPr="003641B4">
        <w:rPr>
          <w:lang w:val="fi-FI"/>
        </w:rPr>
        <w:t>F-kaasut</w:t>
      </w:r>
      <w:bookmarkEnd w:id="111"/>
      <w:r w:rsidR="005F4D87" w:rsidRPr="003641B4">
        <w:rPr>
          <w:lang w:val="fi-FI"/>
        </w:rPr>
        <w:t> </w:t>
      </w:r>
    </w:p>
    <w:p w14:paraId="70373D5F" w14:textId="77777777" w:rsidR="005F4D87" w:rsidRPr="005F4D87" w:rsidRDefault="005F4D87" w:rsidP="005F4D87">
      <w:pPr>
        <w:textAlignment w:val="baseline"/>
        <w:rPr>
          <w:rFonts w:ascii="Segoe UI" w:hAnsi="Segoe UI" w:cs="Segoe UI"/>
          <w:b/>
          <w:bCs/>
          <w:color w:val="365ABD"/>
          <w:sz w:val="18"/>
          <w:szCs w:val="18"/>
        </w:rPr>
      </w:pPr>
      <w:r w:rsidRPr="4A3CBB9A">
        <w:rPr>
          <w:rFonts w:ascii="Arial Narrow" w:hAnsi="Arial Narrow" w:cs="Segoe UI"/>
          <w:b/>
          <w:color w:val="365ABD" w:themeColor="accent3"/>
          <w:sz w:val="26"/>
          <w:szCs w:val="26"/>
        </w:rPr>
        <w:t>Päästökehitys </w:t>
      </w:r>
    </w:p>
    <w:p w14:paraId="123A4E7D" w14:textId="5317869A" w:rsidR="005F4D87" w:rsidRPr="005F4D87" w:rsidRDefault="005F4D87" w:rsidP="2C44A55E">
      <w:pPr>
        <w:pStyle w:val="VNLeip1kappale"/>
        <w:rPr>
          <w:rFonts w:ascii="Segoe UI" w:hAnsi="Segoe UI" w:cs="Segoe UI"/>
          <w:sz w:val="18"/>
          <w:szCs w:val="18"/>
        </w:rPr>
      </w:pPr>
      <w:r w:rsidRPr="005F4D87">
        <w:t>Fluorattujen kasvihuonekaasujen eli F-kaasujen käytöstä aiheutuvat päästöt ovat lisääntyneet 1990-luvulta lähtien aina vuoteen 2008 saakka, minkä jälkeen päästöjen kasvu taittui ja viime vuosina päästöt ovat olleet laskussa (</w:t>
      </w:r>
      <w:r w:rsidR="00D70C2F">
        <w:fldChar w:fldCharType="begin"/>
      </w:r>
      <w:r w:rsidR="00D70C2F">
        <w:instrText xml:space="preserve"> REF _Ref201651391 \h </w:instrText>
      </w:r>
      <w:r w:rsidR="00D70C2F">
        <w:fldChar w:fldCharType="separate"/>
      </w:r>
      <w:r w:rsidR="00D70C2F">
        <w:t xml:space="preserve">Kuvio </w:t>
      </w:r>
      <w:r w:rsidR="00D70C2F">
        <w:rPr>
          <w:noProof/>
        </w:rPr>
        <w:t>20</w:t>
      </w:r>
      <w:r w:rsidR="00D70C2F">
        <w:fldChar w:fldCharType="end"/>
      </w:r>
      <w:r w:rsidRPr="005F4D87">
        <w:t>). F-kaasuja käytetään pääosin kylmä- ja ilmastointilaitteissa, lämpöpumpuissa, sähköisissä kytkinlaitteistoissa, palontorjunnassa, solumuovien valmistuksessa sekä aerosoleina ja liuottimina (</w:t>
      </w:r>
      <w:r w:rsidR="0017451F">
        <w:fldChar w:fldCharType="begin"/>
      </w:r>
      <w:r w:rsidR="0017451F">
        <w:instrText xml:space="preserve"> REF _Ref201651314 \h </w:instrText>
      </w:r>
      <w:r w:rsidR="0017451F">
        <w:fldChar w:fldCharType="separate"/>
      </w:r>
      <w:r w:rsidR="0017451F">
        <w:t xml:space="preserve">Kuvio </w:t>
      </w:r>
      <w:r w:rsidR="0017451F">
        <w:rPr>
          <w:noProof/>
        </w:rPr>
        <w:t>18</w:t>
      </w:r>
      <w:r w:rsidR="0017451F">
        <w:fldChar w:fldCharType="end"/>
      </w:r>
      <w:r w:rsidRPr="005F4D87">
        <w:t>). Merkittävin syy F-kaasupäästöjen kasvuun 1990-luvulta lähtien on otsonia tuhoavien yhdisteiden korvaaminen F-kaasuilla kylmä- ja ilmastointilaitteissa sekä muissa sovelluksissa. Käyttömääriä lisää myös ilmastointilaitteiden ja lämpöpumppujen lukumäärän kasvu. </w:t>
      </w:r>
    </w:p>
    <w:p w14:paraId="61E1D751" w14:textId="3FC2CABE" w:rsidR="005F4D87" w:rsidRPr="00327A3A" w:rsidRDefault="0017451F" w:rsidP="0017451F">
      <w:pPr>
        <w:pStyle w:val="Kuvaotsikko"/>
      </w:pPr>
      <w:bookmarkStart w:id="112" w:name="_Ref201651314"/>
      <w:r>
        <w:t>Kuvio</w:t>
      </w:r>
      <w:r w:rsidR="00327A3A" w:rsidRPr="00327A3A">
        <w:t xml:space="preserve"> </w:t>
      </w:r>
      <w:r>
        <w:fldChar w:fldCharType="begin"/>
      </w:r>
      <w:r>
        <w:instrText xml:space="preserve"> SEQ Kuvio \* ARABIC </w:instrText>
      </w:r>
      <w:r>
        <w:fldChar w:fldCharType="separate"/>
      </w:r>
      <w:r w:rsidR="00CE0AE0">
        <w:rPr>
          <w:noProof/>
        </w:rPr>
        <w:t>18</w:t>
      </w:r>
      <w:r>
        <w:fldChar w:fldCharType="end"/>
      </w:r>
      <w:bookmarkEnd w:id="112"/>
      <w:r w:rsidR="00327A3A" w:rsidRPr="00327A3A">
        <w:t>.</w:t>
      </w:r>
      <w:r>
        <w:t xml:space="preserve"> </w:t>
      </w:r>
      <w:r w:rsidR="005F4D87" w:rsidRPr="00327A3A">
        <w:t>F-kaasupäästöjen jakautuminen vuonna 202</w:t>
      </w:r>
      <w:r w:rsidR="00FC738B">
        <w:rPr>
          <w:rFonts w:cs="Arial"/>
          <w:szCs w:val="22"/>
        </w:rPr>
        <w:t>4</w:t>
      </w:r>
      <w:r w:rsidR="005F4D87" w:rsidRPr="005F4D87">
        <w:rPr>
          <w:rFonts w:cs="Arial"/>
          <w:szCs w:val="22"/>
        </w:rPr>
        <w:t>. </w:t>
      </w:r>
    </w:p>
    <w:p w14:paraId="300E2A53" w14:textId="275A5686" w:rsidR="005F4D87" w:rsidRPr="005F4D87" w:rsidRDefault="005F4D87" w:rsidP="005F4D87">
      <w:pPr>
        <w:textAlignment w:val="baseline"/>
        <w:rPr>
          <w:rFonts w:ascii="Segoe UI" w:hAnsi="Segoe UI" w:cs="Segoe UI"/>
          <w:sz w:val="18"/>
          <w:szCs w:val="18"/>
        </w:rPr>
      </w:pPr>
      <w:r w:rsidRPr="005F4D87">
        <w:rPr>
          <w:rFonts w:cs="Arial"/>
          <w:color w:val="CC3595"/>
          <w:sz w:val="22"/>
          <w:szCs w:val="22"/>
        </w:rPr>
        <w:t> </w:t>
      </w:r>
      <w:r w:rsidR="00FC738B">
        <w:rPr>
          <w:noProof/>
        </w:rPr>
        <w:drawing>
          <wp:inline distT="0" distB="0" distL="0" distR="0" wp14:anchorId="1A8710CA" wp14:editId="4A9BC87C">
            <wp:extent cx="4581525" cy="2747010"/>
            <wp:effectExtent l="0" t="0" r="0" b="0"/>
            <wp:docPr id="1268470856" name="Chart 1">
              <a:extLst xmlns:a="http://schemas.openxmlformats.org/drawingml/2006/main">
                <a:ext uri="{FF2B5EF4-FFF2-40B4-BE49-F238E27FC236}">
                  <a16:creationId xmlns:a16="http://schemas.microsoft.com/office/drawing/2014/main" id="{AE8DEF50-AAE5-9527-CDB7-0F636BED19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53A18C7" w14:textId="2D3BFDDC" w:rsidR="005F4D87" w:rsidRPr="005F4D87" w:rsidRDefault="417C18A0" w:rsidP="3A452D37">
      <w:pPr>
        <w:pStyle w:val="VNLeip1kappale"/>
      </w:pPr>
      <w:r w:rsidRPr="4D31AA7F">
        <w:rPr>
          <w:rFonts w:eastAsia="Arial" w:cs="Arial"/>
          <w:color w:val="000000" w:themeColor="text1"/>
        </w:rPr>
        <w:t>Pikaennakkotiedon</w:t>
      </w:r>
      <w:r w:rsidR="005F4D87" w:rsidRPr="4D31AA7F">
        <w:rPr>
          <w:rFonts w:eastAsia="Arial" w:cs="Arial"/>
          <w:color w:val="000000" w:themeColor="text1"/>
        </w:rPr>
        <w:t xml:space="preserve"> mukaan </w:t>
      </w:r>
      <w:r w:rsidRPr="4D31AA7F">
        <w:rPr>
          <w:rFonts w:eastAsia="Arial" w:cs="Arial"/>
          <w:color w:val="000000" w:themeColor="text1"/>
        </w:rPr>
        <w:t>F-kaasupäästöt</w:t>
      </w:r>
      <w:r w:rsidR="005F4D87" w:rsidRPr="4D31AA7F">
        <w:rPr>
          <w:rFonts w:eastAsia="Arial" w:cs="Arial"/>
          <w:color w:val="000000" w:themeColor="text1"/>
        </w:rPr>
        <w:t xml:space="preserve"> vähenivät vuonna </w:t>
      </w:r>
      <w:r w:rsidRPr="4D31AA7F">
        <w:rPr>
          <w:rFonts w:eastAsia="Arial" w:cs="Arial"/>
          <w:color w:val="000000" w:themeColor="text1"/>
        </w:rPr>
        <w:t>2024</w:t>
      </w:r>
      <w:r w:rsidR="005F4D87" w:rsidRPr="4D31AA7F">
        <w:rPr>
          <w:rFonts w:eastAsia="Arial" w:cs="Arial"/>
          <w:color w:val="000000" w:themeColor="text1"/>
        </w:rPr>
        <w:t xml:space="preserve"> edelliseen vuoteen verrattuna ollen 0,</w:t>
      </w:r>
      <w:r w:rsidRPr="4D31AA7F">
        <w:rPr>
          <w:rFonts w:eastAsia="Arial" w:cs="Arial"/>
          <w:color w:val="000000" w:themeColor="text1"/>
        </w:rPr>
        <w:t>6</w:t>
      </w:r>
      <w:r w:rsidR="005F4D87" w:rsidRPr="4D31AA7F">
        <w:rPr>
          <w:rFonts w:eastAsia="Arial" w:cs="Arial"/>
          <w:color w:val="000000" w:themeColor="text1"/>
        </w:rPr>
        <w:t xml:space="preserve"> Mt CO</w:t>
      </w:r>
      <w:r w:rsidR="005F4D87" w:rsidRPr="4D31AA7F">
        <w:rPr>
          <w:rFonts w:eastAsia="Arial" w:cs="Arial"/>
          <w:color w:val="000000" w:themeColor="text1"/>
          <w:vertAlign w:val="subscript"/>
        </w:rPr>
        <w:t>2</w:t>
      </w:r>
      <w:r w:rsidR="005F4D87" w:rsidRPr="4D31AA7F">
        <w:rPr>
          <w:rFonts w:eastAsia="Arial" w:cs="Arial"/>
          <w:color w:val="000000" w:themeColor="text1"/>
        </w:rPr>
        <w:t xml:space="preserve">-ekv. Huippuvuodesta 2008 päästöt ovat vähentyneet </w:t>
      </w:r>
      <w:r w:rsidRPr="4D31AA7F">
        <w:rPr>
          <w:rFonts w:eastAsia="Arial" w:cs="Arial"/>
          <w:color w:val="000000" w:themeColor="text1"/>
        </w:rPr>
        <w:t xml:space="preserve">53 %. </w:t>
      </w:r>
      <w:r w:rsidRPr="59F7569B">
        <w:t xml:space="preserve"> </w:t>
      </w:r>
    </w:p>
    <w:p w14:paraId="2A7A7B36" w14:textId="573995B9" w:rsidR="005F4D87" w:rsidRPr="005F4D87" w:rsidRDefault="005F4D87" w:rsidP="00327A3A">
      <w:pPr>
        <w:pStyle w:val="VNKuvateksti"/>
      </w:pPr>
    </w:p>
    <w:p w14:paraId="37D57DEA" w14:textId="25CC0EBD" w:rsidR="005F4D87" w:rsidRPr="005F4D87" w:rsidRDefault="0017451F" w:rsidP="0017451F">
      <w:pPr>
        <w:pStyle w:val="Kuvaotsikko"/>
        <w:rPr>
          <w:rFonts w:ascii="Segoe UI" w:hAnsi="Segoe UI" w:cs="Segoe UI"/>
        </w:rPr>
      </w:pPr>
      <w:r>
        <w:t>Kuvio</w:t>
      </w:r>
      <w:r w:rsidR="2393C37E">
        <w:t xml:space="preserve"> </w:t>
      </w:r>
      <w:r>
        <w:fldChar w:fldCharType="begin"/>
      </w:r>
      <w:r>
        <w:instrText xml:space="preserve"> SEQ Kuvio \* ARABIC </w:instrText>
      </w:r>
      <w:r>
        <w:fldChar w:fldCharType="separate"/>
      </w:r>
      <w:r w:rsidR="00CE0AE0">
        <w:rPr>
          <w:noProof/>
        </w:rPr>
        <w:t>19</w:t>
      </w:r>
      <w:r>
        <w:fldChar w:fldCharType="end"/>
      </w:r>
      <w:r w:rsidR="2393C37E">
        <w:t>.</w:t>
      </w:r>
      <w:r>
        <w:t xml:space="preserve"> </w:t>
      </w:r>
      <w:r w:rsidR="3077E405">
        <w:t>F-kaasupäästöt vuosina 2005–202</w:t>
      </w:r>
      <w:r w:rsidR="151E1B20">
        <w:t>4</w:t>
      </w:r>
      <w:r w:rsidR="3077E405">
        <w:t xml:space="preserve"> sekä arviot nykytoimilla toimilla saavutettavasta päästökehityksestä vuosina 202</w:t>
      </w:r>
      <w:r w:rsidR="151E1B20">
        <w:t>5</w:t>
      </w:r>
      <w:r w:rsidR="3077E405">
        <w:t>–2040. Vuoden 202</w:t>
      </w:r>
      <w:r w:rsidR="151E1B20">
        <w:t>4</w:t>
      </w:r>
      <w:r w:rsidR="3077E405">
        <w:t xml:space="preserve"> tieto on pikaennakko. </w:t>
      </w:r>
    </w:p>
    <w:p w14:paraId="144C55CC" w14:textId="16385884" w:rsidR="005F4D87" w:rsidRPr="005F4D87" w:rsidRDefault="000459A1" w:rsidP="005F4D87">
      <w:pPr>
        <w:textAlignment w:val="baseline"/>
        <w:rPr>
          <w:rFonts w:ascii="Segoe UI" w:hAnsi="Segoe UI" w:cs="Segoe UI"/>
          <w:sz w:val="18"/>
          <w:szCs w:val="18"/>
        </w:rPr>
      </w:pPr>
      <w:r>
        <w:rPr>
          <w:noProof/>
        </w:rPr>
        <w:drawing>
          <wp:inline distT="0" distB="0" distL="0" distR="0" wp14:anchorId="7A60F8C3" wp14:editId="75345B87">
            <wp:extent cx="4507865" cy="2895600"/>
            <wp:effectExtent l="0" t="0" r="6985" b="0"/>
            <wp:docPr id="1245933905" name="Kaavio 1">
              <a:extLst xmlns:a="http://schemas.openxmlformats.org/drawingml/2006/main">
                <a:ext uri="{FF2B5EF4-FFF2-40B4-BE49-F238E27FC236}">
                  <a16:creationId xmlns:a16="http://schemas.microsoft.com/office/drawing/2014/main" id="{0F360443-544E-12EB-4F19-E324176A73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5F4D87" w:rsidRPr="005F4D87">
        <w:rPr>
          <w:rFonts w:cs="Arial"/>
          <w:sz w:val="22"/>
          <w:szCs w:val="22"/>
        </w:rPr>
        <w:t> </w:t>
      </w:r>
      <w:r w:rsidR="005F4D87">
        <w:br/>
      </w:r>
      <w:r w:rsidR="005F4D87" w:rsidRPr="005F4D87">
        <w:rPr>
          <w:rFonts w:cs="Arial"/>
          <w:sz w:val="22"/>
          <w:szCs w:val="22"/>
        </w:rPr>
        <w:t> </w:t>
      </w:r>
    </w:p>
    <w:p w14:paraId="4F843A24" w14:textId="77777777" w:rsidR="005F4D87" w:rsidRPr="005F4D87" w:rsidRDefault="005F4D87" w:rsidP="005F4D87">
      <w:pPr>
        <w:textAlignment w:val="baseline"/>
        <w:rPr>
          <w:rFonts w:ascii="Segoe UI" w:hAnsi="Segoe UI" w:cs="Segoe UI"/>
          <w:sz w:val="18"/>
          <w:szCs w:val="18"/>
        </w:rPr>
      </w:pPr>
      <w:r w:rsidRPr="005F4D87">
        <w:rPr>
          <w:rFonts w:cs="Arial"/>
          <w:sz w:val="22"/>
          <w:szCs w:val="22"/>
        </w:rPr>
        <w:t> </w:t>
      </w:r>
    </w:p>
    <w:p w14:paraId="1EB7586A" w14:textId="77777777" w:rsidR="005F4D87" w:rsidRPr="005F4D87" w:rsidRDefault="005F4D87" w:rsidP="005F4D87">
      <w:pPr>
        <w:textAlignment w:val="baseline"/>
        <w:rPr>
          <w:rFonts w:ascii="Segoe UI" w:hAnsi="Segoe UI" w:cs="Segoe UI"/>
          <w:b/>
          <w:bCs/>
          <w:color w:val="365ABD"/>
          <w:sz w:val="18"/>
          <w:szCs w:val="18"/>
        </w:rPr>
      </w:pPr>
      <w:r w:rsidRPr="28730CAD">
        <w:rPr>
          <w:rFonts w:ascii="Arial Narrow" w:hAnsi="Arial Narrow" w:cs="Segoe UI"/>
          <w:b/>
          <w:color w:val="365ABD" w:themeColor="accent3"/>
          <w:sz w:val="26"/>
          <w:szCs w:val="26"/>
        </w:rPr>
        <w:t>Nykytoimet </w:t>
      </w:r>
    </w:p>
    <w:p w14:paraId="7AC78C1B" w14:textId="77777777" w:rsidR="005F4D87" w:rsidRPr="005F4D87" w:rsidRDefault="005F4D87" w:rsidP="28730CAD">
      <w:pPr>
        <w:pStyle w:val="VNLeip1kappale"/>
        <w:rPr>
          <w:rFonts w:ascii="Segoe UI" w:hAnsi="Segoe UI" w:cs="Segoe UI"/>
          <w:sz w:val="18"/>
          <w:szCs w:val="18"/>
        </w:rPr>
      </w:pPr>
      <w:r w:rsidRPr="005F4D87">
        <w:t>Kaupan suurissa kylmälaitoksissa hiilidioksidi sekä pienemmässä määrin propaani ovat jo korvanneet korkean GWP-arvon kylmäaineet uusissa laitteissa. Myös ajoneuvojen ilmastointilaitteiden kohdalla HFC-kylmäaineet on korvattu matalan GWP-arvon kylmäaineella uusien henkilö- ja pienten pakettiautojen ilmastointilaitteissa. EU:n uusi fluorattuja kasvihuonekaasuja koskeva asetus (573/2024/EU) on tullut voimaan. Sen toimilla lopetetaan asteittain neitseellisten HFC-yhdisteiden markkinoille saattaminen vuoteen 2050 mennessä.  </w:t>
      </w:r>
    </w:p>
    <w:p w14:paraId="5456F173" w14:textId="267A733D" w:rsidR="005F4D87" w:rsidRPr="005F4D87" w:rsidRDefault="005F4D87" w:rsidP="28730CAD">
      <w:pPr>
        <w:pStyle w:val="VNLeip1kappale"/>
        <w:rPr>
          <w:rFonts w:ascii="Segoe UI" w:hAnsi="Segoe UI" w:cs="Segoe UI"/>
          <w:sz w:val="18"/>
          <w:szCs w:val="18"/>
        </w:rPr>
      </w:pPr>
      <w:r w:rsidRPr="005F4D87">
        <w:t>Osa F-kaasuista on ns. PFAS-yhdisteitä (</w:t>
      </w:r>
      <w:proofErr w:type="spellStart"/>
      <w:r w:rsidRPr="005F4D87">
        <w:t>per-</w:t>
      </w:r>
      <w:proofErr w:type="spellEnd"/>
      <w:r w:rsidRPr="005F4D87">
        <w:t xml:space="preserve"> ja </w:t>
      </w:r>
      <w:proofErr w:type="spellStart"/>
      <w:r w:rsidRPr="005F4D87">
        <w:t>polyfluoratut</w:t>
      </w:r>
      <w:proofErr w:type="spellEnd"/>
      <w:r w:rsidRPr="005F4D87">
        <w:t xml:space="preserve"> alkyyliyhdisteet), joiden tuotannolle, markkinoille saattamiselle ja käytölle on ehdotettu EU:n REACH-asetuksen (EY N:o 1907/2006) mukaista rajoitusta. Rajoituksen tarkkaa sisältöä ja voimaantuloa ei edelleenkään tiedetä. Toteutuessaan ehdotetussa muodossa rajoituksen arvioitaisiin vähentävän päästöjä merkittävästi. </w:t>
      </w:r>
    </w:p>
    <w:p w14:paraId="2679BC8B" w14:textId="77777777" w:rsidR="005F4D87" w:rsidRPr="005F4D87" w:rsidRDefault="005F4D87" w:rsidP="28730CAD">
      <w:pPr>
        <w:pStyle w:val="VNLeip1kappale"/>
        <w:rPr>
          <w:rFonts w:ascii="Segoe UI" w:hAnsi="Segoe UI" w:cs="Segoe UI"/>
          <w:sz w:val="18"/>
          <w:szCs w:val="18"/>
        </w:rPr>
      </w:pPr>
      <w:r w:rsidRPr="005F4D87">
        <w:t>Julkisen sektorin hankinnoissa pyritään välttämään F-kaasuja sisältäviä laitteita. Ohjauskeinona toimii julkisille hankinnoille laaditut kriteerit HFC-yhdisteiden vaihtoehdoista. Kriteerien viestintä ja käyttöönotto käynnissä.  </w:t>
      </w:r>
    </w:p>
    <w:p w14:paraId="2742EC53" w14:textId="77777777" w:rsidR="005F4D87" w:rsidRPr="005F4D87" w:rsidRDefault="005F4D87" w:rsidP="28730CAD">
      <w:pPr>
        <w:pStyle w:val="VNLeip1kappale"/>
        <w:rPr>
          <w:rFonts w:ascii="Segoe UI" w:hAnsi="Segoe UI" w:cs="Segoe UI"/>
          <w:sz w:val="18"/>
          <w:szCs w:val="18"/>
        </w:rPr>
      </w:pPr>
      <w:r w:rsidRPr="005F4D87">
        <w:t>Vaihtoehtoisten teknologioiden käyttöönottoa pyritään edistämään koulutuksen ja tiedotuksen keinoin. Suomen ympäristökeskus on tehostanut tiedotusta ja ohjausta vaihtoehtoisista aineista. Tavoitteena on myös laitteissa ja tuotteissa olevien F-kaasuvarastojen parempi hallinta ja talteenoton tehostaminen, jonka edistämiseksi Suomen ympäristökeskus julkaisi raportin laitteisiin ja tuotteisiin varastoutuneiden F-kaasujen ja otsonikerrosta heikentävien ainein määristä.  </w:t>
      </w:r>
    </w:p>
    <w:p w14:paraId="4D70FF19" w14:textId="0AA8742F" w:rsidR="005F4D87" w:rsidRPr="005F4D87" w:rsidRDefault="005F4D87" w:rsidP="28730CAD">
      <w:pPr>
        <w:pStyle w:val="VNLeip1kappale"/>
        <w:rPr>
          <w:rFonts w:ascii="Segoe UI" w:hAnsi="Segoe UI" w:cs="Segoe UI"/>
          <w:sz w:val="18"/>
          <w:szCs w:val="18"/>
        </w:rPr>
      </w:pPr>
      <w:r w:rsidRPr="2807D48F">
        <w:t>Nykytoimilla F-kaasupäästöjen</w:t>
      </w:r>
      <w:r w:rsidRPr="005F4D87">
        <w:t xml:space="preserve"> arvioidaan laskevan 0,3</w:t>
      </w:r>
      <w:r>
        <w:t xml:space="preserve"> </w:t>
      </w:r>
      <w:r w:rsidRPr="005F4D87">
        <w:t>miljoonaan hiilidioksidiekvivalenttitonniin vuonna 2030 ja 0,2</w:t>
      </w:r>
      <w:r>
        <w:t xml:space="preserve"> </w:t>
      </w:r>
      <w:r w:rsidRPr="005F4D87">
        <w:t>miljoonaan tonniin vuonna 2040.</w:t>
      </w:r>
      <w:r w:rsidRPr="005F4D87">
        <w:rPr>
          <w:color w:val="CC3595"/>
        </w:rPr>
        <w:t> </w:t>
      </w:r>
    </w:p>
    <w:p w14:paraId="1E26006D" w14:textId="38A8B81F" w:rsidR="000459A1" w:rsidRDefault="005F4D87" w:rsidP="00327A3A">
      <w:pPr>
        <w:pStyle w:val="VNLeip1kappale"/>
        <w:rPr>
          <w:rFonts w:ascii="Segoe UI" w:hAnsi="Segoe UI" w:cs="Segoe UI"/>
          <w:sz w:val="18"/>
          <w:szCs w:val="18"/>
        </w:rPr>
      </w:pPr>
      <w:r w:rsidRPr="0EBA5103">
        <w:t xml:space="preserve">Uusi F-kaasuasetus astui voimaan 11.3.2024. Asetuksen mukaisilla toimilla lopetetaan neitseellisten HFC-yhdisteiden markkinoille saattaminen 2050 mennessä. Vaiheittain voimaantulevilla laite- ja tuotekohtaisilla kielloilla rajoitetaan uusien korkean </w:t>
      </w:r>
      <w:proofErr w:type="spellStart"/>
      <w:r w:rsidRPr="0EBA5103">
        <w:t>GWP:n</w:t>
      </w:r>
      <w:proofErr w:type="spellEnd"/>
      <w:r w:rsidRPr="0EBA5103">
        <w:t xml:space="preserve"> F-kaasuihin perustuvien tuotteiden markkinoille tuloa, kun vaihtoehtoisia, energiatehokkaita teknologioita on käytettävissä. Direktiivi tuli voimaan vuonna 2006. Direktiivissä rajoitettiin 1.1.2011 alkaen uusien henkilö- ja pienten pakettiautojen (ajoneuvoluokat M1 ja N1) ilmastointijärjestelmien kylmäaineiden ilmaston lämmitysvaikutus (GWP) 150:een. Vuoden 2017 alusta lähtien vaatimus on koskenut kaikkia EU:ssa markkinoille saatettuja henkilö- ja pieniä pakettiautoja. </w:t>
      </w:r>
      <w:r w:rsidRPr="005F4D87">
        <w:br/>
        <w:t> </w:t>
      </w:r>
    </w:p>
    <w:p w14:paraId="5B00A27E" w14:textId="77777777" w:rsidR="000C600C" w:rsidRDefault="000C600C">
      <w:pPr>
        <w:rPr>
          <w:i/>
          <w:iCs/>
          <w:color w:val="365ABD" w:themeColor="text2"/>
          <w:sz w:val="18"/>
          <w:szCs w:val="18"/>
        </w:rPr>
      </w:pPr>
      <w:r>
        <w:br w:type="page"/>
      </w:r>
    </w:p>
    <w:p w14:paraId="6232B95C" w14:textId="5AAED036" w:rsidR="005F4D87" w:rsidRPr="005F4D87" w:rsidRDefault="00327A3A" w:rsidP="00CE0AE0">
      <w:pPr>
        <w:pStyle w:val="Kuvaotsikko"/>
        <w:rPr>
          <w:rFonts w:ascii="Segoe UI" w:hAnsi="Segoe UI" w:cs="Segoe UI"/>
        </w:rPr>
      </w:pPr>
      <w:r>
        <w:t xml:space="preserve">Taulukko </w:t>
      </w:r>
      <w:r>
        <w:fldChar w:fldCharType="begin"/>
      </w:r>
      <w:r>
        <w:instrText xml:space="preserve"> SEQ Taulukko \* ARABIC </w:instrText>
      </w:r>
      <w:r>
        <w:fldChar w:fldCharType="separate"/>
      </w:r>
      <w:r>
        <w:rPr>
          <w:noProof/>
        </w:rPr>
        <w:t>8</w:t>
      </w:r>
      <w:r>
        <w:fldChar w:fldCharType="end"/>
      </w:r>
      <w:r w:rsidR="008C278F">
        <w:t>.</w:t>
      </w:r>
      <w:r>
        <w:t xml:space="preserve">. </w:t>
      </w:r>
      <w:r w:rsidR="005F4D87" w:rsidRPr="005F4D87">
        <w:t>F-kaasut – keskeiset käytössä olevat politiikkatoimet </w:t>
      </w:r>
    </w:p>
    <w:tbl>
      <w:tblPr>
        <w:tblW w:w="76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0"/>
        <w:gridCol w:w="5544"/>
      </w:tblGrid>
      <w:tr w:rsidR="005F4D87" w:rsidRPr="005F4D87" w14:paraId="3CF3F670" w14:textId="77777777" w:rsidTr="003B0EAF">
        <w:trPr>
          <w:trHeight w:val="300"/>
        </w:trPr>
        <w:tc>
          <w:tcPr>
            <w:tcW w:w="2150" w:type="dxa"/>
            <w:tcBorders>
              <w:top w:val="single" w:sz="6" w:space="0" w:color="auto"/>
              <w:left w:val="single" w:sz="6" w:space="0" w:color="auto"/>
              <w:bottom w:val="single" w:sz="6" w:space="0" w:color="auto"/>
              <w:right w:val="single" w:sz="6" w:space="0" w:color="auto"/>
            </w:tcBorders>
            <w:hideMark/>
          </w:tcPr>
          <w:p w14:paraId="1EBB760F" w14:textId="03C9717D" w:rsidR="005F4D87" w:rsidRPr="005F4D87" w:rsidRDefault="005F4D87" w:rsidP="28730CAD">
            <w:pPr>
              <w:pStyle w:val="VNLeip1kappale"/>
              <w:rPr>
                <w:rFonts w:ascii="Times New Roman" w:hAnsi="Times New Roman"/>
                <w:sz w:val="24"/>
                <w:szCs w:val="24"/>
              </w:rPr>
            </w:pPr>
            <w:r w:rsidRPr="28730CAD">
              <w:rPr>
                <w:rFonts w:cs="Arial"/>
              </w:rPr>
              <w:t> </w:t>
            </w:r>
            <w:r w:rsidRPr="005F4D87">
              <w:rPr>
                <w:rFonts w:cs="Arial"/>
                <w:b/>
                <w:bCs/>
              </w:rPr>
              <w:t>Politiikkatoimi</w:t>
            </w:r>
            <w:r w:rsidRPr="005F4D87">
              <w:rPr>
                <w:rFonts w:cs="Arial"/>
              </w:rPr>
              <w:t> </w:t>
            </w:r>
          </w:p>
        </w:tc>
        <w:tc>
          <w:tcPr>
            <w:tcW w:w="5544" w:type="dxa"/>
            <w:tcBorders>
              <w:top w:val="single" w:sz="6" w:space="0" w:color="auto"/>
              <w:left w:val="single" w:sz="6" w:space="0" w:color="auto"/>
              <w:bottom w:val="single" w:sz="6" w:space="0" w:color="auto"/>
              <w:right w:val="single" w:sz="6" w:space="0" w:color="auto"/>
            </w:tcBorders>
            <w:hideMark/>
          </w:tcPr>
          <w:p w14:paraId="18ACEC5A" w14:textId="77777777" w:rsidR="005F4D87" w:rsidRPr="005F4D87" w:rsidRDefault="005F4D87" w:rsidP="28730CAD">
            <w:pPr>
              <w:pStyle w:val="VNLeip1kappale"/>
              <w:rPr>
                <w:rFonts w:ascii="Times New Roman" w:hAnsi="Times New Roman"/>
                <w:sz w:val="24"/>
                <w:szCs w:val="24"/>
              </w:rPr>
            </w:pPr>
            <w:r w:rsidRPr="005F4D87">
              <w:rPr>
                <w:rFonts w:cs="Arial"/>
                <w:b/>
                <w:bCs/>
              </w:rPr>
              <w:t>Toimeenpanon tilanne</w:t>
            </w:r>
            <w:r w:rsidRPr="005F4D87">
              <w:rPr>
                <w:rFonts w:cs="Arial"/>
              </w:rPr>
              <w:t> </w:t>
            </w:r>
          </w:p>
        </w:tc>
      </w:tr>
      <w:tr w:rsidR="005F4D87" w:rsidRPr="005F4D87" w14:paraId="138E2464" w14:textId="77777777" w:rsidTr="003B0EAF">
        <w:trPr>
          <w:trHeight w:val="300"/>
        </w:trPr>
        <w:tc>
          <w:tcPr>
            <w:tcW w:w="2150" w:type="dxa"/>
            <w:tcBorders>
              <w:top w:val="single" w:sz="6" w:space="0" w:color="auto"/>
              <w:left w:val="single" w:sz="6" w:space="0" w:color="auto"/>
              <w:bottom w:val="single" w:sz="6" w:space="0" w:color="auto"/>
              <w:right w:val="single" w:sz="6" w:space="0" w:color="auto"/>
            </w:tcBorders>
            <w:hideMark/>
          </w:tcPr>
          <w:p w14:paraId="7641F3F0" w14:textId="19D33C9B" w:rsidR="005F4D87" w:rsidRPr="005F4D87" w:rsidRDefault="005F4D87" w:rsidP="28730CAD">
            <w:pPr>
              <w:pStyle w:val="VNLeip1kappale"/>
              <w:rPr>
                <w:rFonts w:ascii="Times New Roman" w:hAnsi="Times New Roman"/>
                <w:sz w:val="24"/>
                <w:szCs w:val="24"/>
              </w:rPr>
            </w:pPr>
            <w:r w:rsidRPr="28730CAD">
              <w:rPr>
                <w:rFonts w:cs="Arial"/>
              </w:rPr>
              <w:t xml:space="preserve">EU:n </w:t>
            </w:r>
            <w:r>
              <w:rPr>
                <w:rFonts w:cs="Arial"/>
              </w:rPr>
              <w:t>F-</w:t>
            </w:r>
            <w:r w:rsidRPr="28730CAD">
              <w:rPr>
                <w:rFonts w:cs="Arial"/>
              </w:rPr>
              <w:t>kaasuasetus (573/2024/</w:t>
            </w:r>
            <w:proofErr w:type="gramStart"/>
            <w:r w:rsidRPr="28730CAD">
              <w:rPr>
                <w:rFonts w:cs="Arial"/>
              </w:rPr>
              <w:t>EU)   </w:t>
            </w:r>
            <w:proofErr w:type="gramEnd"/>
            <w:r w:rsidRPr="28730CAD">
              <w:rPr>
                <w:rFonts w:cs="Arial"/>
              </w:rPr>
              <w:t> </w:t>
            </w:r>
          </w:p>
        </w:tc>
        <w:tc>
          <w:tcPr>
            <w:tcW w:w="5544" w:type="dxa"/>
            <w:tcBorders>
              <w:top w:val="single" w:sz="6" w:space="0" w:color="auto"/>
              <w:left w:val="single" w:sz="6" w:space="0" w:color="auto"/>
              <w:bottom w:val="single" w:sz="6" w:space="0" w:color="auto"/>
              <w:right w:val="single" w:sz="6" w:space="0" w:color="auto"/>
            </w:tcBorders>
            <w:hideMark/>
          </w:tcPr>
          <w:p w14:paraId="5B382271" w14:textId="77777777" w:rsidR="005F4D87" w:rsidRPr="005F4D87" w:rsidRDefault="005F4D87" w:rsidP="28730CAD">
            <w:pPr>
              <w:pStyle w:val="VNLeip1kappale"/>
              <w:rPr>
                <w:rFonts w:ascii="Times New Roman" w:hAnsi="Times New Roman"/>
                <w:sz w:val="24"/>
                <w:szCs w:val="24"/>
              </w:rPr>
            </w:pPr>
            <w:r w:rsidRPr="28730CAD">
              <w:rPr>
                <w:rFonts w:cs="Arial"/>
              </w:rPr>
              <w:t xml:space="preserve">Uusi F-kaasuasetus astui voimaan 2024, jonka toimilla lopetetaan neitseellisten HFC-yhdisteiden markkinoille saattaminen 2050 mennessä. Vaiheittain voimaantulevilla laite- ja tuotekohtaisilla kielloilla rajoitetaan uusien korkean </w:t>
            </w:r>
            <w:proofErr w:type="spellStart"/>
            <w:r w:rsidRPr="28730CAD">
              <w:rPr>
                <w:rFonts w:cs="Arial"/>
              </w:rPr>
              <w:t>GWP:n</w:t>
            </w:r>
            <w:proofErr w:type="spellEnd"/>
            <w:r w:rsidRPr="28730CAD">
              <w:rPr>
                <w:rFonts w:cs="Arial"/>
              </w:rPr>
              <w:t xml:space="preserve"> F-kaasuihin perustuvien tuotteiden markkinoille tuloa. </w:t>
            </w:r>
          </w:p>
        </w:tc>
      </w:tr>
      <w:tr w:rsidR="005F4D87" w:rsidRPr="005F4D87" w14:paraId="77184E1B" w14:textId="77777777" w:rsidTr="003B0EAF">
        <w:trPr>
          <w:trHeight w:val="300"/>
        </w:trPr>
        <w:tc>
          <w:tcPr>
            <w:tcW w:w="2150" w:type="dxa"/>
            <w:tcBorders>
              <w:top w:val="single" w:sz="6" w:space="0" w:color="auto"/>
              <w:left w:val="single" w:sz="6" w:space="0" w:color="auto"/>
              <w:bottom w:val="single" w:sz="6" w:space="0" w:color="auto"/>
              <w:right w:val="single" w:sz="6" w:space="0" w:color="auto"/>
            </w:tcBorders>
            <w:hideMark/>
          </w:tcPr>
          <w:p w14:paraId="4F16D3EA" w14:textId="77777777" w:rsidR="005F4D87" w:rsidRPr="005F4D87" w:rsidRDefault="005F4D87" w:rsidP="28730CAD">
            <w:pPr>
              <w:pStyle w:val="VNLeip1kappale"/>
              <w:rPr>
                <w:rFonts w:ascii="Times New Roman" w:hAnsi="Times New Roman"/>
                <w:sz w:val="24"/>
                <w:szCs w:val="24"/>
              </w:rPr>
            </w:pPr>
            <w:r w:rsidRPr="28730CAD">
              <w:rPr>
                <w:rFonts w:cs="Arial"/>
              </w:rPr>
              <w:t>EU:n moottoriajoneuvojen ilmastointijärjestelmien päästöistä annettu MAC-direktiivi (2006/40/EY) </w:t>
            </w:r>
          </w:p>
        </w:tc>
        <w:tc>
          <w:tcPr>
            <w:tcW w:w="5544" w:type="dxa"/>
            <w:tcBorders>
              <w:top w:val="single" w:sz="6" w:space="0" w:color="auto"/>
              <w:left w:val="single" w:sz="6" w:space="0" w:color="auto"/>
              <w:bottom w:val="single" w:sz="6" w:space="0" w:color="auto"/>
              <w:right w:val="single" w:sz="6" w:space="0" w:color="auto"/>
            </w:tcBorders>
            <w:hideMark/>
          </w:tcPr>
          <w:p w14:paraId="39CC8BB4" w14:textId="77777777" w:rsidR="005F4D87" w:rsidRPr="005F4D87" w:rsidRDefault="005F4D87" w:rsidP="28730CAD">
            <w:pPr>
              <w:pStyle w:val="VNLeip1kappale"/>
              <w:rPr>
                <w:rFonts w:ascii="Times New Roman" w:hAnsi="Times New Roman"/>
                <w:sz w:val="24"/>
                <w:szCs w:val="24"/>
              </w:rPr>
            </w:pPr>
            <w:r w:rsidRPr="28730CAD">
              <w:rPr>
                <w:rFonts w:cs="Arial"/>
              </w:rPr>
              <w:t>Direktiivi tuli voimaan vuonna 2006. Direktiivissä rajoitettiin 1.1.2011 alkaen uusien henkilö- ja pienten pakettiautojen (ajoneuvoluokat M1 ja N1) ilmastointijärjestelmien kylmäaineiden ilmaston lämmitysvaikutus (GWP) 150:een. Vuoden 2017 alusta lähtien vaatimus on koskenut kaikkia EU:ssa markkinoille saatettuja henkilö- ja pieniä pakettiautoja. </w:t>
            </w:r>
          </w:p>
        </w:tc>
      </w:tr>
      <w:tr w:rsidR="005F4D87" w:rsidRPr="005F4D87" w14:paraId="7F23938B" w14:textId="77777777" w:rsidTr="003B0EAF">
        <w:trPr>
          <w:trHeight w:val="300"/>
        </w:trPr>
        <w:tc>
          <w:tcPr>
            <w:tcW w:w="2150" w:type="dxa"/>
            <w:tcBorders>
              <w:top w:val="single" w:sz="6" w:space="0" w:color="auto"/>
              <w:left w:val="single" w:sz="6" w:space="0" w:color="auto"/>
              <w:bottom w:val="single" w:sz="6" w:space="0" w:color="auto"/>
              <w:right w:val="single" w:sz="6" w:space="0" w:color="auto"/>
            </w:tcBorders>
            <w:hideMark/>
          </w:tcPr>
          <w:p w14:paraId="7A795A37" w14:textId="77777777" w:rsidR="005F4D87" w:rsidRPr="005F4D87" w:rsidRDefault="005F4D87" w:rsidP="28730CAD">
            <w:pPr>
              <w:pStyle w:val="VNLeip1kappale"/>
              <w:rPr>
                <w:rFonts w:ascii="Times New Roman" w:hAnsi="Times New Roman"/>
                <w:sz w:val="24"/>
                <w:szCs w:val="24"/>
              </w:rPr>
            </w:pPr>
            <w:r w:rsidRPr="28730CAD">
              <w:rPr>
                <w:rFonts w:cs="Arial"/>
              </w:rPr>
              <w:t>Laitteissa ja tuotteissa olevien F-kaasuvarastojen hallinta ja talteenoton tehostaminen </w:t>
            </w:r>
          </w:p>
        </w:tc>
        <w:tc>
          <w:tcPr>
            <w:tcW w:w="5544" w:type="dxa"/>
            <w:tcBorders>
              <w:top w:val="single" w:sz="6" w:space="0" w:color="auto"/>
              <w:left w:val="single" w:sz="6" w:space="0" w:color="auto"/>
              <w:bottom w:val="single" w:sz="6" w:space="0" w:color="auto"/>
              <w:right w:val="single" w:sz="6" w:space="0" w:color="auto"/>
            </w:tcBorders>
            <w:hideMark/>
          </w:tcPr>
          <w:p w14:paraId="1C86EC4A" w14:textId="77777777" w:rsidR="005F4D87" w:rsidRPr="005F4D87" w:rsidRDefault="005F4D87" w:rsidP="28730CAD">
            <w:pPr>
              <w:pStyle w:val="VNLeip1kappale"/>
              <w:rPr>
                <w:rFonts w:ascii="Times New Roman" w:hAnsi="Times New Roman"/>
                <w:sz w:val="24"/>
                <w:szCs w:val="24"/>
              </w:rPr>
            </w:pPr>
            <w:r w:rsidRPr="28730CAD">
              <w:rPr>
                <w:rFonts w:cs="Arial"/>
              </w:rPr>
              <w:t xml:space="preserve">Suomen ympäristökeskuksen raportti laitteisiin ja tuotteisiin varastoutuneiden F-kaasujen ja otsonikerrosta </w:t>
            </w:r>
            <w:r w:rsidRPr="00CA04FB">
              <w:rPr>
                <w:rFonts w:cs="Arial"/>
              </w:rPr>
              <w:t xml:space="preserve">heikentävien aineiden määristä </w:t>
            </w:r>
            <w:r w:rsidRPr="28730CAD">
              <w:rPr>
                <w:rFonts w:cs="Arial"/>
              </w:rPr>
              <w:t>on julkaistu. </w:t>
            </w:r>
          </w:p>
        </w:tc>
      </w:tr>
      <w:tr w:rsidR="005F4D87" w:rsidRPr="005F4D87" w14:paraId="65279ED3" w14:textId="77777777" w:rsidTr="003B0EAF">
        <w:trPr>
          <w:trHeight w:val="300"/>
        </w:trPr>
        <w:tc>
          <w:tcPr>
            <w:tcW w:w="2150" w:type="dxa"/>
            <w:tcBorders>
              <w:top w:val="single" w:sz="6" w:space="0" w:color="auto"/>
              <w:left w:val="single" w:sz="6" w:space="0" w:color="auto"/>
              <w:bottom w:val="single" w:sz="6" w:space="0" w:color="auto"/>
              <w:right w:val="single" w:sz="6" w:space="0" w:color="auto"/>
            </w:tcBorders>
            <w:hideMark/>
          </w:tcPr>
          <w:p w14:paraId="12E03256" w14:textId="77777777" w:rsidR="005F4D87" w:rsidRPr="005F4D87" w:rsidRDefault="005F4D87" w:rsidP="28730CAD">
            <w:pPr>
              <w:pStyle w:val="VNLeip1kappale"/>
              <w:rPr>
                <w:rFonts w:ascii="Times New Roman" w:hAnsi="Times New Roman"/>
                <w:sz w:val="24"/>
                <w:szCs w:val="24"/>
              </w:rPr>
            </w:pPr>
            <w:r w:rsidRPr="28730CAD">
              <w:rPr>
                <w:rFonts w:cs="Arial"/>
              </w:rPr>
              <w:t>Julkisen sektorin hankinnat </w:t>
            </w:r>
          </w:p>
        </w:tc>
        <w:tc>
          <w:tcPr>
            <w:tcW w:w="5544" w:type="dxa"/>
            <w:tcBorders>
              <w:top w:val="single" w:sz="6" w:space="0" w:color="auto"/>
              <w:left w:val="single" w:sz="6" w:space="0" w:color="auto"/>
              <w:bottom w:val="single" w:sz="6" w:space="0" w:color="auto"/>
              <w:right w:val="single" w:sz="6" w:space="0" w:color="auto"/>
            </w:tcBorders>
            <w:hideMark/>
          </w:tcPr>
          <w:p w14:paraId="3DF7C404" w14:textId="77777777" w:rsidR="005F4D87" w:rsidRPr="005F4D87" w:rsidRDefault="005F4D87" w:rsidP="28730CAD">
            <w:pPr>
              <w:pStyle w:val="VNLeip1kappale"/>
              <w:rPr>
                <w:rFonts w:ascii="Times New Roman" w:hAnsi="Times New Roman"/>
                <w:sz w:val="24"/>
                <w:szCs w:val="24"/>
              </w:rPr>
            </w:pPr>
            <w:r w:rsidRPr="28730CAD">
              <w:rPr>
                <w:rFonts w:cs="Arial"/>
              </w:rPr>
              <w:t>Ohjauskeinona toimii julkisille hankinnoille laaditut kriteerit HFC-yhdisteiden vaihtoehdoista. Viestintä ja käyttöönotto käynnissä.  </w:t>
            </w:r>
          </w:p>
        </w:tc>
      </w:tr>
      <w:tr w:rsidR="005F4D87" w:rsidRPr="005F4D87" w14:paraId="3CC7B127" w14:textId="77777777" w:rsidTr="003B0EAF">
        <w:trPr>
          <w:trHeight w:val="300"/>
        </w:trPr>
        <w:tc>
          <w:tcPr>
            <w:tcW w:w="2150" w:type="dxa"/>
            <w:tcBorders>
              <w:top w:val="single" w:sz="6" w:space="0" w:color="auto"/>
              <w:left w:val="single" w:sz="6" w:space="0" w:color="auto"/>
              <w:bottom w:val="single" w:sz="6" w:space="0" w:color="auto"/>
              <w:right w:val="single" w:sz="6" w:space="0" w:color="auto"/>
            </w:tcBorders>
            <w:hideMark/>
          </w:tcPr>
          <w:p w14:paraId="3C04E888" w14:textId="77777777" w:rsidR="005F4D87" w:rsidRPr="005F4D87" w:rsidRDefault="005F4D87" w:rsidP="28730CAD">
            <w:pPr>
              <w:pStyle w:val="VNLeip1kappale"/>
              <w:rPr>
                <w:rFonts w:ascii="Times New Roman" w:hAnsi="Times New Roman"/>
                <w:sz w:val="24"/>
                <w:szCs w:val="24"/>
              </w:rPr>
            </w:pPr>
            <w:r w:rsidRPr="28730CAD">
              <w:rPr>
                <w:rFonts w:cs="Arial"/>
              </w:rPr>
              <w:t>Vaihtoehtoisten teknologioiden käyttöönotto koulutuksen ja tiedotuksen keinoin </w:t>
            </w:r>
          </w:p>
        </w:tc>
        <w:tc>
          <w:tcPr>
            <w:tcW w:w="5544" w:type="dxa"/>
            <w:tcBorders>
              <w:top w:val="single" w:sz="6" w:space="0" w:color="auto"/>
              <w:left w:val="single" w:sz="6" w:space="0" w:color="auto"/>
              <w:bottom w:val="single" w:sz="6" w:space="0" w:color="auto"/>
              <w:right w:val="single" w:sz="6" w:space="0" w:color="auto"/>
            </w:tcBorders>
            <w:hideMark/>
          </w:tcPr>
          <w:p w14:paraId="2359881E" w14:textId="77777777" w:rsidR="005F4D87" w:rsidRPr="005F4D87" w:rsidRDefault="005F4D87" w:rsidP="28730CAD">
            <w:pPr>
              <w:pStyle w:val="VNLeip1kappale"/>
              <w:rPr>
                <w:rFonts w:ascii="Times New Roman" w:hAnsi="Times New Roman"/>
                <w:sz w:val="24"/>
                <w:szCs w:val="24"/>
              </w:rPr>
            </w:pPr>
            <w:r w:rsidRPr="28730CAD">
              <w:rPr>
                <w:rFonts w:cs="Arial"/>
              </w:rPr>
              <w:t>Suomen ympäristökeskus on tehostanut tiedotusta ja ohjausta vaihtoehtoisista aineista. </w:t>
            </w:r>
          </w:p>
        </w:tc>
      </w:tr>
    </w:tbl>
    <w:p w14:paraId="53E3FF3B" w14:textId="5D077739" w:rsidR="005F4D87" w:rsidRPr="005F4D87" w:rsidRDefault="005F4D87" w:rsidP="005F4D87">
      <w:pPr>
        <w:textAlignment w:val="baseline"/>
        <w:rPr>
          <w:rFonts w:ascii="Segoe UI" w:hAnsi="Segoe UI" w:cs="Segoe UI"/>
          <w:sz w:val="18"/>
          <w:szCs w:val="18"/>
        </w:rPr>
      </w:pPr>
    </w:p>
    <w:p w14:paraId="6CC36102" w14:textId="2EF764A8" w:rsidR="005F4D87" w:rsidRPr="003641B4" w:rsidRDefault="00F53958" w:rsidP="00564CA5">
      <w:pPr>
        <w:pStyle w:val="Otsikko2"/>
        <w:rPr>
          <w:lang w:val="fi-FI"/>
        </w:rPr>
      </w:pPr>
      <w:r w:rsidRPr="00873E36">
        <w:rPr>
          <w:lang w:val="fi-FI"/>
        </w:rPr>
        <w:t xml:space="preserve"> </w:t>
      </w:r>
      <w:bookmarkStart w:id="113" w:name="_Toc202260049"/>
      <w:r w:rsidR="35141821" w:rsidRPr="003641B4">
        <w:rPr>
          <w:lang w:val="fi-FI"/>
        </w:rPr>
        <w:t xml:space="preserve">5.7 </w:t>
      </w:r>
      <w:r w:rsidR="005F4D87" w:rsidRPr="003641B4">
        <w:rPr>
          <w:lang w:val="fi-FI"/>
        </w:rPr>
        <w:t>Teollisuus</w:t>
      </w:r>
      <w:bookmarkEnd w:id="113"/>
      <w:r w:rsidR="005F4D87" w:rsidRPr="003641B4">
        <w:rPr>
          <w:lang w:val="fi-FI"/>
        </w:rPr>
        <w:t> </w:t>
      </w:r>
    </w:p>
    <w:p w14:paraId="248D64BC" w14:textId="77777777" w:rsidR="00613624" w:rsidRDefault="00613624" w:rsidP="005F4D87">
      <w:pPr>
        <w:textAlignment w:val="baseline"/>
        <w:rPr>
          <w:rFonts w:ascii="Arial Narrow" w:hAnsi="Arial Narrow" w:cs="Segoe UI"/>
          <w:b/>
          <w:color w:val="365ABD" w:themeColor="accent3"/>
          <w:sz w:val="26"/>
          <w:szCs w:val="26"/>
        </w:rPr>
      </w:pPr>
    </w:p>
    <w:p w14:paraId="1E6D7D1E" w14:textId="733071DF" w:rsidR="005F4D87" w:rsidRPr="005F4D87" w:rsidRDefault="005F4D87" w:rsidP="005F4D87">
      <w:pPr>
        <w:textAlignment w:val="baseline"/>
        <w:rPr>
          <w:rFonts w:ascii="Segoe UI" w:hAnsi="Segoe UI" w:cs="Segoe UI"/>
          <w:b/>
          <w:bCs/>
          <w:color w:val="365ABD"/>
          <w:sz w:val="18"/>
          <w:szCs w:val="18"/>
        </w:rPr>
      </w:pPr>
      <w:r w:rsidRPr="610E9E51">
        <w:rPr>
          <w:rFonts w:ascii="Arial Narrow" w:hAnsi="Arial Narrow" w:cs="Segoe UI"/>
          <w:b/>
          <w:color w:val="365ABD" w:themeColor="accent3"/>
          <w:sz w:val="26"/>
          <w:szCs w:val="26"/>
        </w:rPr>
        <w:t>Päästökehitys </w:t>
      </w:r>
    </w:p>
    <w:p w14:paraId="6965B73F" w14:textId="01B86532" w:rsidR="005F4D87" w:rsidRPr="005F4D87" w:rsidRDefault="005F4D87" w:rsidP="629A7514">
      <w:pPr>
        <w:pStyle w:val="VNLeip1kappale"/>
        <w:rPr>
          <w:rFonts w:ascii="Segoe UI" w:hAnsi="Segoe UI" w:cs="Segoe UI"/>
          <w:sz w:val="18"/>
          <w:szCs w:val="18"/>
        </w:rPr>
      </w:pPr>
      <w:r>
        <w:t xml:space="preserve">Teollisuudessa syntyy </w:t>
      </w:r>
      <w:proofErr w:type="gramStart"/>
      <w:r>
        <w:t>kasvihuonekaasupäästöjä sekä energiankäytöstä</w:t>
      </w:r>
      <w:proofErr w:type="gramEnd"/>
      <w:r>
        <w:t xml:space="preserve"> että teollisuusprosesseista. Teollisuuden energiaperäiset päästöt ja prosessipäästöt kuuluvat molemmat valtaosin päästökaupan piiriin. Päästökauppajärjestelmään sisältyvät tietyn kapasiteettikynnyksen ylittävät voimalaitokset ja muut polttolaitokset, öljynjalostamot, koksaamot, valimot ja terästehtaat sekä sementti-, lasi-, kalkki-, tiili-, keramiikka-, massa-, paperi- ja kartonkiteollisuus. Päästökaupan kattavuus laajeni vuonna 2013, kun järjestelmään siirtyi muun muassa tiettyjen petrokemikaalien tuotannon päästöistä peräisin oleva hiilidioksidi ja typpihapon tuotannosta peräisin oleva dityppioksidi. Teollisuuden työkoneiden päästöt kuuluvat taakanjakosektorille ja ne käsitellään luvussa 5.4.4 muiden työkonepäästöjen kanssa.</w:t>
      </w:r>
      <w:r w:rsidRPr="00FB64F7">
        <w:rPr>
          <w:color w:val="CC3595"/>
        </w:rPr>
        <w:t xml:space="preserve"> </w:t>
      </w:r>
      <w:r w:rsidRPr="000459A1">
        <w:t>Teollisuuden F-kaasujen käytöstä aiheutuvat päästöt käsitellään luvussa 5.</w:t>
      </w:r>
      <w:r w:rsidR="00FB64F7">
        <w:t>3</w:t>
      </w:r>
      <w:r w:rsidRPr="000459A1">
        <w:t>.</w:t>
      </w:r>
      <w:r w:rsidR="18263E3F" w:rsidRPr="000459A1">
        <w:t>6</w:t>
      </w:r>
      <w:r w:rsidRPr="00FB64F7">
        <w:rPr>
          <w:color w:val="CC3595"/>
        </w:rPr>
        <w:t>.</w:t>
      </w:r>
      <w:r>
        <w:t> </w:t>
      </w:r>
    </w:p>
    <w:p w14:paraId="7E33D36F" w14:textId="2608851A" w:rsidR="005F4D87" w:rsidRPr="005F4D87" w:rsidRDefault="005F4D87" w:rsidP="629A7514">
      <w:pPr>
        <w:pStyle w:val="VNLeip1kappale"/>
        <w:rPr>
          <w:rFonts w:ascii="Segoe UI" w:hAnsi="Segoe UI" w:cs="Segoe UI"/>
          <w:sz w:val="18"/>
          <w:szCs w:val="18"/>
        </w:rPr>
      </w:pPr>
      <w:r w:rsidRPr="005F4D87">
        <w:t xml:space="preserve">Teollisuuden </w:t>
      </w:r>
      <w:r w:rsidR="00D44EA9">
        <w:t>kokonais</w:t>
      </w:r>
      <w:r w:rsidR="00975729">
        <w:t>päästöistä</w:t>
      </w:r>
      <w:r w:rsidR="00D22835">
        <w:t xml:space="preserve"> </w:t>
      </w:r>
      <w:r w:rsidR="007A3D96">
        <w:t>(</w:t>
      </w:r>
      <w:r w:rsidRPr="005F4D87">
        <w:t>noin 7,9 Mt CO</w:t>
      </w:r>
      <w:r w:rsidRPr="005F4D87">
        <w:rPr>
          <w:sz w:val="17"/>
          <w:szCs w:val="17"/>
          <w:vertAlign w:val="subscript"/>
        </w:rPr>
        <w:t>2</w:t>
      </w:r>
      <w:r w:rsidRPr="005F4D87">
        <w:t xml:space="preserve"> </w:t>
      </w:r>
      <w:proofErr w:type="spellStart"/>
      <w:r w:rsidRPr="005F4D87">
        <w:t>ekv</w:t>
      </w:r>
      <w:proofErr w:type="spellEnd"/>
      <w:r w:rsidRPr="005F4D87">
        <w:t xml:space="preserve">. </w:t>
      </w:r>
      <w:r w:rsidR="007A3D96">
        <w:t>pl. F-kaasut)</w:t>
      </w:r>
      <w:r w:rsidRPr="005F4D87">
        <w:t xml:space="preserve"> vuonna 2023 taakanjakosektorille kuuluu noin 1,2 Mt CO</w:t>
      </w:r>
      <w:r w:rsidRPr="005F4D87">
        <w:rPr>
          <w:sz w:val="17"/>
          <w:szCs w:val="17"/>
          <w:vertAlign w:val="subscript"/>
        </w:rPr>
        <w:t>2</w:t>
      </w:r>
      <w:r w:rsidRPr="005F4D87">
        <w:t xml:space="preserve"> </w:t>
      </w:r>
      <w:proofErr w:type="spellStart"/>
      <w:r w:rsidRPr="005F4D87">
        <w:t>ekv</w:t>
      </w:r>
      <w:proofErr w:type="spellEnd"/>
      <w:r>
        <w:t>.</w:t>
      </w:r>
      <w:r w:rsidR="008F7680">
        <w:t>,</w:t>
      </w:r>
      <w:r>
        <w:t xml:space="preserve"> </w:t>
      </w:r>
      <w:r w:rsidRPr="005F4D87">
        <w:t xml:space="preserve">kun mukaan lasketaan myös teollisuutta palvelevien kattilalaitosten polttoaineperäiset päästöt, mutta ei työkoneiden eikä jätevoimalaitoksissa poltettujen jätteiden </w:t>
      </w:r>
      <w:r>
        <w:t>päästö</w:t>
      </w:r>
      <w:r w:rsidR="00364FAF">
        <w:t>jä</w:t>
      </w:r>
      <w:r>
        <w:t>.</w:t>
      </w:r>
      <w:r w:rsidRPr="005F4D87">
        <w:t xml:space="preserve"> Vuoden 2023 teollisuuden taakanjakosektorin päästöistä 0,8 Mt CO</w:t>
      </w:r>
      <w:r w:rsidRPr="005F4D87">
        <w:rPr>
          <w:sz w:val="17"/>
          <w:szCs w:val="17"/>
          <w:vertAlign w:val="subscript"/>
        </w:rPr>
        <w:t>2</w:t>
      </w:r>
      <w:r w:rsidRPr="005F4D87">
        <w:t xml:space="preserve"> </w:t>
      </w:r>
      <w:proofErr w:type="spellStart"/>
      <w:r w:rsidRPr="005F4D87">
        <w:t>ekv</w:t>
      </w:r>
      <w:proofErr w:type="spellEnd"/>
      <w:r w:rsidRPr="005F4D87">
        <w:t>. tulee polttoainekäytöstä ja 0,4 Mt CO</w:t>
      </w:r>
      <w:r w:rsidRPr="005F4D87">
        <w:rPr>
          <w:sz w:val="17"/>
          <w:szCs w:val="17"/>
          <w:vertAlign w:val="subscript"/>
        </w:rPr>
        <w:t>2</w:t>
      </w:r>
      <w:r w:rsidRPr="005F4D87">
        <w:t>ekv. teollisuusprosesseista. Suurin osa prosessipäästöistä on peräisin kemikaalien ja kemiallisten tuotteiden valmistuksesta. Taakanjakosektorille laskettavista teollisuuden energiaperäisistä päästöistä vajaa viidennes on päästökauppalaitosten N</w:t>
      </w:r>
      <w:r w:rsidRPr="005F4D87">
        <w:rPr>
          <w:sz w:val="17"/>
          <w:szCs w:val="17"/>
          <w:vertAlign w:val="subscript"/>
        </w:rPr>
        <w:t>2</w:t>
      </w:r>
      <w:r w:rsidRPr="005F4D87">
        <w:t>O- ja CH</w:t>
      </w:r>
      <w:r w:rsidRPr="005F4D87">
        <w:rPr>
          <w:sz w:val="17"/>
          <w:szCs w:val="17"/>
          <w:vertAlign w:val="subscript"/>
        </w:rPr>
        <w:t>4</w:t>
      </w:r>
      <w:r w:rsidRPr="005F4D87">
        <w:t xml:space="preserve">-päästöjä, jotka tulevat pääosin fossiilisten ja puupolttoaineiden poltosta </w:t>
      </w:r>
      <w:proofErr w:type="spellStart"/>
      <w:r w:rsidRPr="005F4D87">
        <w:t>leijupetikattiloissa</w:t>
      </w:r>
      <w:proofErr w:type="spellEnd"/>
      <w:r w:rsidRPr="005F4D87">
        <w:t>. </w:t>
      </w:r>
    </w:p>
    <w:p w14:paraId="25434A94" w14:textId="2CBA8746" w:rsidR="005F4D87" w:rsidRDefault="005F4D87" w:rsidP="629A7514">
      <w:pPr>
        <w:pStyle w:val="VNLeip1kappale"/>
      </w:pPr>
      <w:r w:rsidRPr="005F4D87">
        <w:t>Teollisuuden kaikista polttoainekäytön päästöistä yli 80 % ja prosessipäästöistä yli 90 % kuuluvat päästökaupan piiriin. Yhteensä teollisuuden päästöistä vain 13–14 % syntyy taakanjakosektorilla. Osuus on hieman kasvanut vuosien varrella koska teollisuuden päästöt päästökauppasektorilla ovat alentuneet, toisin kuin taakanjakosektorilla, jossa ne ovat pysyneet hyvin samalla tasolla viimeisen kymmenen vuoden aikana (</w:t>
      </w:r>
      <w:r w:rsidR="00CE0AE0">
        <w:fldChar w:fldCharType="begin"/>
      </w:r>
      <w:r w:rsidR="00CE0AE0">
        <w:instrText xml:space="preserve"> REF _Ref201651391 \h </w:instrText>
      </w:r>
      <w:r w:rsidR="00CE0AE0">
        <w:fldChar w:fldCharType="separate"/>
      </w:r>
      <w:r w:rsidR="00CE0AE0">
        <w:t xml:space="preserve">Kuvio </w:t>
      </w:r>
      <w:r w:rsidR="00CE0AE0">
        <w:rPr>
          <w:noProof/>
        </w:rPr>
        <w:t>20</w:t>
      </w:r>
      <w:r w:rsidR="00CE0AE0">
        <w:fldChar w:fldCharType="end"/>
      </w:r>
      <w:r w:rsidRPr="005F4D87">
        <w:t>). </w:t>
      </w:r>
    </w:p>
    <w:p w14:paraId="559C9C31" w14:textId="639C0C06" w:rsidR="00131D0D" w:rsidRPr="00131D0D" w:rsidRDefault="00CE0AE0" w:rsidP="00CE0AE0">
      <w:pPr>
        <w:pStyle w:val="Kuvaotsikko"/>
        <w:rPr>
          <w:rFonts w:cs="Myriad Pro"/>
        </w:rPr>
      </w:pPr>
      <w:bookmarkStart w:id="114" w:name="_Ref201651391"/>
      <w:r>
        <w:t>Kuvio</w:t>
      </w:r>
      <w:r w:rsidR="00327A3A">
        <w:t xml:space="preserve"> </w:t>
      </w:r>
      <w:r>
        <w:fldChar w:fldCharType="begin"/>
      </w:r>
      <w:r>
        <w:instrText xml:space="preserve"> SEQ Kuvio \* ARABIC </w:instrText>
      </w:r>
      <w:r>
        <w:fldChar w:fldCharType="separate"/>
      </w:r>
      <w:r>
        <w:rPr>
          <w:noProof/>
        </w:rPr>
        <w:t>20</w:t>
      </w:r>
      <w:r>
        <w:fldChar w:fldCharType="end"/>
      </w:r>
      <w:bookmarkEnd w:id="114"/>
      <w:r w:rsidR="00327A3A">
        <w:t>.</w:t>
      </w:r>
      <w:r w:rsidR="00131D0D" w:rsidRPr="00131D0D">
        <w:t xml:space="preserve">Teollisuuden taakanjakosektorin päästöt </w:t>
      </w:r>
      <w:proofErr w:type="gramStart"/>
      <w:r w:rsidR="00131D0D" w:rsidRPr="00131D0D">
        <w:t>2005-2023</w:t>
      </w:r>
      <w:proofErr w:type="gramEnd"/>
      <w:r w:rsidR="00131D0D" w:rsidRPr="00131D0D">
        <w:t xml:space="preserve">. Lähde: Tilastokeskus. </w:t>
      </w:r>
    </w:p>
    <w:p w14:paraId="31D1284A" w14:textId="77777777" w:rsidR="00131D0D" w:rsidRPr="005F4D87" w:rsidRDefault="00131D0D" w:rsidP="629A7514">
      <w:pPr>
        <w:pStyle w:val="VNLeip1kappale"/>
        <w:rPr>
          <w:rFonts w:ascii="Segoe UI" w:hAnsi="Segoe UI" w:cs="Segoe UI"/>
          <w:sz w:val="18"/>
          <w:szCs w:val="18"/>
        </w:rPr>
      </w:pPr>
    </w:p>
    <w:p w14:paraId="2190CFFB" w14:textId="6668360E" w:rsidR="005F4D87" w:rsidRPr="005F4D87" w:rsidRDefault="00131D0D" w:rsidP="005F4D87">
      <w:pPr>
        <w:textAlignment w:val="baseline"/>
        <w:rPr>
          <w:rFonts w:ascii="Segoe UI" w:hAnsi="Segoe UI" w:cs="Segoe UI"/>
          <w:sz w:val="18"/>
          <w:szCs w:val="18"/>
        </w:rPr>
      </w:pPr>
      <w:r>
        <w:rPr>
          <w:noProof/>
        </w:rPr>
        <w:drawing>
          <wp:inline distT="0" distB="0" distL="0" distR="0" wp14:anchorId="46EEB75D" wp14:editId="4B7FE416">
            <wp:extent cx="4575175" cy="2743200"/>
            <wp:effectExtent l="0" t="0" r="0" b="0"/>
            <wp:docPr id="1111413533" name="Kaavio 1">
              <a:extLst xmlns:a="http://schemas.openxmlformats.org/drawingml/2006/main">
                <a:ext uri="{FF2B5EF4-FFF2-40B4-BE49-F238E27FC236}">
                  <a16:creationId xmlns:a16="http://schemas.microsoft.com/office/drawing/2014/main" id="{7EDCE8F5-9A88-6908-7A9D-D466B286C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5F4D87" w:rsidRPr="005F4D87">
        <w:rPr>
          <w:rFonts w:cs="Arial"/>
          <w:sz w:val="22"/>
          <w:szCs w:val="22"/>
        </w:rPr>
        <w:t> </w:t>
      </w:r>
    </w:p>
    <w:p w14:paraId="3B33F0BB" w14:textId="3D98EF1C" w:rsidR="0EBA5103" w:rsidRDefault="0EBA5103" w:rsidP="0EBA5103">
      <w:pPr>
        <w:rPr>
          <w:rFonts w:ascii="Arial Narrow" w:hAnsi="Arial Narrow" w:cs="Segoe UI"/>
          <w:b/>
          <w:bCs/>
          <w:color w:val="365ABD" w:themeColor="accent3"/>
          <w:sz w:val="26"/>
          <w:szCs w:val="26"/>
        </w:rPr>
      </w:pPr>
    </w:p>
    <w:p w14:paraId="1B50BE49" w14:textId="77777777" w:rsidR="005F4D87" w:rsidRPr="005F4D87" w:rsidRDefault="005F4D87" w:rsidP="005F4D87">
      <w:pPr>
        <w:textAlignment w:val="baseline"/>
        <w:rPr>
          <w:rFonts w:ascii="Segoe UI" w:hAnsi="Segoe UI" w:cs="Segoe UI"/>
          <w:b/>
          <w:bCs/>
          <w:color w:val="365ABD"/>
          <w:sz w:val="18"/>
          <w:szCs w:val="18"/>
        </w:rPr>
      </w:pPr>
      <w:r w:rsidRPr="610E9E51">
        <w:rPr>
          <w:rFonts w:ascii="Arial Narrow" w:hAnsi="Arial Narrow" w:cs="Segoe UI"/>
          <w:b/>
          <w:color w:val="365ABD" w:themeColor="accent3"/>
          <w:sz w:val="26"/>
          <w:szCs w:val="26"/>
        </w:rPr>
        <w:t>Nykytoimet </w:t>
      </w:r>
    </w:p>
    <w:p w14:paraId="03A0AB0C" w14:textId="3991A202" w:rsidR="005F4D87" w:rsidRPr="005F4D87" w:rsidRDefault="005F4D87" w:rsidP="00354883">
      <w:pPr>
        <w:pStyle w:val="VNLeip1kappale"/>
        <w:rPr>
          <w:rFonts w:ascii="Segoe UI" w:hAnsi="Segoe UI" w:cs="Segoe UI"/>
          <w:sz w:val="18"/>
          <w:szCs w:val="18"/>
        </w:rPr>
      </w:pPr>
      <w:r w:rsidRPr="005F4D87">
        <w:t>Päästökaupan ulkopuolisen teollisuuden päästöihin vaikutetaan energiaverotuksella, energiatehokkuustoimilla, energiatuilla ja kevyen polttoöljyn jakeluvelvoitteella.</w:t>
      </w:r>
      <w:r w:rsidRPr="00A1157F">
        <w:rPr>
          <w:color w:val="CC3595"/>
        </w:rPr>
        <w:t xml:space="preserve"> </w:t>
      </w:r>
      <w:r w:rsidRPr="00354883">
        <w:t xml:space="preserve">Energiaverotus </w:t>
      </w:r>
      <w:r w:rsidR="7D89BDED" w:rsidRPr="00354883">
        <w:t>kohdistuu liikenne- ja lämmityspolttoaineisiin sekä sähköön. Biopolttoaineista maksetaan alempaa ene</w:t>
      </w:r>
      <w:r w:rsidR="354FFA9B" w:rsidRPr="00354883">
        <w:t>rgiaveroa. Polttoainevero koostuu energia- ja hiilidioksidikomponentista.</w:t>
      </w:r>
      <w:r w:rsidR="354FFA9B" w:rsidRPr="00A1157F">
        <w:rPr>
          <w:color w:val="CC3595"/>
        </w:rPr>
        <w:t xml:space="preserve"> </w:t>
      </w:r>
    </w:p>
    <w:p w14:paraId="45CEAB7F" w14:textId="2B437CAE" w:rsidR="005F4D87" w:rsidRPr="005F4D87" w:rsidRDefault="005F4D87" w:rsidP="00354883">
      <w:pPr>
        <w:pStyle w:val="VNLeip1kappale"/>
        <w:rPr>
          <w:rFonts w:ascii="Segoe UI" w:hAnsi="Segoe UI" w:cs="Segoe UI"/>
          <w:sz w:val="18"/>
          <w:szCs w:val="18"/>
        </w:rPr>
      </w:pPr>
      <w:r w:rsidRPr="005F4D87">
        <w:t>Energiavirasto hallinnoi ja ohjaa työ- ja elinkeinoministeriön hallinnonalalle kuuluvia energiatehokkuustoimia, joista keskeisimmät edistämistoimet ovat energiatehokkuussopimukset, energiakatselmukset, alueellinen energianeuvonta sekä ekologisen suunnittelun ja energiamerkintöjen tuoteryhmäkohtaisten asioiden valmistelu</w:t>
      </w:r>
      <w:r w:rsidR="00C34241">
        <w:t>.</w:t>
      </w:r>
      <w:r w:rsidRPr="005F4D87">
        <w:t> </w:t>
      </w:r>
    </w:p>
    <w:p w14:paraId="0B65B467" w14:textId="77777777" w:rsidR="002752FF" w:rsidRPr="002752FF" w:rsidRDefault="002752FF" w:rsidP="002752FF">
      <w:pPr>
        <w:pStyle w:val="VNLeip1kappale"/>
      </w:pPr>
      <w:r w:rsidRPr="002752FF">
        <w:t xml:space="preserve">Energiatehokkuuslaki (1429/2014) velvoittaa suuret yritykset tekemään yrityksen energiakatselmuksen neljän vuoden välein. Pienille ja keskisuurille yrityksille on kehitetty vapaaehtoinen energiakatselmustoiminta. Energiakatselmukset ovat erillisten ohjeiden mukaisesti toteutettuja ja raportoituja kokonaisvaltaisia energiankäytön ja energiansäästömahdollisuuksien kohdekartoituksia. Työ- ja elinkeinoministeriö tukee pienten ja keskisuurien yritysten sekä kuntien vapaaehtoista energiakatselmustoimintaa. Motiva Oy vastaa kaikesta tuettuihin katselmuksiin liittyvistä käytännön tehtävistä. </w:t>
      </w:r>
    </w:p>
    <w:p w14:paraId="57C68731" w14:textId="77777777" w:rsidR="002752FF" w:rsidRPr="002752FF" w:rsidRDefault="002752FF" w:rsidP="002752FF">
      <w:pPr>
        <w:pStyle w:val="VNLeip1kappale"/>
      </w:pPr>
      <w:r w:rsidRPr="002752FF">
        <w:t>Tuettujen energiakatselmusten vuotuisen päästövähennyksen arvioidaan olevan 0,14 Mt CO</w:t>
      </w:r>
      <w:r w:rsidRPr="002752FF">
        <w:rPr>
          <w:vertAlign w:val="subscript"/>
        </w:rPr>
        <w:t>2</w:t>
      </w:r>
      <w:r w:rsidRPr="002752FF">
        <w:t xml:space="preserve"> vuonna 2025 ja pienenevän ajan myötä ollen 0,06 Mt CO</w:t>
      </w:r>
      <w:r w:rsidRPr="002752FF">
        <w:rPr>
          <w:vertAlign w:val="subscript"/>
        </w:rPr>
        <w:t>2</w:t>
      </w:r>
      <w:r w:rsidRPr="002752FF">
        <w:t xml:space="preserve"> vuonna 2040. Päästövähennyksistä valtaosa syntyy päästökauppasektorilla, sillä suurin osa energiansäästöstä tulee sähkön ja lämmön kulutuksen pienenemisestä.</w:t>
      </w:r>
    </w:p>
    <w:p w14:paraId="763D5058" w14:textId="25C3E74A" w:rsidR="002752FF" w:rsidRPr="002752FF" w:rsidRDefault="002752FF" w:rsidP="002752FF">
      <w:pPr>
        <w:pStyle w:val="VNLeip1kappale"/>
      </w:pPr>
      <w:r w:rsidRPr="002752FF">
        <w:t>Energiatehokkuussopimukset ovat valtion ja toimialojen yhdessä valitsema tapa täyttää Suomelle asetetut kansainväliset energiatehokkuusvelvoitteet. Teollisuuden sopimustoiminnan piirissä oli vuoden 2023 lopussa 334 teollisuusyritystä ja niiden 827 toimipaikkaa. Teollisuusyritykset ovat tehostaneet vuosittaista energiankäyttöään 4386 yksittäisellä tehostamistoimenpiteellä yhteensä 9 </w:t>
      </w:r>
      <w:proofErr w:type="spellStart"/>
      <w:r w:rsidRPr="002752FF">
        <w:t>TWh</w:t>
      </w:r>
      <w:proofErr w:type="spellEnd"/>
      <w:r w:rsidRPr="002752FF">
        <w:t xml:space="preserve"> vuosina 2017</w:t>
      </w:r>
      <w:r w:rsidR="327D2D99">
        <w:t>–</w:t>
      </w:r>
      <w:r w:rsidRPr="002752FF">
        <w:t>2023. Energiansäästöä on syntynyt niin polttoaineiden käytössä kuin lämmön ja sähkön kulutuksessa. Päästövähennysvaikutuksesta vain marginaalinen osuus kohdistui taakanjakosektorille. Tämä johtuu siitä, että iso osa teollisuudesta kuuluu jo itsessään päästökaupan piiriin, kuten myös sähkön ja lämmön tuotanto, jota tehostamistoimet vähentävät.</w:t>
      </w:r>
    </w:p>
    <w:p w14:paraId="29402F3D" w14:textId="68495784" w:rsidR="002752FF" w:rsidRPr="002752FF" w:rsidRDefault="002752FF" w:rsidP="002752FF">
      <w:pPr>
        <w:pStyle w:val="VNLeip1kappale"/>
      </w:pPr>
      <w:r w:rsidRPr="002752FF">
        <w:t xml:space="preserve">Työ- ja elinkeinoministeriö ja innovaatiorahoituskeskus Business Finland voivat myöntää harkinnan perusteella tukea </w:t>
      </w:r>
      <w:r w:rsidRPr="002752FF">
        <w:rPr>
          <w:rFonts w:asciiTheme="minorHAnsi" w:hAnsiTheme="minorHAnsi"/>
        </w:rPr>
        <w:t xml:space="preserve">hankkeisiin, jotka edistävät uusiutuvan energian tuotantoa tai käyttöä, energiansäästöä tai energiatehokkuutta tai muutoin energiajärjestelmän muuttumista vähähiiliseksi. </w:t>
      </w:r>
      <w:r w:rsidRPr="002752FF">
        <w:t xml:space="preserve">Tuen keskeisenä tavoitteena on madaltaa etenkin uuteen teknologiaan liittyviä teknisiä ja taloudellisia riskejä. </w:t>
      </w:r>
      <w:r w:rsidRPr="002752FF">
        <w:rPr>
          <w:rFonts w:asciiTheme="minorHAnsi" w:hAnsiTheme="minorHAnsi"/>
        </w:rPr>
        <w:t xml:space="preserve">Uuden energiateknologian ja suurten demonstraatiohankkeiden investointitukea </w:t>
      </w:r>
      <w:r w:rsidRPr="002752FF">
        <w:t xml:space="preserve">on </w:t>
      </w:r>
      <w:r w:rsidRPr="002752FF">
        <w:rPr>
          <w:rFonts w:asciiTheme="minorHAnsi" w:hAnsiTheme="minorHAnsi"/>
        </w:rPr>
        <w:t>myön</w:t>
      </w:r>
      <w:r w:rsidRPr="002752FF">
        <w:t>netty</w:t>
      </w:r>
      <w:r w:rsidRPr="002752FF">
        <w:rPr>
          <w:rFonts w:asciiTheme="minorHAnsi" w:hAnsiTheme="minorHAnsi"/>
        </w:rPr>
        <w:t xml:space="preserve"> tulevaisuuden energiaratkaisuihin tähtääville yli 5 miljoonan euron hankkeille, joilla edistetään vuoden 2030 kansallisten ja EU-tavoitteiden saavuttamista. Hyväksyttäviltä investointikustannuksilta korkeintaan 5 miljoonan euron suuruisille hankkeille tuen myöntää Business Finland ja tätä suuremmille hankkeille työ- ja elinkeinoministeriö. Vuonna 2024 energiatukea myönnettiin yhteensä 101,8 miljoonaa euroa</w:t>
      </w:r>
      <w:r w:rsidRPr="002752FF">
        <w:t xml:space="preserve">, josta </w:t>
      </w:r>
      <w:r w:rsidRPr="002752FF">
        <w:rPr>
          <w:rFonts w:asciiTheme="minorHAnsi" w:hAnsiTheme="minorHAnsi"/>
        </w:rPr>
        <w:t xml:space="preserve">92,7 miljoonaa euroa kohdistui suuriin demonstraatiohankkeisiin. </w:t>
      </w:r>
      <w:r w:rsidR="0074308C" w:rsidRPr="0074308C">
        <w:rPr>
          <w:rFonts w:asciiTheme="minorHAnsi" w:hAnsiTheme="minorHAnsi"/>
        </w:rPr>
        <w:t>Tukien päästövähennysvaikutusta taakanjakosektorilla ei ole arvioitu.</w:t>
      </w:r>
    </w:p>
    <w:p w14:paraId="1E6106F6" w14:textId="20BFCF1B" w:rsidR="002752FF" w:rsidRPr="002752FF" w:rsidRDefault="002752FF" w:rsidP="002752FF">
      <w:pPr>
        <w:pStyle w:val="VNLeip1kappale"/>
      </w:pPr>
      <w:r w:rsidRPr="002752FF">
        <w:t>Lisäksi voimassa on Suomen kestävän kasvun ohjelma eli Suomen suunnitelma EU:n elpymis- ja palautumisvälineen (</w:t>
      </w:r>
      <w:proofErr w:type="spellStart"/>
      <w:r w:rsidRPr="002752FF">
        <w:t>Recovery</w:t>
      </w:r>
      <w:proofErr w:type="spellEnd"/>
      <w:r w:rsidRPr="002752FF">
        <w:t xml:space="preserve"> and </w:t>
      </w:r>
      <w:proofErr w:type="spellStart"/>
      <w:r w:rsidRPr="002752FF">
        <w:t>Resilience</w:t>
      </w:r>
      <w:proofErr w:type="spellEnd"/>
      <w:r w:rsidRPr="002752FF">
        <w:t xml:space="preserve"> </w:t>
      </w:r>
      <w:proofErr w:type="spellStart"/>
      <w:r w:rsidRPr="002752FF">
        <w:t>Facility</w:t>
      </w:r>
      <w:proofErr w:type="spellEnd"/>
      <w:r w:rsidRPr="002752FF">
        <w:t xml:space="preserve">, RRF) rahoituksen käytöstä. Suomi on ohjelmassa kohdentanut vihreään siirtymään kaiken kaikkiaan noin 695 miljoonaa euroa, joka sisältää mm. vihreää siirtymää tukevan </w:t>
      </w:r>
      <w:proofErr w:type="spellStart"/>
      <w:r w:rsidRPr="002752FF">
        <w:t>tki</w:t>
      </w:r>
      <w:proofErr w:type="spellEnd"/>
      <w:r w:rsidRPr="002752FF">
        <w:t>-toiminnan, energiajärjestelmän hankkeet sekä teollisuuden vähähiilisyys- ja kiertotaloushankkeet.</w:t>
      </w:r>
      <w:r w:rsidR="006A24C7">
        <w:t xml:space="preserve"> Arviota r</w:t>
      </w:r>
      <w:r w:rsidR="006A24C7" w:rsidRPr="006A24C7">
        <w:t>ahoitusvälineen aikaansaama</w:t>
      </w:r>
      <w:r w:rsidR="006A24C7">
        <w:t>sta</w:t>
      </w:r>
      <w:r w:rsidR="006A24C7" w:rsidRPr="006A24C7">
        <w:t xml:space="preserve"> päästövähenny</w:t>
      </w:r>
      <w:r w:rsidR="006A24C7">
        <w:t>kse</w:t>
      </w:r>
      <w:r w:rsidR="006A24C7" w:rsidRPr="006A24C7">
        <w:t>stä taakanjakosektorilla ei ole.</w:t>
      </w:r>
    </w:p>
    <w:p w14:paraId="0B54D001" w14:textId="08A2EDD0" w:rsidR="002752FF" w:rsidRPr="002752FF" w:rsidRDefault="002752FF" w:rsidP="002752FF">
      <w:pPr>
        <w:pStyle w:val="VNLeip1kappale"/>
      </w:pPr>
      <w:r w:rsidRPr="002752FF">
        <w:t xml:space="preserve">Laki biopolttoöljyn käytön edistämisestä edellyttää, että kevyen polttoöljyn jakelija toimittaa biopolttoöljyä kulutukseen tietyn osuuden verran. Vuonna 2025 osuuden tulee olla vähintään 7 % kasvaen prosenttiyksiköllä vuodessa vuoteen 2028 asti, josta lähtien velvoite on 10 %. Biopolttoöljyn jakeluvelvoite vähentää hieman teollisuuden päästöjä. Teollisuus käyttää energiatilastojen mukaan reilu 1 </w:t>
      </w:r>
      <w:proofErr w:type="spellStart"/>
      <w:r w:rsidRPr="002752FF">
        <w:t>TWh</w:t>
      </w:r>
      <w:proofErr w:type="spellEnd"/>
      <w:r w:rsidRPr="002752FF">
        <w:t xml:space="preserve"> kevyttä polttoöljyä vuodessa. Kun huomioidaan, että osa tästä käytetään päästökauppasektorilla ja että jakeluvelvoite ei koske valtuutetun varastopitäjän omaa käyttöä, 10 % jakeluvelvoite pienentäisi teollisuuden päästöjä taakanjakosektorilla suuruusluokalta 0,01</w:t>
      </w:r>
      <w:r w:rsidR="5B357144">
        <w:t>–</w:t>
      </w:r>
      <w:r w:rsidRPr="002752FF">
        <w:t>0,03 Mt CO</w:t>
      </w:r>
      <w:r w:rsidRPr="002752FF">
        <w:rPr>
          <w:vertAlign w:val="subscript"/>
        </w:rPr>
        <w:t>2</w:t>
      </w:r>
      <w:r w:rsidRPr="002752FF">
        <w:t xml:space="preserve">. </w:t>
      </w:r>
    </w:p>
    <w:p w14:paraId="2C79286C" w14:textId="243997E9" w:rsidR="005F4D87" w:rsidRPr="005F4D87" w:rsidRDefault="002752FF" w:rsidP="002752FF">
      <w:pPr>
        <w:pStyle w:val="VNLeip1kappale"/>
        <w:rPr>
          <w:rFonts w:ascii="Segoe UI" w:hAnsi="Segoe UI" w:cs="Segoe UI"/>
          <w:sz w:val="18"/>
          <w:szCs w:val="18"/>
        </w:rPr>
      </w:pPr>
      <w:r w:rsidRPr="002752FF">
        <w:t>Vuonna 2020 valmistuneet toimialojen vähähiilisyystiekartat päivitettiin vuosina 2023</w:t>
      </w:r>
      <w:r w:rsidR="2FBE4BDD">
        <w:t>–2024</w:t>
      </w:r>
      <w:r>
        <w:t>.</w:t>
      </w:r>
      <w:r w:rsidRPr="002752FF">
        <w:t xml:space="preserve"> Toimialojen laatimat tiekartat lisäävät toimialojen tietoisuutta päästövähennysten mahdollisuuksista ja niihin sitoutumista. Vähähiilisyystiekartat voivat siten edesauttaa myös taakanjakosektorin päästöjen vähentämisessä. Valtiolle tiekartat tarjoavat arvokkaita arvioita toimialojen kehityksestä, haasteista ja mahdollisuuksista</w:t>
      </w:r>
      <w:r w:rsidRPr="008531F0">
        <w:t>.</w:t>
      </w:r>
    </w:p>
    <w:p w14:paraId="3F10780C" w14:textId="12A56AB1" w:rsidR="005F4D87" w:rsidRPr="00873E36" w:rsidRDefault="5F991185" w:rsidP="0095611B">
      <w:pPr>
        <w:pStyle w:val="Otsikko2"/>
        <w:rPr>
          <w:lang w:val="fi-FI"/>
        </w:rPr>
      </w:pPr>
      <w:bookmarkStart w:id="115" w:name="_Toc202260050"/>
      <w:r>
        <w:rPr>
          <w:lang w:val="fi-FI"/>
        </w:rPr>
        <w:t xml:space="preserve">5.8 </w:t>
      </w:r>
      <w:r w:rsidR="005F4D87" w:rsidRPr="00873E36">
        <w:rPr>
          <w:lang w:val="fi-FI"/>
        </w:rPr>
        <w:t>Muut päästöt</w:t>
      </w:r>
      <w:bookmarkEnd w:id="115"/>
      <w:r w:rsidR="005F4D87" w:rsidRPr="00873E36">
        <w:rPr>
          <w:lang w:val="fi-FI"/>
        </w:rPr>
        <w:t> </w:t>
      </w:r>
    </w:p>
    <w:p w14:paraId="75DA42C4" w14:textId="77777777" w:rsidR="005F4D87" w:rsidRPr="005F4D87" w:rsidRDefault="005F4D87" w:rsidP="005F4D87">
      <w:pPr>
        <w:textAlignment w:val="baseline"/>
        <w:rPr>
          <w:rFonts w:ascii="Segoe UI" w:hAnsi="Segoe UI" w:cs="Segoe UI"/>
          <w:sz w:val="18"/>
          <w:szCs w:val="18"/>
        </w:rPr>
      </w:pPr>
      <w:r w:rsidRPr="37EC6314">
        <w:rPr>
          <w:rFonts w:cs="Arial"/>
          <w:color w:val="000000" w:themeColor="text1"/>
        </w:rPr>
        <w:t> </w:t>
      </w:r>
    </w:p>
    <w:p w14:paraId="5140544F" w14:textId="77777777" w:rsidR="005F4D87" w:rsidRPr="005F4D87" w:rsidRDefault="005F4D87" w:rsidP="4ADCF21A">
      <w:pPr>
        <w:pStyle w:val="VNLeip1kappale"/>
        <w:rPr>
          <w:rFonts w:ascii="Segoe UI" w:hAnsi="Segoe UI" w:cs="Segoe UI"/>
          <w:sz w:val="18"/>
          <w:szCs w:val="18"/>
        </w:rPr>
      </w:pPr>
      <w:r w:rsidRPr="005F4D87">
        <w:t>Taakanjakosektorille kuuluvia pienempiä päästöeriä syntyy edellä esitettyjen lisäksi päästökaupan ulkopuolisista pienistä voimaloista ja lämpökattiloista, päästökauppaan kuuluvien energialaitosten metaani- ja N2O-päästöistä, polttoaineen haihtumisesta, liuottimista ja muiden tuotteiden käytöstä, epäsuorista hiilidioksidipäästöistä sekä energiasektorin erittelemättömistä päästöistä. Lisäksi muihin päästöihin kuuluvat puolustusvoimien sekä kalastusalusten polttoaineiden käytön päästöt.  </w:t>
      </w:r>
    </w:p>
    <w:p w14:paraId="2BEF4553" w14:textId="1A2FAAA9" w:rsidR="005F4D87" w:rsidRPr="005F4D87" w:rsidRDefault="005F4D87" w:rsidP="4ADCF21A">
      <w:pPr>
        <w:pStyle w:val="VNLeip1kappale"/>
        <w:rPr>
          <w:rFonts w:ascii="Segoe UI" w:hAnsi="Segoe UI" w:cs="Segoe UI"/>
          <w:sz w:val="18"/>
          <w:szCs w:val="18"/>
        </w:rPr>
      </w:pPr>
      <w:r>
        <w:t>Vuonna 202</w:t>
      </w:r>
      <w:r w:rsidR="6A79DC88">
        <w:t>3</w:t>
      </w:r>
      <w:r w:rsidRPr="005F4D87">
        <w:t xml:space="preserve"> taakanjakosektorin muut päästöt olivat yhteensä n. 2 Mt CO</w:t>
      </w:r>
      <w:r w:rsidRPr="005F4D87">
        <w:rPr>
          <w:sz w:val="17"/>
          <w:szCs w:val="17"/>
          <w:vertAlign w:val="subscript"/>
        </w:rPr>
        <w:t>2</w:t>
      </w:r>
      <w:r w:rsidRPr="005F4D87">
        <w:t>-ekv. Tästä noin 0,7 Mt CO</w:t>
      </w:r>
      <w:r w:rsidRPr="005F4D87">
        <w:rPr>
          <w:sz w:val="17"/>
          <w:szCs w:val="17"/>
          <w:vertAlign w:val="subscript"/>
        </w:rPr>
        <w:t>2</w:t>
      </w:r>
      <w:r w:rsidRPr="005F4D87">
        <w:t>-ekv. oli erittelemättömän polttoainekäytön päästöjä, joista suurin osa oli kevyen ja raskaan polttoöljyn, nestekaasun sekä maakaasun tuntemattomia kulutuseriä. Käytännössä määrät koostuvat kokonaismyyntien ja tunnettujen kulutuserien erotuksesta. Alaluokkaan kuuluvat myös puolustusvoimien käyttämät polttoaineet, tilastokorjaukset sekä pienempiä päästölähteitä kuten helikopterit. Kasvihuonekaasuinventaarioraportin mukaan epävarmuus tämän alaluokan päästöjen suhteen on polttoaineesta riippuen ±10–50 prosenttia. </w:t>
      </w:r>
    </w:p>
    <w:p w14:paraId="154346D7" w14:textId="77777777" w:rsidR="005F4D87" w:rsidRPr="005F4D87" w:rsidRDefault="005F4D87" w:rsidP="4ADCF21A">
      <w:pPr>
        <w:pStyle w:val="VNLeip1kappale"/>
        <w:rPr>
          <w:rFonts w:ascii="Segoe UI" w:hAnsi="Segoe UI" w:cs="Segoe UI"/>
          <w:sz w:val="18"/>
          <w:szCs w:val="18"/>
        </w:rPr>
      </w:pPr>
      <w:r w:rsidRPr="005F4D87">
        <w:t>Pienten kauko- ja aluelämpöä tuottavien laitosten päästöt olivat vuonna 2023 noin 0,6 Mt CO</w:t>
      </w:r>
      <w:r w:rsidRPr="005F4D87">
        <w:rPr>
          <w:sz w:val="17"/>
          <w:szCs w:val="17"/>
          <w:vertAlign w:val="subscript"/>
        </w:rPr>
        <w:t>2</w:t>
      </w:r>
      <w:r w:rsidRPr="005F4D87">
        <w:t>-ekv., energiateollisuuden päästökauppalaitosten N</w:t>
      </w:r>
      <w:r w:rsidRPr="005F4D87">
        <w:rPr>
          <w:sz w:val="17"/>
          <w:szCs w:val="17"/>
          <w:vertAlign w:val="subscript"/>
        </w:rPr>
        <w:t>2</w:t>
      </w:r>
      <w:r w:rsidRPr="005F4D87">
        <w:t>O- ja CH</w:t>
      </w:r>
      <w:r w:rsidRPr="005F4D87">
        <w:rPr>
          <w:sz w:val="17"/>
          <w:szCs w:val="17"/>
          <w:vertAlign w:val="subscript"/>
        </w:rPr>
        <w:t>4</w:t>
      </w:r>
      <w:r w:rsidRPr="005F4D87">
        <w:t>-päästöt vajaa 0,3 Mt CO</w:t>
      </w:r>
      <w:r w:rsidRPr="005F4D87">
        <w:rPr>
          <w:sz w:val="17"/>
          <w:szCs w:val="17"/>
          <w:vertAlign w:val="subscript"/>
        </w:rPr>
        <w:t>2</w:t>
      </w:r>
      <w:r w:rsidRPr="005F4D87">
        <w:t>-ekv. ja liuottimien ja muiden tuotteiden käytön (muun muassa voiteluaineet, kynttilät ja dieselmoottoreissa käytettävä, typenoksideja neutraloiva urealiuos) päästöt noin 0,22 Mt CO</w:t>
      </w:r>
      <w:r w:rsidRPr="005F4D87">
        <w:rPr>
          <w:sz w:val="17"/>
          <w:szCs w:val="17"/>
          <w:vertAlign w:val="subscript"/>
        </w:rPr>
        <w:t>2</w:t>
      </w:r>
      <w:r w:rsidRPr="005F4D87">
        <w:t>-ekv.   </w:t>
      </w:r>
    </w:p>
    <w:p w14:paraId="510156BC" w14:textId="77777777" w:rsidR="005F4D87" w:rsidRPr="005F4D87" w:rsidRDefault="005F4D87" w:rsidP="4ADCF21A">
      <w:pPr>
        <w:pStyle w:val="VNLeip1kappale"/>
        <w:rPr>
          <w:rFonts w:ascii="Segoe UI" w:hAnsi="Segoe UI" w:cs="Segoe UI"/>
          <w:sz w:val="18"/>
          <w:szCs w:val="18"/>
        </w:rPr>
      </w:pPr>
      <w:r w:rsidRPr="005F4D87">
        <w:t>Polttoaineiden haihtumapäästöjä syntyy öljynjalostuksessa ja petrokemiassa sekä maakaasun käsittelyssä, siirrossa ja jakelussa. Haihtumapäästöt ovat yhteensä 0,1 Mt CO</w:t>
      </w:r>
      <w:r w:rsidRPr="005F4D87">
        <w:rPr>
          <w:sz w:val="17"/>
          <w:szCs w:val="17"/>
          <w:vertAlign w:val="subscript"/>
        </w:rPr>
        <w:t>2</w:t>
      </w:r>
      <w:r w:rsidRPr="005F4D87">
        <w:t>-ekv., josta 0,05 Mt CO</w:t>
      </w:r>
      <w:r w:rsidRPr="005F4D87">
        <w:rPr>
          <w:sz w:val="17"/>
          <w:szCs w:val="17"/>
          <w:vertAlign w:val="subscript"/>
        </w:rPr>
        <w:t>2</w:t>
      </w:r>
      <w:r w:rsidRPr="005F4D87">
        <w:t xml:space="preserve">-ekv syntyy taakanjakosektorilla. Epäsuorat hiilidioksidipäästöt syntyvät ilmakehässä teollisuusprosessien ja tuotteiden käytön sekä polttoaineiden haihtuman fossiilisista NMVOC- ja metaanipäästöistä. </w:t>
      </w:r>
      <w:r>
        <w:t>Epäsuorat</w:t>
      </w:r>
      <w:r w:rsidRPr="005F4D87">
        <w:t xml:space="preserve"> hiilidioksidipäästöt ovat laskeneet vuosien saatossa ja olivat vuonna 2023 enää 0,05 Mt CO</w:t>
      </w:r>
      <w:r w:rsidRPr="005F4D87">
        <w:rPr>
          <w:sz w:val="17"/>
          <w:szCs w:val="17"/>
          <w:vertAlign w:val="subscript"/>
        </w:rPr>
        <w:t>2</w:t>
      </w:r>
      <w:r w:rsidRPr="005F4D87">
        <w:t>-ekv. </w:t>
      </w:r>
    </w:p>
    <w:p w14:paraId="3B693FB7" w14:textId="77777777" w:rsidR="005F4D87" w:rsidRPr="005F4D87" w:rsidRDefault="005F4D87" w:rsidP="005F4D87">
      <w:pPr>
        <w:textAlignment w:val="baseline"/>
        <w:rPr>
          <w:rFonts w:ascii="Segoe UI" w:hAnsi="Segoe UI" w:cs="Segoe UI"/>
          <w:sz w:val="18"/>
          <w:szCs w:val="18"/>
        </w:rPr>
      </w:pPr>
      <w:r w:rsidRPr="005F4D87">
        <w:rPr>
          <w:rFonts w:cs="Arial"/>
          <w:sz w:val="22"/>
          <w:szCs w:val="22"/>
        </w:rPr>
        <w:t> </w:t>
      </w:r>
    </w:p>
    <w:p w14:paraId="4FBE2C04" w14:textId="77777777" w:rsidR="005F4D87" w:rsidRPr="005F4D87" w:rsidRDefault="005F4D87" w:rsidP="005F4D87">
      <w:pPr>
        <w:textAlignment w:val="baseline"/>
        <w:rPr>
          <w:rFonts w:ascii="Segoe UI" w:hAnsi="Segoe UI" w:cs="Segoe UI"/>
          <w:sz w:val="18"/>
          <w:szCs w:val="18"/>
        </w:rPr>
      </w:pPr>
      <w:r w:rsidRPr="005F4D87">
        <w:rPr>
          <w:rFonts w:cs="Arial"/>
          <w:sz w:val="22"/>
          <w:szCs w:val="22"/>
        </w:rPr>
        <w:t> </w:t>
      </w:r>
    </w:p>
    <w:p w14:paraId="4DAB7BCE" w14:textId="6CF21A69" w:rsidR="005F4D87" w:rsidRPr="005F4D87" w:rsidRDefault="0D6C9BBF" w:rsidP="5B2F5BD6">
      <w:pPr>
        <w:pStyle w:val="Otsikko1"/>
        <w:numPr>
          <w:ilvl w:val="0"/>
          <w:numId w:val="0"/>
        </w:numPr>
        <w:rPr>
          <w:color w:val="365ABD" w:themeColor="accent3"/>
        </w:rPr>
      </w:pPr>
      <w:bookmarkStart w:id="116" w:name="_Toc202260051"/>
      <w:r>
        <w:t xml:space="preserve">6. </w:t>
      </w:r>
      <w:r w:rsidR="005F4D87">
        <w:t>Toimenpideohjelma päästövähennysten saavuttamiseksi</w:t>
      </w:r>
      <w:bookmarkEnd w:id="116"/>
      <w:r w:rsidR="005F4D87">
        <w:t> </w:t>
      </w:r>
    </w:p>
    <w:p w14:paraId="46B96C52" w14:textId="6F85B849" w:rsidR="005F4D87" w:rsidRPr="00DD24C1" w:rsidRDefault="00F53958" w:rsidP="00600BC3">
      <w:pPr>
        <w:pStyle w:val="Otsikko2"/>
        <w:rPr>
          <w:lang w:val="fi-FI"/>
        </w:rPr>
      </w:pPr>
      <w:r w:rsidRPr="00DD24C1">
        <w:rPr>
          <w:lang w:val="fi-FI"/>
        </w:rPr>
        <w:t xml:space="preserve"> </w:t>
      </w:r>
      <w:bookmarkStart w:id="117" w:name="_Toc202260052"/>
      <w:r w:rsidR="4AC05D73" w:rsidRPr="00DD24C1">
        <w:rPr>
          <w:lang w:val="fi-FI"/>
        </w:rPr>
        <w:t>6.1</w:t>
      </w:r>
      <w:r w:rsidRPr="00DD24C1">
        <w:rPr>
          <w:lang w:val="fi-FI"/>
        </w:rPr>
        <w:t xml:space="preserve"> </w:t>
      </w:r>
      <w:r w:rsidR="005F4D87" w:rsidRPr="00DD24C1">
        <w:rPr>
          <w:lang w:val="fi-FI"/>
        </w:rPr>
        <w:t>Lisätoimien määrittelyn periaatteet</w:t>
      </w:r>
      <w:bookmarkEnd w:id="117"/>
      <w:r w:rsidR="005F4D87" w:rsidRPr="00DD24C1">
        <w:rPr>
          <w:lang w:val="fi-FI"/>
        </w:rPr>
        <w:t> </w:t>
      </w:r>
    </w:p>
    <w:p w14:paraId="0B160FB9" w14:textId="6EC9F181" w:rsidR="6E792ADB" w:rsidRDefault="6E792ADB" w:rsidP="0CDBE066">
      <w:pPr>
        <w:pStyle w:val="VNLeip1kappale"/>
        <w:rPr>
          <w:rFonts w:eastAsia="Arial" w:cs="Arial"/>
          <w:color w:val="D13438"/>
        </w:rPr>
      </w:pPr>
      <w:r w:rsidRPr="020583C9">
        <w:rPr>
          <w:rFonts w:eastAsia="Arial" w:cs="Arial"/>
          <w:color w:val="000000" w:themeColor="text1"/>
        </w:rPr>
        <w:t xml:space="preserve">Keskipitkän aikavälin ilmastosuunnitelman päätarkoituksena on määritellä keinot, joilla </w:t>
      </w:r>
      <w:r w:rsidR="00CF0C6A">
        <w:rPr>
          <w:rFonts w:eastAsia="Arial" w:cs="Arial"/>
          <w:color w:val="000000" w:themeColor="text1"/>
        </w:rPr>
        <w:t xml:space="preserve">vähennetään taakanjakosektorin päästöjä siten, että </w:t>
      </w:r>
      <w:r w:rsidRPr="020583C9">
        <w:rPr>
          <w:rFonts w:eastAsia="Arial" w:cs="Arial"/>
          <w:color w:val="000000" w:themeColor="text1"/>
        </w:rPr>
        <w:t xml:space="preserve">EU-lainsäädännössä ja kansallisessa ilmastolaissa asetetut </w:t>
      </w:r>
      <w:r w:rsidR="2B4667CC" w:rsidRPr="3F1F2771">
        <w:rPr>
          <w:rFonts w:eastAsia="Arial" w:cs="Arial"/>
          <w:color w:val="000000" w:themeColor="text1"/>
        </w:rPr>
        <w:t xml:space="preserve">tavoitteet voidaan saavuttaa. </w:t>
      </w:r>
      <w:r w:rsidR="2B4667CC" w:rsidRPr="63FF4E9C">
        <w:rPr>
          <w:rFonts w:eastAsia="Arial" w:cs="Arial"/>
          <w:color w:val="000000" w:themeColor="text1"/>
        </w:rPr>
        <w:t>Käytännössä kyse on vuosille 2030, 2035 ja 2040 as</w:t>
      </w:r>
      <w:r w:rsidR="1F6BA0EF" w:rsidRPr="63FF4E9C">
        <w:rPr>
          <w:rFonts w:eastAsia="Arial" w:cs="Arial"/>
          <w:color w:val="000000" w:themeColor="text1"/>
        </w:rPr>
        <w:t xml:space="preserve">etetuista tavoitteista. </w:t>
      </w:r>
      <w:r w:rsidRPr="139C3261">
        <w:rPr>
          <w:rFonts w:eastAsia="Arial" w:cs="Arial"/>
          <w:color w:val="000000" w:themeColor="text1"/>
        </w:rPr>
        <w:t xml:space="preserve"> </w:t>
      </w:r>
    </w:p>
    <w:p w14:paraId="368659F5" w14:textId="54C90C18" w:rsidR="6E792ADB" w:rsidRDefault="6E792ADB" w:rsidP="020583C9">
      <w:pPr>
        <w:pStyle w:val="VNLeip1kappale"/>
        <w:rPr>
          <w:rFonts w:eastAsia="Arial" w:cs="Arial"/>
          <w:color w:val="D13438"/>
        </w:rPr>
      </w:pPr>
      <w:r w:rsidRPr="020583C9">
        <w:rPr>
          <w:rFonts w:eastAsia="Arial" w:cs="Arial"/>
          <w:color w:val="000000" w:themeColor="text1"/>
        </w:rPr>
        <w:t xml:space="preserve">Uusilla toimilla tai lisätoimilla tarkoitetaan sellaisia toimia ja niiden aikaansaamia päästövähennyksiä, joita ei ole otettu huomioon luvussa 5 kuvatussa nykytoimiskenaariossa. Kyse on myös siitä, </w:t>
      </w:r>
      <w:r w:rsidR="00EB6F28">
        <w:rPr>
          <w:rFonts w:eastAsia="Arial" w:cs="Arial"/>
          <w:color w:val="000000" w:themeColor="text1"/>
        </w:rPr>
        <w:t>missä määrin</w:t>
      </w:r>
      <w:r w:rsidRPr="020583C9">
        <w:rPr>
          <w:rFonts w:eastAsia="Arial" w:cs="Arial"/>
          <w:color w:val="000000" w:themeColor="text1"/>
        </w:rPr>
        <w:t xml:space="preserve"> nyt käytössä olev</w:t>
      </w:r>
      <w:r w:rsidR="00102DE4">
        <w:rPr>
          <w:rFonts w:eastAsia="Arial" w:cs="Arial"/>
          <w:color w:val="000000" w:themeColor="text1"/>
        </w:rPr>
        <w:t>ien</w:t>
      </w:r>
      <w:r w:rsidRPr="020583C9">
        <w:rPr>
          <w:rFonts w:eastAsia="Arial" w:cs="Arial"/>
          <w:color w:val="000000" w:themeColor="text1"/>
        </w:rPr>
        <w:t xml:space="preserve"> toim</w:t>
      </w:r>
      <w:r w:rsidR="00102DE4">
        <w:rPr>
          <w:rFonts w:eastAsia="Arial" w:cs="Arial"/>
          <w:color w:val="000000" w:themeColor="text1"/>
        </w:rPr>
        <w:t>i</w:t>
      </w:r>
      <w:r w:rsidRPr="020583C9">
        <w:rPr>
          <w:rFonts w:eastAsia="Arial" w:cs="Arial"/>
          <w:color w:val="000000" w:themeColor="text1"/>
        </w:rPr>
        <w:t>e</w:t>
      </w:r>
      <w:r w:rsidR="00102DE4">
        <w:rPr>
          <w:rFonts w:eastAsia="Arial" w:cs="Arial"/>
          <w:color w:val="000000" w:themeColor="text1"/>
        </w:rPr>
        <w:t>n</w:t>
      </w:r>
      <w:r w:rsidRPr="020583C9">
        <w:rPr>
          <w:rFonts w:eastAsia="Arial" w:cs="Arial"/>
          <w:color w:val="000000" w:themeColor="text1"/>
        </w:rPr>
        <w:t xml:space="preserve"> </w:t>
      </w:r>
      <w:r w:rsidR="00F9769A">
        <w:rPr>
          <w:rFonts w:eastAsia="Arial" w:cs="Arial"/>
          <w:color w:val="000000" w:themeColor="text1"/>
        </w:rPr>
        <w:t xml:space="preserve">oletetaan </w:t>
      </w:r>
      <w:r w:rsidRPr="7609E62D">
        <w:rPr>
          <w:rFonts w:eastAsia="Arial" w:cs="Arial"/>
          <w:color w:val="000000" w:themeColor="text1"/>
        </w:rPr>
        <w:t>jatkuva</w:t>
      </w:r>
      <w:r w:rsidR="00F9769A" w:rsidRPr="7609E62D">
        <w:rPr>
          <w:rFonts w:eastAsia="Arial" w:cs="Arial"/>
          <w:color w:val="000000" w:themeColor="text1"/>
        </w:rPr>
        <w:t>n</w:t>
      </w:r>
      <w:r w:rsidRPr="020583C9">
        <w:rPr>
          <w:rFonts w:eastAsia="Arial" w:cs="Arial"/>
          <w:color w:val="000000" w:themeColor="text1"/>
        </w:rPr>
        <w:t xml:space="preserve"> tulevina vuosina. Päästövähennysten laskentaoletusten kannalta on sen vuoksi keskeistä, että tiedetään tarkkaan mitkä toimet sisältyvät nykytoimiskenaarioon. </w:t>
      </w:r>
    </w:p>
    <w:p w14:paraId="2E781DBC" w14:textId="48D6E752" w:rsidR="6E792ADB" w:rsidRDefault="6E792ADB" w:rsidP="020583C9">
      <w:pPr>
        <w:pStyle w:val="VNLeip1kappale"/>
        <w:rPr>
          <w:rFonts w:eastAsia="Arial" w:cs="Arial"/>
          <w:color w:val="000000" w:themeColor="text1"/>
        </w:rPr>
      </w:pPr>
      <w:proofErr w:type="spellStart"/>
      <w:r w:rsidRPr="020583C9">
        <w:rPr>
          <w:rFonts w:eastAsia="Arial" w:cs="Arial"/>
          <w:color w:val="000000" w:themeColor="text1"/>
        </w:rPr>
        <w:t>KAISUn</w:t>
      </w:r>
      <w:proofErr w:type="spellEnd"/>
      <w:r w:rsidRPr="020583C9">
        <w:rPr>
          <w:rFonts w:eastAsia="Arial" w:cs="Arial"/>
          <w:color w:val="000000" w:themeColor="text1"/>
        </w:rPr>
        <w:t xml:space="preserve"> politiikkaskenaario muodostuu niistä toimista, jotka eivät ole mukana nykytoimiskenaariossa. Kaikista lisätoimista ei ole vielä </w:t>
      </w:r>
      <w:proofErr w:type="spellStart"/>
      <w:r w:rsidRPr="020583C9">
        <w:rPr>
          <w:rFonts w:eastAsia="Arial" w:cs="Arial"/>
          <w:color w:val="000000" w:themeColor="text1"/>
        </w:rPr>
        <w:t>KAISUn</w:t>
      </w:r>
      <w:proofErr w:type="spellEnd"/>
      <w:r w:rsidRPr="020583C9">
        <w:rPr>
          <w:rFonts w:eastAsia="Arial" w:cs="Arial"/>
          <w:color w:val="000000" w:themeColor="text1"/>
        </w:rPr>
        <w:t xml:space="preserve"> julkaisuajankohtana lopullisia päätöksiä siten, että niiden edellyttämä rahoitus olisi jo varmistettu.</w:t>
      </w:r>
      <w:r w:rsidR="00A96C17">
        <w:rPr>
          <w:rFonts w:eastAsia="Arial" w:cs="Arial"/>
          <w:color w:val="000000" w:themeColor="text1"/>
        </w:rPr>
        <w:t xml:space="preserve"> </w:t>
      </w:r>
      <w:r w:rsidR="00C00967">
        <w:rPr>
          <w:rFonts w:eastAsia="Arial" w:cs="Arial"/>
          <w:color w:val="000000" w:themeColor="text1"/>
        </w:rPr>
        <w:t>Taakanjakosektorin p</w:t>
      </w:r>
      <w:r w:rsidR="00A96C17">
        <w:rPr>
          <w:rFonts w:eastAsia="Arial" w:cs="Arial"/>
          <w:color w:val="000000" w:themeColor="text1"/>
        </w:rPr>
        <w:t>äästökehitykseen voi</w:t>
      </w:r>
      <w:r w:rsidR="00EA73B7">
        <w:rPr>
          <w:rFonts w:eastAsia="Arial" w:cs="Arial"/>
          <w:color w:val="000000" w:themeColor="text1"/>
        </w:rPr>
        <w:t>vat vielä vaikuttaa sellaiset päätökset</w:t>
      </w:r>
      <w:r w:rsidR="00C00967">
        <w:rPr>
          <w:rFonts w:eastAsia="Arial" w:cs="Arial"/>
          <w:color w:val="000000" w:themeColor="text1"/>
        </w:rPr>
        <w:t>, joita ei ole linjattu tässä vaiheessa.</w:t>
      </w:r>
      <w:r w:rsidRPr="020583C9">
        <w:rPr>
          <w:rFonts w:eastAsia="Arial" w:cs="Arial"/>
          <w:color w:val="000000" w:themeColor="text1"/>
        </w:rPr>
        <w:t xml:space="preserve"> </w:t>
      </w:r>
    </w:p>
    <w:p w14:paraId="7CA33434" w14:textId="7409F442" w:rsidR="6E792ADB" w:rsidRDefault="6E792ADB" w:rsidP="020583C9">
      <w:pPr>
        <w:pStyle w:val="VNLeip1kappale"/>
        <w:rPr>
          <w:rFonts w:eastAsia="Arial" w:cs="Arial"/>
          <w:color w:val="000000" w:themeColor="text1"/>
        </w:rPr>
      </w:pPr>
      <w:r w:rsidRPr="020583C9">
        <w:rPr>
          <w:rFonts w:eastAsia="Arial" w:cs="Arial"/>
          <w:color w:val="000000" w:themeColor="text1"/>
        </w:rPr>
        <w:t>Suunnitelman valmistelun lähtökohtana on ollut uusien politiikkatoimien määrittäminen kaikille sektoreille taakanjakoasetuksen alla. Sektorikohtainen lähestymistapa lisätoimien määrittelyssä tarkoittaa, että suunnitelman vastuuhenkilöt ovat yhdessä alan tutkijoiden ja sidosryhmien kanssa voineet perehtyä ajantasaiseen tietoon ja näkemyksiin. Suunnitelman valmistelun aikana järjestetyissä sidosryhmäkuulemisissa on myös keskusteltu mahdollisista lisätoimista</w:t>
      </w:r>
      <w:r w:rsidR="00FF5FDD">
        <w:rPr>
          <w:rFonts w:eastAsia="Arial" w:cs="Arial"/>
          <w:color w:val="000000" w:themeColor="text1"/>
        </w:rPr>
        <w:t xml:space="preserve">. </w:t>
      </w:r>
      <w:r w:rsidRPr="020583C9">
        <w:rPr>
          <w:rFonts w:eastAsia="Arial" w:cs="Arial"/>
          <w:color w:val="000000" w:themeColor="text1"/>
        </w:rPr>
        <w:t>Sektorikohtaisia päästövähennystavoitteita ei ole määritelty, lukuun ottamatta liikennesektoria, jolle on asetettu tavoitteeksi puolittaa päästöt vuoteen 2030 mennessä verrattuna vuoteen 2005.</w:t>
      </w:r>
    </w:p>
    <w:p w14:paraId="7F23960E" w14:textId="0BA3C3DD" w:rsidR="6E792ADB" w:rsidRDefault="6E792ADB" w:rsidP="020583C9">
      <w:pPr>
        <w:pStyle w:val="VNLeip1kappale"/>
        <w:rPr>
          <w:rFonts w:eastAsia="Arial" w:cs="Arial"/>
          <w:color w:val="000000" w:themeColor="text1"/>
        </w:rPr>
      </w:pPr>
      <w:r w:rsidRPr="020583C9">
        <w:rPr>
          <w:rFonts w:eastAsia="Arial" w:cs="Arial"/>
          <w:color w:val="000000" w:themeColor="text1"/>
        </w:rPr>
        <w:t xml:space="preserve">Sektoritoimien suunnittelussa on pyritty kiinnittämään huomiota toimien toteutumiseen liittyvään epävarmuuteen. Epävarmuus johtuu useasta seikasta, esim. toimen vaikuttavuudesta sekä sen toimeenpanon aikataulusta. Toimia valittaessa keskeisinä kriteereinä on ollut kustannustehokkuus ja hyväksyttävyys. Kustannustehokkuudella tarkoitetaan yleisesti ottaen aikaansaatua päästövähennystä suhteessa kustannukseen. Esim. maatalouden toimia arvioitaessa on syytä ottaa huomioon, että osa niiden päästövähennysvaikutuksesta voi toteutua myös maankäyttösektorin puolella. Hyväksyttävyydellä tarkoitetaan sosiaalisia vaikutuksia eri väestöryhmiin kuten tulonjakoon tai alueelliseen tasa-arvoon. Lisätoimien vaikuttavuutta on arvioitava erityisesti sekä vuoteen 2030 että 2035. </w:t>
      </w:r>
      <w:r w:rsidR="00FB4909">
        <w:rPr>
          <w:rFonts w:eastAsia="Arial" w:cs="Arial"/>
          <w:color w:val="000000" w:themeColor="text1"/>
        </w:rPr>
        <w:t xml:space="preserve">Lisätoimilla edistetään </w:t>
      </w:r>
      <w:r w:rsidRPr="020583C9">
        <w:rPr>
          <w:rFonts w:eastAsia="Arial" w:cs="Arial"/>
          <w:color w:val="000000" w:themeColor="text1"/>
        </w:rPr>
        <w:t>2030 päästövähennystavoitteen ja vuoden 2035 hiilineutraaliustavoitteen saavuttamista</w:t>
      </w:r>
      <w:r w:rsidR="00FB4909">
        <w:rPr>
          <w:rFonts w:eastAsia="Arial" w:cs="Arial"/>
          <w:color w:val="000000" w:themeColor="text1"/>
        </w:rPr>
        <w:t>.</w:t>
      </w:r>
      <w:r w:rsidRPr="020583C9">
        <w:rPr>
          <w:rFonts w:eastAsia="Arial" w:cs="Arial"/>
          <w:color w:val="000000" w:themeColor="text1"/>
        </w:rPr>
        <w:t xml:space="preserve"> Lisätoimia on syytä arvioida myös vuoden 2040 päästövähennystavoitteen kannalta.  </w:t>
      </w:r>
    </w:p>
    <w:p w14:paraId="31A2C45B" w14:textId="4BF1E774" w:rsidR="6E792ADB" w:rsidRDefault="6E792ADB" w:rsidP="020583C9">
      <w:pPr>
        <w:pStyle w:val="VNLeip1kappale"/>
        <w:rPr>
          <w:rFonts w:eastAsia="Arial" w:cs="Arial"/>
          <w:color w:val="000000" w:themeColor="text1"/>
        </w:rPr>
      </w:pPr>
      <w:r w:rsidRPr="020583C9">
        <w:rPr>
          <w:rFonts w:eastAsia="Arial" w:cs="Arial"/>
          <w:color w:val="000000" w:themeColor="text1"/>
        </w:rPr>
        <w:t>Lisätoimikokonaisuuden määrittelyn yhteydessä on syytä ottaa huomioon myös se, että maankäyttösektorin mahdollinen vaje voi siirtyä taakanjakosektorin katettavaksi. Tähän kysymykseen palataan luvussa 7.3</w:t>
      </w:r>
      <w:r w:rsidR="00F15C36">
        <w:rPr>
          <w:rFonts w:eastAsia="Arial" w:cs="Arial"/>
          <w:color w:val="000000" w:themeColor="text1"/>
        </w:rPr>
        <w:t>.</w:t>
      </w:r>
      <w:r w:rsidRPr="020583C9">
        <w:rPr>
          <w:rFonts w:eastAsia="Arial" w:cs="Arial"/>
          <w:color w:val="000000" w:themeColor="text1"/>
        </w:rPr>
        <w:t xml:space="preserve">  </w:t>
      </w:r>
    </w:p>
    <w:p w14:paraId="604D87BA" w14:textId="137ED3A7" w:rsidR="37EC6314" w:rsidRPr="003B2E1A" w:rsidRDefault="6E792ADB" w:rsidP="003B2E1A">
      <w:pPr>
        <w:pStyle w:val="VNLeip1kappale"/>
        <w:spacing w:before="0" w:after="0"/>
        <w:rPr>
          <w:rFonts w:eastAsia="Arial" w:cs="Arial"/>
          <w:color w:val="000000" w:themeColor="text1"/>
        </w:rPr>
      </w:pPr>
      <w:r w:rsidRPr="4ADCF21A">
        <w:rPr>
          <w:rFonts w:eastAsia="Arial" w:cs="Arial"/>
          <w:color w:val="000000" w:themeColor="text1"/>
        </w:rPr>
        <w:t>KEITO-</w:t>
      </w:r>
      <w:r w:rsidR="006A054C">
        <w:rPr>
          <w:rFonts w:eastAsia="Arial" w:cs="Arial"/>
          <w:color w:val="000000" w:themeColor="text1"/>
        </w:rPr>
        <w:t>työn</w:t>
      </w:r>
      <w:r w:rsidRPr="4ADCF21A">
        <w:rPr>
          <w:rFonts w:eastAsia="Arial" w:cs="Arial"/>
          <w:color w:val="000000" w:themeColor="text1"/>
        </w:rPr>
        <w:t xml:space="preserve"> politiikkaskenaario koottiin keskeisten ministeriöiden virkahenkilöiden esittämien politiikkatoimiehdotusten pohjalta. Ehdotukset politiikkatoimiksi koottiin ensisijaisesti niiden vaikuttavuuden perusteella. Tällä tavalla koottu toimiluettelo esitettiin arvioitavaksi ministerityöryhmälle, joka vahvisti lopullisen luettelon poliittisen harkinnan pohjalta. Lopulliseen KEITO-</w:t>
      </w:r>
      <w:r w:rsidR="008B57A6">
        <w:rPr>
          <w:rFonts w:eastAsia="Arial" w:cs="Arial"/>
          <w:color w:val="000000" w:themeColor="text1"/>
        </w:rPr>
        <w:t>työn</w:t>
      </w:r>
      <w:r w:rsidRPr="4ADCF21A">
        <w:rPr>
          <w:rFonts w:eastAsia="Arial" w:cs="Arial"/>
          <w:color w:val="000000" w:themeColor="text1"/>
        </w:rPr>
        <w:t xml:space="preserve"> mukaiseen toimiluetteloon vaikutti poliittisen hyväksyttävyyden lisäksi valtiontalouden asettamat reunaehdot. KAISU-suunnitelman mukainen toimiluettelo on kuitenkin suppeampi kuin KEITO-</w:t>
      </w:r>
      <w:r w:rsidR="008B57A6">
        <w:rPr>
          <w:rFonts w:eastAsia="Arial" w:cs="Arial"/>
          <w:color w:val="000000" w:themeColor="text1"/>
        </w:rPr>
        <w:t>työn</w:t>
      </w:r>
      <w:r w:rsidRPr="4ADCF21A">
        <w:rPr>
          <w:rFonts w:eastAsia="Arial" w:cs="Arial"/>
          <w:color w:val="000000" w:themeColor="text1"/>
        </w:rPr>
        <w:t xml:space="preserve"> politiikkaskenaario ja siihen sisältyvä toimien kokonaisuus. Ero johtuu suunnitelman valmisteluprosessissa tehdyistä valinnoista.</w:t>
      </w:r>
    </w:p>
    <w:p w14:paraId="2F1251EE" w14:textId="4B5BA8A7" w:rsidR="005F4D87" w:rsidRPr="00873E36" w:rsidRDefault="531AB85E" w:rsidP="0EBA5103">
      <w:pPr>
        <w:pStyle w:val="Otsikko2"/>
        <w:rPr>
          <w:lang w:val="fi-FI"/>
        </w:rPr>
      </w:pPr>
      <w:bookmarkStart w:id="118" w:name="_Toc202260053"/>
      <w:r w:rsidRPr="417CF715">
        <w:rPr>
          <w:lang w:val="fi-FI"/>
        </w:rPr>
        <w:t>6.2</w:t>
      </w:r>
      <w:r w:rsidR="00962776" w:rsidRPr="00592954">
        <w:rPr>
          <w:lang w:val="fi-FI"/>
        </w:rPr>
        <w:t xml:space="preserve"> </w:t>
      </w:r>
      <w:r w:rsidR="005F4D87" w:rsidRPr="00873E36">
        <w:rPr>
          <w:lang w:val="fi-FI"/>
        </w:rPr>
        <w:t>Sektorikohtaiset lisätoimet</w:t>
      </w:r>
      <w:bookmarkEnd w:id="118"/>
      <w:r w:rsidR="005F4D87" w:rsidRPr="00873E36">
        <w:rPr>
          <w:lang w:val="fi-FI"/>
        </w:rPr>
        <w:t> </w:t>
      </w:r>
    </w:p>
    <w:p w14:paraId="6CDDD68C" w14:textId="222C4C0A" w:rsidR="005F4D87" w:rsidRPr="005F4D87" w:rsidRDefault="7260B6D8" w:rsidP="417CF715">
      <w:pPr>
        <w:pStyle w:val="Otsikko3"/>
        <w:numPr>
          <w:ilvl w:val="0"/>
          <w:numId w:val="0"/>
        </w:numPr>
        <w:ind w:left="720"/>
      </w:pPr>
      <w:bookmarkStart w:id="119" w:name="_Toc202260054"/>
      <w:r w:rsidRPr="00873E36">
        <w:t>6.2</w:t>
      </w:r>
      <w:r w:rsidR="6925DBEF" w:rsidRPr="00873E36">
        <w:t>.1</w:t>
      </w:r>
      <w:r w:rsidR="272BAAA3" w:rsidRPr="00873E36">
        <w:t xml:space="preserve"> </w:t>
      </w:r>
      <w:r w:rsidR="005F4D87" w:rsidRPr="00873E36">
        <w:t>Liikenne</w:t>
      </w:r>
      <w:bookmarkEnd w:id="119"/>
      <w:r w:rsidR="005F4D87">
        <w:t> </w:t>
      </w:r>
    </w:p>
    <w:p w14:paraId="157CB6D1" w14:textId="4F56F659" w:rsidR="005F4D87" w:rsidRPr="005F4D87" w:rsidRDefault="005F4D87" w:rsidP="00600BC3">
      <w:pPr>
        <w:pStyle w:val="VNLeip1kappale"/>
        <w:rPr>
          <w:rFonts w:ascii="Segoe UI" w:hAnsi="Segoe UI" w:cs="Segoe UI"/>
          <w:sz w:val="18"/>
          <w:szCs w:val="18"/>
        </w:rPr>
      </w:pPr>
      <w:r w:rsidRPr="005F4D87">
        <w:t xml:space="preserve">Merkittävä osuus liikenteen päästövähennystoimista, joilla tavoitellaan liikenteen päästöjen puolittumista vuoteen 2030 mennessä, sisältyy liikenteen perusennusteeseen (PEIKKO WEM-P). Ilman PMI </w:t>
      </w:r>
      <w:proofErr w:type="spellStart"/>
      <w:r w:rsidRPr="005F4D87">
        <w:t>Orpon</w:t>
      </w:r>
      <w:proofErr w:type="spellEnd"/>
      <w:r w:rsidRPr="005F4D87">
        <w:t xml:space="preserve"> hallitusohjelmassa määriteltyjä toimia, joilla on muutettu esimerkiksi jakeluvelvoitelakia, liikenne olisi perusennusteen mukaisesti saavuttamassa sille aiemmin asetetut tavoitteet eikä lisätoimia välttämättä </w:t>
      </w:r>
      <w:r w:rsidR="6660DA21">
        <w:t xml:space="preserve">enää vuoden 2030 osalta </w:t>
      </w:r>
      <w:r w:rsidRPr="005F4D87">
        <w:t xml:space="preserve">tarvittaisi. Ottaen huomioon sekä liikenteen kasvihuonekaasupäästöjen perusennuste </w:t>
      </w:r>
      <w:proofErr w:type="gramStart"/>
      <w:r w:rsidRPr="005F4D87">
        <w:t xml:space="preserve">että  </w:t>
      </w:r>
      <w:proofErr w:type="spellStart"/>
      <w:r w:rsidRPr="005F4D87">
        <w:t>Orpon</w:t>
      </w:r>
      <w:proofErr w:type="spellEnd"/>
      <w:proofErr w:type="gramEnd"/>
      <w:r w:rsidRPr="005F4D87">
        <w:t xml:space="preserve"> hallitusohjelmakirjausten toimeenpanon vaikutukset siihen, kotimaan liikenteen lisätoimenpiteiden tarve </w:t>
      </w:r>
      <w:r w:rsidR="26240ED5">
        <w:t xml:space="preserve">liikenteen päästöjen puolittamiseksi </w:t>
      </w:r>
      <w:r>
        <w:t xml:space="preserve">vuonna 2030 on noin </w:t>
      </w:r>
      <w:r w:rsidRPr="005F4D87">
        <w:t>0,</w:t>
      </w:r>
      <w:r w:rsidR="1DB08D9B" w:rsidRPr="002F2B0F">
        <w:t>32</w:t>
      </w:r>
      <w:r w:rsidR="2B261FEE">
        <w:t>–</w:t>
      </w:r>
      <w:r w:rsidRPr="005F4D87">
        <w:t>0,</w:t>
      </w:r>
      <w:r w:rsidR="2CC080C7">
        <w:t>9</w:t>
      </w:r>
      <w:r w:rsidR="1DB08D9B" w:rsidRPr="002F2B0F">
        <w:t>7</w:t>
      </w:r>
      <w:r w:rsidRPr="005F4D87">
        <w:t xml:space="preserve"> </w:t>
      </w:r>
      <w:r>
        <w:t>Mt. </w:t>
      </w:r>
      <w:r w:rsidR="64CC8B3F">
        <w:t>S</w:t>
      </w:r>
      <w:r w:rsidR="04D31C6B">
        <w:t xml:space="preserve">uuremmassa </w:t>
      </w:r>
      <w:r w:rsidR="049EA4FB">
        <w:t>arvio</w:t>
      </w:r>
      <w:r w:rsidR="04D31C6B">
        <w:t>ssa</w:t>
      </w:r>
      <w:r w:rsidR="7F40F8F1">
        <w:t xml:space="preserve"> (0,97 Mt)</w:t>
      </w:r>
      <w:r w:rsidR="049EA4FB">
        <w:t xml:space="preserve"> on mukana myös</w:t>
      </w:r>
      <w:r w:rsidR="3A8CE973">
        <w:t xml:space="preserve"> jakeluvelvoitteen</w:t>
      </w:r>
      <w:r w:rsidR="049EA4FB">
        <w:t xml:space="preserve"> joustomekanismin liikenteen päästöjä mahdollisesti kasvattava vaikutus</w:t>
      </w:r>
      <w:r w:rsidR="04D31C6B">
        <w:t xml:space="preserve"> (</w:t>
      </w:r>
      <w:r w:rsidR="31F17A7B">
        <w:t>ma</w:t>
      </w:r>
      <w:r w:rsidR="00475A59">
        <w:t>ksimissaan</w:t>
      </w:r>
      <w:r w:rsidR="31F17A7B">
        <w:t xml:space="preserve"> noin </w:t>
      </w:r>
      <w:r w:rsidR="04D31C6B">
        <w:t>0,5 Mt)</w:t>
      </w:r>
      <w:r w:rsidR="049EA4FB">
        <w:t xml:space="preserve">. </w:t>
      </w:r>
      <w:r w:rsidR="002D4C6F">
        <w:t>J</w:t>
      </w:r>
      <w:r w:rsidR="15970A8A">
        <w:t xml:space="preserve">oustomekanismilla ei </w:t>
      </w:r>
      <w:r w:rsidR="31F17A7B">
        <w:t>kuitenkaan pitäisi olla</w:t>
      </w:r>
      <w:r w:rsidR="15970A8A">
        <w:t xml:space="preserve"> vaikutusta t</w:t>
      </w:r>
      <w:r w:rsidR="36235085">
        <w:t>aakanjakosektorin velvoitteiden täyttymise</w:t>
      </w:r>
      <w:r w:rsidR="15970A8A">
        <w:t>e</w:t>
      </w:r>
      <w:r w:rsidR="36235085">
        <w:t>n</w:t>
      </w:r>
      <w:r w:rsidR="15970A8A">
        <w:t>,</w:t>
      </w:r>
      <w:r w:rsidR="002D4C6F">
        <w:t xml:space="preserve"> sillä </w:t>
      </w:r>
      <w:r w:rsidR="36506E59">
        <w:t>oletuksena on, että päästövähennykset toteutuvat taakanjakosektorilla</w:t>
      </w:r>
      <w:r w:rsidR="21E8F68E">
        <w:t>, vaikkakaan ei</w:t>
      </w:r>
      <w:r w:rsidRPr="005F4D87">
        <w:t xml:space="preserve"> liikenteessä</w:t>
      </w:r>
      <w:r w:rsidR="00B913F0">
        <w:t>.</w:t>
      </w:r>
      <w:r w:rsidR="04C59786">
        <w:t xml:space="preserve"> </w:t>
      </w:r>
      <w:r w:rsidR="00B913F0">
        <w:t>L</w:t>
      </w:r>
      <w:r w:rsidR="04C59786">
        <w:t>isätoimien tarve liikenteessä</w:t>
      </w:r>
      <w:r w:rsidR="00B913F0">
        <w:t xml:space="preserve"> </w:t>
      </w:r>
      <w:r w:rsidR="04C59786">
        <w:t xml:space="preserve">on </w:t>
      </w:r>
      <w:r w:rsidR="00813C29">
        <w:t>siten</w:t>
      </w:r>
      <w:r w:rsidR="04C59786">
        <w:t xml:space="preserve"> 0,32</w:t>
      </w:r>
      <w:r w:rsidR="3A28FA47">
        <w:t>–</w:t>
      </w:r>
      <w:r w:rsidR="04C59786">
        <w:t>0,47 Mt</w:t>
      </w:r>
      <w:r w:rsidR="36506E59">
        <w:t>.</w:t>
      </w:r>
    </w:p>
    <w:p w14:paraId="6C7E3070" w14:textId="1CAB902F" w:rsidR="005F4D87" w:rsidRPr="005F4D87" w:rsidRDefault="00455C1A" w:rsidP="00600BC3">
      <w:pPr>
        <w:pStyle w:val="VNLeip1kappale"/>
        <w:rPr>
          <w:rFonts w:ascii="Segoe UI" w:hAnsi="Segoe UI" w:cs="Segoe UI"/>
          <w:sz w:val="18"/>
          <w:szCs w:val="18"/>
        </w:rPr>
      </w:pPr>
      <w:r>
        <w:t xml:space="preserve">Liikenteen päästövähennysten osalta on </w:t>
      </w:r>
      <w:r w:rsidR="00AF3022">
        <w:t>huomioitava</w:t>
      </w:r>
      <w:r>
        <w:t xml:space="preserve">, että </w:t>
      </w:r>
      <w:r w:rsidR="00513220">
        <w:t xml:space="preserve">tavoite päästöjen puolittamisesta on viety </w:t>
      </w:r>
      <w:r w:rsidR="00686992">
        <w:t xml:space="preserve">osaksi Suomen elpymis- ja palautumissuunnitelmaa (RRP). </w:t>
      </w:r>
      <w:r w:rsidR="005F4D87" w:rsidRPr="005F4D87">
        <w:t>Toimet liikenteen päästöjen puolittamiseksi vuoteen 2030 mennessä on koottu valtioneuvoston periaatepäätökseen (05/2021) kotimaan liikenteen kasvihuonekaasupäästöjen vähentämisestä. Tämä nk. Fossiilittoman liikenteen tiekartta on yksi Suomen elpymis- ja palautumissuunnitelmaan kuuluvista uudistuksista, joiden toteuttamisesta raportoidaan EU:n RRF-rahoituksen maksatuspyynnöissä. Mikäli liikenteen päästöt eivät vuonna 2030 puolitu, on olemassa riski, että Euroopan komissio tulkitsee fossiilittoman liikenteen tiekartta -uudistuksen perutuksi. Jos uudistus katsottaisiin kokonaan perutuksi, voi siitä VM:n arvion mukaan seurata Suomelle jopa noin 80 M€ tulonmenetys RRF-rahoituksessa. </w:t>
      </w:r>
    </w:p>
    <w:p w14:paraId="40152196" w14:textId="263E9D0E" w:rsidR="005F4D87" w:rsidRPr="005F4D87" w:rsidRDefault="005F4D87" w:rsidP="00600BC3">
      <w:pPr>
        <w:pStyle w:val="VNLeip1kappale"/>
        <w:rPr>
          <w:rFonts w:ascii="Segoe UI" w:hAnsi="Segoe UI" w:cs="Segoe UI"/>
          <w:sz w:val="18"/>
          <w:szCs w:val="18"/>
        </w:rPr>
      </w:pPr>
      <w:r>
        <w:t>Alla käydään läpi vuosille 2025</w:t>
      </w:r>
      <w:r w:rsidR="2980091C">
        <w:t>–</w:t>
      </w:r>
      <w:r>
        <w:t xml:space="preserve">2030 </w:t>
      </w:r>
      <w:r w:rsidR="005E7EE3">
        <w:t>edistettävät</w:t>
      </w:r>
      <w:r>
        <w:t xml:space="preserve"> lisätoimet liikenteen päästöjen </w:t>
      </w:r>
      <w:r w:rsidR="009F3E04">
        <w:t>vähentä</w:t>
      </w:r>
      <w:r>
        <w:t>miseksi. Toimenpiteillä tavoitellaan autokannan uudistumista vähäpäästöisemmäksi, vaihtoehtoisten käyttövoimien yleistymistä ja fossiilisen polttoaineen käytön vähentymistä sekä kestävien kulkumuotojen osuuksien kasvua</w:t>
      </w:r>
      <w:r w:rsidR="001A55EC">
        <w:t>.</w:t>
      </w:r>
      <w:r>
        <w:t> </w:t>
      </w:r>
    </w:p>
    <w:p w14:paraId="05B65CB9" w14:textId="279F514D" w:rsidR="005F4D87" w:rsidRPr="005F4D87" w:rsidRDefault="005F4D87" w:rsidP="005F4D87">
      <w:pPr>
        <w:textAlignment w:val="baseline"/>
        <w:rPr>
          <w:rFonts w:ascii="Segoe UI" w:hAnsi="Segoe UI" w:cs="Segoe UI"/>
          <w:sz w:val="18"/>
          <w:szCs w:val="18"/>
        </w:rPr>
      </w:pPr>
      <w:r w:rsidRPr="005F4D87">
        <w:rPr>
          <w:rFonts w:cs="Arial"/>
          <w:b/>
          <w:bCs/>
          <w:sz w:val="22"/>
          <w:szCs w:val="22"/>
        </w:rPr>
        <w:t>Puhtaiden (sähkö-, vety- ja metaanikäyttöisten) kuorma-autojen hankintatuet </w:t>
      </w:r>
      <w:r w:rsidRPr="005F4D87">
        <w:rPr>
          <w:rFonts w:cs="Arial"/>
          <w:sz w:val="22"/>
          <w:szCs w:val="22"/>
        </w:rPr>
        <w:t> </w:t>
      </w:r>
    </w:p>
    <w:p w14:paraId="400FE7E5" w14:textId="54E8E51A" w:rsidR="005F4D87" w:rsidRPr="005F4D87" w:rsidRDefault="005F4D87" w:rsidP="00600BC3">
      <w:pPr>
        <w:pStyle w:val="VNLeip1kappale"/>
        <w:rPr>
          <w:rFonts w:ascii="Segoe UI" w:hAnsi="Segoe UI" w:cs="Segoe UI"/>
          <w:sz w:val="18"/>
          <w:szCs w:val="18"/>
        </w:rPr>
      </w:pPr>
      <w:r w:rsidRPr="005F4D87">
        <w:t xml:space="preserve">Suomessa on joulukuusta 2020 alkaen tuettu kaasukäyttöisten kuorma-autojen hankintoja ja vuoden 2022 alusta alkaen sähkökäyttöisten kuorma-autojen hankintoja. Vuoden 2023 alusta tukea on voinut saada myös vetykäyttöisen kuorma-auton hankintaan. Hankintatuille on tarvetta myös tulevina vuosina, sillä uusien sähkö-, vety- ja kaasukuorma-autojen hankintahinnat ylittävät yhä tavanomaisten dieselkuorma-autojen hinnat ja niiden osuus uusista ensirekisteröidyistä kuorma-autoista on varsin vaatimaton, noin </w:t>
      </w:r>
      <w:r w:rsidR="00C662C6">
        <w:t>7</w:t>
      </w:r>
      <w:r w:rsidRPr="005F4D87">
        <w:t xml:space="preserve"> %. Tämä on hyvin pieni osuus verrattuna esimerkiksi henkilöautoihin tai linja-autoihin, joissa vaihtoehtoisten käyttövoimien osuus Suomessa vuonna 2024 oli noin 50 %. Esimerkiksi Ruotsissa vaihtoehtoisten kuorma-autojen osuus uusista kuorma-autoista on noin 15 %. </w:t>
      </w:r>
    </w:p>
    <w:p w14:paraId="3D4008FE" w14:textId="1AE12AB2" w:rsidR="005F4D87" w:rsidRPr="005F4D87" w:rsidRDefault="005F4D87" w:rsidP="00600BC3">
      <w:pPr>
        <w:pStyle w:val="VNLeip1kappale"/>
        <w:rPr>
          <w:rFonts w:ascii="Segoe UI" w:hAnsi="Segoe UI" w:cs="Segoe UI"/>
          <w:sz w:val="18"/>
          <w:szCs w:val="18"/>
        </w:rPr>
      </w:pPr>
      <w:r w:rsidRPr="005F4D87">
        <w:t xml:space="preserve">Traficomin syksyllä 2024 valmistuneen arvion mukaan kuorma-autojen hankintatuilla voitaisiin </w:t>
      </w:r>
      <w:r w:rsidR="00B036CD" w:rsidRPr="005F4D87">
        <w:t>vuo</w:t>
      </w:r>
      <w:r w:rsidR="00B036CD">
        <w:t>nna 2030</w:t>
      </w:r>
      <w:r w:rsidRPr="005F4D87">
        <w:t xml:space="preserve"> saada aikaan noin </w:t>
      </w:r>
      <w:r w:rsidR="00C20295">
        <w:t>0,04</w:t>
      </w:r>
      <w:r w:rsidRPr="005F4D87">
        <w:t xml:space="preserve"> Mt päästövähennys, jos hankintatukiin käytettäisiin </w:t>
      </w:r>
      <w:r w:rsidR="00C20295">
        <w:t xml:space="preserve">yhteensä </w:t>
      </w:r>
      <w:r w:rsidRPr="005F4D87">
        <w:t>noin 20 M€</w:t>
      </w:r>
      <w:r w:rsidR="00C20295">
        <w:t xml:space="preserve"> vuosina 2025</w:t>
      </w:r>
      <w:r w:rsidR="057F6470">
        <w:t>–</w:t>
      </w:r>
      <w:r w:rsidR="00C20295">
        <w:t>2030</w:t>
      </w:r>
      <w:r w:rsidRPr="005F4D87">
        <w:t xml:space="preserve">. </w:t>
      </w:r>
    </w:p>
    <w:p w14:paraId="5CA5D914" w14:textId="485677FE" w:rsidR="005F4D87" w:rsidRPr="005F4D87" w:rsidRDefault="005F4D87" w:rsidP="00600BC3">
      <w:pPr>
        <w:pStyle w:val="VNLeip1kappale"/>
        <w:rPr>
          <w:rFonts w:ascii="Segoe UI" w:hAnsi="Segoe UI" w:cs="Segoe UI"/>
          <w:sz w:val="18"/>
          <w:szCs w:val="18"/>
        </w:rPr>
      </w:pPr>
      <w:r w:rsidRPr="005F4D87">
        <w:t xml:space="preserve">Kuorma-autojen hankintatukien kustannusvaikuttavuudeksi </w:t>
      </w:r>
      <w:r w:rsidR="00907449">
        <w:t>o</w:t>
      </w:r>
      <w:r w:rsidRPr="005F4D87">
        <w:t>n arvioi</w:t>
      </w:r>
      <w:r w:rsidR="00907449">
        <w:t>tu</w:t>
      </w:r>
      <w:r w:rsidRPr="005F4D87">
        <w:t xml:space="preserve"> (pelkillä valtiontalouden kustannuksilla) noin 125 €/tCO</w:t>
      </w:r>
      <w:r w:rsidRPr="005F4D87">
        <w:rPr>
          <w:sz w:val="17"/>
          <w:szCs w:val="17"/>
          <w:vertAlign w:val="subscript"/>
        </w:rPr>
        <w:t>2</w:t>
      </w:r>
      <w:r w:rsidRPr="005F4D87">
        <w:t>. Kokonaistaloudelliseksi kustannusvaikuttavuudeksi on ns. HEETRA-hankkeessa vuonna 2023 arvioitu -113 €/tCO</w:t>
      </w:r>
      <w:r w:rsidRPr="005F4D87">
        <w:rPr>
          <w:sz w:val="17"/>
          <w:szCs w:val="17"/>
          <w:vertAlign w:val="subscript"/>
        </w:rPr>
        <w:t>2</w:t>
      </w:r>
      <w:r w:rsidRPr="005F4D87">
        <w:t xml:space="preserve"> (sähkökuorma-autot) ja -246 €/tCO</w:t>
      </w:r>
      <w:r w:rsidRPr="005F4D87">
        <w:rPr>
          <w:sz w:val="17"/>
          <w:szCs w:val="17"/>
          <w:vertAlign w:val="subscript"/>
        </w:rPr>
        <w:t>2</w:t>
      </w:r>
      <w:r w:rsidRPr="005F4D87">
        <w:t xml:space="preserve"> (kaasukuorma-autot). Siirtyminen sähkö- tai kaasukäyttöisiin kuorma-autoihin tuo siis yhteiskunnalle kokonaistaloudellista säästöä pitemmällä aikavälillä. Kuljetusyritysten siirtyminen vaihtoehtoisiin käyttövoimiin pienentää myös valtiontalouden ammattidiesel-järjestelmään liittyviä kustannuksia tulevaisuudessa. </w:t>
      </w:r>
    </w:p>
    <w:p w14:paraId="645D6679" w14:textId="4286D72F" w:rsidR="005F4D87" w:rsidRPr="005F4D87" w:rsidRDefault="005F4D87" w:rsidP="005F4D87">
      <w:pPr>
        <w:textAlignment w:val="baseline"/>
        <w:rPr>
          <w:rFonts w:ascii="Segoe UI" w:hAnsi="Segoe UI" w:cs="Segoe UI"/>
          <w:sz w:val="18"/>
          <w:szCs w:val="18"/>
        </w:rPr>
      </w:pPr>
      <w:r w:rsidRPr="005F4D87">
        <w:rPr>
          <w:rFonts w:cs="Arial"/>
          <w:b/>
          <w:bCs/>
          <w:sz w:val="22"/>
          <w:szCs w:val="22"/>
        </w:rPr>
        <w:t>Raskaan kaluston hankintatuet mikroyrityksille (SCF-toimi)</w:t>
      </w:r>
      <w:r w:rsidRPr="005F4D87">
        <w:rPr>
          <w:rFonts w:cs="Arial"/>
          <w:sz w:val="22"/>
          <w:szCs w:val="22"/>
        </w:rPr>
        <w:t> </w:t>
      </w:r>
    </w:p>
    <w:p w14:paraId="6E312105" w14:textId="7BA432A5" w:rsidR="005F4D87" w:rsidRPr="005F4D87" w:rsidRDefault="005F4D87" w:rsidP="00B91FC4">
      <w:pPr>
        <w:pStyle w:val="VNLeip1kappale"/>
        <w:rPr>
          <w:rFonts w:ascii="Segoe UI" w:hAnsi="Segoe UI" w:cs="Segoe UI"/>
          <w:sz w:val="18"/>
          <w:szCs w:val="18"/>
        </w:rPr>
      </w:pPr>
      <w:r w:rsidRPr="005F4D87">
        <w:t xml:space="preserve">Mikroyritysten hankintatuki olisi uusi pienille kuljetusyrityksille (kuorma-autot ja linja-autot) suunnattu tuki, jota mahdollisesti voitaisiin rahoittaa EU:n sosiaalisen ilmastorahaston (SCF) kautta. Ilmastorahaston käyttöä koskevien sääntöjen mukaisesti tukea voitaisiin suunnata vain sähkö- tai vetykäyttöisen </w:t>
      </w:r>
      <w:r w:rsidR="00D41BEF">
        <w:t xml:space="preserve">ajoneuvon </w:t>
      </w:r>
      <w:r w:rsidRPr="005F4D87">
        <w:t>hankintaan. Mikroyritysten hankintatuen ajoneuvokohtainen enimmäismäärä olisi suurempi kuin muille yrityksille. Mikroyritysten hankintatuen kautta vähennettäisiin pienten kuljetusyritysten haavoittuvuutta päästökaupan aiheuttamalle hinnannousulle vuodesta 2027 eteenpäin. Sen kautta voitaisiin vähentää myös valtiolle aiheutuvia kustannuksia ammattidieseljärjestelmän kulujen pienentymisen kautta.   </w:t>
      </w:r>
    </w:p>
    <w:p w14:paraId="6DCCC0B0" w14:textId="6C94848C" w:rsidR="005F4D87" w:rsidRPr="005F4D87" w:rsidRDefault="005F4D87" w:rsidP="00B91FC4">
      <w:pPr>
        <w:pStyle w:val="VNLeip1kappale"/>
        <w:rPr>
          <w:rFonts w:ascii="Segoe UI" w:hAnsi="Segoe UI" w:cs="Segoe UI"/>
          <w:sz w:val="18"/>
          <w:szCs w:val="18"/>
        </w:rPr>
      </w:pPr>
      <w:r w:rsidRPr="005F4D87">
        <w:t xml:space="preserve">Traficomin syksyllä 2024 valmistuneen arvion mukaan mikroyritysten </w:t>
      </w:r>
      <w:r w:rsidR="00BE3496">
        <w:t>kuorma-autojen hankintoihin kohdentuvilla</w:t>
      </w:r>
      <w:r w:rsidRPr="005F4D87">
        <w:t xml:space="preserve"> hankintatuilla voitaisiin saada aikaan </w:t>
      </w:r>
      <w:r w:rsidR="001E5F25">
        <w:t xml:space="preserve">parhaimmillaan </w:t>
      </w:r>
      <w:r w:rsidRPr="005F4D87">
        <w:t xml:space="preserve">noin 0,03 Mt päästövähennys </w:t>
      </w:r>
      <w:r w:rsidR="001E5F25">
        <w:t>vuonna 2030</w:t>
      </w:r>
      <w:r w:rsidRPr="005F4D87">
        <w:t xml:space="preserve">, jos hankintatukiin käytettäisiin </w:t>
      </w:r>
      <w:r w:rsidR="006E07CD">
        <w:t>yhteensä</w:t>
      </w:r>
      <w:r w:rsidR="0015663B">
        <w:t xml:space="preserve"> </w:t>
      </w:r>
      <w:r w:rsidRPr="005F4D87">
        <w:t>8</w:t>
      </w:r>
      <w:r w:rsidR="283EB539">
        <w:t>–</w:t>
      </w:r>
      <w:r w:rsidRPr="005F4D87">
        <w:t>15 M</w:t>
      </w:r>
      <w:r w:rsidR="00444893">
        <w:t>€</w:t>
      </w:r>
      <w:r w:rsidR="006E07CD">
        <w:t xml:space="preserve"> vuosina 2025</w:t>
      </w:r>
      <w:r w:rsidR="72CE3E73">
        <w:t>–</w:t>
      </w:r>
      <w:r w:rsidR="006E07CD">
        <w:t>2030</w:t>
      </w:r>
      <w:r w:rsidR="00444893">
        <w:t>.</w:t>
      </w:r>
      <w:r w:rsidRPr="005F4D87">
        <w:t xml:space="preserve">  Linja-autojen hankintatuilla voitaisiin saada aikaan noin </w:t>
      </w:r>
      <w:r w:rsidR="00213E2A">
        <w:t>0,01</w:t>
      </w:r>
      <w:r w:rsidRPr="005F4D87">
        <w:t xml:space="preserve"> Mt päästövähennys vuo</w:t>
      </w:r>
      <w:r w:rsidR="0015663B">
        <w:t>nna</w:t>
      </w:r>
      <w:r w:rsidR="00E91D73">
        <w:t xml:space="preserve"> </w:t>
      </w:r>
      <w:r w:rsidR="0015663B">
        <w:t>2030</w:t>
      </w:r>
      <w:r w:rsidRPr="005F4D87">
        <w:t xml:space="preserve">, jos hankintatukiin käytettäisiin </w:t>
      </w:r>
      <w:r w:rsidR="00D82FA4">
        <w:t xml:space="preserve">yhteensä </w:t>
      </w:r>
      <w:r w:rsidRPr="005F4D87">
        <w:t>5</w:t>
      </w:r>
      <w:r w:rsidR="28068A81">
        <w:t>–10</w:t>
      </w:r>
      <w:r>
        <w:t xml:space="preserve"> M€</w:t>
      </w:r>
      <w:r w:rsidR="00D82FA4">
        <w:t xml:space="preserve"> vuosina</w:t>
      </w:r>
      <w:r w:rsidR="2D49AFAD">
        <w:t xml:space="preserve"> </w:t>
      </w:r>
      <w:r w:rsidR="321200C8">
        <w:t>2025–203</w:t>
      </w:r>
      <w:r w:rsidR="007C218E">
        <w:t>0</w:t>
      </w:r>
      <w:r>
        <w:t xml:space="preserve">. </w:t>
      </w:r>
    </w:p>
    <w:p w14:paraId="63091426" w14:textId="6B0DA078" w:rsidR="005F4D87" w:rsidRPr="005F4D87" w:rsidRDefault="005F4D87" w:rsidP="00B91FC4">
      <w:pPr>
        <w:pStyle w:val="VNLeip1kappale"/>
        <w:rPr>
          <w:rFonts w:ascii="Segoe UI" w:hAnsi="Segoe UI" w:cs="Segoe UI"/>
          <w:sz w:val="18"/>
          <w:szCs w:val="18"/>
        </w:rPr>
      </w:pPr>
      <w:r w:rsidRPr="005F4D87">
        <w:t>Mikroyritysten hankintatukien kustannusvaikuttavuudeksi voidaan kuorma-autojen arvioida (pelkillä valtiontalouden kustannuksilla) noin 188</w:t>
      </w:r>
      <w:r w:rsidR="43C0E654">
        <w:t>–</w:t>
      </w:r>
      <w:r w:rsidRPr="005F4D87">
        <w:t>400 €/tCO</w:t>
      </w:r>
      <w:r w:rsidRPr="005F4D87">
        <w:rPr>
          <w:sz w:val="17"/>
          <w:szCs w:val="17"/>
          <w:vertAlign w:val="subscript"/>
        </w:rPr>
        <w:t>2</w:t>
      </w:r>
      <w:r w:rsidRPr="005F4D87">
        <w:t xml:space="preserve"> ja linja-autojen osalta noin 200</w:t>
      </w:r>
      <w:r w:rsidR="44DFA753">
        <w:t>–</w:t>
      </w:r>
      <w:r w:rsidRPr="005F4D87">
        <w:t>250 €/CO</w:t>
      </w:r>
      <w:r w:rsidRPr="005F4D87">
        <w:rPr>
          <w:sz w:val="17"/>
          <w:szCs w:val="17"/>
          <w:vertAlign w:val="subscript"/>
        </w:rPr>
        <w:t>2</w:t>
      </w:r>
      <w:r w:rsidRPr="005F4D87">
        <w:t>t. Mikroyritysten hankintatuen kokonaistaloudellista kustannusvaikuttavuutta ei ole arvioitu, mutta voidaan olettaa, että se vastaa pääpiirteissään muille yrityksille suunnatun hankintatuen kustannusvaikuttavuutta (ks. arviointi edellä). </w:t>
      </w:r>
    </w:p>
    <w:p w14:paraId="6E56EB84" w14:textId="755A3C17" w:rsidR="005F4D87" w:rsidRPr="005F4D87" w:rsidRDefault="005F4D87" w:rsidP="005F4D87">
      <w:pPr>
        <w:textAlignment w:val="baseline"/>
        <w:rPr>
          <w:rFonts w:ascii="Segoe UI" w:hAnsi="Segoe UI" w:cs="Segoe UI"/>
          <w:sz w:val="18"/>
          <w:szCs w:val="18"/>
        </w:rPr>
      </w:pPr>
      <w:r w:rsidRPr="005F4D87">
        <w:rPr>
          <w:rFonts w:cs="Arial"/>
          <w:b/>
          <w:bCs/>
          <w:sz w:val="22"/>
          <w:szCs w:val="22"/>
        </w:rPr>
        <w:t>Romutuspalkkiokampanja </w:t>
      </w:r>
      <w:r w:rsidRPr="005F4D87">
        <w:rPr>
          <w:rFonts w:cs="Arial"/>
          <w:sz w:val="22"/>
          <w:szCs w:val="22"/>
        </w:rPr>
        <w:t> </w:t>
      </w:r>
    </w:p>
    <w:p w14:paraId="17960E82" w14:textId="7EA9305F" w:rsidR="005F4D87" w:rsidRDefault="005F4D87" w:rsidP="007D6C6C">
      <w:pPr>
        <w:pStyle w:val="VNLeip1kappale"/>
      </w:pPr>
      <w:r w:rsidRPr="005F4D87">
        <w:t xml:space="preserve">Suomessa on tähän mennessä toteutettu kolme erillistä romutuspalkkiokampanjaa. Romutuspalkkiokampanjoilla on mahdollista tukea uusien </w:t>
      </w:r>
      <w:r w:rsidR="00061893">
        <w:t xml:space="preserve">nolla- ja </w:t>
      </w:r>
      <w:r w:rsidRPr="005F4D87">
        <w:t>vähäpäästöisten autojen kauppaa. Vaikutuksen mittakaava riippuu tavasta, jolla kampanja toteutetaan. </w:t>
      </w:r>
    </w:p>
    <w:p w14:paraId="0AF6F9CE" w14:textId="4B09EEB0" w:rsidR="003E2862" w:rsidRPr="005F4D87" w:rsidRDefault="003E2862" w:rsidP="003E2862">
      <w:pPr>
        <w:pStyle w:val="VNLeip1kappale"/>
        <w:rPr>
          <w:rFonts w:ascii="Segoe UI" w:hAnsi="Segoe UI" w:cs="Segoe UI"/>
          <w:sz w:val="18"/>
          <w:szCs w:val="18"/>
        </w:rPr>
      </w:pPr>
      <w:r>
        <w:t>Traficomin kesällä 2025 tekemän arvion mukaan r</w:t>
      </w:r>
      <w:r w:rsidRPr="005F4D87">
        <w:t>omutuspalkkiokampanja</w:t>
      </w:r>
      <w:r>
        <w:t>lla, jolla tuettaisiin sekä sähkö- että muiden alle 140 g/km päästävien autojen hankintaa, voitaisiin saada aikaa</w:t>
      </w:r>
      <w:r w:rsidRPr="005F4D87">
        <w:t>n</w:t>
      </w:r>
      <w:r>
        <w:t xml:space="preserve"> noin</w:t>
      </w:r>
      <w:r w:rsidRPr="005F4D87">
        <w:t xml:space="preserve"> </w:t>
      </w:r>
      <w:r w:rsidR="00532042">
        <w:t>85</w:t>
      </w:r>
      <w:r w:rsidRPr="005F4D87">
        <w:t>00 tonnin hiilidioksidipäästövähennys yhden sellaisen vuoden aikana, jolloin palkkiolla hankit</w:t>
      </w:r>
      <w:r>
        <w:t>ut</w:t>
      </w:r>
      <w:r w:rsidRPr="005F4D87">
        <w:t xml:space="preserve"> kulkuneuvo</w:t>
      </w:r>
      <w:r>
        <w:t>t</w:t>
      </w:r>
      <w:r w:rsidRPr="005F4D87">
        <w:t xml:space="preserve"> </w:t>
      </w:r>
      <w:r>
        <w:t>ovat</w:t>
      </w:r>
      <w:r w:rsidRPr="005F4D87">
        <w:t xml:space="preserve"> käytössä. </w:t>
      </w:r>
    </w:p>
    <w:p w14:paraId="3FDA1792" w14:textId="3E052751" w:rsidR="003E2862" w:rsidRPr="005F4D87" w:rsidRDefault="4CEB2FA2" w:rsidP="003E2862">
      <w:pPr>
        <w:pStyle w:val="VNLeip1kappale"/>
        <w:rPr>
          <w:rFonts w:ascii="Segoe UI" w:hAnsi="Segoe UI" w:cs="Segoe UI"/>
          <w:sz w:val="18"/>
          <w:szCs w:val="18"/>
        </w:rPr>
      </w:pPr>
      <w:r>
        <w:t xml:space="preserve">Romutuspalkkiokampanjan </w:t>
      </w:r>
      <w:proofErr w:type="gramStart"/>
      <w:r>
        <w:t xml:space="preserve">kustannusvaikuttavuudeksi </w:t>
      </w:r>
      <w:r w:rsidR="7BE534CE">
        <w:t xml:space="preserve"> </w:t>
      </w:r>
      <w:r>
        <w:t>voidaan</w:t>
      </w:r>
      <w:proofErr w:type="gramEnd"/>
      <w:r>
        <w:t xml:space="preserve"> arvioida (pelkillä valtiontalouden kustannuksilla) noin </w:t>
      </w:r>
      <w:r w:rsidR="4DCCEF73">
        <w:t>1180</w:t>
      </w:r>
      <w:r>
        <w:t xml:space="preserve"> €/tCO</w:t>
      </w:r>
      <w:r w:rsidRPr="1DCEFD17">
        <w:rPr>
          <w:sz w:val="17"/>
          <w:szCs w:val="17"/>
          <w:vertAlign w:val="subscript"/>
        </w:rPr>
        <w:t>2</w:t>
      </w:r>
      <w:r>
        <w:t>. Romutuspalkkiokampanjan kokonaistaloudellista kustannusvaikuttavuutta ei ole arvioitu.  </w:t>
      </w:r>
    </w:p>
    <w:p w14:paraId="0694F62E" w14:textId="6CB7A18B" w:rsidR="005F4D87" w:rsidRPr="005F4D87" w:rsidRDefault="005F4D87" w:rsidP="005F4D87">
      <w:pPr>
        <w:textAlignment w:val="baseline"/>
        <w:rPr>
          <w:rFonts w:ascii="Segoe UI" w:hAnsi="Segoe UI" w:cs="Segoe UI"/>
          <w:sz w:val="18"/>
          <w:szCs w:val="18"/>
        </w:rPr>
      </w:pPr>
      <w:r w:rsidRPr="005F4D87">
        <w:rPr>
          <w:rFonts w:cs="Arial"/>
          <w:b/>
          <w:bCs/>
          <w:sz w:val="22"/>
          <w:szCs w:val="22"/>
        </w:rPr>
        <w:t>Romutuspalkkio pienituloisille (SCF-toimi)</w:t>
      </w:r>
      <w:r w:rsidRPr="005F4D87">
        <w:rPr>
          <w:rFonts w:cs="Arial"/>
          <w:sz w:val="22"/>
          <w:szCs w:val="22"/>
        </w:rPr>
        <w:t> </w:t>
      </w:r>
    </w:p>
    <w:p w14:paraId="1BB4FB36" w14:textId="73F6C78F" w:rsidR="005F4D87" w:rsidRDefault="005F4D87" w:rsidP="007D6C6C">
      <w:pPr>
        <w:pStyle w:val="VNLeip1kappale"/>
      </w:pPr>
      <w:r w:rsidRPr="005F4D87">
        <w:t>Tulosidonnainen romutuspalkkio olisi uusi, sosiaalisesta ilmastorahastosta mahdollisesti rahoitettava toimi. Tulosidonnaisella romutuspalkkiolla voisi vuosina 2027</w:t>
      </w:r>
      <w:r w:rsidR="09B3EBCE">
        <w:t>–2032</w:t>
      </w:r>
      <w:r w:rsidRPr="005F4D87">
        <w:t xml:space="preserve"> hankkia nollapäästöisen, uuden tai käytetyn auton romutettavan suurempipäästöisen auton tilalle</w:t>
      </w:r>
      <w:r w:rsidR="00FE6F32">
        <w:t>.</w:t>
      </w:r>
    </w:p>
    <w:p w14:paraId="5ABB7A00" w14:textId="0CF28020" w:rsidR="007E2904" w:rsidRPr="005F4D87" w:rsidRDefault="007E2904" w:rsidP="007E2904">
      <w:pPr>
        <w:pStyle w:val="VNLeip1kappale"/>
        <w:rPr>
          <w:rFonts w:ascii="Segoe UI" w:hAnsi="Segoe UI" w:cs="Segoe UI"/>
          <w:sz w:val="18"/>
          <w:szCs w:val="18"/>
        </w:rPr>
      </w:pPr>
      <w:r w:rsidRPr="005F4D87">
        <w:t>Traficomin maaliskuussa 2025 valmistuneen arvion mukaan tulosidonnaisilla romutuspalkkioilla voitaisiin vuo</w:t>
      </w:r>
      <w:r>
        <w:t xml:space="preserve">nna 2030 </w:t>
      </w:r>
      <w:r w:rsidRPr="005F4D87">
        <w:t xml:space="preserve">saada aikaan noin </w:t>
      </w:r>
      <w:r>
        <w:t xml:space="preserve">0,004 </w:t>
      </w:r>
      <w:r w:rsidRPr="005F4D87">
        <w:t xml:space="preserve">Mt päästövähennys, jos palkkioihin käytettäisiin 10 M€/vuosi. Traficomin arvioinnissa oli mukana myös mahdollisuus käyttää romutuspalkkio sähköpyörän tai joukkoliikenteen kausilipun hankintaan. </w:t>
      </w:r>
    </w:p>
    <w:p w14:paraId="26744AD5" w14:textId="2D9136BA" w:rsidR="00FE6F32" w:rsidRDefault="007E2904" w:rsidP="007E2904">
      <w:pPr>
        <w:pStyle w:val="VNLeip1kappale"/>
      </w:pPr>
      <w:r>
        <w:t xml:space="preserve">Tulosidonnaisen romutuspalkkiokampanjan kustannusvaikuttavuudeksi voidaan arvioida (pelkillä valtiontalouden kustannuksilla) noin </w:t>
      </w:r>
      <w:r w:rsidR="00CC7E4C">
        <w:t>2</w:t>
      </w:r>
      <w:r>
        <w:t>500 €/tCO</w:t>
      </w:r>
      <w:r w:rsidRPr="1BA72F8B">
        <w:rPr>
          <w:sz w:val="17"/>
          <w:szCs w:val="17"/>
          <w:vertAlign w:val="subscript"/>
        </w:rPr>
        <w:t>2</w:t>
      </w:r>
      <w:r>
        <w:t xml:space="preserve">. Romutuspalkkiokampanjan kokonaistaloudellista kustannusvaikuttavuutta ei ole arvioitu. Tulosidonnaisen romutuspalkkion kohdalla on kuitenkin hyvä muistaa, että kyseessä olisi </w:t>
      </w:r>
      <w:r w:rsidR="001309EF" w:rsidRPr="001309EF">
        <w:t xml:space="preserve">EU:n päästökauppatuloilla rahoitettavan </w:t>
      </w:r>
      <w:r>
        <w:t>sosiaalisen ilmastorahaston toimi, jonka pääasiallisena tarkoituksena olisi vähentää niiden pienituloisten kotitalouksien, jotka tarvitsevat autoa töissä käyntiin ja asiointiin, haavoittuvuutta päästökaupan aiheuttamalle hinnannousulle vuodesta 2027 eteenpäin.  </w:t>
      </w:r>
    </w:p>
    <w:p w14:paraId="2836F99C" w14:textId="58C75805" w:rsidR="005F4D87" w:rsidRPr="005F4D87" w:rsidRDefault="005F4D87" w:rsidP="005F4D87">
      <w:pPr>
        <w:textAlignment w:val="baseline"/>
        <w:rPr>
          <w:rFonts w:ascii="Segoe UI" w:hAnsi="Segoe UI" w:cs="Segoe UI"/>
          <w:sz w:val="18"/>
          <w:szCs w:val="18"/>
        </w:rPr>
      </w:pPr>
      <w:r w:rsidRPr="005F4D87">
        <w:rPr>
          <w:rFonts w:cs="Arial"/>
          <w:b/>
          <w:bCs/>
          <w:sz w:val="22"/>
          <w:szCs w:val="22"/>
        </w:rPr>
        <w:t>Konversiotuet </w:t>
      </w:r>
      <w:r w:rsidRPr="005F4D87">
        <w:rPr>
          <w:rFonts w:cs="Arial"/>
          <w:sz w:val="22"/>
          <w:szCs w:val="22"/>
        </w:rPr>
        <w:t> </w:t>
      </w:r>
    </w:p>
    <w:p w14:paraId="6012A22C" w14:textId="181C69AC" w:rsidR="005F4D87" w:rsidRPr="005F4D87" w:rsidRDefault="005F4D87" w:rsidP="007D6C6C">
      <w:pPr>
        <w:pStyle w:val="VNLeip1kappale"/>
        <w:rPr>
          <w:rFonts w:ascii="Segoe UI" w:hAnsi="Segoe UI" w:cs="Segoe UI"/>
          <w:sz w:val="18"/>
          <w:szCs w:val="18"/>
        </w:rPr>
      </w:pPr>
      <w:r w:rsidRPr="005F4D87">
        <w:t>Suomessa oli vuosina 2018</w:t>
      </w:r>
      <w:r w:rsidR="06ECC93A">
        <w:t>–2022</w:t>
      </w:r>
      <w:r w:rsidRPr="005F4D87">
        <w:t xml:space="preserve"> sekä vuonna 2024 käytössä ns. konversiotuet vanhan bensiiniauton muuttamiseksi etanoli- tai kaasukäyttöiseksi. Konversio- eli muuntotukien avulla voidaan helpottaa myös sellaisten ihmisten ja kotitalouksien, joilla ei ole mahdollisuutta tai halua hankkia uutta autoa, siirtymistä pois fossiilisista polttoaineista. </w:t>
      </w:r>
    </w:p>
    <w:p w14:paraId="45E45D48" w14:textId="21E42368" w:rsidR="005F4D87" w:rsidRPr="005F4D87" w:rsidRDefault="005F4D87" w:rsidP="007D6C6C">
      <w:pPr>
        <w:pStyle w:val="VNLeip1kappale"/>
        <w:rPr>
          <w:rFonts w:ascii="Segoe UI" w:hAnsi="Segoe UI" w:cs="Segoe UI"/>
          <w:sz w:val="18"/>
          <w:szCs w:val="18"/>
        </w:rPr>
      </w:pPr>
      <w:r w:rsidRPr="005F4D87">
        <w:t>Traficomissa keväällä 2024 valmistuneen selvityksen mukaan vuosina 2018</w:t>
      </w:r>
      <w:r w:rsidR="34985495">
        <w:t>–</w:t>
      </w:r>
      <w:r w:rsidRPr="005F4D87">
        <w:t>2022 myönnetyillä muuntotuilla arvioidaan saavutettavan yhteensä noin 0,037 Mt päästövähennys muunnettujen autojen jäljellä olevilta käyttövuosilta. </w:t>
      </w:r>
    </w:p>
    <w:p w14:paraId="64DB7130" w14:textId="60486A43" w:rsidR="005F4D87" w:rsidRDefault="005F4D87" w:rsidP="007D6C6C">
      <w:pPr>
        <w:pStyle w:val="VNLeip1kappale"/>
      </w:pPr>
      <w:r w:rsidRPr="005F4D87">
        <w:t>Konversiotukien kustannusvaikuttavuudeksi voidaan arvioida (pelkillä valtiontalouden kustannuksilla) noin 48 €/tCO</w:t>
      </w:r>
      <w:r w:rsidRPr="005F4D87">
        <w:rPr>
          <w:sz w:val="17"/>
          <w:szCs w:val="17"/>
          <w:vertAlign w:val="subscript"/>
        </w:rPr>
        <w:t>2</w:t>
      </w:r>
      <w:r w:rsidRPr="005F4D87">
        <w:t xml:space="preserve"> etanolikonversioille ja 88 €/tCO</w:t>
      </w:r>
      <w:r w:rsidRPr="005F4D87">
        <w:rPr>
          <w:sz w:val="17"/>
          <w:szCs w:val="17"/>
          <w:vertAlign w:val="subscript"/>
        </w:rPr>
        <w:t>2</w:t>
      </w:r>
      <w:r w:rsidRPr="005F4D87">
        <w:t xml:space="preserve"> kaasukonversioille. Konversiotukien kokonaistaloudellista kustannusvaikuttavuutta ei ole arvioitu. </w:t>
      </w:r>
    </w:p>
    <w:p w14:paraId="6F7866D9" w14:textId="77777777" w:rsidR="004E5B79" w:rsidRDefault="004E5B79" w:rsidP="004E5B79">
      <w:pPr>
        <w:textAlignment w:val="baseline"/>
        <w:rPr>
          <w:rFonts w:cs="Arial"/>
          <w:b/>
          <w:bCs/>
          <w:sz w:val="22"/>
          <w:szCs w:val="22"/>
        </w:rPr>
      </w:pPr>
      <w:r>
        <w:rPr>
          <w:rFonts w:cs="Arial"/>
          <w:b/>
          <w:bCs/>
          <w:sz w:val="22"/>
          <w:szCs w:val="22"/>
        </w:rPr>
        <w:t>Maankäytön, asumisen ja liikenteen (MAL)-sopimukset</w:t>
      </w:r>
    </w:p>
    <w:p w14:paraId="57113679" w14:textId="1A316441" w:rsidR="004E5B79" w:rsidRPr="00C10BB4" w:rsidRDefault="004E5B79" w:rsidP="003E7381">
      <w:pPr>
        <w:pStyle w:val="VNLeip1kappale"/>
      </w:pPr>
      <w:r w:rsidRPr="00C10BB4">
        <w:t>Helsingin, Tampereen, Turun, Oulun, Jyväskylän, Lahden ja Kuopion kaupunkiseutujen ja valtion väliset maankäytön, asumisen ja liikenteen (MAL) sopimukset allekirjoitettiin joulukuussa 2024. Sopimuksilla valtio ja kaupunkiseutujen kunnat edistävät tarpeita vastaavaa asuntokaavoitusta ja -tuotantoa, kestävää ja vähäpäästöistä yhdyskuntarakennetta ja liikennejärjestelmää sekä niihin liittyviä infrastruktuuri-investointeja. </w:t>
      </w:r>
      <w:r w:rsidR="007720B6" w:rsidRPr="007720B6">
        <w:t xml:space="preserve"> </w:t>
      </w:r>
      <w:r w:rsidR="007720B6">
        <w:t>MAL-sopimusten mukaan valtio ja kunnat edistävät myös raskaan liikenteen taukopaikkojen toteutumista elinkeinoelämän kuljetusten tarpeisiin. Taukopaikoilla mahdollistetaan vaihtoehtoisten käyttövoimien jakelu.</w:t>
      </w:r>
      <w:r w:rsidRPr="00C10BB4">
        <w:t xml:space="preserve">   </w:t>
      </w:r>
    </w:p>
    <w:p w14:paraId="6DE9EC6C" w14:textId="60383369" w:rsidR="004E5B79" w:rsidRDefault="004E5B79" w:rsidP="003E7381">
      <w:pPr>
        <w:pStyle w:val="VNLeip1kappale"/>
        <w:rPr>
          <w:b/>
          <w:bCs/>
        </w:rPr>
      </w:pPr>
      <w:r w:rsidRPr="00C10BB4">
        <w:t>Traficomissa syksyllä 2024 tehdyn arvion mukaan sopimusten liikenteeseen liittyvillä toimenpiteillä aikaansaadaan noin 0,006 Mt päästövähennys vuonna 2030. Lisäksi sopimuksilla edistetään kestävää yhdyskuntarakennetta, mikä lisää mahdollisuuksia kestävään liikkumiseen. Sopimuksiin sisältyneet tiehankkeet eivät sisältyneet Traficomin arvioon. Myöskään sopimusten kustannusvaikuttavuutta ei ole arvioitu.  </w:t>
      </w:r>
    </w:p>
    <w:p w14:paraId="51923D11" w14:textId="22CDC339" w:rsidR="005F4D87" w:rsidRPr="005F4D87" w:rsidRDefault="005F4D87" w:rsidP="005F4D87">
      <w:pPr>
        <w:textAlignment w:val="baseline"/>
        <w:rPr>
          <w:rFonts w:ascii="Segoe UI" w:hAnsi="Segoe UI" w:cs="Segoe UI"/>
          <w:sz w:val="18"/>
          <w:szCs w:val="18"/>
        </w:rPr>
      </w:pPr>
      <w:r w:rsidRPr="005F4D87">
        <w:rPr>
          <w:rFonts w:cs="Arial"/>
          <w:b/>
          <w:bCs/>
          <w:sz w:val="22"/>
          <w:szCs w:val="22"/>
        </w:rPr>
        <w:t xml:space="preserve">Kävelyn ja pyöräilyn </w:t>
      </w:r>
      <w:r w:rsidR="00994345">
        <w:rPr>
          <w:rFonts w:cs="Arial"/>
          <w:b/>
          <w:bCs/>
          <w:sz w:val="22"/>
          <w:szCs w:val="22"/>
        </w:rPr>
        <w:t>valtionavustus</w:t>
      </w:r>
      <w:r w:rsidRPr="005F4D87">
        <w:rPr>
          <w:rFonts w:cs="Arial"/>
          <w:b/>
          <w:bCs/>
          <w:sz w:val="22"/>
          <w:szCs w:val="22"/>
        </w:rPr>
        <w:t xml:space="preserve"> (SCF-toimi)</w:t>
      </w:r>
      <w:r w:rsidRPr="005F4D87">
        <w:rPr>
          <w:rFonts w:cs="Arial"/>
          <w:sz w:val="22"/>
          <w:szCs w:val="22"/>
        </w:rPr>
        <w:t> </w:t>
      </w:r>
    </w:p>
    <w:p w14:paraId="723D8DF7" w14:textId="0E2C9F25" w:rsidR="005F4D87" w:rsidRPr="005F4D87" w:rsidRDefault="005F4D87" w:rsidP="007D6C6C">
      <w:pPr>
        <w:pStyle w:val="VNLeip1kappale"/>
        <w:rPr>
          <w:rFonts w:ascii="Segoe UI" w:hAnsi="Segoe UI" w:cs="Segoe UI"/>
          <w:sz w:val="18"/>
          <w:szCs w:val="18"/>
        </w:rPr>
      </w:pPr>
      <w:r w:rsidRPr="005F4D87">
        <w:t xml:space="preserve">Traficom on vuodesta 2018 asti myöntänyt valtionavustusta hankkeisiin, joissa parannetaan kävelyn ja pyöräliikenteen olosuhteita kaupunkien katuverkolla tai kunnan maalla sijaitsevissa kohteissa. Kävelyn ja pyöräilyn </w:t>
      </w:r>
      <w:r w:rsidR="00194B19">
        <w:t>valtionavustuksella</w:t>
      </w:r>
      <w:r w:rsidRPr="005F4D87">
        <w:t xml:space="preserve"> tuetaan ensisijaisesti hankkeita, joilla pyritään lisäämään kävellen ja pyörällä tehtyjen matkojen kulkutapaosuutta. Avustusta myönnetään infrastruktuurin, kuten väylien, niiden varusteiden, pyöräpysäköinnin yms. rakentamiseen tai parantamiseen.  </w:t>
      </w:r>
    </w:p>
    <w:p w14:paraId="3E7C1FF0" w14:textId="4DAFC5AA" w:rsidR="005F4D87" w:rsidRPr="005F4D87" w:rsidRDefault="005F4D87" w:rsidP="007D6C6C">
      <w:pPr>
        <w:pStyle w:val="VNLeip1kappale"/>
        <w:rPr>
          <w:rFonts w:ascii="Segoe UI" w:hAnsi="Segoe UI" w:cs="Segoe UI"/>
          <w:sz w:val="18"/>
          <w:szCs w:val="18"/>
        </w:rPr>
      </w:pPr>
      <w:r w:rsidRPr="005F4D87">
        <w:t xml:space="preserve">Kävelyä ja pyöräilyä olisi kenties mahdollista tukea sosiaalisen ilmastorahaston kautta. </w:t>
      </w:r>
      <w:r w:rsidR="1B87CFEE" w:rsidRPr="47BF3D8D">
        <w:rPr>
          <w:rFonts w:eastAsia="Arial" w:cs="Arial"/>
        </w:rPr>
        <w:t xml:space="preserve">Toimenpiteen tavoitteena on kehittää kävelyn ja pyöräilyn infrastruktuuria ja mahdollistaa näiden edullisten ja päästöttömien liikkumismuotojen käytettävyys arjen matkoilla taloudellisista syistä (korkeat polttoainekulut) tai muista syistä haavoittuville ryhmille. Toimenpiteellä pyritään lisäämään liikenneköyhien ja liikenneköyhyyden riskissä olevien ryhmien mahdollisuuksia saavuttaa turvallisesti välttämättömät peruspalvelut ja tukea riippumattomuutta autosta. Olosuhteiden parantaminen luo mahdollisuuksia tehdä osa arjen matkoista kävellen tai pyörällä, vaikka osalla matkoista tarvittaisiinkin autoa. Näin voidaan kohtuullistaa liikkumisen kustannuksia niidenkin osalta, joilla auton käyttö osalla matkoista on välttämättömyys. </w:t>
      </w:r>
      <w:r w:rsidRPr="005F4D87">
        <w:t> </w:t>
      </w:r>
    </w:p>
    <w:p w14:paraId="3AE2008C" w14:textId="76AA2B0D" w:rsidR="005F4D87" w:rsidRPr="005F4D87" w:rsidRDefault="005F4D87" w:rsidP="007D6C6C">
      <w:pPr>
        <w:pStyle w:val="VNLeip1kappale"/>
        <w:rPr>
          <w:rFonts w:ascii="Segoe UI" w:hAnsi="Segoe UI" w:cs="Segoe UI"/>
          <w:sz w:val="18"/>
          <w:szCs w:val="18"/>
        </w:rPr>
      </w:pPr>
      <w:r w:rsidRPr="005F4D87">
        <w:t>Traficomin syksyllä 2024 valmistuneen selvityksen mukaan kävelyn ja pyöräilyn investointiohjelmalla voitaisiin saada aikaan noin 0,004</w:t>
      </w:r>
      <w:r w:rsidR="05F1B24E">
        <w:t>–</w:t>
      </w:r>
      <w:r w:rsidRPr="005F4D87">
        <w:t>0,005 Mt päästövähennys/vuosi, jos investointiohjelmaan kohdennettaisiin lisärahaa 10</w:t>
      </w:r>
      <w:r w:rsidR="11287135">
        <w:t>–</w:t>
      </w:r>
      <w:r w:rsidRPr="005F4D87">
        <w:t>15 M€/vuosi.  </w:t>
      </w:r>
    </w:p>
    <w:p w14:paraId="0B3BC3D8" w14:textId="31C325FC" w:rsidR="005F4D87" w:rsidRDefault="005F4D87" w:rsidP="007D6C6C">
      <w:pPr>
        <w:pStyle w:val="VNLeip1kappale"/>
      </w:pPr>
      <w:r w:rsidRPr="005F4D87">
        <w:t xml:space="preserve">Kävelyn ja pyöräilyn edistämisen suurimmat yhteiskuntataloudelliset hyödyt eivät tule liikenteen kasvihuonekaasupäästöjen vähenemisestä, vaan kansanterveyden parantumisesta. UKK-instituutin mukaan Suomen aikuisväestöstä vain murto-osa liikkuu viikoittain liikkumisen suosituksen mukaisesti. Liikkumattomuus näkyy miljardiluokan kansantaloudellisina kustannuksina. Tutkimukset osoittavat, että turvallinen ja laaja pyörä- ja kävelytieverkosto kannustaa kuntalaisia lisäämään arkiliikkumista. </w:t>
      </w:r>
    </w:p>
    <w:p w14:paraId="2181BD37" w14:textId="49E8BC0E" w:rsidR="00156AFE" w:rsidRPr="00625570" w:rsidRDefault="00156AFE" w:rsidP="00156AFE">
      <w:pPr>
        <w:pStyle w:val="VNLeip1kappale"/>
        <w:rPr>
          <w:b/>
        </w:rPr>
      </w:pPr>
      <w:r w:rsidRPr="00625570">
        <w:rPr>
          <w:b/>
        </w:rPr>
        <w:t xml:space="preserve">Alueellisen joukkoliikenteen </w:t>
      </w:r>
      <w:r w:rsidR="646723C4" w:rsidRPr="441293A7">
        <w:rPr>
          <w:b/>
          <w:bCs/>
        </w:rPr>
        <w:t xml:space="preserve">ja kutsuliikenteen </w:t>
      </w:r>
      <w:r w:rsidRPr="00625570">
        <w:rPr>
          <w:b/>
        </w:rPr>
        <w:t>kehittäminen</w:t>
      </w:r>
      <w:r w:rsidR="00717924" w:rsidRPr="00625570">
        <w:rPr>
          <w:b/>
        </w:rPr>
        <w:t xml:space="preserve"> (SCF-toimi)</w:t>
      </w:r>
    </w:p>
    <w:p w14:paraId="5D86F3C9" w14:textId="6185B443" w:rsidR="00CD03F9" w:rsidRDefault="00F806F7" w:rsidP="00F264F0">
      <w:pPr>
        <w:pStyle w:val="VNLeip1kappale"/>
      </w:pPr>
      <w:r w:rsidRPr="00F806F7">
        <w:t xml:space="preserve">ELY-keskusten järjestämään joukkoliikenteeseen on </w:t>
      </w:r>
      <w:r w:rsidR="00F777A9" w:rsidRPr="00F806F7">
        <w:t>valtion talousarvioissa vuosina 2013–2025</w:t>
      </w:r>
      <w:r w:rsidR="00F777A9">
        <w:t xml:space="preserve"> </w:t>
      </w:r>
      <w:r w:rsidRPr="00F806F7">
        <w:t>kohdennettu 30,8–33,5 miljoonaa euroa</w:t>
      </w:r>
      <w:r w:rsidR="00F777A9">
        <w:t>/vuosi</w:t>
      </w:r>
      <w:r w:rsidRPr="00F806F7">
        <w:t>.</w:t>
      </w:r>
      <w:r>
        <w:t xml:space="preserve"> </w:t>
      </w:r>
      <w:r w:rsidR="00CD03F9" w:rsidRPr="00CD03F9">
        <w:t xml:space="preserve">Rahoituksen rajallisuuden vuoksi joukkoliikenteen järjestämisen kannalta tarkoituksenmukaisiakin alueita jää käytännössä ilman joukkoliikenneyhteyksiä nykytilassa. Tämän rinnalla joukkoliikenteen 2020-luvulla kasvanut ja ETS2:n myötä edelleen kasvava kustannustaso aiheuttaa painetta palvelutason leikkauksiin.  </w:t>
      </w:r>
    </w:p>
    <w:p w14:paraId="0E7DE041" w14:textId="57899EAB" w:rsidR="00F264F0" w:rsidRDefault="0002179F" w:rsidP="00FA4AAD">
      <w:pPr>
        <w:pStyle w:val="VNLeip1kappale"/>
      </w:pPr>
      <w:r>
        <w:t>Alueellisen joukkoliikenteen tukea kasvattamalla voidaan</w:t>
      </w:r>
      <w:r w:rsidR="00156AFE" w:rsidRPr="00156AFE">
        <w:t xml:space="preserve"> mahdollistaa arjen matkoja kohtuuhintaisella joukkoliikenteellä nykyisen heikon tai olemattoman joukkoliikennesaatavuuden alueella, jossa joukkoliikenteen järjestäminen </w:t>
      </w:r>
      <w:r w:rsidR="00C3294B">
        <w:t xml:space="preserve">kuitenkin </w:t>
      </w:r>
      <w:r w:rsidR="00156AFE" w:rsidRPr="00156AFE">
        <w:t xml:space="preserve">on väestötiheyden näkökulmasta perusteltua. Toimella säilytettäisiin ja kasvatettaisiin ELY-keskusten nykyisin hankkiman liikenteen palvelutasoa kuntien välisessä liikenteessä. </w:t>
      </w:r>
    </w:p>
    <w:p w14:paraId="107EEC7B" w14:textId="6B6F035A" w:rsidR="4FB2B4F8" w:rsidRDefault="4FB2B4F8" w:rsidP="00FA4AAD">
      <w:pPr>
        <w:pStyle w:val="VNLeip1kappale"/>
        <w:rPr>
          <w:rFonts w:eastAsia="Arial"/>
        </w:rPr>
      </w:pPr>
      <w:r w:rsidRPr="441293A7">
        <w:rPr>
          <w:rFonts w:eastAsia="Arial"/>
        </w:rPr>
        <w:t xml:space="preserve">Lisäksi voitaisiin tukea kuntien kutsuliikennepalveluiden kehittämistä. Kutsuohjattu joukkoliikenne voi kunnissa ja kylissä tarjota kustannustehokkaamman joukkoliikenteen järjestämisen tavan kuin perinteiset joukkoliikenteen linjat, erityisesti kuntien sisäisessä liikenteessä. Kutsuliikenne mahdollistaa joustavampaa ja käyttäjälähtöisempää, palvelutarpeisiin mukautuvaa joukkoliikennettä. Kutsuliikenne tarjoaa myös lisämahdollisuuksia huomioida esteettömän liikenteen tarpeita. Suomessa on esimerkkejä toimivista kutsuliikennejärjestelmistä, mutta toisaalta myös tapauksia, joissa valtion tukemien lyhytaikaisten kokeilujen päätyttyä kutsuliikennettä ei ole kunnissa jatkettu.  </w:t>
      </w:r>
    </w:p>
    <w:p w14:paraId="7F94004A" w14:textId="11E4A669" w:rsidR="00156AFE" w:rsidRDefault="4FB2B4F8" w:rsidP="00FA4AAD">
      <w:pPr>
        <w:pStyle w:val="VNLeip1kappale"/>
      </w:pPr>
      <w:r w:rsidRPr="441293A7">
        <w:rPr>
          <w:rFonts w:eastAsia="Arial" w:cs="Arial"/>
          <w:szCs w:val="22"/>
        </w:rPr>
        <w:t>Toimenpiteellä vähennettäisiin niiden ryhmien liikenneköyhyyden riskiä,</w:t>
      </w:r>
      <w:r>
        <w:rPr>
          <w:rFonts w:eastAsia="Arial"/>
        </w:rPr>
        <w:t xml:space="preserve"> </w:t>
      </w:r>
      <w:r w:rsidR="00F264F0">
        <w:t xml:space="preserve">joilla ei ole taloudellisista, ikään liittyvistä tai muista syistä johtuvaa mahdollisuutta oman auton käyttöön. Samalla mahdollistettaisiin siirtymää kestäviin kulkumuotoihin ja voitaisiin vähentää liikenteen päästöjä. </w:t>
      </w:r>
    </w:p>
    <w:p w14:paraId="16BC84C6" w14:textId="48274A1E" w:rsidR="005F4D87" w:rsidRPr="005F4D87" w:rsidRDefault="005F4D87" w:rsidP="005F4D87">
      <w:pPr>
        <w:textAlignment w:val="baseline"/>
        <w:rPr>
          <w:rFonts w:ascii="Segoe UI" w:hAnsi="Segoe UI" w:cs="Segoe UI"/>
          <w:sz w:val="18"/>
          <w:szCs w:val="18"/>
        </w:rPr>
      </w:pPr>
      <w:r w:rsidRPr="005F4D87">
        <w:rPr>
          <w:rFonts w:cs="Arial"/>
          <w:b/>
          <w:bCs/>
          <w:sz w:val="22"/>
          <w:szCs w:val="22"/>
        </w:rPr>
        <w:t>Julkisen jakeluinfran tuet</w:t>
      </w:r>
      <w:r w:rsidRPr="005F4D87">
        <w:rPr>
          <w:rFonts w:cs="Arial"/>
          <w:sz w:val="22"/>
          <w:szCs w:val="22"/>
        </w:rPr>
        <w:t> </w:t>
      </w:r>
    </w:p>
    <w:p w14:paraId="593E5AF9" w14:textId="238D05A6" w:rsidR="005F4D87" w:rsidRPr="005F4D87" w:rsidRDefault="005F4D87" w:rsidP="007D6C6C">
      <w:pPr>
        <w:pStyle w:val="VNLeip1kappale"/>
        <w:rPr>
          <w:rFonts w:ascii="Segoe UI" w:hAnsi="Segoe UI" w:cs="Segoe UI"/>
          <w:sz w:val="18"/>
          <w:szCs w:val="18"/>
        </w:rPr>
      </w:pPr>
      <w:r w:rsidRPr="005F4D87">
        <w:t>Suomessa on vuodesta 2018 alkaen ollut käytössä sähköisen liikenteen ja biokaasun liikennekäytön infrastruktuuritukiohjelma. Vedyn tankkausasemat lisättiin mukaan tukiohjelmaan vuonna 2022. Raskaan kaluston jakeluinfran rakentamisen tuelle on edelleen vahva tarve, sillä ajoneuvoja on vasta vähän liikenteessä, ja jakeluinfran markkinalähtöisen kehittymisen edellytykset ovat heikot. Jakeluinfratukia tarvitaan myös, jotta voidaan varmistaa EU:n vaihtoehtoisten käyttövoimien jakeluinfra-asetuksen (AFIR) Suomelle asettamien velvoitteiden täyttäminen vuoteen 2030 mennessä. Velvoitteiden täyttymättä jäämisestä seuraa sanktio. TEM on arvioinut, että nykytuilla (2024 talousarvio) saavutetaan noin 30 raskaan liikenteen latausasemaa, kun AFIR edellyttää niitä vähintään tuplamäärän vuoteen 2030 mennessä. Lisäksi vedyn jakeluasemia on saatava toimintaan vähintään 8. </w:t>
      </w:r>
    </w:p>
    <w:p w14:paraId="4834E164" w14:textId="23D65C1E" w:rsidR="005F4D87" w:rsidRPr="005F4D87" w:rsidRDefault="005F4D87" w:rsidP="007D6C6C">
      <w:pPr>
        <w:pStyle w:val="VNLeip1kappale"/>
        <w:rPr>
          <w:rFonts w:ascii="Segoe UI" w:hAnsi="Segoe UI" w:cs="Segoe UI"/>
          <w:sz w:val="18"/>
          <w:szCs w:val="18"/>
        </w:rPr>
      </w:pPr>
      <w:r w:rsidRPr="005F4D87">
        <w:t>Jakeluinfratukien päästövähennysvaikutusten ja kustannustehokkuuden arviointi erillään autokannan kehittymisen arvioinnista on haastavaa. Jakeluinfratukien kustannusvaikuttavuutta on kuitenkin vuonna 2020 arvioitu VTT:n systeemidynaamisella mallilla. Arvion mukaan silloisella tukisummalla (5,5 M€) olisi saatu aikaan noin 0,01</w:t>
      </w:r>
      <w:r w:rsidR="65A744F9">
        <w:t>–</w:t>
      </w:r>
      <w:r w:rsidRPr="005F4D87">
        <w:t>0,02 Mt päästövähennys, jolloin tuen kustannusvaikuttavuus (pelkillä valtiontalouden kustannuksilla laskien) olisi luokkaa 27,5</w:t>
      </w:r>
      <w:r w:rsidR="70AEA43F">
        <w:t>–</w:t>
      </w:r>
      <w:r w:rsidRPr="005F4D87">
        <w:t>55 €/</w:t>
      </w:r>
      <w:r w:rsidR="00FD79CF">
        <w:t xml:space="preserve">t </w:t>
      </w:r>
      <w:r w:rsidRPr="005F4D87">
        <w:t>CO</w:t>
      </w:r>
      <w:r w:rsidRPr="005F4D87">
        <w:rPr>
          <w:sz w:val="17"/>
          <w:szCs w:val="17"/>
          <w:vertAlign w:val="subscript"/>
        </w:rPr>
        <w:t>2</w:t>
      </w:r>
      <w:r w:rsidR="00FD79CF">
        <w:t>.</w:t>
      </w:r>
      <w:r w:rsidRPr="005F4D87">
        <w:t> </w:t>
      </w:r>
    </w:p>
    <w:p w14:paraId="2FB7987D" w14:textId="7DA53AF0" w:rsidR="005F4D87" w:rsidRPr="005F4D87" w:rsidRDefault="005F4D87" w:rsidP="005F4D87">
      <w:pPr>
        <w:textAlignment w:val="baseline"/>
        <w:rPr>
          <w:rFonts w:ascii="Segoe UI" w:hAnsi="Segoe UI" w:cs="Segoe UI"/>
          <w:sz w:val="18"/>
          <w:szCs w:val="18"/>
        </w:rPr>
      </w:pPr>
      <w:r w:rsidRPr="005F4D87">
        <w:rPr>
          <w:rFonts w:cs="Arial"/>
          <w:b/>
          <w:bCs/>
          <w:sz w:val="22"/>
          <w:szCs w:val="22"/>
        </w:rPr>
        <w:t>Taloyhtiöiden latausinfra-avustus </w:t>
      </w:r>
      <w:r w:rsidRPr="005F4D87">
        <w:rPr>
          <w:rFonts w:cs="Arial"/>
          <w:sz w:val="22"/>
          <w:szCs w:val="22"/>
        </w:rPr>
        <w:t> </w:t>
      </w:r>
    </w:p>
    <w:p w14:paraId="3161C11D" w14:textId="5DCEA7FA" w:rsidR="005F4D87" w:rsidRPr="005F4D87" w:rsidRDefault="005F4D87" w:rsidP="007D6C6C">
      <w:pPr>
        <w:pStyle w:val="VNLeip1kappale"/>
        <w:rPr>
          <w:rFonts w:ascii="Segoe UI" w:hAnsi="Segoe UI" w:cs="Segoe UI"/>
          <w:sz w:val="18"/>
          <w:szCs w:val="18"/>
        </w:rPr>
      </w:pPr>
      <w:r w:rsidRPr="005F4D87">
        <w:t>Suomessa oli vuosina 2018‒2023 käytössä myös ns. latausinfra-avustus. Avustuksia myönnettiin asuinrakennuksen omistaville yhteisöille (taloyhtiöille yms.) sekä pysäköintiyhtiöille sähköautojen latauspisteiden edellyttämiin kiinteistöjen sähköjärjestelmien muutoksiin. Avustukset olivat erittäin suosittuja, ja niitä myönnettiin vuosina 2018‒2023 yli 3500 kohteeseen. Avustuksella sähköistettiin yli 80 000 autopaikkaa rakennuksissa, jotka on rakennettu ennen kuin laissa on ollut velvoitetta asentaa latausvalmiuksia/-pisteille uusiin rakennuksiin. </w:t>
      </w:r>
    </w:p>
    <w:p w14:paraId="0E3A36E0" w14:textId="470E801C" w:rsidR="005F4D87" w:rsidRPr="005F4D87" w:rsidRDefault="005F4D87" w:rsidP="007D6C6C">
      <w:pPr>
        <w:pStyle w:val="VNLeip1kappale"/>
        <w:rPr>
          <w:rFonts w:ascii="Segoe UI" w:hAnsi="Segoe UI" w:cs="Segoe UI"/>
          <w:sz w:val="18"/>
          <w:szCs w:val="18"/>
        </w:rPr>
      </w:pPr>
      <w:r w:rsidRPr="005F4D87">
        <w:t>Tarve taloyhtiöille suunnatuille latausinfra-avustuksille tulee lähivuosina todennäköisesti kasvamaan sitä mukaa, kuin sähköautojen hinnat halpenevat ja niitä tullaan hankkimaan entistä enemmän myös vanhoissa kerros- tai rivitaloissa asuviin kotitalouksiin. Latauspisteen puuttuminen taloyhtiön pysäköintipaikoilla voi muodostua todelliseksi pullonkaulaksi liikenteen sähköistymiselle Suomessa, sillä noin puolet suomalaisista asuu kerros- ja rivitaloissa. Tähän mennessä sähköautoja on hankittu enimmäkseen omakotitaloihin, jolloin auton kotilataus on ollut kohtuullisen helppoa järjestää. </w:t>
      </w:r>
    </w:p>
    <w:p w14:paraId="6A57F1D6" w14:textId="20795E3C" w:rsidR="005F4D87" w:rsidRPr="005F4D87" w:rsidRDefault="005F4D87" w:rsidP="007D6C6C">
      <w:pPr>
        <w:pStyle w:val="VNLeip1kappale"/>
        <w:rPr>
          <w:rFonts w:ascii="Segoe UI" w:hAnsi="Segoe UI" w:cs="Segoe UI"/>
          <w:sz w:val="18"/>
          <w:szCs w:val="18"/>
        </w:rPr>
      </w:pPr>
      <w:r w:rsidRPr="005F4D87">
        <w:t>Kuten jakeluinfratukien kohdalla, myös latausinfra-avustusten vaikutusten arviointi erillään autokannan kehityksestä on haastavaa. Keväällä 2024 valmistuneessa VATT:n LATAAVA-hankkeessa kuitenkin arvioitiin, että vuoteen 2022 mennessä myönnetyt latausinfra-avustukset tuottaisivat päästövähennyksiä noin 0,06</w:t>
      </w:r>
      <w:r w:rsidR="2AD0BF23">
        <w:t>–</w:t>
      </w:r>
      <w:r w:rsidRPr="005F4D87">
        <w:t>0,09 Mt seuraavan 11 vuoden aikana. Avustuksen kustannusvaikuttavuus olisi tässä tapauksessa noin 370</w:t>
      </w:r>
      <w:r w:rsidR="25A15269">
        <w:t>–</w:t>
      </w:r>
      <w:r w:rsidRPr="005F4D87">
        <w:t>520 €/t CO</w:t>
      </w:r>
      <w:r w:rsidRPr="005F4D87">
        <w:rPr>
          <w:sz w:val="17"/>
          <w:szCs w:val="17"/>
          <w:vertAlign w:val="subscript"/>
        </w:rPr>
        <w:t>2</w:t>
      </w:r>
      <w:r w:rsidRPr="005F4D87">
        <w:t>. VTT:n systeemidynaamisella mallilla vuonna 2020 tekemän arvion mukaan latausavustusten kautta aikaan saatu päästövähennys vuonna 2030 olisi noin 0,11 Mt</w:t>
      </w:r>
      <w:r w:rsidR="005358FE">
        <w:t xml:space="preserve">, jos </w:t>
      </w:r>
      <w:r w:rsidR="00AE5A0B">
        <w:t xml:space="preserve">avustuksia jatkettaisiin </w:t>
      </w:r>
      <w:r w:rsidR="00641CF4">
        <w:t>arvion tekemisen aikaisella,</w:t>
      </w:r>
      <w:r w:rsidRPr="005F4D87">
        <w:t xml:space="preserve"> noin </w:t>
      </w:r>
      <w:r w:rsidR="00AE5A0B">
        <w:t>7 M</w:t>
      </w:r>
      <w:r w:rsidR="001C0605">
        <w:t xml:space="preserve">€:n vuositasolla </w:t>
      </w:r>
      <w:r w:rsidR="00DC6F5A">
        <w:t>vuosina 2022</w:t>
      </w:r>
      <w:r w:rsidR="6E35AE6F">
        <w:t>–</w:t>
      </w:r>
      <w:r w:rsidR="00DC6F5A">
        <w:t>2030</w:t>
      </w:r>
      <w:r w:rsidRPr="005F4D87">
        <w:t>. </w:t>
      </w:r>
    </w:p>
    <w:p w14:paraId="3DEAE6A5" w14:textId="77777777" w:rsidR="00A84A7C" w:rsidRPr="005F4D87" w:rsidRDefault="00A84A7C" w:rsidP="005F4D87">
      <w:pPr>
        <w:textAlignment w:val="baseline"/>
        <w:rPr>
          <w:rFonts w:ascii="Segoe UI" w:hAnsi="Segoe UI" w:cs="Segoe UI"/>
          <w:sz w:val="18"/>
          <w:szCs w:val="18"/>
        </w:rPr>
      </w:pPr>
    </w:p>
    <w:p w14:paraId="586BA269" w14:textId="12A70956" w:rsidR="005F4D87" w:rsidRDefault="005F4D87" w:rsidP="00A37511">
      <w:pPr>
        <w:pStyle w:val="Numeroimatonotsikko"/>
      </w:pPr>
      <w:r w:rsidRPr="005F4D87">
        <w:t>Politiikkatoimet</w:t>
      </w:r>
    </w:p>
    <w:p w14:paraId="27A5C8A4" w14:textId="5F20DE1A" w:rsidR="23F2D7F2" w:rsidRDefault="23F2D7F2" w:rsidP="23F2D7F2">
      <w:pPr>
        <w:rPr>
          <w:rFonts w:cs="Arial"/>
          <w:sz w:val="22"/>
          <w:szCs w:val="22"/>
        </w:rPr>
      </w:pPr>
    </w:p>
    <w:p w14:paraId="71C0E5E9" w14:textId="6017BDD4" w:rsidR="23F2D7F2" w:rsidRPr="009254F2" w:rsidRDefault="5934B063" w:rsidP="009254F2">
      <w:pPr>
        <w:pStyle w:val="VNLeip1kappale"/>
        <w:rPr>
          <w:rFonts w:cs="Arial"/>
        </w:rPr>
      </w:pPr>
      <w:r w:rsidRPr="00FF0210">
        <w:t xml:space="preserve">Esitettyjen päästövähennystoimien määrä ei vastaa </w:t>
      </w:r>
      <w:proofErr w:type="gramStart"/>
      <w:r w:rsidRPr="00FF0210">
        <w:t>sitä päästöjen kasvua</w:t>
      </w:r>
      <w:proofErr w:type="gramEnd"/>
      <w:r w:rsidRPr="00FF0210">
        <w:t>, jonka hallitusohjelmaan kirjat</w:t>
      </w:r>
      <w:r w:rsidRPr="005610E9">
        <w:t>ut toimet aiheuttavat (0,38</w:t>
      </w:r>
      <w:r w:rsidR="2C422DD2">
        <w:t>–</w:t>
      </w:r>
      <w:r w:rsidRPr="005610E9">
        <w:t>1,03 Mt). Liikenne ei siten ole saavuttamassa sille aiemmin asetettua, 50 % päästövähennystavoitetta vuonna 2030. Tavoite päästöjen puolittamisesta (ns. Fossiilittoman liikenteen tiekartta) on viety osaksi Suomen elpymis- ja palautumissuunnitelmaa (RRP). Mikäli näyttää siltä, että liikenteen päästöt eivät vuonna 2030 ole puolittumassa, on olemassa riski, että Euroopan komissio tulkitsee fossiilittoman liikenteen tiekartta</w:t>
      </w:r>
      <w:r w:rsidR="4BA7A305">
        <w:t xml:space="preserve"> </w:t>
      </w:r>
      <w:r w:rsidRPr="005610E9">
        <w:t>-uudistuksen perutuksi. Jos uudistus katsottaisiin kokonaan perutuksi, voi siitä VM:n arvion mukaan seurata Suomelle jopa noin 80 M€ tulonmenetys RRF-rahoituksessa.</w:t>
      </w:r>
    </w:p>
    <w:p w14:paraId="0C2CE996" w14:textId="77777777" w:rsidR="00DD5F82" w:rsidRPr="005F4D87" w:rsidRDefault="00DD5F82" w:rsidP="005F4D87">
      <w:pPr>
        <w:textAlignment w:val="baseline"/>
        <w:rPr>
          <w:rFonts w:ascii="Segoe UI" w:hAnsi="Segoe UI" w:cs="Segoe UI"/>
          <w:sz w:val="18"/>
          <w:szCs w:val="18"/>
        </w:rPr>
      </w:pPr>
    </w:p>
    <w:p w14:paraId="34427A79" w14:textId="1A4301D9" w:rsidR="005F4D87" w:rsidRPr="005F4D87" w:rsidRDefault="005F4D87" w:rsidP="005F4D87">
      <w:pPr>
        <w:textAlignment w:val="baseline"/>
        <w:rPr>
          <w:rFonts w:ascii="Segoe UI" w:hAnsi="Segoe UI" w:cs="Segoe UI"/>
          <w:sz w:val="18"/>
          <w:szCs w:val="18"/>
        </w:rPr>
      </w:pPr>
      <w:r w:rsidRPr="005F4D87">
        <w:rPr>
          <w:rFonts w:cs="Arial"/>
          <w:b/>
          <w:bCs/>
          <w:sz w:val="22"/>
          <w:szCs w:val="22"/>
        </w:rPr>
        <w:t>Puhtaiden kuorma-autojen hankintatuet</w:t>
      </w:r>
      <w:r w:rsidRPr="005F4D87">
        <w:rPr>
          <w:rFonts w:cs="Arial"/>
          <w:sz w:val="22"/>
          <w:szCs w:val="22"/>
        </w:rPr>
        <w:t> </w:t>
      </w:r>
    </w:p>
    <w:p w14:paraId="7561561C" w14:textId="08F29021" w:rsidR="005F4D87" w:rsidRPr="005F4D87" w:rsidRDefault="005F4D87" w:rsidP="00A26B09">
      <w:pPr>
        <w:pStyle w:val="VNLeip1kappale"/>
        <w:numPr>
          <w:ilvl w:val="0"/>
          <w:numId w:val="54"/>
        </w:numPr>
      </w:pPr>
      <w:r w:rsidRPr="005F4D87">
        <w:t>Jatketaan sähkö-, metaani- ja vetykäyttöisten kuorma-autojen hankintatukia vuosina 2026</w:t>
      </w:r>
      <w:r w:rsidR="7B5D13CE">
        <w:t>–</w:t>
      </w:r>
      <w:r w:rsidRPr="005F4D87">
        <w:t>2030. </w:t>
      </w:r>
    </w:p>
    <w:p w14:paraId="32316E6D" w14:textId="502DB0B6" w:rsidR="005F4D87" w:rsidRPr="005F4D87" w:rsidRDefault="005F4D87" w:rsidP="005F4D87">
      <w:pPr>
        <w:textAlignment w:val="baseline"/>
        <w:rPr>
          <w:rFonts w:ascii="Segoe UI" w:hAnsi="Segoe UI" w:cs="Segoe UI"/>
          <w:sz w:val="18"/>
          <w:szCs w:val="18"/>
        </w:rPr>
      </w:pPr>
      <w:r w:rsidRPr="00DD24C1">
        <w:rPr>
          <w:rFonts w:cs="Arial"/>
          <w:b/>
          <w:sz w:val="22"/>
          <w:szCs w:val="22"/>
        </w:rPr>
        <w:t>Raskaan kaluston hankintatuet mikroyrityksille</w:t>
      </w:r>
      <w:r w:rsidRPr="005F4D87">
        <w:rPr>
          <w:rFonts w:cs="Arial"/>
          <w:sz w:val="22"/>
          <w:szCs w:val="22"/>
        </w:rPr>
        <w:t> </w:t>
      </w:r>
      <w:r w:rsidR="00DD24C1">
        <w:rPr>
          <w:rFonts w:cs="Arial"/>
          <w:sz w:val="22"/>
          <w:szCs w:val="22"/>
        </w:rPr>
        <w:t>(SCF-toimi)</w:t>
      </w:r>
    </w:p>
    <w:p w14:paraId="2D6627FC" w14:textId="3E954556" w:rsidR="005F4D87" w:rsidRPr="005F4D87" w:rsidRDefault="005F4D87" w:rsidP="00A26B09">
      <w:pPr>
        <w:pStyle w:val="VNLeip1kappale"/>
        <w:numPr>
          <w:ilvl w:val="0"/>
          <w:numId w:val="48"/>
        </w:numPr>
      </w:pPr>
      <w:r w:rsidRPr="005F4D87">
        <w:t>Otetaan käyttöön sähkö- ja vetykäyttöisten kuorma- ja linja-autojen hankintatuki mikroyrityksille. </w:t>
      </w:r>
    </w:p>
    <w:p w14:paraId="4318C6F6" w14:textId="783686F3" w:rsidR="005F4D87" w:rsidRPr="005F4D87" w:rsidRDefault="005F4D87" w:rsidP="005F4D87">
      <w:pPr>
        <w:textAlignment w:val="baseline"/>
        <w:rPr>
          <w:rFonts w:ascii="Segoe UI" w:hAnsi="Segoe UI" w:cs="Segoe UI"/>
          <w:sz w:val="18"/>
          <w:szCs w:val="18"/>
        </w:rPr>
      </w:pPr>
      <w:proofErr w:type="spellStart"/>
      <w:r w:rsidRPr="005F4D87">
        <w:rPr>
          <w:rFonts w:cs="Arial"/>
          <w:b/>
          <w:bCs/>
          <w:sz w:val="22"/>
          <w:szCs w:val="22"/>
          <w:lang w:val="en-US"/>
        </w:rPr>
        <w:t>Romutuspalkkiokampanja</w:t>
      </w:r>
      <w:proofErr w:type="spellEnd"/>
      <w:r w:rsidRPr="005F4D87">
        <w:rPr>
          <w:rFonts w:cs="Arial"/>
          <w:sz w:val="22"/>
          <w:szCs w:val="22"/>
        </w:rPr>
        <w:t> </w:t>
      </w:r>
    </w:p>
    <w:p w14:paraId="2895B218" w14:textId="66FA0B6D" w:rsidR="005F4D87" w:rsidRPr="005F4D87" w:rsidRDefault="005F4D87" w:rsidP="00A26B09">
      <w:pPr>
        <w:pStyle w:val="VNLeip1kappale"/>
        <w:numPr>
          <w:ilvl w:val="0"/>
          <w:numId w:val="48"/>
        </w:numPr>
      </w:pPr>
      <w:r w:rsidRPr="005F4D87">
        <w:t xml:space="preserve">Toteutetaan romutuspalkkiokampanja autokannan uudistamiseksi ja uusien </w:t>
      </w:r>
      <w:r w:rsidR="002B7DB3">
        <w:t xml:space="preserve">nolla- ja </w:t>
      </w:r>
      <w:r w:rsidRPr="005F4D87">
        <w:t>vähäpäästöisten autojen osuuden kasvattamiseksi autokannassa. </w:t>
      </w:r>
    </w:p>
    <w:p w14:paraId="11DE1DAF" w14:textId="4AA111BE" w:rsidR="005F4D87" w:rsidRDefault="005F4D87" w:rsidP="005F4D87">
      <w:pPr>
        <w:textAlignment w:val="baseline"/>
        <w:rPr>
          <w:rFonts w:cs="Arial"/>
          <w:sz w:val="22"/>
          <w:szCs w:val="22"/>
        </w:rPr>
      </w:pPr>
      <w:proofErr w:type="spellStart"/>
      <w:r w:rsidRPr="005F4D87">
        <w:rPr>
          <w:rFonts w:cs="Arial"/>
          <w:b/>
          <w:bCs/>
          <w:sz w:val="22"/>
          <w:szCs w:val="22"/>
          <w:lang w:val="en-US"/>
        </w:rPr>
        <w:t>Romutuspalkkio</w:t>
      </w:r>
      <w:proofErr w:type="spellEnd"/>
      <w:r w:rsidRPr="005F4D87">
        <w:rPr>
          <w:rFonts w:cs="Arial"/>
          <w:b/>
          <w:bCs/>
          <w:sz w:val="22"/>
          <w:szCs w:val="22"/>
          <w:lang w:val="en-US"/>
        </w:rPr>
        <w:t xml:space="preserve"> </w:t>
      </w:r>
      <w:proofErr w:type="spellStart"/>
      <w:r w:rsidRPr="005F4D87">
        <w:rPr>
          <w:rFonts w:cs="Arial"/>
          <w:b/>
          <w:bCs/>
          <w:sz w:val="22"/>
          <w:szCs w:val="22"/>
          <w:lang w:val="en-US"/>
        </w:rPr>
        <w:t>pienituloisille</w:t>
      </w:r>
      <w:proofErr w:type="spellEnd"/>
      <w:r w:rsidRPr="005F4D87">
        <w:rPr>
          <w:rFonts w:cs="Arial"/>
          <w:sz w:val="22"/>
          <w:szCs w:val="22"/>
        </w:rPr>
        <w:t> </w:t>
      </w:r>
      <w:r w:rsidR="0061598B">
        <w:rPr>
          <w:rFonts w:cs="Arial"/>
          <w:sz w:val="22"/>
          <w:szCs w:val="22"/>
        </w:rPr>
        <w:t>(SCF-toimi)</w:t>
      </w:r>
    </w:p>
    <w:p w14:paraId="46349DB2" w14:textId="77777777" w:rsidR="0061598B" w:rsidRPr="005F4D87" w:rsidRDefault="0061598B" w:rsidP="005F4D87">
      <w:pPr>
        <w:textAlignment w:val="baseline"/>
        <w:rPr>
          <w:rFonts w:ascii="Segoe UI" w:hAnsi="Segoe UI" w:cs="Segoe UI"/>
          <w:sz w:val="18"/>
          <w:szCs w:val="18"/>
        </w:rPr>
      </w:pPr>
    </w:p>
    <w:p w14:paraId="112589AF" w14:textId="568B486E" w:rsidR="005F4D87" w:rsidRPr="000D7194" w:rsidRDefault="005F4D87" w:rsidP="000D7194">
      <w:pPr>
        <w:pStyle w:val="Luettelokappale"/>
        <w:numPr>
          <w:ilvl w:val="0"/>
          <w:numId w:val="48"/>
        </w:numPr>
        <w:textAlignment w:val="baseline"/>
        <w:rPr>
          <w:rFonts w:cs="Arial"/>
          <w:sz w:val="22"/>
          <w:szCs w:val="22"/>
        </w:rPr>
      </w:pPr>
      <w:r w:rsidRPr="000D7194">
        <w:rPr>
          <w:rFonts w:cs="Arial"/>
          <w:sz w:val="22"/>
          <w:szCs w:val="22"/>
        </w:rPr>
        <w:t xml:space="preserve">Otetaan käyttöön uusi hankintatuki uuden tai käytetyn sähköauton hankintaan pienituloisille. </w:t>
      </w:r>
      <w:proofErr w:type="spellStart"/>
      <w:r w:rsidRPr="000D7194">
        <w:rPr>
          <w:rFonts w:cs="Arial"/>
          <w:sz w:val="22"/>
          <w:szCs w:val="22"/>
          <w:lang w:val="en-US"/>
        </w:rPr>
        <w:t>Tuen</w:t>
      </w:r>
      <w:proofErr w:type="spellEnd"/>
      <w:r w:rsidRPr="000D7194">
        <w:rPr>
          <w:rFonts w:cs="Arial"/>
          <w:sz w:val="22"/>
          <w:szCs w:val="22"/>
          <w:lang w:val="en-US"/>
        </w:rPr>
        <w:t xml:space="preserve"> </w:t>
      </w:r>
      <w:proofErr w:type="spellStart"/>
      <w:r w:rsidRPr="000D7194">
        <w:rPr>
          <w:rFonts w:cs="Arial"/>
          <w:sz w:val="22"/>
          <w:szCs w:val="22"/>
          <w:lang w:val="en-US"/>
        </w:rPr>
        <w:t>edellytyksenä</w:t>
      </w:r>
      <w:proofErr w:type="spellEnd"/>
      <w:r w:rsidRPr="000D7194">
        <w:rPr>
          <w:rFonts w:cs="Arial"/>
          <w:sz w:val="22"/>
          <w:szCs w:val="22"/>
          <w:lang w:val="en-US"/>
        </w:rPr>
        <w:t xml:space="preserve"> </w:t>
      </w:r>
      <w:proofErr w:type="spellStart"/>
      <w:r w:rsidRPr="000D7194">
        <w:rPr>
          <w:rFonts w:cs="Arial"/>
          <w:sz w:val="22"/>
          <w:szCs w:val="22"/>
          <w:lang w:val="en-US"/>
        </w:rPr>
        <w:t>olisi</w:t>
      </w:r>
      <w:proofErr w:type="spellEnd"/>
      <w:r w:rsidRPr="000D7194">
        <w:rPr>
          <w:rFonts w:cs="Arial"/>
          <w:sz w:val="22"/>
          <w:szCs w:val="22"/>
          <w:lang w:val="en-US"/>
        </w:rPr>
        <w:t xml:space="preserve"> </w:t>
      </w:r>
      <w:proofErr w:type="spellStart"/>
      <w:r w:rsidRPr="000D7194">
        <w:rPr>
          <w:rFonts w:cs="Arial"/>
          <w:sz w:val="22"/>
          <w:szCs w:val="22"/>
          <w:lang w:val="en-US"/>
        </w:rPr>
        <w:t>vanhan</w:t>
      </w:r>
      <w:proofErr w:type="spellEnd"/>
      <w:r w:rsidRPr="000D7194">
        <w:rPr>
          <w:rFonts w:cs="Arial"/>
          <w:sz w:val="22"/>
          <w:szCs w:val="22"/>
          <w:lang w:val="en-US"/>
        </w:rPr>
        <w:t xml:space="preserve"> </w:t>
      </w:r>
      <w:proofErr w:type="spellStart"/>
      <w:r w:rsidRPr="000D7194">
        <w:rPr>
          <w:rFonts w:cs="Arial"/>
          <w:sz w:val="22"/>
          <w:szCs w:val="22"/>
          <w:lang w:val="en-US"/>
        </w:rPr>
        <w:t>auton</w:t>
      </w:r>
      <w:proofErr w:type="spellEnd"/>
      <w:r w:rsidRPr="000D7194">
        <w:rPr>
          <w:rFonts w:cs="Arial"/>
          <w:sz w:val="22"/>
          <w:szCs w:val="22"/>
          <w:lang w:val="en-US"/>
        </w:rPr>
        <w:t xml:space="preserve"> </w:t>
      </w:r>
      <w:proofErr w:type="spellStart"/>
      <w:r w:rsidRPr="000D7194">
        <w:rPr>
          <w:rFonts w:cs="Arial"/>
          <w:sz w:val="22"/>
          <w:szCs w:val="22"/>
          <w:lang w:val="en-US"/>
        </w:rPr>
        <w:t>romuttaminen</w:t>
      </w:r>
      <w:proofErr w:type="spellEnd"/>
      <w:r w:rsidRPr="000D7194">
        <w:rPr>
          <w:rFonts w:cs="Arial"/>
          <w:sz w:val="22"/>
          <w:szCs w:val="22"/>
          <w:lang w:val="en-US"/>
        </w:rPr>
        <w:t>. </w:t>
      </w:r>
      <w:r w:rsidRPr="000D7194">
        <w:rPr>
          <w:rFonts w:cs="Arial"/>
          <w:sz w:val="22"/>
          <w:szCs w:val="22"/>
        </w:rPr>
        <w:t> </w:t>
      </w:r>
    </w:p>
    <w:p w14:paraId="5DA1A035" w14:textId="77777777" w:rsidR="001266E0" w:rsidRPr="005F4D87" w:rsidRDefault="001266E0" w:rsidP="001266E0">
      <w:pPr>
        <w:ind w:left="1080"/>
        <w:textAlignment w:val="baseline"/>
        <w:rPr>
          <w:rFonts w:cs="Arial"/>
          <w:sz w:val="22"/>
          <w:szCs w:val="22"/>
        </w:rPr>
      </w:pPr>
    </w:p>
    <w:p w14:paraId="681FC082" w14:textId="47C03359" w:rsidR="005F4D87" w:rsidRDefault="005F4D87" w:rsidP="005F4D87">
      <w:pPr>
        <w:textAlignment w:val="baseline"/>
        <w:rPr>
          <w:rFonts w:cs="Arial"/>
          <w:sz w:val="22"/>
          <w:szCs w:val="22"/>
        </w:rPr>
      </w:pPr>
      <w:proofErr w:type="spellStart"/>
      <w:r w:rsidRPr="005F4D87">
        <w:rPr>
          <w:rFonts w:cs="Arial"/>
          <w:b/>
          <w:bCs/>
          <w:sz w:val="22"/>
          <w:szCs w:val="22"/>
          <w:lang w:val="en-US"/>
        </w:rPr>
        <w:t>Konversiotuet</w:t>
      </w:r>
      <w:proofErr w:type="spellEnd"/>
      <w:r w:rsidRPr="005F4D87">
        <w:rPr>
          <w:rFonts w:cs="Arial"/>
          <w:sz w:val="22"/>
          <w:szCs w:val="22"/>
        </w:rPr>
        <w:t> </w:t>
      </w:r>
    </w:p>
    <w:p w14:paraId="7B908338" w14:textId="77777777" w:rsidR="00585392" w:rsidRPr="005F4D87" w:rsidRDefault="00585392" w:rsidP="005F4D87">
      <w:pPr>
        <w:textAlignment w:val="baseline"/>
        <w:rPr>
          <w:rFonts w:ascii="Segoe UI" w:hAnsi="Segoe UI" w:cs="Segoe UI"/>
          <w:sz w:val="18"/>
          <w:szCs w:val="18"/>
        </w:rPr>
      </w:pPr>
    </w:p>
    <w:p w14:paraId="4ECA2C13" w14:textId="77777777" w:rsidR="001266E0" w:rsidRPr="000D7194" w:rsidRDefault="005F4D87" w:rsidP="000D7194">
      <w:pPr>
        <w:pStyle w:val="Luettelokappale"/>
        <w:numPr>
          <w:ilvl w:val="0"/>
          <w:numId w:val="48"/>
        </w:numPr>
        <w:textAlignment w:val="baseline"/>
        <w:rPr>
          <w:rFonts w:cs="Arial"/>
          <w:sz w:val="22"/>
          <w:szCs w:val="22"/>
        </w:rPr>
      </w:pPr>
      <w:r w:rsidRPr="000D7194">
        <w:rPr>
          <w:rFonts w:cs="Arial"/>
          <w:sz w:val="22"/>
          <w:szCs w:val="22"/>
        </w:rPr>
        <w:t>Otetaan uudelleen käyttöön konversio- eli muuntotuet bensiinikäyttöisen auton muuntamiseksi etanoli- tai kaasukäyttöiseksi.</w:t>
      </w:r>
    </w:p>
    <w:p w14:paraId="140BE010" w14:textId="77777777" w:rsidR="004E5B79" w:rsidRDefault="004E5B79" w:rsidP="004E5B79">
      <w:pPr>
        <w:ind w:left="1080"/>
        <w:textAlignment w:val="baseline"/>
        <w:rPr>
          <w:rFonts w:cs="Arial"/>
          <w:sz w:val="22"/>
          <w:szCs w:val="22"/>
        </w:rPr>
      </w:pPr>
    </w:p>
    <w:p w14:paraId="79209874" w14:textId="77777777" w:rsidR="00AF44BE" w:rsidRDefault="00AF44BE" w:rsidP="00AF44BE">
      <w:pPr>
        <w:textAlignment w:val="baseline"/>
        <w:rPr>
          <w:rFonts w:cs="Arial"/>
          <w:b/>
          <w:bCs/>
          <w:sz w:val="22"/>
          <w:szCs w:val="22"/>
        </w:rPr>
      </w:pPr>
      <w:r>
        <w:rPr>
          <w:rFonts w:cs="Arial"/>
          <w:b/>
          <w:bCs/>
          <w:sz w:val="22"/>
          <w:szCs w:val="22"/>
        </w:rPr>
        <w:t>Maankäytön, asumisen ja liikenteen (MAL)-sopimukset</w:t>
      </w:r>
    </w:p>
    <w:p w14:paraId="7285A0A2" w14:textId="77777777" w:rsidR="00AF44BE" w:rsidRDefault="00AF44BE" w:rsidP="00AF44BE">
      <w:pPr>
        <w:textAlignment w:val="baseline"/>
        <w:rPr>
          <w:rFonts w:cs="Arial"/>
          <w:b/>
          <w:bCs/>
          <w:sz w:val="22"/>
          <w:szCs w:val="22"/>
        </w:rPr>
      </w:pPr>
    </w:p>
    <w:p w14:paraId="0B7068DB" w14:textId="77777777" w:rsidR="00AF44BE" w:rsidRPr="008F117E" w:rsidRDefault="00AF44BE" w:rsidP="00A26B09">
      <w:pPr>
        <w:pStyle w:val="Luettelokappale"/>
        <w:numPr>
          <w:ilvl w:val="0"/>
          <w:numId w:val="48"/>
        </w:numPr>
        <w:textAlignment w:val="baseline"/>
        <w:rPr>
          <w:rFonts w:cs="Arial"/>
          <w:sz w:val="22"/>
          <w:szCs w:val="22"/>
        </w:rPr>
      </w:pPr>
      <w:r>
        <w:rPr>
          <w:rFonts w:cs="Arial"/>
          <w:sz w:val="22"/>
          <w:szCs w:val="22"/>
        </w:rPr>
        <w:t xml:space="preserve">Jatketaan MAL-sopimusten toteuttamista vuosina </w:t>
      </w:r>
      <w:r w:rsidRPr="00C10BB4">
        <w:rPr>
          <w:rFonts w:cs="Arial"/>
          <w:sz w:val="22"/>
          <w:szCs w:val="22"/>
        </w:rPr>
        <w:t>2024–2035</w:t>
      </w:r>
      <w:r>
        <w:rPr>
          <w:rFonts w:cs="Arial"/>
          <w:sz w:val="22"/>
          <w:szCs w:val="22"/>
        </w:rPr>
        <w:t>.</w:t>
      </w:r>
    </w:p>
    <w:p w14:paraId="25293570" w14:textId="5788F5B6" w:rsidR="005F4D87" w:rsidRPr="005F4D87" w:rsidRDefault="005F4D87" w:rsidP="004E5B79">
      <w:pPr>
        <w:textAlignment w:val="baseline"/>
        <w:rPr>
          <w:rFonts w:cs="Arial"/>
          <w:sz w:val="22"/>
          <w:szCs w:val="22"/>
        </w:rPr>
      </w:pPr>
    </w:p>
    <w:p w14:paraId="38F3C6FB" w14:textId="3C6A6D21" w:rsidR="005F4D87" w:rsidRDefault="005F4D87" w:rsidP="00542FBB">
      <w:pPr>
        <w:tabs>
          <w:tab w:val="left" w:pos="5403"/>
        </w:tabs>
        <w:textAlignment w:val="baseline"/>
        <w:rPr>
          <w:rFonts w:cs="Arial"/>
          <w:sz w:val="22"/>
          <w:szCs w:val="22"/>
        </w:rPr>
      </w:pPr>
      <w:r w:rsidRPr="00585392">
        <w:rPr>
          <w:rFonts w:cs="Arial"/>
          <w:b/>
          <w:sz w:val="22"/>
          <w:szCs w:val="22"/>
        </w:rPr>
        <w:t xml:space="preserve">Kävelyn ja pyöräilyn </w:t>
      </w:r>
      <w:r w:rsidR="00E94C40">
        <w:rPr>
          <w:rFonts w:cs="Arial"/>
          <w:b/>
          <w:sz w:val="22"/>
          <w:szCs w:val="22"/>
        </w:rPr>
        <w:t>valtionavustus</w:t>
      </w:r>
      <w:r w:rsidRPr="007603FC">
        <w:rPr>
          <w:rFonts w:cs="Arial"/>
          <w:b/>
          <w:sz w:val="22"/>
          <w:szCs w:val="22"/>
        </w:rPr>
        <w:t> </w:t>
      </w:r>
      <w:r w:rsidR="00585392" w:rsidRPr="007603FC">
        <w:rPr>
          <w:rFonts w:cs="Arial"/>
          <w:b/>
          <w:sz w:val="22"/>
          <w:szCs w:val="22"/>
        </w:rPr>
        <w:t>(SCF-toimi)</w:t>
      </w:r>
      <w:r w:rsidR="00542FBB">
        <w:rPr>
          <w:rFonts w:cs="Arial"/>
          <w:sz w:val="22"/>
          <w:szCs w:val="22"/>
        </w:rPr>
        <w:tab/>
      </w:r>
    </w:p>
    <w:p w14:paraId="7E047F32" w14:textId="77777777" w:rsidR="00585392" w:rsidRPr="005F4D87" w:rsidRDefault="00585392" w:rsidP="005F4D87">
      <w:pPr>
        <w:textAlignment w:val="baseline"/>
        <w:rPr>
          <w:rFonts w:ascii="Segoe UI" w:hAnsi="Segoe UI" w:cs="Segoe UI"/>
          <w:sz w:val="18"/>
          <w:szCs w:val="18"/>
        </w:rPr>
      </w:pPr>
    </w:p>
    <w:p w14:paraId="7B2554FC" w14:textId="5F496106" w:rsidR="005F4D87" w:rsidRPr="000D7194" w:rsidRDefault="005F4D87" w:rsidP="000D7194">
      <w:pPr>
        <w:pStyle w:val="Luettelokappale"/>
        <w:numPr>
          <w:ilvl w:val="0"/>
          <w:numId w:val="48"/>
        </w:numPr>
        <w:textAlignment w:val="baseline"/>
        <w:rPr>
          <w:rFonts w:cs="Arial"/>
          <w:sz w:val="22"/>
          <w:szCs w:val="22"/>
        </w:rPr>
      </w:pPr>
      <w:r w:rsidRPr="000D7194">
        <w:rPr>
          <w:rFonts w:cs="Arial"/>
          <w:sz w:val="22"/>
          <w:szCs w:val="22"/>
        </w:rPr>
        <w:t xml:space="preserve">Ohjataan lisärahaa kävelyn ja pyöräilyn </w:t>
      </w:r>
      <w:r w:rsidR="00B77337" w:rsidRPr="000D7194">
        <w:rPr>
          <w:rFonts w:cs="Arial"/>
          <w:sz w:val="22"/>
          <w:szCs w:val="22"/>
        </w:rPr>
        <w:t>valtionavustuksiin</w:t>
      </w:r>
      <w:r w:rsidRPr="000D7194">
        <w:rPr>
          <w:rFonts w:cs="Arial"/>
          <w:sz w:val="22"/>
          <w:szCs w:val="22"/>
        </w:rPr>
        <w:t xml:space="preserve"> alle 100 000 asukkaan kaupunkiseuduilla.</w:t>
      </w:r>
    </w:p>
    <w:p w14:paraId="35008473" w14:textId="77777777" w:rsidR="00C94457" w:rsidRPr="005F4D87" w:rsidRDefault="00C94457" w:rsidP="00C94457">
      <w:pPr>
        <w:ind w:left="1080"/>
        <w:textAlignment w:val="baseline"/>
        <w:rPr>
          <w:rFonts w:cs="Arial"/>
          <w:sz w:val="22"/>
          <w:szCs w:val="22"/>
        </w:rPr>
      </w:pPr>
    </w:p>
    <w:p w14:paraId="24D8858B" w14:textId="618C3778" w:rsidR="00325B67" w:rsidRDefault="00325B67" w:rsidP="005F4D87">
      <w:pPr>
        <w:textAlignment w:val="baseline"/>
        <w:rPr>
          <w:rFonts w:cs="Arial"/>
          <w:b/>
          <w:bCs/>
          <w:sz w:val="22"/>
          <w:szCs w:val="22"/>
        </w:rPr>
      </w:pPr>
      <w:r w:rsidRPr="00325B67">
        <w:rPr>
          <w:rFonts w:cs="Arial"/>
          <w:b/>
          <w:bCs/>
          <w:sz w:val="22"/>
          <w:szCs w:val="22"/>
        </w:rPr>
        <w:t>Alueellisen j</w:t>
      </w:r>
      <w:r>
        <w:rPr>
          <w:rFonts w:cs="Arial"/>
          <w:b/>
          <w:bCs/>
          <w:sz w:val="22"/>
          <w:szCs w:val="22"/>
        </w:rPr>
        <w:t xml:space="preserve">oukkoliikenteen </w:t>
      </w:r>
      <w:r w:rsidR="304D9882" w:rsidRPr="441293A7">
        <w:rPr>
          <w:rFonts w:cs="Arial"/>
          <w:b/>
          <w:bCs/>
          <w:sz w:val="22"/>
          <w:szCs w:val="22"/>
        </w:rPr>
        <w:t xml:space="preserve">ja kutsuliikenteen </w:t>
      </w:r>
      <w:r w:rsidR="00FC6313">
        <w:rPr>
          <w:rFonts w:cs="Arial"/>
          <w:b/>
          <w:bCs/>
          <w:sz w:val="22"/>
          <w:szCs w:val="22"/>
        </w:rPr>
        <w:t>tuki</w:t>
      </w:r>
      <w:r w:rsidR="004C39C7">
        <w:rPr>
          <w:rFonts w:cs="Arial"/>
          <w:b/>
          <w:bCs/>
          <w:sz w:val="22"/>
          <w:szCs w:val="22"/>
        </w:rPr>
        <w:t xml:space="preserve"> (SCF-toimi)</w:t>
      </w:r>
    </w:p>
    <w:p w14:paraId="506F3BD9" w14:textId="77777777" w:rsidR="00FC6313" w:rsidRDefault="00FC6313" w:rsidP="005F4D87">
      <w:pPr>
        <w:textAlignment w:val="baseline"/>
        <w:rPr>
          <w:rFonts w:cs="Arial"/>
          <w:b/>
          <w:bCs/>
          <w:sz w:val="22"/>
          <w:szCs w:val="22"/>
        </w:rPr>
      </w:pPr>
    </w:p>
    <w:p w14:paraId="3AA0E029" w14:textId="3C4723E1" w:rsidR="00FC6313" w:rsidRDefault="00FC6313" w:rsidP="00A26B09">
      <w:pPr>
        <w:pStyle w:val="Luettelokappale"/>
        <w:numPr>
          <w:ilvl w:val="0"/>
          <w:numId w:val="48"/>
        </w:numPr>
        <w:textAlignment w:val="baseline"/>
        <w:rPr>
          <w:rFonts w:cs="Arial"/>
          <w:sz w:val="22"/>
          <w:szCs w:val="22"/>
        </w:rPr>
      </w:pPr>
      <w:r>
        <w:rPr>
          <w:rFonts w:cs="Arial"/>
          <w:sz w:val="22"/>
          <w:szCs w:val="22"/>
        </w:rPr>
        <w:t>Korotetaan alueellisen joukkoliikenteen tukea</w:t>
      </w:r>
      <w:r w:rsidR="0BB30CE4" w:rsidRPr="441293A7">
        <w:rPr>
          <w:rFonts w:cs="Arial"/>
          <w:sz w:val="22"/>
          <w:szCs w:val="22"/>
        </w:rPr>
        <w:t>,</w:t>
      </w:r>
      <w:r>
        <w:rPr>
          <w:rFonts w:cs="Arial"/>
          <w:sz w:val="22"/>
          <w:szCs w:val="22"/>
        </w:rPr>
        <w:t xml:space="preserve"> kehitetään </w:t>
      </w:r>
      <w:r w:rsidR="00B47DB1">
        <w:rPr>
          <w:rFonts w:cs="Arial"/>
          <w:sz w:val="22"/>
          <w:szCs w:val="22"/>
        </w:rPr>
        <w:t>palveluiden hankintoja</w:t>
      </w:r>
      <w:r w:rsidR="7F344698" w:rsidRPr="441293A7">
        <w:rPr>
          <w:rFonts w:cs="Arial"/>
          <w:sz w:val="22"/>
          <w:szCs w:val="22"/>
        </w:rPr>
        <w:t xml:space="preserve"> ja kutsuliikennettä</w:t>
      </w:r>
      <w:r w:rsidR="00B47DB1">
        <w:rPr>
          <w:rFonts w:cs="Arial"/>
          <w:sz w:val="22"/>
          <w:szCs w:val="22"/>
        </w:rPr>
        <w:t>.</w:t>
      </w:r>
    </w:p>
    <w:p w14:paraId="5060BB4E" w14:textId="77777777" w:rsidR="00B47DB1" w:rsidRPr="00FC6313" w:rsidRDefault="00B47DB1" w:rsidP="00B47DB1">
      <w:pPr>
        <w:pStyle w:val="Luettelokappale"/>
        <w:textAlignment w:val="baseline"/>
        <w:rPr>
          <w:rFonts w:cs="Arial"/>
          <w:sz w:val="22"/>
          <w:szCs w:val="22"/>
        </w:rPr>
      </w:pPr>
    </w:p>
    <w:p w14:paraId="3EFBD953" w14:textId="255E65CA" w:rsidR="005F4D87" w:rsidRPr="005F4D87" w:rsidRDefault="005F4D87" w:rsidP="005F4D87">
      <w:pPr>
        <w:textAlignment w:val="baseline"/>
        <w:rPr>
          <w:rFonts w:ascii="Segoe UI" w:hAnsi="Segoe UI" w:cs="Segoe UI"/>
          <w:sz w:val="18"/>
          <w:szCs w:val="18"/>
        </w:rPr>
      </w:pPr>
      <w:r w:rsidRPr="00325B67">
        <w:rPr>
          <w:rFonts w:cs="Arial"/>
          <w:b/>
          <w:sz w:val="22"/>
          <w:szCs w:val="22"/>
        </w:rPr>
        <w:t>Julkisen jakeluinfran tuet</w:t>
      </w:r>
      <w:r w:rsidRPr="005F4D87">
        <w:rPr>
          <w:rFonts w:cs="Arial"/>
          <w:sz w:val="22"/>
          <w:szCs w:val="22"/>
        </w:rPr>
        <w:t> </w:t>
      </w:r>
    </w:p>
    <w:p w14:paraId="5ECD29C8" w14:textId="41747856" w:rsidR="005F4D87" w:rsidRPr="005F4D87" w:rsidRDefault="005F4D87" w:rsidP="005F4D87">
      <w:pPr>
        <w:textAlignment w:val="baseline"/>
        <w:rPr>
          <w:rFonts w:ascii="Segoe UI" w:hAnsi="Segoe UI" w:cs="Segoe UI"/>
          <w:sz w:val="18"/>
          <w:szCs w:val="18"/>
        </w:rPr>
      </w:pPr>
    </w:p>
    <w:p w14:paraId="7FC8B552" w14:textId="468D4F5D" w:rsidR="005F4D87" w:rsidRPr="000D7194" w:rsidRDefault="005F4D87" w:rsidP="000D7194">
      <w:pPr>
        <w:pStyle w:val="Luettelokappale"/>
        <w:numPr>
          <w:ilvl w:val="0"/>
          <w:numId w:val="48"/>
        </w:numPr>
        <w:textAlignment w:val="baseline"/>
        <w:rPr>
          <w:rFonts w:cs="Arial"/>
          <w:sz w:val="22"/>
          <w:szCs w:val="22"/>
        </w:rPr>
      </w:pPr>
      <w:r w:rsidRPr="000D7194">
        <w:rPr>
          <w:rFonts w:cs="Arial"/>
          <w:sz w:val="22"/>
          <w:szCs w:val="22"/>
        </w:rPr>
        <w:t>Jatketaan julkisen jakeluinfran rakentamisen tukemista 10 M€:</w:t>
      </w:r>
      <w:proofErr w:type="spellStart"/>
      <w:r w:rsidRPr="000D7194">
        <w:rPr>
          <w:rFonts w:cs="Arial"/>
          <w:sz w:val="22"/>
          <w:szCs w:val="22"/>
        </w:rPr>
        <w:t>lla</w:t>
      </w:r>
      <w:proofErr w:type="spellEnd"/>
      <w:r w:rsidRPr="000D7194">
        <w:rPr>
          <w:rFonts w:cs="Arial"/>
          <w:sz w:val="22"/>
          <w:szCs w:val="22"/>
        </w:rPr>
        <w:t>/vuosi. </w:t>
      </w:r>
    </w:p>
    <w:p w14:paraId="08BC04A7" w14:textId="1BD57796" w:rsidR="003F3EDB" w:rsidRPr="005F4D87" w:rsidRDefault="003F3EDB" w:rsidP="003F3EDB">
      <w:pPr>
        <w:ind w:left="1080"/>
        <w:textAlignment w:val="baseline"/>
        <w:rPr>
          <w:rFonts w:cs="Arial"/>
          <w:sz w:val="22"/>
          <w:szCs w:val="22"/>
        </w:rPr>
      </w:pPr>
    </w:p>
    <w:p w14:paraId="51E0F88F" w14:textId="7C43F806" w:rsidR="005F4D87" w:rsidRDefault="005F4D87" w:rsidP="005F4D87">
      <w:pPr>
        <w:textAlignment w:val="baseline"/>
        <w:rPr>
          <w:rFonts w:cs="Arial"/>
          <w:sz w:val="22"/>
          <w:szCs w:val="22"/>
        </w:rPr>
      </w:pPr>
      <w:proofErr w:type="spellStart"/>
      <w:r w:rsidRPr="005F4D87">
        <w:rPr>
          <w:rFonts w:cs="Arial"/>
          <w:b/>
          <w:bCs/>
          <w:sz w:val="22"/>
          <w:szCs w:val="22"/>
          <w:lang w:val="en-US"/>
        </w:rPr>
        <w:t>Taloyhtiöiden</w:t>
      </w:r>
      <w:proofErr w:type="spellEnd"/>
      <w:r w:rsidRPr="005F4D87">
        <w:rPr>
          <w:rFonts w:cs="Arial"/>
          <w:b/>
          <w:bCs/>
          <w:sz w:val="22"/>
          <w:szCs w:val="22"/>
          <w:lang w:val="en-US"/>
        </w:rPr>
        <w:t xml:space="preserve"> </w:t>
      </w:r>
      <w:proofErr w:type="spellStart"/>
      <w:r w:rsidRPr="005F4D87">
        <w:rPr>
          <w:rFonts w:cs="Arial"/>
          <w:b/>
          <w:bCs/>
          <w:sz w:val="22"/>
          <w:szCs w:val="22"/>
          <w:lang w:val="en-US"/>
        </w:rPr>
        <w:t>latausinfra-avustus</w:t>
      </w:r>
      <w:proofErr w:type="spellEnd"/>
      <w:r w:rsidRPr="005F4D87">
        <w:rPr>
          <w:rFonts w:cs="Arial"/>
          <w:sz w:val="22"/>
          <w:szCs w:val="22"/>
        </w:rPr>
        <w:t> </w:t>
      </w:r>
    </w:p>
    <w:p w14:paraId="37D829DF" w14:textId="77777777" w:rsidR="001B7917" w:rsidRPr="005F4D87" w:rsidRDefault="001B7917" w:rsidP="005F4D87">
      <w:pPr>
        <w:textAlignment w:val="baseline"/>
        <w:rPr>
          <w:rFonts w:ascii="Segoe UI" w:hAnsi="Segoe UI" w:cs="Segoe UI"/>
          <w:sz w:val="18"/>
          <w:szCs w:val="18"/>
        </w:rPr>
      </w:pPr>
    </w:p>
    <w:p w14:paraId="3EAC63D6" w14:textId="14E033DC" w:rsidR="005F4D87" w:rsidRPr="005F4D87" w:rsidRDefault="008167D0" w:rsidP="00A26B09">
      <w:pPr>
        <w:pStyle w:val="Luettelokappale"/>
        <w:numPr>
          <w:ilvl w:val="0"/>
          <w:numId w:val="25"/>
        </w:numPr>
        <w:textAlignment w:val="baseline"/>
        <w:rPr>
          <w:rFonts w:cs="Arial"/>
          <w:strike/>
          <w:sz w:val="22"/>
          <w:szCs w:val="22"/>
        </w:rPr>
      </w:pPr>
      <w:r w:rsidRPr="002C609D">
        <w:rPr>
          <w:rFonts w:cs="Arial"/>
          <w:sz w:val="22"/>
          <w:szCs w:val="22"/>
        </w:rPr>
        <w:t>Toteutetaan k</w:t>
      </w:r>
      <w:r w:rsidR="005F4D87" w:rsidRPr="002C609D">
        <w:rPr>
          <w:rFonts w:cs="Arial"/>
          <w:sz w:val="22"/>
          <w:szCs w:val="22"/>
        </w:rPr>
        <w:t>ampanjamuotoinen taloyhtiöiden</w:t>
      </w:r>
      <w:r w:rsidR="005F4D87" w:rsidRPr="005F4D87">
        <w:rPr>
          <w:rFonts w:cs="Arial"/>
          <w:sz w:val="22"/>
          <w:szCs w:val="22"/>
        </w:rPr>
        <w:t xml:space="preserve"> latausinfra-avustus</w:t>
      </w:r>
      <w:r>
        <w:rPr>
          <w:rFonts w:cs="Arial"/>
          <w:sz w:val="22"/>
          <w:szCs w:val="22"/>
        </w:rPr>
        <w:t xml:space="preserve"> vuosina 2026</w:t>
      </w:r>
      <w:r w:rsidR="57E26A3C" w:rsidRPr="7487AD54">
        <w:rPr>
          <w:rFonts w:cs="Arial"/>
          <w:sz w:val="22"/>
          <w:szCs w:val="22"/>
        </w:rPr>
        <w:t>–</w:t>
      </w:r>
      <w:r>
        <w:rPr>
          <w:rFonts w:cs="Arial"/>
          <w:sz w:val="22"/>
          <w:szCs w:val="22"/>
        </w:rPr>
        <w:t>2027</w:t>
      </w:r>
      <w:r w:rsidR="79033B86" w:rsidRPr="13FF5BEB">
        <w:rPr>
          <w:rFonts w:cs="Arial"/>
          <w:sz w:val="22"/>
          <w:szCs w:val="22"/>
        </w:rPr>
        <w:t>.</w:t>
      </w:r>
      <w:r>
        <w:rPr>
          <w:rFonts w:cs="Arial"/>
          <w:sz w:val="22"/>
          <w:szCs w:val="22"/>
        </w:rPr>
        <w:t xml:space="preserve"> Selvitetään </w:t>
      </w:r>
      <w:r w:rsidR="001E318E">
        <w:rPr>
          <w:rFonts w:cs="Arial"/>
          <w:sz w:val="22"/>
          <w:szCs w:val="22"/>
        </w:rPr>
        <w:t xml:space="preserve">tarve ja </w:t>
      </w:r>
      <w:r>
        <w:rPr>
          <w:rFonts w:cs="Arial"/>
          <w:sz w:val="22"/>
          <w:szCs w:val="22"/>
        </w:rPr>
        <w:t xml:space="preserve">mahdollisuudet </w:t>
      </w:r>
      <w:r w:rsidR="001E318E">
        <w:rPr>
          <w:rFonts w:cs="Arial"/>
          <w:sz w:val="22"/>
          <w:szCs w:val="22"/>
        </w:rPr>
        <w:t>avustuksen jatkamiseen vuosina 2028</w:t>
      </w:r>
      <w:r w:rsidR="150CDB0C" w:rsidRPr="5A6B7189">
        <w:rPr>
          <w:rFonts w:cs="Arial"/>
          <w:sz w:val="22"/>
          <w:szCs w:val="22"/>
        </w:rPr>
        <w:t>–</w:t>
      </w:r>
      <w:r w:rsidR="001E318E">
        <w:rPr>
          <w:rFonts w:cs="Arial"/>
          <w:sz w:val="22"/>
          <w:szCs w:val="22"/>
        </w:rPr>
        <w:t>2030</w:t>
      </w:r>
      <w:r w:rsidR="79033B86" w:rsidRPr="13FF5BEB">
        <w:rPr>
          <w:rFonts w:cs="Arial"/>
          <w:sz w:val="22"/>
          <w:szCs w:val="22"/>
        </w:rPr>
        <w:t>.</w:t>
      </w:r>
    </w:p>
    <w:p w14:paraId="6C7EEAED" w14:textId="107907C7" w:rsidR="3000A6DA" w:rsidRDefault="3000A6DA" w:rsidP="3000A6DA">
      <w:pPr>
        <w:pStyle w:val="Luettelokappale"/>
        <w:rPr>
          <w:rFonts w:cs="Arial"/>
          <w:strike/>
          <w:sz w:val="22"/>
          <w:szCs w:val="22"/>
        </w:rPr>
      </w:pPr>
    </w:p>
    <w:p w14:paraId="711D9332" w14:textId="48D85A12" w:rsidR="77E3D440" w:rsidRDefault="77E3D440" w:rsidP="43B5D3D1">
      <w:pPr>
        <w:rPr>
          <w:rFonts w:cs="Arial"/>
          <w:b/>
          <w:sz w:val="22"/>
          <w:szCs w:val="22"/>
        </w:rPr>
      </w:pPr>
      <w:r w:rsidRPr="18A706A4">
        <w:rPr>
          <w:rFonts w:cs="Arial"/>
          <w:b/>
          <w:sz w:val="22"/>
          <w:szCs w:val="22"/>
        </w:rPr>
        <w:t>Sähkökäyttöisten työsuhdeautojen veroetu</w:t>
      </w:r>
    </w:p>
    <w:p w14:paraId="099305AA" w14:textId="032577A1" w:rsidR="77E3D440" w:rsidRDefault="77E3D440" w:rsidP="3000A6DA">
      <w:pPr>
        <w:pStyle w:val="Luettelokappale"/>
        <w:numPr>
          <w:ilvl w:val="0"/>
          <w:numId w:val="57"/>
        </w:numPr>
        <w:rPr>
          <w:rFonts w:cs="Arial"/>
          <w:sz w:val="22"/>
          <w:szCs w:val="22"/>
        </w:rPr>
      </w:pPr>
      <w:r w:rsidRPr="18A706A4">
        <w:rPr>
          <w:rFonts w:cs="Arial"/>
          <w:sz w:val="22"/>
          <w:szCs w:val="22"/>
        </w:rPr>
        <w:t>Säh</w:t>
      </w:r>
      <w:r w:rsidR="00D003F9">
        <w:rPr>
          <w:rFonts w:cs="Arial"/>
          <w:sz w:val="22"/>
          <w:szCs w:val="22"/>
        </w:rPr>
        <w:t>k</w:t>
      </w:r>
      <w:r w:rsidRPr="18A706A4">
        <w:rPr>
          <w:rFonts w:cs="Arial"/>
          <w:sz w:val="22"/>
          <w:szCs w:val="22"/>
        </w:rPr>
        <w:t>ökäyttöisten työsuhdeautojen veroetua jatketaan vuoteen 2029 asti</w:t>
      </w:r>
    </w:p>
    <w:p w14:paraId="585F24AC" w14:textId="20CD3310" w:rsidR="13FF5BEB" w:rsidRDefault="13FF5BEB" w:rsidP="7BC30846">
      <w:pPr>
        <w:rPr>
          <w:rFonts w:cs="Arial"/>
          <w:b/>
          <w:sz w:val="22"/>
          <w:szCs w:val="22"/>
        </w:rPr>
      </w:pPr>
    </w:p>
    <w:p w14:paraId="35A36591" w14:textId="63B7A878" w:rsidR="11663449" w:rsidRDefault="005F4D87" w:rsidP="11663449">
      <w:pPr>
        <w:rPr>
          <w:rFonts w:cs="Arial"/>
          <w:sz w:val="22"/>
          <w:szCs w:val="22"/>
        </w:rPr>
      </w:pPr>
      <w:r w:rsidRPr="005F4D87">
        <w:rPr>
          <w:rFonts w:cs="Arial"/>
          <w:b/>
          <w:bCs/>
          <w:sz w:val="22"/>
          <w:szCs w:val="22"/>
        </w:rPr>
        <w:t xml:space="preserve">Liikenteen </w:t>
      </w:r>
      <w:r w:rsidR="6E0C5168" w:rsidRPr="344F3634">
        <w:rPr>
          <w:rFonts w:cs="Arial"/>
          <w:b/>
          <w:bCs/>
          <w:sz w:val="22"/>
          <w:szCs w:val="22"/>
        </w:rPr>
        <w:t xml:space="preserve">päästöjä vähentävien </w:t>
      </w:r>
      <w:r w:rsidRPr="005F4D87">
        <w:rPr>
          <w:rFonts w:cs="Arial"/>
          <w:b/>
          <w:bCs/>
          <w:sz w:val="22"/>
          <w:szCs w:val="22"/>
        </w:rPr>
        <w:t>politiikkatoimien vaikutus taakanjakosektorin päästöihin</w:t>
      </w:r>
      <w:r w:rsidR="2FA0E613" w:rsidRPr="206D1C56">
        <w:rPr>
          <w:rFonts w:cs="Arial"/>
          <w:b/>
          <w:bCs/>
          <w:sz w:val="22"/>
          <w:szCs w:val="22"/>
        </w:rPr>
        <w:t xml:space="preserve"> </w:t>
      </w:r>
      <w:r w:rsidR="2FA0E613" w:rsidRPr="7118F245">
        <w:rPr>
          <w:rFonts w:cs="Arial"/>
          <w:b/>
          <w:bCs/>
          <w:sz w:val="22"/>
          <w:szCs w:val="22"/>
        </w:rPr>
        <w:t>vuonna 2030 on vähintään</w:t>
      </w:r>
      <w:r w:rsidRPr="2B0A18C0">
        <w:rPr>
          <w:rFonts w:cs="Arial"/>
          <w:sz w:val="22"/>
          <w:szCs w:val="22"/>
        </w:rPr>
        <w:t> </w:t>
      </w:r>
      <w:r w:rsidR="45394093" w:rsidRPr="00484773">
        <w:rPr>
          <w:rFonts w:cs="Arial"/>
          <w:b/>
          <w:bCs/>
          <w:sz w:val="22"/>
          <w:szCs w:val="22"/>
        </w:rPr>
        <w:t>0,</w:t>
      </w:r>
      <w:r w:rsidR="7638FCEC" w:rsidRPr="00484773">
        <w:rPr>
          <w:rFonts w:cs="Arial"/>
          <w:b/>
          <w:bCs/>
          <w:sz w:val="22"/>
          <w:szCs w:val="22"/>
        </w:rPr>
        <w:t>2</w:t>
      </w:r>
      <w:r w:rsidR="00A03E88">
        <w:rPr>
          <w:rFonts w:cs="Arial"/>
          <w:b/>
          <w:bCs/>
          <w:sz w:val="22"/>
          <w:szCs w:val="22"/>
        </w:rPr>
        <w:t>4</w:t>
      </w:r>
      <w:r w:rsidR="7CEA2F66" w:rsidRPr="00484773">
        <w:rPr>
          <w:rFonts w:cs="Arial"/>
          <w:b/>
          <w:bCs/>
          <w:sz w:val="22"/>
          <w:szCs w:val="22"/>
        </w:rPr>
        <w:t xml:space="preserve"> </w:t>
      </w:r>
      <w:r w:rsidR="45394093" w:rsidRPr="00484773">
        <w:rPr>
          <w:rFonts w:cs="Arial"/>
          <w:b/>
          <w:bCs/>
          <w:sz w:val="22"/>
          <w:szCs w:val="22"/>
        </w:rPr>
        <w:t>Mt CO</w:t>
      </w:r>
      <w:r w:rsidR="45394093" w:rsidRPr="00484773">
        <w:rPr>
          <w:rFonts w:cs="Arial"/>
          <w:b/>
          <w:bCs/>
          <w:sz w:val="17"/>
          <w:szCs w:val="17"/>
          <w:vertAlign w:val="subscript"/>
        </w:rPr>
        <w:t>2</w:t>
      </w:r>
      <w:r w:rsidR="45394093" w:rsidRPr="2B0A18C0">
        <w:rPr>
          <w:rFonts w:cs="Arial"/>
          <w:b/>
          <w:bCs/>
          <w:sz w:val="22"/>
          <w:szCs w:val="22"/>
        </w:rPr>
        <w:t xml:space="preserve">-ekv. </w:t>
      </w:r>
    </w:p>
    <w:p w14:paraId="7C61C567" w14:textId="284BE2DA" w:rsidR="005F4D87" w:rsidRPr="005F4D87" w:rsidRDefault="01F0C10A" w:rsidP="78582E17">
      <w:pPr>
        <w:pStyle w:val="Otsikko3"/>
        <w:numPr>
          <w:ilvl w:val="0"/>
          <w:numId w:val="0"/>
        </w:numPr>
        <w:ind w:left="720"/>
      </w:pPr>
      <w:bookmarkStart w:id="120" w:name="_Toc202260055"/>
      <w:r w:rsidRPr="00F31F29">
        <w:t>6.2.2</w:t>
      </w:r>
      <w:r w:rsidR="1E82F533" w:rsidRPr="00F31F29">
        <w:t xml:space="preserve"> </w:t>
      </w:r>
      <w:r w:rsidR="005F4D87" w:rsidRPr="00F31F29">
        <w:t>Maatalous</w:t>
      </w:r>
      <w:bookmarkEnd w:id="120"/>
      <w:r w:rsidR="005F4D87">
        <w:t> </w:t>
      </w:r>
    </w:p>
    <w:p w14:paraId="4DDF0065" w14:textId="117D487D" w:rsidR="005F4D87" w:rsidRPr="005F4D87" w:rsidRDefault="005F4D87" w:rsidP="007D6C6C">
      <w:pPr>
        <w:pStyle w:val="VNLeip1kappale"/>
        <w:rPr>
          <w:rFonts w:ascii="Segoe UI" w:hAnsi="Segoe UI" w:cs="Segoe UI"/>
          <w:sz w:val="18"/>
          <w:szCs w:val="18"/>
        </w:rPr>
      </w:pPr>
      <w:r w:rsidRPr="005F4D87">
        <w:t>Maatalouden kasvihuonekaasupäästöt ovat peräisin hajallaan olevista biologisista päästölähteistä, joten niiden vähentäminen on vaikeampaa kuin monella muulla sektorilla. Huomionarvoista on, että maatalousmaa ei ole ainoastaan kasvihuonekaasupäästöjen lähde, vaan se pystyy myös sitomaan ilmakehästä hiiltä maaperään</w:t>
      </w:r>
      <w:r w:rsidR="00A24EFA">
        <w:t xml:space="preserve"> sopivilla viljelytoimilla</w:t>
      </w:r>
      <w:r w:rsidRPr="005F4D87">
        <w:t>. </w:t>
      </w:r>
      <w:r w:rsidR="0094079D">
        <w:t xml:space="preserve">Maataloudessa käytettävät työkoneet </w:t>
      </w:r>
      <w:r w:rsidR="001D0CC3">
        <w:t>ja kuivurit aiheuttavat myös päästöjä</w:t>
      </w:r>
      <w:r w:rsidR="00AE25DB">
        <w:t>,</w:t>
      </w:r>
      <w:r w:rsidR="001D0CC3">
        <w:t xml:space="preserve"> mutta ne otetaan huomioon </w:t>
      </w:r>
      <w:r w:rsidR="001238BD">
        <w:t xml:space="preserve">työkoneiden ja lämmityksen </w:t>
      </w:r>
      <w:r w:rsidR="008631F7">
        <w:t>sektoreiden</w:t>
      </w:r>
      <w:r w:rsidR="001238BD">
        <w:t xml:space="preserve"> päästölaskennassa. </w:t>
      </w:r>
      <w:r w:rsidR="00167D38">
        <w:t xml:space="preserve">Biopolttoöljyn </w:t>
      </w:r>
      <w:r w:rsidR="009D54AA">
        <w:t xml:space="preserve">jakeluvelvoitteen noston aiheuttamat </w:t>
      </w:r>
      <w:r w:rsidR="000F65BB">
        <w:t xml:space="preserve">kustannusvaikutukset on tarkoitus </w:t>
      </w:r>
      <w:r w:rsidR="008631F7">
        <w:t>kattaa</w:t>
      </w:r>
      <w:r w:rsidR="00604AAF">
        <w:t xml:space="preserve"> </w:t>
      </w:r>
      <w:r w:rsidR="00BC37D4">
        <w:t xml:space="preserve">kompensaatiojärjestelmän avulla. </w:t>
      </w:r>
      <w:r w:rsidRPr="005F4D87">
        <w:t> </w:t>
      </w:r>
    </w:p>
    <w:p w14:paraId="7F1F05D1" w14:textId="08F8A825" w:rsidR="005F4D87" w:rsidRPr="005F4D87" w:rsidRDefault="005F4D87" w:rsidP="007D6C6C">
      <w:pPr>
        <w:pStyle w:val="VNLeip1kappale"/>
        <w:rPr>
          <w:rFonts w:ascii="Segoe UI" w:hAnsi="Segoe UI" w:cs="Segoe UI"/>
          <w:sz w:val="18"/>
          <w:szCs w:val="18"/>
        </w:rPr>
      </w:pPr>
      <w:r w:rsidRPr="005F4D87">
        <w:t>Maatalouden kasvihuonekaasupäästöjen vähentämistoimia suunniteltaessa tulee tunnistaa ruuan tuotannon merkitys koko yhteiskunnalle ja varmistaa, että esitettävät toimet eivät uhkaa kansallista ruokaturvaa. Suomalaisen maatalous- ja ruokapolitiikan ensisijaisena tavoitteena on kansallisen ruokaturvan ja hyvän ravitsemuksen takaaminen Suomessa asuville. Tulevaisuudessa ruuan kysyntä tulee myös globaalisti kasvamaan, joten jatkossa on kiinnitettävä huomiota tuotannon tehostamiseen eli päästöjen vähentämiseen tuotettua yksikköä kohden. Toimia suunniteltaessa ja niitä toimeenpantaessa tulee samalla selvittää ja varmistaa, että toimien vaikutus saadaan näkyviin Suomen kansalliseen kasvihuonekaasuinventaarioon. </w:t>
      </w:r>
    </w:p>
    <w:p w14:paraId="642F2F0A" w14:textId="02E1B0C0" w:rsidR="005F4D87" w:rsidRPr="005F4D87" w:rsidRDefault="005F4D87" w:rsidP="007D6C6C">
      <w:pPr>
        <w:pStyle w:val="VNLeip1kappale"/>
      </w:pPr>
      <w:r w:rsidRPr="005F4D87">
        <w:t xml:space="preserve">Maataloudessa päästövähennystoimia tehdään erityisesti Euroopan unionin yhteisen maatalouspolitiikan (YMP) tarjoamilla toimenpiteillä. Maatalouden ilmastotoimien politiikkaskenaarion valmistelun yhteydessä on huomattava, että YMP:n meneillään oleva rahoituskausi koskee vuosia 2023–2027. YMP:n valmistelu vuoden 2027 jälkeiselle ajalle on käynnistynyt. Komissio julkaisi helmikuussa 2025 vision maatalouden ja ruoan tulevaisuudesta. Visiossa linjataan sektorin tulevaisuutta vuoteen 2040 ja annetaan suuntaa seuraavalle yhteisen maatalouspolitiikan uudistukselle. EU pyrkii visiolla kehittämään maataloussektoria kilpailukykyisemmäksi ja lisäämään sektorin vetovoimaa nuorille. Vision ytimessä on ruokaturvan takaaminen. </w:t>
      </w:r>
      <w:r w:rsidR="001C6A08">
        <w:t xml:space="preserve">Maatalouden päästövähennystoimia on </w:t>
      </w:r>
      <w:r w:rsidR="00085BDF">
        <w:t>todennäköis</w:t>
      </w:r>
      <w:r w:rsidR="001D616C">
        <w:t>esti</w:t>
      </w:r>
      <w:r w:rsidR="00983ADA">
        <w:t xml:space="preserve"> </w:t>
      </w:r>
      <w:r w:rsidR="001C6A08">
        <w:t xml:space="preserve">mahdollista edistää myös </w:t>
      </w:r>
      <w:r w:rsidR="00964E73">
        <w:t xml:space="preserve">valmistelussa olevilla </w:t>
      </w:r>
      <w:r w:rsidR="00461B91">
        <w:t xml:space="preserve">hallitusohjelman mukaisella jakeluvelvoitteen joustomekanismilla ja EU:n </w:t>
      </w:r>
      <w:r w:rsidR="004D1851">
        <w:t xml:space="preserve">pysyvää </w:t>
      </w:r>
      <w:r w:rsidR="00C071D5">
        <w:t>hiilenpoisto</w:t>
      </w:r>
      <w:r w:rsidR="004D1851">
        <w:t>a</w:t>
      </w:r>
      <w:r w:rsidR="00FF4157">
        <w:t>,</w:t>
      </w:r>
      <w:r w:rsidR="00C071D5">
        <w:t xml:space="preserve"> hiiliviljelyä </w:t>
      </w:r>
      <w:r w:rsidR="00FF4157">
        <w:t xml:space="preserve">ja </w:t>
      </w:r>
      <w:r w:rsidR="00AB0C76">
        <w:t>hiilenvarastointia tuotteisiin koskeva</w:t>
      </w:r>
      <w:r w:rsidR="000C0E18">
        <w:t>lla</w:t>
      </w:r>
      <w:r w:rsidR="00AB0C76">
        <w:t xml:space="preserve"> sertifiointi</w:t>
      </w:r>
      <w:r w:rsidR="00E90954">
        <w:t>kehyksellä</w:t>
      </w:r>
      <w:r w:rsidR="00B3763F">
        <w:t>.</w:t>
      </w:r>
      <w:r w:rsidR="006F4AE1">
        <w:t xml:space="preserve"> Näiden</w:t>
      </w:r>
      <w:r w:rsidR="000C0E18">
        <w:t xml:space="preserve"> vaikutusta ei ole vielä voitu huomio</w:t>
      </w:r>
      <w:r w:rsidR="00964E73">
        <w:t>i</w:t>
      </w:r>
      <w:r w:rsidR="000C0E18">
        <w:t xml:space="preserve">da </w:t>
      </w:r>
      <w:proofErr w:type="spellStart"/>
      <w:r w:rsidR="000C0E18">
        <w:t>KAISUn</w:t>
      </w:r>
      <w:proofErr w:type="spellEnd"/>
      <w:r w:rsidR="000C0E18">
        <w:t xml:space="preserve"> valmistelussa</w:t>
      </w:r>
      <w:r w:rsidR="00E90954">
        <w:t xml:space="preserve">. </w:t>
      </w:r>
      <w:r w:rsidR="70B40C18">
        <w:t xml:space="preserve">Vapaaehtoisia hiilimarkkinoita </w:t>
      </w:r>
      <w:r w:rsidR="00C516E9">
        <w:t>käsitellään</w:t>
      </w:r>
      <w:r w:rsidR="70B40C18">
        <w:t xml:space="preserve"> luvussa 6.3.1</w:t>
      </w:r>
    </w:p>
    <w:p w14:paraId="012C8640" w14:textId="17156543" w:rsidR="005F4D87" w:rsidRPr="005F4D87" w:rsidRDefault="005F4D87" w:rsidP="007D6C6C">
      <w:pPr>
        <w:pStyle w:val="VNLeip1kappale"/>
        <w:rPr>
          <w:rFonts w:ascii="Segoe UI" w:hAnsi="Segoe UI" w:cs="Segoe UI"/>
          <w:sz w:val="18"/>
          <w:szCs w:val="18"/>
        </w:rPr>
      </w:pPr>
      <w:r w:rsidRPr="005F4D87">
        <w:t xml:space="preserve">Maatalouden kasvihuonekaasupäästöihin ja niiden vähentämiseen sekä maatalousmaan hiilen sidontaan ja hiilivarastojen ylläpitämiseen liittyy läheisesti vuonna 2022 laadittu maankäyttösektorin ilmastosuunnitelma (MISU). Maankäyttösektorilla viitataan maatalousmaahan, metsätalouteen sekä muuhun maankäyttöön. </w:t>
      </w:r>
      <w:proofErr w:type="spellStart"/>
      <w:r w:rsidRPr="005F4D87">
        <w:t>MISU:ssa</w:t>
      </w:r>
      <w:proofErr w:type="spellEnd"/>
      <w:r w:rsidRPr="005F4D87">
        <w:t xml:space="preserve"> määriteltiin keinot, joihin panostamalla vähennetään maankäyttösektorin ilmastopäästöjä sekä vahvistetaan hiilinieluja ja ylläpidetään hiilivarastoja. Maankäyttösektorin ilmastosuunnitelma kattaa maatalousmaiden hiilidioksidipäästöihin, metsiin, maankäytön muutoksiin ja ilmastokosteikkoihin kohdentuvat toimenpiteet.  </w:t>
      </w:r>
    </w:p>
    <w:p w14:paraId="24270325" w14:textId="20407A88" w:rsidR="005F4D87" w:rsidRPr="005F4D87" w:rsidRDefault="005F4D87" w:rsidP="007D6C6C">
      <w:pPr>
        <w:pStyle w:val="VNLeip1kappale"/>
        <w:rPr>
          <w:rFonts w:ascii="Segoe UI" w:hAnsi="Segoe UI" w:cs="Segoe UI"/>
          <w:sz w:val="18"/>
          <w:szCs w:val="18"/>
        </w:rPr>
      </w:pPr>
      <w:r w:rsidRPr="005F4D87">
        <w:t xml:space="preserve">Keskipitkän aikavälin </w:t>
      </w:r>
      <w:r w:rsidR="78B0DCAC">
        <w:t>ilmastosuunnitelman</w:t>
      </w:r>
      <w:r w:rsidRPr="005F4D87">
        <w:t xml:space="preserve"> maatalouden ilmastotoimien politiikkaskenaario perustuu Kansallisen energia- ja ilmastopolitiikan uudet toimet ja –skenaariot (KEITO) -</w:t>
      </w:r>
      <w:r w:rsidR="008B57A6">
        <w:t>työssä</w:t>
      </w:r>
      <w:r w:rsidRPr="005F4D87">
        <w:t xml:space="preserve"> laadittuihin skenaarioihin. KEITO-skenaariotyössä perusskenaariona (WEM) on Perusskenaariot energia- ja ilmastotoimien kokonaisuudelle kohti päästöttömyyttä (PEIKKO)-hankkeen WEM- skenaario.  </w:t>
      </w:r>
    </w:p>
    <w:p w14:paraId="6B5530BC" w14:textId="4A25CAA1" w:rsidR="004B57AF" w:rsidRPr="008F5AC0" w:rsidRDefault="00C74C26" w:rsidP="00D32A40">
      <w:pPr>
        <w:pStyle w:val="Numeroimatonotsikko"/>
        <w:rPr>
          <w:rFonts w:cs="Arial"/>
          <w:b w:val="0"/>
          <w:sz w:val="22"/>
          <w:szCs w:val="22"/>
          <w:u w:val="single"/>
        </w:rPr>
      </w:pPr>
      <w:r w:rsidRPr="008F5AC0">
        <w:t>Politiikkatoimet ja muut mahdolliset toimet</w:t>
      </w:r>
    </w:p>
    <w:p w14:paraId="7418B9DF" w14:textId="77777777" w:rsidR="00DA62C4" w:rsidRPr="00482C86" w:rsidRDefault="00DA62C4" w:rsidP="005F4D87">
      <w:pPr>
        <w:textAlignment w:val="baseline"/>
        <w:rPr>
          <w:rFonts w:cs="Arial"/>
          <w:b/>
          <w:sz w:val="22"/>
          <w:szCs w:val="22"/>
        </w:rPr>
      </w:pPr>
    </w:p>
    <w:p w14:paraId="227A4252" w14:textId="1568CF41" w:rsidR="004B57AF" w:rsidRPr="00484773" w:rsidRDefault="005F4D87" w:rsidP="005F4D87">
      <w:pPr>
        <w:textAlignment w:val="baseline"/>
        <w:rPr>
          <w:rFonts w:ascii="Segoe UI" w:hAnsi="Segoe UI" w:cs="Segoe UI"/>
          <w:b/>
          <w:bCs/>
          <w:sz w:val="18"/>
          <w:szCs w:val="18"/>
        </w:rPr>
      </w:pPr>
      <w:r w:rsidRPr="00484773">
        <w:rPr>
          <w:rFonts w:cs="Arial"/>
          <w:b/>
          <w:bCs/>
          <w:sz w:val="22"/>
          <w:szCs w:val="22"/>
        </w:rPr>
        <w:t xml:space="preserve">Turvepeltojen viljely korotetulla pohjaveden pinnalla tai turvepellon </w:t>
      </w:r>
      <w:proofErr w:type="spellStart"/>
      <w:r w:rsidRPr="00484773">
        <w:rPr>
          <w:rFonts w:cs="Arial"/>
          <w:b/>
          <w:bCs/>
          <w:sz w:val="22"/>
          <w:szCs w:val="22"/>
        </w:rPr>
        <w:t>vettäminen</w:t>
      </w:r>
      <w:proofErr w:type="spellEnd"/>
      <w:r w:rsidRPr="00484773">
        <w:rPr>
          <w:rFonts w:cs="Arial"/>
          <w:b/>
          <w:bCs/>
          <w:sz w:val="22"/>
          <w:szCs w:val="22"/>
        </w:rPr>
        <w:t> </w:t>
      </w:r>
    </w:p>
    <w:p w14:paraId="6F05A30E" w14:textId="39AA42AD" w:rsidR="005F4D87" w:rsidRPr="005F4D87" w:rsidRDefault="005F4D87" w:rsidP="4A62490D">
      <w:pPr>
        <w:pStyle w:val="VNLeip1kappale"/>
        <w:rPr>
          <w:rFonts w:ascii="Segoe UI" w:hAnsi="Segoe UI" w:cs="Segoe UI"/>
          <w:sz w:val="18"/>
          <w:szCs w:val="18"/>
        </w:rPr>
      </w:pPr>
      <w:r w:rsidRPr="005F4D87">
        <w:t xml:space="preserve">Turvepeltojen päästöt vaihtelevat eri pellonkäyttömuodon ja vedenpinnan tason </w:t>
      </w:r>
      <w:proofErr w:type="gramStart"/>
      <w:r w:rsidRPr="005F4D87">
        <w:t>johdosta</w:t>
      </w:r>
      <w:proofErr w:type="gramEnd"/>
      <w:r w:rsidRPr="005F4D87">
        <w:t>, joten niiden viljelyn ilmastokestävyyteen voidaan vaikuttaa viljelymenetelmillä ja erityisesti pohjaveden pinnan säätelyllä.  </w:t>
      </w:r>
    </w:p>
    <w:p w14:paraId="6F91AA57" w14:textId="1E2238CD" w:rsidR="004C4556" w:rsidRPr="004C4556" w:rsidRDefault="005F4D87" w:rsidP="004C4556">
      <w:pPr>
        <w:pStyle w:val="VNLeip1kappale"/>
      </w:pPr>
      <w:r w:rsidRPr="005F4D87">
        <w:t xml:space="preserve">Nykytiedon mukaan turvepeltojen pohjaveden pintaa nostamalla tai alueen </w:t>
      </w:r>
      <w:proofErr w:type="spellStart"/>
      <w:r w:rsidRPr="005F4D87">
        <w:t>vettämisellä</w:t>
      </w:r>
      <w:proofErr w:type="spellEnd"/>
      <w:r w:rsidRPr="005F4D87">
        <w:t xml:space="preserve"> voidaan saavuttaa merkittävimmät päästövähennykset. </w:t>
      </w:r>
      <w:r w:rsidR="00D82362" w:rsidRPr="00D82362">
        <w:t>Turvepeltojen vedenpintaa voidaan nostaa joko säätösalaojituksella tai patoamisella. EU:n yhteisen maatalouspolitiikan toimenpiteissä pohjaveden pinnan nostamista turvemailla tuetaan säätösalaojituksen investointituella ja ympäristökorvausten valumavesien hallinnan hoitotuella. Patoamista ei erikseen tueta</w:t>
      </w:r>
      <w:r w:rsidR="004C4556">
        <w:t xml:space="preserve">. </w:t>
      </w:r>
      <w:proofErr w:type="spellStart"/>
      <w:r w:rsidR="73395B51">
        <w:t>YMP</w:t>
      </w:r>
      <w:r w:rsidR="004C4556">
        <w:t>:ssa</w:t>
      </w:r>
      <w:proofErr w:type="spellEnd"/>
      <w:r w:rsidR="004C4556" w:rsidRPr="004C4556">
        <w:t xml:space="preserve"> ei tällä hetkellä ole erikseen kannustinta viljelyyn korotetulla pohjaveden pinnalla (kosteikkoviljely). Kosteikkoviljelyn kehittyminen Suomessa vaatii koko arvoketjun luomista alkutuotannosta loppukäyttäjään. </w:t>
      </w:r>
      <w:r w:rsidR="004C4556">
        <w:t xml:space="preserve">Kosteikkoviljelyn mahdollisuuksia Suomessa on tarkasteltu </w:t>
      </w:r>
      <w:r w:rsidR="00675669">
        <w:t xml:space="preserve">ja tarkastellaan </w:t>
      </w:r>
      <w:r w:rsidR="004C4556">
        <w:t>useammassa eri hankkeessa.</w:t>
      </w:r>
    </w:p>
    <w:p w14:paraId="464D3C52" w14:textId="25289A42" w:rsidR="005F4D87" w:rsidRPr="005F4D87" w:rsidRDefault="005F4D87" w:rsidP="49A3BE79">
      <w:pPr>
        <w:pStyle w:val="VNLeip1kappale"/>
      </w:pPr>
      <w:proofErr w:type="spellStart"/>
      <w:r w:rsidRPr="005F4D87">
        <w:t>Vettämisellä</w:t>
      </w:r>
      <w:proofErr w:type="spellEnd"/>
      <w:r w:rsidRPr="005F4D87">
        <w:t xml:space="preserve"> tarkoitetaan ojitettujen turvemaiden vedenpinnan tarkoituksellista nostoa pyrkimyksenä palauttaa suon luonnollinen vesitalous ojia tukkimalla, patoamalla, pintavallien avulla ja vesiä uudelleen ohjaamalla. Turvepeltojen ilmastokosteikkotoimessa tai huonotuottoisten paksuturpeisten peltojen kosteikkotoimessa alue ennallistetaan suon kaltaiseksi alueeksi esimerkiksi patoamalla ojia niin, että pohjaveden pinta nousee pysyvästi tasolle, joka ehkäisee tehokkaasti turpeen hajoamisen. Kosteikon perustamisen lisäksi kannustimia tarvitaan myös kosteikon hoitamiseen. </w:t>
      </w:r>
    </w:p>
    <w:p w14:paraId="4D844CE1" w14:textId="049BCAD9" w:rsidR="00473EA0" w:rsidRPr="00473EA0" w:rsidRDefault="005F4D87" w:rsidP="00473EA0">
      <w:pPr>
        <w:pStyle w:val="VNLeip1kappale"/>
      </w:pPr>
      <w:r w:rsidRPr="005F4D87">
        <w:t xml:space="preserve">Vuodesta 2023 alkaen on voitu hakea </w:t>
      </w:r>
      <w:r w:rsidR="0D0BEA22">
        <w:t>YMP</w:t>
      </w:r>
      <w:r w:rsidRPr="005F4D87">
        <w:t>:</w:t>
      </w:r>
      <w:r w:rsidR="00A93B71">
        <w:t>n</w:t>
      </w:r>
      <w:r w:rsidRPr="005F4D87">
        <w:t xml:space="preserve"> ei-tuotannollisten investointien korvausta kosteikkoinvestoiteihin, joihin kuuluvat maatalouden vesiensuojelua ja luonnon monimuotoisuutta edistävien kosteikoiden lisäksi uusina myös turvepelloille perustettavat ilmastokosteikot, joiden päätavoite on ilmastonmuutoksen hillintä. Lisäksi alueelle voidaan tehdä hoitosopimus. </w:t>
      </w:r>
      <w:r w:rsidR="00473EA0" w:rsidRPr="00473EA0">
        <w:t>Kosteikon hoitosopimukseen hyväksytylle alalle voidaan maksaa korvausta kosteikon hoidosta</w:t>
      </w:r>
      <w:r w:rsidR="00473EA0">
        <w:t>,</w:t>
      </w:r>
      <w:r w:rsidR="00473EA0" w:rsidRPr="00473EA0">
        <w:t xml:space="preserve"> mutta ei muita </w:t>
      </w:r>
      <w:r w:rsidR="51E69244">
        <w:t>maatalous</w:t>
      </w:r>
      <w:r w:rsidR="00473EA0">
        <w:t>tukia</w:t>
      </w:r>
      <w:r w:rsidR="00FB401C">
        <w:t>, koska i</w:t>
      </w:r>
      <w:r w:rsidR="008B70CD" w:rsidRPr="008B70CD">
        <w:t>lmastokosteikoiksi muutetu</w:t>
      </w:r>
      <w:r w:rsidR="007A17D0">
        <w:t>t</w:t>
      </w:r>
      <w:r w:rsidR="008B70CD" w:rsidRPr="008B70CD">
        <w:t xml:space="preserve"> turvepel</w:t>
      </w:r>
      <w:r w:rsidR="007A17D0">
        <w:t>lot</w:t>
      </w:r>
      <w:r w:rsidR="008B70CD" w:rsidRPr="008B70CD">
        <w:t xml:space="preserve"> ei</w:t>
      </w:r>
      <w:r w:rsidR="007A17D0">
        <w:t>vät</w:t>
      </w:r>
      <w:r w:rsidR="008B70CD" w:rsidRPr="008B70CD">
        <w:t xml:space="preserve"> ole </w:t>
      </w:r>
      <w:r w:rsidR="001F317D">
        <w:t>maatalouspolitiikan näkökulmasta</w:t>
      </w:r>
      <w:r w:rsidR="008B70CD" w:rsidRPr="008B70CD">
        <w:t xml:space="preserve"> enää maatalousmaata, vaan ne ovat maatalousmaan ulkopuolista aluetta. </w:t>
      </w:r>
    </w:p>
    <w:p w14:paraId="1C100210" w14:textId="09945703" w:rsidR="005F4D87" w:rsidRPr="005F4D87" w:rsidRDefault="000112FA" w:rsidP="2143147C">
      <w:pPr>
        <w:pStyle w:val="VNLeip1kappale"/>
        <w:rPr>
          <w:rFonts w:ascii="Segoe UI" w:hAnsi="Segoe UI" w:cs="Segoe UI"/>
          <w:sz w:val="18"/>
          <w:szCs w:val="18"/>
        </w:rPr>
      </w:pPr>
      <w:r>
        <w:t>YMP</w:t>
      </w:r>
      <w:r w:rsidR="005F4D87" w:rsidRPr="005F4D87">
        <w:t>:n ei-tuotannollisten investointien ja kosteikko</w:t>
      </w:r>
      <w:r w:rsidR="006D699F">
        <w:t>jen hoito</w:t>
      </w:r>
      <w:r w:rsidR="005F4D87" w:rsidRPr="005F4D87">
        <w:t xml:space="preserve">tuen yhdistelmä on kuitenkin hallinnollisesti raskas ja määräraha on ilmastotavoitteisiin nähden pieni, eikä </w:t>
      </w:r>
      <w:r w:rsidR="00861149">
        <w:t>YMP</w:t>
      </w:r>
      <w:r w:rsidR="005F4D87" w:rsidRPr="005F4D87">
        <w:t xml:space="preserve">:n toimintamalli siten sovellu laajempien pinta-alojen </w:t>
      </w:r>
      <w:proofErr w:type="spellStart"/>
      <w:r w:rsidR="005F4D87" w:rsidRPr="005F4D87">
        <w:t>vettämiseksi</w:t>
      </w:r>
      <w:proofErr w:type="spellEnd"/>
      <w:r w:rsidR="005F4D87" w:rsidRPr="005F4D87">
        <w:t>. </w:t>
      </w:r>
    </w:p>
    <w:p w14:paraId="16400350" w14:textId="77777777" w:rsidR="0097184E" w:rsidRDefault="005F4D87" w:rsidP="2143147C">
      <w:pPr>
        <w:pStyle w:val="VNLeip1kappale"/>
      </w:pPr>
      <w:r w:rsidRPr="005F4D87">
        <w:t xml:space="preserve">Turvepeltoja </w:t>
      </w:r>
      <w:proofErr w:type="spellStart"/>
      <w:r w:rsidRPr="005F4D87">
        <w:t>vettämällä</w:t>
      </w:r>
      <w:proofErr w:type="spellEnd"/>
      <w:r w:rsidRPr="005F4D87">
        <w:t xml:space="preserve"> voidaan vastata myös EU:n ennallistamistavoitteisiin ja luonnon monimuotoisuuden edistämistavoitteisiin. Toimenpiteen kustannustehokkuutta tulisi tarkastella myös tästä näkökulmasta.</w:t>
      </w:r>
    </w:p>
    <w:p w14:paraId="1D4221C3" w14:textId="30931958" w:rsidR="001B3DDE" w:rsidRDefault="005F4D87" w:rsidP="2143147C">
      <w:pPr>
        <w:pStyle w:val="VNLeip1kappale"/>
      </w:pPr>
      <w:r w:rsidRPr="005F4D87">
        <w:t> </w:t>
      </w:r>
    </w:p>
    <w:p w14:paraId="32D1DC58" w14:textId="70F5AC2A" w:rsidR="008A7C65" w:rsidRDefault="008A7C65" w:rsidP="00417846">
      <w:pPr>
        <w:pStyle w:val="Kuvaotsikko"/>
      </w:pPr>
      <w:r>
        <w:t>Taulukko</w:t>
      </w:r>
      <w:r w:rsidR="003F7BD1">
        <w:t xml:space="preserve"> </w:t>
      </w:r>
      <w:r w:rsidR="008C278F">
        <w:fldChar w:fldCharType="begin"/>
      </w:r>
      <w:r w:rsidR="008C278F">
        <w:instrText xml:space="preserve"> SEQ Taulukko \* ARABIC </w:instrText>
      </w:r>
      <w:r w:rsidR="008C278F">
        <w:fldChar w:fldCharType="separate"/>
      </w:r>
      <w:r w:rsidR="008C278F">
        <w:rPr>
          <w:noProof/>
        </w:rPr>
        <w:t>9</w:t>
      </w:r>
      <w:r w:rsidR="008C278F">
        <w:fldChar w:fldCharType="end"/>
      </w:r>
      <w:r w:rsidR="008C278F">
        <w:t>.</w:t>
      </w:r>
      <w:r>
        <w:t xml:space="preserve"> WAM-skenaarion vaikutusarviot t</w:t>
      </w:r>
      <w:r w:rsidRPr="008A7C65">
        <w:t>urvepeltojen viljely</w:t>
      </w:r>
      <w:r>
        <w:t>stä</w:t>
      </w:r>
      <w:r w:rsidRPr="008A7C65">
        <w:t xml:space="preserve"> korotetulla pohjaveden pinnalla </w:t>
      </w:r>
      <w:r>
        <w:t>ja</w:t>
      </w:r>
      <w:r w:rsidRPr="008A7C65">
        <w:t xml:space="preserve"> turvepellon </w:t>
      </w:r>
      <w:proofErr w:type="spellStart"/>
      <w:r w:rsidRPr="008A7C65">
        <w:t>vettämi</w:t>
      </w:r>
      <w:r>
        <w:t>sestä</w:t>
      </w:r>
      <w:proofErr w:type="spellEnd"/>
      <w:r>
        <w:t xml:space="preserve"> 2035 ja 2040 verrattuna WEM-skenaarioon. Vuonna 2030 ei eroa </w:t>
      </w:r>
      <w:r w:rsidR="00E71DD1">
        <w:t>skenaarioiden</w:t>
      </w:r>
      <w:r>
        <w:t xml:space="preserve"> välillä. </w:t>
      </w:r>
    </w:p>
    <w:tbl>
      <w:tblPr>
        <w:tblW w:w="7508" w:type="dxa"/>
        <w:tblCellMar>
          <w:left w:w="70" w:type="dxa"/>
          <w:right w:w="70" w:type="dxa"/>
        </w:tblCellMar>
        <w:tblLook w:val="04A0" w:firstRow="1" w:lastRow="0" w:firstColumn="1" w:lastColumn="0" w:noHBand="0" w:noVBand="1"/>
      </w:tblPr>
      <w:tblGrid>
        <w:gridCol w:w="4962"/>
        <w:gridCol w:w="425"/>
        <w:gridCol w:w="709"/>
        <w:gridCol w:w="412"/>
        <w:gridCol w:w="1000"/>
      </w:tblGrid>
      <w:tr w:rsidR="007A3AD7" w:rsidRPr="007A3AD7" w14:paraId="14157015" w14:textId="77777777" w:rsidTr="003B0EAF">
        <w:trPr>
          <w:trHeight w:val="280"/>
        </w:trPr>
        <w:tc>
          <w:tcPr>
            <w:tcW w:w="4962" w:type="dxa"/>
            <w:tcBorders>
              <w:top w:val="nil"/>
              <w:left w:val="nil"/>
              <w:bottom w:val="nil"/>
              <w:right w:val="nil"/>
            </w:tcBorders>
            <w:noWrap/>
            <w:vAlign w:val="center"/>
            <w:hideMark/>
          </w:tcPr>
          <w:p w14:paraId="2E3B7E17" w14:textId="77777777" w:rsidR="007A3AD7" w:rsidRPr="007A3AD7" w:rsidRDefault="007A3AD7" w:rsidP="007A3AD7">
            <w:pPr>
              <w:rPr>
                <w:rFonts w:ascii="Times New Roman" w:hAnsi="Times New Roman"/>
                <w:sz w:val="24"/>
                <w:szCs w:val="24"/>
              </w:rPr>
            </w:pPr>
          </w:p>
        </w:tc>
        <w:tc>
          <w:tcPr>
            <w:tcW w:w="2546" w:type="dxa"/>
            <w:gridSpan w:val="4"/>
            <w:tcBorders>
              <w:top w:val="single" w:sz="4" w:space="0" w:color="auto"/>
              <w:left w:val="single" w:sz="4" w:space="0" w:color="auto"/>
              <w:bottom w:val="nil"/>
              <w:right w:val="single" w:sz="4" w:space="0" w:color="auto"/>
            </w:tcBorders>
            <w:shd w:val="clear" w:color="000000" w:fill="CBF3DB"/>
            <w:noWrap/>
            <w:vAlign w:val="center"/>
            <w:hideMark/>
          </w:tcPr>
          <w:p w14:paraId="3B61054F" w14:textId="77777777" w:rsidR="007A3AD7" w:rsidRPr="007A3AD7" w:rsidRDefault="007A3AD7" w:rsidP="000A343C">
            <w:pPr>
              <w:jc w:val="center"/>
              <w:rPr>
                <w:rFonts w:cs="Arial"/>
                <w:b/>
                <w:bCs/>
                <w:color w:val="000000"/>
                <w:sz w:val="22"/>
                <w:szCs w:val="22"/>
              </w:rPr>
            </w:pPr>
            <w:r w:rsidRPr="007A3AD7">
              <w:rPr>
                <w:rFonts w:cs="Arial"/>
                <w:b/>
                <w:bCs/>
                <w:color w:val="000000"/>
                <w:sz w:val="22"/>
                <w:szCs w:val="22"/>
              </w:rPr>
              <w:t>2035 ja 2040</w:t>
            </w:r>
          </w:p>
        </w:tc>
      </w:tr>
      <w:tr w:rsidR="007A3AD7" w:rsidRPr="007A3AD7" w14:paraId="0ADD9177" w14:textId="77777777" w:rsidTr="003B0EAF">
        <w:trPr>
          <w:trHeight w:val="280"/>
        </w:trPr>
        <w:tc>
          <w:tcPr>
            <w:tcW w:w="4962" w:type="dxa"/>
            <w:tcBorders>
              <w:top w:val="nil"/>
              <w:left w:val="nil"/>
              <w:bottom w:val="nil"/>
              <w:right w:val="nil"/>
            </w:tcBorders>
            <w:noWrap/>
            <w:vAlign w:val="center"/>
            <w:hideMark/>
          </w:tcPr>
          <w:p w14:paraId="15799AF1" w14:textId="77777777" w:rsidR="007A3AD7" w:rsidRPr="007A3AD7" w:rsidRDefault="007A3AD7" w:rsidP="007A3AD7">
            <w:pPr>
              <w:jc w:val="center"/>
              <w:rPr>
                <w:rFonts w:cs="Arial"/>
                <w:b/>
                <w:bCs/>
                <w:color w:val="000000"/>
                <w:sz w:val="22"/>
                <w:szCs w:val="22"/>
              </w:rPr>
            </w:pPr>
          </w:p>
        </w:tc>
        <w:tc>
          <w:tcPr>
            <w:tcW w:w="1134" w:type="dxa"/>
            <w:gridSpan w:val="2"/>
            <w:tcBorders>
              <w:top w:val="nil"/>
              <w:left w:val="single" w:sz="4" w:space="0" w:color="auto"/>
              <w:bottom w:val="single" w:sz="4" w:space="0" w:color="auto"/>
              <w:right w:val="nil"/>
            </w:tcBorders>
            <w:shd w:val="clear" w:color="000000" w:fill="CBF3DB"/>
            <w:vAlign w:val="center"/>
            <w:hideMark/>
          </w:tcPr>
          <w:p w14:paraId="7539C3B3" w14:textId="77777777" w:rsidR="007A3AD7" w:rsidRPr="007A3AD7" w:rsidRDefault="007A3AD7" w:rsidP="000A343C">
            <w:pPr>
              <w:jc w:val="center"/>
              <w:rPr>
                <w:rFonts w:cs="Arial"/>
                <w:b/>
                <w:bCs/>
                <w:color w:val="000000"/>
                <w:sz w:val="22"/>
                <w:szCs w:val="22"/>
              </w:rPr>
            </w:pPr>
            <w:r w:rsidRPr="007A3AD7">
              <w:rPr>
                <w:rFonts w:cs="Arial"/>
                <w:b/>
                <w:bCs/>
                <w:color w:val="000000"/>
                <w:sz w:val="22"/>
                <w:szCs w:val="22"/>
              </w:rPr>
              <w:t>TJS</w:t>
            </w:r>
          </w:p>
        </w:tc>
        <w:tc>
          <w:tcPr>
            <w:tcW w:w="1412" w:type="dxa"/>
            <w:gridSpan w:val="2"/>
            <w:tcBorders>
              <w:top w:val="nil"/>
              <w:left w:val="nil"/>
              <w:bottom w:val="single" w:sz="4" w:space="0" w:color="auto"/>
              <w:right w:val="single" w:sz="4" w:space="0" w:color="auto"/>
            </w:tcBorders>
            <w:shd w:val="clear" w:color="000000" w:fill="CBF3DB"/>
            <w:vAlign w:val="center"/>
            <w:hideMark/>
          </w:tcPr>
          <w:p w14:paraId="4415940D" w14:textId="77777777" w:rsidR="007A3AD7" w:rsidRPr="007A3AD7" w:rsidRDefault="007A3AD7" w:rsidP="000A343C">
            <w:pPr>
              <w:jc w:val="center"/>
              <w:rPr>
                <w:rFonts w:cs="Arial"/>
                <w:b/>
                <w:bCs/>
                <w:color w:val="000000"/>
                <w:sz w:val="22"/>
                <w:szCs w:val="22"/>
              </w:rPr>
            </w:pPr>
            <w:r w:rsidRPr="007A3AD7">
              <w:rPr>
                <w:rFonts w:cs="Arial"/>
                <w:b/>
                <w:bCs/>
                <w:color w:val="000000"/>
                <w:sz w:val="22"/>
                <w:szCs w:val="22"/>
              </w:rPr>
              <w:t>LULUCF</w:t>
            </w:r>
          </w:p>
        </w:tc>
      </w:tr>
      <w:tr w:rsidR="007A3AD7" w:rsidRPr="007A3AD7" w14:paraId="4DEE3C8F" w14:textId="77777777" w:rsidTr="003B0EAF">
        <w:trPr>
          <w:trHeight w:val="1120"/>
        </w:trPr>
        <w:tc>
          <w:tcPr>
            <w:tcW w:w="4962" w:type="dxa"/>
            <w:tcBorders>
              <w:top w:val="single" w:sz="4" w:space="0" w:color="auto"/>
              <w:left w:val="single" w:sz="4" w:space="0" w:color="auto"/>
              <w:bottom w:val="nil"/>
              <w:right w:val="single" w:sz="4" w:space="0" w:color="auto"/>
            </w:tcBorders>
            <w:vAlign w:val="center"/>
            <w:hideMark/>
          </w:tcPr>
          <w:p w14:paraId="7122346E" w14:textId="77777777" w:rsidR="007A3AD7" w:rsidRPr="007A3AD7" w:rsidRDefault="007A3AD7" w:rsidP="007A3AD7">
            <w:pPr>
              <w:rPr>
                <w:rFonts w:cs="Arial"/>
                <w:b/>
                <w:bCs/>
                <w:color w:val="000000"/>
                <w:sz w:val="22"/>
                <w:szCs w:val="22"/>
              </w:rPr>
            </w:pPr>
            <w:r w:rsidRPr="007A3AD7">
              <w:rPr>
                <w:rFonts w:cs="Arial"/>
                <w:b/>
                <w:bCs/>
                <w:color w:val="000000"/>
                <w:sz w:val="22"/>
                <w:szCs w:val="22"/>
              </w:rPr>
              <w:t xml:space="preserve">Turvemaan nurmiviljely korotetulla pohjaveden pinnalla -30 cm monivuotisesti ilman muokkausta. </w:t>
            </w:r>
            <w:r w:rsidRPr="007A3AD7">
              <w:rPr>
                <w:rFonts w:cs="Arial"/>
                <w:b/>
                <w:bCs/>
                <w:color w:val="000000"/>
                <w:sz w:val="22"/>
                <w:szCs w:val="22"/>
              </w:rPr>
              <w:br/>
            </w:r>
            <w:r w:rsidRPr="007A3AD7">
              <w:rPr>
                <w:rFonts w:cs="Arial"/>
                <w:color w:val="000000"/>
                <w:sz w:val="22"/>
                <w:szCs w:val="22"/>
              </w:rPr>
              <w:t>2030: 20 000 ha</w:t>
            </w:r>
            <w:r w:rsidRPr="007A3AD7">
              <w:rPr>
                <w:rFonts w:cs="Arial"/>
                <w:color w:val="000000"/>
                <w:sz w:val="22"/>
                <w:szCs w:val="22"/>
              </w:rPr>
              <w:br/>
              <w:t>2035 &amp; 2040: WEM 32 500 ha, WAM 40 000 ha</w:t>
            </w:r>
          </w:p>
        </w:tc>
        <w:tc>
          <w:tcPr>
            <w:tcW w:w="1134" w:type="dxa"/>
            <w:gridSpan w:val="2"/>
            <w:tcBorders>
              <w:top w:val="nil"/>
              <w:left w:val="single" w:sz="4" w:space="0" w:color="auto"/>
              <w:bottom w:val="nil"/>
              <w:right w:val="nil"/>
            </w:tcBorders>
            <w:noWrap/>
            <w:vAlign w:val="center"/>
            <w:hideMark/>
          </w:tcPr>
          <w:p w14:paraId="484254A0" w14:textId="77777777" w:rsidR="007A3AD7" w:rsidRPr="007A3AD7" w:rsidRDefault="007A3AD7" w:rsidP="000A343C">
            <w:pPr>
              <w:jc w:val="center"/>
              <w:rPr>
                <w:rFonts w:cs="Arial"/>
                <w:color w:val="000000"/>
                <w:sz w:val="22"/>
                <w:szCs w:val="22"/>
              </w:rPr>
            </w:pPr>
            <w:r w:rsidRPr="007A3AD7">
              <w:rPr>
                <w:rFonts w:cs="Arial"/>
                <w:color w:val="000000"/>
                <w:sz w:val="22"/>
                <w:szCs w:val="22"/>
              </w:rPr>
              <w:t>0,02 Mt</w:t>
            </w:r>
          </w:p>
        </w:tc>
        <w:tc>
          <w:tcPr>
            <w:tcW w:w="1412" w:type="dxa"/>
            <w:gridSpan w:val="2"/>
            <w:tcBorders>
              <w:top w:val="nil"/>
              <w:left w:val="nil"/>
              <w:bottom w:val="nil"/>
              <w:right w:val="single" w:sz="4" w:space="0" w:color="auto"/>
            </w:tcBorders>
            <w:noWrap/>
            <w:vAlign w:val="center"/>
            <w:hideMark/>
          </w:tcPr>
          <w:p w14:paraId="33B550EC" w14:textId="77777777" w:rsidR="007A3AD7" w:rsidRPr="007A3AD7" w:rsidRDefault="007A3AD7" w:rsidP="000A343C">
            <w:pPr>
              <w:jc w:val="center"/>
              <w:rPr>
                <w:rFonts w:cs="Arial"/>
                <w:color w:val="000000"/>
                <w:sz w:val="22"/>
                <w:szCs w:val="22"/>
              </w:rPr>
            </w:pPr>
            <w:r w:rsidRPr="007A3AD7">
              <w:rPr>
                <w:rFonts w:cs="Arial"/>
                <w:color w:val="000000"/>
                <w:sz w:val="22"/>
                <w:szCs w:val="22"/>
              </w:rPr>
              <w:t>0,05 Mt</w:t>
            </w:r>
          </w:p>
        </w:tc>
      </w:tr>
      <w:tr w:rsidR="007A3AD7" w:rsidRPr="007A3AD7" w14:paraId="542D3777" w14:textId="77777777" w:rsidTr="003B0EAF">
        <w:trPr>
          <w:trHeight w:val="1400"/>
        </w:trPr>
        <w:tc>
          <w:tcPr>
            <w:tcW w:w="4962" w:type="dxa"/>
            <w:tcBorders>
              <w:top w:val="single" w:sz="4" w:space="0" w:color="auto"/>
              <w:left w:val="single" w:sz="4" w:space="0" w:color="auto"/>
              <w:bottom w:val="nil"/>
              <w:right w:val="single" w:sz="4" w:space="0" w:color="auto"/>
            </w:tcBorders>
            <w:vAlign w:val="center"/>
            <w:hideMark/>
          </w:tcPr>
          <w:p w14:paraId="47961716" w14:textId="77777777" w:rsidR="007A3AD7" w:rsidRPr="007A3AD7" w:rsidRDefault="007A3AD7" w:rsidP="007A3AD7">
            <w:pPr>
              <w:rPr>
                <w:rFonts w:cs="Arial"/>
                <w:b/>
                <w:bCs/>
                <w:color w:val="000000"/>
                <w:sz w:val="22"/>
                <w:szCs w:val="22"/>
              </w:rPr>
            </w:pPr>
            <w:r w:rsidRPr="007A3AD7">
              <w:rPr>
                <w:rFonts w:cs="Arial"/>
                <w:b/>
                <w:bCs/>
                <w:color w:val="000000"/>
                <w:sz w:val="22"/>
                <w:szCs w:val="22"/>
              </w:rPr>
              <w:t xml:space="preserve">Turvemaan viljely korotetulla vedenpinnalla -30 cm biomassaa tuottavilla kasveilla (ruokohelpi ym.). monivuotisesti ilman muokkausta. </w:t>
            </w:r>
            <w:r w:rsidRPr="007A3AD7">
              <w:rPr>
                <w:rFonts w:cs="Arial"/>
                <w:b/>
                <w:bCs/>
                <w:color w:val="000000"/>
                <w:sz w:val="22"/>
                <w:szCs w:val="22"/>
              </w:rPr>
              <w:br/>
            </w:r>
            <w:r w:rsidRPr="007A3AD7">
              <w:rPr>
                <w:rFonts w:cs="Arial"/>
                <w:color w:val="000000"/>
                <w:sz w:val="22"/>
                <w:szCs w:val="22"/>
              </w:rPr>
              <w:t>2030: 5 000 ha</w:t>
            </w:r>
            <w:r w:rsidRPr="007A3AD7">
              <w:rPr>
                <w:rFonts w:cs="Arial"/>
                <w:color w:val="000000"/>
                <w:sz w:val="22"/>
                <w:szCs w:val="22"/>
              </w:rPr>
              <w:br/>
              <w:t>2035 &amp; 2040: WEM 10 000 ha, WAM 15 000 ha</w:t>
            </w:r>
          </w:p>
        </w:tc>
        <w:tc>
          <w:tcPr>
            <w:tcW w:w="1134" w:type="dxa"/>
            <w:gridSpan w:val="2"/>
            <w:tcBorders>
              <w:top w:val="single" w:sz="4" w:space="0" w:color="auto"/>
              <w:left w:val="single" w:sz="4" w:space="0" w:color="auto"/>
              <w:bottom w:val="nil"/>
              <w:right w:val="nil"/>
            </w:tcBorders>
            <w:noWrap/>
            <w:vAlign w:val="center"/>
            <w:hideMark/>
          </w:tcPr>
          <w:p w14:paraId="6400785D" w14:textId="77777777" w:rsidR="007A3AD7" w:rsidRPr="007A3AD7" w:rsidRDefault="007A3AD7" w:rsidP="000A343C">
            <w:pPr>
              <w:jc w:val="center"/>
              <w:rPr>
                <w:rFonts w:cs="Arial"/>
                <w:color w:val="000000"/>
                <w:sz w:val="22"/>
                <w:szCs w:val="22"/>
              </w:rPr>
            </w:pPr>
            <w:r w:rsidRPr="007A3AD7">
              <w:rPr>
                <w:rFonts w:cs="Arial"/>
                <w:color w:val="000000"/>
                <w:sz w:val="22"/>
                <w:szCs w:val="22"/>
              </w:rPr>
              <w:t>0,02 Mt</w:t>
            </w:r>
          </w:p>
        </w:tc>
        <w:tc>
          <w:tcPr>
            <w:tcW w:w="1412" w:type="dxa"/>
            <w:gridSpan w:val="2"/>
            <w:tcBorders>
              <w:top w:val="single" w:sz="4" w:space="0" w:color="auto"/>
              <w:left w:val="nil"/>
              <w:bottom w:val="nil"/>
              <w:right w:val="single" w:sz="4" w:space="0" w:color="auto"/>
            </w:tcBorders>
            <w:noWrap/>
            <w:vAlign w:val="center"/>
            <w:hideMark/>
          </w:tcPr>
          <w:p w14:paraId="01166BAB" w14:textId="77777777" w:rsidR="007A3AD7" w:rsidRPr="007A3AD7" w:rsidRDefault="007A3AD7" w:rsidP="000A343C">
            <w:pPr>
              <w:jc w:val="center"/>
              <w:rPr>
                <w:rFonts w:cs="Arial"/>
                <w:color w:val="000000"/>
                <w:sz w:val="22"/>
                <w:szCs w:val="22"/>
              </w:rPr>
            </w:pPr>
            <w:r w:rsidRPr="007A3AD7">
              <w:rPr>
                <w:rFonts w:cs="Arial"/>
                <w:color w:val="000000"/>
                <w:sz w:val="22"/>
                <w:szCs w:val="22"/>
              </w:rPr>
              <w:t>0,05 Mt</w:t>
            </w:r>
          </w:p>
        </w:tc>
      </w:tr>
      <w:tr w:rsidR="007A3AD7" w:rsidRPr="007A3AD7" w14:paraId="172224DE" w14:textId="77777777" w:rsidTr="003B0EAF">
        <w:trPr>
          <w:trHeight w:val="840"/>
        </w:trPr>
        <w:tc>
          <w:tcPr>
            <w:tcW w:w="4962" w:type="dxa"/>
            <w:tcBorders>
              <w:top w:val="single" w:sz="4" w:space="0" w:color="auto"/>
              <w:left w:val="single" w:sz="4" w:space="0" w:color="auto"/>
              <w:bottom w:val="single" w:sz="4" w:space="0" w:color="auto"/>
              <w:right w:val="single" w:sz="4" w:space="0" w:color="auto"/>
            </w:tcBorders>
            <w:vAlign w:val="center"/>
            <w:hideMark/>
          </w:tcPr>
          <w:p w14:paraId="65B5C0D9" w14:textId="77777777" w:rsidR="007A3AD7" w:rsidRPr="007A3AD7" w:rsidRDefault="007A3AD7" w:rsidP="007A3AD7">
            <w:pPr>
              <w:rPr>
                <w:rFonts w:cs="Arial"/>
                <w:b/>
                <w:bCs/>
                <w:color w:val="000000"/>
                <w:sz w:val="22"/>
                <w:szCs w:val="22"/>
              </w:rPr>
            </w:pPr>
            <w:r w:rsidRPr="007A3AD7">
              <w:rPr>
                <w:rFonts w:cs="Arial"/>
                <w:b/>
                <w:bCs/>
                <w:color w:val="000000"/>
                <w:sz w:val="22"/>
                <w:szCs w:val="22"/>
              </w:rPr>
              <w:t>Turvepellon ilmastokosteikko</w:t>
            </w:r>
            <w:r w:rsidRPr="007A3AD7">
              <w:rPr>
                <w:rFonts w:cs="Arial"/>
                <w:b/>
                <w:bCs/>
                <w:color w:val="000000"/>
                <w:sz w:val="22"/>
                <w:szCs w:val="22"/>
              </w:rPr>
              <w:br/>
            </w:r>
            <w:r w:rsidRPr="007A3AD7">
              <w:rPr>
                <w:rFonts w:cs="Arial"/>
                <w:color w:val="000000"/>
                <w:sz w:val="22"/>
                <w:szCs w:val="22"/>
              </w:rPr>
              <w:t>2030: 4 000 ha</w:t>
            </w:r>
            <w:r w:rsidRPr="007A3AD7">
              <w:rPr>
                <w:rFonts w:cs="Arial"/>
                <w:color w:val="000000"/>
                <w:sz w:val="22"/>
                <w:szCs w:val="22"/>
              </w:rPr>
              <w:br/>
              <w:t>2035 &amp; 2040: WEM 7 500 ha, WAM 10 000 ha</w:t>
            </w:r>
          </w:p>
        </w:tc>
        <w:tc>
          <w:tcPr>
            <w:tcW w:w="1134" w:type="dxa"/>
            <w:gridSpan w:val="2"/>
            <w:tcBorders>
              <w:top w:val="single" w:sz="4" w:space="0" w:color="auto"/>
              <w:left w:val="single" w:sz="4" w:space="0" w:color="auto"/>
              <w:bottom w:val="single" w:sz="4" w:space="0" w:color="auto"/>
              <w:right w:val="nil"/>
            </w:tcBorders>
            <w:noWrap/>
            <w:vAlign w:val="center"/>
            <w:hideMark/>
          </w:tcPr>
          <w:p w14:paraId="08B42A5D" w14:textId="77777777" w:rsidR="007A3AD7" w:rsidRPr="007A3AD7" w:rsidRDefault="007A3AD7" w:rsidP="000A343C">
            <w:pPr>
              <w:jc w:val="center"/>
              <w:rPr>
                <w:rFonts w:cs="Arial"/>
                <w:color w:val="000000"/>
                <w:sz w:val="22"/>
                <w:szCs w:val="22"/>
              </w:rPr>
            </w:pPr>
            <w:r w:rsidRPr="007A3AD7">
              <w:rPr>
                <w:rFonts w:cs="Arial"/>
                <w:color w:val="000000"/>
                <w:sz w:val="22"/>
                <w:szCs w:val="22"/>
              </w:rPr>
              <w:t>0,01 Mt</w:t>
            </w:r>
          </w:p>
        </w:tc>
        <w:tc>
          <w:tcPr>
            <w:tcW w:w="1412" w:type="dxa"/>
            <w:gridSpan w:val="2"/>
            <w:tcBorders>
              <w:top w:val="single" w:sz="4" w:space="0" w:color="auto"/>
              <w:left w:val="nil"/>
              <w:bottom w:val="single" w:sz="4" w:space="0" w:color="auto"/>
              <w:right w:val="single" w:sz="4" w:space="0" w:color="auto"/>
            </w:tcBorders>
            <w:noWrap/>
            <w:vAlign w:val="center"/>
            <w:hideMark/>
          </w:tcPr>
          <w:p w14:paraId="02C9E9FC" w14:textId="77777777" w:rsidR="007A3AD7" w:rsidRPr="007A3AD7" w:rsidRDefault="007A3AD7" w:rsidP="000A343C">
            <w:pPr>
              <w:jc w:val="center"/>
              <w:rPr>
                <w:rFonts w:cs="Arial"/>
                <w:color w:val="000000"/>
                <w:sz w:val="22"/>
                <w:szCs w:val="22"/>
              </w:rPr>
            </w:pPr>
            <w:r w:rsidRPr="007A3AD7">
              <w:rPr>
                <w:rFonts w:cs="Arial"/>
                <w:color w:val="000000"/>
                <w:sz w:val="22"/>
                <w:szCs w:val="22"/>
              </w:rPr>
              <w:t>0,05 Mt</w:t>
            </w:r>
          </w:p>
        </w:tc>
      </w:tr>
      <w:tr w:rsidR="007A3AD7" w:rsidRPr="007A3AD7" w14:paraId="1CC7DB93" w14:textId="77777777" w:rsidTr="003B0EAF">
        <w:trPr>
          <w:trHeight w:val="1120"/>
        </w:trPr>
        <w:tc>
          <w:tcPr>
            <w:tcW w:w="4962" w:type="dxa"/>
            <w:tcBorders>
              <w:top w:val="single" w:sz="4" w:space="0" w:color="auto"/>
              <w:left w:val="single" w:sz="4" w:space="0" w:color="auto"/>
              <w:bottom w:val="single" w:sz="4" w:space="0" w:color="auto"/>
              <w:right w:val="single" w:sz="4" w:space="0" w:color="auto"/>
            </w:tcBorders>
            <w:vAlign w:val="center"/>
            <w:hideMark/>
          </w:tcPr>
          <w:p w14:paraId="13ED1499" w14:textId="77777777" w:rsidR="007A3AD7" w:rsidRPr="007A3AD7" w:rsidRDefault="007A3AD7" w:rsidP="007A3AD7">
            <w:pPr>
              <w:rPr>
                <w:rFonts w:cs="Arial"/>
                <w:b/>
                <w:bCs/>
                <w:color w:val="000000"/>
                <w:sz w:val="22"/>
                <w:szCs w:val="22"/>
              </w:rPr>
            </w:pPr>
            <w:proofErr w:type="spellStart"/>
            <w:r w:rsidRPr="007A3AD7">
              <w:rPr>
                <w:rFonts w:cs="Arial"/>
                <w:b/>
                <w:bCs/>
                <w:color w:val="000000"/>
                <w:sz w:val="22"/>
                <w:szCs w:val="22"/>
              </w:rPr>
              <w:t>Vetetään</w:t>
            </w:r>
            <w:proofErr w:type="spellEnd"/>
            <w:r w:rsidRPr="007A3AD7">
              <w:rPr>
                <w:rFonts w:cs="Arial"/>
                <w:b/>
                <w:bCs/>
                <w:color w:val="000000"/>
                <w:sz w:val="22"/>
                <w:szCs w:val="22"/>
              </w:rPr>
              <w:t xml:space="preserve"> huonotuottoisia, paksuturpeisia peltoja kosteikoksi</w:t>
            </w:r>
            <w:r w:rsidRPr="007A3AD7">
              <w:rPr>
                <w:rFonts w:cs="Arial"/>
                <w:b/>
                <w:bCs/>
                <w:color w:val="000000"/>
                <w:sz w:val="22"/>
                <w:szCs w:val="22"/>
              </w:rPr>
              <w:br/>
            </w:r>
            <w:r w:rsidRPr="007A3AD7">
              <w:rPr>
                <w:rFonts w:cs="Arial"/>
                <w:color w:val="000000"/>
                <w:sz w:val="22"/>
                <w:szCs w:val="22"/>
              </w:rPr>
              <w:t>2030: 10 000 ha</w:t>
            </w:r>
            <w:r w:rsidRPr="007A3AD7">
              <w:rPr>
                <w:rFonts w:cs="Arial"/>
                <w:color w:val="000000"/>
                <w:sz w:val="22"/>
                <w:szCs w:val="22"/>
              </w:rPr>
              <w:br/>
              <w:t>2035 &amp; 2040: WEM 10 000 ha, WAM 30 000 ha</w:t>
            </w:r>
          </w:p>
        </w:tc>
        <w:tc>
          <w:tcPr>
            <w:tcW w:w="1134" w:type="dxa"/>
            <w:gridSpan w:val="2"/>
            <w:tcBorders>
              <w:top w:val="single" w:sz="4" w:space="0" w:color="auto"/>
              <w:left w:val="single" w:sz="4" w:space="0" w:color="auto"/>
              <w:bottom w:val="single" w:sz="4" w:space="0" w:color="auto"/>
              <w:right w:val="nil"/>
            </w:tcBorders>
            <w:noWrap/>
            <w:vAlign w:val="center"/>
            <w:hideMark/>
          </w:tcPr>
          <w:p w14:paraId="093BE1B1" w14:textId="77777777" w:rsidR="007A3AD7" w:rsidRPr="007A3AD7" w:rsidRDefault="007A3AD7" w:rsidP="000A343C">
            <w:pPr>
              <w:jc w:val="center"/>
              <w:rPr>
                <w:rFonts w:cs="Arial"/>
                <w:color w:val="000000"/>
                <w:sz w:val="22"/>
                <w:szCs w:val="22"/>
              </w:rPr>
            </w:pPr>
            <w:r w:rsidRPr="007A3AD7">
              <w:rPr>
                <w:rFonts w:cs="Arial"/>
                <w:color w:val="000000"/>
                <w:sz w:val="22"/>
                <w:szCs w:val="22"/>
              </w:rPr>
              <w:t>0,08 Mt</w:t>
            </w:r>
          </w:p>
        </w:tc>
        <w:tc>
          <w:tcPr>
            <w:tcW w:w="1412" w:type="dxa"/>
            <w:gridSpan w:val="2"/>
            <w:tcBorders>
              <w:top w:val="single" w:sz="4" w:space="0" w:color="auto"/>
              <w:left w:val="nil"/>
              <w:bottom w:val="single" w:sz="4" w:space="0" w:color="auto"/>
              <w:right w:val="single" w:sz="4" w:space="0" w:color="auto"/>
            </w:tcBorders>
            <w:noWrap/>
            <w:vAlign w:val="center"/>
            <w:hideMark/>
          </w:tcPr>
          <w:p w14:paraId="594DE7F1" w14:textId="77777777" w:rsidR="007A3AD7" w:rsidRPr="007A3AD7" w:rsidRDefault="007A3AD7" w:rsidP="000A343C">
            <w:pPr>
              <w:jc w:val="center"/>
              <w:rPr>
                <w:rFonts w:cs="Arial"/>
                <w:color w:val="000000"/>
                <w:sz w:val="22"/>
                <w:szCs w:val="22"/>
              </w:rPr>
            </w:pPr>
            <w:r w:rsidRPr="007A3AD7">
              <w:rPr>
                <w:rFonts w:cs="Arial"/>
                <w:color w:val="000000"/>
                <w:sz w:val="22"/>
                <w:szCs w:val="22"/>
              </w:rPr>
              <w:t>0,4 Mt</w:t>
            </w:r>
          </w:p>
        </w:tc>
      </w:tr>
      <w:tr w:rsidR="007A3AD7" w:rsidRPr="007A3AD7" w14:paraId="0EEDCFC3" w14:textId="77777777" w:rsidTr="003B0EAF">
        <w:trPr>
          <w:trHeight w:val="280"/>
        </w:trPr>
        <w:tc>
          <w:tcPr>
            <w:tcW w:w="5387" w:type="dxa"/>
            <w:gridSpan w:val="2"/>
            <w:tcBorders>
              <w:top w:val="single" w:sz="4" w:space="0" w:color="auto"/>
              <w:left w:val="single" w:sz="4" w:space="0" w:color="auto"/>
              <w:bottom w:val="single" w:sz="4" w:space="0" w:color="auto"/>
              <w:right w:val="nil"/>
            </w:tcBorders>
            <w:noWrap/>
            <w:vAlign w:val="center"/>
            <w:hideMark/>
          </w:tcPr>
          <w:p w14:paraId="3A3F53C5" w14:textId="77777777" w:rsidR="007A3AD7" w:rsidRPr="007A3AD7" w:rsidRDefault="007A3AD7" w:rsidP="007A3AD7">
            <w:pPr>
              <w:jc w:val="right"/>
              <w:rPr>
                <w:rFonts w:cs="Arial"/>
                <w:b/>
                <w:bCs/>
                <w:color w:val="000000"/>
                <w:sz w:val="22"/>
                <w:szCs w:val="22"/>
              </w:rPr>
            </w:pPr>
            <w:r w:rsidRPr="007A3AD7">
              <w:rPr>
                <w:rFonts w:cs="Arial"/>
                <w:b/>
                <w:bCs/>
                <w:color w:val="000000"/>
                <w:sz w:val="22"/>
                <w:szCs w:val="22"/>
              </w:rPr>
              <w:t>yht.</w:t>
            </w:r>
          </w:p>
        </w:tc>
        <w:tc>
          <w:tcPr>
            <w:tcW w:w="1121" w:type="dxa"/>
            <w:gridSpan w:val="2"/>
            <w:tcBorders>
              <w:top w:val="single" w:sz="4" w:space="0" w:color="auto"/>
              <w:left w:val="nil"/>
              <w:bottom w:val="single" w:sz="4" w:space="0" w:color="auto"/>
              <w:right w:val="nil"/>
            </w:tcBorders>
            <w:noWrap/>
            <w:vAlign w:val="center"/>
            <w:hideMark/>
          </w:tcPr>
          <w:p w14:paraId="2A7D7D57" w14:textId="77777777" w:rsidR="007A3AD7" w:rsidRPr="007A3AD7" w:rsidRDefault="007A3AD7" w:rsidP="007A3AD7">
            <w:pPr>
              <w:jc w:val="center"/>
              <w:rPr>
                <w:rFonts w:cs="Arial"/>
                <w:b/>
                <w:bCs/>
                <w:color w:val="000000"/>
                <w:sz w:val="22"/>
                <w:szCs w:val="22"/>
              </w:rPr>
            </w:pPr>
            <w:r w:rsidRPr="007A3AD7">
              <w:rPr>
                <w:rFonts w:cs="Arial"/>
                <w:b/>
                <w:bCs/>
                <w:color w:val="000000"/>
                <w:sz w:val="22"/>
                <w:szCs w:val="22"/>
              </w:rPr>
              <w:t>0,13 Mt</w:t>
            </w:r>
          </w:p>
        </w:tc>
        <w:tc>
          <w:tcPr>
            <w:tcW w:w="1000" w:type="dxa"/>
            <w:tcBorders>
              <w:top w:val="single" w:sz="4" w:space="0" w:color="auto"/>
              <w:left w:val="nil"/>
              <w:bottom w:val="single" w:sz="4" w:space="0" w:color="auto"/>
              <w:right w:val="single" w:sz="4" w:space="0" w:color="auto"/>
            </w:tcBorders>
            <w:noWrap/>
            <w:vAlign w:val="center"/>
            <w:hideMark/>
          </w:tcPr>
          <w:p w14:paraId="2B3E451A" w14:textId="77777777" w:rsidR="007A3AD7" w:rsidRPr="007A3AD7" w:rsidRDefault="007A3AD7" w:rsidP="007A3AD7">
            <w:pPr>
              <w:jc w:val="center"/>
              <w:rPr>
                <w:rFonts w:cs="Arial"/>
                <w:b/>
                <w:bCs/>
                <w:color w:val="000000"/>
                <w:sz w:val="22"/>
                <w:szCs w:val="22"/>
              </w:rPr>
            </w:pPr>
            <w:r w:rsidRPr="007A3AD7">
              <w:rPr>
                <w:rFonts w:cs="Arial"/>
                <w:b/>
                <w:bCs/>
                <w:color w:val="000000"/>
                <w:sz w:val="22"/>
                <w:szCs w:val="22"/>
              </w:rPr>
              <w:t>0,55 Mt</w:t>
            </w:r>
          </w:p>
        </w:tc>
      </w:tr>
    </w:tbl>
    <w:p w14:paraId="4F5CBAD0" w14:textId="00D744D3" w:rsidR="008A7C65" w:rsidRPr="005F4D87" w:rsidRDefault="008A7C65" w:rsidP="2143147C">
      <w:pPr>
        <w:pStyle w:val="VNLeip1kappale"/>
        <w:rPr>
          <w:rFonts w:ascii="Segoe UI" w:hAnsi="Segoe UI" w:cs="Segoe UI"/>
          <w:sz w:val="18"/>
          <w:szCs w:val="18"/>
        </w:rPr>
      </w:pPr>
    </w:p>
    <w:p w14:paraId="407D8A25" w14:textId="77777777" w:rsidR="005F4D87" w:rsidRPr="005F5E4E" w:rsidDel="009565FB" w:rsidRDefault="005F4D87" w:rsidP="005F4D87">
      <w:pPr>
        <w:textAlignment w:val="baseline"/>
        <w:rPr>
          <w:rFonts w:cs="Arial"/>
          <w:b/>
          <w:bCs/>
          <w:sz w:val="22"/>
          <w:szCs w:val="22"/>
        </w:rPr>
      </w:pPr>
      <w:r w:rsidRPr="005F5E4E" w:rsidDel="009565FB">
        <w:rPr>
          <w:rFonts w:cs="Arial"/>
          <w:b/>
          <w:bCs/>
          <w:sz w:val="22"/>
          <w:szCs w:val="22"/>
        </w:rPr>
        <w:t>Turvepeltojen nurmet </w:t>
      </w:r>
    </w:p>
    <w:p w14:paraId="68B61E3D" w14:textId="5C6A615D" w:rsidR="004B57AF" w:rsidRPr="00093017" w:rsidRDefault="005F4D87" w:rsidP="6CACFE95">
      <w:pPr>
        <w:pStyle w:val="VNLeip1kappale"/>
        <w:textAlignment w:val="baseline"/>
      </w:pPr>
      <w:r w:rsidDel="009565FB">
        <w:t xml:space="preserve">Turvepeltojen nurmet </w:t>
      </w:r>
      <w:r>
        <w:t>o</w:t>
      </w:r>
      <w:r w:rsidR="2ECAC40A">
        <w:t>vat</w:t>
      </w:r>
      <w:r>
        <w:t xml:space="preserve"> </w:t>
      </w:r>
      <w:r w:rsidDel="009565FB">
        <w:t xml:space="preserve">YMP:n ympäristökorvauksen lohkokohtainen toimenpide. </w:t>
      </w:r>
      <w:r w:rsidR="008E784A" w:rsidDel="009565FB">
        <w:t xml:space="preserve">Toimenpiteellä </w:t>
      </w:r>
      <w:r w:rsidR="008A56CA" w:rsidDel="009565FB">
        <w:t>v</w:t>
      </w:r>
      <w:r w:rsidDel="009565FB">
        <w:t xml:space="preserve">ähennetään turvetta olevien peltolohkojen kasvihuonekaasupäästöjä kannustamalla turvemaata olevien lohkojen monivuotista, ilman muokkausta ja ilman vuotuista kasvinsuojelua tapahtuvaa nurmiviljelyä. Tavoite kannustaa yksivuotisten kasvien viljelijöitä siirtymään monivuotisen nurmen tuotantoon turvemailla. </w:t>
      </w:r>
      <w:r w:rsidR="007D7634">
        <w:t xml:space="preserve">YMP:n tavoiteala turvepeltojen nurmille </w:t>
      </w:r>
      <w:r w:rsidR="00731E33">
        <w:t>2023</w:t>
      </w:r>
      <w:r w:rsidR="18D6A5CB">
        <w:t>–</w:t>
      </w:r>
      <w:r w:rsidR="00731E33">
        <w:t xml:space="preserve">2027 </w:t>
      </w:r>
      <w:r w:rsidR="007D7634">
        <w:t xml:space="preserve">on </w:t>
      </w:r>
      <w:r w:rsidR="00731E33">
        <w:t>40 000 ha/vuosi.</w:t>
      </w:r>
    </w:p>
    <w:p w14:paraId="6D7BAEAE" w14:textId="16EEF83E" w:rsidR="005F4D87" w:rsidRPr="005F5E4E" w:rsidRDefault="005F4D87" w:rsidP="005F4D87">
      <w:pPr>
        <w:textAlignment w:val="baseline"/>
        <w:rPr>
          <w:rFonts w:ascii="Segoe UI" w:hAnsi="Segoe UI" w:cs="Segoe UI"/>
          <w:b/>
          <w:bCs/>
          <w:sz w:val="18"/>
          <w:szCs w:val="18"/>
        </w:rPr>
      </w:pPr>
      <w:r w:rsidRPr="005F5E4E">
        <w:rPr>
          <w:rFonts w:cs="Arial"/>
          <w:b/>
          <w:bCs/>
          <w:sz w:val="22"/>
          <w:szCs w:val="22"/>
        </w:rPr>
        <w:t>Metsäpinta-alan laajentaminen </w:t>
      </w:r>
    </w:p>
    <w:p w14:paraId="0420F826" w14:textId="0DD59373" w:rsidR="005F4D87" w:rsidRPr="00FD307B" w:rsidRDefault="005F4D87" w:rsidP="00605C4E">
      <w:pPr>
        <w:pStyle w:val="VNLeip1kappale"/>
        <w:rPr>
          <w:rFonts w:ascii="Segoe UI" w:hAnsi="Segoe UI" w:cs="Segoe UI"/>
          <w:sz w:val="18"/>
          <w:szCs w:val="18"/>
        </w:rPr>
      </w:pPr>
      <w:r w:rsidRPr="005F4D87">
        <w:t xml:space="preserve">Metsitetään maatalouskäytön ulkopuolelle jääneitä peltolohkoja, turvetuotannosta poistuneita suonpohjia tai ohutturpeisia, heikkotuottoisia peltoja. </w:t>
      </w:r>
      <w:r>
        <w:t>Metsittämisen aikaansaama kasvihuonekaasujen päästövähennys perustuu kasvavan puuston sitoman hiilivaraston kasvuun ja maaperän kasvihuonekaasujen päästöjen pienenemiseen sekä maaperän hiilivaraston kasvuun. Metsityksen aikaansaama kasvihuonekaasujen päästövähennys riippuu alueen aiemmasta maankäyttömuodosta, maalajista, puulajista ja metsityksestä kuluneesta ajasta. </w:t>
      </w:r>
      <w:r w:rsidR="001671E6">
        <w:t>Metsäpinta-ala laajenee WEM-skenaa</w:t>
      </w:r>
      <w:r w:rsidR="00FD307B">
        <w:t>r</w:t>
      </w:r>
      <w:r w:rsidR="001671E6">
        <w:t>iossa 9 000 h</w:t>
      </w:r>
      <w:r w:rsidR="00FD307B">
        <w:t>ehtaaria</w:t>
      </w:r>
      <w:r w:rsidR="001671E6">
        <w:t xml:space="preserve"> vuosien 2025</w:t>
      </w:r>
      <w:r w:rsidR="7DAD5783">
        <w:t>–</w:t>
      </w:r>
      <w:r w:rsidR="001671E6">
        <w:t xml:space="preserve">2029 aikana ja </w:t>
      </w:r>
      <w:r w:rsidR="00FD307B">
        <w:t xml:space="preserve">WAM-skenaariossa 12 000 hehtaaria vastaavina vuosina. Päästö- tai nieluvaikutusta ei ole </w:t>
      </w:r>
      <w:r w:rsidR="004348F5">
        <w:t xml:space="preserve">vielä </w:t>
      </w:r>
      <w:r w:rsidR="00FD307B">
        <w:t>arvio</w:t>
      </w:r>
      <w:r w:rsidR="00CC5F74">
        <w:t>i</w:t>
      </w:r>
      <w:r w:rsidR="00FD307B">
        <w:t>t</w:t>
      </w:r>
      <w:r w:rsidR="00605C4E">
        <w:t>u</w:t>
      </w:r>
      <w:r w:rsidR="004348F5">
        <w:t>.</w:t>
      </w:r>
      <w:r w:rsidR="00FD307B">
        <w:t xml:space="preserve"> </w:t>
      </w:r>
    </w:p>
    <w:p w14:paraId="5CD2B59A" w14:textId="16FF22A2" w:rsidR="49EA8C06" w:rsidRPr="00FD307B" w:rsidRDefault="49EA8C06" w:rsidP="49EA8C06">
      <w:pPr>
        <w:rPr>
          <w:rFonts w:ascii="Segoe UI" w:hAnsi="Segoe UI" w:cs="Segoe UI"/>
          <w:sz w:val="18"/>
          <w:szCs w:val="18"/>
        </w:rPr>
      </w:pPr>
    </w:p>
    <w:p w14:paraId="5B8AD536" w14:textId="4EF4EC3F" w:rsidR="004B57AF" w:rsidRPr="005F4D87" w:rsidRDefault="005F4D87" w:rsidP="005F4D87">
      <w:pPr>
        <w:textAlignment w:val="baseline"/>
        <w:rPr>
          <w:rFonts w:ascii="Segoe UI" w:hAnsi="Segoe UI" w:cs="Segoe UI"/>
          <w:sz w:val="18"/>
          <w:szCs w:val="18"/>
        </w:rPr>
      </w:pPr>
      <w:proofErr w:type="spellStart"/>
      <w:r w:rsidRPr="005F5E4E">
        <w:rPr>
          <w:rFonts w:cs="Arial"/>
          <w:b/>
          <w:bCs/>
          <w:sz w:val="22"/>
          <w:szCs w:val="22"/>
        </w:rPr>
        <w:t>Täsmäviljely</w:t>
      </w:r>
      <w:proofErr w:type="spellEnd"/>
      <w:r w:rsidRPr="005F5E4E">
        <w:rPr>
          <w:rFonts w:cs="Arial"/>
          <w:b/>
          <w:bCs/>
          <w:sz w:val="22"/>
          <w:szCs w:val="22"/>
        </w:rPr>
        <w:t> </w:t>
      </w:r>
    </w:p>
    <w:p w14:paraId="21227244" w14:textId="07C30AED" w:rsidR="005F4D87" w:rsidRPr="005F4D87" w:rsidRDefault="005F4D87" w:rsidP="00605C4E">
      <w:pPr>
        <w:pStyle w:val="VNLeip1kappale"/>
        <w:rPr>
          <w:rFonts w:ascii="Segoe UI" w:hAnsi="Segoe UI" w:cs="Segoe UI"/>
          <w:sz w:val="18"/>
          <w:szCs w:val="18"/>
        </w:rPr>
      </w:pPr>
      <w:proofErr w:type="spellStart"/>
      <w:r w:rsidRPr="005F4D87">
        <w:t>Täsmäviljelyn</w:t>
      </w:r>
      <w:proofErr w:type="spellEnd"/>
      <w:r w:rsidRPr="005F4D87">
        <w:t xml:space="preserve"> tavoitteena on parantaa lannoitetypen käytön tehokkuutta ja sen avulla vähentää typpilannoitusta ja pienentää maaperän N</w:t>
      </w:r>
      <w:r w:rsidRPr="005F4D87">
        <w:rPr>
          <w:sz w:val="17"/>
          <w:szCs w:val="17"/>
          <w:vertAlign w:val="subscript"/>
        </w:rPr>
        <w:t>2</w:t>
      </w:r>
      <w:r w:rsidRPr="005F4D87">
        <w:t xml:space="preserve">O-päästöjä. Lannoitusta ja ravinteiden käyttöä voidaan tehostaa maataloudessa </w:t>
      </w:r>
      <w:proofErr w:type="spellStart"/>
      <w:r w:rsidRPr="005F4D87">
        <w:t>täsmäviljelyn</w:t>
      </w:r>
      <w:proofErr w:type="spellEnd"/>
      <w:r w:rsidRPr="005F4D87">
        <w:t xml:space="preserve"> ja siihen liittyvien paikkatietotekniikoiden ja automaation avulla. Ilmaston lämpenemisen myötä pitenevään kasvukauteen sopivilla uusilla kasvilajikkeilla saavutetaan niiden tarkan viljelyn ja panoskäytön ansiosta entistä suurempia satoja</w:t>
      </w:r>
      <w:r w:rsidR="00E77DBE">
        <w:t>,</w:t>
      </w:r>
      <w:r w:rsidR="2F57BE9E">
        <w:t xml:space="preserve"> </w:t>
      </w:r>
      <w:r w:rsidRPr="005F4D87">
        <w:t xml:space="preserve">niin että typen käytön tehokkuus kasvaa. Tämä tarkoittaa yhdessä </w:t>
      </w:r>
      <w:proofErr w:type="spellStart"/>
      <w:r w:rsidRPr="005F4D87">
        <w:t>täsmäviljelyn</w:t>
      </w:r>
      <w:proofErr w:type="spellEnd"/>
      <w:r w:rsidRPr="005F4D87">
        <w:t xml:space="preserve"> ja peltojen paremman kasvukunnon kanssa kustannussäästöjä ja onnistunutta sopeutumista ilmastonmuutokseen (kasvava kasvitautipaine huomioiden), joka muuten johtaisi satojen määrän ja laadun heikkenemiseen. YMP:ssä </w:t>
      </w:r>
      <w:proofErr w:type="spellStart"/>
      <w:r w:rsidRPr="005F4D87">
        <w:t>täsmäviljelyä</w:t>
      </w:r>
      <w:proofErr w:type="spellEnd"/>
      <w:r w:rsidRPr="005F4D87">
        <w:t xml:space="preserve"> edistetään muun muassa ympäristökorvauksien valinnaisella tilakohtaisella toimenpiteellä </w:t>
      </w:r>
      <w:proofErr w:type="spellStart"/>
      <w:r w:rsidRPr="005F4D87">
        <w:t>täsmäviljelymenetelmät</w:t>
      </w:r>
      <w:proofErr w:type="spellEnd"/>
      <w:r w:rsidRPr="005F4D87">
        <w:t xml:space="preserve">. Lisäksi investointitukea voi hakea ympäristön tilaa ja kestävää tuotantotapaa edistäviin investointeihin, joihin voi sisältyä myös </w:t>
      </w:r>
      <w:proofErr w:type="spellStart"/>
      <w:r w:rsidRPr="005F4D87">
        <w:t>täsmäviljelyä</w:t>
      </w:r>
      <w:proofErr w:type="spellEnd"/>
      <w:r w:rsidRPr="005F4D87">
        <w:t xml:space="preserve"> edistäviä laitteistoja ja välineitä. </w:t>
      </w:r>
    </w:p>
    <w:p w14:paraId="717724F7" w14:textId="43CE419D" w:rsidR="001C1708" w:rsidRPr="009F0015" w:rsidRDefault="000F34FB" w:rsidP="00605C4E">
      <w:pPr>
        <w:pStyle w:val="VNLeip1kappale"/>
        <w:rPr>
          <w:rFonts w:cs="Arial"/>
          <w:szCs w:val="22"/>
        </w:rPr>
      </w:pPr>
      <w:r>
        <w:rPr>
          <w:rFonts w:cs="Arial"/>
          <w:szCs w:val="22"/>
        </w:rPr>
        <w:t>Jos t</w:t>
      </w:r>
      <w:r w:rsidR="00AA6146" w:rsidRPr="004348F5">
        <w:rPr>
          <w:rFonts w:cs="Arial"/>
          <w:szCs w:val="22"/>
        </w:rPr>
        <w:t>ypen käyttö</w:t>
      </w:r>
      <w:r>
        <w:rPr>
          <w:rFonts w:cs="Arial"/>
          <w:szCs w:val="22"/>
        </w:rPr>
        <w:t xml:space="preserve"> laskee</w:t>
      </w:r>
      <w:r w:rsidR="00AA6146" w:rsidRPr="004348F5">
        <w:rPr>
          <w:rFonts w:cs="Arial"/>
          <w:szCs w:val="22"/>
        </w:rPr>
        <w:t xml:space="preserve"> </w:t>
      </w:r>
      <w:r w:rsidR="005F4D87" w:rsidRPr="004348F5">
        <w:rPr>
          <w:rFonts w:cs="Arial"/>
          <w:szCs w:val="22"/>
        </w:rPr>
        <w:t xml:space="preserve">-5 % </w:t>
      </w:r>
      <w:r w:rsidR="00F8772A" w:rsidRPr="004348F5">
        <w:rPr>
          <w:rFonts w:cs="Arial"/>
          <w:szCs w:val="22"/>
        </w:rPr>
        <w:t xml:space="preserve">vuodesta </w:t>
      </w:r>
      <w:r w:rsidR="005F4D87" w:rsidRPr="004348F5">
        <w:rPr>
          <w:rFonts w:cs="Arial"/>
          <w:szCs w:val="22"/>
        </w:rPr>
        <w:t>2030 eteenpäin</w:t>
      </w:r>
      <w:r w:rsidR="00F8772A" w:rsidRPr="004348F5">
        <w:rPr>
          <w:rFonts w:cs="Arial"/>
          <w:szCs w:val="22"/>
        </w:rPr>
        <w:t xml:space="preserve"> </w:t>
      </w:r>
      <w:proofErr w:type="gramStart"/>
      <w:r w:rsidR="00F8772A" w:rsidRPr="004348F5">
        <w:rPr>
          <w:rFonts w:cs="Arial"/>
          <w:szCs w:val="22"/>
        </w:rPr>
        <w:t xml:space="preserve">ja </w:t>
      </w:r>
      <w:r w:rsidR="005F4D87" w:rsidRPr="004348F5">
        <w:rPr>
          <w:rFonts w:cs="Arial"/>
          <w:szCs w:val="22"/>
        </w:rPr>
        <w:t xml:space="preserve"> -</w:t>
      </w:r>
      <w:proofErr w:type="gramEnd"/>
      <w:r w:rsidR="005F4D87" w:rsidRPr="004348F5">
        <w:rPr>
          <w:rFonts w:cs="Arial"/>
          <w:szCs w:val="22"/>
        </w:rPr>
        <w:t>10</w:t>
      </w:r>
      <w:r w:rsidR="004348F5">
        <w:rPr>
          <w:rFonts w:cs="Arial"/>
          <w:szCs w:val="22"/>
        </w:rPr>
        <w:t xml:space="preserve"> </w:t>
      </w:r>
      <w:r w:rsidR="005F4D87" w:rsidRPr="004348F5">
        <w:rPr>
          <w:rFonts w:cs="Arial"/>
          <w:szCs w:val="22"/>
        </w:rPr>
        <w:t xml:space="preserve">% </w:t>
      </w:r>
      <w:r w:rsidR="00F8772A" w:rsidRPr="004348F5">
        <w:rPr>
          <w:rFonts w:cs="Arial"/>
          <w:szCs w:val="22"/>
        </w:rPr>
        <w:t xml:space="preserve">vuodesta </w:t>
      </w:r>
      <w:r w:rsidR="005F4D87" w:rsidRPr="004348F5">
        <w:rPr>
          <w:rFonts w:cs="Arial"/>
          <w:szCs w:val="22"/>
        </w:rPr>
        <w:t>2040 eteenpäin</w:t>
      </w:r>
      <w:r w:rsidR="0012616F">
        <w:rPr>
          <w:rFonts w:cs="Arial"/>
          <w:szCs w:val="22"/>
        </w:rPr>
        <w:t xml:space="preserve">, </w:t>
      </w:r>
      <w:proofErr w:type="spellStart"/>
      <w:r w:rsidR="0012616F">
        <w:rPr>
          <w:rFonts w:cs="Arial"/>
          <w:szCs w:val="22"/>
        </w:rPr>
        <w:t>t</w:t>
      </w:r>
      <w:r w:rsidR="005F4D87" w:rsidRPr="004348F5">
        <w:rPr>
          <w:rFonts w:cs="Arial"/>
          <w:szCs w:val="22"/>
        </w:rPr>
        <w:t>äsmäviljelyn</w:t>
      </w:r>
      <w:proofErr w:type="spellEnd"/>
      <w:r w:rsidR="005F4D87" w:rsidRPr="004348F5">
        <w:rPr>
          <w:rFonts w:cs="Arial"/>
          <w:szCs w:val="22"/>
        </w:rPr>
        <w:t xml:space="preserve"> tuottama typen vähenemä laskettu kaikesta typestä (ml. lanta) ja vähennetty väkilannasta.</w:t>
      </w:r>
      <w:r w:rsidR="0012616F">
        <w:rPr>
          <w:rFonts w:cs="Arial"/>
          <w:szCs w:val="22"/>
        </w:rPr>
        <w:t xml:space="preserve"> </w:t>
      </w:r>
      <w:r w:rsidR="00E96E37">
        <w:rPr>
          <w:rFonts w:cs="Arial"/>
          <w:szCs w:val="22"/>
        </w:rPr>
        <w:t xml:space="preserve">Päästövähennys </w:t>
      </w:r>
      <w:r w:rsidR="0012616F">
        <w:rPr>
          <w:rFonts w:cs="Arial"/>
          <w:szCs w:val="22"/>
        </w:rPr>
        <w:t>on 0,07 Mt vuonna 2030, 0,1 Mt vuonna 2035 ja 0,2 Mt vuonna</w:t>
      </w:r>
      <w:r w:rsidR="00841336">
        <w:rPr>
          <w:rFonts w:cs="Arial"/>
          <w:szCs w:val="22"/>
        </w:rPr>
        <w:t xml:space="preserve"> 2040.</w:t>
      </w:r>
      <w:r w:rsidR="005F4D87" w:rsidRPr="004348F5">
        <w:rPr>
          <w:rFonts w:cs="Arial"/>
          <w:szCs w:val="22"/>
        </w:rPr>
        <w:t xml:space="preserve"> </w:t>
      </w:r>
    </w:p>
    <w:p w14:paraId="40190E19" w14:textId="77777777" w:rsidR="0097184E" w:rsidRDefault="0097184E" w:rsidP="5F46B716">
      <w:pPr>
        <w:textAlignment w:val="baseline"/>
        <w:rPr>
          <w:rFonts w:cs="Arial"/>
          <w:b/>
          <w:bCs/>
          <w:sz w:val="22"/>
          <w:szCs w:val="22"/>
        </w:rPr>
      </w:pPr>
    </w:p>
    <w:p w14:paraId="3854DC86" w14:textId="77777777" w:rsidR="0097184E" w:rsidRDefault="0097184E" w:rsidP="5F46B716">
      <w:pPr>
        <w:textAlignment w:val="baseline"/>
        <w:rPr>
          <w:rFonts w:cs="Arial"/>
          <w:b/>
          <w:bCs/>
          <w:sz w:val="22"/>
          <w:szCs w:val="22"/>
        </w:rPr>
      </w:pPr>
    </w:p>
    <w:p w14:paraId="0A796611" w14:textId="557DC269" w:rsidR="00D16FED" w:rsidRPr="00E346B1" w:rsidRDefault="005F4D87" w:rsidP="5F46B716">
      <w:pPr>
        <w:textAlignment w:val="baseline"/>
        <w:rPr>
          <w:rFonts w:ascii="Segoe UI" w:hAnsi="Segoe UI" w:cs="Segoe UI"/>
          <w:sz w:val="18"/>
          <w:szCs w:val="18"/>
        </w:rPr>
      </w:pPr>
      <w:r w:rsidRPr="5F46B716">
        <w:rPr>
          <w:rFonts w:cs="Arial"/>
          <w:b/>
          <w:bCs/>
          <w:sz w:val="22"/>
          <w:szCs w:val="22"/>
        </w:rPr>
        <w:t>Edistetään kivennäismaapeltojen hiilensidontaa </w:t>
      </w:r>
    </w:p>
    <w:p w14:paraId="225D44F1" w14:textId="6B6D1D98" w:rsidR="00D16FED" w:rsidRPr="00E346B1" w:rsidRDefault="00B92295" w:rsidP="00254156">
      <w:pPr>
        <w:pStyle w:val="VNLeip1kappale"/>
        <w:rPr>
          <w:rFonts w:eastAsiaTheme="minorEastAsia"/>
        </w:rPr>
      </w:pPr>
      <w:r w:rsidRPr="5F46B716" w:rsidDel="009565FB">
        <w:rPr>
          <w:rFonts w:eastAsiaTheme="minorEastAsia"/>
        </w:rPr>
        <w:t>Kivennäismaapeltojen hiilensidontaa edi</w:t>
      </w:r>
      <w:r w:rsidR="005F1EE2" w:rsidRPr="5F46B716" w:rsidDel="009565FB">
        <w:rPr>
          <w:rFonts w:eastAsiaTheme="minorEastAsia"/>
        </w:rPr>
        <w:t>s</w:t>
      </w:r>
      <w:r w:rsidRPr="5F46B716" w:rsidDel="009565FB">
        <w:rPr>
          <w:rFonts w:eastAsiaTheme="minorEastAsia"/>
        </w:rPr>
        <w:t>tetää</w:t>
      </w:r>
      <w:r w:rsidR="005F1EE2" w:rsidRPr="5F46B716" w:rsidDel="009565FB">
        <w:rPr>
          <w:rFonts w:eastAsiaTheme="minorEastAsia"/>
        </w:rPr>
        <w:t>n</w:t>
      </w:r>
      <w:r w:rsidRPr="5F46B716" w:rsidDel="009565FB">
        <w:rPr>
          <w:rFonts w:eastAsiaTheme="minorEastAsia"/>
        </w:rPr>
        <w:t xml:space="preserve"> </w:t>
      </w:r>
      <w:r w:rsidR="005F4D87" w:rsidRPr="5F46B716" w:rsidDel="009565FB">
        <w:rPr>
          <w:rFonts w:eastAsiaTheme="minorEastAsia"/>
        </w:rPr>
        <w:t xml:space="preserve">YMP:n rahoituskaudella 2023–2027 </w:t>
      </w:r>
      <w:r w:rsidR="004D7267" w:rsidRPr="5F46B716" w:rsidDel="009565FB">
        <w:rPr>
          <w:rFonts w:eastAsiaTheme="minorEastAsia"/>
        </w:rPr>
        <w:t xml:space="preserve">muun muassa </w:t>
      </w:r>
      <w:r w:rsidR="005F4D87" w:rsidRPr="5F46B716" w:rsidDel="009565FB">
        <w:rPr>
          <w:rFonts w:eastAsiaTheme="minorEastAsia"/>
        </w:rPr>
        <w:t>ehdollisuudessa o</w:t>
      </w:r>
      <w:r w:rsidR="00401D2C" w:rsidRPr="5F46B716" w:rsidDel="009565FB">
        <w:rPr>
          <w:rFonts w:eastAsiaTheme="minorEastAsia"/>
        </w:rPr>
        <w:t xml:space="preserve">levilla </w:t>
      </w:r>
      <w:r w:rsidR="005F4D87" w:rsidRPr="5F46B716" w:rsidDel="009565FB">
        <w:rPr>
          <w:rFonts w:eastAsiaTheme="minorEastAsia"/>
        </w:rPr>
        <w:t>pysyvän nurmen vaatimu</w:t>
      </w:r>
      <w:r w:rsidR="00401D2C" w:rsidRPr="5F46B716" w:rsidDel="009565FB">
        <w:rPr>
          <w:rFonts w:eastAsiaTheme="minorEastAsia"/>
        </w:rPr>
        <w:t>ksella</w:t>
      </w:r>
      <w:r w:rsidR="005F4D87" w:rsidRPr="5F46B716" w:rsidDel="009565FB">
        <w:rPr>
          <w:rFonts w:eastAsiaTheme="minorEastAsia"/>
        </w:rPr>
        <w:t>, kesantojen sänki- tai kasvipeitevaatimu</w:t>
      </w:r>
      <w:r w:rsidR="00401D2C" w:rsidRPr="5F46B716" w:rsidDel="009565FB">
        <w:rPr>
          <w:rFonts w:eastAsiaTheme="minorEastAsia"/>
        </w:rPr>
        <w:t>k</w:t>
      </w:r>
      <w:r w:rsidR="005F4D87" w:rsidRPr="5F46B716" w:rsidDel="009565FB">
        <w:rPr>
          <w:rFonts w:eastAsiaTheme="minorEastAsia"/>
        </w:rPr>
        <w:t>s</w:t>
      </w:r>
      <w:r w:rsidR="00401D2C" w:rsidRPr="5F46B716" w:rsidDel="009565FB">
        <w:rPr>
          <w:rFonts w:eastAsiaTheme="minorEastAsia"/>
        </w:rPr>
        <w:t>ella</w:t>
      </w:r>
      <w:r w:rsidR="005F4D87" w:rsidRPr="5F46B716" w:rsidDel="009565FB">
        <w:rPr>
          <w:rFonts w:eastAsiaTheme="minorEastAsia"/>
        </w:rPr>
        <w:t>, talviaikaiseen maanpeitteisyyteen liittyen kevennetyn muokkauksen vaatimu</w:t>
      </w:r>
      <w:r w:rsidR="00401D2C" w:rsidRPr="5F46B716" w:rsidDel="009565FB">
        <w:rPr>
          <w:rFonts w:eastAsiaTheme="minorEastAsia"/>
        </w:rPr>
        <w:t>k</w:t>
      </w:r>
      <w:r w:rsidR="005F4D87" w:rsidRPr="5F46B716" w:rsidDel="009565FB">
        <w:rPr>
          <w:rFonts w:eastAsiaTheme="minorEastAsia"/>
        </w:rPr>
        <w:t>s</w:t>
      </w:r>
      <w:r w:rsidR="00401D2C" w:rsidRPr="5F46B716" w:rsidDel="009565FB">
        <w:rPr>
          <w:rFonts w:eastAsiaTheme="minorEastAsia"/>
        </w:rPr>
        <w:t>ella</w:t>
      </w:r>
      <w:r w:rsidR="005F4D87" w:rsidRPr="5F46B716" w:rsidDel="009565FB">
        <w:rPr>
          <w:rFonts w:eastAsiaTheme="minorEastAsia"/>
        </w:rPr>
        <w:t xml:space="preserve"> ja sängen polton kiel</w:t>
      </w:r>
      <w:r w:rsidR="00401D2C" w:rsidRPr="5F46B716" w:rsidDel="009565FB">
        <w:rPr>
          <w:rFonts w:eastAsiaTheme="minorEastAsia"/>
        </w:rPr>
        <w:t>lolla</w:t>
      </w:r>
      <w:r w:rsidR="005F4D87" w:rsidRPr="5F46B716" w:rsidDel="009565FB">
        <w:rPr>
          <w:rFonts w:eastAsiaTheme="minorEastAsia"/>
        </w:rPr>
        <w:t>. Ekojärjestelmätuen toimenpiteitä ovat talviaikainen kasvipeite sekä luonnonhoito- ja viherlannoitusnurmet. Ympäristökorvauksissa hiiliviljelyä edistävät esimerkiksi kerääjäkasvit, maanparannus- ja saneerauskasvit, puutarhakasvien vaihtoehtoinen kasvinsuojelu sekä kiertotalouden edistäminen. </w:t>
      </w:r>
    </w:p>
    <w:p w14:paraId="13093F79" w14:textId="20C90EFB" w:rsidR="5F46B716" w:rsidRDefault="5F46B716" w:rsidP="5F46B716">
      <w:pPr>
        <w:rPr>
          <w:rFonts w:cs="Arial"/>
          <w:b/>
          <w:bCs/>
          <w:sz w:val="22"/>
          <w:szCs w:val="22"/>
        </w:rPr>
      </w:pPr>
    </w:p>
    <w:p w14:paraId="7552B431" w14:textId="566DFA9F" w:rsidR="004B57AF" w:rsidRPr="005F5E4E" w:rsidRDefault="005F4D87" w:rsidP="005F4D87">
      <w:pPr>
        <w:textAlignment w:val="baseline"/>
        <w:rPr>
          <w:rFonts w:ascii="Segoe UI" w:hAnsi="Segoe UI" w:cs="Segoe UI"/>
          <w:b/>
          <w:bCs/>
          <w:sz w:val="18"/>
          <w:szCs w:val="18"/>
        </w:rPr>
      </w:pPr>
      <w:r w:rsidRPr="005F5E4E">
        <w:rPr>
          <w:rFonts w:cs="Arial"/>
          <w:b/>
          <w:bCs/>
          <w:sz w:val="22"/>
          <w:szCs w:val="22"/>
        </w:rPr>
        <w:t xml:space="preserve">Biokaasun tuotannon ja käytön sekä ravinteiden kierrätyksen edistäminen </w:t>
      </w:r>
    </w:p>
    <w:p w14:paraId="576A492C" w14:textId="67E4F9B1" w:rsidR="005F4D87" w:rsidRPr="005F4D87" w:rsidRDefault="005F4D87" w:rsidP="6D832A00">
      <w:pPr>
        <w:pStyle w:val="VNLeip1kappale"/>
        <w:rPr>
          <w:rFonts w:ascii="Segoe UI" w:hAnsi="Segoe UI" w:cs="Segoe UI"/>
          <w:sz w:val="18"/>
          <w:szCs w:val="18"/>
        </w:rPr>
      </w:pPr>
      <w:r w:rsidRPr="005F4D87">
        <w:t>Biokaasun tuotantoa ja käyttöä on kehitettävä kokonaisuutena eri sektoreilla esimerkiksi jakeluinfraa kehittämällä tai biokaasukäyttöisten ajoneuvojen hankinta</w:t>
      </w:r>
      <w:r w:rsidR="001C36D1">
        <w:t>a</w:t>
      </w:r>
      <w:r w:rsidRPr="005F4D87">
        <w:t xml:space="preserve"> edistämällä, jotta sen kaikki hyödyt voi</w:t>
      </w:r>
      <w:r w:rsidR="00232C95">
        <w:t>vat</w:t>
      </w:r>
      <w:r w:rsidRPr="005F4D87">
        <w:t xml:space="preserve"> toteutua. Biokaasun tuotannon osalta tulee huomioida uusiutuvaa energiaa koskevat EU:n kestävyyskriteerit erityisesti raaka-aineena käytetyn kasvibiomassan osalta. Rahoituslaitosten halukkuus rahoittaa biokaasulaitoksia on avainkysymys investointien syntymisessä. Biokaasun tuotanto linkittyy läheisesti myös ravinteiden kierrätykseen prosessissa syntyvän </w:t>
      </w:r>
      <w:proofErr w:type="spellStart"/>
      <w:r w:rsidRPr="005F4D87">
        <w:t>mädätteen</w:t>
      </w:r>
      <w:proofErr w:type="spellEnd"/>
      <w:r w:rsidRPr="005F4D87">
        <w:t xml:space="preserve"> kautta. </w:t>
      </w:r>
    </w:p>
    <w:p w14:paraId="2385F028" w14:textId="4DB8FB6C" w:rsidR="005F4D87" w:rsidRPr="00BC37FA" w:rsidRDefault="005F4D87" w:rsidP="6D832A00">
      <w:pPr>
        <w:pStyle w:val="VNLeip1kappale"/>
      </w:pPr>
      <w:r w:rsidRPr="005F4D87">
        <w:t>Biokaasun tuotanto ja käyttö parantaa maatalouden energian ja ravinteiden huoltovarmuutta. Lannan biokaasutus voi vaikuttaa myös lannanlevitysalan tarpeesta johtuvaa</w:t>
      </w:r>
      <w:r w:rsidR="002015F6">
        <w:t>n</w:t>
      </w:r>
      <w:r w:rsidRPr="005F4D87">
        <w:t xml:space="preserve"> pellon raivaamis</w:t>
      </w:r>
      <w:r w:rsidR="002015F6">
        <w:t>een</w:t>
      </w:r>
      <w:r w:rsidRPr="005F4D87">
        <w:t xml:space="preserve"> </w:t>
      </w:r>
      <w:r w:rsidR="002015F6">
        <w:t>sitä</w:t>
      </w:r>
      <w:r w:rsidRPr="005F4D87">
        <w:t xml:space="preserve"> vähentävästi, jos lantaa käsitellään </w:t>
      </w:r>
      <w:r w:rsidR="008232C1">
        <w:t>siten, että se on helpompi kuljettaa kauemm</w:t>
      </w:r>
      <w:r w:rsidR="00BC37FA">
        <w:t xml:space="preserve">as </w:t>
      </w:r>
      <w:r w:rsidR="00000736">
        <w:t xml:space="preserve">tai </w:t>
      </w:r>
      <w:r w:rsidRPr="005F4D87">
        <w:t xml:space="preserve">ravinteet erotellaan ennen peltolevitystä. Mahdollisuus korvata mineraalilannoitteita kierrätetyillä lannoitevalmisteilla vähentää mineraalilannoitteiden tuotannosta aiheutuvia kasvihuonekaasupäästöjä. Lisäksi kierrätyslannoitevalmisteiden valmistuksessa voidaan käytetystä biomassasta ja prosessista riippuen vähentää biomassasta, esimerkiksi lannasta, muutoin aiheutuvia kasvihuonekaasupäästöjä. Jos prosessoinnin yhteydessä voidaan tuottaa uusiutuvaa energiaa ja korvata fossiilisia polttoaineita, positiivinen ilmastovaikutus on vielä suurempi. Ravinteiden kierrätyksen ja ravinteiden käytön tarkentumisen seurauksena merkittäviä ympäristöhyötyjä voidaan saavuttaa myös vesistöjen tilan parantamisessa Biokaasutuksen hyödyt ravinnekierrätykseen ja ravinteiden </w:t>
      </w:r>
      <w:proofErr w:type="gramStart"/>
      <w:r w:rsidRPr="005F4D87">
        <w:t>huoltovarmuuteen</w:t>
      </w:r>
      <w:proofErr w:type="gramEnd"/>
      <w:r w:rsidRPr="005F4D87">
        <w:t xml:space="preserve"> ja ravinteisiin liittyvät ympäristöhyödyt voivat toteutua vain vahvistamalla ravinnekierrätyksen osaamista ja teknologista kehitystä nykyisestä. </w:t>
      </w:r>
    </w:p>
    <w:p w14:paraId="645AF9D5" w14:textId="5913ED56" w:rsidR="005F4D87" w:rsidRDefault="005F4D87" w:rsidP="6D832A00">
      <w:pPr>
        <w:pStyle w:val="VNLeip1kappale"/>
      </w:pPr>
      <w:r w:rsidRPr="005F4D87">
        <w:t>Biokaasulle suunnatun julkisen tuen tavoite on ajaa ylös toimintaa siten, että se muuttuu kokonaan markkinaehtoiseksi. YMP:ssä biokaasun tuotantoa edistetään maatilojen ja maaseutuyritysten investointituella. Lisäksi biokaasun tuotantoa ja ravinteiden kierrätystä edistetään Kansallisen ravinteiden kierrätyksen kokeiluohjelman (päättyy 2025), biokaasu-, lannankäsittely-, ravinnekierrätys- ja hiilensidontainvestointien tuella ja ravinnekiertotuella. Myös YM ja TEM tukevat biokaasun tuotantoa ja käyttöä</w:t>
      </w:r>
      <w:r w:rsidR="00887802">
        <w:t xml:space="preserve"> MMM:n lisäksi</w:t>
      </w:r>
      <w:r w:rsidRPr="005F4D87">
        <w:t>.  </w:t>
      </w:r>
    </w:p>
    <w:p w14:paraId="70F6BE6C" w14:textId="4F849B64" w:rsidR="007554AD" w:rsidRPr="007554AD" w:rsidRDefault="007554AD" w:rsidP="6D832A00">
      <w:pPr>
        <w:pStyle w:val="VNLeip1kappale"/>
      </w:pPr>
      <w:r>
        <w:t>Biokaasuinvestointeja pyritään vauhdittamaan esimerkiksi maatilamittakaavan biokaasulaitosten ympäristölupamenettelyjä sujuvoittamalla ja selkeyttämällä.</w:t>
      </w:r>
    </w:p>
    <w:p w14:paraId="5F0103AC" w14:textId="77777777" w:rsidR="005F4D87" w:rsidRPr="005F4D87" w:rsidRDefault="005F4D87" w:rsidP="6D832A00">
      <w:pPr>
        <w:pStyle w:val="VNLeip1kappale"/>
        <w:rPr>
          <w:rFonts w:ascii="Segoe UI" w:hAnsi="Segoe UI" w:cs="Segoe UI"/>
          <w:sz w:val="18"/>
          <w:szCs w:val="18"/>
        </w:rPr>
      </w:pPr>
      <w:r w:rsidRPr="005F4D87">
        <w:t>Nykyisen tukitason ylläpitäminen on tärkeää ja TKI-toimenpiteisiin pitäisi panostaa jatkossakin. </w:t>
      </w:r>
    </w:p>
    <w:p w14:paraId="5A700686" w14:textId="54AAC512" w:rsidR="00024E9E" w:rsidRDefault="005F4D87" w:rsidP="003F7BD1">
      <w:pPr>
        <w:pStyle w:val="VNLeip1kappale"/>
      </w:pPr>
      <w:proofErr w:type="spellStart"/>
      <w:r w:rsidRPr="00024E9E">
        <w:t>WAM</w:t>
      </w:r>
      <w:r w:rsidR="00042192" w:rsidRPr="00024E9E">
        <w:t>:issa</w:t>
      </w:r>
      <w:proofErr w:type="spellEnd"/>
      <w:r w:rsidRPr="00024E9E">
        <w:t xml:space="preserve"> biokaasulannan osuudet kasvaa </w:t>
      </w:r>
      <w:proofErr w:type="spellStart"/>
      <w:r w:rsidR="00042192" w:rsidRPr="00024E9E">
        <w:t>WEM:iä</w:t>
      </w:r>
      <w:proofErr w:type="spellEnd"/>
      <w:r w:rsidR="00042192" w:rsidRPr="00024E9E">
        <w:t xml:space="preserve"> </w:t>
      </w:r>
      <w:r w:rsidRPr="00024E9E">
        <w:t xml:space="preserve">nopeammin. </w:t>
      </w:r>
      <w:r w:rsidR="00047C06">
        <w:t xml:space="preserve">Vuonna 2030 päästövähennys on </w:t>
      </w:r>
      <w:r w:rsidR="001F75EE">
        <w:t>0,05 Mt, vuonna 2035 0,03 Mt ja vuonna 2040 0,009 Mt</w:t>
      </w:r>
      <w:r w:rsidR="005940BB">
        <w:t xml:space="preserve"> verrattuna WEM-skenaarioon</w:t>
      </w:r>
      <w:r w:rsidR="001F75EE">
        <w:t>.</w:t>
      </w:r>
    </w:p>
    <w:p w14:paraId="4C8127AC" w14:textId="77777777" w:rsidR="005F4D87" w:rsidRPr="005F4D87" w:rsidRDefault="005F4D87" w:rsidP="005F4D87">
      <w:pPr>
        <w:textAlignment w:val="baseline"/>
        <w:rPr>
          <w:rFonts w:ascii="Segoe UI" w:hAnsi="Segoe UI" w:cs="Segoe UI"/>
          <w:sz w:val="18"/>
          <w:szCs w:val="18"/>
        </w:rPr>
      </w:pPr>
      <w:r w:rsidRPr="005F4D87">
        <w:rPr>
          <w:rFonts w:cs="Arial"/>
          <w:sz w:val="22"/>
          <w:szCs w:val="22"/>
        </w:rPr>
        <w:t> </w:t>
      </w:r>
    </w:p>
    <w:p w14:paraId="323DA696" w14:textId="7FFBA569" w:rsidR="093EE47F" w:rsidRDefault="00CE35E0" w:rsidP="00107FA4">
      <w:pPr>
        <w:textAlignment w:val="baseline"/>
        <w:rPr>
          <w:rFonts w:cs="Arial"/>
          <w:sz w:val="22"/>
          <w:szCs w:val="22"/>
        </w:rPr>
      </w:pPr>
      <w:r w:rsidRPr="7DF5F8B5">
        <w:rPr>
          <w:rFonts w:cs="Arial"/>
          <w:b/>
          <w:bCs/>
          <w:sz w:val="22"/>
          <w:szCs w:val="22"/>
        </w:rPr>
        <w:t>T</w:t>
      </w:r>
      <w:r w:rsidR="005F4D87" w:rsidRPr="7DF5F8B5">
        <w:rPr>
          <w:rFonts w:cs="Arial"/>
          <w:b/>
          <w:bCs/>
          <w:sz w:val="22"/>
          <w:szCs w:val="22"/>
        </w:rPr>
        <w:t xml:space="preserve">ilusjärjestelytoiminnan </w:t>
      </w:r>
      <w:r w:rsidRPr="7DF5F8B5">
        <w:rPr>
          <w:rFonts w:cs="Arial"/>
          <w:b/>
          <w:bCs/>
          <w:sz w:val="22"/>
          <w:szCs w:val="22"/>
        </w:rPr>
        <w:t>edistäminen ja</w:t>
      </w:r>
      <w:r w:rsidR="005F4D87" w:rsidRPr="7DF5F8B5">
        <w:rPr>
          <w:rFonts w:cs="Arial"/>
          <w:b/>
          <w:bCs/>
          <w:sz w:val="22"/>
          <w:szCs w:val="22"/>
        </w:rPr>
        <w:t xml:space="preserve"> nopeuttaminen</w:t>
      </w:r>
    </w:p>
    <w:p w14:paraId="7D113184" w14:textId="4E9FF857" w:rsidR="005F4D87" w:rsidRPr="005F4D87" w:rsidRDefault="005F4D87" w:rsidP="0BE01843">
      <w:pPr>
        <w:pStyle w:val="VNLeip1kappale"/>
        <w:rPr>
          <w:rFonts w:ascii="Segoe UI" w:hAnsi="Segoe UI" w:cs="Segoe UI"/>
          <w:sz w:val="18"/>
          <w:szCs w:val="18"/>
        </w:rPr>
      </w:pPr>
      <w:r w:rsidRPr="005F4D87">
        <w:t xml:space="preserve">Suomen pirstoutunut kiinteistörakenne yhdessä maatalouden rakennemuutoksen kanssa on johtanut maatilojen kannalta epäedulliseen tilanteeseen. Huono </w:t>
      </w:r>
      <w:r w:rsidR="00FE05B4">
        <w:t>kiinteistö</w:t>
      </w:r>
      <w:r w:rsidRPr="005F4D87">
        <w:t>rakenne heikentää maatilojen ja maaseudun elinkelposuutta. Kotimaisen korkealaatuisen ruuantuotannon ja hyvän huoltovarmuuden edellytyksenä on kannattava maatalous. Sitä tilusjärjestelyt osaltaan edistävät, kun tilusjärjestelytoimituksilla voidaan parantaa kiinteistöjaotusta. </w:t>
      </w:r>
    </w:p>
    <w:p w14:paraId="17A5983B" w14:textId="14EE16AA" w:rsidR="005F4D87" w:rsidRPr="005F4D87" w:rsidRDefault="005F4D87" w:rsidP="0BE01843">
      <w:pPr>
        <w:pStyle w:val="VNLeip1kappale"/>
        <w:rPr>
          <w:rFonts w:ascii="Segoe UI" w:hAnsi="Segoe UI" w:cs="Segoe UI"/>
          <w:sz w:val="18"/>
          <w:szCs w:val="18"/>
        </w:rPr>
      </w:pPr>
      <w:r w:rsidRPr="005F4D87">
        <w:t xml:space="preserve">Tilusjärjestely mahdollistaa myös luonnon monimuotoisuuden kehittämisen ja vähentää uusien peltojen raivaustarvetta. Tilusjärjestelyjen avulla on voitu vähentää maatalousliikennettä ja tehostaa pelloilla tapahtuvaa työtä. </w:t>
      </w:r>
      <w:r w:rsidR="00EC13A5" w:rsidRPr="2B1CF540">
        <w:t xml:space="preserve">Näin pystytään vähentämään kasvihuonekaasupäästöjä sekä </w:t>
      </w:r>
      <w:r w:rsidR="00B17911" w:rsidRPr="2B1CF540">
        <w:t xml:space="preserve">taakanjako- että </w:t>
      </w:r>
      <w:r w:rsidR="00EC13A5" w:rsidRPr="2B1CF540">
        <w:t>maankäyttösektor</w:t>
      </w:r>
      <w:r w:rsidR="00945D62" w:rsidRPr="2B1CF540">
        <w:t>e</w:t>
      </w:r>
      <w:r w:rsidR="00EC13A5" w:rsidRPr="2B1CF540">
        <w:t>illa.</w:t>
      </w:r>
      <w:r w:rsidR="00EC13A5" w:rsidRPr="33F4A871">
        <w:t xml:space="preserve"> </w:t>
      </w:r>
      <w:r w:rsidRPr="005F4D87">
        <w:t>Tilusjärjestelyjen päämäärätietoinen toteuttaminen tukee hiilineutraalisuustavoitteita. </w:t>
      </w:r>
    </w:p>
    <w:p w14:paraId="601426CC" w14:textId="27D21862" w:rsidR="005F4D87" w:rsidRPr="005F4D87" w:rsidRDefault="005F4D87" w:rsidP="00625585">
      <w:pPr>
        <w:pStyle w:val="VNLeip1kappale"/>
        <w:rPr>
          <w:rFonts w:ascii="Segoe UI" w:hAnsi="Segoe UI" w:cs="Segoe UI"/>
          <w:sz w:val="18"/>
          <w:szCs w:val="18"/>
        </w:rPr>
      </w:pPr>
      <w:r w:rsidRPr="005F4D87">
        <w:t>Maa- ja metsätalousministeriön Peltojen kiinteistörakenteen kehittämisohjelman tuloksena käynnistyi ns. PELTOPANKKI-pilotti. Pilotti on kolmivuotinen ja päättyy vuoden 2025 lopussa. Pilotin tavoitteena on ollut valmistella ja toteuttaa tilusjärjestelyjen yhteydessä ympäristö- ja ilmastotoimenpiteitä aikaisempaa voimaperäisemmin. Pilottia käynnistettäessä arvioitiin, että maatilojen tilussijoituksen sekä samalla ruoantuotannon edellytysten ja kannattavuuden parantuessa on ympäristö- ja ilmastopäästöjä vähentävien toimenpiteiden toteuttaminen motivoivampaa. </w:t>
      </w:r>
    </w:p>
    <w:p w14:paraId="00213DB3" w14:textId="77777777" w:rsidR="005F4D87" w:rsidRPr="005F4D87" w:rsidRDefault="005F4D87" w:rsidP="0BE01843">
      <w:pPr>
        <w:pStyle w:val="VNLeip1kappale"/>
        <w:rPr>
          <w:rFonts w:ascii="Segoe UI" w:hAnsi="Segoe UI" w:cs="Segoe UI"/>
          <w:sz w:val="18"/>
          <w:szCs w:val="18"/>
        </w:rPr>
      </w:pPr>
      <w:r w:rsidRPr="005F4D87">
        <w:t>Pilotin keskeisenä toiminta-ajatuksena on ollut ostaa maatalouden kehittämisrahaston (</w:t>
      </w:r>
      <w:proofErr w:type="spellStart"/>
      <w:r w:rsidRPr="005F4D87">
        <w:t>Makera</w:t>
      </w:r>
      <w:proofErr w:type="spellEnd"/>
      <w:r w:rsidRPr="005F4D87">
        <w:t>) varoilla maa-alueita, joilla voidaan edistää mm. kosteikkojen perustamista. Oston ei tarvitse kohdentua itse ympäristökohteeseen, vaan tilusjärjestelyalueelta ostettu pelto tai metsä voidaan vaihtaa ympäristökohteeseen. </w:t>
      </w:r>
    </w:p>
    <w:p w14:paraId="053B5217" w14:textId="3DA53C41" w:rsidR="74016834" w:rsidRPr="00E02291" w:rsidRDefault="00F40F65" w:rsidP="00D32A40">
      <w:pPr>
        <w:pStyle w:val="Numeroimatonotsikko"/>
        <w:rPr>
          <w:rFonts w:cs="Arial"/>
          <w:b w:val="0"/>
          <w:bCs/>
          <w:sz w:val="22"/>
          <w:szCs w:val="22"/>
        </w:rPr>
      </w:pPr>
      <w:r w:rsidRPr="00E02291">
        <w:rPr>
          <w:sz w:val="22"/>
          <w:szCs w:val="22"/>
        </w:rPr>
        <w:t>T</w:t>
      </w:r>
      <w:r w:rsidR="00C57544" w:rsidRPr="00E02291">
        <w:rPr>
          <w:rFonts w:cs="Arial"/>
          <w:bCs/>
          <w:sz w:val="22"/>
          <w:szCs w:val="22"/>
        </w:rPr>
        <w:t xml:space="preserve">oimet, joille </w:t>
      </w:r>
      <w:r w:rsidR="00B1677F" w:rsidRPr="00E02291">
        <w:rPr>
          <w:rFonts w:cs="Arial"/>
          <w:bCs/>
          <w:sz w:val="22"/>
          <w:szCs w:val="22"/>
        </w:rPr>
        <w:t>esimerkiksi j</w:t>
      </w:r>
      <w:r w:rsidR="00C57544" w:rsidRPr="00E02291">
        <w:rPr>
          <w:rFonts w:cs="Arial"/>
          <w:bCs/>
          <w:sz w:val="22"/>
          <w:szCs w:val="22"/>
        </w:rPr>
        <w:t>akeluvelvoitteen joustomekanismi</w:t>
      </w:r>
      <w:r w:rsidR="0005349E" w:rsidRPr="00E02291">
        <w:rPr>
          <w:rFonts w:cs="Arial"/>
          <w:bCs/>
          <w:sz w:val="22"/>
          <w:szCs w:val="22"/>
        </w:rPr>
        <w:t xml:space="preserve"> voi luoda kannustimet</w:t>
      </w:r>
    </w:p>
    <w:p w14:paraId="58A1C3DC" w14:textId="77777777" w:rsidR="0092122A" w:rsidRPr="0092122A" w:rsidRDefault="0092122A" w:rsidP="00BC7762">
      <w:pPr>
        <w:textAlignment w:val="baseline"/>
        <w:rPr>
          <w:rFonts w:cs="Arial"/>
          <w:b/>
          <w:bCs/>
          <w:sz w:val="22"/>
          <w:szCs w:val="22"/>
        </w:rPr>
      </w:pPr>
    </w:p>
    <w:p w14:paraId="69C733E3" w14:textId="77777777" w:rsidR="00BC7762" w:rsidRPr="005F5E4E" w:rsidDel="009565FB" w:rsidRDefault="00BC7762" w:rsidP="00BC7762">
      <w:pPr>
        <w:textAlignment w:val="baseline"/>
        <w:rPr>
          <w:rFonts w:cs="Arial"/>
          <w:b/>
          <w:bCs/>
          <w:sz w:val="22"/>
          <w:szCs w:val="22"/>
        </w:rPr>
      </w:pPr>
      <w:r w:rsidRPr="005F5E4E" w:rsidDel="009565FB">
        <w:rPr>
          <w:rFonts w:cs="Arial"/>
          <w:b/>
          <w:bCs/>
          <w:sz w:val="22"/>
          <w:szCs w:val="22"/>
        </w:rPr>
        <w:t xml:space="preserve">Turvepeltojen viljely korotetulla pohjaveden pinnalla tai turvepellon </w:t>
      </w:r>
      <w:proofErr w:type="spellStart"/>
      <w:r w:rsidRPr="005F5E4E" w:rsidDel="009565FB">
        <w:rPr>
          <w:rFonts w:cs="Arial"/>
          <w:b/>
          <w:bCs/>
          <w:sz w:val="22"/>
          <w:szCs w:val="22"/>
        </w:rPr>
        <w:t>vettäminen</w:t>
      </w:r>
      <w:proofErr w:type="spellEnd"/>
      <w:r w:rsidRPr="005F5E4E" w:rsidDel="009565FB">
        <w:rPr>
          <w:rFonts w:cs="Arial"/>
          <w:b/>
          <w:bCs/>
          <w:sz w:val="22"/>
          <w:szCs w:val="22"/>
        </w:rPr>
        <w:t> </w:t>
      </w:r>
    </w:p>
    <w:p w14:paraId="4205D812" w14:textId="77777777" w:rsidR="00CA4A9E" w:rsidDel="009565FB" w:rsidRDefault="00CA4A9E" w:rsidP="00421402">
      <w:pPr>
        <w:textAlignment w:val="baseline"/>
        <w:rPr>
          <w:rFonts w:cs="Arial"/>
          <w:sz w:val="22"/>
          <w:szCs w:val="22"/>
        </w:rPr>
      </w:pPr>
    </w:p>
    <w:p w14:paraId="18944F66" w14:textId="46C10A4A" w:rsidR="00171FDE" w:rsidRPr="00171FDE" w:rsidDel="009565FB" w:rsidRDefault="00171FDE" w:rsidP="00C71FF4">
      <w:pPr>
        <w:textAlignment w:val="baseline"/>
        <w:rPr>
          <w:rFonts w:cs="Arial"/>
          <w:sz w:val="22"/>
          <w:szCs w:val="22"/>
        </w:rPr>
      </w:pPr>
      <w:r w:rsidRPr="00171FDE" w:rsidDel="009565FB">
        <w:rPr>
          <w:rFonts w:cs="Arial"/>
          <w:sz w:val="22"/>
          <w:szCs w:val="22"/>
        </w:rPr>
        <w:t>Turvemaan viljely korotetulla vedenpinnalla -5 – -10 cm (osmankäämi, kihokki tms.)</w:t>
      </w:r>
      <w:r w:rsidR="00E259A8">
        <w:rPr>
          <w:rFonts w:cs="Arial"/>
          <w:sz w:val="22"/>
          <w:szCs w:val="22"/>
        </w:rPr>
        <w:t xml:space="preserve"> Tavoite</w:t>
      </w:r>
      <w:r w:rsidR="009058B5">
        <w:rPr>
          <w:rFonts w:cs="Arial"/>
          <w:sz w:val="22"/>
          <w:szCs w:val="22"/>
        </w:rPr>
        <w:t>pinta-</w:t>
      </w:r>
      <w:r w:rsidR="00E259A8">
        <w:rPr>
          <w:rFonts w:cs="Arial"/>
          <w:sz w:val="22"/>
          <w:szCs w:val="22"/>
        </w:rPr>
        <w:t>ala 2 500 ha</w:t>
      </w:r>
      <w:r w:rsidR="009058B5">
        <w:rPr>
          <w:rFonts w:cs="Arial"/>
          <w:sz w:val="22"/>
          <w:szCs w:val="22"/>
        </w:rPr>
        <w:t>.</w:t>
      </w:r>
    </w:p>
    <w:p w14:paraId="0C08350B" w14:textId="77777777" w:rsidR="0018376C" w:rsidDel="009565FB" w:rsidRDefault="0018376C" w:rsidP="00C71FF4">
      <w:pPr>
        <w:textAlignment w:val="baseline"/>
        <w:rPr>
          <w:rFonts w:cs="Arial"/>
          <w:sz w:val="22"/>
          <w:szCs w:val="22"/>
        </w:rPr>
      </w:pPr>
    </w:p>
    <w:p w14:paraId="68AB051F" w14:textId="77777777" w:rsidR="00DF6349" w:rsidRPr="0092122A" w:rsidDel="009565FB" w:rsidRDefault="00DF6349" w:rsidP="00C71FF4">
      <w:pPr>
        <w:textAlignment w:val="baseline"/>
        <w:rPr>
          <w:rFonts w:cs="Arial"/>
          <w:b/>
          <w:bCs/>
          <w:iCs/>
          <w:sz w:val="22"/>
          <w:szCs w:val="22"/>
        </w:rPr>
      </w:pPr>
      <w:r w:rsidRPr="0092122A" w:rsidDel="009565FB">
        <w:rPr>
          <w:rFonts w:cs="Arial"/>
          <w:b/>
          <w:bCs/>
          <w:iCs/>
          <w:sz w:val="22"/>
          <w:szCs w:val="22"/>
        </w:rPr>
        <w:t>Ehkäistään metsän muuttumista pelloksi </w:t>
      </w:r>
    </w:p>
    <w:p w14:paraId="1DFAEC84" w14:textId="77777777" w:rsidR="0092122A" w:rsidRDefault="0092122A" w:rsidP="002C5D27">
      <w:pPr>
        <w:textAlignment w:val="baseline"/>
        <w:rPr>
          <w:rFonts w:cs="Arial"/>
          <w:sz w:val="22"/>
          <w:szCs w:val="22"/>
        </w:rPr>
      </w:pPr>
    </w:p>
    <w:p w14:paraId="3A037028" w14:textId="5BB68B30" w:rsidR="00DF6349" w:rsidRPr="00DF6349" w:rsidDel="009565FB" w:rsidRDefault="00DF6349" w:rsidP="002C5D27">
      <w:pPr>
        <w:textAlignment w:val="baseline"/>
        <w:rPr>
          <w:rFonts w:cs="Arial"/>
          <w:sz w:val="22"/>
          <w:szCs w:val="22"/>
        </w:rPr>
      </w:pPr>
      <w:r w:rsidRPr="00DF6349" w:rsidDel="009565FB">
        <w:rPr>
          <w:rFonts w:cs="Arial"/>
          <w:sz w:val="22"/>
          <w:szCs w:val="22"/>
        </w:rPr>
        <w:t xml:space="preserve">Metsän muuttumista pelloksi rajoittaa YMP:n hyvän maatalouden ja ympäristön vaatimus (GAEC, </w:t>
      </w:r>
      <w:proofErr w:type="spellStart"/>
      <w:r w:rsidRPr="00DF6349" w:rsidDel="009565FB">
        <w:rPr>
          <w:rFonts w:cs="Arial"/>
          <w:sz w:val="22"/>
          <w:szCs w:val="22"/>
        </w:rPr>
        <w:t>Good</w:t>
      </w:r>
      <w:proofErr w:type="spellEnd"/>
      <w:r w:rsidRPr="00DF6349" w:rsidDel="009565FB">
        <w:rPr>
          <w:rFonts w:cs="Arial"/>
          <w:sz w:val="22"/>
          <w:szCs w:val="22"/>
        </w:rPr>
        <w:t xml:space="preserve"> Agricultural and </w:t>
      </w:r>
      <w:proofErr w:type="spellStart"/>
      <w:r w:rsidRPr="00DF6349" w:rsidDel="009565FB">
        <w:rPr>
          <w:rFonts w:cs="Arial"/>
          <w:sz w:val="22"/>
          <w:szCs w:val="22"/>
        </w:rPr>
        <w:t>Environmental</w:t>
      </w:r>
      <w:proofErr w:type="spellEnd"/>
      <w:r w:rsidRPr="00DF6349" w:rsidDel="009565FB">
        <w:rPr>
          <w:rFonts w:cs="Arial"/>
          <w:sz w:val="22"/>
          <w:szCs w:val="22"/>
        </w:rPr>
        <w:t xml:space="preserve"> </w:t>
      </w:r>
      <w:proofErr w:type="spellStart"/>
      <w:r w:rsidRPr="00DF6349" w:rsidDel="009565FB">
        <w:rPr>
          <w:rFonts w:cs="Arial"/>
          <w:sz w:val="22"/>
          <w:szCs w:val="22"/>
        </w:rPr>
        <w:t>Condition</w:t>
      </w:r>
      <w:proofErr w:type="spellEnd"/>
      <w:r w:rsidRPr="00DF6349" w:rsidDel="009565FB">
        <w:rPr>
          <w:rFonts w:cs="Arial"/>
          <w:sz w:val="22"/>
          <w:szCs w:val="22"/>
        </w:rPr>
        <w:t>) GAEC 2 ”kosteikkojen ja turvemaiden suojelu”. EU:n metsäkatoasetuksella on myös vaikutusta uuden pellon raivaamiseen. </w:t>
      </w:r>
    </w:p>
    <w:p w14:paraId="0308E54E" w14:textId="77777777" w:rsidR="00CA4A9E" w:rsidRDefault="00CA4A9E" w:rsidP="00560834">
      <w:pPr>
        <w:textAlignment w:val="baseline"/>
        <w:rPr>
          <w:rFonts w:cs="Arial"/>
          <w:i/>
          <w:iCs/>
          <w:sz w:val="22"/>
          <w:szCs w:val="22"/>
          <w:u w:val="single"/>
        </w:rPr>
      </w:pPr>
    </w:p>
    <w:p w14:paraId="06D6F9B8" w14:textId="3F03F544" w:rsidR="00560834" w:rsidRPr="005F5E4E" w:rsidRDefault="00560834" w:rsidP="00560834">
      <w:pPr>
        <w:textAlignment w:val="baseline"/>
        <w:rPr>
          <w:rFonts w:cs="Arial"/>
          <w:b/>
          <w:bCs/>
          <w:sz w:val="22"/>
          <w:szCs w:val="22"/>
        </w:rPr>
      </w:pPr>
      <w:r w:rsidRPr="005F5E4E">
        <w:rPr>
          <w:rFonts w:cs="Arial"/>
          <w:b/>
          <w:bCs/>
          <w:sz w:val="22"/>
          <w:szCs w:val="22"/>
        </w:rPr>
        <w:t xml:space="preserve">Nautojen metaanipäästöjen vähentäminen ruokinnallisin keinoin  </w:t>
      </w:r>
    </w:p>
    <w:p w14:paraId="4E724DD3" w14:textId="77777777" w:rsidR="00560834" w:rsidRPr="00CC5F74" w:rsidRDefault="00560834" w:rsidP="003F7BD1">
      <w:pPr>
        <w:pStyle w:val="VNLeip1kappale"/>
      </w:pPr>
      <w:r w:rsidRPr="00CC5F74">
        <w:t>Nautojen metaanipäästöjä pyritään vähentämään muuttamalla niiden ruokintaa esimerkiksi rehun rasvalisällä (rypsi, kaura jne.) tai metaanipäästöjä vähentävällä rehun lisäaineilla. Pötsin metaanintuotantoa inhiboivista aineista 3-nitro-oksipropanoli (3-NOP) rajoittaa mikrobien (</w:t>
      </w:r>
      <w:proofErr w:type="spellStart"/>
      <w:r w:rsidRPr="00CC5F74">
        <w:t>arkeonit</w:t>
      </w:r>
      <w:proofErr w:type="spellEnd"/>
      <w:r w:rsidRPr="00CC5F74">
        <w:t>) metaanibiosynteesiä (</w:t>
      </w:r>
      <w:proofErr w:type="spellStart"/>
      <w:r w:rsidRPr="00CC5F74">
        <w:t>methyl</w:t>
      </w:r>
      <w:proofErr w:type="spellEnd"/>
      <w:r w:rsidRPr="00CC5F74">
        <w:t>–</w:t>
      </w:r>
      <w:proofErr w:type="spellStart"/>
      <w:r w:rsidRPr="00CC5F74">
        <w:t>coenzyme</w:t>
      </w:r>
      <w:proofErr w:type="spellEnd"/>
      <w:r w:rsidRPr="00CC5F74">
        <w:t xml:space="preserve"> M </w:t>
      </w:r>
      <w:proofErr w:type="spellStart"/>
      <w:r w:rsidRPr="00CC5F74">
        <w:t>reductase</w:t>
      </w:r>
      <w:proofErr w:type="spellEnd"/>
      <w:r w:rsidRPr="00CC5F74">
        <w:t xml:space="preserve">). 3-NOP on hyvin spesifisti </w:t>
      </w:r>
      <w:proofErr w:type="spellStart"/>
      <w:r w:rsidRPr="00CC5F74">
        <w:t>metanogeneesia</w:t>
      </w:r>
      <w:proofErr w:type="spellEnd"/>
      <w:r w:rsidRPr="00CC5F74">
        <w:t xml:space="preserve"> inhiboiva aine eikä se vaikuta pötsin muuhun mikrobikantaan. 3-NOP-valmiste on ensimmäinen Euroopan unionissa pötsimetaanin vähentämiseen hyväksytty rehun lisäaine (Euroopan komissio 2022). Mahdollisuuksia toimen edistämiseen voisi löytyä hiilimarkkinoista tai jakeluvelvoitteen joustomekanismista. </w:t>
      </w:r>
    </w:p>
    <w:p w14:paraId="348C6F44" w14:textId="3E7884DD" w:rsidR="005C1858" w:rsidRPr="00CC5F74" w:rsidRDefault="00560834" w:rsidP="003F7BD1">
      <w:pPr>
        <w:pStyle w:val="VNLeip1kappale"/>
      </w:pPr>
      <w:r w:rsidRPr="00CC5F74">
        <w:t>WEM</w:t>
      </w:r>
      <w:r w:rsidR="00465326" w:rsidRPr="00CC5F74">
        <w:t>-sk</w:t>
      </w:r>
      <w:r w:rsidR="00107FA4" w:rsidRPr="00CC5F74">
        <w:t>e</w:t>
      </w:r>
      <w:r w:rsidR="00465326" w:rsidRPr="00CC5F74">
        <w:t>naariossa toimi</w:t>
      </w:r>
      <w:r w:rsidRPr="00CC5F74">
        <w:t xml:space="preserve"> ei</w:t>
      </w:r>
      <w:r w:rsidR="00465326" w:rsidRPr="00CC5F74">
        <w:t xml:space="preserve"> ole</w:t>
      </w:r>
      <w:r w:rsidRPr="00CC5F74">
        <w:t xml:space="preserve"> käytössä</w:t>
      </w:r>
      <w:r w:rsidR="00465326" w:rsidRPr="00CC5F74">
        <w:t>, mutta</w:t>
      </w:r>
      <w:r w:rsidR="006157CA" w:rsidRPr="00CC5F74">
        <w:t xml:space="preserve"> </w:t>
      </w:r>
      <w:r w:rsidRPr="00CC5F74">
        <w:t>WAM</w:t>
      </w:r>
      <w:r w:rsidR="00465326" w:rsidRPr="00CC5F74">
        <w:t>-ske</w:t>
      </w:r>
      <w:r w:rsidR="006157CA" w:rsidRPr="00CC5F74">
        <w:t>n</w:t>
      </w:r>
      <w:r w:rsidR="00465326" w:rsidRPr="00CC5F74">
        <w:t>aariossa</w:t>
      </w:r>
      <w:r w:rsidRPr="00CC5F74">
        <w:t xml:space="preserve"> 3NOP</w:t>
      </w:r>
      <w:r w:rsidRPr="00CC5F74">
        <w:rPr>
          <w:b/>
        </w:rPr>
        <w:t xml:space="preserve"> </w:t>
      </w:r>
      <w:r w:rsidRPr="00CC5F74">
        <w:t>syötetään kaikille sallituille nautaryhmille (lypsy-</w:t>
      </w:r>
      <w:r w:rsidR="00622744" w:rsidRPr="00CC5F74">
        <w:t xml:space="preserve"> ja</w:t>
      </w:r>
      <w:r w:rsidRPr="00CC5F74">
        <w:t xml:space="preserve"> emolehmät</w:t>
      </w:r>
      <w:r w:rsidR="00622744" w:rsidRPr="00CC5F74">
        <w:t>,</w:t>
      </w:r>
      <w:r w:rsidRPr="00CC5F74">
        <w:t xml:space="preserve"> maidontuotantoon kasvatettavat hiehot, luomueläimille ei syötetä) vuodesta 2030 eteenpäin. Päästövähenemät IRMA-hankkee</w:t>
      </w:r>
      <w:r w:rsidR="00C037EE" w:rsidRPr="00CC5F74">
        <w:t>n perusteella ovat 0,1 Mt vuonna 2030</w:t>
      </w:r>
      <w:r w:rsidR="00EB0126" w:rsidRPr="00CC5F74">
        <w:t xml:space="preserve"> ja 0,2 Mt vuosille 2035 ja 2040.</w:t>
      </w:r>
    </w:p>
    <w:p w14:paraId="523FBD9C" w14:textId="0A91C6BA" w:rsidR="006157CA" w:rsidRPr="005D3E62" w:rsidRDefault="006157CA" w:rsidP="006157CA">
      <w:pPr>
        <w:pStyle w:val="ALeip1kappale"/>
        <w:rPr>
          <w:b/>
          <w:sz w:val="22"/>
          <w:szCs w:val="22"/>
        </w:rPr>
      </w:pPr>
      <w:r w:rsidRPr="005D3E62">
        <w:rPr>
          <w:b/>
          <w:sz w:val="22"/>
          <w:szCs w:val="22"/>
        </w:rPr>
        <w:t>Muut kotieläintoimet</w:t>
      </w:r>
    </w:p>
    <w:p w14:paraId="70FBCBB4" w14:textId="77777777" w:rsidR="006157CA" w:rsidRPr="005D3E62" w:rsidRDefault="00560834" w:rsidP="006157CA">
      <w:pPr>
        <w:pStyle w:val="ALeip1kappale"/>
        <w:rPr>
          <w:sz w:val="22"/>
          <w:szCs w:val="22"/>
        </w:rPr>
      </w:pPr>
      <w:r w:rsidRPr="005D3E62">
        <w:rPr>
          <w:sz w:val="22"/>
          <w:szCs w:val="22"/>
        </w:rPr>
        <w:t>Seuraavat kolme toimea vaikuttavat toisiinsa. Toimien vaikutuksesta hiehojen ja emolehmien määrät vähenevät</w:t>
      </w:r>
      <w:r w:rsidR="6561D0CB" w:rsidRPr="005D3E62">
        <w:rPr>
          <w:sz w:val="22"/>
          <w:szCs w:val="22"/>
        </w:rPr>
        <w:t>,</w:t>
      </w:r>
      <w:r w:rsidRPr="005D3E62">
        <w:rPr>
          <w:sz w:val="22"/>
          <w:szCs w:val="22"/>
        </w:rPr>
        <w:t xml:space="preserve"> kun taas sonnien lisääntyvät</w:t>
      </w:r>
      <w:r w:rsidR="004203D4" w:rsidRPr="005D3E62">
        <w:rPr>
          <w:sz w:val="22"/>
          <w:szCs w:val="22"/>
        </w:rPr>
        <w:t>.</w:t>
      </w:r>
      <w:r w:rsidR="006157CA" w:rsidRPr="005D3E62">
        <w:rPr>
          <w:sz w:val="22"/>
          <w:szCs w:val="22"/>
        </w:rPr>
        <w:t xml:space="preserve"> </w:t>
      </w:r>
    </w:p>
    <w:p w14:paraId="041B0A3C" w14:textId="0C3642E7" w:rsidR="0EBA5103" w:rsidRPr="005D3E62" w:rsidRDefault="00560834" w:rsidP="006157CA">
      <w:pPr>
        <w:pStyle w:val="ALeip1kappale"/>
        <w:rPr>
          <w:sz w:val="22"/>
          <w:szCs w:val="22"/>
        </w:rPr>
      </w:pPr>
      <w:r w:rsidRPr="005D3E62">
        <w:rPr>
          <w:b/>
          <w:sz w:val="22"/>
          <w:szCs w:val="22"/>
        </w:rPr>
        <w:t>Karjan ikärakenne</w:t>
      </w:r>
      <w:r w:rsidR="006157CA" w:rsidRPr="005D3E62">
        <w:rPr>
          <w:b/>
          <w:sz w:val="22"/>
          <w:szCs w:val="22"/>
        </w:rPr>
        <w:t>:</w:t>
      </w:r>
      <w:r w:rsidR="006157CA" w:rsidRPr="005D3E62">
        <w:rPr>
          <w:sz w:val="22"/>
          <w:szCs w:val="22"/>
        </w:rPr>
        <w:t xml:space="preserve"> </w:t>
      </w:r>
      <w:r w:rsidR="008F26FF" w:rsidRPr="005D3E62">
        <w:rPr>
          <w:sz w:val="22"/>
          <w:szCs w:val="22"/>
        </w:rPr>
        <w:t>Lehmien eliniän pidentyminen mahdollistaa liharisteymäsonnien määrän lisäämisen</w:t>
      </w:r>
      <w:r w:rsidR="006157CA" w:rsidRPr="005D3E62">
        <w:rPr>
          <w:sz w:val="22"/>
          <w:szCs w:val="22"/>
        </w:rPr>
        <w:t xml:space="preserve">. </w:t>
      </w:r>
      <w:r w:rsidRPr="005D3E62">
        <w:rPr>
          <w:sz w:val="22"/>
          <w:szCs w:val="22"/>
        </w:rPr>
        <w:t>Lehmien eliniän pidentämisen myötä uudistushiehoja tarvitaan vähemmän, jolloin suurempi osuus vasikoista menee teuraaksi kasvatettaviksi eläimiksi. Uudistushiehojen lihanautaa pidempi kasvatusaika tarkoittaa sitä, että uudistushiehojen lukumäärän vähentyessä metaanipäästöt alenevat. </w:t>
      </w:r>
    </w:p>
    <w:p w14:paraId="1E82A6F9" w14:textId="49515208" w:rsidR="006157CA" w:rsidRPr="005D3E62" w:rsidRDefault="00560834" w:rsidP="006157CA">
      <w:pPr>
        <w:pStyle w:val="ALeip1kappale"/>
        <w:rPr>
          <w:rFonts w:asciiTheme="minorHAnsi" w:hAnsiTheme="minorHAnsi" w:cstheme="minorHAnsi"/>
          <w:sz w:val="22"/>
          <w:szCs w:val="22"/>
        </w:rPr>
      </w:pPr>
      <w:r w:rsidRPr="005D3E62">
        <w:rPr>
          <w:b/>
          <w:sz w:val="22"/>
          <w:szCs w:val="22"/>
        </w:rPr>
        <w:t>Sukupuolilajiteltu siemen</w:t>
      </w:r>
      <w:r w:rsidR="006157CA" w:rsidRPr="005D3E62">
        <w:rPr>
          <w:b/>
          <w:sz w:val="22"/>
          <w:szCs w:val="22"/>
        </w:rPr>
        <w:t>:</w:t>
      </w:r>
      <w:r w:rsidR="006157CA" w:rsidRPr="005D3E62">
        <w:rPr>
          <w:sz w:val="22"/>
          <w:szCs w:val="22"/>
        </w:rPr>
        <w:t xml:space="preserve"> </w:t>
      </w:r>
      <w:r w:rsidRPr="005D3E62">
        <w:rPr>
          <w:sz w:val="22"/>
          <w:szCs w:val="22"/>
        </w:rPr>
        <w:t>Toimi vaikuttaa syntyvän vasikan sukupuoleen. Tavoitteena on maitorotuisten sonnivasikoiden määrän vähentäminen ja nopeammin kasvavien liha-maitorotuisten risteytysvasikoiden lisääminen lypsykarjoissa. Sukupuolilajiteltu siemen on suhteellisen uusi tekniikka, jonka vuoksi lisätutkimusta menetelmän käytöstä ja vaikutuksista tarvitaan lisää. Menetelmä on kuitenkin yleistymässä nopeasti. </w:t>
      </w:r>
      <w:r w:rsidR="004203D4" w:rsidRPr="005D3E62">
        <w:rPr>
          <w:sz w:val="22"/>
          <w:szCs w:val="22"/>
        </w:rPr>
        <w:t xml:space="preserve">Lajiteltu </w:t>
      </w:r>
      <w:r w:rsidR="004203D4" w:rsidRPr="005D3E62">
        <w:rPr>
          <w:rFonts w:asciiTheme="minorHAnsi" w:hAnsiTheme="minorHAnsi" w:cstheme="minorHAnsi"/>
          <w:sz w:val="22"/>
          <w:szCs w:val="22"/>
        </w:rPr>
        <w:t>siemen linkittyy myös jalostuksen tehostumiseen.</w:t>
      </w:r>
    </w:p>
    <w:p w14:paraId="2EB4FDE4" w14:textId="17778D6E" w:rsidR="00974933" w:rsidRPr="005D3E62" w:rsidRDefault="00560834" w:rsidP="006157CA">
      <w:pPr>
        <w:pStyle w:val="ALeip1kappale"/>
        <w:rPr>
          <w:rFonts w:asciiTheme="minorHAnsi" w:hAnsiTheme="minorHAnsi" w:cstheme="minorBidi"/>
          <w:b/>
          <w:sz w:val="22"/>
          <w:szCs w:val="22"/>
        </w:rPr>
      </w:pPr>
      <w:r w:rsidRPr="005D3E62">
        <w:rPr>
          <w:rFonts w:asciiTheme="minorHAnsi" w:hAnsiTheme="minorHAnsi" w:cstheme="minorHAnsi"/>
          <w:b/>
          <w:sz w:val="22"/>
          <w:szCs w:val="22"/>
        </w:rPr>
        <w:t>Kotieläinten jalostus</w:t>
      </w:r>
      <w:r w:rsidR="006157CA" w:rsidRPr="005D3E62">
        <w:rPr>
          <w:rFonts w:asciiTheme="minorHAnsi" w:hAnsiTheme="minorHAnsi" w:cstheme="minorHAnsi"/>
          <w:b/>
          <w:sz w:val="22"/>
          <w:szCs w:val="22"/>
        </w:rPr>
        <w:t>:</w:t>
      </w:r>
      <w:r w:rsidR="006157CA" w:rsidRPr="005D3E62">
        <w:rPr>
          <w:rFonts w:asciiTheme="minorHAnsi" w:hAnsiTheme="minorHAnsi" w:cstheme="minorHAnsi"/>
          <w:sz w:val="22"/>
          <w:szCs w:val="22"/>
        </w:rPr>
        <w:t xml:space="preserve"> </w:t>
      </w:r>
      <w:r w:rsidR="68C5F2E7" w:rsidRPr="005D3E62">
        <w:rPr>
          <w:rFonts w:asciiTheme="minorHAnsi" w:eastAsia="Aptos" w:hAnsiTheme="minorHAnsi" w:cstheme="minorHAnsi"/>
          <w:sz w:val="22"/>
          <w:szCs w:val="22"/>
        </w:rPr>
        <w:t>Kestävin tie maidontuotannon ilmastokuormituksen vähentämiseen on tuotannon tehostaminen, jolloin vähemmällä määrällä eläimiä tuotetaan sama tai suurempi määrä maitoa. Tätä työtä on Suomessa tehty jo pitkään ja metaanintuotanto on vähentynyt 60 vuodessa 56 % (Huhtanen ym. 2022). Tämä osoittaa, että tuotannon optimointi johtaa merkittäviin ilmastohyötyihin. Maidontuotannon tehostamista eläinjalostuksen, ruokinnan ja hoidon keinoin on jatkettava. Globaalisti merkittäviä vaikutuksia olisi saavutettavissa myös kehittyvien maiden kotieläintuotannon tehostamisella. Lisäaineiden kuten muidenkin metaanintuotantoa vähentävien toimenpiteiden osalta on myös arvioitava kustannuksia verrattuna saavutettuun vähennykseen.</w:t>
      </w:r>
      <w:r w:rsidR="68C5F2E7" w:rsidRPr="005D3E62">
        <w:rPr>
          <w:rFonts w:asciiTheme="minorHAnsi" w:eastAsia="Arial" w:hAnsiTheme="minorHAnsi" w:cstheme="minorHAnsi"/>
          <w:sz w:val="22"/>
          <w:szCs w:val="22"/>
        </w:rPr>
        <w:t xml:space="preserve"> </w:t>
      </w:r>
    </w:p>
    <w:p w14:paraId="4E2E8FCD" w14:textId="4B4C863C" w:rsidR="00745030" w:rsidRPr="00E02291" w:rsidRDefault="00F40F65" w:rsidP="00D32A40">
      <w:pPr>
        <w:pStyle w:val="Numeroimatonotsikko"/>
        <w:rPr>
          <w:rFonts w:cstheme="minorBidi"/>
          <w:b w:val="0"/>
          <w:sz w:val="22"/>
          <w:szCs w:val="22"/>
        </w:rPr>
      </w:pPr>
      <w:r w:rsidRPr="00E02291">
        <w:rPr>
          <w:sz w:val="22"/>
          <w:szCs w:val="22"/>
        </w:rPr>
        <w:t>T</w:t>
      </w:r>
      <w:r w:rsidR="2BF2DEE9" w:rsidRPr="00E02291">
        <w:rPr>
          <w:rFonts w:cstheme="minorBidi"/>
          <w:sz w:val="22"/>
          <w:szCs w:val="22"/>
        </w:rPr>
        <w:t>oimia</w:t>
      </w:r>
      <w:r w:rsidR="00745030" w:rsidRPr="00E02291">
        <w:rPr>
          <w:rFonts w:cstheme="minorBidi"/>
          <w:sz w:val="22"/>
          <w:szCs w:val="22"/>
        </w:rPr>
        <w:t>, joiden päästövähennysvaikutusta ei ole pystytty arvioimaan</w:t>
      </w:r>
    </w:p>
    <w:p w14:paraId="6B4F7EB7" w14:textId="77777777" w:rsidR="00745030" w:rsidRPr="00C31960" w:rsidRDefault="00745030" w:rsidP="00C31960">
      <w:pPr>
        <w:pStyle w:val="VNLeip1kappale"/>
        <w:rPr>
          <w:rFonts w:asciiTheme="minorHAnsi" w:hAnsiTheme="minorHAnsi" w:cstheme="minorHAnsi"/>
        </w:rPr>
      </w:pPr>
      <w:r w:rsidRPr="00C31960">
        <w:rPr>
          <w:rFonts w:asciiTheme="minorHAnsi" w:hAnsiTheme="minorHAnsi" w:cstheme="minorHAnsi"/>
        </w:rPr>
        <w:t>Edellä mainittujen maatalouden kasvihuonekaasupäästövähennystoimien lisäksi on monia muita tekijöitä, jotka voivat vaikuttaa maatalouden kasvihuonekaasupäästöjen vähentymiseen tulevaisuudessa. Näiden tekijöiden päästövähennysvaikutuksen suuruutta ei ole pystytty arvioimaan.</w:t>
      </w:r>
    </w:p>
    <w:p w14:paraId="449C8059" w14:textId="151B4D78" w:rsidR="00745030" w:rsidRPr="00C31960" w:rsidRDefault="0079012D" w:rsidP="00C31960">
      <w:pPr>
        <w:pStyle w:val="VNLeip1kappale"/>
        <w:rPr>
          <w:rFonts w:asciiTheme="minorHAnsi" w:hAnsiTheme="minorHAnsi" w:cstheme="minorHAnsi"/>
        </w:rPr>
      </w:pPr>
      <w:r w:rsidRPr="00C31960">
        <w:rPr>
          <w:rFonts w:asciiTheme="minorHAnsi" w:hAnsiTheme="minorHAnsi" w:cstheme="minorHAnsi"/>
          <w:b/>
          <w:bCs/>
        </w:rPr>
        <w:t>Korvauskelpoisuus</w:t>
      </w:r>
      <w:r w:rsidR="006157CA" w:rsidRPr="00C31960">
        <w:rPr>
          <w:rFonts w:asciiTheme="minorHAnsi" w:hAnsiTheme="minorHAnsi" w:cstheme="minorHAnsi"/>
          <w:b/>
          <w:bCs/>
        </w:rPr>
        <w:t>.</w:t>
      </w:r>
      <w:r w:rsidR="006157CA" w:rsidRPr="00C31960">
        <w:rPr>
          <w:rFonts w:asciiTheme="minorHAnsi" w:hAnsiTheme="minorHAnsi" w:cstheme="minorHAnsi"/>
          <w:u w:val="single"/>
        </w:rPr>
        <w:t xml:space="preserve"> </w:t>
      </w:r>
      <w:r w:rsidR="00892F6F" w:rsidRPr="00C31960">
        <w:rPr>
          <w:rFonts w:asciiTheme="minorHAnsi" w:hAnsiTheme="minorHAnsi" w:cstheme="minorHAnsi"/>
        </w:rPr>
        <w:t>Vapautuvan korvauskelpoisuuden jakaminen korvauskelvottomille lohkoille vanhimmasta uusimpaan (ennen vuotta 2022 raivatuilla pelloilla). Olemassa olevan peltomaan tuoton parantaminen voi vähentää tarvetta raivata uutta peltoa. Näin tulee myös mahdolliseksi tuoda pellot ympäristökorvausten ja siten mahdollisesti uusien toimenpiteiden piiriin.</w:t>
      </w:r>
    </w:p>
    <w:p w14:paraId="6B2BE275" w14:textId="7750CE2D" w:rsidR="00745030" w:rsidRPr="00C31960" w:rsidRDefault="00745030" w:rsidP="00C31960">
      <w:pPr>
        <w:pStyle w:val="VNLeip1kappale"/>
        <w:rPr>
          <w:rFonts w:asciiTheme="minorHAnsi" w:hAnsiTheme="minorHAnsi" w:cstheme="minorHAnsi"/>
        </w:rPr>
      </w:pPr>
      <w:r w:rsidRPr="00C31960">
        <w:rPr>
          <w:rFonts w:asciiTheme="minorHAnsi" w:hAnsiTheme="minorHAnsi" w:cstheme="minorHAnsi"/>
          <w:b/>
          <w:bCs/>
        </w:rPr>
        <w:t>Luomutuotannon lisääminen</w:t>
      </w:r>
      <w:r w:rsidRPr="00C31960">
        <w:rPr>
          <w:rFonts w:asciiTheme="minorHAnsi" w:hAnsiTheme="minorHAnsi" w:cstheme="minorHAnsi"/>
        </w:rPr>
        <w:t>.</w:t>
      </w:r>
      <w:r w:rsidR="006157CA" w:rsidRPr="00C31960">
        <w:rPr>
          <w:rFonts w:asciiTheme="minorHAnsi" w:hAnsiTheme="minorHAnsi" w:cstheme="minorHAnsi"/>
        </w:rPr>
        <w:t xml:space="preserve"> </w:t>
      </w:r>
      <w:r w:rsidRPr="00C31960">
        <w:rPr>
          <w:rFonts w:asciiTheme="minorHAnsi" w:hAnsiTheme="minorHAnsi" w:cstheme="minorHAnsi"/>
        </w:rPr>
        <w:t>Keväällä 2021 julkistettiin luomuohjelma Luomu 2.0 (MMM 2021a), jonka tavoitteisiin kuuluu muun muassa kotimaisten luomutuotteiden osuuden lisääminen ruuantuotannossa, elintarvikejalostuksessa, kotimaan kulutuksessa ja viennissä, sekä luomuosaamisen ja tiedon lisääminen Suomessa. Maa- ja metsätalousministeriö koordinoi luomuohjelman toteuttamista. Vuonna 2023 julkaistiin yhdessä luomualan toimijoiden kanssa valmisteltu Luomu 2.0 toimeenpanosuunnitelma, joka sisältää toimet, välitavoitteet ja mittarit, joilla ohjelman tavoitteita kohti pyritään.</w:t>
      </w:r>
    </w:p>
    <w:p w14:paraId="0D9B8410" w14:textId="77777777" w:rsidR="00745030" w:rsidRPr="00C31960" w:rsidRDefault="00745030" w:rsidP="00C31960">
      <w:pPr>
        <w:pStyle w:val="VNLeip1kappale"/>
        <w:rPr>
          <w:rFonts w:asciiTheme="minorHAnsi" w:hAnsiTheme="minorHAnsi" w:cstheme="minorHAnsi"/>
        </w:rPr>
      </w:pPr>
      <w:r w:rsidRPr="00C31960">
        <w:rPr>
          <w:rFonts w:asciiTheme="minorHAnsi" w:hAnsiTheme="minorHAnsi" w:cstheme="minorHAnsi"/>
        </w:rPr>
        <w:t>Luomutuotannon lähtökohtana on maaperän kasvukunnosta huolehtiminen. Käytettävät viljelymenetelmät edistävät orgaanisen aineksen ja hiilen kertymistä maaperään, mikä on edellytys peltomaan hyvälle kasvukunnolle. Nämä menetelmät edistävät samalla ravinteiden kierrätystä, vähentävät riippuvuutta fossiilisesta energiasta ja lisäävät maatilojen ravinneomavaraisuutta.</w:t>
      </w:r>
    </w:p>
    <w:p w14:paraId="2BB88073" w14:textId="1D391154" w:rsidR="00745030" w:rsidRPr="00C31960" w:rsidRDefault="00745030" w:rsidP="00C31960">
      <w:pPr>
        <w:pStyle w:val="VNLeip1kappale"/>
        <w:rPr>
          <w:rFonts w:asciiTheme="minorHAnsi" w:hAnsiTheme="minorHAnsi" w:cstheme="minorHAnsi"/>
        </w:rPr>
      </w:pPr>
      <w:r w:rsidRPr="00C31960">
        <w:rPr>
          <w:rFonts w:asciiTheme="minorHAnsi" w:hAnsiTheme="minorHAnsi" w:cstheme="minorHAnsi"/>
          <w:b/>
          <w:bCs/>
        </w:rPr>
        <w:t>Peltometsäviljely</w:t>
      </w:r>
      <w:r w:rsidRPr="00C31960">
        <w:rPr>
          <w:rFonts w:asciiTheme="minorHAnsi" w:hAnsiTheme="minorHAnsi" w:cstheme="minorHAnsi"/>
        </w:rPr>
        <w:t>.</w:t>
      </w:r>
      <w:r w:rsidR="006157CA" w:rsidRPr="00C31960">
        <w:rPr>
          <w:rFonts w:asciiTheme="minorHAnsi" w:hAnsiTheme="minorHAnsi" w:cstheme="minorHAnsi"/>
        </w:rPr>
        <w:t xml:space="preserve"> </w:t>
      </w:r>
      <w:r w:rsidRPr="00C31960">
        <w:rPr>
          <w:rFonts w:asciiTheme="minorHAnsi" w:hAnsiTheme="minorHAnsi" w:cstheme="minorHAnsi"/>
        </w:rPr>
        <w:t>Peltometsäviljely on vanha viljelytapa, jossa pyritään parantamaan maatalouden toimintaedellytyksiä lisäämällä puita ja pensaita perinteisiin maataloustuotantojärjestelmiin. Peltometsätalouden avulla voi olla mahdollista parantaa peltojen viljavuutta, vähentää eroosiota ja ravinteiden huuhtoutumista, lisätä monimuotoisuutta ja sitoa hiiltä sekä maaperään että kasvillisuuteen.</w:t>
      </w:r>
    </w:p>
    <w:p w14:paraId="6529E17A" w14:textId="30E12AAA" w:rsidR="00745030" w:rsidRPr="00C31960" w:rsidRDefault="00745030" w:rsidP="00C31960">
      <w:pPr>
        <w:pStyle w:val="VNLeip1kappale"/>
        <w:rPr>
          <w:rFonts w:asciiTheme="minorHAnsi" w:hAnsiTheme="minorHAnsi" w:cstheme="minorHAnsi"/>
        </w:rPr>
      </w:pPr>
      <w:r w:rsidRPr="00C31960">
        <w:rPr>
          <w:rFonts w:asciiTheme="minorHAnsi" w:hAnsiTheme="minorHAnsi" w:cstheme="minorHAnsi"/>
          <w:b/>
          <w:bCs/>
        </w:rPr>
        <w:t>Hiilen sidonnan parantaminen erilaisilla maanparannusaineilla.</w:t>
      </w:r>
      <w:r w:rsidR="006157CA" w:rsidRPr="00C31960">
        <w:rPr>
          <w:rFonts w:asciiTheme="minorHAnsi" w:hAnsiTheme="minorHAnsi" w:cstheme="minorHAnsi"/>
        </w:rPr>
        <w:t xml:space="preserve"> </w:t>
      </w:r>
      <w:r w:rsidRPr="00C31960">
        <w:rPr>
          <w:rFonts w:asciiTheme="minorHAnsi" w:hAnsiTheme="minorHAnsi" w:cstheme="minorHAnsi"/>
        </w:rPr>
        <w:t>Peltojen hiilivarastoa on mahdollista kasvattaa erilaisten maanparannusaineiden ja muiden pelloilla käytettävien orgaanisten lisien avulla. Pääasiassa hiili tulee maahan kasvitähteistä, mutta hiiltä voidaan pyrkiä lisäämään esimerkiksi erilaisten eloperäisten aineiden, kuten lannan, kuitu- ja kompostituotteiden tai biohiilen avulla.</w:t>
      </w:r>
    </w:p>
    <w:p w14:paraId="24E782A3" w14:textId="7A6E781E" w:rsidR="00745030" w:rsidRPr="00C31960" w:rsidRDefault="002874B5" w:rsidP="00C31960">
      <w:pPr>
        <w:pStyle w:val="VNLeip1kappale"/>
        <w:rPr>
          <w:rFonts w:asciiTheme="minorHAnsi" w:hAnsiTheme="minorHAnsi" w:cstheme="minorHAnsi"/>
        </w:rPr>
      </w:pPr>
      <w:r w:rsidRPr="00C31960">
        <w:rPr>
          <w:rFonts w:asciiTheme="minorHAnsi" w:hAnsiTheme="minorHAnsi" w:cstheme="minorHAnsi"/>
          <w:b/>
          <w:bCs/>
        </w:rPr>
        <w:t>Vapaaehtoiset hiilimarkkinat ja jakeluvelvoitteen joustomekanismi</w:t>
      </w:r>
      <w:r w:rsidRPr="00C31960">
        <w:rPr>
          <w:rFonts w:asciiTheme="minorHAnsi" w:hAnsiTheme="minorHAnsi" w:cstheme="minorHAnsi"/>
        </w:rPr>
        <w:t xml:space="preserve"> (kts. 6.3.1.)</w:t>
      </w:r>
      <w:r w:rsidR="00C31960" w:rsidRPr="00C31960">
        <w:rPr>
          <w:rFonts w:asciiTheme="minorHAnsi" w:hAnsiTheme="minorHAnsi" w:cstheme="minorHAnsi"/>
        </w:rPr>
        <w:t xml:space="preserve">. </w:t>
      </w:r>
      <w:r w:rsidR="00FA28B7" w:rsidRPr="00C31960">
        <w:rPr>
          <w:rFonts w:asciiTheme="minorHAnsi" w:hAnsiTheme="minorHAnsi" w:cstheme="minorHAnsi"/>
        </w:rPr>
        <w:t xml:space="preserve">Vapaaehtoisten hiilimarkkinoiden ja jakeluvelvoitteen joustomekanismin </w:t>
      </w:r>
      <w:r w:rsidR="00A503F4" w:rsidRPr="00C31960">
        <w:rPr>
          <w:rFonts w:asciiTheme="minorHAnsi" w:hAnsiTheme="minorHAnsi" w:cstheme="minorHAnsi"/>
        </w:rPr>
        <w:t xml:space="preserve">toimin on </w:t>
      </w:r>
      <w:r w:rsidR="004046D4" w:rsidRPr="00C31960">
        <w:rPr>
          <w:rFonts w:asciiTheme="minorHAnsi" w:hAnsiTheme="minorHAnsi" w:cstheme="minorHAnsi"/>
        </w:rPr>
        <w:t xml:space="preserve">mahdollista edistää myös maatalouden kasvihuonekaasupäästöjen vähentämistä. </w:t>
      </w:r>
      <w:r w:rsidR="00521B85" w:rsidRPr="00C31960">
        <w:rPr>
          <w:rFonts w:asciiTheme="minorHAnsi" w:hAnsiTheme="minorHAnsi" w:cstheme="minorHAnsi"/>
        </w:rPr>
        <w:t>EU:ssa va</w:t>
      </w:r>
      <w:r w:rsidR="00DA0411" w:rsidRPr="00C31960">
        <w:rPr>
          <w:rFonts w:asciiTheme="minorHAnsi" w:hAnsiTheme="minorHAnsi" w:cstheme="minorHAnsi"/>
        </w:rPr>
        <w:t xml:space="preserve">lmistellaan </w:t>
      </w:r>
      <w:r w:rsidR="00EE32AF" w:rsidRPr="00C31960">
        <w:rPr>
          <w:rFonts w:asciiTheme="minorHAnsi" w:hAnsiTheme="minorHAnsi" w:cstheme="minorHAnsi"/>
        </w:rPr>
        <w:t xml:space="preserve">pysyvää </w:t>
      </w:r>
      <w:r w:rsidR="00DA0411" w:rsidRPr="00C31960">
        <w:rPr>
          <w:rFonts w:asciiTheme="minorHAnsi" w:hAnsiTheme="minorHAnsi" w:cstheme="minorHAnsi"/>
        </w:rPr>
        <w:t>hiilenpoistoa, hiil</w:t>
      </w:r>
      <w:r w:rsidR="00913926" w:rsidRPr="00C31960">
        <w:rPr>
          <w:rFonts w:asciiTheme="minorHAnsi" w:hAnsiTheme="minorHAnsi" w:cstheme="minorHAnsi"/>
        </w:rPr>
        <w:t>iviljelyä ja</w:t>
      </w:r>
      <w:r w:rsidR="008C798F" w:rsidRPr="00C31960">
        <w:rPr>
          <w:rFonts w:asciiTheme="minorHAnsi" w:hAnsiTheme="minorHAnsi" w:cstheme="minorHAnsi"/>
        </w:rPr>
        <w:t xml:space="preserve"> hiilenvarastointia tuotteisiin koskevaa </w:t>
      </w:r>
      <w:r w:rsidR="002A02DF" w:rsidRPr="00C31960">
        <w:rPr>
          <w:rFonts w:asciiTheme="minorHAnsi" w:hAnsiTheme="minorHAnsi" w:cstheme="minorHAnsi"/>
        </w:rPr>
        <w:t xml:space="preserve">sertifiointikehystä, missä on tällä hetkellä mukana myös </w:t>
      </w:r>
      <w:r w:rsidR="00920DEE" w:rsidRPr="00C31960">
        <w:rPr>
          <w:rFonts w:asciiTheme="minorHAnsi" w:hAnsiTheme="minorHAnsi" w:cstheme="minorHAnsi"/>
        </w:rPr>
        <w:t xml:space="preserve">toimia </w:t>
      </w:r>
      <w:r w:rsidR="002A02DF" w:rsidRPr="00C31960">
        <w:rPr>
          <w:rFonts w:asciiTheme="minorHAnsi" w:hAnsiTheme="minorHAnsi" w:cstheme="minorHAnsi"/>
        </w:rPr>
        <w:t xml:space="preserve">maatalousmaan </w:t>
      </w:r>
      <w:r w:rsidR="00920DEE" w:rsidRPr="00C31960">
        <w:rPr>
          <w:rFonts w:asciiTheme="minorHAnsi" w:hAnsiTheme="minorHAnsi" w:cstheme="minorHAnsi"/>
        </w:rPr>
        <w:t>hiilivaraston ylläpitämisek</w:t>
      </w:r>
      <w:r w:rsidR="00A656BF" w:rsidRPr="00C31960">
        <w:rPr>
          <w:rFonts w:asciiTheme="minorHAnsi" w:hAnsiTheme="minorHAnsi" w:cstheme="minorHAnsi"/>
        </w:rPr>
        <w:t>si ja kasvattamiseksi sekä</w:t>
      </w:r>
      <w:r w:rsidR="00B03819" w:rsidRPr="00C31960">
        <w:rPr>
          <w:rFonts w:asciiTheme="minorHAnsi" w:hAnsiTheme="minorHAnsi" w:cstheme="minorHAnsi"/>
        </w:rPr>
        <w:t xml:space="preserve"> </w:t>
      </w:r>
      <w:r w:rsidR="0026196C" w:rsidRPr="00C31960">
        <w:rPr>
          <w:rFonts w:asciiTheme="minorHAnsi" w:hAnsiTheme="minorHAnsi" w:cstheme="minorHAnsi"/>
        </w:rPr>
        <w:t>maaperään ja lannoitukseen liittyvien päästö</w:t>
      </w:r>
      <w:r w:rsidR="001359C4" w:rsidRPr="00C31960">
        <w:rPr>
          <w:rFonts w:asciiTheme="minorHAnsi" w:hAnsiTheme="minorHAnsi" w:cstheme="minorHAnsi"/>
        </w:rPr>
        <w:t xml:space="preserve">jen vähentämiseksi. </w:t>
      </w:r>
      <w:r w:rsidR="00C9214F" w:rsidRPr="00C31960">
        <w:rPr>
          <w:rFonts w:asciiTheme="minorHAnsi" w:hAnsiTheme="minorHAnsi" w:cstheme="minorHAnsi"/>
        </w:rPr>
        <w:t xml:space="preserve">Vuoteen 2026 mennessä komission tehtävänä on laatia raportti, jossa arvioidaan mahdollisuutta </w:t>
      </w:r>
      <w:r w:rsidR="00F4779A" w:rsidRPr="00C31960">
        <w:rPr>
          <w:rFonts w:asciiTheme="minorHAnsi" w:hAnsiTheme="minorHAnsi" w:cstheme="minorHAnsi"/>
        </w:rPr>
        <w:t xml:space="preserve">laajentaa </w:t>
      </w:r>
      <w:r w:rsidR="00C9214F" w:rsidRPr="00C31960">
        <w:rPr>
          <w:rFonts w:asciiTheme="minorHAnsi" w:hAnsiTheme="minorHAnsi" w:cstheme="minorHAnsi"/>
        </w:rPr>
        <w:t>sertifioi</w:t>
      </w:r>
      <w:r w:rsidR="00F4779A" w:rsidRPr="00C31960">
        <w:rPr>
          <w:rFonts w:asciiTheme="minorHAnsi" w:hAnsiTheme="minorHAnsi" w:cstheme="minorHAnsi"/>
        </w:rPr>
        <w:t>n</w:t>
      </w:r>
      <w:r w:rsidR="00DA1ACC" w:rsidRPr="00C31960">
        <w:rPr>
          <w:rFonts w:asciiTheme="minorHAnsi" w:hAnsiTheme="minorHAnsi" w:cstheme="minorHAnsi"/>
        </w:rPr>
        <w:t>t</w:t>
      </w:r>
      <w:r w:rsidR="00F4779A" w:rsidRPr="00C31960">
        <w:rPr>
          <w:rFonts w:asciiTheme="minorHAnsi" w:hAnsiTheme="minorHAnsi" w:cstheme="minorHAnsi"/>
        </w:rPr>
        <w:t>ijärjestelmää</w:t>
      </w:r>
      <w:r w:rsidR="00C9214F" w:rsidRPr="00C31960">
        <w:rPr>
          <w:rFonts w:asciiTheme="minorHAnsi" w:hAnsiTheme="minorHAnsi" w:cstheme="minorHAnsi"/>
        </w:rPr>
        <w:t xml:space="preserve"> </w:t>
      </w:r>
      <w:r w:rsidR="001935FF" w:rsidRPr="00C31960">
        <w:rPr>
          <w:rFonts w:asciiTheme="minorHAnsi" w:hAnsiTheme="minorHAnsi" w:cstheme="minorHAnsi"/>
        </w:rPr>
        <w:t>kotieläinten r</w:t>
      </w:r>
      <w:r w:rsidR="00632273" w:rsidRPr="00C31960">
        <w:rPr>
          <w:rFonts w:asciiTheme="minorHAnsi" w:hAnsiTheme="minorHAnsi" w:cstheme="minorHAnsi"/>
        </w:rPr>
        <w:t>uuansulatukseen ja lannan</w:t>
      </w:r>
      <w:r w:rsidR="00EB1ED1" w:rsidRPr="00C31960">
        <w:rPr>
          <w:rFonts w:asciiTheme="minorHAnsi" w:hAnsiTheme="minorHAnsi" w:cstheme="minorHAnsi"/>
        </w:rPr>
        <w:t xml:space="preserve"> käsittelyyn liittyvi</w:t>
      </w:r>
      <w:r w:rsidR="00DF6F37" w:rsidRPr="00C31960">
        <w:rPr>
          <w:rFonts w:asciiTheme="minorHAnsi" w:hAnsiTheme="minorHAnsi" w:cstheme="minorHAnsi"/>
        </w:rPr>
        <w:t>in</w:t>
      </w:r>
      <w:r w:rsidR="00EB1ED1" w:rsidRPr="00C31960">
        <w:rPr>
          <w:rFonts w:asciiTheme="minorHAnsi" w:hAnsiTheme="minorHAnsi" w:cstheme="minorHAnsi"/>
        </w:rPr>
        <w:t xml:space="preserve"> päästö</w:t>
      </w:r>
      <w:r w:rsidR="00DF6F37" w:rsidRPr="00C31960">
        <w:rPr>
          <w:rFonts w:asciiTheme="minorHAnsi" w:hAnsiTheme="minorHAnsi" w:cstheme="minorHAnsi"/>
        </w:rPr>
        <w:t>ihin</w:t>
      </w:r>
      <w:r w:rsidR="00EB1ED1" w:rsidRPr="00C31960">
        <w:rPr>
          <w:rFonts w:asciiTheme="minorHAnsi" w:hAnsiTheme="minorHAnsi" w:cstheme="minorHAnsi"/>
        </w:rPr>
        <w:t>.</w:t>
      </w:r>
      <w:r w:rsidR="00913926" w:rsidRPr="00C31960">
        <w:rPr>
          <w:rFonts w:asciiTheme="minorHAnsi" w:hAnsiTheme="minorHAnsi" w:cstheme="minorHAnsi"/>
        </w:rPr>
        <w:t xml:space="preserve"> </w:t>
      </w:r>
    </w:p>
    <w:p w14:paraId="1FE65EA1" w14:textId="3A819894" w:rsidR="00BF587D" w:rsidRPr="00C31960" w:rsidRDefault="00745030" w:rsidP="00C31960">
      <w:pPr>
        <w:pStyle w:val="VNLeip1kappale"/>
        <w:rPr>
          <w:rFonts w:asciiTheme="minorHAnsi" w:hAnsiTheme="minorHAnsi" w:cstheme="minorHAnsi"/>
          <w:i/>
          <w:iCs/>
          <w:u w:val="single"/>
        </w:rPr>
      </w:pPr>
      <w:r w:rsidRPr="00C31960">
        <w:rPr>
          <w:rFonts w:asciiTheme="minorHAnsi" w:hAnsiTheme="minorHAnsi" w:cstheme="minorHAnsi"/>
          <w:b/>
          <w:bCs/>
        </w:rPr>
        <w:t>Kansalliset ravitsemussuositukset</w:t>
      </w:r>
      <w:r w:rsidR="006157CA" w:rsidRPr="00C31960">
        <w:rPr>
          <w:rFonts w:asciiTheme="minorHAnsi" w:hAnsiTheme="minorHAnsi" w:cstheme="minorHAnsi"/>
          <w:b/>
          <w:bCs/>
        </w:rPr>
        <w:t>.</w:t>
      </w:r>
      <w:r w:rsidR="006157CA" w:rsidRPr="00C31960">
        <w:rPr>
          <w:rFonts w:asciiTheme="minorHAnsi" w:hAnsiTheme="minorHAnsi" w:cstheme="minorHAnsi"/>
        </w:rPr>
        <w:t xml:space="preserve"> </w:t>
      </w:r>
      <w:r w:rsidRPr="00C31960">
        <w:rPr>
          <w:rFonts w:asciiTheme="minorHAnsi" w:hAnsiTheme="minorHAnsi" w:cstheme="minorHAnsi"/>
        </w:rPr>
        <w:t>Uudet kansalliset ravitsemussuositukset julkaistiin marraskuussa 2024. Kansalliset suositukset pohjautuvat vuonna 2023 julkaistuihin pohjoismaisiin ravitsemussuosituksiin. Uudet kansalliset ravitsemussuositukset ohjaavat kohti kasvipainotteisempia ruokavalioita sekä terveys- että ympäristösyistä. Suositeltava ruokavalio on monipuolinen, vaihteleva, kohtuullinen ja nautittava.</w:t>
      </w:r>
    </w:p>
    <w:p w14:paraId="58B212E2" w14:textId="3AF26D98" w:rsidR="00745030" w:rsidRPr="00C31960" w:rsidRDefault="00745030" w:rsidP="00C31960">
      <w:pPr>
        <w:pStyle w:val="VNLeip1kappale"/>
        <w:rPr>
          <w:rFonts w:asciiTheme="minorHAnsi" w:hAnsiTheme="minorHAnsi" w:cstheme="minorHAnsi"/>
        </w:rPr>
      </w:pPr>
      <w:r w:rsidRPr="00C31960">
        <w:rPr>
          <w:rFonts w:asciiTheme="minorHAnsi" w:hAnsiTheme="minorHAnsi" w:cstheme="minorHAnsi"/>
          <w:b/>
          <w:bCs/>
        </w:rPr>
        <w:t>Ruokahävikki</w:t>
      </w:r>
      <w:r w:rsidR="00FF5C48" w:rsidRPr="00C31960">
        <w:rPr>
          <w:rFonts w:asciiTheme="minorHAnsi" w:hAnsiTheme="minorHAnsi" w:cstheme="minorHAnsi"/>
        </w:rPr>
        <w:t xml:space="preserve">. </w:t>
      </w:r>
      <w:r w:rsidRPr="00C31960">
        <w:rPr>
          <w:rFonts w:asciiTheme="minorHAnsi" w:hAnsiTheme="minorHAnsi" w:cstheme="minorHAnsi"/>
        </w:rPr>
        <w:t>Ruokahävikillä tarkoitetaan alun perin syömäkelpoista ruokaa, jota ei hyödynnetä ihmisravintona, rehuna tai muuna arvokomponenttina. Kun syömäkelpoista ruokaa heitetään roskiin kaikki ruoan valmistukseen käytetty energia, muut tuotan- ja työpanokset valuvat hukkaan. Poisheitetyn ruoan ongelma ei niinkään ole syntyvä biojäte tai ruoan päätyminen sekajätteen joukkoon, vaan kyse on ruoantuotannosta aiheutuneista turhista kasvihuonekaasupäästöistä sekä vesistöjä rehevöittävistä päästöistä. Niitä syntyisi vähemmän, mikäli tuotettu ruoka hyödynnettäisiin tarkemmin</w:t>
      </w:r>
    </w:p>
    <w:p w14:paraId="7410405C" w14:textId="105180EA" w:rsidR="00745030" w:rsidRPr="00C31960" w:rsidRDefault="00745030" w:rsidP="00C31960">
      <w:pPr>
        <w:pStyle w:val="VNLeip1kappale"/>
        <w:rPr>
          <w:rFonts w:asciiTheme="minorHAnsi" w:hAnsiTheme="minorHAnsi" w:cstheme="minorHAnsi"/>
          <w:i/>
          <w:iCs/>
          <w:u w:val="single"/>
        </w:rPr>
      </w:pPr>
      <w:r w:rsidRPr="00C31960">
        <w:rPr>
          <w:rFonts w:asciiTheme="minorHAnsi" w:hAnsiTheme="minorHAnsi" w:cstheme="minorHAnsi"/>
        </w:rPr>
        <w:t xml:space="preserve">Ruokahävikkiä syntyy ruokajärjestelmän kaikissa vaiheissa, mutta eniten kotitalouksissa (33 prosenttia kaikesta ruokajärjestelmämme ruokahävikistä). Ruokahävikin vähentämisen päästövaikutukset syntyvät siitä, kun hävikki vähenee ja vastaavasti ruuan kysyntä, tuotanto ja tuonti vähenevät, jolloin ruuan tuotannon ilmastovaikutus pienenee sekä maatalous- että maankäyttösektorilla. Luonnonvarakeskus on koordinoinut työtä, jossa Suomeen on kehitetty kansallinen ruokahävikin seurantajärjestelmä. Koko ruokajärjestelmä on laatinut yhteisen tiekartan, joka kokoaa keskeisiä keinoja vähentää elintarvikejätettä ja ruokahävikkiä kaikissa elintarvikeketjun vaiheissa: alkutuotannossa, teollisuudessa, kaupoissa, ravitsemuspalveluissa ja kotitalouksissa. </w:t>
      </w:r>
    </w:p>
    <w:p w14:paraId="6842A1D8" w14:textId="48A492EA" w:rsidR="00745030" w:rsidRPr="00C31960" w:rsidRDefault="00745030" w:rsidP="00C77458">
      <w:pPr>
        <w:pStyle w:val="VNLeip1kappale"/>
        <w:spacing w:line="276" w:lineRule="auto"/>
        <w:rPr>
          <w:rFonts w:asciiTheme="minorHAnsi" w:hAnsiTheme="minorHAnsi" w:cstheme="minorHAnsi"/>
        </w:rPr>
      </w:pPr>
      <w:r w:rsidRPr="00C31960">
        <w:rPr>
          <w:rFonts w:asciiTheme="minorHAnsi" w:hAnsiTheme="minorHAnsi" w:cstheme="minorHAnsi"/>
          <w:b/>
          <w:bCs/>
        </w:rPr>
        <w:t>Julkiset hankinnat</w:t>
      </w:r>
      <w:r w:rsidR="00864EC4">
        <w:rPr>
          <w:rFonts w:asciiTheme="minorHAnsi" w:hAnsiTheme="minorHAnsi" w:cstheme="minorHAnsi"/>
          <w:b/>
          <w:bCs/>
        </w:rPr>
        <w:t xml:space="preserve"> </w:t>
      </w:r>
      <w:r w:rsidR="00864EC4" w:rsidRPr="00D20626">
        <w:rPr>
          <w:rFonts w:asciiTheme="minorHAnsi" w:hAnsiTheme="minorHAnsi" w:cstheme="minorHAnsi"/>
        </w:rPr>
        <w:t>(ks. luku 6.3.5)</w:t>
      </w:r>
      <w:r w:rsidRPr="00C31960">
        <w:rPr>
          <w:rFonts w:asciiTheme="minorHAnsi" w:hAnsiTheme="minorHAnsi" w:cstheme="minorHAnsi"/>
          <w:b/>
          <w:bCs/>
        </w:rPr>
        <w:t>.</w:t>
      </w:r>
      <w:r w:rsidR="00C31960">
        <w:rPr>
          <w:rFonts w:asciiTheme="minorHAnsi" w:hAnsiTheme="minorHAnsi" w:cstheme="minorHAnsi"/>
          <w:b/>
          <w:bCs/>
        </w:rPr>
        <w:t xml:space="preserve"> </w:t>
      </w:r>
      <w:r w:rsidRPr="00C31960">
        <w:rPr>
          <w:rFonts w:asciiTheme="minorHAnsi" w:hAnsiTheme="minorHAnsi" w:cstheme="minorHAnsi"/>
        </w:rPr>
        <w:t>Julkisilla ruokapalveluilla ja elintarvikehankinnoilla on merkittävä rooli ruokajärjestelmän kestävyyden parantamisessa. Tavoitteena julkisten ruokapalveluiden ateriatarjonnalle on ollut jo pidempään kasvipohjaisen ruoan osuuden lisääminen virallisten ravitsemus- ja ruokailusuositusten mukaisesti. Peruskoulun sekä toisen asteen ja korkeakouluopiskelijoiden ruokailusuosituksissa suositellaan tarjoamaan kasvisruokaa kaikille vapaasti otettavana vaihtoehtona joka päivä tai lisäämään ruokalistalle viikoittainen kasvisruokapäivä. Lisäksi kannustetaan lisäämään kalan ja kasvisten tarjontaa ruokalistalla. Monet kunnat toteuttavat jo näitä suosituksia ja ovat lisänneet laajemminkin kasvipohjaisenruuan tarjontaa omien ilmastotavoitteidensa saavuttamiseksi.  </w:t>
      </w:r>
    </w:p>
    <w:p w14:paraId="5F8D6CAF" w14:textId="5D399ABD" w:rsidR="00F43165" w:rsidRPr="00CC5F74" w:rsidRDefault="00745030" w:rsidP="00AE25DB">
      <w:pPr>
        <w:pStyle w:val="VNLeip1kappale"/>
        <w:rPr>
          <w:rFonts w:asciiTheme="minorHAnsi" w:hAnsiTheme="minorHAnsi" w:cstheme="minorBidi"/>
          <w:szCs w:val="22"/>
        </w:rPr>
      </w:pPr>
      <w:r w:rsidRPr="00CC5F74">
        <w:t>Kansallisessa julkisten hankintojen strategiassa on myös asetettu tavoite kestävää ruokajärjestelmää edistäville elintarvike- ja ruokapalveluha</w:t>
      </w:r>
      <w:r w:rsidRPr="00CC5F74">
        <w:rPr>
          <w:rFonts w:asciiTheme="minorHAnsi" w:hAnsiTheme="minorHAnsi" w:cstheme="minorHAnsi"/>
        </w:rPr>
        <w:t xml:space="preserve">nkinnoille. Maa- ja metsätalousministeriö on jatkanut tavoitteen toimeenpanoa päivittämällä eläinperäisten tuotteiden (liha- ja maitotuotteet sekä kananmunat) vastuullisuuskriteerit yhdessä Motiva Oy:n kanssa. Uudet syksyllä 2024 julkaistut kriteerit tukevat entistä paremmin kestävää kehitystä ja julkisten hankintojen vastuullisuutta. Lisäksi maa- ja metsätalousministeriö on järjestänyt ruokapalveluille ja hankintayksiköille vastuullisia ruokahankintoja tukevia koulutuksia ja tilaisuuksia yhteistyössä sidosryhmien kanssa.  Julkisten ruokapalveluiden kasviproteiini- ja kasvisruokaosaamista lisäämään toteutettiin maa- ja metsätalousministeriön rahoittamana ruokaketjun kehittämishankkeena </w:t>
      </w:r>
      <w:proofErr w:type="spellStart"/>
      <w:r w:rsidRPr="00CC5F74">
        <w:rPr>
          <w:rFonts w:asciiTheme="minorHAnsi" w:hAnsiTheme="minorHAnsi" w:cstheme="minorHAnsi"/>
        </w:rPr>
        <w:t>KasvisPro</w:t>
      </w:r>
      <w:proofErr w:type="spellEnd"/>
      <w:r w:rsidRPr="00CC5F74">
        <w:rPr>
          <w:rFonts w:asciiTheme="minorHAnsi" w:hAnsiTheme="minorHAnsi" w:cstheme="minorHAnsi"/>
        </w:rPr>
        <w:t>-koulutus, joka koostui kasvisruokatietoa lisäävästä teoriaosuudesta, ruuanlaittokoulutuksesta sekä kasvisruuan käytännön toteutusvinkkejä kokoavasta työkalupakista. Koulutuksessa syntynyt laaja oppimateriaali ja reseptipankki ovat vapaasti saatavilla.  </w:t>
      </w:r>
      <w:r w:rsidR="00EA3735" w:rsidRPr="00CC5F74">
        <w:rPr>
          <w:rFonts w:asciiTheme="minorHAnsi" w:hAnsiTheme="minorHAnsi" w:cstheme="minorHAnsi"/>
        </w:rPr>
        <w:t>Luomuruoan käyttöä julkisissa hankinnoissa edistetään myös.</w:t>
      </w:r>
      <w:r w:rsidR="000851B0" w:rsidRPr="00CC5F74">
        <w:rPr>
          <w:rFonts w:asciiTheme="minorHAnsi" w:hAnsiTheme="minorHAnsi" w:cstheme="minorHAnsi"/>
        </w:rPr>
        <w:t xml:space="preserve"> </w:t>
      </w:r>
      <w:r w:rsidR="00F43165" w:rsidRPr="00CC5F74">
        <w:rPr>
          <w:rFonts w:asciiTheme="minorHAnsi" w:hAnsiTheme="minorHAnsi" w:cstheme="minorHAnsi"/>
        </w:rPr>
        <w:t xml:space="preserve">Parhaillaan käynnissä on jatkohanke, </w:t>
      </w:r>
      <w:proofErr w:type="spellStart"/>
      <w:r w:rsidR="00F43165" w:rsidRPr="00CC5F74">
        <w:rPr>
          <w:rFonts w:asciiTheme="minorHAnsi" w:hAnsiTheme="minorHAnsi" w:cstheme="minorHAnsi"/>
        </w:rPr>
        <w:t>KasvisPro</w:t>
      </w:r>
      <w:proofErr w:type="spellEnd"/>
      <w:r w:rsidR="00F43165" w:rsidRPr="00CC5F74">
        <w:rPr>
          <w:rFonts w:asciiTheme="minorHAnsi" w:hAnsiTheme="minorHAnsi" w:cstheme="minorHAnsi"/>
        </w:rPr>
        <w:t xml:space="preserve"> </w:t>
      </w:r>
      <w:proofErr w:type="spellStart"/>
      <w:r w:rsidR="00F43165" w:rsidRPr="00CC5F74">
        <w:rPr>
          <w:rFonts w:asciiTheme="minorHAnsi" w:hAnsiTheme="minorHAnsi" w:cstheme="minorHAnsi"/>
        </w:rPr>
        <w:t>Edu</w:t>
      </w:r>
      <w:proofErr w:type="spellEnd"/>
      <w:r w:rsidR="00F43165" w:rsidRPr="00CC5F74">
        <w:rPr>
          <w:rFonts w:asciiTheme="minorHAnsi" w:hAnsiTheme="minorHAnsi" w:cstheme="minorHAnsi"/>
        </w:rPr>
        <w:t>, jossa vahvistetaan ravitsemisalan ammattiopetuksen ja ammattikeittiöiden kasvisruokaosaamista kouluttamalla, tarjoamalla koulutusaineistoja ja verkostoimalla ammatilliset opettajat ja ruokapalveluammattilaiset kehittämisyhteistyöhön kasvispohjaisia tuotteita valmistavien yritysten kanssa.</w:t>
      </w:r>
    </w:p>
    <w:p w14:paraId="27653882" w14:textId="7955B13B" w:rsidR="00745030" w:rsidRPr="00C31960" w:rsidRDefault="00745030" w:rsidP="00C31960">
      <w:pPr>
        <w:pStyle w:val="VNLeip1kappale"/>
        <w:rPr>
          <w:rFonts w:asciiTheme="minorHAnsi" w:hAnsiTheme="minorHAnsi" w:cstheme="minorHAnsi"/>
        </w:rPr>
      </w:pPr>
      <w:r w:rsidRPr="00C31960">
        <w:rPr>
          <w:rFonts w:asciiTheme="minorHAnsi" w:hAnsiTheme="minorHAnsi" w:cstheme="minorHAnsi"/>
          <w:b/>
          <w:bCs/>
        </w:rPr>
        <w:t>Ruokajärjestelmän toimijoiden yhteistyö</w:t>
      </w:r>
      <w:r w:rsidRPr="00C31960">
        <w:rPr>
          <w:rFonts w:asciiTheme="minorHAnsi" w:hAnsiTheme="minorHAnsi" w:cstheme="minorHAnsi"/>
        </w:rPr>
        <w:t>.</w:t>
      </w:r>
      <w:r w:rsidR="00C31960" w:rsidRPr="00C31960">
        <w:rPr>
          <w:rFonts w:asciiTheme="minorHAnsi" w:hAnsiTheme="minorHAnsi" w:cstheme="minorHAnsi"/>
        </w:rPr>
        <w:t xml:space="preserve"> </w:t>
      </w:r>
      <w:r w:rsidRPr="00C31960">
        <w:rPr>
          <w:rFonts w:asciiTheme="minorHAnsi" w:hAnsiTheme="minorHAnsi" w:cstheme="minorHAnsi"/>
        </w:rPr>
        <w:t>Kasvihuonekaasupäästöjen vähentäminen on yhteiskunnan yhteinen tehtävä. Osa maatalouden päästövähennyksistä tulee tapahtumaan markkinaehtoisesti ruokajärjestelmän eri toimijoiden toimesta. Usea ruokajärjestelmän toimija on laatinut toimialakohtaisen tiekartan vähähiilisyyteen ja on asettanut omia tavoitteita hiilineutraalisuuden saavuttamiseksi. Tavoitteisiin pyritään usein koko tuotantoketjun yhteistyöllä tutkittuun tietoon pohjautuen.</w:t>
      </w:r>
    </w:p>
    <w:p w14:paraId="71359682" w14:textId="64584150" w:rsidR="00745030" w:rsidRPr="00C31960" w:rsidRDefault="00745030" w:rsidP="00C31960">
      <w:pPr>
        <w:pStyle w:val="VNLeip1kappale"/>
        <w:rPr>
          <w:rFonts w:asciiTheme="minorHAnsi" w:hAnsiTheme="minorHAnsi" w:cstheme="minorHAnsi"/>
        </w:rPr>
      </w:pPr>
      <w:r w:rsidRPr="00C31960">
        <w:rPr>
          <w:rFonts w:asciiTheme="minorHAnsi" w:hAnsiTheme="minorHAnsi" w:cstheme="minorHAnsi"/>
        </w:rPr>
        <w:t xml:space="preserve">Suomalaiset elintarvikealanyritykset ovat tehneet pitkäjänteistä työtä tuotteiden hiilijalanjäljen pienentämiseksi ja etenkin käytettävien raaka-aineiden tuotannon ilmastovaikutusten vähentämiseksi. Käynnissä on myös Maatilatalouden kehittämisrahaston </w:t>
      </w:r>
      <w:proofErr w:type="spellStart"/>
      <w:r w:rsidRPr="00C31960">
        <w:rPr>
          <w:rFonts w:asciiTheme="minorHAnsi" w:hAnsiTheme="minorHAnsi" w:cstheme="minorHAnsi"/>
        </w:rPr>
        <w:t>Makeran</w:t>
      </w:r>
      <w:proofErr w:type="spellEnd"/>
      <w:r w:rsidRPr="00C31960">
        <w:rPr>
          <w:rFonts w:asciiTheme="minorHAnsi" w:hAnsiTheme="minorHAnsi" w:cstheme="minorHAnsi"/>
        </w:rPr>
        <w:t xml:space="preserve"> hanke, jossa elintarvikkeiden hiili- ja ympäristöjalanjälkilaskennoille kehitetään yhdenmukaistettua, tieteeseen perustuvaa ja käytäntöön sovellettavaa mallia. Harmonisoitu elinkaariarviointilaskenta mahdollistaa muun muassa eri tuotteiden ja tuoteryhmien nykyistä luotettavamman vertailun.</w:t>
      </w:r>
    </w:p>
    <w:p w14:paraId="5E860EF6" w14:textId="25173A43" w:rsidR="00560834" w:rsidRDefault="00745030" w:rsidP="00C31960">
      <w:pPr>
        <w:pStyle w:val="VNLeip1kappale"/>
        <w:rPr>
          <w:rFonts w:asciiTheme="minorHAnsi" w:hAnsiTheme="minorHAnsi" w:cstheme="minorBidi"/>
        </w:rPr>
      </w:pPr>
      <w:r w:rsidRPr="4A22E782">
        <w:rPr>
          <w:rFonts w:asciiTheme="minorHAnsi" w:hAnsiTheme="minorHAnsi" w:cstheme="minorBidi"/>
        </w:rPr>
        <w:t>Luonnonvarakeskuksen vetämä hanke kokoaa yhteen laajasti elintarvikealan toimijoita koko ruokaketjusta. Projektin tavoitteena on paitsi yhdenmukaistaa hiilijalanjälkilaskentaa ottaa myös ruoantuotannon rehevöittävät vaikutukset ja vesijalanjälki osaksi elintarvikkeiden ympäristövaikutusten arviointia, viestintää ja yhteiskunnallista päätöksentekoa.</w:t>
      </w:r>
    </w:p>
    <w:p w14:paraId="5341F85F" w14:textId="7846A4D4" w:rsidR="004E7600" w:rsidRPr="005D3E62" w:rsidRDefault="004E7600" w:rsidP="00D32A40">
      <w:pPr>
        <w:pStyle w:val="Numeroimatonotsikko"/>
      </w:pPr>
      <w:r w:rsidRPr="005D3E62">
        <w:t>Politiikkatoimet</w:t>
      </w:r>
    </w:p>
    <w:p w14:paraId="2C4C4652" w14:textId="77777777" w:rsidR="00005615" w:rsidRPr="00005615" w:rsidRDefault="00005615" w:rsidP="003D1468">
      <w:pPr>
        <w:pStyle w:val="VNLeip1kappale"/>
        <w:numPr>
          <w:ilvl w:val="0"/>
          <w:numId w:val="48"/>
        </w:numPr>
        <w:rPr>
          <w:rFonts w:cs="Arial"/>
        </w:rPr>
      </w:pPr>
      <w:r w:rsidRPr="00005615">
        <w:rPr>
          <w:rFonts w:cs="Arial"/>
        </w:rPr>
        <w:t>Biokaasun tuotannon ja käytön edistäminen</w:t>
      </w:r>
    </w:p>
    <w:p w14:paraId="05326FC4" w14:textId="77777777" w:rsidR="00005615" w:rsidRPr="00005615" w:rsidRDefault="00005615" w:rsidP="003D1468">
      <w:pPr>
        <w:pStyle w:val="VNLeip1kappale"/>
        <w:numPr>
          <w:ilvl w:val="0"/>
          <w:numId w:val="48"/>
        </w:numPr>
        <w:rPr>
          <w:rFonts w:cs="Arial"/>
        </w:rPr>
      </w:pPr>
      <w:r w:rsidRPr="00005615">
        <w:rPr>
          <w:rFonts w:cs="Arial"/>
        </w:rPr>
        <w:t>Ravinteiden kierrätyksen edistäminen</w:t>
      </w:r>
    </w:p>
    <w:p w14:paraId="7AF6599D" w14:textId="77777777" w:rsidR="00005615" w:rsidRPr="00005615" w:rsidRDefault="00005615" w:rsidP="003D1468">
      <w:pPr>
        <w:pStyle w:val="VNLeip1kappale"/>
        <w:numPr>
          <w:ilvl w:val="0"/>
          <w:numId w:val="48"/>
        </w:numPr>
        <w:rPr>
          <w:rFonts w:cs="Arial"/>
        </w:rPr>
      </w:pPr>
      <w:r w:rsidRPr="00005615">
        <w:rPr>
          <w:rFonts w:cs="Arial"/>
        </w:rPr>
        <w:t>Turvepeltojen kosteikkotoimet</w:t>
      </w:r>
    </w:p>
    <w:p w14:paraId="57D8CAB4" w14:textId="77777777" w:rsidR="00005615" w:rsidRPr="00005615" w:rsidRDefault="00005615" w:rsidP="003D1468">
      <w:pPr>
        <w:pStyle w:val="VNLeip1kappale"/>
        <w:numPr>
          <w:ilvl w:val="0"/>
          <w:numId w:val="48"/>
        </w:numPr>
        <w:rPr>
          <w:rFonts w:cs="Arial"/>
        </w:rPr>
      </w:pPr>
      <w:r w:rsidRPr="00005615">
        <w:rPr>
          <w:rFonts w:cs="Arial"/>
        </w:rPr>
        <w:t>Metsäpinta-alan laajentaminen</w:t>
      </w:r>
    </w:p>
    <w:p w14:paraId="32E5402C" w14:textId="3E9A69ED" w:rsidR="00005615" w:rsidRPr="00005615" w:rsidRDefault="00005615" w:rsidP="003D1468">
      <w:pPr>
        <w:pStyle w:val="VNLeip1kappale"/>
        <w:numPr>
          <w:ilvl w:val="0"/>
          <w:numId w:val="48"/>
        </w:numPr>
        <w:rPr>
          <w:rFonts w:cs="Arial"/>
        </w:rPr>
      </w:pPr>
      <w:r w:rsidRPr="00005615">
        <w:rPr>
          <w:rFonts w:cs="Arial"/>
        </w:rPr>
        <w:t>Peltopankkipilotin jatkaminen ja tilusjärjestelytoiminnan nopeuttaminen</w:t>
      </w:r>
    </w:p>
    <w:p w14:paraId="05935FB8" w14:textId="460B97B2" w:rsidR="005F4D87" w:rsidRPr="005D3E62" w:rsidRDefault="5F4648B3" w:rsidP="005F4D87">
      <w:pPr>
        <w:textAlignment w:val="baseline"/>
        <w:rPr>
          <w:rFonts w:cs="Arial"/>
          <w:b/>
          <w:sz w:val="22"/>
          <w:szCs w:val="22"/>
        </w:rPr>
      </w:pPr>
      <w:r w:rsidRPr="005D3E62">
        <w:rPr>
          <w:rFonts w:cs="Arial"/>
          <w:b/>
          <w:sz w:val="22"/>
          <w:szCs w:val="22"/>
        </w:rPr>
        <w:t xml:space="preserve">Maatalouden toimenpiteiden vaikutus </w:t>
      </w:r>
      <w:r w:rsidRPr="005D3E62">
        <w:rPr>
          <w:rFonts w:cs="Arial"/>
          <w:b/>
          <w:bCs/>
          <w:sz w:val="22"/>
          <w:szCs w:val="22"/>
        </w:rPr>
        <w:t xml:space="preserve">taakanjakosektorin </w:t>
      </w:r>
      <w:r w:rsidRPr="005D3E62">
        <w:rPr>
          <w:rFonts w:cs="Arial"/>
          <w:b/>
          <w:sz w:val="22"/>
          <w:szCs w:val="22"/>
        </w:rPr>
        <w:t>päästöihin vuonna 2030</w:t>
      </w:r>
      <w:r w:rsidR="0D80A122" w:rsidRPr="005D3E62">
        <w:rPr>
          <w:rFonts w:cs="Arial"/>
          <w:b/>
          <w:bCs/>
          <w:sz w:val="22"/>
          <w:szCs w:val="22"/>
        </w:rPr>
        <w:t xml:space="preserve"> on 0,</w:t>
      </w:r>
      <w:r w:rsidR="7CDEF1BD" w:rsidRPr="005D3E62">
        <w:rPr>
          <w:rFonts w:cs="Arial"/>
          <w:b/>
          <w:bCs/>
          <w:sz w:val="22"/>
          <w:szCs w:val="22"/>
        </w:rPr>
        <w:t>1</w:t>
      </w:r>
      <w:r w:rsidR="001D7163" w:rsidRPr="005D3E62">
        <w:rPr>
          <w:rFonts w:cs="Arial"/>
          <w:b/>
          <w:bCs/>
          <w:sz w:val="22"/>
          <w:szCs w:val="22"/>
        </w:rPr>
        <w:t>2</w:t>
      </w:r>
      <w:r w:rsidR="0D80A122" w:rsidRPr="005D3E62">
        <w:rPr>
          <w:rFonts w:cs="Arial"/>
          <w:b/>
          <w:bCs/>
          <w:sz w:val="22"/>
          <w:szCs w:val="22"/>
        </w:rPr>
        <w:t xml:space="preserve"> Mt CO</w:t>
      </w:r>
      <w:r w:rsidR="0D80A122" w:rsidRPr="353D4B31">
        <w:rPr>
          <w:rFonts w:cs="Arial"/>
          <w:b/>
          <w:sz w:val="22"/>
          <w:szCs w:val="22"/>
          <w:vertAlign w:val="subscript"/>
        </w:rPr>
        <w:t>2</w:t>
      </w:r>
      <w:r w:rsidR="0D80A122" w:rsidRPr="005D3E62">
        <w:rPr>
          <w:rFonts w:cs="Arial"/>
          <w:b/>
          <w:bCs/>
          <w:sz w:val="22"/>
          <w:szCs w:val="22"/>
        </w:rPr>
        <w:t>-ekv</w:t>
      </w:r>
      <w:r w:rsidRPr="005D3E62">
        <w:rPr>
          <w:rFonts w:cs="Arial"/>
          <w:b/>
          <w:bCs/>
          <w:sz w:val="22"/>
          <w:szCs w:val="22"/>
        </w:rPr>
        <w:t>.</w:t>
      </w:r>
      <w:r w:rsidR="6B09B3CA" w:rsidRPr="005D3E62">
        <w:rPr>
          <w:rFonts w:cs="Arial"/>
          <w:b/>
          <w:bCs/>
          <w:sz w:val="22"/>
          <w:szCs w:val="22"/>
        </w:rPr>
        <w:t xml:space="preserve"> </w:t>
      </w:r>
    </w:p>
    <w:p w14:paraId="59B4BFF1" w14:textId="755ED2B6" w:rsidR="005F4D87" w:rsidRPr="005D3E62" w:rsidRDefault="005F4D87" w:rsidP="005F4D87">
      <w:pPr>
        <w:textAlignment w:val="baseline"/>
        <w:rPr>
          <w:rFonts w:cs="Arial"/>
          <w:sz w:val="22"/>
          <w:szCs w:val="22"/>
        </w:rPr>
      </w:pPr>
    </w:p>
    <w:p w14:paraId="194E473A" w14:textId="77777777" w:rsidR="00790B2A" w:rsidRDefault="00790B2A" w:rsidP="005F4D87">
      <w:pPr>
        <w:textAlignment w:val="baseline"/>
        <w:rPr>
          <w:rFonts w:cs="Arial"/>
          <w:sz w:val="22"/>
          <w:szCs w:val="22"/>
        </w:rPr>
      </w:pPr>
    </w:p>
    <w:p w14:paraId="4029231E" w14:textId="77777777" w:rsidR="00790B2A" w:rsidRDefault="00790B2A" w:rsidP="005F4D87">
      <w:pPr>
        <w:textAlignment w:val="baseline"/>
        <w:rPr>
          <w:rFonts w:cs="Arial"/>
          <w:sz w:val="22"/>
          <w:szCs w:val="22"/>
        </w:rPr>
      </w:pPr>
    </w:p>
    <w:p w14:paraId="5D238A61" w14:textId="77777777" w:rsidR="00790B2A" w:rsidRPr="005D3E62" w:rsidRDefault="00790B2A" w:rsidP="005F4D87">
      <w:pPr>
        <w:textAlignment w:val="baseline"/>
        <w:rPr>
          <w:rFonts w:cs="Arial"/>
          <w:sz w:val="22"/>
          <w:szCs w:val="22"/>
        </w:rPr>
      </w:pPr>
    </w:p>
    <w:p w14:paraId="063466C2" w14:textId="2F09BCC4" w:rsidR="005F4D87" w:rsidRPr="005F4D87" w:rsidRDefault="0B8FD88B" w:rsidP="166036D9">
      <w:pPr>
        <w:pStyle w:val="Otsikko3"/>
        <w:numPr>
          <w:ilvl w:val="0"/>
          <w:numId w:val="0"/>
        </w:numPr>
        <w:ind w:left="720"/>
      </w:pPr>
      <w:bookmarkStart w:id="121" w:name="_Ref198206093"/>
      <w:bookmarkStart w:id="122" w:name="_Toc202260056"/>
      <w:r>
        <w:t>6.2.</w:t>
      </w:r>
      <w:r w:rsidR="00C7559E">
        <w:t>3</w:t>
      </w:r>
      <w:r>
        <w:t xml:space="preserve"> </w:t>
      </w:r>
      <w:r w:rsidR="005F4D87">
        <w:t>Rakennusten erillislämmitys</w:t>
      </w:r>
      <w:bookmarkEnd w:id="121"/>
      <w:bookmarkEnd w:id="122"/>
      <w:r w:rsidR="005F4D87">
        <w:t> </w:t>
      </w:r>
    </w:p>
    <w:p w14:paraId="2356CAAA" w14:textId="77777777" w:rsidR="005F4D87" w:rsidRPr="005F4D87" w:rsidRDefault="005F4D87" w:rsidP="00961BE1">
      <w:pPr>
        <w:pStyle w:val="VNLeip1kappale"/>
        <w:rPr>
          <w:rFonts w:ascii="Segoe UI" w:hAnsi="Segoe UI" w:cs="Segoe UI"/>
          <w:sz w:val="18"/>
          <w:szCs w:val="18"/>
        </w:rPr>
      </w:pPr>
      <w:r w:rsidRPr="005F4D87">
        <w:t>Rakennusten erillislämmityksen osalta keinot perustuvat erityisesti fossiilisten polttoaineiden käytön lopettamiseen tai vähentämiseen kiinteistöjen lämmityksessä. Käytännössä tämä tarkoittaa erityisesti kevyestä polttoöljystä luopumista, mutta myös maakaasun ja raskaan polttoöljyn korvaamista uusiutuvilla polttoaineilla tai muilla lämmitystekniikoilla. </w:t>
      </w:r>
    </w:p>
    <w:p w14:paraId="53A99959" w14:textId="77777777" w:rsidR="005F4D87" w:rsidRPr="005F4D87" w:rsidRDefault="005F4D87" w:rsidP="00961BE1">
      <w:pPr>
        <w:pStyle w:val="VNLeip1kappale"/>
        <w:rPr>
          <w:rFonts w:ascii="Segoe UI" w:hAnsi="Segoe UI" w:cs="Segoe UI"/>
          <w:sz w:val="18"/>
          <w:szCs w:val="18"/>
        </w:rPr>
      </w:pPr>
      <w:r w:rsidRPr="005F4D87">
        <w:t>Arviot öljylämmitettyjen pientalojen määrästä vaihtelevat, mutta karkea arvio on n. 90 000 taloa. </w:t>
      </w:r>
    </w:p>
    <w:p w14:paraId="2C6CD103" w14:textId="5B8C083C" w:rsidR="005F4D87" w:rsidRDefault="005F4D87" w:rsidP="005F4D87">
      <w:pPr>
        <w:textAlignment w:val="baseline"/>
        <w:rPr>
          <w:rFonts w:cs="Arial"/>
          <w:sz w:val="22"/>
          <w:szCs w:val="22"/>
        </w:rPr>
      </w:pPr>
      <w:r w:rsidRPr="005F4D87">
        <w:rPr>
          <w:rFonts w:cs="Arial"/>
          <w:b/>
          <w:bCs/>
          <w:sz w:val="22"/>
          <w:szCs w:val="22"/>
        </w:rPr>
        <w:t>Valtioneuvoston periaatepäätös fossiilisesta lämmitysöljystä luopumisesta 11.4.2024</w:t>
      </w:r>
      <w:r w:rsidRPr="005F4D87">
        <w:rPr>
          <w:rFonts w:cs="Arial"/>
          <w:sz w:val="22"/>
          <w:szCs w:val="22"/>
        </w:rPr>
        <w:t> </w:t>
      </w:r>
    </w:p>
    <w:p w14:paraId="659B2639" w14:textId="77777777" w:rsidR="005F4D87" w:rsidRPr="005F4D87" w:rsidRDefault="005F4D87" w:rsidP="00961BE1">
      <w:pPr>
        <w:pStyle w:val="VNLeip1kappale"/>
        <w:rPr>
          <w:rFonts w:ascii="Segoe UI" w:hAnsi="Segoe UI" w:cs="Segoe UI"/>
          <w:sz w:val="18"/>
          <w:szCs w:val="18"/>
        </w:rPr>
      </w:pPr>
      <w:r w:rsidRPr="005F4D87">
        <w:t xml:space="preserve">Toimenpideohjelma sisältää toimet, joilla pyritään luopumaan fossiilisesta öljylämmityksestä rakennuskannassa 31.12.2030 mennessä, mikä mahdollistaa osaltaan vuoden 2030 tavoitteiden saavuttamisen. Päätös fossiilisesta lämmitysöljystä luopumiseksi linkittyy moniin käynnissä oleviin strategioihin, ohjelmiin ja prosesseihin, jotka osaltaan edesauttavat ilmastotavoitteiden saavuttamista. Eri </w:t>
      </w:r>
      <w:r w:rsidRPr="004B57AF">
        <w:t>toimialoilla</w:t>
      </w:r>
      <w:r w:rsidRPr="005F4D87">
        <w:t xml:space="preserve"> on laadittu toimialakohtaisia tiekarttoja vähähiilisyyteen ja kohdennettuja strategioita, kuten esimerkiksi Suomen valtion pitkän aikavälin korjausrakentamisen strategia 2020–2050.  </w:t>
      </w:r>
    </w:p>
    <w:p w14:paraId="0C163326" w14:textId="558AD0FD" w:rsidR="005F4D87" w:rsidRPr="005F4D87" w:rsidRDefault="005F4D87" w:rsidP="00961BE1">
      <w:pPr>
        <w:pStyle w:val="VNLeip1kappale"/>
        <w:rPr>
          <w:rFonts w:ascii="Segoe UI" w:hAnsi="Segoe UI" w:cs="Segoe UI"/>
          <w:sz w:val="18"/>
          <w:szCs w:val="18"/>
        </w:rPr>
      </w:pPr>
      <w:r w:rsidRPr="005F4D87">
        <w:t xml:space="preserve">Erillistä päästövähennysarviota </w:t>
      </w:r>
      <w:r w:rsidR="23C69DAB">
        <w:t xml:space="preserve">periaateohjelmasta </w:t>
      </w:r>
      <w:r w:rsidRPr="005F4D87">
        <w:t>ei tuoteta, sillä osa toimista ovat jo WEM-skenaariossa ja alla olevissa toimissa mukana. </w:t>
      </w:r>
    </w:p>
    <w:p w14:paraId="4AB4F57F" w14:textId="77777777" w:rsidR="005F4D87" w:rsidRPr="005F4D87" w:rsidRDefault="005F4D87" w:rsidP="005F4D87">
      <w:pPr>
        <w:textAlignment w:val="baseline"/>
        <w:rPr>
          <w:rFonts w:ascii="Segoe UI" w:hAnsi="Segoe UI" w:cs="Segoe UI"/>
          <w:sz w:val="18"/>
          <w:szCs w:val="18"/>
        </w:rPr>
      </w:pPr>
      <w:r w:rsidRPr="005F4D87">
        <w:rPr>
          <w:rFonts w:cs="Arial"/>
          <w:b/>
          <w:bCs/>
          <w:sz w:val="22"/>
          <w:szCs w:val="22"/>
        </w:rPr>
        <w:t>Biopolttoöljyn jakeluvelvoite</w:t>
      </w:r>
      <w:r w:rsidRPr="005F4D87">
        <w:rPr>
          <w:rFonts w:cs="Arial"/>
          <w:sz w:val="22"/>
          <w:szCs w:val="22"/>
        </w:rPr>
        <w:t> </w:t>
      </w:r>
    </w:p>
    <w:p w14:paraId="1C626C38" w14:textId="10E61187" w:rsidR="005F4D87" w:rsidRPr="003D1468" w:rsidRDefault="005F4D87" w:rsidP="048AF818">
      <w:pPr>
        <w:pStyle w:val="VNLeip1kappale"/>
      </w:pPr>
      <w:r>
        <w:t xml:space="preserve">Biopolttoöljyn jakeluvelvoitteen tarkoituksena on edistää kestävän biopolttoöljyn käyttöä kevyen polttoöljyn korvaamiseksi lämmityksessä, työkoneissa ja kiinteästi asennetuissa moottoreissa. Tämä on toteutettu säätämällä kevyen polttoöljyn jakelijoille </w:t>
      </w:r>
      <w:r w:rsidRPr="003D1468">
        <w:t xml:space="preserve">velvoite toimittaa vuosittain kulutukseen vähimmäisosuus biopolttoöljyä (”biopolttoöljyn jakeluvelvoite”). Polttoöljyn bio-osuuden nostaminen </w:t>
      </w:r>
      <w:r w:rsidR="007C7A21" w:rsidRPr="003D1468">
        <w:t>15</w:t>
      </w:r>
      <w:r w:rsidRPr="003D1468">
        <w:t xml:space="preserve"> %:iin vuoteen 2030 mennessä vähentää erillislämmityksen päästöjä niissä kohteissa, joissa öljyä vielä käytetään. </w:t>
      </w:r>
      <w:r w:rsidR="003D707F" w:rsidRPr="003D1468">
        <w:t>Edellyttäen, että jakel</w:t>
      </w:r>
      <w:r w:rsidR="00E75514" w:rsidRPr="003D1468">
        <w:t>un</w:t>
      </w:r>
      <w:r w:rsidR="003D707F" w:rsidRPr="003D1468">
        <w:t xml:space="preserve"> päästökaupan (ETS2) yhteydessä sovitut kompensaatiot saadaan käyttöön, jakeluvelvoite </w:t>
      </w:r>
      <w:r w:rsidRPr="003D1468">
        <w:t xml:space="preserve">nousisi vuodesta 2026 alkaen </w:t>
      </w:r>
      <w:r w:rsidR="76D82112" w:rsidRPr="003D1468">
        <w:t>ensin</w:t>
      </w:r>
      <w:r w:rsidR="119EF3CB" w:rsidRPr="003D1468">
        <w:t xml:space="preserve"> esim.</w:t>
      </w:r>
      <w:r w:rsidR="76D82112" w:rsidRPr="003D1468">
        <w:t xml:space="preserve"> </w:t>
      </w:r>
      <w:r w:rsidR="007C7A21" w:rsidRPr="003D1468">
        <w:t>yhdellä</w:t>
      </w:r>
      <w:r w:rsidR="76D82112" w:rsidRPr="003D1468">
        <w:t xml:space="preserve"> prosenttiyksiköllä vuodessa vuoteen 2028 ja sen jälkeen lineaarisesti </w:t>
      </w:r>
      <w:r w:rsidR="007C7A21" w:rsidRPr="003D1468">
        <w:t>15</w:t>
      </w:r>
      <w:r w:rsidR="76D82112" w:rsidRPr="003D1468">
        <w:t xml:space="preserve"> </w:t>
      </w:r>
      <w:proofErr w:type="gramStart"/>
      <w:r w:rsidR="76D82112" w:rsidRPr="003D1468">
        <w:t>%.n</w:t>
      </w:r>
      <w:proofErr w:type="gramEnd"/>
      <w:r w:rsidR="76D82112" w:rsidRPr="003D1468">
        <w:t xml:space="preserve"> tasoll</w:t>
      </w:r>
      <w:r w:rsidR="77E7F3D4" w:rsidRPr="003D1468">
        <w:t>e</w:t>
      </w:r>
      <w:r w:rsidR="76D82112" w:rsidRPr="003D1468">
        <w:t xml:space="preserve"> vuonna 2030. </w:t>
      </w:r>
    </w:p>
    <w:p w14:paraId="3DE019F5" w14:textId="0BF66126" w:rsidR="005F4D87" w:rsidRPr="009A7778" w:rsidRDefault="005F4D87" w:rsidP="00CE496A">
      <w:pPr>
        <w:pStyle w:val="VNLeip1kappale"/>
      </w:pPr>
      <w:r w:rsidRPr="003D1468">
        <w:t xml:space="preserve">Päästövähennysvaikutus vuonna 2030 asiantuntija-arvioon perustuen, jos öljystä ei </w:t>
      </w:r>
      <w:r w:rsidR="00617900" w:rsidRPr="003D1468">
        <w:t xml:space="preserve">ole </w:t>
      </w:r>
      <w:r w:rsidRPr="003D1468">
        <w:t>luovut</w:t>
      </w:r>
      <w:r w:rsidR="00617900" w:rsidRPr="003D1468">
        <w:t>tu</w:t>
      </w:r>
      <w:r w:rsidRPr="003D1468">
        <w:t xml:space="preserve"> kokonaan liiketiloissa, julkisissa ja maatalouden rakennuksissa </w:t>
      </w:r>
      <w:r w:rsidR="34C076F2" w:rsidRPr="003D1468">
        <w:t xml:space="preserve">on </w:t>
      </w:r>
      <w:r w:rsidRPr="003D1468">
        <w:t>n. 0,</w:t>
      </w:r>
      <w:r w:rsidR="004D0CE2" w:rsidRPr="003D1468">
        <w:t>03</w:t>
      </w:r>
      <w:r w:rsidRPr="003D1468">
        <w:t xml:space="preserve"> Mt.   </w:t>
      </w:r>
    </w:p>
    <w:p w14:paraId="7BBE9136" w14:textId="37E58750" w:rsidR="009558E3" w:rsidRPr="009A7778" w:rsidRDefault="009644CD" w:rsidP="005F4D87">
      <w:pPr>
        <w:textAlignment w:val="baseline"/>
        <w:rPr>
          <w:rFonts w:cs="Arial"/>
          <w:b/>
          <w:sz w:val="22"/>
          <w:szCs w:val="22"/>
        </w:rPr>
      </w:pPr>
      <w:r w:rsidRPr="009A7778">
        <w:rPr>
          <w:rFonts w:cs="Arial"/>
          <w:b/>
          <w:bCs/>
          <w:sz w:val="22"/>
          <w:szCs w:val="22"/>
        </w:rPr>
        <w:t>Sosiaalisen ilmastorahaston toimet</w:t>
      </w:r>
    </w:p>
    <w:p w14:paraId="76D9F9BA" w14:textId="7BAB535D" w:rsidR="4779D649" w:rsidRPr="009A7778" w:rsidRDefault="4779D649" w:rsidP="4779D649">
      <w:pPr>
        <w:rPr>
          <w:rFonts w:cs="Arial"/>
          <w:b/>
          <w:bCs/>
          <w:sz w:val="22"/>
          <w:szCs w:val="22"/>
        </w:rPr>
      </w:pPr>
    </w:p>
    <w:p w14:paraId="3473B24F" w14:textId="72B75823" w:rsidR="005F4D87" w:rsidRDefault="7A72BF3B" w:rsidP="009C5FF4">
      <w:pPr>
        <w:spacing w:after="160" w:line="276" w:lineRule="auto"/>
        <w:rPr>
          <w:rFonts w:cs="Arial"/>
          <w:sz w:val="22"/>
          <w:szCs w:val="22"/>
        </w:rPr>
      </w:pPr>
      <w:r w:rsidRPr="009A7778">
        <w:rPr>
          <w:rFonts w:eastAsia="Aptos" w:cs="Myriad Pro"/>
          <w:spacing w:val="1"/>
          <w:sz w:val="22"/>
        </w:rPr>
        <w:t>Sosiaalisen ilmastorahaston toimenpiteillä voidaan tukea rakennusten energiatehokkuuden parantamista ja vähentää rakennusten lämmityksen päästöjä. Suomen ilmastotoimien sosiaalisen suunnitelman valmistelu on käynnissä ja toimenpiteet tarkentuvat valmistelun edetessä. Sosiaalisen ilmastorahaston toimenpiteillä on tarkoitus tukea erityisesti haavoittuvassa asemassa olevia kotitalouksia ja mikroyrityksiä.</w:t>
      </w:r>
    </w:p>
    <w:p w14:paraId="75B4E174" w14:textId="7D226743" w:rsidR="009C5FF4" w:rsidRPr="005F4D87" w:rsidRDefault="005F4D87" w:rsidP="00CE496A">
      <w:pPr>
        <w:pStyle w:val="VNLeip1kappale"/>
        <w:rPr>
          <w:rFonts w:ascii="Segoe UI" w:hAnsi="Segoe UI" w:cs="Segoe UI"/>
          <w:sz w:val="18"/>
          <w:szCs w:val="18"/>
        </w:rPr>
      </w:pPr>
      <w:r>
        <w:t xml:space="preserve">Energiatehokkuusdirektiivi ja rakennusten energiatehokkuusdirektiivi määräävät jäsenvaltiot perustamaan keskitettyjä asiointipisteitä (ns. </w:t>
      </w:r>
      <w:proofErr w:type="spellStart"/>
      <w:r>
        <w:t>one</w:t>
      </w:r>
      <w:proofErr w:type="spellEnd"/>
      <w:r>
        <w:t xml:space="preserve"> stop shop) antamaan neuvontaa energiatehokkuuteen liittyvissä asioissa. Erityisesti heikossa asemassa olevat ja energiaköyhät tulee huomioida kohderyhminä. </w:t>
      </w:r>
      <w:proofErr w:type="spellStart"/>
      <w:r w:rsidR="009C5FF4">
        <w:t>SCF:n</w:t>
      </w:r>
      <w:proofErr w:type="spellEnd"/>
      <w:r w:rsidR="009C5FF4">
        <w:t xml:space="preserve"> kautta tehtävien toimien päästövähennysvaikutus riippuu käytännössä toteutettavista toimista ja rahoituksen </w:t>
      </w:r>
      <w:r w:rsidR="00290EF6">
        <w:t>määrästä</w:t>
      </w:r>
      <w:r w:rsidR="009C5FF4">
        <w:t>, mutta mittaluokka voisi olla n. 0,05 Mt taakanjakosektorilla.</w:t>
      </w:r>
    </w:p>
    <w:p w14:paraId="7F824453" w14:textId="33EF4EBD" w:rsidR="006A728F" w:rsidRDefault="006A728F" w:rsidP="0EBA5103">
      <w:pPr>
        <w:rPr>
          <w:rFonts w:cs="Arial"/>
          <w:sz w:val="22"/>
          <w:szCs w:val="22"/>
        </w:rPr>
      </w:pPr>
    </w:p>
    <w:p w14:paraId="0E1ADC3E" w14:textId="4F95BBA7" w:rsidR="00E54F4A" w:rsidRPr="00E54F4A" w:rsidRDefault="00E54F4A" w:rsidP="0EBA5103">
      <w:pPr>
        <w:rPr>
          <w:rFonts w:cs="Arial"/>
          <w:b/>
          <w:bCs/>
          <w:sz w:val="22"/>
          <w:szCs w:val="22"/>
        </w:rPr>
      </w:pPr>
      <w:r w:rsidRPr="00E54F4A">
        <w:rPr>
          <w:rFonts w:cs="Arial"/>
          <w:b/>
          <w:bCs/>
          <w:sz w:val="22"/>
          <w:szCs w:val="22"/>
        </w:rPr>
        <w:t>Korotetun kotitalousvähennyksen jatkaminen öljylämmityksestä luopumiseen</w:t>
      </w:r>
    </w:p>
    <w:p w14:paraId="2A90F1ED" w14:textId="77777777" w:rsidR="00E54F4A" w:rsidRDefault="00E54F4A" w:rsidP="0EBA5103">
      <w:pPr>
        <w:rPr>
          <w:rFonts w:cs="Arial"/>
          <w:sz w:val="22"/>
          <w:szCs w:val="22"/>
        </w:rPr>
      </w:pPr>
    </w:p>
    <w:p w14:paraId="3260C218" w14:textId="47520DDD" w:rsidR="00277B8F" w:rsidRDefault="00277B8F" w:rsidP="00277B8F">
      <w:pPr>
        <w:rPr>
          <w:rFonts w:cs="Arial"/>
          <w:sz w:val="22"/>
          <w:szCs w:val="22"/>
        </w:rPr>
      </w:pPr>
      <w:r>
        <w:rPr>
          <w:rFonts w:cs="Arial"/>
          <w:sz w:val="22"/>
          <w:szCs w:val="22"/>
        </w:rPr>
        <w:t>Korotettua kotitalousvähennystä voitaisiin jatkaa vuosina 2028</w:t>
      </w:r>
      <w:r w:rsidR="3098C2E9" w:rsidRPr="77642BAC">
        <w:rPr>
          <w:rFonts w:cs="Arial"/>
          <w:sz w:val="22"/>
          <w:szCs w:val="22"/>
        </w:rPr>
        <w:t>–</w:t>
      </w:r>
      <w:r w:rsidRPr="1738AEF5">
        <w:rPr>
          <w:rFonts w:cs="Arial"/>
          <w:sz w:val="22"/>
          <w:szCs w:val="22"/>
        </w:rPr>
        <w:t>2030</w:t>
      </w:r>
      <w:r w:rsidR="7D7B0D7E" w:rsidRPr="45E58C1A">
        <w:rPr>
          <w:rFonts w:cs="Arial"/>
          <w:sz w:val="22"/>
          <w:szCs w:val="22"/>
        </w:rPr>
        <w:t>.</w:t>
      </w:r>
    </w:p>
    <w:p w14:paraId="4502E823" w14:textId="77777777" w:rsidR="00277B8F" w:rsidRDefault="00277B8F" w:rsidP="00277B8F">
      <w:pPr>
        <w:rPr>
          <w:rFonts w:cs="Arial"/>
          <w:sz w:val="22"/>
          <w:szCs w:val="22"/>
        </w:rPr>
      </w:pPr>
    </w:p>
    <w:p w14:paraId="1B906341" w14:textId="5610075A" w:rsidR="00277B8F" w:rsidRDefault="4A00CE33" w:rsidP="00277B8F">
      <w:pPr>
        <w:rPr>
          <w:rFonts w:cs="Arial"/>
          <w:sz w:val="22"/>
          <w:szCs w:val="22"/>
        </w:rPr>
      </w:pPr>
      <w:r w:rsidRPr="0DE4A56E">
        <w:rPr>
          <w:rFonts w:cs="Arial"/>
          <w:sz w:val="22"/>
          <w:szCs w:val="22"/>
        </w:rPr>
        <w:t>Päästövähennysvaik</w:t>
      </w:r>
      <w:r w:rsidR="141BF96D" w:rsidRPr="0DE4A56E">
        <w:rPr>
          <w:rFonts w:cs="Arial"/>
          <w:sz w:val="22"/>
          <w:szCs w:val="22"/>
        </w:rPr>
        <w:t>u</w:t>
      </w:r>
      <w:r w:rsidRPr="0DE4A56E">
        <w:rPr>
          <w:rFonts w:cs="Arial"/>
          <w:sz w:val="22"/>
          <w:szCs w:val="22"/>
        </w:rPr>
        <w:t xml:space="preserve">tus on n. </w:t>
      </w:r>
      <w:r w:rsidR="00277B8F">
        <w:rPr>
          <w:rFonts w:cs="Arial"/>
          <w:sz w:val="22"/>
          <w:szCs w:val="22"/>
        </w:rPr>
        <w:t>0,0</w:t>
      </w:r>
      <w:r w:rsidR="00290EF6">
        <w:rPr>
          <w:rFonts w:cs="Arial"/>
          <w:sz w:val="22"/>
          <w:szCs w:val="22"/>
        </w:rPr>
        <w:t>2</w:t>
      </w:r>
      <w:r w:rsidR="00277B8F">
        <w:rPr>
          <w:rFonts w:cs="Arial"/>
          <w:sz w:val="22"/>
          <w:szCs w:val="22"/>
        </w:rPr>
        <w:t xml:space="preserve"> Mt</w:t>
      </w:r>
    </w:p>
    <w:p w14:paraId="6FE97C3D" w14:textId="77777777" w:rsidR="00B777D4" w:rsidRDefault="00B777D4" w:rsidP="00277B8F">
      <w:pPr>
        <w:rPr>
          <w:rFonts w:cs="Arial"/>
          <w:sz w:val="22"/>
          <w:szCs w:val="22"/>
        </w:rPr>
      </w:pPr>
    </w:p>
    <w:p w14:paraId="03B1C624" w14:textId="111ED52C" w:rsidR="00B777D4" w:rsidRPr="00C84FE4" w:rsidRDefault="00B777D4" w:rsidP="00277B8F">
      <w:pPr>
        <w:rPr>
          <w:rFonts w:cs="Arial"/>
          <w:b/>
          <w:bCs/>
          <w:sz w:val="22"/>
          <w:szCs w:val="22"/>
        </w:rPr>
      </w:pPr>
      <w:r w:rsidRPr="00C84FE4">
        <w:rPr>
          <w:rFonts w:cs="Arial"/>
          <w:b/>
          <w:bCs/>
          <w:sz w:val="22"/>
          <w:szCs w:val="22"/>
        </w:rPr>
        <w:t>Öljy</w:t>
      </w:r>
      <w:r w:rsidR="00C20D04">
        <w:rPr>
          <w:rFonts w:cs="Arial"/>
          <w:b/>
          <w:bCs/>
          <w:sz w:val="22"/>
          <w:szCs w:val="22"/>
        </w:rPr>
        <w:t>- ja maakaasu</w:t>
      </w:r>
      <w:r w:rsidRPr="00C84FE4">
        <w:rPr>
          <w:rFonts w:cs="Arial"/>
          <w:b/>
          <w:bCs/>
          <w:sz w:val="22"/>
          <w:szCs w:val="22"/>
        </w:rPr>
        <w:t>lämmitykse</w:t>
      </w:r>
      <w:r w:rsidR="00C20D04">
        <w:rPr>
          <w:rFonts w:cs="Arial"/>
          <w:b/>
          <w:bCs/>
          <w:sz w:val="22"/>
          <w:szCs w:val="22"/>
        </w:rPr>
        <w:t xml:space="preserve">stä luopumisen </w:t>
      </w:r>
      <w:r w:rsidRPr="00C84FE4">
        <w:rPr>
          <w:rFonts w:cs="Arial"/>
          <w:b/>
          <w:bCs/>
          <w:sz w:val="22"/>
          <w:szCs w:val="22"/>
        </w:rPr>
        <w:t>tu</w:t>
      </w:r>
      <w:r w:rsidR="007530B1">
        <w:rPr>
          <w:rFonts w:cs="Arial"/>
          <w:b/>
          <w:bCs/>
          <w:sz w:val="22"/>
          <w:szCs w:val="22"/>
        </w:rPr>
        <w:t>en jatko</w:t>
      </w:r>
    </w:p>
    <w:p w14:paraId="31CADF2A" w14:textId="77777777" w:rsidR="00C84FE4" w:rsidRDefault="00C84FE4" w:rsidP="00277B8F">
      <w:pPr>
        <w:rPr>
          <w:rFonts w:cs="Arial"/>
          <w:sz w:val="22"/>
          <w:szCs w:val="22"/>
        </w:rPr>
      </w:pPr>
    </w:p>
    <w:p w14:paraId="1BA45611" w14:textId="66E4B53A" w:rsidR="00C84FE4" w:rsidRDefault="008C04AA" w:rsidP="00165177">
      <w:pPr>
        <w:pStyle w:val="VNLeip1kappale"/>
      </w:pPr>
      <w:r w:rsidRPr="008C04AA">
        <w:t>Hallituksen eduskunnalle antamassa lisätalousarvioesityksessä linjat</w:t>
      </w:r>
      <w:r>
        <w:t>tii</w:t>
      </w:r>
      <w:r w:rsidRPr="008C04AA">
        <w:t>n jatkosta öljy- ja maakaasulämmityksestä luopumiseen myönnettävälle avustukselle. Vaihdossa kestävämpiin lämmitysmuotoihin tuetaan kotitalouksien lisäksi kuntia.</w:t>
      </w:r>
    </w:p>
    <w:p w14:paraId="616CC82A" w14:textId="453CFAB2" w:rsidR="008C04AA" w:rsidRDefault="008C04AA" w:rsidP="00277B8F">
      <w:pPr>
        <w:rPr>
          <w:rFonts w:cs="Arial"/>
          <w:sz w:val="22"/>
          <w:szCs w:val="22"/>
        </w:rPr>
      </w:pPr>
      <w:r>
        <w:rPr>
          <w:rFonts w:cs="Arial"/>
          <w:sz w:val="22"/>
          <w:szCs w:val="22"/>
        </w:rPr>
        <w:t>Arvioitu päästövähen</w:t>
      </w:r>
      <w:r w:rsidR="00FD1A6E">
        <w:rPr>
          <w:rFonts w:cs="Arial"/>
          <w:sz w:val="22"/>
          <w:szCs w:val="22"/>
        </w:rPr>
        <w:t>n</w:t>
      </w:r>
      <w:r>
        <w:rPr>
          <w:rFonts w:cs="Arial"/>
          <w:sz w:val="22"/>
          <w:szCs w:val="22"/>
        </w:rPr>
        <w:t xml:space="preserve">ysvaikutus </w:t>
      </w:r>
      <w:r w:rsidR="00AA6A72">
        <w:rPr>
          <w:rFonts w:cs="Arial"/>
          <w:sz w:val="22"/>
          <w:szCs w:val="22"/>
        </w:rPr>
        <w:t>on n. 0,02 Mt</w:t>
      </w:r>
    </w:p>
    <w:p w14:paraId="7E9A066B" w14:textId="20259810" w:rsidR="005F4D87" w:rsidRPr="005F4D87" w:rsidRDefault="005F4D87" w:rsidP="005F4D87">
      <w:pPr>
        <w:textAlignment w:val="baseline"/>
        <w:rPr>
          <w:rFonts w:ascii="Segoe UI" w:hAnsi="Segoe UI" w:cs="Segoe UI"/>
          <w:sz w:val="18"/>
          <w:szCs w:val="18"/>
        </w:rPr>
      </w:pPr>
      <w:r w:rsidRPr="005F4D87">
        <w:rPr>
          <w:rFonts w:cs="Arial"/>
          <w:sz w:val="22"/>
          <w:szCs w:val="22"/>
        </w:rPr>
        <w:t> </w:t>
      </w:r>
    </w:p>
    <w:p w14:paraId="75F5441C" w14:textId="5DBA611C" w:rsidR="005F4D87" w:rsidRPr="005F4D87" w:rsidRDefault="005F4D87" w:rsidP="005F4D87">
      <w:pPr>
        <w:textAlignment w:val="baseline"/>
        <w:rPr>
          <w:rFonts w:ascii="Segoe UI" w:hAnsi="Segoe UI" w:cs="Segoe UI"/>
          <w:sz w:val="18"/>
          <w:szCs w:val="18"/>
        </w:rPr>
      </w:pPr>
      <w:r w:rsidRPr="1A881142">
        <w:rPr>
          <w:rFonts w:cs="Arial"/>
          <w:b/>
          <w:bCs/>
          <w:sz w:val="22"/>
          <w:szCs w:val="22"/>
        </w:rPr>
        <w:t xml:space="preserve">Erillislämmityksen toimenpiteiden vaikutus taakanjakosektorin päästöihin vuonna 2030 (ja 2035) on </w:t>
      </w:r>
      <w:r w:rsidR="038FB937" w:rsidRPr="003D1468">
        <w:rPr>
          <w:rFonts w:cs="Arial"/>
          <w:b/>
          <w:bCs/>
          <w:sz w:val="22"/>
          <w:szCs w:val="22"/>
        </w:rPr>
        <w:t xml:space="preserve">vähintään </w:t>
      </w:r>
      <w:r w:rsidRPr="003D1468">
        <w:rPr>
          <w:rFonts w:cs="Arial"/>
          <w:b/>
          <w:sz w:val="22"/>
          <w:szCs w:val="22"/>
        </w:rPr>
        <w:t>0,</w:t>
      </w:r>
      <w:r w:rsidR="004444AD" w:rsidRPr="003D1468">
        <w:rPr>
          <w:rFonts w:cs="Arial"/>
          <w:b/>
          <w:sz w:val="22"/>
          <w:szCs w:val="22"/>
        </w:rPr>
        <w:t>1</w:t>
      </w:r>
      <w:r w:rsidR="5EE46EFA" w:rsidRPr="003D1468">
        <w:rPr>
          <w:rFonts w:cs="Arial"/>
          <w:b/>
          <w:bCs/>
          <w:sz w:val="22"/>
          <w:szCs w:val="22"/>
        </w:rPr>
        <w:t>2</w:t>
      </w:r>
      <w:r w:rsidRPr="003D1468">
        <w:rPr>
          <w:rFonts w:cs="Arial"/>
          <w:b/>
          <w:bCs/>
          <w:sz w:val="22"/>
          <w:szCs w:val="22"/>
        </w:rPr>
        <w:t xml:space="preserve"> Mt.</w:t>
      </w:r>
      <w:r w:rsidRPr="1A881142">
        <w:rPr>
          <w:rFonts w:cs="Arial"/>
          <w:b/>
          <w:bCs/>
          <w:sz w:val="22"/>
          <w:szCs w:val="22"/>
        </w:rPr>
        <w:t xml:space="preserve"> </w:t>
      </w:r>
      <w:r w:rsidRPr="1A881142">
        <w:rPr>
          <w:rFonts w:cs="Arial"/>
          <w:sz w:val="22"/>
          <w:szCs w:val="22"/>
        </w:rPr>
        <w:t> </w:t>
      </w:r>
    </w:p>
    <w:p w14:paraId="20FF2907" w14:textId="3C898047" w:rsidR="004B57AF" w:rsidRPr="004B57AF" w:rsidRDefault="37757388" w:rsidP="517A38BD">
      <w:pPr>
        <w:pStyle w:val="Otsikko3"/>
        <w:numPr>
          <w:ilvl w:val="0"/>
          <w:numId w:val="0"/>
        </w:numPr>
        <w:ind w:left="720"/>
      </w:pPr>
      <w:bookmarkStart w:id="123" w:name="_Ref198206108"/>
      <w:bookmarkStart w:id="124" w:name="_Toc202260057"/>
      <w:r>
        <w:t>6.2.4</w:t>
      </w:r>
      <w:r w:rsidR="3F19AFB7">
        <w:t xml:space="preserve"> </w:t>
      </w:r>
      <w:r w:rsidR="005F4D87">
        <w:t>Työkoneet</w:t>
      </w:r>
      <w:bookmarkEnd w:id="123"/>
      <w:bookmarkEnd w:id="124"/>
      <w:r w:rsidR="005F4D87">
        <w:t> </w:t>
      </w:r>
    </w:p>
    <w:p w14:paraId="6A814323" w14:textId="2D6AD032" w:rsidR="005F4D87" w:rsidRPr="005F4D87" w:rsidRDefault="005F4D87" w:rsidP="00B91FC4">
      <w:pPr>
        <w:pStyle w:val="VNLeip1kappale"/>
        <w:rPr>
          <w:rFonts w:ascii="Segoe UI" w:hAnsi="Segoe UI" w:cs="Segoe UI"/>
          <w:sz w:val="18"/>
          <w:szCs w:val="18"/>
        </w:rPr>
      </w:pPr>
      <w:r w:rsidRPr="005F4D87">
        <w:t xml:space="preserve">Työkoneiden kasvihuonekaasupäästöjä vähentävät keinot voivat perustua esimerkiksi </w:t>
      </w:r>
      <w:r w:rsidR="00DB5971" w:rsidRPr="005F4D87">
        <w:t>nolla- tai vähäpäästöisten polttoaineiden käytön lisäämiseen</w:t>
      </w:r>
      <w:r w:rsidR="00DB5971">
        <w:t>,</w:t>
      </w:r>
      <w:r w:rsidRPr="005F4D87">
        <w:t xml:space="preserve"> </w:t>
      </w:r>
      <w:r w:rsidR="008407A5" w:rsidRPr="005F4D87">
        <w:t>nolla- ja vähäpäästöisten työkoneiden osuuden kasvuun</w:t>
      </w:r>
      <w:r w:rsidR="005A0EE4">
        <w:t xml:space="preserve"> tai</w:t>
      </w:r>
      <w:r w:rsidR="008407A5" w:rsidRPr="005F4D87">
        <w:t xml:space="preserve"> </w:t>
      </w:r>
      <w:r w:rsidRPr="005F4D87">
        <w:t>polttoaineen kulutusta ja päästöjä vähentävien käyttötapojen laajempaan käyttöönottoon</w:t>
      </w:r>
      <w:r w:rsidR="00DE3F5C">
        <w:t>.</w:t>
      </w:r>
      <w:r w:rsidR="00DB7D7C">
        <w:t xml:space="preserve"> </w:t>
      </w:r>
      <w:r w:rsidRPr="005F4D87">
        <w:t>Työkoneiden kasvihuonekaasupäästöjen vähentämiseen on käytettävissä monia erityyppisiä politiikkatoimia. Niiden päästövähennysvaikutukset, päästövähennysvaikutusten saavuttamisen varmuus ja kustannukset vaihtelevat. Myös toteutettavuuden ja vaikuttavuuden aikataulut ovat erilaisia eri politiikkatoimilla.  </w:t>
      </w:r>
    </w:p>
    <w:p w14:paraId="7BF9868E" w14:textId="77777777" w:rsidR="005F4D87" w:rsidRPr="005F4D87" w:rsidRDefault="005F4D87" w:rsidP="005F4D87">
      <w:pPr>
        <w:textAlignment w:val="baseline"/>
        <w:rPr>
          <w:rFonts w:ascii="Segoe UI" w:hAnsi="Segoe UI" w:cs="Segoe UI"/>
          <w:sz w:val="18"/>
          <w:szCs w:val="18"/>
        </w:rPr>
      </w:pPr>
      <w:r w:rsidRPr="005F4D87">
        <w:rPr>
          <w:rFonts w:cs="Arial"/>
          <w:b/>
          <w:bCs/>
          <w:sz w:val="22"/>
          <w:szCs w:val="22"/>
        </w:rPr>
        <w:t>Biopolttoöljyn jakeluvelvoite</w:t>
      </w:r>
      <w:r w:rsidRPr="005F4D87">
        <w:rPr>
          <w:rFonts w:cs="Arial"/>
          <w:sz w:val="22"/>
          <w:szCs w:val="22"/>
        </w:rPr>
        <w:t> </w:t>
      </w:r>
    </w:p>
    <w:p w14:paraId="136BF5E1" w14:textId="1A8D7BDF" w:rsidR="005F4D87" w:rsidRPr="005F4D87" w:rsidRDefault="005F4D87" w:rsidP="00B91FC4">
      <w:pPr>
        <w:pStyle w:val="VNLeip1kappale"/>
        <w:rPr>
          <w:rFonts w:ascii="Segoe UI" w:hAnsi="Segoe UI" w:cs="Segoe UI"/>
          <w:sz w:val="18"/>
          <w:szCs w:val="18"/>
        </w:rPr>
      </w:pPr>
      <w:r w:rsidRPr="005F4D87">
        <w:t xml:space="preserve">Työkoneiden </w:t>
      </w:r>
      <w:r w:rsidRPr="003D1468">
        <w:t xml:space="preserve">kasvihuonekaasupäästöjen vähentämisen kannalta merkittävin yksittäinen toimi lähivuosina on kevyen polttoöljyn bio-osuuden nostaminen </w:t>
      </w:r>
      <w:r w:rsidR="042E082B" w:rsidRPr="003D1468">
        <w:t xml:space="preserve">esim. </w:t>
      </w:r>
      <w:r w:rsidR="007C7A21" w:rsidRPr="003D1468">
        <w:t>15</w:t>
      </w:r>
      <w:r w:rsidRPr="003D1468">
        <w:t xml:space="preserve"> %:iin vuoteen 2030 mennessä. Biokaasun lisäämistä jakeluvelvoitteeseen arvioitiin Työkoneiden kustannustehokkaat päästövähennyskeinot–selvityksen tulosten pohjalta. Sähkön ja sähköpolttoaineiden</w:t>
      </w:r>
      <w:r w:rsidRPr="005F4D87">
        <w:t xml:space="preserve"> lisäämistä arvioitiin mm. teknologioiden saatavuuteen ja jakeluvelvoitejärjestelmän toteutukseen liittyvien näkökohtien perusteella.</w:t>
      </w:r>
      <w:r w:rsidRPr="005F4D87">
        <w:rPr>
          <w:color w:val="D13438"/>
        </w:rPr>
        <w:t> </w:t>
      </w:r>
    </w:p>
    <w:p w14:paraId="2FC4677F" w14:textId="4B2B236B" w:rsidR="005F4D87" w:rsidRPr="005F4D87" w:rsidRDefault="005F4D87" w:rsidP="005F4D87">
      <w:pPr>
        <w:textAlignment w:val="baseline"/>
        <w:rPr>
          <w:rFonts w:ascii="Segoe UI" w:hAnsi="Segoe UI" w:cs="Segoe UI"/>
          <w:sz w:val="18"/>
          <w:szCs w:val="18"/>
        </w:rPr>
      </w:pPr>
      <w:r w:rsidRPr="005F4D87">
        <w:rPr>
          <w:rFonts w:cs="Arial"/>
          <w:b/>
          <w:bCs/>
          <w:sz w:val="22"/>
          <w:szCs w:val="22"/>
        </w:rPr>
        <w:t>Polttoaineen jakel</w:t>
      </w:r>
      <w:r w:rsidR="00A10766">
        <w:rPr>
          <w:rFonts w:cs="Arial"/>
          <w:b/>
          <w:bCs/>
          <w:sz w:val="22"/>
          <w:szCs w:val="22"/>
        </w:rPr>
        <w:t>un</w:t>
      </w:r>
      <w:r w:rsidRPr="005F4D87">
        <w:rPr>
          <w:rFonts w:cs="Arial"/>
          <w:b/>
          <w:bCs/>
          <w:sz w:val="22"/>
          <w:szCs w:val="22"/>
        </w:rPr>
        <w:t xml:space="preserve"> päästökauppa</w:t>
      </w:r>
      <w:r w:rsidRPr="005F4D87">
        <w:rPr>
          <w:rFonts w:cs="Arial"/>
          <w:color w:val="D13438"/>
          <w:sz w:val="22"/>
          <w:szCs w:val="22"/>
        </w:rPr>
        <w:t> </w:t>
      </w:r>
    </w:p>
    <w:p w14:paraId="1CC333CD" w14:textId="2A64AC53" w:rsidR="005F4D87" w:rsidRPr="005F4D87" w:rsidRDefault="005F4D87" w:rsidP="00B91FC4">
      <w:pPr>
        <w:pStyle w:val="VNLeip1kappale"/>
        <w:rPr>
          <w:rFonts w:ascii="Segoe UI" w:hAnsi="Segoe UI" w:cs="Segoe UI"/>
          <w:sz w:val="18"/>
          <w:szCs w:val="18"/>
        </w:rPr>
      </w:pPr>
      <w:r w:rsidRPr="005F4D87">
        <w:t>Polttoaineiden jakel</w:t>
      </w:r>
      <w:r w:rsidR="00A10766">
        <w:t>un</w:t>
      </w:r>
      <w:r w:rsidRPr="005F4D87">
        <w:t xml:space="preserve"> päästökauppa käynnistyy vuonna 2027 ja tulee koskemaan myös työkoneiden polttoainekäyttöä. Tähän liittyen on tarkoitus valmistella kompensoivia toimia niille sektoreille</w:t>
      </w:r>
      <w:r w:rsidR="54BA3F10">
        <w:t>,</w:t>
      </w:r>
      <w:r w:rsidRPr="005F4D87">
        <w:t xml:space="preserve"> jotka eivät kuulu uuden päästökaupan varsinaiseen soveltamisalaan. Kompensoivat toimet voivat riippuen niiden tarkasta muotoilusta vaikuttaa työkonesektorin päästökehitykseen verrattuna nykytoimiskenaarioon. </w:t>
      </w:r>
      <w:r w:rsidRPr="005F4D87">
        <w:rPr>
          <w:color w:val="D13438"/>
        </w:rPr>
        <w:t> </w:t>
      </w:r>
    </w:p>
    <w:p w14:paraId="082C0DE5" w14:textId="77777777" w:rsidR="00E812B4" w:rsidRDefault="00E812B4" w:rsidP="005F4D87">
      <w:pPr>
        <w:textAlignment w:val="baseline"/>
        <w:rPr>
          <w:rFonts w:cs="Arial"/>
          <w:color w:val="D13438"/>
          <w:sz w:val="22"/>
          <w:szCs w:val="22"/>
        </w:rPr>
      </w:pPr>
    </w:p>
    <w:p w14:paraId="23ECE7B6" w14:textId="227A4562" w:rsidR="00E812B4" w:rsidRPr="005F4D87" w:rsidRDefault="3456D8B3" w:rsidP="00E812B4">
      <w:pPr>
        <w:textAlignment w:val="baseline"/>
        <w:rPr>
          <w:rFonts w:cs="Arial"/>
          <w:b/>
          <w:sz w:val="22"/>
          <w:szCs w:val="22"/>
        </w:rPr>
      </w:pPr>
      <w:r w:rsidRPr="5E7B306C">
        <w:rPr>
          <w:rFonts w:cs="Arial"/>
          <w:b/>
          <w:bCs/>
          <w:sz w:val="22"/>
          <w:szCs w:val="22"/>
        </w:rPr>
        <w:t>V</w:t>
      </w:r>
      <w:r w:rsidR="00E812B4" w:rsidRPr="5E7B306C">
        <w:rPr>
          <w:rFonts w:cs="Arial"/>
          <w:b/>
          <w:bCs/>
          <w:sz w:val="22"/>
          <w:szCs w:val="22"/>
        </w:rPr>
        <w:t>aihtoehtoisten</w:t>
      </w:r>
      <w:r w:rsidR="00E812B4" w:rsidRPr="005F4D87">
        <w:rPr>
          <w:rFonts w:cs="Arial"/>
          <w:b/>
          <w:bCs/>
          <w:sz w:val="22"/>
          <w:szCs w:val="22"/>
        </w:rPr>
        <w:t xml:space="preserve"> käyttövoimien </w:t>
      </w:r>
      <w:r w:rsidR="640FC16C" w:rsidRPr="5E7B306C">
        <w:rPr>
          <w:rFonts w:cs="Arial"/>
          <w:b/>
          <w:bCs/>
          <w:sz w:val="22"/>
          <w:szCs w:val="22"/>
        </w:rPr>
        <w:t xml:space="preserve">sekä siihen liittyvän </w:t>
      </w:r>
      <w:r w:rsidR="00E812B4" w:rsidRPr="005F4D87">
        <w:rPr>
          <w:rFonts w:cs="Arial"/>
          <w:b/>
          <w:bCs/>
          <w:sz w:val="22"/>
          <w:szCs w:val="22"/>
        </w:rPr>
        <w:t>infrastruktuurin edistäminen</w:t>
      </w:r>
    </w:p>
    <w:p w14:paraId="528204F6" w14:textId="2117D512" w:rsidR="00E812B4" w:rsidRPr="005F4D87" w:rsidRDefault="00E812B4" w:rsidP="00E812B4">
      <w:pPr>
        <w:pStyle w:val="VNLeip1kappale"/>
      </w:pPr>
      <w:r w:rsidRPr="005F4D87">
        <w:t xml:space="preserve">Siirtymä nolla- ja vähäpäästöisiin työkoneisiin etenee hitaasti monista syistä. Näitä syitä ovat esimerkiksi työkoneiden pitkät käyttöiät, uusien vähä- ja nollapäästöisten työkoneiden korkeat hankintahinnat, kehittymätön vaihtoehtoista käyttövoimien infrastruktuuri sekä vähäiset kokemukset uusista ratkaisuista. Vähä- ja nollapäästöisyyttä edistävien uusien teknologioiden ja ratkaisujen </w:t>
      </w:r>
      <w:r w:rsidR="5EB061C2">
        <w:t xml:space="preserve">mahdollisen </w:t>
      </w:r>
      <w:r w:rsidRPr="005F4D87">
        <w:t xml:space="preserve">tukemisen tavoitteena on luoda edellytykset työkonesektorin merkittäville päästövähennyksille kustannustehokkaasti ja työkonealan kilpailukykyä ja vientiä edistäen. </w:t>
      </w:r>
      <w:r w:rsidR="00BA1D3F">
        <w:t>Edi</w:t>
      </w:r>
      <w:r w:rsidR="02DACCB8">
        <w:t>s</w:t>
      </w:r>
      <w:r w:rsidR="00BA1D3F">
        <w:t>tämistoimet</w:t>
      </w:r>
      <w:r w:rsidRPr="005F4D87">
        <w:t xml:space="preserve"> </w:t>
      </w:r>
      <w:r w:rsidR="5CD765F2">
        <w:t>olisi mahdollista</w:t>
      </w:r>
      <w:r>
        <w:t xml:space="preserve"> kohdist</w:t>
      </w:r>
      <w:r w:rsidR="16684B44">
        <w:t>aa</w:t>
      </w:r>
      <w:r w:rsidRPr="005F4D87">
        <w:t xml:space="preserve"> infraan ja työkoneisiin sekä konversioihin siten, että </w:t>
      </w:r>
      <w:r>
        <w:t>saavutet</w:t>
      </w:r>
      <w:r w:rsidR="29A69E7B">
        <w:t>aan</w:t>
      </w:r>
      <w:r w:rsidRPr="005F4D87">
        <w:t xml:space="preserve"> mahdollisimman vaikuttavia ja kustannustehokkaita ratkaisuja ajatellen vastaavia toteutuksia Suomessa ja myös ratkaisujen vientiä.    </w:t>
      </w:r>
    </w:p>
    <w:p w14:paraId="61053505" w14:textId="245CC338" w:rsidR="00E812B4" w:rsidRPr="005F4D87" w:rsidRDefault="00E812B4" w:rsidP="00E812B4">
      <w:pPr>
        <w:pStyle w:val="VNLeip1kappale"/>
        <w:rPr>
          <w:rFonts w:ascii="Segoe UI" w:hAnsi="Segoe UI" w:cs="Segoe UI"/>
          <w:sz w:val="18"/>
          <w:szCs w:val="18"/>
        </w:rPr>
      </w:pPr>
      <w:r w:rsidRPr="005F4D87">
        <w:t>ACE-hankkeen tulosten pohjalta vaihtoehtoisten käyttövoimien infrastruktuurin tukeminen voitaisiin kohdentaa kilpailutuskriteereillä alueille, joissa työkoneiden käyttö on erityisen intensiivistä. Lisäksi infrastruktuurin kehittäminen niin, että se palvelisi sekä työkoneita että raskasta liikennettä</w:t>
      </w:r>
      <w:r w:rsidR="00250AEA">
        <w:t>,</w:t>
      </w:r>
      <w:r w:rsidRPr="005F4D87">
        <w:t xml:space="preserve"> parantaisi investointien kustannustehokkuutta ja maksimoisi infrastruktuurin hyödyt. Myös työkonehankintojen ja konversioiden tukemisen osalta kohdentamisella ja kilpailutuksella on mahdollista lisätä päästövähennysten kustannustehokkuutta ja vaikuttavuutta.   </w:t>
      </w:r>
    </w:p>
    <w:p w14:paraId="1FCFF0FD" w14:textId="77777777" w:rsidR="00E812B4" w:rsidRPr="005F4D87" w:rsidRDefault="00E812B4" w:rsidP="00E812B4">
      <w:pPr>
        <w:textAlignment w:val="baseline"/>
        <w:rPr>
          <w:rFonts w:ascii="Segoe UI" w:hAnsi="Segoe UI" w:cs="Segoe UI"/>
          <w:sz w:val="18"/>
          <w:szCs w:val="18"/>
        </w:rPr>
      </w:pPr>
      <w:r w:rsidRPr="005F4D87">
        <w:rPr>
          <w:rFonts w:cs="Arial"/>
          <w:b/>
          <w:bCs/>
          <w:sz w:val="22"/>
          <w:szCs w:val="22"/>
        </w:rPr>
        <w:t>Uusien nolla- ja vähäpäästöisten työkoneiden sekä jakeluratkaisujen tuotekehityksen ja pilotoinnin demonstraatiotuki</w:t>
      </w:r>
      <w:r w:rsidRPr="005F4D87">
        <w:rPr>
          <w:rFonts w:cs="Arial"/>
          <w:sz w:val="22"/>
          <w:szCs w:val="22"/>
        </w:rPr>
        <w:t> </w:t>
      </w:r>
    </w:p>
    <w:p w14:paraId="70869435" w14:textId="60A19AD5" w:rsidR="004B57AF" w:rsidRPr="005F4D87" w:rsidRDefault="00E812B4" w:rsidP="0EBA5103">
      <w:pPr>
        <w:pStyle w:val="VNLeip1kappale"/>
        <w:textAlignment w:val="baseline"/>
      </w:pPr>
      <w:r w:rsidRPr="005F4D87">
        <w:t xml:space="preserve">Uusien nolla- ja vähäpäästöisten työkoneiden sekä jakeluratkaisujen tuotekehitystä ja pilotointeja voitaisiin tukea demonstraatiotuella. Tuki alentaisi kustannuksia ja riskejä, mikä helpottaisi uusien teknologioiden käyttöönottoa ja nopeuttaisi markkinoiden kehitystä. Samalla se vahvistaisi suomalaisten työkonevalmistajien vientiä, sillä kotimainen testaus ja kehitys loisivat referenssikohteita kansainvälisille markkinoille. </w:t>
      </w:r>
      <w:r w:rsidRPr="00556D54">
        <w:t xml:space="preserve">TKI-hankkeessa </w:t>
      </w:r>
      <w:r w:rsidR="29609CFD">
        <w:t xml:space="preserve">olisi mahdollista </w:t>
      </w:r>
      <w:r>
        <w:t>luoda</w:t>
      </w:r>
      <w:r w:rsidRPr="00556D54">
        <w:t xml:space="preserve"> edellytykset pilotoida ja demonstroida innovatiivisia teknologiayhdistelmiä ja toimintatapoja yhteistyössä eri toimijoiden kanssa erilaisissa käyttöympäristöissä, kuten teollisuusalueilla, kaivoksissa, satamissa, rakennus- ja puunkorjuutyömailla, kaupungeissa ja kunnissa sekä maatiloilla. TKI-toimet </w:t>
      </w:r>
      <w:r w:rsidR="22474984">
        <w:t xml:space="preserve">voidaan </w:t>
      </w:r>
      <w:r>
        <w:t>kohdist</w:t>
      </w:r>
      <w:r w:rsidR="0EC7E848">
        <w:t>aa</w:t>
      </w:r>
      <w:r w:rsidRPr="00556D54">
        <w:t xml:space="preserve"> vaihtoehtoisten käyttövoimien jakeluinfraan, vaihtoehtoisia käyttövoimia käyttäviin työkoneisiin sekä työkoneiden käyttövoimakonversioihin. Tavoitteena </w:t>
      </w:r>
      <w:r>
        <w:t>o</w:t>
      </w:r>
      <w:r w:rsidR="3FC9D9CD">
        <w:t>lisi</w:t>
      </w:r>
      <w:r w:rsidRPr="00556D54">
        <w:t xml:space="preserve"> luoda puitteet vaikuttaville ja kustannustehokkaille ratkaisuille ajatellen toteutuksia Suomessa sekä myös ratkaisujen vientiä.   </w:t>
      </w:r>
    </w:p>
    <w:p w14:paraId="5005C85A" w14:textId="77777777" w:rsidR="005F4D87" w:rsidRPr="005F4D87" w:rsidRDefault="005F4D87" w:rsidP="005F4D87">
      <w:pPr>
        <w:textAlignment w:val="baseline"/>
        <w:rPr>
          <w:rFonts w:ascii="Segoe UI" w:hAnsi="Segoe UI" w:cs="Segoe UI"/>
          <w:sz w:val="18"/>
          <w:szCs w:val="18"/>
        </w:rPr>
      </w:pPr>
      <w:r w:rsidRPr="005F4D87">
        <w:rPr>
          <w:rFonts w:cs="Arial"/>
          <w:b/>
          <w:bCs/>
          <w:sz w:val="22"/>
          <w:szCs w:val="22"/>
        </w:rPr>
        <w:t>Polttoaineen kulutusta ja päästöjä vähentävien työtapojen edistäminen</w:t>
      </w:r>
      <w:r w:rsidRPr="005F4D87">
        <w:rPr>
          <w:rFonts w:cs="Arial"/>
          <w:sz w:val="22"/>
          <w:szCs w:val="22"/>
        </w:rPr>
        <w:t> </w:t>
      </w:r>
    </w:p>
    <w:p w14:paraId="01DB82D2" w14:textId="3FBD8628" w:rsidR="005F4D87" w:rsidRPr="005F4D87" w:rsidRDefault="005F4D87" w:rsidP="0EBA5103">
      <w:pPr>
        <w:pStyle w:val="VNLeip1kappale"/>
        <w:rPr>
          <w:rFonts w:ascii="Segoe UI" w:hAnsi="Segoe UI" w:cs="Segoe UI"/>
          <w:sz w:val="18"/>
          <w:szCs w:val="18"/>
        </w:rPr>
      </w:pPr>
      <w:r w:rsidRPr="005F4D87">
        <w:t>Käyttämällä olemassa olevaa työkonekantaa optimaalisesti on mahdollista vähentää päästöjä kustannustehokkaasti. Työtapoja ja -menetelmiä parantamalla, työkoneiden kunnossapidolla, kuljettajien perehdyttämisellä sekä taloudellisella ajotavalla voidaan merkittävästi vähentää polttoaineen kulutusta ja samalla päästöjä. Vuonna 2021 käyttöönotettua Vähäpäästöiset työkoneet -koulutuskokonaisuutta voidaan edelleen kehittää ja laajentaa sekä siitä voidaan viestiä tehostetusti, jotta saadaan lisättyä koulutuksen osallistujamääriä. Laajentamalla koulutusta maataloustraktoreihin ja kiinteistöhuollon työkoneisiin saataisiin koulutuksen kattavuutta merkittävästi laajennettua. Osa työkoneiden kuljettajista tarvitsisi koulutusmateriaalin englanniksi. </w:t>
      </w:r>
    </w:p>
    <w:p w14:paraId="3065FFE3" w14:textId="0FA74D19" w:rsidR="005F4D87" w:rsidRPr="005F4D87" w:rsidRDefault="005F4D87" w:rsidP="74212900">
      <w:pPr>
        <w:pStyle w:val="VNLeip1kappale"/>
        <w:textAlignment w:val="baseline"/>
        <w:rPr>
          <w:rFonts w:ascii="Segoe UI" w:hAnsi="Segoe UI" w:cs="Segoe UI"/>
          <w:sz w:val="18"/>
          <w:szCs w:val="18"/>
        </w:rPr>
      </w:pPr>
      <w:r w:rsidRPr="005F4D87">
        <w:t> </w:t>
      </w:r>
      <w:r w:rsidRPr="077D805C">
        <w:rPr>
          <w:rFonts w:cs="Arial"/>
          <w:b/>
        </w:rPr>
        <w:t>ACE-hankkeen puitteessa tehtävä edistämistyö</w:t>
      </w:r>
      <w:r w:rsidRPr="077D805C">
        <w:rPr>
          <w:rFonts w:cs="Arial"/>
        </w:rPr>
        <w:t> </w:t>
      </w:r>
    </w:p>
    <w:p w14:paraId="541678C3" w14:textId="211BFF94" w:rsidR="005F4D87" w:rsidRDefault="005F4D87" w:rsidP="00B91FC4">
      <w:pPr>
        <w:pStyle w:val="VNLeip1kappale"/>
        <w:rPr>
          <w:color w:val="D13438"/>
        </w:rPr>
      </w:pPr>
      <w:r w:rsidRPr="00B91FC4">
        <w:t xml:space="preserve">Vuonna 2024 käynnistynyt </w:t>
      </w:r>
      <w:proofErr w:type="spellStart"/>
      <w:r w:rsidRPr="00B91FC4">
        <w:t>Accelerator</w:t>
      </w:r>
      <w:proofErr w:type="spellEnd"/>
      <w:r w:rsidRPr="00B91FC4">
        <w:t xml:space="preserve"> for </w:t>
      </w:r>
      <w:proofErr w:type="spellStart"/>
      <w:r w:rsidRPr="00B91FC4">
        <w:t>Climate</w:t>
      </w:r>
      <w:proofErr w:type="spellEnd"/>
      <w:r w:rsidRPr="00B91FC4">
        <w:t xml:space="preserve"> Solutions (ACE EU LIFE</w:t>
      </w:r>
      <w:r>
        <w:t>)</w:t>
      </w:r>
      <w:r w:rsidR="243367E9">
        <w:t xml:space="preserve"> -</w:t>
      </w:r>
      <w:r w:rsidRPr="00B91FC4">
        <w:t>hanke tukee ja vauhdittaa taakanjakosektorilla tehtäviä päästövähennystoimia erityisesti niillä toimialoilla</w:t>
      </w:r>
      <w:r w:rsidR="7344B00D">
        <w:t>,</w:t>
      </w:r>
      <w:r w:rsidRPr="00B91FC4">
        <w:t xml:space="preserve"> joiden päästökehitys on ollut vaatimatonta tähän mennessä. Hankkeessa tarkastellaan työkoneiden päästövähennysmahdollisuuksia eri käyttöympäristöissä ja kohderyhmien kannalta. Tarkasteltavat käyttöympäristöt ovat teollisuusalueet, kunnat, maatilat, rakennustyömaat sekä hakkuualueet. Hankkeeseen sisältyvä politiikka-analyysi perustuu haastatteluihin, työpajoihin ja katsauksiin. Hankkeen tuloksena julkaistaan politiikkatoimipaketteja edistämään työkoneiden puhdasta siirtymää. </w:t>
      </w:r>
      <w:r w:rsidRPr="005F4D87">
        <w:rPr>
          <w:color w:val="D13438"/>
        </w:rPr>
        <w:t> </w:t>
      </w:r>
    </w:p>
    <w:p w14:paraId="417A8A79" w14:textId="06754D27" w:rsidR="002513FA" w:rsidRPr="005F4D87" w:rsidRDefault="002513FA" w:rsidP="002513FA">
      <w:pPr>
        <w:textAlignment w:val="baseline"/>
        <w:rPr>
          <w:rFonts w:ascii="Segoe UI" w:hAnsi="Segoe UI" w:cs="Segoe UI"/>
          <w:sz w:val="18"/>
          <w:szCs w:val="18"/>
        </w:rPr>
      </w:pPr>
      <w:r w:rsidRPr="005F4D87">
        <w:rPr>
          <w:rFonts w:cs="Arial"/>
          <w:b/>
          <w:bCs/>
          <w:sz w:val="22"/>
          <w:szCs w:val="22"/>
        </w:rPr>
        <w:t>EU-sääntelyn kehittäminen</w:t>
      </w:r>
      <w:r w:rsidRPr="005F4D87">
        <w:rPr>
          <w:rFonts w:cs="Arial"/>
          <w:sz w:val="22"/>
          <w:szCs w:val="22"/>
        </w:rPr>
        <w:t> </w:t>
      </w:r>
    </w:p>
    <w:p w14:paraId="151F0E97" w14:textId="77777777" w:rsidR="002513FA" w:rsidRPr="005F4D87" w:rsidRDefault="002513FA" w:rsidP="002513FA">
      <w:pPr>
        <w:pStyle w:val="VNLeip1kappale"/>
        <w:rPr>
          <w:rFonts w:ascii="Segoe UI" w:hAnsi="Segoe UI" w:cs="Segoe UI"/>
          <w:sz w:val="18"/>
          <w:szCs w:val="18"/>
        </w:rPr>
      </w:pPr>
      <w:r w:rsidRPr="005F4D87">
        <w:t>Työkoneiden EU-tason sääntelykehikko on kasvihuonekaasupäästöjen vähentämisen näkökulmasta kehittymätön. EU-tason toimilla olisi mahdollista vauhdittaa työkonealan puhdasta siirtymää vaikuttamalla vähä- ja nollapäästöisten työkoneiden tarjontaan ja kysyntään. Jatketaan vaikuttamista EU-tason toimiin työkoneiden päästövähennyksien ja fossiilisista polttoaineista irtautumisen edistämiseksi alan kilpailukykyä edistäen. </w:t>
      </w:r>
    </w:p>
    <w:p w14:paraId="7D23ADBF" w14:textId="77777777" w:rsidR="005F4D87" w:rsidRPr="005F4D87" w:rsidRDefault="005F4D87" w:rsidP="005F4D87">
      <w:pPr>
        <w:textAlignment w:val="baseline"/>
        <w:rPr>
          <w:rFonts w:ascii="Segoe UI" w:hAnsi="Segoe UI" w:cs="Segoe UI"/>
          <w:sz w:val="18"/>
          <w:szCs w:val="18"/>
        </w:rPr>
      </w:pPr>
      <w:r w:rsidRPr="005F4D87">
        <w:rPr>
          <w:rFonts w:cs="Arial"/>
          <w:sz w:val="22"/>
          <w:szCs w:val="22"/>
        </w:rPr>
        <w:t> </w:t>
      </w:r>
    </w:p>
    <w:p w14:paraId="58E136B8" w14:textId="654F0816" w:rsidR="009F79BD" w:rsidRPr="005F4D87" w:rsidRDefault="009F79BD" w:rsidP="009F79BD">
      <w:pPr>
        <w:textAlignment w:val="baseline"/>
        <w:rPr>
          <w:rFonts w:ascii="Segoe UI" w:hAnsi="Segoe UI" w:cs="Segoe UI"/>
          <w:sz w:val="18"/>
          <w:szCs w:val="18"/>
        </w:rPr>
      </w:pPr>
      <w:r w:rsidRPr="005F4D87">
        <w:rPr>
          <w:rFonts w:cs="Arial"/>
          <w:b/>
          <w:bCs/>
          <w:sz w:val="22"/>
          <w:szCs w:val="22"/>
        </w:rPr>
        <w:t>Työkoneiden päästölaskennan, politiikkatoimien vaikutusten arvioinnin ja skenaarioiden laatimisen kehittäminen</w:t>
      </w:r>
      <w:r w:rsidRPr="005F4D87">
        <w:rPr>
          <w:rFonts w:cs="Arial"/>
          <w:sz w:val="22"/>
          <w:szCs w:val="22"/>
        </w:rPr>
        <w:t> </w:t>
      </w:r>
    </w:p>
    <w:p w14:paraId="52FD1A6B" w14:textId="393F99AE" w:rsidR="009F79BD" w:rsidRPr="005F4D87" w:rsidRDefault="009F79BD" w:rsidP="009F79BD">
      <w:pPr>
        <w:pStyle w:val="VNLeip1kappale"/>
        <w:rPr>
          <w:rFonts w:ascii="Segoe UI" w:hAnsi="Segoe UI" w:cs="Segoe UI"/>
          <w:sz w:val="18"/>
          <w:szCs w:val="18"/>
        </w:rPr>
      </w:pPr>
      <w:r w:rsidRPr="005F4D87">
        <w:t>Työkoneiden päästölaskennan perusteena olevat työkonekantatiedot ovat puutteellisia. Työkoneiden ominaisuus- ja käyttötiedon puutteet aiheuttavat epävarmuutta päästölaskentaan, skenaarioihin sekä päästöjä vähentävien toimenpiteiden vaikuttavuuden arviointiin. Tietopohjan luotettavuuden parantaminen on olennaista, jotta päätöksenteko perustuu laadukkaaseen tilanneanalyysiin ja ajantasaiseen tietoon. Tietoja työkonekannasta voidaan saada esimerkiksi kyselyillä.  </w:t>
      </w:r>
    </w:p>
    <w:p w14:paraId="52EB5216" w14:textId="77777777" w:rsidR="009F79BD" w:rsidRPr="005F4D87" w:rsidRDefault="009F79BD" w:rsidP="009F79BD">
      <w:pPr>
        <w:pStyle w:val="VNLeip1kappale"/>
        <w:rPr>
          <w:rFonts w:ascii="Segoe UI" w:hAnsi="Segoe UI" w:cs="Segoe UI"/>
          <w:sz w:val="18"/>
          <w:szCs w:val="18"/>
        </w:rPr>
      </w:pPr>
      <w:r w:rsidRPr="005F4D87">
        <w:t>Vuonna 2025 käyttöönotetun LIIKE-päästölaskentajärjestelmän työkoneiden päästöinventaariolaskennassa on kehittämistarpeita. Samoin skenaarioiden laskenta vaatii lisäkehitystyötä. Inventaarioiden ja skenaarioiden kehittäminen on tarpeen, jotta päästöjä vähentävien toimenpiteiden vaikuttavuus saadaan tarkemmin laskettua.  </w:t>
      </w:r>
    </w:p>
    <w:p w14:paraId="7055C7F1" w14:textId="77777777" w:rsidR="005F4D87" w:rsidRPr="005F4D87" w:rsidRDefault="005F4D87" w:rsidP="005F4D87">
      <w:pPr>
        <w:textAlignment w:val="baseline"/>
        <w:rPr>
          <w:rFonts w:ascii="Segoe UI" w:hAnsi="Segoe UI" w:cs="Segoe UI"/>
          <w:sz w:val="18"/>
          <w:szCs w:val="18"/>
        </w:rPr>
      </w:pPr>
      <w:r w:rsidRPr="005F4D87">
        <w:rPr>
          <w:rFonts w:cs="Arial"/>
          <w:b/>
          <w:bCs/>
          <w:sz w:val="22"/>
          <w:szCs w:val="22"/>
        </w:rPr>
        <w:t xml:space="preserve">Green </w:t>
      </w:r>
      <w:proofErr w:type="spellStart"/>
      <w:r w:rsidRPr="005F4D87">
        <w:rPr>
          <w:rFonts w:cs="Arial"/>
          <w:b/>
          <w:bCs/>
          <w:sz w:val="22"/>
          <w:szCs w:val="22"/>
        </w:rPr>
        <w:t>deal</w:t>
      </w:r>
      <w:proofErr w:type="spellEnd"/>
      <w:r w:rsidRPr="005F4D87">
        <w:rPr>
          <w:rFonts w:cs="Arial"/>
          <w:b/>
          <w:bCs/>
          <w:sz w:val="22"/>
          <w:szCs w:val="22"/>
        </w:rPr>
        <w:t xml:space="preserve"> -sopimukset ja niihin tehdyt sitoumukset</w:t>
      </w:r>
      <w:r w:rsidRPr="005F4D87">
        <w:rPr>
          <w:rFonts w:cs="Arial"/>
          <w:sz w:val="22"/>
          <w:szCs w:val="22"/>
        </w:rPr>
        <w:t> </w:t>
      </w:r>
    </w:p>
    <w:p w14:paraId="25E44CBB" w14:textId="3A958F0B" w:rsidR="005F4D87" w:rsidRPr="005F4D87" w:rsidRDefault="005F4D87" w:rsidP="0EBA5103">
      <w:pPr>
        <w:pStyle w:val="VNLeip1kappale"/>
        <w:rPr>
          <w:rFonts w:ascii="Segoe UI" w:hAnsi="Segoe UI" w:cs="Segoe UI"/>
          <w:sz w:val="18"/>
          <w:szCs w:val="18"/>
        </w:rPr>
      </w:pPr>
      <w:r w:rsidRPr="005F4D87">
        <w:t xml:space="preserve">Työkoneiden vähäpäästöisyyttä on edistetty </w:t>
      </w:r>
      <w:proofErr w:type="spellStart"/>
      <w:r w:rsidRPr="005F4D87">
        <w:t>green</w:t>
      </w:r>
      <w:proofErr w:type="spellEnd"/>
      <w:r w:rsidRPr="005F4D87">
        <w:t xml:space="preserve"> </w:t>
      </w:r>
      <w:proofErr w:type="spellStart"/>
      <w:r w:rsidRPr="005F4D87">
        <w:t>deal</w:t>
      </w:r>
      <w:proofErr w:type="spellEnd"/>
      <w:r w:rsidRPr="005F4D87">
        <w:t xml:space="preserve"> –sopimuksella Teknisen Kaupan Liiton kanssa vuosina 2019–2025. Sopimuksessa toimet ovat keskittyneet tiettyjen koneluokkien sähköistämiseen. Saavutetut tulokset valituissa työkoneluokissa osoittavat toimintamallin vaikuttavuutta, mutta myös kehitystarpeita. Valmistellaan sopimuksen jatkamista vuosille 2026–2030. Sopimuksen vaikuttavuutta on mahdollista kehittää työkoneluokkia lisäämällä ja korottamalla tavoitteiden kunnianhimon tasoa. Uudella sopimuskaudella erikseen seurattaviksi työkonetyypeiksi esitetään kaivinkoneita, maantiivistäjiä, vastapainotrukkeja, pyöräkuormaajia, nostimia, kurottajia ja maataloustraktoreita.  Green </w:t>
      </w:r>
      <w:proofErr w:type="spellStart"/>
      <w:r w:rsidRPr="005F4D87">
        <w:t>deal</w:t>
      </w:r>
      <w:proofErr w:type="spellEnd"/>
      <w:r w:rsidRPr="005F4D87">
        <w:t xml:space="preserve"> -sopimuksen yhtenä toimenpiteenä toteutetun </w:t>
      </w:r>
      <w:r w:rsidR="006C32E1">
        <w:t>V</w:t>
      </w:r>
      <w:r w:rsidRPr="005F4D87">
        <w:t xml:space="preserve">ähäpäästöiset työkoneet -koulutuskokonaisuuden laajentamista ja jatkokehittämistä edistetään myös </w:t>
      </w:r>
      <w:proofErr w:type="spellStart"/>
      <w:r w:rsidRPr="005F4D87">
        <w:t>green</w:t>
      </w:r>
      <w:proofErr w:type="spellEnd"/>
      <w:r w:rsidRPr="005F4D87">
        <w:t xml:space="preserve"> </w:t>
      </w:r>
      <w:proofErr w:type="spellStart"/>
      <w:r w:rsidRPr="005F4D87">
        <w:t>deal</w:t>
      </w:r>
      <w:proofErr w:type="spellEnd"/>
      <w:r w:rsidRPr="005F4D87">
        <w:t xml:space="preserve"> -sopimuksen toimeenpanon yhteydessä. </w:t>
      </w:r>
    </w:p>
    <w:p w14:paraId="4260763A" w14:textId="044AEE6A" w:rsidR="005F4D87" w:rsidRPr="005F4D87" w:rsidRDefault="005F4D87" w:rsidP="0EBA5103">
      <w:pPr>
        <w:pStyle w:val="VNLeip1kappale"/>
        <w:rPr>
          <w:rFonts w:ascii="Segoe UI" w:hAnsi="Segoe UI" w:cs="Segoe UI"/>
          <w:sz w:val="18"/>
          <w:szCs w:val="18"/>
        </w:rPr>
      </w:pPr>
      <w:r w:rsidRPr="005F4D87">
        <w:t xml:space="preserve">Lisäksi kehitetään yhteistyötä </w:t>
      </w:r>
      <w:r w:rsidR="002447AE">
        <w:t>P</w:t>
      </w:r>
      <w:r w:rsidRPr="005F4D87">
        <w:t xml:space="preserve">äästöttömien työmaiden </w:t>
      </w:r>
      <w:proofErr w:type="spellStart"/>
      <w:r w:rsidRPr="005F4D87">
        <w:t>green</w:t>
      </w:r>
      <w:proofErr w:type="spellEnd"/>
      <w:r w:rsidRPr="005F4D87">
        <w:t xml:space="preserve"> </w:t>
      </w:r>
      <w:proofErr w:type="spellStart"/>
      <w:r w:rsidRPr="005F4D87">
        <w:t>deal</w:t>
      </w:r>
      <w:proofErr w:type="spellEnd"/>
      <w:r w:rsidRPr="005F4D87">
        <w:t xml:space="preserve"> –sopimuksen kanssa (2020–2030), jossa sopimuskumppaneina ovat suurimmat julkisen sektorin uudis- ja korjaus- sekä infrarakentamisen hankintayksiköt. Yhteistyön keskiössä on vähäpäästöisyyttä edistävien kriteerien yhteiskehittäminen, markkinatilannetiedon sekä hankintayksiköiden tarpeiden välittäminen markkinavuoropuheluilla. </w:t>
      </w:r>
    </w:p>
    <w:p w14:paraId="0DAE7328" w14:textId="06C887F3" w:rsidR="005F4D87" w:rsidRPr="005F4D87" w:rsidRDefault="005F4D87" w:rsidP="005F4D87">
      <w:pPr>
        <w:textAlignment w:val="baseline"/>
        <w:rPr>
          <w:rFonts w:ascii="Segoe UI" w:hAnsi="Segoe UI" w:cs="Segoe UI"/>
          <w:sz w:val="18"/>
          <w:szCs w:val="18"/>
        </w:rPr>
      </w:pPr>
      <w:r w:rsidRPr="005F4D87">
        <w:rPr>
          <w:rFonts w:cs="Arial"/>
          <w:b/>
          <w:bCs/>
          <w:sz w:val="22"/>
          <w:szCs w:val="22"/>
        </w:rPr>
        <w:t>Työkonealan yhteistyöryhmän perustaminen ja tiekarttatyö</w:t>
      </w:r>
      <w:r w:rsidRPr="005F4D87">
        <w:rPr>
          <w:rFonts w:cs="Arial"/>
          <w:sz w:val="22"/>
          <w:szCs w:val="22"/>
        </w:rPr>
        <w:t> </w:t>
      </w:r>
    </w:p>
    <w:p w14:paraId="3F157383" w14:textId="52320FA9" w:rsidR="25E8E76D" w:rsidRDefault="005F4D87" w:rsidP="25E8E76D">
      <w:pPr>
        <w:pStyle w:val="VNLeip1kappale"/>
      </w:pPr>
      <w:r w:rsidRPr="005F4D87">
        <w:t>Työkonealalta puuttuu yhteinen, kokoava näkemys työkoneiden puhtaan siirtymän edistämisestä pitkäjänteisesti ja johdonmukaisesti. Työkonealan kehityksen kannalta olisi hyödyllistä perustaa alan yhteistyöryhmä, joka toimisi pitkäjänteisesti ja johdonmukaisesti sekä kokoaisi yhteen viranomaiset, viestiyritykset, tutkijat, asiantuntijat ja muut keskeiset toimijat. Työkonealan päästökehityksen vauhdittamiseksi yhteistyöryhmä laatisi alalle tiekartan, johon sisältyisi tavoitteet ja tarvittavat toimet. Tiekartta kattaisi kaikki päästöiltään suurimmat työkonetyypit ottaen huomioon myös niiden käyttöpaikkoihin ja vaihtoehtoisten käyttövoimien infrastruktuuriin liittyvät näkökohdat.  </w:t>
      </w:r>
    </w:p>
    <w:p w14:paraId="0C233EE9" w14:textId="25F1363D" w:rsidR="005F4D87" w:rsidRDefault="005F4D87" w:rsidP="00D32A40">
      <w:pPr>
        <w:pStyle w:val="Numeroimatonotsikko"/>
      </w:pPr>
      <w:r w:rsidRPr="005F4D87">
        <w:t>Politiikkatoimet</w:t>
      </w:r>
    </w:p>
    <w:p w14:paraId="1175BF84" w14:textId="77777777" w:rsidR="00605842" w:rsidRPr="005F4D87" w:rsidRDefault="00605842" w:rsidP="005F4D87">
      <w:pPr>
        <w:textAlignment w:val="baseline"/>
        <w:rPr>
          <w:rFonts w:ascii="Segoe UI" w:hAnsi="Segoe UI" w:cs="Segoe UI"/>
          <w:sz w:val="18"/>
          <w:szCs w:val="18"/>
        </w:rPr>
      </w:pPr>
    </w:p>
    <w:p w14:paraId="3F313940" w14:textId="77777777" w:rsidR="005F4D87" w:rsidRPr="005F4D87" w:rsidRDefault="005F4D87" w:rsidP="005F4D87">
      <w:pPr>
        <w:textAlignment w:val="baseline"/>
        <w:rPr>
          <w:rFonts w:ascii="Segoe UI" w:hAnsi="Segoe UI" w:cs="Segoe UI"/>
          <w:sz w:val="18"/>
          <w:szCs w:val="18"/>
        </w:rPr>
      </w:pPr>
      <w:r w:rsidRPr="005F4D87">
        <w:rPr>
          <w:rFonts w:cs="Arial"/>
          <w:b/>
          <w:bCs/>
          <w:sz w:val="22"/>
          <w:szCs w:val="22"/>
        </w:rPr>
        <w:t>Biopolttoöljyn jakeluvelvoitteen nosto</w:t>
      </w:r>
      <w:r w:rsidRPr="005F4D87">
        <w:rPr>
          <w:rFonts w:cs="Arial"/>
          <w:sz w:val="22"/>
          <w:szCs w:val="22"/>
        </w:rPr>
        <w:t> </w:t>
      </w:r>
    </w:p>
    <w:p w14:paraId="0EA607CE" w14:textId="3AC1B425" w:rsidR="00A10766" w:rsidRPr="003D1468" w:rsidRDefault="001A1734" w:rsidP="0EBA5103">
      <w:pPr>
        <w:pStyle w:val="VNLeip1kappale"/>
      </w:pPr>
      <w:r w:rsidRPr="003D1468">
        <w:t>Edellyttäen, että jakel</w:t>
      </w:r>
      <w:r w:rsidR="00A10766" w:rsidRPr="003D1468">
        <w:t>un</w:t>
      </w:r>
      <w:r w:rsidRPr="003D1468">
        <w:t xml:space="preserve"> päästökaupan (ETS2) yhteydessä sovitut kompensaatiot saadaan käyttöön</w:t>
      </w:r>
      <w:r w:rsidR="00506B0D">
        <w:t xml:space="preserve"> ja</w:t>
      </w:r>
      <w:r w:rsidR="00506B0D" w:rsidRPr="00506B0D">
        <w:t xml:space="preserve"> </w:t>
      </w:r>
      <w:r w:rsidR="00506B0D">
        <w:t>maatalouden osalta kompensaatiosta huolehditaan</w:t>
      </w:r>
      <w:r w:rsidRPr="003D1468">
        <w:t>, j</w:t>
      </w:r>
      <w:r w:rsidR="6955CBBC" w:rsidRPr="003D1468">
        <w:t xml:space="preserve">akeluvelvoite nostetaan vuodesta 2026 alkaen ensin </w:t>
      </w:r>
      <w:r w:rsidR="2E5699F7" w:rsidRPr="003D1468">
        <w:t xml:space="preserve">esim. </w:t>
      </w:r>
      <w:r w:rsidR="007C7A21" w:rsidRPr="003D1468">
        <w:t>yhdellä</w:t>
      </w:r>
      <w:r w:rsidR="6955CBBC" w:rsidRPr="003D1468">
        <w:t xml:space="preserve"> prosenttiyksiköllä vuodessa vuoteen 2028 ja sen jälkeen lineaarisesti </w:t>
      </w:r>
      <w:r w:rsidR="007C7A21" w:rsidRPr="003D1468">
        <w:t>15</w:t>
      </w:r>
      <w:r w:rsidR="6955CBBC" w:rsidRPr="003D1468">
        <w:t xml:space="preserve"> </w:t>
      </w:r>
      <w:proofErr w:type="gramStart"/>
      <w:r w:rsidR="6955CBBC" w:rsidRPr="003D1468">
        <w:t>%.n</w:t>
      </w:r>
      <w:proofErr w:type="gramEnd"/>
      <w:r w:rsidR="6955CBBC" w:rsidRPr="003D1468">
        <w:t xml:space="preserve"> tasolle vuonna 2030. </w:t>
      </w:r>
    </w:p>
    <w:p w14:paraId="6DCD4AEF" w14:textId="3987F9AC" w:rsidR="00DB7D7C" w:rsidRPr="003D1468" w:rsidRDefault="00DB7D7C" w:rsidP="0EBA5103">
      <w:pPr>
        <w:pStyle w:val="VNLeip1kappale"/>
      </w:pPr>
      <w:r w:rsidRPr="003D1468">
        <w:t>Päästövähennysvaikutus</w:t>
      </w:r>
      <w:r w:rsidR="2F4B3F8B" w:rsidRPr="003D1468">
        <w:t xml:space="preserve"> 0,</w:t>
      </w:r>
      <w:r w:rsidR="00D76051" w:rsidRPr="003D1468">
        <w:t>08</w:t>
      </w:r>
      <w:r w:rsidR="2F4B3F8B" w:rsidRPr="003D1468">
        <w:t xml:space="preserve"> Mt vuodessa vuonna 2030</w:t>
      </w:r>
    </w:p>
    <w:p w14:paraId="42C67161" w14:textId="20490785" w:rsidR="005F4D87" w:rsidRPr="005F4D87" w:rsidRDefault="005F4D87" w:rsidP="005F4D87">
      <w:pPr>
        <w:textAlignment w:val="baseline"/>
        <w:rPr>
          <w:rFonts w:ascii="Segoe UI" w:hAnsi="Segoe UI" w:cs="Segoe UI"/>
          <w:sz w:val="18"/>
          <w:szCs w:val="18"/>
        </w:rPr>
      </w:pPr>
      <w:r w:rsidRPr="005F4D87">
        <w:rPr>
          <w:rFonts w:cs="Arial"/>
          <w:b/>
          <w:bCs/>
          <w:sz w:val="22"/>
          <w:szCs w:val="22"/>
        </w:rPr>
        <w:t xml:space="preserve">Työkoneiden vähäpäästöisyyttä ja </w:t>
      </w:r>
      <w:r w:rsidR="00EC6105">
        <w:rPr>
          <w:rFonts w:cs="Arial"/>
          <w:b/>
          <w:bCs/>
          <w:sz w:val="22"/>
          <w:szCs w:val="22"/>
        </w:rPr>
        <w:t>vaihtoehtoisen jakelu</w:t>
      </w:r>
      <w:r w:rsidRPr="005F4D87">
        <w:rPr>
          <w:rFonts w:cs="Arial"/>
          <w:b/>
          <w:bCs/>
          <w:sz w:val="22"/>
          <w:szCs w:val="22"/>
        </w:rPr>
        <w:t xml:space="preserve">infran </w:t>
      </w:r>
      <w:r w:rsidR="00EC6105">
        <w:rPr>
          <w:rFonts w:cs="Arial"/>
          <w:b/>
          <w:bCs/>
          <w:sz w:val="22"/>
          <w:szCs w:val="22"/>
        </w:rPr>
        <w:t xml:space="preserve">yleistymistä </w:t>
      </w:r>
      <w:r w:rsidRPr="005F4D87">
        <w:rPr>
          <w:rFonts w:cs="Arial"/>
          <w:b/>
          <w:bCs/>
          <w:sz w:val="22"/>
          <w:szCs w:val="22"/>
        </w:rPr>
        <w:t>edistävien uusien teknologioiden ja ratkaisujen TKI-hanke</w:t>
      </w:r>
      <w:r w:rsidRPr="005F4D87">
        <w:rPr>
          <w:rFonts w:cs="Arial"/>
          <w:sz w:val="22"/>
          <w:szCs w:val="22"/>
        </w:rPr>
        <w:t> </w:t>
      </w:r>
    </w:p>
    <w:p w14:paraId="51F88163" w14:textId="77777777" w:rsidR="005F4D87" w:rsidRPr="005F4D87" w:rsidRDefault="005F4D87" w:rsidP="004D3CE2">
      <w:pPr>
        <w:pStyle w:val="VNLeip1kappale"/>
        <w:rPr>
          <w:rFonts w:ascii="Segoe UI" w:hAnsi="Segoe UI" w:cs="Segoe UI"/>
          <w:sz w:val="18"/>
          <w:szCs w:val="18"/>
        </w:rPr>
      </w:pPr>
      <w:r w:rsidRPr="005F4D87">
        <w:t>Tavoitteena on luoda TKI-hankkeen avulla edellytykset työkonesektorin merkittäville päästövähennyksille kustannustehokkaasti ja työkonealan kilpailukykyä ja vientiä edistäen.  </w:t>
      </w:r>
    </w:p>
    <w:p w14:paraId="2118DD53" w14:textId="42E40ED1" w:rsidR="005F4D87" w:rsidRPr="004D3CE2" w:rsidRDefault="005F4D87" w:rsidP="0EBA5103">
      <w:pPr>
        <w:rPr>
          <w:rFonts w:ascii="Segoe UI" w:hAnsi="Segoe UI" w:cs="Segoe UI"/>
          <w:b/>
          <w:sz w:val="22"/>
          <w:szCs w:val="22"/>
        </w:rPr>
      </w:pPr>
      <w:r w:rsidRPr="0EBA5103">
        <w:rPr>
          <w:b/>
          <w:sz w:val="22"/>
          <w:szCs w:val="22"/>
        </w:rPr>
        <w:t>Vähäpäästöisten työkoneiden ja polttoainetta säästävien työtapojen edistämisohjelma    </w:t>
      </w:r>
    </w:p>
    <w:p w14:paraId="51EF6AD4" w14:textId="77777777" w:rsidR="005F4D87" w:rsidRPr="005F4D87" w:rsidRDefault="005F4D87" w:rsidP="004D3CE2">
      <w:pPr>
        <w:pStyle w:val="VNLeip1kappale"/>
        <w:rPr>
          <w:rFonts w:ascii="Segoe UI" w:hAnsi="Segoe UI" w:cs="Segoe UI"/>
          <w:sz w:val="18"/>
          <w:szCs w:val="18"/>
        </w:rPr>
      </w:pPr>
      <w:r w:rsidRPr="005F4D87">
        <w:t>Laajennetaan ja kehitetään Vähäpäästöiset työkoneet -koulutuskokonaisuutta. Lisätään koulutuskokonaisuuteen uusia moduuleita, kuten maataloustraktorit ja kiinteistöhuolto. Uusien käyttäjäryhmien käytön mahdollistamiseksi käännetään koulutuskokonaisuus tarpeellisilta osin englanniksi. Levitetään tietoa koulutuksesta viestimällä siitä tehostetusti eri käyttäjäryhmille ja oppilaitoksille.  </w:t>
      </w:r>
    </w:p>
    <w:p w14:paraId="68E23143" w14:textId="72E2BAC9" w:rsidR="005F4D87" w:rsidRPr="005F4D87" w:rsidRDefault="005F4D87" w:rsidP="004B49B5">
      <w:pPr>
        <w:pStyle w:val="VNLeip1kappale"/>
        <w:rPr>
          <w:rFonts w:ascii="Segoe UI" w:hAnsi="Segoe UI" w:cs="Segoe UI"/>
          <w:sz w:val="18"/>
          <w:szCs w:val="18"/>
        </w:rPr>
      </w:pPr>
      <w:r w:rsidRPr="004B49B5">
        <w:t>Jatketaan vaikuttamista EU-tason toimiin</w:t>
      </w:r>
      <w:r w:rsidRPr="005F4D87">
        <w:t xml:space="preserve"> työkoneiden päästövähennyksien ja fossiilisista polttoaineista irtautumisen edistämiseksi alan kilpailukykyä edistäen</w:t>
      </w:r>
      <w:r w:rsidR="00490623">
        <w:t>.</w:t>
      </w:r>
      <w:r w:rsidRPr="005F4D87">
        <w:t xml:space="preserve"> </w:t>
      </w:r>
      <w:r w:rsidR="00FE4B0D">
        <w:t xml:space="preserve">Pyritään vaikuttamaan </w:t>
      </w:r>
      <w:proofErr w:type="spellStart"/>
      <w:r w:rsidRPr="005F4D87">
        <w:t>Stage</w:t>
      </w:r>
      <w:proofErr w:type="spellEnd"/>
      <w:r w:rsidRPr="005F4D87">
        <w:t>-asetuksen ((EU) 2016/1628) kehitykseen niin, että siihen sisällytettäisiin myös CO</w:t>
      </w:r>
      <w:r w:rsidRPr="005F4D87">
        <w:rPr>
          <w:sz w:val="17"/>
          <w:szCs w:val="17"/>
          <w:vertAlign w:val="subscript"/>
        </w:rPr>
        <w:t>2</w:t>
      </w:r>
      <w:r w:rsidRPr="005F4D87">
        <w:t>-päästöt</w:t>
      </w:r>
      <w:r>
        <w:t>.</w:t>
      </w:r>
      <w:r w:rsidRPr="005F4D87">
        <w:t> </w:t>
      </w:r>
    </w:p>
    <w:p w14:paraId="4888C6E8" w14:textId="77777777" w:rsidR="005F4D87" w:rsidRPr="005F4D87" w:rsidRDefault="005F4D87" w:rsidP="004B49B5">
      <w:pPr>
        <w:pStyle w:val="VNLeip1kappale"/>
        <w:rPr>
          <w:rFonts w:ascii="Segoe UI" w:hAnsi="Segoe UI" w:cs="Segoe UI"/>
          <w:sz w:val="18"/>
          <w:szCs w:val="18"/>
        </w:rPr>
      </w:pPr>
      <w:r w:rsidRPr="004B49B5">
        <w:t xml:space="preserve">Kehitetään LIIKE-päästölaskentajärjestelmän työkonekokonaisuuden inventaariopäästölaskennan laatua ja tarkkuutta. </w:t>
      </w:r>
      <w:r w:rsidRPr="005F4D87">
        <w:t>Kehitetään työkoneiden päästöskenaarioiden laskentaa ja politiikkatoimien vaikutusten arviointia. Toteutetaan kysely työkonekannan ominaisuus- ja käyttötietojen tarkentamiseksi.  </w:t>
      </w:r>
    </w:p>
    <w:p w14:paraId="78A17C4C" w14:textId="39B7BB4A" w:rsidR="005F4D87" w:rsidRPr="00417068" w:rsidRDefault="005F4D87" w:rsidP="0EBA5103">
      <w:pPr>
        <w:pStyle w:val="VNLeip1kappale"/>
        <w:textAlignment w:val="baseline"/>
        <w:rPr>
          <w:u w:val="single"/>
        </w:rPr>
      </w:pPr>
      <w:r w:rsidRPr="005F4D87">
        <w:t>Vähäpäästöisiä työkoneita edistävä</w:t>
      </w:r>
      <w:r w:rsidR="000D2BB9">
        <w:t>ä</w:t>
      </w:r>
      <w:r w:rsidRPr="005F4D87">
        <w:t xml:space="preserve"> </w:t>
      </w:r>
      <w:proofErr w:type="spellStart"/>
      <w:r w:rsidR="001B7E38">
        <w:t>g</w:t>
      </w:r>
      <w:r>
        <w:t>reen</w:t>
      </w:r>
      <w:proofErr w:type="spellEnd"/>
      <w:r w:rsidRPr="005F4D87">
        <w:t xml:space="preserve"> </w:t>
      </w:r>
      <w:proofErr w:type="spellStart"/>
      <w:r w:rsidRPr="005F4D87">
        <w:t>deal</w:t>
      </w:r>
      <w:proofErr w:type="spellEnd"/>
      <w:r w:rsidR="00A77AC9">
        <w:t xml:space="preserve"> </w:t>
      </w:r>
      <w:r w:rsidRPr="005F4D87">
        <w:t xml:space="preserve">-sopimusta jatketaan myös </w:t>
      </w:r>
      <w:r>
        <w:t>vuoden 2025 jälkeiselle ajalle</w:t>
      </w:r>
      <w:r w:rsidR="00B54E29">
        <w:t>. Sopimuksen sisältöä kehitetään.</w:t>
      </w:r>
    </w:p>
    <w:p w14:paraId="7CD57F6C" w14:textId="77777777" w:rsidR="00605842" w:rsidRPr="005F4D87" w:rsidRDefault="00605842" w:rsidP="005F4D87">
      <w:pPr>
        <w:textAlignment w:val="baseline"/>
        <w:rPr>
          <w:rFonts w:ascii="Segoe UI" w:hAnsi="Segoe UI" w:cs="Segoe UI"/>
          <w:sz w:val="18"/>
          <w:szCs w:val="18"/>
        </w:rPr>
      </w:pPr>
    </w:p>
    <w:p w14:paraId="5B92E08E" w14:textId="6BB4399F" w:rsidR="005F4D87" w:rsidRPr="005F4D87" w:rsidRDefault="005F4D87" w:rsidP="74212900">
      <w:pPr>
        <w:textAlignment w:val="baseline"/>
        <w:rPr>
          <w:rFonts w:cs="Arial"/>
          <w:sz w:val="22"/>
          <w:szCs w:val="22"/>
        </w:rPr>
      </w:pPr>
      <w:r w:rsidRPr="005F4D87">
        <w:rPr>
          <w:rFonts w:cs="Arial"/>
          <w:b/>
          <w:bCs/>
          <w:sz w:val="22"/>
          <w:szCs w:val="22"/>
        </w:rPr>
        <w:t>Työkoneiden politiikkatoimien vaikutus taakanjakosektorin päästöihin</w:t>
      </w:r>
      <w:r w:rsidR="25204BBC" w:rsidRPr="74212900">
        <w:rPr>
          <w:rFonts w:cs="Arial"/>
          <w:b/>
          <w:bCs/>
          <w:sz w:val="22"/>
          <w:szCs w:val="22"/>
        </w:rPr>
        <w:t xml:space="preserve"> on vähintään 0,</w:t>
      </w:r>
      <w:r w:rsidR="0097184E">
        <w:rPr>
          <w:rFonts w:cs="Arial"/>
          <w:b/>
          <w:bCs/>
          <w:sz w:val="22"/>
          <w:szCs w:val="22"/>
        </w:rPr>
        <w:t>13</w:t>
      </w:r>
      <w:r w:rsidR="25204BBC" w:rsidRPr="74212900">
        <w:rPr>
          <w:rFonts w:cs="Arial"/>
          <w:b/>
          <w:bCs/>
          <w:sz w:val="22"/>
          <w:szCs w:val="22"/>
        </w:rPr>
        <w:t xml:space="preserve"> Mt CO</w:t>
      </w:r>
      <w:r w:rsidR="25204BBC" w:rsidRPr="74212900">
        <w:rPr>
          <w:rFonts w:cs="Arial"/>
          <w:b/>
          <w:bCs/>
          <w:sz w:val="17"/>
          <w:szCs w:val="17"/>
          <w:vertAlign w:val="subscript"/>
        </w:rPr>
        <w:t>2</w:t>
      </w:r>
      <w:r w:rsidR="25204BBC" w:rsidRPr="74212900">
        <w:rPr>
          <w:rFonts w:cs="Arial"/>
          <w:b/>
          <w:bCs/>
          <w:sz w:val="22"/>
          <w:szCs w:val="22"/>
        </w:rPr>
        <w:t>-ekv. vuonna 2030</w:t>
      </w:r>
      <w:r w:rsidR="008D0F5E">
        <w:rPr>
          <w:rFonts w:cs="Arial"/>
          <w:b/>
          <w:bCs/>
          <w:sz w:val="22"/>
          <w:szCs w:val="22"/>
        </w:rPr>
        <w:t>.</w:t>
      </w:r>
      <w:r w:rsidR="25204BBC" w:rsidRPr="74212900">
        <w:rPr>
          <w:rFonts w:cs="Arial"/>
          <w:b/>
          <w:bCs/>
          <w:sz w:val="22"/>
          <w:szCs w:val="22"/>
        </w:rPr>
        <w:t xml:space="preserve"> </w:t>
      </w:r>
    </w:p>
    <w:p w14:paraId="662A7042" w14:textId="59CE5AEC" w:rsidR="005F4D87" w:rsidRPr="005F4D87" w:rsidRDefault="005F4D87" w:rsidP="005F4D87">
      <w:pPr>
        <w:textAlignment w:val="baseline"/>
        <w:rPr>
          <w:rFonts w:cs="Arial"/>
          <w:b/>
          <w:sz w:val="22"/>
          <w:szCs w:val="22"/>
        </w:rPr>
      </w:pPr>
    </w:p>
    <w:p w14:paraId="738C4266" w14:textId="77777777" w:rsidR="005F4D87" w:rsidRPr="005F4D87" w:rsidRDefault="005F4D87" w:rsidP="005F4D87">
      <w:pPr>
        <w:textAlignment w:val="baseline"/>
        <w:rPr>
          <w:rFonts w:ascii="Segoe UI" w:hAnsi="Segoe UI" w:cs="Segoe UI"/>
          <w:sz w:val="18"/>
          <w:szCs w:val="18"/>
        </w:rPr>
      </w:pPr>
      <w:r w:rsidRPr="005F4D87">
        <w:rPr>
          <w:rFonts w:cs="Arial"/>
          <w:sz w:val="22"/>
          <w:szCs w:val="22"/>
        </w:rPr>
        <w:t> </w:t>
      </w:r>
    </w:p>
    <w:p w14:paraId="66DC35C5" w14:textId="3D9BA410" w:rsidR="005F4D87" w:rsidRPr="005F4D87" w:rsidRDefault="005F4D87" w:rsidP="005F4D87">
      <w:pPr>
        <w:textAlignment w:val="baseline"/>
        <w:rPr>
          <w:rFonts w:ascii="Segoe UI" w:hAnsi="Segoe UI" w:cs="Segoe UI"/>
          <w:sz w:val="18"/>
          <w:szCs w:val="18"/>
        </w:rPr>
      </w:pPr>
    </w:p>
    <w:p w14:paraId="2907A401" w14:textId="0E490540" w:rsidR="005F4D87" w:rsidRPr="005F4D87" w:rsidRDefault="4A7D2E52" w:rsidP="1AAD4427">
      <w:pPr>
        <w:pStyle w:val="Otsikko3"/>
        <w:numPr>
          <w:ilvl w:val="0"/>
          <w:numId w:val="0"/>
        </w:numPr>
        <w:ind w:left="720"/>
      </w:pPr>
      <w:bookmarkStart w:id="125" w:name="_Toc202260058"/>
      <w:r>
        <w:t xml:space="preserve">6.2.4 </w:t>
      </w:r>
      <w:r w:rsidR="005F4D87">
        <w:t>Jät</w:t>
      </w:r>
      <w:r w:rsidR="008D0F5E">
        <w:t>teiden käsittely ja jätteenpoltto</w:t>
      </w:r>
      <w:bookmarkEnd w:id="125"/>
      <w:r w:rsidR="005F4D87">
        <w:t> </w:t>
      </w:r>
    </w:p>
    <w:p w14:paraId="252B813F" w14:textId="77777777" w:rsidR="005F4D87" w:rsidRPr="005F4D87" w:rsidRDefault="005F4D87" w:rsidP="00F31617">
      <w:pPr>
        <w:pStyle w:val="VNLeip1kappale"/>
        <w:rPr>
          <w:rFonts w:ascii="Segoe UI" w:hAnsi="Segoe UI" w:cs="Segoe UI"/>
          <w:sz w:val="18"/>
          <w:szCs w:val="18"/>
        </w:rPr>
      </w:pPr>
      <w:r w:rsidRPr="005F4D87">
        <w:t>Kaatopaikkojen merkitys jätehuollon kasvihuonekaasupäästölähteenä pienenee edelleen. Tähän vaikuttaa erityisesti vuonna 2016 voimaan tullut orgaanisen jätteen kaatopaikalle sijoittamisen rajoitus, jonka myötä kaatopaikalle sijoitetun orgaanisen jätteen määrä on vähentynyt merkittävästi. Kaatopaikkakaasun talteenottoaste kaatopaikoilla lisääntyy hieman, sillä tulevaisuudessa hieman suurempi osuus syntyvästä kaatopaikkakaasusta tulee kaatopaikoilta, joilla on kaasun talteenotto. Kuitenkin talteenoton määrät tulevat vähenemään, sillä biohajoavan jätteen kaatopaikkasijoituksen määrä on oleellisesti pienempi nyt kuin aiempina vuosikymmeninä ja tulee tulevaisuudessa vieläkin vähenemään. Uusia talteenottolaitoksia ei oleteta rakennettavan, sillä kaasua vapautuu useilta pieniltä kaatopaikoilta, eikä talteenottolaitosten rakentaminen niihin vaikuta kustannustehokkaalta päästövähennystoimelta. Asian arviointiin voi vaikuttaa se, ehdottaako Euroopan komissio päästökauppadirektiivin uudistuksen yhteydessä kaatopaikkojen ja jätteenpolton päästöjen sisällyttämistä EU:n päästökauppajärjestelmään. </w:t>
      </w:r>
    </w:p>
    <w:p w14:paraId="110A2149" w14:textId="77777777" w:rsidR="005F4D87" w:rsidRPr="005F4D87" w:rsidRDefault="005F4D87" w:rsidP="00F31617">
      <w:pPr>
        <w:pStyle w:val="VNLeip1kappale"/>
        <w:rPr>
          <w:rFonts w:ascii="Segoe UI" w:hAnsi="Segoe UI" w:cs="Segoe UI"/>
          <w:sz w:val="18"/>
          <w:szCs w:val="18"/>
        </w:rPr>
      </w:pPr>
      <w:r w:rsidRPr="005F4D87">
        <w:t>Kaatopaikkasijoituksen vähentymisen seurauksena jätteen energiahyödyntäminen on lisääntynyt huomattavasti viime vuosikymmenen aikana. Mikäli jätteenpoltto lisääntyy edelleen, kasvavat todennäköisesti myös siitä aiheutuvat kasvihuonekaasupäästöt jatkossakin. Jätteen tuonti Suomeen polttolaitoksille on viime vuosina kasvanut ja tuonninoletetaan jatkuvan. Tämä osaltaan kasvattaa tai pitää yllä jätteenpolton päästöjä Suomessa, vaikka kotimaista poltettavan jätteen määrää saataisiin vähennettyä lisäämällä jätteen kierrätystä ja vähentämällä syntyvän jätteen määrää.  </w:t>
      </w:r>
    </w:p>
    <w:p w14:paraId="4CABA75D" w14:textId="77777777" w:rsidR="005F4D87" w:rsidRPr="005F4D87" w:rsidRDefault="005F4D87" w:rsidP="00F31617">
      <w:pPr>
        <w:pStyle w:val="VNLeip1kappale"/>
        <w:rPr>
          <w:rFonts w:ascii="Segoe UI" w:hAnsi="Segoe UI" w:cs="Segoe UI"/>
          <w:sz w:val="18"/>
          <w:szCs w:val="18"/>
        </w:rPr>
      </w:pPr>
      <w:r w:rsidRPr="005F4D87">
        <w:t xml:space="preserve">Päästökauppadirektiivin mukaan komissio tulee tekemään vuonna 2026 arvion sekä mahdollisen lainsäädäntöehdotuksen yhdyskuntajätteen polton täysimääräisestä sisällyttämisestä päästökauppaan vuodesta 2028 alkaen, sisältäen vuoteen 2030 ulottuvan jäsenvaltioiden mahdollisuuden ns. </w:t>
      </w:r>
      <w:proofErr w:type="spellStart"/>
      <w:r w:rsidRPr="005F4D87">
        <w:t>opt</w:t>
      </w:r>
      <w:proofErr w:type="spellEnd"/>
      <w:r w:rsidRPr="005F4D87">
        <w:t>-out menettelyyn eli mahdollisuuteen päättää lykätä yhdyskuntajätteenpolttolaitosten täysimääräistä sisällyttämistä kuluvan päästökauppakauden loppuun saakka. Jätteenpolton mahdollisen sisällyttämiseen päästökauppaan liittyy kuitenkin edelleen epävarmuutta. </w:t>
      </w:r>
    </w:p>
    <w:p w14:paraId="70407D50" w14:textId="30A245B8" w:rsidR="005F4D87" w:rsidRPr="005F4D87" w:rsidRDefault="005F4D87" w:rsidP="00F31617">
      <w:pPr>
        <w:pStyle w:val="VNLeip1kappale"/>
        <w:rPr>
          <w:rFonts w:ascii="Segoe UI" w:hAnsi="Segoe UI" w:cs="Segoe UI"/>
          <w:sz w:val="18"/>
          <w:szCs w:val="18"/>
        </w:rPr>
      </w:pPr>
      <w:r w:rsidRPr="005F4D87">
        <w:t>Mahdollisia toimia jätteenpolton päästöjen vähentämiseksi on kansallisesti selvitetty muun muassa jätteenpoltolle asetettavan veron tai jätteenpolttoon kohdistuvan vapaaehtoisen sopimuksen osalta, mutta toistaiseksi näitä toimia ei ole toteutettu. Taloudellisen ohjauksen mahdollisuuksia on tarkoitus arvioida tarkemmin vuoden 2025 aikana. </w:t>
      </w:r>
    </w:p>
    <w:p w14:paraId="751460CB" w14:textId="45D19AA0" w:rsidR="005F4D87" w:rsidRPr="005F4D87" w:rsidRDefault="005F4D87" w:rsidP="00F31617">
      <w:pPr>
        <w:pStyle w:val="VNLeip1kappale"/>
        <w:rPr>
          <w:rFonts w:ascii="Segoe UI" w:hAnsi="Segoe UI" w:cs="Segoe UI"/>
          <w:sz w:val="18"/>
          <w:szCs w:val="18"/>
        </w:rPr>
      </w:pPr>
      <w:r w:rsidRPr="005F4D87">
        <w:t>Jätteenpolton päästöt saattavat vähentyä tulevaisuudessa, jos jätteenpolttolaitokset investoivat hiilidioksidin talteenottoon mitä moni laitos on ilmoittanut selvittävänsä. Jätteenpolttolaitosten mahdollinen sisällyttäminen päästökauppaan vähentäisi vastaavasti taakanjakosektorin hiilidioksidipäästöjä. Tämän suunnitelman politiikkaskenaarioon sisältyy yhden jätteenpolttolaitoksen osalta hiilidioksidipäästöjen talteenotto- ja varastointihankkeen toteutuminen vuoteen 2030 mennessä. Tämän politiikkatoimen päästövähennysvaikutus on arvioitu olevan n. 0,3 Mt CO</w:t>
      </w:r>
      <w:r w:rsidRPr="005F4D87">
        <w:rPr>
          <w:sz w:val="17"/>
          <w:szCs w:val="17"/>
          <w:vertAlign w:val="subscript"/>
        </w:rPr>
        <w:t>2</w:t>
      </w:r>
      <w:r w:rsidRPr="005F4D87">
        <w:t>/v.  </w:t>
      </w:r>
    </w:p>
    <w:p w14:paraId="29D239F8" w14:textId="77777777" w:rsidR="005F4D87" w:rsidRPr="005F4D87" w:rsidRDefault="005F4D87" w:rsidP="00F31617">
      <w:pPr>
        <w:pStyle w:val="VNLeip1kappale"/>
        <w:rPr>
          <w:rFonts w:ascii="Segoe UI" w:hAnsi="Segoe UI" w:cs="Segoe UI"/>
          <w:sz w:val="18"/>
          <w:szCs w:val="18"/>
        </w:rPr>
      </w:pPr>
      <w:r w:rsidRPr="005F4D87">
        <w:t>Jätelainsäädäntö uudistui vuonna 2021 ja uudistuksen tavoitteena on vähentää jätteen määrää ja lisätä uudelleenkäyttöä ja kierrätystä. Jätteen erilliskeräysvelvoitteet tiukentuivat ja näin ollen entistä enemmän yhdyskuntajätettä tulee ohjautumaan kierrätykseen jätteenpolton sijasta. Valtakunnallisen jätesuunnitelman päivityksellä pyritään enenevässä määrin jätteen synnyn ehkäisyyn ja yhdessä lainsäädännön muutosten kanssa kierrätysasteen nostamiseen. Nämä politiikkatoimet voivat vähentää jätesektorin kasvihuonekaasupäästöjä pidemmällä aikavälillä.  </w:t>
      </w:r>
    </w:p>
    <w:p w14:paraId="01069A11" w14:textId="643CA148" w:rsidR="005F4D87" w:rsidRPr="005F4D87" w:rsidRDefault="005F4D87" w:rsidP="00F31617">
      <w:pPr>
        <w:pStyle w:val="VNLeip1kappale"/>
        <w:rPr>
          <w:rFonts w:ascii="Segoe UI" w:hAnsi="Segoe UI" w:cs="Segoe UI"/>
          <w:sz w:val="18"/>
          <w:szCs w:val="18"/>
        </w:rPr>
      </w:pPr>
      <w:r w:rsidRPr="005F4D87">
        <w:t>Ympäristöministeriön kesäkuussa 2024 asettamassa työryhmässä valmistellaan uutta kiertotalouslakia, joka korvaisi jätelain. Kiertotalouslain valmistelun tavoitteena on mm. vahvistaa tuotteita ja jätteitä koskevan sääntelyn elinkaarinäkökulmaa sekä lisätä kiertotalousmarkkinaa edistävää ohjausta ja toimia materiaalikiertojen edistämiseksi. Kiertotalouslailla pyritään muun ohella edistämään kierrätystä ja vähentämään kierrätyskelpoisen jätteen polttamista. Toteutuessaan lakiuudistus voi tukea jätesektorin kasvihuonekaasupäästöjen vähentämistä, mutta päästövähennyksiä on vaikea ennalta arvioida. </w:t>
      </w:r>
    </w:p>
    <w:p w14:paraId="75512FC6" w14:textId="54AC4A92" w:rsidR="005F4D87" w:rsidRPr="005F4D87" w:rsidRDefault="005F4D87" w:rsidP="00F31617">
      <w:pPr>
        <w:pStyle w:val="VNLeip1kappale"/>
        <w:rPr>
          <w:rFonts w:ascii="Segoe UI" w:hAnsi="Segoe UI" w:cs="Segoe UI"/>
          <w:sz w:val="18"/>
          <w:szCs w:val="18"/>
        </w:rPr>
      </w:pPr>
      <w:r w:rsidRPr="005F4D87">
        <w:t xml:space="preserve">Jätevedenkäsittelyn </w:t>
      </w:r>
      <w:r w:rsidR="3EED76EB">
        <w:t>kasvihuonekaasu</w:t>
      </w:r>
      <w:r>
        <w:t>päästöt</w:t>
      </w:r>
      <w:r w:rsidRPr="005F4D87">
        <w:t xml:space="preserve"> tulevat vähenemään, kun uudistettu yhdyskuntajätevesidirektiivi (271/1991/ETY) pannaan täytäntöön kansallisesti kevääseen 2027 mennessä. Direktiivin on arvioitu vähentävän jätevesikäsittelyn kasvihuonekaasupäästöjä noin 40 %. </w:t>
      </w:r>
    </w:p>
    <w:p w14:paraId="46A2C893" w14:textId="77777777" w:rsidR="005F4D87" w:rsidRPr="005F4D87" w:rsidRDefault="005F4D87" w:rsidP="00F31617">
      <w:pPr>
        <w:pStyle w:val="VNLeip1kappale"/>
        <w:rPr>
          <w:rFonts w:ascii="Segoe UI" w:hAnsi="Segoe UI" w:cs="Segoe UI"/>
          <w:sz w:val="18"/>
          <w:szCs w:val="18"/>
        </w:rPr>
      </w:pPr>
      <w:r w:rsidRPr="005F4D87">
        <w:t>Jätevesisektorin tulee olla energianeutraali asteittain vuoteen 2045 mennessä (yli 10 000 asukasvastineluvun puhdistamot) ja energia-auditointeja vaaditaan jätevedenkäsittelyn energiataloudellisten ratkaisujen löytämiseksi. Muun muassa lietteestä tuotettavan biokaasun sekä jäteveden lämpöenergian hyödyntämisen lisääminen parantavat puhdistamoiden energiaomavaraisuutta. Direktiivi edellyttää myös jätevedenpuhdistamoilta vapautuvien kasvihuonekaasujen CO</w:t>
      </w:r>
      <w:r w:rsidRPr="005F4D87">
        <w:rPr>
          <w:sz w:val="17"/>
          <w:szCs w:val="17"/>
          <w:vertAlign w:val="subscript"/>
        </w:rPr>
        <w:t>2</w:t>
      </w:r>
      <w:r w:rsidRPr="005F4D87">
        <w:t>, N</w:t>
      </w:r>
      <w:r w:rsidRPr="005F4D87">
        <w:rPr>
          <w:sz w:val="17"/>
          <w:szCs w:val="17"/>
          <w:vertAlign w:val="subscript"/>
        </w:rPr>
        <w:t>2</w:t>
      </w:r>
      <w:r w:rsidRPr="005F4D87">
        <w:t>O ja CH</w:t>
      </w:r>
      <w:r w:rsidRPr="005F4D87">
        <w:rPr>
          <w:sz w:val="17"/>
          <w:szCs w:val="17"/>
          <w:vertAlign w:val="subscript"/>
        </w:rPr>
        <w:t>4</w:t>
      </w:r>
      <w:r w:rsidRPr="005F4D87">
        <w:t xml:space="preserve"> tarkkailua. Esimerkiksi jätevesien ravinteiden talteenotolla ja puhdistamoiden typenpoistoprosessin optimoinnilla voidaan vaikuttaa syntyviin kasvihuonekaasupäästöihin.  </w:t>
      </w:r>
    </w:p>
    <w:p w14:paraId="6DF58857" w14:textId="4803B87A" w:rsidR="005F4D87" w:rsidRPr="005F4D87" w:rsidRDefault="005F4D87" w:rsidP="00F31617">
      <w:pPr>
        <w:pStyle w:val="VNLeip1kappale"/>
        <w:rPr>
          <w:rFonts w:ascii="Segoe UI" w:hAnsi="Segoe UI" w:cs="Segoe UI"/>
          <w:sz w:val="18"/>
          <w:szCs w:val="18"/>
        </w:rPr>
      </w:pPr>
      <w:r w:rsidRPr="005F4D87">
        <w:t xml:space="preserve">Suomen ympäristökeskuksen johdolla valmistellaan parhaillaan kansallista vesihuollon vähähiilisyystiekarttaa, joka asettaa raamit valtakunnallisen tason päästövähennystoimille vesihuoltosektorilla. Tiekartassa määritetään keskeiset päästövähennystoimet, arvioidaan niiden vaikutus kasvihuonekaasupäästöihin sekä kustannukset yleisellä tasolla. Toimialan sitoutumista ja valtakunnallisen tiekartan jalkautusta edistetään </w:t>
      </w:r>
      <w:proofErr w:type="spellStart"/>
      <w:r w:rsidRPr="005F4D87">
        <w:t>osallistamalla</w:t>
      </w:r>
      <w:proofErr w:type="spellEnd"/>
      <w:r w:rsidRPr="005F4D87">
        <w:t xml:space="preserve"> vesihuoltolaitokset ja muut alan toimijat tiekarttatyön eri vaiheisiin. Tiekartan on määrä valmistua keväällä 2025.   </w:t>
      </w:r>
    </w:p>
    <w:p w14:paraId="0ECD4115" w14:textId="52F918E4" w:rsidR="0EBA5103" w:rsidRDefault="0EBA5103" w:rsidP="0EBA5103">
      <w:pPr>
        <w:pStyle w:val="VNLeip1kappale"/>
      </w:pPr>
    </w:p>
    <w:p w14:paraId="5D601E88" w14:textId="77777777" w:rsidR="007A4FAC" w:rsidRDefault="007A4FAC" w:rsidP="0EBA5103">
      <w:pPr>
        <w:pStyle w:val="VNLeip1kappale"/>
      </w:pPr>
    </w:p>
    <w:p w14:paraId="32F51C2E" w14:textId="77777777" w:rsidR="007A4FAC" w:rsidRDefault="007A4FAC" w:rsidP="0EBA5103">
      <w:pPr>
        <w:pStyle w:val="VNLeip1kappale"/>
      </w:pPr>
    </w:p>
    <w:p w14:paraId="7F7C62BE" w14:textId="77777777" w:rsidR="005F4D87" w:rsidRPr="005F4D87" w:rsidRDefault="005F4D87" w:rsidP="00500721">
      <w:pPr>
        <w:pStyle w:val="Numeroimatonotsikko"/>
        <w:rPr>
          <w:rFonts w:ascii="Segoe UI" w:hAnsi="Segoe UI" w:cs="Segoe UI"/>
          <w:sz w:val="18"/>
          <w:szCs w:val="18"/>
        </w:rPr>
      </w:pPr>
      <w:r w:rsidRPr="005F4D87">
        <w:t>Politiikkatoimet </w:t>
      </w:r>
    </w:p>
    <w:p w14:paraId="61E51E04" w14:textId="77777777" w:rsidR="005F4D87" w:rsidRPr="005F4D87" w:rsidRDefault="005F4D87" w:rsidP="00A26B09">
      <w:pPr>
        <w:pStyle w:val="VNLeip1kappale"/>
        <w:numPr>
          <w:ilvl w:val="0"/>
          <w:numId w:val="48"/>
        </w:numPr>
      </w:pPr>
      <w:r w:rsidRPr="005F4D87">
        <w:t>Kiertotalouslain valmistelussa selvitetään mahdollisuuksia muun ohella edistää kierrätystä ja vähentää kierrätyskelpoisen jätteen polttamista.  </w:t>
      </w:r>
    </w:p>
    <w:p w14:paraId="2DBD5732" w14:textId="77777777" w:rsidR="005F4D87" w:rsidRPr="005F4D87" w:rsidRDefault="005F4D87" w:rsidP="00A26B09">
      <w:pPr>
        <w:pStyle w:val="VNLeip1kappale"/>
        <w:numPr>
          <w:ilvl w:val="0"/>
          <w:numId w:val="48"/>
        </w:numPr>
      </w:pPr>
      <w:r w:rsidRPr="005F4D87">
        <w:t>Jätteenpolttolaitosten sisällyttäminen päästökauppaan; Suomi vaikuttaa aktiivisesti siihen, että jätteenpolttolaitokset sisällytetään EU:ssa päästökauppaan voimassa olevan päästökauppadirektiivin mukaisesti. </w:t>
      </w:r>
    </w:p>
    <w:p w14:paraId="53C6E78A" w14:textId="63E71C6A" w:rsidR="005F4D87" w:rsidRPr="005F4D87" w:rsidRDefault="1A0FAD38" w:rsidP="00A26B09">
      <w:pPr>
        <w:pStyle w:val="VNLeip1kappale"/>
        <w:numPr>
          <w:ilvl w:val="0"/>
          <w:numId w:val="48"/>
        </w:numPr>
      </w:pPr>
      <w:r>
        <w:t>Puhtaan energian Suomen kärkihankkeiden tuki hiilidioksidin talteenotolle. Tuki</w:t>
      </w:r>
      <w:r w:rsidR="00E02087">
        <w:t xml:space="preserve"> soveltuu myös jätteenpolton bioperäiseen osuuteen</w:t>
      </w:r>
      <w:r w:rsidR="17F2DB67">
        <w:t>.</w:t>
      </w:r>
      <w:r w:rsidR="00E02087">
        <w:t xml:space="preserve"> </w:t>
      </w:r>
      <w:r w:rsidR="00E02087" w:rsidDel="005F4D87">
        <w:t xml:space="preserve">Tuetaan ainakin yhden </w:t>
      </w:r>
      <w:r w:rsidR="005F4D87">
        <w:t>jätteenpolttolaitoksen hiilidioksidipäästöjen CCS- tai CCU-hanke</w:t>
      </w:r>
      <w:r w:rsidR="00E02087" w:rsidDel="005F4D87">
        <w:t>tta</w:t>
      </w:r>
      <w:r w:rsidR="005F4D87">
        <w:t>.  </w:t>
      </w:r>
      <w:r w:rsidR="3C8A40ED">
        <w:t xml:space="preserve">Arvioitu päästövähennysvaikutus on 0,3 Mt vuonna 2030. </w:t>
      </w:r>
    </w:p>
    <w:p w14:paraId="10AD72D3" w14:textId="754738B8" w:rsidR="005F4D87" w:rsidRPr="005F4D87" w:rsidRDefault="005F4D87" w:rsidP="00A26B09">
      <w:pPr>
        <w:pStyle w:val="VNLeip1kappale"/>
        <w:numPr>
          <w:ilvl w:val="0"/>
          <w:numId w:val="48"/>
        </w:numPr>
      </w:pPr>
      <w:r>
        <w:t xml:space="preserve">Selvitetään taloudellisia ohjauskeinoja jätteenpolttoon liittyen osana keväällä 2025 käynnistynyttä </w:t>
      </w:r>
      <w:proofErr w:type="spellStart"/>
      <w:r w:rsidR="008A0B62">
        <w:t>Syken</w:t>
      </w:r>
      <w:proofErr w:type="spellEnd"/>
      <w:r>
        <w:t xml:space="preserve"> toteuttamaa tutkimushanketta. </w:t>
      </w:r>
    </w:p>
    <w:p w14:paraId="72718EFB" w14:textId="348D44A9" w:rsidR="563BDE81" w:rsidRDefault="49074425" w:rsidP="5124B464">
      <w:pPr>
        <w:pStyle w:val="VNLeip1kappale"/>
        <w:numPr>
          <w:ilvl w:val="0"/>
          <w:numId w:val="48"/>
        </w:numPr>
      </w:pPr>
      <w:r>
        <w:t>Keväällä 2025 h</w:t>
      </w:r>
      <w:r w:rsidR="563BDE81">
        <w:t>allituksen p</w:t>
      </w:r>
      <w:r w:rsidR="35BF0CB0">
        <w:t xml:space="preserve">uoliväliriihessä sovittu jäteveron veropohjan laajentaminen saattaa myös vähentää jätesektorin kasvihuonekaasupäästöjä. </w:t>
      </w:r>
    </w:p>
    <w:p w14:paraId="691ACC63" w14:textId="77777777" w:rsidR="005F4D87" w:rsidRPr="005F4D87" w:rsidRDefault="005F4D87" w:rsidP="00A26B09">
      <w:pPr>
        <w:pStyle w:val="VNLeip1kappale"/>
        <w:numPr>
          <w:ilvl w:val="0"/>
          <w:numId w:val="48"/>
        </w:numPr>
      </w:pPr>
      <w:r w:rsidRPr="005F4D87">
        <w:t>Valmistellaan vesihuoltolaitosten valtakunnallinen vähähiilisyystiekartta </w:t>
      </w:r>
    </w:p>
    <w:p w14:paraId="06987E4A" w14:textId="7F760C4D" w:rsidR="003E29F8" w:rsidRDefault="005F4D87" w:rsidP="003E29F8">
      <w:pPr>
        <w:pStyle w:val="VNLeip1kappale"/>
        <w:rPr>
          <w:b/>
          <w:bCs/>
        </w:rPr>
      </w:pPr>
      <w:r w:rsidRPr="5124B464">
        <w:rPr>
          <w:b/>
          <w:bCs/>
        </w:rPr>
        <w:t xml:space="preserve">Jätehuollon </w:t>
      </w:r>
      <w:r w:rsidR="007A4FAC">
        <w:rPr>
          <w:b/>
          <w:bCs/>
        </w:rPr>
        <w:t>ja jätteidenpolton</w:t>
      </w:r>
      <w:r w:rsidRPr="5124B464">
        <w:rPr>
          <w:b/>
          <w:bCs/>
        </w:rPr>
        <w:t xml:space="preserve"> politiikkatoimien vaikutus taakanjakosektorin kasvihuonekaasupäästöihin vuonna 2030 on vähintään 0,3 Mt</w:t>
      </w:r>
      <w:r w:rsidR="0CDD335C" w:rsidRPr="5124B464">
        <w:rPr>
          <w:b/>
          <w:bCs/>
        </w:rPr>
        <w:t xml:space="preserve"> CO</w:t>
      </w:r>
      <w:r w:rsidR="0CDD335C" w:rsidRPr="2C46F1ED">
        <w:rPr>
          <w:b/>
          <w:vertAlign w:val="subscript"/>
        </w:rPr>
        <w:t>2</w:t>
      </w:r>
      <w:r w:rsidR="0CDD335C" w:rsidRPr="5124B464">
        <w:rPr>
          <w:b/>
          <w:bCs/>
        </w:rPr>
        <w:t>-ekv.</w:t>
      </w:r>
    </w:p>
    <w:p w14:paraId="06D36BF7" w14:textId="7A26BFD5" w:rsidR="004B57AF" w:rsidRDefault="0CDD335C" w:rsidP="005C010B">
      <w:pPr>
        <w:pStyle w:val="VNLeip1kappale"/>
        <w:rPr>
          <w:b/>
        </w:rPr>
      </w:pPr>
      <w:r w:rsidRPr="74212900">
        <w:rPr>
          <w:b/>
        </w:rPr>
        <w:t xml:space="preserve"> </w:t>
      </w:r>
    </w:p>
    <w:p w14:paraId="4B50A8F9" w14:textId="77777777" w:rsidR="007A4FAC" w:rsidRDefault="007A4FAC" w:rsidP="005C010B">
      <w:pPr>
        <w:pStyle w:val="VNLeip1kappale"/>
        <w:rPr>
          <w:b/>
        </w:rPr>
      </w:pPr>
    </w:p>
    <w:p w14:paraId="5597A7AA" w14:textId="77777777" w:rsidR="007A4FAC" w:rsidRDefault="007A4FAC" w:rsidP="005C010B">
      <w:pPr>
        <w:pStyle w:val="VNLeip1kappale"/>
        <w:rPr>
          <w:rFonts w:cs="Arial"/>
          <w:szCs w:val="22"/>
        </w:rPr>
      </w:pPr>
    </w:p>
    <w:p w14:paraId="14056210" w14:textId="78B0960D" w:rsidR="005F4D87" w:rsidRPr="004B57AF" w:rsidRDefault="1E315DF6" w:rsidP="0EBA5103">
      <w:pPr>
        <w:pStyle w:val="Otsikko3"/>
        <w:numPr>
          <w:ilvl w:val="0"/>
          <w:numId w:val="0"/>
        </w:numPr>
        <w:ind w:left="720"/>
        <w:rPr>
          <w:rFonts w:ascii="Segoe UI" w:hAnsi="Segoe UI" w:cs="Segoe UI"/>
          <w:color w:val="365ABD" w:themeColor="accent3"/>
        </w:rPr>
      </w:pPr>
      <w:bookmarkStart w:id="126" w:name="_Toc202260059"/>
      <w:r>
        <w:t xml:space="preserve">6.2.6 </w:t>
      </w:r>
      <w:r w:rsidR="005F4D87" w:rsidRPr="001C45EA">
        <w:t>F-kaasut</w:t>
      </w:r>
      <w:bookmarkEnd w:id="126"/>
      <w:r w:rsidR="005F4D87">
        <w:t> </w:t>
      </w:r>
    </w:p>
    <w:p w14:paraId="2D8FAC3F" w14:textId="77777777" w:rsidR="005F4D87" w:rsidRPr="005F4D87" w:rsidRDefault="005F4D87" w:rsidP="001C45EA">
      <w:pPr>
        <w:pStyle w:val="VNLeip1kappale"/>
        <w:rPr>
          <w:rFonts w:ascii="Segoe UI" w:hAnsi="Segoe UI" w:cs="Segoe UI"/>
          <w:sz w:val="18"/>
          <w:szCs w:val="18"/>
        </w:rPr>
      </w:pPr>
      <w:r w:rsidRPr="005F4D87">
        <w:t>Fluorattuja kasvihuonekaasuja koskeva sääntely ohjaa päästökehitystä voimakkaasti alaspäin jo nykytoimiskenaariossa. Informaatio- ja normiohjauksen avulla on kuitenkin mahdollista saavuttaa pientä lisäpäästövähenemää. Käytännössä kyse on toimista, joilla nopeutetaan siirtymää luonnollisiin kylmäaineisiin sekä edistetään kylmäaineiden elinkaaren hallintaa. </w:t>
      </w:r>
    </w:p>
    <w:p w14:paraId="7BCFBBB5" w14:textId="2EE438AF" w:rsidR="005F4D87" w:rsidRPr="005F4D87" w:rsidRDefault="00500721" w:rsidP="00500721">
      <w:pPr>
        <w:pStyle w:val="Numeroimatonotsikko"/>
        <w:rPr>
          <w:rFonts w:ascii="Segoe UI" w:hAnsi="Segoe UI" w:cs="Segoe UI"/>
          <w:sz w:val="18"/>
          <w:szCs w:val="18"/>
        </w:rPr>
      </w:pPr>
      <w:r w:rsidRPr="005F4D87">
        <w:t>Politiikkatoimet</w:t>
      </w:r>
    </w:p>
    <w:p w14:paraId="6B611240" w14:textId="2EF0EFFA" w:rsidR="005F4D87" w:rsidRPr="005F4D87" w:rsidRDefault="006A6473" w:rsidP="00A26B09">
      <w:pPr>
        <w:pStyle w:val="VNLeip1kappale"/>
        <w:numPr>
          <w:ilvl w:val="0"/>
          <w:numId w:val="48"/>
        </w:numPr>
      </w:pPr>
      <w:r>
        <w:t>K</w:t>
      </w:r>
      <w:r w:rsidR="005F4D87" w:rsidRPr="1A881142">
        <w:t>estävien julkisten hankintojen kriteer</w:t>
      </w:r>
      <w:r>
        <w:t>ien</w:t>
      </w:r>
      <w:r w:rsidR="005F4D87" w:rsidRPr="1A881142">
        <w:t xml:space="preserve"> päivity</w:t>
      </w:r>
      <w:r>
        <w:t>s</w:t>
      </w:r>
      <w:r w:rsidR="005F4D87" w:rsidRPr="1A881142">
        <w:t xml:space="preserve"> ympäristöystävällisempien kylmä-, ilmastointi- ja lämpöpumppulaitteiden käytön edistämiseksi. </w:t>
      </w:r>
      <w:r w:rsidR="00BD5E09">
        <w:t>(Syke toteuttaa 2026</w:t>
      </w:r>
      <w:r w:rsidR="4B7246E4">
        <w:t>–</w:t>
      </w:r>
      <w:r w:rsidR="00BD5E09">
        <w:t>2027, jos rahoitusta)</w:t>
      </w:r>
    </w:p>
    <w:p w14:paraId="06061910" w14:textId="77777777" w:rsidR="005F4D87" w:rsidRPr="005F4D87" w:rsidRDefault="005F4D87" w:rsidP="00A26B09">
      <w:pPr>
        <w:pStyle w:val="VNLeip1kappale"/>
        <w:numPr>
          <w:ilvl w:val="0"/>
          <w:numId w:val="48"/>
        </w:numPr>
      </w:pPr>
      <w:r w:rsidRPr="005F4D87">
        <w:t>Edistetään talotekniikkaan ja rakennusmääräyksiin liittyvien normistojen ja standardien yhtenäistämistä luonnolliset kylmäaineet mahdollistavaan suuntaan, kuitenkin siten, että turvallisuusnäkökohdat otetaan huomioon. </w:t>
      </w:r>
    </w:p>
    <w:p w14:paraId="32FC3F5F" w14:textId="0424FC73" w:rsidR="005F4D87" w:rsidRPr="005F4D87" w:rsidRDefault="005F4D87" w:rsidP="00A26B09">
      <w:pPr>
        <w:pStyle w:val="VNLeip1kappale"/>
        <w:numPr>
          <w:ilvl w:val="0"/>
          <w:numId w:val="48"/>
        </w:numPr>
      </w:pPr>
      <w:r w:rsidRPr="1A881142">
        <w:t>Laaditaan raport</w:t>
      </w:r>
      <w:r w:rsidR="00224704">
        <w:t>t</w:t>
      </w:r>
      <w:r w:rsidRPr="1A881142">
        <w:t xml:space="preserve">i kylmäaineiden elinkaarisen hallinnan kansalliseksi suunnitelmaksi. Sen avulla </w:t>
      </w:r>
      <w:r>
        <w:t>jalkaut</w:t>
      </w:r>
      <w:r w:rsidR="006A6473">
        <w:t>etaan</w:t>
      </w:r>
      <w:r w:rsidR="2C7E02D5">
        <w:t xml:space="preserve"> </w:t>
      </w:r>
      <w:r>
        <w:t>kiertotalousajattelua</w:t>
      </w:r>
      <w:r w:rsidRPr="1A881142">
        <w:t xml:space="preserve"> kylmäaineisiin ja edistää edellytyksiä suomalaisen alan kiertotalousliiketoiminnan viennin edistämiselle. </w:t>
      </w:r>
      <w:r w:rsidR="006A6473">
        <w:t>(Syke 2026</w:t>
      </w:r>
      <w:r w:rsidR="056C8FE3">
        <w:t>–</w:t>
      </w:r>
      <w:r w:rsidR="006A6473">
        <w:t>2028, jos rahoitusta)</w:t>
      </w:r>
    </w:p>
    <w:p w14:paraId="2B80B2F8" w14:textId="46E5C351" w:rsidR="005F4D87" w:rsidRPr="005F4D87" w:rsidRDefault="283132A2" w:rsidP="0EBA5103">
      <w:pPr>
        <w:pStyle w:val="VNLeip1kappale"/>
        <w:rPr>
          <w:rFonts w:ascii="Segoe UI" w:hAnsi="Segoe UI" w:cs="Segoe UI"/>
          <w:sz w:val="18"/>
          <w:szCs w:val="18"/>
        </w:rPr>
      </w:pPr>
      <w:r>
        <w:t>F-kaasuja koskeva n</w:t>
      </w:r>
      <w:r w:rsidR="005F4D87">
        <w:t>ykytoimiskenaario</w:t>
      </w:r>
      <w:r w:rsidR="005F4D87" w:rsidRPr="005F4D87">
        <w:t xml:space="preserve"> ja politiikkaskenaarion mukaiset päästöt ovat hyvin lähellä toisiaan, koska valtaosa päästövähennyksestä aiheutuu suoraan </w:t>
      </w:r>
      <w:r w:rsidR="198719A3">
        <w:t xml:space="preserve">EU:n </w:t>
      </w:r>
      <w:r w:rsidR="005F4D87" w:rsidRPr="005F4D87">
        <w:t>F-kaasuasetuksen mukaisista toimista. Edellä mainituilla toimilla on mahdollista saavuttaa pientä lisäpäästövähenemää verrattuna nykytoimiskenaarioon 2030-luvun aikana ja siitä eteenpäin. Vuonna 2040 politiikkaskenaarion mukaiset F-kaasupäästöt ovat 0,095 miljoonaa hiilidioksidiekvivalenttitonnia, jolloin ne ovat pienentyneet 87 % verrattuna vuoden 2023 tasoon.</w:t>
      </w:r>
    </w:p>
    <w:p w14:paraId="12180112" w14:textId="0430E295" w:rsidR="005F4D87" w:rsidRPr="005F4D87" w:rsidRDefault="64A997A8" w:rsidP="0EBA5103">
      <w:pPr>
        <w:pStyle w:val="VNLeip1kappale"/>
        <w:rPr>
          <w:b/>
        </w:rPr>
      </w:pPr>
      <w:r w:rsidRPr="74212900">
        <w:rPr>
          <w:b/>
        </w:rPr>
        <w:t xml:space="preserve">Lisätoimet eivät vaikuta F-kaasujen päästökehitykseen vuonna 2030 vaan vaikutukset näkyvät vasta tämän jälkeen. </w:t>
      </w:r>
      <w:r w:rsidR="005F4D87" w:rsidRPr="74212900">
        <w:rPr>
          <w:b/>
        </w:rPr>
        <w:t>  </w:t>
      </w:r>
    </w:p>
    <w:p w14:paraId="3DEDD60C" w14:textId="131B7101" w:rsidR="005F4D87" w:rsidRDefault="4374AFDF" w:rsidP="0EBA5103">
      <w:pPr>
        <w:pStyle w:val="Otsikko3"/>
        <w:numPr>
          <w:ilvl w:val="0"/>
          <w:numId w:val="0"/>
        </w:numPr>
        <w:ind w:left="720"/>
      </w:pPr>
      <w:bookmarkStart w:id="127" w:name="_Toc202260060"/>
      <w:r>
        <w:t>6.2.7</w:t>
      </w:r>
      <w:r w:rsidR="28AAFB3C">
        <w:t xml:space="preserve"> </w:t>
      </w:r>
      <w:r w:rsidR="005F4D87">
        <w:t>Teollisuus</w:t>
      </w:r>
      <w:bookmarkEnd w:id="127"/>
      <w:r w:rsidR="005F4D87">
        <w:t>  </w:t>
      </w:r>
    </w:p>
    <w:p w14:paraId="227912A8" w14:textId="23A840C2" w:rsidR="00EC2425" w:rsidRDefault="0060150E" w:rsidP="00EA3FDE">
      <w:pPr>
        <w:pStyle w:val="VNLeip1kappale"/>
        <w:rPr>
          <w:highlight w:val="yellow"/>
        </w:rPr>
      </w:pPr>
      <w:r w:rsidRPr="00EA3FDE">
        <w:t xml:space="preserve">Teollisuutta koskevat kasvihuonekaasupäästöjä vähentävät politiikkatoimet ovat taakanjakosektorilla pitkälti samat kuin päästökauppasektorilla. Uusia toimia linjataan energia- ja ilmastostrategiassa sekä vuoden 2024 lopussa valmistuneessa teollisuuspoliittisessa strategiassa. Näistä sellaiset, joilla on päästöjä vähentävä </w:t>
      </w:r>
      <w:r w:rsidR="00E90F72" w:rsidRPr="00E90F72">
        <w:t xml:space="preserve">tai rajoittava </w:t>
      </w:r>
      <w:r w:rsidRPr="00EA3FDE">
        <w:t>vaikutus taakanjakosektorilla</w:t>
      </w:r>
      <w:r w:rsidR="003B2882">
        <w:t>,</w:t>
      </w:r>
      <w:r w:rsidRPr="00EA3FDE">
        <w:t xml:space="preserve"> sisältyvät </w:t>
      </w:r>
      <w:r w:rsidRPr="00816E01">
        <w:t>keskipitkän aikavälin ilmastosuunnitelman toimenpideohjelmaan ja referoidaan alla.</w:t>
      </w:r>
      <w:r w:rsidR="005D7FEA" w:rsidRPr="00816E01">
        <w:t xml:space="preserve"> Lisäksi </w:t>
      </w:r>
      <w:r w:rsidR="00430A75" w:rsidRPr="00816E01">
        <w:t>luvuissa</w:t>
      </w:r>
      <w:r w:rsidR="007F424E" w:rsidRPr="00816E01">
        <w:t xml:space="preserve"> </w:t>
      </w:r>
      <w:r w:rsidR="008678FA" w:rsidRPr="00816E01">
        <w:fldChar w:fldCharType="begin"/>
      </w:r>
      <w:r w:rsidR="008678FA" w:rsidRPr="00816E01">
        <w:instrText xml:space="preserve"> REF _Ref198206093 \r \h </w:instrText>
      </w:r>
      <w:r w:rsidR="00EA3FDE" w:rsidRPr="00816E01">
        <w:instrText xml:space="preserve"> \* MERGEFORMAT </w:instrText>
      </w:r>
      <w:r w:rsidR="008678FA" w:rsidRPr="00816E01">
        <w:fldChar w:fldCharType="separate"/>
      </w:r>
      <w:r w:rsidR="008678FA" w:rsidRPr="00816E01">
        <w:t>6.2.3</w:t>
      </w:r>
      <w:r w:rsidR="008678FA" w:rsidRPr="00816E01">
        <w:fldChar w:fldCharType="end"/>
      </w:r>
      <w:r w:rsidR="00722F4D" w:rsidRPr="00816E01">
        <w:t xml:space="preserve"> ja </w:t>
      </w:r>
      <w:r w:rsidR="00722F4D" w:rsidRPr="00816E01">
        <w:fldChar w:fldCharType="begin"/>
      </w:r>
      <w:r w:rsidR="00722F4D" w:rsidRPr="00816E01">
        <w:instrText xml:space="preserve"> REF _Ref198206108 \r \h </w:instrText>
      </w:r>
      <w:r w:rsidR="00EA3FDE" w:rsidRPr="00816E01">
        <w:instrText xml:space="preserve"> \* MERGEFORMAT </w:instrText>
      </w:r>
      <w:r w:rsidR="00722F4D" w:rsidRPr="00816E01">
        <w:fldChar w:fldCharType="separate"/>
      </w:r>
      <w:r w:rsidR="00722F4D" w:rsidRPr="00816E01">
        <w:t>6.2.4</w:t>
      </w:r>
      <w:r w:rsidR="00722F4D" w:rsidRPr="00816E01">
        <w:fldChar w:fldCharType="end"/>
      </w:r>
      <w:r w:rsidR="00722F4D" w:rsidRPr="00816E01">
        <w:t xml:space="preserve"> esitetty</w:t>
      </w:r>
      <w:r w:rsidR="002C039A" w:rsidRPr="00816E01">
        <w:t xml:space="preserve"> toimi</w:t>
      </w:r>
      <w:r w:rsidR="00522250" w:rsidRPr="00816E01">
        <w:t xml:space="preserve"> </w:t>
      </w:r>
      <w:r w:rsidR="005D7FEA" w:rsidRPr="00816E01">
        <w:t>kevyen polttoöljyn bio-osuu</w:t>
      </w:r>
      <w:r w:rsidR="00522250" w:rsidRPr="00816E01">
        <w:t>den nostamisesta</w:t>
      </w:r>
      <w:r w:rsidR="005D7FEA" w:rsidRPr="00816E01">
        <w:t xml:space="preserve"> </w:t>
      </w:r>
      <w:r w:rsidR="00B92A85" w:rsidRPr="00816E01">
        <w:t>15</w:t>
      </w:r>
      <w:r w:rsidR="005D7FEA" w:rsidRPr="00816E01">
        <w:t xml:space="preserve"> %</w:t>
      </w:r>
      <w:r w:rsidR="00522250" w:rsidRPr="00816E01">
        <w:t>:iin</w:t>
      </w:r>
      <w:r w:rsidR="005D7FEA" w:rsidRPr="00816E01">
        <w:t xml:space="preserve"> vuoteen 2030 mennessä</w:t>
      </w:r>
      <w:r w:rsidR="005571CA" w:rsidRPr="00816E01">
        <w:t xml:space="preserve"> </w:t>
      </w:r>
      <w:r w:rsidR="002D0D59" w:rsidRPr="00816E01">
        <w:t>kosk</w:t>
      </w:r>
      <w:r w:rsidR="00CA4C08" w:rsidRPr="00816E01">
        <w:t xml:space="preserve">isi käytännössä myös </w:t>
      </w:r>
      <w:r w:rsidR="008A7FCE" w:rsidRPr="00816E01">
        <w:t xml:space="preserve">osaa </w:t>
      </w:r>
      <w:r w:rsidR="00CA4C08" w:rsidRPr="00816E01">
        <w:t>teollisuutta</w:t>
      </w:r>
      <w:r w:rsidR="00373CAF" w:rsidRPr="00816E01">
        <w:t>.</w:t>
      </w:r>
    </w:p>
    <w:p w14:paraId="739B9025" w14:textId="25049C5E" w:rsidR="00E55909" w:rsidRDefault="0060150E" w:rsidP="00816E01">
      <w:pPr>
        <w:pStyle w:val="Numeroimatonotsikko"/>
      </w:pPr>
      <w:r>
        <w:t>Politiikka</w:t>
      </w:r>
      <w:r w:rsidR="4CBCA1C0">
        <w:t>toimet</w:t>
      </w:r>
      <w:r w:rsidR="008C77F5">
        <w:tab/>
      </w:r>
    </w:p>
    <w:p w14:paraId="0E2705D4" w14:textId="68ABC18C" w:rsidR="00AD18BC" w:rsidRPr="00AD18BC" w:rsidRDefault="00270458" w:rsidP="00A26B09">
      <w:pPr>
        <w:pStyle w:val="Luettelokappale"/>
        <w:numPr>
          <w:ilvl w:val="0"/>
          <w:numId w:val="50"/>
        </w:numPr>
        <w:spacing w:before="240" w:after="240" w:line="320" w:lineRule="atLeast"/>
        <w:ind w:left="714" w:hanging="357"/>
        <w:rPr>
          <w:sz w:val="22"/>
          <w:szCs w:val="22"/>
        </w:rPr>
      </w:pPr>
      <w:r w:rsidRPr="00AD18BC">
        <w:rPr>
          <w:sz w:val="22"/>
          <w:szCs w:val="22"/>
        </w:rPr>
        <w:t xml:space="preserve">Päästökaupasta taakanjakosektorille siirtyvien ns. 95 %-laitosten päästöjä taakanjakosektorilla rajoitetaan säätämällä ehdot, joita ylittäessä laitokset joutuvat hakeutumaan takaisin päästökauppaan. Jatkossa päästökaupan ulkopuolelle vuoden 2026 alusta alkaen suljettavan laitoksen on haettava uudelleen päästölupaa, jos sen kestävästä biomassasta peräisin olevien päästöjen määrä alittaa 95 </w:t>
      </w:r>
      <w:r w:rsidR="00FD7C9D" w:rsidRPr="00AD18BC">
        <w:rPr>
          <w:sz w:val="22"/>
          <w:szCs w:val="22"/>
        </w:rPr>
        <w:t>%</w:t>
      </w:r>
      <w:r w:rsidRPr="00AD18BC">
        <w:rPr>
          <w:sz w:val="22"/>
          <w:szCs w:val="22"/>
        </w:rPr>
        <w:t xml:space="preserve"> fossiilisten ja biogeenisten päästöjen kokonaismäärästä.</w:t>
      </w:r>
    </w:p>
    <w:p w14:paraId="6B0CD231" w14:textId="136954DD" w:rsidR="4445769E" w:rsidRDefault="4445769E" w:rsidP="4445769E">
      <w:pPr>
        <w:pStyle w:val="Luettelokappale"/>
        <w:spacing w:before="240" w:after="240" w:line="320" w:lineRule="atLeast"/>
        <w:ind w:left="714" w:hanging="357"/>
        <w:rPr>
          <w:sz w:val="22"/>
          <w:szCs w:val="22"/>
        </w:rPr>
      </w:pPr>
    </w:p>
    <w:p w14:paraId="4F45003E" w14:textId="77777777" w:rsidR="0060150E" w:rsidRPr="006763BC" w:rsidRDefault="0060150E" w:rsidP="00A26B09">
      <w:pPr>
        <w:pStyle w:val="Luettelokappale"/>
        <w:numPr>
          <w:ilvl w:val="0"/>
          <w:numId w:val="50"/>
        </w:numPr>
        <w:spacing w:before="240" w:after="240" w:line="320" w:lineRule="atLeast"/>
        <w:ind w:left="714" w:hanging="357"/>
        <w:rPr>
          <w:sz w:val="22"/>
          <w:szCs w:val="22"/>
        </w:rPr>
      </w:pPr>
      <w:r w:rsidRPr="006763BC">
        <w:rPr>
          <w:sz w:val="22"/>
          <w:szCs w:val="22"/>
        </w:rPr>
        <w:t xml:space="preserve">Energiatehokkuutta edistetään Suomessa pitkäjänteisesti ja laaja-alaisesti, energiatehokkuus ensin -periaatteen mukaisesti. Keskeisiä kansallisia toimenpiteitä ovat meneillään olevat energiatehokkuussopimukset, energiakatselmukset, energianeuvonta sekä energiatuki katselmuksille ja energiatehokkuussopimusten puitteissa tehtäville investoinneille. Varmistetaan energiatehokkuussopimustoiminnan jatko kaudelle </w:t>
      </w:r>
      <w:proofErr w:type="gramStart"/>
      <w:r w:rsidRPr="006763BC">
        <w:rPr>
          <w:sz w:val="22"/>
          <w:szCs w:val="22"/>
        </w:rPr>
        <w:t>2026-2035</w:t>
      </w:r>
      <w:proofErr w:type="gramEnd"/>
      <w:r w:rsidRPr="006763BC">
        <w:rPr>
          <w:sz w:val="22"/>
          <w:szCs w:val="22"/>
        </w:rPr>
        <w:t xml:space="preserve"> sekä resurssit sen hallinnointiin, seurantaan ja raportointiin lisäämällä energiatehokkuuteen osoitettua rahoitusta 1 milj. euroa/vuosi. Varmistetaan yrityksille ja julkisille toimijoille riittävät kannustimet sopimukseen liittymiselle, sekä energiansäästöön ja energiatehokkuuden edistämiseen.</w:t>
      </w:r>
    </w:p>
    <w:p w14:paraId="0D30BE45" w14:textId="63A1016A" w:rsidR="0060150E" w:rsidRPr="00EA3FDE" w:rsidRDefault="0060150E" w:rsidP="00A26B09">
      <w:pPr>
        <w:pStyle w:val="VNLeip1kappale"/>
        <w:numPr>
          <w:ilvl w:val="0"/>
          <w:numId w:val="50"/>
        </w:numPr>
      </w:pPr>
      <w:r w:rsidRPr="00EA3FDE">
        <w:t xml:space="preserve">Nykyinen energiatukivaltuus (14 </w:t>
      </w:r>
      <w:proofErr w:type="spellStart"/>
      <w:proofErr w:type="gramStart"/>
      <w:r w:rsidRPr="00EA3FDE">
        <w:t>milj.euroa</w:t>
      </w:r>
      <w:proofErr w:type="spellEnd"/>
      <w:proofErr w:type="gramEnd"/>
      <w:r w:rsidRPr="00EA3FDE">
        <w:t>) kohdistetaan jatkossakin pienille hankkeille ja painopisteenä uusi teknologia ja energiatehokkuussopimusjärjestelmään liittyvät energiatehokkuushankkeet. Myöntövaltuuden salliessa, tukea voidaan myöntää myös etenkin päästökauppasektorin ulkopuolisiin hankkeisiin, kuten biokaasun liikennekäyttöön.</w:t>
      </w:r>
    </w:p>
    <w:p w14:paraId="22000455" w14:textId="28CF4826" w:rsidR="0060150E" w:rsidRPr="00EA3FDE" w:rsidRDefault="0060150E" w:rsidP="00A26B09">
      <w:pPr>
        <w:pStyle w:val="VNLeip1kappale"/>
        <w:numPr>
          <w:ilvl w:val="0"/>
          <w:numId w:val="50"/>
        </w:numPr>
      </w:pPr>
      <w:r w:rsidRPr="00EA3FDE">
        <w:t xml:space="preserve">Hallitusohjelman visiossa Suomi nousee vetytalouden keskeiseksi tekijäksi, ja on houkutteleva sijoittumispaikka vetyä pidemmälle jalostaville hankkeille. Energia- ja ilmastostrategian </w:t>
      </w:r>
      <w:r w:rsidR="00212AB3">
        <w:t xml:space="preserve">linjauksen </w:t>
      </w:r>
      <w:r w:rsidRPr="00EA3FDE">
        <w:t xml:space="preserve">mukaan varmistetaan, että Suomessa on 2035 mennessä valtakunnallisesti laajasti kattava vetymarkkina ja sitä palveleva kansallinen vetyinfrastruktuuri. Tärkeänä kohteena on alueellisten vetylaaksojen kehitys ja niitä tukeva kansallinen energiainfrastruktuuri. Vetyyn pohjautuvaan uuteen liiketoimintaan kiinnitetään erityistä huomiota Teollisuuspoliittisen strategian pohjalta laaditun valtioneuvoston selonteon mukaisesti. </w:t>
      </w:r>
    </w:p>
    <w:p w14:paraId="240BD5F2" w14:textId="77777777" w:rsidR="00AF5A82" w:rsidRPr="00EA3FDE" w:rsidRDefault="0060150E" w:rsidP="00AF5A82">
      <w:pPr>
        <w:pStyle w:val="VNLeip1kappale"/>
        <w:numPr>
          <w:ilvl w:val="0"/>
          <w:numId w:val="50"/>
        </w:numPr>
      </w:pPr>
      <w:r w:rsidRPr="00EA3FDE">
        <w:t xml:space="preserve">Vuoden 2024 lopussa valmistuneessa teollisuuspoliittisessa strategiassa nostetaan esiin teollisten keskittymien merkitys suomalaisen investointiympäristön vetovoiman vahvistajana. Teollisten keskittymien sekä teollisuuspuistojen merkitys on kasvava ja tunnistettu myös EU:n teollisuuspolitiikassa. Teollisuuspoliittisen strategian mukaan laaditaan teollisten keskittymien kehittämisohjelma yhdistämään puhtaan energian hyödyntäminen tehokkaaseen logistiikkaan, infrastruktuuriin ja materiaalivirtoihin sekä sektorirajat ylittäviin synergiaetuihin. Tässä työssä hyödynnetään teollisuuspuistojen tarjoamat mahdollisuudet koordinoituun kehittämiseen ja </w:t>
      </w:r>
      <w:proofErr w:type="spellStart"/>
      <w:r w:rsidRPr="00EA3FDE">
        <w:t>luvitukseen</w:t>
      </w:r>
      <w:proofErr w:type="spellEnd"/>
      <w:r w:rsidRPr="00EA3FDE">
        <w:t>.</w:t>
      </w:r>
      <w:r w:rsidR="00AF5A82">
        <w:t xml:space="preserve"> Suomen vahvuudet vetytaloudelle ovat puhdas sähkö ja bio-CO</w:t>
      </w:r>
      <w:r w:rsidR="00AF5A82" w:rsidRPr="4535C713">
        <w:rPr>
          <w:vertAlign w:val="subscript"/>
        </w:rPr>
        <w:t>2,</w:t>
      </w:r>
      <w:r w:rsidR="00AF5A82">
        <w:t xml:space="preserve"> joiden avulla voidaan luoda uusia arvoketjuja fossiilisia ketjuja korvaamaan.  </w:t>
      </w:r>
    </w:p>
    <w:p w14:paraId="751B78E8" w14:textId="77777777" w:rsidR="00AF5A82" w:rsidRDefault="00AF5A82" w:rsidP="00AF5A82">
      <w:pPr>
        <w:pStyle w:val="VNLeip1kappale"/>
        <w:numPr>
          <w:ilvl w:val="0"/>
          <w:numId w:val="50"/>
        </w:numPr>
        <w:rPr>
          <w:color w:val="000000" w:themeColor="text1"/>
        </w:rPr>
      </w:pPr>
      <w:r w:rsidRPr="31B2ED52">
        <w:rPr>
          <w:color w:val="000000" w:themeColor="text1"/>
        </w:rPr>
        <w:t xml:space="preserve">Yhden luukun palvelun lainsäädäntöhankkeessa on valmisteltu ympäristöministeriön johdolla säännöksiä, jotta uusi lupaviranomainen voisi käsitellä hankkeen eri lakeihin perustuvia lupahakemuksia yhdessä. Hankkeessa selvitetään myös, miten YVA-menettelyt ja Natura-arvioinnit voitaisiin käsitellä aiempaa sujuvammin osana lupakäsittelyä. Yhteensovittamislakia päivitetään ja lupamenettelyihin liittyvien EU-säädösten (muun muassa kriittisten raaka-aineiden aloite, asetusehdotus nettonollateollisuudesta) täytäntöönpanoa valmistellaan. Uusi virasto aloittaisi ja yhden luukun lainsäädäntö olisi voimassa 1.1.2026 alkaen. </w:t>
      </w:r>
    </w:p>
    <w:p w14:paraId="6BF7BCD5" w14:textId="39FA4DE0" w:rsidR="0060150E" w:rsidRPr="00EA3FDE" w:rsidRDefault="0060150E" w:rsidP="0041496B">
      <w:pPr>
        <w:pStyle w:val="VNLeip1kappale"/>
        <w:ind w:left="720"/>
      </w:pPr>
    </w:p>
    <w:p w14:paraId="11F4BF0C" w14:textId="2E3A3693" w:rsidR="6B540120" w:rsidRDefault="6B540120" w:rsidP="0EBA5103">
      <w:pPr>
        <w:pStyle w:val="VNLeip1kappale"/>
        <w:rPr>
          <w:b/>
        </w:rPr>
      </w:pPr>
      <w:r w:rsidRPr="74212900">
        <w:rPr>
          <w:b/>
        </w:rPr>
        <w:t xml:space="preserve">Teollisuuden politiikkatoimet vähentävät </w:t>
      </w:r>
      <w:r w:rsidRPr="00500721">
        <w:rPr>
          <w:b/>
        </w:rPr>
        <w:t xml:space="preserve">taakanjakosektorin päästöjä </w:t>
      </w:r>
      <w:r w:rsidR="00EE06B8">
        <w:rPr>
          <w:b/>
        </w:rPr>
        <w:t xml:space="preserve">n. </w:t>
      </w:r>
      <w:r w:rsidR="6AEF3EEA" w:rsidRPr="00500721">
        <w:rPr>
          <w:b/>
        </w:rPr>
        <w:t>0,</w:t>
      </w:r>
      <w:r w:rsidR="00BF64BD" w:rsidRPr="00500721">
        <w:rPr>
          <w:b/>
          <w:bCs/>
        </w:rPr>
        <w:t>1</w:t>
      </w:r>
      <w:r w:rsidRPr="00500721">
        <w:rPr>
          <w:b/>
        </w:rPr>
        <w:t xml:space="preserve"> Mt vuonna 2030.</w:t>
      </w:r>
      <w:r w:rsidRPr="74212900">
        <w:rPr>
          <w:b/>
        </w:rPr>
        <w:t xml:space="preserve"> </w:t>
      </w:r>
    </w:p>
    <w:p w14:paraId="68396146" w14:textId="4377B11E" w:rsidR="005F4D87" w:rsidRPr="005F4D87" w:rsidRDefault="66676B2D" w:rsidP="0EBA5103">
      <w:pPr>
        <w:pStyle w:val="Otsikko3"/>
        <w:numPr>
          <w:ilvl w:val="0"/>
          <w:numId w:val="0"/>
        </w:numPr>
        <w:ind w:left="720"/>
      </w:pPr>
      <w:bookmarkStart w:id="128" w:name="_Toc202260061"/>
      <w:r>
        <w:t>6.2.8</w:t>
      </w:r>
      <w:r w:rsidR="5007D77A" w:rsidRPr="00A526C5">
        <w:t xml:space="preserve"> </w:t>
      </w:r>
      <w:r w:rsidR="005F4D87" w:rsidRPr="00592954">
        <w:t>Muut päästöt</w:t>
      </w:r>
      <w:bookmarkEnd w:id="128"/>
      <w:r w:rsidR="005F4D87">
        <w:t> </w:t>
      </w:r>
    </w:p>
    <w:p w14:paraId="7C55AF3D" w14:textId="77777777" w:rsidR="005F4D87" w:rsidRPr="005F4D87" w:rsidRDefault="005F4D87" w:rsidP="005F4D87">
      <w:pPr>
        <w:textAlignment w:val="baseline"/>
        <w:rPr>
          <w:rFonts w:ascii="Segoe UI" w:hAnsi="Segoe UI" w:cs="Segoe UI"/>
          <w:sz w:val="18"/>
          <w:szCs w:val="18"/>
        </w:rPr>
      </w:pPr>
      <w:r w:rsidRPr="005F4D87">
        <w:rPr>
          <w:rFonts w:cs="Arial"/>
          <w:sz w:val="22"/>
          <w:szCs w:val="22"/>
        </w:rPr>
        <w:t> </w:t>
      </w:r>
    </w:p>
    <w:p w14:paraId="7326D287" w14:textId="0DAF4831" w:rsidR="777B505E" w:rsidRDefault="5524E3D7" w:rsidP="0EBA5103">
      <w:pPr>
        <w:pStyle w:val="VNLeip1kappale"/>
      </w:pPr>
      <w:r>
        <w:t xml:space="preserve">Puolustusministeriön hallinnonala jatkaa maanpuolustuksen kaluston käytöstä aiheutuvien kasvihuonekaasupäästöjen vähentämiseen tähtääviä toimenpiteitä. Maa-, meri- ja ilmavoimien polttoaineen kokonaiskulutuksen arvioidaan nousevan suunnittelukaudella lisääntyvän toiminnan </w:t>
      </w:r>
      <w:proofErr w:type="gramStart"/>
      <w:r>
        <w:t>johdosta</w:t>
      </w:r>
      <w:proofErr w:type="gramEnd"/>
      <w:r>
        <w:t>. Puolustusvoimat pyrkii lisäämään uusiutuvan polttoaineen osuutta kokonaiskulutuksessa ja parantamaan toiminnan energiatehokkuutta sekä -</w:t>
      </w:r>
      <w:proofErr w:type="spellStart"/>
      <w:r>
        <w:t>resilienssiä</w:t>
      </w:r>
      <w:proofErr w:type="spellEnd"/>
      <w:r>
        <w:t>. Lisääntyvä toiminta ja uusiutuva kalusto aiheuttavat epävarmuuksia, joiden vuoksi kaluston käytön päästövähennystavoitteet päivitetään 2025 loppuun mennessä ja tarvittaessa tarkistetaan turvallisuustilanteen näin edellyttäessä.  Lähtökohtana on suhteellisesti vähentää päästöjä kulutukseen nähden puolustuskykyä ja huoltovarmuutta vaarantamatta.</w:t>
      </w:r>
    </w:p>
    <w:p w14:paraId="55318994" w14:textId="3A93D8BE" w:rsidR="5D82DC8B" w:rsidRDefault="5D82DC8B" w:rsidP="0EBA5103">
      <w:pPr>
        <w:pStyle w:val="VNLeip1kappale"/>
      </w:pPr>
      <w:r>
        <w:t xml:space="preserve">Sektorilla Muut päästöt ei </w:t>
      </w:r>
      <w:r w:rsidR="00DD1182">
        <w:t>erikseen</w:t>
      </w:r>
      <w:r>
        <w:t xml:space="preserve"> arvioida mahdollisia </w:t>
      </w:r>
      <w:r w:rsidR="00DD1182">
        <w:t xml:space="preserve">lisäisiä </w:t>
      </w:r>
      <w:r>
        <w:t xml:space="preserve">päästövähennysvaikutuksia. </w:t>
      </w:r>
    </w:p>
    <w:p w14:paraId="7E30BE2D" w14:textId="3F4BA50D" w:rsidR="005F4D87" w:rsidRPr="006E3B6A" w:rsidRDefault="4D2E0AF1" w:rsidP="4C9D3CE7">
      <w:pPr>
        <w:pStyle w:val="Otsikko2"/>
        <w:tabs>
          <w:tab w:val="clear" w:pos="360"/>
        </w:tabs>
        <w:ind w:left="576"/>
        <w:rPr>
          <w:color w:val="365ABD" w:themeColor="accent3"/>
          <w:lang w:val="fi-FI"/>
        </w:rPr>
      </w:pPr>
      <w:bookmarkStart w:id="129" w:name="_Toc202260062"/>
      <w:r w:rsidRPr="006E3B6A">
        <w:rPr>
          <w:lang w:val="fi-FI"/>
        </w:rPr>
        <w:t xml:space="preserve">6.3 </w:t>
      </w:r>
      <w:proofErr w:type="spellStart"/>
      <w:r w:rsidR="005F4D87" w:rsidRPr="006E3B6A">
        <w:rPr>
          <w:lang w:val="fi-FI"/>
        </w:rPr>
        <w:t>Poikkisektoraaliset</w:t>
      </w:r>
      <w:proofErr w:type="spellEnd"/>
      <w:r w:rsidR="005F4D87" w:rsidRPr="006E3B6A">
        <w:rPr>
          <w:lang w:val="fi-FI"/>
        </w:rPr>
        <w:t xml:space="preserve"> toimet ja muut lähestymistavat</w:t>
      </w:r>
      <w:bookmarkEnd w:id="129"/>
      <w:r w:rsidR="005F4D87" w:rsidRPr="006E3B6A">
        <w:rPr>
          <w:lang w:val="fi-FI"/>
        </w:rPr>
        <w:t> </w:t>
      </w:r>
    </w:p>
    <w:p w14:paraId="49502019" w14:textId="61C53C37" w:rsidR="51F1FF42" w:rsidRDefault="6DF11EB9" w:rsidP="55FE3C51">
      <w:pPr>
        <w:pStyle w:val="Otsikko3"/>
        <w:numPr>
          <w:ilvl w:val="0"/>
          <w:numId w:val="0"/>
        </w:numPr>
        <w:ind w:left="720"/>
        <w:rPr>
          <w:rFonts w:cs="Myriad Pro"/>
          <w:color w:val="365ABD" w:themeColor="accent3"/>
        </w:rPr>
      </w:pPr>
      <w:bookmarkStart w:id="130" w:name="_Toc202260063"/>
      <w:r>
        <w:t xml:space="preserve">6.3.1 </w:t>
      </w:r>
      <w:r w:rsidR="51F1FF42">
        <w:t>Vapaaehtoiset hiilimarkkinat ja joustomekanismi</w:t>
      </w:r>
      <w:bookmarkEnd w:id="130"/>
    </w:p>
    <w:p w14:paraId="06DA830C" w14:textId="3B06FF5C" w:rsidR="05C88813" w:rsidRDefault="05C88813" w:rsidP="0EBA5103">
      <w:pPr>
        <w:pStyle w:val="Numeroimatonotsikko"/>
        <w:rPr>
          <w:bCs/>
        </w:rPr>
      </w:pPr>
      <w:r>
        <w:t>Vapaaehtoiset hiilimarkkinat</w:t>
      </w:r>
    </w:p>
    <w:p w14:paraId="16F9876D" w14:textId="72DA093D" w:rsidR="51F1FF42" w:rsidRDefault="51F1FF42" w:rsidP="0EBA5103">
      <w:pPr>
        <w:pStyle w:val="VNLeip1kappale"/>
      </w:pPr>
      <w:r>
        <w:t>Yritykset ja muut toimijat voivat omassa arvoketjussaan toteutettujen päästövähennys-toimenpiteiden lisäksi toteuttaa vapaaehtoisia ilmastotoimia arvoketjunsa ulkopuolella, esimerkiksi ostamalla ilmastoyksiköitä hiilimarkkinoilta.</w:t>
      </w:r>
    </w:p>
    <w:p w14:paraId="57FC66E5" w14:textId="0F07EB58" w:rsidR="51F1FF42" w:rsidRDefault="51F1FF42" w:rsidP="0EBA5103">
      <w:pPr>
        <w:pStyle w:val="VNLeip1kappale"/>
      </w:pPr>
      <w:r>
        <w:t>Suomessa toteutetaan jo tällä hetkellä useita toimia, joilla pyritään tuottamaan ilmastoyksiköitä vapaaehtoisille hiilimarkkinoille. Käytössä olevat ratkaisut keskittyvät pääasiassa maa- ja metsätalouden toimiin (nk. luontopohjaiset ratkaisut), joilla pyritään lisäämään metsien ja maatalousmaiden kykyä sitoa hiilidioksidia ilmakehästä ja varastoida sitä. Käytössä olevien ratkaisujen lisäksi Suomessa on tunnistettu useita potentiaalisia hillintätoimia, joita ei toistaiseksi vielä toteuteta tai joiden toteutusmittakaava on hyvin pieni niiden potentiaaliin nähden. Potentiaalisia ratkaisuja löytyy sekä luontopohjaisista että teknisiin poistoihin perustuvista toimista.</w:t>
      </w:r>
    </w:p>
    <w:p w14:paraId="44B4AE89" w14:textId="48B113E3" w:rsidR="51F1FF42" w:rsidRDefault="51F1FF42" w:rsidP="0EBA5103">
      <w:pPr>
        <w:pStyle w:val="VNLeip1kappale"/>
      </w:pPr>
      <w:r>
        <w:t xml:space="preserve">Kotimaisen vapaaehtoisen hiilimarkkinan kysynnän lasku on vaikuttanut hillintätoimien toteutuksen houkuttelevuuteen ja toteutukseen. Esimerkiksi luontopohjaisten hillintätoimien pysyvyyden, uskottavan perusuran määrittämisen ja lisäisyyden osoittamisen haasteet ovat yleisiä, erityisesti metsäsektorin hankkeissa, jotka liittyvät puuntuotantoon. Myös epävarmuus vapaaehtoisia hiilimarkkinoita koskevan politiikan vaikutuksista ja kysynnän kehityksestä nähdään merkittäväksi haasteeksi investointien kannalta. </w:t>
      </w:r>
    </w:p>
    <w:p w14:paraId="4588E552" w14:textId="69519A0F" w:rsidR="51F1FF42" w:rsidRDefault="51F1FF42" w:rsidP="0EBA5103">
      <w:pPr>
        <w:pStyle w:val="Numeroimatonotsikko"/>
        <w:rPr>
          <w:b w:val="0"/>
          <w:bCs/>
          <w:szCs w:val="22"/>
        </w:rPr>
      </w:pPr>
      <w:r>
        <w:t>Jakeluvelvoitteen joustomekanismi</w:t>
      </w:r>
    </w:p>
    <w:p w14:paraId="1AF87FA9" w14:textId="166D78B9" w:rsidR="51F1FF42" w:rsidRDefault="51F1FF42" w:rsidP="0EBA5103">
      <w:pPr>
        <w:pStyle w:val="VNLeip1kappale"/>
      </w:pPr>
      <w:r>
        <w:t xml:space="preserve">Pääministeri Petteri </w:t>
      </w:r>
      <w:proofErr w:type="spellStart"/>
      <w:r>
        <w:t>Orpon</w:t>
      </w:r>
      <w:proofErr w:type="spellEnd"/>
      <w:r>
        <w:t xml:space="preserve"> hallituksen hallitusohjelman mukaan jakeluvelvoitetuille polttoaineenmyyjille luodaan mahdollisuus täyttää jakeluvelvoitetta rahoittamalla muita päästövähennyksiä. Laissa uusiutuvien polttoaineiden käytön edistämisestä säädetään jakeluvelvoitteen joustomekanismin käyttöönotosta. Joustomekanismilla jakelija voi täyttää jakeluvelvoitetta enintään 5,5 prosenttiyksiköllä rahoittamalla Suomessa toteutettavia muita vaihtoehtoisia päästövähennystoimia ensisijaisesti taakanjakosektorilta. Myös maankäyttösektorin toimet otetaan osaksi joustomekanismia. Maankäyttösektorin toimilla voitaisiin täyttää jakeluvelvoitetta yllä mainitusta enimmäismäärästä enintään 1 prosenttiyksikön verran.</w:t>
      </w:r>
    </w:p>
    <w:p w14:paraId="0423735C" w14:textId="1DF6F0A0" w:rsidR="51F1FF42" w:rsidRDefault="51F1FF42" w:rsidP="0EBA5103">
      <w:pPr>
        <w:pStyle w:val="VNLeip1kappale"/>
      </w:pPr>
      <w:r>
        <w:t>Joustomekanismin käyttöönotto saattaa alentaa jakelijoiden jakeluvelvoitteen täyttämisestä aiheutuvia kustannuksia. Yksi mahdollisista joustomekanismissa käytettävistä päästövähennystoimista on rehun lisäaineiden käyttö</w:t>
      </w:r>
      <w:r w:rsidR="00A325BD">
        <w:t xml:space="preserve"> nautojen ruokinnassa</w:t>
      </w:r>
      <w:r>
        <w:t>. Sen päästövähennysten kustannukseksi on arvioitu 70–80 euroa per CO</w:t>
      </w:r>
      <w:r w:rsidRPr="0EBA5103">
        <w:rPr>
          <w:vertAlign w:val="subscript"/>
        </w:rPr>
        <w:t>2</w:t>
      </w:r>
      <w:r>
        <w:t xml:space="preserve"> tonni. Jakeluvelvoitteella tehtyjen päästövähennysten </w:t>
      </w:r>
      <w:r w:rsidRPr="00300612">
        <w:t>hinnaksi on arvioitu n. 300–1 000 euroa per CO</w:t>
      </w:r>
      <w:r w:rsidRPr="00300612">
        <w:rPr>
          <w:vertAlign w:val="subscript"/>
        </w:rPr>
        <w:t>2</w:t>
      </w:r>
      <w:r w:rsidRPr="00300612">
        <w:t xml:space="preserve"> tonni riippuen siitä, onko kyse yleisvelvoitteen</w:t>
      </w:r>
      <w:r>
        <w:t xml:space="preserve"> vai lisävelvoitteen täyttämisestä. Joustomekanismi saattaa kuitenkin asettaa jakelijat eriarvoiseen asemaan riippuen yrityksen liiketoimintamallista. On oletettavaa, että jakelijat, joiden liiketoimintamalliin kuuluu ainoastaan polttoaineiden jakeleminen, mutta ei tuotanto, hyötyisivät eniten joustomekanismista.</w:t>
      </w:r>
    </w:p>
    <w:p w14:paraId="7FB0FCEE" w14:textId="69BF2FA7" w:rsidR="51F1FF42" w:rsidRDefault="51F1FF42" w:rsidP="0EBA5103">
      <w:pPr>
        <w:pStyle w:val="VNLeip1kappale"/>
      </w:pPr>
      <w:r>
        <w:t>Jakeluvelvoitteen joustomekanismin vaikutuksia on vaikea arvioida. Vaikutukset riippuvat muun muassa siitä, miten laajalti jakelijat hyödyntävät mekanismia.</w:t>
      </w:r>
    </w:p>
    <w:p w14:paraId="30037067" w14:textId="4AC19E00" w:rsidR="51F1FF42" w:rsidRDefault="51F1FF42" w:rsidP="0EBA5103">
      <w:pPr>
        <w:pStyle w:val="VNLeip1kappale"/>
      </w:pPr>
      <w:r>
        <w:t xml:space="preserve">Joustomekanismi korvaisi liikenteen uusiutuvia polttoaineita, mikä itsessään ei johtaisi muutoksiin taakanjakosektorin päästöissä, mutta ehdotetun kaksinkertaisen päästövähenemävaatimuksen vuoksi ilmastohyöty on suurempi joustomekanismia hyödynnettäessä. Riippuen joustomekanismin hyödyntämisen laajuudesta sen käyttö voisi vähentää taakanjakosektorin päästöjä lisäisesti enintään 0,55 miljoonalla CO </w:t>
      </w:r>
      <w:r w:rsidRPr="0EBA5103">
        <w:rPr>
          <w:vertAlign w:val="subscript"/>
        </w:rPr>
        <w:t>2</w:t>
      </w:r>
      <w:r>
        <w:t xml:space="preserve"> tonnilla. Toisaalta maankäyttösektorin toimien kasvihuonekaasuvaikutukset laskettaisiin maankäyttösektorin kasvihuonekaasuinventaarioon. Maankäyttösektorin toimet näkyisivät taakanjakosektorilla siinä vaiheessa, kun maankäyttösektorin alijäämää pitäisi kattaa taakanjakosektorilta. Toisin sanoen joustomekanismilla saavutettavat lisäiset maankäyttösektorin kasvihuonekaasupäästövähenemät tulevat rasittamaan vähemmän taakanjakosektorin velvoitteen saavuttamista.  </w:t>
      </w:r>
    </w:p>
    <w:p w14:paraId="04ED7FD0" w14:textId="2D5AB28B" w:rsidR="0037500C" w:rsidRDefault="51F1FF42" w:rsidP="0EBA5103">
      <w:pPr>
        <w:pStyle w:val="VNLeip1kappale"/>
      </w:pPr>
      <w:r>
        <w:t>Joustomekanismista mahdollisesti syntyvien kustannussäästöjen välittyminen polttoaineen pumppuhintoihin on hyvin epävarmaa, sillä joustomekanismi ei todennäköisesti muuta jakelijoiden rajakustannusta. Valmistelun aikana ainoastaan yksi jakelija on ilmaissut olevansa kiinnostunut joustomekanismin hyödyntämisestä. Mikäli joustomekanismia hyödynnetään rajallisesti, voi sen vaikutus polttoaineiden hintoihin jäädä hyvin pieneksi.</w:t>
      </w:r>
    </w:p>
    <w:p w14:paraId="2EFCD0D7" w14:textId="431FA22E" w:rsidR="005F4D87" w:rsidRPr="005F4D87" w:rsidRDefault="43BB6329" w:rsidP="048AF818">
      <w:pPr>
        <w:pStyle w:val="Otsikko3"/>
        <w:numPr>
          <w:ilvl w:val="0"/>
          <w:numId w:val="0"/>
        </w:numPr>
        <w:ind w:left="720"/>
        <w:rPr>
          <w:color w:val="365ABD" w:themeColor="accent3"/>
        </w:rPr>
      </w:pPr>
      <w:bookmarkStart w:id="131" w:name="_Toc202260064"/>
      <w:r>
        <w:t>6.3.2</w:t>
      </w:r>
      <w:r w:rsidR="4CE1548D">
        <w:t xml:space="preserve"> </w:t>
      </w:r>
      <w:r w:rsidR="005F4D87">
        <w:t>Kuntien ja alueiden ilmastotyö</w:t>
      </w:r>
      <w:bookmarkEnd w:id="131"/>
      <w:r w:rsidR="005F4D87">
        <w:t> </w:t>
      </w:r>
    </w:p>
    <w:p w14:paraId="33E491C3" w14:textId="77777777" w:rsidR="005F4D87" w:rsidRPr="005F4D87" w:rsidRDefault="005F4D87" w:rsidP="005F4D87">
      <w:pPr>
        <w:textAlignment w:val="baseline"/>
        <w:rPr>
          <w:rFonts w:ascii="Segoe UI" w:hAnsi="Segoe UI" w:cs="Segoe UI"/>
          <w:sz w:val="18"/>
          <w:szCs w:val="18"/>
        </w:rPr>
      </w:pPr>
      <w:r w:rsidRPr="005F4D87">
        <w:rPr>
          <w:rFonts w:ascii="Calibri" w:hAnsi="Calibri" w:cs="Calibri"/>
          <w:sz w:val="28"/>
          <w:szCs w:val="28"/>
        </w:rPr>
        <w:t> </w:t>
      </w:r>
    </w:p>
    <w:p w14:paraId="62B8AE85" w14:textId="77777777" w:rsidR="005F4D87" w:rsidRPr="005F4D87" w:rsidRDefault="005F4D87" w:rsidP="005F4D87">
      <w:pPr>
        <w:textAlignment w:val="baseline"/>
        <w:rPr>
          <w:rFonts w:ascii="Segoe UI" w:hAnsi="Segoe UI" w:cs="Segoe UI"/>
          <w:b/>
          <w:bCs/>
          <w:color w:val="365ABD"/>
          <w:sz w:val="18"/>
          <w:szCs w:val="18"/>
        </w:rPr>
      </w:pPr>
      <w:r w:rsidRPr="26BD27AB">
        <w:rPr>
          <w:rFonts w:ascii="Arial Narrow" w:hAnsi="Arial Narrow" w:cs="Segoe UI"/>
          <w:b/>
          <w:color w:val="365ABD" w:themeColor="accent3"/>
          <w:sz w:val="26"/>
          <w:szCs w:val="26"/>
        </w:rPr>
        <w:t>Kuntien ilmastotyön mahdollisuudet </w:t>
      </w:r>
    </w:p>
    <w:p w14:paraId="620C057F" w14:textId="3D167EBC" w:rsidR="005F4D87" w:rsidRPr="005F4D87" w:rsidRDefault="005F4D87" w:rsidP="000449EC">
      <w:pPr>
        <w:pStyle w:val="VNLeip1kappale"/>
        <w:rPr>
          <w:rFonts w:ascii="Segoe UI" w:hAnsi="Segoe UI" w:cs="Segoe UI"/>
          <w:sz w:val="18"/>
          <w:szCs w:val="18"/>
        </w:rPr>
      </w:pPr>
      <w:r w:rsidRPr="005F4D87">
        <w:t xml:space="preserve">Valtaosa kunnissa tehtävistä toimenpiteistä vaikuttaa suoraan liikenteen, lämmityksen ja muiden sektorien päästöihin. Kuntien ilmastotyötä </w:t>
      </w:r>
      <w:r w:rsidR="00321652">
        <w:t>tukemalla</w:t>
      </w:r>
      <w:r w:rsidRPr="005F4D87">
        <w:t xml:space="preserve"> voidaan saavuttaa lisäisiä päästövähennyksiä sektoritoimien päälle.  </w:t>
      </w:r>
    </w:p>
    <w:p w14:paraId="023BC989" w14:textId="6383E56C" w:rsidR="005F4D87" w:rsidRPr="005F4D87" w:rsidRDefault="005F4D87" w:rsidP="000449EC">
      <w:pPr>
        <w:pStyle w:val="VNLeip1kappale"/>
        <w:rPr>
          <w:rFonts w:ascii="Segoe UI" w:hAnsi="Segoe UI" w:cs="Segoe UI"/>
          <w:sz w:val="18"/>
          <w:szCs w:val="18"/>
        </w:rPr>
      </w:pPr>
      <w:r w:rsidRPr="005F4D87">
        <w:t>Kunnat vastaavat alueillaan muun muassa kaavoituksesta, maankäytöstä, liikennejärjestelmäsuunnittelusta, energiayhtiöiden omistajaohjauksesta, monien rakennusten lämmitystapavalinnoista ja julkisista hankinnoista</w:t>
      </w:r>
      <w:r w:rsidR="00D64FCA">
        <w:t xml:space="preserve"> ja vaikuttaa </w:t>
      </w:r>
      <w:r w:rsidRPr="005F4D87">
        <w:t xml:space="preserve">aktiivisesti </w:t>
      </w:r>
      <w:r w:rsidR="00D64FCA">
        <w:t>niistä</w:t>
      </w:r>
      <w:r w:rsidRPr="005F4D87">
        <w:t xml:space="preserve"> aiheutuvien päästöje</w:t>
      </w:r>
      <w:r w:rsidR="00D64FCA">
        <w:t>n</w:t>
      </w:r>
      <w:r w:rsidRPr="005F4D87">
        <w:t xml:space="preserve"> määrään. Lisäksi kunnat voivat monin tavoin edistää ja vauhdittaa asukkaiden, yritysten, yhteisöjen ja muiden sidosryhmiensä päästövähennyksiä eli lisätä kunnan hiilikädenjälkeä.  </w:t>
      </w:r>
    </w:p>
    <w:p w14:paraId="4AAF2B91" w14:textId="36B5A814" w:rsidR="005F4D87" w:rsidRPr="005F4D87" w:rsidRDefault="005F4D87" w:rsidP="000449EC">
      <w:pPr>
        <w:pStyle w:val="VNLeip1kappale"/>
        <w:rPr>
          <w:rFonts w:ascii="Segoe UI" w:hAnsi="Segoe UI" w:cs="Segoe UI"/>
          <w:sz w:val="18"/>
          <w:szCs w:val="18"/>
        </w:rPr>
      </w:pPr>
      <w:r w:rsidRPr="005F4D87">
        <w:t>Suomessa on useita kuntia, jotka toimivat ilmastotyön edelläkävijöinä, mutta myös paljon kuntia, jotka eivät ole vielä aloittaneet ilmastotyötään esimerkiksi asettamalla ilmastotavoitteita tai laatimalla ilmastosuunnitelmia. Isoimmat kaupungit löytävät usein pieniä kuntia helpommin resursseja kustannustehokkaimpiin ja vaikuttavimpiin ilmastotekoihin.</w:t>
      </w:r>
    </w:p>
    <w:p w14:paraId="3D272641" w14:textId="77777777" w:rsidR="005F4D87" w:rsidRPr="005F4D87" w:rsidRDefault="005F4D87" w:rsidP="000449EC">
      <w:pPr>
        <w:pStyle w:val="VNLeip1kappale"/>
        <w:rPr>
          <w:rFonts w:ascii="Segoe UI" w:hAnsi="Segoe UI" w:cs="Segoe UI"/>
          <w:sz w:val="18"/>
          <w:szCs w:val="18"/>
        </w:rPr>
      </w:pPr>
      <w:r w:rsidRPr="005F4D87">
        <w:t>Kuntaliiton selvityksen (Miettinen ym. 2024) mukaan kuntien ilmastotyön suurimpana haasteena on kaiken kokoisissa kunnissa kunnan taloustilanne. Muita yleisiä haasteita ovat vastausten perusteella kuntapäättäjien vähäinen kiinnostus ilmastotyöhön, ilmastokestävien ratkaisujen kalleus, konkreettisten ilmastokestävien ratkaisujen puute, ilmastokeskustelun polarisaatio ja poliittisen tahtotilan puute kunnissa ja kansallisesti. </w:t>
      </w:r>
    </w:p>
    <w:p w14:paraId="21F36E85" w14:textId="47313C8E" w:rsidR="005F4D87" w:rsidRPr="005F4D87" w:rsidRDefault="005F4D87" w:rsidP="005F4D87">
      <w:pPr>
        <w:textAlignment w:val="baseline"/>
        <w:rPr>
          <w:rFonts w:ascii="Segoe UI" w:hAnsi="Segoe UI" w:cs="Segoe UI"/>
          <w:b/>
          <w:bCs/>
          <w:color w:val="365ABD"/>
          <w:sz w:val="18"/>
          <w:szCs w:val="18"/>
        </w:rPr>
      </w:pPr>
      <w:r w:rsidRPr="6BC098AF">
        <w:rPr>
          <w:rFonts w:ascii="Arial Narrow" w:hAnsi="Arial Narrow" w:cs="Segoe UI"/>
          <w:b/>
          <w:color w:val="365ABD" w:themeColor="accent3"/>
          <w:sz w:val="26"/>
          <w:szCs w:val="26"/>
        </w:rPr>
        <w:t>Kuntien ilmastotyön neuvonta ja sitoumukset </w:t>
      </w:r>
    </w:p>
    <w:p w14:paraId="44A9E5B9" w14:textId="66A13CC3" w:rsidR="005F4D87" w:rsidRPr="005F4D87" w:rsidRDefault="005F4D87" w:rsidP="00B87D4B">
      <w:pPr>
        <w:pStyle w:val="VNLeip1kappale"/>
        <w:rPr>
          <w:rFonts w:ascii="Segoe UI" w:hAnsi="Segoe UI" w:cs="Segoe UI"/>
          <w:sz w:val="18"/>
          <w:szCs w:val="18"/>
        </w:rPr>
      </w:pPr>
      <w:r w:rsidRPr="005F4D87">
        <w:t>M</w:t>
      </w:r>
      <w:r w:rsidR="00DC4C11">
        <w:t>aankäytön, asumisen</w:t>
      </w:r>
      <w:r w:rsidRPr="005F4D87">
        <w:t xml:space="preserve"> ja </w:t>
      </w:r>
      <w:r w:rsidR="00DC4C11">
        <w:t>liikenteen (</w:t>
      </w:r>
      <w:r w:rsidRPr="005F4D87">
        <w:t>MAL</w:t>
      </w:r>
      <w:r w:rsidR="00DC4C11">
        <w:t xml:space="preserve">) </w:t>
      </w:r>
      <w:r w:rsidRPr="005F4D87">
        <w:t xml:space="preserve">sopimuksia solmitaan valtion ja Helsingin, Tampereen, Turun, Oulun, Jyväskylän, Kuopion </w:t>
      </w:r>
      <w:r w:rsidR="00E56CFD">
        <w:t>sekä</w:t>
      </w:r>
      <w:r w:rsidRPr="005F4D87">
        <w:t xml:space="preserve"> Lahden kaupunkiseutujen kanssa. MAL-sopimusten tavoitteena on tukea kaupunkiseutujen kestävää kasvua ja kehitystä, tuottaa asukkaiden tarpeisiin vastaavia asuntoja ja kasvattaa joukkoliikenteen, kävelyn ja pyöräilyn osuuksia liikenteessä. Sopimuksilla eheytetään yhdyskuntarakennetta ja ohjataan asuntotuotantoa paikkoihin, joista on hyvät kulkuyhteydet kestävillä kulkumuodoilla. MAL-sopimukset ovat voimassa 2024–2035. </w:t>
      </w:r>
    </w:p>
    <w:p w14:paraId="30619A0D" w14:textId="198FA01A" w:rsidR="005F4D87" w:rsidRPr="005F4D87" w:rsidRDefault="005F4D87" w:rsidP="001113D9">
      <w:pPr>
        <w:pStyle w:val="VNLeip1kappale"/>
        <w:rPr>
          <w:rFonts w:ascii="Segoe UI" w:hAnsi="Segoe UI" w:cs="Segoe UI"/>
          <w:sz w:val="18"/>
          <w:szCs w:val="18"/>
        </w:rPr>
      </w:pPr>
      <w:r w:rsidRPr="005F4D87">
        <w:t xml:space="preserve">Kunta-alan energiatehokkuussopimus (KETS) on työ- ja elinkeinoministeriön, Energiaviraston ja Kuntaliiton välinen sopimus energian tehokkaammasta käytöstä kunta-alalla. Nykyinen sopimuskausi on vuosille 2017–2025. Energiatehokkuussopimustoiminta on keskeinen osa Suomen energiapolitiikkaa ja tärkeä keino vastata niin EU:n kuin kansainvälisiin energiatehokkuus- ja päästövähennystavoitteisiin, joihin Suomi on sitoutunut. Sopimusten energiatehokkuustavoitteisiin nykyiselle kaudella on sitoutunut jo yli 160 keskenään verkostoitunutta kuntaa tai kuntayhtymää, jotka kattavat </w:t>
      </w:r>
      <w:r w:rsidR="001113D9">
        <w:t>yli</w:t>
      </w:r>
      <w:r w:rsidRPr="005F4D87">
        <w:t xml:space="preserve"> kolme</w:t>
      </w:r>
      <w:r w:rsidR="001113D9">
        <w:t xml:space="preserve"> </w:t>
      </w:r>
      <w:r w:rsidRPr="005F4D87">
        <w:t>neljäsosaa Suomen väkiluvusta.  </w:t>
      </w:r>
    </w:p>
    <w:p w14:paraId="2B5FB114" w14:textId="77777777" w:rsidR="005F4D87" w:rsidRPr="005F4D87" w:rsidRDefault="005F4D87" w:rsidP="00025C3B">
      <w:pPr>
        <w:pStyle w:val="VNLeip1kappale"/>
        <w:rPr>
          <w:rFonts w:ascii="Segoe UI" w:hAnsi="Segoe UI" w:cs="Segoe UI"/>
          <w:sz w:val="18"/>
          <w:szCs w:val="18"/>
        </w:rPr>
      </w:pPr>
      <w:r w:rsidRPr="005F4D87">
        <w:t>Energiaviraston rahoittama alueellinen energianeuvonta (2018–2025) antaa puolueetonta tietoa energiasta ja mahdollistaa sitä kautta energiatehokkuuden ja päästövähennysten tavoitteiden toteutumista. Kunnille ja pk-yrityksille markkinoidaan tietoa energiakatselmuksista ja kannustetaan niiden toteuttamiseen. Eri rahoituskeinojen ja tukien tietouden lisääminen sekä kuluttajille, kunnille ja pk-yrityksille on myös tärkeä osa energianeuvontaa.  </w:t>
      </w:r>
    </w:p>
    <w:p w14:paraId="11190344" w14:textId="77777777" w:rsidR="005F4D87" w:rsidRPr="005F4D87" w:rsidRDefault="005F4D87" w:rsidP="00D4039F">
      <w:pPr>
        <w:pStyle w:val="VNLeip1kappale"/>
        <w:rPr>
          <w:rFonts w:ascii="Segoe UI" w:hAnsi="Segoe UI" w:cs="Segoe UI"/>
          <w:sz w:val="18"/>
          <w:szCs w:val="18"/>
        </w:rPr>
      </w:pPr>
      <w:r w:rsidRPr="005F4D87">
        <w:t>Suomi liittyi syyskuussa 2024 YK:n CHAMP-aloitteeseen (</w:t>
      </w:r>
      <w:proofErr w:type="spellStart"/>
      <w:r w:rsidRPr="005F4D87">
        <w:t>Coalition</w:t>
      </w:r>
      <w:proofErr w:type="spellEnd"/>
      <w:r w:rsidRPr="005F4D87">
        <w:t xml:space="preserve"> for </w:t>
      </w:r>
      <w:proofErr w:type="spellStart"/>
      <w:r w:rsidRPr="005F4D87">
        <w:t>High</w:t>
      </w:r>
      <w:proofErr w:type="spellEnd"/>
      <w:r w:rsidRPr="005F4D87">
        <w:t xml:space="preserve"> Ambition </w:t>
      </w:r>
      <w:proofErr w:type="spellStart"/>
      <w:r w:rsidRPr="005F4D87">
        <w:t>Multilevel</w:t>
      </w:r>
      <w:proofErr w:type="spellEnd"/>
      <w:r w:rsidRPr="005F4D87">
        <w:t xml:space="preserve"> </w:t>
      </w:r>
      <w:proofErr w:type="spellStart"/>
      <w:r w:rsidRPr="005F4D87">
        <w:t>Partnerships</w:t>
      </w:r>
      <w:proofErr w:type="spellEnd"/>
      <w:r w:rsidRPr="005F4D87">
        <w:t>), joka on kaupunkien ja alueiden ilmastoaloite. Sen tarkoituksena on vahvistaa paikallisten hallintojen roolia ilmastonmuutoksen torjunnassa. Aloitteen tavoitteena on edistää ilmastoyhteistyötä eri hallintotasojen, kuten kaupunkien, alueiden ja valtioiden välillä, ilmastostrategioiden suunnittelussa, rahoituksessa, toteutuksessa ja seurannassa. </w:t>
      </w:r>
    </w:p>
    <w:p w14:paraId="079F079F" w14:textId="77777777" w:rsidR="005F4D87" w:rsidRPr="005F4D87" w:rsidRDefault="005F4D87" w:rsidP="005F4D87">
      <w:pPr>
        <w:textAlignment w:val="baseline"/>
        <w:rPr>
          <w:rFonts w:ascii="Segoe UI" w:hAnsi="Segoe UI" w:cs="Segoe UI"/>
          <w:b/>
          <w:bCs/>
          <w:color w:val="365ABD"/>
          <w:sz w:val="18"/>
          <w:szCs w:val="18"/>
        </w:rPr>
      </w:pPr>
      <w:r w:rsidRPr="6BC098AF">
        <w:rPr>
          <w:rFonts w:ascii="Arial Narrow" w:hAnsi="Arial Narrow" w:cs="Segoe UI"/>
          <w:b/>
          <w:color w:val="365ABD" w:themeColor="accent3"/>
          <w:sz w:val="26"/>
          <w:szCs w:val="26"/>
        </w:rPr>
        <w:t xml:space="preserve">Kuntien </w:t>
      </w:r>
      <w:proofErr w:type="spellStart"/>
      <w:r w:rsidRPr="6BC098AF">
        <w:rPr>
          <w:rFonts w:ascii="Arial Narrow" w:hAnsi="Arial Narrow" w:cs="Segoe UI"/>
          <w:b/>
          <w:color w:val="365ABD" w:themeColor="accent3"/>
          <w:sz w:val="26"/>
          <w:szCs w:val="26"/>
        </w:rPr>
        <w:t>edelläkävijyys</w:t>
      </w:r>
      <w:proofErr w:type="spellEnd"/>
      <w:r w:rsidRPr="6BC098AF">
        <w:rPr>
          <w:rFonts w:ascii="Arial Narrow" w:hAnsi="Arial Narrow" w:cs="Segoe UI"/>
          <w:b/>
          <w:color w:val="365ABD" w:themeColor="accent3"/>
          <w:sz w:val="26"/>
          <w:szCs w:val="26"/>
        </w:rPr>
        <w:t xml:space="preserve"> näkyy päästövähennyksinä </w:t>
      </w:r>
    </w:p>
    <w:p w14:paraId="7AF40FE9" w14:textId="0409ACAC" w:rsidR="005F4D87" w:rsidRPr="005F4D87" w:rsidRDefault="005F4D87" w:rsidP="00A57F9E">
      <w:pPr>
        <w:pStyle w:val="VNLeip1kappale"/>
        <w:rPr>
          <w:rFonts w:ascii="Segoe UI" w:hAnsi="Segoe UI" w:cs="Segoe UI"/>
          <w:sz w:val="18"/>
          <w:szCs w:val="18"/>
        </w:rPr>
      </w:pPr>
      <w:r w:rsidRPr="005F4D87">
        <w:t xml:space="preserve">Suomen ympäristökeskuksen </w:t>
      </w:r>
      <w:proofErr w:type="spellStart"/>
      <w:r w:rsidR="003557A3">
        <w:t>Syken</w:t>
      </w:r>
      <w:proofErr w:type="spellEnd"/>
      <w:r w:rsidRPr="005F4D87">
        <w:t xml:space="preserve"> ennakkotiedon mukaan kuntien kasvihuonekaasupäästöt laskivat vuonna 2023 noin 9 prosenttia vuoteen 2022 verrattuna. Myönteinen kehitys johtuu pääosin energiasektorin eli sähkön- ja kaukolämmöntuotannon puhdistumisesta. Kulutussähkön päästöt pienenivät peräti noin 32 prosenttia ja sähkölämmityksen päästöt noin 35 prosenttia. Kaukolämmön päästöt laskivat noin 21 prosenttia. </w:t>
      </w:r>
    </w:p>
    <w:p w14:paraId="001363D8" w14:textId="3441CB04" w:rsidR="005F4D87" w:rsidRPr="005F4D87" w:rsidRDefault="003557A3" w:rsidP="005B4144">
      <w:pPr>
        <w:pStyle w:val="VNLeip1kappale"/>
        <w:rPr>
          <w:rFonts w:ascii="Segoe UI" w:hAnsi="Segoe UI" w:cs="Segoe UI"/>
          <w:sz w:val="18"/>
          <w:szCs w:val="18"/>
        </w:rPr>
      </w:pPr>
      <w:proofErr w:type="spellStart"/>
      <w:r>
        <w:t>Syken</w:t>
      </w:r>
      <w:proofErr w:type="spellEnd"/>
      <w:r w:rsidR="005F4D87" w:rsidRPr="005F4D87">
        <w:t xml:space="preserve"> uusimman </w:t>
      </w:r>
      <w:r w:rsidR="005F4D87">
        <w:t>laskelman</w:t>
      </w:r>
      <w:r w:rsidR="7CF1A551">
        <w:t xml:space="preserve"> </w:t>
      </w:r>
      <w:r w:rsidR="005F4D87">
        <w:t>mukaan</w:t>
      </w:r>
      <w:r w:rsidR="005F4D87" w:rsidRPr="005F4D87">
        <w:t xml:space="preserve"> kuntien kulutusperäiset päästöt ovat kuitenkin </w:t>
      </w:r>
      <w:r w:rsidR="005B4144">
        <w:t>yhä</w:t>
      </w:r>
      <w:r w:rsidR="005F4D87" w:rsidRPr="005F4D87">
        <w:t xml:space="preserve"> kaukana kestävästä tasosta, ja valtaosa niistä, noin 82 %, syntyy kotitalouksien kulutuksesta. Kuntien hankintojen osuus on 12 % ja investointien 6 %. Hankinnoissa asiakaspalveluostojen päästöt kasvoivat, mutta kokonaispäästöt laskivat muiden hankintaluokkien vähennysten ansiosta. Investoinneissa rakentamisen päästöt pysyivät lähes ennallaan, kun taas muiden osa-alueiden, kuten konehankintojen, päästöt vähenivät merkittävästi</w:t>
      </w:r>
      <w:r w:rsidR="00AC4F3F">
        <w:t>.</w:t>
      </w:r>
      <w:r w:rsidR="005F4D87" w:rsidRPr="005F4D87">
        <w:t> </w:t>
      </w:r>
    </w:p>
    <w:p w14:paraId="02EA153D" w14:textId="7D23B42A" w:rsidR="005F4D87" w:rsidRPr="005F4D87" w:rsidRDefault="005F4D87" w:rsidP="00AC4F3F">
      <w:pPr>
        <w:pStyle w:val="VNLeip1kappale"/>
        <w:rPr>
          <w:rFonts w:ascii="Segoe UI" w:hAnsi="Segoe UI" w:cs="Segoe UI"/>
          <w:sz w:val="18"/>
          <w:szCs w:val="18"/>
        </w:rPr>
      </w:pPr>
      <w:r w:rsidRPr="005F4D87">
        <w:t xml:space="preserve">Kuntien sitoutuminen ilmastotyöhön näkyy voimistuneena liittymisenä vapaaehtoisiin ilmastoverkostoihin, erityisesti Hinku-kuntiin. Kuntien ilmastotyötä tukevat </w:t>
      </w:r>
      <w:r w:rsidR="0040313E">
        <w:t>myös esimerkiksi</w:t>
      </w:r>
      <w:r w:rsidRPr="005F4D87">
        <w:t xml:space="preserve"> Kuntaliiton </w:t>
      </w:r>
      <w:r w:rsidR="007836EE">
        <w:t>I</w:t>
      </w:r>
      <w:r w:rsidRPr="005F4D87">
        <w:t>lmastokunnat-toiminta ja resurssiviisaiden kuntien Fisu-verkosto (</w:t>
      </w:r>
      <w:proofErr w:type="spellStart"/>
      <w:r w:rsidRPr="005F4D87">
        <w:t>Finnish</w:t>
      </w:r>
      <w:proofErr w:type="spellEnd"/>
      <w:r w:rsidRPr="005F4D87">
        <w:t xml:space="preserve"> </w:t>
      </w:r>
      <w:proofErr w:type="spellStart"/>
      <w:r w:rsidRPr="005F4D87">
        <w:t>Sustainable</w:t>
      </w:r>
      <w:proofErr w:type="spellEnd"/>
      <w:r w:rsidRPr="005F4D87">
        <w:t xml:space="preserve"> </w:t>
      </w:r>
      <w:proofErr w:type="spellStart"/>
      <w:r w:rsidRPr="005F4D87">
        <w:t>Communities</w:t>
      </w:r>
      <w:proofErr w:type="spellEnd"/>
      <w:r w:rsidRPr="005F4D87">
        <w:t>) ja EU:n 100 ilmastoneutraalia ja älykästä kaupunkia -missio. Monet kunnat ovat ottaneet selkeän edelläkävijän roolin ilmastonmuutoksen hillinnässä, verkostoituneet myös kansainvälisesti ja saaneet toiminnalleen myös kansainvälistä tunnustusta. </w:t>
      </w:r>
    </w:p>
    <w:p w14:paraId="693D6860" w14:textId="4F01569B" w:rsidR="005F4D87" w:rsidRPr="005F4D87" w:rsidRDefault="005F4D87" w:rsidP="0EBA5103">
      <w:pPr>
        <w:pStyle w:val="VNLeip1kappale"/>
        <w:rPr>
          <w:rFonts w:ascii="Segoe UI" w:hAnsi="Segoe UI" w:cs="Segoe UI"/>
          <w:sz w:val="18"/>
          <w:szCs w:val="18"/>
        </w:rPr>
      </w:pPr>
      <w:r w:rsidRPr="005F4D87">
        <w:t>Hinku-kuntien seurantatiedosta voi nähdä, että mitä pidempään kunta on ollut Hinku-verkostossa, sen enemmän päästövähennyksiä on saavutettu. Verkostojäsenyys on kaikkien Hinku-kuntien joukossa johtanut keskimäärin 3,1 prosenttia alhaisempaan päästötasoon vuosina 2005–2017 verrattuna tilanteeseen, jossa kunta ei olisi liittynyt verkostoon</w:t>
      </w:r>
      <w:r>
        <w:t>.</w:t>
      </w:r>
    </w:p>
    <w:p w14:paraId="73DA209A" w14:textId="77777777" w:rsidR="005F4D87" w:rsidRPr="005F4D87" w:rsidRDefault="005F4D87" w:rsidP="005F4D87">
      <w:pPr>
        <w:textAlignment w:val="baseline"/>
        <w:rPr>
          <w:rFonts w:ascii="Segoe UI" w:hAnsi="Segoe UI" w:cs="Segoe UI"/>
          <w:b/>
          <w:bCs/>
          <w:color w:val="365ABD"/>
          <w:sz w:val="18"/>
          <w:szCs w:val="18"/>
        </w:rPr>
      </w:pPr>
      <w:r w:rsidRPr="3040587F">
        <w:rPr>
          <w:rFonts w:ascii="Arial Narrow" w:hAnsi="Arial Narrow" w:cs="Segoe UI"/>
          <w:b/>
          <w:color w:val="365ABD" w:themeColor="accent3"/>
          <w:sz w:val="26"/>
          <w:szCs w:val="26"/>
        </w:rPr>
        <w:t>Suomalaisista 90 % asuu kunnissa, joilla on ilmastotavoite </w:t>
      </w:r>
    </w:p>
    <w:p w14:paraId="341C300E" w14:textId="40969C79" w:rsidR="005F4D87" w:rsidRDefault="005F4D87" w:rsidP="00994384">
      <w:pPr>
        <w:pStyle w:val="VNLeip1kappale"/>
        <w:rPr>
          <w:rFonts w:cs="Arial"/>
        </w:rPr>
      </w:pPr>
      <w:r w:rsidRPr="005F4D87">
        <w:t>Ympäristöministeriön arvion mukaan vuoden 2025 alkupuolella 197 kuntaa Manner-Suomen 292 kunnasta on asettanut itselleen jonkin asteisen ilmastotavoitteen. Kuntaliiton selvityksen mukaan ilmastotavoitteen asettaneissa kunnissa asuu yli 5 miljoonaa kansalaista eli noin 90 % Suomen asukkaista. Kunnissa, jotka tavoittelevat hiilineutraaliutta tai 80 prosentin päästövähennystä vuoteen 2030 mennessä, asuu yli 60 prosenttia suomalaisista (</w:t>
      </w:r>
      <w:r w:rsidR="00F54D4E">
        <w:rPr>
          <w:color w:val="FF0000"/>
        </w:rPr>
        <w:fldChar w:fldCharType="begin"/>
      </w:r>
      <w:r w:rsidR="00F54D4E">
        <w:instrText xml:space="preserve"> REF _Ref201669124 \h </w:instrText>
      </w:r>
      <w:r w:rsidR="00F54D4E">
        <w:rPr>
          <w:color w:val="FF0000"/>
        </w:rPr>
      </w:r>
      <w:r w:rsidR="00F54D4E">
        <w:rPr>
          <w:color w:val="FF0000"/>
        </w:rPr>
        <w:fldChar w:fldCharType="separate"/>
      </w:r>
      <w:r w:rsidR="00F54D4E">
        <w:t xml:space="preserve">Kuvio </w:t>
      </w:r>
      <w:r w:rsidR="00F54D4E">
        <w:rPr>
          <w:noProof/>
        </w:rPr>
        <w:t>21</w:t>
      </w:r>
      <w:r w:rsidR="00F54D4E">
        <w:rPr>
          <w:color w:val="FF0000"/>
        </w:rPr>
        <w:fldChar w:fldCharType="end"/>
      </w:r>
      <w:r w:rsidRPr="005F4D87">
        <w:t xml:space="preserve">). Uusimmissa tavoitteissa sopeutumisnäkökulma on noussut </w:t>
      </w:r>
      <w:r w:rsidR="009D1017">
        <w:t xml:space="preserve">ilmastonäkökulman </w:t>
      </w:r>
      <w:r w:rsidR="00994384">
        <w:t xml:space="preserve">rinnalla </w:t>
      </w:r>
      <w:r w:rsidRPr="005F4D87">
        <w:t>aiempaa enemmän esille. </w:t>
      </w:r>
      <w:r w:rsidRPr="0EBA5103">
        <w:rPr>
          <w:rFonts w:cs="Arial"/>
        </w:rPr>
        <w:t> </w:t>
      </w:r>
    </w:p>
    <w:p w14:paraId="1A48412F" w14:textId="7ED9E9EF" w:rsidR="00F54D4E" w:rsidRPr="005F4D87" w:rsidRDefault="00F54D4E" w:rsidP="00F54D4E">
      <w:pPr>
        <w:pStyle w:val="Kuvaotsikko"/>
        <w:rPr>
          <w:rFonts w:ascii="Segoe UI" w:hAnsi="Segoe UI" w:cs="Segoe UI"/>
        </w:rPr>
      </w:pPr>
      <w:bookmarkStart w:id="132" w:name="_Ref201669124"/>
      <w:r>
        <w:t xml:space="preserve">Kuvio </w:t>
      </w:r>
      <w:r>
        <w:fldChar w:fldCharType="begin"/>
      </w:r>
      <w:r>
        <w:instrText xml:space="preserve"> SEQ Kuvio \* ARABIC </w:instrText>
      </w:r>
      <w:r>
        <w:fldChar w:fldCharType="separate"/>
      </w:r>
      <w:r>
        <w:rPr>
          <w:noProof/>
        </w:rPr>
        <w:t>21</w:t>
      </w:r>
      <w:r>
        <w:fldChar w:fldCharType="end"/>
      </w:r>
      <w:bookmarkEnd w:id="132"/>
      <w:r>
        <w:t xml:space="preserve">. </w:t>
      </w:r>
      <w:r w:rsidRPr="005F4D87">
        <w:t>Kunnat, joilla on hiilineutraalistavoite tai vähintään 80 % päästövähennystavoite vuoteen 2030 mennessä (tumman vihreä) tai vuoden 2030 jälkeen (vaalean vihreä). Kuv</w:t>
      </w:r>
      <w:r w:rsidR="008E791C">
        <w:t>io</w:t>
      </w:r>
      <w:r w:rsidRPr="005F4D87">
        <w:t>ssa esitetty tilanne vuosina 2008, 2014 ja 2023. </w:t>
      </w:r>
    </w:p>
    <w:p w14:paraId="70493111" w14:textId="77777777" w:rsidR="00F54D4E" w:rsidRPr="005F4D87" w:rsidRDefault="00F54D4E" w:rsidP="00994384">
      <w:pPr>
        <w:pStyle w:val="VNLeip1kappale"/>
        <w:rPr>
          <w:rFonts w:ascii="Segoe UI" w:hAnsi="Segoe UI" w:cs="Segoe UI"/>
          <w:sz w:val="18"/>
          <w:szCs w:val="18"/>
        </w:rPr>
      </w:pPr>
    </w:p>
    <w:p w14:paraId="386C4A0D" w14:textId="77777777" w:rsidR="005F4D87" w:rsidRPr="005F4D87" w:rsidRDefault="005F4D87" w:rsidP="005F4D87">
      <w:pPr>
        <w:textAlignment w:val="baseline"/>
        <w:rPr>
          <w:rFonts w:ascii="Segoe UI" w:hAnsi="Segoe UI" w:cs="Segoe UI"/>
          <w:sz w:val="18"/>
          <w:szCs w:val="18"/>
        </w:rPr>
      </w:pPr>
      <w:r w:rsidRPr="005F4D87">
        <w:rPr>
          <w:rFonts w:cs="Arial"/>
        </w:rPr>
        <w:t> </w:t>
      </w:r>
    </w:p>
    <w:p w14:paraId="2D619AB5" w14:textId="74B5572B" w:rsidR="005F4D87" w:rsidRPr="005F4D87" w:rsidRDefault="005F4D87" w:rsidP="005F4D87">
      <w:pPr>
        <w:textAlignment w:val="baseline"/>
        <w:rPr>
          <w:rFonts w:ascii="Segoe UI" w:hAnsi="Segoe UI" w:cs="Segoe UI"/>
          <w:sz w:val="18"/>
          <w:szCs w:val="18"/>
        </w:rPr>
      </w:pPr>
      <w:r>
        <w:rPr>
          <w:noProof/>
        </w:rPr>
        <w:drawing>
          <wp:inline distT="0" distB="0" distL="0" distR="0" wp14:anchorId="57FE7763" wp14:editId="17B064B5">
            <wp:extent cx="4572000" cy="2425700"/>
            <wp:effectExtent l="0" t="0" r="0" b="0"/>
            <wp:docPr id="129" name="Kuva 80" descr="Picture 1932316482,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0"/>
                    <pic:cNvPicPr/>
                  </pic:nvPicPr>
                  <pic:blipFill>
                    <a:blip r:embed="rId54">
                      <a:extLst>
                        <a:ext uri="{28A0092B-C50C-407E-A947-70E740481C1C}">
                          <a14:useLocalDpi xmlns:a14="http://schemas.microsoft.com/office/drawing/2010/main" val="0"/>
                        </a:ext>
                      </a:extLst>
                    </a:blip>
                    <a:stretch>
                      <a:fillRect/>
                    </a:stretch>
                  </pic:blipFill>
                  <pic:spPr>
                    <a:xfrm>
                      <a:off x="0" y="0"/>
                      <a:ext cx="4572000" cy="2425700"/>
                    </a:xfrm>
                    <a:prstGeom prst="rect">
                      <a:avLst/>
                    </a:prstGeom>
                  </pic:spPr>
                </pic:pic>
              </a:graphicData>
            </a:graphic>
          </wp:inline>
        </w:drawing>
      </w:r>
      <w:r w:rsidRPr="005F4D87">
        <w:rPr>
          <w:rFonts w:cs="Arial"/>
        </w:rPr>
        <w:t> </w:t>
      </w:r>
    </w:p>
    <w:p w14:paraId="7BF34EE8" w14:textId="26E28980" w:rsidR="005F4D87" w:rsidRPr="005F4D87" w:rsidRDefault="005F4D87" w:rsidP="0EBA5103">
      <w:pPr>
        <w:pStyle w:val="VNLeip1kappale"/>
        <w:rPr>
          <w:rFonts w:ascii="Segoe UI" w:hAnsi="Segoe UI" w:cs="Segoe UI"/>
          <w:sz w:val="18"/>
          <w:szCs w:val="18"/>
        </w:rPr>
      </w:pPr>
      <w:r w:rsidRPr="005F4D87">
        <w:t>Kuntaliiton selvityksen mukaan kuntien luotto omiin ja kansallisiin ilmastotavoitteisiin on heikentynyt. Kyselyyn vastanneista kunnista 41 % arvioi, että kunta saavuttaa omat ilmastotavoitteensa. Erityisesti suuret kunnat olivat epäilevällä kannalla, 43 % piti tavoitteiden saavuttamista epätodennäköisenä. Vuonna 2021 vielä 55 % vastanneista kunnista arvioi, että kunta saavuttaa omat tavoitteensa. </w:t>
      </w:r>
    </w:p>
    <w:p w14:paraId="40271EAE" w14:textId="28EB227D" w:rsidR="005F4D87" w:rsidRPr="005F4D87" w:rsidRDefault="005F4D87" w:rsidP="0EBA5103">
      <w:pPr>
        <w:pStyle w:val="VNLeip1kappale"/>
        <w:rPr>
          <w:rFonts w:ascii="Segoe UI" w:hAnsi="Segoe UI" w:cs="Segoe UI"/>
          <w:sz w:val="18"/>
          <w:szCs w:val="18"/>
        </w:rPr>
      </w:pPr>
      <w:r w:rsidRPr="005F4D87">
        <w:t xml:space="preserve">Manner-Suomen kunnista 52 prosenttia </w:t>
      </w:r>
      <w:proofErr w:type="gramStart"/>
      <w:r w:rsidRPr="005F4D87">
        <w:t>ovat</w:t>
      </w:r>
      <w:proofErr w:type="gramEnd"/>
      <w:r w:rsidRPr="005F4D87">
        <w:t xml:space="preserve"> tehneet ilmastosuunnitelman. Ympäristöministeriön arvion mukaan vuoden 2025 alkupuolella 143:lla Manner-Suomen kunnalla oli oma ilmastosuunnitelma ja 9 kuntaa on mukana seudullisessa ilmastosuunnitelmassa. Lisäksi 45 kuntaa oli valmistelemassa tai päivittämässä ilmastosuunnitelmaa. Ilmastolakiin vuonna 2023 sisällytetty kuntien ilmastosuunnitelmavelvoite poistui ilmastolaista 1.1.2025. </w:t>
      </w:r>
      <w:r w:rsidR="004C50D0">
        <w:t xml:space="preserve">Hallitus säilytti kuitenkin </w:t>
      </w:r>
      <w:proofErr w:type="spellStart"/>
      <w:r w:rsidR="004C50D0">
        <w:t>Syken</w:t>
      </w:r>
      <w:proofErr w:type="spellEnd"/>
      <w:r w:rsidR="004C50D0">
        <w:t xml:space="preserve"> kunnille ja alueille tarjoaman päästötietopalvelun.</w:t>
      </w:r>
    </w:p>
    <w:p w14:paraId="37D0D18D" w14:textId="77777777" w:rsidR="005F4D87" w:rsidRPr="005F4D87" w:rsidRDefault="005F4D87" w:rsidP="005F4D87">
      <w:pPr>
        <w:textAlignment w:val="baseline"/>
        <w:rPr>
          <w:rFonts w:ascii="Segoe UI" w:hAnsi="Segoe UI" w:cs="Segoe UI"/>
          <w:b/>
          <w:bCs/>
          <w:color w:val="365ABD"/>
          <w:sz w:val="18"/>
          <w:szCs w:val="18"/>
        </w:rPr>
      </w:pPr>
      <w:r w:rsidRPr="3040587F">
        <w:rPr>
          <w:rFonts w:ascii="Arial Narrow" w:hAnsi="Arial Narrow" w:cs="Segoe UI"/>
          <w:b/>
          <w:color w:val="365ABD" w:themeColor="accent3"/>
          <w:sz w:val="26"/>
          <w:szCs w:val="26"/>
        </w:rPr>
        <w:t>Alueellinen ilmastotyö </w:t>
      </w:r>
    </w:p>
    <w:p w14:paraId="6103EDFB" w14:textId="77777777" w:rsidR="005F4D87" w:rsidRPr="005F4D87" w:rsidRDefault="005F4D87" w:rsidP="0EBA5103">
      <w:pPr>
        <w:pStyle w:val="VNLeip1kappale"/>
        <w:rPr>
          <w:rFonts w:ascii="Segoe UI" w:hAnsi="Segoe UI" w:cs="Segoe UI"/>
          <w:sz w:val="18"/>
          <w:szCs w:val="18"/>
        </w:rPr>
      </w:pPr>
      <w:r w:rsidRPr="005F4D87">
        <w:t>Maakuntien liitot toteuttavat aluetason ilmastopolitiikkaa muun muassa maakuntakaavoituksen, liikennesuunnittelun, maakuntaohjelman, merialuesuunnittelun, EAKR-rahoituksen sekä alueellisen yhteistyön keinoin. Maakuntien liitot ovat myös ottaneet roolia erityisesti pienten kuntien ilmastotyön vauhdittamisessa, esimerkiksi neuvonnan ja yhteisten hankkeiden kautta. </w:t>
      </w:r>
    </w:p>
    <w:p w14:paraId="6ECD9544" w14:textId="77777777" w:rsidR="005F4D87" w:rsidRPr="005F4D87" w:rsidRDefault="005F4D87" w:rsidP="0EBA5103">
      <w:pPr>
        <w:pStyle w:val="VNLeip1kappale"/>
        <w:rPr>
          <w:rFonts w:ascii="Segoe UI" w:hAnsi="Segoe UI" w:cs="Segoe UI"/>
          <w:sz w:val="18"/>
          <w:szCs w:val="18"/>
        </w:rPr>
      </w:pPr>
      <w:r w:rsidRPr="005F4D87">
        <w:t>Valtion aluehallinto ja erityisesti ELY-keskukset toimivat nykyisin hyvin aktiivisesti aluetason ilmastotyön edistäjinä. Suomen kaikki 15 ELY-keskusta ovat määritelleet oman ilmastotyönsä painopisteet. ELY-ilmastotyötä on voimistunut ELY-ilmastoasiantuntijaverkoston sekä strategiapäälliköiden ja ohjaavien tahojen ilmastoryhmän ansiosta. Pirkanmaan ELY-keskus erikoistui keväällä 2024 taakanjakosektorin ilmastotyöhön ja tukee, koordinoi ja edistää keskipitkän aikavälin ilmastosuunnitelman (KAISU) alueellista toimeenpanoa kaikkien ELY-keskusten alueella. Pohjois-Pohjanmaan ELY-keskukseen sijoitettu ELY-keskusten valtakunnallinen ilmastoyksikkö koordinoi, tukee, seuraa ja edistää maankäyttösektorin ilmastosuunnitelman (MISU), ilmastonmuutoksen kansallisen sopeutumissuunnitelman (KISS2030) ja maatalouden ilmastotoimien alueellista toimeenpanoa alueilla.  </w:t>
      </w:r>
    </w:p>
    <w:p w14:paraId="5FE43ECC" w14:textId="77777777" w:rsidR="005F4D87" w:rsidRPr="005F4D87" w:rsidRDefault="005F4D87" w:rsidP="0EBA5103">
      <w:pPr>
        <w:pStyle w:val="VNLeip1kappale"/>
        <w:rPr>
          <w:rFonts w:ascii="Segoe UI" w:hAnsi="Segoe UI" w:cs="Segoe UI"/>
          <w:sz w:val="18"/>
          <w:szCs w:val="18"/>
        </w:rPr>
      </w:pPr>
      <w:r w:rsidRPr="005F4D87">
        <w:t>Valtion aluehallinnon meneillään olevassa uudistuksessa valtion alueellinen ilmastotyö on jakautumassa yhteen Lupa- ja valvontavirastoon (LVV) ja kymmeneen elinvoimakeskukseen (EVK). Uusien virastojen ilmastotyön resursointi ja tarkemmat määrittelyt ovat vielä valmistelussa. </w:t>
      </w:r>
    </w:p>
    <w:p w14:paraId="524A03EE" w14:textId="77777777" w:rsidR="005F4D87" w:rsidRPr="005F4D87" w:rsidRDefault="005F4D87" w:rsidP="005F4D87">
      <w:pPr>
        <w:textAlignment w:val="baseline"/>
        <w:rPr>
          <w:rFonts w:ascii="Segoe UI" w:hAnsi="Segoe UI" w:cs="Segoe UI"/>
          <w:b/>
          <w:bCs/>
          <w:color w:val="365ABD"/>
          <w:sz w:val="18"/>
          <w:szCs w:val="18"/>
        </w:rPr>
      </w:pPr>
      <w:r w:rsidRPr="3040587F">
        <w:rPr>
          <w:rFonts w:ascii="Arial Narrow" w:hAnsi="Arial Narrow" w:cs="Segoe UI"/>
          <w:b/>
          <w:color w:val="365ABD" w:themeColor="accent3"/>
          <w:sz w:val="26"/>
          <w:szCs w:val="26"/>
        </w:rPr>
        <w:t>Alueidenkäyttö ja yhdyskuntarakenne </w:t>
      </w:r>
    </w:p>
    <w:p w14:paraId="7C85A9E8" w14:textId="77777777" w:rsidR="005F4D87" w:rsidRPr="005F4D87" w:rsidRDefault="005F4D87" w:rsidP="0EBA5103">
      <w:pPr>
        <w:pStyle w:val="VNLeip1kappale"/>
        <w:rPr>
          <w:rFonts w:ascii="Segoe UI" w:hAnsi="Segoe UI" w:cs="Segoe UI"/>
          <w:sz w:val="18"/>
          <w:szCs w:val="18"/>
        </w:rPr>
      </w:pPr>
      <w:r w:rsidRPr="005F4D87">
        <w:t>Alue- ja yhdyskuntarakenne sekä niihin olennaisesti liittyvä liikenteen infrastruktuuri ovat varsin pysyviä ja muuttuvat hitaasti. Alueidenkäyttöä ja yhdyskuntarakennetta koskevilla päätöksillä vaikutetaan siten pitkän aikavälin kehitykseen.  </w:t>
      </w:r>
    </w:p>
    <w:p w14:paraId="2ED4316D" w14:textId="77777777" w:rsidR="005F4D87" w:rsidRPr="005F4D87" w:rsidRDefault="005F4D87" w:rsidP="0EBA5103">
      <w:pPr>
        <w:pStyle w:val="VNLeip1kappale"/>
        <w:rPr>
          <w:rFonts w:ascii="Segoe UI" w:hAnsi="Segoe UI" w:cs="Segoe UI"/>
          <w:sz w:val="18"/>
          <w:szCs w:val="18"/>
        </w:rPr>
      </w:pPr>
      <w:r w:rsidRPr="005F4D87">
        <w:t>Kaupungistumisen jatkuessa voimakkaana, merkittävimmät päästöjen vähentämistä koskevat ratkaisut liittyvät suurimpien kaupunkiseutujen yhdyskuntarakenteen ja liikennejärjestelmän toimivuuteen ja näiden yhteensovittamiseen. Toimenpiteillä voidaan vaikuttaa yhdyskuntarakenteeseen, kulkutapajakaumiin ja näin eri liikennemuotojen suoritteisiin. Vaikutukset näkyvät osana liikennesektorin päästökehitystä. Kunnat vastaavat itsehallintonsa mukaisesti alueidenkäytön suunnittelusta. </w:t>
      </w:r>
    </w:p>
    <w:p w14:paraId="1D78FE16" w14:textId="77777777" w:rsidR="005F4D87" w:rsidRPr="005F4D87" w:rsidRDefault="005F4D87" w:rsidP="0EBA5103">
      <w:pPr>
        <w:pStyle w:val="VNLeip1kappale"/>
        <w:rPr>
          <w:rFonts w:ascii="Segoe UI" w:hAnsi="Segoe UI" w:cs="Segoe UI"/>
          <w:sz w:val="18"/>
          <w:szCs w:val="18"/>
        </w:rPr>
      </w:pPr>
      <w:r w:rsidRPr="005F4D87">
        <w:t>Vuonna 2000 voimaan tullut maankäyttö- ja rakennuslaki on jakautumassa neljään eri lakiin. Verrattuna maankäyttö- ja rakennuslakiin on ilmastonmuutokseen hillintä keskeisessä asemassa sekä rakentamista ja alueidenkäyttöä koskevassa lainsäädännössä. </w:t>
      </w:r>
    </w:p>
    <w:p w14:paraId="45B86384" w14:textId="77777777" w:rsidR="005F4D87" w:rsidRPr="005F4D87" w:rsidRDefault="005F4D87" w:rsidP="0EBA5103">
      <w:pPr>
        <w:pStyle w:val="VNLeip1kappale"/>
        <w:rPr>
          <w:rFonts w:ascii="Segoe UI" w:hAnsi="Segoe UI" w:cs="Segoe UI"/>
          <w:sz w:val="18"/>
          <w:szCs w:val="18"/>
        </w:rPr>
      </w:pPr>
      <w:r w:rsidRPr="005F4D87">
        <w:t>Uusi rakentamislaki tuli voimaan 1.1.2025. Rakentamislaissa säädetään uudesta rakentamisen olennaisesta teknisestä vaatimuksesta, jonka mukaan rakentamishankkeeseen ryhtyvän on huolehdittava, että rakennus sen käyttötarkoituksen edellyttämällä tavalla suunnitellaan ja rakennetaan vähähiiliseksi. Rakentamislain mukaan uuden rakennuksen hiilijalanjälki ja hiilikädenjälki on raportoitava loppukatselmuksen yhteydessä tehtävässä rakennuksen ilmastoselvityksessä. Rakennukset on suunniteltava sellaisiksi, että niiden elinkaaren jalanjälki on mahdollisimman pieni ja alittaa rakennuksen hiilijalanjäljelle asetetun raja-arvon. Lisäksi vähähiilisyyteen sisältyy rakennuksen hiilikädenjäljen kasvattaminen, eli mahdollisten ilmastohyötyjen lisääminen suunnittelun ja rakentamisen keinoin.  </w:t>
      </w:r>
    </w:p>
    <w:p w14:paraId="4DCE8A68" w14:textId="77777777" w:rsidR="005F4D87" w:rsidRPr="005F4D87" w:rsidRDefault="005F4D87" w:rsidP="0EBA5103">
      <w:pPr>
        <w:pStyle w:val="VNLeip1kappale"/>
        <w:rPr>
          <w:rFonts w:ascii="Segoe UI" w:hAnsi="Segoe UI" w:cs="Segoe UI"/>
          <w:sz w:val="18"/>
          <w:szCs w:val="18"/>
        </w:rPr>
      </w:pPr>
      <w:r w:rsidRPr="005F4D87">
        <w:t>Uusi alueidenkäyttölaki sisältää valtakunnallisia alueidenkäyttötavoitteita, kaavoitusjärjestelmää sekä merialuesuunnittelua koskevat säännökset. Uusi alueidenkäyttölaki on tarkoitus antaa eduskunnalle kevätistuntokaudella 2025. Alueidenkäyttölain säännösluonnokset sisältävät ilmastonmuutoksen hillinnän ja ilmastonmuutokseen sopeutumista koskevat sisältövaatimukset alueidenkäytön suunnittelulle. </w:t>
      </w:r>
    </w:p>
    <w:p w14:paraId="07A08E41" w14:textId="77777777" w:rsidR="005F4D87" w:rsidRPr="005F4D87" w:rsidRDefault="005F4D87" w:rsidP="0EBA5103">
      <w:pPr>
        <w:pStyle w:val="VNLeip1kappale"/>
        <w:rPr>
          <w:rFonts w:ascii="Segoe UI" w:hAnsi="Segoe UI" w:cs="Segoe UI"/>
          <w:sz w:val="18"/>
          <w:szCs w:val="18"/>
        </w:rPr>
      </w:pPr>
      <w:r w:rsidRPr="005F4D87">
        <w:t xml:space="preserve">Kaavojen toteuttamisen ja katujen </w:t>
      </w:r>
      <w:r>
        <w:t>kunnossapidon</w:t>
      </w:r>
      <w:r w:rsidRPr="005F4D87">
        <w:t xml:space="preserve"> uudistus sisältää maankäyttö- ja rakennuslain kuntien maapolitiikkaa, tonttijakoa, katuja ja muita yleisiä alueita, kunnalle yhdyskuntarakentamisesta aiheutuvien kustannusten korvaamista, maan luovuttamista ja lunastamista, hulevesiä, yleiskaavan ja asemakaavan toteuttamisesta johtuvaa korvausta sekä kehittämisalueita koskevat säännökset. Alueidenkäytön kehityskuva on jatkuvasti ylläpidettävä työkalu, joka tuottaa tietoa Suomen alue- ja yhdyskuntarakenteen nykytilasta ja tulevaisuudesta. Kehityskuvan valmistelusta vastaa ympäristöministeriö yhdessä Suomen ympäristökeskuksen kanssa. Kehityskuvaa valmistellaan yhteistyössä muiden ministeriöiden, virastojen, maakuntien liittojen ja kuntien kanssa. </w:t>
      </w:r>
    </w:p>
    <w:p w14:paraId="357DF841" w14:textId="77777777" w:rsidR="005F4D87" w:rsidRDefault="005F4D87" w:rsidP="005F4D87">
      <w:pPr>
        <w:textAlignment w:val="baseline"/>
        <w:rPr>
          <w:rFonts w:ascii="Arial Narrow" w:hAnsi="Arial Narrow" w:cs="Segoe UI"/>
          <w:b/>
          <w:bCs/>
          <w:color w:val="365ABD"/>
          <w:sz w:val="26"/>
          <w:szCs w:val="26"/>
        </w:rPr>
      </w:pPr>
      <w:r w:rsidRPr="3040587F">
        <w:rPr>
          <w:rFonts w:ascii="Arial Narrow" w:hAnsi="Arial Narrow" w:cs="Segoe UI"/>
          <w:b/>
          <w:color w:val="365ABD" w:themeColor="accent3"/>
          <w:sz w:val="26"/>
          <w:szCs w:val="26"/>
        </w:rPr>
        <w:t>Kuntien ja alueiden ilmastotyön vauhdittamisen toimet </w:t>
      </w:r>
    </w:p>
    <w:p w14:paraId="61615A40" w14:textId="77777777" w:rsidR="00EF12C1" w:rsidRPr="005F4D87" w:rsidRDefault="00EF12C1" w:rsidP="005F4D87">
      <w:pPr>
        <w:textAlignment w:val="baseline"/>
        <w:rPr>
          <w:rFonts w:ascii="Segoe UI" w:hAnsi="Segoe UI" w:cs="Segoe UI"/>
          <w:b/>
          <w:bCs/>
          <w:color w:val="365ABD"/>
          <w:sz w:val="18"/>
          <w:szCs w:val="18"/>
        </w:rPr>
      </w:pPr>
    </w:p>
    <w:p w14:paraId="3CA9A8A2" w14:textId="77777777" w:rsidR="005F4D87" w:rsidRPr="005F4D87" w:rsidRDefault="005F4D87" w:rsidP="00A26B09">
      <w:pPr>
        <w:pStyle w:val="VNLeip1kappale"/>
        <w:numPr>
          <w:ilvl w:val="0"/>
          <w:numId w:val="48"/>
        </w:numPr>
      </w:pPr>
      <w:r w:rsidRPr="005F4D87">
        <w:t xml:space="preserve">Jatketaan ja edistetään kuntien ja alueiden </w:t>
      </w:r>
      <w:proofErr w:type="spellStart"/>
      <w:r w:rsidRPr="005F4D87">
        <w:t>poikkisektoraalista</w:t>
      </w:r>
      <w:proofErr w:type="spellEnd"/>
      <w:r w:rsidRPr="005F4D87">
        <w:t xml:space="preserve"> ilmastotyötä sektorikohtaisten päästövähennystoimien tukemiseksi ja vauhdittamiseksi. </w:t>
      </w:r>
    </w:p>
    <w:p w14:paraId="53B73295" w14:textId="77777777" w:rsidR="005F4D87" w:rsidRPr="005F4D87" w:rsidRDefault="005F4D87" w:rsidP="00A26B09">
      <w:pPr>
        <w:pStyle w:val="VNLeip1kappale"/>
        <w:numPr>
          <w:ilvl w:val="0"/>
          <w:numId w:val="48"/>
        </w:numPr>
      </w:pPr>
      <w:r w:rsidRPr="005F4D87">
        <w:t>Kannustetaan kuntia ja alueita soveltamaan hyviä käytäntöjä ilmastojohtamiseen, kuntien ja yritysten ilmastoyhteistyöhön sekä kuntalaisten ilmastotoimien vauhdittamiseen. </w:t>
      </w:r>
    </w:p>
    <w:p w14:paraId="361C4EE7" w14:textId="77777777" w:rsidR="005F4D87" w:rsidRPr="005F4D87" w:rsidRDefault="005F4D87" w:rsidP="00A26B09">
      <w:pPr>
        <w:pStyle w:val="VNLeip1kappale"/>
        <w:numPr>
          <w:ilvl w:val="0"/>
          <w:numId w:val="48"/>
        </w:numPr>
      </w:pPr>
      <w:r w:rsidRPr="005F4D87">
        <w:t>Kannustetaan kuntia liittymään ja osallistumaan vapaaehtoisiin kuntien ilmastotyötä tukeviin ja vauhdittaviin verkostoihin ja toimintaan kuten Suomen ympäristökeskuksen ylläpitämään Kohti hiilineutraalia kuntaa -verkostoon (Hinku), Motivan ja Suomen ympäristökeskuksen koordinoimaan edelläkävijäkuntien Fisu (</w:t>
      </w:r>
      <w:proofErr w:type="spellStart"/>
      <w:r w:rsidRPr="005F4D87">
        <w:t>Finnish</w:t>
      </w:r>
      <w:proofErr w:type="spellEnd"/>
      <w:r w:rsidRPr="005F4D87">
        <w:t xml:space="preserve"> </w:t>
      </w:r>
      <w:proofErr w:type="spellStart"/>
      <w:r w:rsidRPr="005F4D87">
        <w:t>Sustainable</w:t>
      </w:r>
      <w:proofErr w:type="spellEnd"/>
      <w:r w:rsidRPr="005F4D87">
        <w:t xml:space="preserve"> </w:t>
      </w:r>
      <w:proofErr w:type="spellStart"/>
      <w:r w:rsidRPr="005F4D87">
        <w:t>Communities</w:t>
      </w:r>
      <w:proofErr w:type="spellEnd"/>
      <w:r w:rsidRPr="005F4D87">
        <w:t>) -verkostoon ja Kuntaliiton Ilmastokunnat-toimintaan.  </w:t>
      </w:r>
    </w:p>
    <w:p w14:paraId="770BC669" w14:textId="77777777" w:rsidR="005F4D87" w:rsidRPr="005F4D87" w:rsidRDefault="005F4D87" w:rsidP="00A26B09">
      <w:pPr>
        <w:pStyle w:val="VNLeip1kappale"/>
        <w:numPr>
          <w:ilvl w:val="0"/>
          <w:numId w:val="48"/>
        </w:numPr>
      </w:pPr>
      <w:r w:rsidRPr="005F4D87">
        <w:t>Varmistetaan valtakunnallisesti kattavien ja yhtenäisten sekä loppukäyttäjille maksuttomien päästötyökalujen (kasvihuonekaasujen päästötietopalvelu ja päästöskenaariotyökalu) jatkuvuus, päivitys ja rahoitus. Työkalut tuottavat vertailukelpoista tietoa kunta-, maakunta- ja valtakunnallisella tasolla. </w:t>
      </w:r>
    </w:p>
    <w:p w14:paraId="19C7A9D3" w14:textId="77777777" w:rsidR="005F4D87" w:rsidRPr="005F4D87" w:rsidRDefault="005F4D87" w:rsidP="00A26B09">
      <w:pPr>
        <w:pStyle w:val="VNLeip1kappale"/>
        <w:numPr>
          <w:ilvl w:val="0"/>
          <w:numId w:val="48"/>
        </w:numPr>
      </w:pPr>
      <w:r w:rsidRPr="005F4D87">
        <w:t>Varmistetaan, että Kuntien energiatehokkuussopimus (KETS) on jatkossakin tärkeä keino saavuttaa energiankäytön tehostamistavoitteita. Kannustetaan kuntia liittymään Kuntien energiatehokkuussopimukseen (KETS) ja samalla vähentämään kasvihuonekaasupäästöjään kustannustehokkailla keinoilla. </w:t>
      </w:r>
    </w:p>
    <w:p w14:paraId="1BCACAE9" w14:textId="77777777" w:rsidR="005F4D87" w:rsidRPr="005F4D87" w:rsidRDefault="005F4D87" w:rsidP="00A26B09">
      <w:pPr>
        <w:pStyle w:val="VNLeip1kappale"/>
        <w:numPr>
          <w:ilvl w:val="0"/>
          <w:numId w:val="48"/>
        </w:numPr>
      </w:pPr>
      <w:r w:rsidRPr="005F4D87">
        <w:t>Edistetään valtakunnallista ja alueellista energianeuvontaa. </w:t>
      </w:r>
    </w:p>
    <w:p w14:paraId="4DD71C84" w14:textId="77777777" w:rsidR="005F4D87" w:rsidRPr="005F4D87" w:rsidRDefault="005F4D87" w:rsidP="00A26B09">
      <w:pPr>
        <w:pStyle w:val="VNLeip1kappale"/>
        <w:numPr>
          <w:ilvl w:val="0"/>
          <w:numId w:val="48"/>
        </w:numPr>
      </w:pPr>
      <w:r w:rsidRPr="005F4D87">
        <w:t>Jatketaan maankäyttöä, asumista ja liikennettä (MAL) koskevan sopimusmenettelyn soveltamista ja vaikutusten seurantaa isoilla kaupunkiseuduilla. Keskitytään kestävän kasvun ja kestävän liikennejärjestelmän edistämiseen kaupunkiseudulla.  </w:t>
      </w:r>
    </w:p>
    <w:p w14:paraId="506DE5EB" w14:textId="77777777" w:rsidR="005F4D87" w:rsidRPr="005F4D87" w:rsidRDefault="005F4D87" w:rsidP="00A26B09">
      <w:pPr>
        <w:pStyle w:val="VNLeip1kappale"/>
        <w:numPr>
          <w:ilvl w:val="0"/>
          <w:numId w:val="48"/>
        </w:numPr>
      </w:pPr>
      <w:r w:rsidRPr="005F4D87">
        <w:rPr>
          <w:color w:val="333333"/>
        </w:rPr>
        <w:t>Tuetaan valtion aluehallinnon ilmastoasiantuntijoiden verkostoa ja strategiapäälliköiden ohjaavien tahojen ilmastoryhmää. Hyödynnetään aiemmin työstettyä ELY-ilmastotiekarttaa valtion aluehallinnon ilmastotyön edistämisessä ja vauhdittamisessa. </w:t>
      </w:r>
    </w:p>
    <w:p w14:paraId="231A4CC7" w14:textId="77777777" w:rsidR="005F4D87" w:rsidRPr="005F4D87" w:rsidRDefault="005F4D87" w:rsidP="00A26B09">
      <w:pPr>
        <w:pStyle w:val="VNLeip1kappale"/>
        <w:numPr>
          <w:ilvl w:val="0"/>
          <w:numId w:val="48"/>
        </w:numPr>
      </w:pPr>
      <w:r w:rsidRPr="005F4D87">
        <w:t>Edistetään kuntien, maakunnan liittojen ja valtion aluehallinnon ilmastotyötä ja ilmastoyhteistyötä. </w:t>
      </w:r>
    </w:p>
    <w:p w14:paraId="4300310E" w14:textId="77777777" w:rsidR="005F4D87" w:rsidRPr="005F4D87" w:rsidRDefault="005F4D87" w:rsidP="005F4D87">
      <w:pPr>
        <w:ind w:left="720" w:hanging="360"/>
        <w:textAlignment w:val="baseline"/>
        <w:rPr>
          <w:rFonts w:ascii="Segoe UI" w:hAnsi="Segoe UI" w:cs="Segoe UI"/>
          <w:sz w:val="18"/>
          <w:szCs w:val="18"/>
        </w:rPr>
      </w:pPr>
      <w:r w:rsidRPr="005F4D87">
        <w:rPr>
          <w:rFonts w:cs="Arial"/>
          <w:sz w:val="22"/>
          <w:szCs w:val="22"/>
        </w:rPr>
        <w:t> </w:t>
      </w:r>
    </w:p>
    <w:p w14:paraId="7966B9DA" w14:textId="6CAAD753" w:rsidR="005F4D87" w:rsidRPr="005F4D87" w:rsidRDefault="5A0ADA39" w:rsidP="048AF818">
      <w:pPr>
        <w:pStyle w:val="Otsikko3"/>
        <w:numPr>
          <w:ilvl w:val="0"/>
          <w:numId w:val="0"/>
        </w:numPr>
        <w:rPr>
          <w:color w:val="365ABD" w:themeColor="accent3"/>
        </w:rPr>
      </w:pPr>
      <w:bookmarkStart w:id="133" w:name="_Toc202260065"/>
      <w:r>
        <w:t xml:space="preserve">6.3.3 </w:t>
      </w:r>
      <w:r w:rsidR="005F4D87">
        <w:t>Kulutuksen hiilijalanjälki</w:t>
      </w:r>
      <w:bookmarkEnd w:id="133"/>
      <w:r w:rsidR="005F4D87">
        <w:t> </w:t>
      </w:r>
    </w:p>
    <w:p w14:paraId="74F4E33E" w14:textId="77777777" w:rsidR="005F4D87" w:rsidRPr="005F4D87" w:rsidRDefault="005F4D87" w:rsidP="005F4D87">
      <w:pPr>
        <w:textAlignment w:val="baseline"/>
        <w:rPr>
          <w:rFonts w:ascii="Segoe UI" w:hAnsi="Segoe UI" w:cs="Segoe UI"/>
          <w:sz w:val="18"/>
          <w:szCs w:val="18"/>
        </w:rPr>
      </w:pPr>
      <w:r w:rsidRPr="005F4D87">
        <w:rPr>
          <w:rFonts w:ascii="Calibri" w:hAnsi="Calibri" w:cs="Calibri"/>
          <w:sz w:val="24"/>
          <w:szCs w:val="24"/>
        </w:rPr>
        <w:t>  </w:t>
      </w:r>
    </w:p>
    <w:p w14:paraId="71BEB5E2" w14:textId="77777777" w:rsidR="005F4D87" w:rsidRPr="005F4D87" w:rsidRDefault="005F4D87" w:rsidP="0EBA5103">
      <w:pPr>
        <w:pStyle w:val="VNLeip1kappale"/>
        <w:rPr>
          <w:rFonts w:ascii="Segoe UI" w:hAnsi="Segoe UI" w:cs="Segoe UI"/>
          <w:sz w:val="18"/>
          <w:szCs w:val="18"/>
        </w:rPr>
      </w:pPr>
      <w:r w:rsidRPr="005F4D87">
        <w:t>Kulutusperäiset päästöt lasketaan eri tavalla kuin Suomen viralliset, tuotantoperäiset päästötiedot, joiden perusteella katsotaan ilmastotavoitteiden täyttymistä. Kulutusperäisiin päästöihin sisältyvät myös tuontituotteiden tuotannon aiheuttamat päästöt ulkomailla ja toisaalta niistä vähennetään Suomessa valmistettujen vientiin menevien tuotteiden päästöt. Maankäyttösektori ei ole mukana kulutusperusteisessa päästölaskennassa, koska kattavia, mallinnukseen yhdistettävissä olevia tilastoaineistoistoja ei ole toistaiseksi saatavilla. Kulutusperäisiä päästöjä syntyy kotitalouksien kulutuksen lisäksi myös julkisesta kulutuksesta ja investoinneista sekä pienessä määrin voittoa tavoittelemattomien yhdistysten toiminnasta. Julkista kulutusta käsitellään tarkemmin julkisia hankintoja käsittelevässä luvussa. Kulutusperäisistä päästöistä käytetään myös termiä hiilijalanjälki.  </w:t>
      </w:r>
    </w:p>
    <w:p w14:paraId="3C54A2C0" w14:textId="77777777" w:rsidR="005F4D87" w:rsidRPr="005F4D87" w:rsidRDefault="005F4D87" w:rsidP="005F4D87">
      <w:pPr>
        <w:ind w:right="75"/>
        <w:jc w:val="both"/>
        <w:textAlignment w:val="baseline"/>
        <w:rPr>
          <w:rFonts w:ascii="Segoe UI" w:hAnsi="Segoe UI" w:cs="Segoe UI"/>
          <w:sz w:val="18"/>
          <w:szCs w:val="18"/>
        </w:rPr>
      </w:pPr>
      <w:r w:rsidRPr="005F4D87">
        <w:rPr>
          <w:rFonts w:cs="Arial"/>
          <w:sz w:val="22"/>
          <w:szCs w:val="22"/>
        </w:rPr>
        <w:t> </w:t>
      </w:r>
    </w:p>
    <w:p w14:paraId="15F47F23" w14:textId="3E568B96" w:rsidR="005F4D87" w:rsidRPr="005F4D87" w:rsidRDefault="005F4D87" w:rsidP="005F4D87">
      <w:pPr>
        <w:textAlignment w:val="baseline"/>
        <w:rPr>
          <w:rFonts w:ascii="Segoe UI" w:hAnsi="Segoe UI" w:cs="Segoe UI"/>
          <w:sz w:val="18"/>
          <w:szCs w:val="18"/>
        </w:rPr>
      </w:pPr>
      <w:r w:rsidRPr="1036F848">
        <w:rPr>
          <w:rFonts w:ascii="Arial Narrow" w:hAnsi="Arial Narrow" w:cs="Segoe UI"/>
          <w:b/>
          <w:color w:val="365ABD" w:themeColor="accent3"/>
          <w:sz w:val="26"/>
          <w:szCs w:val="26"/>
        </w:rPr>
        <w:t xml:space="preserve">Kotitalouksien kulutuksen päästöjen kehitys </w:t>
      </w:r>
      <w:r w:rsidR="47B5F642" w:rsidRPr="2C46F1ED">
        <w:rPr>
          <w:rFonts w:ascii="Arial Narrow" w:hAnsi="Arial Narrow" w:cs="Segoe UI"/>
          <w:b/>
          <w:bCs/>
          <w:color w:val="365ABD" w:themeColor="accent3"/>
          <w:sz w:val="26"/>
          <w:szCs w:val="26"/>
        </w:rPr>
        <w:t>2000–2021</w:t>
      </w:r>
      <w:r w:rsidRPr="1036F848">
        <w:rPr>
          <w:rFonts w:ascii="Arial Narrow" w:hAnsi="Arial Narrow" w:cs="Segoe UI"/>
          <w:b/>
          <w:color w:val="365ABD" w:themeColor="accent3"/>
          <w:sz w:val="26"/>
          <w:szCs w:val="26"/>
        </w:rPr>
        <w:t> </w:t>
      </w:r>
      <w:r w:rsidRPr="1036F848">
        <w:rPr>
          <w:rFonts w:ascii="Arial Narrow" w:hAnsi="Arial Narrow" w:cs="Segoe UI"/>
          <w:color w:val="365ABD" w:themeColor="accent3"/>
          <w:sz w:val="26"/>
          <w:szCs w:val="26"/>
        </w:rPr>
        <w:t> </w:t>
      </w:r>
    </w:p>
    <w:p w14:paraId="5FBE1DF5" w14:textId="5925820D" w:rsidR="005F4D87" w:rsidRDefault="005F4D87" w:rsidP="0EBA5103">
      <w:pPr>
        <w:pStyle w:val="VNLeip1kappale"/>
      </w:pPr>
      <w:r w:rsidRPr="005F4D87">
        <w:t xml:space="preserve">Vuonna 2021 kotitalouksien kulutuksen päästöt olivat </w:t>
      </w:r>
      <w:r>
        <w:t xml:space="preserve">Suomessa </w:t>
      </w:r>
      <w:r w:rsidRPr="005F4D87">
        <w:t>yhteensä noin 42,3 Mt CO</w:t>
      </w:r>
      <w:r w:rsidRPr="005F4D87">
        <w:rPr>
          <w:sz w:val="17"/>
          <w:szCs w:val="17"/>
          <w:vertAlign w:val="subscript"/>
        </w:rPr>
        <w:t>2</w:t>
      </w:r>
      <w:r w:rsidRPr="005F4D87">
        <w:t>-ekv., joka on n. 40 % vähennys verrattuna vuoteen 2000. Alla olevassa kuviossa kotitalouksien hiilijalanjälki on jaettu 16 hyödykeryhmään. Neljä suurinta hiilijalanjäljen pääluokkaa ovat: asuminen ja siihen liittyvä energiankulutus (n. 12,1 Mt CO</w:t>
      </w:r>
      <w:r w:rsidRPr="005F4D87">
        <w:rPr>
          <w:sz w:val="17"/>
          <w:szCs w:val="17"/>
          <w:vertAlign w:val="subscript"/>
        </w:rPr>
        <w:t>2</w:t>
      </w:r>
      <w:r w:rsidRPr="005F4D87">
        <w:t>-ekv.), yksityisajoneuvojen käyttö (n. 7,7 Mt CO</w:t>
      </w:r>
      <w:r w:rsidRPr="005F4D87">
        <w:rPr>
          <w:sz w:val="17"/>
          <w:szCs w:val="17"/>
          <w:vertAlign w:val="subscript"/>
        </w:rPr>
        <w:t>2</w:t>
      </w:r>
      <w:r w:rsidRPr="005F4D87">
        <w:t>-ekv.), eläinperäiset elintarvikkeet (n. 4,1 Mt CO</w:t>
      </w:r>
      <w:r w:rsidRPr="005F4D87">
        <w:rPr>
          <w:sz w:val="17"/>
          <w:szCs w:val="17"/>
          <w:vertAlign w:val="subscript"/>
        </w:rPr>
        <w:t>2</w:t>
      </w:r>
      <w:r w:rsidRPr="005F4D87">
        <w:t>-ekv.) sekä kasvisperäiset elintarvikkeet ja kala (n. 4,1 Mt CO</w:t>
      </w:r>
      <w:r w:rsidRPr="005F4D87">
        <w:rPr>
          <w:sz w:val="17"/>
          <w:szCs w:val="17"/>
          <w:vertAlign w:val="subscript"/>
        </w:rPr>
        <w:t>2</w:t>
      </w:r>
      <w:r w:rsidRPr="005F4D87">
        <w:t>-ekv.) Päästöjen väheneminen on tapahtunut kulutusmenojen kasvusta ja väestön 7 % lisäyksestä huolimatta. </w:t>
      </w:r>
    </w:p>
    <w:p w14:paraId="06CF0A87" w14:textId="4A080C6B" w:rsidR="00F54D4E" w:rsidRPr="000674BC" w:rsidRDefault="00F54D4E" w:rsidP="00F54D4E">
      <w:pPr>
        <w:pStyle w:val="Kuvaotsikko"/>
        <w:rPr>
          <w:rFonts w:ascii="Segoe UI" w:hAnsi="Segoe UI" w:cs="Segoe UI"/>
          <w:i w:val="0"/>
          <w:color w:val="auto"/>
          <w:spacing w:val="1"/>
        </w:rPr>
      </w:pPr>
      <w:r>
        <w:t xml:space="preserve">Kuvio </w:t>
      </w:r>
      <w:r>
        <w:fldChar w:fldCharType="begin"/>
      </w:r>
      <w:r>
        <w:instrText xml:space="preserve"> SEQ Kuvio \* ARABIC </w:instrText>
      </w:r>
      <w:r>
        <w:fldChar w:fldCharType="separate"/>
      </w:r>
      <w:r>
        <w:rPr>
          <w:noProof/>
        </w:rPr>
        <w:t>22</w:t>
      </w:r>
      <w:r>
        <w:fldChar w:fldCharType="end"/>
      </w:r>
      <w:r>
        <w:t>.</w:t>
      </w:r>
      <w:r w:rsidR="000674BC">
        <w:t xml:space="preserve"> </w:t>
      </w:r>
      <w:r w:rsidRPr="000674BC">
        <w:rPr>
          <w:rFonts w:cs="Arial"/>
        </w:rPr>
        <w:t xml:space="preserve">Kotitalouksien kulutuksen hiilijalanjälki kulutushyödykkeittäin vuonna 2021 jaettuna kotimaan ja tuonnin päästöihin. Luokitus perustuu kulutushyödykeluokkaan (COICOP-luokitus, ks. Tilastokeskus, 2002). KULO-hanke, ss. </w:t>
      </w:r>
      <w:proofErr w:type="gramStart"/>
      <w:r w:rsidRPr="000674BC">
        <w:rPr>
          <w:rFonts w:cs="Arial"/>
        </w:rPr>
        <w:t>22-23</w:t>
      </w:r>
      <w:proofErr w:type="gramEnd"/>
      <w:r w:rsidRPr="000674BC">
        <w:rPr>
          <w:rFonts w:ascii="Segoe UI" w:hAnsi="Segoe UI" w:cs="Segoe UI"/>
          <w:i w:val="0"/>
          <w:color w:val="auto"/>
          <w:spacing w:val="1"/>
        </w:rPr>
        <w:t> </w:t>
      </w:r>
    </w:p>
    <w:p w14:paraId="6D5922F2" w14:textId="77777777" w:rsidR="00F54D4E" w:rsidRPr="005F4D87" w:rsidRDefault="00F54D4E" w:rsidP="0EBA5103">
      <w:pPr>
        <w:pStyle w:val="VNLeip1kappale"/>
        <w:rPr>
          <w:rFonts w:ascii="Segoe UI" w:hAnsi="Segoe UI" w:cs="Segoe UI"/>
          <w:sz w:val="18"/>
          <w:szCs w:val="18"/>
        </w:rPr>
      </w:pPr>
    </w:p>
    <w:p w14:paraId="1B901B58" w14:textId="2CF25DCA" w:rsidR="005F4D87" w:rsidRPr="005F4D87" w:rsidRDefault="005F4D87" w:rsidP="005F4D87">
      <w:pPr>
        <w:textAlignment w:val="baseline"/>
        <w:rPr>
          <w:rFonts w:ascii="Segoe UI" w:hAnsi="Segoe UI" w:cs="Segoe UI"/>
          <w:sz w:val="18"/>
          <w:szCs w:val="18"/>
        </w:rPr>
      </w:pPr>
      <w:r>
        <w:rPr>
          <w:noProof/>
        </w:rPr>
        <w:drawing>
          <wp:inline distT="0" distB="0" distL="0" distR="0" wp14:anchorId="465CA2A3" wp14:editId="7C05A7F3">
            <wp:extent cx="5749925" cy="3432810"/>
            <wp:effectExtent l="0" t="0" r="3175" b="0"/>
            <wp:docPr id="130" name="Kuva 79" descr="Chart 1, Kaavion 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9"/>
                    <pic:cNvPicPr/>
                  </pic:nvPicPr>
                  <pic:blipFill>
                    <a:blip r:embed="rId55">
                      <a:extLst>
                        <a:ext uri="{28A0092B-C50C-407E-A947-70E740481C1C}">
                          <a14:useLocalDpi xmlns:a14="http://schemas.microsoft.com/office/drawing/2010/main" val="0"/>
                        </a:ext>
                      </a:extLst>
                    </a:blip>
                    <a:stretch>
                      <a:fillRect/>
                    </a:stretch>
                  </pic:blipFill>
                  <pic:spPr>
                    <a:xfrm>
                      <a:off x="0" y="0"/>
                      <a:ext cx="5749925" cy="3432810"/>
                    </a:xfrm>
                    <a:prstGeom prst="rect">
                      <a:avLst/>
                    </a:prstGeom>
                  </pic:spPr>
                </pic:pic>
              </a:graphicData>
            </a:graphic>
          </wp:inline>
        </w:drawing>
      </w:r>
      <w:r w:rsidRPr="005F4D87">
        <w:rPr>
          <w:rFonts w:cs="Arial"/>
          <w:sz w:val="22"/>
          <w:szCs w:val="22"/>
        </w:rPr>
        <w:t> </w:t>
      </w:r>
    </w:p>
    <w:p w14:paraId="7AB59547" w14:textId="77777777" w:rsidR="005F4D87" w:rsidRPr="005F4D87" w:rsidRDefault="005F4D87" w:rsidP="0EBA5103">
      <w:pPr>
        <w:pStyle w:val="VNLeip1kappale"/>
        <w:rPr>
          <w:rFonts w:ascii="Segoe UI" w:hAnsi="Segoe UI" w:cs="Segoe UI"/>
          <w:sz w:val="18"/>
          <w:szCs w:val="18"/>
        </w:rPr>
      </w:pPr>
      <w:r w:rsidRPr="005F4D87">
        <w:t>Hiilijalanjäljen pääluokkien päästöt ovat pienentyneet 2000–2021 seuraavasti: asuminen ja energia -60 %, muut tavarat ja palvelut -32 %, liikkuminen -43 % ja elintarvikkeet ja alkoholittomat juomat -17 %. Kulutuksen hiilijalanjäljestä asumisen ja energian osuus laski 45 %:sta 33 %:iin vuosien 2000–2021 välillä. Samalla elintarvikkeiden ja alkoholittomien juomien osuus kasvoi 6 prosenttiyksikköä. Muiden tavaroiden ja palveluiden kasvu oli 5 prosenttiyksikköä. Liikkumisen osuus pysyi lähes ennallaan. </w:t>
      </w:r>
    </w:p>
    <w:p w14:paraId="232CC0E1" w14:textId="77777777" w:rsidR="005F4D87" w:rsidRPr="005F4D87" w:rsidRDefault="005F4D87" w:rsidP="0EBA5103">
      <w:pPr>
        <w:pStyle w:val="VNLeip1kappale"/>
        <w:rPr>
          <w:rFonts w:ascii="Segoe UI" w:hAnsi="Segoe UI" w:cs="Segoe UI"/>
          <w:sz w:val="18"/>
          <w:szCs w:val="18"/>
        </w:rPr>
      </w:pPr>
      <w:r w:rsidRPr="005F4D87">
        <w:t>Kotitalouksien hiilijalanjäljestä noin 46 % syntyy ulkomailla. Tuontipäästöjen osuus vaihtelee hyödykkeittäin. Energiankulutuksessa kotimainen osuus on suuri, mutta esimerkiksi vaatteissa, elektroniikassa ja ajoneuvoissa tuonnista aiheutuvat päästöt ovat merkittäviä.  </w:t>
      </w:r>
    </w:p>
    <w:p w14:paraId="06F03A81" w14:textId="77777777" w:rsidR="005F4D87" w:rsidRPr="005F4D87" w:rsidRDefault="005F4D87" w:rsidP="0EBA5103">
      <w:pPr>
        <w:pStyle w:val="VNLeip1kappale"/>
        <w:rPr>
          <w:rFonts w:ascii="Segoe UI" w:hAnsi="Segoe UI" w:cs="Segoe UI"/>
          <w:sz w:val="18"/>
          <w:szCs w:val="18"/>
        </w:rPr>
      </w:pPr>
      <w:r w:rsidRPr="005F4D87">
        <w:t>Suomessa kotitalouksien kulutuksen hiilijalanjälki (sisältäen sekä kotimaiset että tuontipäästöt) on pienentynyt 41 % vuosina 2000–2021, eli reilusta 70 miljoonasta CO</w:t>
      </w:r>
      <w:r w:rsidRPr="005F4D87">
        <w:rPr>
          <w:sz w:val="17"/>
          <w:szCs w:val="17"/>
          <w:vertAlign w:val="subscript"/>
        </w:rPr>
        <w:t>2</w:t>
      </w:r>
      <w:r w:rsidRPr="005F4D87">
        <w:t>-ekvivalenttitonnista reiluun 40 miljoonaan CO</w:t>
      </w:r>
      <w:r w:rsidRPr="005F4D87">
        <w:rPr>
          <w:sz w:val="17"/>
          <w:szCs w:val="17"/>
          <w:vertAlign w:val="subscript"/>
        </w:rPr>
        <w:t>2</w:t>
      </w:r>
      <w:r w:rsidRPr="005F4D87">
        <w:t>-ekvivalenttitonniin. Samalla KULO-hankkeen mukaan kotitalouksien kulutusmenot ovat kasvaneet 43 % vuoden 2019 hintatasossa, eli noin 85 miljardista eurosta noin 120 miljardiin euroon. Hiilijalanjälki kasvoi 2000-luvun alkuvuosina, mutta vuoden 2003 huippuarvon jälkeen se on laskenut. Vuodesta 2015 alkaen hiilijalanjälki on vakiintunut noin 40 Mt CO</w:t>
      </w:r>
      <w:r w:rsidRPr="005F4D87">
        <w:rPr>
          <w:sz w:val="17"/>
          <w:szCs w:val="17"/>
          <w:vertAlign w:val="subscript"/>
        </w:rPr>
        <w:t>2</w:t>
      </w:r>
      <w:r w:rsidRPr="005F4D87">
        <w:t>-ekv. tasolle. </w:t>
      </w:r>
    </w:p>
    <w:p w14:paraId="49011445" w14:textId="77777777" w:rsidR="005F4D87" w:rsidRDefault="005F4D87" w:rsidP="0EBA5103">
      <w:pPr>
        <w:pStyle w:val="VNLeip1kappale"/>
      </w:pPr>
      <w:r w:rsidRPr="005F4D87">
        <w:t>Alla olevassa kuviossa esitetään kotitalouksien kulutuksen päästöjen ja kulutusmenojen kehitys henkeä kohden vuodesta 2000 alkaen.  Päästöintensiteetti on pienentynyt vuodesta 2003 lähtien lähes joka vuosi, lukuun ottamatta neljää poikkeusvuotta. Henkilöä kohden laskettu vuotuinen hiilijalanjälki on ollut noin 8 t CO</w:t>
      </w:r>
      <w:r w:rsidRPr="005F4D87">
        <w:rPr>
          <w:sz w:val="17"/>
          <w:szCs w:val="17"/>
          <w:vertAlign w:val="subscript"/>
        </w:rPr>
        <w:t>2</w:t>
      </w:r>
      <w:r w:rsidRPr="005F4D87">
        <w:t>-ekv. vuodesta 2015 lähtien. Vuonna 2021 se oli noin 7,7 t CO</w:t>
      </w:r>
      <w:r w:rsidRPr="005F4D87">
        <w:rPr>
          <w:sz w:val="17"/>
          <w:szCs w:val="17"/>
          <w:vertAlign w:val="subscript"/>
        </w:rPr>
        <w:t>2</w:t>
      </w:r>
      <w:r w:rsidRPr="005F4D87">
        <w:t>-ekv. Täten on tapahtunut absoluuttista irtikytkentää kulutuksen ja sen aiheuttamien päästöjen välillä, sillä vaikka kulutus on kasvanut, kulutuksen päästöt ovat pienentyneet.  </w:t>
      </w:r>
    </w:p>
    <w:p w14:paraId="0E150351" w14:textId="3B761024" w:rsidR="000674BC" w:rsidRPr="005F4D87" w:rsidRDefault="000674BC" w:rsidP="000674BC">
      <w:pPr>
        <w:pStyle w:val="Kuvaotsikko"/>
        <w:rPr>
          <w:rFonts w:ascii="Segoe UI" w:hAnsi="Segoe UI" w:cs="Segoe UI"/>
        </w:rPr>
      </w:pPr>
      <w:r>
        <w:t xml:space="preserve">Kuvio </w:t>
      </w:r>
      <w:r>
        <w:fldChar w:fldCharType="begin"/>
      </w:r>
      <w:r>
        <w:instrText xml:space="preserve"> SEQ Kuvio \* ARABIC </w:instrText>
      </w:r>
      <w:r>
        <w:fldChar w:fldCharType="separate"/>
      </w:r>
      <w:r>
        <w:rPr>
          <w:noProof/>
        </w:rPr>
        <w:t>23</w:t>
      </w:r>
      <w:r>
        <w:fldChar w:fldCharType="end"/>
      </w:r>
      <w:r>
        <w:t xml:space="preserve">. </w:t>
      </w:r>
      <w:r w:rsidRPr="000674BC">
        <w:rPr>
          <w:rFonts w:cs="Arial"/>
        </w:rPr>
        <w:t>Kotitalouksien kulutusmenot ja kulutusperäiset päästöt pääluokittain henkeä kohden 2000–2021. Laskenta ja kuvio tuotettu Kestävän kulutuksen ohjauskeinot –hankkeessa (KULO).</w:t>
      </w:r>
      <w:r w:rsidRPr="005F4D87">
        <w:rPr>
          <w:rFonts w:cs="Arial"/>
          <w:sz w:val="22"/>
          <w:szCs w:val="22"/>
        </w:rPr>
        <w:t> </w:t>
      </w:r>
    </w:p>
    <w:p w14:paraId="4205A0F1" w14:textId="77777777" w:rsidR="000674BC" w:rsidRPr="005F4D87" w:rsidRDefault="000674BC" w:rsidP="0EBA5103">
      <w:pPr>
        <w:pStyle w:val="VNLeip1kappale"/>
        <w:rPr>
          <w:rFonts w:ascii="Segoe UI" w:hAnsi="Segoe UI" w:cs="Segoe UI"/>
          <w:sz w:val="18"/>
          <w:szCs w:val="18"/>
        </w:rPr>
      </w:pPr>
    </w:p>
    <w:p w14:paraId="497377C1" w14:textId="6904D33D" w:rsidR="005F4D87" w:rsidRPr="005F4D87" w:rsidRDefault="005F4D87" w:rsidP="005F4D87">
      <w:pPr>
        <w:ind w:right="75"/>
        <w:jc w:val="both"/>
        <w:textAlignment w:val="baseline"/>
        <w:rPr>
          <w:rFonts w:ascii="Segoe UI" w:hAnsi="Segoe UI" w:cs="Segoe UI"/>
          <w:sz w:val="18"/>
          <w:szCs w:val="18"/>
        </w:rPr>
      </w:pPr>
      <w:r w:rsidRPr="005F4D87">
        <w:rPr>
          <w:rFonts w:cs="Arial"/>
          <w:sz w:val="22"/>
          <w:szCs w:val="22"/>
        </w:rPr>
        <w:t> </w:t>
      </w:r>
      <w:r>
        <w:rPr>
          <w:noProof/>
        </w:rPr>
        <w:drawing>
          <wp:inline distT="0" distB="0" distL="0" distR="0" wp14:anchorId="435D6FA9" wp14:editId="1283F0D1">
            <wp:extent cx="5106670" cy="2611755"/>
            <wp:effectExtent l="0" t="0" r="0" b="0"/>
            <wp:docPr id="131" name="Kuva 78" descr="Chart 1, Kaavion 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8"/>
                    <pic:cNvPicPr/>
                  </pic:nvPicPr>
                  <pic:blipFill>
                    <a:blip r:embed="rId56">
                      <a:extLst>
                        <a:ext uri="{28A0092B-C50C-407E-A947-70E740481C1C}">
                          <a14:useLocalDpi xmlns:a14="http://schemas.microsoft.com/office/drawing/2010/main" val="0"/>
                        </a:ext>
                      </a:extLst>
                    </a:blip>
                    <a:stretch>
                      <a:fillRect/>
                    </a:stretch>
                  </pic:blipFill>
                  <pic:spPr>
                    <a:xfrm>
                      <a:off x="0" y="0"/>
                      <a:ext cx="5106670" cy="2611755"/>
                    </a:xfrm>
                    <a:prstGeom prst="rect">
                      <a:avLst/>
                    </a:prstGeom>
                  </pic:spPr>
                </pic:pic>
              </a:graphicData>
            </a:graphic>
          </wp:inline>
        </w:drawing>
      </w:r>
      <w:r w:rsidRPr="005F4D87">
        <w:rPr>
          <w:rFonts w:cs="Arial"/>
          <w:sz w:val="22"/>
          <w:szCs w:val="22"/>
        </w:rPr>
        <w:t> </w:t>
      </w:r>
    </w:p>
    <w:p w14:paraId="5E5656E0" w14:textId="77777777" w:rsidR="005F4D87" w:rsidRPr="005F4D87" w:rsidRDefault="005F4D87" w:rsidP="0EBA5103">
      <w:pPr>
        <w:pStyle w:val="VNLeip1kappale"/>
        <w:rPr>
          <w:rFonts w:ascii="Segoe UI" w:hAnsi="Segoe UI" w:cs="Segoe UI"/>
          <w:sz w:val="18"/>
          <w:szCs w:val="18"/>
        </w:rPr>
      </w:pPr>
      <w:r w:rsidRPr="005F4D87">
        <w:t>Hiilijalanjäljen taustalla olevat tekijät ovat vaikutuksiltaan erisuuntaisia, eli on ollut sekä päästöjä lisääviä että niitä vähentäviä kehityssuuntia. Kulutusmenojen kasvu vaikuttaa päästöjä lisäävästi kokonaistasolla lähes 20 miljoonaa CO</w:t>
      </w:r>
      <w:r w:rsidRPr="005F4D87">
        <w:rPr>
          <w:sz w:val="17"/>
          <w:szCs w:val="17"/>
          <w:vertAlign w:val="subscript"/>
        </w:rPr>
        <w:t>2</w:t>
      </w:r>
      <w:r w:rsidRPr="005F4D87">
        <w:t>-ekvivalenttitonnin edestä.  Kulutuskäyttäytymisen muutosten, kuten sähkön, kulutuselektroniikan ja harrastusvälineiden kulutuksen kasvun päästöjä lisäävä vaikutus on sen sijaan nostanut päästöjä vain noin 1,5 miljoonaa CO</w:t>
      </w:r>
      <w:r w:rsidRPr="005F4D87">
        <w:rPr>
          <w:sz w:val="17"/>
          <w:szCs w:val="17"/>
          <w:vertAlign w:val="subscript"/>
        </w:rPr>
        <w:t>2</w:t>
      </w:r>
      <w:r w:rsidRPr="005F4D87">
        <w:t>-ekvivalenttitonnia eli niiden vaikutuksen voidaan arvioida olevan vähäinen. </w:t>
      </w:r>
    </w:p>
    <w:p w14:paraId="314FABEA" w14:textId="77777777" w:rsidR="005F4D87" w:rsidRPr="005F4D87" w:rsidRDefault="005F4D87" w:rsidP="0EBA5103">
      <w:pPr>
        <w:pStyle w:val="VNLeip1kappale"/>
        <w:rPr>
          <w:rFonts w:ascii="Segoe UI" w:hAnsi="Segoe UI" w:cs="Segoe UI"/>
          <w:sz w:val="18"/>
          <w:szCs w:val="18"/>
        </w:rPr>
      </w:pPr>
      <w:r w:rsidRPr="005F4D87">
        <w:t>Suurin päästöjä vähentävä tekijä on ollut teknologinen kehitys, jonka ansiosta päästöt ovat vähentyneet kokonaistasolla yli 50 miljoonaa CO</w:t>
      </w:r>
      <w:r w:rsidRPr="005F4D87">
        <w:rPr>
          <w:sz w:val="17"/>
          <w:szCs w:val="17"/>
          <w:vertAlign w:val="subscript"/>
        </w:rPr>
        <w:t>2</w:t>
      </w:r>
      <w:r w:rsidRPr="005F4D87">
        <w:t>-ekvivalenttitonnia. Päästökertoimet pienenivät kaikissa kulutushyödykeryhmissä. Kehitystä nähtiin erityisesti asumisessa ja energiassa, kotitaloussähkössä sekä poltto- ja voiteluaineissa. Myös liikennepalveluissa päästökertoimet laskivat merkittävästi. Vähäpäästöisempi sähkön ja lämmön tuotanto on vähentänyt päästöjä koko kulutushyödykkeiden valmistusketjussa, mikä on vaikuttanut kotitalouksien hiilijalanjälkeen laaja-alaisesti. </w:t>
      </w:r>
    </w:p>
    <w:p w14:paraId="5882EFFF" w14:textId="77777777" w:rsidR="005F4D87" w:rsidRPr="005F4D87" w:rsidRDefault="005F4D87" w:rsidP="005F4D87">
      <w:pPr>
        <w:textAlignment w:val="baseline"/>
        <w:rPr>
          <w:rFonts w:ascii="Segoe UI" w:hAnsi="Segoe UI" w:cs="Segoe UI"/>
          <w:sz w:val="18"/>
          <w:szCs w:val="18"/>
        </w:rPr>
      </w:pPr>
      <w:r w:rsidRPr="2A0A9E9C">
        <w:rPr>
          <w:rFonts w:ascii="Arial Narrow" w:hAnsi="Arial Narrow" w:cs="Segoe UI"/>
          <w:b/>
          <w:color w:val="365ABD" w:themeColor="accent3"/>
          <w:sz w:val="26"/>
          <w:szCs w:val="26"/>
        </w:rPr>
        <w:t>Kulutusperäisiin päästöihin vaikuttava politiikka ja valinnat</w:t>
      </w:r>
      <w:r w:rsidRPr="2A0A9E9C">
        <w:rPr>
          <w:rFonts w:ascii="Arial Narrow" w:hAnsi="Arial Narrow" w:cs="Segoe UI"/>
          <w:color w:val="365ABD" w:themeColor="accent3"/>
          <w:sz w:val="26"/>
          <w:szCs w:val="26"/>
        </w:rPr>
        <w:t> </w:t>
      </w:r>
    </w:p>
    <w:p w14:paraId="323DE81F" w14:textId="77777777" w:rsidR="005F4D87" w:rsidRPr="005F4D87" w:rsidRDefault="005F4D87" w:rsidP="0EBA5103">
      <w:pPr>
        <w:pStyle w:val="VNLeip1kappale"/>
        <w:rPr>
          <w:rFonts w:ascii="Segoe UI" w:hAnsi="Segoe UI" w:cs="Segoe UI"/>
          <w:sz w:val="18"/>
          <w:szCs w:val="18"/>
        </w:rPr>
      </w:pPr>
      <w:r w:rsidRPr="005F4D87">
        <w:t xml:space="preserve">Toimivalla ilmastopolitiikalla on merkitystä kuluttajien hiilijalanjäljen pienentämisessä: kuluttajan hiilijalanjälki pienenee, vaikkei kuluttaja tietoisesti pyrkisi vähentämään aiheuttamiaan päästöjä. Kulutukseen vaikuttavat ohjauskeinot voidaan tyypillisesti jakaa normiohjaukseen, taloudellisiin ohjauskeinoihin kuten verotukseen ja avustuksiin, sekä informaatio-ohjaukseen kuten kampanjat, kasvatus ja muu viestintä kuten ympäristömerkintä. Lisäksi kulutusta voidaan ohjata markkinoiden muuttamisella ja tarjonnalla, palvelujen tarjonnalla, tuuppauksella tai vapaaehtoisilla sopimuksilla, </w:t>
      </w:r>
      <w:proofErr w:type="spellStart"/>
      <w:r w:rsidRPr="005F4D87">
        <w:t>green</w:t>
      </w:r>
      <w:proofErr w:type="spellEnd"/>
      <w:r w:rsidRPr="005F4D87">
        <w:t xml:space="preserve"> </w:t>
      </w:r>
      <w:proofErr w:type="spellStart"/>
      <w:r w:rsidRPr="005F4D87">
        <w:t>dealeillä</w:t>
      </w:r>
      <w:proofErr w:type="spellEnd"/>
      <w:r w:rsidRPr="005F4D87">
        <w:t xml:space="preserve"> sekä tuotteiden ja palveluiden muotoilulla. Arvot ja kulttuuriset tekijät ovat tärkeitä perustavanlaatuisia vaikuttajia elämäntapoihin ja sen myötä kulutusvalintoihin   </w:t>
      </w:r>
    </w:p>
    <w:p w14:paraId="0BFEC8FA" w14:textId="77777777" w:rsidR="005F4D87" w:rsidRPr="005F4D87" w:rsidRDefault="005F4D87" w:rsidP="0EBA5103">
      <w:pPr>
        <w:pStyle w:val="VNLeip1kappale"/>
        <w:rPr>
          <w:rFonts w:ascii="Segoe UI" w:hAnsi="Segoe UI" w:cs="Segoe UI"/>
          <w:sz w:val="18"/>
          <w:szCs w:val="18"/>
        </w:rPr>
      </w:pPr>
      <w:r w:rsidRPr="005F4D87">
        <w:t>Yritykset ja julkinen valta vaikuttavat omalta osaltaan siihen, mitä tuotteita, palveluita, infrastruktuureja ja muita ratkaisuja on tai ei ole kuluttajan käytettävissä. Hinnan ja tuotteiden kestävyyden ollessa keskeisiä yksilöitä ohjaavia tekijöitä, tehokas ohjaus luo taloudellisia kannustimia kestävämmille tuotteille, palveluille ja elämäntavoille. Toisaalta jo rakennetut runsaasti päästöjä aiheuttavat infrastruktuurit ja järjestelmät saattavat lukita kuluttajia vanhoihin malleihin ja ratkaisuihin (</w:t>
      </w:r>
      <w:proofErr w:type="spellStart"/>
      <w:r w:rsidRPr="005F4D87">
        <w:t>lock</w:t>
      </w:r>
      <w:proofErr w:type="spellEnd"/>
      <w:r w:rsidRPr="005F4D87">
        <w:t xml:space="preserve">-in </w:t>
      </w:r>
      <w:proofErr w:type="spellStart"/>
      <w:r w:rsidRPr="005F4D87">
        <w:t>effect</w:t>
      </w:r>
      <w:proofErr w:type="spellEnd"/>
      <w:r w:rsidRPr="005F4D87">
        <w:t>) ja keskeistä olisi muuttaa näitä rakenteita siten, etteivät ne hankaloita kuluttajien siirtymistä ilmaston kannalta parempiin vaihtoehtoihin. Oletusvaihtoehto on yksi myös vahvimmista käyttäytymistaloustieteen keinoista vaikuttaa kuluttajakäyttäytymiseen: ne ovat lähtöasetuksia, jotka otetaan käyttöön, jos käyttäjä ei aktiivisesti pyri muuttamaan niitä. Valtio voi jatkossa edistää oikeudenmukaista siirtymää ja ohjauskeinojen hyväksyttävyyttä muun muassa EU:n uuden sosiaalirahaston kautta. </w:t>
      </w:r>
    </w:p>
    <w:p w14:paraId="4870DEE2" w14:textId="1C4DF1F6" w:rsidR="005F4D87" w:rsidRPr="005F4D87" w:rsidRDefault="005F4D87" w:rsidP="0EBA5103">
      <w:pPr>
        <w:pStyle w:val="VNLeip1kappale"/>
        <w:rPr>
          <w:rFonts w:ascii="Segoe UI" w:hAnsi="Segoe UI" w:cs="Segoe UI"/>
          <w:sz w:val="18"/>
          <w:szCs w:val="18"/>
        </w:rPr>
      </w:pPr>
      <w:r w:rsidRPr="005F4D87">
        <w:t>Tämän suunnitelman valmistelun yhteydessä Syke tarkasteli missä määrin kulutukseen ja kiertotalouteen liittyvät toimet voisivat vaikuttaa taakanjakosektorin päästökehitykseen. Tarkastelu perustui kvantitatiiviseen analyysiin, jossa hyödynnettiin Suomen taloutta kuvaavaa ENVIMAT-simulointimallia. Arviointia varten tuotettiin ensin perusskenaario, joka sisältää tietyt oletukset talouden ja väestön kehityksestä sekä puhtaasta energiasiirtymästä. Perusskenaario on pääpirteissään linjassa KEITO-</w:t>
      </w:r>
      <w:r w:rsidR="008B57A6">
        <w:t>työssä</w:t>
      </w:r>
      <w:r w:rsidRPr="005F4D87">
        <w:t xml:space="preserve"> käytetyn perusskenaarion kanssa. Työssä käytetty politiikkaskenaario muodostui joukosta kulutukseen ja kiertotalouteen liittyvistä oletetuista toimista. </w:t>
      </w:r>
    </w:p>
    <w:p w14:paraId="2D23698E" w14:textId="77777777" w:rsidR="005F4D87" w:rsidRPr="005F4D87" w:rsidRDefault="005F4D87" w:rsidP="0EBA5103">
      <w:pPr>
        <w:pStyle w:val="VNLeip1kappale"/>
        <w:rPr>
          <w:rFonts w:ascii="Segoe UI" w:hAnsi="Segoe UI" w:cs="Segoe UI"/>
          <w:sz w:val="18"/>
          <w:szCs w:val="18"/>
        </w:rPr>
      </w:pPr>
      <w:r w:rsidRPr="005F4D87">
        <w:t>Tulosten mukaan mallinnetuilla kulutuksen toimenpiteillä on potentiaalia vähentää taakanjakosektorin päästöjä n. 0,9 Mt CO</w:t>
      </w:r>
      <w:r w:rsidRPr="000235FA">
        <w:rPr>
          <w:vertAlign w:val="subscript"/>
        </w:rPr>
        <w:t>2</w:t>
      </w:r>
      <w:r w:rsidRPr="005F4D87">
        <w:t>-ekv. verrattuna perusskenaarioon vuonna 2035. Suurimmat vaikutukset saataisiin kasvispainotteisemmalla ruokavaliolla ja autokannan nopeammalla sähköistymisellä. Kiertotaloustoimenpiteiden päästövähennyspotentiaali on vastaavalla tavalla n. 0,8 Mt CO</w:t>
      </w:r>
      <w:r w:rsidRPr="000235FA">
        <w:rPr>
          <w:vertAlign w:val="subscript"/>
        </w:rPr>
        <w:t>2</w:t>
      </w:r>
      <w:r w:rsidRPr="005F4D87">
        <w:t>-ekv. verrattuna perusskenaarioon. Kiertotaloustoimenpiteistä taakanjakosektorin päästöjä vähentäisivät erityisesti yleinen materiaalitehostuminen, ruokahävikin vähentäminen ja ravinteiden kierrätys. Tulokset osoittavat, että taakanjakosektorilla on edelleen päästövähennyspotentiaalia. ENVIMAT-laskentaan ei kuitenkaan sisältynyt oletuksia siitä millä ohjauskeinoilla olisi mahdollista saavuttaa tulosten mukaisia päästövähennyksiä.   </w:t>
      </w:r>
    </w:p>
    <w:p w14:paraId="4295442D" w14:textId="77777777" w:rsidR="005F4D87" w:rsidRPr="005F4D87" w:rsidRDefault="005F4D87" w:rsidP="0EBA5103">
      <w:pPr>
        <w:pStyle w:val="VNLeip1kappale"/>
        <w:rPr>
          <w:rFonts w:ascii="Segoe UI" w:hAnsi="Segoe UI" w:cs="Segoe UI"/>
          <w:sz w:val="18"/>
          <w:szCs w:val="18"/>
        </w:rPr>
      </w:pPr>
      <w:r w:rsidRPr="005F4D87">
        <w:t>Ilmastopaneelin raportissa arvioitiin, että kotitalouksien yhteenlasketun lisäpäästövähennyspotentiaali voisi olla sen ehdottamien toimien valossa absoluuttisena määränä Suomessa noin 3,7–4,3 Mt CO</w:t>
      </w:r>
      <w:r w:rsidRPr="005F4D87">
        <w:rPr>
          <w:sz w:val="17"/>
          <w:szCs w:val="17"/>
          <w:vertAlign w:val="subscript"/>
        </w:rPr>
        <w:t>2</w:t>
      </w:r>
      <w:r w:rsidRPr="005F4D87">
        <w:t>-ekv. vuodessa. Tästä runsaat 40 prosenttia liittyisi ruokavalion muuttamiseen kasvispainotteisemmaksi terveyssuositusten mukaisesti. Muun kuin ruoan kulutuksen osalta lisäiset toimet johtaisivat Suomessa arviolta 1,5–1,6 Mt CO</w:t>
      </w:r>
      <w:r w:rsidRPr="005F4D87">
        <w:rPr>
          <w:sz w:val="17"/>
          <w:szCs w:val="17"/>
          <w:vertAlign w:val="subscript"/>
        </w:rPr>
        <w:t>2</w:t>
      </w:r>
      <w:r w:rsidRPr="005F4D87">
        <w:t>-ekv. päästövähennyslisään vuonna 2030. Tästä puolet liittyvät liikenteen lisätoimiin.  </w:t>
      </w:r>
    </w:p>
    <w:p w14:paraId="73655925" w14:textId="77777777" w:rsidR="005F4D87" w:rsidRPr="005F4D87" w:rsidRDefault="005F4D87" w:rsidP="0EBA5103">
      <w:pPr>
        <w:pStyle w:val="VNLeip1kappale"/>
        <w:rPr>
          <w:rFonts w:ascii="Segoe UI" w:hAnsi="Segoe UI" w:cs="Segoe UI"/>
          <w:sz w:val="18"/>
          <w:szCs w:val="18"/>
        </w:rPr>
      </w:pPr>
      <w:r w:rsidRPr="005F4D87">
        <w:t>KULO-hankkeessa arvioitiin ja koottiin sellaisia ohjauskeinoyhdistelmiä, joilla kotitalouksien kulutusmenojen hiilijalanjälkeä voidaan pienentää vähintään 50 % ja 70 % vuoden 2016 tasosta vuoteen 2035 mennessä. Sektorikohtaisia toimia käsitellään niitä käsittelevissä luvuissa tässä suunnitelmassa. Hankkeen raportissa ehdotettiin tutkimuskirjallisuuden perusteella poikkihallinnollisia toimenpiteitä kuten taloudellisia ja viestinnän ohjauskeinoja, yhdyskuntasuunnittelun keinoja, kuluttajakäyttäytymiseen vaikuttamista mm. ympäristömerkinnöillä. Taloudellisen ohjauksen mahdollisina keinoina on esitetty tuotteiden elinkaarisiin päästöihin pohjautuvaa verotusta. Kulutuksen hiili-intensiteetin verotusta on myös tarkasteltu keinona ehkäistä hiilivuotoa. Elinkaarisiin päästöihin kohdistuva vero olisi mahdollista ulottaa useisiin tuoteryhmiin. Elinkaarisen päästöveron käyttöä ilmastopolitiikan ohjauskeinona selvitettiin rinnakkaisessa VNTEAS-hankkeessa EKUVE.  </w:t>
      </w:r>
    </w:p>
    <w:p w14:paraId="1219E8BD" w14:textId="77777777" w:rsidR="005F4D87" w:rsidRPr="005F4D87" w:rsidRDefault="005F4D87" w:rsidP="0EBA5103">
      <w:pPr>
        <w:pStyle w:val="VNLeip1kappale"/>
        <w:rPr>
          <w:rFonts w:ascii="Segoe UI" w:hAnsi="Segoe UI" w:cs="Segoe UI"/>
          <w:sz w:val="18"/>
          <w:szCs w:val="18"/>
        </w:rPr>
      </w:pPr>
      <w:r w:rsidRPr="005F4D87">
        <w:t xml:space="preserve">Toinen tapa ohjata kulutusta poikkileikkaavasti on henkilökohtaisen päästökiintiön ja päästökaupan yhdistelmä. Henkilökohtaisia hiilibudjetteja on tutkittu simulaatiokokeessa ja todellisissa olosuhteissa. Suomessa liikenteen henkilökohtaista päästökauppaa on testattu Lahdessa </w:t>
      </w:r>
      <w:proofErr w:type="spellStart"/>
      <w:r w:rsidRPr="005F4D87">
        <w:t>CitiCAP</w:t>
      </w:r>
      <w:proofErr w:type="spellEnd"/>
      <w:r w:rsidRPr="005F4D87">
        <w:t>-hankkeessa. Hankkeessa päästöylityksistä ei tullut kustannuksia, mutta alituksista palkittiin. Toteutuessaan järjestelmä vaikuttaisi tulonjakoon siten että pienituloiset hyötyisivät siitä muita enemmän.  </w:t>
      </w:r>
    </w:p>
    <w:p w14:paraId="07025DBA" w14:textId="77777777" w:rsidR="005F4D87" w:rsidRPr="005F4D87" w:rsidRDefault="005F4D87" w:rsidP="0EBA5103">
      <w:pPr>
        <w:pStyle w:val="VNLeip1kappale"/>
        <w:rPr>
          <w:rFonts w:ascii="Segoe UI" w:hAnsi="Segoe UI" w:cs="Segoe UI"/>
          <w:sz w:val="18"/>
          <w:szCs w:val="18"/>
        </w:rPr>
      </w:pPr>
      <w:r w:rsidRPr="005F4D87">
        <w:t>Yksilöiden kannalta toimien toteutettavuus ja vaikuttavuus riippuvat muun muassa siitä asuuko henkilö lähtötilanteessa öljylämmitteisessä talossa tai omistaako autoa. Kestävä arki koostuu monista valinnoista, joista isoimmat ovat kertaluonteisia investointeja, ja osa on pitkäkestoista, päivittäistä toimintaa. Varsinkin investointien osalta toimenpiteiden realistisuus riippuu henkilön sosioekonomisesta asemasta </w:t>
      </w:r>
    </w:p>
    <w:p w14:paraId="1EA6C69D" w14:textId="11E20E3D" w:rsidR="005F4D87" w:rsidRPr="005F4D87" w:rsidRDefault="005F4D87" w:rsidP="0EBA5103">
      <w:pPr>
        <w:pStyle w:val="VNLeip1kappale"/>
        <w:rPr>
          <w:rFonts w:ascii="Segoe UI" w:hAnsi="Segoe UI" w:cs="Segoe UI"/>
          <w:sz w:val="18"/>
          <w:szCs w:val="18"/>
        </w:rPr>
      </w:pPr>
      <w:r>
        <w:t>Sektorikohtaisissa luvuissa on käsitelty suoraan esimerkiksi liikkumiseen ja lämmitykseen liittyviä toimia, jotka vähentävät hiilijalanjälkeä. Muita valtion mahdollisia toimia kulutuksen aiheuttaman hiilijalanjäljen yleiseen vähentämiseen ja kuluttajien hiilijalanjäljen puolitustavoitteen tukemiseen – keskittyen kuitenkin ruokaan, liikenteeseen ja asumiseen – ovat seuraavat: </w:t>
      </w:r>
    </w:p>
    <w:p w14:paraId="7F1E4475" w14:textId="77777777" w:rsidR="005F4D87" w:rsidRPr="005F4D87" w:rsidRDefault="005F4D87" w:rsidP="00A26B09">
      <w:pPr>
        <w:pStyle w:val="VNLeip1kappale"/>
        <w:numPr>
          <w:ilvl w:val="0"/>
          <w:numId w:val="49"/>
        </w:numPr>
      </w:pPr>
      <w:r w:rsidRPr="005F4D87">
        <w:t>Kuluttajia kannustetaan edelleen puolittamaan henkilökohtaisen hiilijalanjälkensä vuoteen 2030 mennessä. </w:t>
      </w:r>
    </w:p>
    <w:p w14:paraId="47353686" w14:textId="77777777" w:rsidR="005F4D87" w:rsidRPr="005F4D87" w:rsidRDefault="005F4D87" w:rsidP="00A26B09">
      <w:pPr>
        <w:pStyle w:val="VNLeip1kappale"/>
        <w:numPr>
          <w:ilvl w:val="0"/>
          <w:numId w:val="49"/>
        </w:numPr>
      </w:pPr>
      <w:r w:rsidRPr="005F4D87">
        <w:t>Selvitetään hiili-intensiivisten tuotteiden ja palveluiden ja vähähiilisten tuotteiden ympäristömerkintöjen edistämistä.  </w:t>
      </w:r>
    </w:p>
    <w:p w14:paraId="5F799835" w14:textId="1E244651" w:rsidR="005F4D87" w:rsidRPr="005F4D87" w:rsidRDefault="00321B71" w:rsidP="00A26B09">
      <w:pPr>
        <w:pStyle w:val="VNLeip1kappale"/>
        <w:numPr>
          <w:ilvl w:val="0"/>
          <w:numId w:val="49"/>
        </w:numPr>
      </w:pPr>
      <w:r>
        <w:t>Edistetään</w:t>
      </w:r>
      <w:r w:rsidR="005F4D87" w:rsidRPr="005F4D87">
        <w:t xml:space="preserve"> elintarvikkeiden ja muiden kulutustuotteiden elinkaaripäästöjen arviointia.  </w:t>
      </w:r>
    </w:p>
    <w:p w14:paraId="56D107D0" w14:textId="77777777" w:rsidR="005F4D87" w:rsidRPr="005F4D87" w:rsidRDefault="005F4D87" w:rsidP="00A26B09">
      <w:pPr>
        <w:pStyle w:val="VNLeip1kappale"/>
        <w:numPr>
          <w:ilvl w:val="0"/>
          <w:numId w:val="49"/>
        </w:numPr>
      </w:pPr>
      <w:r w:rsidRPr="005F4D87">
        <w:t>Tuetaan nykyisten ilmasto- ja kiertotalousopetusmateriaalien jalkauttamista. (YM yhteistyössä muiden toimijoiden kanssa) </w:t>
      </w:r>
    </w:p>
    <w:p w14:paraId="2C25993F" w14:textId="77777777" w:rsidR="005F4D87" w:rsidRPr="005F4D87" w:rsidRDefault="005F4D87" w:rsidP="00A26B09">
      <w:pPr>
        <w:pStyle w:val="VNLeip1kappale"/>
        <w:numPr>
          <w:ilvl w:val="0"/>
          <w:numId w:val="49"/>
        </w:numPr>
      </w:pPr>
      <w:r w:rsidRPr="005F4D87">
        <w:t>Varmistetaan riittävät resurssit informaatio-ohjaustoimien toteuttamiseen ja energianeuvonnan antamiseen. Kuluttajien energianeuvonnassa tarjotaan riippumatonta ja ajantasaista tietoa energian säästöstä, energiatehokkuudesta, uusiutuvan energian ratkaisuista sekä kulutusjoustomahdollisuuksista. </w:t>
      </w:r>
    </w:p>
    <w:p w14:paraId="3974C1D5" w14:textId="77777777" w:rsidR="005F4D87" w:rsidRPr="005F4D87" w:rsidRDefault="005F4D87" w:rsidP="00A26B09">
      <w:pPr>
        <w:pStyle w:val="VNLeip1kappale"/>
        <w:numPr>
          <w:ilvl w:val="0"/>
          <w:numId w:val="49"/>
        </w:numPr>
      </w:pPr>
      <w:r w:rsidRPr="005F4D87">
        <w:t>Tuotesuunnittelussa edistetään korjattavuutta ja huollettavuutta sekä tuote palveluna ratkaisuja.  </w:t>
      </w:r>
    </w:p>
    <w:p w14:paraId="4F3CC7D8" w14:textId="77777777" w:rsidR="005F4D87" w:rsidRPr="005F4D87" w:rsidRDefault="005F4D87" w:rsidP="00A26B09">
      <w:pPr>
        <w:pStyle w:val="VNLeip1kappale"/>
        <w:numPr>
          <w:ilvl w:val="0"/>
          <w:numId w:val="49"/>
        </w:numPr>
      </w:pPr>
      <w:r w:rsidRPr="005F4D87">
        <w:t>Tuetaan kiertotalouspalveluja (mm. jakaminen, vuokraaminen, lainaaminen) ohjauskeinoilla sekä lisätään niiden houkuttelevuutta.  </w:t>
      </w:r>
    </w:p>
    <w:p w14:paraId="69CB7D89" w14:textId="487D473E" w:rsidR="005F4D87" w:rsidRPr="005F4D87" w:rsidRDefault="005F4D87" w:rsidP="00A26B09">
      <w:pPr>
        <w:pStyle w:val="VNLeip1kappale"/>
        <w:numPr>
          <w:ilvl w:val="0"/>
          <w:numId w:val="49"/>
        </w:numPr>
      </w:pPr>
      <w:r w:rsidRPr="005F4D87">
        <w:t>Tuetaan luovien alojen ekologisen kestävyyden lisäämistä esim. ympäristömerkinnän kautta. </w:t>
      </w:r>
    </w:p>
    <w:p w14:paraId="7E531F51" w14:textId="16360FAF" w:rsidR="005F4D87" w:rsidRPr="005F4D87" w:rsidRDefault="005F4D87" w:rsidP="006F63EF">
      <w:pPr>
        <w:pStyle w:val="VNLeip1kappale"/>
        <w:rPr>
          <w:rFonts w:ascii="Segoe UI" w:hAnsi="Segoe UI" w:cs="Segoe UI"/>
          <w:sz w:val="18"/>
          <w:szCs w:val="18"/>
        </w:rPr>
      </w:pPr>
      <w:r w:rsidRPr="005F4D87">
        <w:t xml:space="preserve">Yksittäisten kuluttajien hiilijalanjäljen arvioimiseksi on tarjolla erilaisia laskureita ja verkkopalveluja, kuten </w:t>
      </w:r>
      <w:proofErr w:type="spellStart"/>
      <w:r w:rsidR="008A0B62">
        <w:t>Syken</w:t>
      </w:r>
      <w:proofErr w:type="spellEnd"/>
      <w:r w:rsidRPr="005F4D87">
        <w:t xml:space="preserve"> joulukuussa 2024 päivittämä Ilmastodieettilaskuri. Laskuri ottaa myös huomioon teknologisen kehityksen ja politiikkaohjauksen, eli kun esimerkiksi energiatuotanto </w:t>
      </w:r>
      <w:proofErr w:type="spellStart"/>
      <w:r w:rsidRPr="005F4D87">
        <w:t>vähäpäästöistyy</w:t>
      </w:r>
      <w:proofErr w:type="spellEnd"/>
      <w:r w:rsidRPr="005F4D87">
        <w:t xml:space="preserve"> yli ajan, pienenee myös kulutuksen hiilijalanjälki, vaikka kulutuskäyttäytyminen ei muuttuisi.  Myös Sitra on kehittynyt oman ns. elämäntapalaskurin hiilijalanjäljen arviointiin.  </w:t>
      </w:r>
    </w:p>
    <w:p w14:paraId="55E56487" w14:textId="215B5FD5" w:rsidR="005F4D87" w:rsidRPr="005F4D87" w:rsidRDefault="5CA585E7" w:rsidP="048AF818">
      <w:pPr>
        <w:pStyle w:val="Otsikko3"/>
        <w:numPr>
          <w:ilvl w:val="0"/>
          <w:numId w:val="0"/>
        </w:numPr>
        <w:ind w:left="720"/>
        <w:rPr>
          <w:color w:val="365ABD" w:themeColor="accent3"/>
        </w:rPr>
      </w:pPr>
      <w:bookmarkStart w:id="134" w:name="_Toc202260066"/>
      <w:r>
        <w:t xml:space="preserve">6.3.4 </w:t>
      </w:r>
      <w:r w:rsidR="005F4D87">
        <w:t>Julkiset hankinnat</w:t>
      </w:r>
      <w:bookmarkEnd w:id="134"/>
      <w:r w:rsidR="005F4D87">
        <w:t> </w:t>
      </w:r>
    </w:p>
    <w:p w14:paraId="5C4E83DB" w14:textId="77777777" w:rsidR="005F4D87" w:rsidRPr="005F4D87" w:rsidRDefault="005F4D87" w:rsidP="005F4D87">
      <w:pPr>
        <w:textAlignment w:val="baseline"/>
        <w:rPr>
          <w:rFonts w:ascii="Segoe UI" w:hAnsi="Segoe UI" w:cs="Segoe UI"/>
          <w:sz w:val="18"/>
          <w:szCs w:val="18"/>
        </w:rPr>
      </w:pPr>
      <w:r w:rsidRPr="005F4D87">
        <w:rPr>
          <w:rFonts w:cs="Arial"/>
          <w:color w:val="0F0F0F"/>
          <w:sz w:val="22"/>
          <w:szCs w:val="22"/>
        </w:rPr>
        <w:t> </w:t>
      </w:r>
    </w:p>
    <w:p w14:paraId="4B254937" w14:textId="77777777" w:rsidR="005F4D87" w:rsidRPr="005F4D87" w:rsidRDefault="005F4D87" w:rsidP="0EBA5103">
      <w:pPr>
        <w:pStyle w:val="VNLeip1kappale"/>
        <w:rPr>
          <w:rFonts w:ascii="Segoe UI" w:hAnsi="Segoe UI" w:cs="Segoe UI"/>
          <w:sz w:val="18"/>
          <w:szCs w:val="18"/>
        </w:rPr>
      </w:pPr>
      <w:r w:rsidRPr="005F4D87">
        <w:t>Julkisten hankintojen ekologiset tavoitteet -hanke valmistelee laajassa sidosryhmäyhteistyössä kansalliset tavoitteet vuoteen 2035 vaikuttavuudeltaan merkittävimmille hankintakategorioille hiili- ja luontojalanjäljen vähentämiselle sekä kiertotalouden edistämiselle tiekarttamaisesti. </w:t>
      </w:r>
    </w:p>
    <w:p w14:paraId="7076A8F5" w14:textId="77777777" w:rsidR="005F4D87" w:rsidRPr="005F4D87" w:rsidRDefault="005F4D87" w:rsidP="0EBA5103">
      <w:pPr>
        <w:pStyle w:val="VNLeip1kappale"/>
        <w:rPr>
          <w:rFonts w:ascii="Segoe UI" w:hAnsi="Segoe UI" w:cs="Segoe UI"/>
          <w:sz w:val="18"/>
          <w:szCs w:val="18"/>
        </w:rPr>
      </w:pPr>
      <w:r>
        <w:t xml:space="preserve">Valmistelutyön taustalla ovat hallitusohjelman kirjaus kiertotalouden ja kiertotalousmarkkinoiden edistämisestä sekä valtiovarainministeriön Hankinta-Suomi -ohjelman tavoite edistää julkisen talouden kestävyyttä ja julkisten hankintojen yhteiskunnallista vaikuttavuutta. Hyvin suunnitellulla ja kohdennetuilla julkisilla hankinnoilla voidaan edistää Petteri </w:t>
      </w:r>
      <w:proofErr w:type="spellStart"/>
      <w:r>
        <w:t>Orpon</w:t>
      </w:r>
      <w:proofErr w:type="spellEnd"/>
      <w:r>
        <w:t xml:space="preserve"> hallituksen</w:t>
      </w:r>
      <w:r w:rsidRPr="1A881142">
        <w:rPr>
          <w:color w:val="0F0F0F"/>
        </w:rPr>
        <w:t xml:space="preserve"> ilmasto-, luonto- ja kiertotaloustavoitteiden ohella hankintojen pidemmän aikavälin kustannustehokkuutta. </w:t>
      </w:r>
    </w:p>
    <w:p w14:paraId="133CA103" w14:textId="6374F292" w:rsidR="005F4D87" w:rsidRPr="005F4D87" w:rsidRDefault="005F4D87" w:rsidP="0EBA5103">
      <w:pPr>
        <w:pStyle w:val="VNLeip1kappale"/>
        <w:rPr>
          <w:rFonts w:ascii="Segoe UI" w:hAnsi="Segoe UI" w:cs="Segoe UI"/>
          <w:sz w:val="18"/>
          <w:szCs w:val="18"/>
        </w:rPr>
      </w:pPr>
      <w:r>
        <w:t>Valtiovarainministeriön Hankinta-Suomi ohjelman ensimmäisellä kaudelle (2019</w:t>
      </w:r>
      <w:r w:rsidR="437F2764">
        <w:t>–</w:t>
      </w:r>
      <w:r>
        <w:t>2023) laadittiin kansallinen hankintastrategia ja sen kahdeksan tahtotilaa, joista ekologinen kestävyys on yksi. Ekologiseen kestävyyteen on sisällytetty vaikutukset ilmastoon, luonnonmonimuotoisuuteen ja kiertotalouteen. Hankinta-Suomi ohjelman toinen kausi (2024</w:t>
      </w:r>
      <w:r w:rsidR="3C484E7D">
        <w:t>–</w:t>
      </w:r>
      <w:r>
        <w:t>2027) painottaa yrityskentän kanssa tehtävää yhteistyötä ja kilpailun lisäämistä, jatkaen edelleen ensimmäisen kauden tahtotilojen edistämistä. </w:t>
      </w:r>
    </w:p>
    <w:p w14:paraId="17F9BA0C" w14:textId="2102599D" w:rsidR="005F4D87" w:rsidRPr="005F4D87" w:rsidRDefault="005F4D87" w:rsidP="0EBA5103">
      <w:pPr>
        <w:pStyle w:val="VNLeip1kappale"/>
        <w:rPr>
          <w:rFonts w:ascii="Segoe UI" w:hAnsi="Segoe UI" w:cs="Segoe UI"/>
          <w:sz w:val="18"/>
          <w:szCs w:val="18"/>
        </w:rPr>
      </w:pPr>
      <w:r>
        <w:t xml:space="preserve">Tietopohjan ja menetelmien kehittymisen myötä katsotaan ekologisten tavoitteiden asettaminen tarpeelliseksi nyt toisella ohjelmakaudella. Työssä käytetään lähtötietoina VN TEAS HILMI -hankkeen tuloksia, </w:t>
      </w:r>
      <w:proofErr w:type="spellStart"/>
      <w:r w:rsidR="008A0B62">
        <w:t>Syken</w:t>
      </w:r>
      <w:proofErr w:type="spellEnd"/>
      <w:r>
        <w:t xml:space="preserve"> materiaalivirta- sekä vähähiilisten hankintojen selvityksiä, sen lisäksi Jyväskylän yliopiston toteuttamaa luontojalanjälki selvitystä. </w:t>
      </w:r>
    </w:p>
    <w:p w14:paraId="62631C8C" w14:textId="77777777" w:rsidR="005F4D87" w:rsidRPr="005F4D87" w:rsidRDefault="005F4D87" w:rsidP="005F4D87">
      <w:pPr>
        <w:textAlignment w:val="baseline"/>
        <w:rPr>
          <w:rFonts w:ascii="Segoe UI" w:hAnsi="Segoe UI" w:cs="Segoe UI"/>
          <w:sz w:val="18"/>
          <w:szCs w:val="18"/>
        </w:rPr>
      </w:pPr>
      <w:r w:rsidRPr="1A881142">
        <w:rPr>
          <w:rFonts w:cs="Arial"/>
          <w:b/>
          <w:bCs/>
          <w:color w:val="365ABD" w:themeColor="accent3"/>
          <w:sz w:val="26"/>
          <w:szCs w:val="26"/>
        </w:rPr>
        <w:t>Vaikutukset ja hyödyt</w:t>
      </w:r>
      <w:r w:rsidRPr="1A881142">
        <w:rPr>
          <w:rFonts w:cs="Arial"/>
          <w:color w:val="365ABD" w:themeColor="accent3"/>
          <w:sz w:val="26"/>
          <w:szCs w:val="26"/>
        </w:rPr>
        <w:t> </w:t>
      </w:r>
    </w:p>
    <w:p w14:paraId="0F4B1DEC" w14:textId="77777777" w:rsidR="005F4D87" w:rsidRPr="005F4D87" w:rsidRDefault="005F4D87" w:rsidP="0EBA5103">
      <w:pPr>
        <w:pStyle w:val="VNLeip1kappale"/>
        <w:rPr>
          <w:rFonts w:ascii="Segoe UI" w:hAnsi="Segoe UI" w:cs="Segoe UI"/>
          <w:sz w:val="18"/>
          <w:szCs w:val="18"/>
        </w:rPr>
      </w:pPr>
      <w:r>
        <w:t xml:space="preserve">Julkiset hankinnat ovat merkittävä osa Suomen kansantaloutta ja muodostavat noin 15–20 prosenttia bruttokansantuotteesta, </w:t>
      </w:r>
      <w:proofErr w:type="gramStart"/>
      <w:r>
        <w:t>laskentatavasta riippuen</w:t>
      </w:r>
      <w:proofErr w:type="gramEnd"/>
      <w:r>
        <w:t>. Tietyillä sektoreilla julkisen hankinnan osuus toiminnan kokonaisvolyymistä on merkittävä ja näistä monet, esimerkiksi rakentaminen ja elintarvikehankinnat ja ateriapalvelut ovat ympäristövaikutuksiltaan erityisen merkittäviä.  </w:t>
      </w:r>
    </w:p>
    <w:p w14:paraId="4FC7B243" w14:textId="77777777" w:rsidR="005F4D87" w:rsidRPr="005F4D87" w:rsidRDefault="005F4D87" w:rsidP="0EBA5103">
      <w:pPr>
        <w:pStyle w:val="VNLeip1kappale"/>
        <w:rPr>
          <w:rFonts w:ascii="Segoe UI" w:hAnsi="Segoe UI" w:cs="Segoe UI"/>
          <w:sz w:val="18"/>
          <w:szCs w:val="18"/>
        </w:rPr>
      </w:pPr>
      <w:r>
        <w:t>Julkiset hankinnat ovat kuntien, kuntayhtymien sekä kuntaomisteisten yhtiöiden ja hyvinvointialueiden sekä valtion virastojen, laitosten ja ministeriöiden palvelu-, urakka- ja tavarahankintoja. </w:t>
      </w:r>
    </w:p>
    <w:p w14:paraId="38FB462D" w14:textId="2D09115B" w:rsidR="005F4D87" w:rsidRDefault="005F4D87" w:rsidP="0EBA5103">
      <w:pPr>
        <w:pStyle w:val="VNLeip1kappale"/>
        <w:textAlignment w:val="baseline"/>
      </w:pPr>
      <w:r>
        <w:t xml:space="preserve">Kestävien julkisten hankintojen toteuttamiseksi tarvitaan tutkimustietoa, erilaisia ohjauskeinoja, sekä vuoropuhelua hankintayksiköiden ja yrityskentän välillä. Kansalliset ekologiset tavoitteet tuovat selkeitä tavoitetasoja julkisten hankintojen ympäristönäkökohtien toteuttamiselle. Julkisten hankintojen valmistelu ja toteuttaminen on pitkäjänteistä ja vaatii vuoropuhelua tarjoajien kanssa ennakoivasti. </w:t>
      </w:r>
    </w:p>
    <w:p w14:paraId="252EB8E8" w14:textId="77777777" w:rsidR="00406F17" w:rsidRDefault="00406F17" w:rsidP="0EBA5103">
      <w:pPr>
        <w:pStyle w:val="VNLeip1kappale"/>
        <w:textAlignment w:val="baseline"/>
      </w:pPr>
    </w:p>
    <w:p w14:paraId="1451280D" w14:textId="5DA1EE32" w:rsidR="00406F17" w:rsidRDefault="00406F17" w:rsidP="0EBA5103">
      <w:pPr>
        <w:pStyle w:val="VNLeip1kappale"/>
        <w:textAlignment w:val="baseline"/>
      </w:pPr>
    </w:p>
    <w:p w14:paraId="52C2FC3B" w14:textId="55952FF7" w:rsidR="005F4D87" w:rsidRPr="005F4D87" w:rsidRDefault="005F4D87" w:rsidP="005F4D87">
      <w:pPr>
        <w:textAlignment w:val="baseline"/>
        <w:rPr>
          <w:rFonts w:ascii="Segoe UI" w:hAnsi="Segoe UI" w:cs="Segoe UI"/>
          <w:sz w:val="18"/>
          <w:szCs w:val="18"/>
        </w:rPr>
      </w:pPr>
      <w:r w:rsidRPr="1A881142">
        <w:rPr>
          <w:rFonts w:ascii="Arial Narrow" w:hAnsi="Arial Narrow" w:cs="Segoe UI"/>
          <w:b/>
          <w:bCs/>
          <w:color w:val="365ABD" w:themeColor="accent3"/>
          <w:sz w:val="26"/>
          <w:szCs w:val="26"/>
        </w:rPr>
        <w:t>Tavoitteet ja tuotokset</w:t>
      </w:r>
      <w:r w:rsidRPr="1A881142">
        <w:rPr>
          <w:rFonts w:ascii="Arial Narrow" w:hAnsi="Arial Narrow" w:cs="Segoe UI"/>
          <w:color w:val="365ABD" w:themeColor="accent3"/>
          <w:sz w:val="26"/>
          <w:szCs w:val="26"/>
        </w:rPr>
        <w:t> </w:t>
      </w:r>
    </w:p>
    <w:p w14:paraId="1D5345F7" w14:textId="77777777" w:rsidR="005F4D87" w:rsidRPr="005F4D87" w:rsidRDefault="005F4D87" w:rsidP="0EBA5103">
      <w:pPr>
        <w:pStyle w:val="VNLeip1kappale"/>
        <w:rPr>
          <w:rFonts w:ascii="Segoe UI" w:hAnsi="Segoe UI" w:cs="Segoe UI"/>
          <w:sz w:val="18"/>
          <w:szCs w:val="18"/>
        </w:rPr>
      </w:pPr>
      <w:r>
        <w:t>Hankintayksiköt tarvitsevat konkreettisia hankintakategoriakohtaisia tavoitteita ja mittareita hiilineutraaliuden, luonnon monimuotoisuuden ja kiertotalouden edistämiseksi julkisissa hankinnoissa tutkimustietoon perustuen. Hankkeella edistetään yhteiskunnan kokonaiskestävyyttä, kokonaisturvallisuutta, huoltovarmuutta sekä vähennetään resurssien käyttöä ja kustannuksia pitkällä aikavälillä.  </w:t>
      </w:r>
    </w:p>
    <w:p w14:paraId="1EAFE91A" w14:textId="14A70A60" w:rsidR="005F4D87" w:rsidRPr="005F4D87" w:rsidRDefault="005F4D87" w:rsidP="0EBA5103">
      <w:pPr>
        <w:pStyle w:val="VNLeip1kappale"/>
        <w:rPr>
          <w:rFonts w:ascii="Segoe UI" w:hAnsi="Segoe UI" w:cs="Segoe UI"/>
          <w:sz w:val="18"/>
          <w:szCs w:val="18"/>
        </w:rPr>
      </w:pPr>
      <w:r>
        <w:t xml:space="preserve">Ekologisten tavoitteiden asettamisessa huomioidaan Suomen kiertotalousohjelma ja </w:t>
      </w:r>
      <w:r w:rsidR="1AE541A9">
        <w:t>ilmasto</w:t>
      </w:r>
      <w:r>
        <w:t>tavoitteet sekä valmisteilla oleva luonnon monimuotoisuusstrategia. Työssä pyritään varmistamaan myös sektorilainsäädännön vaatimukset mm. ekosuunnitteluasetus, akkuasetus, rakentamislaki, energiatehokkuus, ilmastolaki, puhtaat ajoneuvot ja pyritään kehittämään EU sektori- ja tuotesäädösvalmistelun kansallista koordinaatiota. EU:n sisämarkkinoilla useimmilla jäsenmailla on käytössä omia kansallisia tavoitteita tai vähimmäisvaatimuksia, jotka saattavat olla suomalaisille yrityksille haastavia, kun meillä ei vielä ole käytössä kansallisia ekologisia tavoitteita. Tulevat tavoitteet auttavat yrityksiä ennakoivasti valmistautumaan sisämarkkinoiden vaatimustasoon julkisten hankintojen velvoitteiden lisääntyessä EU:n säädöksissä (esim. energiatehokkuusdirektiivi, ekosuunnitteluasetus, akkuasetus ja pakkaus- ja pakkausjäteasetus).  </w:t>
      </w:r>
    </w:p>
    <w:p w14:paraId="5D8E5226" w14:textId="77777777" w:rsidR="005F4D87" w:rsidRPr="005F4D87" w:rsidRDefault="005F4D87" w:rsidP="0EBA5103">
      <w:pPr>
        <w:pStyle w:val="VNLeip1kappale"/>
        <w:rPr>
          <w:rFonts w:ascii="Segoe UI" w:hAnsi="Segoe UI" w:cs="Segoe UI"/>
          <w:sz w:val="18"/>
          <w:szCs w:val="18"/>
        </w:rPr>
      </w:pPr>
      <w:r w:rsidRPr="005F4D87">
        <w:t>Hankinta-Suomen ekologisen kestävyyden näkökohdat liittyvät kiertotalouteen, hiilineutraalisuuteen, luonnonmonimuotoisuuteen sekä kestävään ruokajärjestelmään. Varsinaisten tavoite-ehdotusten virkavalmistelua on tehty sidosryhmiä kuulemalla, sillä on tärkeätä mahdollistaa suomalaisten toimijoiden, erityisesti pk-yritysten osallistuminen julkisiin hankintoihin sekä edistämään EU:n sisämarkkinoille pääsyä.  </w:t>
      </w:r>
    </w:p>
    <w:p w14:paraId="37F2757D" w14:textId="76B479B9" w:rsidR="005F4D87" w:rsidRPr="005F4D87" w:rsidRDefault="005F4D87" w:rsidP="0EBA5103">
      <w:pPr>
        <w:pStyle w:val="VNLeip1kappale"/>
        <w:rPr>
          <w:rFonts w:ascii="Segoe UI" w:hAnsi="Segoe UI" w:cs="Segoe UI"/>
          <w:sz w:val="18"/>
          <w:szCs w:val="18"/>
        </w:rPr>
      </w:pPr>
      <w:r w:rsidRPr="005F4D87">
        <w:t xml:space="preserve">Julkisten hankintojen ekologisten tavoitteiden valtioneuvostonperiaatepäätöksen virkavalmistelussa on edetty </w:t>
      </w:r>
      <w:proofErr w:type="spellStart"/>
      <w:r w:rsidRPr="005F4D87">
        <w:t>osallistaen</w:t>
      </w:r>
      <w:proofErr w:type="spellEnd"/>
      <w:r w:rsidRPr="005F4D87">
        <w:t xml:space="preserve"> toimialaliittoja ja -järjestöjä sekä keskeisten hankintayksiköiden</w:t>
      </w:r>
      <w:r w:rsidRPr="005F4D87">
        <w:rPr>
          <w:sz w:val="17"/>
          <w:szCs w:val="17"/>
          <w:vertAlign w:val="superscript"/>
        </w:rPr>
        <w:t>2</w:t>
      </w:r>
      <w:r w:rsidRPr="005F4D87">
        <w:t xml:space="preserve"> asiantuntijoita sekä perehtyen yrityskentän sekä julkisten toimijoiden omiin vähähiilisyys-, kiertotalous- ja luonnonmonimuotoisuustiekarttoihin ja tavoitteisiin. Sidosryhmien kuulemisella halutaan varmistaa tasapuolisesti eri toimijoiden näkemysten esille saaminen valmistelutyöhön. </w:t>
      </w:r>
    </w:p>
    <w:p w14:paraId="5E5567F4" w14:textId="3A261397" w:rsidR="005F4D87" w:rsidRPr="005F4D87" w:rsidRDefault="005F4D87" w:rsidP="00406F17">
      <w:pPr>
        <w:textAlignment w:val="baseline"/>
      </w:pPr>
      <w:r w:rsidRPr="29080FBD">
        <w:rPr>
          <w:rFonts w:ascii="Arial Narrow" w:hAnsi="Arial Narrow" w:cs="Segoe UI"/>
          <w:b/>
          <w:color w:val="365ABD" w:themeColor="accent3"/>
          <w:sz w:val="26"/>
          <w:szCs w:val="26"/>
        </w:rPr>
        <w:t>Politiikkatoimet </w:t>
      </w:r>
    </w:p>
    <w:p w14:paraId="0D81F627" w14:textId="1DE79805" w:rsidR="005F4D87" w:rsidRPr="005F4D87" w:rsidRDefault="005F4D87" w:rsidP="00430E45">
      <w:pPr>
        <w:pStyle w:val="VNLeip1kappale"/>
        <w:numPr>
          <w:ilvl w:val="0"/>
          <w:numId w:val="69"/>
        </w:numPr>
        <w:rPr>
          <w:rFonts w:cs="Arial"/>
          <w:szCs w:val="22"/>
        </w:rPr>
      </w:pPr>
      <w:r w:rsidRPr="005F4D87">
        <w:rPr>
          <w:rFonts w:cs="Arial"/>
          <w:szCs w:val="22"/>
        </w:rPr>
        <w:t>Hankintalainsäädännön</w:t>
      </w:r>
      <w:r w:rsidR="00670814">
        <w:rPr>
          <w:rFonts w:cs="Arial"/>
          <w:szCs w:val="22"/>
        </w:rPr>
        <w:t xml:space="preserve"> kehittämisessä</w:t>
      </w:r>
      <w:r w:rsidRPr="005F4D87" w:rsidDel="00670814">
        <w:rPr>
          <w:rFonts w:cs="Arial"/>
          <w:szCs w:val="22"/>
        </w:rPr>
        <w:t xml:space="preserve"> </w:t>
      </w:r>
      <w:r w:rsidRPr="005F4D87">
        <w:rPr>
          <w:rFonts w:cs="Arial"/>
          <w:szCs w:val="22"/>
        </w:rPr>
        <w:t xml:space="preserve">on </w:t>
      </w:r>
      <w:r w:rsidR="00094A44">
        <w:rPr>
          <w:rFonts w:cs="Arial"/>
          <w:szCs w:val="22"/>
        </w:rPr>
        <w:t xml:space="preserve">ollut </w:t>
      </w:r>
      <w:r w:rsidR="00094A44" w:rsidRPr="0F1D3654">
        <w:rPr>
          <w:rFonts w:cs="Arial"/>
          <w:szCs w:val="22"/>
        </w:rPr>
        <w:t>esillä</w:t>
      </w:r>
      <w:r w:rsidRPr="005F4D87">
        <w:rPr>
          <w:rFonts w:cs="Arial"/>
          <w:szCs w:val="22"/>
        </w:rPr>
        <w:t xml:space="preserve"> velvoite huomioida ympäristö- ja sosiaaliset näkökohdat</w:t>
      </w:r>
      <w:r w:rsidRPr="0F1D3654">
        <w:rPr>
          <w:rFonts w:cs="Arial"/>
          <w:szCs w:val="22"/>
        </w:rPr>
        <w:t>.</w:t>
      </w:r>
      <w:r w:rsidRPr="005F4D87">
        <w:rPr>
          <w:rFonts w:cs="Arial"/>
          <w:szCs w:val="22"/>
        </w:rPr>
        <w:t xml:space="preserve"> Ympäristö- ja sosiaalisten näkökohtien nostaminen lain tavoitteisiin antaisi vahvemman signaalin eikä olisi pelkästään suositus</w:t>
      </w:r>
      <w:r w:rsidR="24671D72" w:rsidRPr="0EBA5103">
        <w:rPr>
          <w:rFonts w:cs="Arial"/>
          <w:szCs w:val="22"/>
        </w:rPr>
        <w:t>.</w:t>
      </w:r>
      <w:r w:rsidRPr="005F4D87">
        <w:rPr>
          <w:rFonts w:cs="Arial"/>
          <w:szCs w:val="22"/>
        </w:rPr>
        <w:t> </w:t>
      </w:r>
    </w:p>
    <w:p w14:paraId="4DCCE8F8" w14:textId="7E1F1131" w:rsidR="005F4D87" w:rsidRPr="005F4D87" w:rsidRDefault="001A4F1F" w:rsidP="00430E45">
      <w:pPr>
        <w:pStyle w:val="VNLeip1kappale"/>
        <w:numPr>
          <w:ilvl w:val="0"/>
          <w:numId w:val="69"/>
        </w:numPr>
        <w:rPr>
          <w:rFonts w:cs="Arial"/>
          <w:szCs w:val="22"/>
        </w:rPr>
      </w:pPr>
      <w:r>
        <w:rPr>
          <w:rFonts w:cs="Arial"/>
          <w:szCs w:val="22"/>
        </w:rPr>
        <w:t xml:space="preserve">Valmisteltavana on </w:t>
      </w:r>
      <w:r w:rsidR="005F4D87" w:rsidRPr="005F4D87">
        <w:rPr>
          <w:rFonts w:cs="Arial"/>
          <w:szCs w:val="22"/>
        </w:rPr>
        <w:t>valtioneuvoston periaatepäätös kotimaisista ja vähähiilisistä hankinnoista</w:t>
      </w:r>
      <w:r>
        <w:rPr>
          <w:rFonts w:cs="Arial"/>
          <w:szCs w:val="22"/>
        </w:rPr>
        <w:t>, jonka pohjalta on mahdollista edistää vähähiilisiä hankintoja.</w:t>
      </w:r>
      <w:r w:rsidR="005F4D87" w:rsidRPr="0F1D3654">
        <w:rPr>
          <w:rFonts w:cs="Arial"/>
          <w:szCs w:val="22"/>
        </w:rPr>
        <w:t> </w:t>
      </w:r>
    </w:p>
    <w:p w14:paraId="491251C7" w14:textId="0F461877" w:rsidR="005F4D87" w:rsidRPr="005F4D87" w:rsidRDefault="005F4D87" w:rsidP="00430E45">
      <w:pPr>
        <w:pStyle w:val="VNLeip1kappale"/>
        <w:numPr>
          <w:ilvl w:val="0"/>
          <w:numId w:val="69"/>
        </w:numPr>
        <w:rPr>
          <w:rFonts w:cs="Arial"/>
          <w:szCs w:val="22"/>
        </w:rPr>
      </w:pPr>
      <w:r w:rsidRPr="005F4D87">
        <w:rPr>
          <w:rFonts w:cs="Arial"/>
          <w:szCs w:val="22"/>
        </w:rPr>
        <w:t>Suositellaan, että valtion organisaatioiden, kuntien ja kuntayhtymien valmistelemissa ilmasto-ohjelmissa ja ilmastobudjeteissa otetaan huomioon tavoitteiden kannalta vaikuttavimmat hankintakategoriat</w:t>
      </w:r>
      <w:r w:rsidR="1DE5D66B" w:rsidRPr="0EBA5103">
        <w:rPr>
          <w:rFonts w:cs="Arial"/>
          <w:szCs w:val="22"/>
        </w:rPr>
        <w:t>.</w:t>
      </w:r>
      <w:r w:rsidRPr="005F4D87">
        <w:rPr>
          <w:rFonts w:cs="Arial"/>
          <w:szCs w:val="22"/>
        </w:rPr>
        <w:t> </w:t>
      </w:r>
    </w:p>
    <w:p w14:paraId="5ED81768" w14:textId="6D820C2F" w:rsidR="005F4D87" w:rsidRPr="005F4D87" w:rsidRDefault="005F4D87" w:rsidP="00430E45">
      <w:pPr>
        <w:pStyle w:val="VNLeip1kappale"/>
        <w:numPr>
          <w:ilvl w:val="0"/>
          <w:numId w:val="69"/>
        </w:numPr>
        <w:rPr>
          <w:rFonts w:cs="Arial"/>
          <w:szCs w:val="22"/>
        </w:rPr>
      </w:pPr>
      <w:r w:rsidRPr="005F4D87">
        <w:rPr>
          <w:rFonts w:cs="Arial"/>
          <w:szCs w:val="22"/>
        </w:rPr>
        <w:t>Kiertotalouslain valmistelussa selvitellään, että miten julkisissa hankinnoissa kiinnitettäisiin nykyistä enemmän huomiota kiertotalouteen</w:t>
      </w:r>
      <w:r w:rsidR="08DF595D" w:rsidRPr="0EBA5103">
        <w:rPr>
          <w:rFonts w:cs="Arial"/>
          <w:szCs w:val="22"/>
        </w:rPr>
        <w:t>.</w:t>
      </w:r>
      <w:r w:rsidRPr="005F4D87">
        <w:rPr>
          <w:rFonts w:cs="Arial"/>
          <w:szCs w:val="22"/>
        </w:rPr>
        <w:t> </w:t>
      </w:r>
    </w:p>
    <w:p w14:paraId="2306E200" w14:textId="7A097FCF" w:rsidR="005F4D87" w:rsidRPr="005F4D87" w:rsidRDefault="005F4D87" w:rsidP="00430E45">
      <w:pPr>
        <w:pStyle w:val="VNLeip1kappale"/>
        <w:numPr>
          <w:ilvl w:val="0"/>
          <w:numId w:val="69"/>
        </w:numPr>
        <w:rPr>
          <w:rFonts w:cs="Arial"/>
          <w:szCs w:val="22"/>
        </w:rPr>
      </w:pPr>
      <w:r w:rsidRPr="005F4D87">
        <w:rPr>
          <w:rFonts w:cs="Arial"/>
          <w:szCs w:val="22"/>
        </w:rPr>
        <w:t xml:space="preserve">Työkoneiden vähäpäästöisyyden edistämistä toteutetaan julkisten hankkijoiden päästöttömien työmaiden </w:t>
      </w:r>
      <w:proofErr w:type="spellStart"/>
      <w:r w:rsidRPr="005F4D87">
        <w:rPr>
          <w:rFonts w:cs="Arial"/>
          <w:szCs w:val="22"/>
        </w:rPr>
        <w:t>green</w:t>
      </w:r>
      <w:proofErr w:type="spellEnd"/>
      <w:r w:rsidRPr="005F4D87">
        <w:rPr>
          <w:rFonts w:cs="Arial"/>
          <w:szCs w:val="22"/>
        </w:rPr>
        <w:t xml:space="preserve"> </w:t>
      </w:r>
      <w:proofErr w:type="spellStart"/>
      <w:r w:rsidRPr="005F4D87">
        <w:rPr>
          <w:rFonts w:cs="Arial"/>
          <w:szCs w:val="22"/>
        </w:rPr>
        <w:t>deal</w:t>
      </w:r>
      <w:proofErr w:type="spellEnd"/>
      <w:r w:rsidRPr="005F4D87">
        <w:rPr>
          <w:rFonts w:cs="Arial"/>
          <w:szCs w:val="22"/>
        </w:rPr>
        <w:t xml:space="preserve"> -sopimuksella 2020</w:t>
      </w:r>
      <w:r w:rsidRPr="00CAF8E0">
        <w:rPr>
          <w:rFonts w:cs="Arial"/>
          <w:szCs w:val="22"/>
        </w:rPr>
        <w:t>–</w:t>
      </w:r>
      <w:r w:rsidRPr="005F4D87">
        <w:rPr>
          <w:rFonts w:cs="Arial"/>
          <w:szCs w:val="22"/>
        </w:rPr>
        <w:t>2030</w:t>
      </w:r>
      <w:r w:rsidR="0E40E63C" w:rsidRPr="0EBA5103">
        <w:rPr>
          <w:rFonts w:cs="Arial"/>
          <w:szCs w:val="22"/>
        </w:rPr>
        <w:t>.</w:t>
      </w:r>
      <w:r w:rsidRPr="005F4D87">
        <w:rPr>
          <w:rFonts w:cs="Arial"/>
          <w:szCs w:val="22"/>
        </w:rPr>
        <w:t> </w:t>
      </w:r>
    </w:p>
    <w:p w14:paraId="0733149B" w14:textId="4CCFFDDE" w:rsidR="005F4D87" w:rsidRPr="005F4D87" w:rsidRDefault="339E5C10" w:rsidP="048AF818">
      <w:pPr>
        <w:pStyle w:val="Otsikko3"/>
        <w:numPr>
          <w:ilvl w:val="0"/>
          <w:numId w:val="0"/>
        </w:numPr>
        <w:ind w:left="720"/>
        <w:rPr>
          <w:color w:val="365ABD" w:themeColor="accent3"/>
        </w:rPr>
      </w:pPr>
      <w:bookmarkStart w:id="135" w:name="_Toc202260067"/>
      <w:r>
        <w:t xml:space="preserve">6.3.5 </w:t>
      </w:r>
      <w:r w:rsidR="005F4D87">
        <w:t>Kiertotalous</w:t>
      </w:r>
      <w:bookmarkEnd w:id="135"/>
      <w:r w:rsidR="005F4D87">
        <w:t> </w:t>
      </w:r>
    </w:p>
    <w:p w14:paraId="4DAA27F8" w14:textId="1E636E47" w:rsidR="005F4D87" w:rsidRPr="005F4D87" w:rsidRDefault="005F4D87" w:rsidP="00C20E9D">
      <w:pPr>
        <w:pStyle w:val="VNLeip1kappale"/>
        <w:rPr>
          <w:rFonts w:ascii="Segoe UI" w:hAnsi="Segoe UI" w:cs="Segoe UI"/>
          <w:sz w:val="18"/>
          <w:szCs w:val="18"/>
        </w:rPr>
      </w:pPr>
      <w:r>
        <w:t xml:space="preserve">Luonnonvarojen </w:t>
      </w:r>
      <w:r w:rsidR="0072690E">
        <w:t>käyttöön</w:t>
      </w:r>
      <w:r>
        <w:t xml:space="preserve">otto maailmassa on kolminkertaistunut viimeisen 50 vuoden aikana ja sen ennustetaan jatkavan kasvuaan niin, että vuonna 2060 luonnonvaroja </w:t>
      </w:r>
      <w:r w:rsidR="00462700">
        <w:t>käyttöön</w:t>
      </w:r>
      <w:r>
        <w:t>otettaisiin jopa 60 % nykyistä enemmän. Materiaalien, polttoaineiden ja ruoan tuotanto aiheuttaa yli puolet maailman hiilidioksidipäästöistä. Neitseellisten luonnonvarojen käytön kasvu uhkaakin ilmastotavoitteiden saavuttamista. </w:t>
      </w:r>
    </w:p>
    <w:p w14:paraId="13CC2EA3" w14:textId="77777777" w:rsidR="005F4D87" w:rsidRPr="005F4D87" w:rsidRDefault="005F4D87" w:rsidP="00C20E9D">
      <w:pPr>
        <w:pStyle w:val="VNLeip1kappale"/>
        <w:rPr>
          <w:rFonts w:ascii="Segoe UI" w:hAnsi="Segoe UI" w:cs="Segoe UI"/>
          <w:sz w:val="18"/>
          <w:szCs w:val="18"/>
        </w:rPr>
      </w:pPr>
      <w:r w:rsidRPr="005F4D87">
        <w:t>  </w:t>
      </w:r>
      <w:r w:rsidRPr="005F4D87">
        <w:br/>
        <w:t>Kiertotalouden ytimessä on ajatus neitseellisten luonnonvarojen käytön vähentämisestä. Kiertotalous tarjoaa ratkaisuja ja toimintamalleja, joilla voidaan vähentää kasvihuonekaasupäästöjä ja hillitä muitakin kulutuksen ja tuotannon ympäristövaikutuksia. Kiertotaloudella tarkoitetaan yleisesti toimintamallia, jossa minimoidaan talouteen otettavia luonnonvaroja muuttamalla tuotantotapoja kiertoon pohjautuviksi, lisäämällä resurssitehokkuutta ja ottamalla käyttöön uusia liiketoimintamalleja ja kulutustapoja. </w:t>
      </w:r>
    </w:p>
    <w:p w14:paraId="1B25D904" w14:textId="77777777" w:rsidR="005F4D87" w:rsidRPr="005F4D87" w:rsidRDefault="005F4D87" w:rsidP="005F4D87">
      <w:pPr>
        <w:textAlignment w:val="baseline"/>
        <w:rPr>
          <w:rFonts w:ascii="Segoe UI" w:hAnsi="Segoe UI" w:cs="Segoe UI"/>
          <w:b/>
          <w:bCs/>
          <w:color w:val="365ABD"/>
          <w:sz w:val="18"/>
          <w:szCs w:val="18"/>
        </w:rPr>
      </w:pPr>
      <w:r w:rsidRPr="57DFF2C0">
        <w:rPr>
          <w:rFonts w:ascii="Arial Narrow" w:hAnsi="Arial Narrow" w:cs="Segoe UI"/>
          <w:b/>
          <w:color w:val="365ABD" w:themeColor="accent3"/>
          <w:sz w:val="26"/>
          <w:szCs w:val="26"/>
        </w:rPr>
        <w:t>Kiertotaloustoimien merkitys ilmastotavoitteiden saavuttamisessa  </w:t>
      </w:r>
    </w:p>
    <w:p w14:paraId="160331F7" w14:textId="2CA1CAC4" w:rsidR="005F4D87" w:rsidRPr="005F4D87" w:rsidRDefault="005F4D87" w:rsidP="00273D12">
      <w:pPr>
        <w:pStyle w:val="VNLeip1kappale"/>
        <w:rPr>
          <w:rFonts w:ascii="Segoe UI" w:hAnsi="Segoe UI" w:cs="Segoe UI"/>
          <w:sz w:val="18"/>
          <w:szCs w:val="18"/>
        </w:rPr>
      </w:pPr>
      <w:r w:rsidRPr="005F4D87">
        <w:t xml:space="preserve">Kulutusta koskevassa kappaleessa </w:t>
      </w:r>
      <w:r>
        <w:t>6.3.</w:t>
      </w:r>
      <w:r w:rsidR="00ED3A26">
        <w:t>3</w:t>
      </w:r>
      <w:r w:rsidRPr="005F4D87">
        <w:t xml:space="preserve"> on käsitelty kiertotalouteen liittyvien toimien päästövähennysvaikutusta </w:t>
      </w:r>
      <w:proofErr w:type="spellStart"/>
      <w:r w:rsidRPr="005F4D87">
        <w:t>Syken</w:t>
      </w:r>
      <w:proofErr w:type="spellEnd"/>
      <w:r w:rsidRPr="005F4D87">
        <w:t xml:space="preserve"> tekemien laskelmien pohjalta. Suomen kiertotaloustyötä ohjaa Kiertotalouden strateginen ohjelma, joka valmistui vuonna 2021 ja jonka voimassaoloa jatkettiin vuonna 2024. Ohjelmassa on asetettu visio ja tavoitteet kiertotaloudelle ja luonnonvarojen käytölle, määritelty tarvittavat toimenpiteet ja seurantamittarit sekä ehdotettu tarvittavia resursseja kiertotalouden edistämiseen.  </w:t>
      </w:r>
    </w:p>
    <w:p w14:paraId="13A09D76" w14:textId="77777777" w:rsidR="005F4D87" w:rsidRPr="005F4D87" w:rsidRDefault="005F4D87" w:rsidP="00273D12">
      <w:pPr>
        <w:pStyle w:val="VNLeip1kappale"/>
        <w:rPr>
          <w:rFonts w:ascii="Segoe UI" w:hAnsi="Segoe UI" w:cs="Segoe UI"/>
          <w:sz w:val="18"/>
          <w:szCs w:val="18"/>
        </w:rPr>
      </w:pPr>
      <w:r w:rsidRPr="005F4D87">
        <w:t>Osana strategista ohjelmaa toteutettiin Suomen ja maailmankin mittakaavassa ainutlaatuinen Suomen kansantalouden materiaalivirrat ja niiden vaikutukset -kiertotalousarviointi ja skenaariotyö. Siinä eri tutkimuslaitosten asiantuntijat Suomen ympäristökeskuksen johdolla sekä sidosryhmien tuella hahmottelivat skenaarioiden sisältöä ja mahdollisia kiertotaloustoimenpiteitä. Työssä kuvataan ja arvioidaan ensimmäistä kertaa eri toimijoiden mahdollisuutta toteuttaa laaja-alaista kiertotaloussiirtymää ja sen vaikutuksia.  </w:t>
      </w:r>
    </w:p>
    <w:p w14:paraId="13C56B59" w14:textId="77777777" w:rsidR="005F4D87" w:rsidRPr="005F4D87" w:rsidRDefault="005F4D87" w:rsidP="00273D12">
      <w:pPr>
        <w:pStyle w:val="VNLeip1kappale"/>
        <w:rPr>
          <w:rFonts w:ascii="Segoe UI" w:hAnsi="Segoe UI" w:cs="Segoe UI"/>
          <w:sz w:val="18"/>
          <w:szCs w:val="18"/>
        </w:rPr>
      </w:pPr>
      <w:r w:rsidRPr="005F4D87">
        <w:t>Tulosten mukaan kiertotaloustoimenpiteet ja puhdas energiasiirtymä vievät kohti hiilineutraaliutta Suomessa. Mallinnetut kiertotaloustoimet edistävät merkittävästi hiilineutraalisuustavoiteen saavuttamista vuoteen 2035 mennessä, mutta tavoitteen saavuttaminen vaatii myös lisätoimia mallinnettujen lisäksi.  </w:t>
      </w:r>
    </w:p>
    <w:p w14:paraId="17B3E0A5" w14:textId="77777777" w:rsidR="005F4D87" w:rsidRPr="005F4D87" w:rsidRDefault="005F4D87" w:rsidP="00273D12">
      <w:pPr>
        <w:pStyle w:val="VNLeip1kappale"/>
        <w:rPr>
          <w:rFonts w:ascii="Segoe UI" w:hAnsi="Segoe UI" w:cs="Segoe UI"/>
          <w:sz w:val="18"/>
          <w:szCs w:val="18"/>
        </w:rPr>
      </w:pPr>
      <w:r w:rsidRPr="005F4D87">
        <w:t>Puhdas energiasiirtymä vähentää merkittävästi Suomen päästöjä ja luonnonvarojen käyttöä jo nykyisten päätösten toteutuessa. Kiertotaloustoimet edistävät edelleen päästöjen laskua ja vahvistavat nieluja. Etenkin materiaalitehokkuutta edistävät ja hiilenkiertoon liittyvät ratkaisut tukevat hiilineutraalisuustavoitteen saavuttamista. Vaikutukset näkyvät niin energiaperäisten päästöjen edelleen vähenemisenä kuin maankäyttösektorin nettonielun vahvistumisena.  </w:t>
      </w:r>
    </w:p>
    <w:p w14:paraId="6ABDCCF7" w14:textId="7F60436B" w:rsidR="005F4D87" w:rsidRPr="005F4D87" w:rsidRDefault="005F4D87" w:rsidP="00273D12">
      <w:pPr>
        <w:pStyle w:val="VNLeip1kappale"/>
        <w:rPr>
          <w:rFonts w:ascii="Segoe UI" w:hAnsi="Segoe UI" w:cs="Segoe UI"/>
          <w:sz w:val="18"/>
          <w:szCs w:val="18"/>
        </w:rPr>
      </w:pPr>
      <w:r w:rsidRPr="005F4D87">
        <w:t>Tulosten mukaan kiertotaloustoimet voivat kääntää luonnonvarojen kulutuksen kasvun ja vähentää ilmasto- ja muita ympäristövaikutuksia ilman talouden heikkenemistä. Suomen kansantalous on jo pitkään ollut hyvin materiaali-intensiivinen ja luonnonvarojen käyttö aiheuttaa huomattavia ympäristövaikutuksia. Mallinnetuilla toimilla saavutetaan kiertotalousasteeseen ja luonnonvarojen kokonaiskäyttöön liittyvät strategiset tavoit</w:t>
      </w:r>
      <w:r w:rsidR="00ED3A26">
        <w:t>t</w:t>
      </w:r>
      <w:r w:rsidRPr="005F4D87">
        <w:t>eet, mutta Suomen raaka-aineiden kulutus asukasta kohden säilyy korkealla tasolla globaalisti, ja resurssituottavuudessa jäädään kauas EU-maiden keskiarvosta. Siksi tulosten perusteella tarvitaan vielä vahvempaa talouskasvun ja raaka-aineiden kulutuksen irtikytkentää. </w:t>
      </w:r>
    </w:p>
    <w:p w14:paraId="0E6D1452" w14:textId="77777777" w:rsidR="005F4D87" w:rsidRPr="005F4D87" w:rsidRDefault="005F4D87" w:rsidP="005F4D87">
      <w:pPr>
        <w:textAlignment w:val="baseline"/>
        <w:rPr>
          <w:rFonts w:ascii="Segoe UI" w:hAnsi="Segoe UI" w:cs="Segoe UI"/>
          <w:b/>
          <w:bCs/>
          <w:color w:val="365ABD"/>
          <w:sz w:val="18"/>
          <w:szCs w:val="18"/>
        </w:rPr>
      </w:pPr>
      <w:r w:rsidRPr="57DFF2C0">
        <w:rPr>
          <w:rFonts w:ascii="Arial Narrow" w:hAnsi="Arial Narrow" w:cs="Segoe UI"/>
          <w:b/>
          <w:color w:val="365ABD" w:themeColor="accent3"/>
          <w:sz w:val="26"/>
          <w:szCs w:val="26"/>
        </w:rPr>
        <w:t>Kiertotalousohjelman toteuttaminen etenee  </w:t>
      </w:r>
    </w:p>
    <w:p w14:paraId="0C86E45D" w14:textId="686B72BE" w:rsidR="005F4D87" w:rsidRPr="005F4D87" w:rsidRDefault="005F4D87" w:rsidP="00AA2C03">
      <w:pPr>
        <w:pStyle w:val="VNLeip1kappale"/>
      </w:pPr>
      <w:r>
        <w:t xml:space="preserve">Kiertotalouden strategista ohjelmaa toteutetaan myös skenaariotyöhön vahvasti nojaavaa Kiertotalouden </w:t>
      </w:r>
      <w:proofErr w:type="spellStart"/>
      <w:r>
        <w:t>green</w:t>
      </w:r>
      <w:proofErr w:type="spellEnd"/>
      <w:r>
        <w:t xml:space="preserve"> </w:t>
      </w:r>
      <w:proofErr w:type="spellStart"/>
      <w:r>
        <w:t>deal</w:t>
      </w:r>
      <w:proofErr w:type="spellEnd"/>
      <w:r>
        <w:t xml:space="preserve"> –sitoumuksella. Mukana sitoumuksen valmistelussa ja skenaariotyön tukemisessa oli lähes 90 organisaatiota: kaikki maakunnat, isoimmat kaupungit, toimialajärjestöjä ja yrityksiä, esimerkiksi metsäteollisuuden suurimmat yritykset, sekä rakentamisen alan toimijoita.  </w:t>
      </w:r>
    </w:p>
    <w:p w14:paraId="73C4F578" w14:textId="06086210" w:rsidR="005F4D87" w:rsidRPr="005F4D87" w:rsidRDefault="005F4D87" w:rsidP="00AA2C03">
      <w:pPr>
        <w:pStyle w:val="VNLeip1kappale"/>
      </w:pPr>
      <w:r>
        <w:t> </w:t>
      </w:r>
      <w:r w:rsidR="54DBB4F5">
        <w:t>Skenaariotyön t</w:t>
      </w:r>
      <w:r w:rsidR="54DBB4F5" w:rsidRPr="57DFF2C0">
        <w:rPr>
          <w:color w:val="000000" w:themeColor="text1"/>
        </w:rPr>
        <w:t xml:space="preserve">avoitteita tehdään todeksi Kiertotalouden Green </w:t>
      </w:r>
      <w:proofErr w:type="spellStart"/>
      <w:r w:rsidR="54DBB4F5" w:rsidRPr="57DFF2C0">
        <w:rPr>
          <w:color w:val="000000" w:themeColor="text1"/>
        </w:rPr>
        <w:t>deal</w:t>
      </w:r>
      <w:proofErr w:type="spellEnd"/>
      <w:r w:rsidR="54DBB4F5" w:rsidRPr="57DFF2C0">
        <w:rPr>
          <w:color w:val="000000" w:themeColor="text1"/>
        </w:rPr>
        <w:t xml:space="preserve"> -sitoumuksilla. Syyskuussa 2024 käynnistetty Kiertotalouden Green </w:t>
      </w:r>
      <w:proofErr w:type="spellStart"/>
      <w:r w:rsidR="54DBB4F5" w:rsidRPr="57DFF2C0">
        <w:rPr>
          <w:color w:val="000000" w:themeColor="text1"/>
        </w:rPr>
        <w:t>deal</w:t>
      </w:r>
      <w:proofErr w:type="spellEnd"/>
      <w:r w:rsidR="54DBB4F5" w:rsidRPr="57DFF2C0">
        <w:rPr>
          <w:color w:val="000000" w:themeColor="text1"/>
        </w:rPr>
        <w:t xml:space="preserve"> on vapaaehtoinen strateginen sitoumus, jossa mukaan lähtevät toimijat sitoutuvat vähentämään luonnonvarojen käyttöä, asettamaan tavoitteita ja tekemään toimia, jotka edistävät vähähiilistä kiertotaloutta. Osana sitoumustyötä myös valtio edistää kiertotaloutta omilla toimillaan. Green </w:t>
      </w:r>
      <w:proofErr w:type="spellStart"/>
      <w:r w:rsidR="54DBB4F5" w:rsidRPr="57DFF2C0">
        <w:rPr>
          <w:color w:val="000000" w:themeColor="text1"/>
        </w:rPr>
        <w:t>deal</w:t>
      </w:r>
      <w:proofErr w:type="spellEnd"/>
      <w:r w:rsidR="54DBB4F5" w:rsidRPr="57DFF2C0">
        <w:rPr>
          <w:color w:val="000000" w:themeColor="text1"/>
        </w:rPr>
        <w:t xml:space="preserve"> on tarkoitettu yrityksille, toimialajärjestöille, kunnille ja maakunnille.</w:t>
      </w:r>
      <w:r w:rsidR="54DBB4F5">
        <w:t xml:space="preserve"> </w:t>
      </w:r>
    </w:p>
    <w:p w14:paraId="660A03D6" w14:textId="42B034AE" w:rsidR="005F4D87" w:rsidRPr="005F4D87" w:rsidRDefault="005F4D87" w:rsidP="00AA2C03">
      <w:pPr>
        <w:pStyle w:val="VNLeip1kappale"/>
        <w:rPr>
          <w:rFonts w:ascii="Segoe UI" w:hAnsi="Segoe UI" w:cs="Segoe UI"/>
          <w:sz w:val="18"/>
          <w:szCs w:val="18"/>
        </w:rPr>
      </w:pPr>
      <w:r w:rsidRPr="005F4D87">
        <w:t xml:space="preserve">Rahoitusta kiertotalouteen on suunnattu Uudistuva ja osaava Suomi 2021–2027 EU:n alue- ja rakennepolitiikan ohjelmassa. Sen toimintalinjassa Hiilineutraali Suomi on tavoitteena edistää kiertotalouteen siirtymistä noin 190 miljoonalla eurolla. Business Finlandin käynnistämän </w:t>
      </w:r>
      <w:proofErr w:type="spellStart"/>
      <w:r w:rsidRPr="005F4D87">
        <w:t>Circular</w:t>
      </w:r>
      <w:proofErr w:type="spellEnd"/>
      <w:r w:rsidRPr="005F4D87">
        <w:t xml:space="preserve"> Transition for Zero Waste -mission tavoitteena on nostaa Suomi globaaliksi edelläkävijäksi kiertotalouden nollajäte-siirtymässä, ja lisäksi kiertotalous on yksi Euroopan aluekehitysrahaston haun valtakunnallisista teemoista. </w:t>
      </w:r>
    </w:p>
    <w:p w14:paraId="4008A378" w14:textId="42AADDE0" w:rsidR="005F4D87" w:rsidRDefault="005F4D87" w:rsidP="0EBA5103">
      <w:pPr>
        <w:pStyle w:val="VNLeip1kappale"/>
        <w:textAlignment w:val="baseline"/>
      </w:pPr>
      <w:r w:rsidRPr="005F4D87">
        <w:t>Kiertotalouden strategisen ohjelman jalkauttamisen tueksi Suomen ympäristökeskus on ympäristöministeriön tuella aloittanut strategisen LIFE-hankkeen hakemusvalmistelut. Mikäli rahoitus myönnettäisiin, hanke tukisi kiertotalouden strategisen ohjelman toimeenpanoa Suomessa vuodesta 2027 eteenpäin. </w:t>
      </w:r>
    </w:p>
    <w:p w14:paraId="6791289B" w14:textId="77777777" w:rsidR="00585C4D" w:rsidRDefault="00585C4D" w:rsidP="0EBA5103">
      <w:pPr>
        <w:pStyle w:val="VNLeip1kappale"/>
        <w:textAlignment w:val="baseline"/>
      </w:pPr>
    </w:p>
    <w:p w14:paraId="746CCBA5" w14:textId="3C0BE716" w:rsidR="009F0015" w:rsidRPr="009F0015" w:rsidRDefault="009F0015" w:rsidP="009F0015">
      <w:pPr>
        <w:pStyle w:val="Otsikko3"/>
        <w:numPr>
          <w:ilvl w:val="0"/>
          <w:numId w:val="0"/>
        </w:numPr>
        <w:ind w:left="720"/>
      </w:pPr>
      <w:bookmarkStart w:id="136" w:name="_Toc202260068"/>
      <w:r>
        <w:t xml:space="preserve">6.3.6 </w:t>
      </w:r>
      <w:r w:rsidRPr="009F0015">
        <w:t>Biotalous</w:t>
      </w:r>
      <w:bookmarkEnd w:id="136"/>
    </w:p>
    <w:p w14:paraId="0CCD7088" w14:textId="77777777" w:rsidR="009F0015" w:rsidRPr="009F0015" w:rsidRDefault="009F0015" w:rsidP="009F0015">
      <w:pPr>
        <w:pStyle w:val="VNLeip1kappale"/>
      </w:pPr>
      <w:r w:rsidRPr="009F0015">
        <w:t>Suomen päivitetty biotalousstrategia julkaistiin vuonna 2022. Biotalousstrategian toimeenpanoa edistetään muun muassa osana vuonna 2025 käynnistynyttä biotalouden kasvupakettia. Kasvupaketin tavoitteena on turvata biotaloussektorin kasvu ja huoltovarmuus, ja se koostuu kolmesta osa-alueesta, jotka ovat ruoka-alan kasvuohjelma – elintarvikeviennin edistäminen ja ruoka-alan arvoketjujen kehittäminen, kasvualusta- ja kuivikemateriaalien saatavuuden turvaaminen, sekä metsäbiotalouden arvonlisän kasvattaminen.</w:t>
      </w:r>
    </w:p>
    <w:p w14:paraId="4062C0FC" w14:textId="24D93979" w:rsidR="009F0015" w:rsidRPr="009F0015" w:rsidRDefault="009F0015" w:rsidP="009F0015">
      <w:pPr>
        <w:pStyle w:val="VNLeip1kappale"/>
      </w:pPr>
      <w:r w:rsidRPr="009F0015">
        <w:t>Kansallisen biotalousstrategian päätavoitteena on biotalouden arvonlisän nostaminen. Tavoitteena on luoda kestäviin ratkaisuihin perustuvaa taloudellista kasvua ja työpaikkoja tuottamalla mahdollisimman korkean arvonlisän tuotteita ja palveluita.</w:t>
      </w:r>
      <w:r w:rsidR="00310175" w:rsidRPr="00310175">
        <w:t xml:space="preserve"> Vuonna 2023 biotalouden arvonlisä oli ennakkotietojen mukaan 29,3 miljardia euroa.</w:t>
      </w:r>
      <w:r w:rsidRPr="009F0015">
        <w:t xml:space="preserve"> Strategian tavoitteena on kiihdyttää biotalouden arvonlisän 3 %:n vuosikasvutaso 4 %:iin. Mikäli biotalousstrategian tavoite toteutuu, biotalouden arvonlisä on 50 </w:t>
      </w:r>
      <w:proofErr w:type="spellStart"/>
      <w:r w:rsidRPr="009F0015">
        <w:t>mrd</w:t>
      </w:r>
      <w:proofErr w:type="spellEnd"/>
      <w:r w:rsidRPr="009F0015">
        <w:t xml:space="preserve"> euroa vuonna 2035. </w:t>
      </w:r>
    </w:p>
    <w:p w14:paraId="27926A80" w14:textId="77777777" w:rsidR="009F0015" w:rsidRPr="009F0015" w:rsidRDefault="009F0015" w:rsidP="009F0015">
      <w:pPr>
        <w:pStyle w:val="VNLeip1kappale"/>
      </w:pPr>
      <w:r w:rsidRPr="009F0015">
        <w:t xml:space="preserve">Biotaloudella on tärkeä merkitys yhteiskunnan vihreän siirtymän tukemisessa. Kestävä biotalous on ratkaisu moniin ilmastoa ja luonnon monimuotoisuutta koskeviin kysymyksiin. Biotalouden aktiivinen rooli vihreässä siirtymässä on osaltaan takaamassa sosiaalisesti ja alueellisesti oikeudenmukaista ja taloudellisesti kestävää muutosta. </w:t>
      </w:r>
    </w:p>
    <w:p w14:paraId="370C7A01" w14:textId="77777777" w:rsidR="009F0015" w:rsidRPr="009F0015" w:rsidRDefault="009F0015" w:rsidP="009F0015">
      <w:pPr>
        <w:pStyle w:val="VNLeip1kappale"/>
      </w:pPr>
      <w:r w:rsidRPr="009F0015">
        <w:t xml:space="preserve">Biotalousstrategian tavoitteena on samalla myös </w:t>
      </w:r>
    </w:p>
    <w:p w14:paraId="74B15978" w14:textId="77777777" w:rsidR="009F0015" w:rsidRPr="00430E45" w:rsidRDefault="009F0015" w:rsidP="00430E45">
      <w:pPr>
        <w:pStyle w:val="VNLeip1kappale"/>
        <w:numPr>
          <w:ilvl w:val="0"/>
          <w:numId w:val="70"/>
        </w:numPr>
      </w:pPr>
      <w:r w:rsidRPr="00430E45">
        <w:t xml:space="preserve">luoda kilpailukykyisiä ja innovatiivisia biotalouden ratkaisuja maailmanlaajuisiin ongelmiin </w:t>
      </w:r>
    </w:p>
    <w:p w14:paraId="52C23A04" w14:textId="77777777" w:rsidR="009F0015" w:rsidRPr="00430E45" w:rsidRDefault="009F0015" w:rsidP="00430E45">
      <w:pPr>
        <w:pStyle w:val="VNLeip1kappale"/>
        <w:numPr>
          <w:ilvl w:val="0"/>
          <w:numId w:val="70"/>
        </w:numPr>
      </w:pPr>
      <w:r w:rsidRPr="00430E45">
        <w:t xml:space="preserve">synnyttää sekä kotimaahan että kansainvälisille markkinoille uudistavaa liiketoimintaa, joka tuo hyvinvointia koko Suomelle </w:t>
      </w:r>
    </w:p>
    <w:p w14:paraId="00389B2D" w14:textId="77777777" w:rsidR="009F0015" w:rsidRPr="00430E45" w:rsidRDefault="009F0015" w:rsidP="00430E45">
      <w:pPr>
        <w:pStyle w:val="VNLeip1kappale"/>
        <w:numPr>
          <w:ilvl w:val="0"/>
          <w:numId w:val="70"/>
        </w:numPr>
      </w:pPr>
      <w:r w:rsidRPr="00430E45">
        <w:t xml:space="preserve">lisätä materiaalien resurssiviisasta käyttöä ja kierrätystä sekä hyödyntää sivuvirtoja </w:t>
      </w:r>
    </w:p>
    <w:p w14:paraId="16A5BA28" w14:textId="77777777" w:rsidR="009F0015" w:rsidRPr="00430E45" w:rsidRDefault="009F0015" w:rsidP="00430E45">
      <w:pPr>
        <w:pStyle w:val="VNLeip1kappale"/>
        <w:numPr>
          <w:ilvl w:val="0"/>
          <w:numId w:val="70"/>
        </w:numPr>
      </w:pPr>
      <w:r w:rsidRPr="00430E45">
        <w:t xml:space="preserve">vähentää riippuvuutta uusiutumattomista – erityisesti fossiilisista – raaka-aineista </w:t>
      </w:r>
    </w:p>
    <w:p w14:paraId="6EE35BD5" w14:textId="77777777" w:rsidR="009F0015" w:rsidRPr="00430E45" w:rsidRDefault="009F0015" w:rsidP="00430E45">
      <w:pPr>
        <w:pStyle w:val="VNLeip1kappale"/>
        <w:numPr>
          <w:ilvl w:val="0"/>
          <w:numId w:val="70"/>
        </w:numPr>
      </w:pPr>
      <w:r w:rsidRPr="00430E45">
        <w:t xml:space="preserve">varmistaa ekologista kestävyyttä, sosiaalista oikeudenmukaisuutta sekä uusiutuvien luonnonvarojen uusiutumiskykyä ja vahvistaa biotalouden laajapohjaista osaamista </w:t>
      </w:r>
    </w:p>
    <w:p w14:paraId="2346F7A4" w14:textId="77777777" w:rsidR="009F0015" w:rsidRPr="00430E45" w:rsidRDefault="009F0015" w:rsidP="00430E45">
      <w:pPr>
        <w:pStyle w:val="VNLeip1kappale"/>
        <w:numPr>
          <w:ilvl w:val="0"/>
          <w:numId w:val="70"/>
        </w:numPr>
      </w:pPr>
      <w:r w:rsidRPr="00430E45">
        <w:t>vahvistaa ja uudistaa teknologiaperustaa</w:t>
      </w:r>
    </w:p>
    <w:p w14:paraId="2A8361A3" w14:textId="0499CCA6" w:rsidR="009F0015" w:rsidRDefault="009F0015" w:rsidP="009F0015">
      <w:pPr>
        <w:pStyle w:val="VNLeip1kappale"/>
      </w:pPr>
      <w:r w:rsidRPr="009F0015">
        <w:t>EU:n päivitetty biotalousstrategia julkaistaan vuoden 2025 loppuun mennessä. Strategiapäivitys pyrkii biotalouden roolin parempaa tunnistamiseen Euroopan vihreän kasvun ajurina ja päivityksen keskeisenä tavoitteena on 1) lisätä biologisten resurssien tehokasta ja kiertotalouteen perustuvaa käyttöä, 2) kehittää markkinoita biopohjaisille tuotteille, materiaaleille ja teollisuudelle, jotka korvaavat fossiilipohjaisia raaka-aineita, 3) varmistaa kestävästi tuotetun ja eri sektoreille riittävän biomassan saatavuus ja toimitusvarmuus, sekä 4) asemoida EU maailmanlaajuiseksi johtajaksi nopeasti kehittyvässä biotaloudessa.</w:t>
      </w:r>
    </w:p>
    <w:p w14:paraId="2AF8B22D" w14:textId="77777777" w:rsidR="00585C4D" w:rsidRPr="005F4D87" w:rsidRDefault="00585C4D" w:rsidP="009F0015">
      <w:pPr>
        <w:pStyle w:val="VNLeip1kappale"/>
      </w:pPr>
    </w:p>
    <w:p w14:paraId="696066A3" w14:textId="1D884BC3" w:rsidR="005F4D87" w:rsidRPr="005F4D87" w:rsidRDefault="1AF7E860" w:rsidP="00B32E08">
      <w:pPr>
        <w:pStyle w:val="Otsikko3"/>
        <w:numPr>
          <w:ilvl w:val="0"/>
          <w:numId w:val="0"/>
        </w:numPr>
        <w:ind w:left="720" w:hanging="720"/>
        <w:rPr>
          <w:color w:val="365ABD" w:themeColor="accent3"/>
        </w:rPr>
      </w:pPr>
      <w:bookmarkStart w:id="137" w:name="_Toc202260069"/>
      <w:r>
        <w:t>6.3.</w:t>
      </w:r>
      <w:r w:rsidR="009F0015">
        <w:t>7</w:t>
      </w:r>
      <w:r>
        <w:t xml:space="preserve"> </w:t>
      </w:r>
      <w:r w:rsidR="005F4D87">
        <w:t>Ilmastorahoitus</w:t>
      </w:r>
      <w:bookmarkEnd w:id="137"/>
      <w:r w:rsidR="005F4D87">
        <w:t> </w:t>
      </w:r>
    </w:p>
    <w:p w14:paraId="70CF2890" w14:textId="7450EE1F" w:rsidR="00C429E3" w:rsidRDefault="007005BD" w:rsidP="002915D3">
      <w:pPr>
        <w:pStyle w:val="VNLeip1kappale"/>
      </w:pPr>
      <w:r>
        <w:t xml:space="preserve">Ilmastorahoituksen osalta valtion esisijainen tehtävä on kannustaa ja edistää yksityisten investointien ohjautumista kustannustehokkain ja johdonmukaisin keinoin puhtaaseen siirtymään. Kotitaloudet ja </w:t>
      </w:r>
      <w:r w:rsidR="00326A52">
        <w:t>yritykset tekevät tällä hetkellä merkittävästi oma-aloitteisia puhdasta siirtymää ja fossiilisista poltto</w:t>
      </w:r>
      <w:r w:rsidR="000D41C8">
        <w:t xml:space="preserve">aineista luopumista vauhdittavia toimia, ja on haastavaa arvioida, mitkä toimet toteutuisivat ilman valtion rahoitusta. </w:t>
      </w:r>
      <w:r w:rsidR="00692668">
        <w:t xml:space="preserve">Suomen kansainväliset ilmastovelvoitteet sekä hiilineutraaliustavoite vaativat ripeitä toimia investointien vauhdittamiseksi. </w:t>
      </w:r>
      <w:r w:rsidR="00F84D0E">
        <w:t xml:space="preserve">Julkisten varojen tehokkaan käytön varmistamiseksi valtion tukea tulisi jatkossa myöntää keskeisesti sellaisiin kohteisiin, jotka eivät toteutuisi ilman valtion väliintuloa, ja joissa valtion tuella voi olla merkittävä vipuvarsivaikutus. </w:t>
      </w:r>
    </w:p>
    <w:p w14:paraId="324E6889" w14:textId="6449730A" w:rsidR="005F4D87" w:rsidRPr="005F4D87" w:rsidRDefault="005F4D87" w:rsidP="002915D3">
      <w:pPr>
        <w:pStyle w:val="VNLeip1kappale"/>
        <w:rPr>
          <w:rFonts w:ascii="Segoe UI" w:hAnsi="Segoe UI" w:cs="Segoe UI"/>
          <w:sz w:val="18"/>
          <w:szCs w:val="18"/>
        </w:rPr>
      </w:pPr>
      <w:r w:rsidRPr="005F4D87">
        <w:t xml:space="preserve">Julkinen ilmastorahoitus koostuu muun muassa </w:t>
      </w:r>
      <w:r w:rsidR="000F2717">
        <w:t xml:space="preserve">useista </w:t>
      </w:r>
      <w:r w:rsidRPr="005F4D87">
        <w:t>sektorikohtais</w:t>
      </w:r>
      <w:r w:rsidR="0070042B">
        <w:t>i</w:t>
      </w:r>
      <w:r w:rsidRPr="005F4D87">
        <w:t>sta määrärah</w:t>
      </w:r>
      <w:r w:rsidR="0070042B">
        <w:t>oi</w:t>
      </w:r>
      <w:r w:rsidRPr="005F4D87">
        <w:t>sta, lainoista, lainojen valtiontakauksista ja verohelpotuksista. Valtion ilmastorahoitus täydentää yksityistä rahoitusta ja voi pyrkiä korjaamaan rahoituspuutteita. Määrärahoja on leikattu merkittävästi valtion talouden tasapainottamisen vuoksi. Suomessa on käytössä lukuisia kansallisia ja EU-rahoitusvälineitä, mutta niiden lukumäärä kuvaa ilmastorahoituksen riittävyyttä huonosti, ennemminkin ilmastotoimien ja -toimijoiden moninaisuutta. Rahoituksen riittävyyttä tulisikin tarkastella ilmastosuunnitelman toimien täyden toimeenpanon vaatiman rahoituksen näkökulmasta.</w:t>
      </w:r>
    </w:p>
    <w:p w14:paraId="050D2A23" w14:textId="474ADF61" w:rsidR="005F4D87" w:rsidRPr="005F4D87" w:rsidRDefault="005F4D87" w:rsidP="00B674F8">
      <w:pPr>
        <w:pStyle w:val="VNLeip1kappale"/>
        <w:rPr>
          <w:rFonts w:ascii="Segoe UI" w:hAnsi="Segoe UI" w:cs="Segoe UI"/>
          <w:sz w:val="18"/>
          <w:szCs w:val="18"/>
        </w:rPr>
      </w:pPr>
      <w:r w:rsidRPr="005F4D87">
        <w:t xml:space="preserve">EU:n taloudellinen tuki jäsenmaiden ilmastotoimille tapahtuu EU:n budjettiohjelmien sekä erillisten toimenpideohjelmien ja mekanismien kautta. EU:n monivuotinen rahoituskehys vahvistetaan vähintään viiden vuoden jaksolle, ja nykyinen rahoituskehyskausi kattaa vuodet 2021–2027. </w:t>
      </w:r>
      <w:r w:rsidR="00956A98">
        <w:t>Kyseisen budjettikauden r</w:t>
      </w:r>
      <w:r w:rsidRPr="005F4D87">
        <w:t xml:space="preserve">ahoituskehys koostuu 1074 miljardin euron monivuotisesta rahoituskehyksestä sekä 750 miljardin euron ylimääräisestä Next </w:t>
      </w:r>
      <w:proofErr w:type="spellStart"/>
      <w:r w:rsidRPr="005F4D87">
        <w:t>Generation</w:t>
      </w:r>
      <w:proofErr w:type="spellEnd"/>
      <w:r w:rsidRPr="005F4D87">
        <w:t xml:space="preserve"> EU -elpymisvälineestä</w:t>
      </w:r>
      <w:r w:rsidR="00956A98">
        <w:t>.</w:t>
      </w:r>
      <w:r w:rsidRPr="005F4D87">
        <w:t xml:space="preserve"> Nykyisen kehyksen tavoitteena on ohjata vähintään 30 %:a rahoituskehyksen kokonaismenoista läpileikkaavasti ilmastonmuutoksen vastaisten toimien edistämiseen. Tällä hetkellä valmistellaan seuraavaa kehyskautta, ja ilmastotavoitteiden saavuttamisen näkökulmasta olisi tärkeää pitää kiinni vähintään samasta tavoitetasosta. </w:t>
      </w:r>
    </w:p>
    <w:p w14:paraId="65163670" w14:textId="77777777" w:rsidR="005F4D87" w:rsidRPr="005F4D87" w:rsidRDefault="005F4D87" w:rsidP="005F4D87">
      <w:pPr>
        <w:textAlignment w:val="baseline"/>
        <w:rPr>
          <w:rFonts w:ascii="Segoe UI" w:hAnsi="Segoe UI" w:cs="Segoe UI"/>
          <w:b/>
          <w:bCs/>
          <w:color w:val="365ABD"/>
          <w:sz w:val="18"/>
          <w:szCs w:val="18"/>
        </w:rPr>
      </w:pPr>
      <w:r w:rsidRPr="57DFF2C0">
        <w:rPr>
          <w:rFonts w:ascii="Arial Narrow" w:hAnsi="Arial Narrow" w:cs="Segoe UI"/>
          <w:b/>
          <w:color w:val="365ABD" w:themeColor="accent3"/>
          <w:sz w:val="26"/>
          <w:szCs w:val="26"/>
        </w:rPr>
        <w:t>Rahoitustilanne sektoreittain </w:t>
      </w:r>
    </w:p>
    <w:p w14:paraId="20334998" w14:textId="250846FB" w:rsidR="005F4D87" w:rsidRDefault="005F4D87" w:rsidP="00047B08">
      <w:pPr>
        <w:pStyle w:val="VNLeip1kappale"/>
      </w:pPr>
      <w:r w:rsidRPr="005F4D87">
        <w:t xml:space="preserve">Liikennesektorilta odotetaan merkittäviä päästövähennyksiä, ja sektorin ilmastotoimet </w:t>
      </w:r>
      <w:r w:rsidR="00120C50">
        <w:t>ovat</w:t>
      </w:r>
      <w:r w:rsidRPr="005F4D87">
        <w:t xml:space="preserve"> usein </w:t>
      </w:r>
      <w:r w:rsidR="00120C50">
        <w:t xml:space="preserve">riippuvaisia </w:t>
      </w:r>
      <w:r w:rsidRPr="005F4D87">
        <w:t>rahoituks</w:t>
      </w:r>
      <w:r w:rsidR="00120C50">
        <w:t>esta.</w:t>
      </w:r>
      <w:r w:rsidRPr="005F4D87">
        <w:t xml:space="preserve"> Rahoituksella ja veroratkaisuilla on mahdollista pyrkiä vaikuttamaan eri liikkumismuotojen ja ajoneuvojen </w:t>
      </w:r>
      <w:r w:rsidR="00215286">
        <w:t>kustannuksiin</w:t>
      </w:r>
      <w:r w:rsidRPr="005F4D87">
        <w:t xml:space="preserve">, ja lisäksi valtio on tukenut julkista liikennettä ja infrastruktuurin kehittämistä. Ilmastosuunnitelman toimenpiteiden tavoitteiden osalta paras rahoitustilanne on täyssähköautojen hankintatuen ja väylienkunnossapidon parannuksen osalta. </w:t>
      </w:r>
      <w:r w:rsidR="00161466">
        <w:t>Toimia</w:t>
      </w:r>
      <w:r w:rsidRPr="005F4D87">
        <w:t xml:space="preserve">, joilla on </w:t>
      </w:r>
      <w:r w:rsidR="00161466">
        <w:t>korkea v</w:t>
      </w:r>
      <w:r w:rsidRPr="005F4D87">
        <w:t>aikuttav</w:t>
      </w:r>
      <w:r w:rsidR="00161466">
        <w:t xml:space="preserve">uus mutta </w:t>
      </w:r>
      <w:r w:rsidRPr="005F4D87">
        <w:t>joi</w:t>
      </w:r>
      <w:r w:rsidR="00047B08">
        <w:t>den</w:t>
      </w:r>
      <w:r w:rsidRPr="005F4D87">
        <w:t xml:space="preserve"> rahoitustilanne </w:t>
      </w:r>
      <w:r w:rsidR="00047B08">
        <w:t>on heikko</w:t>
      </w:r>
      <w:r w:rsidR="00300017">
        <w:t>,</w:t>
      </w:r>
      <w:r w:rsidR="00047B08">
        <w:t xml:space="preserve"> </w:t>
      </w:r>
      <w:r w:rsidRPr="005F4D87">
        <w:t>ovat m</w:t>
      </w:r>
      <w:r w:rsidR="00AC135A">
        <w:t>uun muassa</w:t>
      </w:r>
      <w:r w:rsidRPr="005F4D87">
        <w:t xml:space="preserve"> latausinfran edistäminen ja hankintatuki vaihtoehtoisia käyttövoimia käyttäville kuorma-autoille. </w:t>
      </w:r>
    </w:p>
    <w:p w14:paraId="480CB0A9" w14:textId="2C6FB01C" w:rsidR="000674BC" w:rsidRPr="005F4D87" w:rsidRDefault="000674BC" w:rsidP="000674BC">
      <w:pPr>
        <w:pStyle w:val="Kuvaotsikko"/>
        <w:rPr>
          <w:rFonts w:ascii="Segoe UI" w:hAnsi="Segoe UI" w:cs="Segoe UI"/>
        </w:rPr>
      </w:pPr>
      <w:r>
        <w:t xml:space="preserve">Kuvio </w:t>
      </w:r>
      <w:r>
        <w:fldChar w:fldCharType="begin"/>
      </w:r>
      <w:r>
        <w:instrText xml:space="preserve"> SEQ Kuvio \* ARABIC </w:instrText>
      </w:r>
      <w:r>
        <w:fldChar w:fldCharType="separate"/>
      </w:r>
      <w:r>
        <w:rPr>
          <w:noProof/>
        </w:rPr>
        <w:t>24</w:t>
      </w:r>
      <w:r>
        <w:fldChar w:fldCharType="end"/>
      </w:r>
      <w:r>
        <w:t xml:space="preserve">. </w:t>
      </w:r>
      <w:r w:rsidRPr="005F4D87">
        <w:t>Keskipitkän aikavälin ilmastosuunnitelman liikennesektorin toimien rahoitustilanne ja päästövähennyspotentiaali verrattuna suunnitelmassa niille asetettuihin tavoitteisiin. Luokittelu on tehty asiantuntija-arvioina</w:t>
      </w:r>
    </w:p>
    <w:p w14:paraId="6A9B1D10" w14:textId="7D9E3C3F" w:rsidR="005F4D87" w:rsidRPr="005F4D87" w:rsidRDefault="75A4547E" w:rsidP="005F4D87">
      <w:pPr>
        <w:textAlignment w:val="baseline"/>
        <w:rPr>
          <w:rFonts w:ascii="Segoe UI" w:hAnsi="Segoe UI" w:cs="Segoe UI"/>
          <w:sz w:val="18"/>
          <w:szCs w:val="18"/>
        </w:rPr>
      </w:pPr>
      <w:r>
        <w:rPr>
          <w:noProof/>
        </w:rPr>
        <w:drawing>
          <wp:inline distT="0" distB="0" distL="0" distR="0" wp14:anchorId="5C237FD7" wp14:editId="01585312">
            <wp:extent cx="5442564" cy="3060646"/>
            <wp:effectExtent l="0" t="0" r="0" b="3810"/>
            <wp:docPr id="132" name="Kuva 77" descr="Kuva 1,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7"/>
                    <pic:cNvPicPr/>
                  </pic:nvPicPr>
                  <pic:blipFill>
                    <a:blip r:embed="rId57">
                      <a:extLst>
                        <a:ext uri="{28A0092B-C50C-407E-A947-70E740481C1C}">
                          <a14:useLocalDpi xmlns:a14="http://schemas.microsoft.com/office/drawing/2010/main" val="0"/>
                        </a:ext>
                      </a:extLst>
                    </a:blip>
                    <a:stretch>
                      <a:fillRect/>
                    </a:stretch>
                  </pic:blipFill>
                  <pic:spPr>
                    <a:xfrm>
                      <a:off x="0" y="0"/>
                      <a:ext cx="5442564" cy="3060646"/>
                    </a:xfrm>
                    <a:prstGeom prst="rect">
                      <a:avLst/>
                    </a:prstGeom>
                  </pic:spPr>
                </pic:pic>
              </a:graphicData>
            </a:graphic>
          </wp:inline>
        </w:drawing>
      </w:r>
      <w:r w:rsidR="005F4D87" w:rsidRPr="005F4D87">
        <w:rPr>
          <w:rFonts w:cs="Arial"/>
          <w:sz w:val="22"/>
          <w:szCs w:val="22"/>
        </w:rPr>
        <w:t> </w:t>
      </w:r>
    </w:p>
    <w:p w14:paraId="13EDDEC6" w14:textId="5CD01A25" w:rsidR="005F4D87" w:rsidRPr="000674BC" w:rsidRDefault="00825BDC" w:rsidP="0099133B">
      <w:pPr>
        <w:pStyle w:val="VNLeip1kappale"/>
        <w:rPr>
          <w:rFonts w:ascii="Segoe UI" w:hAnsi="Segoe UI" w:cs="Segoe UI"/>
        </w:rPr>
      </w:pPr>
      <w:r>
        <w:t>Rakennusten erillislämmityksen</w:t>
      </w:r>
      <w:r w:rsidR="005F4D87" w:rsidRPr="005F4D87">
        <w:t xml:space="preserve"> osalta uusia määrärahoja </w:t>
      </w:r>
      <w:r>
        <w:t>ö</w:t>
      </w:r>
      <w:r w:rsidR="005F4D87" w:rsidRPr="005F4D87">
        <w:t>ljylämmityksestä luopumise</w:t>
      </w:r>
      <w:r w:rsidR="00524AAD">
        <w:t>n avustamiseen</w:t>
      </w:r>
      <w:r w:rsidR="005F4D87" w:rsidRPr="005F4D87">
        <w:t xml:space="preserve"> ei olla myönnetty vuode</w:t>
      </w:r>
      <w:r w:rsidR="00B63508">
        <w:t>n</w:t>
      </w:r>
      <w:r w:rsidR="005F4D87" w:rsidRPr="005F4D87">
        <w:t xml:space="preserve"> 2024 </w:t>
      </w:r>
      <w:r w:rsidR="00B63508">
        <w:t>alusta lähtien, eikä</w:t>
      </w:r>
      <w:r w:rsidR="005F4D87" w:rsidRPr="005F4D87">
        <w:t xml:space="preserve"> asuinrakennusten energia-avustus</w:t>
      </w:r>
      <w:r w:rsidR="00B63508">
        <w:t>ta</w:t>
      </w:r>
      <w:r w:rsidR="005F4D87" w:rsidRPr="005F4D87">
        <w:t xml:space="preserve"> </w:t>
      </w:r>
      <w:r w:rsidR="00B63508">
        <w:t>enää tarjota</w:t>
      </w:r>
      <w:r w:rsidR="005F4D87" w:rsidRPr="005F4D87">
        <w:t xml:space="preserve">. Käytössä on </w:t>
      </w:r>
      <w:r w:rsidR="00695760">
        <w:t xml:space="preserve">kuitenkin yhä </w:t>
      </w:r>
      <w:r w:rsidR="005F4D87" w:rsidRPr="005F4D87">
        <w:t>kotitalousvähennys</w:t>
      </w:r>
      <w:r w:rsidR="63A335C8">
        <w:t>,</w:t>
      </w:r>
      <w:r w:rsidR="005F4D87" w:rsidRPr="005F4D87">
        <w:t xml:space="preserve"> </w:t>
      </w:r>
      <w:r w:rsidR="00B51C96">
        <w:t xml:space="preserve">joka kattaa </w:t>
      </w:r>
      <w:r w:rsidR="005F4D87" w:rsidRPr="005F4D87">
        <w:t>öljylämmityksestä luopumise</w:t>
      </w:r>
      <w:r w:rsidR="009C2212">
        <w:t>e</w:t>
      </w:r>
      <w:r w:rsidR="005F4D87" w:rsidRPr="005F4D87">
        <w:t xml:space="preserve">n </w:t>
      </w:r>
      <w:r w:rsidR="009C2212">
        <w:t xml:space="preserve">liittyvän </w:t>
      </w:r>
      <w:r w:rsidR="005F4D87" w:rsidRPr="005F4D87">
        <w:t>työn osuu</w:t>
      </w:r>
      <w:r w:rsidR="009C2212">
        <w:t>den</w:t>
      </w:r>
      <w:r w:rsidR="005F4D87" w:rsidRPr="005F4D87">
        <w:t xml:space="preserve">. Lisäksi uutena rahoitusmuotona on </w:t>
      </w:r>
      <w:proofErr w:type="spellStart"/>
      <w:r w:rsidR="005F4D87" w:rsidRPr="005F4D87">
        <w:t>InvestEU</w:t>
      </w:r>
      <w:proofErr w:type="spellEnd"/>
      <w:r w:rsidR="005F4D87" w:rsidRPr="005F4D87">
        <w:t>-ohjelman kestävyystakaukset investointilainoille</w:t>
      </w:r>
      <w:r w:rsidR="009C2212">
        <w:t>, joiden myötä</w:t>
      </w:r>
      <w:r w:rsidR="00DD5BE9">
        <w:t xml:space="preserve"> </w:t>
      </w:r>
      <w:r w:rsidR="005F4D87" w:rsidRPr="005F4D87">
        <w:t xml:space="preserve">asunto-osakeyhtiöt voivat saada energiatehokkuusinvestoineille </w:t>
      </w:r>
      <w:r w:rsidR="00DE184A">
        <w:t xml:space="preserve">lainaa entistä </w:t>
      </w:r>
      <w:r w:rsidR="005F4D87" w:rsidRPr="005F4D87">
        <w:t xml:space="preserve">helpommin </w:t>
      </w:r>
      <w:r w:rsidR="008A7D50">
        <w:t>ja</w:t>
      </w:r>
      <w:r w:rsidR="008A7D50" w:rsidRPr="005F4D87">
        <w:t xml:space="preserve"> </w:t>
      </w:r>
      <w:r w:rsidR="0099133B">
        <w:t>kustannustehokkaa</w:t>
      </w:r>
      <w:r w:rsidR="008A7D50">
        <w:t>mmin</w:t>
      </w:r>
      <w:r w:rsidR="005F4D87" w:rsidRPr="005F4D87">
        <w:t xml:space="preserve"> ohjelma</w:t>
      </w:r>
      <w:r w:rsidR="008A7D50">
        <w:t>an</w:t>
      </w:r>
      <w:r w:rsidR="005F4D87" w:rsidRPr="005F4D87">
        <w:t xml:space="preserve"> </w:t>
      </w:r>
      <w:r w:rsidR="008A7D50">
        <w:t>osallistuvilta</w:t>
      </w:r>
      <w:r w:rsidR="005F4D87" w:rsidRPr="005F4D87">
        <w:t xml:space="preserve"> pankeilta.</w:t>
      </w:r>
    </w:p>
    <w:p w14:paraId="27881990" w14:textId="0D313D24" w:rsidR="005F4D87" w:rsidRPr="005F4D87" w:rsidRDefault="005F4D87" w:rsidP="00F202A3">
      <w:pPr>
        <w:pStyle w:val="VNLeip1kappale"/>
        <w:rPr>
          <w:rFonts w:ascii="Segoe UI" w:hAnsi="Segoe UI" w:cs="Segoe UI"/>
          <w:sz w:val="18"/>
          <w:szCs w:val="18"/>
        </w:rPr>
      </w:pPr>
      <w:r w:rsidRPr="005F4D87">
        <w:t xml:space="preserve">Sekä liikenteen että </w:t>
      </w:r>
      <w:r w:rsidR="003D0820">
        <w:t xml:space="preserve">rakennusten </w:t>
      </w:r>
      <w:r w:rsidRPr="005F4D87">
        <w:t xml:space="preserve">lämmityksen osalta rahoitusta voidaan osin </w:t>
      </w:r>
      <w:r w:rsidR="003D0820">
        <w:t>täydentää</w:t>
      </w:r>
      <w:r w:rsidRPr="005F4D87">
        <w:t xml:space="preserve"> uuden sosiaalisen ilmastorahaston kautta. Rahasto kytkeytyy päästökaupan laajennukseen ja on tarkoitettu tukemaan kansallisia toimenpiteitä ja investointeja, joilla voidaan varmistaa haavoittuville tahoille kohtuuhintainen lämmitys, jäähdytys ja liikkuminen sekä tukea ja nopeuttaa ilmastotavoitteiden saavuttamista. Rahoituksen määrä Suomessa on korkeintaan 464 miljoonaa euroa vuosina 2026–2032. Rahoitus myönnetään jäsenvaltion laatiman ilmastotoimien sosiaalisen tuen suunnitelman perusteella, joka toimitetaan komissiolle 30.6.2025 mennessä. </w:t>
      </w:r>
    </w:p>
    <w:p w14:paraId="2B4975AB" w14:textId="190665B4" w:rsidR="005F4D87" w:rsidRDefault="005F4D87" w:rsidP="00B674F8">
      <w:pPr>
        <w:pStyle w:val="VNLeip1kappale"/>
      </w:pPr>
      <w:r w:rsidRPr="005F4D87">
        <w:t xml:space="preserve">Maatalouden ilmastotoimia edistetään pääasiassa kansallisen </w:t>
      </w:r>
      <w:r w:rsidR="00952B91">
        <w:t>YMP</w:t>
      </w:r>
      <w:r w:rsidRPr="005F4D87">
        <w:t xml:space="preserve"> (</w:t>
      </w:r>
      <w:r w:rsidR="00952B91">
        <w:t>yhteinen maatalouspolitikka</w:t>
      </w:r>
      <w:r w:rsidRPr="005F4D87">
        <w:t xml:space="preserve">) -strategiasuunnitelman toimin. Viljelijät voivat hakea </w:t>
      </w:r>
      <w:r w:rsidR="00EF655B">
        <w:t>tukea</w:t>
      </w:r>
      <w:r w:rsidRPr="005F4D87">
        <w:t xml:space="preserve"> muun muassa maatiloilla tehtäviin energiainvestointeihin, hiilen sidontaa </w:t>
      </w:r>
      <w:r w:rsidR="002F29EA">
        <w:t>ja hiilivar</w:t>
      </w:r>
      <w:r w:rsidR="00D95E49">
        <w:t>a</w:t>
      </w:r>
      <w:r w:rsidR="002F29EA">
        <w:t xml:space="preserve">stojen ylläpitoa </w:t>
      </w:r>
      <w:r w:rsidRPr="005F4D87">
        <w:t xml:space="preserve">edistäviin </w:t>
      </w:r>
      <w:r w:rsidR="00963A91">
        <w:t>viljely</w:t>
      </w:r>
      <w:r w:rsidRPr="005F4D87">
        <w:t xml:space="preserve">menetelmiin ja kosteikkoinvestointeihin. Ilmastonmuutoksen hillitseminen on vain yksi </w:t>
      </w:r>
      <w:r w:rsidR="00F718A5">
        <w:t>YMP</w:t>
      </w:r>
      <w:r w:rsidRPr="005F4D87">
        <w:t xml:space="preserve">:n tavoitteista. </w:t>
      </w:r>
      <w:r w:rsidR="00F718A5">
        <w:t>YMP</w:t>
      </w:r>
      <w:r w:rsidRPr="005F4D87">
        <w:t>:ll</w:t>
      </w:r>
      <w:r w:rsidR="00F718A5">
        <w:t>ä</w:t>
      </w:r>
      <w:r w:rsidRPr="005F4D87">
        <w:t xml:space="preserve"> ei voida ja eikä myöskään ole tarkoituksenmukaista edistää kaikkia maatalouden ilmastonmuutoksen hillintään tai sopeutumiseen liittyviä toimia, vaan tarvitaan myös </w:t>
      </w:r>
      <w:r w:rsidR="006368F5">
        <w:t xml:space="preserve">muuta EU tai </w:t>
      </w:r>
      <w:r w:rsidRPr="005F4D87">
        <w:t>kansallista rahoitusta ja toimia. Ilmastosuunnitelman toimien tavoitteiden saavuttamisen näkökulmasta paras rahoitustilanne on m</w:t>
      </w:r>
      <w:r w:rsidR="001A6CB9">
        <w:t>uun muassa</w:t>
      </w:r>
      <w:r w:rsidRPr="005F4D87">
        <w:t xml:space="preserve"> ravinteiden kierrätyksen ja biokaasun edistämisellä. </w:t>
      </w:r>
      <w:r w:rsidR="00510AF8">
        <w:t>T</w:t>
      </w:r>
      <w:r w:rsidRPr="005F4D87">
        <w:t>oimia, joiden osalta rahoitustilanne on huono, ovat esimerkiksi lypsylehmien ruokinnalliset keinot ja joutoalueiden metsitys. </w:t>
      </w:r>
    </w:p>
    <w:p w14:paraId="2731FDD8" w14:textId="331E3449" w:rsidR="000674BC" w:rsidRPr="005F4D87" w:rsidRDefault="000674BC" w:rsidP="000674BC">
      <w:pPr>
        <w:pStyle w:val="Kuvaotsikko"/>
        <w:rPr>
          <w:rFonts w:ascii="Segoe UI" w:hAnsi="Segoe UI" w:cs="Segoe UI"/>
        </w:rPr>
      </w:pPr>
      <w:r>
        <w:t xml:space="preserve">Kuvio </w:t>
      </w:r>
      <w:r>
        <w:fldChar w:fldCharType="begin"/>
      </w:r>
      <w:r>
        <w:instrText xml:space="preserve"> SEQ Kuvio \* ARABIC </w:instrText>
      </w:r>
      <w:r>
        <w:fldChar w:fldCharType="separate"/>
      </w:r>
      <w:r>
        <w:rPr>
          <w:noProof/>
        </w:rPr>
        <w:t>25</w:t>
      </w:r>
      <w:r>
        <w:fldChar w:fldCharType="end"/>
      </w:r>
      <w:r>
        <w:t xml:space="preserve">. </w:t>
      </w:r>
      <w:r w:rsidRPr="005F4D87">
        <w:t>Keskipitkän aikavälin ilmastosuunnitelman maataloussektorin toimien rahoitustilanne ja päästövähennyspotentiaali verrattuna suunnitelmassa niille asetettuihin tavoitteisiin. Luokittelu on tehty asiantuntija-arvioina. </w:t>
      </w:r>
    </w:p>
    <w:p w14:paraId="0420CDBA" w14:textId="77777777" w:rsidR="000674BC" w:rsidRPr="005F4D87" w:rsidRDefault="000674BC" w:rsidP="00B674F8">
      <w:pPr>
        <w:pStyle w:val="VNLeip1kappale"/>
        <w:rPr>
          <w:rFonts w:ascii="Segoe UI" w:hAnsi="Segoe UI" w:cs="Segoe UI"/>
          <w:sz w:val="18"/>
          <w:szCs w:val="18"/>
        </w:rPr>
      </w:pPr>
    </w:p>
    <w:p w14:paraId="3C33D81E" w14:textId="3A7A4B1A" w:rsidR="005F4D87" w:rsidRPr="005F4D87" w:rsidRDefault="005F4D87" w:rsidP="005F4D87">
      <w:pPr>
        <w:spacing w:beforeAutospacing="1" w:afterAutospacing="1"/>
        <w:textAlignment w:val="baseline"/>
        <w:rPr>
          <w:rFonts w:ascii="Segoe UI" w:hAnsi="Segoe UI" w:cs="Segoe UI"/>
          <w:sz w:val="18"/>
          <w:szCs w:val="18"/>
        </w:rPr>
      </w:pPr>
      <w:r>
        <w:rPr>
          <w:noProof/>
        </w:rPr>
        <w:drawing>
          <wp:inline distT="0" distB="0" distL="0" distR="0" wp14:anchorId="3D471578" wp14:editId="00309876">
            <wp:extent cx="5414622" cy="3044934"/>
            <wp:effectExtent l="0" t="0" r="0" b="3175"/>
            <wp:docPr id="133" name="Kuva 76" descr="Kuva 1,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6"/>
                    <pic:cNvPicPr/>
                  </pic:nvPicPr>
                  <pic:blipFill>
                    <a:blip r:embed="rId58">
                      <a:extLst>
                        <a:ext uri="{28A0092B-C50C-407E-A947-70E740481C1C}">
                          <a14:useLocalDpi xmlns:a14="http://schemas.microsoft.com/office/drawing/2010/main" val="0"/>
                        </a:ext>
                      </a:extLst>
                    </a:blip>
                    <a:stretch>
                      <a:fillRect/>
                    </a:stretch>
                  </pic:blipFill>
                  <pic:spPr>
                    <a:xfrm>
                      <a:off x="0" y="0"/>
                      <a:ext cx="5414622" cy="3044934"/>
                    </a:xfrm>
                    <a:prstGeom prst="rect">
                      <a:avLst/>
                    </a:prstGeom>
                  </pic:spPr>
                </pic:pic>
              </a:graphicData>
            </a:graphic>
          </wp:inline>
        </w:drawing>
      </w:r>
      <w:r w:rsidRPr="005F4D87">
        <w:rPr>
          <w:rFonts w:cs="Arial"/>
          <w:sz w:val="24"/>
          <w:szCs w:val="24"/>
        </w:rPr>
        <w:t> </w:t>
      </w:r>
    </w:p>
    <w:p w14:paraId="388FDEDD" w14:textId="77777777" w:rsidR="005F4D87" w:rsidRPr="005F4D87" w:rsidRDefault="005F4D87" w:rsidP="00B674F8">
      <w:pPr>
        <w:pStyle w:val="VNLeip1kappale"/>
        <w:rPr>
          <w:rFonts w:ascii="Segoe UI" w:hAnsi="Segoe UI" w:cs="Segoe UI"/>
          <w:sz w:val="18"/>
          <w:szCs w:val="18"/>
        </w:rPr>
      </w:pPr>
      <w:r w:rsidRPr="005F4D87">
        <w:t>Työkoneiden vähähiilisyyden edistämiseen, F-kaasujen käytön vähentämiseen ja jätehuollon ilmastotoimien edistämiseen ei ole merkittäviä omia määrärahoja. </w:t>
      </w:r>
    </w:p>
    <w:p w14:paraId="0265A41F" w14:textId="77777777" w:rsidR="005F4D87" w:rsidRPr="005F4D87" w:rsidRDefault="005F4D87" w:rsidP="005F4D87">
      <w:pPr>
        <w:textAlignment w:val="baseline"/>
        <w:rPr>
          <w:rFonts w:ascii="Segoe UI" w:hAnsi="Segoe UI" w:cs="Segoe UI"/>
          <w:b/>
          <w:bCs/>
          <w:color w:val="365ABD"/>
          <w:sz w:val="18"/>
          <w:szCs w:val="18"/>
        </w:rPr>
      </w:pPr>
      <w:bookmarkStart w:id="138" w:name="_Toc199319344"/>
      <w:bookmarkEnd w:id="138"/>
      <w:r w:rsidRPr="57DFF2C0">
        <w:rPr>
          <w:rFonts w:ascii="Arial Narrow" w:hAnsi="Arial Narrow" w:cs="Segoe UI"/>
          <w:b/>
          <w:color w:val="365ABD" w:themeColor="accent3"/>
          <w:sz w:val="26"/>
          <w:szCs w:val="26"/>
        </w:rPr>
        <w:t>Poikkisektorien ilmastotoimien rahoitus </w:t>
      </w:r>
    </w:p>
    <w:p w14:paraId="1055F8F4" w14:textId="299C6F62" w:rsidR="005F4D87" w:rsidRDefault="005F4D87" w:rsidP="0039540F">
      <w:pPr>
        <w:pStyle w:val="VNLeip1kappale"/>
      </w:pPr>
      <w:r w:rsidRPr="005F4D87">
        <w:t>Kuntien ilmastot</w:t>
      </w:r>
      <w:r w:rsidR="00CD1E99">
        <w:t>oimilla on alueellisesti suuri vaik</w:t>
      </w:r>
      <w:r w:rsidR="00A237F5">
        <w:t xml:space="preserve">utus eri sektoreiden </w:t>
      </w:r>
      <w:r w:rsidRPr="005F4D87">
        <w:t>päästövähennyksi</w:t>
      </w:r>
      <w:r w:rsidR="00A237F5">
        <w:t>in</w:t>
      </w:r>
      <w:r w:rsidRPr="005F4D87">
        <w:t xml:space="preserve">. Hallitus on lakkauttanut kuntien ilmastosuunnitelmiin myönnetyt määrärahat, ja ympäristöministeriön Kuntien ilmastoratkaisut –ohjelma on päättynyt. </w:t>
      </w:r>
      <w:r w:rsidR="000802CB">
        <w:t xml:space="preserve">Lisäksi </w:t>
      </w:r>
      <w:r w:rsidR="00D57EEE">
        <w:t>useiden</w:t>
      </w:r>
      <w:r w:rsidRPr="005F4D87">
        <w:t xml:space="preserve"> muiden sektorikohtaisten rahoituslähteiden lakkauttaminen</w:t>
      </w:r>
      <w:r w:rsidR="00D8121E">
        <w:t xml:space="preserve"> vaikeuttaa kuntien päästövähennystoimia</w:t>
      </w:r>
      <w:r w:rsidRPr="005F4D87">
        <w:t xml:space="preserve">. Investointien osalta kunnat voivat hakea lainarahoitusta, ja julkisten hankintojen </w:t>
      </w:r>
      <w:r w:rsidR="00543AFC">
        <w:t>avulla voidaan</w:t>
      </w:r>
      <w:r w:rsidRPr="005F4D87">
        <w:t xml:space="preserve"> luoda kysyntää </w:t>
      </w:r>
      <w:r w:rsidR="0039540F">
        <w:t>päästöjä vähentäville</w:t>
      </w:r>
      <w:r w:rsidRPr="005F4D87">
        <w:t xml:space="preserve"> ratkaisuille.</w:t>
      </w:r>
    </w:p>
    <w:p w14:paraId="6A6FBCE4" w14:textId="4C042E31" w:rsidR="00B87D4B" w:rsidRPr="005F4D87" w:rsidRDefault="00B87D4B" w:rsidP="00D34F19">
      <w:pPr>
        <w:pStyle w:val="VNLeip1kappale"/>
        <w:rPr>
          <w:rFonts w:ascii="Segoe UI" w:hAnsi="Segoe UI" w:cs="Segoe UI"/>
          <w:sz w:val="18"/>
          <w:szCs w:val="18"/>
        </w:rPr>
      </w:pPr>
      <w:r w:rsidRPr="005F4D87">
        <w:t xml:space="preserve">Kuntarahoitus Oy on vuoden 2025 alusta myöntänyt uutta kestävän kehityksen lainaa sellaisille kunnille, joilla on ilmastosuunnitelma. Lisäksi kunta voi saada kunakin vuonna </w:t>
      </w:r>
      <w:r w:rsidR="00DD5BE9">
        <w:t>edullisempaa</w:t>
      </w:r>
      <w:r w:rsidRPr="005F4D87">
        <w:t xml:space="preserve"> lainaa, jos se alittaa päästövähennyspolun tavoitteet. Tavoitteiden saavuttamista seurataan </w:t>
      </w:r>
      <w:proofErr w:type="spellStart"/>
      <w:r w:rsidRPr="005F4D87">
        <w:t>Syken</w:t>
      </w:r>
      <w:proofErr w:type="spellEnd"/>
      <w:r w:rsidRPr="005F4D87">
        <w:t xml:space="preserve"> päästötietopalvelun kautta. Lainarahoituksen käyttökohteelle ei ole rajoituksia. </w:t>
      </w:r>
    </w:p>
    <w:p w14:paraId="4D3C6B41" w14:textId="77777777" w:rsidR="005F4D87" w:rsidRPr="005F4D87" w:rsidRDefault="005F4D87" w:rsidP="00B674F8">
      <w:pPr>
        <w:pStyle w:val="VNLeip1kappale"/>
        <w:rPr>
          <w:rFonts w:ascii="Segoe UI" w:hAnsi="Segoe UI" w:cs="Segoe UI"/>
          <w:sz w:val="18"/>
          <w:szCs w:val="18"/>
        </w:rPr>
      </w:pPr>
      <w:r w:rsidRPr="005F4D87">
        <w:t>EU:n alue- ja rakennepolitiikan ohjelmiin kuuluu muun muassa Euroopan aluekehitysrahasto (EAKR) ja Oikeudenmukaisen siirtymän rahasto (Just Transition Fund, JTF). EAKR:ssä kohdennetaan rahoitusta osittain myös vihreään siirtymään maakunnittain ja valtakunnallisesti, ja teemoina ovat mm. energiatehokkuus ja kiertotalous. JTF-rahasto perustettiin lieventämään ilmastosiirtymän haitallisia vaikutuksia. Tavoitteeseen pyritään tukemalla alueita ja työntekijöitä, joihin siirtymä vaikuttaa eniten, ja edistämällä tasapainoista sosioekonomista siirtymää. Suomessa JTF-rahaston toimet perustuvat tavoitteeseen puolittaa turpeen energiakäyttö vuoteen 2030 mennessä. Alueellisen kohdennuksen vuoksi määrärahaa on kaikista vähiten käytössä Etelä-Suomessa. </w:t>
      </w:r>
    </w:p>
    <w:p w14:paraId="2285BB56" w14:textId="77777777" w:rsidR="00ED2DC0" w:rsidRDefault="005F4D87" w:rsidP="00D70F99">
      <w:pPr>
        <w:pStyle w:val="VNLeip1kappale"/>
      </w:pPr>
      <w:r w:rsidRPr="00430E45">
        <w:t xml:space="preserve">Kiertotalouden rahoitusta on EAKR:n lisäksi ollut RRF-rahoituksessa, mutta tämä rahoitus on päättymässä. Kiertotalouden strategisen ohjelman toimeenpanoon varattuja rahoja on leikattu. Biotaloutta rahoitetaan osin </w:t>
      </w:r>
      <w:r w:rsidR="00F95F25" w:rsidRPr="00430E45">
        <w:t>YMP</w:t>
      </w:r>
      <w:r w:rsidRPr="00430E45">
        <w:t xml:space="preserve">:n kautta ja osin kansallisesti. </w:t>
      </w:r>
    </w:p>
    <w:p w14:paraId="619F0CA3" w14:textId="75FD3DE4" w:rsidR="005F4D87" w:rsidRPr="005F4D87" w:rsidRDefault="005F4D87" w:rsidP="00D70F99">
      <w:pPr>
        <w:pStyle w:val="VNLeip1kappale"/>
        <w:rPr>
          <w:rFonts w:ascii="Segoe UI" w:hAnsi="Segoe UI" w:cs="Segoe UI"/>
          <w:sz w:val="18"/>
          <w:szCs w:val="18"/>
        </w:rPr>
      </w:pPr>
      <w:r w:rsidRPr="005F4D87">
        <w:t xml:space="preserve">Tutkimus- ja innovaatiotoimintaa rahoitetaan muun muassa </w:t>
      </w:r>
      <w:r w:rsidR="001716A7">
        <w:t xml:space="preserve">Business Finlandin, </w:t>
      </w:r>
      <w:r w:rsidRPr="005F4D87">
        <w:t xml:space="preserve">LIFE-ohjelman ja </w:t>
      </w:r>
      <w:r w:rsidR="00D70F99">
        <w:t xml:space="preserve">EU:n </w:t>
      </w:r>
      <w:r w:rsidR="00D70F99" w:rsidRPr="005F4D87">
        <w:t xml:space="preserve">tutkimus- ja innovointialan puiteohjelma </w:t>
      </w:r>
      <w:r w:rsidRPr="005F4D87">
        <w:t>Horisontti Euroop</w:t>
      </w:r>
      <w:r w:rsidR="004F042A">
        <w:t>pa -ohjelman</w:t>
      </w:r>
      <w:r w:rsidRPr="005F4D87">
        <w:t xml:space="preserve"> kautta. EU:n LIFE-ohjelma rahoittaa hankkeita ympäristön, luonnonsuojelun sekä ilmastotoimien saralla. Hankkeet fokusoivat usein uusien teknologioiden sekä käytäntöjen pilotointiin tai demonstrointiin. Suomessa on tällä hetkellä käynnissä LIFE-ohjelman rahoittama ACE-hanke, jossa vauhditetaan erityisesti taakanjakosektorin päästövähennyksiä. Suomen ympäristökeskus on käynnistänyt ympäristöministeriön tuella kiertotalousteemaisen LIFE-hankehakemuksen valmistelun. </w:t>
      </w:r>
    </w:p>
    <w:p w14:paraId="2DB4BD94" w14:textId="4D1142D1" w:rsidR="005F4D87" w:rsidRPr="005F4D87" w:rsidRDefault="00EB37DD" w:rsidP="005F4D87">
      <w:pPr>
        <w:textAlignment w:val="baseline"/>
        <w:rPr>
          <w:rFonts w:ascii="Segoe UI" w:hAnsi="Segoe UI" w:cs="Segoe UI"/>
          <w:b/>
          <w:bCs/>
          <w:color w:val="365ABD"/>
          <w:sz w:val="18"/>
          <w:szCs w:val="18"/>
        </w:rPr>
      </w:pPr>
      <w:proofErr w:type="spellStart"/>
      <w:r w:rsidRPr="3B6376E3">
        <w:rPr>
          <w:rFonts w:ascii="Arial Narrow" w:hAnsi="Arial Narrow" w:cs="Segoe UI"/>
          <w:b/>
          <w:bCs/>
          <w:color w:val="365ABD" w:themeColor="accent3"/>
          <w:sz w:val="26"/>
          <w:szCs w:val="26"/>
        </w:rPr>
        <w:t>Cleantech</w:t>
      </w:r>
      <w:proofErr w:type="spellEnd"/>
      <w:r>
        <w:rPr>
          <w:rFonts w:ascii="Arial Narrow" w:hAnsi="Arial Narrow" w:cs="Segoe UI"/>
          <w:b/>
          <w:color w:val="365ABD" w:themeColor="accent3"/>
          <w:sz w:val="26"/>
          <w:szCs w:val="26"/>
        </w:rPr>
        <w:t>-investointien vauhdittaminen</w:t>
      </w:r>
    </w:p>
    <w:p w14:paraId="7FDA5628" w14:textId="1B563396" w:rsidR="005F4D87" w:rsidRPr="005F4D87" w:rsidRDefault="005F4D87" w:rsidP="00E25ADF">
      <w:pPr>
        <w:pStyle w:val="VNLeip1kappale"/>
        <w:rPr>
          <w:rFonts w:ascii="Segoe UI" w:hAnsi="Segoe UI" w:cs="Segoe UI"/>
          <w:sz w:val="18"/>
          <w:szCs w:val="18"/>
        </w:rPr>
      </w:pPr>
      <w:r w:rsidRPr="005F4D87">
        <w:t>Valtiolla on use</w:t>
      </w:r>
      <w:r w:rsidR="007A3B98">
        <w:t>ita</w:t>
      </w:r>
      <w:r w:rsidRPr="005F4D87">
        <w:t xml:space="preserve"> pääomasijoitusyhtiöitä, joita on vuonna 2024 keskitetty Suomen Teollisuussijoitus-konserniin (</w:t>
      </w:r>
      <w:proofErr w:type="spellStart"/>
      <w:r w:rsidRPr="005F4D87">
        <w:t>Tesi</w:t>
      </w:r>
      <w:proofErr w:type="spellEnd"/>
      <w:r w:rsidRPr="005F4D87">
        <w:t>). Samalla muun muassa Ilmastorahasto Oy:n toiminta lakkaute</w:t>
      </w:r>
      <w:r w:rsidR="007A3B98">
        <w:t>ttiin</w:t>
      </w:r>
      <w:r w:rsidRPr="005F4D87">
        <w:t xml:space="preserve"> kokonaisuudessaan, joten Suomesta puuttuu tällä hetkellä puhtaasti ilmastovaikutuksiin sijoittava yhtiö. </w:t>
      </w:r>
      <w:proofErr w:type="spellStart"/>
      <w:r w:rsidRPr="005F4D87">
        <w:t>Tesille</w:t>
      </w:r>
      <w:proofErr w:type="spellEnd"/>
      <w:r w:rsidRPr="005F4D87">
        <w:t xml:space="preserve"> on annettu laajempi teollisuuspoliittinen tehtävä ja 300 miljoonan euron lisäpääomitus vuoden 2024 kehysriihessä. </w:t>
      </w:r>
      <w:proofErr w:type="spellStart"/>
      <w:r w:rsidR="00695949">
        <w:t>Tesin</w:t>
      </w:r>
      <w:proofErr w:type="spellEnd"/>
      <w:r w:rsidR="00695949">
        <w:t xml:space="preserve"> uudessa strategiassa yhtenä kärkenä on mainittu </w:t>
      </w:r>
      <w:r w:rsidR="0000541B">
        <w:t>puhdas siirtymä, ja v</w:t>
      </w:r>
      <w:r>
        <w:t>uonna</w:t>
      </w:r>
      <w:r w:rsidRPr="005F4D87">
        <w:t xml:space="preserve"> 2023 </w:t>
      </w:r>
      <w:proofErr w:type="spellStart"/>
      <w:r w:rsidRPr="005F4D87">
        <w:t>Tesi</w:t>
      </w:r>
      <w:proofErr w:type="spellEnd"/>
      <w:r w:rsidRPr="005F4D87">
        <w:t xml:space="preserve"> sijoitti suoraan 19 miljoonaa euroa puhtaan siirtymän yrityksiin. </w:t>
      </w:r>
      <w:r w:rsidR="007479A3">
        <w:t>Muita</w:t>
      </w:r>
      <w:r w:rsidRPr="005F4D87">
        <w:t xml:space="preserve"> valtio-</w:t>
      </w:r>
      <w:r w:rsidR="007479A3">
        <w:t>omisteisia organisaatioita, jotka</w:t>
      </w:r>
      <w:r w:rsidRPr="005F4D87">
        <w:t xml:space="preserve"> rahoittavat yksityisen sektorin investointeja</w:t>
      </w:r>
      <w:r w:rsidR="007479A3">
        <w:t xml:space="preserve"> on</w:t>
      </w:r>
      <w:r w:rsidRPr="005F4D87">
        <w:t xml:space="preserve"> Business Finland</w:t>
      </w:r>
      <w:r w:rsidR="007479A3">
        <w:t>, joka</w:t>
      </w:r>
      <w:r w:rsidRPr="005F4D87">
        <w:t xml:space="preserve"> myönsi vuonna 2023 lainoja 193 miljoonan euron edestä teemoissa ‘hiilineutraali ja kriisin kestävä energiajärjestelmä’ ja ‘kiertotalous ja nollahukka’</w:t>
      </w:r>
      <w:r w:rsidR="007479A3">
        <w:t>, sekä</w:t>
      </w:r>
      <w:r w:rsidR="100B223A">
        <w:t xml:space="preserve"> </w:t>
      </w:r>
      <w:r>
        <w:t>Finnvera</w:t>
      </w:r>
      <w:r w:rsidR="007479A3">
        <w:t>, jonka</w:t>
      </w:r>
      <w:r w:rsidRPr="005F4D87">
        <w:t xml:space="preserve"> ilmasto- ja ympäristölainaa myönnettiin samana vuonna 10 miljoonaa euroa.</w:t>
      </w:r>
    </w:p>
    <w:p w14:paraId="762842A6" w14:textId="6D2B742F" w:rsidR="005F4D87" w:rsidRDefault="005F4D87" w:rsidP="00ED2DC0">
      <w:pPr>
        <w:pStyle w:val="VNLeip1kappale"/>
        <w:spacing w:line="276" w:lineRule="auto"/>
      </w:pPr>
      <w:r w:rsidRPr="005F4D87">
        <w:t>Hallitus ottaa käyttöön määräaikaisen verohyvityksen suurille nollapäästötalouteen vieville teollisille investoinneille. Näitä voivat olla esimerkiksi fossiilivapaa teräs-, akku- ja vetyteollisuus</w:t>
      </w:r>
      <w:r w:rsidR="00E25ADF">
        <w:t xml:space="preserve">. </w:t>
      </w:r>
      <w:r w:rsidR="00792EFD">
        <w:t>Alat eivät ole</w:t>
      </w:r>
      <w:r w:rsidRPr="005F4D87">
        <w:t xml:space="preserve"> suoraan taakanjakosektori</w:t>
      </w:r>
      <w:r w:rsidR="00792EFD">
        <w:t>lla</w:t>
      </w:r>
      <w:r w:rsidRPr="005F4D87">
        <w:t xml:space="preserve">, mutta vaikutuksia voi olla sähköistymisen kautta. Verohyvitys on 20 prosenttia investoinnin summasta, kuitenkin enintään 150 miljoonaa euroa hanketta kohden. Verohyvitys myönnetään vuoden 2025 loppuun mennessä investointipäätöksen tehneille uusille hankkeille. Lisäksi investointeja </w:t>
      </w:r>
      <w:r w:rsidR="003A79C6">
        <w:t xml:space="preserve">pyritään helpottamaan </w:t>
      </w:r>
      <w:r w:rsidRPr="005F4D87">
        <w:t xml:space="preserve">lupamenettelyiden sujuvoittamisen kautta. Kunta voi yhdistää kaava- ja </w:t>
      </w:r>
      <w:proofErr w:type="spellStart"/>
      <w:r w:rsidRPr="005F4D87">
        <w:t>luvitusvaiheita</w:t>
      </w:r>
      <w:proofErr w:type="spellEnd"/>
      <w:r w:rsidRPr="005F4D87">
        <w:t xml:space="preserve"> puhtaan siirtymän investointien mahdollistamiseksi. </w:t>
      </w:r>
    </w:p>
    <w:p w14:paraId="00E59BA7" w14:textId="77777777" w:rsidR="00ED2DC0" w:rsidRPr="00ED2DC0" w:rsidRDefault="00166A62" w:rsidP="00ED2DC0">
      <w:pPr>
        <w:spacing w:line="276" w:lineRule="auto"/>
        <w:textAlignment w:val="baseline"/>
        <w:rPr>
          <w:rFonts w:cs="Myriad Pro"/>
          <w:spacing w:val="1"/>
          <w:sz w:val="22"/>
        </w:rPr>
      </w:pPr>
      <w:r w:rsidRPr="00ED2DC0">
        <w:rPr>
          <w:rFonts w:cs="Myriad Pro"/>
          <w:spacing w:val="1"/>
          <w:sz w:val="22"/>
        </w:rPr>
        <w:t xml:space="preserve">Hallitus on tehnyt merkittäviä panostuksia tutkimus- ja kehittämisrahoitukseen. Eduskuntaryhmät ovat sitoutuneet tutkimus- ja kehittämismenojen nostamiseen neljään prosenttiin suhteessa bruttokansantuotteeseen vuoteen 2030 mennessä ja valtion tutkimus- ja kehittämisrahoituksen kasvattamiseen. Vuosittainen T&amp;K-rahoituksen lisäys on noin 280 miljoonaa euroa. Lisäksi vuoden 2023 alusta tuli voimaan laki tutkimus- ja kehittämistoiminnan yhdistelmävähennyksestä, joka on yrityksille suunnattu yleinen verotuki. Lisäpanostukset tutkimus- ja kehittämistoimintaan tukevat suomalaisen yhteiskunnan ja elinkeinoelämän uudistumista. </w:t>
      </w:r>
    </w:p>
    <w:p w14:paraId="437C22BC" w14:textId="77777777" w:rsidR="00ED2DC0" w:rsidRDefault="00ED2DC0" w:rsidP="005F4D87">
      <w:pPr>
        <w:textAlignment w:val="baseline"/>
      </w:pPr>
    </w:p>
    <w:p w14:paraId="36C29710" w14:textId="77777777" w:rsidR="00406F17" w:rsidRDefault="00406F17" w:rsidP="005F4D87">
      <w:pPr>
        <w:textAlignment w:val="baseline"/>
      </w:pPr>
    </w:p>
    <w:p w14:paraId="00333F80" w14:textId="77777777" w:rsidR="00406F17" w:rsidRDefault="00406F17" w:rsidP="005F4D87">
      <w:pPr>
        <w:textAlignment w:val="baseline"/>
      </w:pPr>
    </w:p>
    <w:p w14:paraId="0191DFE8" w14:textId="77777777" w:rsidR="005F4D87" w:rsidRPr="005F4D87" w:rsidRDefault="005F4D87" w:rsidP="005F4D87">
      <w:pPr>
        <w:textAlignment w:val="baseline"/>
        <w:rPr>
          <w:rFonts w:ascii="Segoe UI" w:hAnsi="Segoe UI" w:cs="Segoe UI"/>
          <w:b/>
          <w:bCs/>
          <w:color w:val="365ABD"/>
          <w:sz w:val="18"/>
          <w:szCs w:val="18"/>
        </w:rPr>
      </w:pPr>
      <w:r w:rsidRPr="6DDB3D33">
        <w:rPr>
          <w:rFonts w:ascii="Arial Narrow" w:hAnsi="Arial Narrow" w:cs="Segoe UI"/>
          <w:b/>
          <w:color w:val="365ABD" w:themeColor="accent3"/>
          <w:sz w:val="26"/>
          <w:szCs w:val="26"/>
        </w:rPr>
        <w:t>ACE-hanke ja ilmastorahoituksen vaikuttavuuden edistäminen </w:t>
      </w:r>
    </w:p>
    <w:p w14:paraId="544775A9" w14:textId="6045763D" w:rsidR="005F4D87" w:rsidRPr="005F4D87" w:rsidRDefault="005F4D87" w:rsidP="00CE74F3">
      <w:pPr>
        <w:pStyle w:val="VNLeip1kappale"/>
        <w:rPr>
          <w:rFonts w:ascii="Segoe UI" w:hAnsi="Segoe UI" w:cs="Segoe UI"/>
          <w:sz w:val="18"/>
          <w:szCs w:val="18"/>
        </w:rPr>
      </w:pPr>
      <w:r w:rsidRPr="005F4D87">
        <w:t>Suomessa käynnist</w:t>
      </w:r>
      <w:r w:rsidR="00157BA4">
        <w:t>yi</w:t>
      </w:r>
      <w:r w:rsidRPr="005F4D87">
        <w:t xml:space="preserve"> vuonna 2024 EU:n LIFE-ohjelman rahoittama Ilmastoratkaisujen vauhdittaja (ACE) –hanke, jo</w:t>
      </w:r>
      <w:r w:rsidR="00157BA4">
        <w:t>nka</w:t>
      </w:r>
      <w:r w:rsidRPr="005F4D87">
        <w:t xml:space="preserve"> yhtenä tehtäväkokonaisuutena on ilmastorahoitus. Tavoitteena on edistää ilmastorahoituksen vaikuttavaa kohdentamista, tukea rahoituksen hakemista ja vauhdittaa ilmastoinnovaatioiden skaalausta. ACE-hankkeessa laaditaan ilmastorahoituksen strategia, jonka tarkoituksena on </w:t>
      </w:r>
      <w:r w:rsidR="00CE74F3">
        <w:t xml:space="preserve">muun muassa </w:t>
      </w:r>
      <w:r w:rsidR="008C4D4C">
        <w:t>laatia</w:t>
      </w:r>
      <w:r w:rsidRPr="005F4D87">
        <w:t xml:space="preserve"> tilannekuva ilmastorahoituksen tilanteesta ja keskipitkän aikavälin ilmastosuunnitelman rahoitusaukoista. Hankkeessa valmistellaan työkalu rahoitettavien hankkeiden ilmastovaikutusten arvioimiseksi. Tukena toimii ilmastorahoituksen asiantuntijaverkosto. Hankkeen aikana tarjotaan ajankohtaista tietoa ilmastorahoituksesta ja tuetaan uusien hankkeiden rahoituksen hakemista. Lisäksi hankkeessa luodaan malli ilmastoinnovaatioiden skaalaukselle.</w:t>
      </w:r>
    </w:p>
    <w:p w14:paraId="5479BEF1" w14:textId="77777777" w:rsidR="005F4D87" w:rsidRPr="005F4D87" w:rsidRDefault="005F4D87" w:rsidP="005F4D87">
      <w:pPr>
        <w:textAlignment w:val="baseline"/>
        <w:rPr>
          <w:rFonts w:ascii="Segoe UI" w:hAnsi="Segoe UI" w:cs="Segoe UI"/>
          <w:b/>
          <w:bCs/>
          <w:color w:val="365ABD"/>
          <w:sz w:val="18"/>
          <w:szCs w:val="18"/>
        </w:rPr>
      </w:pPr>
      <w:r w:rsidRPr="6DDB3D33">
        <w:rPr>
          <w:rFonts w:ascii="Arial Narrow" w:hAnsi="Arial Narrow" w:cs="Segoe UI"/>
          <w:b/>
          <w:color w:val="365ABD" w:themeColor="accent3"/>
          <w:sz w:val="26"/>
          <w:szCs w:val="26"/>
        </w:rPr>
        <w:t>Toimenpiteitä ja suosituksia </w:t>
      </w:r>
    </w:p>
    <w:p w14:paraId="3D83F5F8" w14:textId="212A4B20" w:rsidR="005F4D87" w:rsidRPr="0096652B" w:rsidRDefault="005F4D87" w:rsidP="0096652B">
      <w:pPr>
        <w:pStyle w:val="VNLeip1kappale"/>
        <w:numPr>
          <w:ilvl w:val="0"/>
          <w:numId w:val="71"/>
        </w:numPr>
        <w:rPr>
          <w:rFonts w:ascii="Calibri" w:hAnsi="Calibri" w:cs="Calibri"/>
        </w:rPr>
      </w:pPr>
      <w:r w:rsidRPr="005F4D87">
        <w:t xml:space="preserve">Seurataan keskipitkän aikavälin ilmastosuunnitelmantoimenpiteiden rahoituksen tilannetta. </w:t>
      </w:r>
    </w:p>
    <w:p w14:paraId="5D9F1417" w14:textId="66A6A29C" w:rsidR="005F4D87" w:rsidRPr="005F4D87" w:rsidRDefault="007176B8" w:rsidP="00430E45">
      <w:pPr>
        <w:pStyle w:val="VNLeip1kappale"/>
        <w:numPr>
          <w:ilvl w:val="0"/>
          <w:numId w:val="71"/>
        </w:numPr>
        <w:rPr>
          <w:rFonts w:ascii="Calibri" w:hAnsi="Calibri" w:cs="Calibri"/>
        </w:rPr>
      </w:pPr>
      <w:r>
        <w:t>ACE-hankkeessa edistetään</w:t>
      </w:r>
      <w:r w:rsidR="00ED2DC0">
        <w:t xml:space="preserve"> </w:t>
      </w:r>
      <w:r>
        <w:t xml:space="preserve">vihreän budjetoinnin pilotointia. </w:t>
      </w:r>
      <w:r w:rsidR="005F4D87" w:rsidRPr="005F4D87">
        <w:t>  </w:t>
      </w:r>
    </w:p>
    <w:p w14:paraId="3FAFA943" w14:textId="002B8AE8" w:rsidR="005F4D87" w:rsidRPr="005F4D87" w:rsidRDefault="001B039C" w:rsidP="00430E45">
      <w:pPr>
        <w:pStyle w:val="VNLeip1kappale"/>
        <w:numPr>
          <w:ilvl w:val="0"/>
          <w:numId w:val="71"/>
        </w:numPr>
      </w:pPr>
      <w:r>
        <w:t xml:space="preserve">ACE-hankkeessa </w:t>
      </w:r>
      <w:r w:rsidR="00A2475D">
        <w:t>laaditaan tilannekatsaus ja toimenpide-ehdotuksia</w:t>
      </w:r>
      <w:r w:rsidR="005F4D87" w:rsidRPr="005F4D87">
        <w:t xml:space="preserve"> rahoituksen </w:t>
      </w:r>
      <w:r w:rsidR="003E5DC1">
        <w:t>suuntaamisesta</w:t>
      </w:r>
      <w:r w:rsidR="005F4D87" w:rsidRPr="005F4D87">
        <w:t xml:space="preserve"> kohteisiin, jotka ovat vaikuttavimpia, ja joissa on merkittäviä rahoitusaukkoja. </w:t>
      </w:r>
    </w:p>
    <w:p w14:paraId="50FD3BFE" w14:textId="77777777" w:rsidR="005F4D87" w:rsidRPr="005F4D87" w:rsidRDefault="005F4D87" w:rsidP="00430E45">
      <w:pPr>
        <w:pStyle w:val="VNLeip1kappale"/>
        <w:numPr>
          <w:ilvl w:val="0"/>
          <w:numId w:val="71"/>
        </w:numPr>
      </w:pPr>
      <w:r w:rsidRPr="005F4D87">
        <w:t>Laaditaan ACE-hankkeessa työkalu rahoitettavien hankkeiden ilmastovaikutusten arviointiin, jotta sekä rahoittajat että rahoitusta hakevat saisivat tietoa hankkeiden vaikuttavuudesta. </w:t>
      </w:r>
    </w:p>
    <w:p w14:paraId="1DF35226" w14:textId="5457EF06" w:rsidR="005F4D87" w:rsidRPr="005F4D87" w:rsidRDefault="005F4D87" w:rsidP="00430E45">
      <w:pPr>
        <w:pStyle w:val="VNLeip1kappale"/>
        <w:numPr>
          <w:ilvl w:val="0"/>
          <w:numId w:val="71"/>
        </w:numPr>
      </w:pPr>
      <w:r w:rsidRPr="3B6376E3">
        <w:t xml:space="preserve">Edistetään </w:t>
      </w:r>
      <w:proofErr w:type="spellStart"/>
      <w:r w:rsidRPr="3B6376E3">
        <w:t>cleantech</w:t>
      </w:r>
      <w:proofErr w:type="spellEnd"/>
      <w:r w:rsidRPr="3B6376E3">
        <w:t xml:space="preserve">-investointeja esimerkiksi </w:t>
      </w:r>
      <w:r w:rsidR="00CA6864" w:rsidRPr="3B6376E3">
        <w:t>TKI-panostuksin</w:t>
      </w:r>
      <w:r w:rsidR="001D3ACB" w:rsidRPr="3B6376E3">
        <w:t xml:space="preserve">. </w:t>
      </w:r>
    </w:p>
    <w:p w14:paraId="25BA7E50" w14:textId="4FB28A83" w:rsidR="005F4D87" w:rsidRPr="005F4D87" w:rsidRDefault="005F4D87" w:rsidP="3B6376E3">
      <w:pPr>
        <w:ind w:left="1080"/>
        <w:textAlignment w:val="baseline"/>
        <w:rPr>
          <w:rFonts w:cs="Arial"/>
          <w:sz w:val="22"/>
          <w:szCs w:val="22"/>
        </w:rPr>
      </w:pPr>
    </w:p>
    <w:p w14:paraId="1B4A624C" w14:textId="77777777" w:rsidR="005F4D87" w:rsidRPr="005F4D87" w:rsidRDefault="005F4D87" w:rsidP="005F4D87">
      <w:pPr>
        <w:ind w:left="555" w:hanging="555"/>
        <w:textAlignment w:val="baseline"/>
        <w:rPr>
          <w:rFonts w:ascii="Segoe UI" w:hAnsi="Segoe UI" w:cs="Segoe UI"/>
          <w:sz w:val="18"/>
          <w:szCs w:val="18"/>
        </w:rPr>
      </w:pPr>
      <w:r w:rsidRPr="005F4D87">
        <w:rPr>
          <w:rFonts w:cs="Arial"/>
          <w:sz w:val="22"/>
          <w:szCs w:val="22"/>
        </w:rPr>
        <w:t> </w:t>
      </w:r>
    </w:p>
    <w:p w14:paraId="532D7FAD" w14:textId="5817709B" w:rsidR="0075162B" w:rsidRDefault="1610A703" w:rsidP="629D67CF">
      <w:pPr>
        <w:pStyle w:val="Otsikko1"/>
        <w:numPr>
          <w:ilvl w:val="0"/>
          <w:numId w:val="0"/>
        </w:numPr>
        <w:ind w:left="432"/>
        <w:rPr>
          <w:color w:val="365ABD" w:themeColor="accent3"/>
          <w:lang w:eastAsia="en-US"/>
        </w:rPr>
      </w:pPr>
      <w:bookmarkStart w:id="139" w:name="_Toc197094106"/>
      <w:bookmarkStart w:id="140" w:name="_Toc197093322"/>
      <w:bookmarkStart w:id="141" w:name="_Toc197093501"/>
      <w:bookmarkStart w:id="142" w:name="_Toc197093965"/>
      <w:bookmarkStart w:id="143" w:name="_Toc197094107"/>
      <w:bookmarkStart w:id="144" w:name="_Toc197093323"/>
      <w:bookmarkStart w:id="145" w:name="_Toc197093502"/>
      <w:bookmarkStart w:id="146" w:name="_Toc197093966"/>
      <w:bookmarkStart w:id="147" w:name="_Toc197094108"/>
      <w:bookmarkStart w:id="148" w:name="_Toc197093324"/>
      <w:bookmarkStart w:id="149" w:name="_Toc197093503"/>
      <w:bookmarkStart w:id="150" w:name="_Toc197093967"/>
      <w:bookmarkStart w:id="151" w:name="_Toc197094109"/>
      <w:bookmarkStart w:id="152" w:name="_Toc197093325"/>
      <w:bookmarkStart w:id="153" w:name="_Toc197093504"/>
      <w:bookmarkStart w:id="154" w:name="_Toc197093968"/>
      <w:bookmarkStart w:id="155" w:name="_Toc197094110"/>
      <w:bookmarkStart w:id="156" w:name="_Toc197093326"/>
      <w:bookmarkStart w:id="157" w:name="_Toc197093505"/>
      <w:bookmarkStart w:id="158" w:name="_Toc197093969"/>
      <w:bookmarkStart w:id="159" w:name="_Toc197093979"/>
      <w:bookmarkStart w:id="160" w:name="_Toc197094121"/>
      <w:bookmarkStart w:id="161" w:name="_Toc197095180"/>
      <w:bookmarkStart w:id="162" w:name="_Toc197094124"/>
      <w:bookmarkStart w:id="163" w:name="_Toc197095183"/>
      <w:bookmarkStart w:id="164" w:name="_Toc197093340"/>
      <w:bookmarkStart w:id="165" w:name="_Toc197093519"/>
      <w:bookmarkStart w:id="166" w:name="_Toc197093983"/>
      <w:bookmarkStart w:id="167" w:name="_Toc197094125"/>
      <w:bookmarkStart w:id="168" w:name="_Toc197095184"/>
      <w:bookmarkStart w:id="169" w:name="_Toc197093341"/>
      <w:bookmarkStart w:id="170" w:name="_Toc197093520"/>
      <w:bookmarkStart w:id="171" w:name="_Toc197093984"/>
      <w:bookmarkStart w:id="172" w:name="_Toc2039229713"/>
      <w:bookmarkStart w:id="173" w:name="_Toc432568904"/>
      <w:bookmarkStart w:id="174" w:name="_Toc202260070"/>
      <w:bookmarkStart w:id="175" w:name="_Hlk19812315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t>7.</w:t>
      </w:r>
      <w:r w:rsidR="00B766DC">
        <w:t xml:space="preserve"> </w:t>
      </w:r>
      <w:r w:rsidR="0075162B">
        <w:t>Päästövähennystavoitteiden saavuttaminen</w:t>
      </w:r>
      <w:bookmarkEnd w:id="172"/>
      <w:bookmarkEnd w:id="173"/>
      <w:bookmarkEnd w:id="174"/>
    </w:p>
    <w:p w14:paraId="7AF092FA" w14:textId="45EC2C05" w:rsidR="0075162B" w:rsidRPr="003641B4" w:rsidRDefault="0AD1B16D" w:rsidP="0EBEAF1D">
      <w:pPr>
        <w:pStyle w:val="Otsikko2"/>
        <w:tabs>
          <w:tab w:val="clear" w:pos="360"/>
        </w:tabs>
        <w:ind w:left="576"/>
        <w:rPr>
          <w:lang w:val="fi-FI"/>
        </w:rPr>
      </w:pPr>
      <w:bookmarkStart w:id="176" w:name="_Toc1885676731"/>
      <w:bookmarkStart w:id="177" w:name="_Toc2009229272"/>
      <w:bookmarkStart w:id="178" w:name="_Toc202260071"/>
      <w:r w:rsidRPr="003641B4">
        <w:rPr>
          <w:lang w:val="fi-FI"/>
        </w:rPr>
        <w:t xml:space="preserve">7.1 </w:t>
      </w:r>
      <w:r w:rsidR="0075162B" w:rsidRPr="003641B4">
        <w:rPr>
          <w:lang w:val="fi-FI"/>
        </w:rPr>
        <w:t>Toimenpideohjelmalla saavutettavat päästövähennykset</w:t>
      </w:r>
      <w:bookmarkEnd w:id="176"/>
      <w:bookmarkEnd w:id="177"/>
      <w:bookmarkEnd w:id="178"/>
    </w:p>
    <w:p w14:paraId="2E62175F" w14:textId="2F3F7C44" w:rsidR="000579A8" w:rsidRDefault="356A9BF4" w:rsidP="0614320A">
      <w:pPr>
        <w:pStyle w:val="VNLeip1kappale"/>
        <w:rPr>
          <w:rFonts w:eastAsia="Arial" w:cs="Arial"/>
          <w:color w:val="000000" w:themeColor="text1"/>
        </w:rPr>
      </w:pPr>
      <w:r w:rsidRPr="0614320A">
        <w:rPr>
          <w:rFonts w:eastAsia="Arial" w:cs="Arial"/>
          <w:color w:val="000000" w:themeColor="text1"/>
        </w:rPr>
        <w:t xml:space="preserve">Keskipitkän aikavälin </w:t>
      </w:r>
      <w:r w:rsidR="6054D08D" w:rsidRPr="38E66213">
        <w:rPr>
          <w:rFonts w:eastAsia="Arial" w:cs="Arial"/>
          <w:color w:val="000000" w:themeColor="text1"/>
        </w:rPr>
        <w:t>ilmastosuunnitelman</w:t>
      </w:r>
      <w:r w:rsidRPr="0614320A">
        <w:rPr>
          <w:rFonts w:eastAsia="Arial" w:cs="Arial"/>
          <w:color w:val="000000" w:themeColor="text1"/>
        </w:rPr>
        <w:t xml:space="preserve"> </w:t>
      </w:r>
      <w:r w:rsidRPr="369814FD">
        <w:rPr>
          <w:rFonts w:eastAsia="Arial" w:cs="Arial"/>
          <w:color w:val="000000" w:themeColor="text1"/>
        </w:rPr>
        <w:t>toimenpideohjelma muodost</w:t>
      </w:r>
      <w:r w:rsidR="15144F05" w:rsidRPr="369814FD">
        <w:rPr>
          <w:rFonts w:eastAsia="Arial" w:cs="Arial"/>
          <w:color w:val="000000" w:themeColor="text1"/>
        </w:rPr>
        <w:t>uu</w:t>
      </w:r>
      <w:r w:rsidRPr="0614320A">
        <w:rPr>
          <w:rFonts w:eastAsia="Arial" w:cs="Arial"/>
          <w:color w:val="000000" w:themeColor="text1"/>
        </w:rPr>
        <w:t xml:space="preserve"> tämän </w:t>
      </w:r>
      <w:r w:rsidR="6650FB83" w:rsidRPr="431879AB">
        <w:rPr>
          <w:rFonts w:eastAsia="Arial" w:cs="Arial"/>
          <w:color w:val="000000" w:themeColor="text1"/>
        </w:rPr>
        <w:t>suunnitelman</w:t>
      </w:r>
      <w:r w:rsidRPr="0614320A">
        <w:rPr>
          <w:rFonts w:eastAsia="Arial" w:cs="Arial"/>
          <w:color w:val="000000" w:themeColor="text1"/>
        </w:rPr>
        <w:t xml:space="preserve"> luvussa 6.2 </w:t>
      </w:r>
      <w:r w:rsidRPr="369814FD">
        <w:rPr>
          <w:rFonts w:eastAsia="Arial" w:cs="Arial"/>
          <w:color w:val="000000" w:themeColor="text1"/>
        </w:rPr>
        <w:t>tunnistetu</w:t>
      </w:r>
      <w:r w:rsidR="2C1BD00A" w:rsidRPr="369814FD">
        <w:rPr>
          <w:rFonts w:eastAsia="Arial" w:cs="Arial"/>
          <w:color w:val="000000" w:themeColor="text1"/>
        </w:rPr>
        <w:t>ista</w:t>
      </w:r>
      <w:r w:rsidRPr="369814FD">
        <w:rPr>
          <w:rFonts w:eastAsia="Arial" w:cs="Arial"/>
          <w:color w:val="000000" w:themeColor="text1"/>
        </w:rPr>
        <w:t xml:space="preserve"> sektorikohtais</w:t>
      </w:r>
      <w:r w:rsidR="3FDB57F0" w:rsidRPr="369814FD">
        <w:rPr>
          <w:rFonts w:eastAsia="Arial" w:cs="Arial"/>
          <w:color w:val="000000" w:themeColor="text1"/>
        </w:rPr>
        <w:t>ista</w:t>
      </w:r>
      <w:r w:rsidRPr="369814FD">
        <w:rPr>
          <w:rFonts w:eastAsia="Arial" w:cs="Arial"/>
          <w:color w:val="000000" w:themeColor="text1"/>
        </w:rPr>
        <w:t xml:space="preserve"> toim</w:t>
      </w:r>
      <w:r w:rsidR="24354092" w:rsidRPr="369814FD">
        <w:rPr>
          <w:rFonts w:eastAsia="Arial" w:cs="Arial"/>
          <w:color w:val="000000" w:themeColor="text1"/>
        </w:rPr>
        <w:t>ista</w:t>
      </w:r>
      <w:r w:rsidRPr="0614320A">
        <w:rPr>
          <w:rFonts w:eastAsia="Arial" w:cs="Arial"/>
          <w:color w:val="000000" w:themeColor="text1"/>
        </w:rPr>
        <w:t xml:space="preserve"> sekä luvussa 6.3 </w:t>
      </w:r>
      <w:r w:rsidRPr="369814FD">
        <w:rPr>
          <w:rFonts w:eastAsia="Arial" w:cs="Arial"/>
          <w:color w:val="000000" w:themeColor="text1"/>
        </w:rPr>
        <w:t>käsitelly</w:t>
      </w:r>
      <w:r w:rsidR="7AAA2732" w:rsidRPr="369814FD">
        <w:rPr>
          <w:rFonts w:eastAsia="Arial" w:cs="Arial"/>
          <w:color w:val="000000" w:themeColor="text1"/>
        </w:rPr>
        <w:t>istä</w:t>
      </w:r>
      <w:r w:rsidRPr="0614320A">
        <w:rPr>
          <w:rFonts w:eastAsia="Arial" w:cs="Arial"/>
          <w:color w:val="000000" w:themeColor="text1"/>
        </w:rPr>
        <w:t xml:space="preserve"> sektorirajat </w:t>
      </w:r>
      <w:r w:rsidRPr="369814FD">
        <w:rPr>
          <w:rFonts w:eastAsia="Arial" w:cs="Arial"/>
          <w:color w:val="000000" w:themeColor="text1"/>
        </w:rPr>
        <w:t>ylittäv</w:t>
      </w:r>
      <w:r w:rsidR="3BA8B306" w:rsidRPr="369814FD">
        <w:rPr>
          <w:rFonts w:eastAsia="Arial" w:cs="Arial"/>
          <w:color w:val="000000" w:themeColor="text1"/>
        </w:rPr>
        <w:t>istä</w:t>
      </w:r>
      <w:r w:rsidRPr="369814FD">
        <w:rPr>
          <w:rFonts w:eastAsia="Arial" w:cs="Arial"/>
          <w:color w:val="000000" w:themeColor="text1"/>
        </w:rPr>
        <w:t xml:space="preserve"> toim</w:t>
      </w:r>
      <w:r w:rsidR="42040117" w:rsidRPr="369814FD">
        <w:rPr>
          <w:rFonts w:eastAsia="Arial" w:cs="Arial"/>
          <w:color w:val="000000" w:themeColor="text1"/>
        </w:rPr>
        <w:t>ista</w:t>
      </w:r>
      <w:r w:rsidRPr="369814FD">
        <w:rPr>
          <w:rFonts w:eastAsia="Arial" w:cs="Arial"/>
          <w:color w:val="000000" w:themeColor="text1"/>
        </w:rPr>
        <w:t>.</w:t>
      </w:r>
      <w:r w:rsidRPr="0614320A">
        <w:rPr>
          <w:rFonts w:eastAsia="Arial" w:cs="Arial"/>
          <w:color w:val="000000" w:themeColor="text1"/>
        </w:rPr>
        <w:t xml:space="preserve"> Lisäksi toimenpideohjelmassa voidaan hyödyntää taakanjakoasetuksen mukaisia joustoja kuten kertaluontoista joustoa (ns. ETS-jousto), jota vastaavat kasvihuonekaasupäästöjen lisävähennykset on saavutettava </w:t>
      </w:r>
      <w:r w:rsidR="13F24C2C" w:rsidRPr="157A244A">
        <w:rPr>
          <w:rFonts w:eastAsia="Arial" w:cs="Arial"/>
          <w:color w:val="000000" w:themeColor="text1"/>
        </w:rPr>
        <w:t>päästökauppasektor</w:t>
      </w:r>
      <w:r w:rsidR="30D843D5" w:rsidRPr="157A244A">
        <w:rPr>
          <w:rFonts w:eastAsia="Arial" w:cs="Arial"/>
          <w:color w:val="000000" w:themeColor="text1"/>
        </w:rPr>
        <w:t>illa</w:t>
      </w:r>
      <w:r w:rsidR="13F24C2C" w:rsidRPr="157A244A">
        <w:rPr>
          <w:rFonts w:eastAsia="Arial" w:cs="Arial"/>
          <w:color w:val="000000" w:themeColor="text1"/>
        </w:rPr>
        <w:t xml:space="preserve"> (ks. </w:t>
      </w:r>
      <w:r w:rsidRPr="0614320A">
        <w:rPr>
          <w:rFonts w:eastAsia="Arial" w:cs="Arial"/>
          <w:color w:val="000000" w:themeColor="text1"/>
        </w:rPr>
        <w:t xml:space="preserve">luku 4.1). </w:t>
      </w:r>
    </w:p>
    <w:p w14:paraId="42C87A90" w14:textId="55FFE09C" w:rsidR="001E08C5" w:rsidRDefault="00C7501B" w:rsidP="00C7501B">
      <w:pPr>
        <w:pStyle w:val="VNLeip1kappale"/>
        <w:rPr>
          <w:rFonts w:eastAsia="Arial" w:cs="Arial"/>
          <w:color w:val="000000" w:themeColor="text1"/>
        </w:rPr>
      </w:pPr>
      <w:r>
        <w:rPr>
          <w:rFonts w:eastAsia="Arial" w:cs="Arial"/>
          <w:color w:val="000000" w:themeColor="text1"/>
        </w:rPr>
        <w:t>Taulukossa</w:t>
      </w:r>
      <w:r w:rsidR="00341F97">
        <w:rPr>
          <w:rFonts w:eastAsia="Arial" w:cs="Arial"/>
          <w:color w:val="000000" w:themeColor="text1"/>
        </w:rPr>
        <w:t xml:space="preserve"> </w:t>
      </w:r>
      <w:r w:rsidR="34084E60" w:rsidRPr="38E66213">
        <w:rPr>
          <w:rFonts w:eastAsia="Arial" w:cs="Arial"/>
          <w:color w:val="000000" w:themeColor="text1"/>
        </w:rPr>
        <w:t>10</w:t>
      </w:r>
      <w:r>
        <w:rPr>
          <w:rFonts w:eastAsia="Arial" w:cs="Arial"/>
          <w:color w:val="000000" w:themeColor="text1"/>
        </w:rPr>
        <w:t xml:space="preserve"> </w:t>
      </w:r>
      <w:r w:rsidR="00341F97">
        <w:rPr>
          <w:rFonts w:eastAsia="Arial" w:cs="Arial"/>
          <w:color w:val="000000" w:themeColor="text1"/>
        </w:rPr>
        <w:t xml:space="preserve">on </w:t>
      </w:r>
      <w:r w:rsidR="7D4F76C0" w:rsidRPr="694783E3">
        <w:rPr>
          <w:rFonts w:eastAsia="Arial" w:cs="Arial"/>
          <w:color w:val="000000" w:themeColor="text1"/>
        </w:rPr>
        <w:t xml:space="preserve">yhteenveto </w:t>
      </w:r>
      <w:r w:rsidRPr="0748FDC0">
        <w:rPr>
          <w:rFonts w:eastAsia="Arial" w:cs="Arial"/>
          <w:color w:val="000000" w:themeColor="text1"/>
        </w:rPr>
        <w:t>sektorikohtais</w:t>
      </w:r>
      <w:r w:rsidR="7521037E" w:rsidRPr="0748FDC0">
        <w:rPr>
          <w:rFonts w:eastAsia="Arial" w:cs="Arial"/>
          <w:color w:val="000000" w:themeColor="text1"/>
        </w:rPr>
        <w:t>ista</w:t>
      </w:r>
      <w:r w:rsidRPr="0748FDC0">
        <w:rPr>
          <w:rFonts w:eastAsia="Arial" w:cs="Arial"/>
          <w:color w:val="000000" w:themeColor="text1"/>
        </w:rPr>
        <w:t xml:space="preserve"> päästövähennysarvio</w:t>
      </w:r>
      <w:r w:rsidR="3A72E0FF" w:rsidRPr="0748FDC0">
        <w:rPr>
          <w:rFonts w:eastAsia="Arial" w:cs="Arial"/>
          <w:color w:val="000000" w:themeColor="text1"/>
        </w:rPr>
        <w:t>ista</w:t>
      </w:r>
      <w:r w:rsidR="00341F97" w:rsidRPr="0748FDC0">
        <w:rPr>
          <w:rFonts w:eastAsia="Arial" w:cs="Arial"/>
          <w:color w:val="000000" w:themeColor="text1"/>
        </w:rPr>
        <w:t>.</w:t>
      </w:r>
      <w:r w:rsidR="00341F97">
        <w:rPr>
          <w:rFonts w:eastAsia="Arial" w:cs="Arial"/>
          <w:color w:val="000000" w:themeColor="text1"/>
        </w:rPr>
        <w:t xml:space="preserve"> </w:t>
      </w:r>
      <w:r w:rsidR="002E275C">
        <w:rPr>
          <w:rFonts w:eastAsia="Arial" w:cs="Arial"/>
          <w:color w:val="000000" w:themeColor="text1"/>
        </w:rPr>
        <w:t>Päästövähen</w:t>
      </w:r>
      <w:r w:rsidR="009022F4">
        <w:rPr>
          <w:rFonts w:eastAsia="Arial" w:cs="Arial"/>
          <w:color w:val="000000" w:themeColor="text1"/>
        </w:rPr>
        <w:t>n</w:t>
      </w:r>
      <w:r w:rsidR="002E275C">
        <w:rPr>
          <w:rFonts w:eastAsia="Arial" w:cs="Arial"/>
          <w:color w:val="000000" w:themeColor="text1"/>
        </w:rPr>
        <w:t>y</w:t>
      </w:r>
      <w:r w:rsidR="009022F4">
        <w:rPr>
          <w:rFonts w:eastAsia="Arial" w:cs="Arial"/>
          <w:color w:val="000000" w:themeColor="text1"/>
        </w:rPr>
        <w:t>s</w:t>
      </w:r>
      <w:r w:rsidR="002E275C">
        <w:rPr>
          <w:rFonts w:eastAsia="Arial" w:cs="Arial"/>
          <w:color w:val="000000" w:themeColor="text1"/>
        </w:rPr>
        <w:t>arviot</w:t>
      </w:r>
      <w:r w:rsidRPr="0614320A">
        <w:rPr>
          <w:rFonts w:eastAsia="Arial" w:cs="Arial"/>
          <w:color w:val="000000" w:themeColor="text1"/>
        </w:rPr>
        <w:t xml:space="preserve"> ovat</w:t>
      </w:r>
      <w:r w:rsidR="009022F4">
        <w:rPr>
          <w:rFonts w:eastAsia="Arial" w:cs="Arial"/>
          <w:color w:val="000000" w:themeColor="text1"/>
        </w:rPr>
        <w:t xml:space="preserve"> tuottaneet</w:t>
      </w:r>
      <w:r w:rsidRPr="0614320A">
        <w:rPr>
          <w:rFonts w:eastAsia="Arial" w:cs="Arial"/>
          <w:color w:val="000000" w:themeColor="text1"/>
        </w:rPr>
        <w:t xml:space="preserve"> valmisteluun osallistuneet ministeriöiden virkahenkilöt sekä tutkimuslaitosten VTT:n, Luken ja </w:t>
      </w:r>
      <w:proofErr w:type="spellStart"/>
      <w:r w:rsidRPr="0614320A">
        <w:rPr>
          <w:rFonts w:eastAsia="Arial" w:cs="Arial"/>
          <w:color w:val="000000" w:themeColor="text1"/>
        </w:rPr>
        <w:t>Syken</w:t>
      </w:r>
      <w:proofErr w:type="spellEnd"/>
      <w:r w:rsidRPr="0614320A">
        <w:rPr>
          <w:rFonts w:eastAsia="Arial" w:cs="Arial"/>
          <w:color w:val="000000" w:themeColor="text1"/>
        </w:rPr>
        <w:t xml:space="preserve"> tutkijat. Päästövähennysarviot perustuvat suoraan luvussa 6.2 esitettyihin </w:t>
      </w:r>
      <w:r w:rsidR="00762386">
        <w:rPr>
          <w:rFonts w:eastAsia="Arial" w:cs="Arial"/>
          <w:color w:val="000000" w:themeColor="text1"/>
        </w:rPr>
        <w:t xml:space="preserve">ja linjattuihin </w:t>
      </w:r>
      <w:r w:rsidRPr="0614320A">
        <w:rPr>
          <w:rFonts w:eastAsia="Arial" w:cs="Arial"/>
          <w:color w:val="000000" w:themeColor="text1"/>
        </w:rPr>
        <w:t>politiikkatoimiin. Tässä yhteydessä on esitetty kuinka paljon jokainen toimi vähentää päästöjä suhteessa KEITO-</w:t>
      </w:r>
      <w:r w:rsidR="008B57A6">
        <w:rPr>
          <w:rFonts w:eastAsia="Arial" w:cs="Arial"/>
          <w:color w:val="000000" w:themeColor="text1"/>
        </w:rPr>
        <w:t>työn</w:t>
      </w:r>
      <w:r w:rsidRPr="0614320A">
        <w:rPr>
          <w:rFonts w:eastAsia="Arial" w:cs="Arial"/>
          <w:color w:val="000000" w:themeColor="text1"/>
        </w:rPr>
        <w:t xml:space="preserve"> nykytoimiskenaarioon. Toimenpideohjelman jokaisen sektorin osalta esitetään sektorikohtainen päästövähennys sekä siihen sisältyvät keskeiset toimet. </w:t>
      </w:r>
      <w:r w:rsidR="00762386">
        <w:rPr>
          <w:rFonts w:eastAsia="Arial" w:cs="Arial"/>
          <w:color w:val="000000" w:themeColor="text1"/>
        </w:rPr>
        <w:t xml:space="preserve">Ne toimet, </w:t>
      </w:r>
      <w:r w:rsidR="001E08C5">
        <w:rPr>
          <w:rFonts w:eastAsia="Arial" w:cs="Arial"/>
          <w:color w:val="000000" w:themeColor="text1"/>
        </w:rPr>
        <w:t>joille ei ole päästövähe</w:t>
      </w:r>
      <w:r w:rsidR="00C30B98">
        <w:rPr>
          <w:rFonts w:eastAsia="Arial" w:cs="Arial"/>
          <w:color w:val="000000" w:themeColor="text1"/>
        </w:rPr>
        <w:t>n</w:t>
      </w:r>
      <w:r w:rsidR="001E08C5">
        <w:rPr>
          <w:rFonts w:eastAsia="Arial" w:cs="Arial"/>
          <w:color w:val="000000" w:themeColor="text1"/>
        </w:rPr>
        <w:t>nysarviota</w:t>
      </w:r>
      <w:r w:rsidR="00762386">
        <w:rPr>
          <w:rFonts w:eastAsia="Arial" w:cs="Arial"/>
          <w:color w:val="000000" w:themeColor="text1"/>
        </w:rPr>
        <w:t xml:space="preserve">, kuten </w:t>
      </w:r>
      <w:r w:rsidR="0029073D">
        <w:rPr>
          <w:rFonts w:eastAsia="Arial" w:cs="Arial"/>
          <w:color w:val="000000" w:themeColor="text1"/>
        </w:rPr>
        <w:t xml:space="preserve">konversiotuet, </w:t>
      </w:r>
      <w:r w:rsidR="00762386">
        <w:rPr>
          <w:rFonts w:eastAsia="Arial" w:cs="Arial"/>
          <w:color w:val="000000" w:themeColor="text1"/>
        </w:rPr>
        <w:t>maatalouden nurmet ja peltopankki</w:t>
      </w:r>
      <w:r w:rsidR="001E08C5">
        <w:rPr>
          <w:rFonts w:eastAsia="Arial" w:cs="Arial"/>
          <w:color w:val="000000" w:themeColor="text1"/>
        </w:rPr>
        <w:t xml:space="preserve">, on jätetty pois taulukosta. </w:t>
      </w:r>
    </w:p>
    <w:p w14:paraId="4E8E77B8" w14:textId="23F274BA" w:rsidR="001E08C5" w:rsidRDefault="00C7501B" w:rsidP="0614320A">
      <w:pPr>
        <w:pStyle w:val="VNLeip1kappale"/>
        <w:rPr>
          <w:rFonts w:eastAsia="Arial" w:cs="Arial"/>
          <w:color w:val="000000" w:themeColor="text1"/>
        </w:rPr>
      </w:pPr>
      <w:r w:rsidRPr="0614320A">
        <w:rPr>
          <w:rFonts w:eastAsia="Arial" w:cs="Arial"/>
          <w:color w:val="000000" w:themeColor="text1"/>
        </w:rPr>
        <w:t xml:space="preserve">Tässä vaiheessa ei ole mahdollista määritellä millä aikataululla </w:t>
      </w:r>
      <w:r w:rsidRPr="6C9B3E1B">
        <w:rPr>
          <w:rFonts w:eastAsia="Arial" w:cs="Arial"/>
          <w:color w:val="000000" w:themeColor="text1"/>
        </w:rPr>
        <w:t>tauluko</w:t>
      </w:r>
      <w:r w:rsidR="63A687D8" w:rsidRPr="6C9B3E1B">
        <w:rPr>
          <w:rFonts w:eastAsia="Arial" w:cs="Arial"/>
          <w:color w:val="000000" w:themeColor="text1"/>
        </w:rPr>
        <w:t>n</w:t>
      </w:r>
      <w:r w:rsidRPr="0614320A">
        <w:rPr>
          <w:rFonts w:eastAsia="Arial" w:cs="Arial"/>
          <w:color w:val="000000" w:themeColor="text1"/>
        </w:rPr>
        <w:t xml:space="preserve"> </w:t>
      </w:r>
      <w:r w:rsidR="00676AAF">
        <w:rPr>
          <w:rFonts w:eastAsia="Arial" w:cs="Arial"/>
          <w:color w:val="000000" w:themeColor="text1"/>
        </w:rPr>
        <w:t>10</w:t>
      </w:r>
      <w:r w:rsidRPr="0614320A">
        <w:rPr>
          <w:rFonts w:eastAsia="Arial" w:cs="Arial"/>
          <w:color w:val="000000" w:themeColor="text1"/>
        </w:rPr>
        <w:t xml:space="preserve"> toimet toteutuvat. Oletuksena kuitenkin on, että toimet saadaan </w:t>
      </w:r>
      <w:r w:rsidR="2EC07A4C" w:rsidRPr="1C31A8B6">
        <w:rPr>
          <w:rFonts w:eastAsia="Arial" w:cs="Arial"/>
          <w:color w:val="000000" w:themeColor="text1"/>
        </w:rPr>
        <w:t xml:space="preserve">pääsääntöisesti </w:t>
      </w:r>
      <w:r w:rsidRPr="0614320A">
        <w:rPr>
          <w:rFonts w:eastAsia="Arial" w:cs="Arial"/>
          <w:color w:val="000000" w:themeColor="text1"/>
        </w:rPr>
        <w:t>käyttöön ennen vuotta 2030. Näin ollen kunkin toimen täysimittainen vaikutus voidaan ottaa huomioon laskelmassa vuoden 2030 osalta.</w:t>
      </w:r>
    </w:p>
    <w:p w14:paraId="7EB52110" w14:textId="77777777" w:rsidR="00034966" w:rsidRDefault="00034966" w:rsidP="0614320A">
      <w:pPr>
        <w:pStyle w:val="VNLeip1kappale"/>
        <w:rPr>
          <w:rFonts w:eastAsia="Arial" w:cs="Arial"/>
          <w:color w:val="000000" w:themeColor="text1"/>
        </w:rPr>
      </w:pPr>
    </w:p>
    <w:p w14:paraId="4B1DD500" w14:textId="77777777" w:rsidR="00034966" w:rsidRDefault="00034966" w:rsidP="0614320A">
      <w:pPr>
        <w:pStyle w:val="VNLeip1kappale"/>
        <w:rPr>
          <w:rFonts w:eastAsia="Arial" w:cs="Arial"/>
          <w:color w:val="000000" w:themeColor="text1"/>
        </w:rPr>
      </w:pPr>
    </w:p>
    <w:p w14:paraId="51E149FC" w14:textId="77777777" w:rsidR="00034966" w:rsidRDefault="00034966" w:rsidP="0614320A">
      <w:pPr>
        <w:pStyle w:val="VNLeip1kappale"/>
        <w:rPr>
          <w:rFonts w:eastAsia="Arial" w:cs="Arial"/>
          <w:color w:val="000000" w:themeColor="text1"/>
        </w:rPr>
      </w:pPr>
    </w:p>
    <w:p w14:paraId="0989A45F" w14:textId="2BA91227" w:rsidR="00D55445" w:rsidRDefault="00F507D5" w:rsidP="000674BC">
      <w:pPr>
        <w:pStyle w:val="Kuvaotsikko"/>
        <w:rPr>
          <w:rFonts w:eastAsia="Arial" w:cs="Arial"/>
          <w:color w:val="000000" w:themeColor="text1"/>
        </w:rPr>
      </w:pPr>
      <w:r>
        <w:rPr>
          <w:rFonts w:eastAsia="Arial"/>
        </w:rPr>
        <w:t xml:space="preserve">Taulukko </w:t>
      </w:r>
      <w:r w:rsidR="000674BC">
        <w:fldChar w:fldCharType="begin"/>
      </w:r>
      <w:r w:rsidR="000674BC">
        <w:instrText xml:space="preserve"> SEQ Taulukko \* ARABIC </w:instrText>
      </w:r>
      <w:r w:rsidR="000674BC">
        <w:fldChar w:fldCharType="separate"/>
      </w:r>
      <w:r w:rsidR="008C278F">
        <w:rPr>
          <w:noProof/>
        </w:rPr>
        <w:t>10</w:t>
      </w:r>
      <w:r w:rsidR="000674BC">
        <w:fldChar w:fldCharType="end"/>
      </w:r>
      <w:r w:rsidRPr="1A04C3C8">
        <w:rPr>
          <w:rFonts w:eastAsia="Arial" w:cs="Arial"/>
          <w:color w:val="000000" w:themeColor="text1"/>
        </w:rPr>
        <w:t xml:space="preserve">. </w:t>
      </w:r>
      <w:proofErr w:type="spellStart"/>
      <w:r w:rsidR="0042245F" w:rsidRPr="000674BC">
        <w:rPr>
          <w:rFonts w:eastAsia="Arial" w:cs="Arial"/>
        </w:rPr>
        <w:t>K</w:t>
      </w:r>
      <w:r w:rsidR="0042245F">
        <w:rPr>
          <w:rFonts w:eastAsia="Arial" w:cs="Arial"/>
        </w:rPr>
        <w:t>AISU</w:t>
      </w:r>
      <w:r w:rsidR="0042245F" w:rsidRPr="000674BC">
        <w:rPr>
          <w:rFonts w:eastAsia="Arial" w:cs="Arial"/>
        </w:rPr>
        <w:t>n</w:t>
      </w:r>
      <w:proofErr w:type="spellEnd"/>
      <w:r w:rsidR="0042245F" w:rsidRPr="000674BC">
        <w:rPr>
          <w:rFonts w:eastAsia="Arial" w:cs="Arial"/>
        </w:rPr>
        <w:t xml:space="preserve"> </w:t>
      </w:r>
      <w:r w:rsidRPr="000674BC">
        <w:rPr>
          <w:rFonts w:eastAsia="Arial" w:cs="Arial"/>
        </w:rPr>
        <w:t>toimenpideohjelman sektorikohtaiset päästövähennystoimet.</w:t>
      </w: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24"/>
        <w:gridCol w:w="1238"/>
      </w:tblGrid>
      <w:tr w:rsidR="00D55445" w:rsidRPr="00D55445" w14:paraId="6BF3194F" w14:textId="77777777" w:rsidTr="003B0EAF">
        <w:trPr>
          <w:trHeight w:val="284"/>
        </w:trPr>
        <w:tc>
          <w:tcPr>
            <w:tcW w:w="4232" w:type="pct"/>
            <w:shd w:val="clear" w:color="auto" w:fill="D9E9FF" w:themeFill="accent2" w:themeFillTint="33"/>
            <w:vAlign w:val="center"/>
            <w:hideMark/>
          </w:tcPr>
          <w:p w14:paraId="0073766E" w14:textId="77777777" w:rsidR="00D55445" w:rsidRPr="00D55445" w:rsidRDefault="00D55445" w:rsidP="00D55445">
            <w:pPr>
              <w:rPr>
                <w:rFonts w:cs="Arial"/>
                <w:b/>
                <w:bCs/>
                <w:color w:val="000000"/>
                <w:sz w:val="22"/>
                <w:szCs w:val="22"/>
              </w:rPr>
            </w:pPr>
            <w:r w:rsidRPr="00D55445">
              <w:rPr>
                <w:rFonts w:cs="Arial"/>
                <w:b/>
                <w:bCs/>
                <w:color w:val="000000"/>
                <w:sz w:val="22"/>
                <w:szCs w:val="22"/>
              </w:rPr>
              <w:t>SEKTORI</w:t>
            </w:r>
          </w:p>
        </w:tc>
        <w:tc>
          <w:tcPr>
            <w:tcW w:w="768" w:type="pct"/>
            <w:shd w:val="clear" w:color="auto" w:fill="D9E9FF" w:themeFill="accent2" w:themeFillTint="33"/>
            <w:noWrap/>
            <w:vAlign w:val="center"/>
            <w:hideMark/>
          </w:tcPr>
          <w:p w14:paraId="689309FD" w14:textId="77777777" w:rsidR="00D55445" w:rsidRPr="00D55445" w:rsidRDefault="00D55445" w:rsidP="00D55445">
            <w:pPr>
              <w:jc w:val="center"/>
              <w:rPr>
                <w:rFonts w:cs="Arial"/>
                <w:b/>
                <w:bCs/>
                <w:color w:val="000000"/>
                <w:sz w:val="22"/>
                <w:szCs w:val="22"/>
              </w:rPr>
            </w:pPr>
            <w:r w:rsidRPr="00D55445">
              <w:rPr>
                <w:rFonts w:cs="Arial"/>
                <w:b/>
                <w:bCs/>
                <w:color w:val="000000"/>
                <w:sz w:val="22"/>
                <w:szCs w:val="22"/>
              </w:rPr>
              <w:t>2030</w:t>
            </w:r>
          </w:p>
        </w:tc>
      </w:tr>
      <w:tr w:rsidR="00D55445" w:rsidRPr="00D55445" w14:paraId="47F8ED6F" w14:textId="77777777" w:rsidTr="003B0EAF">
        <w:trPr>
          <w:trHeight w:val="284"/>
        </w:trPr>
        <w:tc>
          <w:tcPr>
            <w:tcW w:w="4232" w:type="pct"/>
            <w:shd w:val="clear" w:color="auto" w:fill="8E8373"/>
            <w:vAlign w:val="center"/>
            <w:hideMark/>
          </w:tcPr>
          <w:p w14:paraId="681ECE4D" w14:textId="77777777" w:rsidR="00D55445" w:rsidRPr="00D55445" w:rsidRDefault="00D55445" w:rsidP="00D55445">
            <w:pPr>
              <w:rPr>
                <w:rFonts w:cs="Arial"/>
                <w:b/>
                <w:bCs/>
                <w:color w:val="000000"/>
                <w:sz w:val="22"/>
                <w:szCs w:val="22"/>
              </w:rPr>
            </w:pPr>
            <w:r w:rsidRPr="00D55445">
              <w:rPr>
                <w:rFonts w:cs="Arial"/>
                <w:b/>
                <w:bCs/>
                <w:color w:val="000000"/>
                <w:sz w:val="22"/>
                <w:szCs w:val="22"/>
              </w:rPr>
              <w:t>Liikenne</w:t>
            </w:r>
          </w:p>
        </w:tc>
        <w:tc>
          <w:tcPr>
            <w:tcW w:w="768" w:type="pct"/>
            <w:noWrap/>
            <w:vAlign w:val="center"/>
            <w:hideMark/>
          </w:tcPr>
          <w:p w14:paraId="00DD61AD" w14:textId="04EABCFF" w:rsidR="00D55445" w:rsidRPr="00D55445" w:rsidRDefault="00D55445" w:rsidP="00E05DF5">
            <w:pPr>
              <w:jc w:val="center"/>
              <w:rPr>
                <w:rFonts w:cs="Arial"/>
                <w:b/>
                <w:bCs/>
                <w:color w:val="000000"/>
                <w:sz w:val="22"/>
                <w:szCs w:val="22"/>
              </w:rPr>
            </w:pPr>
            <w:r w:rsidRPr="38E66213">
              <w:rPr>
                <w:rFonts w:cs="Arial"/>
                <w:b/>
                <w:color w:val="000000" w:themeColor="text1"/>
                <w:sz w:val="22"/>
                <w:szCs w:val="22"/>
              </w:rPr>
              <w:t>0,24</w:t>
            </w:r>
          </w:p>
        </w:tc>
      </w:tr>
      <w:tr w:rsidR="00D55445" w:rsidRPr="00D55445" w14:paraId="412A8E08" w14:textId="77777777" w:rsidTr="003B0EAF">
        <w:trPr>
          <w:trHeight w:val="284"/>
        </w:trPr>
        <w:tc>
          <w:tcPr>
            <w:tcW w:w="4232" w:type="pct"/>
            <w:vAlign w:val="center"/>
            <w:hideMark/>
          </w:tcPr>
          <w:p w14:paraId="33B98F05" w14:textId="77777777" w:rsidR="00D55445" w:rsidRPr="00D55445" w:rsidRDefault="00D55445" w:rsidP="00D55445">
            <w:pPr>
              <w:jc w:val="right"/>
              <w:rPr>
                <w:rFonts w:cs="Arial"/>
                <w:color w:val="000000"/>
                <w:sz w:val="22"/>
                <w:szCs w:val="22"/>
              </w:rPr>
            </w:pPr>
            <w:r w:rsidRPr="00D55445">
              <w:rPr>
                <w:rFonts w:cs="Arial"/>
                <w:color w:val="000000"/>
                <w:sz w:val="22"/>
                <w:szCs w:val="22"/>
              </w:rPr>
              <w:t>Kuorma-autojen hankintatuki</w:t>
            </w:r>
          </w:p>
        </w:tc>
        <w:tc>
          <w:tcPr>
            <w:tcW w:w="768" w:type="pct"/>
            <w:noWrap/>
            <w:vAlign w:val="center"/>
            <w:hideMark/>
          </w:tcPr>
          <w:p w14:paraId="70B093FF" w14:textId="77777777" w:rsidR="00D55445" w:rsidRPr="00D55445" w:rsidRDefault="00D55445" w:rsidP="00E05DF5">
            <w:pPr>
              <w:jc w:val="center"/>
              <w:rPr>
                <w:rFonts w:cs="Arial"/>
                <w:color w:val="000000"/>
                <w:sz w:val="22"/>
                <w:szCs w:val="22"/>
              </w:rPr>
            </w:pPr>
            <w:r w:rsidRPr="00D55445">
              <w:rPr>
                <w:rFonts w:cs="Arial"/>
                <w:color w:val="000000"/>
                <w:sz w:val="22"/>
                <w:szCs w:val="22"/>
              </w:rPr>
              <w:t>0,04</w:t>
            </w:r>
          </w:p>
        </w:tc>
      </w:tr>
      <w:tr w:rsidR="00D55445" w:rsidRPr="00D55445" w14:paraId="5BA12E04" w14:textId="77777777" w:rsidTr="003B0EAF">
        <w:trPr>
          <w:trHeight w:val="284"/>
        </w:trPr>
        <w:tc>
          <w:tcPr>
            <w:tcW w:w="4232" w:type="pct"/>
            <w:vAlign w:val="center"/>
            <w:hideMark/>
          </w:tcPr>
          <w:p w14:paraId="18978E11" w14:textId="77777777" w:rsidR="00D55445" w:rsidRPr="00D55445" w:rsidRDefault="00D55445" w:rsidP="00D55445">
            <w:pPr>
              <w:jc w:val="right"/>
              <w:rPr>
                <w:rFonts w:cs="Arial"/>
                <w:color w:val="000000"/>
                <w:sz w:val="22"/>
                <w:szCs w:val="22"/>
              </w:rPr>
            </w:pPr>
            <w:r w:rsidRPr="00D55445">
              <w:rPr>
                <w:rFonts w:cs="Arial"/>
                <w:color w:val="000000"/>
                <w:sz w:val="22"/>
                <w:szCs w:val="22"/>
              </w:rPr>
              <w:t>Mikroyritysten hankintatuki</w:t>
            </w:r>
          </w:p>
        </w:tc>
        <w:tc>
          <w:tcPr>
            <w:tcW w:w="768" w:type="pct"/>
            <w:noWrap/>
            <w:vAlign w:val="center"/>
            <w:hideMark/>
          </w:tcPr>
          <w:p w14:paraId="0931EEC2" w14:textId="77777777" w:rsidR="00D55445" w:rsidRPr="00D55445" w:rsidRDefault="00D55445" w:rsidP="00E05DF5">
            <w:pPr>
              <w:jc w:val="center"/>
              <w:rPr>
                <w:rFonts w:cs="Arial"/>
                <w:color w:val="000000"/>
                <w:sz w:val="22"/>
                <w:szCs w:val="22"/>
              </w:rPr>
            </w:pPr>
            <w:r w:rsidRPr="00D55445">
              <w:rPr>
                <w:rFonts w:cs="Arial"/>
                <w:color w:val="000000"/>
                <w:sz w:val="22"/>
                <w:szCs w:val="22"/>
              </w:rPr>
              <w:t>0,04</w:t>
            </w:r>
          </w:p>
        </w:tc>
      </w:tr>
      <w:tr w:rsidR="00D55445" w:rsidRPr="00D55445" w14:paraId="783AEA63" w14:textId="77777777" w:rsidTr="003B0EAF">
        <w:trPr>
          <w:trHeight w:val="284"/>
        </w:trPr>
        <w:tc>
          <w:tcPr>
            <w:tcW w:w="4232" w:type="pct"/>
            <w:vAlign w:val="center"/>
            <w:hideMark/>
          </w:tcPr>
          <w:p w14:paraId="2446C0BA" w14:textId="77777777" w:rsidR="00D55445" w:rsidRPr="00D55445" w:rsidRDefault="00D55445" w:rsidP="00D55445">
            <w:pPr>
              <w:jc w:val="right"/>
              <w:rPr>
                <w:rFonts w:cs="Arial"/>
                <w:color w:val="000000"/>
                <w:sz w:val="22"/>
                <w:szCs w:val="22"/>
              </w:rPr>
            </w:pPr>
            <w:r w:rsidRPr="00D55445">
              <w:rPr>
                <w:rFonts w:cs="Arial"/>
                <w:color w:val="000000"/>
                <w:sz w:val="22"/>
                <w:szCs w:val="22"/>
              </w:rPr>
              <w:t>Työsuhdeautojen veroetu 2025 alkaen</w:t>
            </w:r>
          </w:p>
        </w:tc>
        <w:tc>
          <w:tcPr>
            <w:tcW w:w="768" w:type="pct"/>
            <w:noWrap/>
            <w:vAlign w:val="center"/>
            <w:hideMark/>
          </w:tcPr>
          <w:p w14:paraId="495C627B" w14:textId="77777777" w:rsidR="00D55445" w:rsidRPr="00D55445" w:rsidRDefault="00D55445" w:rsidP="00E05DF5">
            <w:pPr>
              <w:jc w:val="center"/>
              <w:rPr>
                <w:rFonts w:cs="Arial"/>
                <w:color w:val="000000"/>
                <w:sz w:val="22"/>
                <w:szCs w:val="22"/>
              </w:rPr>
            </w:pPr>
            <w:r w:rsidRPr="00D55445">
              <w:rPr>
                <w:rFonts w:cs="Arial"/>
                <w:color w:val="000000"/>
                <w:sz w:val="22"/>
                <w:szCs w:val="22"/>
              </w:rPr>
              <w:t>0,01</w:t>
            </w:r>
          </w:p>
        </w:tc>
      </w:tr>
      <w:tr w:rsidR="00D55445" w:rsidRPr="00D55445" w14:paraId="070E1D62" w14:textId="77777777" w:rsidTr="003B0EAF">
        <w:trPr>
          <w:trHeight w:val="284"/>
        </w:trPr>
        <w:tc>
          <w:tcPr>
            <w:tcW w:w="4232" w:type="pct"/>
            <w:vAlign w:val="center"/>
            <w:hideMark/>
          </w:tcPr>
          <w:p w14:paraId="073ED2C7" w14:textId="628C2071" w:rsidR="00D55445" w:rsidRPr="00D55445" w:rsidRDefault="00D55445" w:rsidP="00D55445">
            <w:pPr>
              <w:jc w:val="right"/>
              <w:rPr>
                <w:rFonts w:cs="Arial"/>
                <w:color w:val="000000"/>
                <w:sz w:val="22"/>
                <w:szCs w:val="22"/>
              </w:rPr>
            </w:pPr>
            <w:r w:rsidRPr="00D55445">
              <w:rPr>
                <w:rFonts w:cs="Arial"/>
                <w:color w:val="000000"/>
                <w:sz w:val="22"/>
                <w:szCs w:val="22"/>
              </w:rPr>
              <w:t xml:space="preserve">Kävelyn ja pyöräilyn </w:t>
            </w:r>
            <w:r w:rsidR="00314D00">
              <w:rPr>
                <w:rFonts w:cs="Arial"/>
                <w:color w:val="000000"/>
                <w:sz w:val="22"/>
                <w:szCs w:val="22"/>
              </w:rPr>
              <w:t>valtionavustus</w:t>
            </w:r>
          </w:p>
        </w:tc>
        <w:tc>
          <w:tcPr>
            <w:tcW w:w="768" w:type="pct"/>
            <w:noWrap/>
            <w:vAlign w:val="center"/>
            <w:hideMark/>
          </w:tcPr>
          <w:p w14:paraId="1028C4AF" w14:textId="77777777" w:rsidR="00D55445" w:rsidRPr="00D55445" w:rsidRDefault="00D55445" w:rsidP="00E05DF5">
            <w:pPr>
              <w:jc w:val="center"/>
              <w:rPr>
                <w:rFonts w:cs="Arial"/>
                <w:color w:val="000000"/>
                <w:sz w:val="22"/>
                <w:szCs w:val="22"/>
              </w:rPr>
            </w:pPr>
            <w:r w:rsidRPr="00D55445">
              <w:rPr>
                <w:rFonts w:cs="Arial"/>
                <w:color w:val="000000"/>
                <w:sz w:val="22"/>
                <w:szCs w:val="22"/>
              </w:rPr>
              <w:t>0,005</w:t>
            </w:r>
          </w:p>
        </w:tc>
      </w:tr>
      <w:tr w:rsidR="00635431" w:rsidRPr="00D55445" w14:paraId="551D277F" w14:textId="77777777" w:rsidTr="003B0EAF">
        <w:trPr>
          <w:trHeight w:val="284"/>
        </w:trPr>
        <w:tc>
          <w:tcPr>
            <w:tcW w:w="4232" w:type="pct"/>
            <w:vAlign w:val="center"/>
          </w:tcPr>
          <w:p w14:paraId="3639CE9E" w14:textId="418D8DCD" w:rsidR="00635431" w:rsidRPr="00D55445" w:rsidRDefault="00635431" w:rsidP="00D55445">
            <w:pPr>
              <w:jc w:val="right"/>
              <w:rPr>
                <w:rFonts w:cs="Arial"/>
                <w:color w:val="000000"/>
                <w:sz w:val="22"/>
                <w:szCs w:val="22"/>
              </w:rPr>
            </w:pPr>
            <w:r w:rsidRPr="4EAA4F53">
              <w:rPr>
                <w:rFonts w:cs="Arial"/>
                <w:color w:val="000000" w:themeColor="text1"/>
                <w:sz w:val="22"/>
                <w:szCs w:val="22"/>
              </w:rPr>
              <w:t>Romutuspalkkiokampanja</w:t>
            </w:r>
          </w:p>
        </w:tc>
        <w:tc>
          <w:tcPr>
            <w:tcW w:w="768" w:type="pct"/>
            <w:noWrap/>
            <w:vAlign w:val="center"/>
          </w:tcPr>
          <w:p w14:paraId="62B85837" w14:textId="002C9F41" w:rsidR="00635431" w:rsidRPr="00D55445" w:rsidRDefault="00230D62" w:rsidP="00E05DF5">
            <w:pPr>
              <w:jc w:val="center"/>
              <w:rPr>
                <w:rFonts w:cs="Arial"/>
                <w:color w:val="000000"/>
                <w:sz w:val="22"/>
                <w:szCs w:val="22"/>
              </w:rPr>
            </w:pPr>
            <w:r w:rsidRPr="00C87015">
              <w:rPr>
                <w:rFonts w:cs="Arial"/>
                <w:color w:val="000000"/>
                <w:sz w:val="22"/>
                <w:szCs w:val="22"/>
              </w:rPr>
              <w:t>0,00</w:t>
            </w:r>
            <w:r w:rsidR="00C87015" w:rsidRPr="00C87015">
              <w:rPr>
                <w:rFonts w:cs="Arial"/>
                <w:color w:val="000000"/>
                <w:sz w:val="22"/>
                <w:szCs w:val="22"/>
              </w:rPr>
              <w:t>9</w:t>
            </w:r>
          </w:p>
        </w:tc>
      </w:tr>
      <w:tr w:rsidR="00C87015" w:rsidRPr="00D55445" w14:paraId="775CBB82" w14:textId="77777777" w:rsidTr="003B0EAF">
        <w:trPr>
          <w:trHeight w:val="284"/>
        </w:trPr>
        <w:tc>
          <w:tcPr>
            <w:tcW w:w="4232" w:type="pct"/>
            <w:vAlign w:val="center"/>
          </w:tcPr>
          <w:p w14:paraId="0C153BDD" w14:textId="5CDADDBA" w:rsidR="00C87015" w:rsidRPr="00D55445" w:rsidRDefault="00C87015" w:rsidP="00D55445">
            <w:pPr>
              <w:jc w:val="right"/>
              <w:rPr>
                <w:rFonts w:cs="Arial"/>
                <w:color w:val="000000"/>
                <w:sz w:val="22"/>
                <w:szCs w:val="22"/>
              </w:rPr>
            </w:pPr>
            <w:r>
              <w:rPr>
                <w:rFonts w:cs="Arial"/>
                <w:color w:val="000000"/>
                <w:sz w:val="22"/>
                <w:szCs w:val="22"/>
              </w:rPr>
              <w:t>R</w:t>
            </w:r>
            <w:r w:rsidRPr="00C87015">
              <w:rPr>
                <w:rFonts w:cs="Arial"/>
                <w:color w:val="000000"/>
                <w:sz w:val="22"/>
                <w:szCs w:val="22"/>
              </w:rPr>
              <w:t>omutuspalkkiokampanja pienituloisille</w:t>
            </w:r>
          </w:p>
        </w:tc>
        <w:tc>
          <w:tcPr>
            <w:tcW w:w="768" w:type="pct"/>
            <w:noWrap/>
            <w:vAlign w:val="center"/>
          </w:tcPr>
          <w:p w14:paraId="25A64974" w14:textId="30740248" w:rsidR="00C87015" w:rsidRPr="00D55445" w:rsidRDefault="00C87015" w:rsidP="00E05DF5">
            <w:pPr>
              <w:jc w:val="center"/>
              <w:rPr>
                <w:rFonts w:cs="Arial"/>
                <w:color w:val="000000"/>
                <w:sz w:val="22"/>
                <w:szCs w:val="22"/>
              </w:rPr>
            </w:pPr>
            <w:r>
              <w:rPr>
                <w:rFonts w:cs="Arial"/>
                <w:color w:val="000000"/>
                <w:sz w:val="22"/>
                <w:szCs w:val="22"/>
              </w:rPr>
              <w:t>0,004</w:t>
            </w:r>
          </w:p>
        </w:tc>
      </w:tr>
      <w:tr w:rsidR="00D55445" w:rsidRPr="00D55445" w14:paraId="3B61AEEB" w14:textId="77777777" w:rsidTr="003B0EAF">
        <w:trPr>
          <w:trHeight w:val="284"/>
        </w:trPr>
        <w:tc>
          <w:tcPr>
            <w:tcW w:w="4232" w:type="pct"/>
            <w:vAlign w:val="center"/>
            <w:hideMark/>
          </w:tcPr>
          <w:p w14:paraId="4389E7BB" w14:textId="77777777" w:rsidR="00D55445" w:rsidRPr="00D55445" w:rsidRDefault="00D55445" w:rsidP="00D55445">
            <w:pPr>
              <w:jc w:val="right"/>
              <w:rPr>
                <w:rFonts w:cs="Arial"/>
                <w:color w:val="000000"/>
                <w:sz w:val="22"/>
                <w:szCs w:val="22"/>
              </w:rPr>
            </w:pPr>
            <w:r w:rsidRPr="00D55445">
              <w:rPr>
                <w:rFonts w:cs="Arial"/>
                <w:color w:val="000000"/>
                <w:sz w:val="22"/>
                <w:szCs w:val="22"/>
              </w:rPr>
              <w:t>MAL-sopimukset</w:t>
            </w:r>
          </w:p>
        </w:tc>
        <w:tc>
          <w:tcPr>
            <w:tcW w:w="768" w:type="pct"/>
            <w:noWrap/>
            <w:vAlign w:val="center"/>
            <w:hideMark/>
          </w:tcPr>
          <w:p w14:paraId="1C8BD471" w14:textId="77777777" w:rsidR="00D55445" w:rsidRPr="00D55445" w:rsidRDefault="00D55445" w:rsidP="00E05DF5">
            <w:pPr>
              <w:jc w:val="center"/>
              <w:rPr>
                <w:rFonts w:cs="Arial"/>
                <w:color w:val="000000"/>
                <w:sz w:val="22"/>
                <w:szCs w:val="22"/>
              </w:rPr>
            </w:pPr>
            <w:r w:rsidRPr="00D55445">
              <w:rPr>
                <w:rFonts w:cs="Arial"/>
                <w:color w:val="000000"/>
                <w:sz w:val="22"/>
                <w:szCs w:val="22"/>
              </w:rPr>
              <w:t>0,006</w:t>
            </w:r>
          </w:p>
        </w:tc>
      </w:tr>
      <w:tr w:rsidR="00D55445" w:rsidRPr="00D55445" w14:paraId="4FD70AF2" w14:textId="77777777" w:rsidTr="003B0EAF">
        <w:trPr>
          <w:trHeight w:val="284"/>
        </w:trPr>
        <w:tc>
          <w:tcPr>
            <w:tcW w:w="4232" w:type="pct"/>
            <w:vAlign w:val="center"/>
            <w:hideMark/>
          </w:tcPr>
          <w:p w14:paraId="2D804C3B" w14:textId="77777777" w:rsidR="00D55445" w:rsidRPr="00D55445" w:rsidRDefault="00D55445" w:rsidP="00D55445">
            <w:pPr>
              <w:jc w:val="right"/>
              <w:rPr>
                <w:rFonts w:cs="Arial"/>
                <w:color w:val="000000"/>
                <w:sz w:val="22"/>
                <w:szCs w:val="22"/>
              </w:rPr>
            </w:pPr>
            <w:r w:rsidRPr="00D55445">
              <w:rPr>
                <w:rFonts w:cs="Arial"/>
                <w:color w:val="000000"/>
                <w:sz w:val="22"/>
                <w:szCs w:val="22"/>
              </w:rPr>
              <w:t>Julkisen jakeluinfran tuet</w:t>
            </w:r>
          </w:p>
        </w:tc>
        <w:tc>
          <w:tcPr>
            <w:tcW w:w="768" w:type="pct"/>
            <w:noWrap/>
            <w:vAlign w:val="center"/>
            <w:hideMark/>
          </w:tcPr>
          <w:p w14:paraId="2DF94BA0" w14:textId="77777777" w:rsidR="00D55445" w:rsidRPr="00D55445" w:rsidRDefault="00D55445" w:rsidP="00E05DF5">
            <w:pPr>
              <w:jc w:val="center"/>
              <w:rPr>
                <w:rFonts w:cs="Arial"/>
                <w:color w:val="000000"/>
                <w:sz w:val="22"/>
                <w:szCs w:val="22"/>
              </w:rPr>
            </w:pPr>
            <w:r w:rsidRPr="00D55445">
              <w:rPr>
                <w:rFonts w:cs="Arial"/>
                <w:color w:val="000000"/>
                <w:sz w:val="22"/>
                <w:szCs w:val="22"/>
              </w:rPr>
              <w:t>0,02</w:t>
            </w:r>
          </w:p>
        </w:tc>
      </w:tr>
      <w:tr w:rsidR="00D55445" w:rsidRPr="00D55445" w14:paraId="40E10CBB" w14:textId="77777777" w:rsidTr="003B0EAF">
        <w:trPr>
          <w:trHeight w:val="284"/>
        </w:trPr>
        <w:tc>
          <w:tcPr>
            <w:tcW w:w="4232" w:type="pct"/>
            <w:vAlign w:val="center"/>
            <w:hideMark/>
          </w:tcPr>
          <w:p w14:paraId="07CBCD3E" w14:textId="77777777" w:rsidR="00D55445" w:rsidRPr="00D55445" w:rsidRDefault="00D55445" w:rsidP="00D55445">
            <w:pPr>
              <w:jc w:val="right"/>
              <w:rPr>
                <w:rFonts w:cs="Arial"/>
                <w:color w:val="000000"/>
                <w:sz w:val="22"/>
                <w:szCs w:val="22"/>
              </w:rPr>
            </w:pPr>
            <w:r w:rsidRPr="00D55445">
              <w:rPr>
                <w:rFonts w:cs="Arial"/>
                <w:color w:val="000000"/>
                <w:sz w:val="22"/>
                <w:szCs w:val="22"/>
              </w:rPr>
              <w:t>Latausavustus taloyhtiöille</w:t>
            </w:r>
          </w:p>
        </w:tc>
        <w:tc>
          <w:tcPr>
            <w:tcW w:w="768" w:type="pct"/>
            <w:noWrap/>
            <w:vAlign w:val="center"/>
            <w:hideMark/>
          </w:tcPr>
          <w:p w14:paraId="308D8982" w14:textId="77777777" w:rsidR="00D55445" w:rsidRPr="00D55445" w:rsidRDefault="00D55445" w:rsidP="00E05DF5">
            <w:pPr>
              <w:jc w:val="center"/>
              <w:rPr>
                <w:rFonts w:cs="Arial"/>
                <w:color w:val="000000"/>
                <w:sz w:val="22"/>
                <w:szCs w:val="22"/>
              </w:rPr>
            </w:pPr>
            <w:r w:rsidRPr="00D55445">
              <w:rPr>
                <w:rFonts w:cs="Arial"/>
                <w:color w:val="000000"/>
                <w:sz w:val="22"/>
                <w:szCs w:val="22"/>
              </w:rPr>
              <w:t>0,11</w:t>
            </w:r>
          </w:p>
        </w:tc>
      </w:tr>
      <w:tr w:rsidR="00D55445" w:rsidRPr="00D55445" w14:paraId="73E341D6" w14:textId="77777777" w:rsidTr="003B0EAF">
        <w:trPr>
          <w:trHeight w:val="284"/>
        </w:trPr>
        <w:tc>
          <w:tcPr>
            <w:tcW w:w="4232" w:type="pct"/>
            <w:shd w:val="clear" w:color="auto" w:fill="8E8373"/>
            <w:vAlign w:val="center"/>
            <w:hideMark/>
          </w:tcPr>
          <w:p w14:paraId="14B226DF" w14:textId="77777777" w:rsidR="00D55445" w:rsidRPr="00D55445" w:rsidRDefault="00D55445" w:rsidP="00D55445">
            <w:pPr>
              <w:rPr>
                <w:rFonts w:cs="Arial"/>
                <w:b/>
                <w:bCs/>
                <w:color w:val="000000"/>
                <w:sz w:val="22"/>
                <w:szCs w:val="22"/>
              </w:rPr>
            </w:pPr>
            <w:r w:rsidRPr="00D55445">
              <w:rPr>
                <w:rFonts w:cs="Arial"/>
                <w:b/>
                <w:bCs/>
                <w:color w:val="000000"/>
                <w:sz w:val="22"/>
                <w:szCs w:val="22"/>
              </w:rPr>
              <w:t>Maatalous</w:t>
            </w:r>
          </w:p>
        </w:tc>
        <w:tc>
          <w:tcPr>
            <w:tcW w:w="768" w:type="pct"/>
            <w:noWrap/>
            <w:vAlign w:val="center"/>
            <w:hideMark/>
          </w:tcPr>
          <w:p w14:paraId="1189F0B0" w14:textId="77777777" w:rsidR="00D55445" w:rsidRPr="00D55445" w:rsidRDefault="00D55445" w:rsidP="00E05DF5">
            <w:pPr>
              <w:jc w:val="center"/>
              <w:rPr>
                <w:rFonts w:cs="Arial"/>
                <w:b/>
                <w:bCs/>
                <w:color w:val="000000"/>
                <w:sz w:val="22"/>
                <w:szCs w:val="22"/>
              </w:rPr>
            </w:pPr>
            <w:r w:rsidRPr="00D55445">
              <w:rPr>
                <w:rFonts w:cs="Arial"/>
                <w:b/>
                <w:bCs/>
                <w:color w:val="000000"/>
                <w:sz w:val="22"/>
                <w:szCs w:val="22"/>
              </w:rPr>
              <w:t>0,12</w:t>
            </w:r>
          </w:p>
        </w:tc>
      </w:tr>
      <w:tr w:rsidR="00D55445" w:rsidRPr="00D55445" w14:paraId="6966A85B" w14:textId="77777777" w:rsidTr="003B0EAF">
        <w:trPr>
          <w:trHeight w:val="284"/>
        </w:trPr>
        <w:tc>
          <w:tcPr>
            <w:tcW w:w="4232" w:type="pct"/>
            <w:vAlign w:val="center"/>
            <w:hideMark/>
          </w:tcPr>
          <w:p w14:paraId="7061ADE5" w14:textId="77777777" w:rsidR="00D55445" w:rsidRPr="00D55445" w:rsidRDefault="00D55445" w:rsidP="00D55445">
            <w:pPr>
              <w:jc w:val="right"/>
              <w:rPr>
                <w:rFonts w:cs="Arial"/>
                <w:color w:val="000000"/>
                <w:sz w:val="22"/>
                <w:szCs w:val="22"/>
              </w:rPr>
            </w:pPr>
            <w:r w:rsidRPr="00D55445">
              <w:rPr>
                <w:rFonts w:cs="Arial"/>
                <w:color w:val="000000"/>
                <w:sz w:val="22"/>
                <w:szCs w:val="22"/>
              </w:rPr>
              <w:t>Biokaasun tuotannon ja käytön edistäminen</w:t>
            </w:r>
          </w:p>
        </w:tc>
        <w:tc>
          <w:tcPr>
            <w:tcW w:w="768" w:type="pct"/>
            <w:noWrap/>
            <w:vAlign w:val="center"/>
            <w:hideMark/>
          </w:tcPr>
          <w:p w14:paraId="6E590D78" w14:textId="77777777" w:rsidR="00D55445" w:rsidRPr="00D55445" w:rsidRDefault="00D55445" w:rsidP="00E05DF5">
            <w:pPr>
              <w:jc w:val="center"/>
              <w:rPr>
                <w:rFonts w:cs="Arial"/>
                <w:color w:val="000000"/>
                <w:sz w:val="22"/>
                <w:szCs w:val="22"/>
              </w:rPr>
            </w:pPr>
            <w:r w:rsidRPr="00D55445">
              <w:rPr>
                <w:rFonts w:cs="Arial"/>
                <w:color w:val="000000"/>
                <w:sz w:val="22"/>
                <w:szCs w:val="22"/>
              </w:rPr>
              <w:t>0,05</w:t>
            </w:r>
          </w:p>
        </w:tc>
      </w:tr>
      <w:tr w:rsidR="00D55445" w:rsidRPr="00D55445" w14:paraId="015C8BD2" w14:textId="77777777" w:rsidTr="003B0EAF">
        <w:trPr>
          <w:trHeight w:val="284"/>
        </w:trPr>
        <w:tc>
          <w:tcPr>
            <w:tcW w:w="4232" w:type="pct"/>
            <w:vAlign w:val="center"/>
            <w:hideMark/>
          </w:tcPr>
          <w:p w14:paraId="22559D54" w14:textId="77777777" w:rsidR="00D55445" w:rsidRPr="00D55445" w:rsidRDefault="00D55445" w:rsidP="00D55445">
            <w:pPr>
              <w:jc w:val="right"/>
              <w:rPr>
                <w:rFonts w:cs="Arial"/>
                <w:color w:val="000000"/>
                <w:sz w:val="22"/>
                <w:szCs w:val="22"/>
              </w:rPr>
            </w:pPr>
            <w:r w:rsidRPr="00D55445">
              <w:rPr>
                <w:rFonts w:cs="Arial"/>
                <w:color w:val="000000"/>
                <w:sz w:val="22"/>
                <w:szCs w:val="22"/>
              </w:rPr>
              <w:t>Ravinteiden kierrätyksen edistäminen</w:t>
            </w:r>
          </w:p>
        </w:tc>
        <w:tc>
          <w:tcPr>
            <w:tcW w:w="768" w:type="pct"/>
            <w:noWrap/>
            <w:vAlign w:val="center"/>
            <w:hideMark/>
          </w:tcPr>
          <w:p w14:paraId="49815311" w14:textId="77777777" w:rsidR="00D55445" w:rsidRPr="00D55445" w:rsidRDefault="00D55445" w:rsidP="00E05DF5">
            <w:pPr>
              <w:jc w:val="center"/>
              <w:rPr>
                <w:rFonts w:cs="Arial"/>
                <w:color w:val="000000"/>
                <w:sz w:val="22"/>
                <w:szCs w:val="22"/>
              </w:rPr>
            </w:pPr>
            <w:r w:rsidRPr="00D55445">
              <w:rPr>
                <w:rFonts w:cs="Arial"/>
                <w:color w:val="000000"/>
                <w:sz w:val="22"/>
                <w:szCs w:val="22"/>
              </w:rPr>
              <w:t>0,07</w:t>
            </w:r>
          </w:p>
        </w:tc>
      </w:tr>
      <w:tr w:rsidR="00D55445" w:rsidRPr="00D55445" w14:paraId="60AE24E5" w14:textId="77777777" w:rsidTr="003B0EAF">
        <w:trPr>
          <w:trHeight w:val="458"/>
        </w:trPr>
        <w:tc>
          <w:tcPr>
            <w:tcW w:w="4232" w:type="pct"/>
            <w:shd w:val="clear" w:color="auto" w:fill="8E8373"/>
            <w:vAlign w:val="center"/>
            <w:hideMark/>
          </w:tcPr>
          <w:p w14:paraId="566CA631" w14:textId="77777777" w:rsidR="00D55445" w:rsidRPr="00D55445" w:rsidRDefault="00D55445" w:rsidP="00D55445">
            <w:pPr>
              <w:rPr>
                <w:rFonts w:cs="Arial"/>
                <w:b/>
                <w:bCs/>
                <w:color w:val="000000"/>
                <w:sz w:val="22"/>
                <w:szCs w:val="22"/>
              </w:rPr>
            </w:pPr>
            <w:r w:rsidRPr="00D55445">
              <w:rPr>
                <w:rFonts w:cs="Arial"/>
                <w:b/>
                <w:bCs/>
                <w:color w:val="000000"/>
                <w:sz w:val="22"/>
                <w:szCs w:val="22"/>
              </w:rPr>
              <w:t>Erillislämmitys</w:t>
            </w:r>
          </w:p>
        </w:tc>
        <w:tc>
          <w:tcPr>
            <w:tcW w:w="768" w:type="pct"/>
            <w:noWrap/>
            <w:vAlign w:val="center"/>
            <w:hideMark/>
          </w:tcPr>
          <w:p w14:paraId="21309AC4" w14:textId="77777777" w:rsidR="00D55445" w:rsidRPr="00D55445" w:rsidRDefault="00D55445" w:rsidP="00E05DF5">
            <w:pPr>
              <w:jc w:val="center"/>
              <w:rPr>
                <w:rFonts w:cs="Arial"/>
                <w:b/>
                <w:bCs/>
                <w:color w:val="000000"/>
                <w:sz w:val="22"/>
                <w:szCs w:val="22"/>
              </w:rPr>
            </w:pPr>
            <w:r w:rsidRPr="00D55445">
              <w:rPr>
                <w:rFonts w:cs="Arial"/>
                <w:b/>
                <w:bCs/>
                <w:color w:val="000000"/>
                <w:sz w:val="22"/>
                <w:szCs w:val="22"/>
              </w:rPr>
              <w:t>0,12</w:t>
            </w:r>
          </w:p>
        </w:tc>
      </w:tr>
      <w:tr w:rsidR="00D55445" w:rsidRPr="00D55445" w14:paraId="3AD3FA30" w14:textId="77777777" w:rsidTr="003B0EAF">
        <w:trPr>
          <w:trHeight w:val="284"/>
        </w:trPr>
        <w:tc>
          <w:tcPr>
            <w:tcW w:w="4232" w:type="pct"/>
            <w:vAlign w:val="center"/>
            <w:hideMark/>
          </w:tcPr>
          <w:p w14:paraId="13CA6147" w14:textId="77777777" w:rsidR="00D55445" w:rsidRPr="00D55445" w:rsidRDefault="00D55445" w:rsidP="00D55445">
            <w:pPr>
              <w:jc w:val="right"/>
              <w:rPr>
                <w:rFonts w:cs="Arial"/>
                <w:color w:val="000000"/>
                <w:sz w:val="22"/>
                <w:szCs w:val="22"/>
              </w:rPr>
            </w:pPr>
            <w:r w:rsidRPr="00D55445">
              <w:rPr>
                <w:rFonts w:cs="Arial"/>
                <w:color w:val="000000"/>
                <w:sz w:val="22"/>
                <w:szCs w:val="22"/>
              </w:rPr>
              <w:t>Asumisen SCF-toimet, ml. energianeuvonta</w:t>
            </w:r>
          </w:p>
        </w:tc>
        <w:tc>
          <w:tcPr>
            <w:tcW w:w="768" w:type="pct"/>
            <w:noWrap/>
            <w:vAlign w:val="center"/>
            <w:hideMark/>
          </w:tcPr>
          <w:p w14:paraId="56028C7A" w14:textId="77777777" w:rsidR="00D55445" w:rsidRPr="00D55445" w:rsidRDefault="00D55445" w:rsidP="00E05DF5">
            <w:pPr>
              <w:jc w:val="center"/>
              <w:rPr>
                <w:rFonts w:cs="Arial"/>
                <w:color w:val="000000"/>
                <w:sz w:val="22"/>
                <w:szCs w:val="22"/>
              </w:rPr>
            </w:pPr>
            <w:r w:rsidRPr="00D55445">
              <w:rPr>
                <w:rFonts w:cs="Arial"/>
                <w:color w:val="000000"/>
                <w:sz w:val="22"/>
                <w:szCs w:val="22"/>
              </w:rPr>
              <w:t>0,05</w:t>
            </w:r>
          </w:p>
        </w:tc>
      </w:tr>
      <w:tr w:rsidR="00D55445" w:rsidRPr="00D55445" w14:paraId="53DF9FA7" w14:textId="77777777" w:rsidTr="003B0EAF">
        <w:trPr>
          <w:trHeight w:val="366"/>
        </w:trPr>
        <w:tc>
          <w:tcPr>
            <w:tcW w:w="4232" w:type="pct"/>
            <w:vAlign w:val="center"/>
            <w:hideMark/>
          </w:tcPr>
          <w:p w14:paraId="7131E36B" w14:textId="77777777" w:rsidR="00D55445" w:rsidRPr="00D55445" w:rsidRDefault="00D55445" w:rsidP="00D55445">
            <w:pPr>
              <w:jc w:val="right"/>
              <w:rPr>
                <w:rFonts w:cs="Arial"/>
                <w:color w:val="000000"/>
                <w:sz w:val="22"/>
                <w:szCs w:val="22"/>
              </w:rPr>
            </w:pPr>
            <w:r w:rsidRPr="00D55445">
              <w:rPr>
                <w:rFonts w:cs="Arial"/>
                <w:color w:val="000000"/>
                <w:sz w:val="22"/>
                <w:szCs w:val="22"/>
              </w:rPr>
              <w:t>Biopolttoöljyn jakeluvelvoite</w:t>
            </w:r>
          </w:p>
        </w:tc>
        <w:tc>
          <w:tcPr>
            <w:tcW w:w="768" w:type="pct"/>
            <w:noWrap/>
            <w:vAlign w:val="center"/>
            <w:hideMark/>
          </w:tcPr>
          <w:p w14:paraId="21EE73DD" w14:textId="77777777" w:rsidR="00D55445" w:rsidRPr="00D55445" w:rsidRDefault="00D55445" w:rsidP="00E05DF5">
            <w:pPr>
              <w:jc w:val="center"/>
              <w:rPr>
                <w:rFonts w:cs="Arial"/>
                <w:color w:val="000000"/>
                <w:sz w:val="22"/>
                <w:szCs w:val="22"/>
              </w:rPr>
            </w:pPr>
            <w:r w:rsidRPr="00D55445">
              <w:rPr>
                <w:rFonts w:cs="Arial"/>
                <w:color w:val="000000"/>
                <w:sz w:val="22"/>
                <w:szCs w:val="22"/>
              </w:rPr>
              <w:t>0,03</w:t>
            </w:r>
          </w:p>
        </w:tc>
      </w:tr>
      <w:tr w:rsidR="00D55445" w:rsidRPr="00D55445" w14:paraId="65096210" w14:textId="77777777" w:rsidTr="003B0EAF">
        <w:trPr>
          <w:trHeight w:val="570"/>
        </w:trPr>
        <w:tc>
          <w:tcPr>
            <w:tcW w:w="4232" w:type="pct"/>
            <w:vAlign w:val="center"/>
            <w:hideMark/>
          </w:tcPr>
          <w:p w14:paraId="44FCB69D" w14:textId="77777777" w:rsidR="00D55445" w:rsidRPr="00D55445" w:rsidRDefault="00D55445" w:rsidP="00D55445">
            <w:pPr>
              <w:jc w:val="right"/>
              <w:rPr>
                <w:rFonts w:cs="Arial"/>
                <w:color w:val="000000"/>
                <w:sz w:val="22"/>
                <w:szCs w:val="22"/>
              </w:rPr>
            </w:pPr>
            <w:r w:rsidRPr="00D55445">
              <w:rPr>
                <w:rFonts w:cs="Arial"/>
                <w:color w:val="000000"/>
                <w:sz w:val="22"/>
                <w:szCs w:val="22"/>
              </w:rPr>
              <w:t>Korotettu kotitalousvähennys öljylämmityksestä luopumiseen</w:t>
            </w:r>
          </w:p>
        </w:tc>
        <w:tc>
          <w:tcPr>
            <w:tcW w:w="768" w:type="pct"/>
            <w:noWrap/>
            <w:vAlign w:val="center"/>
            <w:hideMark/>
          </w:tcPr>
          <w:p w14:paraId="2DF682EC" w14:textId="77777777" w:rsidR="00D55445" w:rsidRPr="00D55445" w:rsidRDefault="00D55445" w:rsidP="00E05DF5">
            <w:pPr>
              <w:jc w:val="center"/>
              <w:rPr>
                <w:rFonts w:cs="Arial"/>
                <w:color w:val="000000"/>
                <w:sz w:val="22"/>
                <w:szCs w:val="22"/>
              </w:rPr>
            </w:pPr>
            <w:r w:rsidRPr="00D55445">
              <w:rPr>
                <w:rFonts w:cs="Arial"/>
                <w:color w:val="000000"/>
                <w:sz w:val="22"/>
                <w:szCs w:val="22"/>
              </w:rPr>
              <w:t>0,02</w:t>
            </w:r>
          </w:p>
        </w:tc>
      </w:tr>
      <w:tr w:rsidR="00D55445" w:rsidRPr="00D55445" w14:paraId="058B7181" w14:textId="77777777" w:rsidTr="003B0EAF">
        <w:trPr>
          <w:trHeight w:val="570"/>
        </w:trPr>
        <w:tc>
          <w:tcPr>
            <w:tcW w:w="4232" w:type="pct"/>
            <w:vAlign w:val="center"/>
            <w:hideMark/>
          </w:tcPr>
          <w:p w14:paraId="3403E0D8" w14:textId="77777777" w:rsidR="00D55445" w:rsidRPr="00D55445" w:rsidRDefault="00D55445" w:rsidP="00D55445">
            <w:pPr>
              <w:jc w:val="right"/>
              <w:rPr>
                <w:rFonts w:cs="Arial"/>
                <w:color w:val="000000"/>
                <w:sz w:val="22"/>
                <w:szCs w:val="22"/>
              </w:rPr>
            </w:pPr>
            <w:r w:rsidRPr="00D55445">
              <w:rPr>
                <w:rFonts w:cs="Arial"/>
                <w:color w:val="000000"/>
                <w:sz w:val="22"/>
                <w:szCs w:val="22"/>
              </w:rPr>
              <w:t>Öljy- ja maakaasulämmityksestä luopumisen avustuksen jatko</w:t>
            </w:r>
          </w:p>
        </w:tc>
        <w:tc>
          <w:tcPr>
            <w:tcW w:w="768" w:type="pct"/>
            <w:noWrap/>
            <w:vAlign w:val="center"/>
            <w:hideMark/>
          </w:tcPr>
          <w:p w14:paraId="13D5A0ED" w14:textId="77777777" w:rsidR="00D55445" w:rsidRPr="00D55445" w:rsidRDefault="00D55445" w:rsidP="00E05DF5">
            <w:pPr>
              <w:jc w:val="center"/>
              <w:rPr>
                <w:rFonts w:cs="Arial"/>
                <w:color w:val="000000"/>
                <w:sz w:val="22"/>
                <w:szCs w:val="22"/>
              </w:rPr>
            </w:pPr>
            <w:r w:rsidRPr="00D55445">
              <w:rPr>
                <w:rFonts w:cs="Arial"/>
                <w:color w:val="000000"/>
                <w:sz w:val="22"/>
                <w:szCs w:val="22"/>
              </w:rPr>
              <w:t>0,02</w:t>
            </w:r>
          </w:p>
        </w:tc>
      </w:tr>
      <w:tr w:rsidR="00D55445" w:rsidRPr="00D55445" w14:paraId="559E2FA1" w14:textId="77777777" w:rsidTr="003B0EAF">
        <w:trPr>
          <w:trHeight w:val="284"/>
        </w:trPr>
        <w:tc>
          <w:tcPr>
            <w:tcW w:w="4232" w:type="pct"/>
            <w:shd w:val="clear" w:color="auto" w:fill="8E8373"/>
            <w:vAlign w:val="center"/>
            <w:hideMark/>
          </w:tcPr>
          <w:p w14:paraId="518E0754" w14:textId="77777777" w:rsidR="00D55445" w:rsidRPr="00D55445" w:rsidRDefault="00D55445" w:rsidP="00D55445">
            <w:pPr>
              <w:rPr>
                <w:rFonts w:cs="Arial"/>
                <w:b/>
                <w:bCs/>
                <w:color w:val="000000"/>
                <w:sz w:val="22"/>
                <w:szCs w:val="22"/>
              </w:rPr>
            </w:pPr>
            <w:r w:rsidRPr="00D55445">
              <w:rPr>
                <w:rFonts w:cs="Arial"/>
                <w:b/>
                <w:bCs/>
                <w:color w:val="000000"/>
                <w:sz w:val="22"/>
                <w:szCs w:val="22"/>
              </w:rPr>
              <w:t>Työkoneet</w:t>
            </w:r>
          </w:p>
        </w:tc>
        <w:tc>
          <w:tcPr>
            <w:tcW w:w="768" w:type="pct"/>
            <w:noWrap/>
            <w:vAlign w:val="center"/>
            <w:hideMark/>
          </w:tcPr>
          <w:p w14:paraId="50BBF476" w14:textId="77777777" w:rsidR="00D55445" w:rsidRPr="00D55445" w:rsidRDefault="00D55445" w:rsidP="00E05DF5">
            <w:pPr>
              <w:jc w:val="center"/>
              <w:rPr>
                <w:rFonts w:cs="Arial"/>
                <w:b/>
                <w:bCs/>
                <w:color w:val="000000"/>
                <w:sz w:val="22"/>
                <w:szCs w:val="22"/>
              </w:rPr>
            </w:pPr>
            <w:r w:rsidRPr="00D55445">
              <w:rPr>
                <w:rFonts w:cs="Arial"/>
                <w:b/>
                <w:bCs/>
                <w:color w:val="000000"/>
                <w:sz w:val="22"/>
                <w:szCs w:val="22"/>
              </w:rPr>
              <w:t>0,13</w:t>
            </w:r>
          </w:p>
        </w:tc>
      </w:tr>
      <w:tr w:rsidR="00D55445" w:rsidRPr="00D55445" w14:paraId="6B00BB0A" w14:textId="77777777" w:rsidTr="003B0EAF">
        <w:trPr>
          <w:trHeight w:val="284"/>
        </w:trPr>
        <w:tc>
          <w:tcPr>
            <w:tcW w:w="4232" w:type="pct"/>
            <w:vAlign w:val="center"/>
            <w:hideMark/>
          </w:tcPr>
          <w:p w14:paraId="30960862" w14:textId="77777777" w:rsidR="00D55445" w:rsidRPr="00D55445" w:rsidRDefault="00D55445" w:rsidP="00D55445">
            <w:pPr>
              <w:jc w:val="right"/>
              <w:rPr>
                <w:rFonts w:cs="Arial"/>
                <w:color w:val="000000"/>
                <w:sz w:val="22"/>
                <w:szCs w:val="22"/>
              </w:rPr>
            </w:pPr>
            <w:r w:rsidRPr="00D55445">
              <w:rPr>
                <w:rFonts w:cs="Arial"/>
                <w:color w:val="000000"/>
                <w:sz w:val="22"/>
                <w:szCs w:val="22"/>
              </w:rPr>
              <w:t>Edistämisohjelma</w:t>
            </w:r>
          </w:p>
        </w:tc>
        <w:tc>
          <w:tcPr>
            <w:tcW w:w="768" w:type="pct"/>
            <w:noWrap/>
            <w:vAlign w:val="center"/>
            <w:hideMark/>
          </w:tcPr>
          <w:p w14:paraId="06CC69BA" w14:textId="77777777" w:rsidR="00D55445" w:rsidRPr="00D55445" w:rsidRDefault="00D55445" w:rsidP="00E05DF5">
            <w:pPr>
              <w:jc w:val="center"/>
              <w:rPr>
                <w:rFonts w:cs="Arial"/>
                <w:color w:val="000000"/>
                <w:sz w:val="22"/>
                <w:szCs w:val="22"/>
              </w:rPr>
            </w:pPr>
            <w:r w:rsidRPr="00D55445">
              <w:rPr>
                <w:rFonts w:cs="Arial"/>
                <w:color w:val="000000"/>
                <w:sz w:val="22"/>
                <w:szCs w:val="22"/>
              </w:rPr>
              <w:t>0,05</w:t>
            </w:r>
          </w:p>
        </w:tc>
      </w:tr>
      <w:tr w:rsidR="00D55445" w:rsidRPr="00D55445" w14:paraId="42D07BB0" w14:textId="77777777" w:rsidTr="003B0EAF">
        <w:trPr>
          <w:trHeight w:val="284"/>
        </w:trPr>
        <w:tc>
          <w:tcPr>
            <w:tcW w:w="4232" w:type="pct"/>
            <w:vAlign w:val="center"/>
            <w:hideMark/>
          </w:tcPr>
          <w:p w14:paraId="161470DC" w14:textId="77777777" w:rsidR="00D55445" w:rsidRPr="00D55445" w:rsidRDefault="00D55445" w:rsidP="00D55445">
            <w:pPr>
              <w:jc w:val="right"/>
              <w:rPr>
                <w:rFonts w:cs="Arial"/>
                <w:color w:val="000000"/>
                <w:sz w:val="22"/>
                <w:szCs w:val="22"/>
              </w:rPr>
            </w:pPr>
            <w:r w:rsidRPr="00D55445">
              <w:rPr>
                <w:rFonts w:cs="Arial"/>
                <w:color w:val="000000"/>
                <w:sz w:val="22"/>
                <w:szCs w:val="22"/>
              </w:rPr>
              <w:t>Biopolttoöljyn jakeluvelvoite</w:t>
            </w:r>
          </w:p>
        </w:tc>
        <w:tc>
          <w:tcPr>
            <w:tcW w:w="768" w:type="pct"/>
            <w:noWrap/>
            <w:vAlign w:val="center"/>
            <w:hideMark/>
          </w:tcPr>
          <w:p w14:paraId="293A7613" w14:textId="77777777" w:rsidR="00D55445" w:rsidRPr="00D55445" w:rsidRDefault="00D55445" w:rsidP="00E05DF5">
            <w:pPr>
              <w:jc w:val="center"/>
              <w:rPr>
                <w:rFonts w:cs="Arial"/>
                <w:color w:val="000000"/>
                <w:sz w:val="22"/>
                <w:szCs w:val="22"/>
              </w:rPr>
            </w:pPr>
            <w:r w:rsidRPr="00D55445">
              <w:rPr>
                <w:rFonts w:cs="Arial"/>
                <w:color w:val="000000"/>
                <w:sz w:val="22"/>
                <w:szCs w:val="22"/>
              </w:rPr>
              <w:t>0,08</w:t>
            </w:r>
          </w:p>
        </w:tc>
      </w:tr>
      <w:tr w:rsidR="00D55445" w:rsidRPr="00D55445" w14:paraId="2B2A7656" w14:textId="77777777" w:rsidTr="003B0EAF">
        <w:trPr>
          <w:trHeight w:val="284"/>
        </w:trPr>
        <w:tc>
          <w:tcPr>
            <w:tcW w:w="4232" w:type="pct"/>
            <w:vAlign w:val="center"/>
            <w:hideMark/>
          </w:tcPr>
          <w:p w14:paraId="5325DF09" w14:textId="77777777" w:rsidR="00D55445" w:rsidRPr="00D55445" w:rsidRDefault="00D55445" w:rsidP="00D55445">
            <w:pPr>
              <w:jc w:val="right"/>
              <w:rPr>
                <w:rFonts w:cs="Arial"/>
                <w:color w:val="000000"/>
                <w:sz w:val="22"/>
                <w:szCs w:val="22"/>
              </w:rPr>
            </w:pPr>
            <w:r w:rsidRPr="00D55445">
              <w:rPr>
                <w:rFonts w:cs="Arial"/>
                <w:color w:val="000000"/>
                <w:sz w:val="22"/>
                <w:szCs w:val="22"/>
              </w:rPr>
              <w:t>T&amp;K tuki</w:t>
            </w:r>
          </w:p>
        </w:tc>
        <w:tc>
          <w:tcPr>
            <w:tcW w:w="768" w:type="pct"/>
            <w:noWrap/>
            <w:vAlign w:val="center"/>
            <w:hideMark/>
          </w:tcPr>
          <w:p w14:paraId="6EEA3CC6" w14:textId="77777777" w:rsidR="00D55445" w:rsidRPr="00D55445" w:rsidRDefault="00D55445" w:rsidP="00E05DF5">
            <w:pPr>
              <w:jc w:val="center"/>
              <w:rPr>
                <w:rFonts w:cs="Arial"/>
                <w:color w:val="000000"/>
                <w:sz w:val="22"/>
                <w:szCs w:val="22"/>
              </w:rPr>
            </w:pPr>
            <w:r w:rsidRPr="00D55445">
              <w:rPr>
                <w:rFonts w:cs="Arial"/>
                <w:color w:val="000000"/>
                <w:sz w:val="22"/>
                <w:szCs w:val="22"/>
              </w:rPr>
              <w:t>0,01</w:t>
            </w:r>
          </w:p>
        </w:tc>
      </w:tr>
      <w:tr w:rsidR="00D55445" w:rsidRPr="00D55445" w14:paraId="1701094B" w14:textId="77777777" w:rsidTr="003B0EAF">
        <w:trPr>
          <w:trHeight w:val="284"/>
        </w:trPr>
        <w:tc>
          <w:tcPr>
            <w:tcW w:w="4232" w:type="pct"/>
            <w:shd w:val="clear" w:color="auto" w:fill="8E8373"/>
            <w:vAlign w:val="center"/>
            <w:hideMark/>
          </w:tcPr>
          <w:p w14:paraId="170A8534" w14:textId="77777777" w:rsidR="00D55445" w:rsidRPr="00D55445" w:rsidRDefault="00D55445" w:rsidP="00D55445">
            <w:pPr>
              <w:rPr>
                <w:rFonts w:cs="Arial"/>
                <w:b/>
                <w:bCs/>
                <w:color w:val="000000"/>
                <w:sz w:val="22"/>
                <w:szCs w:val="22"/>
              </w:rPr>
            </w:pPr>
            <w:r w:rsidRPr="00D55445">
              <w:rPr>
                <w:rFonts w:cs="Arial"/>
                <w:b/>
                <w:bCs/>
                <w:color w:val="000000"/>
                <w:sz w:val="22"/>
                <w:szCs w:val="22"/>
              </w:rPr>
              <w:t>Muut energiaperäiset ja jätteenpoltto</w:t>
            </w:r>
          </w:p>
        </w:tc>
        <w:tc>
          <w:tcPr>
            <w:tcW w:w="768" w:type="pct"/>
            <w:noWrap/>
            <w:vAlign w:val="center"/>
            <w:hideMark/>
          </w:tcPr>
          <w:p w14:paraId="09A4EC11" w14:textId="77777777" w:rsidR="00D55445" w:rsidRPr="00D55445" w:rsidRDefault="00D55445" w:rsidP="00E05DF5">
            <w:pPr>
              <w:jc w:val="center"/>
              <w:rPr>
                <w:rFonts w:cs="Arial"/>
                <w:b/>
                <w:bCs/>
                <w:color w:val="000000"/>
                <w:sz w:val="22"/>
                <w:szCs w:val="22"/>
              </w:rPr>
            </w:pPr>
            <w:r w:rsidRPr="00D55445">
              <w:rPr>
                <w:rFonts w:cs="Arial"/>
                <w:b/>
                <w:bCs/>
                <w:color w:val="000000"/>
                <w:sz w:val="22"/>
                <w:szCs w:val="22"/>
              </w:rPr>
              <w:t>0,34</w:t>
            </w:r>
          </w:p>
        </w:tc>
      </w:tr>
      <w:tr w:rsidR="00D55445" w:rsidRPr="00D55445" w14:paraId="24B2A2C4" w14:textId="77777777" w:rsidTr="003B0EAF">
        <w:trPr>
          <w:trHeight w:val="284"/>
        </w:trPr>
        <w:tc>
          <w:tcPr>
            <w:tcW w:w="4232" w:type="pct"/>
            <w:vAlign w:val="center"/>
            <w:hideMark/>
          </w:tcPr>
          <w:p w14:paraId="1DCE2FCE" w14:textId="3B090DE5" w:rsidR="00D55445" w:rsidRPr="00D55445" w:rsidRDefault="00D55445" w:rsidP="00D55445">
            <w:pPr>
              <w:jc w:val="right"/>
              <w:rPr>
                <w:rFonts w:cs="Arial"/>
                <w:color w:val="000000"/>
                <w:sz w:val="22"/>
                <w:szCs w:val="22"/>
              </w:rPr>
            </w:pPr>
            <w:r w:rsidRPr="00D55445">
              <w:rPr>
                <w:rFonts w:cs="Arial"/>
                <w:color w:val="000000"/>
                <w:sz w:val="22"/>
                <w:szCs w:val="22"/>
              </w:rPr>
              <w:t>Biopolttoaineen jakeluvelvo</w:t>
            </w:r>
            <w:r w:rsidR="00521BE9">
              <w:rPr>
                <w:rFonts w:cs="Arial"/>
                <w:color w:val="000000"/>
                <w:sz w:val="22"/>
                <w:szCs w:val="22"/>
              </w:rPr>
              <w:t>i</w:t>
            </w:r>
            <w:r w:rsidRPr="00D55445">
              <w:rPr>
                <w:rFonts w:cs="Arial"/>
                <w:color w:val="000000"/>
                <w:sz w:val="22"/>
                <w:szCs w:val="22"/>
              </w:rPr>
              <w:t>tteen korotus</w:t>
            </w:r>
          </w:p>
        </w:tc>
        <w:tc>
          <w:tcPr>
            <w:tcW w:w="768" w:type="pct"/>
            <w:noWrap/>
            <w:vAlign w:val="center"/>
            <w:hideMark/>
          </w:tcPr>
          <w:p w14:paraId="0A0CB619" w14:textId="77777777" w:rsidR="00D55445" w:rsidRPr="00D55445" w:rsidRDefault="00D55445" w:rsidP="00E05DF5">
            <w:pPr>
              <w:jc w:val="center"/>
              <w:rPr>
                <w:rFonts w:cs="Arial"/>
                <w:color w:val="000000"/>
                <w:sz w:val="22"/>
                <w:szCs w:val="22"/>
              </w:rPr>
            </w:pPr>
            <w:r w:rsidRPr="00D55445">
              <w:rPr>
                <w:rFonts w:cs="Arial"/>
                <w:color w:val="000000"/>
                <w:sz w:val="22"/>
                <w:szCs w:val="22"/>
              </w:rPr>
              <w:t>0,04</w:t>
            </w:r>
          </w:p>
        </w:tc>
      </w:tr>
      <w:tr w:rsidR="00D55445" w:rsidRPr="00D55445" w14:paraId="09E6E7AB" w14:textId="77777777" w:rsidTr="003B0EAF">
        <w:trPr>
          <w:trHeight w:val="284"/>
        </w:trPr>
        <w:tc>
          <w:tcPr>
            <w:tcW w:w="4232" w:type="pct"/>
            <w:vAlign w:val="center"/>
            <w:hideMark/>
          </w:tcPr>
          <w:p w14:paraId="741B1031" w14:textId="77777777" w:rsidR="00D55445" w:rsidRPr="00D55445" w:rsidRDefault="00D55445" w:rsidP="00D55445">
            <w:pPr>
              <w:jc w:val="right"/>
              <w:rPr>
                <w:rFonts w:cs="Arial"/>
                <w:color w:val="000000"/>
                <w:sz w:val="22"/>
                <w:szCs w:val="22"/>
              </w:rPr>
            </w:pPr>
            <w:r w:rsidRPr="00D55445">
              <w:rPr>
                <w:rFonts w:cs="Arial"/>
                <w:color w:val="000000"/>
                <w:sz w:val="22"/>
                <w:szCs w:val="22"/>
              </w:rPr>
              <w:t>Jätteenpolttolaitoksen CCS-hanke</w:t>
            </w:r>
          </w:p>
        </w:tc>
        <w:tc>
          <w:tcPr>
            <w:tcW w:w="768" w:type="pct"/>
            <w:noWrap/>
            <w:vAlign w:val="center"/>
            <w:hideMark/>
          </w:tcPr>
          <w:p w14:paraId="4D492395" w14:textId="77777777" w:rsidR="00D55445" w:rsidRPr="00D55445" w:rsidRDefault="00D55445" w:rsidP="00E05DF5">
            <w:pPr>
              <w:jc w:val="center"/>
              <w:rPr>
                <w:rFonts w:cs="Arial"/>
                <w:color w:val="000000"/>
                <w:sz w:val="22"/>
                <w:szCs w:val="22"/>
              </w:rPr>
            </w:pPr>
            <w:r w:rsidRPr="00D55445">
              <w:rPr>
                <w:rFonts w:cs="Arial"/>
                <w:color w:val="000000"/>
                <w:sz w:val="22"/>
                <w:szCs w:val="22"/>
              </w:rPr>
              <w:t>0,3</w:t>
            </w:r>
          </w:p>
        </w:tc>
      </w:tr>
      <w:tr w:rsidR="00D55445" w:rsidRPr="00D55445" w14:paraId="39B4BBD2" w14:textId="77777777" w:rsidTr="003B0EAF">
        <w:trPr>
          <w:trHeight w:val="284"/>
        </w:trPr>
        <w:tc>
          <w:tcPr>
            <w:tcW w:w="4232" w:type="pct"/>
            <w:vAlign w:val="center"/>
            <w:hideMark/>
          </w:tcPr>
          <w:p w14:paraId="7A524B1B" w14:textId="77777777" w:rsidR="00D55445" w:rsidRPr="00D55445" w:rsidRDefault="00D55445" w:rsidP="00D55445">
            <w:pPr>
              <w:jc w:val="right"/>
              <w:rPr>
                <w:rFonts w:cs="Arial"/>
                <w:color w:val="000000"/>
                <w:sz w:val="22"/>
                <w:szCs w:val="22"/>
              </w:rPr>
            </w:pPr>
            <w:r w:rsidRPr="00D55445">
              <w:rPr>
                <w:rFonts w:cs="Arial"/>
                <w:color w:val="000000"/>
                <w:sz w:val="22"/>
                <w:szCs w:val="22"/>
              </w:rPr>
              <w:t> </w:t>
            </w:r>
          </w:p>
        </w:tc>
        <w:tc>
          <w:tcPr>
            <w:tcW w:w="768" w:type="pct"/>
            <w:noWrap/>
            <w:vAlign w:val="center"/>
            <w:hideMark/>
          </w:tcPr>
          <w:p w14:paraId="42184FA8" w14:textId="3D3F4B81" w:rsidR="00D55445" w:rsidRPr="00D55445" w:rsidRDefault="00D55445" w:rsidP="00E05DF5">
            <w:pPr>
              <w:jc w:val="center"/>
              <w:rPr>
                <w:rFonts w:cs="Arial"/>
                <w:color w:val="000000"/>
                <w:sz w:val="22"/>
                <w:szCs w:val="22"/>
              </w:rPr>
            </w:pPr>
          </w:p>
        </w:tc>
      </w:tr>
      <w:tr w:rsidR="00D55445" w:rsidRPr="00D55445" w14:paraId="24783A3B" w14:textId="77777777" w:rsidTr="003B0EAF">
        <w:trPr>
          <w:trHeight w:val="284"/>
        </w:trPr>
        <w:tc>
          <w:tcPr>
            <w:tcW w:w="4232" w:type="pct"/>
            <w:shd w:val="clear" w:color="auto" w:fill="D9E9FF" w:themeFill="accent2" w:themeFillTint="33"/>
            <w:vAlign w:val="center"/>
            <w:hideMark/>
          </w:tcPr>
          <w:p w14:paraId="65962E52" w14:textId="77777777" w:rsidR="00D55445" w:rsidRPr="00D55445" w:rsidRDefault="00D55445" w:rsidP="00D55445">
            <w:pPr>
              <w:rPr>
                <w:rFonts w:cs="Arial"/>
                <w:b/>
                <w:bCs/>
                <w:color w:val="000000"/>
                <w:sz w:val="22"/>
                <w:szCs w:val="22"/>
                <w:u w:val="single"/>
              </w:rPr>
            </w:pPr>
            <w:r w:rsidRPr="00D55445">
              <w:rPr>
                <w:rFonts w:cs="Arial"/>
                <w:b/>
                <w:bCs/>
                <w:color w:val="000000"/>
                <w:sz w:val="22"/>
                <w:szCs w:val="22"/>
                <w:u w:val="single"/>
              </w:rPr>
              <w:t>yhteensä</w:t>
            </w:r>
          </w:p>
        </w:tc>
        <w:tc>
          <w:tcPr>
            <w:tcW w:w="768" w:type="pct"/>
            <w:shd w:val="clear" w:color="auto" w:fill="D9E9FF" w:themeFill="accent2" w:themeFillTint="33"/>
            <w:noWrap/>
            <w:vAlign w:val="center"/>
            <w:hideMark/>
          </w:tcPr>
          <w:p w14:paraId="4D7BE11F" w14:textId="23652677" w:rsidR="00D55445" w:rsidRPr="00676AAF" w:rsidRDefault="00D55445" w:rsidP="00E05DF5">
            <w:pPr>
              <w:jc w:val="center"/>
              <w:rPr>
                <w:rFonts w:cs="Arial"/>
                <w:b/>
                <w:color w:val="000000"/>
                <w:sz w:val="22"/>
                <w:szCs w:val="22"/>
                <w:u w:val="single"/>
              </w:rPr>
            </w:pPr>
            <w:r w:rsidRPr="00676AAF">
              <w:rPr>
                <w:rFonts w:cs="Arial"/>
                <w:b/>
                <w:color w:val="000000"/>
                <w:sz w:val="22"/>
                <w:szCs w:val="22"/>
                <w:u w:val="single"/>
              </w:rPr>
              <w:t>0,</w:t>
            </w:r>
            <w:r w:rsidRPr="00C87015">
              <w:rPr>
                <w:rFonts w:cs="Arial"/>
                <w:b/>
                <w:color w:val="000000"/>
                <w:sz w:val="22"/>
                <w:szCs w:val="22"/>
                <w:u w:val="single"/>
              </w:rPr>
              <w:t>9</w:t>
            </w:r>
            <w:r w:rsidR="00230D62" w:rsidRPr="00C87015">
              <w:rPr>
                <w:rFonts w:cs="Arial"/>
                <w:b/>
                <w:color w:val="000000"/>
                <w:sz w:val="22"/>
                <w:szCs w:val="22"/>
                <w:u w:val="single"/>
              </w:rPr>
              <w:t>5</w:t>
            </w:r>
          </w:p>
        </w:tc>
      </w:tr>
    </w:tbl>
    <w:p w14:paraId="1B42269E" w14:textId="4C8173F1" w:rsidR="00C7501B" w:rsidRDefault="0C49195B" w:rsidP="00C7501B">
      <w:pPr>
        <w:pStyle w:val="VNLeip1kappale"/>
        <w:rPr>
          <w:rFonts w:eastAsia="Arial" w:cs="Arial"/>
          <w:color w:val="000000" w:themeColor="text1"/>
        </w:rPr>
      </w:pPr>
      <w:r w:rsidRPr="5632D9ED">
        <w:rPr>
          <w:rFonts w:eastAsia="Arial" w:cs="Arial"/>
          <w:color w:val="000000" w:themeColor="text1"/>
        </w:rPr>
        <w:t xml:space="preserve">Toimenpideohjelman toimien ajoittuminen määritellään jatkosuunnittelussa niin, että taakanjakosektorin päästökehitys on mahdollisuuksien mukaan linjassa EU-velvoitteen mukaisten vuosittaisten päästökiintiöiden kanssa.  Kokonaisuudessaan toimet on mitoitettu niin, että niillä </w:t>
      </w:r>
      <w:r w:rsidR="095533E8" w:rsidRPr="4623EB4B">
        <w:rPr>
          <w:rFonts w:eastAsia="Arial" w:cs="Arial"/>
          <w:color w:val="000000" w:themeColor="text1"/>
        </w:rPr>
        <w:t>edistetään</w:t>
      </w:r>
      <w:r w:rsidRPr="5632D9ED">
        <w:rPr>
          <w:rFonts w:eastAsia="Arial" w:cs="Arial"/>
          <w:color w:val="000000" w:themeColor="text1"/>
        </w:rPr>
        <w:t xml:space="preserve"> luvussa 4 kuvattuja ilmastotavoitteita. Vuonna 2030 taakanjakosektorin päästöjen tulee olla enintään 17,1 Mt CO</w:t>
      </w:r>
      <w:r w:rsidRPr="004D5DE6">
        <w:rPr>
          <w:rFonts w:eastAsia="Arial" w:cs="Arial"/>
          <w:color w:val="000000" w:themeColor="text1"/>
          <w:vertAlign w:val="subscript"/>
        </w:rPr>
        <w:t>2</w:t>
      </w:r>
      <w:r w:rsidRPr="5632D9ED">
        <w:rPr>
          <w:rFonts w:eastAsia="Arial" w:cs="Arial"/>
          <w:color w:val="000000" w:themeColor="text1"/>
        </w:rPr>
        <w:t xml:space="preserve">-ekv. kun lähtökohtana pidetään Suomen 50 %:n päästövähennysvelvoitetta verrattuna vuoden 2005 päästötasoon. Tämän mukaan vuoden 2030 päästötason tulisi olla </w:t>
      </w:r>
      <w:r w:rsidRPr="00D27967">
        <w:rPr>
          <w:rFonts w:eastAsia="Arial" w:cs="Arial"/>
          <w:color w:val="000000" w:themeColor="text1"/>
        </w:rPr>
        <w:t>1,8 Mt</w:t>
      </w:r>
      <w:r w:rsidRPr="5632D9ED">
        <w:rPr>
          <w:rFonts w:eastAsia="Arial" w:cs="Arial"/>
          <w:color w:val="000000" w:themeColor="text1"/>
        </w:rPr>
        <w:t xml:space="preserve"> alle nykytoimiskenaarion mukaisen päästötason. Käytännössä näin ei kuitenkaan välttämättä tarvitse olla johtuen siitä, että Suomen taakanjakoasetuksen mukainen päästövähennysvelvoite on luonteeltaan kumulatiivinen ja koskee koko jaksoa 2021</w:t>
      </w:r>
      <w:r w:rsidR="1582CF93" w:rsidRPr="39369328">
        <w:rPr>
          <w:rFonts w:eastAsia="Arial" w:cs="Arial"/>
          <w:color w:val="000000" w:themeColor="text1"/>
        </w:rPr>
        <w:t>–</w:t>
      </w:r>
      <w:r w:rsidRPr="5632D9ED">
        <w:rPr>
          <w:rFonts w:eastAsia="Arial" w:cs="Arial"/>
          <w:color w:val="000000" w:themeColor="text1"/>
        </w:rPr>
        <w:t xml:space="preserve">2030. </w:t>
      </w:r>
    </w:p>
    <w:p w14:paraId="53D02AAD" w14:textId="1B1D61CB" w:rsidR="00C7501B" w:rsidRPr="00E528F4" w:rsidRDefault="00C7501B" w:rsidP="00C7501B">
      <w:pPr>
        <w:pStyle w:val="VNLeip1kappale"/>
        <w:rPr>
          <w:rFonts w:eastAsia="Arial" w:cs="Arial"/>
          <w:color w:val="000000" w:themeColor="text1"/>
        </w:rPr>
      </w:pPr>
      <w:proofErr w:type="gramStart"/>
      <w:r w:rsidRPr="0614320A">
        <w:rPr>
          <w:rFonts w:eastAsia="Arial" w:cs="Arial"/>
          <w:color w:val="000000" w:themeColor="text1"/>
        </w:rPr>
        <w:t>Tämän hetkisen</w:t>
      </w:r>
      <w:proofErr w:type="gramEnd"/>
      <w:r w:rsidRPr="0614320A">
        <w:rPr>
          <w:rFonts w:eastAsia="Arial" w:cs="Arial"/>
          <w:color w:val="000000" w:themeColor="text1"/>
        </w:rPr>
        <w:t xml:space="preserve"> arvion perusteella toimenpideohjelman toimilla saadaan vuonna 2030 aikaan nettona </w:t>
      </w:r>
      <w:r w:rsidRPr="00E528F4">
        <w:rPr>
          <w:rFonts w:eastAsia="Arial" w:cs="Arial"/>
          <w:color w:val="000000" w:themeColor="text1"/>
        </w:rPr>
        <w:t>yhteensä 0,</w:t>
      </w:r>
      <w:r w:rsidR="0095176C" w:rsidRPr="00E528F4">
        <w:rPr>
          <w:rFonts w:eastAsia="Arial" w:cs="Arial"/>
          <w:color w:val="000000" w:themeColor="text1"/>
        </w:rPr>
        <w:t>6</w:t>
      </w:r>
      <w:r w:rsidRPr="00E528F4">
        <w:rPr>
          <w:rFonts w:eastAsia="Arial" w:cs="Arial"/>
          <w:color w:val="000000" w:themeColor="text1"/>
        </w:rPr>
        <w:t xml:space="preserve"> </w:t>
      </w:r>
      <w:r w:rsidRPr="0614320A">
        <w:rPr>
          <w:rFonts w:eastAsia="Arial" w:cs="Arial"/>
          <w:color w:val="000000" w:themeColor="text1"/>
        </w:rPr>
        <w:t xml:space="preserve">miljoonan tonnin lisäiset päästövähennykset taakanjakosektorilla nykytoimiskenaarionskenaarioon verrattuna, kun huomioidaan myös jo päätetyt liikenteen päästöjä kasvattavat toimet. Tämän päästövähennysmäärän lisäksi voidaan ottaa huomioon ETS-jousto siten, että yhteenlaskettu laskennallinen päästövähennys vuoden 2030 tasolla </w:t>
      </w:r>
      <w:r w:rsidRPr="00E528F4">
        <w:rPr>
          <w:rFonts w:eastAsia="Arial" w:cs="Arial"/>
          <w:color w:val="000000" w:themeColor="text1"/>
        </w:rPr>
        <w:t>on 1,</w:t>
      </w:r>
      <w:r w:rsidR="00405E41" w:rsidRPr="00E528F4">
        <w:rPr>
          <w:rFonts w:eastAsia="Arial" w:cs="Arial"/>
          <w:color w:val="000000" w:themeColor="text1"/>
        </w:rPr>
        <w:t>3</w:t>
      </w:r>
      <w:r w:rsidRPr="00E528F4">
        <w:rPr>
          <w:rFonts w:eastAsia="Arial" w:cs="Arial"/>
          <w:color w:val="000000" w:themeColor="text1"/>
        </w:rPr>
        <w:t xml:space="preserve"> Mt, eli 0,7 Mt ETS-jousto ja 0,</w:t>
      </w:r>
      <w:r w:rsidR="00405E41" w:rsidRPr="00E528F4">
        <w:rPr>
          <w:rFonts w:eastAsia="Arial" w:cs="Arial"/>
          <w:color w:val="000000" w:themeColor="text1"/>
        </w:rPr>
        <w:t>6</w:t>
      </w:r>
      <w:r w:rsidRPr="00E528F4">
        <w:rPr>
          <w:rFonts w:eastAsia="Arial" w:cs="Arial"/>
          <w:color w:val="000000" w:themeColor="text1"/>
        </w:rPr>
        <w:t xml:space="preserve"> Mt</w:t>
      </w:r>
      <w:r w:rsidRPr="0614320A">
        <w:rPr>
          <w:rFonts w:eastAsia="Arial" w:cs="Arial"/>
          <w:color w:val="000000" w:themeColor="text1"/>
        </w:rPr>
        <w:t xml:space="preserve"> päästövähennys. Lisäksi voidaan hyödyntää aikaisempien vuosien ylijäämäyksiköitä eli </w:t>
      </w:r>
      <w:proofErr w:type="spellStart"/>
      <w:r w:rsidRPr="0614320A">
        <w:rPr>
          <w:rFonts w:eastAsia="Arial" w:cs="Arial"/>
          <w:color w:val="000000" w:themeColor="text1"/>
        </w:rPr>
        <w:t>pankitusta</w:t>
      </w:r>
      <w:proofErr w:type="spellEnd"/>
      <w:r w:rsidRPr="0614320A">
        <w:rPr>
          <w:rFonts w:eastAsia="Arial" w:cs="Arial"/>
          <w:color w:val="000000" w:themeColor="text1"/>
        </w:rPr>
        <w:t xml:space="preserve"> tavoitteen saavuttamiseksi. </w:t>
      </w:r>
      <w:r w:rsidRPr="00E528F4">
        <w:rPr>
          <w:rFonts w:eastAsia="Arial" w:cs="Arial"/>
          <w:color w:val="000000" w:themeColor="text1"/>
        </w:rPr>
        <w:t>Näin ollen vuoden 2030 50 %:n päästövähennysvelvoite voidaan todennäköis</w:t>
      </w:r>
      <w:r w:rsidR="28DAB1F2" w:rsidRPr="00E528F4">
        <w:rPr>
          <w:rFonts w:eastAsia="Arial" w:cs="Arial"/>
          <w:color w:val="000000" w:themeColor="text1"/>
        </w:rPr>
        <w:t>esti</w:t>
      </w:r>
      <w:r w:rsidRPr="00E528F4">
        <w:rPr>
          <w:rFonts w:eastAsia="Arial" w:cs="Arial"/>
          <w:color w:val="000000" w:themeColor="text1"/>
        </w:rPr>
        <w:t xml:space="preserve"> saavuttaa pienellä marginaalilla ottaen huomioon käytössä olevat joustot.</w:t>
      </w:r>
      <w:r w:rsidR="07FAADE5" w:rsidRPr="00E528F4">
        <w:rPr>
          <w:rFonts w:eastAsia="Arial" w:cs="Arial"/>
          <w:color w:val="000000" w:themeColor="text1"/>
        </w:rPr>
        <w:t xml:space="preserve"> Lopputulos riippuu kuitenkin ratkaisevalla tavalla siitä</w:t>
      </w:r>
      <w:r w:rsidR="5A6307AF" w:rsidRPr="00E528F4">
        <w:rPr>
          <w:rFonts w:eastAsia="Arial" w:cs="Arial"/>
          <w:color w:val="000000" w:themeColor="text1"/>
        </w:rPr>
        <w:t>,</w:t>
      </w:r>
      <w:r w:rsidR="07FAADE5" w:rsidRPr="00E528F4">
        <w:rPr>
          <w:rFonts w:eastAsia="Arial" w:cs="Arial"/>
          <w:color w:val="000000" w:themeColor="text1"/>
        </w:rPr>
        <w:t xml:space="preserve"> kuinka paljon </w:t>
      </w:r>
      <w:r w:rsidR="26574645" w:rsidRPr="00E528F4">
        <w:rPr>
          <w:rFonts w:eastAsia="Arial" w:cs="Arial"/>
          <w:color w:val="000000" w:themeColor="text1"/>
        </w:rPr>
        <w:t>aika</w:t>
      </w:r>
      <w:r w:rsidR="2EF1831F" w:rsidRPr="00E528F4">
        <w:rPr>
          <w:rFonts w:eastAsia="Arial" w:cs="Arial"/>
          <w:color w:val="000000" w:themeColor="text1"/>
        </w:rPr>
        <w:t>i</w:t>
      </w:r>
      <w:r w:rsidR="26574645" w:rsidRPr="00E528F4">
        <w:rPr>
          <w:rFonts w:eastAsia="Arial" w:cs="Arial"/>
          <w:color w:val="000000" w:themeColor="text1"/>
        </w:rPr>
        <w:t xml:space="preserve">sempien vuosien </w:t>
      </w:r>
      <w:r w:rsidR="07FAADE5" w:rsidRPr="00E528F4">
        <w:rPr>
          <w:rFonts w:eastAsia="Arial" w:cs="Arial"/>
          <w:color w:val="000000" w:themeColor="text1"/>
        </w:rPr>
        <w:t>ylijäämäyksiköitä on jäljel</w:t>
      </w:r>
      <w:r w:rsidR="2E13BD40" w:rsidRPr="00E528F4">
        <w:rPr>
          <w:rFonts w:eastAsia="Arial" w:cs="Arial"/>
          <w:color w:val="000000" w:themeColor="text1"/>
        </w:rPr>
        <w:t>lä vuonna 2030.</w:t>
      </w:r>
      <w:r w:rsidR="2E13BD40" w:rsidRPr="72D359BC">
        <w:rPr>
          <w:rFonts w:eastAsia="Arial" w:cs="Arial"/>
          <w:color w:val="000000" w:themeColor="text1"/>
        </w:rPr>
        <w:t xml:space="preserve"> </w:t>
      </w:r>
    </w:p>
    <w:p w14:paraId="33DCFE52" w14:textId="77777777" w:rsidR="004D5DE6" w:rsidRPr="00E528F4" w:rsidRDefault="004D5DE6" w:rsidP="00C7501B">
      <w:pPr>
        <w:pStyle w:val="VNLeip1kappale"/>
        <w:rPr>
          <w:rFonts w:eastAsia="Arial" w:cs="Arial"/>
          <w:color w:val="000000" w:themeColor="text1"/>
        </w:rPr>
      </w:pPr>
    </w:p>
    <w:p w14:paraId="44536DAA" w14:textId="5DE7E0A8" w:rsidR="006F6F09" w:rsidRDefault="006F6F09" w:rsidP="000674BC">
      <w:pPr>
        <w:pStyle w:val="Kuvaotsikko"/>
        <w:rPr>
          <w:rFonts w:eastAsia="Arial" w:cs="Arial"/>
          <w:color w:val="000000" w:themeColor="text1"/>
        </w:rPr>
      </w:pPr>
      <w:r>
        <w:rPr>
          <w:rFonts w:eastAsia="Arial"/>
        </w:rPr>
        <w:t xml:space="preserve">Taulukko </w:t>
      </w:r>
      <w:r w:rsidR="000674BC">
        <w:fldChar w:fldCharType="begin"/>
      </w:r>
      <w:r w:rsidR="000674BC">
        <w:instrText xml:space="preserve"> SEQ Taulukko \* ARABIC </w:instrText>
      </w:r>
      <w:r w:rsidR="000674BC">
        <w:fldChar w:fldCharType="separate"/>
      </w:r>
      <w:r w:rsidR="008C278F">
        <w:rPr>
          <w:noProof/>
        </w:rPr>
        <w:t>11</w:t>
      </w:r>
      <w:r w:rsidR="000674BC">
        <w:fldChar w:fldCharType="end"/>
      </w:r>
      <w:r w:rsidR="000674BC">
        <w:t>.</w:t>
      </w:r>
      <w:r>
        <w:rPr>
          <w:rFonts w:eastAsia="Arial"/>
        </w:rPr>
        <w:t xml:space="preserve"> </w:t>
      </w:r>
      <w:r w:rsidRPr="000674BC">
        <w:rPr>
          <w:rFonts w:eastAsia="Arial" w:cs="Arial"/>
        </w:rPr>
        <w:t>Toimenpideohjelman yhteenlaskettu päästövähennysvaikutus vuonna 2030 verrattuna KEITO-</w:t>
      </w:r>
      <w:r w:rsidR="004D37EE">
        <w:rPr>
          <w:rFonts w:eastAsia="Arial" w:cs="Arial"/>
        </w:rPr>
        <w:t>työn</w:t>
      </w:r>
      <w:r w:rsidRPr="000674BC">
        <w:rPr>
          <w:rFonts w:eastAsia="Arial" w:cs="Arial"/>
        </w:rPr>
        <w:t xml:space="preserve"> nykytoimiskenaarioon.</w:t>
      </w:r>
    </w:p>
    <w:tbl>
      <w:tblPr>
        <w:tblW w:w="8222" w:type="dxa"/>
        <w:tblCellMar>
          <w:left w:w="70" w:type="dxa"/>
          <w:right w:w="70" w:type="dxa"/>
        </w:tblCellMar>
        <w:tblLook w:val="04A0" w:firstRow="1" w:lastRow="0" w:firstColumn="1" w:lastColumn="0" w:noHBand="0" w:noVBand="1"/>
      </w:tblPr>
      <w:tblGrid>
        <w:gridCol w:w="3336"/>
        <w:gridCol w:w="1336"/>
        <w:gridCol w:w="1795"/>
        <w:gridCol w:w="1693"/>
        <w:gridCol w:w="62"/>
      </w:tblGrid>
      <w:tr w:rsidR="003A2FB9" w14:paraId="4B00DEE8" w14:textId="77777777" w:rsidTr="003B0EAF">
        <w:trPr>
          <w:gridAfter w:val="1"/>
          <w:wAfter w:w="62" w:type="dxa"/>
          <w:trHeight w:val="360"/>
        </w:trPr>
        <w:tc>
          <w:tcPr>
            <w:tcW w:w="3336" w:type="dxa"/>
            <w:tcBorders>
              <w:top w:val="nil"/>
              <w:left w:val="nil"/>
              <w:bottom w:val="nil"/>
              <w:right w:val="nil"/>
            </w:tcBorders>
            <w:noWrap/>
            <w:vAlign w:val="center"/>
            <w:hideMark/>
          </w:tcPr>
          <w:p w14:paraId="56FCF6ED" w14:textId="77777777" w:rsidR="003A2FB9" w:rsidRDefault="003A2FB9"/>
        </w:tc>
        <w:tc>
          <w:tcPr>
            <w:tcW w:w="1336" w:type="dxa"/>
            <w:tcBorders>
              <w:top w:val="nil"/>
              <w:left w:val="nil"/>
              <w:bottom w:val="nil"/>
              <w:right w:val="nil"/>
            </w:tcBorders>
            <w:noWrap/>
            <w:vAlign w:val="center"/>
            <w:hideMark/>
          </w:tcPr>
          <w:p w14:paraId="4199C261" w14:textId="77777777" w:rsidR="003A2FB9" w:rsidRDefault="003A2FB9"/>
        </w:tc>
        <w:tc>
          <w:tcPr>
            <w:tcW w:w="3488" w:type="dxa"/>
            <w:gridSpan w:val="2"/>
            <w:tcBorders>
              <w:top w:val="single" w:sz="4" w:space="0" w:color="auto"/>
              <w:left w:val="single" w:sz="4" w:space="0" w:color="auto"/>
              <w:bottom w:val="single" w:sz="4" w:space="0" w:color="auto"/>
              <w:right w:val="nil"/>
            </w:tcBorders>
            <w:shd w:val="clear" w:color="000000" w:fill="B9FFFC"/>
            <w:noWrap/>
            <w:vAlign w:val="center"/>
            <w:hideMark/>
          </w:tcPr>
          <w:p w14:paraId="42C2ECBD" w14:textId="77777777" w:rsidR="003A2FB9" w:rsidRDefault="003A2FB9">
            <w:pPr>
              <w:jc w:val="center"/>
              <w:rPr>
                <w:rFonts w:cs="Arial"/>
                <w:b/>
                <w:bCs/>
                <w:color w:val="000000"/>
                <w:sz w:val="28"/>
                <w:szCs w:val="28"/>
              </w:rPr>
            </w:pPr>
            <w:r>
              <w:rPr>
                <w:rFonts w:cs="Arial"/>
                <w:b/>
                <w:bCs/>
                <w:color w:val="000000"/>
                <w:sz w:val="28"/>
                <w:szCs w:val="28"/>
              </w:rPr>
              <w:t>2030</w:t>
            </w:r>
          </w:p>
        </w:tc>
      </w:tr>
      <w:tr w:rsidR="003A2FB9" w14:paraId="3A16295F" w14:textId="77777777" w:rsidTr="003B0EAF">
        <w:trPr>
          <w:gridAfter w:val="1"/>
          <w:wAfter w:w="62" w:type="dxa"/>
          <w:trHeight w:val="280"/>
        </w:trPr>
        <w:tc>
          <w:tcPr>
            <w:tcW w:w="3336" w:type="dxa"/>
            <w:tcBorders>
              <w:top w:val="nil"/>
              <w:left w:val="nil"/>
              <w:bottom w:val="nil"/>
              <w:right w:val="nil"/>
            </w:tcBorders>
            <w:noWrap/>
            <w:vAlign w:val="center"/>
            <w:hideMark/>
          </w:tcPr>
          <w:p w14:paraId="7B7458B9" w14:textId="77777777" w:rsidR="003A2FB9" w:rsidRDefault="003A2FB9">
            <w:pPr>
              <w:jc w:val="center"/>
              <w:rPr>
                <w:rFonts w:cs="Arial"/>
                <w:b/>
                <w:bCs/>
                <w:color w:val="000000"/>
                <w:sz w:val="28"/>
                <w:szCs w:val="28"/>
              </w:rPr>
            </w:pPr>
          </w:p>
        </w:tc>
        <w:tc>
          <w:tcPr>
            <w:tcW w:w="1336" w:type="dxa"/>
            <w:tcBorders>
              <w:top w:val="single" w:sz="4" w:space="0" w:color="auto"/>
              <w:left w:val="single" w:sz="4" w:space="0" w:color="auto"/>
              <w:bottom w:val="nil"/>
              <w:right w:val="single" w:sz="4" w:space="0" w:color="auto"/>
            </w:tcBorders>
            <w:shd w:val="clear" w:color="000000" w:fill="AED0FF"/>
            <w:noWrap/>
            <w:vAlign w:val="center"/>
            <w:hideMark/>
          </w:tcPr>
          <w:p w14:paraId="7ACAFEEC" w14:textId="77777777" w:rsidR="00F55053" w:rsidRDefault="003A2FB9">
            <w:pPr>
              <w:rPr>
                <w:rFonts w:cs="Arial"/>
                <w:b/>
                <w:bCs/>
                <w:color w:val="000000"/>
                <w:sz w:val="22"/>
                <w:szCs w:val="22"/>
              </w:rPr>
            </w:pPr>
            <w:r>
              <w:rPr>
                <w:rFonts w:cs="Arial"/>
                <w:b/>
                <w:bCs/>
                <w:color w:val="000000"/>
                <w:sz w:val="22"/>
                <w:szCs w:val="22"/>
              </w:rPr>
              <w:t xml:space="preserve">2023 </w:t>
            </w:r>
          </w:p>
          <w:p w14:paraId="397CA75F" w14:textId="54091081" w:rsidR="003A2FB9" w:rsidRDefault="003A2FB9">
            <w:pPr>
              <w:rPr>
                <w:rFonts w:cs="Arial"/>
                <w:b/>
                <w:bCs/>
                <w:color w:val="000000"/>
                <w:sz w:val="22"/>
                <w:szCs w:val="22"/>
              </w:rPr>
            </w:pPr>
            <w:r>
              <w:rPr>
                <w:rFonts w:cs="Arial"/>
                <w:b/>
                <w:bCs/>
                <w:color w:val="000000"/>
                <w:sz w:val="22"/>
                <w:szCs w:val="22"/>
              </w:rPr>
              <w:t>tilasto</w:t>
            </w:r>
          </w:p>
        </w:tc>
        <w:tc>
          <w:tcPr>
            <w:tcW w:w="1795" w:type="dxa"/>
            <w:tcBorders>
              <w:top w:val="nil"/>
              <w:left w:val="nil"/>
              <w:bottom w:val="nil"/>
              <w:right w:val="nil"/>
            </w:tcBorders>
            <w:shd w:val="clear" w:color="000000" w:fill="B9FFFC"/>
            <w:vAlign w:val="center"/>
            <w:hideMark/>
          </w:tcPr>
          <w:p w14:paraId="7E2DAC38" w14:textId="77777777" w:rsidR="003A2FB9" w:rsidRDefault="003A2FB9">
            <w:pPr>
              <w:jc w:val="center"/>
              <w:rPr>
                <w:rFonts w:cs="Arial"/>
                <w:b/>
                <w:bCs/>
                <w:color w:val="000000"/>
                <w:sz w:val="22"/>
                <w:szCs w:val="22"/>
              </w:rPr>
            </w:pPr>
            <w:proofErr w:type="gramStart"/>
            <w:r>
              <w:rPr>
                <w:rFonts w:cs="Arial"/>
                <w:b/>
                <w:bCs/>
                <w:color w:val="000000"/>
                <w:sz w:val="22"/>
                <w:szCs w:val="22"/>
              </w:rPr>
              <w:t>KEITO  WEM</w:t>
            </w:r>
            <w:proofErr w:type="gramEnd"/>
          </w:p>
        </w:tc>
        <w:tc>
          <w:tcPr>
            <w:tcW w:w="1693" w:type="dxa"/>
            <w:tcBorders>
              <w:top w:val="nil"/>
              <w:left w:val="single" w:sz="4" w:space="0" w:color="auto"/>
              <w:bottom w:val="nil"/>
              <w:right w:val="single" w:sz="4" w:space="0" w:color="auto"/>
            </w:tcBorders>
            <w:shd w:val="clear" w:color="000000" w:fill="B9FFFC"/>
            <w:vAlign w:val="center"/>
            <w:hideMark/>
          </w:tcPr>
          <w:p w14:paraId="3934CFD6" w14:textId="77777777" w:rsidR="003A2FB9" w:rsidRDefault="003A2FB9">
            <w:pPr>
              <w:jc w:val="center"/>
              <w:rPr>
                <w:rFonts w:cs="Arial"/>
                <w:b/>
                <w:bCs/>
                <w:color w:val="000000"/>
                <w:sz w:val="22"/>
                <w:szCs w:val="22"/>
              </w:rPr>
            </w:pPr>
            <w:r>
              <w:rPr>
                <w:rFonts w:cs="Arial"/>
                <w:b/>
                <w:bCs/>
                <w:color w:val="000000"/>
                <w:sz w:val="22"/>
                <w:szCs w:val="22"/>
              </w:rPr>
              <w:t>KAISU3</w:t>
            </w:r>
          </w:p>
        </w:tc>
      </w:tr>
      <w:tr w:rsidR="003A2FB9" w14:paraId="285DBD5E" w14:textId="77777777" w:rsidTr="003B0EAF">
        <w:trPr>
          <w:gridAfter w:val="1"/>
          <w:wAfter w:w="62" w:type="dxa"/>
          <w:trHeight w:val="280"/>
        </w:trPr>
        <w:tc>
          <w:tcPr>
            <w:tcW w:w="3336" w:type="dxa"/>
            <w:tcBorders>
              <w:top w:val="single" w:sz="4" w:space="0" w:color="auto"/>
              <w:left w:val="single" w:sz="4" w:space="0" w:color="auto"/>
              <w:bottom w:val="nil"/>
              <w:right w:val="nil"/>
            </w:tcBorders>
            <w:noWrap/>
            <w:vAlign w:val="center"/>
            <w:hideMark/>
          </w:tcPr>
          <w:p w14:paraId="7F3DF92D" w14:textId="77777777" w:rsidR="003A2FB9" w:rsidRDefault="003A2FB9">
            <w:pPr>
              <w:rPr>
                <w:rFonts w:cs="Arial"/>
                <w:color w:val="000000"/>
                <w:sz w:val="22"/>
                <w:szCs w:val="22"/>
              </w:rPr>
            </w:pPr>
            <w:r>
              <w:rPr>
                <w:rFonts w:cs="Arial"/>
                <w:color w:val="000000"/>
                <w:sz w:val="22"/>
                <w:szCs w:val="22"/>
              </w:rPr>
              <w:t>Kotimaan liikenne pl. lentoliikenne</w:t>
            </w:r>
          </w:p>
        </w:tc>
        <w:tc>
          <w:tcPr>
            <w:tcW w:w="1336" w:type="dxa"/>
            <w:tcBorders>
              <w:top w:val="single" w:sz="4" w:space="0" w:color="auto"/>
              <w:left w:val="single" w:sz="4" w:space="0" w:color="auto"/>
              <w:bottom w:val="nil"/>
              <w:right w:val="nil"/>
            </w:tcBorders>
            <w:noWrap/>
            <w:vAlign w:val="center"/>
            <w:hideMark/>
          </w:tcPr>
          <w:p w14:paraId="078D211F" w14:textId="77777777" w:rsidR="003A2FB9" w:rsidRDefault="003A2FB9">
            <w:pPr>
              <w:jc w:val="center"/>
              <w:rPr>
                <w:rFonts w:cs="Arial"/>
                <w:color w:val="000000"/>
                <w:sz w:val="22"/>
                <w:szCs w:val="22"/>
              </w:rPr>
            </w:pPr>
            <w:r>
              <w:rPr>
                <w:rFonts w:cs="Arial"/>
                <w:color w:val="000000"/>
                <w:sz w:val="22"/>
                <w:szCs w:val="22"/>
              </w:rPr>
              <w:t>9,3</w:t>
            </w:r>
          </w:p>
        </w:tc>
        <w:tc>
          <w:tcPr>
            <w:tcW w:w="1795" w:type="dxa"/>
            <w:tcBorders>
              <w:top w:val="single" w:sz="4" w:space="0" w:color="auto"/>
              <w:left w:val="single" w:sz="4" w:space="0" w:color="auto"/>
              <w:bottom w:val="nil"/>
              <w:right w:val="nil"/>
            </w:tcBorders>
            <w:noWrap/>
            <w:vAlign w:val="center"/>
            <w:hideMark/>
          </w:tcPr>
          <w:p w14:paraId="4C3C59C8" w14:textId="77777777" w:rsidR="003A2FB9" w:rsidRDefault="003A2FB9">
            <w:pPr>
              <w:jc w:val="center"/>
              <w:rPr>
                <w:rFonts w:cs="Arial"/>
                <w:color w:val="000000"/>
                <w:sz w:val="22"/>
                <w:szCs w:val="22"/>
              </w:rPr>
            </w:pPr>
            <w:r>
              <w:rPr>
                <w:rFonts w:cs="Arial"/>
                <w:color w:val="000000"/>
                <w:sz w:val="22"/>
                <w:szCs w:val="22"/>
              </w:rPr>
              <w:t>6,2</w:t>
            </w:r>
          </w:p>
        </w:tc>
        <w:tc>
          <w:tcPr>
            <w:tcW w:w="1693" w:type="dxa"/>
            <w:tcBorders>
              <w:top w:val="single" w:sz="4" w:space="0" w:color="auto"/>
              <w:left w:val="single" w:sz="4" w:space="0" w:color="auto"/>
              <w:bottom w:val="nil"/>
              <w:right w:val="single" w:sz="4" w:space="0" w:color="auto"/>
            </w:tcBorders>
            <w:noWrap/>
            <w:vAlign w:val="center"/>
            <w:hideMark/>
          </w:tcPr>
          <w:p w14:paraId="424D3E59" w14:textId="77777777" w:rsidR="003A2FB9" w:rsidRDefault="003A2FB9">
            <w:pPr>
              <w:jc w:val="center"/>
              <w:rPr>
                <w:rFonts w:cs="Arial"/>
                <w:color w:val="000000"/>
                <w:sz w:val="22"/>
                <w:szCs w:val="22"/>
              </w:rPr>
            </w:pPr>
            <w:r>
              <w:rPr>
                <w:rFonts w:cs="Arial"/>
                <w:color w:val="000000"/>
                <w:sz w:val="22"/>
                <w:szCs w:val="22"/>
              </w:rPr>
              <w:t>6,4*</w:t>
            </w:r>
          </w:p>
        </w:tc>
      </w:tr>
      <w:tr w:rsidR="003A2FB9" w14:paraId="322702C2" w14:textId="77777777" w:rsidTr="003B0EAF">
        <w:trPr>
          <w:gridAfter w:val="1"/>
          <w:wAfter w:w="62" w:type="dxa"/>
          <w:trHeight w:val="280"/>
        </w:trPr>
        <w:tc>
          <w:tcPr>
            <w:tcW w:w="3336" w:type="dxa"/>
            <w:tcBorders>
              <w:top w:val="nil"/>
              <w:left w:val="single" w:sz="4" w:space="0" w:color="auto"/>
              <w:bottom w:val="nil"/>
              <w:right w:val="nil"/>
            </w:tcBorders>
            <w:noWrap/>
            <w:vAlign w:val="center"/>
            <w:hideMark/>
          </w:tcPr>
          <w:p w14:paraId="2F367B3E" w14:textId="77777777" w:rsidR="003A2FB9" w:rsidRDefault="003A2FB9">
            <w:pPr>
              <w:rPr>
                <w:rFonts w:cs="Arial"/>
                <w:color w:val="000000"/>
                <w:sz w:val="22"/>
                <w:szCs w:val="22"/>
              </w:rPr>
            </w:pPr>
            <w:r>
              <w:rPr>
                <w:rFonts w:cs="Arial"/>
                <w:color w:val="000000"/>
                <w:sz w:val="22"/>
                <w:szCs w:val="22"/>
              </w:rPr>
              <w:t>Työkoneet</w:t>
            </w:r>
          </w:p>
        </w:tc>
        <w:tc>
          <w:tcPr>
            <w:tcW w:w="1336" w:type="dxa"/>
            <w:tcBorders>
              <w:top w:val="nil"/>
              <w:left w:val="single" w:sz="4" w:space="0" w:color="auto"/>
              <w:bottom w:val="nil"/>
              <w:right w:val="nil"/>
            </w:tcBorders>
            <w:noWrap/>
            <w:vAlign w:val="center"/>
            <w:hideMark/>
          </w:tcPr>
          <w:p w14:paraId="5822C6EC" w14:textId="77777777" w:rsidR="003A2FB9" w:rsidRDefault="003A2FB9">
            <w:pPr>
              <w:jc w:val="center"/>
              <w:rPr>
                <w:rFonts w:cs="Arial"/>
                <w:color w:val="000000"/>
                <w:sz w:val="22"/>
                <w:szCs w:val="22"/>
              </w:rPr>
            </w:pPr>
            <w:r>
              <w:rPr>
                <w:rFonts w:cs="Arial"/>
                <w:color w:val="000000"/>
                <w:sz w:val="22"/>
                <w:szCs w:val="22"/>
              </w:rPr>
              <w:t>2,4</w:t>
            </w:r>
          </w:p>
        </w:tc>
        <w:tc>
          <w:tcPr>
            <w:tcW w:w="1795" w:type="dxa"/>
            <w:tcBorders>
              <w:top w:val="nil"/>
              <w:left w:val="single" w:sz="4" w:space="0" w:color="auto"/>
              <w:bottom w:val="nil"/>
              <w:right w:val="nil"/>
            </w:tcBorders>
            <w:noWrap/>
            <w:vAlign w:val="center"/>
            <w:hideMark/>
          </w:tcPr>
          <w:p w14:paraId="49363DED" w14:textId="77777777" w:rsidR="003A2FB9" w:rsidRDefault="003A2FB9">
            <w:pPr>
              <w:jc w:val="center"/>
              <w:rPr>
                <w:rFonts w:cs="Arial"/>
                <w:color w:val="000000"/>
                <w:sz w:val="22"/>
                <w:szCs w:val="22"/>
              </w:rPr>
            </w:pPr>
            <w:r>
              <w:rPr>
                <w:rFonts w:cs="Arial"/>
                <w:color w:val="000000"/>
                <w:sz w:val="22"/>
                <w:szCs w:val="22"/>
              </w:rPr>
              <w:t>2,3</w:t>
            </w:r>
          </w:p>
        </w:tc>
        <w:tc>
          <w:tcPr>
            <w:tcW w:w="1693" w:type="dxa"/>
            <w:tcBorders>
              <w:top w:val="nil"/>
              <w:left w:val="single" w:sz="4" w:space="0" w:color="auto"/>
              <w:bottom w:val="nil"/>
              <w:right w:val="single" w:sz="4" w:space="0" w:color="auto"/>
            </w:tcBorders>
            <w:noWrap/>
            <w:vAlign w:val="center"/>
            <w:hideMark/>
          </w:tcPr>
          <w:p w14:paraId="40F2800B" w14:textId="77777777" w:rsidR="003A2FB9" w:rsidRDefault="003A2FB9">
            <w:pPr>
              <w:jc w:val="center"/>
              <w:rPr>
                <w:rFonts w:cs="Arial"/>
                <w:color w:val="000000"/>
                <w:sz w:val="22"/>
                <w:szCs w:val="22"/>
              </w:rPr>
            </w:pPr>
            <w:r>
              <w:rPr>
                <w:rFonts w:cs="Arial"/>
                <w:color w:val="000000"/>
                <w:sz w:val="22"/>
                <w:szCs w:val="22"/>
              </w:rPr>
              <w:t>2,1</w:t>
            </w:r>
          </w:p>
        </w:tc>
      </w:tr>
      <w:tr w:rsidR="003A2FB9" w14:paraId="30602779" w14:textId="77777777" w:rsidTr="003B0EAF">
        <w:trPr>
          <w:gridAfter w:val="1"/>
          <w:wAfter w:w="62" w:type="dxa"/>
          <w:trHeight w:val="280"/>
        </w:trPr>
        <w:tc>
          <w:tcPr>
            <w:tcW w:w="3336" w:type="dxa"/>
            <w:tcBorders>
              <w:top w:val="nil"/>
              <w:left w:val="single" w:sz="4" w:space="0" w:color="auto"/>
              <w:bottom w:val="nil"/>
              <w:right w:val="nil"/>
            </w:tcBorders>
            <w:noWrap/>
            <w:vAlign w:val="center"/>
            <w:hideMark/>
          </w:tcPr>
          <w:p w14:paraId="1DA1A15F" w14:textId="77777777" w:rsidR="003A2FB9" w:rsidRDefault="003A2FB9">
            <w:pPr>
              <w:rPr>
                <w:rFonts w:cs="Arial"/>
                <w:color w:val="000000"/>
                <w:sz w:val="22"/>
                <w:szCs w:val="22"/>
              </w:rPr>
            </w:pPr>
            <w:r>
              <w:rPr>
                <w:rFonts w:cs="Arial"/>
                <w:color w:val="000000"/>
                <w:sz w:val="22"/>
                <w:szCs w:val="22"/>
              </w:rPr>
              <w:t>Rakennusten erillislämmitys</w:t>
            </w:r>
          </w:p>
        </w:tc>
        <w:tc>
          <w:tcPr>
            <w:tcW w:w="1336" w:type="dxa"/>
            <w:tcBorders>
              <w:top w:val="nil"/>
              <w:left w:val="single" w:sz="4" w:space="0" w:color="auto"/>
              <w:bottom w:val="nil"/>
              <w:right w:val="nil"/>
            </w:tcBorders>
            <w:noWrap/>
            <w:vAlign w:val="center"/>
            <w:hideMark/>
          </w:tcPr>
          <w:p w14:paraId="5CB88BA2" w14:textId="77777777" w:rsidR="003A2FB9" w:rsidRDefault="003A2FB9">
            <w:pPr>
              <w:jc w:val="center"/>
              <w:rPr>
                <w:rFonts w:cs="Arial"/>
                <w:color w:val="000000"/>
                <w:sz w:val="22"/>
                <w:szCs w:val="22"/>
              </w:rPr>
            </w:pPr>
            <w:r>
              <w:rPr>
                <w:rFonts w:cs="Arial"/>
                <w:color w:val="000000"/>
                <w:sz w:val="22"/>
                <w:szCs w:val="22"/>
              </w:rPr>
              <w:t>2,2</w:t>
            </w:r>
          </w:p>
        </w:tc>
        <w:tc>
          <w:tcPr>
            <w:tcW w:w="1795" w:type="dxa"/>
            <w:tcBorders>
              <w:top w:val="nil"/>
              <w:left w:val="single" w:sz="4" w:space="0" w:color="auto"/>
              <w:bottom w:val="nil"/>
              <w:right w:val="nil"/>
            </w:tcBorders>
            <w:noWrap/>
            <w:vAlign w:val="center"/>
            <w:hideMark/>
          </w:tcPr>
          <w:p w14:paraId="2ED1A2B0" w14:textId="77777777" w:rsidR="003A2FB9" w:rsidRDefault="003A2FB9">
            <w:pPr>
              <w:jc w:val="center"/>
              <w:rPr>
                <w:rFonts w:cs="Arial"/>
                <w:color w:val="000000"/>
                <w:sz w:val="22"/>
                <w:szCs w:val="22"/>
              </w:rPr>
            </w:pPr>
            <w:r>
              <w:rPr>
                <w:rFonts w:cs="Arial"/>
                <w:color w:val="000000"/>
                <w:sz w:val="22"/>
                <w:szCs w:val="22"/>
              </w:rPr>
              <w:t>0,7</w:t>
            </w:r>
          </w:p>
        </w:tc>
        <w:tc>
          <w:tcPr>
            <w:tcW w:w="1693" w:type="dxa"/>
            <w:tcBorders>
              <w:top w:val="nil"/>
              <w:left w:val="single" w:sz="4" w:space="0" w:color="auto"/>
              <w:bottom w:val="nil"/>
              <w:right w:val="single" w:sz="4" w:space="0" w:color="auto"/>
            </w:tcBorders>
            <w:noWrap/>
            <w:vAlign w:val="center"/>
            <w:hideMark/>
          </w:tcPr>
          <w:p w14:paraId="3B5B15CD" w14:textId="77777777" w:rsidR="003A2FB9" w:rsidRDefault="003A2FB9">
            <w:pPr>
              <w:jc w:val="center"/>
              <w:rPr>
                <w:rFonts w:cs="Arial"/>
                <w:color w:val="000000"/>
                <w:sz w:val="22"/>
                <w:szCs w:val="22"/>
              </w:rPr>
            </w:pPr>
            <w:r>
              <w:rPr>
                <w:rFonts w:cs="Arial"/>
                <w:color w:val="000000"/>
                <w:sz w:val="22"/>
                <w:szCs w:val="22"/>
              </w:rPr>
              <w:t>0,6</w:t>
            </w:r>
          </w:p>
        </w:tc>
      </w:tr>
      <w:tr w:rsidR="003A2FB9" w14:paraId="3BA354E4" w14:textId="77777777" w:rsidTr="003B0EAF">
        <w:trPr>
          <w:gridAfter w:val="1"/>
          <w:wAfter w:w="62" w:type="dxa"/>
          <w:trHeight w:val="280"/>
        </w:trPr>
        <w:tc>
          <w:tcPr>
            <w:tcW w:w="3336" w:type="dxa"/>
            <w:tcBorders>
              <w:top w:val="nil"/>
              <w:left w:val="single" w:sz="4" w:space="0" w:color="auto"/>
              <w:bottom w:val="nil"/>
              <w:right w:val="nil"/>
            </w:tcBorders>
            <w:noWrap/>
            <w:vAlign w:val="center"/>
            <w:hideMark/>
          </w:tcPr>
          <w:p w14:paraId="73D72A2A" w14:textId="77777777" w:rsidR="003A2FB9" w:rsidRDefault="003A2FB9">
            <w:pPr>
              <w:rPr>
                <w:rFonts w:cs="Arial"/>
                <w:color w:val="000000"/>
                <w:sz w:val="22"/>
                <w:szCs w:val="22"/>
              </w:rPr>
            </w:pPr>
            <w:r>
              <w:rPr>
                <w:rFonts w:cs="Arial"/>
                <w:color w:val="000000"/>
                <w:sz w:val="22"/>
                <w:szCs w:val="22"/>
              </w:rPr>
              <w:t>Muut energiaperäiset</w:t>
            </w:r>
          </w:p>
        </w:tc>
        <w:tc>
          <w:tcPr>
            <w:tcW w:w="1336" w:type="dxa"/>
            <w:tcBorders>
              <w:top w:val="nil"/>
              <w:left w:val="single" w:sz="4" w:space="0" w:color="auto"/>
              <w:bottom w:val="nil"/>
              <w:right w:val="nil"/>
            </w:tcBorders>
            <w:noWrap/>
            <w:vAlign w:val="center"/>
            <w:hideMark/>
          </w:tcPr>
          <w:p w14:paraId="20798BF7" w14:textId="77777777" w:rsidR="003A2FB9" w:rsidRDefault="003A2FB9">
            <w:pPr>
              <w:jc w:val="center"/>
              <w:rPr>
                <w:rFonts w:cs="Arial"/>
                <w:color w:val="000000"/>
                <w:sz w:val="22"/>
                <w:szCs w:val="22"/>
              </w:rPr>
            </w:pPr>
            <w:r>
              <w:rPr>
                <w:rFonts w:cs="Arial"/>
                <w:color w:val="000000"/>
                <w:sz w:val="22"/>
                <w:szCs w:val="22"/>
              </w:rPr>
              <w:t>2,6</w:t>
            </w:r>
          </w:p>
        </w:tc>
        <w:tc>
          <w:tcPr>
            <w:tcW w:w="1795" w:type="dxa"/>
            <w:tcBorders>
              <w:top w:val="nil"/>
              <w:left w:val="single" w:sz="4" w:space="0" w:color="auto"/>
              <w:bottom w:val="nil"/>
              <w:right w:val="nil"/>
            </w:tcBorders>
            <w:noWrap/>
            <w:vAlign w:val="center"/>
            <w:hideMark/>
          </w:tcPr>
          <w:p w14:paraId="71FB3C33" w14:textId="77777777" w:rsidR="003A2FB9" w:rsidRDefault="003A2FB9">
            <w:pPr>
              <w:jc w:val="center"/>
              <w:rPr>
                <w:rFonts w:cs="Arial"/>
                <w:color w:val="000000"/>
                <w:sz w:val="22"/>
                <w:szCs w:val="22"/>
              </w:rPr>
            </w:pPr>
            <w:r>
              <w:rPr>
                <w:rFonts w:cs="Arial"/>
                <w:color w:val="000000"/>
                <w:sz w:val="22"/>
                <w:szCs w:val="22"/>
              </w:rPr>
              <w:t>1,9</w:t>
            </w:r>
          </w:p>
        </w:tc>
        <w:tc>
          <w:tcPr>
            <w:tcW w:w="1693" w:type="dxa"/>
            <w:tcBorders>
              <w:top w:val="nil"/>
              <w:left w:val="single" w:sz="4" w:space="0" w:color="auto"/>
              <w:bottom w:val="nil"/>
              <w:right w:val="single" w:sz="4" w:space="0" w:color="auto"/>
            </w:tcBorders>
            <w:noWrap/>
            <w:vAlign w:val="center"/>
            <w:hideMark/>
          </w:tcPr>
          <w:p w14:paraId="4E415694" w14:textId="77777777" w:rsidR="003A2FB9" w:rsidRDefault="003A2FB9">
            <w:pPr>
              <w:jc w:val="center"/>
              <w:rPr>
                <w:rFonts w:cs="Arial"/>
                <w:color w:val="000000"/>
                <w:sz w:val="22"/>
                <w:szCs w:val="22"/>
              </w:rPr>
            </w:pPr>
            <w:r>
              <w:rPr>
                <w:rFonts w:cs="Arial"/>
                <w:color w:val="000000"/>
                <w:sz w:val="22"/>
                <w:szCs w:val="22"/>
              </w:rPr>
              <w:t>1,6</w:t>
            </w:r>
          </w:p>
        </w:tc>
      </w:tr>
      <w:tr w:rsidR="003A2FB9" w14:paraId="56788A6A" w14:textId="77777777" w:rsidTr="003B0EAF">
        <w:trPr>
          <w:gridAfter w:val="1"/>
          <w:wAfter w:w="62" w:type="dxa"/>
          <w:trHeight w:val="280"/>
        </w:trPr>
        <w:tc>
          <w:tcPr>
            <w:tcW w:w="3336" w:type="dxa"/>
            <w:tcBorders>
              <w:top w:val="nil"/>
              <w:left w:val="single" w:sz="4" w:space="0" w:color="auto"/>
              <w:bottom w:val="nil"/>
              <w:right w:val="nil"/>
            </w:tcBorders>
            <w:noWrap/>
            <w:vAlign w:val="center"/>
            <w:hideMark/>
          </w:tcPr>
          <w:p w14:paraId="03FC829A" w14:textId="77777777" w:rsidR="003A2FB9" w:rsidRDefault="003A2FB9">
            <w:pPr>
              <w:rPr>
                <w:rFonts w:cs="Arial"/>
                <w:color w:val="000000"/>
                <w:sz w:val="22"/>
                <w:szCs w:val="22"/>
              </w:rPr>
            </w:pPr>
            <w:r>
              <w:rPr>
                <w:rFonts w:cs="Arial"/>
                <w:color w:val="000000"/>
                <w:sz w:val="22"/>
                <w:szCs w:val="22"/>
              </w:rPr>
              <w:t>F-kaasut</w:t>
            </w:r>
          </w:p>
        </w:tc>
        <w:tc>
          <w:tcPr>
            <w:tcW w:w="1336" w:type="dxa"/>
            <w:tcBorders>
              <w:top w:val="nil"/>
              <w:left w:val="single" w:sz="4" w:space="0" w:color="auto"/>
              <w:bottom w:val="nil"/>
              <w:right w:val="nil"/>
            </w:tcBorders>
            <w:noWrap/>
            <w:vAlign w:val="center"/>
            <w:hideMark/>
          </w:tcPr>
          <w:p w14:paraId="092B0446" w14:textId="77777777" w:rsidR="003A2FB9" w:rsidRDefault="003A2FB9">
            <w:pPr>
              <w:jc w:val="center"/>
              <w:rPr>
                <w:rFonts w:cs="Arial"/>
                <w:color w:val="000000"/>
                <w:sz w:val="22"/>
                <w:szCs w:val="22"/>
              </w:rPr>
            </w:pPr>
            <w:r>
              <w:rPr>
                <w:rFonts w:cs="Arial"/>
                <w:color w:val="000000"/>
                <w:sz w:val="22"/>
                <w:szCs w:val="22"/>
              </w:rPr>
              <w:t>0,7</w:t>
            </w:r>
          </w:p>
        </w:tc>
        <w:tc>
          <w:tcPr>
            <w:tcW w:w="1795" w:type="dxa"/>
            <w:tcBorders>
              <w:top w:val="nil"/>
              <w:left w:val="single" w:sz="4" w:space="0" w:color="auto"/>
              <w:bottom w:val="nil"/>
              <w:right w:val="nil"/>
            </w:tcBorders>
            <w:noWrap/>
            <w:vAlign w:val="center"/>
            <w:hideMark/>
          </w:tcPr>
          <w:p w14:paraId="524F98FE" w14:textId="77777777" w:rsidR="003A2FB9" w:rsidRDefault="003A2FB9">
            <w:pPr>
              <w:jc w:val="center"/>
              <w:rPr>
                <w:rFonts w:cs="Arial"/>
                <w:color w:val="000000"/>
                <w:sz w:val="22"/>
                <w:szCs w:val="22"/>
              </w:rPr>
            </w:pPr>
            <w:r>
              <w:rPr>
                <w:rFonts w:cs="Arial"/>
                <w:color w:val="000000"/>
                <w:sz w:val="22"/>
                <w:szCs w:val="22"/>
              </w:rPr>
              <w:t>0,3</w:t>
            </w:r>
          </w:p>
        </w:tc>
        <w:tc>
          <w:tcPr>
            <w:tcW w:w="1693" w:type="dxa"/>
            <w:tcBorders>
              <w:top w:val="nil"/>
              <w:left w:val="single" w:sz="4" w:space="0" w:color="auto"/>
              <w:bottom w:val="nil"/>
              <w:right w:val="single" w:sz="4" w:space="0" w:color="auto"/>
            </w:tcBorders>
            <w:noWrap/>
            <w:vAlign w:val="center"/>
            <w:hideMark/>
          </w:tcPr>
          <w:p w14:paraId="52AD1E84" w14:textId="77777777" w:rsidR="003A2FB9" w:rsidRDefault="003A2FB9">
            <w:pPr>
              <w:jc w:val="center"/>
              <w:rPr>
                <w:rFonts w:cs="Arial"/>
                <w:color w:val="000000"/>
                <w:sz w:val="22"/>
                <w:szCs w:val="22"/>
              </w:rPr>
            </w:pPr>
            <w:r>
              <w:rPr>
                <w:rFonts w:cs="Arial"/>
                <w:color w:val="000000"/>
                <w:sz w:val="22"/>
                <w:szCs w:val="22"/>
              </w:rPr>
              <w:t>0,3</w:t>
            </w:r>
          </w:p>
        </w:tc>
      </w:tr>
      <w:tr w:rsidR="003A2FB9" w14:paraId="2B9FE5AA" w14:textId="77777777" w:rsidTr="003B0EAF">
        <w:trPr>
          <w:gridAfter w:val="1"/>
          <w:wAfter w:w="62" w:type="dxa"/>
          <w:trHeight w:val="280"/>
        </w:trPr>
        <w:tc>
          <w:tcPr>
            <w:tcW w:w="3336" w:type="dxa"/>
            <w:tcBorders>
              <w:top w:val="nil"/>
              <w:left w:val="single" w:sz="4" w:space="0" w:color="auto"/>
              <w:bottom w:val="nil"/>
              <w:right w:val="nil"/>
            </w:tcBorders>
            <w:noWrap/>
            <w:vAlign w:val="center"/>
            <w:hideMark/>
          </w:tcPr>
          <w:p w14:paraId="6962E3E4" w14:textId="77777777" w:rsidR="003A2FB9" w:rsidRDefault="003A2FB9">
            <w:pPr>
              <w:rPr>
                <w:rFonts w:cs="Arial"/>
                <w:color w:val="000000"/>
                <w:sz w:val="22"/>
                <w:szCs w:val="22"/>
              </w:rPr>
            </w:pPr>
            <w:r>
              <w:rPr>
                <w:rFonts w:cs="Arial"/>
                <w:color w:val="000000"/>
                <w:sz w:val="22"/>
                <w:szCs w:val="22"/>
              </w:rPr>
              <w:t>Muut prosessit ja tuotteet</w:t>
            </w:r>
          </w:p>
        </w:tc>
        <w:tc>
          <w:tcPr>
            <w:tcW w:w="1336" w:type="dxa"/>
            <w:tcBorders>
              <w:top w:val="nil"/>
              <w:left w:val="single" w:sz="4" w:space="0" w:color="auto"/>
              <w:bottom w:val="nil"/>
              <w:right w:val="nil"/>
            </w:tcBorders>
            <w:noWrap/>
            <w:vAlign w:val="center"/>
            <w:hideMark/>
          </w:tcPr>
          <w:p w14:paraId="11CD8470" w14:textId="77777777" w:rsidR="003A2FB9" w:rsidRDefault="003A2FB9">
            <w:pPr>
              <w:jc w:val="center"/>
              <w:rPr>
                <w:rFonts w:cs="Arial"/>
                <w:color w:val="000000"/>
                <w:sz w:val="22"/>
                <w:szCs w:val="22"/>
              </w:rPr>
            </w:pPr>
            <w:r>
              <w:rPr>
                <w:rFonts w:cs="Arial"/>
                <w:color w:val="000000"/>
                <w:sz w:val="22"/>
                <w:szCs w:val="22"/>
              </w:rPr>
              <w:t>0,5</w:t>
            </w:r>
          </w:p>
        </w:tc>
        <w:tc>
          <w:tcPr>
            <w:tcW w:w="1795" w:type="dxa"/>
            <w:tcBorders>
              <w:top w:val="nil"/>
              <w:left w:val="single" w:sz="4" w:space="0" w:color="auto"/>
              <w:bottom w:val="nil"/>
              <w:right w:val="nil"/>
            </w:tcBorders>
            <w:noWrap/>
            <w:vAlign w:val="center"/>
            <w:hideMark/>
          </w:tcPr>
          <w:p w14:paraId="145E71AA" w14:textId="77777777" w:rsidR="003A2FB9" w:rsidRDefault="003A2FB9">
            <w:pPr>
              <w:jc w:val="center"/>
              <w:rPr>
                <w:rFonts w:cs="Arial"/>
                <w:color w:val="000000"/>
                <w:sz w:val="22"/>
                <w:szCs w:val="22"/>
              </w:rPr>
            </w:pPr>
            <w:r>
              <w:rPr>
                <w:rFonts w:cs="Arial"/>
                <w:color w:val="000000"/>
                <w:sz w:val="22"/>
                <w:szCs w:val="22"/>
              </w:rPr>
              <w:t>0,6</w:t>
            </w:r>
          </w:p>
        </w:tc>
        <w:tc>
          <w:tcPr>
            <w:tcW w:w="1693" w:type="dxa"/>
            <w:tcBorders>
              <w:top w:val="nil"/>
              <w:left w:val="single" w:sz="4" w:space="0" w:color="auto"/>
              <w:bottom w:val="nil"/>
              <w:right w:val="single" w:sz="4" w:space="0" w:color="auto"/>
            </w:tcBorders>
            <w:noWrap/>
            <w:vAlign w:val="center"/>
            <w:hideMark/>
          </w:tcPr>
          <w:p w14:paraId="063B4A59" w14:textId="77777777" w:rsidR="003A2FB9" w:rsidRDefault="003A2FB9">
            <w:pPr>
              <w:jc w:val="center"/>
              <w:rPr>
                <w:rFonts w:cs="Arial"/>
                <w:color w:val="000000"/>
                <w:sz w:val="22"/>
                <w:szCs w:val="22"/>
              </w:rPr>
            </w:pPr>
            <w:r>
              <w:rPr>
                <w:rFonts w:cs="Arial"/>
                <w:color w:val="000000"/>
                <w:sz w:val="22"/>
                <w:szCs w:val="22"/>
              </w:rPr>
              <w:t>0,6</w:t>
            </w:r>
          </w:p>
        </w:tc>
      </w:tr>
      <w:tr w:rsidR="003A2FB9" w14:paraId="5685D950" w14:textId="77777777" w:rsidTr="003B0EAF">
        <w:trPr>
          <w:gridAfter w:val="1"/>
          <w:wAfter w:w="62" w:type="dxa"/>
          <w:trHeight w:val="280"/>
        </w:trPr>
        <w:tc>
          <w:tcPr>
            <w:tcW w:w="3336" w:type="dxa"/>
            <w:tcBorders>
              <w:top w:val="nil"/>
              <w:left w:val="single" w:sz="4" w:space="0" w:color="auto"/>
              <w:bottom w:val="nil"/>
              <w:right w:val="nil"/>
            </w:tcBorders>
            <w:noWrap/>
            <w:vAlign w:val="center"/>
            <w:hideMark/>
          </w:tcPr>
          <w:p w14:paraId="303A807A" w14:textId="77777777" w:rsidR="003A2FB9" w:rsidRDefault="003A2FB9">
            <w:pPr>
              <w:rPr>
                <w:rFonts w:cs="Arial"/>
                <w:color w:val="000000"/>
                <w:sz w:val="22"/>
                <w:szCs w:val="22"/>
              </w:rPr>
            </w:pPr>
            <w:r>
              <w:rPr>
                <w:rFonts w:cs="Arial"/>
                <w:color w:val="000000"/>
                <w:sz w:val="22"/>
                <w:szCs w:val="22"/>
              </w:rPr>
              <w:t>Maatalous</w:t>
            </w:r>
          </w:p>
        </w:tc>
        <w:tc>
          <w:tcPr>
            <w:tcW w:w="1336" w:type="dxa"/>
            <w:tcBorders>
              <w:top w:val="nil"/>
              <w:left w:val="single" w:sz="4" w:space="0" w:color="auto"/>
              <w:bottom w:val="nil"/>
              <w:right w:val="nil"/>
            </w:tcBorders>
            <w:noWrap/>
            <w:vAlign w:val="center"/>
            <w:hideMark/>
          </w:tcPr>
          <w:p w14:paraId="4F5F9A5E" w14:textId="77777777" w:rsidR="003A2FB9" w:rsidRDefault="003A2FB9">
            <w:pPr>
              <w:jc w:val="center"/>
              <w:rPr>
                <w:rFonts w:cs="Arial"/>
                <w:color w:val="000000"/>
                <w:sz w:val="22"/>
                <w:szCs w:val="22"/>
              </w:rPr>
            </w:pPr>
            <w:r>
              <w:rPr>
                <w:rFonts w:cs="Arial"/>
                <w:color w:val="000000"/>
                <w:sz w:val="22"/>
                <w:szCs w:val="22"/>
              </w:rPr>
              <w:t>6,2</w:t>
            </w:r>
          </w:p>
        </w:tc>
        <w:tc>
          <w:tcPr>
            <w:tcW w:w="1795" w:type="dxa"/>
            <w:tcBorders>
              <w:top w:val="nil"/>
              <w:left w:val="single" w:sz="4" w:space="0" w:color="auto"/>
              <w:bottom w:val="nil"/>
              <w:right w:val="nil"/>
            </w:tcBorders>
            <w:noWrap/>
            <w:vAlign w:val="center"/>
            <w:hideMark/>
          </w:tcPr>
          <w:p w14:paraId="21B1DE05" w14:textId="77777777" w:rsidR="003A2FB9" w:rsidRDefault="003A2FB9">
            <w:pPr>
              <w:jc w:val="center"/>
              <w:rPr>
                <w:rFonts w:cs="Arial"/>
                <w:color w:val="000000"/>
                <w:sz w:val="22"/>
                <w:szCs w:val="22"/>
              </w:rPr>
            </w:pPr>
            <w:r>
              <w:rPr>
                <w:rFonts w:cs="Arial"/>
                <w:color w:val="000000"/>
                <w:sz w:val="22"/>
                <w:szCs w:val="22"/>
              </w:rPr>
              <w:t>5,6</w:t>
            </w:r>
          </w:p>
        </w:tc>
        <w:tc>
          <w:tcPr>
            <w:tcW w:w="1693" w:type="dxa"/>
            <w:tcBorders>
              <w:top w:val="nil"/>
              <w:left w:val="single" w:sz="4" w:space="0" w:color="auto"/>
              <w:bottom w:val="nil"/>
              <w:right w:val="single" w:sz="4" w:space="0" w:color="auto"/>
            </w:tcBorders>
            <w:noWrap/>
            <w:vAlign w:val="center"/>
            <w:hideMark/>
          </w:tcPr>
          <w:p w14:paraId="3F9F1F70" w14:textId="77777777" w:rsidR="003A2FB9" w:rsidRDefault="003A2FB9">
            <w:pPr>
              <w:jc w:val="center"/>
              <w:rPr>
                <w:rFonts w:cs="Arial"/>
                <w:color w:val="000000"/>
                <w:sz w:val="22"/>
                <w:szCs w:val="22"/>
              </w:rPr>
            </w:pPr>
            <w:r>
              <w:rPr>
                <w:rFonts w:cs="Arial"/>
                <w:color w:val="000000"/>
                <w:sz w:val="22"/>
                <w:szCs w:val="22"/>
              </w:rPr>
              <w:t>5,5</w:t>
            </w:r>
          </w:p>
        </w:tc>
      </w:tr>
      <w:tr w:rsidR="003A2FB9" w14:paraId="7B85FD3B" w14:textId="77777777" w:rsidTr="003B0EAF">
        <w:trPr>
          <w:gridAfter w:val="1"/>
          <w:wAfter w:w="62" w:type="dxa"/>
          <w:trHeight w:val="280"/>
        </w:trPr>
        <w:tc>
          <w:tcPr>
            <w:tcW w:w="3336" w:type="dxa"/>
            <w:tcBorders>
              <w:top w:val="nil"/>
              <w:left w:val="single" w:sz="4" w:space="0" w:color="auto"/>
              <w:bottom w:val="nil"/>
              <w:right w:val="nil"/>
            </w:tcBorders>
            <w:noWrap/>
            <w:vAlign w:val="center"/>
            <w:hideMark/>
          </w:tcPr>
          <w:p w14:paraId="67EEB2CB" w14:textId="77777777" w:rsidR="003A2FB9" w:rsidRDefault="003A2FB9">
            <w:pPr>
              <w:rPr>
                <w:rFonts w:cs="Arial"/>
                <w:color w:val="000000"/>
                <w:sz w:val="22"/>
                <w:szCs w:val="22"/>
              </w:rPr>
            </w:pPr>
            <w:r>
              <w:rPr>
                <w:rFonts w:cs="Arial"/>
                <w:color w:val="000000"/>
                <w:sz w:val="22"/>
                <w:szCs w:val="22"/>
              </w:rPr>
              <w:t>Jätteiden käsittely</w:t>
            </w:r>
          </w:p>
        </w:tc>
        <w:tc>
          <w:tcPr>
            <w:tcW w:w="1336" w:type="dxa"/>
            <w:tcBorders>
              <w:top w:val="nil"/>
              <w:left w:val="single" w:sz="4" w:space="0" w:color="auto"/>
              <w:bottom w:val="nil"/>
              <w:right w:val="nil"/>
            </w:tcBorders>
            <w:noWrap/>
            <w:vAlign w:val="center"/>
            <w:hideMark/>
          </w:tcPr>
          <w:p w14:paraId="4B4E02B1" w14:textId="77777777" w:rsidR="003A2FB9" w:rsidRDefault="003A2FB9">
            <w:pPr>
              <w:jc w:val="center"/>
              <w:rPr>
                <w:rFonts w:cs="Arial"/>
                <w:color w:val="000000"/>
                <w:sz w:val="22"/>
                <w:szCs w:val="22"/>
              </w:rPr>
            </w:pPr>
            <w:r>
              <w:rPr>
                <w:rFonts w:cs="Arial"/>
                <w:color w:val="000000"/>
                <w:sz w:val="22"/>
                <w:szCs w:val="22"/>
              </w:rPr>
              <w:t>1,6</w:t>
            </w:r>
          </w:p>
        </w:tc>
        <w:tc>
          <w:tcPr>
            <w:tcW w:w="1795" w:type="dxa"/>
            <w:tcBorders>
              <w:top w:val="nil"/>
              <w:left w:val="single" w:sz="4" w:space="0" w:color="auto"/>
              <w:bottom w:val="nil"/>
              <w:right w:val="nil"/>
            </w:tcBorders>
            <w:noWrap/>
            <w:vAlign w:val="center"/>
            <w:hideMark/>
          </w:tcPr>
          <w:p w14:paraId="0ACA1E31" w14:textId="77777777" w:rsidR="003A2FB9" w:rsidRDefault="003A2FB9">
            <w:pPr>
              <w:jc w:val="center"/>
              <w:rPr>
                <w:rFonts w:cs="Arial"/>
                <w:color w:val="000000"/>
                <w:sz w:val="22"/>
                <w:szCs w:val="22"/>
              </w:rPr>
            </w:pPr>
            <w:r>
              <w:rPr>
                <w:rFonts w:cs="Arial"/>
                <w:color w:val="000000"/>
                <w:sz w:val="22"/>
                <w:szCs w:val="22"/>
              </w:rPr>
              <w:t>1,3</w:t>
            </w:r>
          </w:p>
        </w:tc>
        <w:tc>
          <w:tcPr>
            <w:tcW w:w="1693" w:type="dxa"/>
            <w:tcBorders>
              <w:top w:val="nil"/>
              <w:left w:val="single" w:sz="4" w:space="0" w:color="auto"/>
              <w:bottom w:val="nil"/>
              <w:right w:val="single" w:sz="4" w:space="0" w:color="auto"/>
            </w:tcBorders>
            <w:noWrap/>
            <w:vAlign w:val="center"/>
            <w:hideMark/>
          </w:tcPr>
          <w:p w14:paraId="06F4E1C5" w14:textId="77777777" w:rsidR="003A2FB9" w:rsidRDefault="003A2FB9">
            <w:pPr>
              <w:jc w:val="center"/>
              <w:rPr>
                <w:rFonts w:cs="Arial"/>
                <w:color w:val="000000"/>
                <w:sz w:val="22"/>
                <w:szCs w:val="22"/>
              </w:rPr>
            </w:pPr>
            <w:r>
              <w:rPr>
                <w:rFonts w:cs="Arial"/>
                <w:color w:val="000000"/>
                <w:sz w:val="22"/>
                <w:szCs w:val="22"/>
              </w:rPr>
              <w:t>1,3</w:t>
            </w:r>
          </w:p>
        </w:tc>
      </w:tr>
      <w:tr w:rsidR="003A2FB9" w14:paraId="4C7C88B0" w14:textId="77777777" w:rsidTr="003B0EAF">
        <w:trPr>
          <w:gridAfter w:val="1"/>
          <w:wAfter w:w="62" w:type="dxa"/>
          <w:trHeight w:val="280"/>
        </w:trPr>
        <w:tc>
          <w:tcPr>
            <w:tcW w:w="3336" w:type="dxa"/>
            <w:tcBorders>
              <w:top w:val="nil"/>
              <w:left w:val="single" w:sz="4" w:space="0" w:color="auto"/>
              <w:bottom w:val="single" w:sz="4" w:space="0" w:color="auto"/>
              <w:right w:val="nil"/>
            </w:tcBorders>
            <w:noWrap/>
            <w:vAlign w:val="center"/>
            <w:hideMark/>
          </w:tcPr>
          <w:p w14:paraId="5E50C940" w14:textId="77777777" w:rsidR="003A2FB9" w:rsidRDefault="003A2FB9">
            <w:pPr>
              <w:rPr>
                <w:rFonts w:cs="Arial"/>
                <w:b/>
                <w:bCs/>
                <w:color w:val="000000"/>
                <w:sz w:val="22"/>
                <w:szCs w:val="22"/>
              </w:rPr>
            </w:pPr>
            <w:r>
              <w:rPr>
                <w:rFonts w:cs="Arial"/>
                <w:b/>
                <w:bCs/>
                <w:color w:val="000000"/>
                <w:sz w:val="22"/>
                <w:szCs w:val="22"/>
              </w:rPr>
              <w:t>Taakanjakosektori yhteensä</w:t>
            </w:r>
          </w:p>
        </w:tc>
        <w:tc>
          <w:tcPr>
            <w:tcW w:w="1336" w:type="dxa"/>
            <w:tcBorders>
              <w:top w:val="nil"/>
              <w:left w:val="single" w:sz="4" w:space="0" w:color="auto"/>
              <w:bottom w:val="single" w:sz="4" w:space="0" w:color="auto"/>
              <w:right w:val="nil"/>
            </w:tcBorders>
            <w:noWrap/>
            <w:vAlign w:val="center"/>
            <w:hideMark/>
          </w:tcPr>
          <w:p w14:paraId="5C45902A" w14:textId="77777777" w:rsidR="003A2FB9" w:rsidRDefault="003A2FB9">
            <w:pPr>
              <w:jc w:val="center"/>
              <w:rPr>
                <w:rFonts w:cs="Arial"/>
                <w:b/>
                <w:bCs/>
                <w:color w:val="000000"/>
                <w:sz w:val="22"/>
                <w:szCs w:val="22"/>
              </w:rPr>
            </w:pPr>
            <w:r>
              <w:rPr>
                <w:rFonts w:cs="Arial"/>
                <w:b/>
                <w:bCs/>
                <w:color w:val="000000"/>
                <w:sz w:val="22"/>
                <w:szCs w:val="22"/>
              </w:rPr>
              <w:t>25,6</w:t>
            </w:r>
          </w:p>
        </w:tc>
        <w:tc>
          <w:tcPr>
            <w:tcW w:w="1795" w:type="dxa"/>
            <w:tcBorders>
              <w:top w:val="nil"/>
              <w:left w:val="single" w:sz="4" w:space="0" w:color="auto"/>
              <w:bottom w:val="single" w:sz="4" w:space="0" w:color="auto"/>
              <w:right w:val="nil"/>
            </w:tcBorders>
            <w:noWrap/>
            <w:vAlign w:val="center"/>
            <w:hideMark/>
          </w:tcPr>
          <w:p w14:paraId="73B87505" w14:textId="77777777" w:rsidR="003A2FB9" w:rsidRDefault="003A2FB9">
            <w:pPr>
              <w:jc w:val="center"/>
              <w:rPr>
                <w:rFonts w:cs="Arial"/>
                <w:b/>
                <w:bCs/>
                <w:color w:val="000000"/>
                <w:sz w:val="22"/>
                <w:szCs w:val="22"/>
              </w:rPr>
            </w:pPr>
            <w:r>
              <w:rPr>
                <w:rFonts w:cs="Arial"/>
                <w:b/>
                <w:bCs/>
                <w:color w:val="000000"/>
                <w:sz w:val="22"/>
                <w:szCs w:val="22"/>
              </w:rPr>
              <w:t>18,9</w:t>
            </w:r>
          </w:p>
        </w:tc>
        <w:tc>
          <w:tcPr>
            <w:tcW w:w="1693" w:type="dxa"/>
            <w:tcBorders>
              <w:top w:val="nil"/>
              <w:left w:val="single" w:sz="4" w:space="0" w:color="auto"/>
              <w:bottom w:val="single" w:sz="4" w:space="0" w:color="auto"/>
              <w:right w:val="single" w:sz="4" w:space="0" w:color="auto"/>
            </w:tcBorders>
            <w:noWrap/>
            <w:vAlign w:val="center"/>
            <w:hideMark/>
          </w:tcPr>
          <w:p w14:paraId="066E31E3" w14:textId="77777777" w:rsidR="003A2FB9" w:rsidRDefault="003A2FB9">
            <w:pPr>
              <w:jc w:val="center"/>
              <w:rPr>
                <w:rFonts w:cs="Arial"/>
                <w:b/>
                <w:bCs/>
                <w:color w:val="000000"/>
                <w:sz w:val="22"/>
                <w:szCs w:val="22"/>
              </w:rPr>
            </w:pPr>
            <w:r w:rsidRPr="00676AAF">
              <w:rPr>
                <w:rFonts w:cs="Arial"/>
                <w:b/>
                <w:color w:val="000000"/>
                <w:sz w:val="22"/>
                <w:szCs w:val="22"/>
              </w:rPr>
              <w:t>18,4</w:t>
            </w:r>
          </w:p>
        </w:tc>
      </w:tr>
      <w:tr w:rsidR="005E3C32" w14:paraId="7514C401" w14:textId="77777777" w:rsidTr="003B0EAF">
        <w:trPr>
          <w:gridAfter w:val="1"/>
          <w:wAfter w:w="62" w:type="dxa"/>
          <w:trHeight w:val="280"/>
        </w:trPr>
        <w:tc>
          <w:tcPr>
            <w:tcW w:w="3336" w:type="dxa"/>
            <w:tcBorders>
              <w:top w:val="nil"/>
              <w:left w:val="single" w:sz="4" w:space="0" w:color="auto"/>
              <w:bottom w:val="single" w:sz="4" w:space="0" w:color="auto"/>
              <w:right w:val="nil"/>
            </w:tcBorders>
            <w:noWrap/>
            <w:vAlign w:val="center"/>
          </w:tcPr>
          <w:p w14:paraId="1D327C7F" w14:textId="6104A084" w:rsidR="005E3C32" w:rsidRDefault="005E3C32" w:rsidP="005E3C32">
            <w:pPr>
              <w:rPr>
                <w:rFonts w:cs="Arial"/>
                <w:b/>
                <w:bCs/>
                <w:color w:val="000000"/>
                <w:sz w:val="22"/>
                <w:szCs w:val="22"/>
              </w:rPr>
            </w:pPr>
            <w:r>
              <w:rPr>
                <w:rFonts w:cs="Arial"/>
                <w:b/>
                <w:bCs/>
                <w:color w:val="000000"/>
                <w:sz w:val="22"/>
                <w:szCs w:val="22"/>
              </w:rPr>
              <w:t>Laskennallinen tulos ETS-joustolla</w:t>
            </w:r>
          </w:p>
        </w:tc>
        <w:tc>
          <w:tcPr>
            <w:tcW w:w="1336" w:type="dxa"/>
            <w:tcBorders>
              <w:top w:val="nil"/>
              <w:left w:val="single" w:sz="4" w:space="0" w:color="auto"/>
              <w:bottom w:val="single" w:sz="4" w:space="0" w:color="auto"/>
              <w:right w:val="nil"/>
            </w:tcBorders>
            <w:noWrap/>
            <w:vAlign w:val="center"/>
          </w:tcPr>
          <w:p w14:paraId="34DECB6F" w14:textId="77777777" w:rsidR="005E3C32" w:rsidRDefault="005E3C32" w:rsidP="005E3C32">
            <w:pPr>
              <w:jc w:val="center"/>
              <w:rPr>
                <w:rFonts w:cs="Arial"/>
                <w:b/>
                <w:bCs/>
                <w:color w:val="000000"/>
                <w:sz w:val="22"/>
                <w:szCs w:val="22"/>
              </w:rPr>
            </w:pPr>
          </w:p>
        </w:tc>
        <w:tc>
          <w:tcPr>
            <w:tcW w:w="1795" w:type="dxa"/>
            <w:tcBorders>
              <w:top w:val="nil"/>
              <w:left w:val="single" w:sz="4" w:space="0" w:color="auto"/>
              <w:bottom w:val="single" w:sz="4" w:space="0" w:color="auto"/>
              <w:right w:val="nil"/>
            </w:tcBorders>
            <w:noWrap/>
            <w:vAlign w:val="center"/>
          </w:tcPr>
          <w:p w14:paraId="622F3D1C" w14:textId="77777777" w:rsidR="005E3C32" w:rsidRDefault="005E3C32" w:rsidP="005E3C32">
            <w:pPr>
              <w:jc w:val="center"/>
              <w:rPr>
                <w:rFonts w:cs="Arial"/>
                <w:b/>
                <w:bCs/>
                <w:color w:val="000000"/>
                <w:sz w:val="22"/>
                <w:szCs w:val="22"/>
              </w:rPr>
            </w:pPr>
          </w:p>
        </w:tc>
        <w:tc>
          <w:tcPr>
            <w:tcW w:w="1693" w:type="dxa"/>
            <w:tcBorders>
              <w:top w:val="nil"/>
              <w:left w:val="single" w:sz="4" w:space="0" w:color="auto"/>
              <w:bottom w:val="single" w:sz="4" w:space="0" w:color="auto"/>
              <w:right w:val="single" w:sz="4" w:space="0" w:color="auto"/>
            </w:tcBorders>
            <w:noWrap/>
            <w:vAlign w:val="center"/>
          </w:tcPr>
          <w:p w14:paraId="49484891" w14:textId="098ECF95" w:rsidR="005E3C32" w:rsidRDefault="005E3C32" w:rsidP="005E3C32">
            <w:pPr>
              <w:jc w:val="center"/>
              <w:rPr>
                <w:rFonts w:cs="Arial"/>
                <w:b/>
                <w:bCs/>
                <w:color w:val="000000"/>
                <w:sz w:val="22"/>
                <w:szCs w:val="22"/>
              </w:rPr>
            </w:pPr>
            <w:r w:rsidRPr="00676AAF">
              <w:rPr>
                <w:rFonts w:cs="Arial"/>
                <w:b/>
                <w:color w:val="000000"/>
                <w:sz w:val="22"/>
                <w:szCs w:val="22"/>
              </w:rPr>
              <w:t>17,7</w:t>
            </w:r>
          </w:p>
        </w:tc>
      </w:tr>
      <w:tr w:rsidR="006F6F09" w:rsidRPr="00F1675D" w14:paraId="6651A8B6" w14:textId="77777777" w:rsidTr="003B0EAF">
        <w:trPr>
          <w:trHeight w:val="280"/>
        </w:trPr>
        <w:tc>
          <w:tcPr>
            <w:tcW w:w="8222" w:type="dxa"/>
            <w:gridSpan w:val="5"/>
            <w:tcBorders>
              <w:top w:val="nil"/>
              <w:left w:val="nil"/>
              <w:bottom w:val="nil"/>
              <w:right w:val="nil"/>
            </w:tcBorders>
            <w:noWrap/>
            <w:vAlign w:val="center"/>
            <w:hideMark/>
          </w:tcPr>
          <w:p w14:paraId="2BB8A9AA" w14:textId="7F0C18D2" w:rsidR="006F6F09" w:rsidRPr="00F1675D" w:rsidRDefault="006F6F09">
            <w:pPr>
              <w:rPr>
                <w:rFonts w:cs="Arial"/>
                <w:color w:val="000000"/>
                <w:sz w:val="22"/>
                <w:szCs w:val="22"/>
              </w:rPr>
            </w:pPr>
            <w:r w:rsidRPr="00F1675D">
              <w:rPr>
                <w:rFonts w:cs="Arial"/>
                <w:color w:val="000000"/>
                <w:sz w:val="22"/>
                <w:szCs w:val="22"/>
              </w:rPr>
              <w:t xml:space="preserve">*liikenteen KAISU-arvio sisältää </w:t>
            </w:r>
            <w:r w:rsidR="001E08C5">
              <w:rPr>
                <w:rFonts w:cs="Arial"/>
                <w:color w:val="000000"/>
                <w:sz w:val="22"/>
                <w:szCs w:val="22"/>
              </w:rPr>
              <w:t xml:space="preserve">sekä </w:t>
            </w:r>
            <w:r w:rsidRPr="00F1675D">
              <w:rPr>
                <w:rFonts w:cs="Arial"/>
                <w:color w:val="000000"/>
                <w:sz w:val="22"/>
                <w:szCs w:val="22"/>
              </w:rPr>
              <w:t xml:space="preserve">päästöjä lisäävät toimet, jotka eivät ole WEM-skenaariossa, </w:t>
            </w:r>
            <w:r w:rsidR="001E08C5">
              <w:rPr>
                <w:rFonts w:cs="Arial"/>
                <w:color w:val="000000"/>
                <w:sz w:val="22"/>
                <w:szCs w:val="22"/>
              </w:rPr>
              <w:t>että</w:t>
            </w:r>
            <w:r w:rsidRPr="00F1675D">
              <w:rPr>
                <w:rFonts w:cs="Arial"/>
                <w:color w:val="000000"/>
                <w:sz w:val="22"/>
                <w:szCs w:val="22"/>
              </w:rPr>
              <w:t xml:space="preserve"> </w:t>
            </w:r>
            <w:proofErr w:type="spellStart"/>
            <w:r w:rsidRPr="00F1675D">
              <w:rPr>
                <w:rFonts w:cs="Arial"/>
                <w:color w:val="000000"/>
                <w:sz w:val="22"/>
                <w:szCs w:val="22"/>
              </w:rPr>
              <w:t>KAISUssa</w:t>
            </w:r>
            <w:proofErr w:type="spellEnd"/>
            <w:r w:rsidRPr="00F1675D">
              <w:rPr>
                <w:rFonts w:cs="Arial"/>
                <w:color w:val="000000"/>
                <w:sz w:val="22"/>
                <w:szCs w:val="22"/>
              </w:rPr>
              <w:t xml:space="preserve"> linjatut toimet.</w:t>
            </w:r>
          </w:p>
        </w:tc>
      </w:tr>
    </w:tbl>
    <w:p w14:paraId="65C232AB" w14:textId="77777777" w:rsidR="006F6F09" w:rsidRDefault="006F6F09" w:rsidP="006F6F09">
      <w:pPr>
        <w:pStyle w:val="VNLeip1kappale"/>
        <w:rPr>
          <w:rFonts w:eastAsia="Arial" w:cs="Arial"/>
          <w:color w:val="000000" w:themeColor="text1"/>
        </w:rPr>
      </w:pPr>
    </w:p>
    <w:p w14:paraId="0173EE77" w14:textId="77777777" w:rsidR="00744905" w:rsidRDefault="356A9BF4" w:rsidP="0614320A">
      <w:pPr>
        <w:pStyle w:val="VNLeip1kappale"/>
        <w:rPr>
          <w:rFonts w:eastAsia="Arial" w:cs="Arial"/>
          <w:color w:val="000000" w:themeColor="text1"/>
        </w:rPr>
      </w:pPr>
      <w:r w:rsidRPr="0614320A">
        <w:rPr>
          <w:rFonts w:eastAsia="Arial" w:cs="Arial"/>
          <w:color w:val="000000" w:themeColor="text1"/>
        </w:rPr>
        <w:t>Kuten aikaisemmin on todettu, Suomen taakanjakoasetuksen mukainen velvoite koskee kuitenkin koko jaksoa 2021–2030. Toisin sanoen velvoitteen täyttymistä on tarkasteltava kumulatiivisesti koko kauden ajalta. Jos yhteenlasketut päästöt kaudelta 2021–2030 alittavat koko kaudelle allokoidut päästökiintiöt</w:t>
      </w:r>
      <w:r w:rsidR="0C58C649" w:rsidRPr="609440DD">
        <w:rPr>
          <w:rFonts w:eastAsia="Arial" w:cs="Arial"/>
          <w:color w:val="000000" w:themeColor="text1"/>
        </w:rPr>
        <w:t>,</w:t>
      </w:r>
      <w:r w:rsidRPr="0614320A">
        <w:rPr>
          <w:rFonts w:eastAsia="Arial" w:cs="Arial"/>
          <w:color w:val="000000" w:themeColor="text1"/>
        </w:rPr>
        <w:t xml:space="preserve"> velvoite on täytetty. Alla olevassa kuv</w:t>
      </w:r>
      <w:r w:rsidR="00A930B7">
        <w:rPr>
          <w:rFonts w:eastAsia="Arial" w:cs="Arial"/>
          <w:color w:val="000000" w:themeColor="text1"/>
        </w:rPr>
        <w:t>iossa 26</w:t>
      </w:r>
      <w:r w:rsidRPr="0614320A">
        <w:rPr>
          <w:rFonts w:eastAsia="Arial" w:cs="Arial"/>
          <w:color w:val="000000" w:themeColor="text1"/>
        </w:rPr>
        <w:t xml:space="preserve"> on esitetty arvio toteuman 2021</w:t>
      </w:r>
      <w:r w:rsidR="6215E295" w:rsidRPr="60AD1887">
        <w:rPr>
          <w:rFonts w:eastAsia="Arial" w:cs="Arial"/>
          <w:color w:val="000000" w:themeColor="text1"/>
        </w:rPr>
        <w:t>–</w:t>
      </w:r>
      <w:r w:rsidRPr="0614320A">
        <w:rPr>
          <w:rFonts w:eastAsia="Arial" w:cs="Arial"/>
          <w:color w:val="000000" w:themeColor="text1"/>
        </w:rPr>
        <w:t>2024 ja tämän suunnitelman toimenpideohjelman mukaisesta kehityksen summasta sekä alustava arvio päästökiintiömäärästä vuosille 2021</w:t>
      </w:r>
      <w:r w:rsidR="0FB13DC4" w:rsidRPr="5E3E1089">
        <w:rPr>
          <w:rFonts w:eastAsia="Arial" w:cs="Arial"/>
          <w:color w:val="000000" w:themeColor="text1"/>
        </w:rPr>
        <w:t>–</w:t>
      </w:r>
      <w:r w:rsidRPr="0614320A">
        <w:rPr>
          <w:rFonts w:eastAsia="Arial" w:cs="Arial"/>
          <w:color w:val="000000" w:themeColor="text1"/>
        </w:rPr>
        <w:t xml:space="preserve">2030. Tässä tarkastelussa otetaan </w:t>
      </w:r>
      <w:r w:rsidRPr="00807362">
        <w:rPr>
          <w:rFonts w:eastAsia="Arial" w:cs="Arial"/>
          <w:color w:val="000000" w:themeColor="text1"/>
        </w:rPr>
        <w:t xml:space="preserve">myös huomioon, kuinka ETS-jouston hyödyntäminen vaikuttaa tilanteeseen. </w:t>
      </w:r>
    </w:p>
    <w:p w14:paraId="07C004D5" w14:textId="77777777" w:rsidR="004D5DE6" w:rsidRDefault="004D5DE6" w:rsidP="0614320A">
      <w:pPr>
        <w:pStyle w:val="VNLeip1kappale"/>
        <w:rPr>
          <w:rFonts w:eastAsia="Arial" w:cs="Arial"/>
          <w:color w:val="000000" w:themeColor="text1"/>
        </w:rPr>
      </w:pPr>
    </w:p>
    <w:p w14:paraId="3B5F2CB6" w14:textId="1650B249" w:rsidR="000579A8" w:rsidRDefault="000674BC" w:rsidP="000674BC">
      <w:pPr>
        <w:pStyle w:val="Kuvaotsikko"/>
        <w:rPr>
          <w:rFonts w:eastAsia="Arial" w:cs="Arial"/>
        </w:rPr>
      </w:pPr>
      <w:r>
        <w:t xml:space="preserve">Kuvio </w:t>
      </w:r>
      <w:r>
        <w:fldChar w:fldCharType="begin"/>
      </w:r>
      <w:r>
        <w:instrText xml:space="preserve"> SEQ Kuvio \* ARABIC </w:instrText>
      </w:r>
      <w:r>
        <w:fldChar w:fldCharType="separate"/>
      </w:r>
      <w:r>
        <w:rPr>
          <w:noProof/>
        </w:rPr>
        <w:t>26</w:t>
      </w:r>
      <w:r>
        <w:fldChar w:fldCharType="end"/>
      </w:r>
      <w:r>
        <w:t>.</w:t>
      </w:r>
      <w:r w:rsidR="356A9BF4">
        <w:rPr>
          <w:rFonts w:eastAsia="Arial"/>
        </w:rPr>
        <w:t xml:space="preserve"> </w:t>
      </w:r>
      <w:r w:rsidR="356A9BF4" w:rsidRPr="000674BC">
        <w:rPr>
          <w:rFonts w:eastAsia="Arial" w:cs="Arial"/>
        </w:rPr>
        <w:t xml:space="preserve">Kumulatiivisten päästöjen summa </w:t>
      </w:r>
      <w:proofErr w:type="gramStart"/>
      <w:r w:rsidR="356A9BF4" w:rsidRPr="000674BC">
        <w:rPr>
          <w:rFonts w:eastAsia="Arial" w:cs="Arial"/>
        </w:rPr>
        <w:t>2021-2030</w:t>
      </w:r>
      <w:proofErr w:type="gramEnd"/>
      <w:r w:rsidR="356A9BF4" w:rsidRPr="000674BC">
        <w:rPr>
          <w:rFonts w:eastAsia="Arial" w:cs="Arial"/>
        </w:rPr>
        <w:t xml:space="preserve"> huomioiden toteuma 2021–2024, liikenteen päästöjä kasvattavat toimet</w:t>
      </w:r>
      <w:r w:rsidR="00DF5381" w:rsidRPr="000674BC">
        <w:rPr>
          <w:rFonts w:eastAsia="Arial" w:cs="Arial"/>
        </w:rPr>
        <w:t xml:space="preserve"> (ks. s. </w:t>
      </w:r>
      <w:r w:rsidR="0092122A">
        <w:rPr>
          <w:rFonts w:eastAsia="Arial" w:cs="Arial"/>
        </w:rPr>
        <w:t>61-62</w:t>
      </w:r>
      <w:r w:rsidR="00DF5381" w:rsidRPr="000674BC">
        <w:rPr>
          <w:rFonts w:eastAsia="Arial" w:cs="Arial"/>
        </w:rPr>
        <w:t>)</w:t>
      </w:r>
      <w:r w:rsidR="356A9BF4" w:rsidRPr="000674BC">
        <w:rPr>
          <w:rFonts w:eastAsia="Arial" w:cs="Arial"/>
        </w:rPr>
        <w:t xml:space="preserve"> sekä arvio toimenpideohjelmalla saavutettavasta päästötasosta 2025-2030 suhteessa arvioon Suomen </w:t>
      </w:r>
      <w:r w:rsidR="00C30B98" w:rsidRPr="000674BC">
        <w:rPr>
          <w:rFonts w:eastAsia="Arial" w:cs="Arial"/>
        </w:rPr>
        <w:t>päästökiintiöistä</w:t>
      </w:r>
      <w:r w:rsidR="356A9BF4" w:rsidRPr="000674BC">
        <w:rPr>
          <w:rFonts w:eastAsia="Arial" w:cs="Arial"/>
        </w:rPr>
        <w:t>.</w:t>
      </w:r>
    </w:p>
    <w:p w14:paraId="241424C5" w14:textId="28F7DB32" w:rsidR="005E0663" w:rsidRPr="005E0663" w:rsidRDefault="005E0663" w:rsidP="005E0663">
      <w:pPr>
        <w:rPr>
          <w:rFonts w:eastAsia="Arial"/>
        </w:rPr>
      </w:pPr>
      <w:r>
        <w:rPr>
          <w:noProof/>
        </w:rPr>
        <w:drawing>
          <wp:inline distT="0" distB="0" distL="0" distR="0" wp14:anchorId="47A0E1C2" wp14:editId="5A868100">
            <wp:extent cx="4895850" cy="4062714"/>
            <wp:effectExtent l="0" t="0" r="0" b="0"/>
            <wp:docPr id="462851010" name="Chart 1">
              <a:extLst xmlns:a="http://schemas.openxmlformats.org/drawingml/2006/main">
                <a:ext uri="{FF2B5EF4-FFF2-40B4-BE49-F238E27FC236}">
                  <a16:creationId xmlns:a16="http://schemas.microsoft.com/office/drawing/2014/main" id="{B0898916-1A56-4E8B-AF09-E07978CAF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9664889" w14:textId="77777777" w:rsidR="004D5DE6" w:rsidRDefault="004D5DE6" w:rsidP="00744905">
      <w:pPr>
        <w:pStyle w:val="VNLeip1kappale"/>
        <w:rPr>
          <w:rFonts w:eastAsia="Arial" w:cs="Arial"/>
          <w:color w:val="000000" w:themeColor="text1"/>
        </w:rPr>
      </w:pPr>
    </w:p>
    <w:p w14:paraId="75156685" w14:textId="0085F87D" w:rsidR="00744905" w:rsidRDefault="00744905" w:rsidP="00744905">
      <w:pPr>
        <w:pStyle w:val="VNLeip1kappale"/>
        <w:rPr>
          <w:rFonts w:eastAsia="Arial" w:cs="Arial"/>
          <w:color w:val="000000" w:themeColor="text1"/>
        </w:rPr>
      </w:pPr>
      <w:r w:rsidRPr="00807362">
        <w:rPr>
          <w:rFonts w:eastAsia="Arial" w:cs="Arial"/>
          <w:color w:val="000000" w:themeColor="text1"/>
        </w:rPr>
        <w:t>Lopputuloksena nähdään, että jos toimenpideohjelman skenaario toteutuu ja kun ETS-jousto huomioidaan, saavutetaan tavoite 6 Mt marginaalilla. Suomi jää kumulatiivisesta tavoitteesta n. 1 Mt verran, jos ETS-joustoa ei oteta huomioon. Kumulatiivisten päästöjen arvioinnissa on käytetty liikenteen päästölisäyksistä arvion alarajaa ja arvioinnin tulos on herkkä esimerkiksi nykytoimiskenaarion mukaisen päästökehityksen toteutumiselle. Epävarmuustekijöitä tarkastellaan lähemmin seuraav</w:t>
      </w:r>
      <w:r>
        <w:rPr>
          <w:rFonts w:eastAsia="Arial" w:cs="Arial"/>
          <w:color w:val="000000" w:themeColor="text1"/>
        </w:rPr>
        <w:t>i</w:t>
      </w:r>
      <w:r w:rsidRPr="00807362">
        <w:rPr>
          <w:rFonts w:eastAsia="Arial" w:cs="Arial"/>
          <w:color w:val="000000" w:themeColor="text1"/>
        </w:rPr>
        <w:t>ssa kappaleessa ja luvussa 7.2.</w:t>
      </w:r>
    </w:p>
    <w:p w14:paraId="7E060B4F" w14:textId="61B911D9" w:rsidR="00BF5D47" w:rsidRDefault="00735676" w:rsidP="0614320A">
      <w:pPr>
        <w:pStyle w:val="VNLeip1kappale"/>
        <w:rPr>
          <w:rFonts w:eastAsia="Arial" w:cs="Arial"/>
          <w:color w:val="000000" w:themeColor="text1"/>
        </w:rPr>
      </w:pPr>
      <w:r>
        <w:rPr>
          <w:rFonts w:eastAsia="Arial" w:cs="Arial"/>
          <w:color w:val="000000" w:themeColor="text1"/>
        </w:rPr>
        <w:t>Y</w:t>
      </w:r>
      <w:r w:rsidR="1A0E68BE" w:rsidRPr="0614320A">
        <w:rPr>
          <w:rFonts w:eastAsia="Arial" w:cs="Arial"/>
          <w:color w:val="000000" w:themeColor="text1"/>
        </w:rPr>
        <w:t xml:space="preserve">llä esitetty arvio </w:t>
      </w:r>
      <w:r>
        <w:rPr>
          <w:rFonts w:eastAsia="Arial" w:cs="Arial"/>
          <w:color w:val="000000" w:themeColor="text1"/>
        </w:rPr>
        <w:t xml:space="preserve">sisältää </w:t>
      </w:r>
      <w:r w:rsidR="1A0E68BE" w:rsidRPr="0614320A">
        <w:rPr>
          <w:rFonts w:eastAsia="Arial" w:cs="Arial"/>
          <w:color w:val="000000" w:themeColor="text1"/>
        </w:rPr>
        <w:t xml:space="preserve">huomattavasti epävarmuutta. Epävarmuudet ovat merkittävät yllä esitetyssä analyysissa ja epävarmuuden lähteitä on useita. </w:t>
      </w:r>
      <w:proofErr w:type="spellStart"/>
      <w:r w:rsidR="1A0E68BE" w:rsidRPr="3CFB8797">
        <w:rPr>
          <w:rFonts w:eastAsia="Arial" w:cs="Arial"/>
          <w:color w:val="000000" w:themeColor="text1"/>
        </w:rPr>
        <w:t>KAISUn</w:t>
      </w:r>
      <w:proofErr w:type="spellEnd"/>
      <w:r w:rsidR="1A0E68BE" w:rsidRPr="0614320A">
        <w:rPr>
          <w:rFonts w:eastAsia="Arial" w:cs="Arial"/>
          <w:color w:val="000000" w:themeColor="text1"/>
        </w:rPr>
        <w:t xml:space="preserve"> toimenpideohjelman vaikutus arvioidaan suhteessa KEITO WEM </w:t>
      </w:r>
      <w:r>
        <w:rPr>
          <w:rFonts w:eastAsia="Arial" w:cs="Arial"/>
          <w:color w:val="000000" w:themeColor="text1"/>
        </w:rPr>
        <w:t>-</w:t>
      </w:r>
      <w:r w:rsidR="1A0E68BE" w:rsidRPr="0614320A">
        <w:rPr>
          <w:rFonts w:eastAsia="Arial" w:cs="Arial"/>
          <w:color w:val="000000" w:themeColor="text1"/>
        </w:rPr>
        <w:t>skenaarion</w:t>
      </w:r>
      <w:r w:rsidR="00354B4B">
        <w:rPr>
          <w:rFonts w:eastAsia="Arial" w:cs="Arial"/>
          <w:color w:val="000000" w:themeColor="text1"/>
        </w:rPr>
        <w:t xml:space="preserve"> vuosien 2025 ja 2030 päästötasoihin</w:t>
      </w:r>
      <w:r w:rsidR="1A0E68BE" w:rsidRPr="0614320A">
        <w:rPr>
          <w:rFonts w:eastAsia="Arial" w:cs="Arial"/>
          <w:color w:val="000000" w:themeColor="text1"/>
        </w:rPr>
        <w:t xml:space="preserve">. </w:t>
      </w:r>
      <w:r w:rsidR="00BF5D47">
        <w:rPr>
          <w:rFonts w:eastAsia="Arial" w:cs="Arial"/>
          <w:color w:val="000000" w:themeColor="text1"/>
        </w:rPr>
        <w:t xml:space="preserve">Jos vuoden 2025 päästötaso </w:t>
      </w:r>
      <w:r w:rsidR="004D07EC">
        <w:rPr>
          <w:rFonts w:eastAsia="Arial" w:cs="Arial"/>
          <w:color w:val="000000" w:themeColor="text1"/>
        </w:rPr>
        <w:t>onkin</w:t>
      </w:r>
      <w:r w:rsidR="00BF5D47">
        <w:rPr>
          <w:rFonts w:eastAsia="Arial" w:cs="Arial"/>
          <w:color w:val="000000" w:themeColor="text1"/>
        </w:rPr>
        <w:t xml:space="preserve"> 1 Mt korkeam</w:t>
      </w:r>
      <w:r w:rsidR="009F389A">
        <w:rPr>
          <w:rFonts w:eastAsia="Arial" w:cs="Arial"/>
          <w:color w:val="000000" w:themeColor="text1"/>
        </w:rPr>
        <w:t>pi</w:t>
      </w:r>
      <w:r w:rsidR="00BF5D47">
        <w:rPr>
          <w:rFonts w:eastAsia="Arial" w:cs="Arial"/>
          <w:color w:val="000000" w:themeColor="text1"/>
        </w:rPr>
        <w:t xml:space="preserve"> kuin KEITO-WEM-skenaariossa on </w:t>
      </w:r>
      <w:proofErr w:type="gramStart"/>
      <w:r w:rsidR="00BF5D47">
        <w:rPr>
          <w:rFonts w:eastAsia="Arial" w:cs="Arial"/>
          <w:color w:val="000000" w:themeColor="text1"/>
        </w:rPr>
        <w:t xml:space="preserve">arvioitu,  </w:t>
      </w:r>
      <w:r w:rsidR="00692AE7">
        <w:rPr>
          <w:rFonts w:eastAsia="Arial" w:cs="Arial"/>
          <w:color w:val="000000" w:themeColor="text1"/>
        </w:rPr>
        <w:t>6</w:t>
      </w:r>
      <w:proofErr w:type="gramEnd"/>
      <w:r w:rsidR="00692AE7">
        <w:rPr>
          <w:rFonts w:eastAsia="Arial" w:cs="Arial"/>
          <w:color w:val="000000" w:themeColor="text1"/>
        </w:rPr>
        <w:t xml:space="preserve"> Mt marginaali puolittuu.</w:t>
      </w:r>
      <w:r w:rsidR="00573F0B">
        <w:rPr>
          <w:rFonts w:eastAsia="Arial" w:cs="Arial"/>
          <w:color w:val="000000" w:themeColor="text1"/>
        </w:rPr>
        <w:t xml:space="preserve"> Jos </w:t>
      </w:r>
      <w:r w:rsidR="00C2631E">
        <w:rPr>
          <w:rFonts w:eastAsia="Arial" w:cs="Arial"/>
          <w:color w:val="000000" w:themeColor="text1"/>
        </w:rPr>
        <w:t>lisäksi</w:t>
      </w:r>
      <w:r w:rsidR="00573F0B">
        <w:rPr>
          <w:rFonts w:eastAsia="Arial" w:cs="Arial"/>
          <w:color w:val="000000" w:themeColor="text1"/>
        </w:rPr>
        <w:t xml:space="preserve"> liikenteen päästölisäykset toteutuvat arvioidun alarajan sijaan ylärajan verran, </w:t>
      </w:r>
      <w:r w:rsidR="00C2631E">
        <w:rPr>
          <w:rFonts w:eastAsia="Arial" w:cs="Arial"/>
          <w:color w:val="000000" w:themeColor="text1"/>
        </w:rPr>
        <w:t xml:space="preserve">ylitetään </w:t>
      </w:r>
      <w:r w:rsidR="00D12A5A">
        <w:rPr>
          <w:rFonts w:eastAsia="Arial" w:cs="Arial"/>
          <w:color w:val="000000" w:themeColor="text1"/>
        </w:rPr>
        <w:t xml:space="preserve">kumulatiivinen tavoite. </w:t>
      </w:r>
      <w:r w:rsidR="00573F0B">
        <w:rPr>
          <w:rFonts w:eastAsia="Arial" w:cs="Arial"/>
          <w:color w:val="000000" w:themeColor="text1"/>
        </w:rPr>
        <w:t xml:space="preserve"> </w:t>
      </w:r>
    </w:p>
    <w:p w14:paraId="714F0C5E" w14:textId="797AFB42" w:rsidR="1A0E68BE" w:rsidRPr="00087A56" w:rsidRDefault="1A0E68BE" w:rsidP="0614320A">
      <w:pPr>
        <w:pStyle w:val="VNLeip1kappale"/>
        <w:rPr>
          <w:rFonts w:eastAsia="Arial" w:cs="Arial"/>
          <w:color w:val="000000" w:themeColor="text1"/>
        </w:rPr>
      </w:pPr>
      <w:r w:rsidRPr="0614320A">
        <w:rPr>
          <w:rFonts w:eastAsia="Arial" w:cs="Arial"/>
          <w:color w:val="000000" w:themeColor="text1"/>
        </w:rPr>
        <w:t>Yksittäisten toimien ja kehityskulkujen toteutuminen siinä laajuudessa kuin ne on arvioitu skenaariomallinnuksissa tai toimenpideohjelmassa</w:t>
      </w:r>
      <w:r w:rsidR="0F8B4BA3" w:rsidRPr="15266EB2">
        <w:rPr>
          <w:rFonts w:eastAsia="Arial" w:cs="Arial"/>
          <w:color w:val="000000" w:themeColor="text1"/>
        </w:rPr>
        <w:t>,</w:t>
      </w:r>
      <w:r w:rsidR="0F8B4BA3" w:rsidRPr="213CD13D">
        <w:rPr>
          <w:rFonts w:eastAsia="Arial" w:cs="Arial"/>
          <w:color w:val="000000" w:themeColor="text1"/>
        </w:rPr>
        <w:t xml:space="preserve"> </w:t>
      </w:r>
      <w:r w:rsidRPr="0614320A">
        <w:rPr>
          <w:rFonts w:eastAsia="Arial" w:cs="Arial"/>
          <w:color w:val="000000" w:themeColor="text1"/>
        </w:rPr>
        <w:t xml:space="preserve">riippuu niiden toimeenpano- ja rahoitustilanteesta sekä sosioekonomisesta kehityksestä. Skenaariolaskennan </w:t>
      </w:r>
      <w:r w:rsidR="00A36EC3">
        <w:rPr>
          <w:rFonts w:eastAsia="Arial" w:cs="Arial"/>
          <w:color w:val="000000" w:themeColor="text1"/>
        </w:rPr>
        <w:t>ja toimenpideohjelman vaikutusarvioinnin</w:t>
      </w:r>
      <w:r w:rsidRPr="0614320A">
        <w:rPr>
          <w:rFonts w:eastAsia="Arial" w:cs="Arial"/>
          <w:color w:val="000000" w:themeColor="text1"/>
        </w:rPr>
        <w:t xml:space="preserve"> tuloksien epävarmuus riippuu siis annettujen lähtötietojen epävarmuudesta ja yhteensopivuudesta. Mallilaskelmissa </w:t>
      </w:r>
      <w:r w:rsidR="000604C1">
        <w:rPr>
          <w:rFonts w:eastAsia="Arial" w:cs="Arial"/>
          <w:color w:val="000000" w:themeColor="text1"/>
        </w:rPr>
        <w:t xml:space="preserve">tai toimenpideohjelman arvioinnissa </w:t>
      </w:r>
      <w:r w:rsidRPr="0614320A">
        <w:rPr>
          <w:rFonts w:eastAsia="Arial" w:cs="Arial"/>
          <w:color w:val="000000" w:themeColor="text1"/>
        </w:rPr>
        <w:t xml:space="preserve">ei ole tehty </w:t>
      </w:r>
      <w:r w:rsidRPr="00087A56">
        <w:rPr>
          <w:rFonts w:eastAsia="Arial" w:cs="Arial"/>
          <w:color w:val="000000" w:themeColor="text1"/>
        </w:rPr>
        <w:t>herkkyystarkasteluja, kuten esimerkiksi varioimalla ETS2-hintaa</w:t>
      </w:r>
      <w:r w:rsidR="000604C1">
        <w:rPr>
          <w:rFonts w:eastAsia="Arial" w:cs="Arial"/>
          <w:color w:val="000000" w:themeColor="text1"/>
        </w:rPr>
        <w:t xml:space="preserve"> tai </w:t>
      </w:r>
      <w:r w:rsidR="00BB22BB">
        <w:rPr>
          <w:rFonts w:eastAsia="Arial" w:cs="Arial"/>
          <w:color w:val="000000" w:themeColor="text1"/>
        </w:rPr>
        <w:t xml:space="preserve">huomioimalla rahoituksen </w:t>
      </w:r>
      <w:r w:rsidR="00AF4CA9">
        <w:rPr>
          <w:rFonts w:eastAsia="Arial" w:cs="Arial"/>
          <w:color w:val="000000" w:themeColor="text1"/>
        </w:rPr>
        <w:t>ajoittumista</w:t>
      </w:r>
      <w:r w:rsidRPr="00087A56">
        <w:rPr>
          <w:rFonts w:eastAsia="Arial" w:cs="Arial"/>
          <w:color w:val="000000" w:themeColor="text1"/>
        </w:rPr>
        <w:t>.</w:t>
      </w:r>
    </w:p>
    <w:p w14:paraId="219BB8A9" w14:textId="3FA4F6A1" w:rsidR="1A0E68BE" w:rsidRDefault="1A0E68BE" w:rsidP="0614320A">
      <w:pPr>
        <w:pStyle w:val="VNLeip1kappale"/>
        <w:rPr>
          <w:rFonts w:eastAsia="Arial" w:cs="Arial"/>
          <w:color w:val="000000" w:themeColor="text1"/>
        </w:rPr>
      </w:pPr>
      <w:r w:rsidRPr="00087A56">
        <w:rPr>
          <w:rFonts w:eastAsia="Arial" w:cs="Arial"/>
          <w:color w:val="000000" w:themeColor="text1"/>
        </w:rPr>
        <w:t>Vuonna 2024 pikaennakkotietojen mukaan taakanjakosektorin päästöt olivat 2</w:t>
      </w:r>
      <w:r w:rsidRPr="00087A56">
        <w:rPr>
          <w:rFonts w:eastAsia="Arial"/>
        </w:rPr>
        <w:t>5,4</w:t>
      </w:r>
      <w:r w:rsidRPr="00087A56">
        <w:rPr>
          <w:rFonts w:eastAsia="Arial" w:cs="Arial"/>
          <w:color w:val="000000" w:themeColor="text1"/>
        </w:rPr>
        <w:t xml:space="preserve"> Mt, joten vuoden 2024 päästötasosta matkaa tavoitteeseen 2030 on n. 8,</w:t>
      </w:r>
      <w:r w:rsidR="4AA95192" w:rsidRPr="00087A56">
        <w:rPr>
          <w:rFonts w:eastAsia="Arial" w:cs="Arial"/>
          <w:color w:val="000000" w:themeColor="text1"/>
        </w:rPr>
        <w:t>3</w:t>
      </w:r>
      <w:r w:rsidRPr="00087A56">
        <w:rPr>
          <w:rFonts w:eastAsia="Arial" w:cs="Arial"/>
          <w:color w:val="000000" w:themeColor="text1"/>
        </w:rPr>
        <w:t xml:space="preserve"> Mt ja aikaa</w:t>
      </w:r>
      <w:r w:rsidRPr="0614320A">
        <w:rPr>
          <w:rFonts w:eastAsia="Arial" w:cs="Arial"/>
          <w:color w:val="000000" w:themeColor="text1"/>
        </w:rPr>
        <w:t xml:space="preserve"> </w:t>
      </w:r>
      <w:r>
        <w:rPr>
          <w:rFonts w:eastAsia="Arial" w:cs="Arial"/>
          <w:color w:val="000000" w:themeColor="text1"/>
        </w:rPr>
        <w:t>toteuttaa</w:t>
      </w:r>
      <w:r w:rsidRPr="0614320A">
        <w:rPr>
          <w:rFonts w:eastAsia="Arial" w:cs="Arial"/>
          <w:color w:val="000000" w:themeColor="text1"/>
        </w:rPr>
        <w:t xml:space="preserve"> toimia vain </w:t>
      </w:r>
      <w:r w:rsidR="003864DF" w:rsidRPr="5CC835E3">
        <w:rPr>
          <w:rFonts w:eastAsia="Arial" w:cs="Arial"/>
          <w:color w:val="000000" w:themeColor="text1"/>
        </w:rPr>
        <w:t xml:space="preserve">viisi </w:t>
      </w:r>
      <w:r w:rsidR="35DED850" w:rsidRPr="068FCA3C">
        <w:rPr>
          <w:rFonts w:eastAsia="Arial" w:cs="Arial"/>
          <w:color w:val="000000" w:themeColor="text1"/>
        </w:rPr>
        <w:t>vuotta</w:t>
      </w:r>
      <w:r w:rsidRPr="0614320A">
        <w:rPr>
          <w:rFonts w:eastAsia="Arial" w:cs="Arial"/>
          <w:color w:val="000000" w:themeColor="text1"/>
        </w:rPr>
        <w:t xml:space="preserve"> (eli </w:t>
      </w:r>
      <w:r w:rsidRPr="6E92401B">
        <w:rPr>
          <w:rFonts w:eastAsia="Arial" w:cs="Arial"/>
          <w:color w:val="000000" w:themeColor="text1"/>
        </w:rPr>
        <w:t>vuo</w:t>
      </w:r>
      <w:r w:rsidR="1AE641DC" w:rsidRPr="6E92401B">
        <w:rPr>
          <w:rFonts w:eastAsia="Arial" w:cs="Arial"/>
          <w:color w:val="000000" w:themeColor="text1"/>
        </w:rPr>
        <w:t>det</w:t>
      </w:r>
      <w:r w:rsidRPr="0614320A">
        <w:rPr>
          <w:rFonts w:eastAsia="Arial" w:cs="Arial"/>
          <w:color w:val="000000" w:themeColor="text1"/>
        </w:rPr>
        <w:t xml:space="preserve"> 2026–2030). </w:t>
      </w:r>
      <w:r w:rsidR="70583A18" w:rsidRPr="3E0DD63E">
        <w:rPr>
          <w:rFonts w:eastAsia="Arial" w:cs="Arial"/>
          <w:color w:val="000000" w:themeColor="text1"/>
        </w:rPr>
        <w:t>Jakson</w:t>
      </w:r>
      <w:r w:rsidR="70583A18" w:rsidRPr="1228D53F">
        <w:rPr>
          <w:rFonts w:eastAsia="Arial" w:cs="Arial"/>
          <w:color w:val="000000" w:themeColor="text1"/>
        </w:rPr>
        <w:t xml:space="preserve"> loppuvuosille </w:t>
      </w:r>
      <w:r w:rsidR="70583A18" w:rsidRPr="3E0DD63E">
        <w:rPr>
          <w:rFonts w:eastAsia="Arial" w:cs="Arial"/>
          <w:color w:val="000000" w:themeColor="text1"/>
        </w:rPr>
        <w:t>v</w:t>
      </w:r>
      <w:r w:rsidRPr="3E0DD63E">
        <w:rPr>
          <w:rFonts w:eastAsia="Arial" w:cs="Arial"/>
          <w:color w:val="000000" w:themeColor="text1"/>
        </w:rPr>
        <w:t>aadittava päästökehitys</w:t>
      </w:r>
      <w:r w:rsidRPr="0614320A">
        <w:rPr>
          <w:rFonts w:eastAsia="Arial" w:cs="Arial"/>
          <w:color w:val="000000" w:themeColor="text1"/>
        </w:rPr>
        <w:t xml:space="preserve"> tavoitteiden saavuttamiseksi on nopeampaa kuin mitä vuosina 2021–2024 on nähty. Lisäksi</w:t>
      </w:r>
      <w:r w:rsidRPr="068FCA3C">
        <w:rPr>
          <w:rFonts w:eastAsia="Arial" w:cs="Arial"/>
        </w:rPr>
        <w:t xml:space="preserve"> sekä </w:t>
      </w:r>
      <w:proofErr w:type="spellStart"/>
      <w:r w:rsidRPr="390C3A36">
        <w:rPr>
          <w:rFonts w:eastAsia="Arial" w:cs="Arial"/>
        </w:rPr>
        <w:t>KAISUn</w:t>
      </w:r>
      <w:proofErr w:type="spellEnd"/>
      <w:r w:rsidRPr="068FCA3C">
        <w:rPr>
          <w:rFonts w:eastAsia="Arial" w:cs="Arial"/>
        </w:rPr>
        <w:t xml:space="preserve"> </w:t>
      </w:r>
      <w:proofErr w:type="gramStart"/>
      <w:r w:rsidRPr="068FCA3C">
        <w:rPr>
          <w:rFonts w:eastAsia="Arial" w:cs="Arial"/>
        </w:rPr>
        <w:t>toimenpideohjelman</w:t>
      </w:r>
      <w:proofErr w:type="gramEnd"/>
      <w:r w:rsidRPr="068FCA3C">
        <w:rPr>
          <w:rFonts w:eastAsia="Arial" w:cs="Arial"/>
        </w:rPr>
        <w:t xml:space="preserve"> että KEITO</w:t>
      </w:r>
      <w:r w:rsidRPr="068FCA3C">
        <w:rPr>
          <w:rFonts w:eastAsia="Arial" w:cs="Arial"/>
          <w:color w:val="D13438"/>
        </w:rPr>
        <w:t xml:space="preserve"> </w:t>
      </w:r>
      <w:r w:rsidRPr="0614320A">
        <w:rPr>
          <w:rFonts w:eastAsia="Arial" w:cs="Arial"/>
          <w:color w:val="000000" w:themeColor="text1"/>
        </w:rPr>
        <w:t xml:space="preserve">WAM-skenaarion </w:t>
      </w:r>
      <w:r w:rsidR="04939793" w:rsidRPr="383880F6">
        <w:rPr>
          <w:rFonts w:eastAsia="Arial" w:cs="Arial"/>
          <w:color w:val="000000" w:themeColor="text1"/>
        </w:rPr>
        <w:t>mukai</w:t>
      </w:r>
      <w:r w:rsidR="1167D3F4" w:rsidRPr="383880F6">
        <w:rPr>
          <w:rFonts w:eastAsia="Arial" w:cs="Arial"/>
          <w:color w:val="000000" w:themeColor="text1"/>
        </w:rPr>
        <w:t>nen</w:t>
      </w:r>
      <w:r w:rsidR="04939793" w:rsidRPr="1A9EC397">
        <w:rPr>
          <w:rFonts w:eastAsia="Arial" w:cs="Arial"/>
          <w:color w:val="000000" w:themeColor="text1"/>
        </w:rPr>
        <w:t xml:space="preserve"> vuoden 2030</w:t>
      </w:r>
      <w:r w:rsidR="00477C3B">
        <w:rPr>
          <w:rFonts w:eastAsia="Arial" w:cs="Arial"/>
          <w:color w:val="000000" w:themeColor="text1"/>
        </w:rPr>
        <w:t xml:space="preserve"> </w:t>
      </w:r>
      <w:r w:rsidR="009372F1" w:rsidRPr="383880F6">
        <w:rPr>
          <w:rFonts w:eastAsia="Arial" w:cs="Arial"/>
          <w:color w:val="000000" w:themeColor="text1"/>
        </w:rPr>
        <w:t>päästöt</w:t>
      </w:r>
      <w:r w:rsidR="2C3F152E" w:rsidRPr="383880F6">
        <w:rPr>
          <w:rFonts w:eastAsia="Arial" w:cs="Arial"/>
          <w:color w:val="000000" w:themeColor="text1"/>
        </w:rPr>
        <w:t>aso</w:t>
      </w:r>
      <w:r w:rsidR="009372F1" w:rsidRPr="383880F6">
        <w:rPr>
          <w:rFonts w:eastAsia="Arial" w:cs="Arial"/>
          <w:color w:val="000000" w:themeColor="text1"/>
        </w:rPr>
        <w:t xml:space="preserve"> </w:t>
      </w:r>
      <w:r w:rsidRPr="383880F6">
        <w:rPr>
          <w:rFonts w:eastAsia="Arial" w:cs="Arial"/>
          <w:color w:val="000000" w:themeColor="text1"/>
        </w:rPr>
        <w:t>ei</w:t>
      </w:r>
      <w:r w:rsidRPr="0614320A">
        <w:rPr>
          <w:rFonts w:eastAsia="Arial" w:cs="Arial"/>
          <w:color w:val="000000" w:themeColor="text1"/>
        </w:rPr>
        <w:t xml:space="preserve"> ole </w:t>
      </w:r>
      <w:r w:rsidRPr="02B235B9">
        <w:rPr>
          <w:rFonts w:eastAsia="Arial" w:cs="Arial"/>
          <w:color w:val="000000" w:themeColor="text1"/>
        </w:rPr>
        <w:t>riittävä</w:t>
      </w:r>
      <w:r w:rsidRPr="0614320A">
        <w:rPr>
          <w:rFonts w:eastAsia="Arial" w:cs="Arial"/>
          <w:color w:val="000000" w:themeColor="text1"/>
        </w:rPr>
        <w:t xml:space="preserve"> 50 %:n päästövähennysvelvoitteen saavuttamiseksi. Tämä tarkoittaa, että päästövähennystahti on jakson loppua kohti hitaampaa kuin velvoite edellyttäisi. </w:t>
      </w:r>
      <w:r w:rsidR="67865548" w:rsidRPr="004D5DE6">
        <w:rPr>
          <w:rFonts w:eastAsia="Arial" w:cs="Arial"/>
          <w:color w:val="000000" w:themeColor="text1"/>
        </w:rPr>
        <w:t>Tilanteen korjaamiseksi on mahdollista hyödyntää taakanjakoasetuksen mukaisia joustoja ja yksiköiden hankintaa muilta jäsenmailta</w:t>
      </w:r>
      <w:r w:rsidR="07FEE72C" w:rsidRPr="004D5DE6">
        <w:rPr>
          <w:rFonts w:eastAsia="Arial" w:cs="Arial"/>
          <w:color w:val="000000" w:themeColor="text1"/>
        </w:rPr>
        <w:t xml:space="preserve"> (ks. tarkemmin luku 7.3).</w:t>
      </w:r>
      <w:r w:rsidR="67865548" w:rsidRPr="004D5DE6">
        <w:rPr>
          <w:rFonts w:eastAsia="Arial" w:cs="Arial"/>
          <w:color w:val="000000" w:themeColor="text1"/>
        </w:rPr>
        <w:t xml:space="preserve"> </w:t>
      </w:r>
      <w:r w:rsidR="7311E2BB" w:rsidRPr="004D5DE6">
        <w:rPr>
          <w:rFonts w:eastAsia="Arial" w:cs="Arial"/>
          <w:color w:val="000000" w:themeColor="text1"/>
        </w:rPr>
        <w:t>T</w:t>
      </w:r>
      <w:r w:rsidR="14D43D3D" w:rsidRPr="004D5DE6">
        <w:rPr>
          <w:rFonts w:eastAsia="Arial" w:cs="Arial"/>
          <w:color w:val="000000" w:themeColor="text1"/>
        </w:rPr>
        <w:t xml:space="preserve">ilanteeseen voidaan </w:t>
      </w:r>
      <w:r w:rsidR="756ED867" w:rsidRPr="004D5DE6">
        <w:rPr>
          <w:rFonts w:eastAsia="Arial" w:cs="Arial"/>
          <w:color w:val="000000" w:themeColor="text1"/>
        </w:rPr>
        <w:t xml:space="preserve">myös </w:t>
      </w:r>
      <w:r w:rsidR="14D43D3D" w:rsidRPr="004D5DE6">
        <w:rPr>
          <w:rFonts w:eastAsia="Arial" w:cs="Arial"/>
          <w:color w:val="000000" w:themeColor="text1"/>
        </w:rPr>
        <w:t>reagoida lä</w:t>
      </w:r>
      <w:r w:rsidR="537AA825" w:rsidRPr="004D5DE6">
        <w:rPr>
          <w:rFonts w:eastAsia="Arial" w:cs="Arial"/>
          <w:color w:val="000000" w:themeColor="text1"/>
        </w:rPr>
        <w:t>hivuosien päästökehityksen perusteella nopeasti vaikuttavilla päästövähennyskeinoilla.</w:t>
      </w:r>
      <w:r w:rsidRPr="5EAF9725">
        <w:rPr>
          <w:rFonts w:eastAsia="Arial" w:cs="Arial"/>
          <w:color w:val="000000" w:themeColor="text1"/>
        </w:rPr>
        <w:t xml:space="preserve"> </w:t>
      </w:r>
    </w:p>
    <w:p w14:paraId="3C1914BF" w14:textId="0D9A6D34" w:rsidR="1A0E68BE" w:rsidRDefault="1A0E68BE" w:rsidP="0614320A">
      <w:pPr>
        <w:pStyle w:val="VNLeip1kappale"/>
        <w:rPr>
          <w:rFonts w:eastAsia="Arial" w:cs="Arial"/>
          <w:color w:val="000000" w:themeColor="text1"/>
        </w:rPr>
      </w:pPr>
      <w:r w:rsidRPr="0614320A">
        <w:rPr>
          <w:rFonts w:eastAsia="Arial" w:cs="Arial"/>
          <w:color w:val="000000" w:themeColor="text1"/>
        </w:rPr>
        <w:t xml:space="preserve">Vuonna 2035 päästökauppa- ja taakanjakosektorien yhteenlaskettujen päästöjen tulisi olla enintään yhtä suuret kuin maankäyttösektorin nettonielu ilmastolain hiilineutraaliustavoitteen saavuttamiseksi.  Ilmastolaissa ei ole kuitenkaan määritelty millä päästö- ja nielutasolla hiilineutraalius toteutuu. Ilmastopolitiikan suunnittelussa ei ole myöskään linjattu mikä taakanjakosektorin osuus kokonaispäästöistä olisi vuonna 2035 ja edelleen vuonna 2040. Taakanjakosektorille ei ole EU-lainsäädännössä asetettu vuoden 2030 jälkeisiä velvoitteita. Tällä hetkellä ei voida pitää varmana, että taakanjakoasetus jatkuisi nykymuodossaan vuoden 2030 jälkeen. </w:t>
      </w:r>
    </w:p>
    <w:p w14:paraId="3BC6F5A8" w14:textId="7CF3695D" w:rsidR="1A0E68BE" w:rsidRDefault="1A0E68BE" w:rsidP="0614320A">
      <w:pPr>
        <w:pStyle w:val="VNLeip1kappale"/>
        <w:rPr>
          <w:rFonts w:eastAsia="Arial" w:cs="Arial"/>
          <w:color w:val="000000" w:themeColor="text1"/>
        </w:rPr>
      </w:pPr>
      <w:r w:rsidRPr="0614320A">
        <w:rPr>
          <w:rFonts w:eastAsia="Arial" w:cs="Arial"/>
          <w:color w:val="000000" w:themeColor="text1"/>
        </w:rPr>
        <w:t>Tässä suunnitelmassa on tarkasteltu taakanjakosektorin päästökehitystä vuoden 2030 jälkeen KEITO-</w:t>
      </w:r>
      <w:r w:rsidR="00DF4474">
        <w:rPr>
          <w:rFonts w:eastAsia="Arial" w:cs="Arial"/>
          <w:color w:val="000000" w:themeColor="text1"/>
        </w:rPr>
        <w:t>työn</w:t>
      </w:r>
      <w:r w:rsidRPr="0614320A">
        <w:rPr>
          <w:rFonts w:eastAsia="Arial" w:cs="Arial"/>
          <w:color w:val="000000" w:themeColor="text1"/>
        </w:rPr>
        <w:t xml:space="preserve"> skenaariolaskelmien perusteella. Taakanjakosektorin laskennallisia päästötavoitteita vuosina 2035 ja 2040 voidaan tarkastella olettamalla, että taakanjakosektorin osuus vuosien 2035 ja 2040 päästöistä määräytyisi jakson 2026</w:t>
      </w:r>
      <w:r w:rsidR="6F03BB42" w:rsidRPr="6D7E90DE">
        <w:rPr>
          <w:rFonts w:eastAsia="Arial" w:cs="Arial"/>
          <w:color w:val="000000" w:themeColor="text1"/>
        </w:rPr>
        <w:t>–</w:t>
      </w:r>
      <w:r w:rsidRPr="0614320A">
        <w:rPr>
          <w:rFonts w:eastAsia="Arial" w:cs="Arial"/>
          <w:color w:val="000000" w:themeColor="text1"/>
        </w:rPr>
        <w:t>2030 päästökiintiöuran perusteella. Tämä tarkoittaa</w:t>
      </w:r>
      <w:r w:rsidR="786172D5" w:rsidRPr="40E115C1">
        <w:rPr>
          <w:rFonts w:eastAsia="Arial" w:cs="Arial"/>
          <w:color w:val="000000" w:themeColor="text1"/>
        </w:rPr>
        <w:t xml:space="preserve"> oletusta siitä, että</w:t>
      </w:r>
      <w:r w:rsidRPr="0614320A">
        <w:rPr>
          <w:rFonts w:eastAsia="Arial" w:cs="Arial"/>
          <w:color w:val="000000" w:themeColor="text1"/>
        </w:rPr>
        <w:t xml:space="preserve"> taakanjakosektorin päästökehitys vuoden 2030 jälkeen jatkuu lineaarisesti jakson 2026</w:t>
      </w:r>
      <w:r w:rsidR="491BD721" w:rsidRPr="3E68AA2D">
        <w:rPr>
          <w:rFonts w:eastAsia="Arial" w:cs="Arial"/>
          <w:color w:val="000000" w:themeColor="text1"/>
        </w:rPr>
        <w:t>–</w:t>
      </w:r>
      <w:r w:rsidRPr="0614320A">
        <w:rPr>
          <w:rFonts w:eastAsia="Arial" w:cs="Arial"/>
          <w:color w:val="000000" w:themeColor="text1"/>
        </w:rPr>
        <w:t>2030 tarkoittaman kulmakertoimen mukaisesti aina vuoteen 2040 asti (1,5 Mt vuosittainen päästövähennystahti). Tällä laskentamenetelmällä taakanjakosektorin viitteellisiksi päästötavoitteiksi vuonna 2035 tulee 9,6 Mt ja vuonna 2040 2,1 Mt. Näiden viitteellisten tavoitteiden vertailu KEITO-</w:t>
      </w:r>
      <w:r w:rsidR="00DF4474">
        <w:rPr>
          <w:rFonts w:eastAsia="Arial" w:cs="Arial"/>
          <w:color w:val="000000" w:themeColor="text1"/>
        </w:rPr>
        <w:t>työn</w:t>
      </w:r>
      <w:r w:rsidRPr="0614320A">
        <w:rPr>
          <w:rFonts w:eastAsia="Arial" w:cs="Arial"/>
          <w:color w:val="000000" w:themeColor="text1"/>
        </w:rPr>
        <w:t xml:space="preserve"> WAM-skenaarioon (14,5 ja 12,5 Mt) osoittaa, että taakanjakosektorin päästövähennystahti ainakin mallilaskelmien perusteella tulee hidastumaan 2030-luvulla. Tämä johtuu siitä, että sektorin jäljellä olevat päästöt ovat vaikeasti poistettavissa. Laskennallisten päästövähennystavoitteiden saavuttaminen edellyttäisi merkittävissä määrin uusien vaikuttavien päästövähennystoimien </w:t>
      </w:r>
      <w:r w:rsidRPr="53DC80AA">
        <w:rPr>
          <w:rFonts w:eastAsia="Arial" w:cs="Arial"/>
          <w:color w:val="000000" w:themeColor="text1"/>
        </w:rPr>
        <w:t xml:space="preserve">käyttöönottamista. </w:t>
      </w:r>
    </w:p>
    <w:p w14:paraId="79DADD01" w14:textId="77777777" w:rsidR="004D5DE6" w:rsidRDefault="004D5DE6" w:rsidP="0614320A">
      <w:pPr>
        <w:pStyle w:val="VNLeip1kappale"/>
        <w:rPr>
          <w:rFonts w:eastAsia="Arial" w:cs="Arial"/>
          <w:color w:val="000000" w:themeColor="text1"/>
        </w:rPr>
      </w:pPr>
    </w:p>
    <w:p w14:paraId="37724344" w14:textId="77777777" w:rsidR="004D5DE6" w:rsidRDefault="004D5DE6" w:rsidP="0614320A">
      <w:pPr>
        <w:pStyle w:val="VNLeip1kappale"/>
        <w:rPr>
          <w:rFonts w:eastAsia="Arial" w:cs="Arial"/>
          <w:color w:val="000000" w:themeColor="text1"/>
        </w:rPr>
      </w:pPr>
    </w:p>
    <w:p w14:paraId="3B9C41DF" w14:textId="77777777" w:rsidR="004D5DE6" w:rsidRDefault="004D5DE6" w:rsidP="0614320A">
      <w:pPr>
        <w:pStyle w:val="VNLeip1kappale"/>
        <w:rPr>
          <w:rFonts w:eastAsia="Arial" w:cs="Arial"/>
          <w:color w:val="000000" w:themeColor="text1"/>
        </w:rPr>
      </w:pPr>
    </w:p>
    <w:p w14:paraId="5A70EA72" w14:textId="77777777" w:rsidR="004D5DE6" w:rsidRDefault="004D5DE6" w:rsidP="0614320A">
      <w:pPr>
        <w:pStyle w:val="VNLeip1kappale"/>
        <w:rPr>
          <w:rFonts w:eastAsia="Arial" w:cs="Arial"/>
          <w:color w:val="000000" w:themeColor="text1"/>
        </w:rPr>
      </w:pPr>
    </w:p>
    <w:p w14:paraId="5E4EEAB1" w14:textId="77777777" w:rsidR="004D5DE6" w:rsidRDefault="004D5DE6" w:rsidP="0614320A">
      <w:pPr>
        <w:pStyle w:val="VNLeip1kappale"/>
        <w:rPr>
          <w:rFonts w:eastAsia="Arial" w:cs="Arial"/>
          <w:color w:val="000000" w:themeColor="text1"/>
        </w:rPr>
      </w:pPr>
    </w:p>
    <w:p w14:paraId="3CE4F8BD" w14:textId="77777777" w:rsidR="004D5DE6" w:rsidRDefault="004D5DE6" w:rsidP="0614320A">
      <w:pPr>
        <w:pStyle w:val="VNLeip1kappale"/>
        <w:rPr>
          <w:rFonts w:eastAsia="Arial" w:cs="Arial"/>
          <w:color w:val="000000" w:themeColor="text1"/>
        </w:rPr>
      </w:pPr>
    </w:p>
    <w:p w14:paraId="4B2B4205" w14:textId="36E1BF15" w:rsidR="1A0E68BE" w:rsidRDefault="00355CAA" w:rsidP="00355CAA">
      <w:pPr>
        <w:pStyle w:val="Kuvaotsikko"/>
        <w:rPr>
          <w:rFonts w:eastAsia="Arial" w:cs="Arial"/>
          <w:color w:val="000000" w:themeColor="text1"/>
        </w:rPr>
      </w:pPr>
      <w:r>
        <w:t xml:space="preserve">Kuvio </w:t>
      </w:r>
      <w:r>
        <w:fldChar w:fldCharType="begin"/>
      </w:r>
      <w:r>
        <w:instrText xml:space="preserve"> SEQ Kuvio \* ARABIC </w:instrText>
      </w:r>
      <w:r>
        <w:fldChar w:fldCharType="separate"/>
      </w:r>
      <w:r>
        <w:rPr>
          <w:noProof/>
        </w:rPr>
        <w:t>27</w:t>
      </w:r>
      <w:r>
        <w:fldChar w:fldCharType="end"/>
      </w:r>
      <w:r>
        <w:t>.</w:t>
      </w:r>
      <w:r w:rsidR="1A0E68BE">
        <w:rPr>
          <w:rFonts w:eastAsia="Arial"/>
        </w:rPr>
        <w:t xml:space="preserve"> </w:t>
      </w:r>
      <w:r w:rsidR="1A0E68BE" w:rsidRPr="00355CAA">
        <w:rPr>
          <w:rFonts w:eastAsia="Arial" w:cs="Arial"/>
        </w:rPr>
        <w:t>Taakanjakosektorin vuosien 2030 ja 2040 välinen kehityspolku jakson 2026–2030 päästökiintiöuran päästövähennystahdin perusteella.</w:t>
      </w:r>
    </w:p>
    <w:p w14:paraId="43D9C9B6" w14:textId="728F4187" w:rsidR="27E40CAE" w:rsidRDefault="00241591" w:rsidP="27E40CAE">
      <w:pPr>
        <w:pStyle w:val="VNLeip1kappale"/>
        <w:rPr>
          <w:rFonts w:eastAsia="Arial" w:cs="Arial"/>
          <w:color w:val="000000" w:themeColor="text1"/>
        </w:rPr>
      </w:pPr>
      <w:r>
        <w:rPr>
          <w:noProof/>
        </w:rPr>
        <w:drawing>
          <wp:inline distT="0" distB="0" distL="0" distR="0" wp14:anchorId="7CD1D193" wp14:editId="711C43C1">
            <wp:extent cx="4568825" cy="2581275"/>
            <wp:effectExtent l="0" t="0" r="3175" b="0"/>
            <wp:docPr id="404218974" name="Chart 1">
              <a:extLst xmlns:a="http://schemas.openxmlformats.org/drawingml/2006/main">
                <a:ext uri="{FF2B5EF4-FFF2-40B4-BE49-F238E27FC236}">
                  <a16:creationId xmlns:a16="http://schemas.microsoft.com/office/drawing/2014/main" id="{E4EC21B6-2838-47A3-A64F-331F1784E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C3B7290" w14:textId="1A9660B8" w:rsidR="00317253" w:rsidRDefault="1A0E68BE" w:rsidP="1A04C3C8">
      <w:pPr>
        <w:pStyle w:val="VNLeip1kappale"/>
        <w:rPr>
          <w:rFonts w:eastAsia="Arial" w:cs="Arial"/>
          <w:color w:val="000000" w:themeColor="text1"/>
        </w:rPr>
      </w:pPr>
      <w:r w:rsidRPr="0614320A">
        <w:rPr>
          <w:rFonts w:eastAsia="Arial" w:cs="Arial"/>
          <w:color w:val="000000" w:themeColor="text1"/>
        </w:rPr>
        <w:t xml:space="preserve">EU:n ilmastopolitiikka vuoden 2030 jälkeen on vielä kokonaisuudessaan määrittelemättä erityisesti sektorilainsäädännön sekä vuoden 2040 ilmastotavoitteen osalta. Komissio antaa ehdotuksena EU:n ilmastolain muuttamiseksi kesällä 2025 ja sen yhteydessä selvinnee minkälainen vuoden 2040 ilmastotavoitteesta on tulossa. </w:t>
      </w:r>
      <w:r w:rsidRPr="3D3536E1">
        <w:rPr>
          <w:rFonts w:eastAsia="Arial" w:cs="Arial"/>
          <w:color w:val="000000" w:themeColor="text1"/>
        </w:rPr>
        <w:t>Taakanjakosektorille kuuluvil</w:t>
      </w:r>
      <w:r w:rsidR="79DA7C9D" w:rsidRPr="3D3536E1">
        <w:rPr>
          <w:rFonts w:eastAsia="Arial" w:cs="Arial"/>
          <w:color w:val="000000" w:themeColor="text1"/>
        </w:rPr>
        <w:t>le</w:t>
      </w:r>
      <w:r w:rsidRPr="3D3536E1">
        <w:rPr>
          <w:rFonts w:eastAsia="Arial" w:cs="Arial"/>
          <w:color w:val="000000" w:themeColor="text1"/>
        </w:rPr>
        <w:t xml:space="preserve"> aloil</w:t>
      </w:r>
      <w:r w:rsidR="4CB966BC" w:rsidRPr="3D3536E1">
        <w:rPr>
          <w:rFonts w:eastAsia="Arial" w:cs="Arial"/>
          <w:color w:val="000000" w:themeColor="text1"/>
        </w:rPr>
        <w:t>le</w:t>
      </w:r>
      <w:r w:rsidRPr="0614320A">
        <w:rPr>
          <w:rFonts w:eastAsia="Arial" w:cs="Arial"/>
          <w:color w:val="000000" w:themeColor="text1"/>
        </w:rPr>
        <w:t xml:space="preserve"> vaadittavat päästövähennykset vuoden 2030 jälkeen riippuvat myös siitä, mille päästötasolle vuonna 2030 lopulta päädytään ilman joustoja, ja toisaalta myös päästökauppa- ja maankäyttösektorien päästökehityksestä.</w:t>
      </w:r>
    </w:p>
    <w:p w14:paraId="4D859FFD" w14:textId="0B39E4A4" w:rsidR="3D05C970" w:rsidRDefault="00C13568" w:rsidP="00AB6439">
      <w:pPr>
        <w:pStyle w:val="Kuvaotsikko"/>
      </w:pPr>
      <w:r>
        <w:t>Taulukko</w:t>
      </w:r>
      <w:r w:rsidR="00AB6439">
        <w:t xml:space="preserve"> </w:t>
      </w:r>
      <w:r w:rsidR="00AB6439">
        <w:fldChar w:fldCharType="begin"/>
      </w:r>
      <w:r w:rsidR="00AB6439">
        <w:instrText xml:space="preserve"> SEQ Taulukko \* ARABIC </w:instrText>
      </w:r>
      <w:r w:rsidR="00AB6439">
        <w:fldChar w:fldCharType="separate"/>
      </w:r>
      <w:r w:rsidR="008C278F">
        <w:rPr>
          <w:noProof/>
        </w:rPr>
        <w:t>12</w:t>
      </w:r>
      <w:r w:rsidR="00AB6439">
        <w:fldChar w:fldCharType="end"/>
      </w:r>
      <w:r w:rsidR="00AB6439">
        <w:t>.</w:t>
      </w:r>
      <w:r>
        <w:t xml:space="preserve"> KEITO-</w:t>
      </w:r>
      <w:r w:rsidR="00DF4474">
        <w:t>työn</w:t>
      </w:r>
      <w:r>
        <w:t xml:space="preserve"> WEM- ja WAM-skenaariot</w:t>
      </w:r>
      <w:r w:rsidR="001D0E3A">
        <w:t xml:space="preserve"> taakan</w:t>
      </w:r>
      <w:r w:rsidR="00B83804">
        <w:t xml:space="preserve">jakosektorille vuonna 2035. </w:t>
      </w:r>
    </w:p>
    <w:tbl>
      <w:tblPr>
        <w:tblW w:w="8110" w:type="dxa"/>
        <w:tblCellMar>
          <w:left w:w="70" w:type="dxa"/>
          <w:right w:w="70" w:type="dxa"/>
        </w:tblCellMar>
        <w:tblLook w:val="04A0" w:firstRow="1" w:lastRow="0" w:firstColumn="1" w:lastColumn="0" w:noHBand="0" w:noVBand="1"/>
      </w:tblPr>
      <w:tblGrid>
        <w:gridCol w:w="4130"/>
        <w:gridCol w:w="1642"/>
        <w:gridCol w:w="2338"/>
      </w:tblGrid>
      <w:tr w:rsidR="001D0E3A" w:rsidRPr="001D0E3A" w14:paraId="4B4E42ED" w14:textId="77777777" w:rsidTr="003B0EAF">
        <w:trPr>
          <w:trHeight w:val="371"/>
        </w:trPr>
        <w:tc>
          <w:tcPr>
            <w:tcW w:w="4130" w:type="dxa"/>
            <w:tcBorders>
              <w:top w:val="nil"/>
              <w:left w:val="nil"/>
              <w:bottom w:val="nil"/>
              <w:right w:val="nil"/>
            </w:tcBorders>
            <w:noWrap/>
            <w:vAlign w:val="center"/>
            <w:hideMark/>
          </w:tcPr>
          <w:p w14:paraId="7349EDB3" w14:textId="77777777" w:rsidR="001D0E3A" w:rsidRPr="001D0E3A" w:rsidRDefault="001D0E3A" w:rsidP="001D0E3A">
            <w:pPr>
              <w:rPr>
                <w:rFonts w:ascii="Times New Roman" w:hAnsi="Times New Roman"/>
                <w:sz w:val="24"/>
                <w:szCs w:val="24"/>
              </w:rPr>
            </w:pPr>
          </w:p>
        </w:tc>
        <w:tc>
          <w:tcPr>
            <w:tcW w:w="3980" w:type="dxa"/>
            <w:gridSpan w:val="2"/>
            <w:tcBorders>
              <w:top w:val="single" w:sz="4" w:space="0" w:color="auto"/>
              <w:left w:val="single" w:sz="4" w:space="0" w:color="auto"/>
              <w:bottom w:val="single" w:sz="4" w:space="0" w:color="auto"/>
              <w:right w:val="single" w:sz="4" w:space="0" w:color="000000"/>
            </w:tcBorders>
            <w:shd w:val="clear" w:color="000000" w:fill="CBF3DB"/>
            <w:noWrap/>
            <w:vAlign w:val="center"/>
            <w:hideMark/>
          </w:tcPr>
          <w:p w14:paraId="7630DAFE" w14:textId="77777777" w:rsidR="001D0E3A" w:rsidRPr="001D0E3A" w:rsidRDefault="001D0E3A" w:rsidP="001D0E3A">
            <w:pPr>
              <w:jc w:val="center"/>
              <w:rPr>
                <w:rFonts w:cs="Arial"/>
                <w:b/>
                <w:bCs/>
                <w:color w:val="000000"/>
                <w:sz w:val="28"/>
                <w:szCs w:val="28"/>
              </w:rPr>
            </w:pPr>
            <w:r w:rsidRPr="001D0E3A">
              <w:rPr>
                <w:rFonts w:cs="Arial"/>
                <w:b/>
                <w:bCs/>
                <w:color w:val="000000"/>
                <w:sz w:val="28"/>
                <w:szCs w:val="28"/>
              </w:rPr>
              <w:t>2035</w:t>
            </w:r>
          </w:p>
        </w:tc>
      </w:tr>
      <w:tr w:rsidR="001D0E3A" w:rsidRPr="001D0E3A" w14:paraId="3F4906B7" w14:textId="77777777" w:rsidTr="003B0EAF">
        <w:trPr>
          <w:trHeight w:val="577"/>
        </w:trPr>
        <w:tc>
          <w:tcPr>
            <w:tcW w:w="4130" w:type="dxa"/>
            <w:tcBorders>
              <w:top w:val="nil"/>
              <w:left w:val="nil"/>
              <w:bottom w:val="single" w:sz="4" w:space="0" w:color="auto"/>
              <w:right w:val="nil"/>
            </w:tcBorders>
            <w:noWrap/>
            <w:vAlign w:val="center"/>
            <w:hideMark/>
          </w:tcPr>
          <w:p w14:paraId="146A534B" w14:textId="77777777" w:rsidR="001D0E3A" w:rsidRPr="001D0E3A" w:rsidRDefault="001D0E3A" w:rsidP="001D0E3A">
            <w:pPr>
              <w:jc w:val="center"/>
              <w:rPr>
                <w:rFonts w:cs="Arial"/>
                <w:b/>
                <w:bCs/>
                <w:color w:val="000000"/>
                <w:sz w:val="28"/>
                <w:szCs w:val="28"/>
              </w:rPr>
            </w:pPr>
          </w:p>
        </w:tc>
        <w:tc>
          <w:tcPr>
            <w:tcW w:w="1642" w:type="dxa"/>
            <w:tcBorders>
              <w:top w:val="nil"/>
              <w:left w:val="single" w:sz="4" w:space="0" w:color="auto"/>
              <w:bottom w:val="single" w:sz="4" w:space="0" w:color="auto"/>
              <w:right w:val="single" w:sz="4" w:space="0" w:color="auto"/>
            </w:tcBorders>
            <w:shd w:val="clear" w:color="000000" w:fill="CBF3DB"/>
            <w:vAlign w:val="center"/>
            <w:hideMark/>
          </w:tcPr>
          <w:p w14:paraId="4E0A2BE1" w14:textId="77777777" w:rsidR="001D0E3A" w:rsidRPr="001D0E3A" w:rsidRDefault="001D0E3A" w:rsidP="001D0E3A">
            <w:pPr>
              <w:jc w:val="center"/>
              <w:rPr>
                <w:rFonts w:cs="Arial"/>
                <w:b/>
                <w:bCs/>
                <w:color w:val="000000"/>
                <w:sz w:val="22"/>
                <w:szCs w:val="22"/>
              </w:rPr>
            </w:pPr>
            <w:r w:rsidRPr="001D0E3A">
              <w:rPr>
                <w:rFonts w:cs="Arial"/>
                <w:b/>
                <w:bCs/>
                <w:color w:val="000000"/>
                <w:sz w:val="22"/>
                <w:szCs w:val="22"/>
              </w:rPr>
              <w:t>KEITO WEM</w:t>
            </w:r>
          </w:p>
        </w:tc>
        <w:tc>
          <w:tcPr>
            <w:tcW w:w="2338" w:type="dxa"/>
            <w:tcBorders>
              <w:top w:val="single" w:sz="4" w:space="0" w:color="auto"/>
              <w:left w:val="nil"/>
              <w:bottom w:val="single" w:sz="4" w:space="0" w:color="auto"/>
              <w:right w:val="single" w:sz="4" w:space="0" w:color="auto"/>
            </w:tcBorders>
            <w:shd w:val="clear" w:color="000000" w:fill="CBF3DB"/>
            <w:noWrap/>
            <w:vAlign w:val="center"/>
            <w:hideMark/>
          </w:tcPr>
          <w:p w14:paraId="77422316" w14:textId="77777777" w:rsidR="001D0E3A" w:rsidRPr="001D0E3A" w:rsidRDefault="001D0E3A" w:rsidP="001D0E3A">
            <w:pPr>
              <w:jc w:val="center"/>
              <w:rPr>
                <w:rFonts w:cs="Arial"/>
                <w:b/>
                <w:bCs/>
                <w:color w:val="000000"/>
                <w:sz w:val="22"/>
                <w:szCs w:val="22"/>
              </w:rPr>
            </w:pPr>
            <w:r w:rsidRPr="001D0E3A">
              <w:rPr>
                <w:rFonts w:cs="Arial"/>
                <w:b/>
                <w:bCs/>
                <w:color w:val="000000"/>
                <w:sz w:val="22"/>
                <w:szCs w:val="22"/>
              </w:rPr>
              <w:t>KEITO WAM</w:t>
            </w:r>
          </w:p>
        </w:tc>
      </w:tr>
      <w:tr w:rsidR="001D0E3A" w:rsidRPr="001D0E3A" w14:paraId="189EF303" w14:textId="77777777" w:rsidTr="003B0EAF">
        <w:trPr>
          <w:trHeight w:val="288"/>
        </w:trPr>
        <w:tc>
          <w:tcPr>
            <w:tcW w:w="4130" w:type="dxa"/>
            <w:tcBorders>
              <w:top w:val="single" w:sz="4" w:space="0" w:color="auto"/>
              <w:left w:val="single" w:sz="4" w:space="0" w:color="auto"/>
              <w:bottom w:val="single" w:sz="4" w:space="0" w:color="auto"/>
              <w:right w:val="single" w:sz="4" w:space="0" w:color="auto"/>
            </w:tcBorders>
            <w:noWrap/>
            <w:vAlign w:val="center"/>
            <w:hideMark/>
          </w:tcPr>
          <w:p w14:paraId="6F9380E8" w14:textId="77777777" w:rsidR="001D0E3A" w:rsidRPr="001D0E3A" w:rsidRDefault="001D0E3A" w:rsidP="001D0E3A">
            <w:pPr>
              <w:rPr>
                <w:rFonts w:cs="Arial"/>
                <w:color w:val="000000"/>
                <w:sz w:val="22"/>
                <w:szCs w:val="22"/>
              </w:rPr>
            </w:pPr>
            <w:r w:rsidRPr="001D0E3A">
              <w:rPr>
                <w:rFonts w:cs="Arial"/>
                <w:color w:val="000000"/>
                <w:sz w:val="22"/>
                <w:szCs w:val="22"/>
              </w:rPr>
              <w:t>Kotimaan liikenne pl. avia</w:t>
            </w:r>
          </w:p>
        </w:tc>
        <w:tc>
          <w:tcPr>
            <w:tcW w:w="1642" w:type="dxa"/>
            <w:tcBorders>
              <w:top w:val="single" w:sz="4" w:space="0" w:color="auto"/>
              <w:left w:val="single" w:sz="4" w:space="0" w:color="auto"/>
              <w:bottom w:val="single" w:sz="4" w:space="0" w:color="auto"/>
              <w:right w:val="single" w:sz="4" w:space="0" w:color="auto"/>
            </w:tcBorders>
            <w:noWrap/>
            <w:vAlign w:val="center"/>
            <w:hideMark/>
          </w:tcPr>
          <w:p w14:paraId="08C529BD" w14:textId="77777777" w:rsidR="001D0E3A" w:rsidRPr="001D0E3A" w:rsidRDefault="001D0E3A" w:rsidP="001D0E3A">
            <w:pPr>
              <w:jc w:val="center"/>
              <w:rPr>
                <w:rFonts w:cs="Arial"/>
                <w:color w:val="000000"/>
                <w:sz w:val="22"/>
                <w:szCs w:val="22"/>
              </w:rPr>
            </w:pPr>
            <w:r w:rsidRPr="001D0E3A">
              <w:rPr>
                <w:rFonts w:cs="Arial"/>
                <w:color w:val="000000"/>
                <w:sz w:val="22"/>
                <w:szCs w:val="22"/>
              </w:rPr>
              <w:t>4,3</w:t>
            </w:r>
          </w:p>
        </w:tc>
        <w:tc>
          <w:tcPr>
            <w:tcW w:w="2338" w:type="dxa"/>
            <w:tcBorders>
              <w:top w:val="single" w:sz="4" w:space="0" w:color="auto"/>
              <w:left w:val="single" w:sz="4" w:space="0" w:color="auto"/>
              <w:bottom w:val="single" w:sz="4" w:space="0" w:color="auto"/>
              <w:right w:val="single" w:sz="4" w:space="0" w:color="auto"/>
            </w:tcBorders>
            <w:noWrap/>
            <w:vAlign w:val="center"/>
            <w:hideMark/>
          </w:tcPr>
          <w:p w14:paraId="0EDEE90B" w14:textId="77777777" w:rsidR="001D0E3A" w:rsidRPr="001D0E3A" w:rsidRDefault="001D0E3A" w:rsidP="001D0E3A">
            <w:pPr>
              <w:jc w:val="center"/>
              <w:rPr>
                <w:rFonts w:cs="Arial"/>
                <w:color w:val="000000"/>
                <w:sz w:val="22"/>
                <w:szCs w:val="22"/>
              </w:rPr>
            </w:pPr>
            <w:r w:rsidRPr="001D0E3A">
              <w:rPr>
                <w:rFonts w:cs="Arial"/>
                <w:color w:val="000000"/>
                <w:sz w:val="22"/>
                <w:szCs w:val="22"/>
              </w:rPr>
              <w:t>4,3</w:t>
            </w:r>
          </w:p>
        </w:tc>
      </w:tr>
      <w:tr w:rsidR="001D0E3A" w:rsidRPr="001D0E3A" w14:paraId="20040707" w14:textId="77777777" w:rsidTr="003B0EAF">
        <w:trPr>
          <w:trHeight w:val="288"/>
        </w:trPr>
        <w:tc>
          <w:tcPr>
            <w:tcW w:w="4130" w:type="dxa"/>
            <w:tcBorders>
              <w:top w:val="single" w:sz="4" w:space="0" w:color="auto"/>
              <w:left w:val="single" w:sz="4" w:space="0" w:color="auto"/>
              <w:bottom w:val="single" w:sz="4" w:space="0" w:color="auto"/>
              <w:right w:val="single" w:sz="4" w:space="0" w:color="auto"/>
            </w:tcBorders>
            <w:noWrap/>
            <w:vAlign w:val="center"/>
            <w:hideMark/>
          </w:tcPr>
          <w:p w14:paraId="24DD6D6B" w14:textId="77777777" w:rsidR="001D0E3A" w:rsidRPr="001D0E3A" w:rsidRDefault="001D0E3A" w:rsidP="001D0E3A">
            <w:pPr>
              <w:rPr>
                <w:rFonts w:cs="Arial"/>
                <w:color w:val="000000"/>
                <w:sz w:val="22"/>
                <w:szCs w:val="22"/>
              </w:rPr>
            </w:pPr>
            <w:r w:rsidRPr="001D0E3A">
              <w:rPr>
                <w:rFonts w:cs="Arial"/>
                <w:color w:val="000000"/>
                <w:sz w:val="22"/>
                <w:szCs w:val="22"/>
              </w:rPr>
              <w:t>Työkoneet</w:t>
            </w:r>
          </w:p>
        </w:tc>
        <w:tc>
          <w:tcPr>
            <w:tcW w:w="1642" w:type="dxa"/>
            <w:tcBorders>
              <w:top w:val="single" w:sz="4" w:space="0" w:color="auto"/>
              <w:left w:val="single" w:sz="4" w:space="0" w:color="auto"/>
              <w:bottom w:val="single" w:sz="4" w:space="0" w:color="auto"/>
              <w:right w:val="single" w:sz="4" w:space="0" w:color="auto"/>
            </w:tcBorders>
            <w:noWrap/>
            <w:vAlign w:val="center"/>
            <w:hideMark/>
          </w:tcPr>
          <w:p w14:paraId="5DBB659B" w14:textId="77777777" w:rsidR="001D0E3A" w:rsidRPr="001D0E3A" w:rsidRDefault="001D0E3A" w:rsidP="001D0E3A">
            <w:pPr>
              <w:jc w:val="center"/>
              <w:rPr>
                <w:rFonts w:cs="Arial"/>
                <w:color w:val="000000"/>
                <w:sz w:val="22"/>
                <w:szCs w:val="22"/>
              </w:rPr>
            </w:pPr>
            <w:r w:rsidRPr="001D0E3A">
              <w:rPr>
                <w:rFonts w:cs="Arial"/>
                <w:color w:val="000000"/>
                <w:sz w:val="22"/>
                <w:szCs w:val="22"/>
              </w:rPr>
              <w:t>1,9</w:t>
            </w:r>
          </w:p>
        </w:tc>
        <w:tc>
          <w:tcPr>
            <w:tcW w:w="2338" w:type="dxa"/>
            <w:tcBorders>
              <w:top w:val="single" w:sz="4" w:space="0" w:color="auto"/>
              <w:left w:val="single" w:sz="4" w:space="0" w:color="auto"/>
              <w:bottom w:val="single" w:sz="4" w:space="0" w:color="auto"/>
              <w:right w:val="single" w:sz="4" w:space="0" w:color="auto"/>
            </w:tcBorders>
            <w:noWrap/>
            <w:vAlign w:val="center"/>
            <w:hideMark/>
          </w:tcPr>
          <w:p w14:paraId="7935CCF0" w14:textId="77777777" w:rsidR="001D0E3A" w:rsidRPr="001D0E3A" w:rsidRDefault="001D0E3A" w:rsidP="001D0E3A">
            <w:pPr>
              <w:jc w:val="center"/>
              <w:rPr>
                <w:rFonts w:cs="Arial"/>
                <w:color w:val="000000"/>
                <w:sz w:val="22"/>
                <w:szCs w:val="22"/>
              </w:rPr>
            </w:pPr>
            <w:r w:rsidRPr="001D0E3A">
              <w:rPr>
                <w:rFonts w:cs="Arial"/>
                <w:color w:val="000000"/>
                <w:sz w:val="22"/>
                <w:szCs w:val="22"/>
              </w:rPr>
              <w:t>1,6</w:t>
            </w:r>
          </w:p>
        </w:tc>
      </w:tr>
      <w:tr w:rsidR="001D0E3A" w:rsidRPr="001D0E3A" w14:paraId="26E32FDD" w14:textId="77777777" w:rsidTr="003B0EAF">
        <w:trPr>
          <w:trHeight w:val="288"/>
        </w:trPr>
        <w:tc>
          <w:tcPr>
            <w:tcW w:w="4130" w:type="dxa"/>
            <w:tcBorders>
              <w:top w:val="single" w:sz="4" w:space="0" w:color="auto"/>
              <w:left w:val="single" w:sz="4" w:space="0" w:color="auto"/>
              <w:bottom w:val="single" w:sz="4" w:space="0" w:color="auto"/>
              <w:right w:val="single" w:sz="4" w:space="0" w:color="auto"/>
            </w:tcBorders>
            <w:noWrap/>
            <w:vAlign w:val="center"/>
            <w:hideMark/>
          </w:tcPr>
          <w:p w14:paraId="558E6A7D" w14:textId="77777777" w:rsidR="001D0E3A" w:rsidRPr="001D0E3A" w:rsidRDefault="001D0E3A" w:rsidP="001D0E3A">
            <w:pPr>
              <w:rPr>
                <w:rFonts w:cs="Arial"/>
                <w:color w:val="000000"/>
                <w:sz w:val="22"/>
                <w:szCs w:val="22"/>
              </w:rPr>
            </w:pPr>
            <w:r w:rsidRPr="001D0E3A">
              <w:rPr>
                <w:rFonts w:cs="Arial"/>
                <w:color w:val="000000"/>
                <w:sz w:val="22"/>
                <w:szCs w:val="22"/>
              </w:rPr>
              <w:t>Rakennusten lämmitys</w:t>
            </w:r>
          </w:p>
        </w:tc>
        <w:tc>
          <w:tcPr>
            <w:tcW w:w="1642" w:type="dxa"/>
            <w:tcBorders>
              <w:top w:val="single" w:sz="4" w:space="0" w:color="auto"/>
              <w:left w:val="single" w:sz="4" w:space="0" w:color="auto"/>
              <w:bottom w:val="single" w:sz="4" w:space="0" w:color="auto"/>
              <w:right w:val="single" w:sz="4" w:space="0" w:color="auto"/>
            </w:tcBorders>
            <w:noWrap/>
            <w:vAlign w:val="center"/>
            <w:hideMark/>
          </w:tcPr>
          <w:p w14:paraId="53981A2C" w14:textId="77777777" w:rsidR="001D0E3A" w:rsidRPr="001D0E3A" w:rsidRDefault="001D0E3A" w:rsidP="001D0E3A">
            <w:pPr>
              <w:jc w:val="center"/>
              <w:rPr>
                <w:rFonts w:cs="Arial"/>
                <w:color w:val="000000"/>
                <w:sz w:val="22"/>
                <w:szCs w:val="22"/>
              </w:rPr>
            </w:pPr>
            <w:r w:rsidRPr="001D0E3A">
              <w:rPr>
                <w:rFonts w:cs="Arial"/>
                <w:color w:val="000000"/>
                <w:sz w:val="22"/>
                <w:szCs w:val="22"/>
              </w:rPr>
              <w:t>0,5</w:t>
            </w:r>
          </w:p>
        </w:tc>
        <w:tc>
          <w:tcPr>
            <w:tcW w:w="2338" w:type="dxa"/>
            <w:tcBorders>
              <w:top w:val="single" w:sz="4" w:space="0" w:color="auto"/>
              <w:left w:val="single" w:sz="4" w:space="0" w:color="auto"/>
              <w:bottom w:val="single" w:sz="4" w:space="0" w:color="auto"/>
              <w:right w:val="single" w:sz="4" w:space="0" w:color="auto"/>
            </w:tcBorders>
            <w:noWrap/>
            <w:vAlign w:val="center"/>
            <w:hideMark/>
          </w:tcPr>
          <w:p w14:paraId="0D30DEE2" w14:textId="77777777" w:rsidR="001D0E3A" w:rsidRPr="001D0E3A" w:rsidRDefault="001D0E3A" w:rsidP="001D0E3A">
            <w:pPr>
              <w:jc w:val="center"/>
              <w:rPr>
                <w:rFonts w:cs="Arial"/>
                <w:color w:val="000000"/>
                <w:sz w:val="22"/>
                <w:szCs w:val="22"/>
              </w:rPr>
            </w:pPr>
            <w:r w:rsidRPr="001D0E3A">
              <w:rPr>
                <w:rFonts w:cs="Arial"/>
                <w:color w:val="000000"/>
                <w:sz w:val="22"/>
                <w:szCs w:val="22"/>
              </w:rPr>
              <w:t>0,5</w:t>
            </w:r>
          </w:p>
        </w:tc>
      </w:tr>
      <w:tr w:rsidR="001D0E3A" w:rsidRPr="001D0E3A" w14:paraId="3D005343" w14:textId="77777777" w:rsidTr="003B0EAF">
        <w:trPr>
          <w:trHeight w:val="288"/>
        </w:trPr>
        <w:tc>
          <w:tcPr>
            <w:tcW w:w="4130" w:type="dxa"/>
            <w:tcBorders>
              <w:top w:val="single" w:sz="4" w:space="0" w:color="auto"/>
              <w:left w:val="single" w:sz="4" w:space="0" w:color="auto"/>
              <w:bottom w:val="single" w:sz="4" w:space="0" w:color="auto"/>
              <w:right w:val="single" w:sz="4" w:space="0" w:color="auto"/>
            </w:tcBorders>
            <w:noWrap/>
            <w:vAlign w:val="center"/>
            <w:hideMark/>
          </w:tcPr>
          <w:p w14:paraId="74AFE7C1" w14:textId="77777777" w:rsidR="001D0E3A" w:rsidRPr="001D0E3A" w:rsidRDefault="001D0E3A" w:rsidP="001D0E3A">
            <w:pPr>
              <w:rPr>
                <w:rFonts w:cs="Arial"/>
                <w:color w:val="000000"/>
                <w:sz w:val="22"/>
                <w:szCs w:val="22"/>
              </w:rPr>
            </w:pPr>
            <w:r w:rsidRPr="001D0E3A">
              <w:rPr>
                <w:rFonts w:cs="Arial"/>
                <w:color w:val="000000"/>
                <w:sz w:val="22"/>
                <w:szCs w:val="22"/>
              </w:rPr>
              <w:t>Muut energiaperäiset</w:t>
            </w:r>
          </w:p>
        </w:tc>
        <w:tc>
          <w:tcPr>
            <w:tcW w:w="1642" w:type="dxa"/>
            <w:tcBorders>
              <w:top w:val="single" w:sz="4" w:space="0" w:color="auto"/>
              <w:left w:val="single" w:sz="4" w:space="0" w:color="auto"/>
              <w:bottom w:val="single" w:sz="4" w:space="0" w:color="auto"/>
              <w:right w:val="single" w:sz="4" w:space="0" w:color="auto"/>
            </w:tcBorders>
            <w:noWrap/>
            <w:vAlign w:val="center"/>
            <w:hideMark/>
          </w:tcPr>
          <w:p w14:paraId="1B5AD957" w14:textId="77777777" w:rsidR="001D0E3A" w:rsidRPr="001D0E3A" w:rsidRDefault="001D0E3A" w:rsidP="001D0E3A">
            <w:pPr>
              <w:jc w:val="center"/>
              <w:rPr>
                <w:rFonts w:cs="Arial"/>
                <w:color w:val="000000"/>
                <w:sz w:val="22"/>
                <w:szCs w:val="22"/>
              </w:rPr>
            </w:pPr>
            <w:r w:rsidRPr="001D0E3A">
              <w:rPr>
                <w:rFonts w:cs="Arial"/>
                <w:color w:val="000000"/>
                <w:sz w:val="22"/>
                <w:szCs w:val="22"/>
              </w:rPr>
              <w:t>0,7</w:t>
            </w:r>
          </w:p>
        </w:tc>
        <w:tc>
          <w:tcPr>
            <w:tcW w:w="2338" w:type="dxa"/>
            <w:tcBorders>
              <w:top w:val="single" w:sz="4" w:space="0" w:color="auto"/>
              <w:left w:val="single" w:sz="4" w:space="0" w:color="auto"/>
              <w:bottom w:val="single" w:sz="4" w:space="0" w:color="auto"/>
              <w:right w:val="single" w:sz="4" w:space="0" w:color="auto"/>
            </w:tcBorders>
            <w:noWrap/>
            <w:vAlign w:val="center"/>
            <w:hideMark/>
          </w:tcPr>
          <w:p w14:paraId="0750ACC2" w14:textId="77777777" w:rsidR="001D0E3A" w:rsidRPr="001D0E3A" w:rsidRDefault="001D0E3A" w:rsidP="001D0E3A">
            <w:pPr>
              <w:jc w:val="center"/>
              <w:rPr>
                <w:rFonts w:cs="Arial"/>
                <w:color w:val="000000"/>
                <w:sz w:val="22"/>
                <w:szCs w:val="22"/>
              </w:rPr>
            </w:pPr>
            <w:r w:rsidRPr="001D0E3A">
              <w:rPr>
                <w:rFonts w:cs="Arial"/>
                <w:color w:val="000000"/>
                <w:sz w:val="22"/>
                <w:szCs w:val="22"/>
              </w:rPr>
              <w:t>0,6</w:t>
            </w:r>
          </w:p>
        </w:tc>
      </w:tr>
      <w:tr w:rsidR="001D0E3A" w:rsidRPr="001D0E3A" w14:paraId="1BB5A924" w14:textId="77777777" w:rsidTr="003B0EAF">
        <w:trPr>
          <w:trHeight w:val="288"/>
        </w:trPr>
        <w:tc>
          <w:tcPr>
            <w:tcW w:w="4130" w:type="dxa"/>
            <w:tcBorders>
              <w:top w:val="single" w:sz="4" w:space="0" w:color="auto"/>
              <w:left w:val="single" w:sz="4" w:space="0" w:color="auto"/>
              <w:bottom w:val="single" w:sz="4" w:space="0" w:color="auto"/>
              <w:right w:val="single" w:sz="4" w:space="0" w:color="auto"/>
            </w:tcBorders>
            <w:noWrap/>
            <w:vAlign w:val="center"/>
            <w:hideMark/>
          </w:tcPr>
          <w:p w14:paraId="50870170" w14:textId="77777777" w:rsidR="001D0E3A" w:rsidRPr="001D0E3A" w:rsidRDefault="001D0E3A" w:rsidP="001D0E3A">
            <w:pPr>
              <w:rPr>
                <w:rFonts w:cs="Arial"/>
                <w:color w:val="000000"/>
                <w:sz w:val="22"/>
                <w:szCs w:val="22"/>
              </w:rPr>
            </w:pPr>
            <w:r w:rsidRPr="001D0E3A">
              <w:rPr>
                <w:rFonts w:cs="Arial"/>
                <w:color w:val="000000"/>
                <w:sz w:val="22"/>
                <w:szCs w:val="22"/>
              </w:rPr>
              <w:t>F-kaasut</w:t>
            </w:r>
          </w:p>
        </w:tc>
        <w:tc>
          <w:tcPr>
            <w:tcW w:w="1642" w:type="dxa"/>
            <w:tcBorders>
              <w:top w:val="single" w:sz="4" w:space="0" w:color="auto"/>
              <w:left w:val="single" w:sz="4" w:space="0" w:color="auto"/>
              <w:bottom w:val="single" w:sz="4" w:space="0" w:color="auto"/>
              <w:right w:val="single" w:sz="4" w:space="0" w:color="auto"/>
            </w:tcBorders>
            <w:noWrap/>
            <w:vAlign w:val="center"/>
            <w:hideMark/>
          </w:tcPr>
          <w:p w14:paraId="664F0631" w14:textId="77777777" w:rsidR="001D0E3A" w:rsidRPr="001D0E3A" w:rsidRDefault="001D0E3A" w:rsidP="001D0E3A">
            <w:pPr>
              <w:jc w:val="center"/>
              <w:rPr>
                <w:rFonts w:cs="Arial"/>
                <w:color w:val="000000"/>
                <w:sz w:val="22"/>
                <w:szCs w:val="22"/>
              </w:rPr>
            </w:pPr>
            <w:r w:rsidRPr="001D0E3A">
              <w:rPr>
                <w:rFonts w:cs="Arial"/>
                <w:color w:val="000000"/>
                <w:sz w:val="22"/>
                <w:szCs w:val="22"/>
              </w:rPr>
              <w:t>0,2</w:t>
            </w:r>
          </w:p>
        </w:tc>
        <w:tc>
          <w:tcPr>
            <w:tcW w:w="2338" w:type="dxa"/>
            <w:tcBorders>
              <w:top w:val="single" w:sz="4" w:space="0" w:color="auto"/>
              <w:left w:val="single" w:sz="4" w:space="0" w:color="auto"/>
              <w:bottom w:val="single" w:sz="4" w:space="0" w:color="auto"/>
              <w:right w:val="single" w:sz="4" w:space="0" w:color="auto"/>
            </w:tcBorders>
            <w:noWrap/>
            <w:vAlign w:val="center"/>
            <w:hideMark/>
          </w:tcPr>
          <w:p w14:paraId="00AD8436" w14:textId="77777777" w:rsidR="001D0E3A" w:rsidRPr="001D0E3A" w:rsidRDefault="001D0E3A" w:rsidP="001D0E3A">
            <w:pPr>
              <w:jc w:val="center"/>
              <w:rPr>
                <w:rFonts w:cs="Arial"/>
                <w:color w:val="000000"/>
                <w:sz w:val="22"/>
                <w:szCs w:val="22"/>
              </w:rPr>
            </w:pPr>
            <w:r w:rsidRPr="001D0E3A">
              <w:rPr>
                <w:rFonts w:cs="Arial"/>
                <w:color w:val="000000"/>
                <w:sz w:val="22"/>
                <w:szCs w:val="22"/>
              </w:rPr>
              <w:t>0,1</w:t>
            </w:r>
          </w:p>
        </w:tc>
      </w:tr>
      <w:tr w:rsidR="001D0E3A" w:rsidRPr="001D0E3A" w14:paraId="17B9F865" w14:textId="77777777" w:rsidTr="003B0EAF">
        <w:trPr>
          <w:trHeight w:val="214"/>
        </w:trPr>
        <w:tc>
          <w:tcPr>
            <w:tcW w:w="4130" w:type="dxa"/>
            <w:tcBorders>
              <w:top w:val="single" w:sz="4" w:space="0" w:color="auto"/>
              <w:left w:val="single" w:sz="4" w:space="0" w:color="auto"/>
              <w:bottom w:val="single" w:sz="4" w:space="0" w:color="auto"/>
              <w:right w:val="single" w:sz="4" w:space="0" w:color="auto"/>
            </w:tcBorders>
            <w:noWrap/>
            <w:vAlign w:val="center"/>
            <w:hideMark/>
          </w:tcPr>
          <w:p w14:paraId="23269349" w14:textId="77777777" w:rsidR="001D0E3A" w:rsidRPr="001D0E3A" w:rsidRDefault="001D0E3A" w:rsidP="001D0E3A">
            <w:pPr>
              <w:rPr>
                <w:rFonts w:cs="Arial"/>
                <w:color w:val="000000"/>
                <w:sz w:val="22"/>
                <w:szCs w:val="22"/>
              </w:rPr>
            </w:pPr>
            <w:r w:rsidRPr="001D0E3A">
              <w:rPr>
                <w:rFonts w:cs="Arial"/>
                <w:color w:val="000000"/>
                <w:sz w:val="22"/>
                <w:szCs w:val="22"/>
              </w:rPr>
              <w:t>Muut prosessit ja tuotteet</w:t>
            </w:r>
          </w:p>
        </w:tc>
        <w:tc>
          <w:tcPr>
            <w:tcW w:w="1642" w:type="dxa"/>
            <w:tcBorders>
              <w:top w:val="single" w:sz="4" w:space="0" w:color="auto"/>
              <w:left w:val="single" w:sz="4" w:space="0" w:color="auto"/>
              <w:bottom w:val="single" w:sz="4" w:space="0" w:color="auto"/>
              <w:right w:val="single" w:sz="4" w:space="0" w:color="auto"/>
            </w:tcBorders>
            <w:noWrap/>
            <w:vAlign w:val="center"/>
            <w:hideMark/>
          </w:tcPr>
          <w:p w14:paraId="19ED2842" w14:textId="77777777" w:rsidR="001D0E3A" w:rsidRPr="001D0E3A" w:rsidRDefault="001D0E3A" w:rsidP="001D0E3A">
            <w:pPr>
              <w:jc w:val="center"/>
              <w:rPr>
                <w:rFonts w:cs="Arial"/>
                <w:color w:val="000000"/>
                <w:sz w:val="22"/>
                <w:szCs w:val="22"/>
              </w:rPr>
            </w:pPr>
            <w:r w:rsidRPr="001D0E3A">
              <w:rPr>
                <w:rFonts w:cs="Arial"/>
                <w:color w:val="000000"/>
                <w:sz w:val="22"/>
                <w:szCs w:val="22"/>
              </w:rPr>
              <w:t>0,6</w:t>
            </w:r>
          </w:p>
        </w:tc>
        <w:tc>
          <w:tcPr>
            <w:tcW w:w="2338" w:type="dxa"/>
            <w:tcBorders>
              <w:top w:val="single" w:sz="4" w:space="0" w:color="auto"/>
              <w:left w:val="single" w:sz="4" w:space="0" w:color="auto"/>
              <w:bottom w:val="single" w:sz="4" w:space="0" w:color="auto"/>
              <w:right w:val="single" w:sz="4" w:space="0" w:color="auto"/>
            </w:tcBorders>
            <w:noWrap/>
            <w:vAlign w:val="center"/>
            <w:hideMark/>
          </w:tcPr>
          <w:p w14:paraId="3A2E27CF" w14:textId="77777777" w:rsidR="001D0E3A" w:rsidRPr="001D0E3A" w:rsidRDefault="001D0E3A" w:rsidP="001D0E3A">
            <w:pPr>
              <w:jc w:val="center"/>
              <w:rPr>
                <w:rFonts w:cs="Arial"/>
                <w:color w:val="000000"/>
                <w:sz w:val="22"/>
                <w:szCs w:val="22"/>
              </w:rPr>
            </w:pPr>
            <w:r w:rsidRPr="001D0E3A">
              <w:rPr>
                <w:rFonts w:cs="Arial"/>
                <w:color w:val="000000"/>
                <w:sz w:val="22"/>
                <w:szCs w:val="22"/>
              </w:rPr>
              <w:t>0,6</w:t>
            </w:r>
          </w:p>
        </w:tc>
      </w:tr>
      <w:tr w:rsidR="001D0E3A" w:rsidRPr="001D0E3A" w14:paraId="34E43F5D" w14:textId="77777777" w:rsidTr="003B0EAF">
        <w:trPr>
          <w:trHeight w:val="288"/>
        </w:trPr>
        <w:tc>
          <w:tcPr>
            <w:tcW w:w="4130" w:type="dxa"/>
            <w:tcBorders>
              <w:top w:val="single" w:sz="4" w:space="0" w:color="auto"/>
              <w:left w:val="single" w:sz="4" w:space="0" w:color="auto"/>
              <w:bottom w:val="single" w:sz="4" w:space="0" w:color="auto"/>
              <w:right w:val="single" w:sz="4" w:space="0" w:color="auto"/>
            </w:tcBorders>
            <w:noWrap/>
            <w:vAlign w:val="center"/>
            <w:hideMark/>
          </w:tcPr>
          <w:p w14:paraId="547B01B9" w14:textId="77777777" w:rsidR="001D0E3A" w:rsidRPr="001D0E3A" w:rsidRDefault="001D0E3A" w:rsidP="001D0E3A">
            <w:pPr>
              <w:rPr>
                <w:rFonts w:cs="Arial"/>
                <w:color w:val="000000"/>
                <w:sz w:val="22"/>
                <w:szCs w:val="22"/>
              </w:rPr>
            </w:pPr>
            <w:r w:rsidRPr="001D0E3A">
              <w:rPr>
                <w:rFonts w:cs="Arial"/>
                <w:color w:val="000000"/>
                <w:sz w:val="22"/>
                <w:szCs w:val="22"/>
              </w:rPr>
              <w:t>Maatalous</w:t>
            </w:r>
          </w:p>
        </w:tc>
        <w:tc>
          <w:tcPr>
            <w:tcW w:w="1642" w:type="dxa"/>
            <w:tcBorders>
              <w:top w:val="single" w:sz="4" w:space="0" w:color="auto"/>
              <w:left w:val="single" w:sz="4" w:space="0" w:color="auto"/>
              <w:bottom w:val="single" w:sz="4" w:space="0" w:color="auto"/>
              <w:right w:val="single" w:sz="4" w:space="0" w:color="auto"/>
            </w:tcBorders>
            <w:noWrap/>
            <w:vAlign w:val="center"/>
            <w:hideMark/>
          </w:tcPr>
          <w:p w14:paraId="0DFDF78B" w14:textId="77777777" w:rsidR="001D0E3A" w:rsidRPr="001D0E3A" w:rsidRDefault="001D0E3A" w:rsidP="001D0E3A">
            <w:pPr>
              <w:jc w:val="center"/>
              <w:rPr>
                <w:rFonts w:cs="Arial"/>
                <w:color w:val="000000"/>
                <w:sz w:val="22"/>
                <w:szCs w:val="22"/>
              </w:rPr>
            </w:pPr>
            <w:r w:rsidRPr="001D0E3A">
              <w:rPr>
                <w:rFonts w:cs="Arial"/>
                <w:color w:val="000000"/>
                <w:sz w:val="22"/>
                <w:szCs w:val="22"/>
              </w:rPr>
              <w:t>5,5</w:t>
            </w:r>
          </w:p>
        </w:tc>
        <w:tc>
          <w:tcPr>
            <w:tcW w:w="2338" w:type="dxa"/>
            <w:tcBorders>
              <w:top w:val="single" w:sz="4" w:space="0" w:color="auto"/>
              <w:left w:val="single" w:sz="4" w:space="0" w:color="auto"/>
              <w:bottom w:val="single" w:sz="4" w:space="0" w:color="auto"/>
              <w:right w:val="single" w:sz="4" w:space="0" w:color="auto"/>
            </w:tcBorders>
            <w:noWrap/>
            <w:vAlign w:val="center"/>
            <w:hideMark/>
          </w:tcPr>
          <w:p w14:paraId="630E4119" w14:textId="77777777" w:rsidR="001D0E3A" w:rsidRPr="001D0E3A" w:rsidRDefault="001D0E3A" w:rsidP="001D0E3A">
            <w:pPr>
              <w:jc w:val="center"/>
              <w:rPr>
                <w:rFonts w:cs="Arial"/>
                <w:color w:val="000000"/>
                <w:sz w:val="22"/>
                <w:szCs w:val="22"/>
              </w:rPr>
            </w:pPr>
            <w:r w:rsidRPr="001D0E3A">
              <w:rPr>
                <w:rFonts w:cs="Arial"/>
                <w:color w:val="000000"/>
                <w:sz w:val="22"/>
                <w:szCs w:val="22"/>
              </w:rPr>
              <w:t>5,2</w:t>
            </w:r>
          </w:p>
        </w:tc>
      </w:tr>
      <w:tr w:rsidR="001D0E3A" w:rsidRPr="001D0E3A" w14:paraId="37004904" w14:textId="77777777" w:rsidTr="003B0EAF">
        <w:trPr>
          <w:trHeight w:val="288"/>
        </w:trPr>
        <w:tc>
          <w:tcPr>
            <w:tcW w:w="4130" w:type="dxa"/>
            <w:tcBorders>
              <w:top w:val="single" w:sz="4" w:space="0" w:color="auto"/>
              <w:left w:val="single" w:sz="4" w:space="0" w:color="auto"/>
              <w:bottom w:val="single" w:sz="4" w:space="0" w:color="auto"/>
              <w:right w:val="single" w:sz="4" w:space="0" w:color="auto"/>
            </w:tcBorders>
            <w:noWrap/>
            <w:vAlign w:val="center"/>
            <w:hideMark/>
          </w:tcPr>
          <w:p w14:paraId="335FA01D" w14:textId="77777777" w:rsidR="001D0E3A" w:rsidRPr="001D0E3A" w:rsidRDefault="001D0E3A" w:rsidP="001D0E3A">
            <w:pPr>
              <w:rPr>
                <w:rFonts w:cs="Arial"/>
                <w:color w:val="000000"/>
                <w:sz w:val="22"/>
                <w:szCs w:val="22"/>
              </w:rPr>
            </w:pPr>
            <w:r w:rsidRPr="001D0E3A">
              <w:rPr>
                <w:rFonts w:cs="Arial"/>
                <w:color w:val="000000"/>
                <w:sz w:val="22"/>
                <w:szCs w:val="22"/>
              </w:rPr>
              <w:t>Jätteiden käsittely ja jätteenpoltto</w:t>
            </w:r>
          </w:p>
        </w:tc>
        <w:tc>
          <w:tcPr>
            <w:tcW w:w="1642" w:type="dxa"/>
            <w:tcBorders>
              <w:top w:val="single" w:sz="4" w:space="0" w:color="auto"/>
              <w:left w:val="single" w:sz="4" w:space="0" w:color="auto"/>
              <w:bottom w:val="single" w:sz="4" w:space="0" w:color="auto"/>
              <w:right w:val="single" w:sz="4" w:space="0" w:color="auto"/>
            </w:tcBorders>
            <w:noWrap/>
            <w:vAlign w:val="center"/>
            <w:hideMark/>
          </w:tcPr>
          <w:p w14:paraId="768E3D64" w14:textId="77777777" w:rsidR="001D0E3A" w:rsidRPr="001D0E3A" w:rsidRDefault="001D0E3A" w:rsidP="001D0E3A">
            <w:pPr>
              <w:jc w:val="center"/>
              <w:rPr>
                <w:rFonts w:cs="Arial"/>
                <w:color w:val="000000"/>
                <w:sz w:val="22"/>
                <w:szCs w:val="22"/>
              </w:rPr>
            </w:pPr>
            <w:r w:rsidRPr="001D0E3A">
              <w:rPr>
                <w:rFonts w:cs="Arial"/>
                <w:color w:val="000000"/>
                <w:sz w:val="22"/>
                <w:szCs w:val="22"/>
              </w:rPr>
              <w:t>1,8</w:t>
            </w:r>
          </w:p>
        </w:tc>
        <w:tc>
          <w:tcPr>
            <w:tcW w:w="2338" w:type="dxa"/>
            <w:tcBorders>
              <w:top w:val="single" w:sz="4" w:space="0" w:color="auto"/>
              <w:left w:val="single" w:sz="4" w:space="0" w:color="auto"/>
              <w:bottom w:val="single" w:sz="4" w:space="0" w:color="auto"/>
              <w:right w:val="single" w:sz="4" w:space="0" w:color="auto"/>
            </w:tcBorders>
            <w:noWrap/>
            <w:vAlign w:val="center"/>
            <w:hideMark/>
          </w:tcPr>
          <w:p w14:paraId="49D622C2" w14:textId="77777777" w:rsidR="001D0E3A" w:rsidRPr="001D0E3A" w:rsidRDefault="001D0E3A" w:rsidP="001D0E3A">
            <w:pPr>
              <w:jc w:val="center"/>
              <w:rPr>
                <w:rFonts w:cs="Arial"/>
                <w:color w:val="000000"/>
                <w:sz w:val="22"/>
                <w:szCs w:val="22"/>
              </w:rPr>
            </w:pPr>
            <w:r w:rsidRPr="001D0E3A">
              <w:rPr>
                <w:rFonts w:cs="Arial"/>
                <w:color w:val="000000"/>
                <w:sz w:val="22"/>
                <w:szCs w:val="22"/>
              </w:rPr>
              <w:t>1,6</w:t>
            </w:r>
          </w:p>
        </w:tc>
      </w:tr>
      <w:tr w:rsidR="001D0E3A" w:rsidRPr="001D0E3A" w14:paraId="1D16971D" w14:textId="77777777" w:rsidTr="003B0EAF">
        <w:trPr>
          <w:trHeight w:val="288"/>
        </w:trPr>
        <w:tc>
          <w:tcPr>
            <w:tcW w:w="4130" w:type="dxa"/>
            <w:tcBorders>
              <w:top w:val="single" w:sz="4" w:space="0" w:color="auto"/>
              <w:left w:val="single" w:sz="4" w:space="0" w:color="auto"/>
              <w:bottom w:val="single" w:sz="4" w:space="0" w:color="auto"/>
              <w:right w:val="single" w:sz="4" w:space="0" w:color="auto"/>
            </w:tcBorders>
            <w:noWrap/>
            <w:vAlign w:val="center"/>
            <w:hideMark/>
          </w:tcPr>
          <w:p w14:paraId="20FDDE72" w14:textId="77777777" w:rsidR="001D0E3A" w:rsidRPr="001D0E3A" w:rsidRDefault="001D0E3A" w:rsidP="001D0E3A">
            <w:pPr>
              <w:rPr>
                <w:rFonts w:cs="Arial"/>
                <w:b/>
                <w:bCs/>
                <w:color w:val="000000"/>
                <w:sz w:val="22"/>
                <w:szCs w:val="22"/>
              </w:rPr>
            </w:pPr>
            <w:r w:rsidRPr="001D0E3A">
              <w:rPr>
                <w:rFonts w:cs="Arial"/>
                <w:b/>
                <w:bCs/>
                <w:color w:val="000000"/>
                <w:sz w:val="22"/>
                <w:szCs w:val="22"/>
              </w:rPr>
              <w:t>Taakanjakosektori yhteensä</w:t>
            </w:r>
          </w:p>
        </w:tc>
        <w:tc>
          <w:tcPr>
            <w:tcW w:w="1642" w:type="dxa"/>
            <w:tcBorders>
              <w:top w:val="single" w:sz="4" w:space="0" w:color="auto"/>
              <w:left w:val="single" w:sz="4" w:space="0" w:color="auto"/>
              <w:bottom w:val="single" w:sz="4" w:space="0" w:color="auto"/>
              <w:right w:val="single" w:sz="4" w:space="0" w:color="auto"/>
            </w:tcBorders>
            <w:noWrap/>
            <w:vAlign w:val="center"/>
            <w:hideMark/>
          </w:tcPr>
          <w:p w14:paraId="464B7389" w14:textId="77777777" w:rsidR="001D0E3A" w:rsidRPr="001D0E3A" w:rsidRDefault="001D0E3A" w:rsidP="001D0E3A">
            <w:pPr>
              <w:jc w:val="center"/>
              <w:rPr>
                <w:rFonts w:cs="Arial"/>
                <w:b/>
                <w:bCs/>
                <w:color w:val="000000"/>
                <w:sz w:val="22"/>
                <w:szCs w:val="22"/>
              </w:rPr>
            </w:pPr>
            <w:r w:rsidRPr="001D0E3A">
              <w:rPr>
                <w:rFonts w:cs="Arial"/>
                <w:b/>
                <w:bCs/>
                <w:color w:val="000000"/>
                <w:sz w:val="22"/>
                <w:szCs w:val="22"/>
              </w:rPr>
              <w:t>15,4</w:t>
            </w:r>
          </w:p>
        </w:tc>
        <w:tc>
          <w:tcPr>
            <w:tcW w:w="2338" w:type="dxa"/>
            <w:tcBorders>
              <w:top w:val="single" w:sz="4" w:space="0" w:color="auto"/>
              <w:left w:val="single" w:sz="4" w:space="0" w:color="auto"/>
              <w:bottom w:val="single" w:sz="4" w:space="0" w:color="auto"/>
              <w:right w:val="single" w:sz="4" w:space="0" w:color="auto"/>
            </w:tcBorders>
            <w:noWrap/>
            <w:vAlign w:val="center"/>
            <w:hideMark/>
          </w:tcPr>
          <w:p w14:paraId="579C2A7B" w14:textId="77777777" w:rsidR="001D0E3A" w:rsidRPr="001D0E3A" w:rsidRDefault="001D0E3A" w:rsidP="001D0E3A">
            <w:pPr>
              <w:jc w:val="center"/>
              <w:rPr>
                <w:rFonts w:cs="Arial"/>
                <w:b/>
                <w:bCs/>
                <w:color w:val="000000"/>
                <w:sz w:val="22"/>
                <w:szCs w:val="22"/>
              </w:rPr>
            </w:pPr>
            <w:r w:rsidRPr="001D0E3A">
              <w:rPr>
                <w:rFonts w:cs="Arial"/>
                <w:b/>
                <w:bCs/>
                <w:color w:val="000000"/>
                <w:sz w:val="22"/>
                <w:szCs w:val="22"/>
              </w:rPr>
              <w:t>14,5</w:t>
            </w:r>
          </w:p>
        </w:tc>
      </w:tr>
    </w:tbl>
    <w:p w14:paraId="5472A988" w14:textId="65B7AF45" w:rsidR="0075162B" w:rsidRPr="00213E2A" w:rsidRDefault="4995F627" w:rsidP="78246565">
      <w:pPr>
        <w:pStyle w:val="Otsikko2"/>
        <w:tabs>
          <w:tab w:val="clear" w:pos="360"/>
        </w:tabs>
        <w:ind w:left="576"/>
        <w:rPr>
          <w:lang w:val="fi-FI"/>
        </w:rPr>
      </w:pPr>
      <w:bookmarkStart w:id="179" w:name="_Toc202260072"/>
      <w:r w:rsidRPr="00213E2A">
        <w:rPr>
          <w:lang w:val="fi-FI"/>
        </w:rPr>
        <w:t xml:space="preserve">7.2 </w:t>
      </w:r>
      <w:bookmarkStart w:id="180" w:name="_Toc1984226549"/>
      <w:bookmarkStart w:id="181" w:name="_Toc732452570"/>
      <w:r w:rsidR="1E5295CF" w:rsidRPr="00213E2A">
        <w:rPr>
          <w:lang w:val="fi-FI"/>
        </w:rPr>
        <w:t>Tavoitteiden saavuttamisen epävarmuudet</w:t>
      </w:r>
      <w:bookmarkEnd w:id="179"/>
      <w:bookmarkEnd w:id="180"/>
      <w:bookmarkEnd w:id="181"/>
    </w:p>
    <w:p w14:paraId="4778781D" w14:textId="1DFBC80D" w:rsidR="245DC725" w:rsidRDefault="245DC725" w:rsidP="00F56BAE">
      <w:pPr>
        <w:pStyle w:val="VNLeip1kappale"/>
        <w:rPr>
          <w:rFonts w:eastAsia="Arial" w:cs="Arial"/>
          <w:color w:val="000000" w:themeColor="text1"/>
        </w:rPr>
      </w:pPr>
      <w:r w:rsidRPr="1A04C3C8">
        <w:rPr>
          <w:rFonts w:eastAsia="Arial" w:cs="Arial"/>
          <w:color w:val="000000" w:themeColor="text1"/>
        </w:rPr>
        <w:t xml:space="preserve">Päästökehityksen kannalta on olennaista millä aikataululla suunnitellut politiikkatoimet on tarkoitus ottaa käyttöön eli panna toimeen. Suunnitelman toimenpideohjelmaan sisältyvät toimet ovat kuitenkin pääsääntöisesti sellaisia, joiden tarkasta toimeenpanoaikataulusta ei ole vielä päätetty. Aikataulutus liittyy monessa tapauksessa myös politiikkatoimen edellyttämään rahoitukseen. Huomattava osa suunnitelman toimista on luonteeltaan tukitoimia, joiden rahoituksesta päätetään tapauskohtaisesti myöhemmin. Rahoituspäätökset sisältyvät tyypillisesti valtion tulo- ja menoarvioesityksen käsittelyn yhteydessä. Myös muiden kuin tukitoimien osalta tarvitaan toimeenpanopäätöksiä politiikkatoimen käyttöönotosta.  </w:t>
      </w:r>
    </w:p>
    <w:p w14:paraId="0846FFD4" w14:textId="039B69DB" w:rsidR="245DC725" w:rsidRDefault="245DC725" w:rsidP="00F56BAE">
      <w:pPr>
        <w:pStyle w:val="VNLeip1kappale"/>
        <w:rPr>
          <w:rFonts w:eastAsia="Arial" w:cs="Arial"/>
          <w:color w:val="000000" w:themeColor="text1"/>
        </w:rPr>
      </w:pPr>
      <w:r w:rsidRPr="1A04C3C8">
        <w:rPr>
          <w:rFonts w:eastAsia="Arial" w:cs="Arial"/>
          <w:color w:val="000000" w:themeColor="text1"/>
        </w:rPr>
        <w:t>Suunnitelmaan sisältyvien toimien vaikuttavuuden arviointi</w:t>
      </w:r>
      <w:r w:rsidR="00047238">
        <w:rPr>
          <w:rFonts w:eastAsia="Arial" w:cs="Arial"/>
          <w:color w:val="000000" w:themeColor="text1"/>
        </w:rPr>
        <w:t>in</w:t>
      </w:r>
      <w:r w:rsidRPr="1A04C3C8">
        <w:rPr>
          <w:rFonts w:eastAsia="Arial" w:cs="Arial"/>
          <w:color w:val="000000" w:themeColor="text1"/>
        </w:rPr>
        <w:t xml:space="preserve"> </w:t>
      </w:r>
      <w:r w:rsidR="00AE3616">
        <w:rPr>
          <w:rFonts w:eastAsia="Arial" w:cs="Arial"/>
          <w:color w:val="000000" w:themeColor="text1"/>
        </w:rPr>
        <w:t>liittyy</w:t>
      </w:r>
      <w:r w:rsidRPr="1A04C3C8">
        <w:rPr>
          <w:rFonts w:eastAsia="Arial" w:cs="Arial"/>
          <w:color w:val="000000" w:themeColor="text1"/>
        </w:rPr>
        <w:t xml:space="preserve"> myös epävarmuutta. Esimerkiksi tukitoimien päästövähennysvaikutuksiin vaikuttaa moni tekijä ja niiden </w:t>
      </w:r>
      <w:r w:rsidRPr="18885852">
        <w:rPr>
          <w:rFonts w:eastAsia="Arial" w:cs="Arial"/>
          <w:color w:val="000000" w:themeColor="text1"/>
        </w:rPr>
        <w:t>huomioonottaminen</w:t>
      </w:r>
      <w:r w:rsidRPr="1A04C3C8">
        <w:rPr>
          <w:rFonts w:eastAsia="Arial" w:cs="Arial"/>
          <w:color w:val="000000" w:themeColor="text1"/>
        </w:rPr>
        <w:t xml:space="preserve"> vaikuttavuuslaskelmissa on epävarmalla pohjalla. Monessa tapauksessa päästövähennysvaikutus esitetäänkin mieluummin haarukkana tai vähimmäisarviona, </w:t>
      </w:r>
      <w:r w:rsidR="00AE3616">
        <w:rPr>
          <w:rFonts w:eastAsia="Arial" w:cs="Arial"/>
          <w:color w:val="000000" w:themeColor="text1"/>
        </w:rPr>
        <w:t>koska</w:t>
      </w:r>
      <w:r w:rsidRPr="1A04C3C8">
        <w:rPr>
          <w:rFonts w:eastAsia="Arial" w:cs="Arial"/>
          <w:color w:val="000000" w:themeColor="text1"/>
        </w:rPr>
        <w:t xml:space="preserve"> vaikutus ole yksiselitteisesti määriteltävissä. Vaikutus voi riippua yleisestä taloustilanteesta, hintakehityksestä, kuluttajien käyttäytymisestä ja useasta muusta tekijästä. Tukitoimien lisäksi myös edistämistoimien vaikuttavuuden arviointi voi olla vaikeaa. Yleisenä pyrkimyksenä suunnitelman valmistelussa on ollut hyödyntää </w:t>
      </w:r>
      <w:r w:rsidR="07CE2F67" w:rsidRPr="56D3EAB6">
        <w:rPr>
          <w:rFonts w:eastAsia="Arial" w:cs="Arial"/>
          <w:color w:val="000000" w:themeColor="text1"/>
        </w:rPr>
        <w:t>parasta</w:t>
      </w:r>
      <w:r w:rsidRPr="56D3EAB6">
        <w:rPr>
          <w:rFonts w:eastAsia="Arial" w:cs="Arial"/>
          <w:color w:val="000000" w:themeColor="text1"/>
        </w:rPr>
        <w:t xml:space="preserve"> </w:t>
      </w:r>
      <w:r w:rsidR="7839B83E" w:rsidRPr="1EC0540B">
        <w:rPr>
          <w:rFonts w:eastAsia="Arial" w:cs="Arial"/>
          <w:color w:val="000000" w:themeColor="text1"/>
        </w:rPr>
        <w:t xml:space="preserve">sillä hetkellä </w:t>
      </w:r>
      <w:r w:rsidRPr="1A04C3C8">
        <w:rPr>
          <w:rFonts w:eastAsia="Arial" w:cs="Arial"/>
          <w:color w:val="000000" w:themeColor="text1"/>
        </w:rPr>
        <w:t xml:space="preserve">käytettävissä </w:t>
      </w:r>
      <w:r w:rsidRPr="1EC0540B">
        <w:rPr>
          <w:rFonts w:eastAsia="Arial" w:cs="Arial"/>
          <w:color w:val="000000" w:themeColor="text1"/>
        </w:rPr>
        <w:t>ol</w:t>
      </w:r>
      <w:r w:rsidR="339F3161" w:rsidRPr="1EC0540B">
        <w:rPr>
          <w:rFonts w:eastAsia="Arial" w:cs="Arial"/>
          <w:color w:val="000000" w:themeColor="text1"/>
        </w:rPr>
        <w:t>evaa</w:t>
      </w:r>
      <w:r w:rsidRPr="1A04C3C8">
        <w:rPr>
          <w:rFonts w:eastAsia="Arial" w:cs="Arial"/>
          <w:color w:val="000000" w:themeColor="text1"/>
        </w:rPr>
        <w:t xml:space="preserve"> tutkimustietoa politiikkatoimien vaikuttavuudesta. Tutkimustiedon puuttuessa on pyritty tekemään tarvittavat arviot osana suunnitelman virkavalmistelua.  </w:t>
      </w:r>
    </w:p>
    <w:p w14:paraId="03AA6A0E" w14:textId="29D8DA33" w:rsidR="245DC725" w:rsidRDefault="245DC725" w:rsidP="00F56BAE">
      <w:pPr>
        <w:pStyle w:val="VNLeip1kappale"/>
        <w:rPr>
          <w:rFonts w:eastAsia="Arial" w:cs="Arial"/>
          <w:color w:val="000000" w:themeColor="text1"/>
        </w:rPr>
      </w:pPr>
      <w:r w:rsidRPr="1A04C3C8">
        <w:rPr>
          <w:rFonts w:eastAsia="Arial" w:cs="Arial"/>
          <w:color w:val="000000" w:themeColor="text1"/>
        </w:rPr>
        <w:t>Joihinkin politiikkatoimiin liittyy myös niiden edellyttämien investointien toteutumisen epävarmuus. Esimerkki tästä on jätesektorin jätteenpolttolaitoksen CCS-hankkeen eteneminen siten</w:t>
      </w:r>
      <w:r w:rsidR="008151C4">
        <w:rPr>
          <w:rFonts w:eastAsia="Arial" w:cs="Arial"/>
          <w:color w:val="000000" w:themeColor="text1"/>
        </w:rPr>
        <w:t>,</w:t>
      </w:r>
      <w:r w:rsidRPr="1A04C3C8">
        <w:rPr>
          <w:rFonts w:eastAsia="Arial" w:cs="Arial"/>
          <w:color w:val="000000" w:themeColor="text1"/>
        </w:rPr>
        <w:t xml:space="preserve"> että se tuottaisi päästövähennyksiä jo vu</w:t>
      </w:r>
      <w:r w:rsidR="00F24065">
        <w:rPr>
          <w:rFonts w:eastAsia="Arial" w:cs="Arial"/>
          <w:color w:val="000000" w:themeColor="text1"/>
        </w:rPr>
        <w:t>oteen</w:t>
      </w:r>
      <w:r w:rsidRPr="1A04C3C8">
        <w:rPr>
          <w:rFonts w:eastAsia="Arial" w:cs="Arial"/>
          <w:color w:val="000000" w:themeColor="text1"/>
        </w:rPr>
        <w:t xml:space="preserve"> 2030 </w:t>
      </w:r>
      <w:r w:rsidR="00F24065">
        <w:rPr>
          <w:rFonts w:eastAsia="Arial" w:cs="Arial"/>
          <w:color w:val="000000" w:themeColor="text1"/>
        </w:rPr>
        <w:t>mennessä</w:t>
      </w:r>
      <w:r w:rsidRPr="1A04C3C8">
        <w:rPr>
          <w:rFonts w:eastAsia="Arial" w:cs="Arial"/>
          <w:color w:val="000000" w:themeColor="text1"/>
        </w:rPr>
        <w:t>. Tämän tyyppinen epävarmuus on syytä ottaa huomioon, kun arvioidaan toimenpideohjelman toteutumisen todennäköisyys kokonaisuudessaan.</w:t>
      </w:r>
      <w:r w:rsidR="000A0C67">
        <w:rPr>
          <w:rFonts w:eastAsia="Arial" w:cs="Arial"/>
          <w:color w:val="000000" w:themeColor="text1"/>
        </w:rPr>
        <w:t xml:space="preserve"> </w:t>
      </w:r>
    </w:p>
    <w:p w14:paraId="1F3E48F0" w14:textId="522BAC39" w:rsidR="245DC725" w:rsidRDefault="245DC725" w:rsidP="00F56BAE">
      <w:pPr>
        <w:pStyle w:val="VNLeip1kappale"/>
        <w:rPr>
          <w:rFonts w:eastAsia="Arial" w:cs="Arial"/>
          <w:color w:val="000000" w:themeColor="text1"/>
        </w:rPr>
      </w:pPr>
      <w:r w:rsidRPr="1A04C3C8">
        <w:rPr>
          <w:rFonts w:eastAsia="Arial" w:cs="Arial"/>
          <w:color w:val="000000" w:themeColor="text1"/>
        </w:rPr>
        <w:t>EU-lainsäädännöstä johtuva epävarmuustekijä liittyy maankäyttösektorin ja taakanjakosektorin kytkentään</w:t>
      </w:r>
      <w:r w:rsidRPr="639BD174">
        <w:rPr>
          <w:rFonts w:eastAsia="Arial" w:cs="Arial"/>
          <w:color w:val="000000" w:themeColor="text1"/>
        </w:rPr>
        <w:t>.</w:t>
      </w:r>
      <w:r w:rsidRPr="1A04C3C8">
        <w:rPr>
          <w:rFonts w:eastAsia="Arial" w:cs="Arial"/>
          <w:color w:val="000000" w:themeColor="text1"/>
        </w:rPr>
        <w:t xml:space="preserve"> Tähän seikkaan on viitattu luvussa 2.4</w:t>
      </w:r>
      <w:r w:rsidRPr="639BD174">
        <w:rPr>
          <w:rFonts w:eastAsia="Arial" w:cs="Arial"/>
          <w:color w:val="000000" w:themeColor="text1"/>
        </w:rPr>
        <w:t>.</w:t>
      </w:r>
      <w:r w:rsidR="2FAC8F37" w:rsidRPr="639BD174">
        <w:rPr>
          <w:rFonts w:eastAsia="Arial" w:cs="Arial"/>
          <w:color w:val="000000" w:themeColor="text1"/>
        </w:rPr>
        <w:t>,</w:t>
      </w:r>
      <w:r w:rsidRPr="639BD174">
        <w:rPr>
          <w:rFonts w:eastAsia="Arial" w:cs="Arial"/>
          <w:color w:val="000000" w:themeColor="text1"/>
        </w:rPr>
        <w:t xml:space="preserve"> </w:t>
      </w:r>
      <w:r w:rsidR="5E6BC047" w:rsidRPr="639BD174">
        <w:rPr>
          <w:rFonts w:eastAsia="Arial" w:cs="Arial"/>
          <w:color w:val="000000" w:themeColor="text1"/>
        </w:rPr>
        <w:t>jossa</w:t>
      </w:r>
      <w:r w:rsidRPr="1A04C3C8">
        <w:rPr>
          <w:rFonts w:eastAsia="Arial" w:cs="Arial"/>
          <w:color w:val="000000" w:themeColor="text1"/>
        </w:rPr>
        <w:t xml:space="preserve"> tarkasteltiin taakanjakoasetuksen sisältöä. Kyse on siis siitä, että maankäyttösektorin mahdollinen vaje jaksolta 2021</w:t>
      </w:r>
      <w:r w:rsidR="6BD71C26" w:rsidRPr="639BD174">
        <w:rPr>
          <w:rFonts w:eastAsia="Arial" w:cs="Arial"/>
          <w:color w:val="000000" w:themeColor="text1"/>
        </w:rPr>
        <w:t>–</w:t>
      </w:r>
      <w:r w:rsidRPr="1A04C3C8">
        <w:rPr>
          <w:rFonts w:eastAsia="Arial" w:cs="Arial"/>
          <w:color w:val="000000" w:themeColor="text1"/>
        </w:rPr>
        <w:t xml:space="preserve">2025 siirtyy katettavaksi taakanjakosektorin yksiköillä, ellei vajeen kattaminen muulla tavoin onnistu. Tällä hetkellä käytettävissä olevien arvioiden perusteella näyttää todennäköiseltä, että tällainen tilanne voi syntyä ja että kyseinen vaje voi olla varsin mittava. </w:t>
      </w:r>
      <w:r w:rsidR="0087137C">
        <w:rPr>
          <w:rFonts w:eastAsia="Arial" w:cs="Arial"/>
          <w:color w:val="000000" w:themeColor="text1"/>
        </w:rPr>
        <w:t>Taakanjakosektorin</w:t>
      </w:r>
      <w:r w:rsidRPr="1A04C3C8">
        <w:rPr>
          <w:rFonts w:eastAsia="Arial" w:cs="Arial"/>
          <w:color w:val="000000" w:themeColor="text1"/>
        </w:rPr>
        <w:t xml:space="preserve"> </w:t>
      </w:r>
      <w:r w:rsidR="0087137C">
        <w:rPr>
          <w:rFonts w:eastAsia="Arial" w:cs="Arial"/>
          <w:color w:val="000000" w:themeColor="text1"/>
        </w:rPr>
        <w:t>päästövähennys</w:t>
      </w:r>
      <w:r w:rsidRPr="1A04C3C8">
        <w:rPr>
          <w:rFonts w:eastAsia="Arial" w:cs="Arial"/>
          <w:color w:val="000000" w:themeColor="text1"/>
        </w:rPr>
        <w:t>toimilla ei ole kuitenkaan mahdollista kattaa maankäyttösektorin merkittävää vajetta.</w:t>
      </w:r>
    </w:p>
    <w:p w14:paraId="60E13FD8" w14:textId="7CE83B27" w:rsidR="00B64207" w:rsidRPr="00B64207" w:rsidRDefault="00F22A3B" w:rsidP="00B64207">
      <w:pPr>
        <w:pStyle w:val="VNLeip1kappale"/>
        <w:rPr>
          <w:rFonts w:ascii="Calibri" w:eastAsia="Calibri" w:hAnsi="Calibri" w:cs="Calibri"/>
          <w:lang w:eastAsia="en-US"/>
        </w:rPr>
      </w:pPr>
      <w:r>
        <w:rPr>
          <w:rFonts w:eastAsia="Calibri"/>
        </w:rPr>
        <w:t>M</w:t>
      </w:r>
      <w:r w:rsidR="00B64207" w:rsidRPr="668BC20E">
        <w:rPr>
          <w:rFonts w:eastAsia="Calibri"/>
        </w:rPr>
        <w:t>yös erilaiset ulkoiset olosuhteet muuttavat jatkuvasti. Tekniset ja yhteiskunnalliset innovaatiot voivat muuttaa eri linjausten ja toimenpiteiden merkitystä ja edellytyksiä saavuttaa haluttuja muutoksia rakenteissa ja käytännöissä. Kehityssuunta voi muuttua nopeasti, jos esimerkiksi uudet teknologiset ratkaisut yleistyvät ennakoitua nopeammin tai jos yleinen poliittinen ja taloudellinen kehitys muuttuu merkittävästi. Tämän takia on olennaista seurata ennakoitujen (ja vielä ennakoimattomien) vaikutusten kehittymistä, jotta ymmärrettäisiin paremmin toteutuvaa kehitystä ja tunnistettaisiin ne kriittiset tekijät, joiden osalta linjausten muuttaminen tai tarkentaminen voisi olla perusteltua.</w:t>
      </w:r>
    </w:p>
    <w:p w14:paraId="79183ACE" w14:textId="40240E65" w:rsidR="0075162B" w:rsidRPr="00213E2A" w:rsidRDefault="52BE24EA" w:rsidP="78246565">
      <w:pPr>
        <w:pStyle w:val="Otsikko2"/>
        <w:tabs>
          <w:tab w:val="clear" w:pos="360"/>
        </w:tabs>
        <w:ind w:left="576"/>
        <w:rPr>
          <w:lang w:val="fi-FI"/>
        </w:rPr>
      </w:pPr>
      <w:bookmarkStart w:id="182" w:name="_Toc480313120"/>
      <w:bookmarkStart w:id="183" w:name="_Toc1023601852"/>
      <w:bookmarkStart w:id="184" w:name="_Toc202260073"/>
      <w:r w:rsidRPr="00213E2A">
        <w:rPr>
          <w:lang w:val="fi-FI"/>
        </w:rPr>
        <w:t xml:space="preserve">7.3 </w:t>
      </w:r>
      <w:r w:rsidR="009A801B" w:rsidRPr="00213E2A">
        <w:rPr>
          <w:lang w:val="fi-FI"/>
        </w:rPr>
        <w:t xml:space="preserve">Päästöyksiköiden </w:t>
      </w:r>
      <w:r w:rsidR="62D7DED1" w:rsidRPr="00213E2A">
        <w:rPr>
          <w:lang w:val="fi-FI"/>
        </w:rPr>
        <w:t>mahdollinen hankinta</w:t>
      </w:r>
      <w:bookmarkEnd w:id="182"/>
      <w:bookmarkEnd w:id="183"/>
      <w:bookmarkEnd w:id="184"/>
    </w:p>
    <w:p w14:paraId="7F74B3BB" w14:textId="079B377A" w:rsidR="1A9C9CDB" w:rsidRDefault="1A9C9CDB" w:rsidP="00A975BA">
      <w:pPr>
        <w:pStyle w:val="VNLeip1kappale"/>
        <w:rPr>
          <w:rFonts w:eastAsia="Arial" w:cs="Arial"/>
          <w:color w:val="000000" w:themeColor="text1"/>
        </w:rPr>
      </w:pPr>
      <w:r w:rsidRPr="0E222718">
        <w:rPr>
          <w:rFonts w:eastAsia="Arial" w:cs="Arial"/>
          <w:color w:val="000000" w:themeColor="text1"/>
        </w:rPr>
        <w:t xml:space="preserve">Taakanjakoasetuksen mukaan jäsenmaat voivat yhtenä joustokeinona hankkia päästöyksiköitä muilta jäsenmailta. Tämän jouston hyödyntäminen edellyttää, että tällaisia yksiköitä on kaupan ja </w:t>
      </w:r>
      <w:r w:rsidR="1CE70E49" w:rsidRPr="5448B53B">
        <w:rPr>
          <w:rFonts w:eastAsia="Arial" w:cs="Arial"/>
          <w:color w:val="000000" w:themeColor="text1"/>
        </w:rPr>
        <w:t>kyseiset</w:t>
      </w:r>
      <w:r w:rsidR="1CE70E49" w:rsidRPr="5643DB28">
        <w:rPr>
          <w:rFonts w:eastAsia="Arial" w:cs="Arial"/>
          <w:color w:val="000000" w:themeColor="text1"/>
        </w:rPr>
        <w:t xml:space="preserve"> jäsenmaat </w:t>
      </w:r>
      <w:r w:rsidR="1CE70E49" w:rsidRPr="5448B53B">
        <w:rPr>
          <w:rFonts w:eastAsia="Arial" w:cs="Arial"/>
          <w:color w:val="000000" w:themeColor="text1"/>
        </w:rPr>
        <w:t xml:space="preserve">pääsevät </w:t>
      </w:r>
      <w:r w:rsidRPr="56599B2A">
        <w:rPr>
          <w:rFonts w:eastAsia="Arial" w:cs="Arial"/>
          <w:color w:val="000000" w:themeColor="text1"/>
        </w:rPr>
        <w:t xml:space="preserve">sopuun </w:t>
      </w:r>
      <w:r w:rsidR="17A9D51B" w:rsidRPr="56599B2A">
        <w:rPr>
          <w:rFonts w:eastAsia="Arial" w:cs="Arial"/>
          <w:color w:val="000000" w:themeColor="text1"/>
        </w:rPr>
        <w:t xml:space="preserve">yksiköiden </w:t>
      </w:r>
      <w:r w:rsidRPr="0E222718">
        <w:rPr>
          <w:rFonts w:eastAsia="Arial" w:cs="Arial"/>
          <w:color w:val="000000" w:themeColor="text1"/>
        </w:rPr>
        <w:t>hinnasta ja määrästä</w:t>
      </w:r>
      <w:r w:rsidRPr="56599B2A">
        <w:rPr>
          <w:rFonts w:eastAsia="Arial" w:cs="Arial"/>
          <w:color w:val="000000" w:themeColor="text1"/>
        </w:rPr>
        <w:t>.</w:t>
      </w:r>
      <w:r w:rsidRPr="0E222718">
        <w:rPr>
          <w:rFonts w:eastAsia="Arial" w:cs="Arial"/>
          <w:color w:val="000000" w:themeColor="text1"/>
        </w:rPr>
        <w:t xml:space="preserve"> Markkinapaikkaa tällaiselle kaupankäynnille ei ole, vaan kyse on</w:t>
      </w:r>
      <w:r w:rsidR="00366690" w:rsidRPr="0E222718">
        <w:rPr>
          <w:rFonts w:eastAsia="Arial" w:cs="Arial"/>
          <w:color w:val="000000" w:themeColor="text1"/>
        </w:rPr>
        <w:t xml:space="preserve"> kahdenvälisistä</w:t>
      </w:r>
      <w:r w:rsidRPr="0E222718">
        <w:rPr>
          <w:rFonts w:eastAsia="Arial" w:cs="Arial"/>
          <w:color w:val="000000" w:themeColor="text1"/>
        </w:rPr>
        <w:t xml:space="preserve"> </w:t>
      </w:r>
      <w:r w:rsidRPr="291102BC">
        <w:rPr>
          <w:rFonts w:eastAsia="Arial" w:cs="Arial"/>
          <w:color w:val="000000" w:themeColor="text1"/>
        </w:rPr>
        <w:t>kaupoista.</w:t>
      </w:r>
      <w:r w:rsidRPr="0E222718">
        <w:rPr>
          <w:rFonts w:eastAsia="Arial" w:cs="Arial"/>
          <w:color w:val="000000" w:themeColor="text1"/>
        </w:rPr>
        <w:t xml:space="preserve"> Yleinen arvio on, että yksiköiden tarjonta tulee olemaan rajallinen johtuen jäsenmaiden varsin kireistä päästövähennysvelvoitteista. Ei ole kuitenkaan poissuljettua, että jonkin verran tarjontaa </w:t>
      </w:r>
      <w:r w:rsidRPr="75D74296">
        <w:rPr>
          <w:rFonts w:eastAsia="Arial" w:cs="Arial"/>
          <w:color w:val="000000" w:themeColor="text1"/>
        </w:rPr>
        <w:t>synty</w:t>
      </w:r>
      <w:r w:rsidR="2D914CFB" w:rsidRPr="75D74296">
        <w:rPr>
          <w:rFonts w:eastAsia="Arial" w:cs="Arial"/>
          <w:color w:val="000000" w:themeColor="text1"/>
        </w:rPr>
        <w:t>isi</w:t>
      </w:r>
      <w:r w:rsidRPr="0E222718">
        <w:rPr>
          <w:rFonts w:eastAsia="Arial" w:cs="Arial"/>
          <w:color w:val="000000" w:themeColor="text1"/>
        </w:rPr>
        <w:t xml:space="preserve"> niiden jäsenmaiden tahoilta, joille on syntymässä ylijäämiä jaksolla 2021–2030. Selvyyttä asiaan saadaan viimeistään vuonna 2027</w:t>
      </w:r>
      <w:r w:rsidR="64D401B0" w:rsidRPr="75D74296">
        <w:rPr>
          <w:rFonts w:eastAsia="Arial" w:cs="Arial"/>
          <w:color w:val="000000" w:themeColor="text1"/>
        </w:rPr>
        <w:t>,</w:t>
      </w:r>
      <w:r w:rsidRPr="0E222718">
        <w:rPr>
          <w:rFonts w:eastAsia="Arial" w:cs="Arial"/>
          <w:color w:val="000000" w:themeColor="text1"/>
        </w:rPr>
        <w:t xml:space="preserve"> jolloin</w:t>
      </w:r>
      <w:r w:rsidR="6DB8A307" w:rsidRPr="130FF84F">
        <w:rPr>
          <w:rFonts w:eastAsia="Arial" w:cs="Arial"/>
          <w:color w:val="000000" w:themeColor="text1"/>
        </w:rPr>
        <w:t xml:space="preserve"> </w:t>
      </w:r>
      <w:r w:rsidRPr="0E222718">
        <w:rPr>
          <w:rFonts w:eastAsia="Arial" w:cs="Arial"/>
          <w:color w:val="000000" w:themeColor="text1"/>
        </w:rPr>
        <w:t xml:space="preserve">asetuksen mukaan tapahtuu jakson 2021–2025 velvoitteen noudattamisen tarkastus. Komission järjestämissä ilmastonmuutoskomitean alaisen työryhmän kokouksissa saattaa myös tulla tietoa mahdollisesta yksiköiden tarjonnasta ennen sitä. </w:t>
      </w:r>
    </w:p>
    <w:p w14:paraId="1434212A" w14:textId="04CF7502" w:rsidR="1A9C9CDB" w:rsidRDefault="1A9C9CDB" w:rsidP="00A975BA">
      <w:pPr>
        <w:pStyle w:val="VNLeip1kappale"/>
        <w:rPr>
          <w:rFonts w:eastAsia="Arial" w:cs="Arial"/>
          <w:color w:val="000000" w:themeColor="text1"/>
        </w:rPr>
      </w:pPr>
      <w:r w:rsidRPr="0BF89F00">
        <w:rPr>
          <w:rFonts w:eastAsia="Arial" w:cs="Arial"/>
          <w:color w:val="000000" w:themeColor="text1"/>
        </w:rPr>
        <w:t>Kuten edellä on todettu, Suomen jakson 2021–2030 taakanjakoasetuksen velvoitteen täyttämiseen liittyy riskejä. Merkittävin riski on maankäyttösektorin vajeen siirtyminen taakanjakosektorin kannettavaksi</w:t>
      </w:r>
      <w:r w:rsidR="5DFF0668" w:rsidRPr="0BF89F00">
        <w:rPr>
          <w:rFonts w:eastAsia="Arial" w:cs="Arial"/>
          <w:color w:val="000000" w:themeColor="text1"/>
        </w:rPr>
        <w:t>,</w:t>
      </w:r>
      <w:r w:rsidRPr="0BF89F00">
        <w:rPr>
          <w:rFonts w:eastAsia="Arial" w:cs="Arial"/>
          <w:color w:val="000000" w:themeColor="text1"/>
        </w:rPr>
        <w:t xml:space="preserve"> mutta myös taakanjakosektorin omien toimien toimeenpanoon liittyy epävarmuutta, joka voi vaarantaa velvoitteen täyttämistä. Mittaluokaltaan maankäyttösektoriin liittyvä riski on moninkertainen verrattuna tämän suunnitelman toimien vaikuttavuuteen liittyviin riskeihin. Luonnonvarakeskuksen esittämän arvion mukaan maankäyttösektorin vaje voi kasvaa jopa 110</w:t>
      </w:r>
      <w:r w:rsidR="12109250" w:rsidRPr="2CD0A093">
        <w:rPr>
          <w:rFonts w:eastAsia="Arial" w:cs="Arial"/>
          <w:color w:val="000000" w:themeColor="text1"/>
        </w:rPr>
        <w:t>–</w:t>
      </w:r>
      <w:r w:rsidRPr="0BF89F00">
        <w:rPr>
          <w:rFonts w:eastAsia="Arial" w:cs="Arial"/>
          <w:color w:val="000000" w:themeColor="text1"/>
        </w:rPr>
        <w:t xml:space="preserve">115 </w:t>
      </w:r>
      <w:proofErr w:type="spellStart"/>
      <w:r w:rsidRPr="0BF89F00">
        <w:rPr>
          <w:rFonts w:eastAsia="Arial" w:cs="Arial"/>
          <w:color w:val="000000" w:themeColor="text1"/>
        </w:rPr>
        <w:t>Mt:n</w:t>
      </w:r>
      <w:proofErr w:type="spellEnd"/>
      <w:r w:rsidRPr="0BF89F00">
        <w:rPr>
          <w:rFonts w:eastAsia="Arial" w:cs="Arial"/>
          <w:color w:val="000000" w:themeColor="text1"/>
        </w:rPr>
        <w:t xml:space="preserve"> tasolle jaksolta 2021</w:t>
      </w:r>
      <w:r w:rsidR="5305B171" w:rsidRPr="2CD0A093">
        <w:rPr>
          <w:rFonts w:eastAsia="Arial" w:cs="Arial"/>
          <w:color w:val="000000" w:themeColor="text1"/>
        </w:rPr>
        <w:t>–</w:t>
      </w:r>
      <w:r w:rsidRPr="0BF89F00">
        <w:rPr>
          <w:rFonts w:eastAsia="Arial" w:cs="Arial"/>
          <w:color w:val="000000" w:themeColor="text1"/>
        </w:rPr>
        <w:t xml:space="preserve">2025. Mahdollisilla joustoilla vajeen kokoluokka on arviolta noin 84 miljoonaa tonnia. Lisäksi vertailutasoon tehtävillä teknisten korjausten </w:t>
      </w:r>
      <w:r w:rsidRPr="41CB0857">
        <w:rPr>
          <w:rFonts w:eastAsia="Arial" w:cs="Arial"/>
          <w:color w:val="000000" w:themeColor="text1"/>
        </w:rPr>
        <w:t>vaikutuks</w:t>
      </w:r>
      <w:r w:rsidR="7658273D" w:rsidRPr="41CB0857">
        <w:rPr>
          <w:rFonts w:eastAsia="Arial" w:cs="Arial"/>
          <w:color w:val="000000" w:themeColor="text1"/>
        </w:rPr>
        <w:t>illa</w:t>
      </w:r>
      <w:r w:rsidRPr="0BF89F00">
        <w:rPr>
          <w:rFonts w:eastAsia="Arial" w:cs="Arial"/>
          <w:color w:val="000000" w:themeColor="text1"/>
        </w:rPr>
        <w:t xml:space="preserve"> vajeen kokoluokka todennäköisesti pienenee. Maankäyttösektorin vaje on mahdollista kattaa hankkimalla vastaava määrä maankäyttösektorin yksiköitä muista jäsenmaista. </w:t>
      </w:r>
      <w:r w:rsidR="003E0D8D" w:rsidRPr="0BF89F00">
        <w:rPr>
          <w:rFonts w:eastAsia="Arial" w:cs="Arial"/>
          <w:color w:val="000000" w:themeColor="text1"/>
        </w:rPr>
        <w:t>LULUCF-asetuksen mukaan jäsenmaa voi siirtää tai ostaa LULUCF-yksiköitä toiselta jäsenvaltiolta, joka on ylittänyt oman velvoitteensa ja haluaa myydä syntyneitä ylijäämäyksiköitä.</w:t>
      </w:r>
    </w:p>
    <w:p w14:paraId="52A6C63A" w14:textId="52261A43" w:rsidR="1A9C9CDB" w:rsidRPr="00EF3D60" w:rsidRDefault="1A9C9CDB" w:rsidP="00A975BA">
      <w:pPr>
        <w:pStyle w:val="VNLeip1kappale"/>
        <w:rPr>
          <w:rFonts w:eastAsia="Arial" w:cs="Arial"/>
        </w:rPr>
      </w:pPr>
      <w:r w:rsidRPr="00EF3D60">
        <w:rPr>
          <w:rFonts w:eastAsia="Arial" w:cs="Arial"/>
          <w:color w:val="000000" w:themeColor="text1"/>
        </w:rPr>
        <w:t xml:space="preserve">Vaikka edellä mainittujen toimien vaikutuksesta maankäyttösektorin vajetta pystytään pienentämään merkittävästikin, on edelleen mahdollista, että vajeen poistaminen kokonaan ei onnistu. Tässä tapauksessa maankäyttösektorin muodostama riski toteutuu taakanjakosektorin näkökulmasta. Riskienhallinnan parantamiseksi </w:t>
      </w:r>
      <w:r w:rsidR="4DDC5B5A" w:rsidRPr="00EF3D60">
        <w:rPr>
          <w:rFonts w:eastAsia="Arial" w:cs="Arial"/>
          <w:color w:val="000000" w:themeColor="text1"/>
        </w:rPr>
        <w:t>taakanjakoasetuksen mukainen mahdollisuus hankkia päästöyk</w:t>
      </w:r>
      <w:r w:rsidR="4143476F" w:rsidRPr="00EF3D60">
        <w:rPr>
          <w:rFonts w:eastAsia="Arial" w:cs="Arial"/>
          <w:color w:val="000000" w:themeColor="text1"/>
        </w:rPr>
        <w:t>s</w:t>
      </w:r>
      <w:r w:rsidR="4DDC5B5A" w:rsidRPr="00EF3D60">
        <w:rPr>
          <w:rFonts w:eastAsia="Arial" w:cs="Arial"/>
          <w:color w:val="000000" w:themeColor="text1"/>
        </w:rPr>
        <w:t xml:space="preserve">iköitä muilta jäsenmailta voi </w:t>
      </w:r>
      <w:r w:rsidR="4DDC5B5A" w:rsidRPr="00EF3D60">
        <w:rPr>
          <w:rFonts w:eastAsia="Arial" w:cs="Arial"/>
        </w:rPr>
        <w:t xml:space="preserve">tarjota </w:t>
      </w:r>
      <w:r w:rsidR="5485EDE6" w:rsidRPr="00EF3D60">
        <w:rPr>
          <w:rFonts w:eastAsia="Arial" w:cs="Arial"/>
        </w:rPr>
        <w:t>mahdollisuu</w:t>
      </w:r>
      <w:r w:rsidR="774EEC97" w:rsidRPr="00EF3D60">
        <w:rPr>
          <w:rFonts w:eastAsia="Arial" w:cs="Arial"/>
        </w:rPr>
        <w:t>den</w:t>
      </w:r>
      <w:r w:rsidR="5485EDE6" w:rsidRPr="00EF3D60">
        <w:rPr>
          <w:rFonts w:eastAsia="Arial" w:cs="Arial"/>
        </w:rPr>
        <w:t xml:space="preserve"> velvoitteen kattamiseen muiden toimenpiteiden ohella. </w:t>
      </w:r>
      <w:r w:rsidRPr="00EF3D60">
        <w:rPr>
          <w:rFonts w:eastAsia="Arial" w:cs="Arial"/>
        </w:rPr>
        <w:t xml:space="preserve">Kyse on </w:t>
      </w:r>
      <w:r w:rsidR="4231A4FA" w:rsidRPr="00EF3D60">
        <w:rPr>
          <w:rFonts w:eastAsia="Arial" w:cs="Arial"/>
        </w:rPr>
        <w:t>tilanteesta</w:t>
      </w:r>
      <w:r w:rsidRPr="00EF3D60">
        <w:rPr>
          <w:rFonts w:eastAsia="Arial" w:cs="Arial"/>
        </w:rPr>
        <w:t xml:space="preserve">, joka voi tulla esiin jo </w:t>
      </w:r>
      <w:r w:rsidR="2E55D37D" w:rsidRPr="00EF3D60">
        <w:rPr>
          <w:rFonts w:eastAsia="Arial" w:cs="Arial"/>
        </w:rPr>
        <w:t>lähivuosina.</w:t>
      </w:r>
      <w:r w:rsidRPr="00EF3D60">
        <w:rPr>
          <w:rFonts w:eastAsia="Arial" w:cs="Arial"/>
        </w:rPr>
        <w:t xml:space="preserve"> </w:t>
      </w:r>
      <w:r w:rsidR="008527E1" w:rsidRPr="00EF3D60">
        <w:t>Tämän jouston hyödyntämiseen liittyy epävarmuu</w:t>
      </w:r>
      <w:r w:rsidR="008114B9" w:rsidRPr="00EF3D60">
        <w:t>tta</w:t>
      </w:r>
      <w:r w:rsidR="008527E1" w:rsidRPr="00EF3D60">
        <w:t xml:space="preserve"> ja edellyttää että tällaisia yksiköitä on kaupan</w:t>
      </w:r>
      <w:r w:rsidR="00EF3D60" w:rsidRPr="00EF3D60">
        <w:t>.</w:t>
      </w:r>
    </w:p>
    <w:p w14:paraId="5C7BA7B1" w14:textId="29ADDA65" w:rsidR="37FF32AC" w:rsidRDefault="37FF32AC" w:rsidP="22DDE1DC">
      <w:pPr>
        <w:pStyle w:val="VNLeip1kappale"/>
      </w:pPr>
    </w:p>
    <w:p w14:paraId="0FD44A6E" w14:textId="45F0D757" w:rsidR="0075162B" w:rsidRPr="00E66021" w:rsidRDefault="00126C87" w:rsidP="00126C87">
      <w:pPr>
        <w:pStyle w:val="Otsikko1"/>
        <w:numPr>
          <w:ilvl w:val="0"/>
          <w:numId w:val="0"/>
        </w:numPr>
        <w:ind w:left="432" w:hanging="432"/>
        <w:rPr>
          <w:color w:val="365ABD" w:themeColor="accent3"/>
          <w:lang w:eastAsia="en-US"/>
        </w:rPr>
      </w:pPr>
      <w:bookmarkStart w:id="185" w:name="_Toc1464384672"/>
      <w:bookmarkStart w:id="186" w:name="_Toc443577755"/>
      <w:bookmarkStart w:id="187" w:name="_Toc202260074"/>
      <w:bookmarkEnd w:id="175"/>
      <w:r>
        <w:t>8.</w:t>
      </w:r>
      <w:r w:rsidR="00AB75BF">
        <w:t xml:space="preserve"> </w:t>
      </w:r>
      <w:r w:rsidR="0075162B" w:rsidRPr="00E66021">
        <w:t>Osallistaminen ilmastosuunnitelman laadintaan</w:t>
      </w:r>
      <w:bookmarkEnd w:id="185"/>
      <w:bookmarkEnd w:id="186"/>
      <w:bookmarkEnd w:id="187"/>
    </w:p>
    <w:p w14:paraId="32A6E5BE" w14:textId="32582330" w:rsidR="008B1AD5" w:rsidRPr="0010106E" w:rsidRDefault="00DC5EA4" w:rsidP="009076FA">
      <w:pPr>
        <w:pStyle w:val="VNLeip1kappale"/>
        <w:rPr>
          <w:lang w:eastAsia="en-US"/>
        </w:rPr>
      </w:pPr>
      <w:r>
        <w:t xml:space="preserve">Keskipitkän aikavälin </w:t>
      </w:r>
      <w:r w:rsidR="6C950833">
        <w:t>ilmastosuunnitelman</w:t>
      </w:r>
      <w:r>
        <w:t xml:space="preserve"> valmistelun aikana on kuultu laajasti kansalaisia ja eri sidosryhmiä. Osallistumismahdollisuuksia on järjestetty pääosin aikaisessa vaiheessa valmistelua, joten kuulemisten aikana ei ole voitu keskustella lopullisista kirjauksista, vaan pohdinta on ollut yleisempää. Laajan osallistamisen kautta suunnitelman tueksi on saatu arvokasta tietoa erilaisten ilmastotoimien vaikutuksista. </w:t>
      </w:r>
      <w:r w:rsidR="00042D44">
        <w:t>Tarkemmat kuvaukset näistä tapahtumista löytyvät Hankeikkuna-palvelusta.</w:t>
      </w:r>
    </w:p>
    <w:p w14:paraId="2E77AAAF" w14:textId="24D2511B" w:rsidR="00211F3B" w:rsidRPr="00873E36" w:rsidRDefault="00BA33E0" w:rsidP="00BA33E0">
      <w:pPr>
        <w:pStyle w:val="Otsikko2"/>
        <w:tabs>
          <w:tab w:val="clear" w:pos="360"/>
        </w:tabs>
        <w:ind w:left="1080"/>
        <w:rPr>
          <w:lang w:val="fi-FI"/>
        </w:rPr>
      </w:pPr>
      <w:bookmarkStart w:id="188" w:name="_Toc197094005"/>
      <w:bookmarkStart w:id="189" w:name="_Toc197094147"/>
      <w:bookmarkStart w:id="190" w:name="_Toc197095206"/>
      <w:bookmarkStart w:id="191" w:name="_Toc197095432"/>
      <w:bookmarkStart w:id="192" w:name="_Toc719106007"/>
      <w:bookmarkStart w:id="193" w:name="_Toc929390672"/>
      <w:bookmarkStart w:id="194" w:name="_Toc202260075"/>
      <w:bookmarkEnd w:id="188"/>
      <w:bookmarkEnd w:id="189"/>
      <w:bookmarkEnd w:id="190"/>
      <w:bookmarkEnd w:id="191"/>
      <w:r w:rsidRPr="00873E36">
        <w:rPr>
          <w:lang w:val="fi-FI"/>
        </w:rPr>
        <w:t>8.1</w:t>
      </w:r>
      <w:r w:rsidR="00B674F8" w:rsidRPr="00873E36">
        <w:rPr>
          <w:lang w:val="fi-FI"/>
        </w:rPr>
        <w:t xml:space="preserve"> </w:t>
      </w:r>
      <w:r w:rsidR="00211F3B" w:rsidRPr="00873E36">
        <w:rPr>
          <w:lang w:val="fi-FI"/>
        </w:rPr>
        <w:t>Sidosryhmien kuuleminen</w:t>
      </w:r>
      <w:bookmarkEnd w:id="192"/>
      <w:bookmarkEnd w:id="193"/>
      <w:bookmarkEnd w:id="194"/>
    </w:p>
    <w:p w14:paraId="0EF819AE" w14:textId="482B28B3" w:rsidR="000047D4" w:rsidRDefault="002401BC">
      <w:pPr>
        <w:pStyle w:val="VNLeip1kappale"/>
        <w:rPr>
          <w:rStyle w:val="eop"/>
        </w:rPr>
      </w:pPr>
      <w:r w:rsidRPr="00911CE2">
        <w:rPr>
          <w:rStyle w:val="normaltextrun"/>
        </w:rPr>
        <w:t>Ympäristöministeriö järjesti m</w:t>
      </w:r>
      <w:r w:rsidR="000047D4" w:rsidRPr="006773AE">
        <w:rPr>
          <w:rStyle w:val="normaltextrun"/>
        </w:rPr>
        <w:t xml:space="preserve">aaliskuussa 2024 </w:t>
      </w:r>
      <w:r w:rsidR="004804DD" w:rsidRPr="00911CE2">
        <w:rPr>
          <w:rStyle w:val="normaltextrun"/>
        </w:rPr>
        <w:t xml:space="preserve">kaikille avoimen webinaarin ilmastosuunnitelman valmistelun käynnistymisestä. </w:t>
      </w:r>
      <w:r w:rsidR="00593A45" w:rsidRPr="00911CE2">
        <w:rPr>
          <w:rStyle w:val="normaltextrun"/>
        </w:rPr>
        <w:t xml:space="preserve">Tilaisuudessa </w:t>
      </w:r>
      <w:r w:rsidR="000047D4" w:rsidRPr="006773AE">
        <w:rPr>
          <w:rStyle w:val="normaltextrun"/>
        </w:rPr>
        <w:t xml:space="preserve">kerrottiin tarkemmin </w:t>
      </w:r>
      <w:r w:rsidR="37A92D2A" w:rsidRPr="783A91FD">
        <w:rPr>
          <w:rStyle w:val="normaltextrun"/>
        </w:rPr>
        <w:t>KAISU3</w:t>
      </w:r>
      <w:r w:rsidR="000047D4" w:rsidRPr="783A91FD">
        <w:rPr>
          <w:rStyle w:val="normaltextrun"/>
        </w:rPr>
        <w:t xml:space="preserve"> </w:t>
      </w:r>
      <w:r w:rsidR="4F1BBB74" w:rsidRPr="783A91FD">
        <w:rPr>
          <w:rStyle w:val="normaltextrun"/>
        </w:rPr>
        <w:t>-</w:t>
      </w:r>
      <w:r w:rsidR="000047D4" w:rsidRPr="006773AE">
        <w:rPr>
          <w:rStyle w:val="normaltextrun"/>
        </w:rPr>
        <w:t>suunnitelman laatimisen lähtökohdista</w:t>
      </w:r>
      <w:r w:rsidR="0D0FB00B" w:rsidRPr="7A590CED">
        <w:rPr>
          <w:rStyle w:val="normaltextrun"/>
        </w:rPr>
        <w:t>,</w:t>
      </w:r>
      <w:r w:rsidR="000047D4" w:rsidRPr="7A590CED">
        <w:rPr>
          <w:rStyle w:val="normaltextrun"/>
        </w:rPr>
        <w:t xml:space="preserve"> </w:t>
      </w:r>
      <w:r w:rsidR="000047D4" w:rsidRPr="006773AE">
        <w:rPr>
          <w:rStyle w:val="normaltextrun"/>
        </w:rPr>
        <w:t>valmisteluprosessista</w:t>
      </w:r>
      <w:r w:rsidR="00593A45" w:rsidRPr="00911CE2">
        <w:rPr>
          <w:rStyle w:val="normaltextrun"/>
        </w:rPr>
        <w:t xml:space="preserve"> ja </w:t>
      </w:r>
      <w:r w:rsidR="00593A45" w:rsidRPr="000276C9">
        <w:rPr>
          <w:rStyle w:val="normaltextrun"/>
        </w:rPr>
        <w:t>mahdollisuuksista osallistua siihen.</w:t>
      </w:r>
      <w:r w:rsidR="007E2E8F">
        <w:rPr>
          <w:rStyle w:val="normaltextrun"/>
        </w:rPr>
        <w:t xml:space="preserve"> </w:t>
      </w:r>
    </w:p>
    <w:p w14:paraId="0147BCDA" w14:textId="6740A705" w:rsidR="00B9471C" w:rsidRDefault="006A7F69">
      <w:pPr>
        <w:pStyle w:val="VNLeip1kappale"/>
      </w:pPr>
      <w:r>
        <w:t xml:space="preserve">Ympäristöministeriö järjesti syyskuun </w:t>
      </w:r>
      <w:r w:rsidR="438D8472">
        <w:t xml:space="preserve">2024 </w:t>
      </w:r>
      <w:r>
        <w:t xml:space="preserve">lopulla </w:t>
      </w:r>
      <w:r w:rsidR="712DED47">
        <w:t>sidosryhmille työpaja</w:t>
      </w:r>
      <w:r>
        <w:t xml:space="preserve">tilaisuuden, jossa kuultiin eri tahojen näkemyksiä keskipitkän aikavälin ilmastosuunnitelman tueksi. </w:t>
      </w:r>
      <w:r w:rsidR="255BAFDA">
        <w:t>K</w:t>
      </w:r>
      <w:r>
        <w:t xml:space="preserve">eskustelujen pohjaksi nostettiin esiin esimerkinomaisia politiikkatoimia liikenteen ja asumisen osalta, jotka voisivat sisältyä lopulliseen </w:t>
      </w:r>
      <w:proofErr w:type="spellStart"/>
      <w:r>
        <w:t>KAISUun</w:t>
      </w:r>
      <w:proofErr w:type="spellEnd"/>
      <w:r w:rsidR="40E04411">
        <w:t>.</w:t>
      </w:r>
      <w:r>
        <w:t xml:space="preserve"> Osallistujat pääsivät esittämään näkemyksiään mahdollisista politiikkatoimista sekä arvioimaan toimenpiteiden vaikuttavuutta ja hyväksyttävyyttä työpajaosuudessa. Lisäksi osallistujilla oli mahdollisuus listata muita keskeisinä pitämiään päästövähennyskeinoja.</w:t>
      </w:r>
    </w:p>
    <w:p w14:paraId="78BA7694" w14:textId="0877C449" w:rsidR="00B16862" w:rsidRDefault="00B16862">
      <w:pPr>
        <w:pStyle w:val="VNLeip1kappale"/>
      </w:pPr>
      <w:r w:rsidRPr="00B16862">
        <w:t>Työpajaosuuden vaikuttavimpina ja hyväksyttävimpänä toimina liikenteen toimenpiteiden kannalta pidettiin kestävän liikenteen edistämistä yhteistyössä valtion ja kuntien kesken sekä jakeluninfratu</w:t>
      </w:r>
      <w:r>
        <w:t>kia</w:t>
      </w:r>
      <w:r w:rsidRPr="00B16862">
        <w:t>. Asumisen osalta vaikuttavimmiksi keinoiksi miellettiin asuinrakennusten energia-avustus sekä fossiilisesta öljy- ja kaasulämmityksestä luopumisen avustus pientaloille.</w:t>
      </w:r>
    </w:p>
    <w:p w14:paraId="21D9452E" w14:textId="61CF2369" w:rsidR="5097F226" w:rsidRDefault="5097F226" w:rsidP="5BACB06F">
      <w:pPr>
        <w:pStyle w:val="VNLeip1kappale"/>
        <w:rPr>
          <w:rStyle w:val="Alaviitteenviite"/>
        </w:rPr>
      </w:pPr>
      <w:r>
        <w:t xml:space="preserve">Osana Ilmastoratkaisujen vauhdittaja (ACE) –hanketta Syke on laatinut politiikkasuosituksia työkoneista, </w:t>
      </w:r>
      <w:r w:rsidR="2341BE5F">
        <w:t>maataloude</w:t>
      </w:r>
      <w:r>
        <w:t xml:space="preserve">sta ja biotaloudesta. </w:t>
      </w:r>
      <w:proofErr w:type="spellStart"/>
      <w:r w:rsidR="36F9654E">
        <w:t>Syken</w:t>
      </w:r>
      <w:proofErr w:type="spellEnd"/>
      <w:r w:rsidR="36F9654E">
        <w:t xml:space="preserve"> keskustelupaperien tulokset perustuvat politiikkatoimien tilannekuvan tarkastelulle ja syksyllä 2024 toteutettujen politiikka-arviointityöpajojen tuloksiin. Työpajoissa arvioitiin </w:t>
      </w:r>
      <w:r w:rsidR="129AB45E">
        <w:t xml:space="preserve">työkoneiden päästövähennysten, </w:t>
      </w:r>
      <w:r w:rsidR="36F9654E">
        <w:t>kosteikkoviljelyn, kasviproteiinien arvoketjujen vahvistamisen sekä biokaasun ohjauskeinojen vaikuttavuutta ja hyväksyttävyyttä sekä mahdollisuuksia näiden tehostamiseksi.</w:t>
      </w:r>
      <w:r w:rsidR="2E12DF48">
        <w:t xml:space="preserve"> </w:t>
      </w:r>
      <w:r w:rsidR="36148D77">
        <w:t>Tulosten mukaan e</w:t>
      </w:r>
      <w:r w:rsidR="36148D77" w:rsidRPr="5BACB06F">
        <w:t xml:space="preserve">rityisesti </w:t>
      </w:r>
      <w:proofErr w:type="spellStart"/>
      <w:r w:rsidR="36148D77" w:rsidRPr="5BACB06F">
        <w:t>vettämällä</w:t>
      </w:r>
      <w:proofErr w:type="spellEnd"/>
      <w:r w:rsidR="36148D77" w:rsidRPr="5BACB06F">
        <w:t xml:space="preserve"> heikkotuottoisia turvepeltoja voidaan vähentää turvepeltojen dityppioksidipäästöjä ja vahvistaa maankäyttösektorin nettonielua kustannustehokkaalla tavalla. Kasviproteiinien arvoketjuja kehittämällä voidaan tukea siirtymää terveelliseen ja kestävään ruokavalioon. </w:t>
      </w:r>
      <w:r w:rsidR="10DAD7E3">
        <w:t>Työkoneiden osalta keskeisiä toimia ovat infratuet, TKI-rahoituksen strateginen kehittäminen sekä nolla- ja vähäpäästöisten työkoneiden demo- ja hankintatuet</w:t>
      </w:r>
      <w:r w:rsidR="764404B3">
        <w:t>.</w:t>
      </w:r>
    </w:p>
    <w:p w14:paraId="5F592B8C" w14:textId="565EB9F1" w:rsidR="00AD695F" w:rsidRPr="00747D32" w:rsidRDefault="00BA33E0" w:rsidP="00BA33E0">
      <w:pPr>
        <w:pStyle w:val="Otsikko2"/>
        <w:tabs>
          <w:tab w:val="clear" w:pos="360"/>
        </w:tabs>
        <w:ind w:left="1080"/>
        <w:rPr>
          <w:lang w:val="fi-FI"/>
        </w:rPr>
      </w:pPr>
      <w:bookmarkStart w:id="195" w:name="_Toc491970605"/>
      <w:bookmarkStart w:id="196" w:name="_Toc2029767550"/>
      <w:bookmarkStart w:id="197" w:name="_Toc202260076"/>
      <w:r>
        <w:rPr>
          <w:lang w:val="fi-FI"/>
        </w:rPr>
        <w:t>8.2</w:t>
      </w:r>
      <w:r w:rsidR="00E3315F">
        <w:rPr>
          <w:lang w:val="fi-FI"/>
        </w:rPr>
        <w:t xml:space="preserve"> </w:t>
      </w:r>
      <w:r w:rsidR="00AD695F" w:rsidRPr="00E3315F">
        <w:rPr>
          <w:lang w:val="fi-FI"/>
        </w:rPr>
        <w:t>Ilmastobarometri</w:t>
      </w:r>
      <w:bookmarkEnd w:id="195"/>
      <w:bookmarkEnd w:id="196"/>
      <w:bookmarkEnd w:id="197"/>
    </w:p>
    <w:p w14:paraId="247093DC" w14:textId="1CEA9EF2" w:rsidR="61B1FE96" w:rsidRDefault="0C59399F" w:rsidP="5CAC4654">
      <w:pPr>
        <w:pStyle w:val="VNLeip1kappale"/>
        <w:rPr>
          <w:lang w:eastAsia="en-US"/>
        </w:rPr>
      </w:pPr>
      <w:r w:rsidRPr="28F876FF">
        <w:rPr>
          <w:lang w:eastAsia="en-US"/>
        </w:rPr>
        <w:t>Ilmastobarometri 2025 selvitti 15 vuotta täyttäneiden suomalaisten mielipiteitä ja asenteita liittyen ilmastomuutokseen ja sen vaikutuksiin, ilmastopolitiikkaan, kansalaisten omaan toimintaan ilmastomuutoksen hidastamisessa sekä arvioita ilmastonmuutoksen hillinnästä ja päästöjen vähentämisestä. Lisäksi selvitettiin vertailukelpoisin osin, miten kansalaisten asenteet olivat muuttuneet vuosina 2023, 2019 ja 2015 tehtyihin edellisiin Ilmastobarometreihin verrattuna.</w:t>
      </w:r>
    </w:p>
    <w:p w14:paraId="69380DCF" w14:textId="484DB4FE" w:rsidR="00AD695F" w:rsidRPr="00AD695F" w:rsidRDefault="613B0E21" w:rsidP="28F876FF">
      <w:pPr>
        <w:pStyle w:val="VNLeip1kappale"/>
        <w:rPr>
          <w:lang w:eastAsia="en-US"/>
        </w:rPr>
      </w:pPr>
      <w:r w:rsidRPr="28F876FF">
        <w:rPr>
          <w:lang w:eastAsia="en-US"/>
        </w:rPr>
        <w:t>Suurin osa vastaajista oli samaa mieltä, että ilmastonmuutoksen hillintä on kannattavaa ja kiireellistä</w:t>
      </w:r>
      <w:r w:rsidR="37F0F1F2" w:rsidRPr="28F876FF">
        <w:rPr>
          <w:lang w:eastAsia="en-US"/>
        </w:rPr>
        <w:t xml:space="preserve">. Edellisiin vuosiin verrattuna tätä mieltä olevien osuus on selvästi kasvanut. </w:t>
      </w:r>
      <w:r w:rsidR="37DD1EFC" w:rsidRPr="28F876FF">
        <w:rPr>
          <w:lang w:eastAsia="en-US"/>
        </w:rPr>
        <w:t>Vajaa puolet vastaajista keskimäärin on kuvannut tehneensä ilmastoviisaita ratkaisuja arjessaan</w:t>
      </w:r>
      <w:r w:rsidR="52242BCB" w:rsidRPr="65765F33">
        <w:rPr>
          <w:lang w:eastAsia="en-US"/>
        </w:rPr>
        <w:t>,</w:t>
      </w:r>
      <w:r w:rsidR="36B5E8A7" w:rsidRPr="1B98075E">
        <w:rPr>
          <w:lang w:eastAsia="en-US"/>
        </w:rPr>
        <w:t xml:space="preserve"> </w:t>
      </w:r>
      <w:r w:rsidR="36B5E8A7" w:rsidRPr="5C70CB3D">
        <w:rPr>
          <w:lang w:eastAsia="en-US"/>
        </w:rPr>
        <w:t xml:space="preserve">ja </w:t>
      </w:r>
      <w:r w:rsidR="4313E5D2" w:rsidRPr="28F876FF">
        <w:rPr>
          <w:lang w:eastAsia="en-US"/>
        </w:rPr>
        <w:t>osuus on kasvanut edellisiin vuosiin</w:t>
      </w:r>
      <w:r w:rsidR="6F9AF264" w:rsidRPr="65765F33">
        <w:rPr>
          <w:lang w:eastAsia="en-US"/>
        </w:rPr>
        <w:t xml:space="preserve"> verrattuna</w:t>
      </w:r>
      <w:r w:rsidR="4313E5D2" w:rsidRPr="65765F33">
        <w:rPr>
          <w:lang w:eastAsia="en-US"/>
        </w:rPr>
        <w:t>.</w:t>
      </w:r>
      <w:r w:rsidR="2CEE7533" w:rsidRPr="28F876FF">
        <w:rPr>
          <w:lang w:eastAsia="en-US"/>
        </w:rPr>
        <w:t xml:space="preserve"> Suurimmat esteet oman käyttäytymisen muuttamiselle ilmastokestävämmäksi ovat arvioiden mukaan taloudelliset syyt, vanhat tottumukset ja palveluiden, kuten joukkoliikenteen tai muun infrastruktuurin puute.</w:t>
      </w:r>
    </w:p>
    <w:p w14:paraId="1C4ACD44" w14:textId="73BDDF6D" w:rsidR="00AD695F" w:rsidRPr="00AD695F" w:rsidRDefault="295FC1BF" w:rsidP="28F876FF">
      <w:pPr>
        <w:pStyle w:val="VNLeip1kappale"/>
        <w:rPr>
          <w:lang w:eastAsia="en-US"/>
        </w:rPr>
      </w:pPr>
      <w:r w:rsidRPr="28F876FF">
        <w:rPr>
          <w:lang w:eastAsia="en-US"/>
        </w:rPr>
        <w:t>Omakotiasujista puolet on vaihtanut lämmityksen vähäpäästöisempään, kuten maalämpöön, ilmalämpöpumppuun tai muuhun vastaavaan energiaa säästävään ratkaisuun. Taloyhtiössä asuvista 22 % on vienyt päästövähennys-, energiansäästö- ja energiatehokkuusasioita eteenpäin omassa taloyhtiössään.</w:t>
      </w:r>
    </w:p>
    <w:p w14:paraId="13B02503" w14:textId="2BCD2FB6" w:rsidR="00AD695F" w:rsidRPr="00AD695F" w:rsidRDefault="61EF05AB" w:rsidP="28F876FF">
      <w:pPr>
        <w:pStyle w:val="VNLeip1kappale"/>
        <w:rPr>
          <w:lang w:eastAsia="en-US"/>
        </w:rPr>
      </w:pPr>
      <w:r w:rsidRPr="28F876FF">
        <w:rPr>
          <w:lang w:eastAsia="en-US"/>
        </w:rPr>
        <w:t xml:space="preserve">Oman auton käyttäjiltä kysyttiin, mitkä asiat vaikuttavat merkittävästi sähköauton hankintaan lähivuosina. Tärkeimmäksi nousi edullisempien sähköautojen tuleminen markkinoille. Sen jälkeen tulivat kattavat latausmahdollisuudet liikenteessä, sähköauton hankintatuki ja latausmahdollisuuden saaminen kotiin/asunnolle. Vähiten vaikuttaviksi </w:t>
      </w:r>
      <w:r w:rsidR="3669D4C5" w:rsidRPr="722F1FF4">
        <w:rPr>
          <w:lang w:eastAsia="en-US"/>
        </w:rPr>
        <w:t>tekijöiksi</w:t>
      </w:r>
      <w:r w:rsidRPr="722F1FF4">
        <w:rPr>
          <w:lang w:eastAsia="en-US"/>
        </w:rPr>
        <w:t xml:space="preserve"> </w:t>
      </w:r>
      <w:r w:rsidR="4129A962" w:rsidRPr="722F1FF4">
        <w:rPr>
          <w:lang w:eastAsia="en-US"/>
        </w:rPr>
        <w:t>arvioitiin</w:t>
      </w:r>
      <w:r w:rsidRPr="28F876FF">
        <w:rPr>
          <w:lang w:eastAsia="en-US"/>
        </w:rPr>
        <w:t xml:space="preserve"> romutuspalkkio vanhalle autolle ja bensiinin ja/tai dieselin nouseva hinta.</w:t>
      </w:r>
    </w:p>
    <w:p w14:paraId="2716A76D" w14:textId="5235F759" w:rsidR="0075162B" w:rsidRPr="00747D32" w:rsidRDefault="00BA33E0" w:rsidP="00BA33E0">
      <w:pPr>
        <w:pStyle w:val="Otsikko2"/>
        <w:tabs>
          <w:tab w:val="clear" w:pos="360"/>
        </w:tabs>
        <w:ind w:left="1080"/>
        <w:rPr>
          <w:lang w:val="fi-FI"/>
        </w:rPr>
      </w:pPr>
      <w:bookmarkStart w:id="198" w:name="_Toc465510787"/>
      <w:bookmarkStart w:id="199" w:name="_Toc1897761652"/>
      <w:bookmarkStart w:id="200" w:name="_Toc202260077"/>
      <w:r>
        <w:rPr>
          <w:lang w:val="fi-FI"/>
        </w:rPr>
        <w:t>8.3</w:t>
      </w:r>
      <w:r w:rsidR="00E3315F">
        <w:rPr>
          <w:lang w:val="fi-FI"/>
        </w:rPr>
        <w:t xml:space="preserve"> </w:t>
      </w:r>
      <w:r w:rsidR="0075162B" w:rsidRPr="00E3315F">
        <w:rPr>
          <w:lang w:val="fi-FI"/>
        </w:rPr>
        <w:t>Kansalais</w:t>
      </w:r>
      <w:r w:rsidR="1C29981F" w:rsidRPr="00E3315F">
        <w:rPr>
          <w:lang w:val="fi-FI"/>
        </w:rPr>
        <w:t>kokous</w:t>
      </w:r>
      <w:bookmarkEnd w:id="198"/>
      <w:bookmarkEnd w:id="199"/>
      <w:bookmarkEnd w:id="200"/>
    </w:p>
    <w:p w14:paraId="280027A8" w14:textId="23912875" w:rsidR="12E29063" w:rsidRDefault="6DB8B66B">
      <w:pPr>
        <w:pStyle w:val="VNLeip1kappale"/>
        <w:rPr>
          <w:rFonts w:eastAsia="Calibri"/>
        </w:rPr>
      </w:pPr>
      <w:r w:rsidRPr="668BC20E">
        <w:rPr>
          <w:rFonts w:eastAsia="Calibri"/>
        </w:rPr>
        <w:t xml:space="preserve">FLAIRE on strategisen tutkimuksen neuvoston rahoittama hanke, joka tarkastelee kulutusjoustomekanismien ja energiansäästötoimien mahdollisuuksia oikeudenmukaisen, joustavan ja kestävän energiajärjestelmän edistämisessä. Kulutusjoustolla tarkoitetaan sähkön käytön vähentämistä kulutushuippujen aikana. Hankkeessa on tarkoitus kehittää teknistaloudellisia ratkaisuja kulutusjouston ja kysynnän säätelyn edistämiseksi ja </w:t>
      </w:r>
      <w:r w:rsidRPr="655942D9">
        <w:rPr>
          <w:rFonts w:eastAsia="Calibri"/>
        </w:rPr>
        <w:t>mallin</w:t>
      </w:r>
      <w:r w:rsidR="56A4CA8C" w:rsidRPr="655942D9">
        <w:rPr>
          <w:rFonts w:eastAsia="Calibri"/>
        </w:rPr>
        <w:t>taa</w:t>
      </w:r>
      <w:r w:rsidRPr="668BC20E">
        <w:rPr>
          <w:rFonts w:eastAsia="Calibri"/>
        </w:rPr>
        <w:t xml:space="preserve"> näiden taloudellisia ja systeemisiä vaikutuksia Suomen energiajärjestelmään. Kulutusjoustojen lisäksi tarkastellaan uusia sosiaalisia käytäntöjä energian kokonaiskulutuksen vähentämiseksi sekä kotitalouksissa että kuntien toiminnassa. Osana FLAIRE-hanketta järjestet</w:t>
      </w:r>
      <w:r w:rsidR="0EB8C95F" w:rsidRPr="668BC20E">
        <w:rPr>
          <w:rFonts w:eastAsia="Calibri"/>
        </w:rPr>
        <w:t>tiin helmikuussa 2025</w:t>
      </w:r>
      <w:r w:rsidRPr="668BC20E">
        <w:rPr>
          <w:rFonts w:eastAsia="Calibri"/>
        </w:rPr>
        <w:t xml:space="preserve"> kansalaiskokous, jossa puntaroi</w:t>
      </w:r>
      <w:r w:rsidR="41D15DA3" w:rsidRPr="668BC20E">
        <w:rPr>
          <w:rFonts w:eastAsia="Calibri"/>
        </w:rPr>
        <w:t>tii</w:t>
      </w:r>
      <w:r w:rsidRPr="668BC20E">
        <w:rPr>
          <w:rFonts w:eastAsia="Calibri"/>
        </w:rPr>
        <w:t xml:space="preserve">n kulutusjoustoon ja energiamurrokseen liittyviä politiikkatoimia kansalaisten näkökulmasta. </w:t>
      </w:r>
      <w:r w:rsidR="1B702F9C" w:rsidRPr="668BC20E">
        <w:rPr>
          <w:rFonts w:eastAsia="Calibri"/>
        </w:rPr>
        <w:t xml:space="preserve">Puntaroinnin kohteena olivat myös asumiseen liittyvät päästövähennyskeinot. </w:t>
      </w:r>
      <w:r w:rsidR="2D30A413" w:rsidRPr="63D6CC10">
        <w:rPr>
          <w:rFonts w:eastAsia="Calibri"/>
        </w:rPr>
        <w:t>Kokouksen osallistujat</w:t>
      </w:r>
      <w:r w:rsidRPr="668BC20E">
        <w:rPr>
          <w:rFonts w:eastAsia="Calibri"/>
        </w:rPr>
        <w:t xml:space="preserve"> valit</w:t>
      </w:r>
      <w:r w:rsidR="0786025D" w:rsidRPr="668BC20E">
        <w:rPr>
          <w:rFonts w:eastAsia="Calibri"/>
        </w:rPr>
        <w:t>tii</w:t>
      </w:r>
      <w:r w:rsidRPr="668BC20E">
        <w:rPr>
          <w:rFonts w:eastAsia="Calibri"/>
        </w:rPr>
        <w:t>n satunnaisotannalla ja he sa</w:t>
      </w:r>
      <w:r w:rsidR="32158DDB" w:rsidRPr="668BC20E">
        <w:rPr>
          <w:rFonts w:eastAsia="Calibri"/>
        </w:rPr>
        <w:t>i</w:t>
      </w:r>
      <w:r w:rsidRPr="668BC20E">
        <w:rPr>
          <w:rFonts w:eastAsia="Calibri"/>
        </w:rPr>
        <w:t xml:space="preserve">vat keskustelun pohjaksi kuulla ja hyödyntää alan asiantuntijoiden antamia taustatietoja keskusteltavista aiheista. </w:t>
      </w:r>
      <w:r w:rsidR="48A0C807" w:rsidRPr="668BC20E">
        <w:rPr>
          <w:rFonts w:eastAsia="Calibri"/>
        </w:rPr>
        <w:t>Kansalaiskokou</w:t>
      </w:r>
      <w:r w:rsidR="7D044A35" w:rsidRPr="668BC20E">
        <w:rPr>
          <w:rFonts w:eastAsia="Calibri"/>
        </w:rPr>
        <w:t xml:space="preserve">ksen tuottama julkilausuma julkistettiin maaliskuun alussa 2025. </w:t>
      </w:r>
      <w:r w:rsidR="75111F62" w:rsidRPr="668BC20E">
        <w:rPr>
          <w:rFonts w:eastAsia="Calibri"/>
        </w:rPr>
        <w:t>Julkilausuman mukaan avustuksia öljylämmityksestä luopumiselle sekä asuinrakennusten energiansäästötoimiin tu</w:t>
      </w:r>
      <w:r w:rsidR="185F5CEE" w:rsidRPr="668BC20E">
        <w:rPr>
          <w:rFonts w:eastAsia="Calibri"/>
        </w:rPr>
        <w:t>lisi jatkaa. My</w:t>
      </w:r>
      <w:r w:rsidR="601743E4" w:rsidRPr="668BC20E">
        <w:rPr>
          <w:rFonts w:eastAsia="Calibri"/>
        </w:rPr>
        <w:t xml:space="preserve">ös kevyen polttoöljyn biokomponentin nostoon otettiin kantaa. </w:t>
      </w:r>
      <w:r w:rsidR="48A0C807" w:rsidRPr="668BC20E">
        <w:rPr>
          <w:rFonts w:eastAsia="Calibri"/>
        </w:rPr>
        <w:t xml:space="preserve">Kansalaiskokouksen tuloksia on otettu huomioon </w:t>
      </w:r>
      <w:proofErr w:type="spellStart"/>
      <w:r w:rsidR="3AE3D8E8" w:rsidRPr="38E66213">
        <w:rPr>
          <w:rFonts w:eastAsia="Calibri"/>
        </w:rPr>
        <w:t>KAISUn</w:t>
      </w:r>
      <w:proofErr w:type="spellEnd"/>
      <w:r w:rsidR="48A0C807" w:rsidRPr="668BC20E">
        <w:rPr>
          <w:rFonts w:eastAsia="Calibri"/>
        </w:rPr>
        <w:t xml:space="preserve"> valmistelussa erityisesti </w:t>
      </w:r>
      <w:r w:rsidR="2C8B28DB" w:rsidRPr="668BC20E">
        <w:rPr>
          <w:rFonts w:eastAsia="Calibri"/>
        </w:rPr>
        <w:t xml:space="preserve">asuinrakennusten </w:t>
      </w:r>
      <w:r w:rsidR="48A0C807" w:rsidRPr="668BC20E">
        <w:rPr>
          <w:rFonts w:eastAsia="Calibri"/>
        </w:rPr>
        <w:t>lämmitykseen liittyvien politiikkatoimien vaikutusten arvioinnissa.</w:t>
      </w:r>
    </w:p>
    <w:p w14:paraId="2BCD0D60" w14:textId="77A49999" w:rsidR="005B534C" w:rsidRPr="00747D32" w:rsidRDefault="00BA33E0" w:rsidP="00BA33E0">
      <w:pPr>
        <w:pStyle w:val="Otsikko2"/>
        <w:tabs>
          <w:tab w:val="clear" w:pos="360"/>
        </w:tabs>
        <w:ind w:left="1080"/>
        <w:rPr>
          <w:rFonts w:eastAsia="Calibri"/>
          <w:lang w:val="fi-FI"/>
        </w:rPr>
      </w:pPr>
      <w:bookmarkStart w:id="201" w:name="_Toc590906177"/>
      <w:bookmarkStart w:id="202" w:name="_Toc266380245"/>
      <w:bookmarkStart w:id="203" w:name="_Toc202260078"/>
      <w:r>
        <w:rPr>
          <w:rFonts w:eastAsia="Calibri"/>
          <w:lang w:val="fi-FI"/>
        </w:rPr>
        <w:t>8.4</w:t>
      </w:r>
      <w:r w:rsidR="00B674F8">
        <w:rPr>
          <w:rFonts w:eastAsia="Calibri"/>
          <w:lang w:val="fi-FI"/>
        </w:rPr>
        <w:t xml:space="preserve"> </w:t>
      </w:r>
      <w:r w:rsidR="05206003" w:rsidRPr="00822524">
        <w:rPr>
          <w:rFonts w:eastAsia="Calibri"/>
          <w:lang w:val="fi-FI"/>
        </w:rPr>
        <w:t>KEITO-</w:t>
      </w:r>
      <w:r w:rsidR="00DF4474">
        <w:rPr>
          <w:rFonts w:eastAsia="Calibri"/>
          <w:lang w:val="fi-FI"/>
        </w:rPr>
        <w:t>hankeyhteistyön</w:t>
      </w:r>
      <w:r w:rsidR="05206003" w:rsidRPr="00822524">
        <w:rPr>
          <w:rFonts w:eastAsia="Calibri"/>
          <w:lang w:val="fi-FI"/>
        </w:rPr>
        <w:t xml:space="preserve"> kansalaiskysely</w:t>
      </w:r>
      <w:bookmarkEnd w:id="201"/>
      <w:bookmarkEnd w:id="202"/>
      <w:bookmarkEnd w:id="203"/>
    </w:p>
    <w:p w14:paraId="28D130A5" w14:textId="3FCDDF8F" w:rsidR="00D2690C" w:rsidRDefault="323D88FA" w:rsidP="00822524">
      <w:pPr>
        <w:pStyle w:val="VNLeip1kappale"/>
      </w:pPr>
      <w:r>
        <w:t xml:space="preserve">Kansallisen energia- ja ilmastopolitiikan uudet toimet ja -skenaariot (KEITO) -hankeyhteistyössä laaditaan skenaariolaskelmia ja vaikutusten arviointeja, jotka sisältävät sekä nykyisiä politiikkatoimia (WEM) että yhdessä ministeriöiden kanssa määriteltyjä lisätoimia (WAM). </w:t>
      </w:r>
      <w:r w:rsidR="794EF7A7">
        <w:t xml:space="preserve">Lisäksi laaditaan pitkän aikavälin ilmastosuunnitelmaa varten taakanjako-, päästökauppa- (ETS1) ja maankäyttösektorin yhteenlaskettujen kasvihuonekaasujen päästöjen ja poistumien kehitystä koskevat skenaariot vuoteen 2055 saakka.  </w:t>
      </w:r>
    </w:p>
    <w:p w14:paraId="200D2C7A" w14:textId="29E39740" w:rsidR="00D2690C" w:rsidRDefault="2C6C6226" w:rsidP="00822524">
      <w:pPr>
        <w:pStyle w:val="VNLeip1kappale"/>
      </w:pPr>
      <w:r>
        <w:t>Osana KEITO-</w:t>
      </w:r>
      <w:r w:rsidR="00DF4474">
        <w:t>työtä</w:t>
      </w:r>
      <w:r>
        <w:t xml:space="preserve"> toteutettiin kansalaiskysely, jonka tavoitteena oli selvittää kansalaisten näkemyksiä päästöjen vähentämisestä ja kestävästä elämäntavasta. Kansalaiskyselyn vastaajista 68 % pitää tavoitetta kasvihuonekaasupäästöjen vähentämisestä tärkeänä. Enemmistö vastaajista o</w:t>
      </w:r>
      <w:r w:rsidR="6413172B">
        <w:t>li</w:t>
      </w:r>
      <w:r>
        <w:t xml:space="preserve"> samaa mieltä myös siitä, että Suomen tulee pitää kiinni kansallisessa ilmastolaissa asetuista tavoitteista ja pyrkiä saavuttamaan ne. Tärkeimpinä keinoina ilmastotavoitteiden saavuttamiseksi pidettiin teollisuuden hiilidioksidin talteenottoa ja hyötykäyttöä polttoaineina ja/tai materiaaleina, jatkuvapeitteistä metsänkasvatusta suometsissä sekä hiilinielujen kasvattamista vähentämällä avohakkuita. Vastaajien mielestä parhaita tapoja toteuttaa päästövähennyksiä ovat uuden vähäpäästöisen tekniikan kehittäminen ja käyttöönotto sekä siihen kohdistettava rahoitus, kulutustottumusten muuttaminen ja päästöjä vähentäviin toimiin ja teknologioihin kohdistuvat taloudelliset tuet. Puhtaan energian siirtymässä vastaajia huolettavat kriittiseen infrastruktuuriin kohdistuvien uhkien lisäksi </w:t>
      </w:r>
      <w:r w:rsidR="76C6EA0B">
        <w:t xml:space="preserve">eniten </w:t>
      </w:r>
      <w:r>
        <w:t>vastakkainasettelu</w:t>
      </w:r>
      <w:r w:rsidR="03610893">
        <w:t>n</w:t>
      </w:r>
      <w:r>
        <w:t xml:space="preserve"> lisääntyminen (56 %</w:t>
      </w:r>
      <w:r w:rsidR="0DC10D53">
        <w:t xml:space="preserve"> vastaajista</w:t>
      </w:r>
      <w:r>
        <w:t xml:space="preserve">) </w:t>
      </w:r>
      <w:r w:rsidR="4F407A9B">
        <w:t>sekä</w:t>
      </w:r>
      <w:r>
        <w:t xml:space="preserve"> vaikutusten oikeudenmukainen jakautuminen alueiden ja ihmisryhmien sisällä (48 %</w:t>
      </w:r>
      <w:r w:rsidR="695435B7">
        <w:t xml:space="preserve"> vastaajista</w:t>
      </w:r>
      <w:r>
        <w:t xml:space="preserve">). </w:t>
      </w:r>
    </w:p>
    <w:p w14:paraId="3282CD95" w14:textId="5642F8F9" w:rsidR="00D2690C" w:rsidRDefault="2C6C6226" w:rsidP="3EB70B17">
      <w:pPr>
        <w:pStyle w:val="VNLeip1kappale"/>
      </w:pPr>
      <w:r>
        <w:t>Vastaajilta kysyttiin miten ja missä määrin he toteuttavat puhdasta energiasiirtymää ja ilmastotavoitteita edistäviä toimenpiteitä henkilökohtaisella ja kotitalouden tasolla. Valtaosa vastaajista kertoo vähentäneensä ruokahävikkiä, lisänneensä kierrätystä ja vähentäneensä kulutusta vähintään jossain määrin. Vajaa kolme neljäsosaa vastaajista kertoo myös alentaneensa kodin sisälämpötilaa. Vastaajista reilu kolme neljäsosaa toteuttaa kestävämpää liikkumista kuten kävelyn ja pyöräilyn lisäämistä, reilu kolme viidenosaa lentomatkailun vähentämistä ja noin puolet joukkoliikenteen käytön lisäämistä. Vastaajista 42 % kokee, että vähäpäästöiset vaihtoehdot ovat itselle liian kalliita.</w:t>
      </w:r>
    </w:p>
    <w:p w14:paraId="7D73F664" w14:textId="12D09FD1" w:rsidR="00D2690C" w:rsidRPr="00747D32" w:rsidRDefault="00BA33E0" w:rsidP="00BA33E0">
      <w:pPr>
        <w:pStyle w:val="Otsikko2"/>
        <w:tabs>
          <w:tab w:val="clear" w:pos="360"/>
        </w:tabs>
        <w:ind w:left="1440"/>
        <w:rPr>
          <w:lang w:val="fi-FI"/>
        </w:rPr>
      </w:pPr>
      <w:bookmarkStart w:id="204" w:name="_Toc954123328"/>
      <w:bookmarkStart w:id="205" w:name="_Toc142914791"/>
      <w:bookmarkStart w:id="206" w:name="_Toc202260079"/>
      <w:r>
        <w:rPr>
          <w:lang w:val="fi-FI"/>
        </w:rPr>
        <w:t>8.5</w:t>
      </w:r>
      <w:r w:rsidR="00B674F8">
        <w:rPr>
          <w:lang w:val="fi-FI"/>
        </w:rPr>
        <w:t xml:space="preserve"> </w:t>
      </w:r>
      <w:r w:rsidR="00D2690C" w:rsidRPr="00D062EB">
        <w:rPr>
          <w:lang w:val="fi-FI"/>
        </w:rPr>
        <w:t>Neuvottelut saamelaiskäräjien kanssa</w:t>
      </w:r>
      <w:bookmarkEnd w:id="204"/>
      <w:bookmarkEnd w:id="205"/>
      <w:r w:rsidR="00482755">
        <w:rPr>
          <w:lang w:val="fi-FI"/>
        </w:rPr>
        <w:t xml:space="preserve"> ja saamelainen ilmastoneuvosto</w:t>
      </w:r>
      <w:bookmarkEnd w:id="206"/>
    </w:p>
    <w:p w14:paraId="188AECB0" w14:textId="09B4D174" w:rsidR="00C92E99" w:rsidRDefault="00C92E99" w:rsidP="00D2690C">
      <w:pPr>
        <w:pStyle w:val="VNLeip1kappale"/>
      </w:pPr>
      <w:r>
        <w:t xml:space="preserve">Ympäristöministeriö </w:t>
      </w:r>
      <w:r w:rsidR="009948FF">
        <w:t>järjesti</w:t>
      </w:r>
      <w:r>
        <w:t xml:space="preserve"> saamelaiskäräjille saamelaiskäräjälain 9 §:n mukaisen </w:t>
      </w:r>
      <w:r w:rsidR="001C5CF8">
        <w:t xml:space="preserve">kuulemistilaisuuden, jossa </w:t>
      </w:r>
      <w:r w:rsidR="00572A73">
        <w:t>neuvoteltiin</w:t>
      </w:r>
      <w:r>
        <w:t xml:space="preserve"> ilmastosuunnitelman alustavista toimenpiteistä. </w:t>
      </w:r>
      <w:r w:rsidR="000D2CE9">
        <w:t xml:space="preserve">Keskeisinä tekijöinä </w:t>
      </w:r>
      <w:r w:rsidR="000B06C9">
        <w:t>saamelais</w:t>
      </w:r>
      <w:r w:rsidR="000D2CE9">
        <w:t>käräjät korostivat</w:t>
      </w:r>
      <w:r>
        <w:t xml:space="preserve">, että oikeudenmukainen siirtymä kohti hiilineutraaliutta tulisi </w:t>
      </w:r>
      <w:r w:rsidR="0095010E">
        <w:t>toteuttaa tavalla, joka ei</w:t>
      </w:r>
      <w:r>
        <w:t xml:space="preserve"> heikennä saamelaisten elinkeinoja ja kulttuuria. </w:t>
      </w:r>
      <w:r w:rsidR="000D2CE9">
        <w:t xml:space="preserve">Lisäksi </w:t>
      </w:r>
      <w:r>
        <w:t>käräj</w:t>
      </w:r>
      <w:r w:rsidR="000D2CE9">
        <w:t>ät</w:t>
      </w:r>
      <w:r>
        <w:t xml:space="preserve"> </w:t>
      </w:r>
      <w:r w:rsidR="004D6B7C">
        <w:t>painottivat tarvetta</w:t>
      </w:r>
      <w:r>
        <w:t xml:space="preserve"> arvioida, </w:t>
      </w:r>
      <w:r w:rsidR="00790941">
        <w:t>miten</w:t>
      </w:r>
      <w:r>
        <w:t xml:space="preserve"> esimerkiksi hintojen nousu </w:t>
      </w:r>
      <w:r w:rsidR="00790941">
        <w:t>voi vaikuttaa</w:t>
      </w:r>
      <w:r>
        <w:t xml:space="preserve"> elinkeinojen kannattavuut</w:t>
      </w:r>
      <w:r w:rsidR="00790941">
        <w:t>een</w:t>
      </w:r>
      <w:r w:rsidR="009954B1">
        <w:t>, ja e</w:t>
      </w:r>
      <w:r w:rsidR="001B7102">
        <w:t xml:space="preserve">rityisesti </w:t>
      </w:r>
      <w:r w:rsidR="58D979F0">
        <w:t xml:space="preserve">huolta herättivät </w:t>
      </w:r>
      <w:r w:rsidR="001B7102">
        <w:t>polttoaineiden vero</w:t>
      </w:r>
      <w:r w:rsidR="00F81E53">
        <w:t>nkorotu</w:t>
      </w:r>
      <w:r w:rsidR="00F42127">
        <w:t>sten</w:t>
      </w:r>
      <w:r w:rsidR="00F81E53">
        <w:t xml:space="preserve"> </w:t>
      </w:r>
      <w:r w:rsidR="00341C2D">
        <w:t>mahdolliset kielteiset</w:t>
      </w:r>
      <w:r w:rsidR="00E912F7">
        <w:t xml:space="preserve"> vaikutukset </w:t>
      </w:r>
      <w:r w:rsidR="00482755">
        <w:t>liikennejärjestelmään</w:t>
      </w:r>
      <w:r w:rsidR="00F81E53">
        <w:t xml:space="preserve">. </w:t>
      </w:r>
      <w:r>
        <w:t>Moottorikelkkojen ja mönkijöiden energiatehokkuus ja sitä parantavat toimenpiteet nähtiin tärkeinä</w:t>
      </w:r>
      <w:r w:rsidR="0001397A">
        <w:t xml:space="preserve"> sekä </w:t>
      </w:r>
      <w:r w:rsidR="00466624">
        <w:t>toivottiin</w:t>
      </w:r>
      <w:r w:rsidR="0001397A">
        <w:t xml:space="preserve"> mahdollisuutta pienimuotoiselle joukkoliikenteen tukemiselle</w:t>
      </w:r>
      <w:r>
        <w:t xml:space="preserve">. Saamelaiskäräjät </w:t>
      </w:r>
      <w:r w:rsidR="00D76B00">
        <w:t>korostivat</w:t>
      </w:r>
      <w:r>
        <w:t xml:space="preserve"> paikallisen ruokaturvan erityis</w:t>
      </w:r>
      <w:r w:rsidR="00482755">
        <w:t>tä</w:t>
      </w:r>
      <w:r>
        <w:t xml:space="preserve"> tärke</w:t>
      </w:r>
      <w:r w:rsidR="00482755">
        <w:t>yttä</w:t>
      </w:r>
      <w:r w:rsidR="000244CB">
        <w:t xml:space="preserve"> ja </w:t>
      </w:r>
      <w:r w:rsidR="00EB48F8">
        <w:t>ehdottivat</w:t>
      </w:r>
      <w:r w:rsidR="000244CB">
        <w:t xml:space="preserve"> että </w:t>
      </w:r>
      <w:r w:rsidR="0001397A">
        <w:t>omava</w:t>
      </w:r>
      <w:r w:rsidR="00EB48F8">
        <w:t>raisuutta voitaisiin tukea myös valtion hankinnoissa.</w:t>
      </w:r>
    </w:p>
    <w:p w14:paraId="167E719B" w14:textId="0D7D6684" w:rsidR="00D2690C" w:rsidRDefault="00D2690C" w:rsidP="00D2690C">
      <w:pPr>
        <w:pStyle w:val="VNLeip1kappale"/>
      </w:pPr>
      <w:r w:rsidRPr="00D90441">
        <w:t xml:space="preserve">Ilmastolain mukaisen saamelaisten ilmastoneuvoston yhtenä tehtävänä on lausua ilmastolain mukaisista suunnitelmista. Lausuntoa keskipitkän aikavälin ilmastosuunnitelmasta ja sen valmistelusta </w:t>
      </w:r>
      <w:r w:rsidR="6BD89DD5">
        <w:t xml:space="preserve">pyydetään </w:t>
      </w:r>
      <w:r w:rsidRPr="00D90441">
        <w:t>neuvostolta</w:t>
      </w:r>
      <w:r w:rsidR="5A1BF5FB">
        <w:t>.</w:t>
      </w:r>
      <w:r w:rsidRPr="00D90441">
        <w:t xml:space="preserve"> </w:t>
      </w:r>
    </w:p>
    <w:p w14:paraId="20B8083D" w14:textId="0BF096F3" w:rsidR="00F27329" w:rsidRPr="00747D32" w:rsidRDefault="1340ADAD" w:rsidP="080517ED">
      <w:pPr>
        <w:pStyle w:val="Otsikko2"/>
        <w:tabs>
          <w:tab w:val="clear" w:pos="360"/>
        </w:tabs>
        <w:ind w:left="576"/>
        <w:rPr>
          <w:lang w:val="fi-FI"/>
        </w:rPr>
      </w:pPr>
      <w:bookmarkStart w:id="207" w:name="_Toc317444903"/>
      <w:bookmarkStart w:id="208" w:name="_Toc2018762504"/>
      <w:bookmarkStart w:id="209" w:name="_Toc202260080"/>
      <w:r w:rsidRPr="5504BBA0">
        <w:rPr>
          <w:lang w:val="fi-FI"/>
        </w:rPr>
        <w:t xml:space="preserve">8.6 </w:t>
      </w:r>
      <w:r w:rsidR="00F27329" w:rsidRPr="00D062EB">
        <w:rPr>
          <w:lang w:val="fi-FI"/>
        </w:rPr>
        <w:t>Nuor</w:t>
      </w:r>
      <w:r w:rsidR="00F84363" w:rsidRPr="00D062EB">
        <w:rPr>
          <w:lang w:val="fi-FI"/>
        </w:rPr>
        <w:t xml:space="preserve">ten </w:t>
      </w:r>
      <w:r w:rsidR="003C17BB" w:rsidRPr="00D062EB">
        <w:rPr>
          <w:lang w:val="fi-FI"/>
        </w:rPr>
        <w:t>ympäristöhuippukokous</w:t>
      </w:r>
      <w:bookmarkEnd w:id="207"/>
      <w:bookmarkEnd w:id="208"/>
      <w:bookmarkEnd w:id="209"/>
    </w:p>
    <w:p w14:paraId="4D7E8170" w14:textId="12903698" w:rsidR="00212B06" w:rsidRDefault="5413DB0B" w:rsidP="00212B06">
      <w:pPr>
        <w:pStyle w:val="VNLeip1kappale"/>
      </w:pPr>
      <w:r>
        <w:t xml:space="preserve">Lokakuussa 2024 pidettiin </w:t>
      </w:r>
      <w:r w:rsidR="00212B06">
        <w:t>Nuorten ympäristöhuippukokous</w:t>
      </w:r>
      <w:r w:rsidR="4C409495">
        <w:t>, jossa</w:t>
      </w:r>
      <w:r w:rsidR="00212B06">
        <w:t xml:space="preserve"> nuoret ympäri Suomen kokoontuivat keskustelemaan ympäristökysymyksistä ja ilmastonmuutoksen torjunnan merkityksestä. </w:t>
      </w:r>
      <w:r w:rsidR="6E37808A">
        <w:t>Kokoukse</w:t>
      </w:r>
      <w:r w:rsidR="2868E4DA">
        <w:t>n</w:t>
      </w:r>
      <w:r w:rsidR="6E37808A">
        <w:t xml:space="preserve"> yksi työpajoista koski </w:t>
      </w:r>
      <w:proofErr w:type="spellStart"/>
      <w:r w:rsidR="6E37808A">
        <w:t>KAISUa</w:t>
      </w:r>
      <w:proofErr w:type="spellEnd"/>
      <w:r w:rsidR="6E37808A">
        <w:t>.</w:t>
      </w:r>
      <w:r w:rsidR="00212B06">
        <w:t xml:space="preserve"> </w:t>
      </w:r>
      <w:r w:rsidR="1F7DB8A8">
        <w:t>Nuoret nostivat k</w:t>
      </w:r>
      <w:r w:rsidR="00212B06">
        <w:t>okouksessa esiin ilmastotoimien kiireellisyyden sekä vaativat laajemp</w:t>
      </w:r>
      <w:r w:rsidR="61E0E0CA">
        <w:t>ia</w:t>
      </w:r>
      <w:r w:rsidR="00212B06">
        <w:t xml:space="preserve"> osallistumismahdollisuuksia päätöksentekoon. Kokouksessa hyväksyttiin yhteinen ympäristökannanotto, jossa nuoret vaativat kunnianhimoisia ilmastotoimia ja kestävän kehityksen periaatteiden integroimista kaikkiin politiikkasektoreihin. Lisäksi nuoret korostivat ympäristönsuojelun ja sosiaalisen oikeudenmukaisuuden yhteyttä, erityisesti nuorten elinolojen ja hyvinvoinnin turvaamiseksi. </w:t>
      </w:r>
    </w:p>
    <w:p w14:paraId="7093B321" w14:textId="196091BE" w:rsidR="00AC4F99" w:rsidRPr="00747D32" w:rsidRDefault="3AF8CCA0" w:rsidP="5504BBA0">
      <w:pPr>
        <w:pStyle w:val="Otsikko2"/>
        <w:tabs>
          <w:tab w:val="clear" w:pos="360"/>
        </w:tabs>
        <w:ind w:left="576"/>
        <w:rPr>
          <w:lang w:val="fi-FI"/>
        </w:rPr>
      </w:pPr>
      <w:bookmarkStart w:id="210" w:name="_Toc191735069"/>
      <w:bookmarkStart w:id="211" w:name="_Toc173776076"/>
      <w:bookmarkStart w:id="212" w:name="_Toc202260081"/>
      <w:r w:rsidRPr="5504BBA0">
        <w:rPr>
          <w:lang w:val="fi-FI"/>
        </w:rPr>
        <w:t xml:space="preserve">8.7 </w:t>
      </w:r>
      <w:r w:rsidR="00586FA6" w:rsidRPr="00D062EB">
        <w:rPr>
          <w:lang w:val="fi-FI"/>
        </w:rPr>
        <w:t>Parlamentaarinen ryhmä</w:t>
      </w:r>
      <w:bookmarkEnd w:id="210"/>
      <w:bookmarkEnd w:id="211"/>
      <w:bookmarkEnd w:id="212"/>
    </w:p>
    <w:p w14:paraId="6FAF1D50" w14:textId="75C243BF" w:rsidR="004D78A2" w:rsidRPr="005E22A7" w:rsidRDefault="004D78A2" w:rsidP="004D78A2">
      <w:pPr>
        <w:pStyle w:val="VNLeip1kappale"/>
      </w:pPr>
      <w:r>
        <w:t>Parlamentaarinen ilmastopolitiikan seurantaryhmä asetett</w:t>
      </w:r>
      <w:r w:rsidR="00BB1440">
        <w:t>iin</w:t>
      </w:r>
      <w:r>
        <w:t xml:space="preserve"> </w:t>
      </w:r>
      <w:r w:rsidR="00210237">
        <w:t>joulukuussa 2023</w:t>
      </w:r>
      <w:r>
        <w:t xml:space="preserve"> toimikaudelle</w:t>
      </w:r>
      <w:r w:rsidR="002C0866">
        <w:t>, jonka kesto on</w:t>
      </w:r>
      <w:r>
        <w:t xml:space="preserve"> 1.1.2024-30.6.2027. Ryhmä k</w:t>
      </w:r>
      <w:r w:rsidRPr="00A84BA5">
        <w:t>äsittelee ja seuraa ilmastonmuutoksen hillintään</w:t>
      </w:r>
      <w:r w:rsidR="00B83137">
        <w:t xml:space="preserve"> ja</w:t>
      </w:r>
      <w:r w:rsidRPr="00A84BA5">
        <w:t xml:space="preserve"> ilmastonmuutokseen sopeutumiseen liittyviä suunnitelmia sekä niiden toimeenpanoa ja toimia. Lisäksi ryhmä keskustelee ilmastotieteen viesteistä erityisesti hallitustenvälisen ilmastopaneeli </w:t>
      </w:r>
      <w:proofErr w:type="spellStart"/>
      <w:r w:rsidRPr="00A84BA5">
        <w:t>IPCC:n</w:t>
      </w:r>
      <w:proofErr w:type="spellEnd"/>
      <w:r w:rsidRPr="00A84BA5">
        <w:t xml:space="preserve"> raporttien ja kansallisen Ilmastopaneelin työn pohjalta. Ryhmä ei tee päätöksiä vaan toimii kansallista toimeenpanoa ja valmistelua tukevana tahona.</w:t>
      </w:r>
    </w:p>
    <w:p w14:paraId="57391533" w14:textId="77777777" w:rsidR="004D78A2" w:rsidRPr="00D062EB" w:rsidRDefault="004D78A2" w:rsidP="004D78A2">
      <w:pPr>
        <w:pStyle w:val="VNLeip1kappale"/>
        <w:rPr>
          <w:lang w:eastAsia="en-US"/>
        </w:rPr>
      </w:pPr>
    </w:p>
    <w:p w14:paraId="2BD0C613" w14:textId="62E6D350" w:rsidR="00F566CA" w:rsidRPr="00747D32" w:rsidRDefault="254EC7AD" w:rsidP="5504BBA0">
      <w:pPr>
        <w:pStyle w:val="Otsikko2"/>
        <w:tabs>
          <w:tab w:val="clear" w:pos="360"/>
        </w:tabs>
        <w:ind w:left="576"/>
        <w:rPr>
          <w:lang w:val="fi-FI"/>
        </w:rPr>
      </w:pPr>
      <w:bookmarkStart w:id="213" w:name="_Toc367066204"/>
      <w:bookmarkStart w:id="214" w:name="_Toc1058090021"/>
      <w:bookmarkStart w:id="215" w:name="_Toc202260082"/>
      <w:r w:rsidRPr="5504BBA0">
        <w:rPr>
          <w:lang w:val="fi-FI"/>
        </w:rPr>
        <w:t xml:space="preserve">8.8 </w:t>
      </w:r>
      <w:r w:rsidR="0075162B" w:rsidRPr="00D062EB">
        <w:rPr>
          <w:lang w:val="fi-FI"/>
        </w:rPr>
        <w:t>Kirjalliset lausunnot</w:t>
      </w:r>
      <w:bookmarkEnd w:id="213"/>
      <w:bookmarkEnd w:id="214"/>
      <w:bookmarkEnd w:id="215"/>
    </w:p>
    <w:p w14:paraId="70A8C51E" w14:textId="0C4676F4" w:rsidR="00F566CA" w:rsidRDefault="00F566CA" w:rsidP="00F566CA">
      <w:pPr>
        <w:pStyle w:val="VNLeip1kappale"/>
      </w:pPr>
      <w:r w:rsidRPr="00F566CA">
        <w:t xml:space="preserve">Ympäristöministeriö pyysi ilmastosuunnitelmaluonnoksesta lausuntoja lausuntopalvelu.fi –palvelun kautta </w:t>
      </w:r>
      <w:r w:rsidRPr="002C312F">
        <w:rPr>
          <w:color w:val="FF0000"/>
        </w:rPr>
        <w:t>xx-</w:t>
      </w:r>
      <w:r>
        <w:t>2025</w:t>
      </w:r>
      <w:r w:rsidRPr="00F566CA">
        <w:t>. Lausuntoja annettiin yhteensä</w:t>
      </w:r>
      <w:r w:rsidR="554E938E">
        <w:t xml:space="preserve"> </w:t>
      </w:r>
      <w:r w:rsidR="554E938E" w:rsidRPr="5CAC4654">
        <w:rPr>
          <w:color w:val="FF0000"/>
        </w:rPr>
        <w:t>kpl</w:t>
      </w:r>
      <w:r w:rsidRPr="00F566CA">
        <w:t xml:space="preserve">. Lausunnonantajista </w:t>
      </w:r>
      <w:r w:rsidR="58F3990B" w:rsidRPr="5CAC4654">
        <w:rPr>
          <w:color w:val="FF0000"/>
        </w:rPr>
        <w:t>kpl</w:t>
      </w:r>
      <w:r w:rsidR="58F3990B">
        <w:t xml:space="preserve"> </w:t>
      </w:r>
      <w:r w:rsidRPr="00F566CA">
        <w:t xml:space="preserve">oli yksityishenkilöitä. </w:t>
      </w:r>
      <w:r>
        <w:t>Motiva Oy laati ympäristöministeriön toimeksiannosta yhteenvedon lausunnoista.</w:t>
      </w:r>
    </w:p>
    <w:p w14:paraId="673EBFE5" w14:textId="0EB96853" w:rsidR="0075162B" w:rsidRPr="005F374D" w:rsidRDefault="277E64BD" w:rsidP="6B269223">
      <w:pPr>
        <w:pStyle w:val="Otsikko1"/>
        <w:numPr>
          <w:ilvl w:val="0"/>
          <w:numId w:val="0"/>
        </w:numPr>
        <w:ind w:left="432"/>
        <w:rPr>
          <w:color w:val="365ABD" w:themeColor="accent3"/>
          <w:lang w:eastAsia="en-US"/>
        </w:rPr>
      </w:pPr>
      <w:bookmarkStart w:id="216" w:name="_Toc1208600916"/>
      <w:bookmarkStart w:id="217" w:name="_Toc2108387653"/>
      <w:bookmarkStart w:id="218" w:name="_Toc202260083"/>
      <w:r w:rsidRPr="005F374D">
        <w:t xml:space="preserve">9. </w:t>
      </w:r>
      <w:r w:rsidR="7A74BCC3" w:rsidRPr="005F374D">
        <w:t>Ilmastosuunnitelman vaikutukset</w:t>
      </w:r>
      <w:bookmarkEnd w:id="216"/>
      <w:bookmarkEnd w:id="217"/>
      <w:bookmarkEnd w:id="218"/>
    </w:p>
    <w:p w14:paraId="687A8321" w14:textId="157E6BCE" w:rsidR="0075162B" w:rsidRPr="005F374D" w:rsidRDefault="133AC0D4" w:rsidP="560CB4F0">
      <w:pPr>
        <w:pStyle w:val="Otsikko2"/>
        <w:tabs>
          <w:tab w:val="clear" w:pos="360"/>
        </w:tabs>
        <w:ind w:left="576"/>
        <w:rPr>
          <w:lang w:val="fi-FI"/>
        </w:rPr>
      </w:pPr>
      <w:bookmarkStart w:id="219" w:name="_Toc1890636876"/>
      <w:bookmarkStart w:id="220" w:name="_Toc338728606"/>
      <w:bookmarkStart w:id="221" w:name="_Toc202260084"/>
      <w:r w:rsidRPr="005F374D">
        <w:rPr>
          <w:lang w:val="fi-FI"/>
        </w:rPr>
        <w:t xml:space="preserve">9.1. </w:t>
      </w:r>
      <w:r w:rsidR="3C962029" w:rsidRPr="005F374D">
        <w:rPr>
          <w:lang w:val="fi-FI"/>
        </w:rPr>
        <w:t>Ympäristö- ja terveysvaikutukset</w:t>
      </w:r>
      <w:bookmarkEnd w:id="219"/>
      <w:bookmarkEnd w:id="220"/>
      <w:bookmarkEnd w:id="221"/>
    </w:p>
    <w:p w14:paraId="09B7787B" w14:textId="3E721779" w:rsidR="631E3CB1" w:rsidRDefault="631E3CB1" w:rsidP="13568570">
      <w:pPr>
        <w:pStyle w:val="VNLeip1kappale"/>
      </w:pPr>
      <w:r>
        <w:t>Ympäristö- ja terveysvaikutusten arviointi tässä suunnitelmassa perustuu KEITO-hank</w:t>
      </w:r>
      <w:r w:rsidR="00DF4474">
        <w:t>eyhteistyössä</w:t>
      </w:r>
      <w:r>
        <w:t xml:space="preserve"> toteutettuun suunnitelmien ja oh</w:t>
      </w:r>
      <w:r w:rsidR="3B9D0F18">
        <w:t>j</w:t>
      </w:r>
      <w:r>
        <w:t xml:space="preserve">elmien </w:t>
      </w:r>
      <w:r w:rsidR="3A122101">
        <w:t>ympäristö</w:t>
      </w:r>
      <w:r>
        <w:t>vai</w:t>
      </w:r>
      <w:r w:rsidR="30D10152">
        <w:t xml:space="preserve">kutusten arviointiin (SOVA). </w:t>
      </w:r>
    </w:p>
    <w:p w14:paraId="025C2BD7" w14:textId="0A4D8B61" w:rsidR="21ABA7CC" w:rsidRDefault="76F1544B" w:rsidP="26B7CB75">
      <w:pPr>
        <w:pStyle w:val="Numeroimatonotsikko"/>
      </w:pPr>
      <w:r w:rsidRPr="26B7CB75">
        <w:t xml:space="preserve">Yleistä </w:t>
      </w:r>
      <w:r w:rsidR="1777D029">
        <w:t>suunnitelman</w:t>
      </w:r>
      <w:r w:rsidRPr="26B7CB75">
        <w:t xml:space="preserve"> ympäristö- ja terveysvaikutuksista</w:t>
      </w:r>
    </w:p>
    <w:p w14:paraId="56707830" w14:textId="2B0BEA50" w:rsidR="21ABA7CC" w:rsidRDefault="76F1544B" w:rsidP="40AEA1C3">
      <w:pPr>
        <w:pStyle w:val="VNLeip1kappale"/>
      </w:pPr>
      <w:r>
        <w:rPr>
          <w:rFonts w:eastAsia="Calibri"/>
        </w:rPr>
        <w:t xml:space="preserve">Ilmastotavoitteiden saavuttamisella on lähtökohtaisesti myönteisiä ympäristö- ja terveysvaikutuksia, kun ilmastonmuutoksen haitallisia vaikutuksia, </w:t>
      </w:r>
      <w:r w:rsidR="5FAE6C6F" w:rsidRPr="68762911">
        <w:rPr>
          <w:rFonts w:eastAsia="Calibri"/>
        </w:rPr>
        <w:t>kuten</w:t>
      </w:r>
      <w:r>
        <w:rPr>
          <w:rFonts w:eastAsia="Calibri"/>
        </w:rPr>
        <w:t xml:space="preserve"> lämpötilan nousua, sään ääri-ilmiöitä kuten myrskyjä, tulvia, helleaaltoja, kuivuutta, kylmyysjaksoja, merenpinnan nousua tai elinympäristöjen häviämistä, saadaan hillittyä. Vaikka Suomen osuus maailman ilmastopäästöistä on absoluuttisesti vähäinen, aiheuttaa Suomi asukasta kohden laskettuna, sekä alueellisesti että kulutusperusteisesti määritettynä, selvästi maailman keskiarvoa enemmän ilmastopäästöjä</w:t>
      </w:r>
      <w:r w:rsidR="591F14F8" w:rsidRPr="1D0E0510">
        <w:rPr>
          <w:rFonts w:eastAsia="Calibri"/>
        </w:rPr>
        <w:t>,</w:t>
      </w:r>
      <w:r>
        <w:rPr>
          <w:rFonts w:eastAsia="Calibri"/>
        </w:rPr>
        <w:t xml:space="preserve"> ja lisäksi Suomen bruttokansantuote asukasta kohden on yksi maailman suurimmista. Suomen ilmastotavoitteiden saavuttaminen on osa globaalin </w:t>
      </w:r>
      <w:r w:rsidRPr="170BE91E">
        <w:rPr>
          <w:rFonts w:eastAsia="Calibri"/>
        </w:rPr>
        <w:t>yhteis</w:t>
      </w:r>
      <w:r w:rsidR="56F94DA4" w:rsidRPr="170BE91E">
        <w:rPr>
          <w:rFonts w:eastAsia="Calibri"/>
        </w:rPr>
        <w:t>tä</w:t>
      </w:r>
      <w:r w:rsidRPr="170BE91E">
        <w:rPr>
          <w:rFonts w:eastAsia="Calibri"/>
        </w:rPr>
        <w:t xml:space="preserve"> pyrkimy</w:t>
      </w:r>
      <w:r w:rsidR="3BCC2398" w:rsidRPr="170BE91E">
        <w:rPr>
          <w:rFonts w:eastAsia="Calibri"/>
        </w:rPr>
        <w:t>stä</w:t>
      </w:r>
      <w:r>
        <w:rPr>
          <w:rFonts w:eastAsia="Calibri"/>
        </w:rPr>
        <w:t xml:space="preserve"> saavuttaa Parisiin ilmastosopimuksen tavoitteet.</w:t>
      </w:r>
    </w:p>
    <w:p w14:paraId="5160BB88" w14:textId="211BAEE3" w:rsidR="21ABA7CC" w:rsidRDefault="76F1544B" w:rsidP="40AEA1C3">
      <w:pPr>
        <w:pStyle w:val="VNLeip1kappale"/>
      </w:pPr>
      <w:r>
        <w:rPr>
          <w:rFonts w:eastAsia="Calibri"/>
        </w:rPr>
        <w:t xml:space="preserve">Ilmastotavoitteiden saavuttaminen edellyttää merkittäviä muutoksia materiaalien ja energian tuotannon </w:t>
      </w:r>
      <w:r w:rsidR="654B95EA" w:rsidRPr="170BE91E">
        <w:rPr>
          <w:rFonts w:eastAsia="Calibri"/>
        </w:rPr>
        <w:t>sekä</w:t>
      </w:r>
      <w:r>
        <w:rPr>
          <w:rFonts w:eastAsia="Calibri"/>
        </w:rPr>
        <w:t xml:space="preserve"> kulutuksen tapoihin. Näiden muutosten toteuttaminen vaatii huomattavia investointeja, rakentamista ja luonnonvarojen käyttöä, joilla on merkittäviä vaikutuksia ympäristöön, ihmisiin ja talouteen. Käyttöönotettavat toimet ja teknologiat voivat aiheuttaa haitallisia vaikutuksia erityisesti luonnon monimuotoisuuteen, metsien hiilinieluihin, vesistöihin, ilmaan ja maaperään sekä ihmisten elinoloihin, hyvinvointiin ja viihtyvyyteen. Osa vaikutuksista kohdistuu Suomen rajojen ulkopuolelle. Aiheutuviin vaikutuksiin voidaan vaikuttaa </w:t>
      </w:r>
      <w:r w:rsidRPr="2A415BE0">
        <w:rPr>
          <w:rFonts w:eastAsia="Calibri"/>
        </w:rPr>
        <w:t>erilaisi</w:t>
      </w:r>
      <w:r w:rsidR="2E088E6F" w:rsidRPr="2A415BE0">
        <w:rPr>
          <w:rFonts w:eastAsia="Calibri"/>
        </w:rPr>
        <w:t>lla</w:t>
      </w:r>
      <w:r w:rsidRPr="2A415BE0">
        <w:rPr>
          <w:rFonts w:eastAsia="Calibri"/>
        </w:rPr>
        <w:t xml:space="preserve"> ohjauskeinoi</w:t>
      </w:r>
      <w:r w:rsidR="16E99ECB" w:rsidRPr="2A415BE0">
        <w:rPr>
          <w:rFonts w:eastAsia="Calibri"/>
        </w:rPr>
        <w:t>lla</w:t>
      </w:r>
      <w:r>
        <w:rPr>
          <w:rFonts w:eastAsia="Calibri"/>
        </w:rPr>
        <w:t xml:space="preserve">, kuten </w:t>
      </w:r>
      <w:r w:rsidRPr="2A415BE0">
        <w:rPr>
          <w:rFonts w:eastAsia="Calibri"/>
        </w:rPr>
        <w:t>vero</w:t>
      </w:r>
      <w:r w:rsidR="61DF5CA3" w:rsidRPr="2A415BE0">
        <w:rPr>
          <w:rFonts w:eastAsia="Calibri"/>
        </w:rPr>
        <w:t>illa</w:t>
      </w:r>
      <w:r w:rsidRPr="2A415BE0">
        <w:rPr>
          <w:rFonts w:eastAsia="Calibri"/>
        </w:rPr>
        <w:t>, tu</w:t>
      </w:r>
      <w:r w:rsidR="702D6821" w:rsidRPr="2A415BE0">
        <w:rPr>
          <w:rFonts w:eastAsia="Calibri"/>
        </w:rPr>
        <w:t>illa</w:t>
      </w:r>
      <w:r w:rsidRPr="2A415BE0">
        <w:rPr>
          <w:rFonts w:eastAsia="Calibri"/>
        </w:rPr>
        <w:t>, normiohjauks</w:t>
      </w:r>
      <w:r w:rsidR="16AA2B64" w:rsidRPr="2A415BE0">
        <w:rPr>
          <w:rFonts w:eastAsia="Calibri"/>
        </w:rPr>
        <w:t>ella</w:t>
      </w:r>
      <w:r>
        <w:rPr>
          <w:rFonts w:eastAsia="Calibri"/>
        </w:rPr>
        <w:t xml:space="preserve"> ja informaatio-</w:t>
      </w:r>
      <w:r w:rsidRPr="2A415BE0">
        <w:rPr>
          <w:rFonts w:eastAsia="Calibri"/>
        </w:rPr>
        <w:t>ohjaukse</w:t>
      </w:r>
      <w:r w:rsidR="4331E363" w:rsidRPr="2A415BE0">
        <w:rPr>
          <w:rFonts w:eastAsia="Calibri"/>
        </w:rPr>
        <w:t>lla</w:t>
      </w:r>
      <w:r w:rsidRPr="2A415BE0">
        <w:rPr>
          <w:rFonts w:eastAsia="Calibri"/>
        </w:rPr>
        <w:t>.</w:t>
      </w:r>
      <w:r>
        <w:rPr>
          <w:rFonts w:eastAsia="Calibri"/>
        </w:rPr>
        <w:t xml:space="preserve"> Toimien ja toimenpiteiden suunnittelulla ja vaikutusten hallinnalla voidaan vaikuttaa niiden hyväksyttävyyteen, koettuun sosiaaliseen ja taloudelliseen oikeudenmukaisuuteen ja edistää yhteiskuntakehitystä kohti hiilineutraaliutta ja kokonaiskestävyyttä.</w:t>
      </w:r>
    </w:p>
    <w:p w14:paraId="0003F7B4" w14:textId="15F5DF8E" w:rsidR="21ABA7CC" w:rsidRDefault="76F1544B" w:rsidP="40AEA1C3">
      <w:pPr>
        <w:pStyle w:val="VNLeip1kappale"/>
      </w:pPr>
      <w:r>
        <w:rPr>
          <w:rFonts w:eastAsia="Calibri"/>
        </w:rPr>
        <w:t xml:space="preserve">Eri toimiin liittyvien vaikutusten maantieteellinen kohdentuminen (paikallinen, alueellinen, valtakunnallinen, rajat ylittävä tai globaali) ja aikajänne vaihtelevat merkittävästi. Maantieteellisesti vaikutukset voivat ulottua hyvin pistemäisistä paikallisvaikutuksista valtakunnallisiin ja myös Suomen maantieteellisten rajojen ulkopuolisiin seurauksiin. Yhdelle kohderyhmälle myönteinen vaikutus voi samanaikaisesti olla toiselle kohderyhmälle kielteinen. Toimenpiteiden aikajänne voi ulottua lyhytkestoisista vaikutuksista aina seuraaviin sukupolviin saakka ulottuviin vaikutuksiin, ja seuraukset voivat olla kertaluonteisia, toistuvia tai pysyviä. </w:t>
      </w:r>
    </w:p>
    <w:p w14:paraId="571FF178" w14:textId="693722D5" w:rsidR="21ABA7CC" w:rsidRDefault="76F1544B" w:rsidP="40AEA1C3">
      <w:pPr>
        <w:pStyle w:val="VNLeip1kappale"/>
        <w:rPr>
          <w:rFonts w:eastAsia="Calibri"/>
        </w:rPr>
      </w:pPr>
      <w:r>
        <w:rPr>
          <w:rFonts w:eastAsia="Calibri"/>
        </w:rPr>
        <w:t xml:space="preserve">Ilmastotoimien hyödyllisten ja kielteisten vaikutusten välinen suhde kytkeytyy myös luonnon monimuotoisuuden ylläpitoon ja suojelemiseen. Toimien kohdistamisella ja suunnittelulla voidaan joko edistää asetettua tavoitetta tai tuottaa sitä heikentäviä sivuvaikutuksia. Vaikutus toimii myös niin sanotun takaisinkytkennän (feedback </w:t>
      </w:r>
      <w:proofErr w:type="spellStart"/>
      <w:r>
        <w:rPr>
          <w:rFonts w:eastAsia="Calibri"/>
        </w:rPr>
        <w:t>loop</w:t>
      </w:r>
      <w:proofErr w:type="spellEnd"/>
      <w:r>
        <w:rPr>
          <w:rFonts w:eastAsia="Calibri"/>
        </w:rPr>
        <w:t>) tavoin, jolloin luonnon ja ekosysteemien tasapainon säilyttäminen hillitsee ilmastonmuutosta ja edistää sopeutumista jo tapahtuneisiin muutoksiin ja päinvastoin. Kansainvälinen luontopaneeli IPBES ja hallitustenvälinen ilmastonmuutospaneeli IPCC ovatkin todenneet, että ilmastonmuutos ja luontokato on ratkaistava yhdessä</w:t>
      </w:r>
      <w:r w:rsidRPr="03652CF5">
        <w:rPr>
          <w:rFonts w:eastAsia="Calibri"/>
        </w:rPr>
        <w:t>.</w:t>
      </w:r>
    </w:p>
    <w:p w14:paraId="124828B1" w14:textId="0B326750" w:rsidR="21ABA7CC" w:rsidRDefault="76F1544B" w:rsidP="03BCA4F9">
      <w:pPr>
        <w:spacing w:after="160" w:line="257" w:lineRule="auto"/>
      </w:pPr>
      <w:r w:rsidRPr="78BFCEB5">
        <w:rPr>
          <w:rFonts w:ascii="Calibri" w:eastAsia="Calibri" w:hAnsi="Calibri" w:cs="Calibri"/>
          <w:b/>
          <w:bCs/>
          <w:sz w:val="22"/>
          <w:szCs w:val="22"/>
        </w:rPr>
        <w:t xml:space="preserve"> </w:t>
      </w:r>
    </w:p>
    <w:p w14:paraId="3DF503E7" w14:textId="4997E479" w:rsidR="21ABA7CC" w:rsidRDefault="76F1544B" w:rsidP="03BCA4F9">
      <w:pPr>
        <w:pStyle w:val="Numeroimatonotsikko"/>
      </w:pPr>
      <w:r w:rsidRPr="03BCA4F9">
        <w:t>Biopolttoaineiden kestävyys</w:t>
      </w:r>
    </w:p>
    <w:p w14:paraId="37E97AF0" w14:textId="0E1E2D3B" w:rsidR="21ABA7CC" w:rsidRPr="00230933" w:rsidRDefault="76F1544B" w:rsidP="00230933">
      <w:pPr>
        <w:pStyle w:val="VNLeip1kappale"/>
        <w:rPr>
          <w:rFonts w:eastAsia="Calibri"/>
        </w:rPr>
      </w:pPr>
      <w:r w:rsidRPr="00230933">
        <w:rPr>
          <w:rFonts w:eastAsia="Calibri"/>
        </w:rPr>
        <w:t xml:space="preserve">Päästövähennysten saavuttaminen perustuu edelleen </w:t>
      </w:r>
      <w:r w:rsidRPr="6C02692D">
        <w:rPr>
          <w:rFonts w:eastAsia="Calibri"/>
        </w:rPr>
        <w:t>use</w:t>
      </w:r>
      <w:r w:rsidR="72431969" w:rsidRPr="6C02692D">
        <w:rPr>
          <w:rFonts w:eastAsia="Calibri"/>
        </w:rPr>
        <w:t>i</w:t>
      </w:r>
      <w:r w:rsidRPr="6C02692D">
        <w:rPr>
          <w:rFonts w:eastAsia="Calibri"/>
        </w:rPr>
        <w:t>lla sektor</w:t>
      </w:r>
      <w:r w:rsidR="7E15537C" w:rsidRPr="6C02692D">
        <w:rPr>
          <w:rFonts w:eastAsia="Calibri"/>
        </w:rPr>
        <w:t>eilla</w:t>
      </w:r>
      <w:r w:rsidRPr="6C02692D">
        <w:rPr>
          <w:rFonts w:eastAsia="Calibri"/>
        </w:rPr>
        <w:t xml:space="preserve"> </w:t>
      </w:r>
      <w:r w:rsidRPr="6ADECB15">
        <w:rPr>
          <w:rFonts w:eastAsia="Calibri"/>
        </w:rPr>
        <w:t>siirtym</w:t>
      </w:r>
      <w:r w:rsidR="241FAF13" w:rsidRPr="6ADECB15">
        <w:rPr>
          <w:rFonts w:eastAsia="Calibri"/>
        </w:rPr>
        <w:t>ää</w:t>
      </w:r>
      <w:r w:rsidR="79022D03" w:rsidRPr="6ADECB15">
        <w:rPr>
          <w:rFonts w:eastAsia="Calibri"/>
        </w:rPr>
        <w:t xml:space="preserve"> </w:t>
      </w:r>
      <w:r w:rsidRPr="6ADECB15">
        <w:rPr>
          <w:rFonts w:eastAsia="Calibri"/>
        </w:rPr>
        <w:t xml:space="preserve">biopolttoaineisiin </w:t>
      </w:r>
      <w:r w:rsidR="59870247" w:rsidRPr="6ADECB15">
        <w:rPr>
          <w:rFonts w:eastAsia="Calibri"/>
        </w:rPr>
        <w:t>fossiilisten</w:t>
      </w:r>
      <w:r w:rsidRPr="6ADECB15">
        <w:rPr>
          <w:rFonts w:eastAsia="Calibri"/>
        </w:rPr>
        <w:t xml:space="preserve"> </w:t>
      </w:r>
      <w:r w:rsidR="548AA14C" w:rsidRPr="6ADECB15">
        <w:rPr>
          <w:rFonts w:eastAsia="Calibri"/>
        </w:rPr>
        <w:t xml:space="preserve">polttoaineiden </w:t>
      </w:r>
      <w:r w:rsidRPr="6ADECB15">
        <w:rPr>
          <w:rFonts w:eastAsia="Calibri"/>
        </w:rPr>
        <w:t>sijaan.</w:t>
      </w:r>
      <w:r w:rsidRPr="00230933">
        <w:rPr>
          <w:rFonts w:eastAsia="Calibri"/>
        </w:rPr>
        <w:t xml:space="preserve"> Biopolttoaineita valmistetaan sekä kotimaisista että tuoduista raaka-aineista. Tuontibiopolttoaineiden raaka-aineet ja saatavuus ovat vahvasti kytköksissä eri materiaalien taloudelliseen hyödynnettävyyteen, jota erityisesti biopolttoaineiden kestävyyskriteerien ja raaka-aineiden kysynnän kehittyminen ohjaavat</w:t>
      </w:r>
      <w:r w:rsidRPr="03652CF5">
        <w:rPr>
          <w:rFonts w:eastAsia="Calibri"/>
        </w:rPr>
        <w:t>.</w:t>
      </w:r>
      <w:r w:rsidRPr="00230933">
        <w:rPr>
          <w:rFonts w:eastAsia="Calibri"/>
        </w:rPr>
        <w:t xml:space="preserve"> Tuontibiopolttoaineiden tuotannon ja kuljetuksen kasvihuonekaasupäästöjä muodostuu Suomen rajojen ulkopuolella. Uusiutuvan energian direktiivin (RED; </w:t>
      </w:r>
      <w:proofErr w:type="spellStart"/>
      <w:r w:rsidRPr="00230933">
        <w:rPr>
          <w:rFonts w:eastAsia="Calibri"/>
        </w:rPr>
        <w:t>Renewable</w:t>
      </w:r>
      <w:proofErr w:type="spellEnd"/>
      <w:r w:rsidRPr="00230933">
        <w:rPr>
          <w:rFonts w:eastAsia="Calibri"/>
        </w:rPr>
        <w:t xml:space="preserve"> </w:t>
      </w:r>
      <w:proofErr w:type="spellStart"/>
      <w:r w:rsidRPr="00230933">
        <w:rPr>
          <w:rFonts w:eastAsia="Calibri"/>
        </w:rPr>
        <w:t>energy</w:t>
      </w:r>
      <w:proofErr w:type="spellEnd"/>
      <w:r w:rsidRPr="00230933">
        <w:rPr>
          <w:rFonts w:eastAsia="Calibri"/>
        </w:rPr>
        <w:t xml:space="preserve"> </w:t>
      </w:r>
      <w:proofErr w:type="spellStart"/>
      <w:r w:rsidRPr="00230933">
        <w:rPr>
          <w:rFonts w:eastAsia="Calibri"/>
        </w:rPr>
        <w:t>directive</w:t>
      </w:r>
      <w:proofErr w:type="spellEnd"/>
      <w:r w:rsidRPr="00230933">
        <w:rPr>
          <w:rFonts w:eastAsia="Calibri"/>
        </w:rPr>
        <w:t xml:space="preserve">) uusin versio RED III (EU 2023/2413) asettaa kriteerit kestävyyden osoittamisesta biopolttoaineille, bionesteille, biomassapolttoaineille, muuta kuin biologista alkuperää oleville uusiutuville (RFNBO; </w:t>
      </w:r>
      <w:proofErr w:type="spellStart"/>
      <w:r w:rsidRPr="00230933">
        <w:rPr>
          <w:rFonts w:eastAsia="Calibri"/>
        </w:rPr>
        <w:t>renewable</w:t>
      </w:r>
      <w:proofErr w:type="spellEnd"/>
      <w:r w:rsidRPr="00230933">
        <w:rPr>
          <w:rFonts w:eastAsia="Calibri"/>
        </w:rPr>
        <w:t xml:space="preserve"> </w:t>
      </w:r>
      <w:proofErr w:type="spellStart"/>
      <w:r w:rsidRPr="00230933">
        <w:rPr>
          <w:rFonts w:eastAsia="Calibri"/>
        </w:rPr>
        <w:t>fuels</w:t>
      </w:r>
      <w:proofErr w:type="spellEnd"/>
      <w:r w:rsidRPr="00230933">
        <w:rPr>
          <w:rFonts w:eastAsia="Calibri"/>
        </w:rPr>
        <w:t xml:space="preserve"> non-</w:t>
      </w:r>
      <w:proofErr w:type="spellStart"/>
      <w:r w:rsidRPr="00230933">
        <w:rPr>
          <w:rFonts w:eastAsia="Calibri"/>
        </w:rPr>
        <w:t>biological</w:t>
      </w:r>
      <w:proofErr w:type="spellEnd"/>
      <w:r w:rsidRPr="00230933">
        <w:rPr>
          <w:rFonts w:eastAsia="Calibri"/>
        </w:rPr>
        <w:t xml:space="preserve"> </w:t>
      </w:r>
      <w:proofErr w:type="spellStart"/>
      <w:r w:rsidRPr="00230933">
        <w:rPr>
          <w:rFonts w:eastAsia="Calibri"/>
        </w:rPr>
        <w:t>origin</w:t>
      </w:r>
      <w:proofErr w:type="spellEnd"/>
      <w:r w:rsidRPr="00230933">
        <w:rPr>
          <w:rFonts w:eastAsia="Calibri"/>
        </w:rPr>
        <w:t>,) polttoaineille ja kierrätetyille hiilipitoisille polttoaineille. Vaikka nämä niin sanotut kestävyyskriteerit voivat osaltaan edesauttaa vähäpäästöisempien biopolttoaineiden, bionesteiden ja biomassapolttoaineiden tuotantoa, jäävät esimerkiksi raaka-aineen tai sen tuotantoon käytettävän maa-alan kilpailusta aiheutuvat epäsuorat vaikutukset ja myös maankäytön suorat hiilinieluvaikutukset kriteerien ulkopuolelle</w:t>
      </w:r>
      <w:r w:rsidRPr="3689E2DF">
        <w:rPr>
          <w:rFonts w:eastAsia="Calibri"/>
        </w:rPr>
        <w:t xml:space="preserve">. </w:t>
      </w:r>
    </w:p>
    <w:p w14:paraId="127F04AF" w14:textId="602B6D05" w:rsidR="21ABA7CC" w:rsidRDefault="76F1544B" w:rsidP="1EF06D72">
      <w:pPr>
        <w:pStyle w:val="VNLeip1kappale"/>
        <w:tabs>
          <w:tab w:val="left" w:pos="1304"/>
        </w:tabs>
      </w:pPr>
      <w:r>
        <w:rPr>
          <w:rFonts w:eastAsia="Calibri"/>
        </w:rPr>
        <w:t>Valtaosa, lähes 95 %, kotimaan liikenteen päästöistä syntyy tieliikenteestä. Tieliikenteen päästöistä taas henkilöautot vastaavat noin 52 prosentista ja kuorma-autot 35 prosentista</w:t>
      </w:r>
      <w:r w:rsidR="50C79A09" w:rsidRPr="4CEC9919">
        <w:rPr>
          <w:rFonts w:eastAsia="Calibri"/>
        </w:rPr>
        <w:t xml:space="preserve"> </w:t>
      </w:r>
      <w:r w:rsidR="50C79A09" w:rsidRPr="2DDA88E9">
        <w:rPr>
          <w:rFonts w:eastAsia="Calibri"/>
        </w:rPr>
        <w:t>päästöjä</w:t>
      </w:r>
      <w:r w:rsidRPr="2DDA88E9">
        <w:rPr>
          <w:rFonts w:eastAsia="Calibri"/>
        </w:rPr>
        <w:t>.</w:t>
      </w:r>
      <w:r>
        <w:rPr>
          <w:rFonts w:eastAsia="Calibri"/>
        </w:rPr>
        <w:t xml:space="preserve"> Loput jakautuvat linja-autoille, pakettiautoille ja pieni osuus moottoripyörille ja mopoille</w:t>
      </w:r>
      <w:r w:rsidRPr="46D3C033">
        <w:rPr>
          <w:rFonts w:eastAsia="Calibri"/>
        </w:rPr>
        <w:t>.</w:t>
      </w:r>
      <w:r>
        <w:rPr>
          <w:rFonts w:eastAsia="Calibri"/>
        </w:rPr>
        <w:t xml:space="preserve"> Tieliikenteellä on siten keskeinen rooli taakanjakosektorin velvoitteiden ja Suomen ilmastotavoitteiden saavuttamisessa. Vuoteen 2030 asti biopolttoaineiden käyttö todennäköisesti kasvaa jakeluvelvoitelain mukaisesti, mutta samaan aikaan liikenteen voimakas sähköistymiskehitys vähentää päästöjä merkittävästi.</w:t>
      </w:r>
    </w:p>
    <w:p w14:paraId="06ECC37A" w14:textId="01F728F0" w:rsidR="21ABA7CC" w:rsidRDefault="76F1544B" w:rsidP="72A5E4FA">
      <w:pPr>
        <w:pStyle w:val="Numeroimatonotsikko"/>
      </w:pPr>
      <w:r w:rsidRPr="72A5E4FA">
        <w:t xml:space="preserve">Vaikutukset </w:t>
      </w:r>
      <w:r>
        <w:t>ilmanlaatuun</w:t>
      </w:r>
      <w:r w:rsidRPr="72A5E4FA">
        <w:t xml:space="preserve">  </w:t>
      </w:r>
    </w:p>
    <w:p w14:paraId="5AD24CF3" w14:textId="4ADB395B" w:rsidR="21ABA7CC" w:rsidRDefault="76F1544B" w:rsidP="1EF06D72">
      <w:pPr>
        <w:pStyle w:val="VNLeip1kappale"/>
        <w:rPr>
          <w:rFonts w:eastAsia="Calibri"/>
        </w:rPr>
      </w:pPr>
      <w:r>
        <w:rPr>
          <w:rFonts w:eastAsia="Calibri"/>
        </w:rPr>
        <w:t xml:space="preserve">Yksittäisistä sektoreista puun pienpoltolla </w:t>
      </w:r>
      <w:r w:rsidRPr="0EAD0837">
        <w:rPr>
          <w:rFonts w:eastAsia="Calibri"/>
        </w:rPr>
        <w:t>o</w:t>
      </w:r>
      <w:r w:rsidR="34494F68" w:rsidRPr="0EAD0837">
        <w:rPr>
          <w:rFonts w:eastAsia="Calibri"/>
        </w:rPr>
        <w:t>n</w:t>
      </w:r>
      <w:r>
        <w:rPr>
          <w:rFonts w:eastAsia="Calibri"/>
        </w:rPr>
        <w:t xml:space="preserve"> selvästi suurin vaikutus terveyteen. Tulisijassa palamistapahtuma on aina jossain määrin epätäydellinen, jolloin palamatta jääneestä aineksesta muodostuu hiukkasia. Tällöin pienhiukkasten päästöt ovat suuria suhteessa tuotettuun lämpöenergiaan. Päästöt laskevat tulevaisuudessa johtuen pääasiassa tulisijakannan uusiutumisesta vähäpäästöisemmäksi. KEITO-</w:t>
      </w:r>
      <w:r w:rsidR="00DF4474">
        <w:rPr>
          <w:rFonts w:eastAsia="Calibri"/>
        </w:rPr>
        <w:t>työn</w:t>
      </w:r>
      <w:r>
        <w:rPr>
          <w:rFonts w:eastAsia="Calibri"/>
        </w:rPr>
        <w:t xml:space="preserve"> arviot puun pienpolton päästöistä tulevaisuudessa ovat huomattavasti alemmat kuin vuoden 2016 strategian yhteydessä arvioidut. Tämä johtuu pääasiassa tuoreista päästömittaustuloksista, jotka ovat laskeneet uusien puukiukaiden päästökerroinarvioita sekä tiukkenevien energiatehokkuusmääräysten myötä oletetusti vähenevästä lämmöntarpeesta ja sitä kautta puun käytöstä uusissa pientaloissa. </w:t>
      </w:r>
      <w:r w:rsidRPr="15F03444">
        <w:rPr>
          <w:rFonts w:eastAsia="Calibri"/>
        </w:rPr>
        <w:t>Puunkäytön</w:t>
      </w:r>
      <w:r>
        <w:rPr>
          <w:rFonts w:eastAsia="Calibri"/>
        </w:rPr>
        <w:t xml:space="preserve"> ja päästöjen tulevaisuusarvioihin liittyy kuitenkin merkittäviä epävarmuuksia. </w:t>
      </w:r>
    </w:p>
    <w:p w14:paraId="1CEE5167" w14:textId="0F39351C" w:rsidR="21ABA7CC" w:rsidRDefault="76F1544B" w:rsidP="21027561">
      <w:pPr>
        <w:pStyle w:val="Numeroimatonotsikko"/>
      </w:pPr>
      <w:r w:rsidRPr="21027561">
        <w:t>Luonnonvarojen käytön kehitys</w:t>
      </w:r>
    </w:p>
    <w:p w14:paraId="4DEA828F" w14:textId="48A648D3" w:rsidR="21ABA7CC" w:rsidRDefault="76F1544B" w:rsidP="1EF06D72">
      <w:pPr>
        <w:pStyle w:val="VNLeip1kappale"/>
      </w:pPr>
      <w:r>
        <w:rPr>
          <w:rFonts w:eastAsia="Calibri"/>
        </w:rPr>
        <w:t xml:space="preserve">KEITO-WEM-skenaarion mukaiset muutokset energian tuotannossa ja kulutuksessa vuonna 2035 vaikuttavat Suomen kansantalouden materiaalijalanjälkeen erityisesti fossiilisten polttoaineiden kulutuksen kautta. ENVIMAT-laskelman mukaan niiden tuonti vähenee noin 25 miljoonaa tonnia, vienti noin 16 Mt ja kulutus 12 Mt. Biomassan vienti kasvaa (1,1 Mt) ja kulutus pienenee hieman (-1,3 Mt). Maa- ja kiviainesten kulutus kasvaa noin 1,4 Mt. Raaka-aineiden kokonaiskulutus (RMC) on vuonna 2035 WEM-skenaariossa 229 Mt, kun se vertailuvuonna 2019 oli 241 Mt. Materiaalienkäyttö vähenee </w:t>
      </w:r>
      <w:proofErr w:type="spellStart"/>
      <w:r>
        <w:rPr>
          <w:rFonts w:eastAsia="Calibri"/>
        </w:rPr>
        <w:t>WEM:ssä</w:t>
      </w:r>
      <w:proofErr w:type="spellEnd"/>
      <w:r>
        <w:rPr>
          <w:rFonts w:eastAsia="Calibri"/>
        </w:rPr>
        <w:t xml:space="preserve"> siis noin 5 prosenttia. WAM-skenaariota ei erikseen mallinnettu, mutta erot energiantuotannossa ja -kulutuksessa ovat </w:t>
      </w:r>
      <w:proofErr w:type="spellStart"/>
      <w:r>
        <w:rPr>
          <w:rFonts w:eastAsia="Calibri"/>
        </w:rPr>
        <w:t>WEM:iin</w:t>
      </w:r>
      <w:proofErr w:type="spellEnd"/>
      <w:r>
        <w:rPr>
          <w:rFonts w:eastAsia="Calibri"/>
        </w:rPr>
        <w:t xml:space="preserve"> nähden pieniä.</w:t>
      </w:r>
    </w:p>
    <w:p w14:paraId="7078A655" w14:textId="2EC57CB8" w:rsidR="21ABA7CC" w:rsidRDefault="76F1544B" w:rsidP="1EF06D72">
      <w:pPr>
        <w:pStyle w:val="VNLeip1kappale"/>
      </w:pPr>
      <w:r>
        <w:rPr>
          <w:rFonts w:eastAsia="Calibri"/>
        </w:rPr>
        <w:t>Sähköistäminen ja energiatehokkuuden kasvattaminen lisäävät investointitarpeita uusiin koneisiin, laitteisiin ja elektroniikkaan, mikä puolestaan lisää niiden tuotannon edellyttämien materiaalien ja energian kulutusta. Digitalisaatio ja älykkäät ratkaisut voivat tehostaa energian ja resurssien kuten luonnonvarojen käyttöä, mutta digitalisaation myötä kasvava datan käyttö toisaalta kasvattaa energian kulutusta ja päästöjä</w:t>
      </w:r>
      <w:r w:rsidRPr="2E0DA89C">
        <w:rPr>
          <w:rFonts w:eastAsia="Calibri"/>
        </w:rPr>
        <w:t>,</w:t>
      </w:r>
      <w:r>
        <w:rPr>
          <w:rFonts w:eastAsia="Calibri"/>
        </w:rPr>
        <w:t xml:space="preserve"> jotka saattavat globaalisti jakaantua epätasa-arvoisesti ja aiheuttaa hiilivuotoa</w:t>
      </w:r>
      <w:r w:rsidRPr="2E0DA89C">
        <w:rPr>
          <w:rFonts w:eastAsia="Calibri"/>
        </w:rPr>
        <w:t>.</w:t>
      </w:r>
      <w:r>
        <w:rPr>
          <w:rFonts w:eastAsia="Calibri"/>
        </w:rPr>
        <w:t xml:space="preserve"> Digitalisaation myötä saavutettava työvoiman ja energian käytön tehostuminen ei siis automaattisesti johda energiakulutuksen pienenemiseen, vaan saattaa lisätä kulutusta toisaalla (</w:t>
      </w:r>
      <w:proofErr w:type="spellStart"/>
      <w:r>
        <w:rPr>
          <w:rFonts w:eastAsia="Calibri"/>
        </w:rPr>
        <w:t>rebound</w:t>
      </w:r>
      <w:proofErr w:type="spellEnd"/>
      <w:r>
        <w:rPr>
          <w:rFonts w:eastAsia="Calibri"/>
        </w:rPr>
        <w:t xml:space="preserve"> </w:t>
      </w:r>
      <w:proofErr w:type="spellStart"/>
      <w:r>
        <w:rPr>
          <w:rFonts w:eastAsia="Calibri"/>
        </w:rPr>
        <w:t>effect</w:t>
      </w:r>
      <w:proofErr w:type="spellEnd"/>
      <w:r>
        <w:rPr>
          <w:rFonts w:eastAsia="Calibri"/>
        </w:rPr>
        <w:t>), minkä lisäksi digitalisaation hyödyt tulevat usein jo olemassa olevan tuotannon päälle</w:t>
      </w:r>
      <w:r w:rsidRPr="7A61A334">
        <w:rPr>
          <w:rFonts w:eastAsia="Calibri"/>
        </w:rPr>
        <w:t>.</w:t>
      </w:r>
      <w:r>
        <w:rPr>
          <w:rFonts w:eastAsia="Calibri"/>
        </w:rPr>
        <w:t xml:space="preserve"> Mikäli talous palveluvaltaistuu voimakkaasti tulevaisuudessa, voi se osittain hillitä raaka-aineiden kulutusta ja luonnonvarojen tarvetta.</w:t>
      </w:r>
    </w:p>
    <w:p w14:paraId="728966E8" w14:textId="5E7095F3" w:rsidR="21ABA7CC" w:rsidRDefault="76F1544B" w:rsidP="1EF06D72">
      <w:pPr>
        <w:pStyle w:val="VNLeip1kappale"/>
      </w:pPr>
      <w:r>
        <w:rPr>
          <w:rFonts w:eastAsia="Calibri"/>
        </w:rPr>
        <w:t>Vähäpäästöisiin energiateknologioihin, kuten aurinko- ja tuulivoimaan, sähköajoneuvoihin sekä energian varastointijärjestelmiin, siirtyminen on välttämätöntä ilmastonmuutoksen torjumiseksi, mutta se ei ole materiaalitarpeiltaan eikä vaikutuksiltaan vähäinen. Siirtymä edellyttää mittavia määriä kriittisiä mineraaleja, joiden tuotanto ja saatavuus tulee varmistaa kestävällä, ympäristöllisesti vastuullisella ja sosiaalisesti hyväksyttävällä tavalla. Kansainvälinen energiajärjestö (IEA) ja Euroopan komission yhteinen tutkimuskeskus (JRC) ovat arvioineet, että erityisesti useat EU:nkin kriittisiksi listaamat raaka-aineet ovat keskeisessä roolissa näiden teknologioiden valmistuksessa ja käyttöönotossa</w:t>
      </w:r>
      <w:r w:rsidRPr="780D6020">
        <w:rPr>
          <w:rFonts w:eastAsia="Calibri"/>
        </w:rPr>
        <w:t xml:space="preserve">. </w:t>
      </w:r>
    </w:p>
    <w:p w14:paraId="223AA039" w14:textId="23A8748F" w:rsidR="21ABA7CC" w:rsidRDefault="76F1544B" w:rsidP="1EF06D72">
      <w:pPr>
        <w:pStyle w:val="VNLeip1kappale"/>
      </w:pPr>
      <w:r>
        <w:rPr>
          <w:rFonts w:eastAsia="Calibri"/>
        </w:rPr>
        <w:t>Eri teknologiat vaativat erityyppisiä mineraaleja vaihtelevina määrinä. Esimerkiksi sähköautojen akut sisältävät merkittäviä määriä litiumia, kobolttia, nikkeliä ja grafiittia. Sähköauton akku voi vaatia jopa 60 kg litiumkarbonaattia, 15 kg kobolttia ja 30 kg nikkeliä</w:t>
      </w:r>
      <w:r w:rsidRPr="780D6020">
        <w:rPr>
          <w:rFonts w:eastAsia="Calibri"/>
        </w:rPr>
        <w:t>.</w:t>
      </w:r>
      <w:r>
        <w:rPr>
          <w:rFonts w:eastAsia="Calibri"/>
        </w:rPr>
        <w:t xml:space="preserve"> Vuoden 2025 IEA Global Critical </w:t>
      </w:r>
      <w:proofErr w:type="spellStart"/>
      <w:r>
        <w:rPr>
          <w:rFonts w:eastAsia="Calibri"/>
        </w:rPr>
        <w:t>Minerals</w:t>
      </w:r>
      <w:proofErr w:type="spellEnd"/>
      <w:r>
        <w:rPr>
          <w:rFonts w:eastAsia="Calibri"/>
        </w:rPr>
        <w:t xml:space="preserve"> Outlook -raportin mukaan kriittisten mineraalien kysyntä on kasvanut vuosina 2017–2022 yli kaksinkertaiseksi, ja kehitys jatkuu nopeana. Litiumin kysyntä on kasvanut jopa 6-kertaiseksi viidessä vuodessa, mikä johtuu ennen kaikkea autokannan sähköistymisestä</w:t>
      </w:r>
      <w:r w:rsidRPr="780D6020">
        <w:rPr>
          <w:rFonts w:eastAsia="Calibri"/>
        </w:rPr>
        <w:t>.</w:t>
      </w:r>
      <w:r>
        <w:rPr>
          <w:rFonts w:eastAsia="Calibri"/>
        </w:rPr>
        <w:t xml:space="preserve"> IEA arvioi, että vuoteen 2030 mennessä sähköautojen ja energiavarastojen akuissa tarvittavan litiumin, nikkelin ja koboltin yhteenlaskettu kysyntä voi nousta jopa 3–7-kertaiseksi vuoden 2022 tasoon verrattuna, riippuen siitä, kuinka kunnianhimoisesti energiasiirtymä etenee.</w:t>
      </w:r>
    </w:p>
    <w:p w14:paraId="10652E08" w14:textId="0F388356" w:rsidR="21ABA7CC" w:rsidRDefault="76F1544B" w:rsidP="2FF790A8">
      <w:pPr>
        <w:pStyle w:val="Numeroimatonotsikko"/>
      </w:pPr>
      <w:r w:rsidRPr="2FF790A8">
        <w:t>Vaikutukset luonnon monimuotoisuuteen</w:t>
      </w:r>
    </w:p>
    <w:p w14:paraId="4FFEDFE6" w14:textId="4A799B10" w:rsidR="21ABA7CC" w:rsidRDefault="76F1544B" w:rsidP="1EF06D72">
      <w:pPr>
        <w:pStyle w:val="VNLeip1kappale"/>
        <w:tabs>
          <w:tab w:val="left" w:pos="1304"/>
        </w:tabs>
        <w:rPr>
          <w:rFonts w:asciiTheme="minorHAnsi" w:eastAsiaTheme="minorEastAsia" w:hAnsiTheme="minorHAnsi" w:cstheme="minorBidi"/>
        </w:rPr>
      </w:pPr>
      <w:r>
        <w:rPr>
          <w:rFonts w:eastAsia="Calibri"/>
        </w:rPr>
        <w:t xml:space="preserve">Luonnon monimuotoisuuteen vaikuttavat haitat ovat paikallisia ja niihin vaikuttavat suoran maan- ja vesistönkäytön muutosten lisäksi myös luonnonvarojen käytössä, </w:t>
      </w:r>
      <w:r w:rsidRPr="7AC13311">
        <w:rPr>
          <w:rFonts w:asciiTheme="minorHAnsi" w:eastAsiaTheme="minorEastAsia" w:hAnsiTheme="minorHAnsi" w:cstheme="minorBidi"/>
        </w:rPr>
        <w:t>tuotantotoiminnassa ja hoitokäytännöissä ja tapahtuvat muutokset. Paikallisia vaikutuksia aiheutuu sekä siellä, missä raaka-aineita</w:t>
      </w:r>
      <w:r w:rsidR="2AA2EA4F" w:rsidRPr="590B24E0">
        <w:rPr>
          <w:rFonts w:asciiTheme="minorHAnsi" w:eastAsiaTheme="minorEastAsia" w:hAnsiTheme="minorHAnsi" w:cstheme="minorBidi"/>
        </w:rPr>
        <w:t>,</w:t>
      </w:r>
      <w:r w:rsidRPr="7AC13311">
        <w:rPr>
          <w:rFonts w:asciiTheme="minorHAnsi" w:eastAsiaTheme="minorEastAsia" w:hAnsiTheme="minorHAnsi" w:cstheme="minorBidi"/>
        </w:rPr>
        <w:t xml:space="preserve"> esimerkiksi puhtaan energian investointeja varten tuotetaan, että siellä, missä investoinnit toteutetaan. Investointien elinkaaristen vaikutusten vertailu voi kuitenkin olla hankalaa johtuen vaikutusten paikallisesta luonteesta ja riippuvuudesta muista toimista ja niiden vaikutuksista.</w:t>
      </w:r>
    </w:p>
    <w:p w14:paraId="5F8E6F1F" w14:textId="4B8BC30D" w:rsidR="21ABA7CC" w:rsidRDefault="76F1544B" w:rsidP="5AD7FEC7">
      <w:pPr>
        <w:pStyle w:val="VNLeip1kappale"/>
        <w:rPr>
          <w:rFonts w:eastAsia="Calibri"/>
        </w:rPr>
      </w:pPr>
      <w:r>
        <w:rPr>
          <w:rFonts w:eastAsia="Calibri"/>
        </w:rPr>
        <w:t xml:space="preserve">Maatalousluonnon monimuotoisuutta heikentäviä tekijöitä ovat ennen kaikkea viljelyn tehostamisen ja karjatalouden keskittymisen myötä tapahtunut maatalousmaiseman rakenteen yksipuolistuminen ja vähentynyt laidunnus. Monimuotoisuuden heikentymisen myötä lajikirjo on kaventunut ja muun muassa lintujen, pölyttäjähyönteisten ja perhosten lukumäärät ovat laskeneet. Luonnon monimuotoisuuden säilymisellä on merkittävä rooli tärkeiden ekosysteemipalvelujen kuten viljelykasvien pölytyksen ja biologisen torjunnan ylläpidossa ja maatalousympäristön lajien säilymisessä sekä maataloustuotannon sopeutumisessa ilmastonmuutoksen vaikutuksiin. Monimuotoisuuden turvaamisessa tärkeiden toimien, kuten perinnebiotooppien, monivuotisten niittypeltojen ja luonnonhoitopeltojen lisääminen ja ylläpito, pinta-alat ovat toistaiseksi jääneet alhaisiksi toimiin liittyvien kustannusten ja lisärahoituksen puuttumisen vuoksi. </w:t>
      </w:r>
    </w:p>
    <w:p w14:paraId="5F7968A2" w14:textId="17B6E617" w:rsidR="21ABA7CC" w:rsidRDefault="76F1544B" w:rsidP="5AD7FEC7">
      <w:pPr>
        <w:pStyle w:val="VNLeip1kappale"/>
        <w:rPr>
          <w:rFonts w:eastAsia="Calibri"/>
        </w:rPr>
      </w:pPr>
      <w:r>
        <w:rPr>
          <w:rFonts w:eastAsia="Calibri"/>
        </w:rPr>
        <w:t>Ennallistamisella voidaan saavuttaa useita soiden tuottamien ekosysteemipalvelujen hyötyjä</w:t>
      </w:r>
      <w:r w:rsidRPr="71CB6F0C">
        <w:rPr>
          <w:rFonts w:eastAsia="Calibri"/>
        </w:rPr>
        <w:t>.</w:t>
      </w:r>
      <w:r>
        <w:rPr>
          <w:rFonts w:eastAsia="Calibri"/>
        </w:rPr>
        <w:t xml:space="preserve"> Esimerkiksi metsittämällä tai </w:t>
      </w:r>
      <w:proofErr w:type="spellStart"/>
      <w:r>
        <w:rPr>
          <w:rFonts w:eastAsia="Calibri"/>
        </w:rPr>
        <w:t>vettämällä</w:t>
      </w:r>
      <w:proofErr w:type="spellEnd"/>
      <w:r>
        <w:rPr>
          <w:rFonts w:eastAsia="Calibri"/>
        </w:rPr>
        <w:t xml:space="preserve"> tehtävä heikentyneiden maaekosysteemien palauttaminen luonnontilaiseksi voi edistää hiilensidontaa, tulvien säätelyä ja rannikoiden suojelua, vähentää eroosiota, parantaa veden laatua ja tukea kasvien pölytystä. Kuivatetun suon ennallistamisessa on mahdollista, että ojituksen vaikutukset jatkuvat pitkään ja itsekseen vettyvät suot jäävät suhteellisen kuiviksi eli korpien ja rämeiden kaltaisiksi. Tällöin suoluonnon monimuotoisuuden kannalta arvokkaat märät ja avoimet suot eivät palaudu ja jäävät erityisesti harvinaisten lajien tai luonnontilaisen tyyppivaihtelun osalta heikommiksi</w:t>
      </w:r>
      <w:r w:rsidRPr="44C1FF9C">
        <w:rPr>
          <w:rFonts w:eastAsia="Calibri"/>
        </w:rPr>
        <w:t>.</w:t>
      </w:r>
    </w:p>
    <w:p w14:paraId="7E861D80" w14:textId="3E837FE4" w:rsidR="21ABA7CC" w:rsidRDefault="76F1544B" w:rsidP="032EFDD8">
      <w:pPr>
        <w:pStyle w:val="Numeroimatonotsikko"/>
      </w:pPr>
      <w:proofErr w:type="spellStart"/>
      <w:r w:rsidRPr="032EFDD8">
        <w:t>Geoenergian</w:t>
      </w:r>
      <w:proofErr w:type="spellEnd"/>
      <w:r w:rsidRPr="032EFDD8">
        <w:t xml:space="preserve"> hyödyntämisen vaikutukset</w:t>
      </w:r>
    </w:p>
    <w:p w14:paraId="4BDEAD6D" w14:textId="69B14B91" w:rsidR="21ABA7CC" w:rsidRDefault="76F1544B" w:rsidP="5AD7FEC7">
      <w:pPr>
        <w:pStyle w:val="VNLeip1kappale"/>
      </w:pPr>
      <w:proofErr w:type="spellStart"/>
      <w:r>
        <w:rPr>
          <w:rFonts w:eastAsia="Calibri"/>
        </w:rPr>
        <w:t>Geoenergian</w:t>
      </w:r>
      <w:proofErr w:type="spellEnd"/>
      <w:r>
        <w:rPr>
          <w:rFonts w:eastAsia="Calibri"/>
        </w:rPr>
        <w:t xml:space="preserve"> ympäristövaikutukset eroavat merkittävästi aurinko-, tuuli- tai turvevoiman vaikutuksista. Pääasiallinen syy on se, että </w:t>
      </w:r>
      <w:proofErr w:type="spellStart"/>
      <w:r>
        <w:rPr>
          <w:rFonts w:eastAsia="Calibri"/>
        </w:rPr>
        <w:t>geoenergian</w:t>
      </w:r>
      <w:proofErr w:type="spellEnd"/>
      <w:r>
        <w:rPr>
          <w:rFonts w:eastAsia="Calibri"/>
        </w:rPr>
        <w:t xml:space="preserve"> vaikutukset kohdistuvat maanpinnan alapuolisiin osiin. Tämän vuoksi erityisesti pientalojen </w:t>
      </w:r>
      <w:proofErr w:type="spellStart"/>
      <w:r>
        <w:rPr>
          <w:rFonts w:eastAsia="Calibri"/>
        </w:rPr>
        <w:t>geoenergiasysteemien</w:t>
      </w:r>
      <w:proofErr w:type="spellEnd"/>
      <w:r>
        <w:rPr>
          <w:rFonts w:eastAsia="Calibri"/>
        </w:rPr>
        <w:t xml:space="preserve"> vaikutukset maankäyttöön ovat minimaaliset verrattuna muihin uusiutuvan energian muotoihin. Lisäksi </w:t>
      </w:r>
      <w:proofErr w:type="spellStart"/>
      <w:r>
        <w:rPr>
          <w:rFonts w:eastAsia="Calibri"/>
        </w:rPr>
        <w:t>geoenergiaratkaisut</w:t>
      </w:r>
      <w:proofErr w:type="spellEnd"/>
      <w:r>
        <w:rPr>
          <w:rFonts w:eastAsia="Calibri"/>
        </w:rPr>
        <w:t xml:space="preserve"> rakennetaan pääasiassa palvelemaan rakennuksia, joten ne sijoitetaan alueelle, jonka maankäyttö on jo varattu asuin- tai teolliseen toimintaan. Suuret </w:t>
      </w:r>
      <w:proofErr w:type="spellStart"/>
      <w:r>
        <w:rPr>
          <w:rFonts w:eastAsia="Calibri"/>
        </w:rPr>
        <w:t>geoenergiaratkaisut</w:t>
      </w:r>
      <w:proofErr w:type="spellEnd"/>
      <w:r>
        <w:rPr>
          <w:rFonts w:eastAsia="Calibri"/>
        </w:rPr>
        <w:t xml:space="preserve"> perustuvat useiden kymmenien energiakaivojen, eli energiakaivokentän toimintaan. Tällöin maankäytön tarve on suurempi, koska kaivojen välimatka toisistaan on normaalisti 10–20 metriä. Esimerkiksi 10–20 energiakaivon kenttä vaatii noin 1000–3000 m2 pinta-alan. Energiakaivokenttiä tehdään usein tulevien rakennusten alle, tie- tms. alueelle, jolloin en eivät itsessään tuo lisätarvetta maankäytölle. </w:t>
      </w:r>
    </w:p>
    <w:p w14:paraId="33C71FFE" w14:textId="01E87C5F" w:rsidR="21ABA7CC" w:rsidRDefault="76F1544B" w:rsidP="5AD7FEC7">
      <w:pPr>
        <w:pStyle w:val="VNLeip1kappale"/>
      </w:pPr>
      <w:r>
        <w:rPr>
          <w:rFonts w:eastAsia="Calibri"/>
        </w:rPr>
        <w:t>Kallioperään sijoitettavien energiakaivojen ympäristövaikutukset voidaan periaatteessa jakaa kahteen erilliseen osaan: asennus- ja käyttövaiheeseen. Asennusvaiheessa vaikutuksia tulee lähinnä kaivojen porauksista ja sen suorista vaikutuksista. Merkittäviä ympäristöriskejä ei ole todettu vaan suurimmat ympäristöriskit liittyvät kaivon porauksen aikaisiin polttonestevuotoihin</w:t>
      </w:r>
      <w:r w:rsidRPr="44C1FF9C">
        <w:rPr>
          <w:rFonts w:eastAsia="Calibri"/>
        </w:rPr>
        <w:t>.</w:t>
      </w:r>
      <w:r>
        <w:rPr>
          <w:rFonts w:eastAsia="Calibri"/>
        </w:rPr>
        <w:t xml:space="preserve">  Käyttövaiheessa vaikutuksena on maanpinnan alaisten osien lämpötilan muutos ja mahdolliset lyhytaikaiset muutokset kallioperän pohjavedenpainekenttään. Maanpinnan alaisen lämpötilamuutoksen vaikutuksia esim. mikrobitoimintaan ei ole tutkittu laajasti. Lämpötilan muutoksen palautuminen lähelle, esim. noin 0,5 °C päähän lähtölämpötilasta, kestää likimain saman pituisen ajan, kuin energiakaivon käyttö</w:t>
      </w:r>
      <w:r w:rsidRPr="05E9023F">
        <w:rPr>
          <w:rFonts w:eastAsia="Calibri"/>
        </w:rPr>
        <w:t xml:space="preserve">. </w:t>
      </w:r>
    </w:p>
    <w:p w14:paraId="7AA98B6F" w14:textId="62FC58FA" w:rsidR="21ABA7CC" w:rsidRDefault="76F1544B" w:rsidP="78BFCEB5">
      <w:pPr>
        <w:spacing w:after="160" w:line="257" w:lineRule="auto"/>
      </w:pPr>
      <w:r w:rsidRPr="78BFCEB5">
        <w:rPr>
          <w:rFonts w:ascii="Calibri" w:eastAsia="Calibri" w:hAnsi="Calibri" w:cs="Calibri"/>
          <w:sz w:val="22"/>
          <w:szCs w:val="22"/>
        </w:rPr>
        <w:t xml:space="preserve"> </w:t>
      </w:r>
    </w:p>
    <w:p w14:paraId="42954A23" w14:textId="70F77D27" w:rsidR="21ABA7CC" w:rsidRDefault="76F1544B" w:rsidP="1255ABF0">
      <w:pPr>
        <w:pStyle w:val="Numeroimatonotsikko"/>
      </w:pPr>
      <w:r w:rsidRPr="1255ABF0">
        <w:t>Liikenteen sähköistymisen vaikutukset</w:t>
      </w:r>
    </w:p>
    <w:p w14:paraId="04134156" w14:textId="63C684F3" w:rsidR="21ABA7CC" w:rsidRPr="003B4450" w:rsidRDefault="76F1544B" w:rsidP="003B4450">
      <w:pPr>
        <w:pStyle w:val="VNLeip1kappale"/>
      </w:pPr>
      <w:r>
        <w:rPr>
          <w:rFonts w:eastAsia="Calibri"/>
        </w:rPr>
        <w:t xml:space="preserve">Liikenteen sähköistymisen merkittävin ympäristövaikutus on kasvihuonekaasupäästöjen väheneminen. Jakeluvelvoitteen alentaminen ja valmisteverojen indeksikorotusten jäädytys kasvattavat päästöjä hetkellisesti WAM-skenaariossa. Vuoden 2030 päästöjen puolittamistavoitteesta jäädään hiukan sekä </w:t>
      </w:r>
      <w:proofErr w:type="spellStart"/>
      <w:r>
        <w:rPr>
          <w:rFonts w:eastAsia="Calibri"/>
        </w:rPr>
        <w:t>WEM:ssä</w:t>
      </w:r>
      <w:proofErr w:type="spellEnd"/>
      <w:r>
        <w:rPr>
          <w:rFonts w:eastAsia="Calibri"/>
        </w:rPr>
        <w:t xml:space="preserve"> (-49,6 %) että </w:t>
      </w:r>
      <w:proofErr w:type="spellStart"/>
      <w:r>
        <w:rPr>
          <w:rFonts w:eastAsia="Calibri"/>
        </w:rPr>
        <w:t>WAM:ssa</w:t>
      </w:r>
      <w:proofErr w:type="spellEnd"/>
      <w:r>
        <w:rPr>
          <w:rFonts w:eastAsia="Calibri"/>
        </w:rPr>
        <w:t xml:space="preserve"> (-47,5 %). Molemmissa skenaarioissa tieliikenteen sähkönkäyttö </w:t>
      </w:r>
      <w:r w:rsidRPr="003B4450">
        <w:rPr>
          <w:rFonts w:eastAsia="Calibri"/>
        </w:rPr>
        <w:t xml:space="preserve">kasvaa merkittävästi nykyisestä alle 1 </w:t>
      </w:r>
      <w:proofErr w:type="spellStart"/>
      <w:r w:rsidRPr="003B4450">
        <w:rPr>
          <w:rFonts w:eastAsia="Calibri"/>
        </w:rPr>
        <w:t>TWh:sta</w:t>
      </w:r>
      <w:proofErr w:type="spellEnd"/>
      <w:r w:rsidRPr="003B4450">
        <w:rPr>
          <w:rFonts w:eastAsia="Calibri"/>
        </w:rPr>
        <w:t>.</w:t>
      </w:r>
    </w:p>
    <w:p w14:paraId="34533B8E" w14:textId="12298E5B" w:rsidR="21ABA7CC" w:rsidRPr="003B4450" w:rsidRDefault="76F1544B" w:rsidP="003B4450">
      <w:pPr>
        <w:pStyle w:val="VNLeip1kappale"/>
      </w:pPr>
      <w:r w:rsidRPr="003B4450">
        <w:rPr>
          <w:rFonts w:eastAsia="Calibri"/>
        </w:rPr>
        <w:t xml:space="preserve">Suorien kasvihuonekaasupäästöjen lisäksi tulee huomioida ajoneuvojen ja sähköntuotannon elinkaariset päästöt. Lisäksi sähköistymisellä on vaikutuksia muun muassa luonnonvarojen käyttöön, ilmanlaatuun ja meluun. </w:t>
      </w:r>
    </w:p>
    <w:p w14:paraId="53D921CA" w14:textId="135A32D5" w:rsidR="21ABA7CC" w:rsidRPr="003B4450" w:rsidRDefault="76F1544B" w:rsidP="003B4450">
      <w:pPr>
        <w:pStyle w:val="VNLeip1kappale"/>
      </w:pPr>
      <w:r w:rsidRPr="003B4450">
        <w:rPr>
          <w:rFonts w:eastAsia="Calibri"/>
        </w:rPr>
        <w:t xml:space="preserve">Liikenteen sähköistyminen kasvattaa päästöjä Suomen rajojen ulkopuolella, koska akkujen vuoksi sähköautojen valmistuksen kasvihuonekaasujen elinkaaripäästöt ovat polttomoottoriautoja suuremmat. Akkujen valmistuksen päästöt riippuvat akkutyypistä, valmistuspaikasta ja valmistukseen käytetyn energian päästöistä. </w:t>
      </w:r>
      <w:r w:rsidR="2901B640" w:rsidRPr="05E9023F">
        <w:rPr>
          <w:rFonts w:eastAsia="Calibri"/>
        </w:rPr>
        <w:t>V</w:t>
      </w:r>
      <w:r w:rsidRPr="05E9023F">
        <w:rPr>
          <w:rFonts w:eastAsia="Calibri"/>
        </w:rPr>
        <w:t>aihteluväli</w:t>
      </w:r>
      <w:r w:rsidRPr="003B4450">
        <w:rPr>
          <w:rFonts w:eastAsia="Calibri"/>
        </w:rPr>
        <w:t xml:space="preserve"> voi olla jopa 10–394 kg CO</w:t>
      </w:r>
      <w:r w:rsidRPr="002C312F">
        <w:rPr>
          <w:rFonts w:eastAsia="Calibri"/>
          <w:vertAlign w:val="subscript"/>
        </w:rPr>
        <w:t>2</w:t>
      </w:r>
      <w:r w:rsidRPr="003B4450">
        <w:rPr>
          <w:rFonts w:eastAsia="Calibri"/>
        </w:rPr>
        <w:t>-</w:t>
      </w:r>
      <w:proofErr w:type="gramStart"/>
      <w:r w:rsidRPr="003B4450">
        <w:rPr>
          <w:rFonts w:eastAsia="Calibri"/>
        </w:rPr>
        <w:t>ekv./</w:t>
      </w:r>
      <w:proofErr w:type="gramEnd"/>
      <w:r w:rsidRPr="003B4450">
        <w:rPr>
          <w:rFonts w:eastAsia="Calibri"/>
        </w:rPr>
        <w:t xml:space="preserve">kWh. Suomen ilmastopaneelin </w:t>
      </w:r>
      <w:proofErr w:type="spellStart"/>
      <w:r w:rsidRPr="003B4450">
        <w:rPr>
          <w:rFonts w:eastAsia="Calibri"/>
        </w:rPr>
        <w:t>Autokalkulaattorissa</w:t>
      </w:r>
      <w:proofErr w:type="spellEnd"/>
      <w:r w:rsidRPr="003B4450">
        <w:rPr>
          <w:rFonts w:eastAsia="Calibri"/>
        </w:rPr>
        <w:t xml:space="preserve"> käytetään oletuksena päästökerrointa 70 kg CO</w:t>
      </w:r>
      <w:r w:rsidRPr="002C312F">
        <w:rPr>
          <w:rFonts w:eastAsia="Calibri"/>
          <w:vertAlign w:val="subscript"/>
        </w:rPr>
        <w:t>2</w:t>
      </w:r>
      <w:r w:rsidRPr="003B4450">
        <w:rPr>
          <w:rFonts w:eastAsia="Calibri"/>
        </w:rPr>
        <w:t>-</w:t>
      </w:r>
      <w:proofErr w:type="gramStart"/>
      <w:r w:rsidRPr="003B4450">
        <w:rPr>
          <w:rFonts w:eastAsia="Calibri"/>
        </w:rPr>
        <w:t>ekv./</w:t>
      </w:r>
      <w:proofErr w:type="gramEnd"/>
      <w:r w:rsidRPr="003B4450">
        <w:rPr>
          <w:rFonts w:eastAsia="Calibri"/>
        </w:rPr>
        <w:t>kWh. Keskikokoiselle sähköautolle tyypillisen 42 kWh:n akun valmistus tuottaa näin ollen noin 2,9 tonnia kasvihuonekaasupäästöjä, kun itse auton valmistuksen päästöt ovat noin 6,5 t CO</w:t>
      </w:r>
      <w:r w:rsidRPr="002C312F">
        <w:rPr>
          <w:rFonts w:eastAsia="Calibri"/>
          <w:vertAlign w:val="subscript"/>
        </w:rPr>
        <w:t>2</w:t>
      </w:r>
      <w:r w:rsidRPr="003B4450">
        <w:rPr>
          <w:rFonts w:eastAsia="Calibri"/>
        </w:rPr>
        <w:t>-ekv. (yhteensä 9,4 t CO</w:t>
      </w:r>
      <w:r w:rsidRPr="002C312F">
        <w:rPr>
          <w:rFonts w:eastAsia="Calibri"/>
          <w:vertAlign w:val="subscript"/>
        </w:rPr>
        <w:t>2</w:t>
      </w:r>
      <w:r w:rsidRPr="003B4450">
        <w:rPr>
          <w:rFonts w:eastAsia="Calibri"/>
        </w:rPr>
        <w:t xml:space="preserve">-ekv.). Vastaavan kokoisen polttomoottoriauton valmistuksen päästöt ovat huomattavasti pienemmät, noin 5,6 tonnia. Käytön aikaiset päästöt huomioon ottaen sähköauto on kuitenkin vähäpäästöisempi jo noin 20 000 kilometrin ajon jälkeen. </w:t>
      </w:r>
    </w:p>
    <w:p w14:paraId="7E25360C" w14:textId="7CAF0A53" w:rsidR="21ABA7CC" w:rsidRPr="003B4450" w:rsidRDefault="76F1544B" w:rsidP="003B4450">
      <w:pPr>
        <w:pStyle w:val="VNLeip1kappale"/>
      </w:pPr>
      <w:r w:rsidRPr="003B4450">
        <w:rPr>
          <w:rFonts w:eastAsia="Calibri"/>
        </w:rPr>
        <w:t>WEM-skenaarion lähes miljoonan uuden täyssähköauton valmistuksesta aiheutuu vuoteen 2035 mennessä polttomoottoriautoihin verrattuna noin 3,5 miljoonaa tonnia enemmän päästöjä (CO</w:t>
      </w:r>
      <w:r w:rsidRPr="002C312F">
        <w:rPr>
          <w:rFonts w:eastAsia="Calibri"/>
          <w:vertAlign w:val="subscript"/>
        </w:rPr>
        <w:t>2</w:t>
      </w:r>
      <w:r w:rsidRPr="003B4450">
        <w:rPr>
          <w:rFonts w:eastAsia="Calibri"/>
        </w:rPr>
        <w:t>-ekv.). Toisaalta bensiinin ja dieselin käytön päästöt vähenevät noin 12,5 MtCO</w:t>
      </w:r>
      <w:r w:rsidRPr="002C312F">
        <w:rPr>
          <w:rFonts w:eastAsia="Calibri"/>
          <w:vertAlign w:val="subscript"/>
        </w:rPr>
        <w:t>2</w:t>
      </w:r>
      <w:r w:rsidRPr="003B4450">
        <w:rPr>
          <w:rFonts w:eastAsia="Calibri"/>
        </w:rPr>
        <w:t>-ekv. Sähkönkulutuksen ja öljynjalostuksen päästöt huomioituna vaikutus Suomen suoriin päästöihin on hieman vajaa 13 Mt CO</w:t>
      </w:r>
      <w:r w:rsidRPr="15A0BE0A">
        <w:rPr>
          <w:rFonts w:eastAsia="Calibri"/>
          <w:vertAlign w:val="subscript"/>
        </w:rPr>
        <w:t>2</w:t>
      </w:r>
      <w:r w:rsidR="5C4600A3" w:rsidRPr="15A0BE0A">
        <w:rPr>
          <w:rFonts w:eastAsia="Calibri"/>
        </w:rPr>
        <w:t xml:space="preserve"> </w:t>
      </w:r>
      <w:r w:rsidRPr="003B4450">
        <w:rPr>
          <w:rFonts w:eastAsia="Calibri"/>
        </w:rPr>
        <w:t>-</w:t>
      </w:r>
      <w:proofErr w:type="spellStart"/>
      <w:r w:rsidRPr="003B4450">
        <w:rPr>
          <w:rFonts w:eastAsia="Calibri"/>
        </w:rPr>
        <w:t>ekv</w:t>
      </w:r>
      <w:proofErr w:type="spellEnd"/>
      <w:r w:rsidRPr="003B4450">
        <w:rPr>
          <w:rFonts w:eastAsia="Calibri"/>
        </w:rPr>
        <w:t>. jaksolla 2025–2035. Kun lisäksi lasketaan autojen valmistuksen ja raakaöljyn hankinnan päästöt, on henkilöautoliikenteen sähköistymisen vaikutus kumulatiivisiin päästöihin WEM-skenaariossa vuoteen 2035 mennessä -11 Mt CO</w:t>
      </w:r>
      <w:r w:rsidRPr="15A0BE0A">
        <w:rPr>
          <w:rFonts w:eastAsia="Calibri"/>
          <w:vertAlign w:val="subscript"/>
        </w:rPr>
        <w:t>2</w:t>
      </w:r>
      <w:r w:rsidR="7C910B37" w:rsidRPr="15A0BE0A">
        <w:rPr>
          <w:rFonts w:eastAsia="Calibri"/>
        </w:rPr>
        <w:t xml:space="preserve"> </w:t>
      </w:r>
      <w:r w:rsidRPr="003B4450">
        <w:rPr>
          <w:rFonts w:eastAsia="Calibri"/>
        </w:rPr>
        <w:t>-</w:t>
      </w:r>
      <w:proofErr w:type="spellStart"/>
      <w:r w:rsidRPr="003B4450">
        <w:rPr>
          <w:rFonts w:eastAsia="Calibri"/>
        </w:rPr>
        <w:t>ekv</w:t>
      </w:r>
      <w:proofErr w:type="spellEnd"/>
      <w:r w:rsidRPr="003B4450">
        <w:rPr>
          <w:rFonts w:eastAsia="Calibri"/>
        </w:rPr>
        <w:t xml:space="preserve">. verrattuna tilanteeseen, jossa uusien sähköautojen asemesta hankittaisiin polttomoottorikäyttöisiä autoja. Liikenteen sähköistymisellä voi myös olla vaikutusta koko sähköjärjestelmän huoltovarmuuteen ja päästöihin, jos kaksisuuntaisen latauksen ja latauspisteiden aggregoinnin avulla ajoneuvojen akkuja aletaan hyödyntää väliaikaisina sähkövarastoina. </w:t>
      </w:r>
    </w:p>
    <w:p w14:paraId="08EF02B7" w14:textId="7AD74FA9" w:rsidR="21ABA7CC" w:rsidRDefault="76F1544B" w:rsidP="5AD7FEC7">
      <w:pPr>
        <w:pStyle w:val="VNLeip1kappale"/>
        <w:rPr>
          <w:rFonts w:eastAsia="Calibri"/>
        </w:rPr>
      </w:pPr>
      <w:r w:rsidRPr="003B4450">
        <w:rPr>
          <w:rFonts w:eastAsia="Calibri"/>
        </w:rPr>
        <w:t>Sähköautojen akkujen ja sähkömoottoreiden arvoketju raaka-aineiden louhinnasta materiaalien uusiokäyttöön ja kierrätykseen saakka on pitkä. Sähköauton moottoriin ja akkuun tarvitaan teräksen ja alumiinin lisäksi noin 200 kg erilaisia metalleja, kun polttomoottorin valmistukseen käytetään alle 40 kg, lähinnä kuparia ja mangaania</w:t>
      </w:r>
      <w:r w:rsidRPr="4177690A">
        <w:rPr>
          <w:rFonts w:eastAsia="Calibri"/>
        </w:rPr>
        <w:t>.</w:t>
      </w:r>
      <w:r w:rsidRPr="003B4450">
        <w:rPr>
          <w:rFonts w:eastAsia="Calibri"/>
        </w:rPr>
        <w:t xml:space="preserve"> Sähköauton kestomagneettimoottoriin tarvitaan kuparin ja mangaanin lisäksi jonkin</w:t>
      </w:r>
      <w:r>
        <w:rPr>
          <w:rFonts w:eastAsia="Calibri"/>
        </w:rPr>
        <w:t xml:space="preserve"> verran neodyymiä ja muita harvinaisia maametalleja. Materiaalien tarpeen ero polttomoottoriautoon johtuu sähköauton akuista. Nykyisin yleisin akkutyyppi NMC-litiumioniakku sisältää tekniikasta ja akun koosta riippuen noin 10 kg litiumia, 50 kg nikkeliä, 15 kg mangaania, 15 kg kobolttia, 25 kg kuparia ja 65 kg grafiittia</w:t>
      </w:r>
      <w:r w:rsidRPr="4177690A">
        <w:rPr>
          <w:rFonts w:eastAsia="Calibri"/>
        </w:rPr>
        <w:t>.</w:t>
      </w:r>
      <w:r w:rsidR="6A6D36A0" w:rsidRPr="23BA6A40">
        <w:rPr>
          <w:rFonts w:eastAsia="Calibri"/>
        </w:rPr>
        <w:t xml:space="preserve"> </w:t>
      </w:r>
      <w:r>
        <w:rPr>
          <w:rFonts w:eastAsia="Calibri"/>
        </w:rPr>
        <w:t>Kaivostoimintaan voi liittyä merkittäviä ympäristöhaittoja. Vuonna 2024 Indonesia tuotti 2,2 miljoonaa tonnia nikkeliä, lähes 60 % koko maailman tuotannosta. Koboltista 76 % tuotettiin Kongon demokraattisessa tasavallassa</w:t>
      </w:r>
      <w:r w:rsidRPr="26708BA9">
        <w:rPr>
          <w:rFonts w:eastAsia="Calibri"/>
        </w:rPr>
        <w:t>.</w:t>
      </w:r>
    </w:p>
    <w:p w14:paraId="0B3DD725" w14:textId="6E5F718A" w:rsidR="21ABA7CC" w:rsidRDefault="76F1544B" w:rsidP="5AD7FEC7">
      <w:pPr>
        <w:pStyle w:val="VNLeip1kappale"/>
      </w:pPr>
      <w:r>
        <w:rPr>
          <w:rFonts w:eastAsia="Calibri"/>
        </w:rPr>
        <w:t>Tieliikenteen sähköistyminen parantaa ilmanlaatua erityisesti kaupungeissa. Pakokaasupäästöt vähenevät, mutta liikennesuoritteiden kasvu kaupunkiseuduilla lisää katupölyn määrää. Myös meluhaitat vähenevät, sillä sähköautot ovat polttomoottoriautoja hiljaisempia. Toisaalta sähköautoilla ajetaan enemmän, mikä lisää renkaista peräisin olevia mikromuovipäästöjä</w:t>
      </w:r>
      <w:r w:rsidRPr="26708BA9">
        <w:rPr>
          <w:rFonts w:eastAsia="Calibri"/>
        </w:rPr>
        <w:t>.</w:t>
      </w:r>
    </w:p>
    <w:p w14:paraId="637C7EED" w14:textId="7FD77794" w:rsidR="21ABA7CC" w:rsidRDefault="4FB0DBCB" w:rsidP="00250FBC">
      <w:pPr>
        <w:pStyle w:val="VNLeip1kappale"/>
      </w:pPr>
      <w:r w:rsidRPr="6B269223">
        <w:rPr>
          <w:rFonts w:eastAsia="Calibri"/>
        </w:rPr>
        <w:t xml:space="preserve">Taloudellisesti liikenteen sähköistyminen tuo sekä mahdollisuuksia että kustannuksia. Valtion näkökulmasta sähköautojen yleistyminen vähentää polttoaineverotuloja ja tuo uusia investointitarpeita infrastruktuuriin. Toisaalta se vähentää riippuvuutta fossiilisista polttoaineista, vahvistaa energiaomavaraisuutta ja parantaa kauppatasetta. </w:t>
      </w:r>
      <w:r w:rsidR="1D59BED8" w:rsidRPr="2D2AB527">
        <w:rPr>
          <w:rFonts w:eastAsia="Calibri"/>
        </w:rPr>
        <w:t>Pienemmät p</w:t>
      </w:r>
      <w:r w:rsidR="4F2CA7C9" w:rsidRPr="2D2AB527">
        <w:rPr>
          <w:rFonts w:eastAsia="Calibri"/>
        </w:rPr>
        <w:t>olttoainekustannu</w:t>
      </w:r>
      <w:r w:rsidR="288BA57E" w:rsidRPr="2D2AB527">
        <w:rPr>
          <w:rFonts w:eastAsia="Calibri"/>
        </w:rPr>
        <w:t>kset</w:t>
      </w:r>
      <w:r w:rsidR="4F2CA7C9" w:rsidRPr="2D2AB527">
        <w:rPr>
          <w:rFonts w:eastAsia="Calibri"/>
        </w:rPr>
        <w:t xml:space="preserve"> voi</w:t>
      </w:r>
      <w:r w:rsidR="0A10D6D5" w:rsidRPr="2D2AB527">
        <w:rPr>
          <w:rFonts w:eastAsia="Calibri"/>
        </w:rPr>
        <w:t>vat</w:t>
      </w:r>
      <w:r w:rsidR="4F2CA7C9" w:rsidRPr="2D2AB527">
        <w:rPr>
          <w:rFonts w:eastAsia="Calibri"/>
        </w:rPr>
        <w:t xml:space="preserve"> </w:t>
      </w:r>
      <w:r w:rsidR="4F2CA7C9" w:rsidRPr="05118848">
        <w:rPr>
          <w:rFonts w:eastAsia="Calibri"/>
        </w:rPr>
        <w:t xml:space="preserve">parantaa kuluttajien ostovoimaa </w:t>
      </w:r>
      <w:r w:rsidR="4F2CA7C9" w:rsidRPr="24191588">
        <w:rPr>
          <w:rFonts w:eastAsia="Calibri"/>
        </w:rPr>
        <w:t>ja yritysten kannattavuutta</w:t>
      </w:r>
      <w:r w:rsidR="4F2CA7C9" w:rsidRPr="70B54618">
        <w:rPr>
          <w:rFonts w:eastAsia="Calibri"/>
        </w:rPr>
        <w:t>.</w:t>
      </w:r>
      <w:r w:rsidR="4F2CA7C9" w:rsidRPr="24191588">
        <w:rPr>
          <w:rFonts w:eastAsia="Calibri"/>
        </w:rPr>
        <w:t xml:space="preserve"> </w:t>
      </w:r>
      <w:r w:rsidRPr="6B269223">
        <w:rPr>
          <w:rFonts w:eastAsia="Calibri"/>
        </w:rPr>
        <w:t xml:space="preserve">Ilmanlaadun parantuminen ja meluhaittojen väheneminen voivat vähentää terveydenhuoltokustannuksia. Työllisyyden kannalta sähköistyminen voi aiheuttaa murroksia liikenteeseen liittyvillä toimialoilla, ja avata uusia työpaikkoja esimerkiksi akkuteknologiassa ja älyliikenteessä. Alueellisesti sähköistyminen hyödyttää erityisesti niitä alueita, joille sijoittuu akkuklusterin uutta teollisuutta. </w:t>
      </w:r>
    </w:p>
    <w:p w14:paraId="4EAA50F0" w14:textId="6B089ECE" w:rsidR="6B269223" w:rsidRDefault="6B269223" w:rsidP="6B269223">
      <w:pPr>
        <w:pStyle w:val="VNLeip1kappale"/>
        <w:rPr>
          <w:rFonts w:eastAsia="Calibri"/>
        </w:rPr>
      </w:pPr>
    </w:p>
    <w:p w14:paraId="71292465" w14:textId="6D5E7090" w:rsidR="196273D5" w:rsidRPr="00712F91" w:rsidRDefault="196273D5" w:rsidP="6B269223">
      <w:pPr>
        <w:pStyle w:val="Otsikko2"/>
        <w:rPr>
          <w:lang w:val="fi-FI"/>
        </w:rPr>
      </w:pPr>
      <w:bookmarkStart w:id="222" w:name="_Toc202260085"/>
      <w:r w:rsidRPr="00712F91">
        <w:rPr>
          <w:lang w:val="fi-FI"/>
        </w:rPr>
        <w:t>9.2 Kansantaloudelliset vaikutukset</w:t>
      </w:r>
      <w:bookmarkEnd w:id="222"/>
    </w:p>
    <w:p w14:paraId="769F0D60" w14:textId="5302E38E" w:rsidR="196273D5" w:rsidRDefault="196273D5" w:rsidP="00B909F0">
      <w:pPr>
        <w:pStyle w:val="VNLeip1kappale"/>
      </w:pPr>
      <w:r w:rsidRPr="6B269223">
        <w:t>Kansataloudellisten vaikutusten arviointi tässä suunnitelmassa perustuu KEITO-</w:t>
      </w:r>
      <w:r w:rsidR="00DF4474">
        <w:t>työssä</w:t>
      </w:r>
      <w:r w:rsidRPr="6B269223">
        <w:t xml:space="preserve"> toteutettuun analyysiin valmistelussa esillä olleiden politiikkatoimien vaikutuksista (WAM-skenaario). Havaitut vaikutukset tarkoittavat muutoksia suhteessa nykytoimiskenaarioon. Laskelmat on tehty Suomen talouden yleisellä tasapainomallilla (FINAGE-malli). Tarkastelu ulottuu vuoteen 2050 asti. Laskelmissa sovelletut oletukset ja niiden tulokset on dokumentoitu tarkemmin KEITO-</w:t>
      </w:r>
      <w:r w:rsidR="00DF4474">
        <w:t>työn</w:t>
      </w:r>
      <w:r w:rsidRPr="6B269223">
        <w:t xml:space="preserve"> loppuraportissa. </w:t>
      </w:r>
    </w:p>
    <w:p w14:paraId="430BF6EF" w14:textId="4E8B692E" w:rsidR="196273D5" w:rsidRDefault="196273D5" w:rsidP="00B909F0">
      <w:pPr>
        <w:pStyle w:val="VNLeip1kappale"/>
      </w:pPr>
      <w:r w:rsidRPr="6B269223">
        <w:t xml:space="preserve">Kansantalouden laskelmissa ei ole eroteltu vaikutuksia sektorikohtaisesti siten että vaikutuksia taakanjakosektorin kannalta olisi tarkasteltu erillään koko talouden tilanteesta. Osa laskelmissa huomioiduista muutoksista liittyvät </w:t>
      </w:r>
      <w:r>
        <w:t>kuitenk</w:t>
      </w:r>
      <w:r w:rsidR="435F4AEE">
        <w:t>i</w:t>
      </w:r>
      <w:r>
        <w:t>n</w:t>
      </w:r>
      <w:r w:rsidRPr="6B269223">
        <w:t xml:space="preserve"> suoraan taakanjakosektoriin, kuten liikenteen sähköistymiskehitys ja rakennuskannassa tapahtuvat muutokset. Näin ollen tulokset toimivat hyvänä approksimaationa taloudellisista vaikutuksista taakanjakosektorin kannalta. </w:t>
      </w:r>
    </w:p>
    <w:p w14:paraId="3A6A504D" w14:textId="22ECFE03" w:rsidR="196273D5" w:rsidRDefault="196273D5" w:rsidP="00B909F0">
      <w:pPr>
        <w:pStyle w:val="VNLeip1kappale"/>
      </w:pPr>
      <w:r w:rsidRPr="6B269223">
        <w:t>WAM-skenaariossa vaikutukset kansantalouteen syntyvät ennen kaikkea lisäinvestoinneista energiantuotannossa</w:t>
      </w:r>
      <w:r w:rsidR="1CA42EEB">
        <w:t>,</w:t>
      </w:r>
      <w:r w:rsidRPr="6B269223">
        <w:t xml:space="preserve"> mutta myös energiatehokkuuden lisäämiseen rakennusten lämmityksessä ja tuotantoprosesseihin sekä muun muassa liikenteen sähköistymiseen. WAM-skenaariossa otetaan myös huomioon politiikkatoimista tehdyt päätökset.</w:t>
      </w:r>
    </w:p>
    <w:p w14:paraId="7C68BCE5" w14:textId="074D38F4" w:rsidR="196273D5" w:rsidRDefault="196273D5" w:rsidP="00B909F0">
      <w:pPr>
        <w:pStyle w:val="VNLeip1kappale"/>
      </w:pPr>
      <w:r w:rsidRPr="6B269223">
        <w:t>Kansantaloudellisessa arvioinnissa otetaan lähtökohdaksi TIMES-mallilla tehtyjen laskelmien tulokset polttoaineiden ja energiantuotannon ja -kulutuksen muutoksista eri sektoreilla sekä ne investoinnit, joita muutoksen toteuttaminen vaatii. Keskeiset lähtökohtaoletukset ovat siten:</w:t>
      </w:r>
    </w:p>
    <w:p w14:paraId="12AD052A" w14:textId="6A80D479" w:rsidR="196273D5" w:rsidRDefault="196273D5" w:rsidP="537F268E">
      <w:pPr>
        <w:pStyle w:val="VNLeip1kappale"/>
        <w:numPr>
          <w:ilvl w:val="0"/>
          <w:numId w:val="67"/>
        </w:numPr>
      </w:pPr>
      <w:r w:rsidRPr="6B269223">
        <w:t>TIMES-mallin arviot energiantuotannon uusiutumisesta (polttoaineiden käyttö, investoinnit uusiutuvaan energiaan ja ydinvoimaan)</w:t>
      </w:r>
    </w:p>
    <w:p w14:paraId="788B7BD9" w14:textId="3F802F78" w:rsidR="196273D5" w:rsidRDefault="196273D5" w:rsidP="537F268E">
      <w:pPr>
        <w:pStyle w:val="VNLeip1kappale"/>
        <w:numPr>
          <w:ilvl w:val="0"/>
          <w:numId w:val="67"/>
        </w:numPr>
      </w:pPr>
      <w:r w:rsidRPr="6B269223">
        <w:t>TIMES-mallin arviot rakennussektorin ja keskeisten teollisuudenalojen energiankäytön uusiutumisesta (polttoaineet, investoinnit)</w:t>
      </w:r>
    </w:p>
    <w:p w14:paraId="1E6D7127" w14:textId="24830D8D" w:rsidR="6B269223" w:rsidRDefault="196273D5" w:rsidP="00B909F0">
      <w:pPr>
        <w:pStyle w:val="VNLeip1kappale"/>
      </w:pPr>
      <w:r w:rsidRPr="6B269223">
        <w:t xml:space="preserve">Liikenteen osalta arvio käyttää </w:t>
      </w:r>
      <w:r w:rsidR="442E1D0F">
        <w:t>PEIKKO</w:t>
      </w:r>
      <w:r w:rsidRPr="6B269223">
        <w:t xml:space="preserve"> WEM</w:t>
      </w:r>
      <w:r w:rsidR="442E1D0F">
        <w:t xml:space="preserve"> P-skenaariota</w:t>
      </w:r>
      <w:r w:rsidRPr="6B269223">
        <w:t xml:space="preserve">, jossa keskeinen muutos on ajoneuvokannan sähköistyminen 2020-luvun kuluessa. Siten, että WEM-skenaariossa sähköautojen – ladattavien ja täyssähköautojen - lukumäärä saavuttaa </w:t>
      </w:r>
      <w:r>
        <w:t>9</w:t>
      </w:r>
      <w:r w:rsidR="17D4F435">
        <w:t>25</w:t>
      </w:r>
      <w:r w:rsidRPr="6B269223">
        <w:t xml:space="preserve"> 000 </w:t>
      </w:r>
      <w:r w:rsidR="4AF75F4A">
        <w:t>tason</w:t>
      </w:r>
      <w:r>
        <w:t xml:space="preserve"> </w:t>
      </w:r>
      <w:r w:rsidRPr="6B269223">
        <w:t>vuoteen 2030 mennessä.</w:t>
      </w:r>
    </w:p>
    <w:p w14:paraId="741AB128" w14:textId="609E86F7" w:rsidR="196273D5" w:rsidRDefault="196273D5" w:rsidP="00B909F0">
      <w:pPr>
        <w:pStyle w:val="VNLeip1kappale"/>
      </w:pPr>
      <w:r w:rsidRPr="6B269223">
        <w:t xml:space="preserve">Kansantaloudelliset kustannukset syntyvät tarvittavien toimien aiheuttamista lisäinvestoinneista, jotka kasvavat päästöjen vähennystavoitteen myötä. Investoinnit uudistavat kuitenkin talouden kulutus- ja tuotantorakenteita, mistä syntyy merkittävää tehostumista ja myös uusia mahdollisuuksia, kun talous sähköistyy, ja sähkön tuotanto muuttuu päästöttömäksi. Uudet teknologiat korvaavat fossiilisia myös tuotannossa, jolloin tuotannon energia- ja materiaalitehokkuus kasvaa. </w:t>
      </w:r>
      <w:r>
        <w:br/>
      </w:r>
      <w:r>
        <w:br/>
      </w:r>
      <w:r w:rsidRPr="6B269223">
        <w:t xml:space="preserve">WAM-skenaariossa oletetaan, että investoinnit toteutuisivat, vaikka ne eivät olisikaan taloudellisesti kannattavia. Arvio kohdentaa investoinneille kuitenkin sellaiset tuet, joista on tehty päätös. Skenaariossa otetaan huomioon muutkin ohjauskeinot, joista keskeiset koskevat polttoaineverotusta, ajoneuvojen hankinnan ja käytön verotusta sekä päästökauppaa. </w:t>
      </w:r>
      <w:r>
        <w:br/>
      </w:r>
      <w:r>
        <w:br/>
      </w:r>
      <w:r w:rsidRPr="6B269223">
        <w:t xml:space="preserve">Kansantalouden tarjontaerien osalta eri sektoreilla tehtävät investoinnit näkyvät tuloksissa </w:t>
      </w:r>
      <w:r>
        <w:t>kah</w:t>
      </w:r>
      <w:r w:rsidR="3B1537AA">
        <w:t>della tavalla</w:t>
      </w:r>
      <w:r w:rsidRPr="6B269223">
        <w:t xml:space="preserve">: ne lisäävät käytössä olevaa pääomakantaa, mikä tulee esiin pääoman positiivisena kasvuvaikutuksena, ja niiden myötä myös kokonaistuottavuus kasvaa, kun talouden energia- ja materiaalitehokkuus paranevat, ja tämä heijastuu kokonaistuottavuuden positiivisena kasvuvaikutuksena. Osa kokonaistuottavuuden kasvusta liittyy toki myös työn tuottavuuden paranemiseen pääomakannan kasvaessa työpanokseen nähden.  </w:t>
      </w:r>
      <w:r>
        <w:br/>
      </w:r>
      <w:r>
        <w:br/>
      </w:r>
      <w:r w:rsidRPr="6B269223">
        <w:t xml:space="preserve">WAM-skenaarion politiikkatoimissa ei kuulu työn tarjontaan vaikuttavia toimia, eikä työllisyys pidemmällä aikavälillä siksi juuri muutu WEM-skenaarioon verrattuna. Aika ajoin, etenkin 2020-luvun lopulla ja 2030- ja 2040-lukujen alussa tehtävät suuret investoinnit kuitenkin lisäävät työvoiman kysyntää ja tällöin työllisyyskin kasvaa. Työmarkkinoiden ylikuumenemisen myötä reaalipalkat pyrkivät kuitenkin nousemaan, ja investointivauhdin hiipuessa työllisyys heikkenee joksikin aikaa 2030- ja 2040-lukujen jälkipuoliskoilla. Tuloksista voidaan havaita, että välillisten verojen vaikutus kansantuotteen kasvuun on negatiivinen. Tämä johtuu siitä, että päästöjen vähenemisen ja sähköistymisen myötä energiaverotuksen veropohja kapenee. </w:t>
      </w:r>
    </w:p>
    <w:p w14:paraId="402D4AC1" w14:textId="66D70714" w:rsidR="196273D5" w:rsidRDefault="196273D5" w:rsidP="00B909F0">
      <w:pPr>
        <w:pStyle w:val="VNLeip1kappale"/>
      </w:pPr>
      <w:r w:rsidRPr="6B269223">
        <w:t>Kansantalouden kysyntäerien vaikutukset kansantuotteeseen ovat monilta osin positiivisia tällä tavoitetasolla, kun lisäinvestoinnit kasvattavat kansantuotetta. Kansantalouden nettovienti kasvaa, kun taloudesta tulee energiaomavaraisempi. Tämä tulee esiin tuonnin positiivisena kasvuvaikutuksena, joka kertoo etenkin energian tuonnin alenemisesta, kuten edempänä nähdään tarkemmin. Viennin kasvuvaikutus on negatiivinen,</w:t>
      </w:r>
      <w:r w:rsidR="3E1D1652">
        <w:t xml:space="preserve"> minkä</w:t>
      </w:r>
      <w:r w:rsidRPr="6B269223">
        <w:t xml:space="preserve"> takana on ennen kaikkea öljyjalosteiden mutta myös teollisuuden viennin lasku. </w:t>
      </w:r>
    </w:p>
    <w:p w14:paraId="7B90B02A" w14:textId="63BDFBAE" w:rsidR="6B269223" w:rsidRDefault="196273D5" w:rsidP="6B269223">
      <w:pPr>
        <w:pStyle w:val="VNLeip1kappale"/>
      </w:pPr>
      <w:r w:rsidRPr="6B269223">
        <w:t xml:space="preserve">Päästöjen vähennysten lisähinta leikkaa kuitenkin kotitalouksien ostovoimaa, jolloin kulutuskysyntä laskee. Vuoteen 2030 mennessä kulutuskysyntä laskee noin 0,3 prosenttia perusskenaarioon verrattuna ja vuoteen 2050 mennessä noin prosentin. Kun kulutuskysyntä muodostaa lähes puolet kansantuotteesta, aiheutuu tästä vuonna 2030 noin 0,15 prosenttiyksikön negatiivinen kasvuvaikutus ja vuonna 2050 noin 0,7 prosenttiyksikön. Investoinnit kasvattavat kansantuotetta 2020- ja 2040-luvuilla parhaimmillaan saman, reilun 0,7 prosenttiyksikön verran. Kansantuote jää kulutuskysynnän laskun vuoksi hieman alemmalle tasolle WEM-skenaarioon verrattuna, mutta ero on koko tarkastelujakson ajan hyvin pieni. On kuitenkin selvää, että kotitalouksien taloudellinen hyvinvointi laskee hieman WEM-skenaarioon verrattuna. </w:t>
      </w:r>
    </w:p>
    <w:p w14:paraId="029A5753" w14:textId="7B1D4612" w:rsidR="0075162B" w:rsidRPr="00DD24C1" w:rsidRDefault="35B936E8" w:rsidP="45B98CF8">
      <w:pPr>
        <w:pStyle w:val="Otsikko2"/>
        <w:tabs>
          <w:tab w:val="clear" w:pos="360"/>
        </w:tabs>
        <w:rPr>
          <w:lang w:val="fi-FI"/>
        </w:rPr>
      </w:pPr>
      <w:bookmarkStart w:id="223" w:name="_Toc824984635"/>
      <w:bookmarkStart w:id="224" w:name="_Toc1638197998"/>
      <w:bookmarkStart w:id="225" w:name="_Toc202260086"/>
      <w:r w:rsidRPr="6B269223">
        <w:rPr>
          <w:lang w:val="fi-FI"/>
        </w:rPr>
        <w:t>9.</w:t>
      </w:r>
      <w:r w:rsidR="3864C4FF" w:rsidRPr="6B269223">
        <w:rPr>
          <w:lang w:val="fi-FI"/>
        </w:rPr>
        <w:t>3</w:t>
      </w:r>
      <w:r w:rsidRPr="6B269223">
        <w:rPr>
          <w:lang w:val="fi-FI"/>
        </w:rPr>
        <w:t xml:space="preserve"> </w:t>
      </w:r>
      <w:r w:rsidR="7A74BCC3" w:rsidRPr="6B269223">
        <w:rPr>
          <w:lang w:val="fi-FI"/>
        </w:rPr>
        <w:t>Sosiaaliset vaikutukset</w:t>
      </w:r>
      <w:bookmarkEnd w:id="223"/>
      <w:bookmarkEnd w:id="224"/>
      <w:bookmarkEnd w:id="225"/>
    </w:p>
    <w:p w14:paraId="5BECA196" w14:textId="2BBC60EC" w:rsidR="0075162B" w:rsidRPr="0075162B" w:rsidRDefault="59AC27C9" w:rsidP="042F581B">
      <w:pPr>
        <w:pStyle w:val="VNLeip1kappale"/>
        <w:rPr>
          <w:color w:val="000000" w:themeColor="text1"/>
        </w:rPr>
      </w:pPr>
      <w:r w:rsidRPr="6AD41D9E">
        <w:rPr>
          <w:color w:val="000000" w:themeColor="text1"/>
        </w:rPr>
        <w:t xml:space="preserve">Tämän suunnitelman </w:t>
      </w:r>
      <w:r w:rsidRPr="3348E64C">
        <w:rPr>
          <w:color w:val="000000" w:themeColor="text1"/>
        </w:rPr>
        <w:t>s</w:t>
      </w:r>
      <w:r w:rsidR="2B332177" w:rsidRPr="3348E64C">
        <w:rPr>
          <w:color w:val="000000" w:themeColor="text1"/>
        </w:rPr>
        <w:t>osiaalisten</w:t>
      </w:r>
      <w:r w:rsidR="2B332177" w:rsidRPr="38E66213">
        <w:rPr>
          <w:color w:val="000000" w:themeColor="text1"/>
        </w:rPr>
        <w:t xml:space="preserve"> vaikutusten arviointi perustuu virkatyönä tehtyyn valmisteluun. Sosiaaliset vaikutukset kohdistuvat yksilöön, yhteisöön tai yhteiskuntaan, ja ne aiheuttavat muutoksia ihmisten elinoloissa, viihtyvyydessä, hyvinvoinnissa ja hyvinvoinnin jakautumisessa. Sosiaaliset vaikutukset tuovat yhteen erilaisia ihmisiin kohdistuvia näkökulmia kuten sukupuoli-, lapsi- ja työllisyysvaikutusten arviointia sekä yhdenvertaisuuden ja sosiaalisen oikeudenmukaisuuden arviointia. Keskipitkän aikavälin </w:t>
      </w:r>
      <w:r w:rsidR="24C7C0C2" w:rsidRPr="38E66213">
        <w:rPr>
          <w:color w:val="000000" w:themeColor="text1"/>
        </w:rPr>
        <w:t>ilmastosuunnitelman</w:t>
      </w:r>
      <w:r w:rsidR="2B332177" w:rsidRPr="38E66213">
        <w:rPr>
          <w:color w:val="000000" w:themeColor="text1"/>
        </w:rPr>
        <w:t xml:space="preserve"> valmistelun lähtökohtana on mahdollisimman oikeudenmukainen siirtymä kohti vähähiilistä yhteiskuntaa. Oikeudenmukainen ja yhdenvertainen siirtymä voidaan saavuttaa vain, jos ensin tunnistetaan ne ryhmät ja yksilöt, joita </w:t>
      </w:r>
      <w:r w:rsidR="442F842C" w:rsidRPr="5B56015B">
        <w:rPr>
          <w:color w:val="000000" w:themeColor="text1"/>
        </w:rPr>
        <w:t xml:space="preserve">suunnitelman </w:t>
      </w:r>
      <w:r w:rsidR="54984996" w:rsidRPr="5B56015B">
        <w:rPr>
          <w:color w:val="000000" w:themeColor="text1"/>
        </w:rPr>
        <w:t>ilmastotoimet koskettavat</w:t>
      </w:r>
      <w:r w:rsidR="2B332177" w:rsidRPr="5B56015B">
        <w:rPr>
          <w:color w:val="000000" w:themeColor="text1"/>
        </w:rPr>
        <w:t>.</w:t>
      </w:r>
      <w:r w:rsidR="2B332177" w:rsidRPr="38E66213">
        <w:rPr>
          <w:color w:val="000000" w:themeColor="text1"/>
        </w:rPr>
        <w:t xml:space="preserve"> Sosiaalisiin vaikutuksiin tulee kiinnittää huomiota myös ilmastotoimien jatkovalmistelussa. </w:t>
      </w:r>
    </w:p>
    <w:p w14:paraId="7CB5915C" w14:textId="294FC2C5" w:rsidR="0075162B" w:rsidRPr="0075162B" w:rsidRDefault="2B332177" w:rsidP="0ECCB7B3">
      <w:pPr>
        <w:pStyle w:val="VNLeip1kappale"/>
        <w:rPr>
          <w:color w:val="000000" w:themeColor="text1"/>
        </w:rPr>
      </w:pPr>
      <w:r w:rsidRPr="0ECCB7B3">
        <w:rPr>
          <w:color w:val="000000" w:themeColor="text1"/>
        </w:rPr>
        <w:t>Suomi on sitoutunut syrjimättömyyteen ja yhdenvertaisuuteen osana kansainvälisiä ihmisoikeusvelvoitteita ja Suomen perustuslain 6 §:n 1 momentin mukaan ihmiset ovat yhdenvertaisia lain edessä</w:t>
      </w:r>
      <w:r>
        <w:t xml:space="preserve">. </w:t>
      </w:r>
      <w:r w:rsidRPr="0ECCB7B3">
        <w:rPr>
          <w:color w:val="000000" w:themeColor="text1"/>
        </w:rPr>
        <w:t>Pykälän 2 momentin mukaan ketään ei saa ilman hyväksyttävää perustetta asettaa eri asemaan sukupuolen, iän, alkuperän, kielen, uskonnon, vakaumuksen, mielipiteen, terveydentilan, vammaisuuden tai muun henkilöön liittyvän syyn perusteella. Myös ammatin, tulotason, taustan ja iän kaltaisilla muuttujilla on merkitystä sosiaalisten vaikutusten arvioinnissa. Lisäksi huomiota on kiinnitettävä alueellisiin eroihin, sillä jo nyt on nähtävissä, että siirtymä vaikuttaa Suomessa eri alueisiin hyvin eri tavoin. Suomen ilmastopaneeli painottaa, että ilmastopolitiikan kannalta erityisen tarkasti huomioitavia ryhmiä ovat tulevat sukupolvet ja saamelaiset. Saamelaisten asema on kirjattu myös ilmastolakiin (432/2022), jonka mukaan ilmastopolitiikan suunnittelujärjestelmän tavoitteena on osaltaan turvata saamelaisten edellytykset ylläpitää ja kehittää omaa kieltään ja kulttuuriaan.</w:t>
      </w:r>
    </w:p>
    <w:p w14:paraId="72084943" w14:textId="0D188C32" w:rsidR="0075162B" w:rsidRPr="0075162B" w:rsidRDefault="2B332177" w:rsidP="042F581B">
      <w:pPr>
        <w:pStyle w:val="VNLeip1kappale"/>
        <w:rPr>
          <w:color w:val="000000" w:themeColor="text1"/>
          <w:szCs w:val="22"/>
        </w:rPr>
      </w:pPr>
      <w:r w:rsidRPr="042F581B">
        <w:rPr>
          <w:color w:val="000000" w:themeColor="text1"/>
          <w:szCs w:val="22"/>
        </w:rPr>
        <w:t>Lapsen edun tulisi olla keskeinen harkintaperuste ilmastopolitiikan päätöksenteossa ja toimeenpanossa. YK:n lapsen oikeuksien sopimuksen mukaan lapsella on oikeus elämään, terveyteen, koulutukseen ja riittävään elintasoon. Ilmastotoimien on suojeltava näitä oikeuksia sekä turvattava lapselle oikeus puhtaaseen, terveelliseen ja kestävään elinympäristöön. Lapsen oikeudet kytkeytyvät ilmastotoimien valmistelussa ja toimeenpanossa myös köyhyyteen, elintasoon ja sosiaaliseen eriarvoisuuteen. Ilmastopolitiikassa on huomioitava erityisesti haavoittuvassa asemassa olevat lapset sekä vaikutusten pitkäaikaisuus ja kumuloituvuus. Myös tulevilla sukupolvilla on yhtäläinen oikeus ihmisoikeuksien täysimääräiseen toteutumiseen.</w:t>
      </w:r>
    </w:p>
    <w:p w14:paraId="51A52C99" w14:textId="565C89CE" w:rsidR="0075162B" w:rsidRPr="0075162B" w:rsidRDefault="0042245F" w:rsidP="042F581B">
      <w:pPr>
        <w:pStyle w:val="VNLeip1kappale"/>
      </w:pPr>
      <w:proofErr w:type="spellStart"/>
      <w:r>
        <w:rPr>
          <w:color w:val="000000" w:themeColor="text1"/>
        </w:rPr>
        <w:t>KAISU</w:t>
      </w:r>
      <w:r w:rsidR="04DEDDAF" w:rsidRPr="76AE9D2B">
        <w:rPr>
          <w:color w:val="000000" w:themeColor="text1"/>
        </w:rPr>
        <w:t>n</w:t>
      </w:r>
      <w:proofErr w:type="spellEnd"/>
      <w:r w:rsidR="04DEDDAF" w:rsidRPr="76AE9D2B">
        <w:rPr>
          <w:color w:val="000000" w:themeColor="text1"/>
        </w:rPr>
        <w:t xml:space="preserve"> valmi</w:t>
      </w:r>
      <w:r w:rsidR="03B45636" w:rsidRPr="76AE9D2B">
        <w:rPr>
          <w:color w:val="000000" w:themeColor="text1"/>
        </w:rPr>
        <w:t>s</w:t>
      </w:r>
      <w:r w:rsidR="04DEDDAF" w:rsidRPr="76AE9D2B">
        <w:rPr>
          <w:color w:val="000000" w:themeColor="text1"/>
        </w:rPr>
        <w:t>telussa kansalaisten ja sidosryhmien kuulemisiss</w:t>
      </w:r>
      <w:r w:rsidR="795942F4" w:rsidRPr="76AE9D2B">
        <w:rPr>
          <w:color w:val="000000" w:themeColor="text1"/>
        </w:rPr>
        <w:t>a on saatu tietoa ilmastotoimien sosiaalisista vaikutuksista, sosiaalisesta oikeudenmukaisuudesta ja toimien sosiaalisesta hyväksyttävyydestä</w:t>
      </w:r>
      <w:r w:rsidR="198E4E13" w:rsidRPr="76AE9D2B">
        <w:rPr>
          <w:color w:val="000000" w:themeColor="text1"/>
        </w:rPr>
        <w:t xml:space="preserve"> (ks. luku 8)</w:t>
      </w:r>
      <w:r w:rsidR="795942F4" w:rsidRPr="76AE9D2B">
        <w:rPr>
          <w:color w:val="000000" w:themeColor="text1"/>
        </w:rPr>
        <w:t>. Yhdenvertaisuusnäkökulma on tunnistettu esimerkiksi alkuperäiskansa saamelaisten, tulevien sukupolvien, alueellisen erojen, tuloerojen ja sukupuolten osalta.</w:t>
      </w:r>
      <w:r w:rsidR="795942F4">
        <w:t xml:space="preserve"> </w:t>
      </w:r>
    </w:p>
    <w:p w14:paraId="44130FF5" w14:textId="4D1DF81C" w:rsidR="0075162B" w:rsidRPr="0075162B" w:rsidRDefault="0BD083D3" w:rsidP="385E3BE2">
      <w:pPr>
        <w:pStyle w:val="Otsikko3"/>
        <w:keepLines/>
        <w:numPr>
          <w:ilvl w:val="0"/>
          <w:numId w:val="0"/>
        </w:numPr>
        <w:ind w:left="720"/>
        <w:rPr>
          <w:color w:val="365ABD" w:themeColor="accent3"/>
        </w:rPr>
      </w:pPr>
      <w:bookmarkStart w:id="226" w:name="_Toc202260087"/>
      <w:r>
        <w:t>9.</w:t>
      </w:r>
      <w:r w:rsidR="15B51AB3">
        <w:t>3.1</w:t>
      </w:r>
      <w:r>
        <w:t xml:space="preserve"> </w:t>
      </w:r>
      <w:r w:rsidR="2B332177">
        <w:t>Sosiaalinen oikeudenmukaisuus ja hyväksyttävyys</w:t>
      </w:r>
      <w:bookmarkEnd w:id="226"/>
    </w:p>
    <w:p w14:paraId="40E0D9D3" w14:textId="417B9E8C" w:rsidR="0075162B" w:rsidRPr="0075162B" w:rsidRDefault="2B332177" w:rsidP="042F581B">
      <w:pPr>
        <w:pStyle w:val="VNLeip1kappale"/>
        <w:rPr>
          <w:szCs w:val="22"/>
        </w:rPr>
      </w:pPr>
      <w:r w:rsidRPr="042F581B">
        <w:rPr>
          <w:color w:val="000000" w:themeColor="text1"/>
          <w:szCs w:val="22"/>
        </w:rPr>
        <w:t xml:space="preserve">Suomen ilmastolain (432/2022) ja sen suunnittelujärjestelmän tavoitteena on myös osaltaan varmistaa ilmastotoimien oikeudenmukaisuus. Ilmastopaneelin mukaan ilmastopolitiikan suunnittelussa ja vaikutusanalyysissä tulisi huomioida sosiaalisen oikeudenmukaisuuden neljä ulottuvuutta. </w:t>
      </w:r>
    </w:p>
    <w:p w14:paraId="4A9ECEB2" w14:textId="409C870B" w:rsidR="0075162B" w:rsidRPr="0075162B" w:rsidRDefault="2B332177" w:rsidP="042F581B">
      <w:pPr>
        <w:pStyle w:val="VNLeip1kappale"/>
        <w:rPr>
          <w:color w:val="000000" w:themeColor="text1"/>
        </w:rPr>
      </w:pPr>
      <w:r w:rsidRPr="0042245F">
        <w:rPr>
          <w:color w:val="000000" w:themeColor="text1"/>
        </w:rPr>
        <w:t>Resurssien jakamiseen liittyvä distributiivinen, jako-oikeudenmukaisuus</w:t>
      </w:r>
      <w:r w:rsidRPr="4BC1F3D8">
        <w:rPr>
          <w:color w:val="000000" w:themeColor="text1"/>
        </w:rPr>
        <w:t xml:space="preserve">, varmistaa, että ilmastotoimien hyödyt ja haitat jakautuvat oikeudenmukaisesti eri alueiden, ryhmien ja yksilöiden välillä. Se voi edellyttää myös kompensoivia ja kohdennettuja tukitoimia, kuten tulonsiirtoja, uusia työpaikkoja tai uudelleenkouluttautumista. Minimivaatimuksena on pidettävä, että hyödyt ja haitat eivät saa kasautua samoille yksilöille, ryhmille tai alueille. </w:t>
      </w:r>
      <w:r w:rsidRPr="00CF2109">
        <w:rPr>
          <w:color w:val="000000" w:themeColor="text1"/>
        </w:rPr>
        <w:t>Proseduraalinen eli menettelytapojen oikeudenmukaisuus</w:t>
      </w:r>
      <w:r w:rsidRPr="4BC1F3D8">
        <w:rPr>
          <w:color w:val="000000" w:themeColor="text1"/>
        </w:rPr>
        <w:t xml:space="preserve"> tarkoittaa ihmisten tasavertaisia osallistumis- ja vaikutusmahdollisuuksia päätöksentekoon sekä eri ryhmien kuulemista. </w:t>
      </w:r>
      <w:r w:rsidRPr="00CF2109">
        <w:rPr>
          <w:color w:val="000000" w:themeColor="text1"/>
        </w:rPr>
        <w:t>Tunnustavan oikeudenmukaisuuden</w:t>
      </w:r>
      <w:r w:rsidRPr="4BC1F3D8">
        <w:rPr>
          <w:color w:val="000000" w:themeColor="text1"/>
        </w:rPr>
        <w:t xml:space="preserve"> toteutuminen edellyttää puolestaan, että toimien ryhmiin kohdistuvat vaikutukset tunnustetaan ja arvioidaan, ja samalla arvioidaan ihmisten yhdenvertaisuutta. Usein oikeudenmukaisuuden ulottuvuuksiin lisätään myös aiemmin toteutuneiden epäoikeudenmukaisuuksien korjaamiseen liittyvä </w:t>
      </w:r>
      <w:proofErr w:type="spellStart"/>
      <w:r w:rsidRPr="00CF2109">
        <w:rPr>
          <w:color w:val="000000" w:themeColor="text1"/>
        </w:rPr>
        <w:t>restoratiivinen</w:t>
      </w:r>
      <w:proofErr w:type="spellEnd"/>
      <w:r w:rsidRPr="00CF2109">
        <w:rPr>
          <w:color w:val="000000" w:themeColor="text1"/>
        </w:rPr>
        <w:t>, hyvittävä, oikeudenmukaisuus</w:t>
      </w:r>
      <w:r w:rsidRPr="4BC1F3D8">
        <w:rPr>
          <w:color w:val="000000" w:themeColor="text1"/>
        </w:rPr>
        <w:t>.</w:t>
      </w:r>
    </w:p>
    <w:p w14:paraId="3D2FE99C" w14:textId="03910BC9" w:rsidR="0075162B" w:rsidRPr="0075162B" w:rsidRDefault="2B332177" w:rsidP="3921E901">
      <w:pPr>
        <w:pStyle w:val="VNLeip1kappale"/>
        <w:rPr>
          <w:color w:val="000000" w:themeColor="text1"/>
        </w:rPr>
      </w:pPr>
      <w:r w:rsidRPr="3921E901">
        <w:rPr>
          <w:color w:val="000000" w:themeColor="text1"/>
        </w:rPr>
        <w:t xml:space="preserve">Ilmastopolitiikan menettelytapojen oikeudenmukaisuus on tärkeää myös päätöksenteon sosiaalisen hyväksyttävyyden kannalta. Saman toimen hyväksyttävyys ja koettu reiluus voivat riippua huomattavasti siitä, miten toimi suunnitellaan, toimeenpannaan, miten siitä viestitään ja ketä kuullaan. Ilmastopaneelin mukaan ilmastotoimilla voidaan poistaa ja vähentää olemassa olevia epäoikeudenmukaisuuksia, mutta samalla ilmastonmuutoksen hillintä voi tarkoittaa myös saavutetuista eduista luopumista niille, joiden osuus on planetaaristen rajojen näkökulmasta kestämättömällä tasolla. Yksilöiden kokema oikeudenmukaisuus voi siis poiketa yhteiskunnallisella ja globaalilla tasolla arvioidusta oikeudenmukaisuudesta. Ilmastotoimien sosiaaliseen hyväksyttävyyteen vaikuttaa kuitenkin oleellisesti se, miten oikeudenmukaisesti ihmiset kokevat tulleensa kohdelluksi ilmastopolitiikassa.  </w:t>
      </w:r>
    </w:p>
    <w:p w14:paraId="64AEB1D2" w14:textId="742A43D2" w:rsidR="75B94D95" w:rsidRDefault="431CA516" w:rsidP="2E1911D8">
      <w:pPr>
        <w:pStyle w:val="VNLeip1kappale"/>
      </w:pPr>
      <w:r>
        <w:t>K</w:t>
      </w:r>
      <w:r w:rsidR="0A51C0A1">
        <w:t>uulemisten perusteella</w:t>
      </w:r>
      <w:r>
        <w:t xml:space="preserve"> enemmistö suomalaisista </w:t>
      </w:r>
      <w:r w:rsidR="389BE9D3">
        <w:t xml:space="preserve">kannattaa ilmastotoimia ja </w:t>
      </w:r>
      <w:r w:rsidR="607EA069">
        <w:t xml:space="preserve">pitää </w:t>
      </w:r>
      <w:r>
        <w:t>kasvihuonekaasupäästöjen vähentämistä tärkeänä</w:t>
      </w:r>
      <w:r w:rsidR="27904B62">
        <w:t>, mutta ilmastopolitiikan toimet jakavat myös mielipiteitä sukupuolen, iän, koulutustaustan ja tulotaso</w:t>
      </w:r>
      <w:r w:rsidR="5B176814">
        <w:t>n mukaan</w:t>
      </w:r>
      <w:r w:rsidR="27904B62">
        <w:t>.</w:t>
      </w:r>
      <w:r w:rsidR="49B794BF">
        <w:t xml:space="preserve"> </w:t>
      </w:r>
      <w:r w:rsidR="0EEC72C5">
        <w:t>Huolta herättävät muun muassa kustannusten nousu,</w:t>
      </w:r>
      <w:r>
        <w:t xml:space="preserve"> vastakkainasettelun lisääntymi</w:t>
      </w:r>
      <w:r w:rsidR="311F0C1E">
        <w:t>nen</w:t>
      </w:r>
      <w:r>
        <w:t xml:space="preserve"> ja vaikutusten oikeudenmukai</w:t>
      </w:r>
      <w:r w:rsidR="4187DB20">
        <w:t>nen</w:t>
      </w:r>
      <w:r>
        <w:t xml:space="preserve"> jakautumi</w:t>
      </w:r>
      <w:r w:rsidR="02B1584E">
        <w:t>nen</w:t>
      </w:r>
      <w:r>
        <w:t xml:space="preserve"> ihmisryhmien </w:t>
      </w:r>
      <w:r w:rsidR="7FE01A04">
        <w:t>kesken</w:t>
      </w:r>
      <w:r>
        <w:t xml:space="preserve">. </w:t>
      </w:r>
    </w:p>
    <w:p w14:paraId="0CC976E0" w14:textId="0164C30C" w:rsidR="75B94D95" w:rsidRDefault="75B94D95" w:rsidP="3921E901">
      <w:pPr>
        <w:pStyle w:val="VNLeip1kappale"/>
        <w:rPr>
          <w:szCs w:val="22"/>
        </w:rPr>
      </w:pPr>
      <w:r w:rsidRPr="3921E901">
        <w:rPr>
          <w:szCs w:val="22"/>
        </w:rPr>
        <w:t>Sosiaalisen ilmastorahaston käyttöä koskevan ilmastotoimien sosiaalisen tuen suunnitelman (</w:t>
      </w:r>
      <w:proofErr w:type="spellStart"/>
      <w:r w:rsidRPr="3921E901">
        <w:rPr>
          <w:szCs w:val="22"/>
        </w:rPr>
        <w:t>Social</w:t>
      </w:r>
      <w:proofErr w:type="spellEnd"/>
      <w:r w:rsidRPr="3921E901">
        <w:rPr>
          <w:szCs w:val="22"/>
        </w:rPr>
        <w:t xml:space="preserve"> </w:t>
      </w:r>
      <w:proofErr w:type="spellStart"/>
      <w:r w:rsidRPr="3921E901">
        <w:rPr>
          <w:szCs w:val="22"/>
        </w:rPr>
        <w:t>Climate</w:t>
      </w:r>
      <w:proofErr w:type="spellEnd"/>
      <w:r w:rsidRPr="3921E901">
        <w:rPr>
          <w:szCs w:val="22"/>
        </w:rPr>
        <w:t xml:space="preserve"> Plan, SCP) lausuntokierroksella liikenteen ja rakennusten mahdolliset toimet saivat pääosin kannatusta. Kannanotoissa painotettiin, että </w:t>
      </w:r>
      <w:proofErr w:type="spellStart"/>
      <w:r w:rsidRPr="3921E901">
        <w:rPr>
          <w:szCs w:val="22"/>
        </w:rPr>
        <w:t>SCP:n</w:t>
      </w:r>
      <w:proofErr w:type="spellEnd"/>
      <w:r w:rsidRPr="3921E901">
        <w:rPr>
          <w:szCs w:val="22"/>
        </w:rPr>
        <w:t xml:space="preserve"> toimenpiteet ovat välttämättömiä haavoittuvien ryhmien tukemiseksi sekä ilmastotavoitteiden saavuttamiseksi. Haasteena nähtiin tukien oikein kohdentaminen haavoittuvimmassa asemassa oleville, kuten pienituloisille, sekä toimiin liittyvä byrokratia. Lisäksi nostettiin esiin rakenteellisen muutoksen tarve.  </w:t>
      </w:r>
    </w:p>
    <w:p w14:paraId="36DF8F59" w14:textId="1BC56C5C" w:rsidR="75B94D95" w:rsidRDefault="75B94D95" w:rsidP="3921E901">
      <w:pPr>
        <w:pStyle w:val="VNLeip1kappale"/>
        <w:rPr>
          <w:szCs w:val="22"/>
        </w:rPr>
      </w:pPr>
      <w:r w:rsidRPr="3921E901">
        <w:rPr>
          <w:szCs w:val="22"/>
        </w:rPr>
        <w:t xml:space="preserve">ACE-hankkeessa työkonesektorin toimijat kannattivat eniten sähkölataus-, kaasu- ja vetyasemien tukemista työkoneiden päästökeskittymissä, julkisten hankintojen päästö- ja energiankulutuskriteerejä sekä strategian laatimista nollapäästöisen työkonealan edistämiseksi ja toimien määrittämistä mm. EU-regulaation ja rahoituksen vahvistamiseksi. Kannatusta saaneita, mutta myös toimijaryhmien kesken mielipiteitä jakaneita ohjauskeinoja olivat fossiilisten polttoaineiden jakelun päästökaupan (ETS2) ulottaminen täysmääräisesti työkoneisiin sekä polttoaineiden päästökaupan ja jakeluvelvoitteen kustannusten hyvittäminen haavoittuvassa asemassa oleville toimijoille.  </w:t>
      </w:r>
    </w:p>
    <w:p w14:paraId="0E452E0D" w14:textId="4F2C7571" w:rsidR="3921E901" w:rsidRDefault="75B94D95" w:rsidP="3921E901">
      <w:pPr>
        <w:pStyle w:val="VNLeip1kappale"/>
      </w:pPr>
      <w:r>
        <w:t>FLAIRE-hankkeessa energia-aiheisessa kansalaiskokouksessa osallistujat kannattivat öljy- ja kaasulämmityksen tuen jatkamista sosioekonomiset perusteet huomioiden. Kansalaiskokouksen suositusten mukaan energia-avustusten kohdentamista tulisi tehdä myös pienempiin remontteihin</w:t>
      </w:r>
      <w:r w:rsidR="01C5C6A9">
        <w:t>,</w:t>
      </w:r>
      <w:r>
        <w:t xml:space="preserve"> kuten lisäeristämiseen. Energiapoliittisissa ratkaisuissa tulisi huomioida ihmisten erilaiset elämäntilanteet, taloudelliset resurssit, asumismuoto ja alueelliset erot. Asuinrakennusten elinkaari on pitkä ja siksi niitä koskevien päätösten tulisi olla hallituskaudet ylittäviä. Kansalaiskokous painotti myös rahoituksen ja päätöksen avaamista sekä tiedottamista kansalaisille avoimesti ja ymmärrettävästi. Energianeuvonnan tulisi olla selkää ja saavutettavaa, paikallista asiantuntemusta hyödyntävää sekä koottuna yhteen paikkaan, jotta se o</w:t>
      </w:r>
      <w:r w:rsidR="40F72D88">
        <w:t>lisi</w:t>
      </w:r>
      <w:r>
        <w:t xml:space="preserve"> helposti saatavilla jokaisessa kunnassa. </w:t>
      </w:r>
    </w:p>
    <w:p w14:paraId="7976ACE0" w14:textId="4DD6DEBA" w:rsidR="61F34FC2" w:rsidRDefault="61F34FC2" w:rsidP="14FBA578">
      <w:pPr>
        <w:pStyle w:val="VNLeip1kappale"/>
      </w:pPr>
      <w:r>
        <w:t>Saamelaiskäräjät painottivat erityisesti ilmastotoimien vaikutuksia saamelaisten elinkeinoihin, liikennejärjestelmään ja polttoaineisiin. Saamelaisiin kohdistuvia vaikutuksia käsitellään tarkemmin tämän luvun 9.3.2. sektorikohtaisissa osioissa. Saamelaiskäräjät korostivat</w:t>
      </w:r>
      <w:r w:rsidRPr="33E15CBC">
        <w:rPr>
          <w:u w:val="single"/>
        </w:rPr>
        <w:t>,</w:t>
      </w:r>
      <w:r w:rsidR="403FA77C">
        <w:t xml:space="preserve"> </w:t>
      </w:r>
      <w:r>
        <w:t>että oikeudenmukainen siirtymä kohti hiilineutraaliutta tulisi toteuttaa tavalla, joka ei heikennä saamelaisten elinkeinoja ja kulttuuria. Saamelaiskulttuuriin liittyy liikenteeseen, työkoneisiin ja ruokaturvaan liittyviä erityispiirteitä, jotka tulisi arvioida ja huomioida ilmastotoimien suunnittelussa.</w:t>
      </w:r>
      <w:r w:rsidR="0F922701">
        <w:t xml:space="preserve"> </w:t>
      </w:r>
    </w:p>
    <w:p w14:paraId="56563F6C" w14:textId="2924BDB0" w:rsidR="0075162B" w:rsidRPr="0075162B" w:rsidRDefault="268674A8" w:rsidP="385E3BE2">
      <w:pPr>
        <w:pStyle w:val="Otsikko3"/>
        <w:keepLines/>
        <w:numPr>
          <w:ilvl w:val="0"/>
          <w:numId w:val="0"/>
        </w:numPr>
        <w:ind w:left="720"/>
      </w:pPr>
      <w:bookmarkStart w:id="227" w:name="_Toc202260088"/>
      <w:r>
        <w:t>9.</w:t>
      </w:r>
      <w:r w:rsidR="6E4F5715">
        <w:t>3.</w:t>
      </w:r>
      <w:r>
        <w:t xml:space="preserve">2 </w:t>
      </w:r>
      <w:r w:rsidR="2B332177">
        <w:t>Yhdenvertaisuusarviointi</w:t>
      </w:r>
      <w:bookmarkEnd w:id="227"/>
      <w:r w:rsidR="2B332177">
        <w:t xml:space="preserve"> </w:t>
      </w:r>
    </w:p>
    <w:p w14:paraId="02F04AE2" w14:textId="027BE7C6" w:rsidR="0075162B" w:rsidRPr="0075162B" w:rsidRDefault="2B332177" w:rsidP="042F581B">
      <w:pPr>
        <w:pStyle w:val="VNLeip1kappale"/>
      </w:pPr>
      <w:r w:rsidRPr="5A543ECF">
        <w:rPr>
          <w:color w:val="000000" w:themeColor="text1"/>
        </w:rPr>
        <w:t>Yhdenvertaisuuden arvioinnissa tavoitteena on tunnistaa syrjintää sekä keinoja yhdenvertaisuuden parantamiseksi. Tasa-arvo (</w:t>
      </w:r>
      <w:proofErr w:type="spellStart"/>
      <w:r w:rsidRPr="5A543ECF">
        <w:rPr>
          <w:color w:val="000000" w:themeColor="text1"/>
        </w:rPr>
        <w:t>equality</w:t>
      </w:r>
      <w:proofErr w:type="spellEnd"/>
      <w:r w:rsidRPr="5A543ECF">
        <w:rPr>
          <w:color w:val="000000" w:themeColor="text1"/>
        </w:rPr>
        <w:t>) tarkoittaa samojen resurssien jakamista kaikille, kun taas yhdenvertaisuus (</w:t>
      </w:r>
      <w:proofErr w:type="spellStart"/>
      <w:r w:rsidRPr="5A543ECF">
        <w:rPr>
          <w:color w:val="000000" w:themeColor="text1"/>
        </w:rPr>
        <w:t>equity</w:t>
      </w:r>
      <w:proofErr w:type="spellEnd"/>
      <w:r w:rsidRPr="5A543ECF">
        <w:rPr>
          <w:color w:val="000000" w:themeColor="text1"/>
        </w:rPr>
        <w:t>) huomioi yksilölliset tarpeet ja asettaa heikoimmassa asemassa olevien tarpeet etusijalle. Yhdenvertaisuus kytkeytyy sosiaaliseen oikeudenmukaisuuteen päätöksenteossa, ja positiivinen diskriminaatio (erityiskohtelu) voi olla perusteltua haavoittuvimmassa asemassa olevien ryhmien kohdalla</w:t>
      </w:r>
      <w:r w:rsidR="240CA41A" w:rsidRPr="5A543ECF">
        <w:rPr>
          <w:color w:val="000000" w:themeColor="text1"/>
        </w:rPr>
        <w:t>, koska</w:t>
      </w:r>
      <w:r w:rsidRPr="5A543ECF">
        <w:rPr>
          <w:color w:val="000000" w:themeColor="text1"/>
        </w:rPr>
        <w:t xml:space="preserve"> kaikkien tukeminen samalla tavalla ei välttämättä johtaisi yhtäläisiin tuloksiin tai heikoimmassa asemassa olevien ihmisten </w:t>
      </w:r>
      <w:r>
        <w:t xml:space="preserve">tilanteen paranemiseen. </w:t>
      </w:r>
    </w:p>
    <w:p w14:paraId="7D8C54FE" w14:textId="7054B805" w:rsidR="0075162B" w:rsidRPr="0075162B" w:rsidRDefault="2B332177" w:rsidP="54158735">
      <w:pPr>
        <w:pStyle w:val="Numeroimatonotsikko"/>
        <w:rPr>
          <w:szCs w:val="22"/>
        </w:rPr>
      </w:pPr>
      <w:r w:rsidRPr="042F581B">
        <w:rPr>
          <w:szCs w:val="22"/>
        </w:rPr>
        <w:t>Työllisyysvaikutukset</w:t>
      </w:r>
    </w:p>
    <w:p w14:paraId="63CAB6A8" w14:textId="7BB9FB44" w:rsidR="0075162B" w:rsidRPr="0075162B" w:rsidRDefault="5E090EFB" w:rsidP="531ACD7B">
      <w:pPr>
        <w:pStyle w:val="VNLeip1kappale"/>
        <w:rPr>
          <w:color w:val="000000" w:themeColor="text1"/>
        </w:rPr>
      </w:pPr>
      <w:r w:rsidRPr="531ACD7B">
        <w:rPr>
          <w:color w:val="000000" w:themeColor="text1"/>
        </w:rPr>
        <w:t xml:space="preserve">Suomalaiset työmarkkinat ovat voimakkaasti jakautuneita mies- ja naisvaltaisiin aloihin ja siksi myös eri sektoreiden ilmastotoimilla voi olla merkittäviä sukupuolivaikutuksia. </w:t>
      </w:r>
      <w:proofErr w:type="spellStart"/>
      <w:r w:rsidRPr="5A543ECF">
        <w:rPr>
          <w:color w:val="000000" w:themeColor="text1"/>
        </w:rPr>
        <w:t>K</w:t>
      </w:r>
      <w:r w:rsidR="508A9056" w:rsidRPr="5A543ECF">
        <w:rPr>
          <w:color w:val="000000" w:themeColor="text1"/>
        </w:rPr>
        <w:t>AISUn</w:t>
      </w:r>
      <w:proofErr w:type="spellEnd"/>
      <w:r w:rsidRPr="531ACD7B">
        <w:rPr>
          <w:color w:val="000000" w:themeColor="text1"/>
        </w:rPr>
        <w:t xml:space="preserve"> politiikkatoimet kohdistuvat miesvaltaisille aloille kuten energiantuotantoon, liikenteeseen, maatalouteen, rakentamiseen sekä teollisuuteen. Ilmastotoimet vaikuttavat erityisesti miesten työllisyyteen, koska päästöjen vähentämiseen ja puhtaaseen siirtymään liittyvät investoinnit synnyttävät uusia työpaikkoja ja osaamistarpeita. </w:t>
      </w:r>
      <w:r w:rsidR="1877B8AB" w:rsidRPr="531ACD7B">
        <w:rPr>
          <w:color w:val="000000" w:themeColor="text1"/>
        </w:rPr>
        <w:t xml:space="preserve">Naiset ovat miehiä epätodennäköisemmin mukana energiamurroksesta hyötyvillä aloilla työelämässä ja ilmastopolitiikan toimet osuvat kulutuksen vähentämisen ja ruokamurroksen osalta palvelusektorin naisvaltaisiin aloihin, kuten kuluttajapalveluihin, matkailu- ja ravintolapalveluihin sekä kaupan alaan. </w:t>
      </w:r>
    </w:p>
    <w:p w14:paraId="59F7BFDF" w14:textId="3C2A5436" w:rsidR="0075162B" w:rsidRPr="0075162B" w:rsidRDefault="5E090EFB" w:rsidP="2AEE1617">
      <w:pPr>
        <w:pStyle w:val="VNLeip1kappale"/>
        <w:rPr>
          <w:color w:val="000000" w:themeColor="text1"/>
        </w:rPr>
      </w:pPr>
      <w:r w:rsidRPr="531ACD7B">
        <w:rPr>
          <w:color w:val="000000" w:themeColor="text1"/>
        </w:rPr>
        <w:t>Puh</w:t>
      </w:r>
      <w:r w:rsidR="368E7C01" w:rsidRPr="531ACD7B">
        <w:rPr>
          <w:color w:val="000000" w:themeColor="text1"/>
        </w:rPr>
        <w:t>taan</w:t>
      </w:r>
      <w:r w:rsidRPr="531ACD7B">
        <w:rPr>
          <w:color w:val="000000" w:themeColor="text1"/>
        </w:rPr>
        <w:t xml:space="preserve"> siirtymä</w:t>
      </w:r>
      <w:r w:rsidR="6CB7F380" w:rsidRPr="531ACD7B">
        <w:rPr>
          <w:color w:val="000000" w:themeColor="text1"/>
        </w:rPr>
        <w:t>n</w:t>
      </w:r>
      <w:r w:rsidRPr="531ACD7B">
        <w:rPr>
          <w:color w:val="000000" w:themeColor="text1"/>
        </w:rPr>
        <w:t xml:space="preserve"> vaikutukset eivät välttämättä näy kaikilla alueilla myönteisinä vaikutuksina työvoiman kysyntään, ammattitaitoon, osaamiseen ja investointeihin. Alueelliset erityispiirteet ja institutionaaliset rakenteet voivat johtaa alueellisesti erilaisiin siirtymävaiheen vaikutuksiin. </w:t>
      </w:r>
      <w:r w:rsidR="015DE898" w:rsidRPr="531ACD7B">
        <w:rPr>
          <w:color w:val="000000" w:themeColor="text1"/>
        </w:rPr>
        <w:t>Saamelaisten kotiseutualueen ja kulttuurin säilymistä uhkaavat perinteisten elinkeinojen heikkeneminen ja kallistuminen, puutteelliset koulutusmahdollisuudet, haasteelliset työllistymismahdollisuudet ja kaupungistuminen, joihin myös puhdas siirtymä ja ilmastotoimet vaikuttavat</w:t>
      </w:r>
      <w:r w:rsidR="015DE898">
        <w:t>.</w:t>
      </w:r>
    </w:p>
    <w:p w14:paraId="3E9AEC88" w14:textId="53620379" w:rsidR="0075162B" w:rsidRPr="0075162B" w:rsidRDefault="2B332177" w:rsidP="54158735">
      <w:pPr>
        <w:pStyle w:val="Numeroimatonotsikko"/>
        <w:rPr>
          <w:szCs w:val="22"/>
        </w:rPr>
      </w:pPr>
      <w:r w:rsidRPr="042F581B">
        <w:rPr>
          <w:szCs w:val="22"/>
        </w:rPr>
        <w:t>Liikenne</w:t>
      </w:r>
    </w:p>
    <w:p w14:paraId="19C51375" w14:textId="4F2A4EC6" w:rsidR="0075162B" w:rsidRPr="0075162B" w:rsidRDefault="2B332177" w:rsidP="042F581B">
      <w:pPr>
        <w:pStyle w:val="VNLeip1kappale"/>
        <w:rPr>
          <w:color w:val="000000" w:themeColor="text1"/>
        </w:rPr>
      </w:pPr>
      <w:r w:rsidRPr="5A543ECF">
        <w:rPr>
          <w:color w:val="000000" w:themeColor="text1"/>
        </w:rPr>
        <w:t xml:space="preserve">Liikenteen politiikkatoimilla edistetään biopolttoaineiden käyttöä </w:t>
      </w:r>
      <w:r w:rsidR="50A45FC3" w:rsidRPr="5A543ECF">
        <w:rPr>
          <w:color w:val="000000" w:themeColor="text1"/>
        </w:rPr>
        <w:t>ja sähkö</w:t>
      </w:r>
      <w:r w:rsidR="435CA781" w:rsidRPr="5A543ECF">
        <w:rPr>
          <w:color w:val="000000" w:themeColor="text1"/>
        </w:rPr>
        <w:t>istymistä</w:t>
      </w:r>
      <w:r w:rsidR="00429CAA" w:rsidRPr="5A543ECF">
        <w:rPr>
          <w:color w:val="000000" w:themeColor="text1"/>
        </w:rPr>
        <w:t xml:space="preserve"> </w:t>
      </w:r>
      <w:r w:rsidRPr="5A543ECF">
        <w:rPr>
          <w:color w:val="000000" w:themeColor="text1"/>
        </w:rPr>
        <w:t>sekä joukkoliikenteen</w:t>
      </w:r>
      <w:r w:rsidR="1ECF9D5B" w:rsidRPr="5A543ECF">
        <w:rPr>
          <w:color w:val="000000" w:themeColor="text1"/>
        </w:rPr>
        <w:t>,</w:t>
      </w:r>
      <w:r w:rsidRPr="5A543ECF">
        <w:rPr>
          <w:color w:val="000000" w:themeColor="text1"/>
        </w:rPr>
        <w:t xml:space="preserve"> kävelyn </w:t>
      </w:r>
      <w:r w:rsidR="6669C54A" w:rsidRPr="5A543ECF">
        <w:rPr>
          <w:color w:val="000000" w:themeColor="text1"/>
        </w:rPr>
        <w:t>ja</w:t>
      </w:r>
      <w:r w:rsidRPr="5A543ECF">
        <w:rPr>
          <w:color w:val="000000" w:themeColor="text1"/>
        </w:rPr>
        <w:t xml:space="preserve"> pyöräilyn </w:t>
      </w:r>
      <w:r w:rsidR="75EA9133" w:rsidRPr="5A543ECF">
        <w:rPr>
          <w:color w:val="000000" w:themeColor="text1"/>
        </w:rPr>
        <w:t xml:space="preserve">kulkutapaosuuksien </w:t>
      </w:r>
      <w:r w:rsidRPr="5A543ECF">
        <w:rPr>
          <w:color w:val="000000" w:themeColor="text1"/>
        </w:rPr>
        <w:t>kasvattamista. Liikenteeseen liittyvät toimialat ovat miesvaltaisia, jolloin liikenteen politiikkatoimet painottuvat enemmän miehiin. Ajoneuvokannan uudistamiskehityksestä hyötyvät eniten ne, joilla on mahdollisuuksia tarvittaviin investointeihin. Ilmastobarometrin mukaan lähes neljällä viidestä suomalaisesta on käytössään henkilöauto, ja muita useammin se on käytössä miehillä, yli 39-vuotiailla ja maaseudulla asuvilla sekä niillä, jotka kokevat tulevansa erinomaisesti tai melko hyvin toimeen. Hyvätuloiset miehet hyödyntävät eniten uusiutuvaan käyttövoimaan liittyviä hankintatukia ja konversiotukia</w:t>
      </w:r>
      <w:r w:rsidR="32F90110" w:rsidRPr="5A543ECF">
        <w:rPr>
          <w:color w:val="000000" w:themeColor="text1"/>
        </w:rPr>
        <w:t xml:space="preserve"> ja he </w:t>
      </w:r>
      <w:r w:rsidR="12F36888" w:rsidRPr="66C86B63">
        <w:rPr>
          <w:color w:val="000000" w:themeColor="text1"/>
        </w:rPr>
        <w:t>myös</w:t>
      </w:r>
      <w:r w:rsidR="32F90110" w:rsidRPr="66C86B63">
        <w:rPr>
          <w:color w:val="000000" w:themeColor="text1"/>
        </w:rPr>
        <w:t xml:space="preserve"> </w:t>
      </w:r>
      <w:r w:rsidR="32F90110" w:rsidRPr="5A543ECF">
        <w:rPr>
          <w:color w:val="000000" w:themeColor="text1"/>
        </w:rPr>
        <w:t>omistavat muita todennäköisemmin sähköauton ja ajavat sillä enemmän</w:t>
      </w:r>
      <w:r w:rsidRPr="5A543ECF" w:rsidDel="2B332177">
        <w:rPr>
          <w:color w:val="000000" w:themeColor="text1"/>
        </w:rPr>
        <w:t>.</w:t>
      </w:r>
      <w:r w:rsidRPr="5A543ECF">
        <w:rPr>
          <w:color w:val="000000" w:themeColor="text1"/>
        </w:rPr>
        <w:t xml:space="preserve"> Sähköautoja on vähemmän alueilla, joissa välimatkat ovat pitkiä ja joukkoliikenne ei toimi. Taajamien ulkopuolella henkilöauton käyttö on kuitenkin usein välttämätöntä työssäkäynnin ja asioinnin takia. Yksityisautoilun kustannusten noususta kärsivät eniten kaupunkialueiden ulkopuolella asuvat, pienituloiset ja naiset.</w:t>
      </w:r>
    </w:p>
    <w:p w14:paraId="08F54AA5" w14:textId="18EA7C0E" w:rsidR="0075162B" w:rsidRPr="0075162B" w:rsidRDefault="4136AF16" w:rsidP="042F581B">
      <w:pPr>
        <w:pStyle w:val="VNLeip1kappale"/>
        <w:rPr>
          <w:color w:val="000000" w:themeColor="text1"/>
        </w:rPr>
      </w:pPr>
      <w:r w:rsidRPr="5A543ECF">
        <w:rPr>
          <w:color w:val="000000" w:themeColor="text1"/>
        </w:rPr>
        <w:t>A</w:t>
      </w:r>
      <w:r w:rsidR="2B332177" w:rsidRPr="5A543ECF">
        <w:rPr>
          <w:color w:val="000000" w:themeColor="text1"/>
        </w:rPr>
        <w:t xml:space="preserve">suinpaikka voi vaikuttaa mahdollisuuteen vähentää autoilua tai valita muita liikkumismuotoja. MaaElli-hankkeessa maaseudun liikkumisen haasteiksi muodostuvat mm. korkeat liikkumiskustannukset, joukkoliikenteen </w:t>
      </w:r>
      <w:r w:rsidR="21F071CF" w:rsidRPr="5A543ECF">
        <w:rPr>
          <w:color w:val="000000" w:themeColor="text1"/>
        </w:rPr>
        <w:t>ja</w:t>
      </w:r>
      <w:r w:rsidR="2B332177" w:rsidRPr="5A543ECF">
        <w:rPr>
          <w:color w:val="000000" w:themeColor="text1"/>
        </w:rPr>
        <w:t xml:space="preserve"> riittävän turvallisten liikkumismahdollisuuksien puute sekä infrastruktuurin huono kunto. Kevyen liikenteen mahdollisuuksia voidaan edistää parantamalla turvallisuutta ja infrastruktuuria. </w:t>
      </w:r>
      <w:r w:rsidR="4ABEB56D" w:rsidRPr="5A543ECF">
        <w:rPr>
          <w:color w:val="000000" w:themeColor="text1"/>
        </w:rPr>
        <w:t>K</w:t>
      </w:r>
      <w:r w:rsidR="2B332177" w:rsidRPr="5A543ECF">
        <w:rPr>
          <w:color w:val="000000" w:themeColor="text1"/>
        </w:rPr>
        <w:t>evyeen liikentee</w:t>
      </w:r>
      <w:r w:rsidR="5FC5D3BE" w:rsidRPr="5A543ECF">
        <w:rPr>
          <w:color w:val="000000" w:themeColor="text1"/>
        </w:rPr>
        <w:t>n</w:t>
      </w:r>
      <w:r w:rsidR="2B332177" w:rsidRPr="5A543ECF">
        <w:rPr>
          <w:color w:val="000000" w:themeColor="text1"/>
        </w:rPr>
        <w:t xml:space="preserve"> ja joukkoliikentee</w:t>
      </w:r>
      <w:r w:rsidR="6BEB34B2" w:rsidRPr="5A543ECF">
        <w:rPr>
          <w:color w:val="000000" w:themeColor="text1"/>
        </w:rPr>
        <w:t>n tuilla</w:t>
      </w:r>
      <w:r w:rsidR="2B332177" w:rsidRPr="5A543ECF">
        <w:rPr>
          <w:color w:val="000000" w:themeColor="text1"/>
        </w:rPr>
        <w:t xml:space="preserve"> voi</w:t>
      </w:r>
      <w:r w:rsidR="7757F796" w:rsidRPr="5A543ECF">
        <w:rPr>
          <w:color w:val="000000" w:themeColor="text1"/>
        </w:rPr>
        <w:t>daan</w:t>
      </w:r>
      <w:r w:rsidR="2B332177" w:rsidRPr="5A543ECF">
        <w:rPr>
          <w:color w:val="000000" w:themeColor="text1"/>
        </w:rPr>
        <w:t xml:space="preserve"> parantaa erityisesti lasten ja nuorten, vammaisten sekä ikääntyvien henkilöiden itsenäisiä liikkumismahdollisuuksia. </w:t>
      </w:r>
    </w:p>
    <w:p w14:paraId="13F5878D" w14:textId="22956258" w:rsidR="0075162B" w:rsidRPr="0075162B" w:rsidRDefault="2B332177" w:rsidP="042F581B">
      <w:pPr>
        <w:pStyle w:val="VNLeip1kappale"/>
        <w:rPr>
          <w:color w:val="000000" w:themeColor="text1"/>
          <w:szCs w:val="22"/>
        </w:rPr>
      </w:pPr>
      <w:r w:rsidRPr="042F581B">
        <w:rPr>
          <w:color w:val="000000" w:themeColor="text1"/>
          <w:szCs w:val="22"/>
        </w:rPr>
        <w:t>Sosiaalisen ilmastorahaston suunnitelman valmistelua tukevan TSI-hankkeen mallinnuksen perusteella uusi päästökauppa (ETS2) ei näytä lisäävän energia- ja liikenneköyhyyden määrää Suomessa, mutta se voi tehdä haavoittuvista ryhmistä entistä haavoittuvampia. Sosiaalisen ilmastorahaston EU-asetuksen (2023/955) mukaan liikenneköyhyydellä tarkoitetaan sitä, että henkilöt ja kotitaloudet eivät pysty kattamaan yksityisen tai julkisen liikenteen kustannuksia tai se on heille vaikeaa, tai henkilöillä ja kotitalouksilla on vaikeuksia saada liikennepalveluja, jotka mahdollistaisivat pääsyn olennaisiin sosioekonomisiin palveluihin ja toimiin. Liikenneköyhyyden riskiryhmiä ovat esimerkiksi pienituloiset, maahanmuuttajat, haja-asutusalueilla asuvat, liikuntarajoitteiset ja vammaiset sekä suurperheet.</w:t>
      </w:r>
    </w:p>
    <w:p w14:paraId="184BE77A" w14:textId="738DE824" w:rsidR="0075162B" w:rsidRPr="0075162B" w:rsidRDefault="2B332177" w:rsidP="042F581B">
      <w:pPr>
        <w:pStyle w:val="VNLeip1kappale"/>
        <w:rPr>
          <w:color w:val="000000" w:themeColor="text1"/>
        </w:rPr>
      </w:pPr>
      <w:r w:rsidRPr="677BD78B">
        <w:rPr>
          <w:color w:val="000000" w:themeColor="text1"/>
        </w:rPr>
        <w:t>Liikenteen ilmastotoimilla on vaikutuksia saamelaisiin ja saamelaiskulttuuriin</w:t>
      </w:r>
      <w:r w:rsidR="1676A7CA" w:rsidRPr="05B88DAF">
        <w:rPr>
          <w:color w:val="000000" w:themeColor="text1"/>
        </w:rPr>
        <w:t>, sillä</w:t>
      </w:r>
      <w:r w:rsidRPr="05B88DAF">
        <w:rPr>
          <w:color w:val="000000" w:themeColor="text1"/>
        </w:rPr>
        <w:t xml:space="preserve"> </w:t>
      </w:r>
      <w:r w:rsidR="60F2472B" w:rsidRPr="05B88DAF">
        <w:rPr>
          <w:color w:val="000000" w:themeColor="text1"/>
        </w:rPr>
        <w:t>s</w:t>
      </w:r>
      <w:r w:rsidRPr="05B88DAF">
        <w:rPr>
          <w:color w:val="000000" w:themeColor="text1"/>
        </w:rPr>
        <w:t>aamelaisten</w:t>
      </w:r>
      <w:r w:rsidRPr="677BD78B">
        <w:rPr>
          <w:color w:val="000000" w:themeColor="text1"/>
        </w:rPr>
        <w:t xml:space="preserve"> kotiseutualueen liikennejärjestelmä perustuu nykyisellään vahvasti yksityisautoiluun alhaisen väestömäärän, pitkien etäisyyksien, perinteisten elinkeinojen ja harvan asutuksen vuoksi. </w:t>
      </w:r>
      <w:proofErr w:type="spellStart"/>
      <w:r w:rsidRPr="677BD78B">
        <w:rPr>
          <w:color w:val="000000" w:themeColor="text1"/>
        </w:rPr>
        <w:t>KAISUn</w:t>
      </w:r>
      <w:proofErr w:type="spellEnd"/>
      <w:r w:rsidRPr="677BD78B">
        <w:rPr>
          <w:color w:val="000000" w:themeColor="text1"/>
        </w:rPr>
        <w:t xml:space="preserve"> valmistelussa Saamelaiskäräjät </w:t>
      </w:r>
      <w:r w:rsidR="0A648AAB" w:rsidRPr="38BA5CFD">
        <w:rPr>
          <w:color w:val="000000" w:themeColor="text1"/>
        </w:rPr>
        <w:t>painottivat</w:t>
      </w:r>
      <w:r w:rsidRPr="677BD78B">
        <w:rPr>
          <w:color w:val="000000" w:themeColor="text1"/>
        </w:rPr>
        <w:t xml:space="preserve">, että peruspalveluihin kulkeminen tapahtuu omilla kulkuvälineillä, jolloin polttoaineen hinnan nousu ja ajoneuvojen kustannukset nostavat </w:t>
      </w:r>
      <w:r w:rsidR="6441A1E5" w:rsidRPr="58B4A132">
        <w:rPr>
          <w:color w:val="000000" w:themeColor="text1"/>
        </w:rPr>
        <w:t xml:space="preserve">liikkumisen </w:t>
      </w:r>
      <w:r w:rsidRPr="58B4A132">
        <w:rPr>
          <w:color w:val="000000" w:themeColor="text1"/>
        </w:rPr>
        <w:t>kustannuksia.</w:t>
      </w:r>
      <w:r w:rsidRPr="677BD78B">
        <w:rPr>
          <w:color w:val="000000" w:themeColor="text1"/>
        </w:rPr>
        <w:t xml:space="preserve"> Liikenteen kasvihuonekaasupäästöjen vähentämisellä ja kustannusten nousulla on siten epäsuoria ja suoria vaikutuksia saamelaisten liikkumisen kallistumiseen ja </w:t>
      </w:r>
      <w:r w:rsidR="6B63738A" w:rsidRPr="786C3171">
        <w:rPr>
          <w:color w:val="000000" w:themeColor="text1"/>
        </w:rPr>
        <w:t xml:space="preserve">sen </w:t>
      </w:r>
      <w:r w:rsidRPr="786C3171">
        <w:rPr>
          <w:color w:val="000000" w:themeColor="text1"/>
        </w:rPr>
        <w:t>vaikeutumiseen</w:t>
      </w:r>
      <w:r>
        <w:t>.</w:t>
      </w:r>
      <w:r w:rsidRPr="677BD78B">
        <w:rPr>
          <w:color w:val="000000" w:themeColor="text1"/>
        </w:rPr>
        <w:t xml:space="preserve"> Saamelaiskäräjät </w:t>
      </w:r>
      <w:r w:rsidRPr="786C3171">
        <w:rPr>
          <w:color w:val="000000" w:themeColor="text1"/>
        </w:rPr>
        <w:t>toi</w:t>
      </w:r>
      <w:r w:rsidR="699D41A2" w:rsidRPr="786C3171">
        <w:rPr>
          <w:color w:val="000000" w:themeColor="text1"/>
        </w:rPr>
        <w:t>voi</w:t>
      </w:r>
      <w:r w:rsidRPr="786C3171">
        <w:rPr>
          <w:color w:val="000000" w:themeColor="text1"/>
        </w:rPr>
        <w:t>vat</w:t>
      </w:r>
      <w:r w:rsidRPr="677BD78B">
        <w:rPr>
          <w:color w:val="000000" w:themeColor="text1"/>
        </w:rPr>
        <w:t xml:space="preserve"> pienimuotoista tukea joukkoliikenteeseen ja muita kompensaatiotoimia.</w:t>
      </w:r>
    </w:p>
    <w:p w14:paraId="22577213" w14:textId="1D599B1A" w:rsidR="0075162B" w:rsidRPr="0075162B" w:rsidRDefault="2B332177" w:rsidP="54158735">
      <w:pPr>
        <w:pStyle w:val="Numeroimatonotsikko"/>
        <w:rPr>
          <w:szCs w:val="22"/>
        </w:rPr>
      </w:pPr>
      <w:r w:rsidRPr="042F581B">
        <w:rPr>
          <w:szCs w:val="22"/>
        </w:rPr>
        <w:t>Rakennusten erillislämmitys</w:t>
      </w:r>
    </w:p>
    <w:p w14:paraId="4F6C0085" w14:textId="76343EA8" w:rsidR="0075162B" w:rsidRPr="0075162B" w:rsidRDefault="2B332177" w:rsidP="042F581B">
      <w:pPr>
        <w:pStyle w:val="VNLeip1kappale"/>
        <w:rPr>
          <w:color w:val="000000" w:themeColor="text1"/>
          <w:szCs w:val="22"/>
        </w:rPr>
      </w:pPr>
      <w:r w:rsidRPr="042F581B">
        <w:rPr>
          <w:color w:val="000000" w:themeColor="text1"/>
          <w:szCs w:val="22"/>
        </w:rPr>
        <w:t xml:space="preserve">Energiaköyhyydellä tarkoitetaan tilannetta, jossa kotitaloudet eivät pysty ylläpitämään aineellisesti ja sosiaalisesti tarvittavaa energiapalveluiden tasoa ja suoriutumaan välttämättömistä lämmitys- ja sähkökustannuksista. Energiaköyhyyden juurisyinä pidetään pienituloisuutta, energiamenojen kohtuuttoman suurta osuutta kotitalouden menoista sekä rakennusten ja laitteiden heikkoa energiatehokkuutta. </w:t>
      </w:r>
      <w:proofErr w:type="spellStart"/>
      <w:r w:rsidRPr="042F581B">
        <w:rPr>
          <w:color w:val="000000" w:themeColor="text1"/>
          <w:szCs w:val="22"/>
        </w:rPr>
        <w:t>Gaia</w:t>
      </w:r>
      <w:proofErr w:type="spellEnd"/>
      <w:r w:rsidRPr="042F581B">
        <w:rPr>
          <w:color w:val="000000" w:themeColor="text1"/>
          <w:szCs w:val="22"/>
        </w:rPr>
        <w:t xml:space="preserve"> Consultingin selvityksen mukaan suomalaista energiaköyhyyttä voidaan ehkäistä parhaiten jatkamalla sosiaaliturvajärjestelmän, rakennuskannan energiatehokkuuden sekä tuki- ja neuvontapalveluiden kehittämistä, varmistamalla niiden saavutettavuus sekä kohdistamalla energiatehokkuuden edistämistä riskiryhmille.</w:t>
      </w:r>
    </w:p>
    <w:p w14:paraId="598F9407" w14:textId="4CA69C35" w:rsidR="0075162B" w:rsidRPr="0075162B" w:rsidRDefault="2B332177" w:rsidP="042F581B">
      <w:pPr>
        <w:pStyle w:val="VNLeip1kappale"/>
        <w:rPr>
          <w:color w:val="000000" w:themeColor="text1"/>
        </w:rPr>
      </w:pPr>
      <w:r w:rsidRPr="60A9032B">
        <w:rPr>
          <w:color w:val="000000" w:themeColor="text1"/>
        </w:rPr>
        <w:t xml:space="preserve">Verrattuna köyhyyteen tai pienituloisuuteen yleisesti, energiaköyhyyttä esiintyy todennäköisemmin esimerkiksi omistusasunnoissa asuvilla. Asunnon omistusmallin lisäksi energiaköyhyyteen linkittyy vahvasti myös muita asumiseen liittyviä tekijöitä, kuten asunnon alueellinen sijainti, koko, ikä ja lämmitystyyppi. Lisäksi energiaköyhyys voi olla kausittaista ja ilmetä jaksoissa kylmien talvikuukausien tai poikkeuksellisen korkeiden energian markkinahintojen aikana. Maaseudun energia- ja liikenneköyhyys ilmiöinä (MaaElli) -hankkeen selvitysten perusteella </w:t>
      </w:r>
      <w:r w:rsidR="4F2F8741" w:rsidRPr="13372B1E">
        <w:rPr>
          <w:color w:val="000000" w:themeColor="text1"/>
        </w:rPr>
        <w:t xml:space="preserve">energian osalta suurimpia haasteita maaseudulla ovat </w:t>
      </w:r>
      <w:r w:rsidRPr="13372B1E">
        <w:rPr>
          <w:color w:val="000000" w:themeColor="text1"/>
        </w:rPr>
        <w:t>asunnon</w:t>
      </w:r>
      <w:r w:rsidRPr="60A9032B">
        <w:rPr>
          <w:color w:val="000000" w:themeColor="text1"/>
        </w:rPr>
        <w:t xml:space="preserve"> riittävä eristäminen kylmää vastaan ja selviytyminen sähkölaskuista</w:t>
      </w:r>
      <w:r w:rsidRPr="13B9FA90">
        <w:rPr>
          <w:color w:val="000000" w:themeColor="text1"/>
        </w:rPr>
        <w:t>.</w:t>
      </w:r>
      <w:r w:rsidRPr="60A9032B">
        <w:rPr>
          <w:color w:val="000000" w:themeColor="text1"/>
        </w:rPr>
        <w:t xml:space="preserve"> Energiaköyhyyden riskiryhmiä ovat haja-asutusalueella omistusomakotitaloissa </w:t>
      </w:r>
      <w:r w:rsidRPr="6E3F07DD">
        <w:rPr>
          <w:color w:val="000000" w:themeColor="text1"/>
        </w:rPr>
        <w:t>yksin</w:t>
      </w:r>
      <w:r w:rsidR="2F203237" w:rsidRPr="6E3F07DD">
        <w:rPr>
          <w:color w:val="000000" w:themeColor="text1"/>
        </w:rPr>
        <w:t xml:space="preserve"> </w:t>
      </w:r>
      <w:r w:rsidRPr="6E3F07DD">
        <w:rPr>
          <w:color w:val="000000" w:themeColor="text1"/>
        </w:rPr>
        <w:t>asuvat</w:t>
      </w:r>
      <w:r w:rsidRPr="60A9032B">
        <w:rPr>
          <w:color w:val="000000" w:themeColor="text1"/>
        </w:rPr>
        <w:t xml:space="preserve"> ikääntyneet sekä pienituloiset. Kodin energiantarve voi olla tilapäisesti lisääntynyt myös sairauden vuoksi. </w:t>
      </w:r>
      <w:r w:rsidR="31487C88" w:rsidRPr="095E7E9F">
        <w:rPr>
          <w:color w:val="000000" w:themeColor="text1"/>
        </w:rPr>
        <w:t>Lisäksi</w:t>
      </w:r>
      <w:r w:rsidRPr="60A9032B">
        <w:rPr>
          <w:color w:val="000000" w:themeColor="text1"/>
        </w:rPr>
        <w:t xml:space="preserve"> naissukupuoli yhdistettynä muihin riskitekijöihin, voi vaikuttaa taloudellisiin resursseihin ja tietotaitoon </w:t>
      </w:r>
      <w:r w:rsidRPr="7E2853CE">
        <w:rPr>
          <w:color w:val="000000" w:themeColor="text1"/>
        </w:rPr>
        <w:t>sekä</w:t>
      </w:r>
      <w:r w:rsidRPr="60A9032B">
        <w:rPr>
          <w:color w:val="000000" w:themeColor="text1"/>
        </w:rPr>
        <w:t xml:space="preserve"> hyötymiseen esimerkiksi </w:t>
      </w:r>
      <w:r>
        <w:t xml:space="preserve">energiaremontteihin </w:t>
      </w:r>
      <w:r w:rsidRPr="60A9032B">
        <w:rPr>
          <w:color w:val="000000" w:themeColor="text1"/>
        </w:rPr>
        <w:t xml:space="preserve">suunnatuista tuista. </w:t>
      </w:r>
    </w:p>
    <w:p w14:paraId="7FCEC0B3" w14:textId="0CB1C963" w:rsidR="0075162B" w:rsidRPr="0075162B" w:rsidRDefault="2B332177" w:rsidP="157EFC12">
      <w:pPr>
        <w:pStyle w:val="Numeroimatonotsikko"/>
      </w:pPr>
      <w:r>
        <w:t>Työkoneet</w:t>
      </w:r>
    </w:p>
    <w:p w14:paraId="18031CC6" w14:textId="790435BD" w:rsidR="0075162B" w:rsidRPr="0075162B" w:rsidRDefault="2B332177" w:rsidP="042F581B">
      <w:pPr>
        <w:pStyle w:val="VNLeip1kappale"/>
        <w:rPr>
          <w:color w:val="000000" w:themeColor="text1"/>
          <w:szCs w:val="22"/>
        </w:rPr>
      </w:pPr>
      <w:r w:rsidRPr="042F581B">
        <w:rPr>
          <w:color w:val="000000" w:themeColor="text1"/>
          <w:szCs w:val="22"/>
        </w:rPr>
        <w:t xml:space="preserve">Liikkuvia työkoneita käytetään laajasti yhteiskunnan toimialoilla kuten kaivos-, metsä-, ja metalliteollisuudessa, satamissa, muussa logistiikassa, rakentamisessa, kiinteistöjen ja väylien ylläpidossa. Työkoneisiin kohdentuvat toimenpiteet painottuvat selvästi enemmän miesvaltaisille aloille ja myös alueellisesti, koska työkoneita käytetään enemmän merkittävissä päästökeskittymissä kuten kaivoksissa, suurilla tehdasalueilla ja satamissa. </w:t>
      </w:r>
    </w:p>
    <w:p w14:paraId="2B29E42B" w14:textId="0091D32B" w:rsidR="0075162B" w:rsidRPr="0075162B" w:rsidRDefault="2B332177" w:rsidP="042F581B">
      <w:pPr>
        <w:pStyle w:val="VNLeip1kappale"/>
        <w:rPr>
          <w:color w:val="000000" w:themeColor="text1"/>
          <w:szCs w:val="22"/>
        </w:rPr>
      </w:pPr>
      <w:r w:rsidRPr="042F581B">
        <w:rPr>
          <w:color w:val="000000" w:themeColor="text1"/>
          <w:szCs w:val="22"/>
        </w:rPr>
        <w:t xml:space="preserve">Saamelaiset käyttävät perinteisissä elinkeinoissaan, kuten poronhoidossa, moottorikelkkoja, mönkijöitä ja muita työkoneita, jotka ovat tällä hetkellä vahvasti riippuvaisia fossiilisista polttoaineista. Saamelaiskäräjien kuulemisessa huolta herättivät hintojen nousun ja veronkorotusten vaikutus elinkeinojen kannattavuuteen ja heikkenemiseen. Saamelaiskäräjät toivoivat perinteisten elinkeinojen tukemista ja käytössä olevien työkoneiden kehittämistä vähäpäästöisemmiksi. </w:t>
      </w:r>
    </w:p>
    <w:p w14:paraId="11D1BCC2" w14:textId="1E8F53D1" w:rsidR="0075162B" w:rsidRPr="0075162B" w:rsidRDefault="2B332177" w:rsidP="042F581B">
      <w:pPr>
        <w:pStyle w:val="VNLeip1kappale"/>
        <w:rPr>
          <w:color w:val="000000" w:themeColor="text1"/>
        </w:rPr>
      </w:pPr>
      <w:r w:rsidRPr="17265F40">
        <w:rPr>
          <w:color w:val="000000" w:themeColor="text1"/>
        </w:rPr>
        <w:t>ACE-hankkeen</w:t>
      </w:r>
      <w:r w:rsidR="180706F8" w:rsidRPr="3CC04D35">
        <w:rPr>
          <w:color w:val="000000" w:themeColor="text1"/>
        </w:rPr>
        <w:t xml:space="preserve"> </w:t>
      </w:r>
      <w:r w:rsidRPr="02DF997E">
        <w:rPr>
          <w:color w:val="000000" w:themeColor="text1"/>
        </w:rPr>
        <w:t>raportin</w:t>
      </w:r>
      <w:r w:rsidRPr="7EF765BA">
        <w:rPr>
          <w:color w:val="000000" w:themeColor="text1"/>
        </w:rPr>
        <w:t xml:space="preserve"> mukaan jakeluvelvoitteen, CO</w:t>
      </w:r>
      <w:r w:rsidRPr="7EF765BA">
        <w:rPr>
          <w:color w:val="000000" w:themeColor="text1"/>
          <w:vertAlign w:val="subscript"/>
        </w:rPr>
        <w:t>2</w:t>
      </w:r>
      <w:r w:rsidRPr="7EF765BA">
        <w:rPr>
          <w:color w:val="000000" w:themeColor="text1"/>
        </w:rPr>
        <w:t xml:space="preserve">-verojen ja päästökaupan lisäkustannukset voivat kohdistua erityisesti heikosti kannattaviin toimialoihin, kuten maanviljelyyn, työkoneyrittäjyyteen sekä muihin aloihin, joissa dieselin ja kevyen polttoöljyn osuus kokonaiskustannuksista on merkittävä. Haastavimmissa toimintaympäristöissä vaihtoehtoisten käyttövoimien käyttöönotto voi olla vaikeaa, vaikka tukea olisi tarjolla. Ilman siirtymän tukitoimia haavoittuvassa asemassa olevien toimijoiden kustannukset voivat nousta kohtuuttomiksi ja markkina-asema voi heikentyä. Mahdollisten kompensaatiotoimien rinnalle tarvitaan siirtymää edistäviä rakenteellisia toimia, kuten yritysten kilpailukyvyn parantamista, joilla voidaan parantaa mahdollisuuksia öljyriippuvuudesta irtautumiseen ja </w:t>
      </w:r>
      <w:r w:rsidRPr="16873750">
        <w:rPr>
          <w:color w:val="000000" w:themeColor="text1"/>
        </w:rPr>
        <w:t>polttoainekustannu</w:t>
      </w:r>
      <w:r w:rsidR="2C186C03" w:rsidRPr="16873750">
        <w:rPr>
          <w:color w:val="000000" w:themeColor="text1"/>
        </w:rPr>
        <w:t>sten</w:t>
      </w:r>
      <w:r w:rsidRPr="7EF765BA">
        <w:rPr>
          <w:color w:val="000000" w:themeColor="text1"/>
        </w:rPr>
        <w:t xml:space="preserve"> pienentämiseen. </w:t>
      </w:r>
    </w:p>
    <w:p w14:paraId="74841176" w14:textId="74FF9BB1" w:rsidR="0075162B" w:rsidRPr="0075162B" w:rsidRDefault="2B332177" w:rsidP="157EFC12">
      <w:pPr>
        <w:pStyle w:val="Numeroimatonotsikko"/>
      </w:pPr>
      <w:r>
        <w:t>Maatalous</w:t>
      </w:r>
    </w:p>
    <w:p w14:paraId="71F787BF" w14:textId="321F58BA" w:rsidR="0075162B" w:rsidRPr="0075162B" w:rsidRDefault="0FDF23BD" w:rsidP="0885C043">
      <w:pPr>
        <w:pStyle w:val="VNLeip1kappale"/>
        <w:rPr>
          <w:color w:val="000000" w:themeColor="text1"/>
        </w:rPr>
      </w:pPr>
      <w:r w:rsidRPr="21D67B16">
        <w:rPr>
          <w:color w:val="000000" w:themeColor="text1"/>
        </w:rPr>
        <w:t xml:space="preserve">Maatalouden ilmastotoimet vaikuttavat muun muassa viljelijöihin, maataloustuottajiin, ruokapalveluihin, elintarviketeollisuuteen ja kuluttajiin. Kuluttajien rooli ruokajärjestelmän murroksessa kohdistuu ruokailutottumusten ja kulutuksen muuttamiseen ilmaston ja terveyden kannalta kestävämpään suuntaan. </w:t>
      </w:r>
      <w:proofErr w:type="spellStart"/>
      <w:r w:rsidRPr="21D67B16">
        <w:rPr>
          <w:color w:val="000000" w:themeColor="text1"/>
        </w:rPr>
        <w:t>FinRavinto</w:t>
      </w:r>
      <w:proofErr w:type="spellEnd"/>
      <w:r w:rsidRPr="21D67B16">
        <w:rPr>
          <w:color w:val="000000" w:themeColor="text1"/>
        </w:rPr>
        <w:t xml:space="preserve"> 2017 -tutkimuksen mukaan aikuiset</w:t>
      </w:r>
      <w:r w:rsidR="1B9D9FF8" w:rsidRPr="21D67B16">
        <w:rPr>
          <w:color w:val="000000" w:themeColor="text1"/>
        </w:rPr>
        <w:t>, erityisesti miehet,</w:t>
      </w:r>
      <w:r w:rsidRPr="21D67B16">
        <w:rPr>
          <w:color w:val="000000" w:themeColor="text1"/>
        </w:rPr>
        <w:t xml:space="preserve"> syövät liikaa punaista lihaa ja lihavalmisteita. THL:n Ruoka-askel –tutkimuksen mukaan myös päiväkoti-ikäisillä lapsilla erityisesti maitovalmisteiden ja punaisen lihan käyttö on suositeltua runsaampaa, ja he syövät suositeltua vähemmän kasvipohjaisia ruokia. </w:t>
      </w:r>
      <w:r w:rsidR="6E83F46C" w:rsidRPr="21D67B16">
        <w:rPr>
          <w:color w:val="000000" w:themeColor="text1"/>
        </w:rPr>
        <w:t>K</w:t>
      </w:r>
      <w:r w:rsidRPr="21D67B16">
        <w:rPr>
          <w:color w:val="000000" w:themeColor="text1"/>
        </w:rPr>
        <w:t xml:space="preserve">estävämpien ruokailutottumusten muutosta </w:t>
      </w:r>
      <w:r w:rsidR="7CDA922F" w:rsidRPr="21D67B16">
        <w:rPr>
          <w:color w:val="000000" w:themeColor="text1"/>
        </w:rPr>
        <w:t>voidaan edistää ottamalla käyttöön</w:t>
      </w:r>
      <w:r w:rsidRPr="21D67B16">
        <w:rPr>
          <w:color w:val="000000" w:themeColor="text1"/>
        </w:rPr>
        <w:t xml:space="preserve"> uudet ravitsemussuositukset joukkoruokailussa</w:t>
      </w:r>
      <w:r w:rsidR="0739F550" w:rsidRPr="21D67B16">
        <w:rPr>
          <w:color w:val="000000" w:themeColor="text1"/>
        </w:rPr>
        <w:t>.</w:t>
      </w:r>
      <w:r w:rsidRPr="21D67B16">
        <w:rPr>
          <w:color w:val="000000" w:themeColor="text1"/>
        </w:rPr>
        <w:t xml:space="preserve"> Joukkoruokailun piirissä on laajasti eri-ikäisiä suomalaisia, erityisesti lapsia ja nuoria, joiden herkkyys uusien ruokailutapojen oppimiselle on suuri. Lasten ja nuorten ilmastoystävällisen ruokavalion mahdollistaminen ja tukeminen korostuu kodin, päivähoidon ja koulun rooleissa. </w:t>
      </w:r>
      <w:r w:rsidR="790B8D9B" w:rsidRPr="21D67B16">
        <w:rPr>
          <w:color w:val="000000" w:themeColor="text1"/>
        </w:rPr>
        <w:t>Esimerkiksi v</w:t>
      </w:r>
      <w:r w:rsidRPr="21D67B16">
        <w:rPr>
          <w:color w:val="000000" w:themeColor="text1"/>
        </w:rPr>
        <w:t>arhaiskasvatus tavoittaa valtaosan lapsista Suomessa ja on siksi otollinen ympäristö ottaa askeleita kohti kestävämpiä ja terveellisempiä ruokatottumuksia. Ruoka-askel interventiotutkimu</w:t>
      </w:r>
      <w:r w:rsidR="6FD1617A" w:rsidRPr="21D67B16">
        <w:rPr>
          <w:color w:val="000000" w:themeColor="text1"/>
        </w:rPr>
        <w:t>ksessa</w:t>
      </w:r>
      <w:r w:rsidRPr="21D67B16">
        <w:rPr>
          <w:color w:val="000000" w:themeColor="text1"/>
        </w:rPr>
        <w:t xml:space="preserve"> havaittiin, että tekemällä maltillisia muutoksia varhaiskasvatuksen ruokalistoihin ja toteuttamalla ruokakasvatusta pystyttiin parantamaan lasten ruokailutottumuksia terveellisemmiksi ja samalla vähentämään päiväkotiruokailun ilmastovaikutuksia ilman </w:t>
      </w:r>
      <w:r w:rsidR="2FD43E84" w:rsidRPr="5109DEF2">
        <w:rPr>
          <w:color w:val="000000" w:themeColor="text1"/>
        </w:rPr>
        <w:t xml:space="preserve">kustannusten nousua tai hävikin kasvua. </w:t>
      </w:r>
    </w:p>
    <w:p w14:paraId="169D4280" w14:textId="2A66E874" w:rsidR="0075162B" w:rsidRPr="0075162B" w:rsidRDefault="2B332177" w:rsidP="042F581B">
      <w:pPr>
        <w:pStyle w:val="VNLeip1kappale"/>
        <w:rPr>
          <w:color w:val="000000" w:themeColor="text1"/>
        </w:rPr>
      </w:pPr>
      <w:r w:rsidRPr="5109DEF2">
        <w:rPr>
          <w:color w:val="000000" w:themeColor="text1"/>
        </w:rPr>
        <w:t>Ruokailutottumukset kytkeytyvät kulttuurillisiin, sosiaalisiin ja taloudellisiin tekijöihin. Ruokamurros vaikuttaa myös saamelaiskulttuurin ja elinkeinojen säilymiseen, ja saamelaiskäräjät painottivatkin kuulemisessa ruokaturvan, lähiruoan ja omavaraisuuden edistämistä konkreettisilla toimilla. Suomalaisten ruokailutottumuksilla ja ruoantuotannon muutoksilla on vaikutu</w:t>
      </w:r>
      <w:r w:rsidR="1785CAE2" w:rsidRPr="5109DEF2">
        <w:rPr>
          <w:color w:val="000000" w:themeColor="text1"/>
        </w:rPr>
        <w:t>sta</w:t>
      </w:r>
      <w:r w:rsidRPr="5109DEF2">
        <w:rPr>
          <w:color w:val="000000" w:themeColor="text1"/>
        </w:rPr>
        <w:t xml:space="preserve"> myös globaaliin kestävyyteen ja oikeudenmukaisuuteen. </w:t>
      </w:r>
    </w:p>
    <w:p w14:paraId="03449D44" w14:textId="40B693BF" w:rsidR="0075162B" w:rsidRPr="0075162B" w:rsidRDefault="2B332177" w:rsidP="042F581B">
      <w:pPr>
        <w:pStyle w:val="VNLeip1kappale"/>
        <w:rPr>
          <w:color w:val="000000" w:themeColor="text1"/>
        </w:rPr>
      </w:pPr>
      <w:r w:rsidRPr="65C68517">
        <w:rPr>
          <w:color w:val="000000" w:themeColor="text1"/>
        </w:rPr>
        <w:t xml:space="preserve">Kestävällä ruokamurroksella on vaikutuksia maataloustuottajiin ja maanviljelijöihin. </w:t>
      </w:r>
      <w:proofErr w:type="spellStart"/>
      <w:r w:rsidRPr="65C68517">
        <w:rPr>
          <w:color w:val="000000" w:themeColor="text1"/>
        </w:rPr>
        <w:t>Syken</w:t>
      </w:r>
      <w:proofErr w:type="spellEnd"/>
      <w:r w:rsidRPr="65C68517">
        <w:rPr>
          <w:color w:val="000000" w:themeColor="text1"/>
        </w:rPr>
        <w:t xml:space="preserve"> </w:t>
      </w:r>
      <w:proofErr w:type="spellStart"/>
      <w:r w:rsidRPr="65C68517">
        <w:rPr>
          <w:color w:val="000000" w:themeColor="text1"/>
        </w:rPr>
        <w:t>JustFood</w:t>
      </w:r>
      <w:proofErr w:type="spellEnd"/>
      <w:r w:rsidRPr="65C68517">
        <w:rPr>
          <w:color w:val="000000" w:themeColor="text1"/>
        </w:rPr>
        <w:t xml:space="preserve"> -hankkeen haastatteluiden perusteella turvepeltojen käyttö näyttäytyy päästövähennysten ja oikeudenmukaisuuden kannalta yhtenä hankalimmin ratkaistavista kysymyksistä. Samankin alueen viljelijät voivat olla hyvin eri</w:t>
      </w:r>
      <w:r w:rsidR="5BDBA377" w:rsidRPr="65C68517">
        <w:rPr>
          <w:color w:val="000000" w:themeColor="text1"/>
        </w:rPr>
        <w:t>laisessa</w:t>
      </w:r>
      <w:r w:rsidRPr="65C68517">
        <w:rPr>
          <w:color w:val="000000" w:themeColor="text1"/>
        </w:rPr>
        <w:t xml:space="preserve"> asemassa riippuen tilan ominaispiirteistä, kuten turvepeltojen suhteellisesta osuudesta ja tuotantotoiminnan </w:t>
      </w:r>
      <w:r w:rsidRPr="64C5D191">
        <w:rPr>
          <w:color w:val="000000" w:themeColor="text1"/>
        </w:rPr>
        <w:t>viimevuosien</w:t>
      </w:r>
      <w:r w:rsidRPr="65C68517">
        <w:rPr>
          <w:color w:val="000000" w:themeColor="text1"/>
        </w:rPr>
        <w:t xml:space="preserve"> investoinneista. Turvepellot keskittyvät Suomessa erityisesti maan pohjoisosiin ja länsirannikolle</w:t>
      </w:r>
      <w:r w:rsidR="7F25AF14" w:rsidRPr="6BD69719">
        <w:rPr>
          <w:color w:val="000000" w:themeColor="text1"/>
        </w:rPr>
        <w:t>,</w:t>
      </w:r>
      <w:r w:rsidRPr="65C68517">
        <w:rPr>
          <w:color w:val="000000" w:themeColor="text1"/>
        </w:rPr>
        <w:t xml:space="preserve"> ja näillä alueilla maatalous ja elintarviketeollisuus ovat usein varsin merkittäviä työllistäjiä, kun taas eteläisemmässä Suomessa turvepeltojen osuus on alle 5 prosenttia. </w:t>
      </w:r>
    </w:p>
    <w:p w14:paraId="1CB3CBCD" w14:textId="75B1F684" w:rsidR="0075162B" w:rsidRPr="0075162B" w:rsidRDefault="2B332177" w:rsidP="042F581B">
      <w:pPr>
        <w:pStyle w:val="VNLeip1kappale"/>
        <w:rPr>
          <w:color w:val="000000" w:themeColor="text1"/>
          <w:szCs w:val="22"/>
        </w:rPr>
      </w:pPr>
      <w:r w:rsidRPr="042F581B">
        <w:rPr>
          <w:color w:val="000000" w:themeColor="text1"/>
          <w:szCs w:val="22"/>
        </w:rPr>
        <w:t>Suomalainen maatalous kannattaa keskimäärin varsin heikosti samaan aikaan kun vähittäiskaupan kannattavuus on kasvanut. Erityyppisillä ja -kokoisilla maatiloilla on erilaiset mahdollisuudet vastata ruokamurroksen asettamiin vaatimuksiin. Kannattavuusongelmat vaikuttavat maatilojen mahdollisuuksiin ottaa teknologiaa käyttöön ja vaihtaa tuotantosuuntaa kohti kestävämpää ruoantuotantoa. Lisäksi tarvitaan myös muutoskyvykkyyden tukemista, koska tällä hetkellä toimijoiden resurssit ja tietotaito eivät jakaudu tasaisesti, ja esimerkiksi elintarviketeollisuuden vahvat toimijat ja pienet startup-yritykset ovat erilaisessa asemassa ruokateknologioiden kehityksessä.</w:t>
      </w:r>
    </w:p>
    <w:p w14:paraId="78F6485D" w14:textId="6CC10B2A" w:rsidR="00357567" w:rsidRPr="00357567" w:rsidRDefault="00357567" w:rsidP="003669B9">
      <w:pPr>
        <w:pStyle w:val="VNLeip1kappale"/>
      </w:pPr>
      <w:bookmarkStart w:id="228" w:name="_Toc197094028"/>
      <w:bookmarkStart w:id="229" w:name="_Toc197094170"/>
      <w:bookmarkStart w:id="230" w:name="_Toc197095229"/>
      <w:bookmarkStart w:id="231" w:name="_Toc197095455"/>
      <w:bookmarkStart w:id="232" w:name="_Toc197357287"/>
      <w:bookmarkStart w:id="233" w:name="_Toc199319365"/>
      <w:bookmarkEnd w:id="228"/>
      <w:bookmarkEnd w:id="229"/>
      <w:bookmarkEnd w:id="230"/>
      <w:bookmarkEnd w:id="231"/>
      <w:bookmarkEnd w:id="232"/>
      <w:bookmarkEnd w:id="233"/>
    </w:p>
    <w:p w14:paraId="78F6485E" w14:textId="53D0108A" w:rsidR="00B34418" w:rsidRPr="00DF2F00" w:rsidRDefault="002636E9" w:rsidP="000B4190">
      <w:pPr>
        <w:pStyle w:val="VNLeip1kappale"/>
      </w:pPr>
      <w:r>
        <w:br w:type="page"/>
      </w:r>
    </w:p>
    <w:p w14:paraId="78F6485F" w14:textId="50E676AF" w:rsidR="008C3FFD" w:rsidRDefault="00B34418" w:rsidP="002C5A32">
      <w:pPr>
        <w:pStyle w:val="VNLiitejaLhteetotsikko"/>
      </w:pPr>
      <w:bookmarkStart w:id="234" w:name="_Toc2030840206"/>
      <w:bookmarkStart w:id="235" w:name="_Toc418485104"/>
      <w:bookmarkStart w:id="236" w:name="_Toc202260089"/>
      <w:r>
        <w:t>Lähteet</w:t>
      </w:r>
      <w:bookmarkEnd w:id="234"/>
      <w:bookmarkEnd w:id="235"/>
      <w:bookmarkEnd w:id="236"/>
    </w:p>
    <w:p w14:paraId="67E09889" w14:textId="0AD442D3" w:rsidR="24AB7F23" w:rsidRDefault="24AB7F23" w:rsidP="725E3A07">
      <w:pPr>
        <w:pStyle w:val="Numeroimatonotsikko"/>
      </w:pPr>
      <w:r>
        <w:t>Kansainvälinen toimintaympäristö</w:t>
      </w:r>
    </w:p>
    <w:p w14:paraId="0A8ADE7B" w14:textId="5C5BAFBA" w:rsidR="00357567" w:rsidRPr="00357567" w:rsidRDefault="6815A857" w:rsidP="1A72B1E4">
      <w:pPr>
        <w:pStyle w:val="VNLeip1kappale"/>
        <w:rPr>
          <w:rFonts w:cs="Arial"/>
          <w:color w:val="365ABD" w:themeColor="accent3"/>
        </w:rPr>
      </w:pPr>
      <w:r>
        <w:t xml:space="preserve">Euroopan parlamentin ja neuvoston asetus (EU) 2018/841, annettu 30 päivänä toukokuuta 2018, maankäytöstä, maankäytön muutoksesta ja metsätaloudesta aiheutuvien kasvihuonekaasujen päästöjen ja poistumien sisällyttämisestä vuoteen 2030 ulottuviin ilmasto- ja energiapolitiikan puitteisiin. </w:t>
      </w:r>
      <w:hyperlink r:id="rId61" w:history="1">
        <w:r w:rsidRPr="5C07D8F9">
          <w:rPr>
            <w:rStyle w:val="Hyperlinkki"/>
            <w:rFonts w:cs="Arial"/>
            <w:color w:val="365ABD" w:themeColor="accent3"/>
            <w:u w:val="single"/>
          </w:rPr>
          <w:t>https://eur-lex.europa.eu/legal-content/fi/TXT/?uri=CELEX%3A32018R0841</w:t>
        </w:r>
      </w:hyperlink>
      <w:r>
        <w:t xml:space="preserve"> </w:t>
      </w:r>
    </w:p>
    <w:p w14:paraId="36EDC0F7" w14:textId="3D17C852" w:rsidR="00357567" w:rsidRPr="00357567" w:rsidRDefault="6815A857" w:rsidP="1A72B1E4">
      <w:pPr>
        <w:pStyle w:val="VNLeip1kappale"/>
        <w:rPr>
          <w:rFonts w:cs="Arial"/>
          <w:color w:val="365ABD" w:themeColor="accent3"/>
        </w:rPr>
      </w:pPr>
      <w:r>
        <w:t xml:space="preserve">Euroopan parlamentin ja neuvoston asetus (EU) 2021/1119, annettu 30 päivänä kesäkuuta 2021, puitteiden vahvistamisesta ilmastoneutraaliuden saavuttamiseksi sekä asetusten (EY) N:o 401/2009 ja (EU) 2018/1999 muuttamisesta (eurooppalainen ilmastolaki). </w:t>
      </w:r>
      <w:hyperlink r:id="rId62" w:history="1">
        <w:r w:rsidRPr="00ED42B4">
          <w:rPr>
            <w:rStyle w:val="Hyperlinkki"/>
            <w:rFonts w:cs="Arial"/>
            <w:color w:val="365ABD" w:themeColor="accent3"/>
            <w:u w:val="single"/>
          </w:rPr>
          <w:t>https://eur-lex.europa.eu/legal-content/FI/TXT/?uri=CELEX%3A32021R1119</w:t>
        </w:r>
      </w:hyperlink>
      <w:r>
        <w:t xml:space="preserve"> </w:t>
      </w:r>
    </w:p>
    <w:p w14:paraId="56F7E728" w14:textId="6336ED8A" w:rsidR="00357567" w:rsidRPr="00357567" w:rsidRDefault="6815A857" w:rsidP="1A72B1E4">
      <w:pPr>
        <w:pStyle w:val="VNLeip1kappale"/>
        <w:rPr>
          <w:rFonts w:cs="Arial"/>
          <w:color w:val="365ABD" w:themeColor="accent3"/>
        </w:rPr>
      </w:pPr>
      <w:r>
        <w:t xml:space="preserve">Euroopan parlamentin ja neuvoston asetus (EU) 2023/839, annettu 19 päivänä huhtikuuta 2023, asetuksen (EU) 2018/841 muuttamisesta siltä osin kuin on kyse soveltamisalasta, raportointia ja vaatimusten noudattamista koskevien sääntöjen yksinkertaistamisesta ja jäsenvaltioiden tavoitteiden asettamisesta vuodelle 2030 sekä asetuksen (EU) 2018/1999 muuttamisesta seurannan, raportoinnin, edistymisen seurannan ja uudelleentarkastelun parantamisen osalta. </w:t>
      </w:r>
      <w:hyperlink r:id="rId63" w:history="1">
        <w:r w:rsidRPr="00ED42B4">
          <w:rPr>
            <w:rStyle w:val="Hyperlinkki"/>
            <w:rFonts w:cs="Arial"/>
            <w:color w:val="365ABD" w:themeColor="accent3"/>
            <w:u w:val="single"/>
          </w:rPr>
          <w:t>https://eur-lex.europa.eu/legal-content/fi/TXT/?uri=CELEX%3A32023R0839</w:t>
        </w:r>
      </w:hyperlink>
      <w:r>
        <w:t xml:space="preserve">  </w:t>
      </w:r>
    </w:p>
    <w:p w14:paraId="70F1FE7B" w14:textId="680D8C21" w:rsidR="00357567" w:rsidRPr="001E28CC" w:rsidRDefault="6815A857" w:rsidP="1A72B1E4">
      <w:pPr>
        <w:pStyle w:val="VNLeip1kappale"/>
        <w:rPr>
          <w:rFonts w:cs="Arial"/>
          <w:color w:val="365ABD" w:themeColor="accent3"/>
        </w:rPr>
      </w:pPr>
      <w:r>
        <w:t xml:space="preserve">Eurooppa-neuvosto &amp; Euroopan unionin neuvosto. 55-valmiuspaketti. </w:t>
      </w:r>
      <w:hyperlink r:id="rId64" w:history="1">
        <w:r w:rsidRPr="001E28CC">
          <w:rPr>
            <w:rStyle w:val="Hyperlinkki"/>
            <w:rFonts w:cs="Arial"/>
            <w:color w:val="365ABD" w:themeColor="accent3"/>
            <w:u w:val="single"/>
          </w:rPr>
          <w:t>https://www.consilium.europa.eu/fi/policies/green-deal/fit-for-55-the-eu-plan-for-a-green-transition/</w:t>
        </w:r>
      </w:hyperlink>
      <w:r>
        <w:t xml:space="preserve">  </w:t>
      </w:r>
    </w:p>
    <w:p w14:paraId="58602CA2" w14:textId="64737BE1" w:rsidR="00357567" w:rsidRPr="001E28CC" w:rsidRDefault="6815A857" w:rsidP="004371CD">
      <w:pPr>
        <w:pStyle w:val="VNLeip1kappale"/>
        <w:rPr>
          <w:rFonts w:cs="Arial"/>
          <w:color w:val="365ABD" w:themeColor="accent3"/>
        </w:rPr>
      </w:pPr>
      <w:r w:rsidRPr="001E28CC">
        <w:rPr>
          <w:lang w:val="en-US"/>
        </w:rPr>
        <w:t xml:space="preserve">IPCC 2023. Synthesis Report of the IPCC Sixth Assessment Report (AR6). </w:t>
      </w:r>
      <w:hyperlink r:id="rId65">
        <w:r>
          <w:t>https://www.ipcc.ch/report/ar6/syr/downloads/report/IPCC_AR6_SYR_LongerReport.pdf</w:t>
        </w:r>
      </w:hyperlink>
      <w:r>
        <w:t xml:space="preserve"> </w:t>
      </w:r>
    </w:p>
    <w:p w14:paraId="39050773" w14:textId="420ED820" w:rsidR="00357567" w:rsidRPr="001E28CC" w:rsidRDefault="6815A857" w:rsidP="004371CD">
      <w:pPr>
        <w:pStyle w:val="VNLeip1kappale"/>
        <w:rPr>
          <w:rFonts w:cs="Arial"/>
          <w:color w:val="365ABD" w:themeColor="accent3"/>
        </w:rPr>
      </w:pPr>
      <w:r w:rsidRPr="001E28CC">
        <w:rPr>
          <w:lang w:val="en-US"/>
        </w:rPr>
        <w:t xml:space="preserve">UNFCCC 2022. Report of the Conference of the Parties serving as the meeting of the Parties to the Paris Agreement on its third session, held in Glasgow from 31 October to 13 November 2021. </w:t>
      </w:r>
      <w:hyperlink r:id="rId66">
        <w:r>
          <w:t>https://unfccc.int/sites/default/files/resource/cma2021_10_add1_adv.pdf</w:t>
        </w:r>
      </w:hyperlink>
      <w:r>
        <w:t xml:space="preserve">  </w:t>
      </w:r>
    </w:p>
    <w:p w14:paraId="44C8E35C" w14:textId="1A73EE9E" w:rsidR="00357567" w:rsidRPr="00A86853" w:rsidRDefault="6815A857" w:rsidP="14BB9198">
      <w:pPr>
        <w:pStyle w:val="VNLeip1kappale"/>
        <w:rPr>
          <w:rFonts w:cs="Arial"/>
          <w:color w:val="365ABD" w:themeColor="accent3"/>
          <w:lang w:val="en-GB"/>
        </w:rPr>
      </w:pPr>
      <w:r w:rsidRPr="001E28CC">
        <w:rPr>
          <w:lang w:val="en-US"/>
        </w:rPr>
        <w:t xml:space="preserve">United Nations 2015. Paris Agreement. </w:t>
      </w:r>
      <w:hyperlink r:id="rId67">
        <w:r w:rsidRPr="00FF4623">
          <w:rPr>
            <w:lang w:val="en-GB"/>
          </w:rPr>
          <w:t>https://unfccc.int/sites/default/files/english_paris_agreement.pdf</w:t>
        </w:r>
      </w:hyperlink>
      <w:r w:rsidRPr="00FF4623">
        <w:rPr>
          <w:lang w:val="en-GB"/>
        </w:rPr>
        <w:t xml:space="preserve">  </w:t>
      </w:r>
      <w:r w:rsidRPr="00600BC3">
        <w:rPr>
          <w:lang w:val="en-GB"/>
        </w:rPr>
        <w:t xml:space="preserve">The Climate &amp; Clean Air Coalition Secretariat. About the Global Methane Pledge. </w:t>
      </w:r>
      <w:hyperlink r:id="rId68">
        <w:r w:rsidRPr="00A86853">
          <w:rPr>
            <w:lang w:val="en-GB"/>
          </w:rPr>
          <w:t>https://www.globalmethanepledge.org/</w:t>
        </w:r>
      </w:hyperlink>
    </w:p>
    <w:p w14:paraId="4EB6A160" w14:textId="7CE93E81" w:rsidR="00357567" w:rsidRPr="001E28CC" w:rsidRDefault="00F83C55" w:rsidP="004371CD">
      <w:pPr>
        <w:pStyle w:val="VNLeip1kappale"/>
        <w:rPr>
          <w:rFonts w:cs="Arial"/>
          <w:color w:val="365ABD" w:themeColor="accent3"/>
        </w:rPr>
      </w:pPr>
      <w:proofErr w:type="spellStart"/>
      <w:r w:rsidRPr="001E28CC">
        <w:rPr>
          <w:lang w:val="en-US"/>
        </w:rPr>
        <w:t>Y</w:t>
      </w:r>
      <w:r>
        <w:rPr>
          <w:lang w:val="en-US"/>
        </w:rPr>
        <w:t>hdistyneet</w:t>
      </w:r>
      <w:proofErr w:type="spellEnd"/>
      <w:r>
        <w:rPr>
          <w:lang w:val="en-US"/>
        </w:rPr>
        <w:t xml:space="preserve"> </w:t>
      </w:r>
      <w:proofErr w:type="spellStart"/>
      <w:r>
        <w:rPr>
          <w:lang w:val="en-US"/>
        </w:rPr>
        <w:t>kansakunnat</w:t>
      </w:r>
      <w:proofErr w:type="spellEnd"/>
      <w:r w:rsidRPr="001E28CC">
        <w:rPr>
          <w:lang w:val="en-US"/>
        </w:rPr>
        <w:t>.</w:t>
      </w:r>
      <w:r w:rsidR="6815A857" w:rsidRPr="001E28CC">
        <w:rPr>
          <w:lang w:val="en-US"/>
        </w:rPr>
        <w:t xml:space="preserve"> The Climate and Clean Air Coalition. </w:t>
      </w:r>
      <w:hyperlink r:id="rId69">
        <w:r w:rsidR="6815A857">
          <w:t>https://www.ccacoalition.org/content/climate-and-clean-air-coalition</w:t>
        </w:r>
      </w:hyperlink>
      <w:r>
        <w:t>.</w:t>
      </w:r>
    </w:p>
    <w:p w14:paraId="60F724E1" w14:textId="0A0B7296" w:rsidR="29E421A9" w:rsidRDefault="29E421A9" w:rsidP="725E3A07">
      <w:pPr>
        <w:pStyle w:val="Numeroimatonotsikko"/>
      </w:pPr>
      <w:r>
        <w:t>EU:n ilmastopolitiikka</w:t>
      </w:r>
    </w:p>
    <w:p w14:paraId="0D4BE76D" w14:textId="3A5AFDB7" w:rsidR="002461FC" w:rsidRPr="00357567" w:rsidRDefault="002461FC" w:rsidP="3797CEEB">
      <w:pPr>
        <w:pStyle w:val="VNLeip1kappale"/>
        <w:rPr>
          <w:rFonts w:cs="Arial"/>
          <w:color w:val="365ABD" w:themeColor="accent3"/>
        </w:rPr>
      </w:pPr>
      <w:r>
        <w:t>Euroopan komission täytäntöönpanopäätös (EU) 2020/2126,</w:t>
      </w:r>
      <w:r w:rsidR="08BDD8E5">
        <w:t xml:space="preserve"> </w:t>
      </w:r>
      <w:r>
        <w:t>annettu 16 päivänä joulukuuta 2020,</w:t>
      </w:r>
      <w:r w:rsidR="35A205A7">
        <w:t xml:space="preserve"> </w:t>
      </w:r>
      <w:r>
        <w:t xml:space="preserve">jäsenvaltioiden vuotuisten päästökiintiöiden vahvistamisesta kaudelle 2021–2030 Euroopan parlamentin ja neuvoston asetuksen (EU) 2018/842 mukaisesti. </w:t>
      </w:r>
      <w:hyperlink r:id="rId70">
        <w:r>
          <w:t>https://eur-lex.europa.eu/legal-content/FI/TXT/HTML/?uri=CELEX:02020D2126-20230719</w:t>
        </w:r>
      </w:hyperlink>
      <w:r w:rsidRPr="48B689CB">
        <w:rPr>
          <w:rFonts w:cs="Arial"/>
          <w:color w:val="365ABD" w:themeColor="accent3"/>
        </w:rPr>
        <w:t>https://eur-lex.europa.eu/legal-content/FI/TXT/HTML/?uri=CELEX:02020D2126-20230719</w:t>
      </w:r>
    </w:p>
    <w:p w14:paraId="33F9E756" w14:textId="77777777" w:rsidR="00357567" w:rsidRPr="00357567" w:rsidRDefault="6815A857" w:rsidP="004371CD">
      <w:pPr>
        <w:pStyle w:val="VNLeip1kappale"/>
        <w:rPr>
          <w:rFonts w:cs="Arial"/>
          <w:color w:val="365ABD" w:themeColor="accent3"/>
        </w:rPr>
      </w:pPr>
      <w:r>
        <w:t>E</w:t>
      </w:r>
      <w:r w:rsidR="155BD054">
        <w:t>u</w:t>
      </w:r>
      <w:r>
        <w:t>roopan parlamentin ja neuvoston asetus (EU) 2023/</w:t>
      </w:r>
      <w:proofErr w:type="gramStart"/>
      <w:r>
        <w:t>955,annettu</w:t>
      </w:r>
      <w:proofErr w:type="gramEnd"/>
      <w:r>
        <w:t xml:space="preserve"> 10 päivänä toukokuuta 2023, </w:t>
      </w:r>
      <w:hyperlink r:id="rId71">
        <w:r>
          <w:t>sosiaalisen ilmastorahaston perustamisesta ja asetuksen (EU) 2021/1060 muuttamisesta</w:t>
        </w:r>
      </w:hyperlink>
      <w:r w:rsidRPr="004371CD">
        <w:t>.</w:t>
      </w:r>
      <w:r>
        <w:t xml:space="preserve"> </w:t>
      </w:r>
      <w:hyperlink r:id="rId72">
        <w:r>
          <w:t>https://eur-lex.europa.eu/legal-content/FI/TXT/HTML/?uri=CELEX:02023R0955-20240630</w:t>
        </w:r>
      </w:hyperlink>
      <w:r>
        <w:t>.</w:t>
      </w:r>
      <w:r w:rsidRPr="004371CD">
        <w:t>.</w:t>
      </w:r>
    </w:p>
    <w:p w14:paraId="152CA490" w14:textId="77777777" w:rsidR="00357567" w:rsidRPr="00357567" w:rsidRDefault="6815A857" w:rsidP="004371CD">
      <w:pPr>
        <w:pStyle w:val="VNLeip1kappale"/>
        <w:rPr>
          <w:rFonts w:cs="Arial"/>
          <w:color w:val="365ABD" w:themeColor="accent3"/>
        </w:rPr>
      </w:pPr>
      <w:r>
        <w:t xml:space="preserve">Euroopan parlamentin ja neuvoston direktiivi 2003/87/EY, annettu 13 päivänä lokakuuta 2003, kasvihuonekaasujen päästöoikeuksien kaupan järjestelmän toteuttamisesta yhteisössä ja neuvoston direktiivin 96/61/EY muuttamisesta. </w:t>
      </w:r>
      <w:hyperlink r:id="rId73">
        <w:r>
          <w:t>https://eur-lex.europa.eu/legal-content/FI/TXT/?uri=CELEX:32003L0087</w:t>
        </w:r>
      </w:hyperlink>
      <w:r w:rsidRPr="48B689CB">
        <w:rPr>
          <w:rFonts w:cs="Arial"/>
          <w:color w:val="365ABD" w:themeColor="accent3"/>
        </w:rPr>
        <w:t>https://eur-lex.europa.eu/legal-content/FI/TXT/?uri=CELEX:32003L0087</w:t>
      </w:r>
    </w:p>
    <w:p w14:paraId="6CB1E560" w14:textId="77777777" w:rsidR="00357567" w:rsidRPr="00357567" w:rsidRDefault="7434937C" w:rsidP="5AEE7684">
      <w:pPr>
        <w:pStyle w:val="VNLeip1kappale"/>
      </w:pPr>
      <w:r w:rsidRPr="004371CD">
        <w:rPr>
          <w:rFonts w:cs="Arial"/>
        </w:rPr>
        <w:t>Ilmastolaki (423/2022).</w:t>
      </w:r>
      <w:r>
        <w:t xml:space="preserve"> </w:t>
      </w:r>
      <w:hyperlink r:id="rId74" w:history="1">
        <w:r w:rsidRPr="7434937C">
          <w:rPr>
            <w:rStyle w:val="Hyperlinkki"/>
          </w:rPr>
          <w:t>https://www.finlex.fi/fi/laki/ajantasa/2022/20220423</w:t>
        </w:r>
      </w:hyperlink>
    </w:p>
    <w:p w14:paraId="7FB9957F" w14:textId="77777777" w:rsidR="00357567" w:rsidRPr="005C2F32" w:rsidRDefault="204979C3" w:rsidP="004371CD">
      <w:pPr>
        <w:pStyle w:val="VNLeip1kappale"/>
      </w:pPr>
      <w:r>
        <w:t xml:space="preserve">Maa- ja metsätalousministeriö 2022. Kansallinen ilmastonmuutokseen sopeutumissuunnitelma 2022. </w:t>
      </w:r>
      <w:hyperlink r:id="rId75" w:history="1">
        <w:r w:rsidRPr="211EF6CA">
          <w:rPr>
            <w:rStyle w:val="Hyperlinkki"/>
            <w:u w:val="single"/>
          </w:rPr>
          <w:t>https://mmm.fi/documents/1410837/5120838/Kansallinen+ilmastonmuutokseen+sopeutumissuunnitelma+2022.pdf/1716aa76-8005-4626-bae0-b91f3b0c6396?t=1501159291000</w:t>
        </w:r>
      </w:hyperlink>
      <w:r>
        <w:t xml:space="preserve">. </w:t>
      </w:r>
    </w:p>
    <w:p w14:paraId="0DA932A2" w14:textId="77777777" w:rsidR="00357567" w:rsidRPr="005C2F32" w:rsidRDefault="204979C3" w:rsidP="004371CD">
      <w:pPr>
        <w:pStyle w:val="VNLeip1kappale"/>
      </w:pPr>
      <w:r>
        <w:t xml:space="preserve">Työ- ja elinkeinoministeriö 2020. Suomen pitkän aikavälin strategia kasvihuonekaasujen vähentämiseksi. </w:t>
      </w:r>
      <w:hyperlink r:id="rId76" w:history="1">
        <w:r w:rsidRPr="211EF6CA">
          <w:rPr>
            <w:rStyle w:val="Hyperlinkki"/>
            <w:u w:val="single"/>
          </w:rPr>
          <w:t>https://tem.fi/documents/1410877/2132096/Suomen+pitk%C3%A4n+aikav%C3%A4lin+strategia+kasvihuonekaasujen+v%C3%A4hent%C3%A4miseksi+1.4.2020/8cd55d4d-6de7-657f-a86f-bc79497d4756/Suomen+pitk%C3%A4n+aikav%C3%A4lin+strategia+kasvihuonekaasujen+v%C3%A4hent%C3%A4miseksi+1.4.2020.pdf?t=1692094955051</w:t>
        </w:r>
      </w:hyperlink>
      <w:r>
        <w:t xml:space="preserve"> </w:t>
      </w:r>
    </w:p>
    <w:p w14:paraId="2F083051" w14:textId="77777777" w:rsidR="00357567" w:rsidRPr="005C2F32" w:rsidRDefault="204979C3" w:rsidP="004371CD">
      <w:pPr>
        <w:pStyle w:val="VNLeip1kappale"/>
      </w:pPr>
      <w:r>
        <w:t xml:space="preserve">Työ- ja elinkeinoministeriö 2022. Hiilineutraali Suomi 2035 – kansallinen ilmasto- ja energiastrategia. Työ- ja elinkeinoministeriön julkaisuja 2022:53. </w:t>
      </w:r>
      <w:hyperlink r:id="rId77" w:history="1">
        <w:r w:rsidRPr="211EF6CA">
          <w:rPr>
            <w:rStyle w:val="Hyperlinkki"/>
            <w:u w:val="single"/>
          </w:rPr>
          <w:t>https://julkaisut.valtioneuvosto.fi/handle/10024/164321</w:t>
        </w:r>
      </w:hyperlink>
    </w:p>
    <w:p w14:paraId="6832677E" w14:textId="77777777" w:rsidR="002461FC" w:rsidRPr="005C2F32" w:rsidRDefault="002461FC" w:rsidP="004371CD">
      <w:pPr>
        <w:pStyle w:val="VNLeip1kappale"/>
        <w:rPr>
          <w:rStyle w:val="Hyperlinkki"/>
          <w:b/>
        </w:rPr>
      </w:pPr>
      <w:r>
        <w:t xml:space="preserve">Ympäristöministeriö 2022. Keskipitkän aikavälin ilmastopolitiikan suunnitelma (KAISU): Kohti hiilineutraalia yhteiskuntaa 2035.  Ympäristöministeriön julkaisuja 2022:12. </w:t>
      </w:r>
      <w:hyperlink r:id="rId78" w:history="1">
        <w:hyperlink r:id="rId79" w:history="1">
          <w:r w:rsidRPr="211EF6CA">
            <w:rPr>
              <w:rStyle w:val="Hyperlinkki"/>
            </w:rPr>
            <w:t>https://julkaisut.valtioneuvosto.fi/handle/10024/164186</w:t>
          </w:r>
        </w:hyperlink>
      </w:hyperlink>
    </w:p>
    <w:p w14:paraId="3E8B8CDA" w14:textId="64F2313B" w:rsidR="00357567" w:rsidRPr="005C2F32" w:rsidRDefault="00357567" w:rsidP="71EFA390">
      <w:pPr>
        <w:pStyle w:val="VNLeip1kappale"/>
      </w:pPr>
    </w:p>
    <w:p w14:paraId="0DEB5396" w14:textId="0420DE38" w:rsidR="7B93817B" w:rsidRPr="001E28CC" w:rsidRDefault="7B93817B" w:rsidP="725E3A07">
      <w:pPr>
        <w:pStyle w:val="Numeroimatonotsikko"/>
      </w:pPr>
      <w:r w:rsidRPr="001E28CC">
        <w:t>Suomen ilmastopolitiikka</w:t>
      </w:r>
    </w:p>
    <w:p w14:paraId="15F672B6" w14:textId="77777777" w:rsidR="002461FC" w:rsidRPr="001E28CC" w:rsidRDefault="002461FC" w:rsidP="004371CD">
      <w:pPr>
        <w:pStyle w:val="VNLeip1kappale"/>
        <w:rPr>
          <w:rFonts w:cs="Arial"/>
          <w:color w:val="365ABD" w:themeColor="accent3"/>
        </w:rPr>
      </w:pPr>
      <w:r>
        <w:t xml:space="preserve">Energiatehokkuuslaki (1429/2014) </w:t>
      </w:r>
      <w:hyperlink r:id="rId80">
        <w:r>
          <w:t>https://www.finlex.fi/fi/laki/alkup/2014/20141429</w:t>
        </w:r>
      </w:hyperlink>
      <w:r w:rsidRPr="48B689CB">
        <w:rPr>
          <w:rFonts w:cs="Arial"/>
          <w:color w:val="365ABD" w:themeColor="accent3"/>
        </w:rPr>
        <w:t>https://www.finlex.fi/fi/laki/alkup/2014/20141429</w:t>
      </w:r>
    </w:p>
    <w:p w14:paraId="2A9B60F9" w14:textId="77777777" w:rsidR="00357567" w:rsidRPr="00357567" w:rsidRDefault="6815A857" w:rsidP="004371CD">
      <w:pPr>
        <w:pStyle w:val="VNLeip1kappale"/>
        <w:rPr>
          <w:rFonts w:cs="Arial"/>
          <w:color w:val="365ABD" w:themeColor="accent3"/>
        </w:rPr>
      </w:pPr>
      <w:r>
        <w:t xml:space="preserve">Euroopan parlamentin ja neuvoston asetus (EU) N:o 525/2013, annettu 21 päivänä toukokuuta 2013, järjestelmästä kasvihuonekaasupäästöjen seuraamiseksi ja niistä raportoimiseksi sekä muista ilmastonmuutosta koskevista tiedoista raportoimiseksi kansallisella ja unionin tasolla sekä päätöksen N:o 280/2004/EY kumoamisesta. </w:t>
      </w:r>
      <w:hyperlink r:id="rId81">
        <w:r>
          <w:t>https://eur-lex.europa.eu/legal-content/FI/ALL/?uri=celex:32013R0525</w:t>
        </w:r>
      </w:hyperlink>
      <w:r w:rsidRPr="48B689CB">
        <w:rPr>
          <w:rFonts w:cs="Arial"/>
          <w:color w:val="365ABD" w:themeColor="accent3"/>
        </w:rPr>
        <w:t>https://eur-lex.europa.eu/legal-content/FI/ALL/?uri=celex:32013R0525</w:t>
      </w:r>
    </w:p>
    <w:p w14:paraId="25E3F46B" w14:textId="77777777" w:rsidR="00357567" w:rsidRPr="00357567" w:rsidRDefault="6815A857" w:rsidP="004371CD">
      <w:pPr>
        <w:pStyle w:val="VNLeip1kappale"/>
        <w:rPr>
          <w:rFonts w:cs="Arial"/>
          <w:color w:val="365ABD" w:themeColor="accent3"/>
        </w:rPr>
      </w:pPr>
      <w:r>
        <w:t xml:space="preserve">Ilmastolaki (423/2022). </w:t>
      </w:r>
      <w:hyperlink r:id="rId82">
        <w:r>
          <w:t>https://www.finlex.fi/fi/laki/ajantasa/2022/20220423</w:t>
        </w:r>
      </w:hyperlink>
      <w:r>
        <w:t xml:space="preserve">  </w:t>
      </w:r>
    </w:p>
    <w:p w14:paraId="35247D0C" w14:textId="77777777" w:rsidR="00357567" w:rsidRPr="00357567" w:rsidRDefault="6815A857" w:rsidP="004371CD">
      <w:pPr>
        <w:pStyle w:val="VNLeip1kappale"/>
        <w:rPr>
          <w:rFonts w:cs="Arial"/>
          <w:color w:val="365ABD" w:themeColor="accent3"/>
        </w:rPr>
      </w:pPr>
      <w:r>
        <w:t xml:space="preserve">Jätelaki (646/2011) </w:t>
      </w:r>
      <w:hyperlink r:id="rId83">
        <w:r>
          <w:t>https://www.finlex.fi/fi/laki/alkup/2011/20110646</w:t>
        </w:r>
      </w:hyperlink>
      <w:r w:rsidRPr="48B689CB">
        <w:rPr>
          <w:rFonts w:cs="Arial"/>
          <w:color w:val="365ABD" w:themeColor="accent3"/>
        </w:rPr>
        <w:t>https://www.finlex.fi/fi/laki/alkup/2011/20110646</w:t>
      </w:r>
    </w:p>
    <w:p w14:paraId="53DDF679" w14:textId="77777777" w:rsidR="00357567" w:rsidRPr="00357567" w:rsidRDefault="6815A857" w:rsidP="004371CD">
      <w:pPr>
        <w:pStyle w:val="VNLeip1kappale"/>
        <w:rPr>
          <w:rFonts w:cs="Arial"/>
          <w:color w:val="365ABD" w:themeColor="accent3"/>
        </w:rPr>
      </w:pPr>
      <w:r>
        <w:t xml:space="preserve">Laki biopolttoöljyn käytön edistämisestä (418/2019) </w:t>
      </w:r>
      <w:hyperlink r:id="rId84">
        <w:r>
          <w:t>https://www.finlex.fi/fi/laki/alkup/2019/20190418</w:t>
        </w:r>
      </w:hyperlink>
      <w:r w:rsidRPr="48B689CB">
        <w:rPr>
          <w:rFonts w:cs="Arial"/>
          <w:color w:val="365ABD" w:themeColor="accent3"/>
        </w:rPr>
        <w:t>https://www.finlex.fi/fi/laki/alkup/2019/20190418</w:t>
      </w:r>
    </w:p>
    <w:p w14:paraId="054553E1" w14:textId="77777777" w:rsidR="002461FC" w:rsidRPr="00357567" w:rsidRDefault="002461FC" w:rsidP="004371CD">
      <w:pPr>
        <w:pStyle w:val="VNLeip1kappale"/>
        <w:rPr>
          <w:rFonts w:cs="Arial"/>
          <w:color w:val="365ABD" w:themeColor="accent3"/>
        </w:rPr>
      </w:pPr>
      <w:r>
        <w:t xml:space="preserve">Laki nestemäisten polttoaineiden valmisteverosta (1472/1994) </w:t>
      </w:r>
      <w:hyperlink r:id="rId85">
        <w:r>
          <w:t>https://www.finlex.fi/fi/laki/alkup/1994/19941472</w:t>
        </w:r>
      </w:hyperlink>
      <w:r w:rsidRPr="48B689CB">
        <w:rPr>
          <w:rFonts w:cs="Arial"/>
          <w:color w:val="365ABD" w:themeColor="accent3"/>
        </w:rPr>
        <w:t>https://www.finlex.fi/fi/laki/alkup/1994/19941472</w:t>
      </w:r>
    </w:p>
    <w:p w14:paraId="4FAFA2FF" w14:textId="77777777" w:rsidR="002461FC" w:rsidRPr="00357567" w:rsidRDefault="002461FC" w:rsidP="004371CD">
      <w:pPr>
        <w:pStyle w:val="VNLeip1kappale"/>
        <w:rPr>
          <w:rFonts w:cs="Arial"/>
          <w:color w:val="365ABD" w:themeColor="accent3"/>
        </w:rPr>
      </w:pPr>
      <w:r>
        <w:t xml:space="preserve">Laki uusiutuvien polttoaineiden käytön edistämisestä liikenteessä (419/2019; 1279/2023) </w:t>
      </w:r>
      <w:hyperlink r:id="rId86">
        <w:r>
          <w:t>https://www.finlex.fi/fi/laki/alkup/2019/20190419</w:t>
        </w:r>
      </w:hyperlink>
      <w:r w:rsidRPr="48B689CB">
        <w:rPr>
          <w:rFonts w:cs="Arial"/>
          <w:color w:val="365ABD" w:themeColor="accent3"/>
        </w:rPr>
        <w:t>https://www.finlex.fi/fi/laki/alkup/2019/20190419</w:t>
      </w:r>
    </w:p>
    <w:p w14:paraId="200CFCB0" w14:textId="77777777" w:rsidR="002461FC" w:rsidRPr="00FF4623" w:rsidRDefault="002461FC" w:rsidP="004371CD">
      <w:pPr>
        <w:pStyle w:val="VNLeip1kappale"/>
        <w:rPr>
          <w:rFonts w:cs="Arial"/>
          <w:color w:val="365ABD" w:themeColor="accent3"/>
        </w:rPr>
      </w:pPr>
      <w:r w:rsidRPr="00FF4623">
        <w:t xml:space="preserve">Rakentamislaki 751/2023. </w:t>
      </w:r>
      <w:hyperlink r:id="rId87">
        <w:r w:rsidRPr="00FF4623">
          <w:t>https://www.edilex.fi/smur/20230751</w:t>
        </w:r>
      </w:hyperlink>
      <w:r w:rsidRPr="00FF4623">
        <w:t>.</w:t>
      </w:r>
      <w:r w:rsidRPr="00FF4623">
        <w:rPr>
          <w:rFonts w:cs="Arial"/>
          <w:color w:val="365ABD" w:themeColor="accent3"/>
        </w:rPr>
        <w:t xml:space="preserve"> </w:t>
      </w:r>
    </w:p>
    <w:p w14:paraId="41300F92" w14:textId="753A0BA8" w:rsidR="00357567" w:rsidRPr="00357567" w:rsidRDefault="6815A857" w:rsidP="1A72B1E4">
      <w:pPr>
        <w:pStyle w:val="Numeroimatonotsikko"/>
        <w:rPr>
          <w:rFonts w:cs="Arial"/>
          <w:color w:val="365ABD" w:themeColor="accent3"/>
        </w:rPr>
      </w:pPr>
      <w:r w:rsidRPr="1A72B1E4">
        <w:rPr>
          <w:rFonts w:cs="Arial"/>
          <w:color w:val="365ABD" w:themeColor="accent3"/>
        </w:rPr>
        <w:t xml:space="preserve"> </w:t>
      </w:r>
    </w:p>
    <w:p w14:paraId="7A061A6E" w14:textId="01F9FBB8" w:rsidR="0C907FFC" w:rsidRPr="000D659C" w:rsidRDefault="2D6A3620" w:rsidP="4DB1B9EC">
      <w:pPr>
        <w:pStyle w:val="Numeroimatonotsikko"/>
      </w:pPr>
      <w:r w:rsidRPr="000D659C">
        <w:t>Päästökehitys ja nykytoimien riittävyys</w:t>
      </w:r>
    </w:p>
    <w:p w14:paraId="3EE3148B" w14:textId="561413D6" w:rsidR="00357567" w:rsidRPr="00357567" w:rsidRDefault="6815A857" w:rsidP="76634E26">
      <w:pPr>
        <w:pStyle w:val="VNLeip1kappale"/>
        <w:rPr>
          <w:rFonts w:cs="Arial"/>
          <w:color w:val="365ABD" w:themeColor="accent3"/>
        </w:rPr>
      </w:pPr>
      <w:r>
        <w:t xml:space="preserve">Euroopan parlamentin ja neuvoston asetus (EU) 2018/842, annettu 30 päivänä toukokuuta 2018, sitovista vuotuisista kasvihuonekaasupäästöjen vähennyksistä jäsenvaltioissa vuosina 2021–2030, joilla edistetään ilmastotoimia Pariisin sopimuksen sitoumusten täyttämiseksi, sekä asetuksen (EU) N:o 525/2013 muuttamisesta. </w:t>
      </w:r>
      <w:hyperlink r:id="rId88">
        <w:r w:rsidRPr="76634E26">
          <w:rPr>
            <w:rStyle w:val="Hyperlinkki"/>
          </w:rPr>
          <w:t>https://eur-lex.europa.eu/legal-content/FI/TXT/?uri=CELEX:32018R0842</w:t>
        </w:r>
      </w:hyperlink>
      <w:r>
        <w:t xml:space="preserve"> </w:t>
      </w:r>
      <w:r w:rsidRPr="48B689CB">
        <w:rPr>
          <w:rFonts w:cs="Arial"/>
          <w:color w:val="365ABD" w:themeColor="accent3"/>
        </w:rPr>
        <w:t xml:space="preserve"> </w:t>
      </w:r>
    </w:p>
    <w:p w14:paraId="49DAC4EF" w14:textId="0938DCB2" w:rsidR="00357567" w:rsidRPr="00357567" w:rsidRDefault="6815A857" w:rsidP="76634E26">
      <w:pPr>
        <w:pStyle w:val="VNLeip1kappale"/>
        <w:rPr>
          <w:rFonts w:cs="Arial"/>
          <w:color w:val="365ABD" w:themeColor="accent3"/>
        </w:rPr>
      </w:pPr>
      <w:r>
        <w:t xml:space="preserve">Euroopan parlamentin ja neuvoston asetus (EU) 2023/857, annettu 19 päivänä huhtikuuta 2023, sitovista vuotuisista kasvihuonekaasupäästöjen vähennyksistä jäsenvaltioissa vuosina 2021–2030, joilla edistetään ilmastotoimia Pariisin sopimuksen sitoumusten täyttämiseksi, annetun asetuksen (EU) 2018/842 ja asetuksen (EU) 2018/1999 muuttamisesta. </w:t>
      </w:r>
      <w:hyperlink r:id="rId89">
        <w:r w:rsidRPr="76634E26">
          <w:rPr>
            <w:rStyle w:val="Hyperlinkki"/>
          </w:rPr>
          <w:t>https://eur-lex.europa.eu/legal-content/FI/TXT/?uri=CELEX:32023R0857</w:t>
        </w:r>
      </w:hyperlink>
      <w:r w:rsidRPr="48B689CB">
        <w:rPr>
          <w:rFonts w:cs="Arial"/>
          <w:color w:val="365ABD" w:themeColor="accent3"/>
        </w:rPr>
        <w:t>https://eur-lex.europa.eu/legal-content/FI/TXT/?uri=CELEX:32023R0857</w:t>
      </w:r>
    </w:p>
    <w:p w14:paraId="150DF843" w14:textId="4F09A96D" w:rsidR="00357567" w:rsidRPr="00DC0454" w:rsidRDefault="6815A857" w:rsidP="76634E26">
      <w:pPr>
        <w:pStyle w:val="VNLeip1kappale"/>
      </w:pPr>
      <w:r>
        <w:t xml:space="preserve">Komission asetus (EU) 2019/2023, annettu 1 päivänä lokakuuta 2019, kotitalouksien pyykinpesukoneiden ja kotitalouksien kuivaavien pyykinpesukoneiden ekologista suunnittelua koskevien vaatimusten vahvistamisesta Euroopan parlamentin ja neuvoston direktiivin 2009/125/EY mukaisesti sekä komission asetuksen (EY) N:o 1275/2008 muuttamisesta ja komission asetuksen (EU) N:o 1015/2010 kumoamisesta. </w:t>
      </w:r>
      <w:hyperlink r:id="rId90">
        <w:r w:rsidRPr="76634E26">
          <w:rPr>
            <w:rStyle w:val="Hyperlinkki"/>
          </w:rPr>
          <w:t>https://eur-lex.europa.eu/legal-content/FI/TXT/?uri=CELEX:32019R2023</w:t>
        </w:r>
      </w:hyperlink>
      <w:r>
        <w:t xml:space="preserve">. </w:t>
      </w:r>
      <w:r w:rsidRPr="00DC0454">
        <w:t xml:space="preserve"> </w:t>
      </w:r>
    </w:p>
    <w:p w14:paraId="5B81D6D0" w14:textId="77777777" w:rsidR="00077B5C" w:rsidRDefault="6815A857" w:rsidP="00077B5C">
      <w:pPr>
        <w:pStyle w:val="VNLeip1kappale"/>
      </w:pPr>
      <w:r>
        <w:t>Komission täytäntöönpanopäätös (EU) 2023/1319, annettu 28 päivänä kesäkuuta 2023, täytäntöönpanopäätöksen (EU) 2020/2126 muuttamisesta jäsenvaltioiden vuosittaisten päästökiintiöiden tarkistamiseksi kaudeksi 2023–20</w:t>
      </w:r>
      <w:r w:rsidRPr="004371CD">
        <w:t xml:space="preserve">30. </w:t>
      </w:r>
      <w:hyperlink r:id="rId91">
        <w:r w:rsidRPr="004371CD">
          <w:rPr>
            <w:rStyle w:val="Hyperlinkki"/>
          </w:rPr>
          <w:t>https://eur-lex.europa.eu/legal-content/FI/ALL/?uri=CELEX:32023D1319</w:t>
        </w:r>
      </w:hyperlink>
      <w:r w:rsidRPr="004371CD">
        <w:t xml:space="preserve"> </w:t>
      </w:r>
      <w:r>
        <w:t xml:space="preserve"> </w:t>
      </w:r>
      <w:r w:rsidRPr="1A076D1B">
        <w:t xml:space="preserve"> </w:t>
      </w:r>
    </w:p>
    <w:p w14:paraId="1F1F8B0B" w14:textId="51FFC051" w:rsidR="00357567" w:rsidRPr="00A76664" w:rsidRDefault="352819E3" w:rsidP="1A72B1E4">
      <w:pPr>
        <w:pStyle w:val="Numeroimatonotsikko"/>
        <w:rPr>
          <w:rFonts w:cs="Arial"/>
          <w:color w:val="365ABD" w:themeColor="accent3"/>
        </w:rPr>
      </w:pPr>
      <w:r>
        <w:t>Sektorikohtainen päästökehitys ja nykytoimet</w:t>
      </w:r>
      <w:r w:rsidR="003A330E">
        <w:t>,</w:t>
      </w:r>
      <w:r w:rsidR="55ADE398">
        <w:t xml:space="preserve"> Toimenpideohjelma päästövähennysten saavuttamiseksi</w:t>
      </w:r>
      <w:r w:rsidR="003A330E">
        <w:t xml:space="preserve"> &amp; Päästövähennystavoitteiden saavuttaminen</w:t>
      </w:r>
    </w:p>
    <w:p w14:paraId="166F5D2D" w14:textId="630B659C" w:rsidR="001925BE" w:rsidRPr="00CA5B76" w:rsidRDefault="001925BE" w:rsidP="40FEFCF3">
      <w:pPr>
        <w:pStyle w:val="VNLeip1kappale"/>
        <w:rPr>
          <w:rFonts w:cs="Arial"/>
          <w:color w:val="365ABD" w:themeColor="accent3"/>
        </w:rPr>
      </w:pPr>
      <w:r w:rsidRPr="1A72B1E4">
        <w:rPr>
          <w:rFonts w:cs="Arial"/>
          <w:color w:val="365ABD" w:themeColor="accent3"/>
        </w:rPr>
        <w:t xml:space="preserve"> </w:t>
      </w:r>
      <w:r>
        <w:t xml:space="preserve">AFRY 2024. Selvitys hallitusohjelman uusiutuvien polttoaineiden jakeluvelvoitetta koskevien kirjausten vaikutuksista sekä RED III-direktiivin kansallisesta toimeenpanosta. </w:t>
      </w:r>
      <w:hyperlink r:id="rId92">
        <w:r w:rsidRPr="26C6DD20">
          <w:rPr>
            <w:rStyle w:val="Hyperlinkki"/>
          </w:rPr>
          <w:t>https://valtioneuvosto.fi/documents/1410877/196402993/Jakeluvelvoiteselvitys_HO_REDIII_12022024_AFRY.pdf</w:t>
        </w:r>
      </w:hyperlink>
    </w:p>
    <w:p w14:paraId="49563534" w14:textId="77777777" w:rsidR="001925BE" w:rsidRPr="00357567" w:rsidRDefault="001925BE" w:rsidP="725E3A07">
      <w:pPr>
        <w:pStyle w:val="VNLeip1kappale"/>
        <w:rPr>
          <w:rFonts w:cs="Arial"/>
          <w:color w:val="365ABD" w:themeColor="accent3"/>
        </w:rPr>
      </w:pPr>
      <w:r>
        <w:t xml:space="preserve">Ahvenjärvi, S., Lehtonen, H., Lång, K., </w:t>
      </w:r>
      <w:proofErr w:type="spellStart"/>
      <w:r>
        <w:t>Lidauer</w:t>
      </w:r>
      <w:proofErr w:type="spellEnd"/>
      <w:r>
        <w:t xml:space="preserve">, M., </w:t>
      </w:r>
      <w:proofErr w:type="spellStart"/>
      <w:r>
        <w:t>Mehtiö</w:t>
      </w:r>
      <w:proofErr w:type="spellEnd"/>
      <w:r>
        <w:t xml:space="preserve">, T., Huhtanen, P., Nousiainen, J., Hietala, S., </w:t>
      </w:r>
      <w:proofErr w:type="spellStart"/>
      <w:r>
        <w:t>Bloch</w:t>
      </w:r>
      <w:proofErr w:type="spellEnd"/>
      <w:r>
        <w:t xml:space="preserve">, V., Suomi, P., Lötjönen, T., </w:t>
      </w:r>
      <w:proofErr w:type="spellStart"/>
      <w:r>
        <w:t>Latukka</w:t>
      </w:r>
      <w:proofErr w:type="spellEnd"/>
      <w:r>
        <w:t xml:space="preserve">, A., Kaukovirta, A., &amp; Tolvanen, A. 2022. Maatalouden kasvihuonekaasupäästöt ja niiden kustannukset: Synteesiraportti. Luonnonvarakeskus (Luke). </w:t>
      </w:r>
      <w:hyperlink r:id="rId93">
        <w:r w:rsidRPr="725E3A07">
          <w:rPr>
            <w:rStyle w:val="Hyperlinkki"/>
          </w:rPr>
          <w:t>https://jukuri.luke.fi/handle/10024/551924</w:t>
        </w:r>
      </w:hyperlink>
      <w:r w:rsidRPr="48B689CB">
        <w:rPr>
          <w:rFonts w:cs="Arial"/>
          <w:i/>
          <w:iCs/>
          <w:color w:val="365ABD" w:themeColor="accent3"/>
        </w:rPr>
        <w:t>https://jukuri.luke.fi/handle/10024/551924</w:t>
      </w:r>
    </w:p>
    <w:p w14:paraId="0B43EC07" w14:textId="77777777" w:rsidR="001925BE" w:rsidRPr="001925BE" w:rsidRDefault="001925BE" w:rsidP="4A594FA0">
      <w:pPr>
        <w:pStyle w:val="VNLeip1kappale"/>
      </w:pPr>
      <w:r w:rsidRPr="001925BE">
        <w:t xml:space="preserve">Energiatehokkuuslaki (1429/2014). </w:t>
      </w:r>
      <w:hyperlink r:id="rId94" w:history="1">
        <w:r w:rsidRPr="001925BE">
          <w:rPr>
            <w:rStyle w:val="Hyperlinkki"/>
          </w:rPr>
          <w:t>https://www.finlex.fi/fi/lainsaadanto/2014/1429</w:t>
        </w:r>
      </w:hyperlink>
      <w:r w:rsidRPr="001925BE">
        <w:t xml:space="preserve"> </w:t>
      </w:r>
    </w:p>
    <w:p w14:paraId="47C27DBE" w14:textId="77777777" w:rsidR="001925BE" w:rsidRPr="00166A62" w:rsidRDefault="001925BE" w:rsidP="4A05065C">
      <w:pPr>
        <w:pStyle w:val="VNLeip1kappale"/>
        <w:rPr>
          <w:b/>
        </w:rPr>
      </w:pPr>
      <w:r w:rsidRPr="00166A62">
        <w:t>Energiatehokkuussopimukset. https://energiatehokkuussopimukset2017-2025.fi/tulokset/</w:t>
      </w:r>
    </w:p>
    <w:p w14:paraId="0B5EBA84" w14:textId="77777777" w:rsidR="00357567" w:rsidRPr="00357567" w:rsidRDefault="6815A857" w:rsidP="004371CD">
      <w:pPr>
        <w:pStyle w:val="VNLeip1kappale"/>
        <w:rPr>
          <w:rFonts w:cs="Arial"/>
          <w:color w:val="365ABD" w:themeColor="accent3"/>
        </w:rPr>
      </w:pPr>
      <w:r>
        <w:t xml:space="preserve">Energiavirasto. Jakeluvelvoiteohje Ohje uusiutuvien polttoaineiden ja biopolttoöljyn jakeluvelvoitteen ilmoittamisesta Energiavirastolle.  </w:t>
      </w:r>
      <w:hyperlink r:id="rId95">
        <w:r>
          <w:t>https://energiavirasto.fi/documents/11120570/103079467/Jakeluvelvoiteohje.pdf/7316f5d4-d6bc-643d-d07c-8729a30f57f7/Jakeluvelvoiteohje.pdf?t=1706688223601</w:t>
        </w:r>
      </w:hyperlink>
      <w:r w:rsidRPr="48B689CB">
        <w:rPr>
          <w:rFonts w:cs="Arial"/>
          <w:color w:val="365ABD" w:themeColor="accent3"/>
        </w:rPr>
        <w:t>https://energiavirasto.fi/documents/11120570/103079467/Jakeluvelvoiteohje.pdf/7316f5d4-d6bc-643d-d07c-8729a30f57f7/Jakeluvelvoiteohje.pdf?t=1706688223601</w:t>
      </w:r>
      <w:r>
        <w:t xml:space="preserve"> </w:t>
      </w:r>
    </w:p>
    <w:p w14:paraId="4C262149" w14:textId="77777777" w:rsidR="001925BE" w:rsidRDefault="001925BE" w:rsidP="49D38A44">
      <w:pPr>
        <w:pStyle w:val="VNLeip1kappale"/>
        <w:rPr>
          <w:szCs w:val="22"/>
          <w:lang w:val="fi"/>
        </w:rPr>
      </w:pPr>
      <w:r w:rsidRPr="5D90D565">
        <w:rPr>
          <w:szCs w:val="22"/>
          <w:lang w:val="fi"/>
        </w:rPr>
        <w:t xml:space="preserve">Energiavirasto. </w:t>
      </w:r>
      <w:r w:rsidRPr="5D90D565">
        <w:rPr>
          <w:color w:val="000000" w:themeColor="text1"/>
          <w:szCs w:val="22"/>
          <w:lang w:val="fi"/>
        </w:rPr>
        <w:t xml:space="preserve">Polttoaineen päästökauppa ETS2. </w:t>
      </w:r>
      <w:r w:rsidRPr="5D90D565">
        <w:rPr>
          <w:szCs w:val="22"/>
          <w:lang w:val="fi"/>
        </w:rPr>
        <w:t>https://energiavirasto.fi/polttoaineen-paastokauppa</w:t>
      </w:r>
    </w:p>
    <w:p w14:paraId="6DD7C45C" w14:textId="77777777" w:rsidR="00357567" w:rsidRPr="00357567" w:rsidRDefault="6815A857" w:rsidP="5355A9A2">
      <w:pPr>
        <w:pStyle w:val="VNLeip1kappale"/>
        <w:rPr>
          <w:rFonts w:cs="Arial"/>
          <w:color w:val="365ABD" w:themeColor="accent3"/>
        </w:rPr>
      </w:pPr>
      <w:r>
        <w:t xml:space="preserve">Euroopan komissio. EU:n uuden yhteisen maatalouspolitiikan keskeiset tavoitteet vuosille 2023–27. </w:t>
      </w:r>
      <w:hyperlink r:id="rId96">
        <w:r w:rsidRPr="5355A9A2">
          <w:rPr>
            <w:rStyle w:val="Hyperlinkki"/>
          </w:rPr>
          <w:t>https://agriculture.ec.europa.eu/common-agricultural-policy/cap-overview/cap-2023-27/key-policy-objectives-cap-2023-27_fi</w:t>
        </w:r>
      </w:hyperlink>
      <w:r>
        <w:t xml:space="preserve">. </w:t>
      </w:r>
    </w:p>
    <w:p w14:paraId="0994EB45" w14:textId="77777777" w:rsidR="001925BE" w:rsidRPr="00357567" w:rsidRDefault="001925BE" w:rsidP="5355A9A2">
      <w:pPr>
        <w:pStyle w:val="VNLeip1kappale"/>
        <w:rPr>
          <w:rFonts w:cs="Arial"/>
          <w:color w:val="365ABD" w:themeColor="accent3"/>
        </w:rPr>
      </w:pPr>
      <w:r>
        <w:t xml:space="preserve">Euroopan komissio. Suomi – Yhteisen maatalouspolitiikan strategiasuunnitelma. </w:t>
      </w:r>
      <w:hyperlink r:id="rId97">
        <w:r w:rsidRPr="5355A9A2">
          <w:rPr>
            <w:rStyle w:val="Hyperlinkki"/>
          </w:rPr>
          <w:t>https://agriculture.ec.europa.eu/cap-my-country/cap-strategic-plans/finland_fi</w:t>
        </w:r>
      </w:hyperlink>
      <w:r w:rsidRPr="48B689CB">
        <w:rPr>
          <w:rFonts w:cs="Arial"/>
          <w:color w:val="365ABD" w:themeColor="accent3"/>
        </w:rPr>
        <w:t>https://agriculture.ec.europa.eu/cap-my-country/cap-strategic-plans/finland_fi</w:t>
      </w:r>
    </w:p>
    <w:p w14:paraId="311274A2" w14:textId="77777777" w:rsidR="001925BE" w:rsidRPr="00357567" w:rsidRDefault="001925BE" w:rsidP="725E3A07">
      <w:pPr>
        <w:pStyle w:val="VNLeip1kappale"/>
        <w:rPr>
          <w:rFonts w:cs="Arial"/>
          <w:color w:val="365ABD" w:themeColor="accent3"/>
        </w:rPr>
      </w:pPr>
      <w:r>
        <w:t xml:space="preserve">Euroopan parlamentin ja neuvoston asetus (EU) 2024/1781, annettu 13 päivänä kesäkuuta 2024, kestävien tuotteiden ekologiselle suunnittelulle asetettavien vaatimusten puitteista, direktiivin (EU) 2020/1828 ja asetuksen (EU) 2023/1542 muuttamisesta sekä direktiivin 2009/125/EY kumoamisesta.  </w:t>
      </w:r>
      <w:hyperlink r:id="rId98">
        <w:r w:rsidRPr="725E3A07">
          <w:rPr>
            <w:rStyle w:val="Hyperlinkki"/>
          </w:rPr>
          <w:t>https://eur-lex.europa.eu/eli/reg/2024/1781/oj?locale=fi</w:t>
        </w:r>
      </w:hyperlink>
      <w:r>
        <w:t xml:space="preserve"> </w:t>
      </w:r>
    </w:p>
    <w:p w14:paraId="2C113807" w14:textId="77777777" w:rsidR="00357567" w:rsidRPr="00357567" w:rsidRDefault="6815A857" w:rsidP="004371CD">
      <w:pPr>
        <w:pStyle w:val="VNLeip1kappale"/>
        <w:rPr>
          <w:rFonts w:cs="Arial"/>
          <w:color w:val="365ABD" w:themeColor="accent3"/>
        </w:rPr>
      </w:pPr>
      <w:r w:rsidRPr="004371CD">
        <w:t xml:space="preserve">Euroopan parlamentin ja neuvoston asetus (EU) 2024/573, annettu 7 päivänä helmikuuta 2024, fluoratuista kasvihuonekaasuista, direktiivin (EU) 2019/1937 muuttamisesta ja asetuksen (EU) N:o 517/2014 kumoamisesta. </w:t>
      </w:r>
      <w:hyperlink r:id="rId99">
        <w:r w:rsidRPr="004371CD">
          <w:rPr>
            <w:rStyle w:val="Hyperlinkki"/>
          </w:rPr>
          <w:t>https://eur-lex.europa.eu/legal-content/FI/ALL/?uri=CELEX%3A32024R0573</w:t>
        </w:r>
      </w:hyperlink>
      <w:r w:rsidRPr="004371CD">
        <w:t xml:space="preserve"> </w:t>
      </w:r>
    </w:p>
    <w:p w14:paraId="2B9F41D5" w14:textId="77777777" w:rsidR="00357567" w:rsidRPr="00357567" w:rsidRDefault="6815A857" w:rsidP="004371CD">
      <w:pPr>
        <w:pStyle w:val="VNLeip1kappale"/>
        <w:rPr>
          <w:rFonts w:cs="Arial"/>
          <w:color w:val="365ABD" w:themeColor="accent3"/>
        </w:rPr>
      </w:pPr>
      <w:r w:rsidRPr="004371CD">
        <w:t xml:space="preserve">Euroopan parlamentin ja neuvoston asetus (EU) 2024/573, annettu 7 päivänä helmikuuta 2024, fluoratuista kasvihuonekaasuista, direktiivin (EU) 2019/1937 muuttamisesta ja asetuksen (EU) N:o 517/2014 kumoamisesta. </w:t>
      </w:r>
      <w:hyperlink r:id="rId100">
        <w:r w:rsidRPr="004371CD">
          <w:rPr>
            <w:rStyle w:val="Hyperlinkki"/>
          </w:rPr>
          <w:t>https://eur-lex.europa.eu/legal-content/FI/TXT/?uri=CELEX:32024R0573</w:t>
        </w:r>
      </w:hyperlink>
      <w:r w:rsidRPr="004371CD">
        <w:t xml:space="preserve"> </w:t>
      </w:r>
      <w:r w:rsidRPr="48B689CB">
        <w:rPr>
          <w:rFonts w:cs="Arial"/>
          <w:color w:val="365ABD" w:themeColor="accent3"/>
        </w:rPr>
        <w:t xml:space="preserve"> </w:t>
      </w:r>
    </w:p>
    <w:p w14:paraId="17AD4154" w14:textId="77777777" w:rsidR="001925BE" w:rsidRPr="00357567" w:rsidRDefault="001925BE" w:rsidP="725E3A07">
      <w:pPr>
        <w:pStyle w:val="VNLeip1kappale"/>
        <w:rPr>
          <w:rFonts w:cs="Arial"/>
          <w:color w:val="365ABD" w:themeColor="accent3"/>
        </w:rPr>
      </w:pPr>
      <w:r>
        <w:t xml:space="preserve">Euroopan parlamentin ja neuvoston direktiivi (EU) 2024/1799, annettu 13 päivänä kesäkuuta 2024, tavaroiden korjaamista edistävistä yhteisistä säännöistä sekä asetuksen (EU) 2017/2394 ja direktiivien (EU) 2019/771 ja (EU) 2020/1828 muuttamisesta. </w:t>
      </w:r>
      <w:hyperlink r:id="rId101">
        <w:r w:rsidRPr="725E3A07">
          <w:rPr>
            <w:rStyle w:val="Hyperlinkki"/>
          </w:rPr>
          <w:t>https://eur-lex.europa.eu/legal-content/FI/TXT/HTML/?uri=OJ:L_202401799</w:t>
        </w:r>
      </w:hyperlink>
      <w:r w:rsidRPr="48B689CB">
        <w:rPr>
          <w:rFonts w:cs="Arial"/>
          <w:color w:val="365ABD" w:themeColor="accent3"/>
        </w:rPr>
        <w:t>https://eur-lex.europa.eu/legal-content/FI/TXT/HTML/?uri=OJ:L_202401799</w:t>
      </w:r>
    </w:p>
    <w:p w14:paraId="6CAFE8CA" w14:textId="77777777" w:rsidR="00357567" w:rsidRPr="00357567" w:rsidRDefault="6815A857" w:rsidP="725E3A07">
      <w:pPr>
        <w:pStyle w:val="VNLeip1kappale"/>
        <w:rPr>
          <w:rFonts w:cs="Arial"/>
          <w:color w:val="365ABD" w:themeColor="accent3"/>
        </w:rPr>
      </w:pPr>
      <w:r>
        <w:t xml:space="preserve">Hallituksen esitys eduskunnalle laeiksi biopolttoöljyn käytön edistämisestä annetun lain sekä biopolttoaineista, bionesteistä ja biomassapolttoaineista annetun lain muuttamisesta (HE 297/2022 vp). </w:t>
      </w:r>
      <w:hyperlink r:id="rId102">
        <w:r w:rsidRPr="725E3A07">
          <w:rPr>
            <w:rStyle w:val="Hyperlinkki"/>
          </w:rPr>
          <w:t>https://www.eduskunta.fi/FI/vaski/KasittelytiedotValtiopaivaasia/Sivut/HE_297+2022.aspx</w:t>
        </w:r>
      </w:hyperlink>
    </w:p>
    <w:p w14:paraId="33826CD8" w14:textId="77777777" w:rsidR="001925BE" w:rsidRPr="00CA5B76" w:rsidRDefault="001925BE" w:rsidP="43F68548">
      <w:pPr>
        <w:pStyle w:val="VNLeip1kappale"/>
        <w:rPr>
          <w:szCs w:val="22"/>
        </w:rPr>
      </w:pPr>
      <w:r w:rsidRPr="5F9B6CCD">
        <w:rPr>
          <w:szCs w:val="22"/>
        </w:rPr>
        <w:t>Hallituksen esitys eduskunnalle laiksi nestemäisten polttoaineiden valmisteverosta annetun lain liitteen muuttamisesta (HE 36/2023). https://www.eduskunta.fi/FI/vaski/KasittelytiedotValtiopaivaasia/Sivut/HE_36+2023.aspx</w:t>
      </w:r>
    </w:p>
    <w:p w14:paraId="2D965DD5" w14:textId="77777777" w:rsidR="001925BE" w:rsidRPr="00357567" w:rsidRDefault="001925BE" w:rsidP="4A594FA0">
      <w:pPr>
        <w:pStyle w:val="VNLeip1kappale"/>
        <w:rPr>
          <w:rFonts w:cs="Arial"/>
          <w:b/>
          <w:color w:val="365ABD" w:themeColor="accent3"/>
        </w:rPr>
      </w:pPr>
      <w:r>
        <w:t xml:space="preserve">Hankinta-Suomi. </w:t>
      </w:r>
      <w:r w:rsidRPr="001925BE">
        <w:t xml:space="preserve">Hankinta-Suomi – julkiset hankinnat </w:t>
      </w:r>
      <w:proofErr w:type="gramStart"/>
      <w:r w:rsidRPr="001925BE">
        <w:t>vaikuttavammiksi</w:t>
      </w:r>
      <w:r w:rsidDel="03318D9F">
        <w:t xml:space="preserve"> </w:t>
      </w:r>
      <w:r>
        <w:t>.</w:t>
      </w:r>
      <w:proofErr w:type="gramEnd"/>
      <w:r>
        <w:t xml:space="preserve"> </w:t>
      </w:r>
      <w:hyperlink r:id="rId103" w:history="1">
        <w:r w:rsidRPr="5BDC68E3">
          <w:rPr>
            <w:rStyle w:val="Hyperlinkki"/>
          </w:rPr>
          <w:t>https://vm.fi/hankinta-suomi</w:t>
        </w:r>
      </w:hyperlink>
    </w:p>
    <w:p w14:paraId="7C9A732A" w14:textId="77777777" w:rsidR="001925BE" w:rsidRPr="00357567" w:rsidRDefault="001925BE" w:rsidP="725E3A07">
      <w:pPr>
        <w:pStyle w:val="VNLeip1kappale"/>
        <w:rPr>
          <w:rFonts w:cs="Arial"/>
          <w:color w:val="365ABD" w:themeColor="accent3"/>
        </w:rPr>
      </w:pPr>
      <w:r>
        <w:t xml:space="preserve">Heinonen, T., Liimatainen, H., Linnanen, L., Lång, K., Nissinen, A., Nyfors, T., Saarinen, M., Seppälä, J., &amp; Viri, R. 2020. Kuluttajanäkökulma ilmastopolitiikkaan. Ilmastopaneelin raportti 4/2020. </w:t>
      </w:r>
      <w:hyperlink r:id="rId104">
        <w:r w:rsidRPr="725E3A07">
          <w:rPr>
            <w:rStyle w:val="Hyperlinkki"/>
          </w:rPr>
          <w:t>https://ilmastopaneeli.fi/hae-julkaisuja/kuluttajanakokulma-ilmastopolitiikkaan/</w:t>
        </w:r>
      </w:hyperlink>
      <w:r>
        <w:t xml:space="preserve">  </w:t>
      </w:r>
      <w:r w:rsidRPr="48B689CB">
        <w:rPr>
          <w:rFonts w:cs="Arial"/>
          <w:color w:val="365ABD" w:themeColor="accent3"/>
        </w:rPr>
        <w:t xml:space="preserve"> </w:t>
      </w:r>
    </w:p>
    <w:p w14:paraId="4C411AB4" w14:textId="77777777" w:rsidR="001925BE" w:rsidRPr="00357567" w:rsidRDefault="001925BE" w:rsidP="725E3A07">
      <w:pPr>
        <w:pStyle w:val="VNLeip1kappale"/>
        <w:rPr>
          <w:rFonts w:cs="Arial"/>
          <w:color w:val="365ABD" w:themeColor="accent3"/>
        </w:rPr>
      </w:pPr>
      <w:r>
        <w:t xml:space="preserve">Häkkinen, T., </w:t>
      </w:r>
      <w:proofErr w:type="spellStart"/>
      <w:r>
        <w:t>Kurnitski</w:t>
      </w:r>
      <w:proofErr w:type="spellEnd"/>
      <w:r>
        <w:t xml:space="preserve">, J., Liimatainen, H., Niemistö, J., Niva, M., Ollikainen, M., Saarinen, M., Savolainen, H., Seppälä, J., Vainio, A., &amp; Weaver, S. 2022.  Kuluttajien mahdollisuudet Suomen päästövähennysten vauhdittamiseksi. Suomen ilmastopaneelin raportti 5/2022.  </w:t>
      </w:r>
      <w:hyperlink r:id="rId105">
        <w:r w:rsidRPr="725E3A07">
          <w:rPr>
            <w:rStyle w:val="Hyperlinkki"/>
          </w:rPr>
          <w:t>https://ilmastopaneeli.fi/hae-julkaisuja/kuluttajien-mahdollisuudet-suomen-paastovahennysten-vauhdittamiseksi/</w:t>
        </w:r>
      </w:hyperlink>
      <w:r>
        <w:t xml:space="preserve">  </w:t>
      </w:r>
      <w:r w:rsidRPr="48B689CB">
        <w:rPr>
          <w:rFonts w:cs="Arial"/>
          <w:color w:val="365ABD" w:themeColor="accent3"/>
        </w:rPr>
        <w:t xml:space="preserve"> </w:t>
      </w:r>
    </w:p>
    <w:p w14:paraId="110EFF79" w14:textId="372D0919" w:rsidR="003A330E" w:rsidRPr="003A330E" w:rsidRDefault="003A330E" w:rsidP="003A330E">
      <w:pPr>
        <w:pStyle w:val="VNLeip1kappale"/>
      </w:pPr>
      <w:r w:rsidRPr="003A330E">
        <w:t>Kansallisen ilmasto- ja energiapolitiikan vaikutusten arviointi ja pitkän aikavälin tavoiteskenaariot. KEITO-</w:t>
      </w:r>
      <w:r w:rsidR="5B6F5D65">
        <w:t>työn</w:t>
      </w:r>
      <w:r w:rsidRPr="003A330E">
        <w:t xml:space="preserve"> </w:t>
      </w:r>
      <w:proofErr w:type="spellStart"/>
      <w:r w:rsidRPr="003A330E">
        <w:t>Sova</w:t>
      </w:r>
      <w:proofErr w:type="spellEnd"/>
      <w:r w:rsidRPr="003A330E">
        <w:t xml:space="preserve">-raportti. </w:t>
      </w:r>
      <w:r w:rsidRPr="003A330E">
        <w:rPr>
          <w:highlight w:val="yellow"/>
        </w:rPr>
        <w:t>Lisätään lähdeviite, kun raportti julkaistaan</w:t>
      </w:r>
    </w:p>
    <w:p w14:paraId="78AA3C63" w14:textId="77777777" w:rsidR="001925BE" w:rsidRPr="00DF4764" w:rsidRDefault="001925BE" w:rsidP="32718411">
      <w:pPr>
        <w:pStyle w:val="VNLeip1kappale"/>
        <w:rPr>
          <w:rFonts w:cs="Arial"/>
          <w:color w:val="365ABD" w:themeColor="accent3"/>
          <w:lang w:val="en-US"/>
        </w:rPr>
      </w:pPr>
      <w:r>
        <w:t xml:space="preserve">Karhinen, S., Peltomaa, J., Riekkinen, V. &amp; Saikku, L. 2021. </w:t>
      </w:r>
      <w:r w:rsidRPr="32718411">
        <w:rPr>
          <w:lang w:val="en-US"/>
        </w:rPr>
        <w:t xml:space="preserve">Impact of a climate network: The role of intermediaries in local level climate action. Global Environmental Change Volume 67. </w:t>
      </w:r>
      <w:hyperlink r:id="rId106">
        <w:r w:rsidRPr="00DF4764">
          <w:rPr>
            <w:rStyle w:val="Hyperlinkki"/>
            <w:lang w:val="en-US"/>
          </w:rPr>
          <w:t>https://www.sciencedirect.com/science/article/pii/S0959378021000042</w:t>
        </w:r>
      </w:hyperlink>
    </w:p>
    <w:p w14:paraId="35DB895E" w14:textId="77777777" w:rsidR="00357567" w:rsidRPr="00357567" w:rsidRDefault="6815A857" w:rsidP="725E3A07">
      <w:pPr>
        <w:pStyle w:val="VNLeip1kappale"/>
        <w:rPr>
          <w:rFonts w:cs="Arial"/>
          <w:color w:val="365ABD" w:themeColor="accent3"/>
        </w:rPr>
      </w:pPr>
      <w:r>
        <w:t xml:space="preserve">Koljonen, T., Silfver, T., Soimakallio, S., </w:t>
      </w:r>
      <w:proofErr w:type="spellStart"/>
      <w:r>
        <w:t>Koreneff</w:t>
      </w:r>
      <w:proofErr w:type="spellEnd"/>
      <w:r>
        <w:t xml:space="preserve">, G., Lehtilä, A., Markkanen, J., Vainio, T., Aakkula, J., Haakana, M., Hirvelä, H., Lehtonen, H., Mutanen, A., Myllykangas, J.-P., Viitanen, J., Vikfors, S., Forsberg, T., &amp; Koskivaara, O., 2024. Perusskenaariot energia- ja ilmastotoimien kokonaisuudelle kohti päästöttömyyttä (PEIKKO). Valtioneuvoston kanslia. </w:t>
      </w:r>
      <w:hyperlink r:id="rId107">
        <w:r w:rsidRPr="725E3A07">
          <w:rPr>
            <w:rStyle w:val="Hyperlinkki"/>
          </w:rPr>
          <w:t>https://julkaisut.valtioneuvosto.fi/handle/10024/165717</w:t>
        </w:r>
      </w:hyperlink>
      <w:r w:rsidRPr="48B689CB">
        <w:rPr>
          <w:rFonts w:cs="Arial"/>
          <w:color w:val="365ABD" w:themeColor="accent3"/>
        </w:rPr>
        <w:t>https://julkaisut.valtioneuvosto.fi/handle/10024/165717</w:t>
      </w:r>
    </w:p>
    <w:p w14:paraId="4231A81A" w14:textId="77777777" w:rsidR="7D8965E2" w:rsidRDefault="0456CA96" w:rsidP="5D90D565">
      <w:pPr>
        <w:pStyle w:val="VNLeip1kappale"/>
        <w:rPr>
          <w:szCs w:val="22"/>
        </w:rPr>
      </w:pPr>
      <w:r w:rsidRPr="13530100">
        <w:rPr>
          <w:szCs w:val="22"/>
          <w:lang w:val="fi"/>
        </w:rPr>
        <w:t>Laki biopolttoöljyn käytön edistämisestä</w:t>
      </w:r>
      <w:r>
        <w:t xml:space="preserve"> (</w:t>
      </w:r>
      <w:r w:rsidRPr="13530100">
        <w:rPr>
          <w:szCs w:val="22"/>
        </w:rPr>
        <w:t xml:space="preserve">418/2019). </w:t>
      </w:r>
      <w:r w:rsidR="001925BE" w:rsidRPr="13530100">
        <w:rPr>
          <w:szCs w:val="22"/>
        </w:rPr>
        <w:t xml:space="preserve"> </w:t>
      </w:r>
      <w:hyperlink r:id="rId108" w:history="1">
        <w:r w:rsidR="001925BE" w:rsidRPr="13530100">
          <w:rPr>
            <w:rStyle w:val="Hyperlinkki"/>
            <w:szCs w:val="22"/>
          </w:rPr>
          <w:t>https://finlex.fi/fi/lainsaadanto/2019/418</w:t>
        </w:r>
      </w:hyperlink>
      <w:r w:rsidR="001925BE" w:rsidRPr="13530100">
        <w:rPr>
          <w:szCs w:val="22"/>
        </w:rPr>
        <w:t xml:space="preserve"> </w:t>
      </w:r>
    </w:p>
    <w:p w14:paraId="47CC89AA" w14:textId="77777777" w:rsidR="001925BE" w:rsidRPr="00357567" w:rsidRDefault="001925BE" w:rsidP="5C3D742A">
      <w:pPr>
        <w:pStyle w:val="VNLeip1kappale"/>
        <w:rPr>
          <w:rFonts w:cs="Arial"/>
          <w:color w:val="365ABD" w:themeColor="accent3"/>
        </w:rPr>
      </w:pPr>
      <w:r>
        <w:t xml:space="preserve">Liikenne- ja viestintäministeriö. Hallitus päätti tieliikenteen päästöjen vähennyskeinoista – päästöt puoleen 2030 mennessä. </w:t>
      </w:r>
      <w:r w:rsidRPr="0B00684D">
        <w:rPr>
          <w:rFonts w:cs="Arial"/>
          <w:color w:val="365ABD" w:themeColor="accent3"/>
        </w:rPr>
        <w:t>https://lvm.fi/-/hallitus-paatti-tieliikenteen-paastojen-vahennyskeinoista-paastot-puoleen-2030-mennessa-1293954</w:t>
      </w:r>
    </w:p>
    <w:p w14:paraId="0CCA28C9" w14:textId="77777777" w:rsidR="001925BE" w:rsidRPr="00357567" w:rsidRDefault="001925BE" w:rsidP="5355A9A2">
      <w:pPr>
        <w:pStyle w:val="VNLeip1kappale"/>
        <w:rPr>
          <w:rFonts w:cs="Arial"/>
          <w:color w:val="365ABD" w:themeColor="accent3"/>
        </w:rPr>
      </w:pPr>
      <w:r>
        <w:t xml:space="preserve">Luonnonvarakeskus. Ilmastoviisaat ruokintaratkaisut Suomen maidontuotannossa. </w:t>
      </w:r>
      <w:hyperlink r:id="rId109">
        <w:r w:rsidRPr="5355A9A2">
          <w:rPr>
            <w:rStyle w:val="Hyperlinkki"/>
          </w:rPr>
          <w:t>https://www.luke.fi/fi/projektit/irma</w:t>
        </w:r>
      </w:hyperlink>
      <w:proofErr w:type="gramStart"/>
      <w:r>
        <w:t xml:space="preserve">. </w:t>
      </w:r>
      <w:r w:rsidRPr="48B689CB">
        <w:rPr>
          <w:rFonts w:cs="Arial"/>
          <w:color w:val="365ABD" w:themeColor="accent3"/>
        </w:rPr>
        <w:t>.</w:t>
      </w:r>
      <w:proofErr w:type="gramEnd"/>
      <w:r w:rsidRPr="48B689CB">
        <w:rPr>
          <w:rFonts w:cs="Arial"/>
          <w:color w:val="365ABD" w:themeColor="accent3"/>
        </w:rPr>
        <w:t xml:space="preserve"> </w:t>
      </w:r>
    </w:p>
    <w:p w14:paraId="428B5B52" w14:textId="77777777" w:rsidR="001925BE" w:rsidRPr="00357567" w:rsidRDefault="001925BE" w:rsidP="5355A9A2">
      <w:pPr>
        <w:pStyle w:val="VNLeip1kappale"/>
        <w:rPr>
          <w:rFonts w:cs="Arial"/>
          <w:color w:val="365ABD" w:themeColor="accent3"/>
        </w:rPr>
      </w:pPr>
      <w:r>
        <w:t xml:space="preserve">Luonnonvarakeskus. Turvepeltojen käytön tiekartta. </w:t>
      </w:r>
      <w:hyperlink r:id="rId110">
        <w:r w:rsidRPr="5355A9A2">
          <w:rPr>
            <w:rStyle w:val="Hyperlinkki"/>
          </w:rPr>
          <w:t>https://www.luke.fi/fi/projektit/tptiekartta</w:t>
        </w:r>
      </w:hyperlink>
      <w:r>
        <w:t>.</w:t>
      </w:r>
    </w:p>
    <w:p w14:paraId="773B2A62" w14:textId="77777777" w:rsidR="001925BE" w:rsidRPr="001925BE" w:rsidRDefault="001925BE" w:rsidP="4A594FA0">
      <w:pPr>
        <w:pStyle w:val="VNLeip1kappale"/>
        <w:rPr>
          <w:b/>
          <w:lang w:val="sv-SE"/>
        </w:rPr>
      </w:pPr>
      <w:r>
        <w:t xml:space="preserve">Maa- ja metsätalousministeriö. </w:t>
      </w:r>
      <w:proofErr w:type="spellStart"/>
      <w:r w:rsidRPr="001925BE">
        <w:rPr>
          <w:lang w:val="sv-SE"/>
        </w:rPr>
        <w:t>Biotalousstrategia</w:t>
      </w:r>
      <w:proofErr w:type="spellEnd"/>
      <w:r w:rsidRPr="001925BE">
        <w:rPr>
          <w:lang w:val="sv-SE"/>
        </w:rPr>
        <w:t>. https://mmm.fi/metsat/strategiat-ja-ohjelmat/suomen-biotalousstrategia</w:t>
      </w:r>
    </w:p>
    <w:p w14:paraId="33D5EA63" w14:textId="77777777" w:rsidR="001925BE" w:rsidRPr="00357567" w:rsidRDefault="001925BE" w:rsidP="32718411">
      <w:pPr>
        <w:pStyle w:val="VNLeip1kappale"/>
        <w:rPr>
          <w:rFonts w:cs="Arial"/>
          <w:color w:val="365ABD" w:themeColor="accent3"/>
        </w:rPr>
      </w:pPr>
      <w:r>
        <w:t xml:space="preserve">Miettinen, H., Ilmola, J., Parviainen, J., Jalonen P. &amp; Seppinen M. 2024. Kuntien ja maakuntien ilmastotyön tilanne 2023 </w:t>
      </w:r>
      <w:hyperlink r:id="rId111">
        <w:r w:rsidRPr="32718411">
          <w:rPr>
            <w:rStyle w:val="Hyperlinkki"/>
          </w:rPr>
          <w:t>https://www.kuntaliitto.fi/julkaisut/2024/2263-kuntien-ja-maakuntien-ilmastotyon-tilanne-2023</w:t>
        </w:r>
      </w:hyperlink>
      <w:r>
        <w:t xml:space="preserve">. </w:t>
      </w:r>
    </w:p>
    <w:p w14:paraId="308DAA50" w14:textId="77777777" w:rsidR="001925BE" w:rsidRPr="00357567" w:rsidRDefault="001925BE" w:rsidP="725E3A07">
      <w:pPr>
        <w:pStyle w:val="VNLeip1kappale"/>
        <w:rPr>
          <w:rFonts w:cs="Arial"/>
          <w:color w:val="365ABD" w:themeColor="accent3"/>
          <w:lang w:val="en-US"/>
        </w:rPr>
      </w:pPr>
      <w:r>
        <w:t xml:space="preserve">Pohjoismaiden neuvosto ja Pohjoismaiden ministerineuvosto 2024. </w:t>
      </w:r>
      <w:r w:rsidRPr="725E3A07">
        <w:rPr>
          <w:lang w:val="en-US"/>
        </w:rPr>
        <w:t xml:space="preserve">Policy Options for Reducing Consumption-Based Emissions </w:t>
      </w:r>
      <w:hyperlink r:id="rId112" w:history="1">
        <w:r w:rsidRPr="725E3A07">
          <w:rPr>
            <w:rStyle w:val="Hyperlinkki"/>
            <w:lang w:val="en-US"/>
          </w:rPr>
          <w:t>https://pub.norden.org/temanord2024-545/8-discussion-and-conclusion.html</w:t>
        </w:r>
      </w:hyperlink>
      <w:r w:rsidRPr="725E3A07">
        <w:rPr>
          <w:lang w:val="en-US"/>
        </w:rPr>
        <w:t xml:space="preserve">  </w:t>
      </w:r>
    </w:p>
    <w:p w14:paraId="45CB8A71" w14:textId="77777777" w:rsidR="00357567" w:rsidRPr="00357567" w:rsidRDefault="6815A857" w:rsidP="004371CD">
      <w:pPr>
        <w:pStyle w:val="VNLeip1kappale"/>
        <w:rPr>
          <w:rFonts w:cs="Arial"/>
          <w:color w:val="365ABD" w:themeColor="accent3"/>
        </w:rPr>
      </w:pPr>
      <w:r>
        <w:t xml:space="preserve">Reinikainen, T. &amp; Johansson, A. 2019. Kestävät julkiset hankinnat F-kaasujen käytön ja päästöjen vähentämisessä. </w:t>
      </w:r>
      <w:hyperlink r:id="rId113">
        <w:r w:rsidRPr="725E3A07">
          <w:rPr>
            <w:rStyle w:val="Hyperlinkki"/>
          </w:rPr>
          <w:t>https://helda.helsinki.fi/server/api/core/bitstreams/422f436f-78cb-44bb-9496-d394ccb5580f/content</w:t>
        </w:r>
      </w:hyperlink>
      <w:r w:rsidRPr="48B689CB">
        <w:rPr>
          <w:rFonts w:cs="Arial"/>
          <w:color w:val="365ABD" w:themeColor="accent3"/>
        </w:rPr>
        <w:t>https://helda.helsinki.fi/server/api/core/bitstreams/422f436f-78cb-44bb-9496-d394ccb5580f/content</w:t>
      </w:r>
    </w:p>
    <w:p w14:paraId="2C8AE08D" w14:textId="77777777" w:rsidR="001925BE" w:rsidRPr="00357567" w:rsidRDefault="001925BE" w:rsidP="725E3A07">
      <w:pPr>
        <w:pStyle w:val="VNLeip1kappale"/>
      </w:pPr>
      <w:r>
        <w:t xml:space="preserve">Salo, M., Heiskanen, E., Heikkinen, M., Heinonen, T., Jylhä, H., Kaljonen, M., Kautto, P., Lähteenmäki-Uutela, A., </w:t>
      </w:r>
      <w:proofErr w:type="spellStart"/>
      <w:r>
        <w:t>Matschoss</w:t>
      </w:r>
      <w:proofErr w:type="spellEnd"/>
      <w:r>
        <w:t xml:space="preserve">, K., Meriläinen, T., Nissinen, A., Pyrhönen, T., Saarinen, M., Salminen, J., Salmivaara, L., Savolainen, H., Seppälä, J., </w:t>
      </w:r>
      <w:proofErr w:type="spellStart"/>
      <w:r>
        <w:t>Springare</w:t>
      </w:r>
      <w:proofErr w:type="spellEnd"/>
      <w:r>
        <w:t xml:space="preserve">, S., Turunen, T., Vainio, A., &amp; Virkkunen, H. 2023. Ohjauskeinoja kotitalouksien kulutuksen hiilijalanjäljen pienentämiseen. Valtioneuvoston selvitys- ja tutkimustoiminnan julkaisusarja 2023:47. </w:t>
      </w:r>
      <w:hyperlink r:id="rId114">
        <w:r w:rsidRPr="32718411">
          <w:rPr>
            <w:rStyle w:val="Hyperlinkki"/>
          </w:rPr>
          <w:t>https://tietokayttoon.fi/julkaisut/raportti?pubid=URN:ISBN:978-952-383-424-8</w:t>
        </w:r>
      </w:hyperlink>
      <w:r>
        <w:t> </w:t>
      </w:r>
    </w:p>
    <w:p w14:paraId="66D55058" w14:textId="77777777" w:rsidR="001925BE" w:rsidRPr="00357567" w:rsidRDefault="001925BE" w:rsidP="725E3A07">
      <w:pPr>
        <w:pStyle w:val="VNLeip1kappale"/>
        <w:rPr>
          <w:rFonts w:cs="Arial"/>
          <w:color w:val="365ABD" w:themeColor="accent3"/>
        </w:rPr>
      </w:pPr>
      <w:r>
        <w:t xml:space="preserve">Savolainen, H. ym. 2024. Suomen kansantalouden materiaalivirrat ja niiden vaikutukset: Toteutunut kehitys ja kiertotalouden skenaariot vuodelle 2035. Valtioneuvoston julkaisuja 2024:8. </w:t>
      </w:r>
      <w:hyperlink r:id="rId115">
        <w:r w:rsidRPr="725E3A07">
          <w:rPr>
            <w:rStyle w:val="Hyperlinkki"/>
          </w:rPr>
          <w:t>https://julkaisut.valtioneuvosto.fi/handle/10024/165490</w:t>
        </w:r>
      </w:hyperlink>
      <w:r>
        <w:t xml:space="preserve">. </w:t>
      </w:r>
    </w:p>
    <w:p w14:paraId="207838FB" w14:textId="77777777" w:rsidR="001925BE" w:rsidRPr="00CA5B76" w:rsidRDefault="001925BE" w:rsidP="40FEFCF3">
      <w:pPr>
        <w:pStyle w:val="VNLeip1kappale"/>
        <w:rPr>
          <w:highlight w:val="yellow"/>
        </w:rPr>
      </w:pPr>
      <w:r>
        <w:t xml:space="preserve">Sipilä, E. ym. 2023.Liikenteen uusiutuvien polttoaineiden jakeluvelvoitejärjestelmän uudistaminen: RED III direktiivimuutoksen kansallinen toteutus ja vaikutusarviot </w:t>
      </w:r>
      <w:hyperlink r:id="rId116">
        <w:r w:rsidRPr="5BDC68E3">
          <w:rPr>
            <w:rStyle w:val="Hyperlinkki"/>
          </w:rPr>
          <w:t>https://julkaisut.valtioneuvosto.fi/handle/10024/165124</w:t>
        </w:r>
      </w:hyperlink>
      <w:r>
        <w:t xml:space="preserve"> </w:t>
      </w:r>
    </w:p>
    <w:p w14:paraId="3F2EB612" w14:textId="77777777" w:rsidR="001925BE" w:rsidRPr="008527E1" w:rsidRDefault="001925BE" w:rsidP="4B7FBFC8">
      <w:pPr>
        <w:pStyle w:val="VNLeip1kappale"/>
        <w:rPr>
          <w:rStyle w:val="Hyperlinkki"/>
        </w:rPr>
      </w:pPr>
      <w:r>
        <w:t xml:space="preserve">Sitoumus2050. Työkonealan </w:t>
      </w:r>
      <w:proofErr w:type="spellStart"/>
      <w:r>
        <w:t>green</w:t>
      </w:r>
      <w:proofErr w:type="spellEnd"/>
      <w:r>
        <w:t xml:space="preserve"> </w:t>
      </w:r>
      <w:proofErr w:type="spellStart"/>
      <w:r>
        <w:t>deal</w:t>
      </w:r>
      <w:proofErr w:type="spellEnd"/>
      <w:r>
        <w:t xml:space="preserve"> –</w:t>
      </w:r>
      <w:proofErr w:type="spellStart"/>
      <w:r>
        <w:t>sopimus.</w:t>
      </w:r>
      <w:hyperlink r:id="rId117" w:anchor="/" w:history="1">
        <w:r w:rsidRPr="46E82D63">
          <w:rPr>
            <w:rStyle w:val="Hyperlinkki"/>
          </w:rPr>
          <w:t>https</w:t>
        </w:r>
        <w:proofErr w:type="spellEnd"/>
        <w:r w:rsidRPr="46E82D63">
          <w:rPr>
            <w:rStyle w:val="Hyperlinkki"/>
          </w:rPr>
          <w:t>://sitoumus2050.fi/</w:t>
        </w:r>
        <w:proofErr w:type="spellStart"/>
        <w:r w:rsidRPr="46E82D63">
          <w:rPr>
            <w:rStyle w:val="Hyperlinkki"/>
          </w:rPr>
          <w:t>fi_FI</w:t>
        </w:r>
        <w:proofErr w:type="spellEnd"/>
        <w:r w:rsidRPr="46E82D63">
          <w:rPr>
            <w:rStyle w:val="Hyperlinkki"/>
          </w:rPr>
          <w:t>/</w:t>
        </w:r>
        <w:proofErr w:type="spellStart"/>
        <w:r w:rsidRPr="46E82D63">
          <w:rPr>
            <w:rStyle w:val="Hyperlinkki"/>
          </w:rPr>
          <w:t>tyokone</w:t>
        </w:r>
        <w:proofErr w:type="spellEnd"/>
        <w:r w:rsidRPr="46E82D63">
          <w:rPr>
            <w:rStyle w:val="Hyperlinkki"/>
          </w:rPr>
          <w:t>#/</w:t>
        </w:r>
      </w:hyperlink>
    </w:p>
    <w:p w14:paraId="7E0BB5EA" w14:textId="77777777" w:rsidR="001925BE" w:rsidRPr="00357567" w:rsidRDefault="001925BE" w:rsidP="725E3A07">
      <w:pPr>
        <w:pStyle w:val="VNLeip1kappale"/>
        <w:rPr>
          <w:rFonts w:cs="Arial"/>
          <w:color w:val="365ABD" w:themeColor="accent3"/>
        </w:rPr>
      </w:pPr>
      <w:r>
        <w:t xml:space="preserve">STT 2024. Kiertotalous vahvistaa Suomen vihreän siirtymän mahdollisuuksia. </w:t>
      </w:r>
      <w:hyperlink r:id="rId118">
        <w:r w:rsidRPr="725E3A07">
          <w:rPr>
            <w:rStyle w:val="Hyperlinkki"/>
          </w:rPr>
          <w:t>https://www.sttinfo.fi/tiedote/70117442/kiertotalous-vahvistaa-suomen-vihrean-siirtyman-mahdollisuuksia?publisherId=69819243&amp;lang=fi</w:t>
        </w:r>
      </w:hyperlink>
      <w:r>
        <w:t xml:space="preserve">. </w:t>
      </w:r>
    </w:p>
    <w:p w14:paraId="224EC8FF" w14:textId="77777777" w:rsidR="00357567" w:rsidRPr="00357567" w:rsidRDefault="6815A857" w:rsidP="725E3A07">
      <w:pPr>
        <w:pStyle w:val="VNLeip1kappale"/>
        <w:rPr>
          <w:rFonts w:cs="Arial"/>
          <w:color w:val="365ABD" w:themeColor="accent3"/>
        </w:rPr>
      </w:pPr>
      <w:r>
        <w:t xml:space="preserve">Suomen ympäristökeskus 2024. Kuntien ja alueiden kulutusperäiset päästöt.  </w:t>
      </w:r>
      <w:hyperlink r:id="rId119">
        <w:r w:rsidRPr="725E3A07">
          <w:rPr>
            <w:rStyle w:val="Hyperlinkki"/>
          </w:rPr>
          <w:t>https://hiilineutraalisuomi.syke.fi/paastotieto/paastotiedot-ja-indikaattorit/kuntien-ja-alueiden-kulutusperaiset-paastot/</w:t>
        </w:r>
      </w:hyperlink>
      <w:proofErr w:type="gramStart"/>
      <w:r>
        <w:t xml:space="preserve">. </w:t>
      </w:r>
      <w:r w:rsidRPr="48B689CB">
        <w:rPr>
          <w:rFonts w:cs="Arial"/>
          <w:color w:val="365ABD" w:themeColor="accent3"/>
        </w:rPr>
        <w:t>.</w:t>
      </w:r>
      <w:proofErr w:type="gramEnd"/>
      <w:r w:rsidRPr="48B689CB">
        <w:rPr>
          <w:rFonts w:cs="Arial"/>
          <w:color w:val="365ABD" w:themeColor="accent3"/>
        </w:rPr>
        <w:t xml:space="preserve"> </w:t>
      </w:r>
    </w:p>
    <w:p w14:paraId="4381A332" w14:textId="77777777" w:rsidR="00357567" w:rsidRPr="00357567" w:rsidRDefault="3DD6E5ED" w:rsidP="725E3A07">
      <w:pPr>
        <w:pStyle w:val="VNLeip1kappale"/>
        <w:rPr>
          <w:rFonts w:cs="Arial"/>
          <w:color w:val="365ABD" w:themeColor="accent3"/>
        </w:rPr>
      </w:pPr>
      <w:r>
        <w:t xml:space="preserve">Suomen ympäristökeskus 2024. Kuntien kulutusperäiset päästöt kaukana kestävästä tasosta. </w:t>
      </w:r>
      <w:hyperlink r:id="rId120">
        <w:r w:rsidRPr="6BEE1B81">
          <w:rPr>
            <w:rStyle w:val="Hyperlinkki"/>
          </w:rPr>
          <w:t>https://hiilineutraalisuomi.syke.fi/kuntien-kulutusperaiset-paastot-kaukana-kestavasta-tasosta/</w:t>
        </w:r>
      </w:hyperlink>
    </w:p>
    <w:p w14:paraId="5F5E96B8" w14:textId="77777777" w:rsidR="001925BE" w:rsidRPr="00357567" w:rsidRDefault="001925BE" w:rsidP="725E3A07">
      <w:pPr>
        <w:pStyle w:val="VNLeip1kappale"/>
        <w:rPr>
          <w:b/>
        </w:rPr>
      </w:pPr>
      <w:r>
        <w:t xml:space="preserve">Suomen ympäristökeskus. Jätteiden vienti- ja tuontimäärät. </w:t>
      </w:r>
      <w:hyperlink r:id="rId121">
        <w:r w:rsidRPr="7E36388A">
          <w:rPr>
            <w:rStyle w:val="Hyperlinkki"/>
          </w:rPr>
          <w:t>https://www.ymparisto.fi/fi/luvat-ja-velvoitteet/jatteiden-kansainvaliset-siirrot/vienti-ja-tuontimaarat</w:t>
        </w:r>
      </w:hyperlink>
    </w:p>
    <w:p w14:paraId="4AC8FDB7" w14:textId="77777777" w:rsidR="001925BE" w:rsidRDefault="001925BE" w:rsidP="001DC150">
      <w:pPr>
        <w:pStyle w:val="VNLeip1kappale"/>
        <w:rPr>
          <w:b/>
        </w:rPr>
      </w:pPr>
      <w:r>
        <w:t xml:space="preserve">Suomen ympäristökeskus. Jätteiden vienti- ja tuontimäärät. </w:t>
      </w:r>
      <w:hyperlink r:id="rId122" w:history="1">
        <w:r w:rsidRPr="5BDC68E3">
          <w:rPr>
            <w:rStyle w:val="Hyperlinkki"/>
          </w:rPr>
          <w:t>https://www.ymparisto.fi/fi/luvat-ja-velvoitteet/jatteiden-kansainvaliset-siirrot/vienti-ja-tuontimaarat</w:t>
        </w:r>
      </w:hyperlink>
    </w:p>
    <w:p w14:paraId="1BBA2C66" w14:textId="77777777" w:rsidR="001925BE" w:rsidRDefault="001925BE" w:rsidP="43BA9B70">
      <w:pPr>
        <w:pStyle w:val="VNLeip1kappale"/>
      </w:pPr>
      <w:r>
        <w:t xml:space="preserve">Tilastokeskus 2025. Kasvihuonekaasupäästöt Suomessa: taakanjako- ja päästökauppasektori, </w:t>
      </w:r>
      <w:proofErr w:type="gramStart"/>
      <w:r>
        <w:t>2013-2024</w:t>
      </w:r>
      <w:proofErr w:type="gramEnd"/>
      <w:r>
        <w:t xml:space="preserve">*. </w:t>
      </w:r>
      <w:hyperlink r:id="rId123">
        <w:r w:rsidRPr="43BA9B70">
          <w:rPr>
            <w:rStyle w:val="Hyperlinkki"/>
          </w:rPr>
          <w:t>https://pxdata.stat.fi/PXWeb/pxweb/fi/StatFin/StatFin__khki/statfin_khki_pxt_13qm.px</w:t>
        </w:r>
      </w:hyperlink>
      <w:r>
        <w:t xml:space="preserve"> </w:t>
      </w:r>
    </w:p>
    <w:p w14:paraId="50461381" w14:textId="77777777" w:rsidR="001925BE" w:rsidRDefault="001925BE" w:rsidP="4171DDA6">
      <w:pPr>
        <w:pStyle w:val="VNLeip1kappale"/>
        <w:rPr>
          <w:b/>
        </w:rPr>
      </w:pPr>
      <w:r>
        <w:t xml:space="preserve">Tilastokeskus. </w:t>
      </w:r>
      <w:proofErr w:type="gramStart"/>
      <w:r>
        <w:t>LIIKE -päästölaskentajärjestelmä</w:t>
      </w:r>
      <w:proofErr w:type="gramEnd"/>
      <w:r>
        <w:t>. https://stat.fi/meta/tilastoinnin-kehittaminen/liike-paastolaskentajarjestelma.html</w:t>
      </w:r>
    </w:p>
    <w:p w14:paraId="2B671C86" w14:textId="77777777" w:rsidR="001925BE" w:rsidRDefault="001925BE" w:rsidP="002253AC">
      <w:pPr>
        <w:pStyle w:val="VNLeip1kappale"/>
        <w:rPr>
          <w:b/>
        </w:rPr>
      </w:pPr>
      <w:r>
        <w:t>Työ- ja elinkeinoministeriö 2016. Lämmityspolttonesteiden jakelutoiminnan energiatehokkuussopimus HÖYLÄ IV. https://energiatehokkuussopimukset2017-2025.fi/wp-content/uploads/2016/10/Ho%CC%88yla%CC%88-IV.pdf</w:t>
      </w:r>
    </w:p>
    <w:p w14:paraId="2DBE004C" w14:textId="77777777" w:rsidR="001925BE" w:rsidRPr="008C0FDC" w:rsidRDefault="001925BE" w:rsidP="004371CD">
      <w:pPr>
        <w:pStyle w:val="VNLeip1kappale"/>
        <w:rPr>
          <w:b/>
        </w:rPr>
      </w:pPr>
      <w:r>
        <w:t xml:space="preserve">Työ- ja elinkeinoministeriö 2024. </w:t>
      </w:r>
      <w:r w:rsidRPr="004371CD">
        <w:t xml:space="preserve">Yhteenveto toimialojen vähähiilitiekartoista 2024. Työ- ja elinkeinoministeriön julkaisuja 2024:45, 29.10.2024. </w:t>
      </w:r>
      <w:hyperlink r:id="rId124">
        <w:r w:rsidRPr="32718411">
          <w:rPr>
            <w:rStyle w:val="Hyperlinkki"/>
          </w:rPr>
          <w:t>http://urn.fi/URN:ISBN:978-952-327-829-5</w:t>
        </w:r>
      </w:hyperlink>
    </w:p>
    <w:p w14:paraId="6D1E1F40" w14:textId="77777777" w:rsidR="001925BE" w:rsidRDefault="001925BE" w:rsidP="4A594FA0">
      <w:pPr>
        <w:pStyle w:val="VNLeip1kappale"/>
      </w:pPr>
      <w:r>
        <w:t xml:space="preserve">Valtioneuvosto 2021. Suomen kestävän kasvun ohjelma: Elpymis- ja palautumissuunnitelma. Valtioneuvoston julkaisuja 2021:52. </w:t>
      </w:r>
      <w:hyperlink r:id="rId125" w:history="1">
        <w:r w:rsidRPr="5BDC68E3">
          <w:rPr>
            <w:rStyle w:val="Hyperlinkki"/>
          </w:rPr>
          <w:t>https://julkaisut.valtioneuvosto.fi/handle/10024/163176</w:t>
        </w:r>
      </w:hyperlink>
      <w:r>
        <w:t xml:space="preserve"> </w:t>
      </w:r>
    </w:p>
    <w:p w14:paraId="37A1CA91" w14:textId="77777777" w:rsidR="001925BE" w:rsidRPr="00357567" w:rsidRDefault="001925BE" w:rsidP="002F1FEC">
      <w:pPr>
        <w:pStyle w:val="VNLeip1kappale"/>
        <w:rPr>
          <w:rFonts w:cs="Arial"/>
          <w:color w:val="365ABD" w:themeColor="accent3"/>
        </w:rPr>
      </w:pPr>
      <w:r>
        <w:t>Valtioneuvoston periaatepäätös LVM/2021/62.</w:t>
      </w:r>
      <w:r w:rsidRPr="004371CD">
        <w:t xml:space="preserve"> Valtioneuvoston periaatepäätös kotimaan liikenteen kasvihuonekaasupäästöjen vähentämisestä.</w:t>
      </w:r>
      <w:r w:rsidRPr="1A72B1E4">
        <w:rPr>
          <w:rFonts w:cs="Arial"/>
          <w:color w:val="365ABD" w:themeColor="accent3"/>
        </w:rPr>
        <w:t xml:space="preserve"> </w:t>
      </w:r>
      <w:hyperlink r:id="rId126">
        <w:r w:rsidRPr="5BDC68E3">
          <w:rPr>
            <w:rStyle w:val="Hyperlinkki"/>
            <w:rFonts w:cs="Arial"/>
          </w:rPr>
          <w:t>https://valtioneuvosto.fi/paatokset/paatos?decisionId=0900908f807239ad</w:t>
        </w:r>
      </w:hyperlink>
      <w:r w:rsidRPr="5BDC68E3">
        <w:rPr>
          <w:rFonts w:cs="Arial"/>
          <w:color w:val="365ABD" w:themeColor="accent3"/>
        </w:rPr>
        <w:t xml:space="preserve"> </w:t>
      </w:r>
    </w:p>
    <w:p w14:paraId="54E5014E" w14:textId="77777777" w:rsidR="001925BE" w:rsidRPr="00CA5B76" w:rsidRDefault="001925BE" w:rsidP="7BEEE99F">
      <w:pPr>
        <w:pStyle w:val="VNLeip1kappale"/>
        <w:rPr>
          <w:szCs w:val="22"/>
        </w:rPr>
      </w:pPr>
      <w:r w:rsidRPr="4E28F775">
        <w:rPr>
          <w:szCs w:val="22"/>
        </w:rPr>
        <w:t xml:space="preserve">Valtionneuvosto. Hiilineutraali Suomi 2035 – ilmasto- ja energiapolitiikan toimet ja vaikutukset (HIISI). </w:t>
      </w:r>
      <w:hyperlink r:id="rId127" w:history="1">
        <w:r w:rsidRPr="4E28F775">
          <w:rPr>
            <w:rStyle w:val="Hyperlinkki"/>
            <w:szCs w:val="22"/>
          </w:rPr>
          <w:t>https://tietokayttoon.fi/-/hiilineutraali-suomi-2035-ilmasto-ja-energiapolitiikan-toimet-ja-vaikutukset-hiisi-</w:t>
        </w:r>
      </w:hyperlink>
    </w:p>
    <w:p w14:paraId="706FE500" w14:textId="77777777" w:rsidR="001925BE" w:rsidRPr="00357567" w:rsidRDefault="001925BE" w:rsidP="725E3A07">
      <w:pPr>
        <w:pStyle w:val="VNLeip1kappale"/>
        <w:rPr>
          <w:szCs w:val="22"/>
        </w:rPr>
      </w:pPr>
      <w:r>
        <w:t xml:space="preserve">Valtiovarainministeriö.  </w:t>
      </w:r>
      <w:r w:rsidRPr="4A594FA0">
        <w:rPr>
          <w:szCs w:val="22"/>
        </w:rPr>
        <w:t xml:space="preserve">Kansallinen julkisten hankintojen strategia 2020. </w:t>
      </w:r>
      <w:hyperlink r:id="rId128" w:history="1">
        <w:r w:rsidRPr="4A594FA0">
          <w:rPr>
            <w:rStyle w:val="Hyperlinkki"/>
            <w:szCs w:val="22"/>
          </w:rPr>
          <w:t>https://julkaisut.valtioneuvosto.fi/handle/10024/162418</w:t>
        </w:r>
      </w:hyperlink>
      <w:r w:rsidRPr="4A594FA0">
        <w:rPr>
          <w:szCs w:val="22"/>
        </w:rPr>
        <w:t xml:space="preserve"> </w:t>
      </w:r>
    </w:p>
    <w:p w14:paraId="0FB11EC6" w14:textId="77777777" w:rsidR="001925BE" w:rsidRDefault="001925BE" w:rsidP="4A594FA0">
      <w:pPr>
        <w:pStyle w:val="VNLeip1kappale"/>
        <w:rPr>
          <w:b/>
        </w:rPr>
      </w:pPr>
      <w:r w:rsidRPr="001925BE">
        <w:t xml:space="preserve">Valtiovarainministeriö. EU:n monivuotinen rahoituskehys. </w:t>
      </w:r>
      <w:hyperlink r:id="rId129" w:history="1">
        <w:r w:rsidRPr="001925BE">
          <w:rPr>
            <w:rStyle w:val="Hyperlinkki"/>
          </w:rPr>
          <w:t>https://vm.fi/eu-n-rahoituskehys</w:t>
        </w:r>
      </w:hyperlink>
      <w:r>
        <w:t xml:space="preserve">. </w:t>
      </w:r>
    </w:p>
    <w:p w14:paraId="18F64974" w14:textId="77777777" w:rsidR="001925BE" w:rsidRDefault="001925BE" w:rsidP="0DC62258">
      <w:pPr>
        <w:pStyle w:val="VNLeip1kappale"/>
      </w:pPr>
      <w:r>
        <w:t>Ympäristöministeriö. Kierrätyksestä kiertotalouteen: Valtakunnallinen jätesuunnitelma vuoteen 2027. Ympäristöministeriön julkaisuja 2022:13</w:t>
      </w:r>
      <w:proofErr w:type="gramStart"/>
      <w:r>
        <w:t>.  https://julkaisut.valtioneuvosto.fi/handle/10024/163978</w:t>
      </w:r>
      <w:proofErr w:type="gramEnd"/>
    </w:p>
    <w:p w14:paraId="3B6CB178" w14:textId="77777777" w:rsidR="00357567" w:rsidRPr="00357567" w:rsidRDefault="6815A857" w:rsidP="725E3A07">
      <w:pPr>
        <w:pStyle w:val="VNLeip1kappale"/>
        <w:rPr>
          <w:rFonts w:cs="Arial"/>
          <w:color w:val="365ABD" w:themeColor="accent3"/>
        </w:rPr>
      </w:pPr>
      <w:r>
        <w:t xml:space="preserve">Ympäristöministeriö. Kierto­talouden </w:t>
      </w:r>
      <w:proofErr w:type="spellStart"/>
      <w:r>
        <w:t>green</w:t>
      </w:r>
      <w:proofErr w:type="spellEnd"/>
      <w:r>
        <w:t xml:space="preserve"> </w:t>
      </w:r>
      <w:proofErr w:type="spellStart"/>
      <w:r>
        <w:t>deal</w:t>
      </w:r>
      <w:proofErr w:type="spellEnd"/>
      <w:r>
        <w:t xml:space="preserve">. </w:t>
      </w:r>
      <w:hyperlink r:id="rId130">
        <w:r w:rsidRPr="725E3A07">
          <w:rPr>
            <w:rStyle w:val="Hyperlinkki"/>
          </w:rPr>
          <w:t>https://ym.fi/kiertotalouden-green-deal</w:t>
        </w:r>
      </w:hyperlink>
      <w:r>
        <w:t xml:space="preserve"> </w:t>
      </w:r>
    </w:p>
    <w:p w14:paraId="387E19E4" w14:textId="5C368315" w:rsidR="4A594FA0" w:rsidRDefault="4A594FA0" w:rsidP="4A594FA0">
      <w:pPr>
        <w:pStyle w:val="VNLeip1kappale"/>
        <w:rPr>
          <w:b/>
          <w:bCs/>
        </w:rPr>
      </w:pPr>
    </w:p>
    <w:p w14:paraId="5BAC1BCF" w14:textId="4E0D7B3E" w:rsidR="3B93D363" w:rsidRDefault="0F90EC90" w:rsidP="725E3A07">
      <w:pPr>
        <w:pStyle w:val="Numeroimatonotsikko"/>
        <w:rPr>
          <w:rFonts w:cs="Arial"/>
          <w:color w:val="365ABD" w:themeColor="accent3"/>
        </w:rPr>
      </w:pPr>
      <w:r>
        <w:t>Osallistaminen ilmastosuunnitelman laadintaan</w:t>
      </w:r>
      <w:r w:rsidR="00E46191">
        <w:t xml:space="preserve"> &amp; </w:t>
      </w:r>
      <w:r w:rsidR="3B93D363">
        <w:t>Ilmastosuunnitelman vaikutukset</w:t>
      </w:r>
    </w:p>
    <w:p w14:paraId="2CBD711A" w14:textId="00E6CBD1" w:rsidR="0D99CDB9" w:rsidRPr="00CD449E" w:rsidRDefault="0D99CDB9" w:rsidP="32718411">
      <w:pPr>
        <w:pStyle w:val="VNLeip1kappale"/>
        <w:rPr>
          <w:highlight w:val="yellow"/>
        </w:rPr>
      </w:pPr>
      <w:r>
        <w:br/>
      </w:r>
      <w:r w:rsidR="65EEDB38">
        <w:t xml:space="preserve">Auvinen, K., ym. 2025. Politiikkatoimet liikkuvien työkoneiden puhtaan siirtymän edistämiseksi: Työkoneiden päästöjen vähentäminen tukee suomalaisten työkonevalmistajien kilpailukykyä vientimarkkinoilla. Ilmastoratkaisujen vauhdittaja (ACE) -hankkeen raportti.  </w:t>
      </w:r>
      <w:hyperlink r:id="rId131">
        <w:r w:rsidR="13044344" w:rsidRPr="3B4A4630">
          <w:rPr>
            <w:rStyle w:val="Hyperlinkki"/>
          </w:rPr>
          <w:t>http://urn.fi/URN:ISBN:978-952-11-5745-5</w:t>
        </w:r>
      </w:hyperlink>
      <w:r w:rsidR="13044344">
        <w:t xml:space="preserve"> </w:t>
      </w:r>
    </w:p>
    <w:p w14:paraId="6BF46D87" w14:textId="16094F20" w:rsidR="0D99CDB9" w:rsidRPr="00CD449E" w:rsidRDefault="65EEDB38" w:rsidP="32718411">
      <w:pPr>
        <w:pStyle w:val="VNLeip1kappale"/>
        <w:rPr>
          <w:szCs w:val="22"/>
        </w:rPr>
      </w:pPr>
      <w:r w:rsidRPr="32718411">
        <w:rPr>
          <w:szCs w:val="22"/>
        </w:rPr>
        <w:t xml:space="preserve">Energiavirasto 2024. Uusi selvitys avaa näkymän energiaköyhyyden ehkäisemiseen Suomessa. </w:t>
      </w:r>
      <w:hyperlink r:id="rId132">
        <w:r w:rsidRPr="32718411">
          <w:rPr>
            <w:rStyle w:val="Hyperlinkki"/>
            <w:szCs w:val="22"/>
            <w:u w:val="single"/>
          </w:rPr>
          <w:t>https://energiavirasto.fi/-/uusi-selvitys-avaa-nakyman-energiakoyhyyden-ehkaisemiseen-suomessa</w:t>
        </w:r>
      </w:hyperlink>
      <w:r w:rsidRPr="32718411">
        <w:rPr>
          <w:szCs w:val="22"/>
        </w:rPr>
        <w:t xml:space="preserve"> </w:t>
      </w:r>
    </w:p>
    <w:p w14:paraId="6A5EE2C6" w14:textId="07294AB8" w:rsidR="0D99CDB9" w:rsidRPr="00CD449E" w:rsidRDefault="65EEDB38" w:rsidP="32718411">
      <w:pPr>
        <w:pStyle w:val="VNLeip1kappale"/>
        <w:rPr>
          <w:szCs w:val="22"/>
        </w:rPr>
      </w:pPr>
      <w:r w:rsidRPr="32718411">
        <w:rPr>
          <w:szCs w:val="22"/>
        </w:rPr>
        <w:t xml:space="preserve">Euroopan parlamentin ja neuvoston asetus (EU) 2023/955, annettu 10 päivänä toukokuuta 2023, sosiaalisen ilmastorahaston perustamisesta ja asetuksen (EU) 2021/1060 muuttamisesta. </w:t>
      </w:r>
      <w:hyperlink r:id="rId133">
        <w:r w:rsidRPr="32718411">
          <w:rPr>
            <w:rStyle w:val="Hyperlinkki"/>
            <w:szCs w:val="22"/>
            <w:u w:val="single"/>
          </w:rPr>
          <w:t>https://eur-lex.europa.eu/legal-content/FI/TXT/?uri=CELEX:02023R0955-20240630</w:t>
        </w:r>
      </w:hyperlink>
      <w:r w:rsidRPr="32718411">
        <w:rPr>
          <w:szCs w:val="22"/>
        </w:rPr>
        <w:t xml:space="preserve">.  </w:t>
      </w:r>
    </w:p>
    <w:p w14:paraId="5F829E97" w14:textId="767CB9CD" w:rsidR="0D99CDB9" w:rsidRPr="00CD449E" w:rsidRDefault="65EEDB38" w:rsidP="32718411">
      <w:pPr>
        <w:pStyle w:val="VNLeip1kappale"/>
        <w:rPr>
          <w:szCs w:val="22"/>
        </w:rPr>
      </w:pPr>
      <w:proofErr w:type="spellStart"/>
      <w:r w:rsidRPr="32718411">
        <w:rPr>
          <w:szCs w:val="22"/>
        </w:rPr>
        <w:t>Gaia</w:t>
      </w:r>
      <w:proofErr w:type="spellEnd"/>
      <w:r w:rsidRPr="32718411">
        <w:rPr>
          <w:szCs w:val="22"/>
        </w:rPr>
        <w:t xml:space="preserve"> Consulting 2024. Uusi selvitys avaa näkymän energiaköyhyyden ehkäisemiseen Suomessa. </w:t>
      </w:r>
      <w:hyperlink r:id="rId134">
        <w:r w:rsidRPr="32718411">
          <w:rPr>
            <w:rStyle w:val="Hyperlinkki"/>
            <w:szCs w:val="22"/>
            <w:u w:val="single"/>
          </w:rPr>
          <w:t>https://gaia.fi/fi/uutiset/uusi-selvitys-avaa-nakyman-energiakoyhyyden-ehkaisemiseen-suomessa/</w:t>
        </w:r>
      </w:hyperlink>
      <w:r w:rsidRPr="32718411">
        <w:rPr>
          <w:szCs w:val="22"/>
        </w:rPr>
        <w:t xml:space="preserve">.  </w:t>
      </w:r>
    </w:p>
    <w:p w14:paraId="1262852A" w14:textId="05A1ADBD" w:rsidR="0D99CDB9" w:rsidRPr="00CD449E" w:rsidRDefault="65EEDB38" w:rsidP="32718411">
      <w:pPr>
        <w:pStyle w:val="VNLeip1kappale"/>
      </w:pPr>
      <w:r>
        <w:t xml:space="preserve">Helenius, J., Höijer, L., P. Jarva A-J., </w:t>
      </w:r>
      <w:proofErr w:type="spellStart"/>
      <w:proofErr w:type="gramStart"/>
      <w:r>
        <w:t>Kuusela,M</w:t>
      </w:r>
      <w:proofErr w:type="spellEnd"/>
      <w:proofErr w:type="gramEnd"/>
      <w:r>
        <w:t xml:space="preserve">, Lamminen, M. &amp; Selänniemi, M. </w:t>
      </w:r>
      <w:proofErr w:type="spellStart"/>
      <w:r>
        <w:t>Unnbom</w:t>
      </w:r>
      <w:proofErr w:type="spellEnd"/>
      <w:r>
        <w:t xml:space="preserve"> (toim.) Ratkaisuja Suomen ruokastrategiaan. FOOD-ohjelman tietopaketti päättäjille. Kohti kestävää terveellistä ja ilmastoneutraalia ruokajärjestelmää (FOOD) tutkimusohjelma. Strategisen tutkimuksen raportteja. Strateginen tutkimus. Suomen akatemia. </w:t>
      </w:r>
      <w:hyperlink r:id="rId135">
        <w:r w:rsidRPr="59513061">
          <w:rPr>
            <w:rStyle w:val="Hyperlinkki"/>
            <w:u w:val="single"/>
          </w:rPr>
          <w:t>https://www.aka.fi/globalassets/3-stn/1-strateginen-tutkimus/strateginen-tutkimus-pahkinankuoressa/ohjelmat-ja-hankkeet/food-ratkaisuja-suomen-ruokastrategiaan-2023.pdf</w:t>
        </w:r>
      </w:hyperlink>
      <w:r>
        <w:t xml:space="preserve"> </w:t>
      </w:r>
    </w:p>
    <w:p w14:paraId="50E0908B" w14:textId="7CB5D0A9" w:rsidR="0D99CDB9" w:rsidRPr="00CD449E" w:rsidRDefault="2B005E91" w:rsidP="59513061">
      <w:pPr>
        <w:pStyle w:val="VNLeip1kappale"/>
        <w:rPr>
          <w:b/>
          <w:bCs/>
        </w:rPr>
      </w:pPr>
      <w:r>
        <w:t>Honkatukia, J. 2025. Vaikutukset kansantalouteen. KEITO-</w:t>
      </w:r>
      <w:r w:rsidR="3F941276">
        <w:t>työ</w:t>
      </w:r>
      <w:r>
        <w:t xml:space="preserve">. </w:t>
      </w:r>
      <w:r w:rsidRPr="59513061">
        <w:rPr>
          <w:highlight w:val="yellow"/>
        </w:rPr>
        <w:t>Lisätään lähdeviite, kun raportti julkaistaan</w:t>
      </w:r>
    </w:p>
    <w:p w14:paraId="4135CCFF" w14:textId="786201AC" w:rsidR="0D99CDB9" w:rsidRPr="00CD449E" w:rsidRDefault="65EEDB38" w:rsidP="32718411">
      <w:pPr>
        <w:pStyle w:val="VNLeip1kappale"/>
      </w:pPr>
      <w:r w:rsidRPr="000D659C">
        <w:t xml:space="preserve">Ilmastolaki (423/2022). </w:t>
      </w:r>
      <w:hyperlink r:id="rId136">
        <w:r w:rsidRPr="000D659C">
          <w:rPr>
            <w:rStyle w:val="Hyperlinkki"/>
          </w:rPr>
          <w:t>https://www.finlex.fi/fi/lainsaadanto/2022/423</w:t>
        </w:r>
      </w:hyperlink>
      <w:r w:rsidRPr="000D659C">
        <w:t xml:space="preserve"> </w:t>
      </w:r>
    </w:p>
    <w:p w14:paraId="64F8F083" w14:textId="5A25E552" w:rsidR="0D99CDB9" w:rsidRPr="00CD449E" w:rsidRDefault="65EEDB38" w:rsidP="32718411">
      <w:pPr>
        <w:pStyle w:val="VNLeip1kappale"/>
        <w:rPr>
          <w:szCs w:val="22"/>
        </w:rPr>
      </w:pPr>
      <w:r w:rsidRPr="32718411">
        <w:rPr>
          <w:szCs w:val="22"/>
        </w:rPr>
        <w:t xml:space="preserve">Järvelä ym. 2020. Ilmastotoimien sosiaalinen hyväksyttävyys. Suomen ilmastopaneeli raportti 1/2020.https://ilmastopaneeli.fi/hallinta/wp-content/uploads/2024/03/Ilmastopaneeli_sosiaalinen_hyvaksyttavyys_FINAL.pdf </w:t>
      </w:r>
    </w:p>
    <w:p w14:paraId="0ED445AF" w14:textId="7D9213E1" w:rsidR="0D99CDB9" w:rsidRPr="00CD449E" w:rsidRDefault="65EEDB38" w:rsidP="32718411">
      <w:pPr>
        <w:pStyle w:val="VNLeip1kappale"/>
      </w:pPr>
      <w:r>
        <w:t xml:space="preserve">Kaljonen, M., Karttunen, K., &amp; </w:t>
      </w:r>
      <w:proofErr w:type="spellStart"/>
      <w:r>
        <w:t>Kortetmäki</w:t>
      </w:r>
      <w:proofErr w:type="spellEnd"/>
      <w:r>
        <w:t xml:space="preserve">, T. 2022. Reilu ruokamurros. Polkuja kestävään ja oikeudenmukaiseen ruokajärjestelmään. Suomen ympäristökeskus, Helsinki. Suomen ympäristökeskuksen raportteja 38/2022. </w:t>
      </w:r>
      <w:hyperlink r:id="rId137">
        <w:r w:rsidRPr="6B8FC463">
          <w:rPr>
            <w:rStyle w:val="Hyperlinkki"/>
          </w:rPr>
          <w:t>https://www.justfood.fi/fi-FI/Julkaisut</w:t>
        </w:r>
      </w:hyperlink>
      <w:r>
        <w:t xml:space="preserve"> </w:t>
      </w:r>
    </w:p>
    <w:p w14:paraId="1FEBA61E" w14:textId="3A06CB90" w:rsidR="6B8FC463" w:rsidRDefault="1CB97ACB" w:rsidP="6B8FC463">
      <w:pPr>
        <w:pStyle w:val="VNLeip1kappale"/>
        <w:rPr>
          <w:highlight w:val="yellow"/>
        </w:rPr>
      </w:pPr>
      <w:r>
        <w:t>Kansallisen ilmasto- ja energiapolitiikan vaikutusten arviointi ja pitkän aikavälin tavoiteskenaariot. KEITO-</w:t>
      </w:r>
      <w:r w:rsidR="6DD21E80">
        <w:t>työn</w:t>
      </w:r>
      <w:r>
        <w:t xml:space="preserve"> </w:t>
      </w:r>
      <w:proofErr w:type="spellStart"/>
      <w:r>
        <w:t>Sova</w:t>
      </w:r>
      <w:proofErr w:type="spellEnd"/>
      <w:r>
        <w:t xml:space="preserve">-raportti. </w:t>
      </w:r>
      <w:r w:rsidRPr="7E072EC0">
        <w:rPr>
          <w:highlight w:val="yellow"/>
        </w:rPr>
        <w:t>Lisätään lähdeviite, kun raportti julkaistaan</w:t>
      </w:r>
    </w:p>
    <w:p w14:paraId="28629E48" w14:textId="4792A6A6" w:rsidR="0D99CDB9" w:rsidRPr="00DF4764" w:rsidRDefault="65EEDB38" w:rsidP="32718411">
      <w:pPr>
        <w:pStyle w:val="VNLeip1kappale"/>
      </w:pPr>
      <w:r>
        <w:t xml:space="preserve">Kivimaa, P., Heikkinen, M., Huttunen, S., Jaakkola, J. J. K., Juhola, S., Juntunen, S., Kaljonen, M., Käyhkö, J., Leino, M., Loivaranta, T., Lundberg, P., Lähteenmäki-Uutela, A., </w:t>
      </w:r>
      <w:proofErr w:type="spellStart"/>
      <w:r>
        <w:t>Näkkäläjärvi</w:t>
      </w:r>
      <w:proofErr w:type="spellEnd"/>
      <w:r>
        <w:t xml:space="preserve">, K., Sivonen, M. H., &amp; Vainio, A. 2023. </w:t>
      </w:r>
      <w:r w:rsidRPr="7E072EC0">
        <w:rPr>
          <w:lang w:val="en-US"/>
        </w:rPr>
        <w:t xml:space="preserve">Evaluation of justice in climate policy. The Finnish Climate Change Panel, Report 3/2023. </w:t>
      </w:r>
      <w:hyperlink r:id="rId138">
        <w:r w:rsidRPr="7E072EC0">
          <w:rPr>
            <w:rStyle w:val="Hyperlinkki"/>
          </w:rPr>
          <w:t>https://ilmastopaneeli.fi/hallinta/wp-content/uploads/2023/05/finnish-climate-change-panel-report-3-2023-evaluation-of-justice-in-climate-policy.pdf</w:t>
        </w:r>
      </w:hyperlink>
      <w:r>
        <w:t xml:space="preserve"> </w:t>
      </w:r>
    </w:p>
    <w:p w14:paraId="27A8997D" w14:textId="7BA4CA86" w:rsidR="0D99CDB9" w:rsidRPr="00DF4764" w:rsidRDefault="65EEDB38" w:rsidP="32718411">
      <w:pPr>
        <w:pStyle w:val="VNLeip1kappale"/>
        <w:rPr>
          <w:highlight w:val="yellow"/>
        </w:rPr>
      </w:pPr>
      <w:r>
        <w:t xml:space="preserve">Korhonen, J. (toim.) 2024. Oikeudenmukainen siirtymä Suomessa 2025. </w:t>
      </w:r>
      <w:proofErr w:type="spellStart"/>
      <w:r>
        <w:t>Kalveri</w:t>
      </w:r>
      <w:proofErr w:type="spellEnd"/>
      <w:r>
        <w:t xml:space="preserve"> Sorsa säätiö. </w:t>
      </w:r>
      <w:hyperlink r:id="rId139">
        <w:r w:rsidRPr="4A594FA0">
          <w:rPr>
            <w:rStyle w:val="Hyperlinkki"/>
          </w:rPr>
          <w:t>https://sorsafoundation.fi/wp-content/uploads/oikeudenmukainen-siirtyma-suomessa-2025-raportti.pdf</w:t>
        </w:r>
      </w:hyperlink>
      <w:r>
        <w:t xml:space="preserve"> </w:t>
      </w:r>
    </w:p>
    <w:p w14:paraId="56D4B066" w14:textId="2DA44C9A" w:rsidR="0D99CDB9" w:rsidRPr="00CD449E" w:rsidRDefault="65EEDB38" w:rsidP="32718411">
      <w:pPr>
        <w:pStyle w:val="VNLeip1kappale"/>
        <w:rPr>
          <w:szCs w:val="22"/>
          <w:lang w:val="en-US"/>
        </w:rPr>
      </w:pPr>
      <w:proofErr w:type="spellStart"/>
      <w:r w:rsidRPr="32718411">
        <w:rPr>
          <w:szCs w:val="22"/>
        </w:rPr>
        <w:t>Kortetmäki</w:t>
      </w:r>
      <w:proofErr w:type="spellEnd"/>
      <w:r w:rsidRPr="32718411">
        <w:rPr>
          <w:szCs w:val="22"/>
        </w:rPr>
        <w:t xml:space="preserve"> T., Huttunen S., Järvelä M., Turunen A. 2025. </w:t>
      </w:r>
      <w:r w:rsidRPr="32718411">
        <w:rPr>
          <w:szCs w:val="22"/>
          <w:lang w:val="en-US"/>
        </w:rPr>
        <w:t xml:space="preserve">Industrial workers perceptions on just transition and work in four Finnish regions: Three-level solutions. The Extractive Industries and Society. </w:t>
      </w:r>
      <w:hyperlink r:id="rId140">
        <w:r w:rsidRPr="32718411">
          <w:rPr>
            <w:rStyle w:val="Hyperlinkki"/>
            <w:szCs w:val="22"/>
            <w:lang w:val="en-US"/>
          </w:rPr>
          <w:t>https://www.sciencedirect.com/science/article/pii/S2214790X24001886</w:t>
        </w:r>
      </w:hyperlink>
      <w:r w:rsidRPr="32718411">
        <w:rPr>
          <w:szCs w:val="22"/>
          <w:lang w:val="en-US"/>
        </w:rPr>
        <w:t xml:space="preserve"> </w:t>
      </w:r>
    </w:p>
    <w:p w14:paraId="3DEF425F" w14:textId="34FEA3E1" w:rsidR="0D99CDB9" w:rsidRPr="00CD449E" w:rsidRDefault="65EEDB38" w:rsidP="32718411">
      <w:pPr>
        <w:pStyle w:val="VNLeip1kappale"/>
        <w:rPr>
          <w:szCs w:val="22"/>
          <w:lang w:val="en-US"/>
        </w:rPr>
      </w:pPr>
      <w:r w:rsidRPr="32718411">
        <w:rPr>
          <w:szCs w:val="22"/>
        </w:rPr>
        <w:t xml:space="preserve">Korvenmaa, L., Moisio, M., Kuusela-Opas, E., &amp; Häkämies, S. 2024. </w:t>
      </w:r>
      <w:r w:rsidRPr="32718411">
        <w:rPr>
          <w:szCs w:val="22"/>
          <w:lang w:val="en-US"/>
        </w:rPr>
        <w:t xml:space="preserve">Energy poverty in Finland. Gaia Consulting. </w:t>
      </w:r>
      <w:hyperlink r:id="rId141">
        <w:r w:rsidRPr="32718411">
          <w:rPr>
            <w:rStyle w:val="Hyperlinkki"/>
            <w:szCs w:val="22"/>
            <w:u w:val="single"/>
            <w:lang w:val="en-US"/>
          </w:rPr>
          <w:t>https://energiavirasto.fi/documents/11120570/209788025/Energy+Poverty+in+Finland_report_2024.pdf/abe48e9a-f847-63b9-c6fa-4acae25fa88a/Energy+Poverty+in+Finland_report_2024.pdf?t=1714373079979</w:t>
        </w:r>
      </w:hyperlink>
      <w:r w:rsidRPr="32718411">
        <w:rPr>
          <w:szCs w:val="22"/>
          <w:lang w:val="en-US"/>
        </w:rPr>
        <w:t xml:space="preserve"> </w:t>
      </w:r>
    </w:p>
    <w:p w14:paraId="759CAB3F" w14:textId="4C205B6A" w:rsidR="0D99CDB9" w:rsidRPr="00CD449E" w:rsidRDefault="65EEDB38" w:rsidP="32718411">
      <w:pPr>
        <w:pStyle w:val="VNLeip1kappale"/>
        <w:rPr>
          <w:szCs w:val="22"/>
        </w:rPr>
      </w:pPr>
      <w:r w:rsidRPr="32718411">
        <w:rPr>
          <w:szCs w:val="22"/>
        </w:rPr>
        <w:t xml:space="preserve">Lehtomäki, H., Karvosenoja, N., Paunu, V.-V., Korhonen, A., Hänninen, O., Tuomisto, J., Karppinen, A., Kukkonen, J., &amp; Tainio, M. 2021. Liikenteen terveysvaikutukset Suomessa ja suurimmissa kaupungeissa. Suomen ympäristökeskuksen raportteja 16/2021. </w:t>
      </w:r>
      <w:hyperlink r:id="rId142">
        <w:r w:rsidRPr="32718411">
          <w:rPr>
            <w:rStyle w:val="Hyperlinkki"/>
            <w:szCs w:val="22"/>
            <w:u w:val="single"/>
          </w:rPr>
          <w:t>https://helda.helsinki.fi/server/api/core/bitstreams/d9a9b4a3-ef90-40d4-9a65-5c954a42ad1a/content</w:t>
        </w:r>
      </w:hyperlink>
      <w:r w:rsidRPr="32718411">
        <w:rPr>
          <w:szCs w:val="22"/>
        </w:rPr>
        <w:t xml:space="preserve">. </w:t>
      </w:r>
    </w:p>
    <w:p w14:paraId="21775519" w14:textId="732F88EA" w:rsidR="0D99CDB9" w:rsidRPr="00CD449E" w:rsidRDefault="65EEDB38" w:rsidP="32718411">
      <w:pPr>
        <w:pStyle w:val="VNLeip1kappale"/>
        <w:rPr>
          <w:szCs w:val="22"/>
        </w:rPr>
      </w:pPr>
      <w:r w:rsidRPr="32718411">
        <w:rPr>
          <w:szCs w:val="22"/>
        </w:rPr>
        <w:t xml:space="preserve">Leskinen, P., Laukkanen, M., Penttilä, O., &amp; </w:t>
      </w:r>
      <w:proofErr w:type="spellStart"/>
      <w:r w:rsidRPr="32718411">
        <w:rPr>
          <w:szCs w:val="22"/>
        </w:rPr>
        <w:t>Belinskij</w:t>
      </w:r>
      <w:proofErr w:type="spellEnd"/>
      <w:r w:rsidRPr="32718411">
        <w:rPr>
          <w:szCs w:val="22"/>
        </w:rPr>
        <w:t xml:space="preserve">, A. (2024). Tieliikenteen päästövähennystoimien oikeudenmukaisuus ja kustannusvaikuttavuus: Lakiehdotusten vaikutusten arvioinnin ja osallistamisen laatu. Oikeus, </w:t>
      </w:r>
      <w:proofErr w:type="gramStart"/>
      <w:r w:rsidRPr="32718411">
        <w:rPr>
          <w:szCs w:val="22"/>
        </w:rPr>
        <w:t>2-3</w:t>
      </w:r>
      <w:proofErr w:type="gramEnd"/>
      <w:r w:rsidRPr="32718411">
        <w:rPr>
          <w:szCs w:val="22"/>
        </w:rPr>
        <w:t xml:space="preserve">/2024, Oikeuspoliittinen yhdistys </w:t>
      </w:r>
      <w:proofErr w:type="spellStart"/>
      <w:r w:rsidRPr="32718411">
        <w:rPr>
          <w:szCs w:val="22"/>
        </w:rPr>
        <w:t>Demla</w:t>
      </w:r>
      <w:proofErr w:type="spellEnd"/>
      <w:r w:rsidRPr="32718411">
        <w:rPr>
          <w:szCs w:val="22"/>
        </w:rPr>
        <w:t xml:space="preserve"> ry &amp; Oikeus- ja yhteiskuntatieteellinen yhdistys.  </w:t>
      </w:r>
    </w:p>
    <w:p w14:paraId="4F6C18A5" w14:textId="420274AF" w:rsidR="0D99CDB9" w:rsidRPr="00CD449E" w:rsidRDefault="65EEDB38" w:rsidP="32718411">
      <w:pPr>
        <w:pStyle w:val="VNLeip1kappale"/>
        <w:rPr>
          <w:szCs w:val="22"/>
        </w:rPr>
      </w:pPr>
      <w:r w:rsidRPr="32718411">
        <w:rPr>
          <w:szCs w:val="22"/>
        </w:rPr>
        <w:t xml:space="preserve">Luonnonvarakeskus 2022. Maatalouden kasvihuonekaasupäästöt ja niiden kustannukset. </w:t>
      </w:r>
      <w:hyperlink r:id="rId143">
        <w:r w:rsidRPr="32718411">
          <w:rPr>
            <w:rStyle w:val="Hyperlinkki"/>
            <w:szCs w:val="22"/>
          </w:rPr>
          <w:t>https://jukuri.luke.fi/bitstream/handle/10024/551924/luke-luobio_48_2022.pdf?sequence=1&amp;isAllowed=y</w:t>
        </w:r>
      </w:hyperlink>
      <w:r w:rsidRPr="32718411">
        <w:rPr>
          <w:szCs w:val="22"/>
        </w:rPr>
        <w:t xml:space="preserve"> </w:t>
      </w:r>
    </w:p>
    <w:p w14:paraId="02112797" w14:textId="1AA3B305" w:rsidR="0D99CDB9" w:rsidRPr="000D659C" w:rsidRDefault="65EEDB38" w:rsidP="711D8B68">
      <w:pPr>
        <w:pStyle w:val="VNLeip1kappale"/>
      </w:pPr>
      <w:r w:rsidRPr="711D8B68">
        <w:rPr>
          <w:lang w:val="en-US"/>
        </w:rPr>
        <w:t>Markkanen, S., &amp; Anger-</w:t>
      </w:r>
      <w:proofErr w:type="spellStart"/>
      <w:r w:rsidRPr="711D8B68">
        <w:rPr>
          <w:lang w:val="en-US"/>
        </w:rPr>
        <w:t>Kraavi</w:t>
      </w:r>
      <w:proofErr w:type="spellEnd"/>
      <w:r w:rsidRPr="711D8B68">
        <w:rPr>
          <w:lang w:val="en-US"/>
        </w:rPr>
        <w:t xml:space="preserve">, A. 2019. Social impacts of climate change mitigation policies and their implications for inequality. </w:t>
      </w:r>
      <w:proofErr w:type="spellStart"/>
      <w:r>
        <w:t>Climate</w:t>
      </w:r>
      <w:proofErr w:type="spellEnd"/>
      <w:r>
        <w:t xml:space="preserve"> </w:t>
      </w:r>
      <w:proofErr w:type="spellStart"/>
      <w:r>
        <w:t>Policy</w:t>
      </w:r>
      <w:proofErr w:type="spellEnd"/>
      <w:r>
        <w:t xml:space="preserve">, 19(7). </w:t>
      </w:r>
      <w:hyperlink r:id="rId144" w:anchor="d1e255">
        <w:r w:rsidRPr="711D8B68">
          <w:rPr>
            <w:rStyle w:val="Hyperlinkki"/>
          </w:rPr>
          <w:t>https://www.tandfonline.com/doi/full/10.1080/14693062.2019.1596873#d1e255</w:t>
        </w:r>
      </w:hyperlink>
    </w:p>
    <w:p w14:paraId="4ACEE004" w14:textId="24FD2480" w:rsidR="0D99CDB9" w:rsidRPr="00CD449E" w:rsidRDefault="65EEDB38" w:rsidP="32718411">
      <w:pPr>
        <w:pStyle w:val="VNLeip1kappale"/>
        <w:rPr>
          <w:lang w:val="en-US"/>
        </w:rPr>
      </w:pPr>
      <w:r>
        <w:t xml:space="preserve">Numminen, S., </w:t>
      </w:r>
      <w:proofErr w:type="spellStart"/>
      <w:r>
        <w:t>Kajoskoski</w:t>
      </w:r>
      <w:proofErr w:type="spellEnd"/>
      <w:r>
        <w:t xml:space="preserve">, T., </w:t>
      </w:r>
      <w:proofErr w:type="spellStart"/>
      <w:r>
        <w:t>Kaltampanidis</w:t>
      </w:r>
      <w:proofErr w:type="spellEnd"/>
      <w:r>
        <w:t xml:space="preserve">, Y., &amp; Jalas, M. 2024. </w:t>
      </w:r>
      <w:r w:rsidRPr="711D8B68">
        <w:rPr>
          <w:lang w:val="en-US"/>
        </w:rPr>
        <w:t xml:space="preserve">Energy vulnerability of detached </w:t>
      </w:r>
      <w:proofErr w:type="gramStart"/>
      <w:r w:rsidRPr="711D8B68">
        <w:rPr>
          <w:lang w:val="en-US"/>
        </w:rPr>
        <w:t>home owners</w:t>
      </w:r>
      <w:proofErr w:type="gramEnd"/>
      <w:r w:rsidRPr="711D8B68">
        <w:rPr>
          <w:lang w:val="en-US"/>
        </w:rPr>
        <w:t xml:space="preserve"> in Finland: An explorative study. Energy and Buildings, 310. </w:t>
      </w:r>
      <w:hyperlink r:id="rId145">
        <w:r w:rsidRPr="711D8B68">
          <w:rPr>
            <w:rStyle w:val="Hyperlinkki"/>
            <w:lang w:val="en-US"/>
          </w:rPr>
          <w:t>https://www.sciencedirect.com/science/article/pii/S0378778824001981</w:t>
        </w:r>
      </w:hyperlink>
      <w:r w:rsidRPr="711D8B68">
        <w:rPr>
          <w:lang w:val="en-US"/>
        </w:rPr>
        <w:t xml:space="preserve"> </w:t>
      </w:r>
    </w:p>
    <w:p w14:paraId="316BF551" w14:textId="485EEBBF" w:rsidR="0D99CDB9" w:rsidRPr="00CD449E" w:rsidRDefault="65EEDB38" w:rsidP="32718411">
      <w:pPr>
        <w:pStyle w:val="VNLeip1kappale"/>
        <w:rPr>
          <w:szCs w:val="22"/>
        </w:rPr>
      </w:pPr>
      <w:proofErr w:type="spellStart"/>
      <w:r w:rsidRPr="32718411">
        <w:rPr>
          <w:szCs w:val="22"/>
        </w:rPr>
        <w:t>Näkkäläjärvi</w:t>
      </w:r>
      <w:proofErr w:type="spellEnd"/>
      <w:r w:rsidRPr="32718411">
        <w:rPr>
          <w:szCs w:val="22"/>
        </w:rPr>
        <w:t xml:space="preserve">, K., Juntunen S., Jaakkola J.K. 2023. Ilmastopolitiikan oikeudenmukaisuus </w:t>
      </w:r>
      <w:r w:rsidR="0D99CDB9">
        <w:br/>
      </w:r>
      <w:r w:rsidRPr="32718411">
        <w:rPr>
          <w:szCs w:val="22"/>
        </w:rPr>
        <w:t xml:space="preserve"> alkuperäiskansa saamelaisten kannalta. Suomen ilmastopaneelin julkaisuja 3/2023. </w:t>
      </w:r>
      <w:hyperlink r:id="rId146">
        <w:r w:rsidRPr="32718411">
          <w:rPr>
            <w:rStyle w:val="Hyperlinkki"/>
            <w:szCs w:val="22"/>
            <w:u w:val="single"/>
          </w:rPr>
          <w:t>https://ilmastopaneeli.fi/hallinta/wp-content/uploads/2024/03/ilmastopaneelin-julkaisuja-3-2023-ilmastopolitiikan-oikeudenmukaisuus-alkuperaiskansa-saamelaisten-kannalta.pdf</w:t>
        </w:r>
      </w:hyperlink>
      <w:r w:rsidRPr="32718411">
        <w:rPr>
          <w:szCs w:val="22"/>
        </w:rPr>
        <w:t xml:space="preserve"> </w:t>
      </w:r>
    </w:p>
    <w:p w14:paraId="349D4D96" w14:textId="1E11072D" w:rsidR="0D99CDB9" w:rsidRPr="00CD449E" w:rsidRDefault="65EEDB38" w:rsidP="32718411">
      <w:pPr>
        <w:pStyle w:val="VNLeip1kappale"/>
        <w:rPr>
          <w:szCs w:val="22"/>
        </w:rPr>
      </w:pPr>
      <w:r w:rsidRPr="32718411">
        <w:rPr>
          <w:szCs w:val="22"/>
        </w:rPr>
        <w:t xml:space="preserve">Suomen perustuslaki (731/1999). </w:t>
      </w:r>
      <w:hyperlink r:id="rId147">
        <w:r w:rsidRPr="32718411">
          <w:rPr>
            <w:rStyle w:val="Hyperlinkki"/>
            <w:szCs w:val="22"/>
          </w:rPr>
          <w:t>https://www.finlex.fi/fi/lainsaadanto/1999/731</w:t>
        </w:r>
      </w:hyperlink>
      <w:r w:rsidRPr="32718411">
        <w:rPr>
          <w:szCs w:val="22"/>
        </w:rPr>
        <w:t xml:space="preserve"> </w:t>
      </w:r>
    </w:p>
    <w:p w14:paraId="54C5B41B" w14:textId="3A72F95A" w:rsidR="0D99CDB9" w:rsidRPr="00CD449E" w:rsidRDefault="65EEDB38" w:rsidP="32718411">
      <w:pPr>
        <w:pStyle w:val="VNLeip1kappale"/>
        <w:rPr>
          <w:szCs w:val="22"/>
        </w:rPr>
      </w:pPr>
      <w:r w:rsidRPr="32718411">
        <w:rPr>
          <w:szCs w:val="22"/>
        </w:rPr>
        <w:t xml:space="preserve">Saamelaiskäräjät. Tietoa meistä. </w:t>
      </w:r>
      <w:hyperlink r:id="rId148">
        <w:r w:rsidRPr="32718411">
          <w:rPr>
            <w:rStyle w:val="Hyperlinkki"/>
            <w:szCs w:val="22"/>
          </w:rPr>
          <w:t>https://samediggi.fi/tietoa-meista/</w:t>
        </w:r>
      </w:hyperlink>
      <w:r w:rsidRPr="32718411">
        <w:rPr>
          <w:szCs w:val="22"/>
        </w:rPr>
        <w:t xml:space="preserve"> </w:t>
      </w:r>
    </w:p>
    <w:p w14:paraId="00024ED9" w14:textId="1895F054" w:rsidR="0D99CDB9" w:rsidRPr="00CD449E" w:rsidRDefault="65EEDB38" w:rsidP="32718411">
      <w:pPr>
        <w:pStyle w:val="VNLeip1kappale"/>
        <w:rPr>
          <w:szCs w:val="22"/>
          <w:lang w:val="en-US"/>
        </w:rPr>
      </w:pPr>
      <w:proofErr w:type="spellStart"/>
      <w:r w:rsidRPr="32718411">
        <w:rPr>
          <w:szCs w:val="22"/>
        </w:rPr>
        <w:t>Sares-Jäske</w:t>
      </w:r>
      <w:proofErr w:type="spellEnd"/>
      <w:r w:rsidRPr="32718411">
        <w:rPr>
          <w:szCs w:val="22"/>
        </w:rPr>
        <w:t xml:space="preserve">, L., Tapanainen, H., </w:t>
      </w:r>
      <w:proofErr w:type="spellStart"/>
      <w:r w:rsidRPr="32718411">
        <w:rPr>
          <w:szCs w:val="22"/>
        </w:rPr>
        <w:t>Valsta</w:t>
      </w:r>
      <w:proofErr w:type="spellEnd"/>
      <w:r w:rsidRPr="32718411">
        <w:rPr>
          <w:szCs w:val="22"/>
        </w:rPr>
        <w:t xml:space="preserve">, L., </w:t>
      </w:r>
      <w:proofErr w:type="spellStart"/>
      <w:r w:rsidRPr="32718411">
        <w:rPr>
          <w:szCs w:val="22"/>
        </w:rPr>
        <w:t>Haario</w:t>
      </w:r>
      <w:proofErr w:type="spellEnd"/>
      <w:r w:rsidRPr="32718411">
        <w:rPr>
          <w:szCs w:val="22"/>
        </w:rPr>
        <w:t xml:space="preserve">, P., Männistö, S., &amp; </w:t>
      </w:r>
      <w:proofErr w:type="spellStart"/>
      <w:r w:rsidRPr="32718411">
        <w:rPr>
          <w:szCs w:val="22"/>
        </w:rPr>
        <w:t>Vaalavuo</w:t>
      </w:r>
      <w:proofErr w:type="spellEnd"/>
      <w:r w:rsidRPr="32718411">
        <w:rPr>
          <w:szCs w:val="22"/>
        </w:rPr>
        <w:t xml:space="preserve">, M. 2024. </w:t>
      </w:r>
      <w:r w:rsidRPr="32718411">
        <w:rPr>
          <w:szCs w:val="22"/>
          <w:lang w:val="en-US"/>
        </w:rPr>
        <w:t xml:space="preserve">Meat consumption and obesity: A climate-friendly way to reduce health inequalities. Public Health Challenges, 3(1), e163. </w:t>
      </w:r>
      <w:hyperlink r:id="rId149">
        <w:r w:rsidRPr="32718411">
          <w:rPr>
            <w:rStyle w:val="Hyperlinkki"/>
            <w:szCs w:val="22"/>
            <w:lang w:val="en-US"/>
          </w:rPr>
          <w:t>https://onlinelibrary.wiley.com/doi/10.1002/puh2.163</w:t>
        </w:r>
      </w:hyperlink>
      <w:r w:rsidRPr="32718411">
        <w:rPr>
          <w:szCs w:val="22"/>
          <w:lang w:val="en-US"/>
        </w:rPr>
        <w:t xml:space="preserve"> </w:t>
      </w:r>
    </w:p>
    <w:p w14:paraId="1DE716E4" w14:textId="0274A034" w:rsidR="0D99CDB9" w:rsidRPr="00CD449E" w:rsidRDefault="65EEDB38" w:rsidP="32718411">
      <w:pPr>
        <w:pStyle w:val="VNLeip1kappale"/>
        <w:rPr>
          <w:szCs w:val="22"/>
        </w:rPr>
      </w:pPr>
      <w:r w:rsidRPr="32718411">
        <w:rPr>
          <w:szCs w:val="22"/>
        </w:rPr>
        <w:t xml:space="preserve">Suomen ilmastopaneeli. Ilmastopolitiikan oikeudenmukaisuus. </w:t>
      </w:r>
      <w:hyperlink r:id="rId150">
        <w:r w:rsidRPr="32718411">
          <w:rPr>
            <w:rStyle w:val="Hyperlinkki"/>
            <w:szCs w:val="22"/>
          </w:rPr>
          <w:t>https://ilmastopaneeli.fi/ilmastopolitiikan-oikeudenmukaisuus/</w:t>
        </w:r>
      </w:hyperlink>
      <w:r w:rsidRPr="32718411">
        <w:rPr>
          <w:szCs w:val="22"/>
        </w:rPr>
        <w:t xml:space="preserve"> </w:t>
      </w:r>
    </w:p>
    <w:p w14:paraId="1C2EFC78" w14:textId="2A5038B0" w:rsidR="0D99CDB9" w:rsidRPr="00CD449E" w:rsidRDefault="65EEDB38" w:rsidP="32718411">
      <w:pPr>
        <w:pStyle w:val="VNLeip1kappale"/>
        <w:rPr>
          <w:szCs w:val="22"/>
        </w:rPr>
      </w:pPr>
      <w:r w:rsidRPr="32718411">
        <w:rPr>
          <w:szCs w:val="22"/>
        </w:rPr>
        <w:t xml:space="preserve">Suomen ympäristökeskus. Teollisuuden puhdasta siirtymää kannattaa vauhdittaa työkonealan politiikkatoimilla. </w:t>
      </w:r>
      <w:hyperlink r:id="rId151">
        <w:r w:rsidRPr="32718411">
          <w:rPr>
            <w:rStyle w:val="Hyperlinkki"/>
            <w:szCs w:val="22"/>
            <w:u w:val="single"/>
          </w:rPr>
          <w:t>https://www.syke.fi/fi/tietoa-meista/uutiset/teollisuuden-puhdasta-siirtymaa-kannattaa-vauhdittaa-tyokonealan-politiikkatoimilla</w:t>
        </w:r>
      </w:hyperlink>
      <w:r w:rsidRPr="32718411">
        <w:rPr>
          <w:szCs w:val="22"/>
        </w:rPr>
        <w:t xml:space="preserve"> </w:t>
      </w:r>
    </w:p>
    <w:p w14:paraId="671CDF9A" w14:textId="77777777" w:rsidR="00713051" w:rsidRPr="00713051" w:rsidRDefault="00713051" w:rsidP="00713051">
      <w:pPr>
        <w:pStyle w:val="VNLeip1kappale"/>
        <w:rPr>
          <w:szCs w:val="22"/>
        </w:rPr>
      </w:pPr>
      <w:r w:rsidRPr="00713051">
        <w:rPr>
          <w:szCs w:val="22"/>
        </w:rPr>
        <w:t xml:space="preserve">Suomen ympäristökeskus. Kestävyyssiirtymän politiikkaohjaus maataloussektorin haastavilla aloilla: Kartoitus ilmastopolitiikan tehostamismahdollisuuksista turvepeltojen </w:t>
      </w:r>
      <w:proofErr w:type="spellStart"/>
      <w:r w:rsidRPr="00713051">
        <w:rPr>
          <w:szCs w:val="22"/>
        </w:rPr>
        <w:t>vettämisen</w:t>
      </w:r>
      <w:proofErr w:type="spellEnd"/>
      <w:r w:rsidRPr="00713051">
        <w:rPr>
          <w:szCs w:val="22"/>
        </w:rPr>
        <w:t xml:space="preserve">, kosteikkoviljelyn, kasviproteiinien arvoketjujen ja kestävän biokaasutuotannon keinoin. </w:t>
      </w:r>
      <w:hyperlink r:id="rId152" w:history="1">
        <w:r w:rsidRPr="00713051">
          <w:rPr>
            <w:rStyle w:val="Hyperlinkki"/>
            <w:szCs w:val="22"/>
          </w:rPr>
          <w:t>https://helda.helsinki.fi/items/299a4a70-313b-451c-a71c-a1989a77eb11</w:t>
        </w:r>
      </w:hyperlink>
      <w:r w:rsidRPr="00713051">
        <w:rPr>
          <w:szCs w:val="22"/>
        </w:rPr>
        <w:t xml:space="preserve"> </w:t>
      </w:r>
    </w:p>
    <w:p w14:paraId="553F0B28" w14:textId="77777777" w:rsidR="00713051" w:rsidRPr="00CD449E" w:rsidRDefault="00713051" w:rsidP="32718411">
      <w:pPr>
        <w:pStyle w:val="VNLeip1kappale"/>
        <w:rPr>
          <w:szCs w:val="22"/>
        </w:rPr>
      </w:pPr>
    </w:p>
    <w:p w14:paraId="7C29BA36" w14:textId="5FCD9B29" w:rsidR="0D99CDB9" w:rsidRPr="00CD449E" w:rsidRDefault="65EEDB38" w:rsidP="32718411">
      <w:pPr>
        <w:pStyle w:val="VNLeip1kappale"/>
        <w:rPr>
          <w:szCs w:val="22"/>
        </w:rPr>
      </w:pPr>
      <w:r w:rsidRPr="32718411">
        <w:rPr>
          <w:szCs w:val="22"/>
        </w:rPr>
        <w:t xml:space="preserve">Terveyden ja hyvinvoinninlaitos 2025. Ruoka-askel-toimintamalli – terveyttä ja ekologista kestävyyttä edistävä ruokailu varhaiskasvatuksessa. Ruoka-askel-työryhmä </w:t>
      </w:r>
      <w:hyperlink r:id="rId153">
        <w:r w:rsidRPr="32718411">
          <w:rPr>
            <w:rStyle w:val="Hyperlinkki"/>
            <w:szCs w:val="22"/>
            <w:u w:val="single"/>
          </w:rPr>
          <w:t>https://www.julkari.fi/bitstream/handle/10024/151529/URN_ISBN_978-952-408-511-3.pdf?sequence=1&amp;isAllowed=y</w:t>
        </w:r>
      </w:hyperlink>
      <w:r w:rsidRPr="32718411">
        <w:rPr>
          <w:szCs w:val="22"/>
        </w:rPr>
        <w:t xml:space="preserve">  </w:t>
      </w:r>
    </w:p>
    <w:p w14:paraId="1C27BF4F" w14:textId="7B7F88F0" w:rsidR="0D99CDB9" w:rsidRPr="00CD449E" w:rsidRDefault="65EEDB38" w:rsidP="32718411">
      <w:pPr>
        <w:pStyle w:val="VNLeip1kappale"/>
        <w:rPr>
          <w:szCs w:val="22"/>
        </w:rPr>
      </w:pPr>
      <w:r w:rsidRPr="32718411">
        <w:rPr>
          <w:szCs w:val="22"/>
        </w:rPr>
        <w:t xml:space="preserve">Terveyden ja hyvinvoinninlaitos 2025. Uusi toimintamalli edistää terveellistä ja kestävää ruokailua varhaiskasvatuksessa – hyviä tuloksia kuntakokeiluista. </w:t>
      </w:r>
      <w:hyperlink r:id="rId154">
        <w:r w:rsidRPr="32718411">
          <w:rPr>
            <w:rStyle w:val="Hyperlinkki"/>
            <w:szCs w:val="22"/>
            <w:u w:val="single"/>
          </w:rPr>
          <w:t>https://thl.fi/-/uusi-toimintamalli-edistaa-terveellista-ja-kestavaa-ruokailua-varhaiskasvatuksessa-hyvia-tuloksia-kuntakokeiluista</w:t>
        </w:r>
      </w:hyperlink>
      <w:r w:rsidRPr="32718411">
        <w:rPr>
          <w:szCs w:val="22"/>
        </w:rPr>
        <w:t xml:space="preserve"> </w:t>
      </w:r>
    </w:p>
    <w:p w14:paraId="4BF51108" w14:textId="476DC16B" w:rsidR="0D99CDB9" w:rsidRPr="00CD449E" w:rsidRDefault="65EEDB38" w:rsidP="32718411">
      <w:pPr>
        <w:pStyle w:val="VNLeip1kappale"/>
        <w:rPr>
          <w:szCs w:val="22"/>
        </w:rPr>
      </w:pPr>
      <w:r w:rsidRPr="32718411">
        <w:rPr>
          <w:szCs w:val="22"/>
        </w:rPr>
        <w:t xml:space="preserve">THL 2023. Ruokavaliot ovat osa terveys- ja ympäristöhaasteiden ratkaisua – uudet ravitsemussuositukset tukevat kestävyyssiirtymää. </w:t>
      </w:r>
      <w:hyperlink r:id="rId155">
        <w:r w:rsidRPr="32718411">
          <w:rPr>
            <w:rStyle w:val="Hyperlinkki"/>
            <w:szCs w:val="22"/>
            <w:u w:val="single"/>
          </w:rPr>
          <w:t>https://www.julkari.fi/bitstream/handle/10024/147230/URN_ISBN_978-952-408-141-2.pdf?sequence=1&amp;isAllowed=y</w:t>
        </w:r>
      </w:hyperlink>
      <w:r w:rsidRPr="32718411">
        <w:rPr>
          <w:szCs w:val="22"/>
        </w:rPr>
        <w:t xml:space="preserve"> </w:t>
      </w:r>
    </w:p>
    <w:p w14:paraId="637783FE" w14:textId="3ADA9854" w:rsidR="0D99CDB9" w:rsidRPr="00CD449E" w:rsidRDefault="65EEDB38" w:rsidP="32718411">
      <w:pPr>
        <w:pStyle w:val="VNLeip1kappale"/>
        <w:rPr>
          <w:szCs w:val="22"/>
        </w:rPr>
      </w:pPr>
      <w:r w:rsidRPr="32718411">
        <w:rPr>
          <w:szCs w:val="22"/>
        </w:rPr>
        <w:t xml:space="preserve">THL 2024. Päätösten vaikutusten ennakkoarviointi. </w:t>
      </w:r>
      <w:hyperlink r:id="rId156">
        <w:r w:rsidRPr="32718411">
          <w:rPr>
            <w:rStyle w:val="Hyperlinkki"/>
            <w:szCs w:val="22"/>
            <w:u w:val="single"/>
          </w:rPr>
          <w:t>https://thl.fi/aiheet/hyvinvoinnin-ja-terveyden-edistamisen-johtaminen/hyvinvointijohtaminen/paatosten-vaikutusten-ennakkoarviointi</w:t>
        </w:r>
      </w:hyperlink>
      <w:r w:rsidRPr="32718411">
        <w:rPr>
          <w:szCs w:val="22"/>
        </w:rPr>
        <w:t xml:space="preserve"> </w:t>
      </w:r>
    </w:p>
    <w:p w14:paraId="2B791427" w14:textId="292A0AB8" w:rsidR="0D99CDB9" w:rsidRPr="00CD449E" w:rsidRDefault="65EEDB38" w:rsidP="32718411">
      <w:pPr>
        <w:pStyle w:val="VNLeip1kappale"/>
        <w:rPr>
          <w:szCs w:val="22"/>
        </w:rPr>
      </w:pPr>
      <w:proofErr w:type="spellStart"/>
      <w:r w:rsidRPr="32718411">
        <w:rPr>
          <w:szCs w:val="22"/>
        </w:rPr>
        <w:t>Tiikkaja</w:t>
      </w:r>
      <w:proofErr w:type="spellEnd"/>
      <w:r w:rsidRPr="32718411">
        <w:rPr>
          <w:szCs w:val="22"/>
        </w:rPr>
        <w:t xml:space="preserve">, H., Pöllänen, M., &amp; Liimatainen, H. 2018. Liikenneköyhyys Suomessa – näkökulmia liikkumisen sosiaaliseen kestävyyteen. Esiselvitys. Tampereen yliopisto, Liikenteen tutkimuskeskus Verne. </w:t>
      </w:r>
      <w:hyperlink r:id="rId157">
        <w:r w:rsidRPr="32718411">
          <w:rPr>
            <w:rStyle w:val="Hyperlinkki"/>
            <w:szCs w:val="22"/>
            <w:u w:val="single"/>
          </w:rPr>
          <w:t>https://research.tuni.fi/app/uploads/2020/03/807f5072-verne_tutkimusraportti94.pdf</w:t>
        </w:r>
      </w:hyperlink>
      <w:r w:rsidRPr="32718411">
        <w:rPr>
          <w:szCs w:val="22"/>
        </w:rPr>
        <w:t xml:space="preserve"> </w:t>
      </w:r>
    </w:p>
    <w:p w14:paraId="5363C91F" w14:textId="0F91F673" w:rsidR="0D99CDB9" w:rsidRPr="00CD449E" w:rsidRDefault="65EEDB38" w:rsidP="32718411">
      <w:pPr>
        <w:pStyle w:val="VNLeip1kappale"/>
        <w:rPr>
          <w:szCs w:val="22"/>
          <w:lang w:val="en-US"/>
        </w:rPr>
      </w:pPr>
      <w:proofErr w:type="spellStart"/>
      <w:r w:rsidRPr="32718411">
        <w:rPr>
          <w:szCs w:val="22"/>
          <w:lang w:val="en-US"/>
        </w:rPr>
        <w:t>Tikkakoski</w:t>
      </w:r>
      <w:proofErr w:type="spellEnd"/>
      <w:r w:rsidRPr="32718411">
        <w:rPr>
          <w:szCs w:val="22"/>
          <w:lang w:val="en-US"/>
        </w:rPr>
        <w:t xml:space="preserve">, </w:t>
      </w:r>
      <w:proofErr w:type="spellStart"/>
      <w:r w:rsidRPr="32718411">
        <w:rPr>
          <w:szCs w:val="22"/>
          <w:lang w:val="en-US"/>
        </w:rPr>
        <w:t>ym</w:t>
      </w:r>
      <w:proofErr w:type="spellEnd"/>
      <w:r w:rsidRPr="32718411">
        <w:rPr>
          <w:szCs w:val="22"/>
          <w:lang w:val="en-US"/>
        </w:rPr>
        <w:t xml:space="preserve">. 2024. Towards just transition: Tackling inequity and structural causes of vulnerability in key environment, </w:t>
      </w:r>
      <w:proofErr w:type="gramStart"/>
      <w:r w:rsidRPr="32718411">
        <w:rPr>
          <w:szCs w:val="22"/>
          <w:lang w:val="en-US"/>
        </w:rPr>
        <w:t>health</w:t>
      </w:r>
      <w:proofErr w:type="gramEnd"/>
      <w:r w:rsidRPr="32718411">
        <w:rPr>
          <w:szCs w:val="22"/>
          <w:lang w:val="en-US"/>
        </w:rPr>
        <w:t xml:space="preserve"> and climate related policies in Finland. Environmental Science &amp; Policy. </w:t>
      </w:r>
      <w:hyperlink r:id="rId158">
        <w:r w:rsidRPr="32718411">
          <w:rPr>
            <w:rStyle w:val="Hyperlinkki"/>
            <w:szCs w:val="22"/>
            <w:u w:val="single"/>
            <w:lang w:val="en-US"/>
          </w:rPr>
          <w:t>https://www.sciencedirect.com/science/article/pii/S1462901124000704?dgcid=rss_sd_all</w:t>
        </w:r>
      </w:hyperlink>
      <w:r w:rsidRPr="32718411">
        <w:rPr>
          <w:szCs w:val="22"/>
          <w:lang w:val="en-US"/>
        </w:rPr>
        <w:t xml:space="preserve"> </w:t>
      </w:r>
    </w:p>
    <w:p w14:paraId="2B6466B5" w14:textId="2475A732" w:rsidR="0D99CDB9" w:rsidRPr="00CD449E" w:rsidRDefault="65EEDB38" w:rsidP="32718411">
      <w:pPr>
        <w:pStyle w:val="VNLeip1kappale"/>
        <w:rPr>
          <w:szCs w:val="22"/>
        </w:rPr>
      </w:pPr>
      <w:r w:rsidRPr="32718411">
        <w:rPr>
          <w:szCs w:val="22"/>
          <w:u w:val="single"/>
        </w:rPr>
        <w:t xml:space="preserve">Traficom 2024. Liikennejärjestelmän ympäristöllinen kestävyys. </w:t>
      </w:r>
      <w:hyperlink r:id="rId159">
        <w:r w:rsidRPr="32718411">
          <w:rPr>
            <w:rStyle w:val="Hyperlinkki"/>
            <w:szCs w:val="22"/>
            <w:u w:val="single"/>
          </w:rPr>
          <w:t>https://tieto.traficom.fi/fi/tilastot/liikennejarjestelman-ymparistollinen-kestavyys</w:t>
        </w:r>
      </w:hyperlink>
      <w:r w:rsidRPr="32718411">
        <w:rPr>
          <w:szCs w:val="22"/>
          <w:u w:val="single"/>
        </w:rPr>
        <w:t xml:space="preserve"> </w:t>
      </w:r>
      <w:r w:rsidRPr="32718411">
        <w:rPr>
          <w:szCs w:val="22"/>
        </w:rPr>
        <w:t xml:space="preserve"> </w:t>
      </w:r>
    </w:p>
    <w:p w14:paraId="2669A3E8" w14:textId="1C79EC67" w:rsidR="0D99CDB9" w:rsidRPr="00CD449E" w:rsidRDefault="65EEDB38" w:rsidP="32718411">
      <w:pPr>
        <w:pStyle w:val="VNLeip1kappale"/>
        <w:rPr>
          <w:szCs w:val="22"/>
        </w:rPr>
      </w:pPr>
      <w:r w:rsidRPr="32718411">
        <w:rPr>
          <w:szCs w:val="22"/>
          <w:u w:val="single"/>
        </w:rPr>
        <w:t xml:space="preserve">Turun yliopisto. Energia-aiheinen kansalaiskokous. </w:t>
      </w:r>
      <w:hyperlink r:id="rId160">
        <w:r w:rsidRPr="32718411">
          <w:rPr>
            <w:rStyle w:val="Hyperlinkki"/>
            <w:szCs w:val="22"/>
            <w:u w:val="single"/>
          </w:rPr>
          <w:t>https://sites.utu.fi/kansalaiskokous/</w:t>
        </w:r>
      </w:hyperlink>
      <w:r w:rsidRPr="32718411">
        <w:rPr>
          <w:szCs w:val="22"/>
          <w:u w:val="single"/>
        </w:rPr>
        <w:t xml:space="preserve"> </w:t>
      </w:r>
      <w:r w:rsidRPr="32718411">
        <w:rPr>
          <w:szCs w:val="22"/>
        </w:rPr>
        <w:t xml:space="preserve"> </w:t>
      </w:r>
    </w:p>
    <w:p w14:paraId="63BE47AB" w14:textId="474A25DF" w:rsidR="0D99CDB9" w:rsidRPr="00CD449E" w:rsidRDefault="65EEDB38" w:rsidP="32718411">
      <w:pPr>
        <w:pStyle w:val="VNLeip1kappale"/>
        <w:rPr>
          <w:szCs w:val="22"/>
        </w:rPr>
      </w:pPr>
      <w:r w:rsidRPr="32718411">
        <w:rPr>
          <w:szCs w:val="22"/>
        </w:rPr>
        <w:t xml:space="preserve">Työ- ja elinkeinoministeriö 2021. Ilmasto- ja energiastrategian sukupuolivaikutusten arviointi. Työ- ja elinkeinoministeriön julkaisuja 2021:52. </w:t>
      </w:r>
      <w:hyperlink r:id="rId161">
        <w:r w:rsidRPr="32718411">
          <w:rPr>
            <w:rStyle w:val="Hyperlinkki"/>
            <w:szCs w:val="22"/>
            <w:u w:val="single"/>
          </w:rPr>
          <w:t>https://julkaisut.valtioneuvosto.fi/bitstream/handle/10024/163440/TEM_2021_52.pdf</w:t>
        </w:r>
      </w:hyperlink>
      <w:r w:rsidRPr="32718411">
        <w:rPr>
          <w:szCs w:val="22"/>
        </w:rPr>
        <w:t xml:space="preserve">  </w:t>
      </w:r>
    </w:p>
    <w:p w14:paraId="6E8A86BA" w14:textId="2B0D4A35" w:rsidR="0D99CDB9" w:rsidRPr="00CD449E" w:rsidRDefault="65EEDB38" w:rsidP="32718411">
      <w:pPr>
        <w:pStyle w:val="VNLeip1kappale"/>
        <w:rPr>
          <w:szCs w:val="22"/>
        </w:rPr>
      </w:pPr>
      <w:r w:rsidRPr="32718411">
        <w:rPr>
          <w:szCs w:val="22"/>
        </w:rPr>
        <w:t xml:space="preserve">Vainio A., Käyhkö J., Loivaranta T., Lundberg P. &amp; Honkanen O. 2023. Kansalaisten kokemukset Suomen ilmastopolitiikan oikeudenmukaisuudesta. Suomen ilmastopaneelin raportti 2/2023. </w:t>
      </w:r>
      <w:hyperlink r:id="rId162">
        <w:r w:rsidRPr="32718411">
          <w:rPr>
            <w:rStyle w:val="Hyperlinkki"/>
            <w:szCs w:val="22"/>
            <w:u w:val="single"/>
          </w:rPr>
          <w:t>https://ilmastopaneeli.fi/hae-julkaisuja/kansalaisten-kokemukset-suomen-ilmastopolitiikan-oikeudenmukaisuudesta/</w:t>
        </w:r>
      </w:hyperlink>
      <w:r w:rsidRPr="32718411">
        <w:rPr>
          <w:szCs w:val="22"/>
        </w:rPr>
        <w:t xml:space="preserve">  </w:t>
      </w:r>
    </w:p>
    <w:p w14:paraId="0DE05772" w14:textId="0C0E11F7" w:rsidR="0D99CDB9" w:rsidRPr="00CD449E" w:rsidRDefault="65EEDB38" w:rsidP="32718411">
      <w:pPr>
        <w:pStyle w:val="VNLeip1kappale"/>
        <w:rPr>
          <w:szCs w:val="22"/>
          <w:lang w:val="en-US"/>
        </w:rPr>
      </w:pPr>
      <w:proofErr w:type="spellStart"/>
      <w:r w:rsidRPr="32718411">
        <w:rPr>
          <w:szCs w:val="22"/>
        </w:rPr>
        <w:t>Vestinen</w:t>
      </w:r>
      <w:proofErr w:type="spellEnd"/>
      <w:r w:rsidRPr="32718411">
        <w:rPr>
          <w:szCs w:val="22"/>
        </w:rPr>
        <w:t xml:space="preserve">, J., Siirilä, H., &amp; </w:t>
      </w:r>
      <w:proofErr w:type="spellStart"/>
      <w:r w:rsidRPr="32718411">
        <w:rPr>
          <w:szCs w:val="22"/>
        </w:rPr>
        <w:t>Correia</w:t>
      </w:r>
      <w:proofErr w:type="spellEnd"/>
      <w:r w:rsidRPr="32718411">
        <w:rPr>
          <w:szCs w:val="22"/>
        </w:rPr>
        <w:t xml:space="preserve">, S. 2025. Maaseudun energia- ja liikenneköyhyys ilmiöinä. </w:t>
      </w:r>
      <w:r w:rsidRPr="32718411">
        <w:rPr>
          <w:szCs w:val="22"/>
          <w:lang w:val="en-US"/>
        </w:rPr>
        <w:t>VTT Technical Research Centre of Finland. VTT Research Report No. VTT-R-00103-25 </w:t>
      </w:r>
      <w:hyperlink r:id="rId163">
        <w:r w:rsidRPr="32718411">
          <w:rPr>
            <w:rStyle w:val="Hyperlinkki"/>
            <w:szCs w:val="22"/>
            <w:u w:val="single"/>
            <w:lang w:val="en-US"/>
          </w:rPr>
          <w:t>https://publications.vtt.fi/julkaisut/muut/2025/VTT-R-00103-25.pdf</w:t>
        </w:r>
      </w:hyperlink>
      <w:r w:rsidRPr="32718411">
        <w:rPr>
          <w:szCs w:val="22"/>
          <w:lang w:val="en-US"/>
        </w:rPr>
        <w:t xml:space="preserve"> </w:t>
      </w:r>
    </w:p>
    <w:p w14:paraId="4AC02C9B" w14:textId="658C9F4D" w:rsidR="0D99CDB9" w:rsidRPr="00CD449E" w:rsidRDefault="65EEDB38" w:rsidP="32718411">
      <w:pPr>
        <w:pStyle w:val="VNLeip1kappale"/>
        <w:rPr>
          <w:szCs w:val="22"/>
        </w:rPr>
      </w:pPr>
      <w:r w:rsidRPr="32718411">
        <w:rPr>
          <w:szCs w:val="22"/>
        </w:rPr>
        <w:t xml:space="preserve">Yhdistyneet kansakunnat. Lapsen oikeuksien sopimus. </w:t>
      </w:r>
      <w:hyperlink r:id="rId164">
        <w:r w:rsidRPr="32718411">
          <w:rPr>
            <w:rStyle w:val="Hyperlinkki"/>
            <w:szCs w:val="22"/>
            <w:u w:val="single"/>
          </w:rPr>
          <w:t>https://www.unicef.fi/tyomme/lapsen-oikeudet/lapsen-oikeuksien-sopimus/lapsen-oikeuksien-sopimuksen-koko-teksti/</w:t>
        </w:r>
      </w:hyperlink>
      <w:r w:rsidRPr="32718411">
        <w:rPr>
          <w:szCs w:val="22"/>
        </w:rPr>
        <w:t xml:space="preserve">  </w:t>
      </w:r>
    </w:p>
    <w:p w14:paraId="3DA58C81" w14:textId="11387BC6" w:rsidR="0D99CDB9" w:rsidRPr="00CD449E" w:rsidRDefault="65EEDB38" w:rsidP="32718411">
      <w:pPr>
        <w:pStyle w:val="VNLeip1kappale"/>
        <w:rPr>
          <w:szCs w:val="22"/>
        </w:rPr>
      </w:pPr>
      <w:r w:rsidRPr="32718411">
        <w:rPr>
          <w:szCs w:val="22"/>
        </w:rPr>
        <w:t xml:space="preserve">YK:n lapsen oikeuksien komitea 2023. Lapsiasianvaltuutettu- Yleiskommentti nro 26 (2023) lapsen oikeuksista ja ympäristöstä sekä erityisesti ilmastonmuutoksesta. Suomenkielinen käännös 2023. </w:t>
      </w:r>
      <w:hyperlink r:id="rId165">
        <w:r w:rsidRPr="32718411">
          <w:rPr>
            <w:rStyle w:val="Hyperlinkki"/>
            <w:szCs w:val="22"/>
            <w:u w:val="single"/>
          </w:rPr>
          <w:t>https://lapsiasia.fi/documents/25250457/38754461/CRC_CGC_26_FI+(1).pdf/5debbccd-6f69-4fe0-67bb-429c046ed015/CRC_CGC_26_FI+(1).pdf?t=1698407903491</w:t>
        </w:r>
      </w:hyperlink>
      <w:r w:rsidRPr="32718411">
        <w:rPr>
          <w:szCs w:val="22"/>
        </w:rPr>
        <w:t xml:space="preserve"> </w:t>
      </w:r>
    </w:p>
    <w:p w14:paraId="19A6DB51" w14:textId="56BA71ED" w:rsidR="0D99CDB9" w:rsidRPr="00CD449E" w:rsidRDefault="65EEDB38" w:rsidP="32718411">
      <w:pPr>
        <w:pStyle w:val="VNLeip1kappale"/>
        <w:rPr>
          <w:szCs w:val="22"/>
        </w:rPr>
      </w:pPr>
      <w:r w:rsidRPr="32718411">
        <w:rPr>
          <w:szCs w:val="22"/>
        </w:rPr>
        <w:t xml:space="preserve">Ympäristöministeriö 2021. Nykytilan arvio ympäristöministeriön politiikka-alan keskeisistä yhdenvertaisuus- ja tasa-arvorajapinnoista sekä haasteista. </w:t>
      </w:r>
      <w:hyperlink r:id="rId166">
        <w:r w:rsidRPr="32718411">
          <w:rPr>
            <w:rStyle w:val="Hyperlinkki"/>
            <w:szCs w:val="22"/>
            <w:u w:val="single"/>
          </w:rPr>
          <w:t>https://ym.fi/documents/1410903/40810204/P%C3%A4ivitetty+nykytilan+arvio+2021.pdf/5e7f7c08-e630-d49b-da58-3a198d1ed1d8/P%C3%A4ivitetty+nykytilan+arvio+2021.pdf?t=1631262130915</w:t>
        </w:r>
      </w:hyperlink>
      <w:r w:rsidRPr="32718411">
        <w:rPr>
          <w:szCs w:val="22"/>
        </w:rPr>
        <w:t xml:space="preserve"> </w:t>
      </w:r>
    </w:p>
    <w:p w14:paraId="2DBB0F88" w14:textId="5471BDA4" w:rsidR="0D99CDB9" w:rsidRPr="00CD449E" w:rsidRDefault="65EEDB38" w:rsidP="32718411">
      <w:pPr>
        <w:pStyle w:val="VNLeip1kappale"/>
        <w:rPr>
          <w:szCs w:val="22"/>
        </w:rPr>
      </w:pPr>
      <w:r w:rsidRPr="32718411">
        <w:rPr>
          <w:szCs w:val="22"/>
        </w:rPr>
        <w:t xml:space="preserve">Ympäristöministeriö 2022. Keskipitkän aikavälin ilmastopolitiikan suunnitelma (KAISU2). </w:t>
      </w:r>
      <w:hyperlink r:id="rId167">
        <w:r w:rsidRPr="32718411">
          <w:rPr>
            <w:rStyle w:val="Hyperlinkki"/>
            <w:szCs w:val="22"/>
            <w:u w:val="single"/>
          </w:rPr>
          <w:t>https://julkaisut.valtioneuvosto.fi/bitstream/handle/10024/164186/YM_2022_12.pdf?sequence=4&amp;isAllowed=y</w:t>
        </w:r>
      </w:hyperlink>
      <w:r w:rsidRPr="32718411">
        <w:rPr>
          <w:szCs w:val="22"/>
        </w:rPr>
        <w:t xml:space="preserve">  </w:t>
      </w:r>
    </w:p>
    <w:p w14:paraId="3869C459" w14:textId="22C41203" w:rsidR="00357567" w:rsidRPr="00357567" w:rsidRDefault="6815A857" w:rsidP="1A72B1E4">
      <w:pPr>
        <w:pStyle w:val="Numeroimatonotsikko"/>
        <w:rPr>
          <w:rFonts w:cs="Arial"/>
          <w:color w:val="365ABD" w:themeColor="accent3"/>
        </w:rPr>
      </w:pPr>
      <w:r w:rsidRPr="1A72B1E4">
        <w:rPr>
          <w:rFonts w:cs="Arial"/>
          <w:color w:val="365ABD" w:themeColor="accent3"/>
        </w:rPr>
        <w:t xml:space="preserve"> </w:t>
      </w:r>
    </w:p>
    <w:p w14:paraId="56082C6B" w14:textId="64690037" w:rsidR="00357567" w:rsidRPr="00357567" w:rsidRDefault="00357567" w:rsidP="1A72B1E4">
      <w:pPr>
        <w:pStyle w:val="Numeroimatonotsikko"/>
        <w:rPr>
          <w:rFonts w:cs="Arial"/>
          <w:color w:val="365ABD" w:themeColor="accent3"/>
        </w:rPr>
      </w:pPr>
    </w:p>
    <w:p w14:paraId="78F64860" w14:textId="7D897A69" w:rsidR="00357567" w:rsidRPr="00357567" w:rsidRDefault="00357567" w:rsidP="1A72B1E4">
      <w:pPr>
        <w:pStyle w:val="VNLeip1kappale"/>
      </w:pPr>
    </w:p>
    <w:sectPr w:rsidR="00357567" w:rsidRPr="00357567" w:rsidSect="0058693B">
      <w:headerReference w:type="default" r:id="rId168"/>
      <w:footerReference w:type="default" r:id="rId169"/>
      <w:pgSz w:w="11906" w:h="16838"/>
      <w:pgMar w:top="2722" w:right="2098" w:bottom="1758" w:left="2098" w:header="1502" w:footer="612"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8DFC5" w14:textId="77777777" w:rsidR="00456A8B" w:rsidRDefault="00456A8B" w:rsidP="00B90A4E">
      <w:r>
        <w:separator/>
      </w:r>
    </w:p>
    <w:p w14:paraId="08FD6DA6" w14:textId="77777777" w:rsidR="00456A8B" w:rsidRDefault="00456A8B"/>
  </w:endnote>
  <w:endnote w:type="continuationSeparator" w:id="0">
    <w:p w14:paraId="0747A422" w14:textId="77777777" w:rsidR="00456A8B" w:rsidRDefault="00456A8B" w:rsidP="00B90A4E">
      <w:r>
        <w:continuationSeparator/>
      </w:r>
    </w:p>
    <w:p w14:paraId="6270661F" w14:textId="77777777" w:rsidR="00456A8B" w:rsidRDefault="00456A8B"/>
  </w:endnote>
  <w:endnote w:type="continuationNotice" w:id="1">
    <w:p w14:paraId="69160D24" w14:textId="77777777" w:rsidR="00456A8B" w:rsidRDefault="00456A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Light">
    <w:altName w:val="Segoe UI Light"/>
    <w:panose1 w:val="00000000000000000000"/>
    <w:charset w:val="00"/>
    <w:family w:val="swiss"/>
    <w:notTrueType/>
    <w:pitch w:val="variable"/>
    <w:sig w:usb0="00000001" w:usb1="00000001" w:usb2="00000000" w:usb3="00000000" w:csb0="0000019F" w:csb1="00000000"/>
  </w:font>
  <w:font w:name="Myriad Pro Cond">
    <w:altName w:val="Segoe UI"/>
    <w:panose1 w:val="00000000000000000000"/>
    <w:charset w:val="00"/>
    <w:family w:val="swiss"/>
    <w:notTrueType/>
    <w:pitch w:val="variable"/>
    <w:sig w:usb0="00000001" w:usb1="00000001" w:usb2="00000000" w:usb3="00000000" w:csb0="0000019F" w:csb1="00000000"/>
  </w:font>
  <w:font w:name="Myriad Pro Light Cond">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FF9C" w14:textId="77777777" w:rsidR="00DA2BE5" w:rsidRDefault="00DA2BE5">
    <w:pPr>
      <w:pStyle w:val="Alatunnist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264597"/>
      <w:docPartObj>
        <w:docPartGallery w:val="Page Numbers (Bottom of Page)"/>
        <w:docPartUnique/>
      </w:docPartObj>
    </w:sdtPr>
    <w:sdtEndPr/>
    <w:sdtContent>
      <w:p w14:paraId="6B81FBCF" w14:textId="59DD1044" w:rsidR="00407BAD" w:rsidRDefault="00407BAD" w:rsidP="00615161">
        <w:pPr>
          <w:pStyle w:val="Alatunniste"/>
        </w:pPr>
        <w:r w:rsidRPr="002636E9">
          <w:fldChar w:fldCharType="begin"/>
        </w:r>
        <w:r w:rsidRPr="002636E9">
          <w:instrText xml:space="preserve"> PAGE   \* MERGEFORMAT </w:instrText>
        </w:r>
        <w:r w:rsidRPr="002636E9">
          <w:fldChar w:fldCharType="separate"/>
        </w:r>
        <w:r w:rsidR="005851CD">
          <w:rPr>
            <w:noProof/>
          </w:rPr>
          <w:t>42</w:t>
        </w:r>
        <w:r w:rsidRPr="002636E9">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415"/>
      <w:gridCol w:w="2415"/>
      <w:gridCol w:w="2415"/>
    </w:tblGrid>
    <w:tr w:rsidR="76622AF1" w14:paraId="3829FC4A" w14:textId="77777777" w:rsidTr="6EEAE2EF">
      <w:trPr>
        <w:trHeight w:val="300"/>
      </w:trPr>
      <w:tc>
        <w:tcPr>
          <w:tcW w:w="2415" w:type="dxa"/>
        </w:tcPr>
        <w:p w14:paraId="27465827" w14:textId="109B1E20" w:rsidR="76622AF1" w:rsidRDefault="76622AF1" w:rsidP="00A01B2A">
          <w:pPr>
            <w:ind w:left="-115"/>
          </w:pPr>
        </w:p>
      </w:tc>
      <w:tc>
        <w:tcPr>
          <w:tcW w:w="2415" w:type="dxa"/>
        </w:tcPr>
        <w:p w14:paraId="0C42402E" w14:textId="517C01AE" w:rsidR="76622AF1" w:rsidRDefault="76622AF1" w:rsidP="00A01B2A">
          <w:pPr>
            <w:jc w:val="center"/>
          </w:pPr>
        </w:p>
      </w:tc>
      <w:tc>
        <w:tcPr>
          <w:tcW w:w="2415" w:type="dxa"/>
        </w:tcPr>
        <w:p w14:paraId="7FED7E2F" w14:textId="4B09C71B" w:rsidR="76622AF1" w:rsidRDefault="76622AF1" w:rsidP="6EEAE2EF">
          <w:pPr>
            <w:ind w:right="-115"/>
            <w:jc w:val="right"/>
          </w:pPr>
        </w:p>
      </w:tc>
    </w:tr>
  </w:tbl>
  <w:p w14:paraId="047DA3B3" w14:textId="01C93D28" w:rsidR="000A6F2E" w:rsidRDefault="000A6F2E">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130F" w14:textId="148E59EC" w:rsidR="00407BAD" w:rsidRPr="008C5677" w:rsidRDefault="00407BAD" w:rsidP="00D95A49">
    <w:pPr>
      <w:pStyle w:val="VNSarjanimi"/>
    </w:pPr>
    <w:r>
      <w:fldChar w:fldCharType="begin"/>
    </w:r>
    <w:r>
      <w:instrText xml:space="preserve"> MACROBUTTON nomacro </w:instrText>
    </w:r>
    <w:r w:rsidRPr="00F15647">
      <w:instrText>xxxministeriö Helsinki 202</w:instrText>
    </w:r>
    <w:r>
      <w:instrText>4</w:instrTex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76622AF1" w14:paraId="45E54906" w14:textId="77777777" w:rsidTr="0056474A">
      <w:trPr>
        <w:trHeight w:val="300"/>
      </w:trPr>
      <w:tc>
        <w:tcPr>
          <w:tcW w:w="2830" w:type="dxa"/>
        </w:tcPr>
        <w:p w14:paraId="37E07B6A" w14:textId="3CFCD89E" w:rsidR="76622AF1" w:rsidRDefault="76622AF1" w:rsidP="0056474A">
          <w:pPr>
            <w:ind w:left="-115"/>
          </w:pPr>
        </w:p>
      </w:tc>
      <w:tc>
        <w:tcPr>
          <w:tcW w:w="2830" w:type="dxa"/>
        </w:tcPr>
        <w:p w14:paraId="693F900A" w14:textId="38A33801" w:rsidR="76622AF1" w:rsidRDefault="76622AF1" w:rsidP="0056474A">
          <w:pPr>
            <w:jc w:val="center"/>
          </w:pPr>
        </w:p>
      </w:tc>
      <w:tc>
        <w:tcPr>
          <w:tcW w:w="2830" w:type="dxa"/>
        </w:tcPr>
        <w:p w14:paraId="018ACBF6" w14:textId="55B02276" w:rsidR="76622AF1" w:rsidRDefault="76622AF1" w:rsidP="0056474A">
          <w:pPr>
            <w:ind w:right="-115"/>
            <w:jc w:val="right"/>
          </w:pPr>
        </w:p>
      </w:tc>
    </w:tr>
  </w:tbl>
  <w:p w14:paraId="15EC7FE2" w14:textId="0FA7BD56" w:rsidR="000A6F2E" w:rsidRDefault="000A6F2E">
    <w:pPr>
      <w:pStyle w:val="Alatunnist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6486C" w14:textId="77777777" w:rsidR="00407BAD" w:rsidRPr="00E65235" w:rsidRDefault="00407BAD" w:rsidP="00E65235">
    <w:pPr>
      <w:pStyle w:val="Alatunnist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6486E" w14:textId="77777777" w:rsidR="00407BAD" w:rsidRDefault="00407BA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76622AF1" w14:paraId="1D0019A6" w14:textId="77777777" w:rsidTr="00A01B2A">
      <w:trPr>
        <w:trHeight w:val="300"/>
      </w:trPr>
      <w:tc>
        <w:tcPr>
          <w:tcW w:w="2830" w:type="dxa"/>
        </w:tcPr>
        <w:p w14:paraId="5ADC720F" w14:textId="0DB1F495" w:rsidR="76622AF1" w:rsidRDefault="76622AF1" w:rsidP="00A01B2A">
          <w:pPr>
            <w:ind w:left="-115"/>
          </w:pPr>
        </w:p>
      </w:tc>
      <w:tc>
        <w:tcPr>
          <w:tcW w:w="2830" w:type="dxa"/>
        </w:tcPr>
        <w:p w14:paraId="613C1922" w14:textId="3159A75C" w:rsidR="76622AF1" w:rsidRDefault="76622AF1" w:rsidP="00A01B2A">
          <w:pPr>
            <w:jc w:val="center"/>
          </w:pPr>
        </w:p>
      </w:tc>
      <w:tc>
        <w:tcPr>
          <w:tcW w:w="2830" w:type="dxa"/>
        </w:tcPr>
        <w:p w14:paraId="13549B15" w14:textId="03B20671" w:rsidR="76622AF1" w:rsidRDefault="76622AF1" w:rsidP="00A01B2A">
          <w:pPr>
            <w:ind w:right="-115"/>
            <w:jc w:val="right"/>
          </w:pPr>
        </w:p>
      </w:tc>
    </w:tr>
  </w:tbl>
  <w:p w14:paraId="6466D589" w14:textId="5C5F2636" w:rsidR="000A6F2E" w:rsidRDefault="000A6F2E">
    <w:pPr>
      <w:pStyle w:val="Alatunnist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64870" w14:textId="77777777" w:rsidR="00407BAD" w:rsidRDefault="00407BA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64872" w14:textId="77777777" w:rsidR="00407BAD" w:rsidRPr="00F44E49" w:rsidRDefault="00407BAD" w:rsidP="00F44E49">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DACFA" w14:textId="77777777" w:rsidR="00456A8B" w:rsidRDefault="00456A8B" w:rsidP="00B81CA0">
      <w:pPr>
        <w:spacing w:before="240"/>
      </w:pPr>
      <w:r>
        <w:separator/>
      </w:r>
    </w:p>
  </w:footnote>
  <w:footnote w:type="continuationSeparator" w:id="0">
    <w:p w14:paraId="3B7B4D6D" w14:textId="77777777" w:rsidR="00456A8B" w:rsidRDefault="00456A8B" w:rsidP="00B90A4E">
      <w:r>
        <w:continuationSeparator/>
      </w:r>
    </w:p>
    <w:p w14:paraId="04562212" w14:textId="77777777" w:rsidR="00456A8B" w:rsidRDefault="00456A8B"/>
  </w:footnote>
  <w:footnote w:type="continuationNotice" w:id="1">
    <w:p w14:paraId="1783D41C" w14:textId="77777777" w:rsidR="00456A8B" w:rsidRDefault="00456A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650DE" w14:textId="77777777" w:rsidR="00DA2BE5" w:rsidRDefault="00DA2BE5">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64869" w14:textId="77777777" w:rsidR="00407BAD" w:rsidRPr="00F137CC" w:rsidRDefault="00407BAD" w:rsidP="00F137CC">
    <w:pPr>
      <w:rPr>
        <w:rFonts w:cs="Arial"/>
        <w:color w:val="404040" w:themeColor="text1" w:themeTint="BF"/>
      </w:rPr>
    </w:pPr>
    <w:proofErr w:type="spellStart"/>
    <w:r w:rsidRPr="00F137CC">
      <w:rPr>
        <w:rFonts w:cs="Arial"/>
        <w:color w:val="404040" w:themeColor="text1" w:themeTint="BF"/>
      </w:rPr>
      <w:t>xxxministeriön</w:t>
    </w:r>
    <w:proofErr w:type="spellEnd"/>
    <w:r w:rsidRPr="00F137CC">
      <w:rPr>
        <w:rFonts w:cs="Arial"/>
        <w:color w:val="404040" w:themeColor="text1" w:themeTint="BF"/>
      </w:rPr>
      <w:t xml:space="preserve"> </w:t>
    </w:r>
    <w:proofErr w:type="gramStart"/>
    <w:r w:rsidRPr="00F137CC">
      <w:rPr>
        <w:rFonts w:cs="Arial"/>
        <w:color w:val="404040" w:themeColor="text1" w:themeTint="BF"/>
      </w:rPr>
      <w:t>julkaisuja  xx</w:t>
    </w:r>
    <w:proofErr w:type="gramEnd"/>
    <w:r w:rsidRPr="00F137CC">
      <w:rPr>
        <w:rFonts w:cs="Arial"/>
        <w:color w:val="404040" w:themeColor="text1" w:themeTint="BF"/>
      </w:rPr>
      <w:t>/201x</w:t>
    </w:r>
  </w:p>
  <w:p w14:paraId="78F6486A" w14:textId="77777777" w:rsidR="00407BAD" w:rsidRDefault="00407BA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1992" w14:textId="328F84FF" w:rsidR="00407BAD" w:rsidRDefault="00407BAD" w:rsidP="00894736">
    <w:pPr>
      <w:pStyle w:val="Yltunniste"/>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9D5CC" w14:textId="77777777" w:rsidR="00407BAD" w:rsidRDefault="00407BAD" w:rsidP="00894736">
    <w:pPr>
      <w:pStyle w:val="Yltunniste"/>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6486D" w14:textId="03BCB49D" w:rsidR="00407BAD" w:rsidRPr="00636746" w:rsidRDefault="00407BAD" w:rsidP="0063674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6486F" w14:textId="77777777" w:rsidR="00407BAD" w:rsidRDefault="00407BAD" w:rsidP="00D95A49">
    <w:pPr>
      <w:pStyle w:val="VNSarjanim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64871" w14:textId="77777777" w:rsidR="00407BAD" w:rsidRPr="00636746" w:rsidRDefault="00407BAD" w:rsidP="0063674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9BFB6" w14:textId="5329E9F2" w:rsidR="00407BAD" w:rsidRDefault="00407BAD" w:rsidP="00615161">
    <w:pPr>
      <w:pStyle w:val="Yltunniste"/>
    </w:pPr>
    <w:r>
      <w:fldChar w:fldCharType="begin"/>
    </w:r>
    <w:r>
      <w:instrText xml:space="preserve"> MACROBUTTON nomacro </w:instrText>
    </w:r>
    <w:r>
      <w:rPr>
        <w:b/>
        <w:color w:val="4293FF" w:themeColor="accent2"/>
      </w:rPr>
      <w:instrText>VNK TÄYTTÄÄ, MINISTERIÖN</w:instrText>
    </w:r>
    <w:r w:rsidRPr="00C35497">
      <w:rPr>
        <w:b/>
        <w:color w:val="4293FF" w:themeColor="accent2"/>
      </w:rPr>
      <w:instrText xml:space="preserve"> julkaisusarjan nimi</w:instrText>
    </w:r>
    <w:r w:rsidRPr="00C35497">
      <w:rPr>
        <w:color w:val="4293FF" w:themeColor="accent2"/>
      </w:rPr>
      <w:instrText xml:space="preserve"> ja </w:instrText>
    </w:r>
    <w:r>
      <w:rPr>
        <w:b/>
        <w:color w:val="4293FF" w:themeColor="accent2"/>
      </w:rPr>
      <w:instrText xml:space="preserve">julkaisun </w:instrText>
    </w:r>
    <w:r w:rsidRPr="00C35497">
      <w:rPr>
        <w:b/>
        <w:color w:val="4293FF" w:themeColor="accent2"/>
      </w:rPr>
      <w:instrText>vuosi</w:instrText>
    </w:r>
    <w:r>
      <w:rPr>
        <w:b/>
        <w:color w:val="4293FF" w:themeColor="accent2"/>
      </w:rPr>
      <w:instrText xml:space="preserve"> : sarjaNuMERO</w:instrText>
    </w:r>
    <w:r w:rsidRPr="00C35497">
      <w:rPr>
        <w:color w:val="4293FF" w:themeColor="accent2"/>
      </w:rP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428B88"/>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B970B3E8"/>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C298B3CA"/>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E9A270B6"/>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68981A4A"/>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7EC114"/>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C0B93C"/>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AAEBB8"/>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4A8F2"/>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B252A9A2"/>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56B02AF"/>
    <w:multiLevelType w:val="multilevel"/>
    <w:tmpl w:val="3738CC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AA0998"/>
    <w:multiLevelType w:val="multilevel"/>
    <w:tmpl w:val="8F5C5724"/>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12" w15:restartNumberingAfterBreak="0">
    <w:nsid w:val="07C4121B"/>
    <w:multiLevelType w:val="hybridMultilevel"/>
    <w:tmpl w:val="898414FC"/>
    <w:lvl w:ilvl="0" w:tplc="FD76302E">
      <w:start w:val="1"/>
      <w:numFmt w:val="bullet"/>
      <w:pStyle w:val="VNinfolaatikkopallukkaluettelo"/>
      <w:lvlText w:val="•"/>
      <w:lvlJc w:val="left"/>
      <w:pPr>
        <w:ind w:left="947" w:hanging="360"/>
      </w:pPr>
      <w:rPr>
        <w:rFonts w:ascii="Arial" w:hAnsi="Arial" w:hint="default"/>
        <w:b w:val="0"/>
        <w:i w:val="0"/>
        <w:strike w:val="0"/>
        <w:dstrike w:val="0"/>
        <w:color w:val="365ABC"/>
        <w:sz w:val="28"/>
        <w:szCs w:val="22"/>
        <w:u w:val="none" w:color="000000"/>
        <w:vertAlign w:val="baseline"/>
      </w:rPr>
    </w:lvl>
    <w:lvl w:ilvl="1" w:tplc="040B0003" w:tentative="1">
      <w:start w:val="1"/>
      <w:numFmt w:val="bullet"/>
      <w:lvlText w:val="o"/>
      <w:lvlJc w:val="left"/>
      <w:pPr>
        <w:ind w:left="1667" w:hanging="360"/>
      </w:pPr>
      <w:rPr>
        <w:rFonts w:ascii="Courier New" w:hAnsi="Courier New" w:cs="Courier New" w:hint="default"/>
      </w:rPr>
    </w:lvl>
    <w:lvl w:ilvl="2" w:tplc="040B0005" w:tentative="1">
      <w:start w:val="1"/>
      <w:numFmt w:val="bullet"/>
      <w:lvlText w:val=""/>
      <w:lvlJc w:val="left"/>
      <w:pPr>
        <w:ind w:left="2387" w:hanging="360"/>
      </w:pPr>
      <w:rPr>
        <w:rFonts w:ascii="Wingdings" w:hAnsi="Wingdings" w:hint="default"/>
      </w:rPr>
    </w:lvl>
    <w:lvl w:ilvl="3" w:tplc="040B0001" w:tentative="1">
      <w:start w:val="1"/>
      <w:numFmt w:val="bullet"/>
      <w:lvlText w:val=""/>
      <w:lvlJc w:val="left"/>
      <w:pPr>
        <w:ind w:left="3107" w:hanging="360"/>
      </w:pPr>
      <w:rPr>
        <w:rFonts w:ascii="Symbol" w:hAnsi="Symbol" w:hint="default"/>
      </w:rPr>
    </w:lvl>
    <w:lvl w:ilvl="4" w:tplc="040B0003" w:tentative="1">
      <w:start w:val="1"/>
      <w:numFmt w:val="bullet"/>
      <w:lvlText w:val="o"/>
      <w:lvlJc w:val="left"/>
      <w:pPr>
        <w:ind w:left="3827" w:hanging="360"/>
      </w:pPr>
      <w:rPr>
        <w:rFonts w:ascii="Courier New" w:hAnsi="Courier New" w:cs="Courier New" w:hint="default"/>
      </w:rPr>
    </w:lvl>
    <w:lvl w:ilvl="5" w:tplc="040B0005" w:tentative="1">
      <w:start w:val="1"/>
      <w:numFmt w:val="bullet"/>
      <w:lvlText w:val=""/>
      <w:lvlJc w:val="left"/>
      <w:pPr>
        <w:ind w:left="4547" w:hanging="360"/>
      </w:pPr>
      <w:rPr>
        <w:rFonts w:ascii="Wingdings" w:hAnsi="Wingdings" w:hint="default"/>
      </w:rPr>
    </w:lvl>
    <w:lvl w:ilvl="6" w:tplc="040B0001" w:tentative="1">
      <w:start w:val="1"/>
      <w:numFmt w:val="bullet"/>
      <w:lvlText w:val=""/>
      <w:lvlJc w:val="left"/>
      <w:pPr>
        <w:ind w:left="5267" w:hanging="360"/>
      </w:pPr>
      <w:rPr>
        <w:rFonts w:ascii="Symbol" w:hAnsi="Symbol" w:hint="default"/>
      </w:rPr>
    </w:lvl>
    <w:lvl w:ilvl="7" w:tplc="040B0003" w:tentative="1">
      <w:start w:val="1"/>
      <w:numFmt w:val="bullet"/>
      <w:lvlText w:val="o"/>
      <w:lvlJc w:val="left"/>
      <w:pPr>
        <w:ind w:left="5987" w:hanging="360"/>
      </w:pPr>
      <w:rPr>
        <w:rFonts w:ascii="Courier New" w:hAnsi="Courier New" w:cs="Courier New" w:hint="default"/>
      </w:rPr>
    </w:lvl>
    <w:lvl w:ilvl="8" w:tplc="040B0005" w:tentative="1">
      <w:start w:val="1"/>
      <w:numFmt w:val="bullet"/>
      <w:lvlText w:val=""/>
      <w:lvlJc w:val="left"/>
      <w:pPr>
        <w:ind w:left="6707" w:hanging="360"/>
      </w:pPr>
      <w:rPr>
        <w:rFonts w:ascii="Wingdings" w:hAnsi="Wingdings" w:hint="default"/>
      </w:rPr>
    </w:lvl>
  </w:abstractNum>
  <w:abstractNum w:abstractNumId="13" w15:restartNumberingAfterBreak="0">
    <w:nsid w:val="07F86159"/>
    <w:multiLevelType w:val="hybridMultilevel"/>
    <w:tmpl w:val="3558D5E0"/>
    <w:lvl w:ilvl="0" w:tplc="4272A532">
      <w:start w:val="1"/>
      <w:numFmt w:val="decimal"/>
      <w:pStyle w:val="VNLeipluettelonumeroituna"/>
      <w:lvlText w:val="%1."/>
      <w:lvlJc w:val="left"/>
      <w:pPr>
        <w:ind w:left="1287" w:hanging="360"/>
      </w:pPr>
    </w:lvl>
    <w:lvl w:ilvl="1" w:tplc="040B0019" w:tentative="1">
      <w:start w:val="1"/>
      <w:numFmt w:val="lowerLetter"/>
      <w:lvlText w:val="%2."/>
      <w:lvlJc w:val="left"/>
      <w:pPr>
        <w:ind w:left="2007" w:hanging="360"/>
      </w:pPr>
    </w:lvl>
    <w:lvl w:ilvl="2" w:tplc="040B001B" w:tentative="1">
      <w:start w:val="1"/>
      <w:numFmt w:val="lowerRoman"/>
      <w:lvlText w:val="%3."/>
      <w:lvlJc w:val="right"/>
      <w:pPr>
        <w:ind w:left="2727" w:hanging="180"/>
      </w:pPr>
    </w:lvl>
    <w:lvl w:ilvl="3" w:tplc="040B000F" w:tentative="1">
      <w:start w:val="1"/>
      <w:numFmt w:val="decimal"/>
      <w:lvlText w:val="%4."/>
      <w:lvlJc w:val="left"/>
      <w:pPr>
        <w:ind w:left="3447" w:hanging="360"/>
      </w:pPr>
    </w:lvl>
    <w:lvl w:ilvl="4" w:tplc="040B0019" w:tentative="1">
      <w:start w:val="1"/>
      <w:numFmt w:val="lowerLetter"/>
      <w:lvlText w:val="%5."/>
      <w:lvlJc w:val="left"/>
      <w:pPr>
        <w:ind w:left="4167" w:hanging="360"/>
      </w:pPr>
    </w:lvl>
    <w:lvl w:ilvl="5" w:tplc="040B001B" w:tentative="1">
      <w:start w:val="1"/>
      <w:numFmt w:val="lowerRoman"/>
      <w:lvlText w:val="%6."/>
      <w:lvlJc w:val="right"/>
      <w:pPr>
        <w:ind w:left="4887" w:hanging="180"/>
      </w:pPr>
    </w:lvl>
    <w:lvl w:ilvl="6" w:tplc="040B000F" w:tentative="1">
      <w:start w:val="1"/>
      <w:numFmt w:val="decimal"/>
      <w:lvlText w:val="%7."/>
      <w:lvlJc w:val="left"/>
      <w:pPr>
        <w:ind w:left="5607" w:hanging="360"/>
      </w:pPr>
    </w:lvl>
    <w:lvl w:ilvl="7" w:tplc="040B0019" w:tentative="1">
      <w:start w:val="1"/>
      <w:numFmt w:val="lowerLetter"/>
      <w:lvlText w:val="%8."/>
      <w:lvlJc w:val="left"/>
      <w:pPr>
        <w:ind w:left="6327" w:hanging="360"/>
      </w:pPr>
    </w:lvl>
    <w:lvl w:ilvl="8" w:tplc="040B001B" w:tentative="1">
      <w:start w:val="1"/>
      <w:numFmt w:val="lowerRoman"/>
      <w:lvlText w:val="%9."/>
      <w:lvlJc w:val="right"/>
      <w:pPr>
        <w:ind w:left="7047" w:hanging="180"/>
      </w:pPr>
    </w:lvl>
  </w:abstractNum>
  <w:abstractNum w:abstractNumId="14" w15:restartNumberingAfterBreak="0">
    <w:nsid w:val="0E866007"/>
    <w:multiLevelType w:val="hybridMultilevel"/>
    <w:tmpl w:val="5AE46434"/>
    <w:lvl w:ilvl="0" w:tplc="F410A92A">
      <w:start w:val="1"/>
      <w:numFmt w:val="decimal"/>
      <w:pStyle w:val="VNtaulukko-otsikkonumerointi"/>
      <w:lvlText w:val="Taulukko %1."/>
      <w:lvlJc w:val="left"/>
      <w:pPr>
        <w:ind w:left="360" w:hanging="360"/>
      </w:pPr>
      <w:rPr>
        <w:rFonts w:ascii="Arial" w:hAnsi="Arial" w:hint="default"/>
        <w:b/>
        <w:i w:val="0"/>
        <w:caps w:val="0"/>
        <w:strike w:val="0"/>
        <w:dstrike w:val="0"/>
        <w:vanish w:val="0"/>
        <w:color w:val="365ABD" w:themeColor="text2"/>
        <w:sz w:val="22"/>
        <w:u w:val="none"/>
        <w:vertAlign w:val="baseline"/>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 w15:restartNumberingAfterBreak="0">
    <w:nsid w:val="10BD4C2B"/>
    <w:multiLevelType w:val="hybridMultilevel"/>
    <w:tmpl w:val="CA8267FC"/>
    <w:lvl w:ilvl="0" w:tplc="040B0001">
      <w:start w:val="1"/>
      <w:numFmt w:val="bullet"/>
      <w:lvlText w:val=""/>
      <w:lvlJc w:val="left"/>
      <w:pPr>
        <w:ind w:left="2520" w:hanging="360"/>
      </w:pPr>
      <w:rPr>
        <w:rFonts w:ascii="Symbol" w:hAnsi="Symbol" w:hint="default"/>
      </w:rPr>
    </w:lvl>
    <w:lvl w:ilvl="1" w:tplc="040B0003">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16" w15:restartNumberingAfterBreak="0">
    <w:nsid w:val="11731889"/>
    <w:multiLevelType w:val="multilevel"/>
    <w:tmpl w:val="D8B66C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982EA1"/>
    <w:multiLevelType w:val="multilevel"/>
    <w:tmpl w:val="1748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57D1293"/>
    <w:multiLevelType w:val="hybridMultilevel"/>
    <w:tmpl w:val="6AEC71D2"/>
    <w:lvl w:ilvl="0" w:tplc="ED208DCE">
      <w:start w:val="1"/>
      <w:numFmt w:val="decimal"/>
      <w:lvlText w:val="%1."/>
      <w:lvlJc w:val="left"/>
      <w:pPr>
        <w:ind w:left="1440" w:hanging="360"/>
      </w:pPr>
    </w:lvl>
    <w:lvl w:ilvl="1" w:tplc="B492C948">
      <w:start w:val="1"/>
      <w:numFmt w:val="decimal"/>
      <w:lvlText w:val="%2."/>
      <w:lvlJc w:val="left"/>
      <w:pPr>
        <w:ind w:left="1440" w:hanging="360"/>
      </w:pPr>
    </w:lvl>
    <w:lvl w:ilvl="2" w:tplc="4E7C55BA">
      <w:start w:val="1"/>
      <w:numFmt w:val="decimal"/>
      <w:lvlText w:val="%3."/>
      <w:lvlJc w:val="left"/>
      <w:pPr>
        <w:ind w:left="1440" w:hanging="360"/>
      </w:pPr>
    </w:lvl>
    <w:lvl w:ilvl="3" w:tplc="3DB4A0B6">
      <w:start w:val="1"/>
      <w:numFmt w:val="decimal"/>
      <w:lvlText w:val="%4."/>
      <w:lvlJc w:val="left"/>
      <w:pPr>
        <w:ind w:left="1440" w:hanging="360"/>
      </w:pPr>
    </w:lvl>
    <w:lvl w:ilvl="4" w:tplc="FB404904">
      <w:start w:val="1"/>
      <w:numFmt w:val="decimal"/>
      <w:lvlText w:val="%5."/>
      <w:lvlJc w:val="left"/>
      <w:pPr>
        <w:ind w:left="1440" w:hanging="360"/>
      </w:pPr>
    </w:lvl>
    <w:lvl w:ilvl="5" w:tplc="84FAD71E">
      <w:start w:val="1"/>
      <w:numFmt w:val="decimal"/>
      <w:lvlText w:val="%6."/>
      <w:lvlJc w:val="left"/>
      <w:pPr>
        <w:ind w:left="1440" w:hanging="360"/>
      </w:pPr>
    </w:lvl>
    <w:lvl w:ilvl="6" w:tplc="2A1E1BE8">
      <w:start w:val="1"/>
      <w:numFmt w:val="decimal"/>
      <w:lvlText w:val="%7."/>
      <w:lvlJc w:val="left"/>
      <w:pPr>
        <w:ind w:left="1440" w:hanging="360"/>
      </w:pPr>
    </w:lvl>
    <w:lvl w:ilvl="7" w:tplc="FD4E49A2">
      <w:start w:val="1"/>
      <w:numFmt w:val="decimal"/>
      <w:lvlText w:val="%8."/>
      <w:lvlJc w:val="left"/>
      <w:pPr>
        <w:ind w:left="1440" w:hanging="360"/>
      </w:pPr>
    </w:lvl>
    <w:lvl w:ilvl="8" w:tplc="63B20974">
      <w:start w:val="1"/>
      <w:numFmt w:val="decimal"/>
      <w:lvlText w:val="%9."/>
      <w:lvlJc w:val="left"/>
      <w:pPr>
        <w:ind w:left="1440" w:hanging="360"/>
      </w:pPr>
    </w:lvl>
  </w:abstractNum>
  <w:abstractNum w:abstractNumId="19" w15:restartNumberingAfterBreak="0">
    <w:nsid w:val="1C261183"/>
    <w:multiLevelType w:val="multilevel"/>
    <w:tmpl w:val="277ABB8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A24699"/>
    <w:multiLevelType w:val="hybridMultilevel"/>
    <w:tmpl w:val="523AF6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20BE528B"/>
    <w:multiLevelType w:val="hybridMultilevel"/>
    <w:tmpl w:val="AC3641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21520136"/>
    <w:multiLevelType w:val="hybridMultilevel"/>
    <w:tmpl w:val="34A647A6"/>
    <w:lvl w:ilvl="0" w:tplc="22F8E51E">
      <w:start w:val="1"/>
      <w:numFmt w:val="decimal"/>
      <w:pStyle w:val="VNkuvio-otsikkonumerointi"/>
      <w:lvlText w:val="Kuvio %1."/>
      <w:lvlJc w:val="left"/>
      <w:pPr>
        <w:ind w:left="360" w:hanging="360"/>
      </w:pPr>
      <w:rPr>
        <w:rFonts w:ascii="Arial" w:hAnsi="Arial" w:hint="default"/>
        <w:b/>
        <w:i w:val="0"/>
        <w:caps w:val="0"/>
        <w:strike w:val="0"/>
        <w:dstrike w:val="0"/>
        <w:vanish w:val="0"/>
        <w:color w:val="365ABD" w:themeColor="text2"/>
        <w:sz w:val="22"/>
        <w:u w:val="none"/>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6F8A76"/>
    <w:multiLevelType w:val="hybridMultilevel"/>
    <w:tmpl w:val="FFFFFFFF"/>
    <w:lvl w:ilvl="0" w:tplc="FA92399E">
      <w:start w:val="1"/>
      <w:numFmt w:val="bullet"/>
      <w:lvlText w:val="-"/>
      <w:lvlJc w:val="left"/>
      <w:pPr>
        <w:ind w:left="720" w:hanging="360"/>
      </w:pPr>
      <w:rPr>
        <w:rFonts w:ascii="Aptos" w:hAnsi="Aptos" w:hint="default"/>
      </w:rPr>
    </w:lvl>
    <w:lvl w:ilvl="1" w:tplc="C31A5674">
      <w:start w:val="1"/>
      <w:numFmt w:val="bullet"/>
      <w:lvlText w:val="o"/>
      <w:lvlJc w:val="left"/>
      <w:pPr>
        <w:ind w:left="1440" w:hanging="360"/>
      </w:pPr>
      <w:rPr>
        <w:rFonts w:ascii="Courier New" w:hAnsi="Courier New" w:hint="default"/>
      </w:rPr>
    </w:lvl>
    <w:lvl w:ilvl="2" w:tplc="FD96FF34">
      <w:start w:val="1"/>
      <w:numFmt w:val="bullet"/>
      <w:lvlText w:val=""/>
      <w:lvlJc w:val="left"/>
      <w:pPr>
        <w:ind w:left="2160" w:hanging="360"/>
      </w:pPr>
      <w:rPr>
        <w:rFonts w:ascii="Wingdings" w:hAnsi="Wingdings" w:hint="default"/>
      </w:rPr>
    </w:lvl>
    <w:lvl w:ilvl="3" w:tplc="3AB6A568">
      <w:start w:val="1"/>
      <w:numFmt w:val="bullet"/>
      <w:lvlText w:val=""/>
      <w:lvlJc w:val="left"/>
      <w:pPr>
        <w:ind w:left="2880" w:hanging="360"/>
      </w:pPr>
      <w:rPr>
        <w:rFonts w:ascii="Symbol" w:hAnsi="Symbol" w:hint="default"/>
      </w:rPr>
    </w:lvl>
    <w:lvl w:ilvl="4" w:tplc="F1CCD532">
      <w:start w:val="1"/>
      <w:numFmt w:val="bullet"/>
      <w:lvlText w:val="o"/>
      <w:lvlJc w:val="left"/>
      <w:pPr>
        <w:ind w:left="3600" w:hanging="360"/>
      </w:pPr>
      <w:rPr>
        <w:rFonts w:ascii="Courier New" w:hAnsi="Courier New" w:hint="default"/>
      </w:rPr>
    </w:lvl>
    <w:lvl w:ilvl="5" w:tplc="70BEAFAC">
      <w:start w:val="1"/>
      <w:numFmt w:val="bullet"/>
      <w:lvlText w:val=""/>
      <w:lvlJc w:val="left"/>
      <w:pPr>
        <w:ind w:left="4320" w:hanging="360"/>
      </w:pPr>
      <w:rPr>
        <w:rFonts w:ascii="Wingdings" w:hAnsi="Wingdings" w:hint="default"/>
      </w:rPr>
    </w:lvl>
    <w:lvl w:ilvl="6" w:tplc="F8D0CEBC">
      <w:start w:val="1"/>
      <w:numFmt w:val="bullet"/>
      <w:lvlText w:val=""/>
      <w:lvlJc w:val="left"/>
      <w:pPr>
        <w:ind w:left="5040" w:hanging="360"/>
      </w:pPr>
      <w:rPr>
        <w:rFonts w:ascii="Symbol" w:hAnsi="Symbol" w:hint="default"/>
      </w:rPr>
    </w:lvl>
    <w:lvl w:ilvl="7" w:tplc="99B05FBA">
      <w:start w:val="1"/>
      <w:numFmt w:val="bullet"/>
      <w:lvlText w:val="o"/>
      <w:lvlJc w:val="left"/>
      <w:pPr>
        <w:ind w:left="5760" w:hanging="360"/>
      </w:pPr>
      <w:rPr>
        <w:rFonts w:ascii="Courier New" w:hAnsi="Courier New" w:hint="default"/>
      </w:rPr>
    </w:lvl>
    <w:lvl w:ilvl="8" w:tplc="EDA8FF96">
      <w:start w:val="1"/>
      <w:numFmt w:val="bullet"/>
      <w:lvlText w:val=""/>
      <w:lvlJc w:val="left"/>
      <w:pPr>
        <w:ind w:left="6480" w:hanging="360"/>
      </w:pPr>
      <w:rPr>
        <w:rFonts w:ascii="Wingdings" w:hAnsi="Wingdings" w:hint="default"/>
      </w:rPr>
    </w:lvl>
  </w:abstractNum>
  <w:abstractNum w:abstractNumId="24" w15:restartNumberingAfterBreak="0">
    <w:nsid w:val="239B457D"/>
    <w:multiLevelType w:val="hybridMultilevel"/>
    <w:tmpl w:val="FFFFFFFF"/>
    <w:lvl w:ilvl="0" w:tplc="B3CADE02">
      <w:start w:val="1"/>
      <w:numFmt w:val="bullet"/>
      <w:lvlText w:val=""/>
      <w:lvlJc w:val="left"/>
      <w:pPr>
        <w:ind w:left="720" w:hanging="360"/>
      </w:pPr>
      <w:rPr>
        <w:rFonts w:ascii="Symbol" w:hAnsi="Symbol" w:hint="default"/>
      </w:rPr>
    </w:lvl>
    <w:lvl w:ilvl="1" w:tplc="8E503FAA">
      <w:start w:val="1"/>
      <w:numFmt w:val="bullet"/>
      <w:lvlText w:val="o"/>
      <w:lvlJc w:val="left"/>
      <w:pPr>
        <w:ind w:left="1440" w:hanging="360"/>
      </w:pPr>
      <w:rPr>
        <w:rFonts w:ascii="Courier New" w:hAnsi="Courier New" w:hint="default"/>
      </w:rPr>
    </w:lvl>
    <w:lvl w:ilvl="2" w:tplc="EA881F44">
      <w:start w:val="1"/>
      <w:numFmt w:val="bullet"/>
      <w:lvlText w:val=""/>
      <w:lvlJc w:val="left"/>
      <w:pPr>
        <w:ind w:left="2160" w:hanging="360"/>
      </w:pPr>
      <w:rPr>
        <w:rFonts w:ascii="Wingdings" w:hAnsi="Wingdings" w:hint="default"/>
      </w:rPr>
    </w:lvl>
    <w:lvl w:ilvl="3" w:tplc="FEE8C17A">
      <w:start w:val="1"/>
      <w:numFmt w:val="bullet"/>
      <w:lvlText w:val=""/>
      <w:lvlJc w:val="left"/>
      <w:pPr>
        <w:ind w:left="2880" w:hanging="360"/>
      </w:pPr>
      <w:rPr>
        <w:rFonts w:ascii="Symbol" w:hAnsi="Symbol" w:hint="default"/>
      </w:rPr>
    </w:lvl>
    <w:lvl w:ilvl="4" w:tplc="1D36E7B6">
      <w:start w:val="1"/>
      <w:numFmt w:val="bullet"/>
      <w:lvlText w:val="o"/>
      <w:lvlJc w:val="left"/>
      <w:pPr>
        <w:ind w:left="3600" w:hanging="360"/>
      </w:pPr>
      <w:rPr>
        <w:rFonts w:ascii="Courier New" w:hAnsi="Courier New" w:hint="default"/>
      </w:rPr>
    </w:lvl>
    <w:lvl w:ilvl="5" w:tplc="C8ACF1BC">
      <w:start w:val="1"/>
      <w:numFmt w:val="bullet"/>
      <w:lvlText w:val=""/>
      <w:lvlJc w:val="left"/>
      <w:pPr>
        <w:ind w:left="4320" w:hanging="360"/>
      </w:pPr>
      <w:rPr>
        <w:rFonts w:ascii="Wingdings" w:hAnsi="Wingdings" w:hint="default"/>
      </w:rPr>
    </w:lvl>
    <w:lvl w:ilvl="6" w:tplc="673A9C14">
      <w:start w:val="1"/>
      <w:numFmt w:val="bullet"/>
      <w:lvlText w:val=""/>
      <w:lvlJc w:val="left"/>
      <w:pPr>
        <w:ind w:left="5040" w:hanging="360"/>
      </w:pPr>
      <w:rPr>
        <w:rFonts w:ascii="Symbol" w:hAnsi="Symbol" w:hint="default"/>
      </w:rPr>
    </w:lvl>
    <w:lvl w:ilvl="7" w:tplc="5522834C">
      <w:start w:val="1"/>
      <w:numFmt w:val="bullet"/>
      <w:lvlText w:val="o"/>
      <w:lvlJc w:val="left"/>
      <w:pPr>
        <w:ind w:left="5760" w:hanging="360"/>
      </w:pPr>
      <w:rPr>
        <w:rFonts w:ascii="Courier New" w:hAnsi="Courier New" w:hint="default"/>
      </w:rPr>
    </w:lvl>
    <w:lvl w:ilvl="8" w:tplc="5B24F8EE">
      <w:start w:val="1"/>
      <w:numFmt w:val="bullet"/>
      <w:lvlText w:val=""/>
      <w:lvlJc w:val="left"/>
      <w:pPr>
        <w:ind w:left="6480" w:hanging="360"/>
      </w:pPr>
      <w:rPr>
        <w:rFonts w:ascii="Wingdings" w:hAnsi="Wingdings" w:hint="default"/>
      </w:rPr>
    </w:lvl>
  </w:abstractNum>
  <w:abstractNum w:abstractNumId="25" w15:restartNumberingAfterBreak="0">
    <w:nsid w:val="25363B6C"/>
    <w:multiLevelType w:val="multilevel"/>
    <w:tmpl w:val="A2E4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7814692"/>
    <w:multiLevelType w:val="hybridMultilevel"/>
    <w:tmpl w:val="99606626"/>
    <w:lvl w:ilvl="0" w:tplc="5E765FB2">
      <w:start w:val="1"/>
      <w:numFmt w:val="decimal"/>
      <w:pStyle w:val="VNInfolaatikkonumeroituluettelo"/>
      <w:lvlText w:val="%1."/>
      <w:lvlJc w:val="left"/>
      <w:pPr>
        <w:ind w:left="1060" w:hanging="360"/>
      </w:pPr>
    </w:lvl>
    <w:lvl w:ilvl="1" w:tplc="040B0019" w:tentative="1">
      <w:start w:val="1"/>
      <w:numFmt w:val="lowerLetter"/>
      <w:lvlText w:val="%2."/>
      <w:lvlJc w:val="left"/>
      <w:pPr>
        <w:ind w:left="1780" w:hanging="360"/>
      </w:pPr>
    </w:lvl>
    <w:lvl w:ilvl="2" w:tplc="040B001B" w:tentative="1">
      <w:start w:val="1"/>
      <w:numFmt w:val="lowerRoman"/>
      <w:lvlText w:val="%3."/>
      <w:lvlJc w:val="right"/>
      <w:pPr>
        <w:ind w:left="2500" w:hanging="180"/>
      </w:pPr>
    </w:lvl>
    <w:lvl w:ilvl="3" w:tplc="040B000F" w:tentative="1">
      <w:start w:val="1"/>
      <w:numFmt w:val="decimal"/>
      <w:lvlText w:val="%4."/>
      <w:lvlJc w:val="left"/>
      <w:pPr>
        <w:ind w:left="3220" w:hanging="360"/>
      </w:pPr>
    </w:lvl>
    <w:lvl w:ilvl="4" w:tplc="040B0019" w:tentative="1">
      <w:start w:val="1"/>
      <w:numFmt w:val="lowerLetter"/>
      <w:lvlText w:val="%5."/>
      <w:lvlJc w:val="left"/>
      <w:pPr>
        <w:ind w:left="3940" w:hanging="360"/>
      </w:pPr>
    </w:lvl>
    <w:lvl w:ilvl="5" w:tplc="040B001B" w:tentative="1">
      <w:start w:val="1"/>
      <w:numFmt w:val="lowerRoman"/>
      <w:lvlText w:val="%6."/>
      <w:lvlJc w:val="right"/>
      <w:pPr>
        <w:ind w:left="4660" w:hanging="180"/>
      </w:pPr>
    </w:lvl>
    <w:lvl w:ilvl="6" w:tplc="040B000F" w:tentative="1">
      <w:start w:val="1"/>
      <w:numFmt w:val="decimal"/>
      <w:lvlText w:val="%7."/>
      <w:lvlJc w:val="left"/>
      <w:pPr>
        <w:ind w:left="5380" w:hanging="360"/>
      </w:pPr>
    </w:lvl>
    <w:lvl w:ilvl="7" w:tplc="040B0019" w:tentative="1">
      <w:start w:val="1"/>
      <w:numFmt w:val="lowerLetter"/>
      <w:lvlText w:val="%8."/>
      <w:lvlJc w:val="left"/>
      <w:pPr>
        <w:ind w:left="6100" w:hanging="360"/>
      </w:pPr>
    </w:lvl>
    <w:lvl w:ilvl="8" w:tplc="040B001B" w:tentative="1">
      <w:start w:val="1"/>
      <w:numFmt w:val="lowerRoman"/>
      <w:lvlText w:val="%9."/>
      <w:lvlJc w:val="right"/>
      <w:pPr>
        <w:ind w:left="6820" w:hanging="180"/>
      </w:pPr>
    </w:lvl>
  </w:abstractNum>
  <w:abstractNum w:abstractNumId="27" w15:restartNumberingAfterBreak="0">
    <w:nsid w:val="27E06CE5"/>
    <w:multiLevelType w:val="multilevel"/>
    <w:tmpl w:val="CB62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92F76C3"/>
    <w:multiLevelType w:val="hybridMultilevel"/>
    <w:tmpl w:val="9492428A"/>
    <w:lvl w:ilvl="0" w:tplc="31A29B8E">
      <w:start w:val="1"/>
      <w:numFmt w:val="decimal"/>
      <w:lvlText w:val="•"/>
      <w:lvlJc w:val="left"/>
      <w:pPr>
        <w:ind w:left="720" w:hanging="360"/>
      </w:pPr>
    </w:lvl>
    <w:lvl w:ilvl="1" w:tplc="084E119C">
      <w:start w:val="1"/>
      <w:numFmt w:val="lowerLetter"/>
      <w:lvlText w:val="%2."/>
      <w:lvlJc w:val="left"/>
      <w:pPr>
        <w:ind w:left="1440" w:hanging="360"/>
      </w:pPr>
    </w:lvl>
    <w:lvl w:ilvl="2" w:tplc="FFB8E170">
      <w:start w:val="1"/>
      <w:numFmt w:val="lowerRoman"/>
      <w:lvlText w:val="%3."/>
      <w:lvlJc w:val="right"/>
      <w:pPr>
        <w:ind w:left="2160" w:hanging="180"/>
      </w:pPr>
    </w:lvl>
    <w:lvl w:ilvl="3" w:tplc="016C0990">
      <w:start w:val="1"/>
      <w:numFmt w:val="decimal"/>
      <w:lvlText w:val="%4."/>
      <w:lvlJc w:val="left"/>
      <w:pPr>
        <w:ind w:left="2880" w:hanging="360"/>
      </w:pPr>
    </w:lvl>
    <w:lvl w:ilvl="4" w:tplc="1FE04B2A">
      <w:start w:val="1"/>
      <w:numFmt w:val="lowerLetter"/>
      <w:lvlText w:val="%5."/>
      <w:lvlJc w:val="left"/>
      <w:pPr>
        <w:ind w:left="3600" w:hanging="360"/>
      </w:pPr>
    </w:lvl>
    <w:lvl w:ilvl="5" w:tplc="F2A2E37E">
      <w:start w:val="1"/>
      <w:numFmt w:val="lowerRoman"/>
      <w:lvlText w:val="%6."/>
      <w:lvlJc w:val="right"/>
      <w:pPr>
        <w:ind w:left="4320" w:hanging="180"/>
      </w:pPr>
    </w:lvl>
    <w:lvl w:ilvl="6" w:tplc="FD2AC3CE">
      <w:start w:val="1"/>
      <w:numFmt w:val="decimal"/>
      <w:lvlText w:val="%7."/>
      <w:lvlJc w:val="left"/>
      <w:pPr>
        <w:ind w:left="5040" w:hanging="360"/>
      </w:pPr>
    </w:lvl>
    <w:lvl w:ilvl="7" w:tplc="7046C0CC">
      <w:start w:val="1"/>
      <w:numFmt w:val="lowerLetter"/>
      <w:lvlText w:val="%8."/>
      <w:lvlJc w:val="left"/>
      <w:pPr>
        <w:ind w:left="5760" w:hanging="360"/>
      </w:pPr>
    </w:lvl>
    <w:lvl w:ilvl="8" w:tplc="CBB8110A">
      <w:start w:val="1"/>
      <w:numFmt w:val="lowerRoman"/>
      <w:lvlText w:val="%9."/>
      <w:lvlJc w:val="right"/>
      <w:pPr>
        <w:ind w:left="6480" w:hanging="180"/>
      </w:pPr>
    </w:lvl>
  </w:abstractNum>
  <w:abstractNum w:abstractNumId="29" w15:restartNumberingAfterBreak="0">
    <w:nsid w:val="2F4C2D61"/>
    <w:multiLevelType w:val="multilevel"/>
    <w:tmpl w:val="1CC4F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F8E0B88"/>
    <w:multiLevelType w:val="multilevel"/>
    <w:tmpl w:val="01F4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4F97AC0"/>
    <w:multiLevelType w:val="multilevel"/>
    <w:tmpl w:val="E126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5AC6173"/>
    <w:multiLevelType w:val="multilevel"/>
    <w:tmpl w:val="FFFFFFFF"/>
    <w:lvl w:ilvl="0">
      <w:start w:val="1"/>
      <w:numFmt w:val="bullet"/>
      <w:lvlText w:val=""/>
      <w:lvlJc w:val="left"/>
      <w:pPr>
        <w:ind w:left="180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35E37E4F"/>
    <w:multiLevelType w:val="multilevel"/>
    <w:tmpl w:val="FCE0B49C"/>
    <w:lvl w:ilvl="0">
      <w:start w:val="1"/>
      <w:numFmt w:val="bullet"/>
      <w:lvlText w:val="o"/>
      <w:lvlJc w:val="left"/>
      <w:pPr>
        <w:tabs>
          <w:tab w:val="num" w:pos="1080"/>
        </w:tabs>
        <w:ind w:left="1080" w:hanging="360"/>
      </w:pPr>
      <w:rPr>
        <w:rFonts w:ascii="Courier New" w:hAnsi="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o"/>
      <w:lvlJc w:val="left"/>
      <w:pPr>
        <w:tabs>
          <w:tab w:val="num" w:pos="2520"/>
        </w:tabs>
        <w:ind w:left="2520" w:hanging="360"/>
      </w:pPr>
      <w:rPr>
        <w:rFonts w:ascii="Courier New" w:hAnsi="Courier New" w:hint="default"/>
        <w:sz w:val="20"/>
      </w:rPr>
    </w:lvl>
    <w:lvl w:ilvl="3">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4" w15:restartNumberingAfterBreak="0">
    <w:nsid w:val="3B432696"/>
    <w:multiLevelType w:val="multilevel"/>
    <w:tmpl w:val="06204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E29797B"/>
    <w:multiLevelType w:val="multilevel"/>
    <w:tmpl w:val="4E0200C8"/>
    <w:lvl w:ilvl="0">
      <w:start w:val="1"/>
      <w:numFmt w:val="decimal"/>
      <w:pStyle w:val="Otsikko1"/>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rPr>
        <w:rFonts w:asciiTheme="majorHAnsi" w:hAnsiTheme="majorHAnsi" w:cstheme="majorHAnsi" w:hint="default"/>
        <w:sz w:val="28"/>
        <w:szCs w:val="28"/>
        <w:u w:val="none"/>
      </w:r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36" w15:restartNumberingAfterBreak="0">
    <w:nsid w:val="40E25479"/>
    <w:multiLevelType w:val="hybridMultilevel"/>
    <w:tmpl w:val="B87038C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7" w15:restartNumberingAfterBreak="0">
    <w:nsid w:val="41CD8967"/>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38" w15:restartNumberingAfterBreak="0">
    <w:nsid w:val="46E9182E"/>
    <w:multiLevelType w:val="multilevel"/>
    <w:tmpl w:val="C948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75121D5"/>
    <w:multiLevelType w:val="multilevel"/>
    <w:tmpl w:val="5DCCBD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7FB3E6A"/>
    <w:multiLevelType w:val="multilevel"/>
    <w:tmpl w:val="6A9A25DE"/>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
      <w:lvlJc w:val="left"/>
      <w:pPr>
        <w:tabs>
          <w:tab w:val="num" w:pos="1800"/>
        </w:tabs>
        <w:ind w:left="1800" w:hanging="360"/>
      </w:pPr>
      <w:rPr>
        <w:rFonts w:ascii="Wingdings" w:hAnsi="Wingdings"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48A1EF4B"/>
    <w:multiLevelType w:val="hybridMultilevel"/>
    <w:tmpl w:val="C7C44E7A"/>
    <w:lvl w:ilvl="0" w:tplc="26722F20">
      <w:start w:val="1"/>
      <w:numFmt w:val="bullet"/>
      <w:lvlText w:val="-"/>
      <w:lvlJc w:val="left"/>
      <w:pPr>
        <w:ind w:left="720" w:hanging="360"/>
      </w:pPr>
      <w:rPr>
        <w:rFonts w:ascii="Aptos" w:hAnsi="Aptos" w:hint="default"/>
      </w:rPr>
    </w:lvl>
    <w:lvl w:ilvl="1" w:tplc="6380A75E">
      <w:start w:val="1"/>
      <w:numFmt w:val="bullet"/>
      <w:lvlText w:val="o"/>
      <w:lvlJc w:val="left"/>
      <w:pPr>
        <w:ind w:left="1440" w:hanging="360"/>
      </w:pPr>
      <w:rPr>
        <w:rFonts w:ascii="Courier New" w:hAnsi="Courier New" w:hint="default"/>
      </w:rPr>
    </w:lvl>
    <w:lvl w:ilvl="2" w:tplc="6FE40FB6">
      <w:start w:val="1"/>
      <w:numFmt w:val="bullet"/>
      <w:lvlText w:val=""/>
      <w:lvlJc w:val="left"/>
      <w:pPr>
        <w:ind w:left="2160" w:hanging="360"/>
      </w:pPr>
      <w:rPr>
        <w:rFonts w:ascii="Wingdings" w:hAnsi="Wingdings" w:hint="default"/>
      </w:rPr>
    </w:lvl>
    <w:lvl w:ilvl="3" w:tplc="0A56F5A0">
      <w:start w:val="1"/>
      <w:numFmt w:val="bullet"/>
      <w:lvlText w:val=""/>
      <w:lvlJc w:val="left"/>
      <w:pPr>
        <w:ind w:left="2880" w:hanging="360"/>
      </w:pPr>
      <w:rPr>
        <w:rFonts w:ascii="Symbol" w:hAnsi="Symbol" w:hint="default"/>
      </w:rPr>
    </w:lvl>
    <w:lvl w:ilvl="4" w:tplc="B73E559C">
      <w:start w:val="1"/>
      <w:numFmt w:val="bullet"/>
      <w:lvlText w:val="o"/>
      <w:lvlJc w:val="left"/>
      <w:pPr>
        <w:ind w:left="3600" w:hanging="360"/>
      </w:pPr>
      <w:rPr>
        <w:rFonts w:ascii="Courier New" w:hAnsi="Courier New" w:hint="default"/>
      </w:rPr>
    </w:lvl>
    <w:lvl w:ilvl="5" w:tplc="C3C263D0">
      <w:start w:val="1"/>
      <w:numFmt w:val="bullet"/>
      <w:lvlText w:val=""/>
      <w:lvlJc w:val="left"/>
      <w:pPr>
        <w:ind w:left="4320" w:hanging="360"/>
      </w:pPr>
      <w:rPr>
        <w:rFonts w:ascii="Wingdings" w:hAnsi="Wingdings" w:hint="default"/>
      </w:rPr>
    </w:lvl>
    <w:lvl w:ilvl="6" w:tplc="8C3EC4E8">
      <w:start w:val="1"/>
      <w:numFmt w:val="bullet"/>
      <w:lvlText w:val=""/>
      <w:lvlJc w:val="left"/>
      <w:pPr>
        <w:ind w:left="5040" w:hanging="360"/>
      </w:pPr>
      <w:rPr>
        <w:rFonts w:ascii="Symbol" w:hAnsi="Symbol" w:hint="default"/>
      </w:rPr>
    </w:lvl>
    <w:lvl w:ilvl="7" w:tplc="AABA0FB0">
      <w:start w:val="1"/>
      <w:numFmt w:val="bullet"/>
      <w:lvlText w:val="o"/>
      <w:lvlJc w:val="left"/>
      <w:pPr>
        <w:ind w:left="5760" w:hanging="360"/>
      </w:pPr>
      <w:rPr>
        <w:rFonts w:ascii="Courier New" w:hAnsi="Courier New" w:hint="default"/>
      </w:rPr>
    </w:lvl>
    <w:lvl w:ilvl="8" w:tplc="322E6F14">
      <w:start w:val="1"/>
      <w:numFmt w:val="bullet"/>
      <w:lvlText w:val=""/>
      <w:lvlJc w:val="left"/>
      <w:pPr>
        <w:ind w:left="6480" w:hanging="360"/>
      </w:pPr>
      <w:rPr>
        <w:rFonts w:ascii="Wingdings" w:hAnsi="Wingdings" w:hint="default"/>
      </w:rPr>
    </w:lvl>
  </w:abstractNum>
  <w:abstractNum w:abstractNumId="42" w15:restartNumberingAfterBreak="0">
    <w:nsid w:val="492718A8"/>
    <w:multiLevelType w:val="hybridMultilevel"/>
    <w:tmpl w:val="62C244D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4ABD7600"/>
    <w:multiLevelType w:val="multilevel"/>
    <w:tmpl w:val="4ABA4AB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13C4190"/>
    <w:multiLevelType w:val="multilevel"/>
    <w:tmpl w:val="E5F237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56000BE1"/>
    <w:multiLevelType w:val="hybridMultilevel"/>
    <w:tmpl w:val="F66E94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58B71F8B"/>
    <w:multiLevelType w:val="hybridMultilevel"/>
    <w:tmpl w:val="B7E2C658"/>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47" w15:restartNumberingAfterBreak="0">
    <w:nsid w:val="5F226CA4"/>
    <w:multiLevelType w:val="multilevel"/>
    <w:tmpl w:val="5FA00DC4"/>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48" w15:restartNumberingAfterBreak="0">
    <w:nsid w:val="5F7855A3"/>
    <w:multiLevelType w:val="hybridMultilevel"/>
    <w:tmpl w:val="357C366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9" w15:restartNumberingAfterBreak="0">
    <w:nsid w:val="629B1854"/>
    <w:multiLevelType w:val="multilevel"/>
    <w:tmpl w:val="1C2A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2E40A61"/>
    <w:multiLevelType w:val="multilevel"/>
    <w:tmpl w:val="A254F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6286BB4"/>
    <w:multiLevelType w:val="multilevel"/>
    <w:tmpl w:val="3B929F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6BB5163"/>
    <w:multiLevelType w:val="hybridMultilevel"/>
    <w:tmpl w:val="F00A57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67F310DF"/>
    <w:multiLevelType w:val="hybridMultilevel"/>
    <w:tmpl w:val="FA6CC4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67FA53E7"/>
    <w:multiLevelType w:val="hybridMultilevel"/>
    <w:tmpl w:val="FFFFFFFF"/>
    <w:lvl w:ilvl="0" w:tplc="83F24550">
      <w:start w:val="1"/>
      <w:numFmt w:val="bullet"/>
      <w:lvlText w:val=""/>
      <w:lvlJc w:val="left"/>
      <w:pPr>
        <w:ind w:left="720" w:hanging="360"/>
      </w:pPr>
      <w:rPr>
        <w:rFonts w:ascii="Symbol" w:hAnsi="Symbol" w:hint="default"/>
      </w:rPr>
    </w:lvl>
    <w:lvl w:ilvl="1" w:tplc="81EA56D2">
      <w:start w:val="1"/>
      <w:numFmt w:val="bullet"/>
      <w:lvlText w:val="o"/>
      <w:lvlJc w:val="left"/>
      <w:pPr>
        <w:ind w:left="1440" w:hanging="360"/>
      </w:pPr>
      <w:rPr>
        <w:rFonts w:ascii="Courier New" w:hAnsi="Courier New" w:hint="default"/>
      </w:rPr>
    </w:lvl>
    <w:lvl w:ilvl="2" w:tplc="3F40C862">
      <w:start w:val="1"/>
      <w:numFmt w:val="bullet"/>
      <w:lvlText w:val=""/>
      <w:lvlJc w:val="left"/>
      <w:pPr>
        <w:ind w:left="2160" w:hanging="360"/>
      </w:pPr>
      <w:rPr>
        <w:rFonts w:ascii="Wingdings" w:hAnsi="Wingdings" w:hint="default"/>
      </w:rPr>
    </w:lvl>
    <w:lvl w:ilvl="3" w:tplc="CA603B24">
      <w:start w:val="1"/>
      <w:numFmt w:val="bullet"/>
      <w:lvlText w:val=""/>
      <w:lvlJc w:val="left"/>
      <w:pPr>
        <w:ind w:left="2880" w:hanging="360"/>
      </w:pPr>
      <w:rPr>
        <w:rFonts w:ascii="Symbol" w:hAnsi="Symbol" w:hint="default"/>
      </w:rPr>
    </w:lvl>
    <w:lvl w:ilvl="4" w:tplc="2DD6D766">
      <w:start w:val="1"/>
      <w:numFmt w:val="bullet"/>
      <w:lvlText w:val="o"/>
      <w:lvlJc w:val="left"/>
      <w:pPr>
        <w:ind w:left="3600" w:hanging="360"/>
      </w:pPr>
      <w:rPr>
        <w:rFonts w:ascii="Courier New" w:hAnsi="Courier New" w:hint="default"/>
      </w:rPr>
    </w:lvl>
    <w:lvl w:ilvl="5" w:tplc="EC145C5A">
      <w:start w:val="1"/>
      <w:numFmt w:val="bullet"/>
      <w:lvlText w:val=""/>
      <w:lvlJc w:val="left"/>
      <w:pPr>
        <w:ind w:left="4320" w:hanging="360"/>
      </w:pPr>
      <w:rPr>
        <w:rFonts w:ascii="Wingdings" w:hAnsi="Wingdings" w:hint="default"/>
      </w:rPr>
    </w:lvl>
    <w:lvl w:ilvl="6" w:tplc="8216EA18">
      <w:start w:val="1"/>
      <w:numFmt w:val="bullet"/>
      <w:lvlText w:val=""/>
      <w:lvlJc w:val="left"/>
      <w:pPr>
        <w:ind w:left="5040" w:hanging="360"/>
      </w:pPr>
      <w:rPr>
        <w:rFonts w:ascii="Symbol" w:hAnsi="Symbol" w:hint="default"/>
      </w:rPr>
    </w:lvl>
    <w:lvl w:ilvl="7" w:tplc="3C7E1624">
      <w:start w:val="1"/>
      <w:numFmt w:val="bullet"/>
      <w:lvlText w:val="o"/>
      <w:lvlJc w:val="left"/>
      <w:pPr>
        <w:ind w:left="5760" w:hanging="360"/>
      </w:pPr>
      <w:rPr>
        <w:rFonts w:ascii="Courier New" w:hAnsi="Courier New" w:hint="default"/>
      </w:rPr>
    </w:lvl>
    <w:lvl w:ilvl="8" w:tplc="EADEED9E">
      <w:start w:val="1"/>
      <w:numFmt w:val="bullet"/>
      <w:lvlText w:val=""/>
      <w:lvlJc w:val="left"/>
      <w:pPr>
        <w:ind w:left="6480" w:hanging="360"/>
      </w:pPr>
      <w:rPr>
        <w:rFonts w:ascii="Wingdings" w:hAnsi="Wingdings" w:hint="default"/>
      </w:rPr>
    </w:lvl>
  </w:abstractNum>
  <w:abstractNum w:abstractNumId="55" w15:restartNumberingAfterBreak="0">
    <w:nsid w:val="69AD5F1C"/>
    <w:multiLevelType w:val="hybridMultilevel"/>
    <w:tmpl w:val="FDA091E4"/>
    <w:lvl w:ilvl="0" w:tplc="3A38C8C2">
      <w:start w:val="1"/>
      <w:numFmt w:val="decimal"/>
      <w:lvlText w:val="%1."/>
      <w:lvlJc w:val="left"/>
      <w:pPr>
        <w:ind w:left="1440" w:hanging="360"/>
      </w:pPr>
    </w:lvl>
    <w:lvl w:ilvl="1" w:tplc="6822532A">
      <w:start w:val="1"/>
      <w:numFmt w:val="decimal"/>
      <w:lvlText w:val="%2."/>
      <w:lvlJc w:val="left"/>
      <w:pPr>
        <w:ind w:left="1440" w:hanging="360"/>
      </w:pPr>
    </w:lvl>
    <w:lvl w:ilvl="2" w:tplc="C28026BA">
      <w:start w:val="1"/>
      <w:numFmt w:val="decimal"/>
      <w:lvlText w:val="%3."/>
      <w:lvlJc w:val="left"/>
      <w:pPr>
        <w:ind w:left="1440" w:hanging="360"/>
      </w:pPr>
    </w:lvl>
    <w:lvl w:ilvl="3" w:tplc="0EA2C37C">
      <w:start w:val="1"/>
      <w:numFmt w:val="decimal"/>
      <w:lvlText w:val="%4."/>
      <w:lvlJc w:val="left"/>
      <w:pPr>
        <w:ind w:left="1440" w:hanging="360"/>
      </w:pPr>
    </w:lvl>
    <w:lvl w:ilvl="4" w:tplc="DD6E6FC4">
      <w:start w:val="1"/>
      <w:numFmt w:val="decimal"/>
      <w:lvlText w:val="%5."/>
      <w:lvlJc w:val="left"/>
      <w:pPr>
        <w:ind w:left="1440" w:hanging="360"/>
      </w:pPr>
    </w:lvl>
    <w:lvl w:ilvl="5" w:tplc="528EA22E">
      <w:start w:val="1"/>
      <w:numFmt w:val="decimal"/>
      <w:lvlText w:val="%6."/>
      <w:lvlJc w:val="left"/>
      <w:pPr>
        <w:ind w:left="1440" w:hanging="360"/>
      </w:pPr>
    </w:lvl>
    <w:lvl w:ilvl="6" w:tplc="44A8761A">
      <w:start w:val="1"/>
      <w:numFmt w:val="decimal"/>
      <w:lvlText w:val="%7."/>
      <w:lvlJc w:val="left"/>
      <w:pPr>
        <w:ind w:left="1440" w:hanging="360"/>
      </w:pPr>
    </w:lvl>
    <w:lvl w:ilvl="7" w:tplc="24123C7A">
      <w:start w:val="1"/>
      <w:numFmt w:val="decimal"/>
      <w:lvlText w:val="%8."/>
      <w:lvlJc w:val="left"/>
      <w:pPr>
        <w:ind w:left="1440" w:hanging="360"/>
      </w:pPr>
    </w:lvl>
    <w:lvl w:ilvl="8" w:tplc="9D9A8D44">
      <w:start w:val="1"/>
      <w:numFmt w:val="decimal"/>
      <w:lvlText w:val="%9."/>
      <w:lvlJc w:val="left"/>
      <w:pPr>
        <w:ind w:left="1440" w:hanging="360"/>
      </w:pPr>
    </w:lvl>
  </w:abstractNum>
  <w:abstractNum w:abstractNumId="56" w15:restartNumberingAfterBreak="0">
    <w:nsid w:val="6AE21CE4"/>
    <w:multiLevelType w:val="hybridMultilevel"/>
    <w:tmpl w:val="D6FC187C"/>
    <w:lvl w:ilvl="0" w:tplc="B33476E0">
      <w:start w:val="1"/>
      <w:numFmt w:val="bullet"/>
      <w:pStyle w:val="VNLeipluettelopallukalla"/>
      <w:lvlText w:val=""/>
      <w:lvlJc w:val="left"/>
      <w:pPr>
        <w:ind w:left="1287" w:hanging="360"/>
      </w:pPr>
      <w:rPr>
        <w:rFonts w:ascii="Symbol" w:hAnsi="Symbol" w:hint="default"/>
        <w:color w:val="002250" w:themeColor="accent1" w:themeShade="BF"/>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57" w15:restartNumberingAfterBreak="0">
    <w:nsid w:val="6C204CAB"/>
    <w:multiLevelType w:val="multilevel"/>
    <w:tmpl w:val="13B0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CCE5A1C"/>
    <w:multiLevelType w:val="multilevel"/>
    <w:tmpl w:val="4812317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6CD85CE5"/>
    <w:multiLevelType w:val="hybridMultilevel"/>
    <w:tmpl w:val="974A749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70FB2C10"/>
    <w:multiLevelType w:val="hybridMultilevel"/>
    <w:tmpl w:val="265A97E8"/>
    <w:lvl w:ilvl="0" w:tplc="954E73F4">
      <w:start w:val="1"/>
      <w:numFmt w:val="lowerLetter"/>
      <w:pStyle w:val="VNluetteloaakkosilla"/>
      <w:lvlText w:val="%1."/>
      <w:lvlJc w:val="left"/>
      <w:pPr>
        <w:ind w:left="1647" w:hanging="360"/>
      </w:pPr>
    </w:lvl>
    <w:lvl w:ilvl="1" w:tplc="040B0019" w:tentative="1">
      <w:start w:val="1"/>
      <w:numFmt w:val="lowerLetter"/>
      <w:lvlText w:val="%2."/>
      <w:lvlJc w:val="left"/>
      <w:pPr>
        <w:ind w:left="2367" w:hanging="360"/>
      </w:pPr>
    </w:lvl>
    <w:lvl w:ilvl="2" w:tplc="040B001B" w:tentative="1">
      <w:start w:val="1"/>
      <w:numFmt w:val="lowerRoman"/>
      <w:lvlText w:val="%3."/>
      <w:lvlJc w:val="right"/>
      <w:pPr>
        <w:ind w:left="3087" w:hanging="180"/>
      </w:pPr>
    </w:lvl>
    <w:lvl w:ilvl="3" w:tplc="040B000F" w:tentative="1">
      <w:start w:val="1"/>
      <w:numFmt w:val="decimal"/>
      <w:lvlText w:val="%4."/>
      <w:lvlJc w:val="left"/>
      <w:pPr>
        <w:ind w:left="3807" w:hanging="360"/>
      </w:pPr>
    </w:lvl>
    <w:lvl w:ilvl="4" w:tplc="040B0019" w:tentative="1">
      <w:start w:val="1"/>
      <w:numFmt w:val="lowerLetter"/>
      <w:lvlText w:val="%5."/>
      <w:lvlJc w:val="left"/>
      <w:pPr>
        <w:ind w:left="4527" w:hanging="360"/>
      </w:pPr>
    </w:lvl>
    <w:lvl w:ilvl="5" w:tplc="040B001B" w:tentative="1">
      <w:start w:val="1"/>
      <w:numFmt w:val="lowerRoman"/>
      <w:lvlText w:val="%6."/>
      <w:lvlJc w:val="right"/>
      <w:pPr>
        <w:ind w:left="5247" w:hanging="180"/>
      </w:pPr>
    </w:lvl>
    <w:lvl w:ilvl="6" w:tplc="040B000F" w:tentative="1">
      <w:start w:val="1"/>
      <w:numFmt w:val="decimal"/>
      <w:lvlText w:val="%7."/>
      <w:lvlJc w:val="left"/>
      <w:pPr>
        <w:ind w:left="5967" w:hanging="360"/>
      </w:pPr>
    </w:lvl>
    <w:lvl w:ilvl="7" w:tplc="040B0019" w:tentative="1">
      <w:start w:val="1"/>
      <w:numFmt w:val="lowerLetter"/>
      <w:lvlText w:val="%8."/>
      <w:lvlJc w:val="left"/>
      <w:pPr>
        <w:ind w:left="6687" w:hanging="360"/>
      </w:pPr>
    </w:lvl>
    <w:lvl w:ilvl="8" w:tplc="040B001B" w:tentative="1">
      <w:start w:val="1"/>
      <w:numFmt w:val="lowerRoman"/>
      <w:lvlText w:val="%9."/>
      <w:lvlJc w:val="right"/>
      <w:pPr>
        <w:ind w:left="7407" w:hanging="180"/>
      </w:pPr>
    </w:lvl>
  </w:abstractNum>
  <w:abstractNum w:abstractNumId="61" w15:restartNumberingAfterBreak="0">
    <w:nsid w:val="74564A5A"/>
    <w:multiLevelType w:val="hybridMultilevel"/>
    <w:tmpl w:val="616A9D3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2" w15:restartNumberingAfterBreak="0">
    <w:nsid w:val="77426D18"/>
    <w:multiLevelType w:val="multilevel"/>
    <w:tmpl w:val="FFDEB7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7F300DA"/>
    <w:multiLevelType w:val="multilevel"/>
    <w:tmpl w:val="9EE0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880221B"/>
    <w:multiLevelType w:val="hybridMultilevel"/>
    <w:tmpl w:val="55BC63F8"/>
    <w:lvl w:ilvl="0" w:tplc="7F9605D2">
      <w:start w:val="1"/>
      <w:numFmt w:val="decimal"/>
      <w:lvlText w:val="%1."/>
      <w:lvlJc w:val="left"/>
      <w:pPr>
        <w:ind w:left="1440" w:hanging="360"/>
      </w:pPr>
    </w:lvl>
    <w:lvl w:ilvl="1" w:tplc="BF9C4FA4">
      <w:start w:val="1"/>
      <w:numFmt w:val="decimal"/>
      <w:lvlText w:val="%2."/>
      <w:lvlJc w:val="left"/>
      <w:pPr>
        <w:ind w:left="1440" w:hanging="360"/>
      </w:pPr>
    </w:lvl>
    <w:lvl w:ilvl="2" w:tplc="A30230CE">
      <w:start w:val="1"/>
      <w:numFmt w:val="decimal"/>
      <w:lvlText w:val="%3."/>
      <w:lvlJc w:val="left"/>
      <w:pPr>
        <w:ind w:left="1440" w:hanging="360"/>
      </w:pPr>
    </w:lvl>
    <w:lvl w:ilvl="3" w:tplc="D7A8F684">
      <w:start w:val="1"/>
      <w:numFmt w:val="decimal"/>
      <w:lvlText w:val="%4."/>
      <w:lvlJc w:val="left"/>
      <w:pPr>
        <w:ind w:left="1440" w:hanging="360"/>
      </w:pPr>
    </w:lvl>
    <w:lvl w:ilvl="4" w:tplc="DDCC8A9E">
      <w:start w:val="1"/>
      <w:numFmt w:val="decimal"/>
      <w:lvlText w:val="%5."/>
      <w:lvlJc w:val="left"/>
      <w:pPr>
        <w:ind w:left="1440" w:hanging="360"/>
      </w:pPr>
    </w:lvl>
    <w:lvl w:ilvl="5" w:tplc="7AB4BBBE">
      <w:start w:val="1"/>
      <w:numFmt w:val="decimal"/>
      <w:lvlText w:val="%6."/>
      <w:lvlJc w:val="left"/>
      <w:pPr>
        <w:ind w:left="1440" w:hanging="360"/>
      </w:pPr>
    </w:lvl>
    <w:lvl w:ilvl="6" w:tplc="F7EE0A88">
      <w:start w:val="1"/>
      <w:numFmt w:val="decimal"/>
      <w:lvlText w:val="%7."/>
      <w:lvlJc w:val="left"/>
      <w:pPr>
        <w:ind w:left="1440" w:hanging="360"/>
      </w:pPr>
    </w:lvl>
    <w:lvl w:ilvl="7" w:tplc="76E81746">
      <w:start w:val="1"/>
      <w:numFmt w:val="decimal"/>
      <w:lvlText w:val="%8."/>
      <w:lvlJc w:val="left"/>
      <w:pPr>
        <w:ind w:left="1440" w:hanging="360"/>
      </w:pPr>
    </w:lvl>
    <w:lvl w:ilvl="8" w:tplc="1646C8A6">
      <w:start w:val="1"/>
      <w:numFmt w:val="decimal"/>
      <w:lvlText w:val="%9."/>
      <w:lvlJc w:val="left"/>
      <w:pPr>
        <w:ind w:left="1440" w:hanging="360"/>
      </w:pPr>
    </w:lvl>
  </w:abstractNum>
  <w:abstractNum w:abstractNumId="65" w15:restartNumberingAfterBreak="0">
    <w:nsid w:val="78923C23"/>
    <w:multiLevelType w:val="multilevel"/>
    <w:tmpl w:val="A94C7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A4A4730"/>
    <w:multiLevelType w:val="multilevel"/>
    <w:tmpl w:val="D73E2262"/>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8"/>
      <w:numFmt w:val="decimal"/>
      <w:lvlText w:val="%4"/>
      <w:lvlJc w:val="left"/>
      <w:pPr>
        <w:ind w:left="2880" w:hanging="360"/>
      </w:pPr>
      <w:rPr>
        <w:rFonts w:hint="default"/>
        <w:color w:val="365ABD"/>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C6A3352"/>
    <w:multiLevelType w:val="multilevel"/>
    <w:tmpl w:val="40A0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E223D44"/>
    <w:multiLevelType w:val="hybridMultilevel"/>
    <w:tmpl w:val="16EE0E7C"/>
    <w:lvl w:ilvl="0" w:tplc="223495FE">
      <w:start w:val="1"/>
      <w:numFmt w:val="decimal"/>
      <w:lvlText w:val="%1."/>
      <w:lvlJc w:val="left"/>
      <w:pPr>
        <w:ind w:left="1440" w:hanging="360"/>
      </w:pPr>
    </w:lvl>
    <w:lvl w:ilvl="1" w:tplc="AE26652E">
      <w:start w:val="1"/>
      <w:numFmt w:val="decimal"/>
      <w:lvlText w:val="%2."/>
      <w:lvlJc w:val="left"/>
      <w:pPr>
        <w:ind w:left="1440" w:hanging="360"/>
      </w:pPr>
    </w:lvl>
    <w:lvl w:ilvl="2" w:tplc="1610EB66">
      <w:start w:val="1"/>
      <w:numFmt w:val="decimal"/>
      <w:lvlText w:val="%3."/>
      <w:lvlJc w:val="left"/>
      <w:pPr>
        <w:ind w:left="1440" w:hanging="360"/>
      </w:pPr>
    </w:lvl>
    <w:lvl w:ilvl="3" w:tplc="4B1CFFEE">
      <w:start w:val="1"/>
      <w:numFmt w:val="decimal"/>
      <w:lvlText w:val="%4."/>
      <w:lvlJc w:val="left"/>
      <w:pPr>
        <w:ind w:left="1440" w:hanging="360"/>
      </w:pPr>
    </w:lvl>
    <w:lvl w:ilvl="4" w:tplc="DADCEA6C">
      <w:start w:val="1"/>
      <w:numFmt w:val="decimal"/>
      <w:lvlText w:val="%5."/>
      <w:lvlJc w:val="left"/>
      <w:pPr>
        <w:ind w:left="1440" w:hanging="360"/>
      </w:pPr>
    </w:lvl>
    <w:lvl w:ilvl="5" w:tplc="E24ACDCA">
      <w:start w:val="1"/>
      <w:numFmt w:val="decimal"/>
      <w:lvlText w:val="%6."/>
      <w:lvlJc w:val="left"/>
      <w:pPr>
        <w:ind w:left="1440" w:hanging="360"/>
      </w:pPr>
    </w:lvl>
    <w:lvl w:ilvl="6" w:tplc="6E2AC456">
      <w:start w:val="1"/>
      <w:numFmt w:val="decimal"/>
      <w:lvlText w:val="%7."/>
      <w:lvlJc w:val="left"/>
      <w:pPr>
        <w:ind w:left="1440" w:hanging="360"/>
      </w:pPr>
    </w:lvl>
    <w:lvl w:ilvl="7" w:tplc="C0BA41DE">
      <w:start w:val="1"/>
      <w:numFmt w:val="decimal"/>
      <w:lvlText w:val="%8."/>
      <w:lvlJc w:val="left"/>
      <w:pPr>
        <w:ind w:left="1440" w:hanging="360"/>
      </w:pPr>
    </w:lvl>
    <w:lvl w:ilvl="8" w:tplc="4DC4B1DE">
      <w:start w:val="1"/>
      <w:numFmt w:val="decimal"/>
      <w:lvlText w:val="%9."/>
      <w:lvlJc w:val="left"/>
      <w:pPr>
        <w:ind w:left="1440" w:hanging="360"/>
      </w:pPr>
    </w:lvl>
  </w:abstractNum>
  <w:abstractNum w:abstractNumId="69" w15:restartNumberingAfterBreak="0">
    <w:nsid w:val="7FB76392"/>
    <w:multiLevelType w:val="hybridMultilevel"/>
    <w:tmpl w:val="515453FE"/>
    <w:lvl w:ilvl="0" w:tplc="EC44B624">
      <w:start w:val="1"/>
      <w:numFmt w:val="bullet"/>
      <w:pStyle w:val="VNLeipluetteloajatusviivalla"/>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num w:numId="1" w16cid:durableId="1657877123">
    <w:abstractNumId w:val="28"/>
  </w:num>
  <w:num w:numId="2" w16cid:durableId="10231932">
    <w:abstractNumId w:val="13"/>
  </w:num>
  <w:num w:numId="3" w16cid:durableId="1869172229">
    <w:abstractNumId w:val="69"/>
  </w:num>
  <w:num w:numId="4" w16cid:durableId="1461337411">
    <w:abstractNumId w:val="56"/>
  </w:num>
  <w:num w:numId="5" w16cid:durableId="1261529834">
    <w:abstractNumId w:val="9"/>
  </w:num>
  <w:num w:numId="6" w16cid:durableId="929192282">
    <w:abstractNumId w:val="7"/>
  </w:num>
  <w:num w:numId="7" w16cid:durableId="1530408901">
    <w:abstractNumId w:val="6"/>
  </w:num>
  <w:num w:numId="8" w16cid:durableId="1557467683">
    <w:abstractNumId w:val="5"/>
  </w:num>
  <w:num w:numId="9" w16cid:durableId="1281762871">
    <w:abstractNumId w:val="4"/>
  </w:num>
  <w:num w:numId="10" w16cid:durableId="249629002">
    <w:abstractNumId w:val="8"/>
  </w:num>
  <w:num w:numId="11" w16cid:durableId="803734871">
    <w:abstractNumId w:val="3"/>
  </w:num>
  <w:num w:numId="12" w16cid:durableId="555629297">
    <w:abstractNumId w:val="2"/>
  </w:num>
  <w:num w:numId="13" w16cid:durableId="2083215334">
    <w:abstractNumId w:val="1"/>
  </w:num>
  <w:num w:numId="14" w16cid:durableId="853807915">
    <w:abstractNumId w:val="0"/>
  </w:num>
  <w:num w:numId="15" w16cid:durableId="426930279">
    <w:abstractNumId w:val="22"/>
  </w:num>
  <w:num w:numId="16" w16cid:durableId="1571386042">
    <w:abstractNumId w:val="14"/>
  </w:num>
  <w:num w:numId="17" w16cid:durableId="314919990">
    <w:abstractNumId w:val="60"/>
  </w:num>
  <w:num w:numId="18" w16cid:durableId="1687093979">
    <w:abstractNumId w:val="26"/>
  </w:num>
  <w:num w:numId="19" w16cid:durableId="561409345">
    <w:abstractNumId w:val="12"/>
  </w:num>
  <w:num w:numId="20" w16cid:durableId="1168790575">
    <w:abstractNumId w:val="41"/>
  </w:num>
  <w:num w:numId="21" w16cid:durableId="762915652">
    <w:abstractNumId w:val="50"/>
  </w:num>
  <w:num w:numId="22" w16cid:durableId="512956630">
    <w:abstractNumId w:val="65"/>
  </w:num>
  <w:num w:numId="23" w16cid:durableId="1451778532">
    <w:abstractNumId w:val="17"/>
  </w:num>
  <w:num w:numId="24" w16cid:durableId="1794784169">
    <w:abstractNumId w:val="43"/>
  </w:num>
  <w:num w:numId="25" w16cid:durableId="809788762">
    <w:abstractNumId w:val="29"/>
  </w:num>
  <w:num w:numId="26" w16cid:durableId="1412655446">
    <w:abstractNumId w:val="19"/>
  </w:num>
  <w:num w:numId="27" w16cid:durableId="1843659856">
    <w:abstractNumId w:val="62"/>
  </w:num>
  <w:num w:numId="28" w16cid:durableId="1152404120">
    <w:abstractNumId w:val="44"/>
  </w:num>
  <w:num w:numId="29" w16cid:durableId="163472786">
    <w:abstractNumId w:val="40"/>
  </w:num>
  <w:num w:numId="30" w16cid:durableId="678432897">
    <w:abstractNumId w:val="39"/>
  </w:num>
  <w:num w:numId="31" w16cid:durableId="1904681660">
    <w:abstractNumId w:val="10"/>
  </w:num>
  <w:num w:numId="32" w16cid:durableId="2035424210">
    <w:abstractNumId w:val="16"/>
  </w:num>
  <w:num w:numId="33" w16cid:durableId="451099530">
    <w:abstractNumId w:val="51"/>
  </w:num>
  <w:num w:numId="34" w16cid:durableId="588513670">
    <w:abstractNumId w:val="58"/>
  </w:num>
  <w:num w:numId="35" w16cid:durableId="884147429">
    <w:abstractNumId w:val="33"/>
  </w:num>
  <w:num w:numId="36" w16cid:durableId="914781583">
    <w:abstractNumId w:val="30"/>
  </w:num>
  <w:num w:numId="37" w16cid:durableId="1404910193">
    <w:abstractNumId w:val="38"/>
  </w:num>
  <w:num w:numId="38" w16cid:durableId="2107267533">
    <w:abstractNumId w:val="67"/>
  </w:num>
  <w:num w:numId="39" w16cid:durableId="938417040">
    <w:abstractNumId w:val="31"/>
  </w:num>
  <w:num w:numId="40" w16cid:durableId="942803012">
    <w:abstractNumId w:val="25"/>
  </w:num>
  <w:num w:numId="41" w16cid:durableId="1161430883">
    <w:abstractNumId w:val="57"/>
  </w:num>
  <w:num w:numId="42" w16cid:durableId="1235236737">
    <w:abstractNumId w:val="27"/>
  </w:num>
  <w:num w:numId="43" w16cid:durableId="1839229404">
    <w:abstractNumId w:val="49"/>
  </w:num>
  <w:num w:numId="44" w16cid:durableId="1122378211">
    <w:abstractNumId w:val="47"/>
  </w:num>
  <w:num w:numId="45" w16cid:durableId="706294506">
    <w:abstractNumId w:val="11"/>
  </w:num>
  <w:num w:numId="46" w16cid:durableId="1533810687">
    <w:abstractNumId w:val="63"/>
  </w:num>
  <w:num w:numId="47" w16cid:durableId="750197356">
    <w:abstractNumId w:val="66"/>
  </w:num>
  <w:num w:numId="48" w16cid:durableId="1968197708">
    <w:abstractNumId w:val="42"/>
  </w:num>
  <w:num w:numId="49" w16cid:durableId="750126943">
    <w:abstractNumId w:val="52"/>
  </w:num>
  <w:num w:numId="50" w16cid:durableId="1943878078">
    <w:abstractNumId w:val="59"/>
  </w:num>
  <w:num w:numId="51" w16cid:durableId="50274341">
    <w:abstractNumId w:val="32"/>
  </w:num>
  <w:num w:numId="52" w16cid:durableId="46151239">
    <w:abstractNumId w:val="15"/>
  </w:num>
  <w:num w:numId="53" w16cid:durableId="726416293">
    <w:abstractNumId w:val="35"/>
    <w:lvlOverride w:ilvl="0">
      <w:startOverride w:val="2"/>
    </w:lvlOverride>
    <w:lvlOverride w:ilvl="1">
      <w:startOverride w:val="2"/>
    </w:lvlOverride>
    <w:lvlOverride w:ilvl="2">
      <w:startOverride w:val="2"/>
    </w:lvlOverride>
  </w:num>
  <w:num w:numId="54" w16cid:durableId="1866212202">
    <w:abstractNumId w:val="45"/>
  </w:num>
  <w:num w:numId="55" w16cid:durableId="1620339567">
    <w:abstractNumId w:val="35"/>
  </w:num>
  <w:num w:numId="56" w16cid:durableId="314992593">
    <w:abstractNumId w:val="34"/>
  </w:num>
  <w:num w:numId="57" w16cid:durableId="298808742">
    <w:abstractNumId w:val="54"/>
  </w:num>
  <w:num w:numId="58" w16cid:durableId="1849059729">
    <w:abstractNumId w:val="48"/>
  </w:num>
  <w:num w:numId="59" w16cid:durableId="1174225139">
    <w:abstractNumId w:val="61"/>
  </w:num>
  <w:num w:numId="60" w16cid:durableId="1765148512">
    <w:abstractNumId w:val="36"/>
  </w:num>
  <w:num w:numId="61" w16cid:durableId="102697308">
    <w:abstractNumId w:val="18"/>
  </w:num>
  <w:num w:numId="62" w16cid:durableId="1907455316">
    <w:abstractNumId w:val="55"/>
  </w:num>
  <w:num w:numId="63" w16cid:durableId="30886255">
    <w:abstractNumId w:val="68"/>
  </w:num>
  <w:num w:numId="64" w16cid:durableId="16975815">
    <w:abstractNumId w:val="64"/>
  </w:num>
  <w:num w:numId="65" w16cid:durableId="694813246">
    <w:abstractNumId w:val="37"/>
  </w:num>
  <w:num w:numId="66" w16cid:durableId="138109964">
    <w:abstractNumId w:val="23"/>
  </w:num>
  <w:num w:numId="67" w16cid:durableId="675497230">
    <w:abstractNumId w:val="24"/>
  </w:num>
  <w:num w:numId="68" w16cid:durableId="857695163">
    <w:abstractNumId w:val="46"/>
  </w:num>
  <w:num w:numId="69" w16cid:durableId="390233178">
    <w:abstractNumId w:val="53"/>
  </w:num>
  <w:num w:numId="70" w16cid:durableId="1239511228">
    <w:abstractNumId w:val="21"/>
  </w:num>
  <w:num w:numId="71" w16cid:durableId="1509754547">
    <w:abstractNumId w:val="2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proofState w:spelling="clean" w:grammar="clean"/>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autoHyphenation/>
  <w:hyphenationZone w:val="425"/>
  <w:defaultTableStyle w:val="VNTaulukkovasentasau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6EC"/>
    <w:rsid w:val="000001C7"/>
    <w:rsid w:val="000004B7"/>
    <w:rsid w:val="000005A1"/>
    <w:rsid w:val="00000736"/>
    <w:rsid w:val="0000081B"/>
    <w:rsid w:val="0000087B"/>
    <w:rsid w:val="00000C1A"/>
    <w:rsid w:val="00000C7E"/>
    <w:rsid w:val="000010FA"/>
    <w:rsid w:val="000011B0"/>
    <w:rsid w:val="00001342"/>
    <w:rsid w:val="00001451"/>
    <w:rsid w:val="000015BC"/>
    <w:rsid w:val="00001603"/>
    <w:rsid w:val="00001699"/>
    <w:rsid w:val="000018FA"/>
    <w:rsid w:val="00001953"/>
    <w:rsid w:val="000019BB"/>
    <w:rsid w:val="000020A1"/>
    <w:rsid w:val="000020BA"/>
    <w:rsid w:val="00002389"/>
    <w:rsid w:val="00002699"/>
    <w:rsid w:val="00002835"/>
    <w:rsid w:val="0000286C"/>
    <w:rsid w:val="000028DC"/>
    <w:rsid w:val="00002923"/>
    <w:rsid w:val="000029B6"/>
    <w:rsid w:val="00002B77"/>
    <w:rsid w:val="00002CE5"/>
    <w:rsid w:val="00002CF4"/>
    <w:rsid w:val="00002D31"/>
    <w:rsid w:val="00002D6C"/>
    <w:rsid w:val="00002F54"/>
    <w:rsid w:val="00003197"/>
    <w:rsid w:val="00003389"/>
    <w:rsid w:val="0000355D"/>
    <w:rsid w:val="000035CA"/>
    <w:rsid w:val="00003A6D"/>
    <w:rsid w:val="00003BC1"/>
    <w:rsid w:val="00003D20"/>
    <w:rsid w:val="00003F4D"/>
    <w:rsid w:val="000040A9"/>
    <w:rsid w:val="00004123"/>
    <w:rsid w:val="00004227"/>
    <w:rsid w:val="0000428C"/>
    <w:rsid w:val="000047D4"/>
    <w:rsid w:val="0000495B"/>
    <w:rsid w:val="00004B9F"/>
    <w:rsid w:val="00004C86"/>
    <w:rsid w:val="00004CE8"/>
    <w:rsid w:val="00004F20"/>
    <w:rsid w:val="000052FF"/>
    <w:rsid w:val="00005333"/>
    <w:rsid w:val="0000541B"/>
    <w:rsid w:val="00005615"/>
    <w:rsid w:val="00005C97"/>
    <w:rsid w:val="00005D55"/>
    <w:rsid w:val="00005EA6"/>
    <w:rsid w:val="0000600C"/>
    <w:rsid w:val="00006326"/>
    <w:rsid w:val="00006A71"/>
    <w:rsid w:val="00006C5B"/>
    <w:rsid w:val="00006C69"/>
    <w:rsid w:val="00006C70"/>
    <w:rsid w:val="0000755D"/>
    <w:rsid w:val="0000767D"/>
    <w:rsid w:val="000076D7"/>
    <w:rsid w:val="00007711"/>
    <w:rsid w:val="0000776F"/>
    <w:rsid w:val="0000786E"/>
    <w:rsid w:val="00007B49"/>
    <w:rsid w:val="00007E4B"/>
    <w:rsid w:val="00010026"/>
    <w:rsid w:val="00010237"/>
    <w:rsid w:val="000108B3"/>
    <w:rsid w:val="00010FB0"/>
    <w:rsid w:val="00011270"/>
    <w:rsid w:val="000112FA"/>
    <w:rsid w:val="00011713"/>
    <w:rsid w:val="00011A0C"/>
    <w:rsid w:val="00011BA3"/>
    <w:rsid w:val="00011BC7"/>
    <w:rsid w:val="00011C30"/>
    <w:rsid w:val="00011DEB"/>
    <w:rsid w:val="00012014"/>
    <w:rsid w:val="0001202F"/>
    <w:rsid w:val="000121AF"/>
    <w:rsid w:val="00012525"/>
    <w:rsid w:val="0001256A"/>
    <w:rsid w:val="00012CDF"/>
    <w:rsid w:val="00012D1B"/>
    <w:rsid w:val="00012EB0"/>
    <w:rsid w:val="00013344"/>
    <w:rsid w:val="0001338E"/>
    <w:rsid w:val="000134FE"/>
    <w:rsid w:val="0001397A"/>
    <w:rsid w:val="00013A1C"/>
    <w:rsid w:val="000140B6"/>
    <w:rsid w:val="000143AA"/>
    <w:rsid w:val="000145B0"/>
    <w:rsid w:val="00014865"/>
    <w:rsid w:val="00014919"/>
    <w:rsid w:val="00014C26"/>
    <w:rsid w:val="00014CA3"/>
    <w:rsid w:val="00014DA7"/>
    <w:rsid w:val="0001501B"/>
    <w:rsid w:val="0001506D"/>
    <w:rsid w:val="000152BF"/>
    <w:rsid w:val="000153BA"/>
    <w:rsid w:val="000156D0"/>
    <w:rsid w:val="00015A32"/>
    <w:rsid w:val="00015DA3"/>
    <w:rsid w:val="00015DA4"/>
    <w:rsid w:val="00015E72"/>
    <w:rsid w:val="000162F0"/>
    <w:rsid w:val="00016383"/>
    <w:rsid w:val="000164F7"/>
    <w:rsid w:val="00016500"/>
    <w:rsid w:val="00016634"/>
    <w:rsid w:val="00016EA5"/>
    <w:rsid w:val="00016F0B"/>
    <w:rsid w:val="00016F66"/>
    <w:rsid w:val="00016FA9"/>
    <w:rsid w:val="000170DF"/>
    <w:rsid w:val="00017326"/>
    <w:rsid w:val="0001732F"/>
    <w:rsid w:val="0001751B"/>
    <w:rsid w:val="0001757E"/>
    <w:rsid w:val="00017A15"/>
    <w:rsid w:val="00017B62"/>
    <w:rsid w:val="00017CD5"/>
    <w:rsid w:val="00020187"/>
    <w:rsid w:val="00020226"/>
    <w:rsid w:val="0002028E"/>
    <w:rsid w:val="00020403"/>
    <w:rsid w:val="00020469"/>
    <w:rsid w:val="000204B1"/>
    <w:rsid w:val="000204C1"/>
    <w:rsid w:val="000205B0"/>
    <w:rsid w:val="0002081A"/>
    <w:rsid w:val="00021205"/>
    <w:rsid w:val="000212AF"/>
    <w:rsid w:val="000213B2"/>
    <w:rsid w:val="000213CD"/>
    <w:rsid w:val="000214DB"/>
    <w:rsid w:val="00021663"/>
    <w:rsid w:val="000216E7"/>
    <w:rsid w:val="00021765"/>
    <w:rsid w:val="0002179F"/>
    <w:rsid w:val="000219C6"/>
    <w:rsid w:val="00021B38"/>
    <w:rsid w:val="00022045"/>
    <w:rsid w:val="00022096"/>
    <w:rsid w:val="0002215B"/>
    <w:rsid w:val="000221CB"/>
    <w:rsid w:val="00022276"/>
    <w:rsid w:val="00022587"/>
    <w:rsid w:val="000226AD"/>
    <w:rsid w:val="00022DEE"/>
    <w:rsid w:val="00022DEF"/>
    <w:rsid w:val="00023133"/>
    <w:rsid w:val="000235FA"/>
    <w:rsid w:val="00023833"/>
    <w:rsid w:val="000238B7"/>
    <w:rsid w:val="00023D83"/>
    <w:rsid w:val="00024288"/>
    <w:rsid w:val="00024399"/>
    <w:rsid w:val="0002446A"/>
    <w:rsid w:val="000244CB"/>
    <w:rsid w:val="000245B6"/>
    <w:rsid w:val="00024952"/>
    <w:rsid w:val="00024AF8"/>
    <w:rsid w:val="00024B55"/>
    <w:rsid w:val="00024C35"/>
    <w:rsid w:val="00024E8C"/>
    <w:rsid w:val="00024E9E"/>
    <w:rsid w:val="00025139"/>
    <w:rsid w:val="000255A5"/>
    <w:rsid w:val="00025685"/>
    <w:rsid w:val="00025702"/>
    <w:rsid w:val="000259D8"/>
    <w:rsid w:val="00025ADD"/>
    <w:rsid w:val="00025C3B"/>
    <w:rsid w:val="00025CB4"/>
    <w:rsid w:val="00025F32"/>
    <w:rsid w:val="000260B6"/>
    <w:rsid w:val="000260FF"/>
    <w:rsid w:val="000264F3"/>
    <w:rsid w:val="00026A97"/>
    <w:rsid w:val="00026C77"/>
    <w:rsid w:val="00026D29"/>
    <w:rsid w:val="00026DC4"/>
    <w:rsid w:val="00026E9B"/>
    <w:rsid w:val="0002707C"/>
    <w:rsid w:val="00027522"/>
    <w:rsid w:val="000276C9"/>
    <w:rsid w:val="00027AAF"/>
    <w:rsid w:val="00027CCD"/>
    <w:rsid w:val="00027E0C"/>
    <w:rsid w:val="00027E70"/>
    <w:rsid w:val="00030374"/>
    <w:rsid w:val="00030975"/>
    <w:rsid w:val="00030CCC"/>
    <w:rsid w:val="000314E0"/>
    <w:rsid w:val="00031552"/>
    <w:rsid w:val="00031A6B"/>
    <w:rsid w:val="00031C02"/>
    <w:rsid w:val="00032074"/>
    <w:rsid w:val="000323A2"/>
    <w:rsid w:val="00032860"/>
    <w:rsid w:val="000328DD"/>
    <w:rsid w:val="00032A21"/>
    <w:rsid w:val="00032B24"/>
    <w:rsid w:val="00032D36"/>
    <w:rsid w:val="00033056"/>
    <w:rsid w:val="00033292"/>
    <w:rsid w:val="0003346B"/>
    <w:rsid w:val="00033DD0"/>
    <w:rsid w:val="00033FB6"/>
    <w:rsid w:val="0003408C"/>
    <w:rsid w:val="00034500"/>
    <w:rsid w:val="00034966"/>
    <w:rsid w:val="00034B53"/>
    <w:rsid w:val="00034D2A"/>
    <w:rsid w:val="00034DCA"/>
    <w:rsid w:val="0003504C"/>
    <w:rsid w:val="00035077"/>
    <w:rsid w:val="000350CF"/>
    <w:rsid w:val="000352D5"/>
    <w:rsid w:val="0003552A"/>
    <w:rsid w:val="00035A37"/>
    <w:rsid w:val="00035A84"/>
    <w:rsid w:val="00035AA8"/>
    <w:rsid w:val="00035EB3"/>
    <w:rsid w:val="0003603F"/>
    <w:rsid w:val="000363C0"/>
    <w:rsid w:val="0003651F"/>
    <w:rsid w:val="000365CA"/>
    <w:rsid w:val="00036631"/>
    <w:rsid w:val="00036EAE"/>
    <w:rsid w:val="00037091"/>
    <w:rsid w:val="000370FF"/>
    <w:rsid w:val="00037185"/>
    <w:rsid w:val="00037AEC"/>
    <w:rsid w:val="00037BB2"/>
    <w:rsid w:val="00037D61"/>
    <w:rsid w:val="00037E25"/>
    <w:rsid w:val="00037F01"/>
    <w:rsid w:val="00037F45"/>
    <w:rsid w:val="0003A9DF"/>
    <w:rsid w:val="00040068"/>
    <w:rsid w:val="00040174"/>
    <w:rsid w:val="0004017A"/>
    <w:rsid w:val="00040308"/>
    <w:rsid w:val="0004051F"/>
    <w:rsid w:val="00040526"/>
    <w:rsid w:val="000407F6"/>
    <w:rsid w:val="00040D3B"/>
    <w:rsid w:val="00040EA4"/>
    <w:rsid w:val="00040EEE"/>
    <w:rsid w:val="0004125E"/>
    <w:rsid w:val="00041474"/>
    <w:rsid w:val="000415E8"/>
    <w:rsid w:val="00041800"/>
    <w:rsid w:val="00041838"/>
    <w:rsid w:val="000418B6"/>
    <w:rsid w:val="00041B6B"/>
    <w:rsid w:val="00041FC3"/>
    <w:rsid w:val="00042045"/>
    <w:rsid w:val="00042192"/>
    <w:rsid w:val="000423BE"/>
    <w:rsid w:val="000424EA"/>
    <w:rsid w:val="00042565"/>
    <w:rsid w:val="00042805"/>
    <w:rsid w:val="00042BBA"/>
    <w:rsid w:val="00042D44"/>
    <w:rsid w:val="00042F11"/>
    <w:rsid w:val="00042F59"/>
    <w:rsid w:val="00043138"/>
    <w:rsid w:val="000431A3"/>
    <w:rsid w:val="0004343C"/>
    <w:rsid w:val="000434A9"/>
    <w:rsid w:val="00043795"/>
    <w:rsid w:val="000438D3"/>
    <w:rsid w:val="00043D23"/>
    <w:rsid w:val="00043D49"/>
    <w:rsid w:val="00043D60"/>
    <w:rsid w:val="00044350"/>
    <w:rsid w:val="000443E0"/>
    <w:rsid w:val="000445A1"/>
    <w:rsid w:val="0004495D"/>
    <w:rsid w:val="000449EC"/>
    <w:rsid w:val="00045007"/>
    <w:rsid w:val="000454CA"/>
    <w:rsid w:val="00045680"/>
    <w:rsid w:val="000459A1"/>
    <w:rsid w:val="00045B00"/>
    <w:rsid w:val="000461E0"/>
    <w:rsid w:val="00046300"/>
    <w:rsid w:val="0004676D"/>
    <w:rsid w:val="00046825"/>
    <w:rsid w:val="00046C2F"/>
    <w:rsid w:val="00046DD3"/>
    <w:rsid w:val="00046E2F"/>
    <w:rsid w:val="00046EC3"/>
    <w:rsid w:val="00046FEA"/>
    <w:rsid w:val="00047013"/>
    <w:rsid w:val="0004705B"/>
    <w:rsid w:val="00047129"/>
    <w:rsid w:val="00047180"/>
    <w:rsid w:val="00047238"/>
    <w:rsid w:val="000473F3"/>
    <w:rsid w:val="0004750A"/>
    <w:rsid w:val="00047A3F"/>
    <w:rsid w:val="00047B08"/>
    <w:rsid w:val="00047BF0"/>
    <w:rsid w:val="00047C06"/>
    <w:rsid w:val="00047C51"/>
    <w:rsid w:val="00047DF9"/>
    <w:rsid w:val="00047E77"/>
    <w:rsid w:val="00050085"/>
    <w:rsid w:val="00050091"/>
    <w:rsid w:val="00050236"/>
    <w:rsid w:val="000507A3"/>
    <w:rsid w:val="0005082C"/>
    <w:rsid w:val="000509A7"/>
    <w:rsid w:val="00050A7E"/>
    <w:rsid w:val="00050C84"/>
    <w:rsid w:val="00050CC4"/>
    <w:rsid w:val="00050E48"/>
    <w:rsid w:val="00050F6D"/>
    <w:rsid w:val="000511B2"/>
    <w:rsid w:val="0005127B"/>
    <w:rsid w:val="00051600"/>
    <w:rsid w:val="000517A5"/>
    <w:rsid w:val="000517B2"/>
    <w:rsid w:val="00051B83"/>
    <w:rsid w:val="00051E61"/>
    <w:rsid w:val="0005203A"/>
    <w:rsid w:val="0005227D"/>
    <w:rsid w:val="00052425"/>
    <w:rsid w:val="0005273B"/>
    <w:rsid w:val="00052839"/>
    <w:rsid w:val="00052C64"/>
    <w:rsid w:val="00052ED5"/>
    <w:rsid w:val="00052EE1"/>
    <w:rsid w:val="00053027"/>
    <w:rsid w:val="00053067"/>
    <w:rsid w:val="00053098"/>
    <w:rsid w:val="000532FE"/>
    <w:rsid w:val="0005349E"/>
    <w:rsid w:val="00053853"/>
    <w:rsid w:val="000539C1"/>
    <w:rsid w:val="00053C1C"/>
    <w:rsid w:val="00053EF3"/>
    <w:rsid w:val="00053F4D"/>
    <w:rsid w:val="000540F4"/>
    <w:rsid w:val="000542E5"/>
    <w:rsid w:val="00054707"/>
    <w:rsid w:val="00054DCF"/>
    <w:rsid w:val="00054E4A"/>
    <w:rsid w:val="00054ECB"/>
    <w:rsid w:val="00055782"/>
    <w:rsid w:val="000557CD"/>
    <w:rsid w:val="00055A49"/>
    <w:rsid w:val="00055BA8"/>
    <w:rsid w:val="00055FA3"/>
    <w:rsid w:val="0005621B"/>
    <w:rsid w:val="00056250"/>
    <w:rsid w:val="0005649A"/>
    <w:rsid w:val="000565D8"/>
    <w:rsid w:val="0005688C"/>
    <w:rsid w:val="000570A4"/>
    <w:rsid w:val="00057134"/>
    <w:rsid w:val="00057513"/>
    <w:rsid w:val="0005752F"/>
    <w:rsid w:val="00057920"/>
    <w:rsid w:val="000579A8"/>
    <w:rsid w:val="00057BA7"/>
    <w:rsid w:val="00057BB2"/>
    <w:rsid w:val="00057C6A"/>
    <w:rsid w:val="00057CD8"/>
    <w:rsid w:val="00057E70"/>
    <w:rsid w:val="00057EAE"/>
    <w:rsid w:val="00060007"/>
    <w:rsid w:val="000602A0"/>
    <w:rsid w:val="000604C1"/>
    <w:rsid w:val="00060597"/>
    <w:rsid w:val="0006060F"/>
    <w:rsid w:val="000609C4"/>
    <w:rsid w:val="00060C53"/>
    <w:rsid w:val="00060DC7"/>
    <w:rsid w:val="00061539"/>
    <w:rsid w:val="0006155E"/>
    <w:rsid w:val="0006158B"/>
    <w:rsid w:val="00061803"/>
    <w:rsid w:val="00061893"/>
    <w:rsid w:val="00061980"/>
    <w:rsid w:val="000619E8"/>
    <w:rsid w:val="000619FF"/>
    <w:rsid w:val="00061B16"/>
    <w:rsid w:val="00061DFF"/>
    <w:rsid w:val="00061FE9"/>
    <w:rsid w:val="0006203C"/>
    <w:rsid w:val="00062100"/>
    <w:rsid w:val="000622D8"/>
    <w:rsid w:val="00062CE7"/>
    <w:rsid w:val="00062D8D"/>
    <w:rsid w:val="00062E1A"/>
    <w:rsid w:val="000631C2"/>
    <w:rsid w:val="00063226"/>
    <w:rsid w:val="00063257"/>
    <w:rsid w:val="000634DF"/>
    <w:rsid w:val="000636AC"/>
    <w:rsid w:val="0006376C"/>
    <w:rsid w:val="00063938"/>
    <w:rsid w:val="00063A0D"/>
    <w:rsid w:val="00063B51"/>
    <w:rsid w:val="00063C9E"/>
    <w:rsid w:val="00063C9F"/>
    <w:rsid w:val="00063E54"/>
    <w:rsid w:val="00063FE3"/>
    <w:rsid w:val="000641B9"/>
    <w:rsid w:val="00064433"/>
    <w:rsid w:val="00064460"/>
    <w:rsid w:val="000646A6"/>
    <w:rsid w:val="00064759"/>
    <w:rsid w:val="0006497F"/>
    <w:rsid w:val="00064AD5"/>
    <w:rsid w:val="00064B5D"/>
    <w:rsid w:val="00064CCB"/>
    <w:rsid w:val="00064D54"/>
    <w:rsid w:val="000651C9"/>
    <w:rsid w:val="000652E9"/>
    <w:rsid w:val="0006554A"/>
    <w:rsid w:val="00065A44"/>
    <w:rsid w:val="00065CF4"/>
    <w:rsid w:val="00065DA6"/>
    <w:rsid w:val="00065E4B"/>
    <w:rsid w:val="00065FAC"/>
    <w:rsid w:val="0006608C"/>
    <w:rsid w:val="00066100"/>
    <w:rsid w:val="000663D5"/>
    <w:rsid w:val="0006645C"/>
    <w:rsid w:val="000664E8"/>
    <w:rsid w:val="00066742"/>
    <w:rsid w:val="00066B4D"/>
    <w:rsid w:val="00066B95"/>
    <w:rsid w:val="00066BAE"/>
    <w:rsid w:val="00067002"/>
    <w:rsid w:val="0006739D"/>
    <w:rsid w:val="00067490"/>
    <w:rsid w:val="000674BC"/>
    <w:rsid w:val="0006767E"/>
    <w:rsid w:val="00067A73"/>
    <w:rsid w:val="00067D0C"/>
    <w:rsid w:val="00067E4A"/>
    <w:rsid w:val="00067EE2"/>
    <w:rsid w:val="000700D1"/>
    <w:rsid w:val="000704D8"/>
    <w:rsid w:val="000706F0"/>
    <w:rsid w:val="00070751"/>
    <w:rsid w:val="00070C48"/>
    <w:rsid w:val="00070DC5"/>
    <w:rsid w:val="00071068"/>
    <w:rsid w:val="0007123D"/>
    <w:rsid w:val="00071B23"/>
    <w:rsid w:val="00072085"/>
    <w:rsid w:val="000727E1"/>
    <w:rsid w:val="00072858"/>
    <w:rsid w:val="00072C9C"/>
    <w:rsid w:val="0007306A"/>
    <w:rsid w:val="00073285"/>
    <w:rsid w:val="00073359"/>
    <w:rsid w:val="000735FD"/>
    <w:rsid w:val="000737AA"/>
    <w:rsid w:val="00073869"/>
    <w:rsid w:val="00073B74"/>
    <w:rsid w:val="0007405D"/>
    <w:rsid w:val="0007463A"/>
    <w:rsid w:val="0007468B"/>
    <w:rsid w:val="00074868"/>
    <w:rsid w:val="00074A90"/>
    <w:rsid w:val="00074DAF"/>
    <w:rsid w:val="000750E8"/>
    <w:rsid w:val="00075291"/>
    <w:rsid w:val="00075708"/>
    <w:rsid w:val="00075787"/>
    <w:rsid w:val="0007592B"/>
    <w:rsid w:val="000759C0"/>
    <w:rsid w:val="00075ACC"/>
    <w:rsid w:val="00076209"/>
    <w:rsid w:val="00076249"/>
    <w:rsid w:val="0007646E"/>
    <w:rsid w:val="00076590"/>
    <w:rsid w:val="000768DB"/>
    <w:rsid w:val="00076AA5"/>
    <w:rsid w:val="000776CC"/>
    <w:rsid w:val="0007772B"/>
    <w:rsid w:val="000777A7"/>
    <w:rsid w:val="000777C4"/>
    <w:rsid w:val="00077B5C"/>
    <w:rsid w:val="00077C15"/>
    <w:rsid w:val="00077DD2"/>
    <w:rsid w:val="00077FD7"/>
    <w:rsid w:val="00080263"/>
    <w:rsid w:val="000802CB"/>
    <w:rsid w:val="000803AF"/>
    <w:rsid w:val="00080473"/>
    <w:rsid w:val="00080EBD"/>
    <w:rsid w:val="00080F54"/>
    <w:rsid w:val="0008152B"/>
    <w:rsid w:val="000818BA"/>
    <w:rsid w:val="000819D6"/>
    <w:rsid w:val="00081A37"/>
    <w:rsid w:val="00081BD2"/>
    <w:rsid w:val="00081CC9"/>
    <w:rsid w:val="00081F6B"/>
    <w:rsid w:val="00081FE4"/>
    <w:rsid w:val="000822B2"/>
    <w:rsid w:val="00082514"/>
    <w:rsid w:val="00082661"/>
    <w:rsid w:val="00082668"/>
    <w:rsid w:val="0008284E"/>
    <w:rsid w:val="00082868"/>
    <w:rsid w:val="00082A7B"/>
    <w:rsid w:val="00082B06"/>
    <w:rsid w:val="00082B08"/>
    <w:rsid w:val="00082B31"/>
    <w:rsid w:val="00082BCA"/>
    <w:rsid w:val="00082EFA"/>
    <w:rsid w:val="00082FD5"/>
    <w:rsid w:val="000831F3"/>
    <w:rsid w:val="000838F7"/>
    <w:rsid w:val="000839B7"/>
    <w:rsid w:val="00083BAC"/>
    <w:rsid w:val="00083E5D"/>
    <w:rsid w:val="00083EBD"/>
    <w:rsid w:val="00083FA4"/>
    <w:rsid w:val="00083FA9"/>
    <w:rsid w:val="00083FAF"/>
    <w:rsid w:val="00083FB3"/>
    <w:rsid w:val="0008420D"/>
    <w:rsid w:val="0008436F"/>
    <w:rsid w:val="00084410"/>
    <w:rsid w:val="0008452D"/>
    <w:rsid w:val="00084674"/>
    <w:rsid w:val="000849BD"/>
    <w:rsid w:val="00084DF1"/>
    <w:rsid w:val="00084E9B"/>
    <w:rsid w:val="000851B0"/>
    <w:rsid w:val="00085375"/>
    <w:rsid w:val="00085439"/>
    <w:rsid w:val="00085483"/>
    <w:rsid w:val="00085659"/>
    <w:rsid w:val="000856AF"/>
    <w:rsid w:val="0008588D"/>
    <w:rsid w:val="00085BDF"/>
    <w:rsid w:val="00085F11"/>
    <w:rsid w:val="000862C6"/>
    <w:rsid w:val="000863E5"/>
    <w:rsid w:val="000865AF"/>
    <w:rsid w:val="00086892"/>
    <w:rsid w:val="000869BB"/>
    <w:rsid w:val="00086AF6"/>
    <w:rsid w:val="000871A1"/>
    <w:rsid w:val="00087212"/>
    <w:rsid w:val="000873E4"/>
    <w:rsid w:val="000874DA"/>
    <w:rsid w:val="0008779B"/>
    <w:rsid w:val="000879AB"/>
    <w:rsid w:val="00087A56"/>
    <w:rsid w:val="00087B21"/>
    <w:rsid w:val="00087D8E"/>
    <w:rsid w:val="00090071"/>
    <w:rsid w:val="000900AA"/>
    <w:rsid w:val="00090383"/>
    <w:rsid w:val="00090722"/>
    <w:rsid w:val="0009073B"/>
    <w:rsid w:val="00090C11"/>
    <w:rsid w:val="00090EDC"/>
    <w:rsid w:val="000910FA"/>
    <w:rsid w:val="00091460"/>
    <w:rsid w:val="000915D1"/>
    <w:rsid w:val="000917C9"/>
    <w:rsid w:val="00091AF1"/>
    <w:rsid w:val="00091C13"/>
    <w:rsid w:val="00091C6E"/>
    <w:rsid w:val="00091F09"/>
    <w:rsid w:val="00091FE9"/>
    <w:rsid w:val="0009218D"/>
    <w:rsid w:val="0009235A"/>
    <w:rsid w:val="00092414"/>
    <w:rsid w:val="000924F6"/>
    <w:rsid w:val="000925EE"/>
    <w:rsid w:val="00092CF8"/>
    <w:rsid w:val="00092D82"/>
    <w:rsid w:val="00092DC2"/>
    <w:rsid w:val="00092E50"/>
    <w:rsid w:val="00092EB7"/>
    <w:rsid w:val="00092FB7"/>
    <w:rsid w:val="00092FE8"/>
    <w:rsid w:val="00093017"/>
    <w:rsid w:val="0009302C"/>
    <w:rsid w:val="00093142"/>
    <w:rsid w:val="00093452"/>
    <w:rsid w:val="000934B5"/>
    <w:rsid w:val="000936D3"/>
    <w:rsid w:val="00093806"/>
    <w:rsid w:val="00093AAD"/>
    <w:rsid w:val="00093B03"/>
    <w:rsid w:val="00093BB0"/>
    <w:rsid w:val="00093FD8"/>
    <w:rsid w:val="0009428F"/>
    <w:rsid w:val="000942BE"/>
    <w:rsid w:val="000947CC"/>
    <w:rsid w:val="00094A44"/>
    <w:rsid w:val="00094B60"/>
    <w:rsid w:val="00095203"/>
    <w:rsid w:val="0009535A"/>
    <w:rsid w:val="000954FA"/>
    <w:rsid w:val="00095508"/>
    <w:rsid w:val="00095BD3"/>
    <w:rsid w:val="00095C30"/>
    <w:rsid w:val="00095D82"/>
    <w:rsid w:val="00095FA5"/>
    <w:rsid w:val="000961B7"/>
    <w:rsid w:val="00096356"/>
    <w:rsid w:val="000963CF"/>
    <w:rsid w:val="00096532"/>
    <w:rsid w:val="0009658B"/>
    <w:rsid w:val="00096698"/>
    <w:rsid w:val="00096C5A"/>
    <w:rsid w:val="00096CCB"/>
    <w:rsid w:val="00096D33"/>
    <w:rsid w:val="00097073"/>
    <w:rsid w:val="00097228"/>
    <w:rsid w:val="000972BE"/>
    <w:rsid w:val="0009769C"/>
    <w:rsid w:val="00097B0E"/>
    <w:rsid w:val="000A00EE"/>
    <w:rsid w:val="000A01DB"/>
    <w:rsid w:val="000A02D5"/>
    <w:rsid w:val="000A0425"/>
    <w:rsid w:val="000A062B"/>
    <w:rsid w:val="000A0668"/>
    <w:rsid w:val="000A076B"/>
    <w:rsid w:val="000A0B0B"/>
    <w:rsid w:val="000A0BCA"/>
    <w:rsid w:val="000A0C67"/>
    <w:rsid w:val="000A0F70"/>
    <w:rsid w:val="000A103E"/>
    <w:rsid w:val="000A1091"/>
    <w:rsid w:val="000A114D"/>
    <w:rsid w:val="000A11CA"/>
    <w:rsid w:val="000A11DA"/>
    <w:rsid w:val="000A13B7"/>
    <w:rsid w:val="000A14D1"/>
    <w:rsid w:val="000A1563"/>
    <w:rsid w:val="000A1659"/>
    <w:rsid w:val="000A18E1"/>
    <w:rsid w:val="000A1AAB"/>
    <w:rsid w:val="000A1F21"/>
    <w:rsid w:val="000A1FF0"/>
    <w:rsid w:val="000A25BF"/>
    <w:rsid w:val="000A25F1"/>
    <w:rsid w:val="000A2924"/>
    <w:rsid w:val="000A2DBB"/>
    <w:rsid w:val="000A2E8A"/>
    <w:rsid w:val="000A2FF9"/>
    <w:rsid w:val="000A341D"/>
    <w:rsid w:val="000A343C"/>
    <w:rsid w:val="000A347C"/>
    <w:rsid w:val="000A34BB"/>
    <w:rsid w:val="000A3570"/>
    <w:rsid w:val="000A364C"/>
    <w:rsid w:val="000A3B07"/>
    <w:rsid w:val="000A3B53"/>
    <w:rsid w:val="000A3CC8"/>
    <w:rsid w:val="000A3D46"/>
    <w:rsid w:val="000A3E99"/>
    <w:rsid w:val="000A3FF7"/>
    <w:rsid w:val="000A4111"/>
    <w:rsid w:val="000A4135"/>
    <w:rsid w:val="000A448E"/>
    <w:rsid w:val="000A481E"/>
    <w:rsid w:val="000A4A7F"/>
    <w:rsid w:val="000A4B36"/>
    <w:rsid w:val="000A4F0A"/>
    <w:rsid w:val="000A549C"/>
    <w:rsid w:val="000A5633"/>
    <w:rsid w:val="000A5635"/>
    <w:rsid w:val="000A5674"/>
    <w:rsid w:val="000A58B2"/>
    <w:rsid w:val="000A5B08"/>
    <w:rsid w:val="000A5BF2"/>
    <w:rsid w:val="000A5CE5"/>
    <w:rsid w:val="000A5D1A"/>
    <w:rsid w:val="000A5D37"/>
    <w:rsid w:val="000A5E58"/>
    <w:rsid w:val="000A6381"/>
    <w:rsid w:val="000A6410"/>
    <w:rsid w:val="000A652E"/>
    <w:rsid w:val="000A681E"/>
    <w:rsid w:val="000A6AB7"/>
    <w:rsid w:val="000A6C13"/>
    <w:rsid w:val="000A6C96"/>
    <w:rsid w:val="000A6CE1"/>
    <w:rsid w:val="000A6EF8"/>
    <w:rsid w:val="000A6F2E"/>
    <w:rsid w:val="000A6FA5"/>
    <w:rsid w:val="000A6FCA"/>
    <w:rsid w:val="000A70A7"/>
    <w:rsid w:val="000A710D"/>
    <w:rsid w:val="000A7147"/>
    <w:rsid w:val="000A7429"/>
    <w:rsid w:val="000A7746"/>
    <w:rsid w:val="000A775C"/>
    <w:rsid w:val="000A778E"/>
    <w:rsid w:val="000A7975"/>
    <w:rsid w:val="000A7A99"/>
    <w:rsid w:val="000A7B28"/>
    <w:rsid w:val="000A7B5D"/>
    <w:rsid w:val="000A7E67"/>
    <w:rsid w:val="000A7FF8"/>
    <w:rsid w:val="000B02BF"/>
    <w:rsid w:val="000B0410"/>
    <w:rsid w:val="000B06C9"/>
    <w:rsid w:val="000B09F5"/>
    <w:rsid w:val="000B0AA6"/>
    <w:rsid w:val="000B0D55"/>
    <w:rsid w:val="000B0EAC"/>
    <w:rsid w:val="000B101F"/>
    <w:rsid w:val="000B11AA"/>
    <w:rsid w:val="000B126D"/>
    <w:rsid w:val="000B1375"/>
    <w:rsid w:val="000B14F0"/>
    <w:rsid w:val="000B15EE"/>
    <w:rsid w:val="000B17E3"/>
    <w:rsid w:val="000B1860"/>
    <w:rsid w:val="000B1961"/>
    <w:rsid w:val="000B1C1F"/>
    <w:rsid w:val="000B1C4F"/>
    <w:rsid w:val="000B1D51"/>
    <w:rsid w:val="000B1EA6"/>
    <w:rsid w:val="000B22A4"/>
    <w:rsid w:val="000B279A"/>
    <w:rsid w:val="000B2823"/>
    <w:rsid w:val="000B2B2F"/>
    <w:rsid w:val="000B2CF8"/>
    <w:rsid w:val="000B2EA2"/>
    <w:rsid w:val="000B3013"/>
    <w:rsid w:val="000B3402"/>
    <w:rsid w:val="000B366F"/>
    <w:rsid w:val="000B390F"/>
    <w:rsid w:val="000B3AAB"/>
    <w:rsid w:val="000B3AC8"/>
    <w:rsid w:val="000B3CFE"/>
    <w:rsid w:val="000B3D48"/>
    <w:rsid w:val="000B3EBA"/>
    <w:rsid w:val="000B3ED1"/>
    <w:rsid w:val="000B3EE6"/>
    <w:rsid w:val="000B404B"/>
    <w:rsid w:val="000B4190"/>
    <w:rsid w:val="000B430C"/>
    <w:rsid w:val="000B4386"/>
    <w:rsid w:val="000B44D9"/>
    <w:rsid w:val="000B45A9"/>
    <w:rsid w:val="000B45F3"/>
    <w:rsid w:val="000B4E17"/>
    <w:rsid w:val="000B4E21"/>
    <w:rsid w:val="000B4F21"/>
    <w:rsid w:val="000B4F90"/>
    <w:rsid w:val="000B5020"/>
    <w:rsid w:val="000B51BC"/>
    <w:rsid w:val="000B51D9"/>
    <w:rsid w:val="000B524D"/>
    <w:rsid w:val="000B5333"/>
    <w:rsid w:val="000B53EE"/>
    <w:rsid w:val="000B54BD"/>
    <w:rsid w:val="000B5701"/>
    <w:rsid w:val="000B57D8"/>
    <w:rsid w:val="000B5A37"/>
    <w:rsid w:val="000B5A5E"/>
    <w:rsid w:val="000B5B52"/>
    <w:rsid w:val="000B5BCC"/>
    <w:rsid w:val="000B5E75"/>
    <w:rsid w:val="000B6700"/>
    <w:rsid w:val="000B6983"/>
    <w:rsid w:val="000B69EC"/>
    <w:rsid w:val="000B6BCA"/>
    <w:rsid w:val="000B6F1C"/>
    <w:rsid w:val="000B710A"/>
    <w:rsid w:val="000B72EB"/>
    <w:rsid w:val="000B739E"/>
    <w:rsid w:val="000B7444"/>
    <w:rsid w:val="000B7970"/>
    <w:rsid w:val="000B7D42"/>
    <w:rsid w:val="000C0020"/>
    <w:rsid w:val="000C076D"/>
    <w:rsid w:val="000C0E18"/>
    <w:rsid w:val="000C0EB0"/>
    <w:rsid w:val="000C12A4"/>
    <w:rsid w:val="000C13A9"/>
    <w:rsid w:val="000C13FF"/>
    <w:rsid w:val="000C15E0"/>
    <w:rsid w:val="000C1696"/>
    <w:rsid w:val="000C19FB"/>
    <w:rsid w:val="000C1C75"/>
    <w:rsid w:val="000C1D7F"/>
    <w:rsid w:val="000C1D85"/>
    <w:rsid w:val="000C1FF5"/>
    <w:rsid w:val="000C2124"/>
    <w:rsid w:val="000C2513"/>
    <w:rsid w:val="000C253D"/>
    <w:rsid w:val="000C2645"/>
    <w:rsid w:val="000C29E0"/>
    <w:rsid w:val="000C2AFB"/>
    <w:rsid w:val="000C2CB3"/>
    <w:rsid w:val="000C2D2F"/>
    <w:rsid w:val="000C2DC4"/>
    <w:rsid w:val="000C2F07"/>
    <w:rsid w:val="000C2F64"/>
    <w:rsid w:val="000C2F97"/>
    <w:rsid w:val="000C340D"/>
    <w:rsid w:val="000C375A"/>
    <w:rsid w:val="000C387D"/>
    <w:rsid w:val="000C3916"/>
    <w:rsid w:val="000C3CFB"/>
    <w:rsid w:val="000C3EE3"/>
    <w:rsid w:val="000C4096"/>
    <w:rsid w:val="000C42AA"/>
    <w:rsid w:val="000C4344"/>
    <w:rsid w:val="000C43D7"/>
    <w:rsid w:val="000C441F"/>
    <w:rsid w:val="000C4693"/>
    <w:rsid w:val="000C4BCD"/>
    <w:rsid w:val="000C50D6"/>
    <w:rsid w:val="000C50FB"/>
    <w:rsid w:val="000C518B"/>
    <w:rsid w:val="000C51E4"/>
    <w:rsid w:val="000C53F8"/>
    <w:rsid w:val="000C5527"/>
    <w:rsid w:val="000C5553"/>
    <w:rsid w:val="000C55A5"/>
    <w:rsid w:val="000C56F4"/>
    <w:rsid w:val="000C5734"/>
    <w:rsid w:val="000C574B"/>
    <w:rsid w:val="000C5F1A"/>
    <w:rsid w:val="000C600C"/>
    <w:rsid w:val="000C6197"/>
    <w:rsid w:val="000C662D"/>
    <w:rsid w:val="000C6643"/>
    <w:rsid w:val="000C6819"/>
    <w:rsid w:val="000C6890"/>
    <w:rsid w:val="000C69D4"/>
    <w:rsid w:val="000C6AB5"/>
    <w:rsid w:val="000C6C34"/>
    <w:rsid w:val="000C6E6E"/>
    <w:rsid w:val="000C7034"/>
    <w:rsid w:val="000C71EE"/>
    <w:rsid w:val="000C72AE"/>
    <w:rsid w:val="000C7314"/>
    <w:rsid w:val="000C7764"/>
    <w:rsid w:val="000C778D"/>
    <w:rsid w:val="000C7DCD"/>
    <w:rsid w:val="000C7F25"/>
    <w:rsid w:val="000D01D2"/>
    <w:rsid w:val="000D0227"/>
    <w:rsid w:val="000D0415"/>
    <w:rsid w:val="000D056E"/>
    <w:rsid w:val="000D07AD"/>
    <w:rsid w:val="000D0A00"/>
    <w:rsid w:val="000D0AEA"/>
    <w:rsid w:val="000D0DD6"/>
    <w:rsid w:val="000D0F95"/>
    <w:rsid w:val="000D1276"/>
    <w:rsid w:val="000D1546"/>
    <w:rsid w:val="000D1639"/>
    <w:rsid w:val="000D179C"/>
    <w:rsid w:val="000D2086"/>
    <w:rsid w:val="000D2208"/>
    <w:rsid w:val="000D29E6"/>
    <w:rsid w:val="000D2BB9"/>
    <w:rsid w:val="000D2CE9"/>
    <w:rsid w:val="000D2CFE"/>
    <w:rsid w:val="000D2D69"/>
    <w:rsid w:val="000D2DB6"/>
    <w:rsid w:val="000D2EDE"/>
    <w:rsid w:val="000D31D6"/>
    <w:rsid w:val="000D364C"/>
    <w:rsid w:val="000D388E"/>
    <w:rsid w:val="000D3950"/>
    <w:rsid w:val="000D3D3B"/>
    <w:rsid w:val="000D3EAD"/>
    <w:rsid w:val="000D406F"/>
    <w:rsid w:val="000D41C8"/>
    <w:rsid w:val="000D42F0"/>
    <w:rsid w:val="000D44F3"/>
    <w:rsid w:val="000D45F4"/>
    <w:rsid w:val="000D4719"/>
    <w:rsid w:val="000D49B8"/>
    <w:rsid w:val="000D4D7A"/>
    <w:rsid w:val="000D4F9E"/>
    <w:rsid w:val="000D5359"/>
    <w:rsid w:val="000D53E6"/>
    <w:rsid w:val="000D5503"/>
    <w:rsid w:val="000D5932"/>
    <w:rsid w:val="000D59CE"/>
    <w:rsid w:val="000D5A15"/>
    <w:rsid w:val="000D5B73"/>
    <w:rsid w:val="000D5BDB"/>
    <w:rsid w:val="000D5E0F"/>
    <w:rsid w:val="000D5E9C"/>
    <w:rsid w:val="000D5F29"/>
    <w:rsid w:val="000D5FB1"/>
    <w:rsid w:val="000D603E"/>
    <w:rsid w:val="000D6167"/>
    <w:rsid w:val="000D6283"/>
    <w:rsid w:val="000D628D"/>
    <w:rsid w:val="000D6448"/>
    <w:rsid w:val="000D659C"/>
    <w:rsid w:val="000D661F"/>
    <w:rsid w:val="000D6829"/>
    <w:rsid w:val="000D6AFC"/>
    <w:rsid w:val="000D6B42"/>
    <w:rsid w:val="000D6DB2"/>
    <w:rsid w:val="000D6E21"/>
    <w:rsid w:val="000D6ED5"/>
    <w:rsid w:val="000D7194"/>
    <w:rsid w:val="000D740F"/>
    <w:rsid w:val="000D7AA5"/>
    <w:rsid w:val="000D7AAF"/>
    <w:rsid w:val="000D7B27"/>
    <w:rsid w:val="000D7C1C"/>
    <w:rsid w:val="000D7D34"/>
    <w:rsid w:val="000E0409"/>
    <w:rsid w:val="000E07A1"/>
    <w:rsid w:val="000E0AF0"/>
    <w:rsid w:val="000E0B86"/>
    <w:rsid w:val="000E0BEF"/>
    <w:rsid w:val="000E0DBF"/>
    <w:rsid w:val="000E0E50"/>
    <w:rsid w:val="000E0FB4"/>
    <w:rsid w:val="000E107D"/>
    <w:rsid w:val="000E11FE"/>
    <w:rsid w:val="000E1276"/>
    <w:rsid w:val="000E1630"/>
    <w:rsid w:val="000E17C0"/>
    <w:rsid w:val="000E18E0"/>
    <w:rsid w:val="000E1AC6"/>
    <w:rsid w:val="000E1C26"/>
    <w:rsid w:val="000E1F97"/>
    <w:rsid w:val="000E1FE3"/>
    <w:rsid w:val="000E2197"/>
    <w:rsid w:val="000E22F3"/>
    <w:rsid w:val="000E22FF"/>
    <w:rsid w:val="000E2324"/>
    <w:rsid w:val="000E2417"/>
    <w:rsid w:val="000E26D6"/>
    <w:rsid w:val="000E2799"/>
    <w:rsid w:val="000E2AAC"/>
    <w:rsid w:val="000E30EF"/>
    <w:rsid w:val="000E34E1"/>
    <w:rsid w:val="000E3D6E"/>
    <w:rsid w:val="000E46C0"/>
    <w:rsid w:val="000E49DE"/>
    <w:rsid w:val="000E4AEA"/>
    <w:rsid w:val="000E4F77"/>
    <w:rsid w:val="000E4FC8"/>
    <w:rsid w:val="000E522B"/>
    <w:rsid w:val="000E52FF"/>
    <w:rsid w:val="000E5474"/>
    <w:rsid w:val="000E5B51"/>
    <w:rsid w:val="000E5C33"/>
    <w:rsid w:val="000E5C81"/>
    <w:rsid w:val="000E5C9E"/>
    <w:rsid w:val="000E5CCD"/>
    <w:rsid w:val="000E5D7D"/>
    <w:rsid w:val="000E5D8F"/>
    <w:rsid w:val="000E6192"/>
    <w:rsid w:val="000E6686"/>
    <w:rsid w:val="000E685E"/>
    <w:rsid w:val="000E69A8"/>
    <w:rsid w:val="000E6BF5"/>
    <w:rsid w:val="000E6EDE"/>
    <w:rsid w:val="000E6F37"/>
    <w:rsid w:val="000E71EE"/>
    <w:rsid w:val="000E7583"/>
    <w:rsid w:val="000E7665"/>
    <w:rsid w:val="000E7832"/>
    <w:rsid w:val="000E7BD1"/>
    <w:rsid w:val="000E7D6A"/>
    <w:rsid w:val="000E7FA9"/>
    <w:rsid w:val="000F0434"/>
    <w:rsid w:val="000F0555"/>
    <w:rsid w:val="000F0A7B"/>
    <w:rsid w:val="000F0C4A"/>
    <w:rsid w:val="000F0DA0"/>
    <w:rsid w:val="000F0F7C"/>
    <w:rsid w:val="000F0F87"/>
    <w:rsid w:val="000F15C6"/>
    <w:rsid w:val="000F19E1"/>
    <w:rsid w:val="000F1C37"/>
    <w:rsid w:val="000F21F0"/>
    <w:rsid w:val="000F2252"/>
    <w:rsid w:val="000F257C"/>
    <w:rsid w:val="000F265B"/>
    <w:rsid w:val="000F2717"/>
    <w:rsid w:val="000F281E"/>
    <w:rsid w:val="000F2B2A"/>
    <w:rsid w:val="000F2BF7"/>
    <w:rsid w:val="000F2C26"/>
    <w:rsid w:val="000F2EE4"/>
    <w:rsid w:val="000F2F29"/>
    <w:rsid w:val="000F2FF9"/>
    <w:rsid w:val="000F3049"/>
    <w:rsid w:val="000F3217"/>
    <w:rsid w:val="000F33F0"/>
    <w:rsid w:val="000F34FB"/>
    <w:rsid w:val="000F39E1"/>
    <w:rsid w:val="000F39E3"/>
    <w:rsid w:val="000F3C3B"/>
    <w:rsid w:val="000F3D37"/>
    <w:rsid w:val="000F3D5A"/>
    <w:rsid w:val="000F413E"/>
    <w:rsid w:val="000F42A1"/>
    <w:rsid w:val="000F4387"/>
    <w:rsid w:val="000F4818"/>
    <w:rsid w:val="000F48EC"/>
    <w:rsid w:val="000F4C7B"/>
    <w:rsid w:val="000F4DA7"/>
    <w:rsid w:val="000F4E2A"/>
    <w:rsid w:val="000F4F0D"/>
    <w:rsid w:val="000F532A"/>
    <w:rsid w:val="000F562B"/>
    <w:rsid w:val="000F5639"/>
    <w:rsid w:val="000F57AB"/>
    <w:rsid w:val="000F60F7"/>
    <w:rsid w:val="000F65BB"/>
    <w:rsid w:val="000F6700"/>
    <w:rsid w:val="000F6864"/>
    <w:rsid w:val="000F69F0"/>
    <w:rsid w:val="000F6D72"/>
    <w:rsid w:val="000F6F48"/>
    <w:rsid w:val="000F73E4"/>
    <w:rsid w:val="000F7602"/>
    <w:rsid w:val="000F7630"/>
    <w:rsid w:val="000F7ABA"/>
    <w:rsid w:val="000F7E2A"/>
    <w:rsid w:val="00100034"/>
    <w:rsid w:val="001002FF"/>
    <w:rsid w:val="001003E5"/>
    <w:rsid w:val="00100644"/>
    <w:rsid w:val="001006EC"/>
    <w:rsid w:val="00100749"/>
    <w:rsid w:val="0010094D"/>
    <w:rsid w:val="001009B3"/>
    <w:rsid w:val="00100C54"/>
    <w:rsid w:val="00100CFC"/>
    <w:rsid w:val="00100E14"/>
    <w:rsid w:val="00100F97"/>
    <w:rsid w:val="0010106E"/>
    <w:rsid w:val="00101443"/>
    <w:rsid w:val="0010164F"/>
    <w:rsid w:val="001018F1"/>
    <w:rsid w:val="00101A29"/>
    <w:rsid w:val="00101BE8"/>
    <w:rsid w:val="00101C7F"/>
    <w:rsid w:val="001022BC"/>
    <w:rsid w:val="00102419"/>
    <w:rsid w:val="0010268E"/>
    <w:rsid w:val="0010285B"/>
    <w:rsid w:val="00102890"/>
    <w:rsid w:val="001029A3"/>
    <w:rsid w:val="00102B07"/>
    <w:rsid w:val="00102B0A"/>
    <w:rsid w:val="00102C80"/>
    <w:rsid w:val="00102DE4"/>
    <w:rsid w:val="00102F6E"/>
    <w:rsid w:val="0010301B"/>
    <w:rsid w:val="00103207"/>
    <w:rsid w:val="001032E5"/>
    <w:rsid w:val="0010334B"/>
    <w:rsid w:val="001034A8"/>
    <w:rsid w:val="001035DA"/>
    <w:rsid w:val="00103681"/>
    <w:rsid w:val="001038F0"/>
    <w:rsid w:val="00103B6C"/>
    <w:rsid w:val="00103B9D"/>
    <w:rsid w:val="00103D03"/>
    <w:rsid w:val="0010417D"/>
    <w:rsid w:val="00104182"/>
    <w:rsid w:val="00104274"/>
    <w:rsid w:val="00104405"/>
    <w:rsid w:val="00104417"/>
    <w:rsid w:val="0010470E"/>
    <w:rsid w:val="0010493E"/>
    <w:rsid w:val="00104AE5"/>
    <w:rsid w:val="00104D1F"/>
    <w:rsid w:val="00104FA4"/>
    <w:rsid w:val="00105126"/>
    <w:rsid w:val="00105297"/>
    <w:rsid w:val="001053C8"/>
    <w:rsid w:val="00105464"/>
    <w:rsid w:val="001054BC"/>
    <w:rsid w:val="0010561B"/>
    <w:rsid w:val="00105808"/>
    <w:rsid w:val="00105A31"/>
    <w:rsid w:val="00105C98"/>
    <w:rsid w:val="00105E7D"/>
    <w:rsid w:val="00105FF9"/>
    <w:rsid w:val="0010603A"/>
    <w:rsid w:val="001061C5"/>
    <w:rsid w:val="00106407"/>
    <w:rsid w:val="0010646A"/>
    <w:rsid w:val="0010652A"/>
    <w:rsid w:val="0010658D"/>
    <w:rsid w:val="001066E6"/>
    <w:rsid w:val="0010676D"/>
    <w:rsid w:val="00106A06"/>
    <w:rsid w:val="00106DD8"/>
    <w:rsid w:val="00106E1A"/>
    <w:rsid w:val="00106E39"/>
    <w:rsid w:val="001070F6"/>
    <w:rsid w:val="001074C2"/>
    <w:rsid w:val="00107683"/>
    <w:rsid w:val="001078C7"/>
    <w:rsid w:val="00107911"/>
    <w:rsid w:val="00107C50"/>
    <w:rsid w:val="00107C60"/>
    <w:rsid w:val="00107CD9"/>
    <w:rsid w:val="00107E30"/>
    <w:rsid w:val="00107E90"/>
    <w:rsid w:val="00107F7E"/>
    <w:rsid w:val="00107FA4"/>
    <w:rsid w:val="0011018A"/>
    <w:rsid w:val="00110256"/>
    <w:rsid w:val="00110366"/>
    <w:rsid w:val="00110510"/>
    <w:rsid w:val="00110582"/>
    <w:rsid w:val="0011070C"/>
    <w:rsid w:val="00110B4C"/>
    <w:rsid w:val="00111180"/>
    <w:rsid w:val="001113D9"/>
    <w:rsid w:val="00111455"/>
    <w:rsid w:val="00111582"/>
    <w:rsid w:val="001116ED"/>
    <w:rsid w:val="00111784"/>
    <w:rsid w:val="00111D74"/>
    <w:rsid w:val="00112267"/>
    <w:rsid w:val="001124C7"/>
    <w:rsid w:val="00112626"/>
    <w:rsid w:val="001127E7"/>
    <w:rsid w:val="0011291F"/>
    <w:rsid w:val="00112C10"/>
    <w:rsid w:val="00112ED2"/>
    <w:rsid w:val="00112EF3"/>
    <w:rsid w:val="00112FA7"/>
    <w:rsid w:val="0011358E"/>
    <w:rsid w:val="001135F6"/>
    <w:rsid w:val="001138E0"/>
    <w:rsid w:val="00113B53"/>
    <w:rsid w:val="00113D07"/>
    <w:rsid w:val="00113D18"/>
    <w:rsid w:val="00113EBE"/>
    <w:rsid w:val="0011429D"/>
    <w:rsid w:val="0011452F"/>
    <w:rsid w:val="001147F0"/>
    <w:rsid w:val="00114915"/>
    <w:rsid w:val="00114943"/>
    <w:rsid w:val="00114950"/>
    <w:rsid w:val="00114975"/>
    <w:rsid w:val="00114CE0"/>
    <w:rsid w:val="00114E0B"/>
    <w:rsid w:val="00114E9C"/>
    <w:rsid w:val="00114F65"/>
    <w:rsid w:val="001152D1"/>
    <w:rsid w:val="00115479"/>
    <w:rsid w:val="001154BE"/>
    <w:rsid w:val="001155B8"/>
    <w:rsid w:val="0011591F"/>
    <w:rsid w:val="00115AEB"/>
    <w:rsid w:val="00115D25"/>
    <w:rsid w:val="00115F41"/>
    <w:rsid w:val="00116189"/>
    <w:rsid w:val="00116389"/>
    <w:rsid w:val="00116656"/>
    <w:rsid w:val="0011680A"/>
    <w:rsid w:val="0011693D"/>
    <w:rsid w:val="00116C80"/>
    <w:rsid w:val="00117285"/>
    <w:rsid w:val="00117472"/>
    <w:rsid w:val="0011747E"/>
    <w:rsid w:val="001176E1"/>
    <w:rsid w:val="00117718"/>
    <w:rsid w:val="00117809"/>
    <w:rsid w:val="00117D6C"/>
    <w:rsid w:val="00117E81"/>
    <w:rsid w:val="0012007A"/>
    <w:rsid w:val="00120084"/>
    <w:rsid w:val="00120155"/>
    <w:rsid w:val="00120A5B"/>
    <w:rsid w:val="00120AA9"/>
    <w:rsid w:val="00120C50"/>
    <w:rsid w:val="00120D87"/>
    <w:rsid w:val="00120F47"/>
    <w:rsid w:val="0012105A"/>
    <w:rsid w:val="001210C7"/>
    <w:rsid w:val="0012130E"/>
    <w:rsid w:val="001215F1"/>
    <w:rsid w:val="001218AC"/>
    <w:rsid w:val="001218C3"/>
    <w:rsid w:val="001219B8"/>
    <w:rsid w:val="0012207A"/>
    <w:rsid w:val="00122186"/>
    <w:rsid w:val="00122375"/>
    <w:rsid w:val="0012244F"/>
    <w:rsid w:val="0012283E"/>
    <w:rsid w:val="00122B07"/>
    <w:rsid w:val="00122CB6"/>
    <w:rsid w:val="00122E31"/>
    <w:rsid w:val="00123175"/>
    <w:rsid w:val="0012338F"/>
    <w:rsid w:val="00123837"/>
    <w:rsid w:val="001238BD"/>
    <w:rsid w:val="00123976"/>
    <w:rsid w:val="00123C52"/>
    <w:rsid w:val="00123CB0"/>
    <w:rsid w:val="00123E96"/>
    <w:rsid w:val="00123ECA"/>
    <w:rsid w:val="0012402D"/>
    <w:rsid w:val="0012409C"/>
    <w:rsid w:val="00124168"/>
    <w:rsid w:val="00124186"/>
    <w:rsid w:val="00124269"/>
    <w:rsid w:val="0012430A"/>
    <w:rsid w:val="0012466E"/>
    <w:rsid w:val="001249E8"/>
    <w:rsid w:val="00124B0D"/>
    <w:rsid w:val="00124BE0"/>
    <w:rsid w:val="00124CF7"/>
    <w:rsid w:val="00125018"/>
    <w:rsid w:val="001250B5"/>
    <w:rsid w:val="001256AF"/>
    <w:rsid w:val="00125704"/>
    <w:rsid w:val="00125854"/>
    <w:rsid w:val="00125A07"/>
    <w:rsid w:val="00125D4E"/>
    <w:rsid w:val="0012608E"/>
    <w:rsid w:val="0012616F"/>
    <w:rsid w:val="00126584"/>
    <w:rsid w:val="001266E0"/>
    <w:rsid w:val="001267CA"/>
    <w:rsid w:val="001267ED"/>
    <w:rsid w:val="001267EF"/>
    <w:rsid w:val="00126C87"/>
    <w:rsid w:val="00126D69"/>
    <w:rsid w:val="00126DB9"/>
    <w:rsid w:val="00126E8E"/>
    <w:rsid w:val="001270A8"/>
    <w:rsid w:val="001272BC"/>
    <w:rsid w:val="0012749A"/>
    <w:rsid w:val="0012775F"/>
    <w:rsid w:val="001278E6"/>
    <w:rsid w:val="00127A48"/>
    <w:rsid w:val="00127A73"/>
    <w:rsid w:val="00127AB1"/>
    <w:rsid w:val="00127F5F"/>
    <w:rsid w:val="00127FC1"/>
    <w:rsid w:val="0013009B"/>
    <w:rsid w:val="001304AC"/>
    <w:rsid w:val="00130527"/>
    <w:rsid w:val="0013062D"/>
    <w:rsid w:val="001307B0"/>
    <w:rsid w:val="001309EF"/>
    <w:rsid w:val="00130A00"/>
    <w:rsid w:val="00130A61"/>
    <w:rsid w:val="00130BD9"/>
    <w:rsid w:val="00130DBE"/>
    <w:rsid w:val="00130FC8"/>
    <w:rsid w:val="0013152F"/>
    <w:rsid w:val="00131535"/>
    <w:rsid w:val="00131597"/>
    <w:rsid w:val="0013178B"/>
    <w:rsid w:val="00131880"/>
    <w:rsid w:val="00131A80"/>
    <w:rsid w:val="00131D0D"/>
    <w:rsid w:val="00132040"/>
    <w:rsid w:val="00132048"/>
    <w:rsid w:val="00132099"/>
    <w:rsid w:val="0013225F"/>
    <w:rsid w:val="00132267"/>
    <w:rsid w:val="001322C3"/>
    <w:rsid w:val="0013230B"/>
    <w:rsid w:val="00132323"/>
    <w:rsid w:val="001323CF"/>
    <w:rsid w:val="0013243E"/>
    <w:rsid w:val="001329AD"/>
    <w:rsid w:val="00132B21"/>
    <w:rsid w:val="00132DC1"/>
    <w:rsid w:val="001331FD"/>
    <w:rsid w:val="001333DC"/>
    <w:rsid w:val="0013352F"/>
    <w:rsid w:val="00133889"/>
    <w:rsid w:val="001339C1"/>
    <w:rsid w:val="00133A5C"/>
    <w:rsid w:val="00133D18"/>
    <w:rsid w:val="00133E7B"/>
    <w:rsid w:val="001340F9"/>
    <w:rsid w:val="00134453"/>
    <w:rsid w:val="00134494"/>
    <w:rsid w:val="0013495A"/>
    <w:rsid w:val="00134A8E"/>
    <w:rsid w:val="00134B01"/>
    <w:rsid w:val="00134FEE"/>
    <w:rsid w:val="001352BC"/>
    <w:rsid w:val="001354EC"/>
    <w:rsid w:val="0013561F"/>
    <w:rsid w:val="001359C4"/>
    <w:rsid w:val="001362F3"/>
    <w:rsid w:val="0013697A"/>
    <w:rsid w:val="00136A08"/>
    <w:rsid w:val="00136F39"/>
    <w:rsid w:val="001370EE"/>
    <w:rsid w:val="00137160"/>
    <w:rsid w:val="0013776F"/>
    <w:rsid w:val="0013778D"/>
    <w:rsid w:val="00137817"/>
    <w:rsid w:val="00137B11"/>
    <w:rsid w:val="00137CB6"/>
    <w:rsid w:val="00137DDD"/>
    <w:rsid w:val="0013DB2A"/>
    <w:rsid w:val="00140243"/>
    <w:rsid w:val="0014024D"/>
    <w:rsid w:val="00140340"/>
    <w:rsid w:val="00140624"/>
    <w:rsid w:val="00140E6D"/>
    <w:rsid w:val="001410B3"/>
    <w:rsid w:val="0014132B"/>
    <w:rsid w:val="0014168B"/>
    <w:rsid w:val="001416D9"/>
    <w:rsid w:val="001419B6"/>
    <w:rsid w:val="00141CB3"/>
    <w:rsid w:val="00141D37"/>
    <w:rsid w:val="00141EA1"/>
    <w:rsid w:val="00142331"/>
    <w:rsid w:val="001426C8"/>
    <w:rsid w:val="001427A2"/>
    <w:rsid w:val="00142879"/>
    <w:rsid w:val="0014294A"/>
    <w:rsid w:val="001429B7"/>
    <w:rsid w:val="00142AF4"/>
    <w:rsid w:val="001430D3"/>
    <w:rsid w:val="00143367"/>
    <w:rsid w:val="001438EE"/>
    <w:rsid w:val="00143E3E"/>
    <w:rsid w:val="00143EBB"/>
    <w:rsid w:val="001440A2"/>
    <w:rsid w:val="001444DA"/>
    <w:rsid w:val="0014458E"/>
    <w:rsid w:val="00144839"/>
    <w:rsid w:val="00144EE4"/>
    <w:rsid w:val="00145070"/>
    <w:rsid w:val="001452C5"/>
    <w:rsid w:val="00145385"/>
    <w:rsid w:val="0014586B"/>
    <w:rsid w:val="00145990"/>
    <w:rsid w:val="00145A00"/>
    <w:rsid w:val="00145A89"/>
    <w:rsid w:val="00145A91"/>
    <w:rsid w:val="00145E33"/>
    <w:rsid w:val="00145FEC"/>
    <w:rsid w:val="0014604C"/>
    <w:rsid w:val="001460F0"/>
    <w:rsid w:val="001468A2"/>
    <w:rsid w:val="001469B7"/>
    <w:rsid w:val="00146C7B"/>
    <w:rsid w:val="00146C9C"/>
    <w:rsid w:val="00146CD4"/>
    <w:rsid w:val="00146D34"/>
    <w:rsid w:val="00146DF9"/>
    <w:rsid w:val="00146EF3"/>
    <w:rsid w:val="00147069"/>
    <w:rsid w:val="0014721C"/>
    <w:rsid w:val="001473DF"/>
    <w:rsid w:val="00147DC7"/>
    <w:rsid w:val="00147E2C"/>
    <w:rsid w:val="001500B6"/>
    <w:rsid w:val="00150197"/>
    <w:rsid w:val="001501ED"/>
    <w:rsid w:val="001502B6"/>
    <w:rsid w:val="00150306"/>
    <w:rsid w:val="0015031F"/>
    <w:rsid w:val="00150354"/>
    <w:rsid w:val="0015082A"/>
    <w:rsid w:val="00150A03"/>
    <w:rsid w:val="00150BBD"/>
    <w:rsid w:val="00150D51"/>
    <w:rsid w:val="00151190"/>
    <w:rsid w:val="001512D3"/>
    <w:rsid w:val="0015137A"/>
    <w:rsid w:val="001513B7"/>
    <w:rsid w:val="0015184A"/>
    <w:rsid w:val="00151B36"/>
    <w:rsid w:val="00151BCA"/>
    <w:rsid w:val="00151C1A"/>
    <w:rsid w:val="00151CBD"/>
    <w:rsid w:val="00151D11"/>
    <w:rsid w:val="00151DCE"/>
    <w:rsid w:val="00151F45"/>
    <w:rsid w:val="001521FA"/>
    <w:rsid w:val="001522DE"/>
    <w:rsid w:val="0015257A"/>
    <w:rsid w:val="00152598"/>
    <w:rsid w:val="00152605"/>
    <w:rsid w:val="001526A6"/>
    <w:rsid w:val="0015289D"/>
    <w:rsid w:val="00152954"/>
    <w:rsid w:val="001529BF"/>
    <w:rsid w:val="001529F2"/>
    <w:rsid w:val="00152B8E"/>
    <w:rsid w:val="00152D35"/>
    <w:rsid w:val="00152D6A"/>
    <w:rsid w:val="00152D6F"/>
    <w:rsid w:val="00152F0F"/>
    <w:rsid w:val="00152FA1"/>
    <w:rsid w:val="0015364C"/>
    <w:rsid w:val="00153EA1"/>
    <w:rsid w:val="00153F63"/>
    <w:rsid w:val="00154177"/>
    <w:rsid w:val="001542A2"/>
    <w:rsid w:val="00154497"/>
    <w:rsid w:val="0015464E"/>
    <w:rsid w:val="0015486C"/>
    <w:rsid w:val="001549AA"/>
    <w:rsid w:val="00154BAA"/>
    <w:rsid w:val="00154BB4"/>
    <w:rsid w:val="00154C1F"/>
    <w:rsid w:val="00154DAA"/>
    <w:rsid w:val="00154FD5"/>
    <w:rsid w:val="00155075"/>
    <w:rsid w:val="001551FA"/>
    <w:rsid w:val="001552D9"/>
    <w:rsid w:val="0015551D"/>
    <w:rsid w:val="00155657"/>
    <w:rsid w:val="001557FD"/>
    <w:rsid w:val="001558D7"/>
    <w:rsid w:val="0015590C"/>
    <w:rsid w:val="00155BF6"/>
    <w:rsid w:val="00155D8C"/>
    <w:rsid w:val="00155DF6"/>
    <w:rsid w:val="00155E24"/>
    <w:rsid w:val="00155F34"/>
    <w:rsid w:val="001563FF"/>
    <w:rsid w:val="0015663B"/>
    <w:rsid w:val="0015683A"/>
    <w:rsid w:val="0015699F"/>
    <w:rsid w:val="00156AFE"/>
    <w:rsid w:val="00156D3D"/>
    <w:rsid w:val="00156D7F"/>
    <w:rsid w:val="00157015"/>
    <w:rsid w:val="001572BC"/>
    <w:rsid w:val="001573DF"/>
    <w:rsid w:val="001575BB"/>
    <w:rsid w:val="00157915"/>
    <w:rsid w:val="00157936"/>
    <w:rsid w:val="00157AB0"/>
    <w:rsid w:val="00157BA4"/>
    <w:rsid w:val="00157E4C"/>
    <w:rsid w:val="0015D622"/>
    <w:rsid w:val="001604C9"/>
    <w:rsid w:val="001604DF"/>
    <w:rsid w:val="00160543"/>
    <w:rsid w:val="00160B12"/>
    <w:rsid w:val="00160E97"/>
    <w:rsid w:val="00160EF5"/>
    <w:rsid w:val="0016126B"/>
    <w:rsid w:val="00161374"/>
    <w:rsid w:val="00161466"/>
    <w:rsid w:val="001615D6"/>
    <w:rsid w:val="00161789"/>
    <w:rsid w:val="001617CE"/>
    <w:rsid w:val="00161827"/>
    <w:rsid w:val="001619A3"/>
    <w:rsid w:val="00161B0D"/>
    <w:rsid w:val="00161F93"/>
    <w:rsid w:val="00161FEB"/>
    <w:rsid w:val="00162246"/>
    <w:rsid w:val="001625F0"/>
    <w:rsid w:val="001626A8"/>
    <w:rsid w:val="00162989"/>
    <w:rsid w:val="00162B77"/>
    <w:rsid w:val="00162BA1"/>
    <w:rsid w:val="00163306"/>
    <w:rsid w:val="00163855"/>
    <w:rsid w:val="00163965"/>
    <w:rsid w:val="00163C1A"/>
    <w:rsid w:val="00163ED3"/>
    <w:rsid w:val="00164111"/>
    <w:rsid w:val="0016420A"/>
    <w:rsid w:val="0016421B"/>
    <w:rsid w:val="00164649"/>
    <w:rsid w:val="00164662"/>
    <w:rsid w:val="0016495A"/>
    <w:rsid w:val="00164B30"/>
    <w:rsid w:val="00164B89"/>
    <w:rsid w:val="00165177"/>
    <w:rsid w:val="0016544D"/>
    <w:rsid w:val="001657FE"/>
    <w:rsid w:val="001658F1"/>
    <w:rsid w:val="001660E2"/>
    <w:rsid w:val="0016680F"/>
    <w:rsid w:val="00166A62"/>
    <w:rsid w:val="00166AA4"/>
    <w:rsid w:val="00166C9E"/>
    <w:rsid w:val="001670AA"/>
    <w:rsid w:val="00167113"/>
    <w:rsid w:val="001671E6"/>
    <w:rsid w:val="001673D9"/>
    <w:rsid w:val="00167B1E"/>
    <w:rsid w:val="00167D38"/>
    <w:rsid w:val="00167DFE"/>
    <w:rsid w:val="001696CD"/>
    <w:rsid w:val="0016C54E"/>
    <w:rsid w:val="00170011"/>
    <w:rsid w:val="001701DF"/>
    <w:rsid w:val="0017025D"/>
    <w:rsid w:val="001702FB"/>
    <w:rsid w:val="0017034C"/>
    <w:rsid w:val="0017074A"/>
    <w:rsid w:val="00170895"/>
    <w:rsid w:val="00170974"/>
    <w:rsid w:val="001709B7"/>
    <w:rsid w:val="001709D5"/>
    <w:rsid w:val="00170A10"/>
    <w:rsid w:val="00170A32"/>
    <w:rsid w:val="00170B0F"/>
    <w:rsid w:val="00170C06"/>
    <w:rsid w:val="00170E4E"/>
    <w:rsid w:val="00170FCF"/>
    <w:rsid w:val="00171203"/>
    <w:rsid w:val="00171204"/>
    <w:rsid w:val="0017131A"/>
    <w:rsid w:val="0017139F"/>
    <w:rsid w:val="001713FF"/>
    <w:rsid w:val="001716A7"/>
    <w:rsid w:val="00171729"/>
    <w:rsid w:val="00171B17"/>
    <w:rsid w:val="00171B93"/>
    <w:rsid w:val="00171B9C"/>
    <w:rsid w:val="00171E2C"/>
    <w:rsid w:val="00171F02"/>
    <w:rsid w:val="00171FDE"/>
    <w:rsid w:val="001720EA"/>
    <w:rsid w:val="0017231D"/>
    <w:rsid w:val="001729B2"/>
    <w:rsid w:val="00172D7E"/>
    <w:rsid w:val="00172DF5"/>
    <w:rsid w:val="00172F92"/>
    <w:rsid w:val="0017374C"/>
    <w:rsid w:val="001738D4"/>
    <w:rsid w:val="001738EC"/>
    <w:rsid w:val="0017451F"/>
    <w:rsid w:val="00174B4D"/>
    <w:rsid w:val="00174B74"/>
    <w:rsid w:val="00174C9F"/>
    <w:rsid w:val="00174D22"/>
    <w:rsid w:val="00174E1D"/>
    <w:rsid w:val="00174FE1"/>
    <w:rsid w:val="00175095"/>
    <w:rsid w:val="001755A8"/>
    <w:rsid w:val="0017566F"/>
    <w:rsid w:val="00175955"/>
    <w:rsid w:val="00175BCA"/>
    <w:rsid w:val="00175CD1"/>
    <w:rsid w:val="0017600A"/>
    <w:rsid w:val="001760E6"/>
    <w:rsid w:val="00176270"/>
    <w:rsid w:val="00176411"/>
    <w:rsid w:val="00176A50"/>
    <w:rsid w:val="00176A5A"/>
    <w:rsid w:val="00176F08"/>
    <w:rsid w:val="00176FA8"/>
    <w:rsid w:val="001771C8"/>
    <w:rsid w:val="001773B0"/>
    <w:rsid w:val="001774D5"/>
    <w:rsid w:val="00177508"/>
    <w:rsid w:val="001775E0"/>
    <w:rsid w:val="00177AE8"/>
    <w:rsid w:val="00177AEC"/>
    <w:rsid w:val="00177B50"/>
    <w:rsid w:val="00177C1A"/>
    <w:rsid w:val="00177C9C"/>
    <w:rsid w:val="0018026B"/>
    <w:rsid w:val="00180301"/>
    <w:rsid w:val="001803DB"/>
    <w:rsid w:val="00180B39"/>
    <w:rsid w:val="00180FCD"/>
    <w:rsid w:val="001810EF"/>
    <w:rsid w:val="00181445"/>
    <w:rsid w:val="0018196C"/>
    <w:rsid w:val="00181E65"/>
    <w:rsid w:val="00182073"/>
    <w:rsid w:val="001823C7"/>
    <w:rsid w:val="001827ED"/>
    <w:rsid w:val="0018295A"/>
    <w:rsid w:val="00182A8C"/>
    <w:rsid w:val="00182BB0"/>
    <w:rsid w:val="00182DAA"/>
    <w:rsid w:val="00182F7A"/>
    <w:rsid w:val="00182F98"/>
    <w:rsid w:val="00183173"/>
    <w:rsid w:val="001834B1"/>
    <w:rsid w:val="0018376C"/>
    <w:rsid w:val="00183D91"/>
    <w:rsid w:val="00183E59"/>
    <w:rsid w:val="001840CE"/>
    <w:rsid w:val="001844C6"/>
    <w:rsid w:val="00184511"/>
    <w:rsid w:val="00184674"/>
    <w:rsid w:val="001846F4"/>
    <w:rsid w:val="0018471C"/>
    <w:rsid w:val="00184801"/>
    <w:rsid w:val="00184C25"/>
    <w:rsid w:val="00184E83"/>
    <w:rsid w:val="00185397"/>
    <w:rsid w:val="0018550A"/>
    <w:rsid w:val="00185593"/>
    <w:rsid w:val="0018561E"/>
    <w:rsid w:val="00185B84"/>
    <w:rsid w:val="001861A8"/>
    <w:rsid w:val="00186230"/>
    <w:rsid w:val="001862D4"/>
    <w:rsid w:val="001865D6"/>
    <w:rsid w:val="00186662"/>
    <w:rsid w:val="001867D4"/>
    <w:rsid w:val="00186864"/>
    <w:rsid w:val="0018707D"/>
    <w:rsid w:val="00187609"/>
    <w:rsid w:val="0018782A"/>
    <w:rsid w:val="001878D0"/>
    <w:rsid w:val="001879FF"/>
    <w:rsid w:val="00187A77"/>
    <w:rsid w:val="00187B01"/>
    <w:rsid w:val="00187CD8"/>
    <w:rsid w:val="00187D53"/>
    <w:rsid w:val="001900E4"/>
    <w:rsid w:val="00190102"/>
    <w:rsid w:val="00190107"/>
    <w:rsid w:val="001901E4"/>
    <w:rsid w:val="0019020F"/>
    <w:rsid w:val="001902DA"/>
    <w:rsid w:val="001903AE"/>
    <w:rsid w:val="0019052F"/>
    <w:rsid w:val="00190697"/>
    <w:rsid w:val="001906C7"/>
    <w:rsid w:val="00190779"/>
    <w:rsid w:val="00190FEE"/>
    <w:rsid w:val="00191085"/>
    <w:rsid w:val="0019156F"/>
    <w:rsid w:val="001919AF"/>
    <w:rsid w:val="00192221"/>
    <w:rsid w:val="0019222B"/>
    <w:rsid w:val="0019256A"/>
    <w:rsid w:val="001925BE"/>
    <w:rsid w:val="001925E7"/>
    <w:rsid w:val="00192627"/>
    <w:rsid w:val="00192ACE"/>
    <w:rsid w:val="00192ADA"/>
    <w:rsid w:val="00192AF8"/>
    <w:rsid w:val="00192DAE"/>
    <w:rsid w:val="00192EB3"/>
    <w:rsid w:val="00192F05"/>
    <w:rsid w:val="001932D8"/>
    <w:rsid w:val="0019343F"/>
    <w:rsid w:val="00193510"/>
    <w:rsid w:val="001935FF"/>
    <w:rsid w:val="00193703"/>
    <w:rsid w:val="001937A4"/>
    <w:rsid w:val="0019393B"/>
    <w:rsid w:val="001939D9"/>
    <w:rsid w:val="00193A19"/>
    <w:rsid w:val="00193B85"/>
    <w:rsid w:val="00193B90"/>
    <w:rsid w:val="00193C27"/>
    <w:rsid w:val="00193F59"/>
    <w:rsid w:val="0019430D"/>
    <w:rsid w:val="00194445"/>
    <w:rsid w:val="00194463"/>
    <w:rsid w:val="00194588"/>
    <w:rsid w:val="001947FF"/>
    <w:rsid w:val="001949EB"/>
    <w:rsid w:val="001949FE"/>
    <w:rsid w:val="00194A33"/>
    <w:rsid w:val="00194B19"/>
    <w:rsid w:val="00194D55"/>
    <w:rsid w:val="001950E7"/>
    <w:rsid w:val="001953F4"/>
    <w:rsid w:val="0019547B"/>
    <w:rsid w:val="001954FE"/>
    <w:rsid w:val="001956C5"/>
    <w:rsid w:val="0019575F"/>
    <w:rsid w:val="0019596F"/>
    <w:rsid w:val="00195AB7"/>
    <w:rsid w:val="00195C9C"/>
    <w:rsid w:val="00195D21"/>
    <w:rsid w:val="00195DEE"/>
    <w:rsid w:val="00195E5C"/>
    <w:rsid w:val="00196184"/>
    <w:rsid w:val="00196445"/>
    <w:rsid w:val="0019645B"/>
    <w:rsid w:val="00196539"/>
    <w:rsid w:val="001965AC"/>
    <w:rsid w:val="001966D8"/>
    <w:rsid w:val="00196749"/>
    <w:rsid w:val="00196E14"/>
    <w:rsid w:val="00196E79"/>
    <w:rsid w:val="0019712F"/>
    <w:rsid w:val="00197434"/>
    <w:rsid w:val="001975AC"/>
    <w:rsid w:val="00197733"/>
    <w:rsid w:val="00197744"/>
    <w:rsid w:val="00197B97"/>
    <w:rsid w:val="00197E72"/>
    <w:rsid w:val="00197E78"/>
    <w:rsid w:val="00197EB4"/>
    <w:rsid w:val="00197F14"/>
    <w:rsid w:val="00197FA0"/>
    <w:rsid w:val="001A08B6"/>
    <w:rsid w:val="001A08E2"/>
    <w:rsid w:val="001A0981"/>
    <w:rsid w:val="001A09B0"/>
    <w:rsid w:val="001A09BA"/>
    <w:rsid w:val="001A0A27"/>
    <w:rsid w:val="001A0CBA"/>
    <w:rsid w:val="001A12D0"/>
    <w:rsid w:val="001A13DB"/>
    <w:rsid w:val="001A159F"/>
    <w:rsid w:val="001A1660"/>
    <w:rsid w:val="001A1734"/>
    <w:rsid w:val="001A1F59"/>
    <w:rsid w:val="001A2060"/>
    <w:rsid w:val="001A212B"/>
    <w:rsid w:val="001A2198"/>
    <w:rsid w:val="001A219F"/>
    <w:rsid w:val="001A2224"/>
    <w:rsid w:val="001A2300"/>
    <w:rsid w:val="001A232B"/>
    <w:rsid w:val="001A23CD"/>
    <w:rsid w:val="001A258F"/>
    <w:rsid w:val="001A25B6"/>
    <w:rsid w:val="001A27BE"/>
    <w:rsid w:val="001A27BF"/>
    <w:rsid w:val="001A28CF"/>
    <w:rsid w:val="001A2972"/>
    <w:rsid w:val="001A2A87"/>
    <w:rsid w:val="001A2BD8"/>
    <w:rsid w:val="001A2C74"/>
    <w:rsid w:val="001A2DDD"/>
    <w:rsid w:val="001A2E72"/>
    <w:rsid w:val="001A32C8"/>
    <w:rsid w:val="001A372C"/>
    <w:rsid w:val="001A3BC9"/>
    <w:rsid w:val="001A3C74"/>
    <w:rsid w:val="001A3D9E"/>
    <w:rsid w:val="001A3F82"/>
    <w:rsid w:val="001A43A3"/>
    <w:rsid w:val="001A43CE"/>
    <w:rsid w:val="001A4498"/>
    <w:rsid w:val="001A44EC"/>
    <w:rsid w:val="001A472F"/>
    <w:rsid w:val="001A4891"/>
    <w:rsid w:val="001A48F5"/>
    <w:rsid w:val="001A4A4D"/>
    <w:rsid w:val="001A4F1F"/>
    <w:rsid w:val="001A4FE3"/>
    <w:rsid w:val="001A51C2"/>
    <w:rsid w:val="001A5445"/>
    <w:rsid w:val="001A5577"/>
    <w:rsid w:val="001A55EC"/>
    <w:rsid w:val="001A593A"/>
    <w:rsid w:val="001A5B2E"/>
    <w:rsid w:val="001A5D93"/>
    <w:rsid w:val="001A5F7D"/>
    <w:rsid w:val="001A60B3"/>
    <w:rsid w:val="001A610A"/>
    <w:rsid w:val="001A6255"/>
    <w:rsid w:val="001A62F3"/>
    <w:rsid w:val="001A63F7"/>
    <w:rsid w:val="001A67EB"/>
    <w:rsid w:val="001A6816"/>
    <w:rsid w:val="001A69E4"/>
    <w:rsid w:val="001A6A52"/>
    <w:rsid w:val="001A6CB9"/>
    <w:rsid w:val="001A7416"/>
    <w:rsid w:val="001A76B3"/>
    <w:rsid w:val="001A7AD3"/>
    <w:rsid w:val="001A7AE9"/>
    <w:rsid w:val="001A7B17"/>
    <w:rsid w:val="001A7C87"/>
    <w:rsid w:val="001A7FBD"/>
    <w:rsid w:val="001B003F"/>
    <w:rsid w:val="001B039C"/>
    <w:rsid w:val="001B0425"/>
    <w:rsid w:val="001B0637"/>
    <w:rsid w:val="001B07A0"/>
    <w:rsid w:val="001B08AE"/>
    <w:rsid w:val="001B08BE"/>
    <w:rsid w:val="001B0AD0"/>
    <w:rsid w:val="001B0D7E"/>
    <w:rsid w:val="001B0E72"/>
    <w:rsid w:val="001B0F14"/>
    <w:rsid w:val="001B1175"/>
    <w:rsid w:val="001B1353"/>
    <w:rsid w:val="001B13F4"/>
    <w:rsid w:val="001B154A"/>
    <w:rsid w:val="001B1798"/>
    <w:rsid w:val="001B17BD"/>
    <w:rsid w:val="001B1C0C"/>
    <w:rsid w:val="001B1C17"/>
    <w:rsid w:val="001B1C9B"/>
    <w:rsid w:val="001B1DCE"/>
    <w:rsid w:val="001B243A"/>
    <w:rsid w:val="001B2535"/>
    <w:rsid w:val="001B279E"/>
    <w:rsid w:val="001B28E1"/>
    <w:rsid w:val="001B2A7F"/>
    <w:rsid w:val="001B2BE5"/>
    <w:rsid w:val="001B30E6"/>
    <w:rsid w:val="001B3341"/>
    <w:rsid w:val="001B3415"/>
    <w:rsid w:val="001B3467"/>
    <w:rsid w:val="001B353C"/>
    <w:rsid w:val="001B3837"/>
    <w:rsid w:val="001B38B5"/>
    <w:rsid w:val="001B39FD"/>
    <w:rsid w:val="001B3B39"/>
    <w:rsid w:val="001B3D1E"/>
    <w:rsid w:val="001B3DDE"/>
    <w:rsid w:val="001B3F51"/>
    <w:rsid w:val="001B4107"/>
    <w:rsid w:val="001B4279"/>
    <w:rsid w:val="001B4396"/>
    <w:rsid w:val="001B453F"/>
    <w:rsid w:val="001B468C"/>
    <w:rsid w:val="001B51E7"/>
    <w:rsid w:val="001B524D"/>
    <w:rsid w:val="001B53BE"/>
    <w:rsid w:val="001B53C7"/>
    <w:rsid w:val="001B56EC"/>
    <w:rsid w:val="001B5899"/>
    <w:rsid w:val="001B5A65"/>
    <w:rsid w:val="001B5AEB"/>
    <w:rsid w:val="001B6003"/>
    <w:rsid w:val="001B60B9"/>
    <w:rsid w:val="001B60C0"/>
    <w:rsid w:val="001B6186"/>
    <w:rsid w:val="001B6299"/>
    <w:rsid w:val="001B63F5"/>
    <w:rsid w:val="001B640D"/>
    <w:rsid w:val="001B64C9"/>
    <w:rsid w:val="001B6518"/>
    <w:rsid w:val="001B6AB5"/>
    <w:rsid w:val="001B70CE"/>
    <w:rsid w:val="001B7102"/>
    <w:rsid w:val="001B7132"/>
    <w:rsid w:val="001B719E"/>
    <w:rsid w:val="001B71C4"/>
    <w:rsid w:val="001B722E"/>
    <w:rsid w:val="001B76FC"/>
    <w:rsid w:val="001B77E8"/>
    <w:rsid w:val="001B7917"/>
    <w:rsid w:val="001B7C76"/>
    <w:rsid w:val="001B7E38"/>
    <w:rsid w:val="001B7E6B"/>
    <w:rsid w:val="001B7FC6"/>
    <w:rsid w:val="001C00B9"/>
    <w:rsid w:val="001C0605"/>
    <w:rsid w:val="001C0702"/>
    <w:rsid w:val="001C08F6"/>
    <w:rsid w:val="001C0919"/>
    <w:rsid w:val="001C09A9"/>
    <w:rsid w:val="001C0B42"/>
    <w:rsid w:val="001C0B79"/>
    <w:rsid w:val="001C0C84"/>
    <w:rsid w:val="001C0E0E"/>
    <w:rsid w:val="001C0E3E"/>
    <w:rsid w:val="001C105B"/>
    <w:rsid w:val="001C1266"/>
    <w:rsid w:val="001C13D2"/>
    <w:rsid w:val="001C1708"/>
    <w:rsid w:val="001C1AC3"/>
    <w:rsid w:val="001C2113"/>
    <w:rsid w:val="001C248F"/>
    <w:rsid w:val="001C25BE"/>
    <w:rsid w:val="001C268F"/>
    <w:rsid w:val="001C2ADD"/>
    <w:rsid w:val="001C2F18"/>
    <w:rsid w:val="001C31EC"/>
    <w:rsid w:val="001C3220"/>
    <w:rsid w:val="001C34D9"/>
    <w:rsid w:val="001C36D1"/>
    <w:rsid w:val="001C390A"/>
    <w:rsid w:val="001C397B"/>
    <w:rsid w:val="001C3F50"/>
    <w:rsid w:val="001C414B"/>
    <w:rsid w:val="001C4237"/>
    <w:rsid w:val="001C43DB"/>
    <w:rsid w:val="001C4491"/>
    <w:rsid w:val="001C45EA"/>
    <w:rsid w:val="001C4851"/>
    <w:rsid w:val="001C4A2A"/>
    <w:rsid w:val="001C4B84"/>
    <w:rsid w:val="001C4B9E"/>
    <w:rsid w:val="001C4BE0"/>
    <w:rsid w:val="001C4CCE"/>
    <w:rsid w:val="001C4DBA"/>
    <w:rsid w:val="001C4E4F"/>
    <w:rsid w:val="001C504C"/>
    <w:rsid w:val="001C54A7"/>
    <w:rsid w:val="001C5833"/>
    <w:rsid w:val="001C59F8"/>
    <w:rsid w:val="001C5CCE"/>
    <w:rsid w:val="001C5CF8"/>
    <w:rsid w:val="001C5FA7"/>
    <w:rsid w:val="001C5FF9"/>
    <w:rsid w:val="001C629C"/>
    <w:rsid w:val="001C644A"/>
    <w:rsid w:val="001C6646"/>
    <w:rsid w:val="001C6702"/>
    <w:rsid w:val="001C6741"/>
    <w:rsid w:val="001C67B5"/>
    <w:rsid w:val="001C686D"/>
    <w:rsid w:val="001C69EC"/>
    <w:rsid w:val="001C6A08"/>
    <w:rsid w:val="001C6B7B"/>
    <w:rsid w:val="001C6E1E"/>
    <w:rsid w:val="001C6E40"/>
    <w:rsid w:val="001C71A5"/>
    <w:rsid w:val="001C73C9"/>
    <w:rsid w:val="001C7433"/>
    <w:rsid w:val="001C743D"/>
    <w:rsid w:val="001C7C2E"/>
    <w:rsid w:val="001C7C60"/>
    <w:rsid w:val="001C7C80"/>
    <w:rsid w:val="001C7F27"/>
    <w:rsid w:val="001D0156"/>
    <w:rsid w:val="001D04E5"/>
    <w:rsid w:val="001D05FB"/>
    <w:rsid w:val="001D0885"/>
    <w:rsid w:val="001D09EB"/>
    <w:rsid w:val="001D0ABF"/>
    <w:rsid w:val="001D0C10"/>
    <w:rsid w:val="001D0CC3"/>
    <w:rsid w:val="001D0D83"/>
    <w:rsid w:val="001D0E3A"/>
    <w:rsid w:val="001D106D"/>
    <w:rsid w:val="001D114B"/>
    <w:rsid w:val="001D12A4"/>
    <w:rsid w:val="001D12B6"/>
    <w:rsid w:val="001D12C4"/>
    <w:rsid w:val="001D1808"/>
    <w:rsid w:val="001D1A14"/>
    <w:rsid w:val="001D1F8B"/>
    <w:rsid w:val="001D2276"/>
    <w:rsid w:val="001D24AD"/>
    <w:rsid w:val="001D2528"/>
    <w:rsid w:val="001D25ED"/>
    <w:rsid w:val="001D294B"/>
    <w:rsid w:val="001D2B37"/>
    <w:rsid w:val="001D2DC3"/>
    <w:rsid w:val="001D2F7D"/>
    <w:rsid w:val="001D30C3"/>
    <w:rsid w:val="001D30E4"/>
    <w:rsid w:val="001D3156"/>
    <w:rsid w:val="001D3191"/>
    <w:rsid w:val="001D3276"/>
    <w:rsid w:val="001D3290"/>
    <w:rsid w:val="001D3424"/>
    <w:rsid w:val="001D3875"/>
    <w:rsid w:val="001D3A43"/>
    <w:rsid w:val="001D3ACB"/>
    <w:rsid w:val="001D3AE9"/>
    <w:rsid w:val="001D3C04"/>
    <w:rsid w:val="001D3D5B"/>
    <w:rsid w:val="001D3E96"/>
    <w:rsid w:val="001D3F4F"/>
    <w:rsid w:val="001D3F53"/>
    <w:rsid w:val="001D4041"/>
    <w:rsid w:val="001D41A1"/>
    <w:rsid w:val="001D41AA"/>
    <w:rsid w:val="001D433B"/>
    <w:rsid w:val="001D439A"/>
    <w:rsid w:val="001D4760"/>
    <w:rsid w:val="001D47E2"/>
    <w:rsid w:val="001D4A33"/>
    <w:rsid w:val="001D4AD7"/>
    <w:rsid w:val="001D4B8D"/>
    <w:rsid w:val="001D4C4B"/>
    <w:rsid w:val="001D4E3E"/>
    <w:rsid w:val="001D4F8E"/>
    <w:rsid w:val="001D5611"/>
    <w:rsid w:val="001D57A1"/>
    <w:rsid w:val="001D5A4F"/>
    <w:rsid w:val="001D5B44"/>
    <w:rsid w:val="001D5DED"/>
    <w:rsid w:val="001D5E2C"/>
    <w:rsid w:val="001D5E4E"/>
    <w:rsid w:val="001D616C"/>
    <w:rsid w:val="001D65A7"/>
    <w:rsid w:val="001D67A2"/>
    <w:rsid w:val="001D6E78"/>
    <w:rsid w:val="001D7163"/>
    <w:rsid w:val="001D73D9"/>
    <w:rsid w:val="001D76A8"/>
    <w:rsid w:val="001D7ED4"/>
    <w:rsid w:val="001D7EFE"/>
    <w:rsid w:val="001DC150"/>
    <w:rsid w:val="001E007F"/>
    <w:rsid w:val="001E0175"/>
    <w:rsid w:val="001E02D9"/>
    <w:rsid w:val="001E02EF"/>
    <w:rsid w:val="001E0360"/>
    <w:rsid w:val="001E03DB"/>
    <w:rsid w:val="001E0486"/>
    <w:rsid w:val="001E04AE"/>
    <w:rsid w:val="001E0847"/>
    <w:rsid w:val="001E08C5"/>
    <w:rsid w:val="001E0A5D"/>
    <w:rsid w:val="001E0B57"/>
    <w:rsid w:val="001E0D23"/>
    <w:rsid w:val="001E0F29"/>
    <w:rsid w:val="001E0FCE"/>
    <w:rsid w:val="001E106D"/>
    <w:rsid w:val="001E1170"/>
    <w:rsid w:val="001E1213"/>
    <w:rsid w:val="001E1477"/>
    <w:rsid w:val="001E14EF"/>
    <w:rsid w:val="001E184B"/>
    <w:rsid w:val="001E1BBC"/>
    <w:rsid w:val="001E1FF7"/>
    <w:rsid w:val="001E2352"/>
    <w:rsid w:val="001E254B"/>
    <w:rsid w:val="001E2611"/>
    <w:rsid w:val="001E2897"/>
    <w:rsid w:val="001E28AE"/>
    <w:rsid w:val="001E28CC"/>
    <w:rsid w:val="001E2920"/>
    <w:rsid w:val="001E297C"/>
    <w:rsid w:val="001E2985"/>
    <w:rsid w:val="001E2999"/>
    <w:rsid w:val="001E2C9E"/>
    <w:rsid w:val="001E2ECF"/>
    <w:rsid w:val="001E2EEE"/>
    <w:rsid w:val="001E2F51"/>
    <w:rsid w:val="001E3089"/>
    <w:rsid w:val="001E318E"/>
    <w:rsid w:val="001E325E"/>
    <w:rsid w:val="001E327E"/>
    <w:rsid w:val="001E3382"/>
    <w:rsid w:val="001E3586"/>
    <w:rsid w:val="001E3591"/>
    <w:rsid w:val="001E3AC3"/>
    <w:rsid w:val="001E3C0B"/>
    <w:rsid w:val="001E3CBA"/>
    <w:rsid w:val="001E3D4F"/>
    <w:rsid w:val="001E3DB1"/>
    <w:rsid w:val="001E3ED0"/>
    <w:rsid w:val="001E41B5"/>
    <w:rsid w:val="001E4368"/>
    <w:rsid w:val="001E455F"/>
    <w:rsid w:val="001E4638"/>
    <w:rsid w:val="001E46DF"/>
    <w:rsid w:val="001E472C"/>
    <w:rsid w:val="001E48F7"/>
    <w:rsid w:val="001E49BF"/>
    <w:rsid w:val="001E4A86"/>
    <w:rsid w:val="001E4AD8"/>
    <w:rsid w:val="001E4D03"/>
    <w:rsid w:val="001E4F08"/>
    <w:rsid w:val="001E52B3"/>
    <w:rsid w:val="001E54E3"/>
    <w:rsid w:val="001E55D7"/>
    <w:rsid w:val="001E5645"/>
    <w:rsid w:val="001E56F9"/>
    <w:rsid w:val="001E58CB"/>
    <w:rsid w:val="001E5DDA"/>
    <w:rsid w:val="001E5EE0"/>
    <w:rsid w:val="001E5F25"/>
    <w:rsid w:val="001E5F57"/>
    <w:rsid w:val="001E6088"/>
    <w:rsid w:val="001E6564"/>
    <w:rsid w:val="001E6918"/>
    <w:rsid w:val="001E6BD1"/>
    <w:rsid w:val="001E6D3B"/>
    <w:rsid w:val="001E6F15"/>
    <w:rsid w:val="001E70A5"/>
    <w:rsid w:val="001E70DE"/>
    <w:rsid w:val="001E7172"/>
    <w:rsid w:val="001E7351"/>
    <w:rsid w:val="001E735F"/>
    <w:rsid w:val="001E743E"/>
    <w:rsid w:val="001E78E8"/>
    <w:rsid w:val="001E7A54"/>
    <w:rsid w:val="001E7BD4"/>
    <w:rsid w:val="001E7E9C"/>
    <w:rsid w:val="001E7EBB"/>
    <w:rsid w:val="001E7F16"/>
    <w:rsid w:val="001F018E"/>
    <w:rsid w:val="001F01E5"/>
    <w:rsid w:val="001F020A"/>
    <w:rsid w:val="001F021B"/>
    <w:rsid w:val="001F0273"/>
    <w:rsid w:val="001F0409"/>
    <w:rsid w:val="001F0559"/>
    <w:rsid w:val="001F06DC"/>
    <w:rsid w:val="001F0851"/>
    <w:rsid w:val="001F0EA1"/>
    <w:rsid w:val="001F0FB1"/>
    <w:rsid w:val="001F1151"/>
    <w:rsid w:val="001F120D"/>
    <w:rsid w:val="001F147F"/>
    <w:rsid w:val="001F157A"/>
    <w:rsid w:val="001F1884"/>
    <w:rsid w:val="001F18F7"/>
    <w:rsid w:val="001F1BE0"/>
    <w:rsid w:val="001F1E06"/>
    <w:rsid w:val="001F233C"/>
    <w:rsid w:val="001F2777"/>
    <w:rsid w:val="001F27FC"/>
    <w:rsid w:val="001F2830"/>
    <w:rsid w:val="001F29D0"/>
    <w:rsid w:val="001F2AC9"/>
    <w:rsid w:val="001F317D"/>
    <w:rsid w:val="001F325B"/>
    <w:rsid w:val="001F327C"/>
    <w:rsid w:val="001F341D"/>
    <w:rsid w:val="001F3481"/>
    <w:rsid w:val="001F35F6"/>
    <w:rsid w:val="001F38D6"/>
    <w:rsid w:val="001F38DD"/>
    <w:rsid w:val="001F38FB"/>
    <w:rsid w:val="001F391A"/>
    <w:rsid w:val="001F3C63"/>
    <w:rsid w:val="001F3D2E"/>
    <w:rsid w:val="001F3E0F"/>
    <w:rsid w:val="001F3F02"/>
    <w:rsid w:val="001F40C5"/>
    <w:rsid w:val="001F410D"/>
    <w:rsid w:val="001F42EA"/>
    <w:rsid w:val="001F452A"/>
    <w:rsid w:val="001F45F6"/>
    <w:rsid w:val="001F4921"/>
    <w:rsid w:val="001F498F"/>
    <w:rsid w:val="001F4AE6"/>
    <w:rsid w:val="001F4C29"/>
    <w:rsid w:val="001F5171"/>
    <w:rsid w:val="001F5210"/>
    <w:rsid w:val="001F52A9"/>
    <w:rsid w:val="001F559E"/>
    <w:rsid w:val="001F569F"/>
    <w:rsid w:val="001F59C0"/>
    <w:rsid w:val="001F5A79"/>
    <w:rsid w:val="001F6213"/>
    <w:rsid w:val="001F6276"/>
    <w:rsid w:val="001F63AB"/>
    <w:rsid w:val="001F6573"/>
    <w:rsid w:val="001F65FB"/>
    <w:rsid w:val="001F6B40"/>
    <w:rsid w:val="001F6CE4"/>
    <w:rsid w:val="001F6DFD"/>
    <w:rsid w:val="001F733D"/>
    <w:rsid w:val="001F737D"/>
    <w:rsid w:val="001F73FB"/>
    <w:rsid w:val="001F74A1"/>
    <w:rsid w:val="001F75EE"/>
    <w:rsid w:val="001F7602"/>
    <w:rsid w:val="001F7604"/>
    <w:rsid w:val="001F76A2"/>
    <w:rsid w:val="001F77F6"/>
    <w:rsid w:val="001F7D44"/>
    <w:rsid w:val="00200055"/>
    <w:rsid w:val="00200120"/>
    <w:rsid w:val="0020014A"/>
    <w:rsid w:val="00200273"/>
    <w:rsid w:val="0020067C"/>
    <w:rsid w:val="00200BB2"/>
    <w:rsid w:val="00200F6F"/>
    <w:rsid w:val="00201398"/>
    <w:rsid w:val="00201549"/>
    <w:rsid w:val="002015F6"/>
    <w:rsid w:val="00201AF5"/>
    <w:rsid w:val="00201C83"/>
    <w:rsid w:val="00201D91"/>
    <w:rsid w:val="00202129"/>
    <w:rsid w:val="00202B67"/>
    <w:rsid w:val="00202C30"/>
    <w:rsid w:val="00202D00"/>
    <w:rsid w:val="00202F19"/>
    <w:rsid w:val="00202F7F"/>
    <w:rsid w:val="002032D1"/>
    <w:rsid w:val="002033A9"/>
    <w:rsid w:val="002033F9"/>
    <w:rsid w:val="00203411"/>
    <w:rsid w:val="00203535"/>
    <w:rsid w:val="00203DD6"/>
    <w:rsid w:val="002044DE"/>
    <w:rsid w:val="00204C54"/>
    <w:rsid w:val="00204CE7"/>
    <w:rsid w:val="002052E8"/>
    <w:rsid w:val="002054E9"/>
    <w:rsid w:val="00205550"/>
    <w:rsid w:val="002055B9"/>
    <w:rsid w:val="0020561F"/>
    <w:rsid w:val="00205623"/>
    <w:rsid w:val="00205AD6"/>
    <w:rsid w:val="00205BCB"/>
    <w:rsid w:val="00205DD1"/>
    <w:rsid w:val="00206099"/>
    <w:rsid w:val="0020686B"/>
    <w:rsid w:val="00206A2F"/>
    <w:rsid w:val="00206A4A"/>
    <w:rsid w:val="00206B04"/>
    <w:rsid w:val="00206C42"/>
    <w:rsid w:val="00206CC2"/>
    <w:rsid w:val="00206D75"/>
    <w:rsid w:val="00206DCF"/>
    <w:rsid w:val="00206F0B"/>
    <w:rsid w:val="00207015"/>
    <w:rsid w:val="002073BD"/>
    <w:rsid w:val="0020748D"/>
    <w:rsid w:val="002076DD"/>
    <w:rsid w:val="0020779D"/>
    <w:rsid w:val="002077D6"/>
    <w:rsid w:val="00207C1F"/>
    <w:rsid w:val="002101D6"/>
    <w:rsid w:val="00210237"/>
    <w:rsid w:val="0021039E"/>
    <w:rsid w:val="00210655"/>
    <w:rsid w:val="002106EB"/>
    <w:rsid w:val="00210754"/>
    <w:rsid w:val="0021097D"/>
    <w:rsid w:val="002109F0"/>
    <w:rsid w:val="00210C9A"/>
    <w:rsid w:val="0021102C"/>
    <w:rsid w:val="002110AB"/>
    <w:rsid w:val="002110D1"/>
    <w:rsid w:val="00211305"/>
    <w:rsid w:val="00211525"/>
    <w:rsid w:val="00211529"/>
    <w:rsid w:val="00211B62"/>
    <w:rsid w:val="00211EBA"/>
    <w:rsid w:val="00211F3B"/>
    <w:rsid w:val="00211FD5"/>
    <w:rsid w:val="0021235F"/>
    <w:rsid w:val="00212A01"/>
    <w:rsid w:val="00212A41"/>
    <w:rsid w:val="00212AB3"/>
    <w:rsid w:val="00212B06"/>
    <w:rsid w:val="00212C27"/>
    <w:rsid w:val="00212FC3"/>
    <w:rsid w:val="0021333E"/>
    <w:rsid w:val="0021338A"/>
    <w:rsid w:val="00213440"/>
    <w:rsid w:val="0021363B"/>
    <w:rsid w:val="0021363E"/>
    <w:rsid w:val="00213A00"/>
    <w:rsid w:val="00213A86"/>
    <w:rsid w:val="00213ADD"/>
    <w:rsid w:val="00213E2A"/>
    <w:rsid w:val="002144AE"/>
    <w:rsid w:val="00214595"/>
    <w:rsid w:val="00214668"/>
    <w:rsid w:val="0021496F"/>
    <w:rsid w:val="00214A02"/>
    <w:rsid w:val="00215039"/>
    <w:rsid w:val="00215088"/>
    <w:rsid w:val="00215098"/>
    <w:rsid w:val="00215108"/>
    <w:rsid w:val="00215114"/>
    <w:rsid w:val="002151AA"/>
    <w:rsid w:val="00215286"/>
    <w:rsid w:val="00215450"/>
    <w:rsid w:val="00215768"/>
    <w:rsid w:val="00215C9D"/>
    <w:rsid w:val="00215E20"/>
    <w:rsid w:val="00216727"/>
    <w:rsid w:val="0021696E"/>
    <w:rsid w:val="00216B73"/>
    <w:rsid w:val="00216D1A"/>
    <w:rsid w:val="00216E53"/>
    <w:rsid w:val="00217095"/>
    <w:rsid w:val="00217435"/>
    <w:rsid w:val="0021750D"/>
    <w:rsid w:val="00217B1B"/>
    <w:rsid w:val="00217CEA"/>
    <w:rsid w:val="00217E0E"/>
    <w:rsid w:val="00217E89"/>
    <w:rsid w:val="0022006A"/>
    <w:rsid w:val="00220094"/>
    <w:rsid w:val="002201FF"/>
    <w:rsid w:val="00220581"/>
    <w:rsid w:val="00220690"/>
    <w:rsid w:val="0022074A"/>
    <w:rsid w:val="00220847"/>
    <w:rsid w:val="00220A82"/>
    <w:rsid w:val="00220AEA"/>
    <w:rsid w:val="00220B62"/>
    <w:rsid w:val="002211D5"/>
    <w:rsid w:val="002218C6"/>
    <w:rsid w:val="00221978"/>
    <w:rsid w:val="002219F0"/>
    <w:rsid w:val="00221A80"/>
    <w:rsid w:val="00221C6E"/>
    <w:rsid w:val="00221E26"/>
    <w:rsid w:val="00221ED1"/>
    <w:rsid w:val="00221F5D"/>
    <w:rsid w:val="00222041"/>
    <w:rsid w:val="00222102"/>
    <w:rsid w:val="002224E2"/>
    <w:rsid w:val="00222A89"/>
    <w:rsid w:val="00222AC1"/>
    <w:rsid w:val="00222DD9"/>
    <w:rsid w:val="00222E61"/>
    <w:rsid w:val="00222F04"/>
    <w:rsid w:val="002233B1"/>
    <w:rsid w:val="00223468"/>
    <w:rsid w:val="002235CF"/>
    <w:rsid w:val="0022381F"/>
    <w:rsid w:val="00223BD7"/>
    <w:rsid w:val="00223D23"/>
    <w:rsid w:val="00223D39"/>
    <w:rsid w:val="00223F7D"/>
    <w:rsid w:val="00223FE2"/>
    <w:rsid w:val="00224000"/>
    <w:rsid w:val="0022404E"/>
    <w:rsid w:val="002243FE"/>
    <w:rsid w:val="0022442E"/>
    <w:rsid w:val="002244C5"/>
    <w:rsid w:val="0022463D"/>
    <w:rsid w:val="00224704"/>
    <w:rsid w:val="00224A0B"/>
    <w:rsid w:val="00224BCF"/>
    <w:rsid w:val="00224D88"/>
    <w:rsid w:val="00224DB4"/>
    <w:rsid w:val="00224F2A"/>
    <w:rsid w:val="00224FBC"/>
    <w:rsid w:val="00225150"/>
    <w:rsid w:val="0022519C"/>
    <w:rsid w:val="002253AC"/>
    <w:rsid w:val="002254D1"/>
    <w:rsid w:val="00225AEC"/>
    <w:rsid w:val="00225BE3"/>
    <w:rsid w:val="00225CA2"/>
    <w:rsid w:val="00225D29"/>
    <w:rsid w:val="00225D92"/>
    <w:rsid w:val="00225F3A"/>
    <w:rsid w:val="002265F0"/>
    <w:rsid w:val="00226705"/>
    <w:rsid w:val="0022678D"/>
    <w:rsid w:val="002267B6"/>
    <w:rsid w:val="002269D9"/>
    <w:rsid w:val="00226AE2"/>
    <w:rsid w:val="00226BB1"/>
    <w:rsid w:val="00226D26"/>
    <w:rsid w:val="00226FA6"/>
    <w:rsid w:val="002272C4"/>
    <w:rsid w:val="0022735A"/>
    <w:rsid w:val="0022747B"/>
    <w:rsid w:val="00227931"/>
    <w:rsid w:val="00227A22"/>
    <w:rsid w:val="00227B21"/>
    <w:rsid w:val="00227D2D"/>
    <w:rsid w:val="002300E3"/>
    <w:rsid w:val="00230155"/>
    <w:rsid w:val="00230535"/>
    <w:rsid w:val="00230933"/>
    <w:rsid w:val="002309C6"/>
    <w:rsid w:val="00230A0F"/>
    <w:rsid w:val="00230A29"/>
    <w:rsid w:val="00230AD4"/>
    <w:rsid w:val="00230ADD"/>
    <w:rsid w:val="00230C24"/>
    <w:rsid w:val="00230D1D"/>
    <w:rsid w:val="00230D50"/>
    <w:rsid w:val="00230D62"/>
    <w:rsid w:val="00231385"/>
    <w:rsid w:val="002313B7"/>
    <w:rsid w:val="0023152C"/>
    <w:rsid w:val="0023162E"/>
    <w:rsid w:val="00231705"/>
    <w:rsid w:val="00231AFB"/>
    <w:rsid w:val="00231BFE"/>
    <w:rsid w:val="00231E9B"/>
    <w:rsid w:val="00231EE8"/>
    <w:rsid w:val="002324DF"/>
    <w:rsid w:val="0023262D"/>
    <w:rsid w:val="00232746"/>
    <w:rsid w:val="0023279C"/>
    <w:rsid w:val="002327F1"/>
    <w:rsid w:val="00232BEF"/>
    <w:rsid w:val="00232C95"/>
    <w:rsid w:val="00232CE8"/>
    <w:rsid w:val="0023304E"/>
    <w:rsid w:val="00233401"/>
    <w:rsid w:val="002337D5"/>
    <w:rsid w:val="00233824"/>
    <w:rsid w:val="00233F87"/>
    <w:rsid w:val="00234303"/>
    <w:rsid w:val="00234765"/>
    <w:rsid w:val="00234D37"/>
    <w:rsid w:val="00234E6A"/>
    <w:rsid w:val="00234EBA"/>
    <w:rsid w:val="00235027"/>
    <w:rsid w:val="00235259"/>
    <w:rsid w:val="002352D1"/>
    <w:rsid w:val="00235444"/>
    <w:rsid w:val="00235B6C"/>
    <w:rsid w:val="00235BAB"/>
    <w:rsid w:val="00235E5A"/>
    <w:rsid w:val="002360CF"/>
    <w:rsid w:val="002361F0"/>
    <w:rsid w:val="0023640C"/>
    <w:rsid w:val="0023650A"/>
    <w:rsid w:val="00236617"/>
    <w:rsid w:val="0023669E"/>
    <w:rsid w:val="002368AB"/>
    <w:rsid w:val="00236FEB"/>
    <w:rsid w:val="0023757F"/>
    <w:rsid w:val="00237681"/>
    <w:rsid w:val="00237B3D"/>
    <w:rsid w:val="00237D5B"/>
    <w:rsid w:val="00237E19"/>
    <w:rsid w:val="00237E4A"/>
    <w:rsid w:val="0024018F"/>
    <w:rsid w:val="002401BC"/>
    <w:rsid w:val="002402A5"/>
    <w:rsid w:val="002402B8"/>
    <w:rsid w:val="00240327"/>
    <w:rsid w:val="002404B2"/>
    <w:rsid w:val="0024064A"/>
    <w:rsid w:val="00240970"/>
    <w:rsid w:val="00240998"/>
    <w:rsid w:val="002409C6"/>
    <w:rsid w:val="00240ABA"/>
    <w:rsid w:val="00240CBE"/>
    <w:rsid w:val="00241591"/>
    <w:rsid w:val="00241667"/>
    <w:rsid w:val="00241979"/>
    <w:rsid w:val="002419B4"/>
    <w:rsid w:val="00241ED1"/>
    <w:rsid w:val="00241F32"/>
    <w:rsid w:val="00242244"/>
    <w:rsid w:val="00242B8D"/>
    <w:rsid w:val="002431F6"/>
    <w:rsid w:val="002432F2"/>
    <w:rsid w:val="002432F6"/>
    <w:rsid w:val="00243797"/>
    <w:rsid w:val="0024393C"/>
    <w:rsid w:val="002439FC"/>
    <w:rsid w:val="00243ACB"/>
    <w:rsid w:val="00243C26"/>
    <w:rsid w:val="00243F31"/>
    <w:rsid w:val="00244255"/>
    <w:rsid w:val="0024448A"/>
    <w:rsid w:val="002447AE"/>
    <w:rsid w:val="00244854"/>
    <w:rsid w:val="00244CDB"/>
    <w:rsid w:val="0024508E"/>
    <w:rsid w:val="002452E7"/>
    <w:rsid w:val="002455AC"/>
    <w:rsid w:val="0024562D"/>
    <w:rsid w:val="0024582F"/>
    <w:rsid w:val="00245BFF"/>
    <w:rsid w:val="00245C37"/>
    <w:rsid w:val="00245C50"/>
    <w:rsid w:val="00245DAD"/>
    <w:rsid w:val="002461FC"/>
    <w:rsid w:val="00246208"/>
    <w:rsid w:val="00246352"/>
    <w:rsid w:val="0024650C"/>
    <w:rsid w:val="002468B5"/>
    <w:rsid w:val="00246978"/>
    <w:rsid w:val="00246A03"/>
    <w:rsid w:val="00246BC5"/>
    <w:rsid w:val="00246D24"/>
    <w:rsid w:val="00246F20"/>
    <w:rsid w:val="00246F82"/>
    <w:rsid w:val="002470DD"/>
    <w:rsid w:val="002472BC"/>
    <w:rsid w:val="00247357"/>
    <w:rsid w:val="002473DD"/>
    <w:rsid w:val="002475C5"/>
    <w:rsid w:val="0024789C"/>
    <w:rsid w:val="00247A14"/>
    <w:rsid w:val="00247C89"/>
    <w:rsid w:val="00247DD2"/>
    <w:rsid w:val="00247FA2"/>
    <w:rsid w:val="00250019"/>
    <w:rsid w:val="0025018C"/>
    <w:rsid w:val="0025041E"/>
    <w:rsid w:val="002504D7"/>
    <w:rsid w:val="0025058F"/>
    <w:rsid w:val="002505DB"/>
    <w:rsid w:val="002506D2"/>
    <w:rsid w:val="00250AEA"/>
    <w:rsid w:val="00250D2C"/>
    <w:rsid w:val="00250DD8"/>
    <w:rsid w:val="00250ED7"/>
    <w:rsid w:val="00250FA9"/>
    <w:rsid w:val="00250FBC"/>
    <w:rsid w:val="002511C3"/>
    <w:rsid w:val="002513E2"/>
    <w:rsid w:val="002513FA"/>
    <w:rsid w:val="00251428"/>
    <w:rsid w:val="0025166E"/>
    <w:rsid w:val="00251764"/>
    <w:rsid w:val="00251A3C"/>
    <w:rsid w:val="002521D2"/>
    <w:rsid w:val="00252274"/>
    <w:rsid w:val="0025228B"/>
    <w:rsid w:val="0025240E"/>
    <w:rsid w:val="002527D9"/>
    <w:rsid w:val="00252A73"/>
    <w:rsid w:val="00252AC0"/>
    <w:rsid w:val="00252DDD"/>
    <w:rsid w:val="002530F9"/>
    <w:rsid w:val="002533B4"/>
    <w:rsid w:val="002533E7"/>
    <w:rsid w:val="002534F2"/>
    <w:rsid w:val="00253695"/>
    <w:rsid w:val="002536CE"/>
    <w:rsid w:val="00253961"/>
    <w:rsid w:val="00253982"/>
    <w:rsid w:val="00253AC2"/>
    <w:rsid w:val="00253B2C"/>
    <w:rsid w:val="00253D8A"/>
    <w:rsid w:val="00253DAF"/>
    <w:rsid w:val="00253E1D"/>
    <w:rsid w:val="00253E3F"/>
    <w:rsid w:val="00254131"/>
    <w:rsid w:val="00254156"/>
    <w:rsid w:val="00254279"/>
    <w:rsid w:val="00254374"/>
    <w:rsid w:val="0025497C"/>
    <w:rsid w:val="00254ACC"/>
    <w:rsid w:val="00254EB6"/>
    <w:rsid w:val="002550C9"/>
    <w:rsid w:val="0025561F"/>
    <w:rsid w:val="002556FE"/>
    <w:rsid w:val="00255980"/>
    <w:rsid w:val="00255B7F"/>
    <w:rsid w:val="00255D91"/>
    <w:rsid w:val="002561D5"/>
    <w:rsid w:val="002562CC"/>
    <w:rsid w:val="002562EF"/>
    <w:rsid w:val="002563DC"/>
    <w:rsid w:val="00256740"/>
    <w:rsid w:val="00256A90"/>
    <w:rsid w:val="00256C2F"/>
    <w:rsid w:val="00256F13"/>
    <w:rsid w:val="002570CE"/>
    <w:rsid w:val="00257181"/>
    <w:rsid w:val="00257A6B"/>
    <w:rsid w:val="00257C2D"/>
    <w:rsid w:val="00257C9F"/>
    <w:rsid w:val="00257D01"/>
    <w:rsid w:val="00257EAE"/>
    <w:rsid w:val="0026030B"/>
    <w:rsid w:val="00260800"/>
    <w:rsid w:val="00260905"/>
    <w:rsid w:val="00260AAB"/>
    <w:rsid w:val="00260AD5"/>
    <w:rsid w:val="00260B11"/>
    <w:rsid w:val="00260BCF"/>
    <w:rsid w:val="00260C10"/>
    <w:rsid w:val="00260C1E"/>
    <w:rsid w:val="00260E40"/>
    <w:rsid w:val="00260F01"/>
    <w:rsid w:val="00260F85"/>
    <w:rsid w:val="002613B3"/>
    <w:rsid w:val="00261401"/>
    <w:rsid w:val="00261512"/>
    <w:rsid w:val="00261622"/>
    <w:rsid w:val="00261686"/>
    <w:rsid w:val="0026171D"/>
    <w:rsid w:val="0026174F"/>
    <w:rsid w:val="0026196C"/>
    <w:rsid w:val="00261B9A"/>
    <w:rsid w:val="00261C72"/>
    <w:rsid w:val="00261EE8"/>
    <w:rsid w:val="00262025"/>
    <w:rsid w:val="002621C4"/>
    <w:rsid w:val="002622F0"/>
    <w:rsid w:val="0026231D"/>
    <w:rsid w:val="0026297C"/>
    <w:rsid w:val="00262D34"/>
    <w:rsid w:val="00262DA8"/>
    <w:rsid w:val="00262FAA"/>
    <w:rsid w:val="00262FFE"/>
    <w:rsid w:val="002631D4"/>
    <w:rsid w:val="0026365E"/>
    <w:rsid w:val="002636E3"/>
    <w:rsid w:val="002636E9"/>
    <w:rsid w:val="0026393D"/>
    <w:rsid w:val="00263BFF"/>
    <w:rsid w:val="00263C5E"/>
    <w:rsid w:val="00263CE5"/>
    <w:rsid w:val="00263EB0"/>
    <w:rsid w:val="0026418A"/>
    <w:rsid w:val="002643A4"/>
    <w:rsid w:val="00264554"/>
    <w:rsid w:val="00264608"/>
    <w:rsid w:val="0026499B"/>
    <w:rsid w:val="00264B22"/>
    <w:rsid w:val="00264FC5"/>
    <w:rsid w:val="0026551B"/>
    <w:rsid w:val="00265523"/>
    <w:rsid w:val="002655FE"/>
    <w:rsid w:val="00265973"/>
    <w:rsid w:val="00265BDD"/>
    <w:rsid w:val="00265E6C"/>
    <w:rsid w:val="00265FAD"/>
    <w:rsid w:val="00265FCB"/>
    <w:rsid w:val="00266167"/>
    <w:rsid w:val="00266309"/>
    <w:rsid w:val="002664CA"/>
    <w:rsid w:val="00266504"/>
    <w:rsid w:val="00266657"/>
    <w:rsid w:val="002669E3"/>
    <w:rsid w:val="00266A95"/>
    <w:rsid w:val="00266B12"/>
    <w:rsid w:val="00266E9B"/>
    <w:rsid w:val="00267005"/>
    <w:rsid w:val="00267113"/>
    <w:rsid w:val="00267371"/>
    <w:rsid w:val="00267635"/>
    <w:rsid w:val="00267ED1"/>
    <w:rsid w:val="002700B3"/>
    <w:rsid w:val="00270247"/>
    <w:rsid w:val="00270458"/>
    <w:rsid w:val="002704A1"/>
    <w:rsid w:val="002708B6"/>
    <w:rsid w:val="00270B84"/>
    <w:rsid w:val="00270D08"/>
    <w:rsid w:val="00270F64"/>
    <w:rsid w:val="002710A5"/>
    <w:rsid w:val="002717F5"/>
    <w:rsid w:val="00271855"/>
    <w:rsid w:val="002718FC"/>
    <w:rsid w:val="00271E0A"/>
    <w:rsid w:val="002720B4"/>
    <w:rsid w:val="00272305"/>
    <w:rsid w:val="002726BC"/>
    <w:rsid w:val="00272ACA"/>
    <w:rsid w:val="00272CCB"/>
    <w:rsid w:val="002733C1"/>
    <w:rsid w:val="002733FD"/>
    <w:rsid w:val="00273456"/>
    <w:rsid w:val="002735A9"/>
    <w:rsid w:val="00273775"/>
    <w:rsid w:val="00273CD9"/>
    <w:rsid w:val="00273D12"/>
    <w:rsid w:val="00273DAD"/>
    <w:rsid w:val="00273E31"/>
    <w:rsid w:val="00274523"/>
    <w:rsid w:val="00274594"/>
    <w:rsid w:val="002747FC"/>
    <w:rsid w:val="0027483C"/>
    <w:rsid w:val="00274C04"/>
    <w:rsid w:val="00274D5F"/>
    <w:rsid w:val="00274F4A"/>
    <w:rsid w:val="00274FB4"/>
    <w:rsid w:val="00274FBA"/>
    <w:rsid w:val="00275110"/>
    <w:rsid w:val="00275205"/>
    <w:rsid w:val="002752FF"/>
    <w:rsid w:val="0027576F"/>
    <w:rsid w:val="00275943"/>
    <w:rsid w:val="002759C3"/>
    <w:rsid w:val="00275A8C"/>
    <w:rsid w:val="00275DCC"/>
    <w:rsid w:val="00275EBC"/>
    <w:rsid w:val="00275FB2"/>
    <w:rsid w:val="00275FF4"/>
    <w:rsid w:val="00276080"/>
    <w:rsid w:val="002760CA"/>
    <w:rsid w:val="002760ED"/>
    <w:rsid w:val="00276340"/>
    <w:rsid w:val="0027641E"/>
    <w:rsid w:val="00276527"/>
    <w:rsid w:val="00276729"/>
    <w:rsid w:val="00276759"/>
    <w:rsid w:val="002769EB"/>
    <w:rsid w:val="00276A6B"/>
    <w:rsid w:val="00276AEE"/>
    <w:rsid w:val="00276D39"/>
    <w:rsid w:val="00277162"/>
    <w:rsid w:val="002771E8"/>
    <w:rsid w:val="00277322"/>
    <w:rsid w:val="002773DE"/>
    <w:rsid w:val="00277448"/>
    <w:rsid w:val="002776B5"/>
    <w:rsid w:val="0027775A"/>
    <w:rsid w:val="002777DB"/>
    <w:rsid w:val="00277A1B"/>
    <w:rsid w:val="00277B8F"/>
    <w:rsid w:val="00277C5E"/>
    <w:rsid w:val="00277C87"/>
    <w:rsid w:val="00277F45"/>
    <w:rsid w:val="00277FC8"/>
    <w:rsid w:val="00280277"/>
    <w:rsid w:val="0028067C"/>
    <w:rsid w:val="00280B0E"/>
    <w:rsid w:val="00280ED1"/>
    <w:rsid w:val="00280FF4"/>
    <w:rsid w:val="0028109D"/>
    <w:rsid w:val="002810EA"/>
    <w:rsid w:val="00281255"/>
    <w:rsid w:val="002812BA"/>
    <w:rsid w:val="002814D0"/>
    <w:rsid w:val="00281524"/>
    <w:rsid w:val="002815BF"/>
    <w:rsid w:val="00281693"/>
    <w:rsid w:val="002818BD"/>
    <w:rsid w:val="00281B46"/>
    <w:rsid w:val="00281C39"/>
    <w:rsid w:val="00281C9E"/>
    <w:rsid w:val="00281E6B"/>
    <w:rsid w:val="00281F76"/>
    <w:rsid w:val="002826AE"/>
    <w:rsid w:val="0028289F"/>
    <w:rsid w:val="00282A98"/>
    <w:rsid w:val="00282EA9"/>
    <w:rsid w:val="00283027"/>
    <w:rsid w:val="0028325F"/>
    <w:rsid w:val="002833AF"/>
    <w:rsid w:val="00283686"/>
    <w:rsid w:val="0028371E"/>
    <w:rsid w:val="00283854"/>
    <w:rsid w:val="00283925"/>
    <w:rsid w:val="00283ABE"/>
    <w:rsid w:val="00283F8D"/>
    <w:rsid w:val="00283FC2"/>
    <w:rsid w:val="00284296"/>
    <w:rsid w:val="00284335"/>
    <w:rsid w:val="00284349"/>
    <w:rsid w:val="0028442B"/>
    <w:rsid w:val="00284438"/>
    <w:rsid w:val="002845FB"/>
    <w:rsid w:val="00284A58"/>
    <w:rsid w:val="00284DE2"/>
    <w:rsid w:val="002851B6"/>
    <w:rsid w:val="002853A3"/>
    <w:rsid w:val="002856B1"/>
    <w:rsid w:val="00285770"/>
    <w:rsid w:val="002858B5"/>
    <w:rsid w:val="00285A34"/>
    <w:rsid w:val="00285A74"/>
    <w:rsid w:val="00285B0C"/>
    <w:rsid w:val="00285BE3"/>
    <w:rsid w:val="00285CAC"/>
    <w:rsid w:val="002863B2"/>
    <w:rsid w:val="002865CA"/>
    <w:rsid w:val="002865E1"/>
    <w:rsid w:val="002865E8"/>
    <w:rsid w:val="00286726"/>
    <w:rsid w:val="00286771"/>
    <w:rsid w:val="00286B7C"/>
    <w:rsid w:val="00287080"/>
    <w:rsid w:val="002871FB"/>
    <w:rsid w:val="002873D3"/>
    <w:rsid w:val="00287471"/>
    <w:rsid w:val="002874B5"/>
    <w:rsid w:val="002879D1"/>
    <w:rsid w:val="00290184"/>
    <w:rsid w:val="002901F4"/>
    <w:rsid w:val="002903AB"/>
    <w:rsid w:val="00290699"/>
    <w:rsid w:val="002906F9"/>
    <w:rsid w:val="0029073D"/>
    <w:rsid w:val="00290AEB"/>
    <w:rsid w:val="00290AF8"/>
    <w:rsid w:val="00290D2F"/>
    <w:rsid w:val="00290D82"/>
    <w:rsid w:val="00290D83"/>
    <w:rsid w:val="00290EF6"/>
    <w:rsid w:val="002915D3"/>
    <w:rsid w:val="00291766"/>
    <w:rsid w:val="002918BC"/>
    <w:rsid w:val="00291A3B"/>
    <w:rsid w:val="00291A76"/>
    <w:rsid w:val="00291E9B"/>
    <w:rsid w:val="00292072"/>
    <w:rsid w:val="002922F4"/>
    <w:rsid w:val="002927B3"/>
    <w:rsid w:val="00292A6A"/>
    <w:rsid w:val="00292C3B"/>
    <w:rsid w:val="00292E31"/>
    <w:rsid w:val="0029339F"/>
    <w:rsid w:val="002935F3"/>
    <w:rsid w:val="0029366E"/>
    <w:rsid w:val="00293714"/>
    <w:rsid w:val="0029384D"/>
    <w:rsid w:val="00293888"/>
    <w:rsid w:val="002939E6"/>
    <w:rsid w:val="00293A07"/>
    <w:rsid w:val="00293A43"/>
    <w:rsid w:val="00293B90"/>
    <w:rsid w:val="00293BB8"/>
    <w:rsid w:val="00293C39"/>
    <w:rsid w:val="00293DD0"/>
    <w:rsid w:val="00293E13"/>
    <w:rsid w:val="0029407F"/>
    <w:rsid w:val="002940B5"/>
    <w:rsid w:val="00294372"/>
    <w:rsid w:val="00294546"/>
    <w:rsid w:val="0029461B"/>
    <w:rsid w:val="002948CE"/>
    <w:rsid w:val="00294BC7"/>
    <w:rsid w:val="00294BD9"/>
    <w:rsid w:val="00295077"/>
    <w:rsid w:val="002950F4"/>
    <w:rsid w:val="002953A1"/>
    <w:rsid w:val="002953F7"/>
    <w:rsid w:val="0029543E"/>
    <w:rsid w:val="0029544C"/>
    <w:rsid w:val="002955A1"/>
    <w:rsid w:val="00295695"/>
    <w:rsid w:val="0029574F"/>
    <w:rsid w:val="0029587D"/>
    <w:rsid w:val="00295CF2"/>
    <w:rsid w:val="0029603F"/>
    <w:rsid w:val="0029607C"/>
    <w:rsid w:val="0029621C"/>
    <w:rsid w:val="0029625F"/>
    <w:rsid w:val="0029646F"/>
    <w:rsid w:val="00296625"/>
    <w:rsid w:val="0029670C"/>
    <w:rsid w:val="0029678A"/>
    <w:rsid w:val="00296C16"/>
    <w:rsid w:val="00296C59"/>
    <w:rsid w:val="00296C6B"/>
    <w:rsid w:val="00296C9E"/>
    <w:rsid w:val="002971E5"/>
    <w:rsid w:val="0029738A"/>
    <w:rsid w:val="00297473"/>
    <w:rsid w:val="002975ED"/>
    <w:rsid w:val="0029778E"/>
    <w:rsid w:val="00297867"/>
    <w:rsid w:val="00297893"/>
    <w:rsid w:val="002978CE"/>
    <w:rsid w:val="002978EC"/>
    <w:rsid w:val="00297C21"/>
    <w:rsid w:val="002A010A"/>
    <w:rsid w:val="002A018A"/>
    <w:rsid w:val="002A02DF"/>
    <w:rsid w:val="002A0404"/>
    <w:rsid w:val="002A04D0"/>
    <w:rsid w:val="002A0714"/>
    <w:rsid w:val="002A0754"/>
    <w:rsid w:val="002A0D2A"/>
    <w:rsid w:val="002A0E0D"/>
    <w:rsid w:val="002A10E5"/>
    <w:rsid w:val="002A123F"/>
    <w:rsid w:val="002A1308"/>
    <w:rsid w:val="002A14F9"/>
    <w:rsid w:val="002A18A1"/>
    <w:rsid w:val="002A1DD7"/>
    <w:rsid w:val="002A1EB5"/>
    <w:rsid w:val="002A1EFC"/>
    <w:rsid w:val="002A1FE4"/>
    <w:rsid w:val="002A219B"/>
    <w:rsid w:val="002A2307"/>
    <w:rsid w:val="002A241D"/>
    <w:rsid w:val="002A246C"/>
    <w:rsid w:val="002A2576"/>
    <w:rsid w:val="002A2623"/>
    <w:rsid w:val="002A26CC"/>
    <w:rsid w:val="002A28A1"/>
    <w:rsid w:val="002A2B4D"/>
    <w:rsid w:val="002A2DC0"/>
    <w:rsid w:val="002A2E98"/>
    <w:rsid w:val="002A3025"/>
    <w:rsid w:val="002A31FC"/>
    <w:rsid w:val="002A33C8"/>
    <w:rsid w:val="002A396E"/>
    <w:rsid w:val="002A3996"/>
    <w:rsid w:val="002A3A1C"/>
    <w:rsid w:val="002A3C43"/>
    <w:rsid w:val="002A3F74"/>
    <w:rsid w:val="002A41E9"/>
    <w:rsid w:val="002A4227"/>
    <w:rsid w:val="002A44D6"/>
    <w:rsid w:val="002A456B"/>
    <w:rsid w:val="002A45BD"/>
    <w:rsid w:val="002A470C"/>
    <w:rsid w:val="002A48C8"/>
    <w:rsid w:val="002A4C7F"/>
    <w:rsid w:val="002A4D0C"/>
    <w:rsid w:val="002A4D49"/>
    <w:rsid w:val="002A4F8A"/>
    <w:rsid w:val="002A53C6"/>
    <w:rsid w:val="002A5882"/>
    <w:rsid w:val="002A5BB5"/>
    <w:rsid w:val="002A5E46"/>
    <w:rsid w:val="002A5F69"/>
    <w:rsid w:val="002A60AB"/>
    <w:rsid w:val="002A620B"/>
    <w:rsid w:val="002A6898"/>
    <w:rsid w:val="002A68FE"/>
    <w:rsid w:val="002A6944"/>
    <w:rsid w:val="002A69D4"/>
    <w:rsid w:val="002A6C53"/>
    <w:rsid w:val="002A7003"/>
    <w:rsid w:val="002A748D"/>
    <w:rsid w:val="002A75F1"/>
    <w:rsid w:val="002A7777"/>
    <w:rsid w:val="002A7B10"/>
    <w:rsid w:val="002A7BB3"/>
    <w:rsid w:val="002A7CD6"/>
    <w:rsid w:val="002A7DA4"/>
    <w:rsid w:val="002B0148"/>
    <w:rsid w:val="002B036B"/>
    <w:rsid w:val="002B03F9"/>
    <w:rsid w:val="002B064D"/>
    <w:rsid w:val="002B06BA"/>
    <w:rsid w:val="002B0727"/>
    <w:rsid w:val="002B086A"/>
    <w:rsid w:val="002B08AD"/>
    <w:rsid w:val="002B08C4"/>
    <w:rsid w:val="002B0946"/>
    <w:rsid w:val="002B09D7"/>
    <w:rsid w:val="002B0AC7"/>
    <w:rsid w:val="002B0C64"/>
    <w:rsid w:val="002B0DB5"/>
    <w:rsid w:val="002B0EAE"/>
    <w:rsid w:val="002B0EBE"/>
    <w:rsid w:val="002B0EFA"/>
    <w:rsid w:val="002B10EE"/>
    <w:rsid w:val="002B13F3"/>
    <w:rsid w:val="002B1422"/>
    <w:rsid w:val="002B145F"/>
    <w:rsid w:val="002B191D"/>
    <w:rsid w:val="002B199A"/>
    <w:rsid w:val="002B1CB3"/>
    <w:rsid w:val="002B214A"/>
    <w:rsid w:val="002B2195"/>
    <w:rsid w:val="002B2570"/>
    <w:rsid w:val="002B27BC"/>
    <w:rsid w:val="002B2808"/>
    <w:rsid w:val="002B29B4"/>
    <w:rsid w:val="002B2EDB"/>
    <w:rsid w:val="002B301F"/>
    <w:rsid w:val="002B3212"/>
    <w:rsid w:val="002B3849"/>
    <w:rsid w:val="002B3FAB"/>
    <w:rsid w:val="002B4559"/>
    <w:rsid w:val="002B457B"/>
    <w:rsid w:val="002B489D"/>
    <w:rsid w:val="002B49B0"/>
    <w:rsid w:val="002B49CC"/>
    <w:rsid w:val="002B4D19"/>
    <w:rsid w:val="002B4D5A"/>
    <w:rsid w:val="002B4F33"/>
    <w:rsid w:val="002B50B3"/>
    <w:rsid w:val="002B51EA"/>
    <w:rsid w:val="002B5245"/>
    <w:rsid w:val="002B524A"/>
    <w:rsid w:val="002B533A"/>
    <w:rsid w:val="002B53B7"/>
    <w:rsid w:val="002B54E8"/>
    <w:rsid w:val="002B5783"/>
    <w:rsid w:val="002B579D"/>
    <w:rsid w:val="002B58D9"/>
    <w:rsid w:val="002B59D8"/>
    <w:rsid w:val="002B5A15"/>
    <w:rsid w:val="002B5DB2"/>
    <w:rsid w:val="002B5DFE"/>
    <w:rsid w:val="002B5F93"/>
    <w:rsid w:val="002B6030"/>
    <w:rsid w:val="002B66FD"/>
    <w:rsid w:val="002B6A97"/>
    <w:rsid w:val="002B6DF2"/>
    <w:rsid w:val="002B6E2A"/>
    <w:rsid w:val="002B6EEC"/>
    <w:rsid w:val="002B6F14"/>
    <w:rsid w:val="002B6F93"/>
    <w:rsid w:val="002B71B4"/>
    <w:rsid w:val="002B7361"/>
    <w:rsid w:val="002B77B5"/>
    <w:rsid w:val="002B7853"/>
    <w:rsid w:val="002B787A"/>
    <w:rsid w:val="002B795C"/>
    <w:rsid w:val="002B7A0D"/>
    <w:rsid w:val="002B7A33"/>
    <w:rsid w:val="002B7AAF"/>
    <w:rsid w:val="002B7DB3"/>
    <w:rsid w:val="002B7F26"/>
    <w:rsid w:val="002B7F40"/>
    <w:rsid w:val="002C0196"/>
    <w:rsid w:val="002C033D"/>
    <w:rsid w:val="002C039A"/>
    <w:rsid w:val="002C04A7"/>
    <w:rsid w:val="002C05D1"/>
    <w:rsid w:val="002C05E3"/>
    <w:rsid w:val="002C062A"/>
    <w:rsid w:val="002C0866"/>
    <w:rsid w:val="002C0AC5"/>
    <w:rsid w:val="002C0B75"/>
    <w:rsid w:val="002C0BF3"/>
    <w:rsid w:val="002C0E0D"/>
    <w:rsid w:val="002C109C"/>
    <w:rsid w:val="002C10D3"/>
    <w:rsid w:val="002C115D"/>
    <w:rsid w:val="002C11BA"/>
    <w:rsid w:val="002C1853"/>
    <w:rsid w:val="002C1C40"/>
    <w:rsid w:val="002C1D19"/>
    <w:rsid w:val="002C1D80"/>
    <w:rsid w:val="002C1E42"/>
    <w:rsid w:val="002C1E83"/>
    <w:rsid w:val="002C1F3E"/>
    <w:rsid w:val="002C2194"/>
    <w:rsid w:val="002C2449"/>
    <w:rsid w:val="002C2A6D"/>
    <w:rsid w:val="002C2F7C"/>
    <w:rsid w:val="002C2FB1"/>
    <w:rsid w:val="002C312F"/>
    <w:rsid w:val="002C3175"/>
    <w:rsid w:val="002C3296"/>
    <w:rsid w:val="002C33F9"/>
    <w:rsid w:val="002C3688"/>
    <w:rsid w:val="002C36F2"/>
    <w:rsid w:val="002C37B8"/>
    <w:rsid w:val="002C3897"/>
    <w:rsid w:val="002C39CC"/>
    <w:rsid w:val="002C3AB6"/>
    <w:rsid w:val="002C3DA1"/>
    <w:rsid w:val="002C4092"/>
    <w:rsid w:val="002C421C"/>
    <w:rsid w:val="002C4394"/>
    <w:rsid w:val="002C439B"/>
    <w:rsid w:val="002C4509"/>
    <w:rsid w:val="002C4B90"/>
    <w:rsid w:val="002C4CA0"/>
    <w:rsid w:val="002C4D57"/>
    <w:rsid w:val="002C4D61"/>
    <w:rsid w:val="002C4D88"/>
    <w:rsid w:val="002C4E99"/>
    <w:rsid w:val="002C5018"/>
    <w:rsid w:val="002C5077"/>
    <w:rsid w:val="002C50F9"/>
    <w:rsid w:val="002C50FD"/>
    <w:rsid w:val="002C53E1"/>
    <w:rsid w:val="002C5A32"/>
    <w:rsid w:val="002C5D27"/>
    <w:rsid w:val="002C609D"/>
    <w:rsid w:val="002C6113"/>
    <w:rsid w:val="002C61A8"/>
    <w:rsid w:val="002C65D3"/>
    <w:rsid w:val="002C6752"/>
    <w:rsid w:val="002C6831"/>
    <w:rsid w:val="002C68C1"/>
    <w:rsid w:val="002C6E35"/>
    <w:rsid w:val="002C7466"/>
    <w:rsid w:val="002C7497"/>
    <w:rsid w:val="002C74EB"/>
    <w:rsid w:val="002C7523"/>
    <w:rsid w:val="002C75C7"/>
    <w:rsid w:val="002C7A68"/>
    <w:rsid w:val="002C7AA7"/>
    <w:rsid w:val="002C7DA1"/>
    <w:rsid w:val="002D0111"/>
    <w:rsid w:val="002D024B"/>
    <w:rsid w:val="002D05B0"/>
    <w:rsid w:val="002D0B15"/>
    <w:rsid w:val="002D0B1F"/>
    <w:rsid w:val="002D0B56"/>
    <w:rsid w:val="002D0B65"/>
    <w:rsid w:val="002D0C8D"/>
    <w:rsid w:val="002D0CF5"/>
    <w:rsid w:val="002D0D59"/>
    <w:rsid w:val="002D12E7"/>
    <w:rsid w:val="002D1346"/>
    <w:rsid w:val="002D1405"/>
    <w:rsid w:val="002D1584"/>
    <w:rsid w:val="002D15DB"/>
    <w:rsid w:val="002D1721"/>
    <w:rsid w:val="002D1A13"/>
    <w:rsid w:val="002D1BA0"/>
    <w:rsid w:val="002D27D4"/>
    <w:rsid w:val="002D28C8"/>
    <w:rsid w:val="002D2946"/>
    <w:rsid w:val="002D2B33"/>
    <w:rsid w:val="002D31B6"/>
    <w:rsid w:val="002D31F0"/>
    <w:rsid w:val="002D3394"/>
    <w:rsid w:val="002D33F2"/>
    <w:rsid w:val="002D358A"/>
    <w:rsid w:val="002D3681"/>
    <w:rsid w:val="002D383F"/>
    <w:rsid w:val="002D386F"/>
    <w:rsid w:val="002D38E1"/>
    <w:rsid w:val="002D38E5"/>
    <w:rsid w:val="002D3B1E"/>
    <w:rsid w:val="002D3E80"/>
    <w:rsid w:val="002D4008"/>
    <w:rsid w:val="002D45E7"/>
    <w:rsid w:val="002D47DF"/>
    <w:rsid w:val="002D48B5"/>
    <w:rsid w:val="002D4B26"/>
    <w:rsid w:val="002D4C6F"/>
    <w:rsid w:val="002D57E0"/>
    <w:rsid w:val="002D581E"/>
    <w:rsid w:val="002D5B90"/>
    <w:rsid w:val="002D5E7C"/>
    <w:rsid w:val="002D5F80"/>
    <w:rsid w:val="002D5FB8"/>
    <w:rsid w:val="002D6429"/>
    <w:rsid w:val="002D6887"/>
    <w:rsid w:val="002D6946"/>
    <w:rsid w:val="002D6A93"/>
    <w:rsid w:val="002D6C07"/>
    <w:rsid w:val="002D6C81"/>
    <w:rsid w:val="002D6CB1"/>
    <w:rsid w:val="002D6EF0"/>
    <w:rsid w:val="002D76B3"/>
    <w:rsid w:val="002D787D"/>
    <w:rsid w:val="002D7B06"/>
    <w:rsid w:val="002D7B26"/>
    <w:rsid w:val="002D7C97"/>
    <w:rsid w:val="002D7EED"/>
    <w:rsid w:val="002D9AD1"/>
    <w:rsid w:val="002E00E2"/>
    <w:rsid w:val="002E012A"/>
    <w:rsid w:val="002E02DC"/>
    <w:rsid w:val="002E0448"/>
    <w:rsid w:val="002E0BE5"/>
    <w:rsid w:val="002E0DE2"/>
    <w:rsid w:val="002E0E3F"/>
    <w:rsid w:val="002E0EE4"/>
    <w:rsid w:val="002E10D8"/>
    <w:rsid w:val="002E11A3"/>
    <w:rsid w:val="002E13EE"/>
    <w:rsid w:val="002E1471"/>
    <w:rsid w:val="002E16BC"/>
    <w:rsid w:val="002E1719"/>
    <w:rsid w:val="002E173B"/>
    <w:rsid w:val="002E1810"/>
    <w:rsid w:val="002E1B6B"/>
    <w:rsid w:val="002E1C43"/>
    <w:rsid w:val="002E1CDA"/>
    <w:rsid w:val="002E1F9E"/>
    <w:rsid w:val="002E1FF9"/>
    <w:rsid w:val="002E2050"/>
    <w:rsid w:val="002E2488"/>
    <w:rsid w:val="002E268D"/>
    <w:rsid w:val="002E275C"/>
    <w:rsid w:val="002E27BA"/>
    <w:rsid w:val="002E2AF3"/>
    <w:rsid w:val="002E2BA7"/>
    <w:rsid w:val="002E2C0F"/>
    <w:rsid w:val="002E303F"/>
    <w:rsid w:val="002E3071"/>
    <w:rsid w:val="002E3277"/>
    <w:rsid w:val="002E37AF"/>
    <w:rsid w:val="002E37C3"/>
    <w:rsid w:val="002E3843"/>
    <w:rsid w:val="002E3B0F"/>
    <w:rsid w:val="002E3B57"/>
    <w:rsid w:val="002E3E5C"/>
    <w:rsid w:val="002E40D3"/>
    <w:rsid w:val="002E43C7"/>
    <w:rsid w:val="002E48AA"/>
    <w:rsid w:val="002E4935"/>
    <w:rsid w:val="002E4AB7"/>
    <w:rsid w:val="002E4C18"/>
    <w:rsid w:val="002E506C"/>
    <w:rsid w:val="002E54D0"/>
    <w:rsid w:val="002E590A"/>
    <w:rsid w:val="002E5B9B"/>
    <w:rsid w:val="002E602B"/>
    <w:rsid w:val="002E6148"/>
    <w:rsid w:val="002E65A4"/>
    <w:rsid w:val="002E675E"/>
    <w:rsid w:val="002E689B"/>
    <w:rsid w:val="002E6B1A"/>
    <w:rsid w:val="002E6BE3"/>
    <w:rsid w:val="002E6DB9"/>
    <w:rsid w:val="002E6F50"/>
    <w:rsid w:val="002E6FFF"/>
    <w:rsid w:val="002E7033"/>
    <w:rsid w:val="002E70DC"/>
    <w:rsid w:val="002E7252"/>
    <w:rsid w:val="002E728D"/>
    <w:rsid w:val="002E7623"/>
    <w:rsid w:val="002E7B16"/>
    <w:rsid w:val="002E7D05"/>
    <w:rsid w:val="002F00AD"/>
    <w:rsid w:val="002F01E0"/>
    <w:rsid w:val="002F0238"/>
    <w:rsid w:val="002F042A"/>
    <w:rsid w:val="002F0819"/>
    <w:rsid w:val="002F0A0D"/>
    <w:rsid w:val="002F0CFC"/>
    <w:rsid w:val="002F114F"/>
    <w:rsid w:val="002F15C0"/>
    <w:rsid w:val="002F193B"/>
    <w:rsid w:val="002F1BBF"/>
    <w:rsid w:val="002F1E7D"/>
    <w:rsid w:val="002F1FEC"/>
    <w:rsid w:val="002F2081"/>
    <w:rsid w:val="002F2235"/>
    <w:rsid w:val="002F22EC"/>
    <w:rsid w:val="002F258E"/>
    <w:rsid w:val="002F29EA"/>
    <w:rsid w:val="002F2A0A"/>
    <w:rsid w:val="002F2AB3"/>
    <w:rsid w:val="002F2B0F"/>
    <w:rsid w:val="002F2CAE"/>
    <w:rsid w:val="002F2DD7"/>
    <w:rsid w:val="002F2F80"/>
    <w:rsid w:val="002F2F9C"/>
    <w:rsid w:val="002F3231"/>
    <w:rsid w:val="002F3307"/>
    <w:rsid w:val="002F3B52"/>
    <w:rsid w:val="002F3CAB"/>
    <w:rsid w:val="002F3D2B"/>
    <w:rsid w:val="002F3E2E"/>
    <w:rsid w:val="002F3E7E"/>
    <w:rsid w:val="002F3EFE"/>
    <w:rsid w:val="002F3F8D"/>
    <w:rsid w:val="002F4038"/>
    <w:rsid w:val="002F4212"/>
    <w:rsid w:val="002F4237"/>
    <w:rsid w:val="002F4339"/>
    <w:rsid w:val="002F4340"/>
    <w:rsid w:val="002F47BA"/>
    <w:rsid w:val="002F4830"/>
    <w:rsid w:val="002F48F8"/>
    <w:rsid w:val="002F4A10"/>
    <w:rsid w:val="002F4B37"/>
    <w:rsid w:val="002F4CE5"/>
    <w:rsid w:val="002F5219"/>
    <w:rsid w:val="002F5294"/>
    <w:rsid w:val="002F562E"/>
    <w:rsid w:val="002F5848"/>
    <w:rsid w:val="002F59DA"/>
    <w:rsid w:val="002F5A9A"/>
    <w:rsid w:val="002F5BC5"/>
    <w:rsid w:val="002F6078"/>
    <w:rsid w:val="002F6462"/>
    <w:rsid w:val="002F6A68"/>
    <w:rsid w:val="002F6BDF"/>
    <w:rsid w:val="002F6CBA"/>
    <w:rsid w:val="002F6CD3"/>
    <w:rsid w:val="002F6D9D"/>
    <w:rsid w:val="002F7131"/>
    <w:rsid w:val="002F7176"/>
    <w:rsid w:val="002F7662"/>
    <w:rsid w:val="002F76F4"/>
    <w:rsid w:val="002F77D5"/>
    <w:rsid w:val="002F7A6B"/>
    <w:rsid w:val="002F7B2E"/>
    <w:rsid w:val="002F7CFE"/>
    <w:rsid w:val="002F7FC1"/>
    <w:rsid w:val="00300017"/>
    <w:rsid w:val="00300612"/>
    <w:rsid w:val="003007E6"/>
    <w:rsid w:val="00300C04"/>
    <w:rsid w:val="00300C2C"/>
    <w:rsid w:val="00300E4C"/>
    <w:rsid w:val="00301495"/>
    <w:rsid w:val="00301564"/>
    <w:rsid w:val="0030159D"/>
    <w:rsid w:val="003017D4"/>
    <w:rsid w:val="0030197C"/>
    <w:rsid w:val="00301F66"/>
    <w:rsid w:val="00301F6E"/>
    <w:rsid w:val="0030206F"/>
    <w:rsid w:val="00302192"/>
    <w:rsid w:val="00302232"/>
    <w:rsid w:val="003024A7"/>
    <w:rsid w:val="003026B4"/>
    <w:rsid w:val="003026E6"/>
    <w:rsid w:val="00302899"/>
    <w:rsid w:val="00302917"/>
    <w:rsid w:val="00302ADB"/>
    <w:rsid w:val="00302CDE"/>
    <w:rsid w:val="00302CFC"/>
    <w:rsid w:val="00302E19"/>
    <w:rsid w:val="00303037"/>
    <w:rsid w:val="00303150"/>
    <w:rsid w:val="0030315C"/>
    <w:rsid w:val="00303294"/>
    <w:rsid w:val="0030349F"/>
    <w:rsid w:val="003038F5"/>
    <w:rsid w:val="003039BA"/>
    <w:rsid w:val="00303FB2"/>
    <w:rsid w:val="003041C6"/>
    <w:rsid w:val="003042A7"/>
    <w:rsid w:val="00304ABE"/>
    <w:rsid w:val="00304FC4"/>
    <w:rsid w:val="00305140"/>
    <w:rsid w:val="003051E7"/>
    <w:rsid w:val="003055F8"/>
    <w:rsid w:val="00305655"/>
    <w:rsid w:val="0030584D"/>
    <w:rsid w:val="003059B8"/>
    <w:rsid w:val="00305B3F"/>
    <w:rsid w:val="00305DCB"/>
    <w:rsid w:val="00306288"/>
    <w:rsid w:val="003066B8"/>
    <w:rsid w:val="00306860"/>
    <w:rsid w:val="00306ABE"/>
    <w:rsid w:val="00306CB9"/>
    <w:rsid w:val="0030718A"/>
    <w:rsid w:val="003071E5"/>
    <w:rsid w:val="0030723E"/>
    <w:rsid w:val="003073B7"/>
    <w:rsid w:val="00307509"/>
    <w:rsid w:val="00307510"/>
    <w:rsid w:val="003078EF"/>
    <w:rsid w:val="00307A3F"/>
    <w:rsid w:val="00307ACC"/>
    <w:rsid w:val="00307BE3"/>
    <w:rsid w:val="00307D3E"/>
    <w:rsid w:val="00307E96"/>
    <w:rsid w:val="0030E658"/>
    <w:rsid w:val="0030EF3D"/>
    <w:rsid w:val="00310087"/>
    <w:rsid w:val="00310175"/>
    <w:rsid w:val="00310C0B"/>
    <w:rsid w:val="00310E33"/>
    <w:rsid w:val="00311A7F"/>
    <w:rsid w:val="00311D6D"/>
    <w:rsid w:val="00311E4B"/>
    <w:rsid w:val="0031214E"/>
    <w:rsid w:val="003122F8"/>
    <w:rsid w:val="0031244B"/>
    <w:rsid w:val="0031264D"/>
    <w:rsid w:val="00312651"/>
    <w:rsid w:val="0031269F"/>
    <w:rsid w:val="00312AC4"/>
    <w:rsid w:val="00312EBD"/>
    <w:rsid w:val="00313222"/>
    <w:rsid w:val="003133D0"/>
    <w:rsid w:val="003135B5"/>
    <w:rsid w:val="0031407D"/>
    <w:rsid w:val="00314572"/>
    <w:rsid w:val="003145CA"/>
    <w:rsid w:val="003145E4"/>
    <w:rsid w:val="0031464E"/>
    <w:rsid w:val="00314972"/>
    <w:rsid w:val="00314A6F"/>
    <w:rsid w:val="00314A89"/>
    <w:rsid w:val="00314D00"/>
    <w:rsid w:val="00314D27"/>
    <w:rsid w:val="00315111"/>
    <w:rsid w:val="0031518E"/>
    <w:rsid w:val="00315805"/>
    <w:rsid w:val="00315BBE"/>
    <w:rsid w:val="00315C9C"/>
    <w:rsid w:val="00315E62"/>
    <w:rsid w:val="00315ED6"/>
    <w:rsid w:val="00316562"/>
    <w:rsid w:val="00316BD9"/>
    <w:rsid w:val="003170B2"/>
    <w:rsid w:val="003170BD"/>
    <w:rsid w:val="00317253"/>
    <w:rsid w:val="003172EF"/>
    <w:rsid w:val="0031735A"/>
    <w:rsid w:val="0031741B"/>
    <w:rsid w:val="00317522"/>
    <w:rsid w:val="00317706"/>
    <w:rsid w:val="0031791C"/>
    <w:rsid w:val="00317C4A"/>
    <w:rsid w:val="00317E40"/>
    <w:rsid w:val="00320517"/>
    <w:rsid w:val="00320600"/>
    <w:rsid w:val="003208A3"/>
    <w:rsid w:val="003208DA"/>
    <w:rsid w:val="00320991"/>
    <w:rsid w:val="00320A0D"/>
    <w:rsid w:val="00320BFC"/>
    <w:rsid w:val="00320C13"/>
    <w:rsid w:val="00320D10"/>
    <w:rsid w:val="00320D25"/>
    <w:rsid w:val="00320DD6"/>
    <w:rsid w:val="00321035"/>
    <w:rsid w:val="003210EF"/>
    <w:rsid w:val="00321652"/>
    <w:rsid w:val="00321A03"/>
    <w:rsid w:val="00321A7C"/>
    <w:rsid w:val="00321B71"/>
    <w:rsid w:val="00321B95"/>
    <w:rsid w:val="00321D5C"/>
    <w:rsid w:val="00321D7E"/>
    <w:rsid w:val="00321DC5"/>
    <w:rsid w:val="00321EB7"/>
    <w:rsid w:val="003228DB"/>
    <w:rsid w:val="00322BD8"/>
    <w:rsid w:val="00323379"/>
    <w:rsid w:val="003235B7"/>
    <w:rsid w:val="0032361E"/>
    <w:rsid w:val="00323C31"/>
    <w:rsid w:val="00323D30"/>
    <w:rsid w:val="00323DE3"/>
    <w:rsid w:val="00323E88"/>
    <w:rsid w:val="00323EDD"/>
    <w:rsid w:val="00324273"/>
    <w:rsid w:val="0032434D"/>
    <w:rsid w:val="003243C7"/>
    <w:rsid w:val="003244D1"/>
    <w:rsid w:val="0032462E"/>
    <w:rsid w:val="00324CF0"/>
    <w:rsid w:val="0032502F"/>
    <w:rsid w:val="00325268"/>
    <w:rsid w:val="0032531B"/>
    <w:rsid w:val="003255E9"/>
    <w:rsid w:val="003257C5"/>
    <w:rsid w:val="003259A4"/>
    <w:rsid w:val="00325B67"/>
    <w:rsid w:val="00325E58"/>
    <w:rsid w:val="00326017"/>
    <w:rsid w:val="003262F5"/>
    <w:rsid w:val="003265DC"/>
    <w:rsid w:val="00326640"/>
    <w:rsid w:val="0032678A"/>
    <w:rsid w:val="003268C7"/>
    <w:rsid w:val="00326A52"/>
    <w:rsid w:val="00326EC9"/>
    <w:rsid w:val="00327187"/>
    <w:rsid w:val="00327395"/>
    <w:rsid w:val="00327997"/>
    <w:rsid w:val="003279F1"/>
    <w:rsid w:val="00327A3A"/>
    <w:rsid w:val="00327BDF"/>
    <w:rsid w:val="00327BFF"/>
    <w:rsid w:val="00330206"/>
    <w:rsid w:val="0033045B"/>
    <w:rsid w:val="003308D3"/>
    <w:rsid w:val="00330C02"/>
    <w:rsid w:val="00330C9B"/>
    <w:rsid w:val="00330DDF"/>
    <w:rsid w:val="00331032"/>
    <w:rsid w:val="00331139"/>
    <w:rsid w:val="003311FE"/>
    <w:rsid w:val="00331502"/>
    <w:rsid w:val="00331595"/>
    <w:rsid w:val="003315B0"/>
    <w:rsid w:val="00331711"/>
    <w:rsid w:val="003319EB"/>
    <w:rsid w:val="00331A22"/>
    <w:rsid w:val="0033200A"/>
    <w:rsid w:val="0033212A"/>
    <w:rsid w:val="0033224C"/>
    <w:rsid w:val="0033235A"/>
    <w:rsid w:val="003327A5"/>
    <w:rsid w:val="00332898"/>
    <w:rsid w:val="00332D3B"/>
    <w:rsid w:val="00332E09"/>
    <w:rsid w:val="00332F03"/>
    <w:rsid w:val="00333297"/>
    <w:rsid w:val="0033342D"/>
    <w:rsid w:val="00333498"/>
    <w:rsid w:val="0033349A"/>
    <w:rsid w:val="0033370B"/>
    <w:rsid w:val="00333A48"/>
    <w:rsid w:val="00333C4B"/>
    <w:rsid w:val="00333EF9"/>
    <w:rsid w:val="00334147"/>
    <w:rsid w:val="00334211"/>
    <w:rsid w:val="003342BE"/>
    <w:rsid w:val="003343B3"/>
    <w:rsid w:val="00334629"/>
    <w:rsid w:val="0033467B"/>
    <w:rsid w:val="003347A0"/>
    <w:rsid w:val="003347AE"/>
    <w:rsid w:val="00334823"/>
    <w:rsid w:val="00334B85"/>
    <w:rsid w:val="00334B8B"/>
    <w:rsid w:val="0033509F"/>
    <w:rsid w:val="003350FD"/>
    <w:rsid w:val="003351BC"/>
    <w:rsid w:val="003358B9"/>
    <w:rsid w:val="0033599F"/>
    <w:rsid w:val="00335AE1"/>
    <w:rsid w:val="00335AEA"/>
    <w:rsid w:val="00335B2F"/>
    <w:rsid w:val="00335EB0"/>
    <w:rsid w:val="0033677A"/>
    <w:rsid w:val="00336D81"/>
    <w:rsid w:val="003370A0"/>
    <w:rsid w:val="003372F2"/>
    <w:rsid w:val="00337625"/>
    <w:rsid w:val="003379E9"/>
    <w:rsid w:val="00337A24"/>
    <w:rsid w:val="00337CDB"/>
    <w:rsid w:val="00337D04"/>
    <w:rsid w:val="00337DC6"/>
    <w:rsid w:val="00337E95"/>
    <w:rsid w:val="00340135"/>
    <w:rsid w:val="0034014F"/>
    <w:rsid w:val="0034048E"/>
    <w:rsid w:val="003405B9"/>
    <w:rsid w:val="003405EE"/>
    <w:rsid w:val="0034060A"/>
    <w:rsid w:val="003408AD"/>
    <w:rsid w:val="00340AD9"/>
    <w:rsid w:val="00340C54"/>
    <w:rsid w:val="00340CAD"/>
    <w:rsid w:val="00340EAE"/>
    <w:rsid w:val="003410BA"/>
    <w:rsid w:val="0034121D"/>
    <w:rsid w:val="003413DB"/>
    <w:rsid w:val="00341541"/>
    <w:rsid w:val="003415CB"/>
    <w:rsid w:val="003416FB"/>
    <w:rsid w:val="00341C2D"/>
    <w:rsid w:val="00341D30"/>
    <w:rsid w:val="00341DDC"/>
    <w:rsid w:val="00341EC3"/>
    <w:rsid w:val="00341F97"/>
    <w:rsid w:val="0034227A"/>
    <w:rsid w:val="003422C3"/>
    <w:rsid w:val="003423FC"/>
    <w:rsid w:val="00342508"/>
    <w:rsid w:val="00342777"/>
    <w:rsid w:val="003427FC"/>
    <w:rsid w:val="0034290A"/>
    <w:rsid w:val="00342A2B"/>
    <w:rsid w:val="00342CD7"/>
    <w:rsid w:val="003430D4"/>
    <w:rsid w:val="003437C1"/>
    <w:rsid w:val="00343BD6"/>
    <w:rsid w:val="00343C92"/>
    <w:rsid w:val="00343D3E"/>
    <w:rsid w:val="00343F3D"/>
    <w:rsid w:val="0034409E"/>
    <w:rsid w:val="00344214"/>
    <w:rsid w:val="00344278"/>
    <w:rsid w:val="00344407"/>
    <w:rsid w:val="00344627"/>
    <w:rsid w:val="0034466D"/>
    <w:rsid w:val="003446A2"/>
    <w:rsid w:val="00344782"/>
    <w:rsid w:val="003447F5"/>
    <w:rsid w:val="00344849"/>
    <w:rsid w:val="0034484F"/>
    <w:rsid w:val="00344889"/>
    <w:rsid w:val="003449B7"/>
    <w:rsid w:val="00344A36"/>
    <w:rsid w:val="00344A62"/>
    <w:rsid w:val="00344D9C"/>
    <w:rsid w:val="00344FD8"/>
    <w:rsid w:val="00345209"/>
    <w:rsid w:val="003458DE"/>
    <w:rsid w:val="00345A7E"/>
    <w:rsid w:val="00345A81"/>
    <w:rsid w:val="00345BEF"/>
    <w:rsid w:val="00345C46"/>
    <w:rsid w:val="00345F43"/>
    <w:rsid w:val="0034600D"/>
    <w:rsid w:val="003460F1"/>
    <w:rsid w:val="00346160"/>
    <w:rsid w:val="00346308"/>
    <w:rsid w:val="0034662A"/>
    <w:rsid w:val="00346799"/>
    <w:rsid w:val="00346964"/>
    <w:rsid w:val="003469B4"/>
    <w:rsid w:val="00346AD1"/>
    <w:rsid w:val="00346AF9"/>
    <w:rsid w:val="00346B74"/>
    <w:rsid w:val="00346BF8"/>
    <w:rsid w:val="00346CDF"/>
    <w:rsid w:val="0034742F"/>
    <w:rsid w:val="0034753B"/>
    <w:rsid w:val="0034783E"/>
    <w:rsid w:val="00347A4D"/>
    <w:rsid w:val="00347AA6"/>
    <w:rsid w:val="00347D94"/>
    <w:rsid w:val="003507B6"/>
    <w:rsid w:val="00350979"/>
    <w:rsid w:val="003509BC"/>
    <w:rsid w:val="003509FA"/>
    <w:rsid w:val="00350BC6"/>
    <w:rsid w:val="00350DD5"/>
    <w:rsid w:val="00350E20"/>
    <w:rsid w:val="00350E87"/>
    <w:rsid w:val="003510D6"/>
    <w:rsid w:val="003517D0"/>
    <w:rsid w:val="003518BD"/>
    <w:rsid w:val="00351CF9"/>
    <w:rsid w:val="0035201C"/>
    <w:rsid w:val="00352363"/>
    <w:rsid w:val="00352396"/>
    <w:rsid w:val="00352772"/>
    <w:rsid w:val="00352810"/>
    <w:rsid w:val="00352857"/>
    <w:rsid w:val="003528B5"/>
    <w:rsid w:val="00352EEE"/>
    <w:rsid w:val="00353022"/>
    <w:rsid w:val="00353041"/>
    <w:rsid w:val="003531E2"/>
    <w:rsid w:val="0035325E"/>
    <w:rsid w:val="003533C4"/>
    <w:rsid w:val="003534EB"/>
    <w:rsid w:val="00353789"/>
    <w:rsid w:val="00353882"/>
    <w:rsid w:val="00353915"/>
    <w:rsid w:val="00354297"/>
    <w:rsid w:val="00354306"/>
    <w:rsid w:val="00354405"/>
    <w:rsid w:val="00354492"/>
    <w:rsid w:val="00354713"/>
    <w:rsid w:val="003547EC"/>
    <w:rsid w:val="00354883"/>
    <w:rsid w:val="00354B4B"/>
    <w:rsid w:val="00354E07"/>
    <w:rsid w:val="003553E2"/>
    <w:rsid w:val="0035551F"/>
    <w:rsid w:val="003557A3"/>
    <w:rsid w:val="003559D6"/>
    <w:rsid w:val="00355A01"/>
    <w:rsid w:val="00355CAA"/>
    <w:rsid w:val="00355FE4"/>
    <w:rsid w:val="00356288"/>
    <w:rsid w:val="00356386"/>
    <w:rsid w:val="003563DD"/>
    <w:rsid w:val="00356521"/>
    <w:rsid w:val="00356DAF"/>
    <w:rsid w:val="003571C9"/>
    <w:rsid w:val="00357419"/>
    <w:rsid w:val="00357567"/>
    <w:rsid w:val="0035764B"/>
    <w:rsid w:val="00357665"/>
    <w:rsid w:val="00357838"/>
    <w:rsid w:val="00357D3A"/>
    <w:rsid w:val="00360003"/>
    <w:rsid w:val="00360021"/>
    <w:rsid w:val="003600BF"/>
    <w:rsid w:val="00360456"/>
    <w:rsid w:val="003606DE"/>
    <w:rsid w:val="00360840"/>
    <w:rsid w:val="0036091C"/>
    <w:rsid w:val="00360A2C"/>
    <w:rsid w:val="00361009"/>
    <w:rsid w:val="003610EF"/>
    <w:rsid w:val="003611F3"/>
    <w:rsid w:val="00361204"/>
    <w:rsid w:val="00361246"/>
    <w:rsid w:val="003612B3"/>
    <w:rsid w:val="00361EFC"/>
    <w:rsid w:val="00362169"/>
    <w:rsid w:val="003623BB"/>
    <w:rsid w:val="0036242E"/>
    <w:rsid w:val="0036265D"/>
    <w:rsid w:val="00362687"/>
    <w:rsid w:val="00362761"/>
    <w:rsid w:val="00362773"/>
    <w:rsid w:val="003627AC"/>
    <w:rsid w:val="00362A33"/>
    <w:rsid w:val="00362B34"/>
    <w:rsid w:val="00362E49"/>
    <w:rsid w:val="00363176"/>
    <w:rsid w:val="003636FE"/>
    <w:rsid w:val="0036377C"/>
    <w:rsid w:val="00363894"/>
    <w:rsid w:val="00363906"/>
    <w:rsid w:val="00363EC3"/>
    <w:rsid w:val="00363FE3"/>
    <w:rsid w:val="0036411D"/>
    <w:rsid w:val="003641B4"/>
    <w:rsid w:val="003641C9"/>
    <w:rsid w:val="00364309"/>
    <w:rsid w:val="00364397"/>
    <w:rsid w:val="00364739"/>
    <w:rsid w:val="003647CF"/>
    <w:rsid w:val="003648D8"/>
    <w:rsid w:val="00364D8A"/>
    <w:rsid w:val="00364E53"/>
    <w:rsid w:val="00364FAF"/>
    <w:rsid w:val="0036523C"/>
    <w:rsid w:val="00365585"/>
    <w:rsid w:val="003655A0"/>
    <w:rsid w:val="00365719"/>
    <w:rsid w:val="00365CD9"/>
    <w:rsid w:val="00365FC6"/>
    <w:rsid w:val="00366058"/>
    <w:rsid w:val="00366078"/>
    <w:rsid w:val="00366291"/>
    <w:rsid w:val="00366690"/>
    <w:rsid w:val="00366751"/>
    <w:rsid w:val="003669B9"/>
    <w:rsid w:val="00366C4C"/>
    <w:rsid w:val="00366C51"/>
    <w:rsid w:val="00366E3A"/>
    <w:rsid w:val="00366F52"/>
    <w:rsid w:val="00367124"/>
    <w:rsid w:val="003671B9"/>
    <w:rsid w:val="00367256"/>
    <w:rsid w:val="00367348"/>
    <w:rsid w:val="0036772D"/>
    <w:rsid w:val="00367870"/>
    <w:rsid w:val="00367888"/>
    <w:rsid w:val="00367B9A"/>
    <w:rsid w:val="00367C86"/>
    <w:rsid w:val="00367CC4"/>
    <w:rsid w:val="00367DFA"/>
    <w:rsid w:val="00370108"/>
    <w:rsid w:val="003703D5"/>
    <w:rsid w:val="00370703"/>
    <w:rsid w:val="003707E3"/>
    <w:rsid w:val="00370B48"/>
    <w:rsid w:val="00370E24"/>
    <w:rsid w:val="00370FBC"/>
    <w:rsid w:val="0037116B"/>
    <w:rsid w:val="00371179"/>
    <w:rsid w:val="003712ED"/>
    <w:rsid w:val="00371553"/>
    <w:rsid w:val="00371581"/>
    <w:rsid w:val="003715E4"/>
    <w:rsid w:val="00371648"/>
    <w:rsid w:val="00371B7D"/>
    <w:rsid w:val="00371C03"/>
    <w:rsid w:val="00371C10"/>
    <w:rsid w:val="00371F40"/>
    <w:rsid w:val="00372259"/>
    <w:rsid w:val="00372310"/>
    <w:rsid w:val="00372324"/>
    <w:rsid w:val="00372416"/>
    <w:rsid w:val="003725C9"/>
    <w:rsid w:val="003725CA"/>
    <w:rsid w:val="003726C0"/>
    <w:rsid w:val="00372768"/>
    <w:rsid w:val="00372A43"/>
    <w:rsid w:val="00372B42"/>
    <w:rsid w:val="00372D5E"/>
    <w:rsid w:val="00372DD4"/>
    <w:rsid w:val="0037308D"/>
    <w:rsid w:val="003730AA"/>
    <w:rsid w:val="0037367D"/>
    <w:rsid w:val="003736C6"/>
    <w:rsid w:val="003737BD"/>
    <w:rsid w:val="0037386F"/>
    <w:rsid w:val="00373C8A"/>
    <w:rsid w:val="00373CAF"/>
    <w:rsid w:val="00373CE1"/>
    <w:rsid w:val="003740A7"/>
    <w:rsid w:val="003740A8"/>
    <w:rsid w:val="003741E7"/>
    <w:rsid w:val="0037442F"/>
    <w:rsid w:val="00374613"/>
    <w:rsid w:val="003746E2"/>
    <w:rsid w:val="00374E2F"/>
    <w:rsid w:val="0037500C"/>
    <w:rsid w:val="00375659"/>
    <w:rsid w:val="00375793"/>
    <w:rsid w:val="00375A03"/>
    <w:rsid w:val="00375C30"/>
    <w:rsid w:val="00375C33"/>
    <w:rsid w:val="00375E56"/>
    <w:rsid w:val="00376220"/>
    <w:rsid w:val="0037634F"/>
    <w:rsid w:val="0037660E"/>
    <w:rsid w:val="00376705"/>
    <w:rsid w:val="00376849"/>
    <w:rsid w:val="00376960"/>
    <w:rsid w:val="00376BA8"/>
    <w:rsid w:val="00377172"/>
    <w:rsid w:val="00377740"/>
    <w:rsid w:val="0037791D"/>
    <w:rsid w:val="003783D9"/>
    <w:rsid w:val="0038021D"/>
    <w:rsid w:val="003804A9"/>
    <w:rsid w:val="0038051D"/>
    <w:rsid w:val="00380930"/>
    <w:rsid w:val="0038094D"/>
    <w:rsid w:val="00380D4B"/>
    <w:rsid w:val="0038117D"/>
    <w:rsid w:val="003819B5"/>
    <w:rsid w:val="00381D00"/>
    <w:rsid w:val="00381D9B"/>
    <w:rsid w:val="00381E1D"/>
    <w:rsid w:val="00381ECA"/>
    <w:rsid w:val="00381F66"/>
    <w:rsid w:val="0038279C"/>
    <w:rsid w:val="003827F4"/>
    <w:rsid w:val="00382960"/>
    <w:rsid w:val="00382A2A"/>
    <w:rsid w:val="00382E66"/>
    <w:rsid w:val="00382F0C"/>
    <w:rsid w:val="003830B6"/>
    <w:rsid w:val="0038331D"/>
    <w:rsid w:val="00383762"/>
    <w:rsid w:val="003838C5"/>
    <w:rsid w:val="003839F8"/>
    <w:rsid w:val="00383A31"/>
    <w:rsid w:val="00383C2D"/>
    <w:rsid w:val="00383F41"/>
    <w:rsid w:val="00384071"/>
    <w:rsid w:val="00384147"/>
    <w:rsid w:val="00384361"/>
    <w:rsid w:val="0038447E"/>
    <w:rsid w:val="003845E7"/>
    <w:rsid w:val="00384769"/>
    <w:rsid w:val="003847A3"/>
    <w:rsid w:val="0038482C"/>
    <w:rsid w:val="00384AD1"/>
    <w:rsid w:val="00384D6E"/>
    <w:rsid w:val="00384FE1"/>
    <w:rsid w:val="00385085"/>
    <w:rsid w:val="003851A0"/>
    <w:rsid w:val="00385740"/>
    <w:rsid w:val="003858CD"/>
    <w:rsid w:val="003859DE"/>
    <w:rsid w:val="00385AEC"/>
    <w:rsid w:val="00385E5C"/>
    <w:rsid w:val="00385EAD"/>
    <w:rsid w:val="00386014"/>
    <w:rsid w:val="00386167"/>
    <w:rsid w:val="003861DD"/>
    <w:rsid w:val="0038626F"/>
    <w:rsid w:val="00386270"/>
    <w:rsid w:val="00386279"/>
    <w:rsid w:val="003864DB"/>
    <w:rsid w:val="003864DF"/>
    <w:rsid w:val="003865AF"/>
    <w:rsid w:val="003866C3"/>
    <w:rsid w:val="00386731"/>
    <w:rsid w:val="0038679B"/>
    <w:rsid w:val="00386920"/>
    <w:rsid w:val="00386978"/>
    <w:rsid w:val="00386A62"/>
    <w:rsid w:val="00386EC8"/>
    <w:rsid w:val="00386F83"/>
    <w:rsid w:val="003870A5"/>
    <w:rsid w:val="0038722C"/>
    <w:rsid w:val="003874D4"/>
    <w:rsid w:val="003875A0"/>
    <w:rsid w:val="00387D25"/>
    <w:rsid w:val="00387E32"/>
    <w:rsid w:val="00390104"/>
    <w:rsid w:val="0039028F"/>
    <w:rsid w:val="003902EE"/>
    <w:rsid w:val="00390427"/>
    <w:rsid w:val="003906BC"/>
    <w:rsid w:val="00390820"/>
    <w:rsid w:val="0039082A"/>
    <w:rsid w:val="003908AC"/>
    <w:rsid w:val="0039096D"/>
    <w:rsid w:val="00390ABE"/>
    <w:rsid w:val="00390C04"/>
    <w:rsid w:val="00390C2C"/>
    <w:rsid w:val="00390DB0"/>
    <w:rsid w:val="00390EC2"/>
    <w:rsid w:val="00391106"/>
    <w:rsid w:val="00391288"/>
    <w:rsid w:val="00391392"/>
    <w:rsid w:val="0039157E"/>
    <w:rsid w:val="0039196D"/>
    <w:rsid w:val="00391BAA"/>
    <w:rsid w:val="00391C07"/>
    <w:rsid w:val="00391D3D"/>
    <w:rsid w:val="00391DBB"/>
    <w:rsid w:val="00392361"/>
    <w:rsid w:val="003923AF"/>
    <w:rsid w:val="003923D1"/>
    <w:rsid w:val="003926F0"/>
    <w:rsid w:val="003927F2"/>
    <w:rsid w:val="00392926"/>
    <w:rsid w:val="00392AE7"/>
    <w:rsid w:val="00392C76"/>
    <w:rsid w:val="003930FF"/>
    <w:rsid w:val="003931CB"/>
    <w:rsid w:val="003931CC"/>
    <w:rsid w:val="00393359"/>
    <w:rsid w:val="00393498"/>
    <w:rsid w:val="0039365E"/>
    <w:rsid w:val="0039385A"/>
    <w:rsid w:val="00393A85"/>
    <w:rsid w:val="00393AD5"/>
    <w:rsid w:val="00393D11"/>
    <w:rsid w:val="00393EB4"/>
    <w:rsid w:val="00393F32"/>
    <w:rsid w:val="00393F9C"/>
    <w:rsid w:val="00394201"/>
    <w:rsid w:val="00394254"/>
    <w:rsid w:val="0039427D"/>
    <w:rsid w:val="0039445E"/>
    <w:rsid w:val="0039448B"/>
    <w:rsid w:val="00394493"/>
    <w:rsid w:val="003948BB"/>
    <w:rsid w:val="00394B8B"/>
    <w:rsid w:val="00394CDE"/>
    <w:rsid w:val="00394D0C"/>
    <w:rsid w:val="00394F9A"/>
    <w:rsid w:val="00394FFF"/>
    <w:rsid w:val="00395000"/>
    <w:rsid w:val="00395360"/>
    <w:rsid w:val="0039540F"/>
    <w:rsid w:val="003954D0"/>
    <w:rsid w:val="003957BF"/>
    <w:rsid w:val="003957EA"/>
    <w:rsid w:val="00395A7E"/>
    <w:rsid w:val="00395CB0"/>
    <w:rsid w:val="00395D8B"/>
    <w:rsid w:val="00395E25"/>
    <w:rsid w:val="00395F92"/>
    <w:rsid w:val="00395FFB"/>
    <w:rsid w:val="00396087"/>
    <w:rsid w:val="003967DD"/>
    <w:rsid w:val="00396E73"/>
    <w:rsid w:val="00396F04"/>
    <w:rsid w:val="00396FD5"/>
    <w:rsid w:val="003970E3"/>
    <w:rsid w:val="003971C1"/>
    <w:rsid w:val="00397224"/>
    <w:rsid w:val="0039722E"/>
    <w:rsid w:val="0039724C"/>
    <w:rsid w:val="003974CC"/>
    <w:rsid w:val="00397517"/>
    <w:rsid w:val="00397577"/>
    <w:rsid w:val="003976EE"/>
    <w:rsid w:val="003978EC"/>
    <w:rsid w:val="00397B3A"/>
    <w:rsid w:val="00397D6A"/>
    <w:rsid w:val="003A012D"/>
    <w:rsid w:val="003A0185"/>
    <w:rsid w:val="003A0347"/>
    <w:rsid w:val="003A0503"/>
    <w:rsid w:val="003A0944"/>
    <w:rsid w:val="003A110C"/>
    <w:rsid w:val="003A1465"/>
    <w:rsid w:val="003A19F9"/>
    <w:rsid w:val="003A1D59"/>
    <w:rsid w:val="003A1DA8"/>
    <w:rsid w:val="003A22B8"/>
    <w:rsid w:val="003A27E6"/>
    <w:rsid w:val="003A281A"/>
    <w:rsid w:val="003A2893"/>
    <w:rsid w:val="003A28A4"/>
    <w:rsid w:val="003A2A68"/>
    <w:rsid w:val="003A2E22"/>
    <w:rsid w:val="003A2E59"/>
    <w:rsid w:val="003A2FB5"/>
    <w:rsid w:val="003A2FB9"/>
    <w:rsid w:val="003A307D"/>
    <w:rsid w:val="003A330E"/>
    <w:rsid w:val="003A3474"/>
    <w:rsid w:val="003A3484"/>
    <w:rsid w:val="003A36DE"/>
    <w:rsid w:val="003A3905"/>
    <w:rsid w:val="003A39B5"/>
    <w:rsid w:val="003A3A0C"/>
    <w:rsid w:val="003A3AB5"/>
    <w:rsid w:val="003A40A1"/>
    <w:rsid w:val="003A41AC"/>
    <w:rsid w:val="003A4489"/>
    <w:rsid w:val="003A47F8"/>
    <w:rsid w:val="003A4954"/>
    <w:rsid w:val="003A49AC"/>
    <w:rsid w:val="003A4B4A"/>
    <w:rsid w:val="003A4B82"/>
    <w:rsid w:val="003A4C1A"/>
    <w:rsid w:val="003A4C7D"/>
    <w:rsid w:val="003A4D0B"/>
    <w:rsid w:val="003A4DAB"/>
    <w:rsid w:val="003A4EE2"/>
    <w:rsid w:val="003A4F52"/>
    <w:rsid w:val="003A4F7C"/>
    <w:rsid w:val="003A4F9E"/>
    <w:rsid w:val="003A52C2"/>
    <w:rsid w:val="003A53B8"/>
    <w:rsid w:val="003A57E7"/>
    <w:rsid w:val="003A5C73"/>
    <w:rsid w:val="003A5E25"/>
    <w:rsid w:val="003A6024"/>
    <w:rsid w:val="003A615A"/>
    <w:rsid w:val="003A6249"/>
    <w:rsid w:val="003A6795"/>
    <w:rsid w:val="003A682D"/>
    <w:rsid w:val="003A68F8"/>
    <w:rsid w:val="003A6AD5"/>
    <w:rsid w:val="003A7251"/>
    <w:rsid w:val="003A72E6"/>
    <w:rsid w:val="003A75BF"/>
    <w:rsid w:val="003A7778"/>
    <w:rsid w:val="003A78DB"/>
    <w:rsid w:val="003A79C1"/>
    <w:rsid w:val="003A79C6"/>
    <w:rsid w:val="003A7B10"/>
    <w:rsid w:val="003A7C56"/>
    <w:rsid w:val="003A7CBD"/>
    <w:rsid w:val="003A7F21"/>
    <w:rsid w:val="003B02E5"/>
    <w:rsid w:val="003B042F"/>
    <w:rsid w:val="003B0481"/>
    <w:rsid w:val="003B05B5"/>
    <w:rsid w:val="003B079B"/>
    <w:rsid w:val="003B0A1D"/>
    <w:rsid w:val="003B0DF7"/>
    <w:rsid w:val="003B0EAF"/>
    <w:rsid w:val="003B116C"/>
    <w:rsid w:val="003B1433"/>
    <w:rsid w:val="003B1439"/>
    <w:rsid w:val="003B182F"/>
    <w:rsid w:val="003B18C7"/>
    <w:rsid w:val="003B1B08"/>
    <w:rsid w:val="003B1B2D"/>
    <w:rsid w:val="003B2017"/>
    <w:rsid w:val="003B2219"/>
    <w:rsid w:val="003B2392"/>
    <w:rsid w:val="003B249C"/>
    <w:rsid w:val="003B2511"/>
    <w:rsid w:val="003B2773"/>
    <w:rsid w:val="003B27A8"/>
    <w:rsid w:val="003B2882"/>
    <w:rsid w:val="003B2B97"/>
    <w:rsid w:val="003B2CB3"/>
    <w:rsid w:val="003B2E1A"/>
    <w:rsid w:val="003B2F70"/>
    <w:rsid w:val="003B2FA0"/>
    <w:rsid w:val="003B3292"/>
    <w:rsid w:val="003B3567"/>
    <w:rsid w:val="003B3CB9"/>
    <w:rsid w:val="003B3FB9"/>
    <w:rsid w:val="003B4304"/>
    <w:rsid w:val="003B43A0"/>
    <w:rsid w:val="003B43EC"/>
    <w:rsid w:val="003B4450"/>
    <w:rsid w:val="003B4597"/>
    <w:rsid w:val="003B45FB"/>
    <w:rsid w:val="003B465F"/>
    <w:rsid w:val="003B4799"/>
    <w:rsid w:val="003B4802"/>
    <w:rsid w:val="003B4821"/>
    <w:rsid w:val="003B502B"/>
    <w:rsid w:val="003B553A"/>
    <w:rsid w:val="003B563A"/>
    <w:rsid w:val="003B5673"/>
    <w:rsid w:val="003B56AB"/>
    <w:rsid w:val="003B578B"/>
    <w:rsid w:val="003B5834"/>
    <w:rsid w:val="003B5ADB"/>
    <w:rsid w:val="003B6113"/>
    <w:rsid w:val="003B6288"/>
    <w:rsid w:val="003B6424"/>
    <w:rsid w:val="003B6578"/>
    <w:rsid w:val="003B6711"/>
    <w:rsid w:val="003B6779"/>
    <w:rsid w:val="003B67A5"/>
    <w:rsid w:val="003B6B8C"/>
    <w:rsid w:val="003B6BD2"/>
    <w:rsid w:val="003B6C08"/>
    <w:rsid w:val="003B6C52"/>
    <w:rsid w:val="003B6CDB"/>
    <w:rsid w:val="003B6D3D"/>
    <w:rsid w:val="003B6FCD"/>
    <w:rsid w:val="003B6FED"/>
    <w:rsid w:val="003B703F"/>
    <w:rsid w:val="003B711C"/>
    <w:rsid w:val="003B737E"/>
    <w:rsid w:val="003B7596"/>
    <w:rsid w:val="003B789D"/>
    <w:rsid w:val="003B78C4"/>
    <w:rsid w:val="003B7A57"/>
    <w:rsid w:val="003B7B9A"/>
    <w:rsid w:val="003B7C35"/>
    <w:rsid w:val="003B7CE1"/>
    <w:rsid w:val="003B7F72"/>
    <w:rsid w:val="003C0296"/>
    <w:rsid w:val="003C0404"/>
    <w:rsid w:val="003C0577"/>
    <w:rsid w:val="003C0604"/>
    <w:rsid w:val="003C0AD2"/>
    <w:rsid w:val="003C0CD2"/>
    <w:rsid w:val="003C0D38"/>
    <w:rsid w:val="003C0E23"/>
    <w:rsid w:val="003C0F04"/>
    <w:rsid w:val="003C11C3"/>
    <w:rsid w:val="003C153E"/>
    <w:rsid w:val="003C17BB"/>
    <w:rsid w:val="003C1B37"/>
    <w:rsid w:val="003C1CFD"/>
    <w:rsid w:val="003C1E95"/>
    <w:rsid w:val="003C1F0C"/>
    <w:rsid w:val="003C20A0"/>
    <w:rsid w:val="003C2448"/>
    <w:rsid w:val="003C245D"/>
    <w:rsid w:val="003C24FD"/>
    <w:rsid w:val="003C2776"/>
    <w:rsid w:val="003C287C"/>
    <w:rsid w:val="003C2BB5"/>
    <w:rsid w:val="003C2CFA"/>
    <w:rsid w:val="003C2DA4"/>
    <w:rsid w:val="003C2DF6"/>
    <w:rsid w:val="003C2EA3"/>
    <w:rsid w:val="003C2F43"/>
    <w:rsid w:val="003C319F"/>
    <w:rsid w:val="003C3481"/>
    <w:rsid w:val="003C35A6"/>
    <w:rsid w:val="003C3682"/>
    <w:rsid w:val="003C384A"/>
    <w:rsid w:val="003C390B"/>
    <w:rsid w:val="003C3965"/>
    <w:rsid w:val="003C3B28"/>
    <w:rsid w:val="003C3C3C"/>
    <w:rsid w:val="003C3CE9"/>
    <w:rsid w:val="003C3E35"/>
    <w:rsid w:val="003C452F"/>
    <w:rsid w:val="003C4544"/>
    <w:rsid w:val="003C45A9"/>
    <w:rsid w:val="003C4698"/>
    <w:rsid w:val="003C4838"/>
    <w:rsid w:val="003C4ACE"/>
    <w:rsid w:val="003C4DF3"/>
    <w:rsid w:val="003C53F3"/>
    <w:rsid w:val="003C54FF"/>
    <w:rsid w:val="003C568D"/>
    <w:rsid w:val="003C5B2F"/>
    <w:rsid w:val="003C5BB6"/>
    <w:rsid w:val="003C6218"/>
    <w:rsid w:val="003C68BE"/>
    <w:rsid w:val="003C6B94"/>
    <w:rsid w:val="003C6BBB"/>
    <w:rsid w:val="003C6C24"/>
    <w:rsid w:val="003C704E"/>
    <w:rsid w:val="003C7320"/>
    <w:rsid w:val="003C73EB"/>
    <w:rsid w:val="003C7697"/>
    <w:rsid w:val="003C77BD"/>
    <w:rsid w:val="003C7812"/>
    <w:rsid w:val="003C7857"/>
    <w:rsid w:val="003C7D73"/>
    <w:rsid w:val="003D0112"/>
    <w:rsid w:val="003D019D"/>
    <w:rsid w:val="003D046F"/>
    <w:rsid w:val="003D0820"/>
    <w:rsid w:val="003D0B2B"/>
    <w:rsid w:val="003D0B6A"/>
    <w:rsid w:val="003D0BB1"/>
    <w:rsid w:val="003D0C6F"/>
    <w:rsid w:val="003D0C7C"/>
    <w:rsid w:val="003D0CCF"/>
    <w:rsid w:val="003D0CE3"/>
    <w:rsid w:val="003D0DA4"/>
    <w:rsid w:val="003D0DCB"/>
    <w:rsid w:val="003D0FA8"/>
    <w:rsid w:val="003D10CB"/>
    <w:rsid w:val="003D137E"/>
    <w:rsid w:val="003D1468"/>
    <w:rsid w:val="003D17C5"/>
    <w:rsid w:val="003D18FC"/>
    <w:rsid w:val="003D1A48"/>
    <w:rsid w:val="003D1AC4"/>
    <w:rsid w:val="003D1E45"/>
    <w:rsid w:val="003D236F"/>
    <w:rsid w:val="003D24E7"/>
    <w:rsid w:val="003D2689"/>
    <w:rsid w:val="003D269E"/>
    <w:rsid w:val="003D2712"/>
    <w:rsid w:val="003D2B5A"/>
    <w:rsid w:val="003D2DFC"/>
    <w:rsid w:val="003D2FF9"/>
    <w:rsid w:val="003D3112"/>
    <w:rsid w:val="003D326B"/>
    <w:rsid w:val="003D32B7"/>
    <w:rsid w:val="003D3690"/>
    <w:rsid w:val="003D36C9"/>
    <w:rsid w:val="003D3730"/>
    <w:rsid w:val="003D3734"/>
    <w:rsid w:val="003D3B62"/>
    <w:rsid w:val="003D3B8F"/>
    <w:rsid w:val="003D3EE6"/>
    <w:rsid w:val="003D42C3"/>
    <w:rsid w:val="003D4373"/>
    <w:rsid w:val="003D447A"/>
    <w:rsid w:val="003D45DD"/>
    <w:rsid w:val="003D46A0"/>
    <w:rsid w:val="003D4794"/>
    <w:rsid w:val="003D4A87"/>
    <w:rsid w:val="003D4AB5"/>
    <w:rsid w:val="003D4B8F"/>
    <w:rsid w:val="003D4CDE"/>
    <w:rsid w:val="003D4DF5"/>
    <w:rsid w:val="003D4F21"/>
    <w:rsid w:val="003D4F2A"/>
    <w:rsid w:val="003D4F3C"/>
    <w:rsid w:val="003D50B9"/>
    <w:rsid w:val="003D51D0"/>
    <w:rsid w:val="003D5D1D"/>
    <w:rsid w:val="003D6187"/>
    <w:rsid w:val="003D6318"/>
    <w:rsid w:val="003D6682"/>
    <w:rsid w:val="003D675D"/>
    <w:rsid w:val="003D67C6"/>
    <w:rsid w:val="003D6A92"/>
    <w:rsid w:val="003D6D84"/>
    <w:rsid w:val="003D6DEF"/>
    <w:rsid w:val="003D6DF2"/>
    <w:rsid w:val="003D6F0A"/>
    <w:rsid w:val="003D707F"/>
    <w:rsid w:val="003D7236"/>
    <w:rsid w:val="003D73E9"/>
    <w:rsid w:val="003D7545"/>
    <w:rsid w:val="003D767C"/>
    <w:rsid w:val="003D77FB"/>
    <w:rsid w:val="003D7A7F"/>
    <w:rsid w:val="003D7A9D"/>
    <w:rsid w:val="003D7BD5"/>
    <w:rsid w:val="003E07AF"/>
    <w:rsid w:val="003E07DF"/>
    <w:rsid w:val="003E0853"/>
    <w:rsid w:val="003E0B3F"/>
    <w:rsid w:val="003E0BEF"/>
    <w:rsid w:val="003E0D8D"/>
    <w:rsid w:val="003E127F"/>
    <w:rsid w:val="003E1310"/>
    <w:rsid w:val="003E168B"/>
    <w:rsid w:val="003E1C08"/>
    <w:rsid w:val="003E1C98"/>
    <w:rsid w:val="003E1F5D"/>
    <w:rsid w:val="003E2074"/>
    <w:rsid w:val="003E2129"/>
    <w:rsid w:val="003E215C"/>
    <w:rsid w:val="003E23B9"/>
    <w:rsid w:val="003E2439"/>
    <w:rsid w:val="003E2862"/>
    <w:rsid w:val="003E29F8"/>
    <w:rsid w:val="003E2A9F"/>
    <w:rsid w:val="003E2FAD"/>
    <w:rsid w:val="003E305A"/>
    <w:rsid w:val="003E362C"/>
    <w:rsid w:val="003E3706"/>
    <w:rsid w:val="003E39BE"/>
    <w:rsid w:val="003E3CA2"/>
    <w:rsid w:val="003E3D6F"/>
    <w:rsid w:val="003E3DF0"/>
    <w:rsid w:val="003E4081"/>
    <w:rsid w:val="003E420F"/>
    <w:rsid w:val="003E42AF"/>
    <w:rsid w:val="003E434C"/>
    <w:rsid w:val="003E4884"/>
    <w:rsid w:val="003E49CD"/>
    <w:rsid w:val="003E4A99"/>
    <w:rsid w:val="003E4B9E"/>
    <w:rsid w:val="003E50E6"/>
    <w:rsid w:val="003E5278"/>
    <w:rsid w:val="003E53D3"/>
    <w:rsid w:val="003E54A7"/>
    <w:rsid w:val="003E54B7"/>
    <w:rsid w:val="003E560E"/>
    <w:rsid w:val="003E586A"/>
    <w:rsid w:val="003E5900"/>
    <w:rsid w:val="003E5D4D"/>
    <w:rsid w:val="003E5DC1"/>
    <w:rsid w:val="003E5F2D"/>
    <w:rsid w:val="003E6270"/>
    <w:rsid w:val="003E640F"/>
    <w:rsid w:val="003E6926"/>
    <w:rsid w:val="003E69E3"/>
    <w:rsid w:val="003E6A79"/>
    <w:rsid w:val="003E6C42"/>
    <w:rsid w:val="003E7381"/>
    <w:rsid w:val="003E73F7"/>
    <w:rsid w:val="003E747D"/>
    <w:rsid w:val="003E757E"/>
    <w:rsid w:val="003E794D"/>
    <w:rsid w:val="003E7951"/>
    <w:rsid w:val="003E7AF3"/>
    <w:rsid w:val="003E7CC8"/>
    <w:rsid w:val="003E7D40"/>
    <w:rsid w:val="003E7F43"/>
    <w:rsid w:val="003E7FBC"/>
    <w:rsid w:val="003F022A"/>
    <w:rsid w:val="003F0247"/>
    <w:rsid w:val="003F0341"/>
    <w:rsid w:val="003F0440"/>
    <w:rsid w:val="003F06BD"/>
    <w:rsid w:val="003F0873"/>
    <w:rsid w:val="003F0882"/>
    <w:rsid w:val="003F09AF"/>
    <w:rsid w:val="003F0F4F"/>
    <w:rsid w:val="003F110A"/>
    <w:rsid w:val="003F13A0"/>
    <w:rsid w:val="003F17C6"/>
    <w:rsid w:val="003F17E8"/>
    <w:rsid w:val="003F1A42"/>
    <w:rsid w:val="003F1C6B"/>
    <w:rsid w:val="003F1CC4"/>
    <w:rsid w:val="003F1EAF"/>
    <w:rsid w:val="003F2128"/>
    <w:rsid w:val="003F2318"/>
    <w:rsid w:val="003F24BB"/>
    <w:rsid w:val="003F26BA"/>
    <w:rsid w:val="003F2904"/>
    <w:rsid w:val="003F2C79"/>
    <w:rsid w:val="003F2CA8"/>
    <w:rsid w:val="003F2E3A"/>
    <w:rsid w:val="003F2E71"/>
    <w:rsid w:val="003F2F93"/>
    <w:rsid w:val="003F2F9A"/>
    <w:rsid w:val="003F2FA1"/>
    <w:rsid w:val="003F30F5"/>
    <w:rsid w:val="003F3A9D"/>
    <w:rsid w:val="003F3D89"/>
    <w:rsid w:val="003F3EDB"/>
    <w:rsid w:val="003F3FA0"/>
    <w:rsid w:val="003F4039"/>
    <w:rsid w:val="003F41F7"/>
    <w:rsid w:val="003F43F9"/>
    <w:rsid w:val="003F448F"/>
    <w:rsid w:val="003F45AE"/>
    <w:rsid w:val="003F47E6"/>
    <w:rsid w:val="003F4926"/>
    <w:rsid w:val="003F4DE6"/>
    <w:rsid w:val="003F4E3B"/>
    <w:rsid w:val="003F4E8D"/>
    <w:rsid w:val="003F5067"/>
    <w:rsid w:val="003F50F0"/>
    <w:rsid w:val="003F51E7"/>
    <w:rsid w:val="003F550B"/>
    <w:rsid w:val="003F5544"/>
    <w:rsid w:val="003F5929"/>
    <w:rsid w:val="003F5962"/>
    <w:rsid w:val="003F5973"/>
    <w:rsid w:val="003F5A20"/>
    <w:rsid w:val="003F5B2D"/>
    <w:rsid w:val="003F5B8B"/>
    <w:rsid w:val="003F5F82"/>
    <w:rsid w:val="003F6086"/>
    <w:rsid w:val="003F60D0"/>
    <w:rsid w:val="003F62FA"/>
    <w:rsid w:val="003F66D5"/>
    <w:rsid w:val="003F6BC4"/>
    <w:rsid w:val="003F6C01"/>
    <w:rsid w:val="003F6C13"/>
    <w:rsid w:val="003F6D1D"/>
    <w:rsid w:val="003F6EFD"/>
    <w:rsid w:val="003F7085"/>
    <w:rsid w:val="003F70AB"/>
    <w:rsid w:val="003F70FD"/>
    <w:rsid w:val="003F743A"/>
    <w:rsid w:val="003F7454"/>
    <w:rsid w:val="003F780B"/>
    <w:rsid w:val="003F78AC"/>
    <w:rsid w:val="003F798A"/>
    <w:rsid w:val="003F7A32"/>
    <w:rsid w:val="003F7BD1"/>
    <w:rsid w:val="003F7D58"/>
    <w:rsid w:val="003F7E15"/>
    <w:rsid w:val="003F7F6A"/>
    <w:rsid w:val="00400028"/>
    <w:rsid w:val="0040008F"/>
    <w:rsid w:val="004000BB"/>
    <w:rsid w:val="00400306"/>
    <w:rsid w:val="004005D5"/>
    <w:rsid w:val="00400963"/>
    <w:rsid w:val="00400B27"/>
    <w:rsid w:val="00400B57"/>
    <w:rsid w:val="00400BAE"/>
    <w:rsid w:val="00400D5C"/>
    <w:rsid w:val="00400DF6"/>
    <w:rsid w:val="00401054"/>
    <w:rsid w:val="0040124C"/>
    <w:rsid w:val="00401291"/>
    <w:rsid w:val="00401477"/>
    <w:rsid w:val="0040147A"/>
    <w:rsid w:val="004017F4"/>
    <w:rsid w:val="00401858"/>
    <w:rsid w:val="00401B46"/>
    <w:rsid w:val="00401D2C"/>
    <w:rsid w:val="00401E69"/>
    <w:rsid w:val="00401EB7"/>
    <w:rsid w:val="00401ECD"/>
    <w:rsid w:val="00402062"/>
    <w:rsid w:val="004025FC"/>
    <w:rsid w:val="00402BE6"/>
    <w:rsid w:val="00402D51"/>
    <w:rsid w:val="00402F5D"/>
    <w:rsid w:val="004030F2"/>
    <w:rsid w:val="0040313E"/>
    <w:rsid w:val="0040319E"/>
    <w:rsid w:val="00403446"/>
    <w:rsid w:val="00403648"/>
    <w:rsid w:val="004036E3"/>
    <w:rsid w:val="00403AD0"/>
    <w:rsid w:val="00403BBB"/>
    <w:rsid w:val="00403BF5"/>
    <w:rsid w:val="00403C6F"/>
    <w:rsid w:val="00403C7B"/>
    <w:rsid w:val="00403D45"/>
    <w:rsid w:val="004041E6"/>
    <w:rsid w:val="00404290"/>
    <w:rsid w:val="004042C5"/>
    <w:rsid w:val="0040431F"/>
    <w:rsid w:val="004045EC"/>
    <w:rsid w:val="004046D4"/>
    <w:rsid w:val="00404757"/>
    <w:rsid w:val="0040480D"/>
    <w:rsid w:val="00404C75"/>
    <w:rsid w:val="0040504E"/>
    <w:rsid w:val="00405271"/>
    <w:rsid w:val="0040581D"/>
    <w:rsid w:val="0040596E"/>
    <w:rsid w:val="00405B89"/>
    <w:rsid w:val="00405E41"/>
    <w:rsid w:val="00406020"/>
    <w:rsid w:val="0040603D"/>
    <w:rsid w:val="004060A8"/>
    <w:rsid w:val="00406368"/>
    <w:rsid w:val="00406754"/>
    <w:rsid w:val="00406861"/>
    <w:rsid w:val="00406AC4"/>
    <w:rsid w:val="00406C0F"/>
    <w:rsid w:val="00406EE8"/>
    <w:rsid w:val="00406F17"/>
    <w:rsid w:val="00407013"/>
    <w:rsid w:val="004074EF"/>
    <w:rsid w:val="004077CE"/>
    <w:rsid w:val="0040791C"/>
    <w:rsid w:val="00407AA2"/>
    <w:rsid w:val="00407B10"/>
    <w:rsid w:val="00407B9D"/>
    <w:rsid w:val="00407BAD"/>
    <w:rsid w:val="00410126"/>
    <w:rsid w:val="004104BF"/>
    <w:rsid w:val="00410BCE"/>
    <w:rsid w:val="00410C4A"/>
    <w:rsid w:val="00410D62"/>
    <w:rsid w:val="00410DFC"/>
    <w:rsid w:val="00410E64"/>
    <w:rsid w:val="00410E80"/>
    <w:rsid w:val="00410EA5"/>
    <w:rsid w:val="00410F6D"/>
    <w:rsid w:val="0041109D"/>
    <w:rsid w:val="0041155D"/>
    <w:rsid w:val="004117FB"/>
    <w:rsid w:val="004118C7"/>
    <w:rsid w:val="00411BAB"/>
    <w:rsid w:val="00411C6F"/>
    <w:rsid w:val="00411DCE"/>
    <w:rsid w:val="00412173"/>
    <w:rsid w:val="00412315"/>
    <w:rsid w:val="004124E3"/>
    <w:rsid w:val="0041257B"/>
    <w:rsid w:val="00412802"/>
    <w:rsid w:val="0041281A"/>
    <w:rsid w:val="00412A66"/>
    <w:rsid w:val="00412A85"/>
    <w:rsid w:val="00412AB4"/>
    <w:rsid w:val="00412AE8"/>
    <w:rsid w:val="0041302A"/>
    <w:rsid w:val="004131F7"/>
    <w:rsid w:val="00413311"/>
    <w:rsid w:val="00413345"/>
    <w:rsid w:val="004135E8"/>
    <w:rsid w:val="00413809"/>
    <w:rsid w:val="00413C20"/>
    <w:rsid w:val="00413EC4"/>
    <w:rsid w:val="00413F2C"/>
    <w:rsid w:val="004140B0"/>
    <w:rsid w:val="00414653"/>
    <w:rsid w:val="00414956"/>
    <w:rsid w:val="0041496B"/>
    <w:rsid w:val="00414A82"/>
    <w:rsid w:val="004151B0"/>
    <w:rsid w:val="004153EC"/>
    <w:rsid w:val="004157F7"/>
    <w:rsid w:val="0041590C"/>
    <w:rsid w:val="00415963"/>
    <w:rsid w:val="00415C2B"/>
    <w:rsid w:val="00415C51"/>
    <w:rsid w:val="0041602D"/>
    <w:rsid w:val="0041620F"/>
    <w:rsid w:val="00416213"/>
    <w:rsid w:val="004162CA"/>
    <w:rsid w:val="00416449"/>
    <w:rsid w:val="0041668C"/>
    <w:rsid w:val="00416D7B"/>
    <w:rsid w:val="00416F9B"/>
    <w:rsid w:val="00416FE0"/>
    <w:rsid w:val="00417037"/>
    <w:rsid w:val="00417068"/>
    <w:rsid w:val="00417179"/>
    <w:rsid w:val="00417236"/>
    <w:rsid w:val="0041726F"/>
    <w:rsid w:val="0041753F"/>
    <w:rsid w:val="00417673"/>
    <w:rsid w:val="00417844"/>
    <w:rsid w:val="00417846"/>
    <w:rsid w:val="004178DE"/>
    <w:rsid w:val="00417C89"/>
    <w:rsid w:val="00417C9F"/>
    <w:rsid w:val="00417E15"/>
    <w:rsid w:val="004201D7"/>
    <w:rsid w:val="004203D4"/>
    <w:rsid w:val="004205A4"/>
    <w:rsid w:val="00420826"/>
    <w:rsid w:val="00420B02"/>
    <w:rsid w:val="00421144"/>
    <w:rsid w:val="004213E8"/>
    <w:rsid w:val="00421402"/>
    <w:rsid w:val="00421747"/>
    <w:rsid w:val="004217DC"/>
    <w:rsid w:val="00421A6D"/>
    <w:rsid w:val="00421B35"/>
    <w:rsid w:val="00421F48"/>
    <w:rsid w:val="004221EB"/>
    <w:rsid w:val="00422401"/>
    <w:rsid w:val="0042245F"/>
    <w:rsid w:val="004225BD"/>
    <w:rsid w:val="0042269D"/>
    <w:rsid w:val="00422808"/>
    <w:rsid w:val="00422A8F"/>
    <w:rsid w:val="004230B7"/>
    <w:rsid w:val="00423518"/>
    <w:rsid w:val="00423B98"/>
    <w:rsid w:val="00423BEC"/>
    <w:rsid w:val="00423CA8"/>
    <w:rsid w:val="00423CD2"/>
    <w:rsid w:val="00423CE2"/>
    <w:rsid w:val="00423E5E"/>
    <w:rsid w:val="00423F9F"/>
    <w:rsid w:val="004240FC"/>
    <w:rsid w:val="004241EE"/>
    <w:rsid w:val="0042422F"/>
    <w:rsid w:val="0042435C"/>
    <w:rsid w:val="00424E80"/>
    <w:rsid w:val="00425297"/>
    <w:rsid w:val="00425467"/>
    <w:rsid w:val="004255DF"/>
    <w:rsid w:val="0042567D"/>
    <w:rsid w:val="004256A8"/>
    <w:rsid w:val="00425A36"/>
    <w:rsid w:val="00425CE7"/>
    <w:rsid w:val="00425E54"/>
    <w:rsid w:val="00425EB6"/>
    <w:rsid w:val="00425F99"/>
    <w:rsid w:val="00426377"/>
    <w:rsid w:val="0042660D"/>
    <w:rsid w:val="00426923"/>
    <w:rsid w:val="0042698A"/>
    <w:rsid w:val="00426AA3"/>
    <w:rsid w:val="00426E34"/>
    <w:rsid w:val="00426F7A"/>
    <w:rsid w:val="00426FCA"/>
    <w:rsid w:val="004270ED"/>
    <w:rsid w:val="004273BD"/>
    <w:rsid w:val="004276F2"/>
    <w:rsid w:val="0042791E"/>
    <w:rsid w:val="00427A06"/>
    <w:rsid w:val="00427CCF"/>
    <w:rsid w:val="00429CAA"/>
    <w:rsid w:val="004300C0"/>
    <w:rsid w:val="004304C7"/>
    <w:rsid w:val="00430513"/>
    <w:rsid w:val="004308CA"/>
    <w:rsid w:val="00430A75"/>
    <w:rsid w:val="00430E45"/>
    <w:rsid w:val="00430E7C"/>
    <w:rsid w:val="00430EC8"/>
    <w:rsid w:val="00430F84"/>
    <w:rsid w:val="004311EB"/>
    <w:rsid w:val="004313F5"/>
    <w:rsid w:val="0043141B"/>
    <w:rsid w:val="0043141E"/>
    <w:rsid w:val="0043142A"/>
    <w:rsid w:val="004314EE"/>
    <w:rsid w:val="0043156A"/>
    <w:rsid w:val="004315DF"/>
    <w:rsid w:val="00431ABE"/>
    <w:rsid w:val="00431CBC"/>
    <w:rsid w:val="00431E37"/>
    <w:rsid w:val="00431E8F"/>
    <w:rsid w:val="00431EA8"/>
    <w:rsid w:val="00431EFA"/>
    <w:rsid w:val="00432094"/>
    <w:rsid w:val="004323E9"/>
    <w:rsid w:val="0043259A"/>
    <w:rsid w:val="0043268D"/>
    <w:rsid w:val="0043281C"/>
    <w:rsid w:val="00432B34"/>
    <w:rsid w:val="00432B7E"/>
    <w:rsid w:val="00432D86"/>
    <w:rsid w:val="00432F68"/>
    <w:rsid w:val="00433029"/>
    <w:rsid w:val="004330AD"/>
    <w:rsid w:val="00433171"/>
    <w:rsid w:val="0043341F"/>
    <w:rsid w:val="00433568"/>
    <w:rsid w:val="004336AD"/>
    <w:rsid w:val="004337A3"/>
    <w:rsid w:val="004338DA"/>
    <w:rsid w:val="00433C2D"/>
    <w:rsid w:val="00433E77"/>
    <w:rsid w:val="004340E0"/>
    <w:rsid w:val="004340E3"/>
    <w:rsid w:val="00434141"/>
    <w:rsid w:val="004343C8"/>
    <w:rsid w:val="004343D3"/>
    <w:rsid w:val="00434405"/>
    <w:rsid w:val="00434407"/>
    <w:rsid w:val="0043457C"/>
    <w:rsid w:val="004348F5"/>
    <w:rsid w:val="00434A50"/>
    <w:rsid w:val="00434BBF"/>
    <w:rsid w:val="00434D64"/>
    <w:rsid w:val="00434EFD"/>
    <w:rsid w:val="00434F61"/>
    <w:rsid w:val="00435025"/>
    <w:rsid w:val="0043547F"/>
    <w:rsid w:val="004355AE"/>
    <w:rsid w:val="004355E3"/>
    <w:rsid w:val="004355EA"/>
    <w:rsid w:val="0043585A"/>
    <w:rsid w:val="00435939"/>
    <w:rsid w:val="004359F1"/>
    <w:rsid w:val="00435F0D"/>
    <w:rsid w:val="00436719"/>
    <w:rsid w:val="00436730"/>
    <w:rsid w:val="00436AFF"/>
    <w:rsid w:val="00436B7B"/>
    <w:rsid w:val="00436C23"/>
    <w:rsid w:val="00436CC3"/>
    <w:rsid w:val="00436D1F"/>
    <w:rsid w:val="00436D6B"/>
    <w:rsid w:val="0043715C"/>
    <w:rsid w:val="004371CD"/>
    <w:rsid w:val="0043787D"/>
    <w:rsid w:val="00437894"/>
    <w:rsid w:val="00437967"/>
    <w:rsid w:val="00437A06"/>
    <w:rsid w:val="00437B11"/>
    <w:rsid w:val="00437D5D"/>
    <w:rsid w:val="00437EE9"/>
    <w:rsid w:val="00440369"/>
    <w:rsid w:val="004403EE"/>
    <w:rsid w:val="004406D8"/>
    <w:rsid w:val="00440883"/>
    <w:rsid w:val="00440926"/>
    <w:rsid w:val="004409AC"/>
    <w:rsid w:val="00440A39"/>
    <w:rsid w:val="00440A97"/>
    <w:rsid w:val="00440E6A"/>
    <w:rsid w:val="00440EB8"/>
    <w:rsid w:val="004411F1"/>
    <w:rsid w:val="0044126B"/>
    <w:rsid w:val="004414CB"/>
    <w:rsid w:val="0044158A"/>
    <w:rsid w:val="0044186D"/>
    <w:rsid w:val="00441C79"/>
    <w:rsid w:val="00442159"/>
    <w:rsid w:val="00442397"/>
    <w:rsid w:val="004423CB"/>
    <w:rsid w:val="004424BA"/>
    <w:rsid w:val="0044267D"/>
    <w:rsid w:val="00442C95"/>
    <w:rsid w:val="00442D18"/>
    <w:rsid w:val="00442F97"/>
    <w:rsid w:val="00443061"/>
    <w:rsid w:val="00443345"/>
    <w:rsid w:val="00443447"/>
    <w:rsid w:val="004438BB"/>
    <w:rsid w:val="00443982"/>
    <w:rsid w:val="00443A5F"/>
    <w:rsid w:val="00443B28"/>
    <w:rsid w:val="00443C25"/>
    <w:rsid w:val="00443F01"/>
    <w:rsid w:val="004444AD"/>
    <w:rsid w:val="004446CC"/>
    <w:rsid w:val="004447AE"/>
    <w:rsid w:val="00444893"/>
    <w:rsid w:val="00444978"/>
    <w:rsid w:val="00444A36"/>
    <w:rsid w:val="00444AB8"/>
    <w:rsid w:val="00444B10"/>
    <w:rsid w:val="00444D91"/>
    <w:rsid w:val="004452C3"/>
    <w:rsid w:val="00445321"/>
    <w:rsid w:val="0044539C"/>
    <w:rsid w:val="004454B4"/>
    <w:rsid w:val="00445538"/>
    <w:rsid w:val="00445733"/>
    <w:rsid w:val="00445751"/>
    <w:rsid w:val="00445855"/>
    <w:rsid w:val="00445905"/>
    <w:rsid w:val="00445B1F"/>
    <w:rsid w:val="00445BEC"/>
    <w:rsid w:val="00445C09"/>
    <w:rsid w:val="00445C95"/>
    <w:rsid w:val="00445CAC"/>
    <w:rsid w:val="00445DDB"/>
    <w:rsid w:val="00445F46"/>
    <w:rsid w:val="00446198"/>
    <w:rsid w:val="0044639C"/>
    <w:rsid w:val="004465AE"/>
    <w:rsid w:val="004465CF"/>
    <w:rsid w:val="0044665C"/>
    <w:rsid w:val="00446742"/>
    <w:rsid w:val="00446974"/>
    <w:rsid w:val="004469C0"/>
    <w:rsid w:val="00446B2A"/>
    <w:rsid w:val="00446B40"/>
    <w:rsid w:val="00446DEE"/>
    <w:rsid w:val="004473F4"/>
    <w:rsid w:val="00447566"/>
    <w:rsid w:val="0044776D"/>
    <w:rsid w:val="00447800"/>
    <w:rsid w:val="004478D5"/>
    <w:rsid w:val="0044794D"/>
    <w:rsid w:val="00447BF5"/>
    <w:rsid w:val="00447EFA"/>
    <w:rsid w:val="00450122"/>
    <w:rsid w:val="00450238"/>
    <w:rsid w:val="004503BA"/>
    <w:rsid w:val="0045049C"/>
    <w:rsid w:val="004505DB"/>
    <w:rsid w:val="00450626"/>
    <w:rsid w:val="00450741"/>
    <w:rsid w:val="00450FC3"/>
    <w:rsid w:val="00451164"/>
    <w:rsid w:val="00451241"/>
    <w:rsid w:val="00451320"/>
    <w:rsid w:val="004518CA"/>
    <w:rsid w:val="0045195B"/>
    <w:rsid w:val="00451D75"/>
    <w:rsid w:val="00452384"/>
    <w:rsid w:val="004527E1"/>
    <w:rsid w:val="00452A40"/>
    <w:rsid w:val="00452B13"/>
    <w:rsid w:val="00452F5F"/>
    <w:rsid w:val="00452F7C"/>
    <w:rsid w:val="0045302C"/>
    <w:rsid w:val="00453132"/>
    <w:rsid w:val="004534E7"/>
    <w:rsid w:val="00453611"/>
    <w:rsid w:val="00453976"/>
    <w:rsid w:val="00453E5B"/>
    <w:rsid w:val="00453F29"/>
    <w:rsid w:val="00453F6E"/>
    <w:rsid w:val="00454428"/>
    <w:rsid w:val="00454431"/>
    <w:rsid w:val="0045461F"/>
    <w:rsid w:val="00454948"/>
    <w:rsid w:val="004553F1"/>
    <w:rsid w:val="00455462"/>
    <w:rsid w:val="004555C1"/>
    <w:rsid w:val="004555D0"/>
    <w:rsid w:val="0045571A"/>
    <w:rsid w:val="004558BE"/>
    <w:rsid w:val="00455940"/>
    <w:rsid w:val="00455C1A"/>
    <w:rsid w:val="00455CFF"/>
    <w:rsid w:val="00455DDE"/>
    <w:rsid w:val="00456068"/>
    <w:rsid w:val="004560AA"/>
    <w:rsid w:val="004563C7"/>
    <w:rsid w:val="0045649D"/>
    <w:rsid w:val="0045668F"/>
    <w:rsid w:val="004567B9"/>
    <w:rsid w:val="0045699B"/>
    <w:rsid w:val="004569CC"/>
    <w:rsid w:val="00456A8B"/>
    <w:rsid w:val="00456D67"/>
    <w:rsid w:val="00456D7A"/>
    <w:rsid w:val="00456E7D"/>
    <w:rsid w:val="00456EC4"/>
    <w:rsid w:val="00456F25"/>
    <w:rsid w:val="00456F7C"/>
    <w:rsid w:val="00457002"/>
    <w:rsid w:val="004571B3"/>
    <w:rsid w:val="0045724B"/>
    <w:rsid w:val="00457288"/>
    <w:rsid w:val="004574D3"/>
    <w:rsid w:val="00457538"/>
    <w:rsid w:val="0045789A"/>
    <w:rsid w:val="00457A0A"/>
    <w:rsid w:val="00457E53"/>
    <w:rsid w:val="00457E76"/>
    <w:rsid w:val="0046018E"/>
    <w:rsid w:val="004603E9"/>
    <w:rsid w:val="00460401"/>
    <w:rsid w:val="004605FF"/>
    <w:rsid w:val="00460600"/>
    <w:rsid w:val="0046081A"/>
    <w:rsid w:val="00460983"/>
    <w:rsid w:val="00460B30"/>
    <w:rsid w:val="00460C5E"/>
    <w:rsid w:val="00460CC1"/>
    <w:rsid w:val="00460E58"/>
    <w:rsid w:val="00460E5E"/>
    <w:rsid w:val="00460E7D"/>
    <w:rsid w:val="00461030"/>
    <w:rsid w:val="00461458"/>
    <w:rsid w:val="004615A1"/>
    <w:rsid w:val="00461693"/>
    <w:rsid w:val="004617F5"/>
    <w:rsid w:val="0046195E"/>
    <w:rsid w:val="00461B91"/>
    <w:rsid w:val="00461BE6"/>
    <w:rsid w:val="00461D97"/>
    <w:rsid w:val="00461EB2"/>
    <w:rsid w:val="00461EF5"/>
    <w:rsid w:val="00462207"/>
    <w:rsid w:val="00462700"/>
    <w:rsid w:val="00462AE7"/>
    <w:rsid w:val="00462B2C"/>
    <w:rsid w:val="00462C70"/>
    <w:rsid w:val="00462E21"/>
    <w:rsid w:val="00462F89"/>
    <w:rsid w:val="004630F6"/>
    <w:rsid w:val="004636DF"/>
    <w:rsid w:val="00463965"/>
    <w:rsid w:val="00463DE7"/>
    <w:rsid w:val="00463E4D"/>
    <w:rsid w:val="004640F4"/>
    <w:rsid w:val="0046425F"/>
    <w:rsid w:val="00464763"/>
    <w:rsid w:val="004647A2"/>
    <w:rsid w:val="004647CF"/>
    <w:rsid w:val="004648FE"/>
    <w:rsid w:val="004649F6"/>
    <w:rsid w:val="00464BCE"/>
    <w:rsid w:val="00464BF5"/>
    <w:rsid w:val="00464C84"/>
    <w:rsid w:val="00464DB7"/>
    <w:rsid w:val="00465326"/>
    <w:rsid w:val="004653A2"/>
    <w:rsid w:val="00465416"/>
    <w:rsid w:val="004654D3"/>
    <w:rsid w:val="0046553A"/>
    <w:rsid w:val="00465F7C"/>
    <w:rsid w:val="00466092"/>
    <w:rsid w:val="0046636E"/>
    <w:rsid w:val="0046643C"/>
    <w:rsid w:val="00466624"/>
    <w:rsid w:val="00466837"/>
    <w:rsid w:val="0046690B"/>
    <w:rsid w:val="0046696D"/>
    <w:rsid w:val="00466D6B"/>
    <w:rsid w:val="004671EE"/>
    <w:rsid w:val="0046728F"/>
    <w:rsid w:val="004678FF"/>
    <w:rsid w:val="00467988"/>
    <w:rsid w:val="004679FB"/>
    <w:rsid w:val="00467BBB"/>
    <w:rsid w:val="00467E62"/>
    <w:rsid w:val="00467F4C"/>
    <w:rsid w:val="00470140"/>
    <w:rsid w:val="0047016F"/>
    <w:rsid w:val="0047034C"/>
    <w:rsid w:val="0047043C"/>
    <w:rsid w:val="00470557"/>
    <w:rsid w:val="00470608"/>
    <w:rsid w:val="00470B43"/>
    <w:rsid w:val="00470BCC"/>
    <w:rsid w:val="00470E2A"/>
    <w:rsid w:val="00470E80"/>
    <w:rsid w:val="00470FA7"/>
    <w:rsid w:val="004710C8"/>
    <w:rsid w:val="004710F6"/>
    <w:rsid w:val="00471490"/>
    <w:rsid w:val="0047153D"/>
    <w:rsid w:val="00471AE9"/>
    <w:rsid w:val="00471CAF"/>
    <w:rsid w:val="00471FBE"/>
    <w:rsid w:val="00472027"/>
    <w:rsid w:val="0047250B"/>
    <w:rsid w:val="0047281F"/>
    <w:rsid w:val="00472965"/>
    <w:rsid w:val="00472E9D"/>
    <w:rsid w:val="0047317E"/>
    <w:rsid w:val="004733EF"/>
    <w:rsid w:val="0047387F"/>
    <w:rsid w:val="00473A5D"/>
    <w:rsid w:val="00473CC0"/>
    <w:rsid w:val="00473EA0"/>
    <w:rsid w:val="00474580"/>
    <w:rsid w:val="00474651"/>
    <w:rsid w:val="00474957"/>
    <w:rsid w:val="00474B7F"/>
    <w:rsid w:val="00474C37"/>
    <w:rsid w:val="00474DCF"/>
    <w:rsid w:val="00474E44"/>
    <w:rsid w:val="00474F11"/>
    <w:rsid w:val="004751F9"/>
    <w:rsid w:val="00475710"/>
    <w:rsid w:val="00475835"/>
    <w:rsid w:val="00475894"/>
    <w:rsid w:val="0047599C"/>
    <w:rsid w:val="00475A59"/>
    <w:rsid w:val="00475BF4"/>
    <w:rsid w:val="00475C36"/>
    <w:rsid w:val="00475CEC"/>
    <w:rsid w:val="00475DFA"/>
    <w:rsid w:val="004762C3"/>
    <w:rsid w:val="00476463"/>
    <w:rsid w:val="00476581"/>
    <w:rsid w:val="004769E2"/>
    <w:rsid w:val="00476C0A"/>
    <w:rsid w:val="00476D2A"/>
    <w:rsid w:val="00476D6F"/>
    <w:rsid w:val="00476E73"/>
    <w:rsid w:val="00476F72"/>
    <w:rsid w:val="004773FD"/>
    <w:rsid w:val="004778B7"/>
    <w:rsid w:val="00477C3B"/>
    <w:rsid w:val="00477DE4"/>
    <w:rsid w:val="00477EEA"/>
    <w:rsid w:val="00480106"/>
    <w:rsid w:val="004803A6"/>
    <w:rsid w:val="0048041C"/>
    <w:rsid w:val="004804DD"/>
    <w:rsid w:val="00480605"/>
    <w:rsid w:val="004807AA"/>
    <w:rsid w:val="0048083F"/>
    <w:rsid w:val="00480B0A"/>
    <w:rsid w:val="00480B89"/>
    <w:rsid w:val="00480DEC"/>
    <w:rsid w:val="00480E37"/>
    <w:rsid w:val="00480E58"/>
    <w:rsid w:val="00480F89"/>
    <w:rsid w:val="00480FA1"/>
    <w:rsid w:val="00481114"/>
    <w:rsid w:val="0048121F"/>
    <w:rsid w:val="004815AE"/>
    <w:rsid w:val="004816A1"/>
    <w:rsid w:val="00481F1D"/>
    <w:rsid w:val="004821DF"/>
    <w:rsid w:val="004822B5"/>
    <w:rsid w:val="00482623"/>
    <w:rsid w:val="00482755"/>
    <w:rsid w:val="004828EF"/>
    <w:rsid w:val="00482BDC"/>
    <w:rsid w:val="00482C6A"/>
    <w:rsid w:val="00482C86"/>
    <w:rsid w:val="00482D0C"/>
    <w:rsid w:val="00482FA8"/>
    <w:rsid w:val="004835F4"/>
    <w:rsid w:val="00483708"/>
    <w:rsid w:val="00483A60"/>
    <w:rsid w:val="00483F0A"/>
    <w:rsid w:val="00483F13"/>
    <w:rsid w:val="00484527"/>
    <w:rsid w:val="00484773"/>
    <w:rsid w:val="00484805"/>
    <w:rsid w:val="004848A7"/>
    <w:rsid w:val="004849EF"/>
    <w:rsid w:val="00484BFA"/>
    <w:rsid w:val="00484C14"/>
    <w:rsid w:val="00484D44"/>
    <w:rsid w:val="00485090"/>
    <w:rsid w:val="004852EE"/>
    <w:rsid w:val="00485817"/>
    <w:rsid w:val="00485A67"/>
    <w:rsid w:val="00485AAA"/>
    <w:rsid w:val="00485AE7"/>
    <w:rsid w:val="00485BAD"/>
    <w:rsid w:val="00485C6E"/>
    <w:rsid w:val="00485DD0"/>
    <w:rsid w:val="0048634F"/>
    <w:rsid w:val="004863A7"/>
    <w:rsid w:val="004863B9"/>
    <w:rsid w:val="004869E0"/>
    <w:rsid w:val="00486B58"/>
    <w:rsid w:val="00486CE7"/>
    <w:rsid w:val="00486DA5"/>
    <w:rsid w:val="0048705D"/>
    <w:rsid w:val="0048741E"/>
    <w:rsid w:val="00487618"/>
    <w:rsid w:val="004876D6"/>
    <w:rsid w:val="004877F7"/>
    <w:rsid w:val="00487C66"/>
    <w:rsid w:val="00487D35"/>
    <w:rsid w:val="00487EAE"/>
    <w:rsid w:val="00487EE7"/>
    <w:rsid w:val="00487FD3"/>
    <w:rsid w:val="00490007"/>
    <w:rsid w:val="004901C3"/>
    <w:rsid w:val="004905FB"/>
    <w:rsid w:val="00490623"/>
    <w:rsid w:val="0049072B"/>
    <w:rsid w:val="00490AC1"/>
    <w:rsid w:val="00490C4E"/>
    <w:rsid w:val="004914CE"/>
    <w:rsid w:val="0049164E"/>
    <w:rsid w:val="004916E2"/>
    <w:rsid w:val="004917F3"/>
    <w:rsid w:val="004919AF"/>
    <w:rsid w:val="00491B52"/>
    <w:rsid w:val="00491BC9"/>
    <w:rsid w:val="00491E67"/>
    <w:rsid w:val="0049229F"/>
    <w:rsid w:val="004923B0"/>
    <w:rsid w:val="004924AA"/>
    <w:rsid w:val="004925E6"/>
    <w:rsid w:val="00492738"/>
    <w:rsid w:val="00492A0F"/>
    <w:rsid w:val="00492A5C"/>
    <w:rsid w:val="00492BF4"/>
    <w:rsid w:val="00492BF6"/>
    <w:rsid w:val="00492F04"/>
    <w:rsid w:val="00493077"/>
    <w:rsid w:val="004935FD"/>
    <w:rsid w:val="004937DF"/>
    <w:rsid w:val="00493989"/>
    <w:rsid w:val="00493BDE"/>
    <w:rsid w:val="00493D25"/>
    <w:rsid w:val="00493DE7"/>
    <w:rsid w:val="00493F57"/>
    <w:rsid w:val="00493FBF"/>
    <w:rsid w:val="00494AD3"/>
    <w:rsid w:val="00494C5E"/>
    <w:rsid w:val="00494DC0"/>
    <w:rsid w:val="00495234"/>
    <w:rsid w:val="00495416"/>
    <w:rsid w:val="0049578A"/>
    <w:rsid w:val="00495850"/>
    <w:rsid w:val="00495860"/>
    <w:rsid w:val="00495DE5"/>
    <w:rsid w:val="00495F80"/>
    <w:rsid w:val="00496128"/>
    <w:rsid w:val="00496204"/>
    <w:rsid w:val="004962F3"/>
    <w:rsid w:val="00496847"/>
    <w:rsid w:val="00496940"/>
    <w:rsid w:val="004969EE"/>
    <w:rsid w:val="00496A1C"/>
    <w:rsid w:val="00496B13"/>
    <w:rsid w:val="00496B86"/>
    <w:rsid w:val="00496E4B"/>
    <w:rsid w:val="00497040"/>
    <w:rsid w:val="004970BB"/>
    <w:rsid w:val="00497433"/>
    <w:rsid w:val="00497591"/>
    <w:rsid w:val="00497725"/>
    <w:rsid w:val="0049773F"/>
    <w:rsid w:val="00497795"/>
    <w:rsid w:val="00497863"/>
    <w:rsid w:val="004978A4"/>
    <w:rsid w:val="00497994"/>
    <w:rsid w:val="00497C2F"/>
    <w:rsid w:val="00497DB4"/>
    <w:rsid w:val="00497E42"/>
    <w:rsid w:val="00497E98"/>
    <w:rsid w:val="004A02D7"/>
    <w:rsid w:val="004A037F"/>
    <w:rsid w:val="004A0462"/>
    <w:rsid w:val="004A0583"/>
    <w:rsid w:val="004A0690"/>
    <w:rsid w:val="004A094E"/>
    <w:rsid w:val="004A0A4F"/>
    <w:rsid w:val="004A0B8A"/>
    <w:rsid w:val="004A0BE5"/>
    <w:rsid w:val="004A0F0C"/>
    <w:rsid w:val="004A1F13"/>
    <w:rsid w:val="004A1F14"/>
    <w:rsid w:val="004A2196"/>
    <w:rsid w:val="004A234A"/>
    <w:rsid w:val="004A26E3"/>
    <w:rsid w:val="004A2725"/>
    <w:rsid w:val="004A2752"/>
    <w:rsid w:val="004A2C83"/>
    <w:rsid w:val="004A2CF2"/>
    <w:rsid w:val="004A30FE"/>
    <w:rsid w:val="004A32B4"/>
    <w:rsid w:val="004A34DD"/>
    <w:rsid w:val="004A35AA"/>
    <w:rsid w:val="004A36B7"/>
    <w:rsid w:val="004A39A7"/>
    <w:rsid w:val="004A3A5B"/>
    <w:rsid w:val="004A3F29"/>
    <w:rsid w:val="004A417C"/>
    <w:rsid w:val="004A433B"/>
    <w:rsid w:val="004A43AE"/>
    <w:rsid w:val="004A4B8F"/>
    <w:rsid w:val="004A5073"/>
    <w:rsid w:val="004A50C7"/>
    <w:rsid w:val="004A52AE"/>
    <w:rsid w:val="004A52BC"/>
    <w:rsid w:val="004A5691"/>
    <w:rsid w:val="004A56F9"/>
    <w:rsid w:val="004A5D91"/>
    <w:rsid w:val="004A62C9"/>
    <w:rsid w:val="004A652A"/>
    <w:rsid w:val="004A653C"/>
    <w:rsid w:val="004A6ADA"/>
    <w:rsid w:val="004A6CC4"/>
    <w:rsid w:val="004A6F9F"/>
    <w:rsid w:val="004A700F"/>
    <w:rsid w:val="004A75D3"/>
    <w:rsid w:val="004A78DE"/>
    <w:rsid w:val="004A79E2"/>
    <w:rsid w:val="004A7E18"/>
    <w:rsid w:val="004B051F"/>
    <w:rsid w:val="004B05FF"/>
    <w:rsid w:val="004B0704"/>
    <w:rsid w:val="004B0CC1"/>
    <w:rsid w:val="004B0D54"/>
    <w:rsid w:val="004B0D81"/>
    <w:rsid w:val="004B164B"/>
    <w:rsid w:val="004B1890"/>
    <w:rsid w:val="004B1A30"/>
    <w:rsid w:val="004B1A56"/>
    <w:rsid w:val="004B1C55"/>
    <w:rsid w:val="004B1C58"/>
    <w:rsid w:val="004B1EBD"/>
    <w:rsid w:val="004B1EEE"/>
    <w:rsid w:val="004B202D"/>
    <w:rsid w:val="004B216B"/>
    <w:rsid w:val="004B244C"/>
    <w:rsid w:val="004B272E"/>
    <w:rsid w:val="004B2874"/>
    <w:rsid w:val="004B28AB"/>
    <w:rsid w:val="004B28B7"/>
    <w:rsid w:val="004B29F0"/>
    <w:rsid w:val="004B2E31"/>
    <w:rsid w:val="004B2FFD"/>
    <w:rsid w:val="004B3292"/>
    <w:rsid w:val="004B3635"/>
    <w:rsid w:val="004B3B52"/>
    <w:rsid w:val="004B3BAB"/>
    <w:rsid w:val="004B3BCB"/>
    <w:rsid w:val="004B3D7F"/>
    <w:rsid w:val="004B3EE2"/>
    <w:rsid w:val="004B468F"/>
    <w:rsid w:val="004B4736"/>
    <w:rsid w:val="004B477E"/>
    <w:rsid w:val="004B4783"/>
    <w:rsid w:val="004B4808"/>
    <w:rsid w:val="004B49B5"/>
    <w:rsid w:val="004B4AFF"/>
    <w:rsid w:val="004B4BEE"/>
    <w:rsid w:val="004B4F11"/>
    <w:rsid w:val="004B5012"/>
    <w:rsid w:val="004B51D7"/>
    <w:rsid w:val="004B5230"/>
    <w:rsid w:val="004B528F"/>
    <w:rsid w:val="004B5546"/>
    <w:rsid w:val="004B55B1"/>
    <w:rsid w:val="004B5629"/>
    <w:rsid w:val="004B565B"/>
    <w:rsid w:val="004B5702"/>
    <w:rsid w:val="004B5728"/>
    <w:rsid w:val="004B5749"/>
    <w:rsid w:val="004B57AF"/>
    <w:rsid w:val="004B57F2"/>
    <w:rsid w:val="004B5C11"/>
    <w:rsid w:val="004B5CE9"/>
    <w:rsid w:val="004B5D28"/>
    <w:rsid w:val="004B644F"/>
    <w:rsid w:val="004B66DA"/>
    <w:rsid w:val="004B6FC3"/>
    <w:rsid w:val="004B70ED"/>
    <w:rsid w:val="004B7177"/>
    <w:rsid w:val="004B7459"/>
    <w:rsid w:val="004B7494"/>
    <w:rsid w:val="004B7618"/>
    <w:rsid w:val="004B7664"/>
    <w:rsid w:val="004B7A43"/>
    <w:rsid w:val="004B7B87"/>
    <w:rsid w:val="004B7C4C"/>
    <w:rsid w:val="004B7D62"/>
    <w:rsid w:val="004C0319"/>
    <w:rsid w:val="004C03B8"/>
    <w:rsid w:val="004C06D3"/>
    <w:rsid w:val="004C07A0"/>
    <w:rsid w:val="004C091B"/>
    <w:rsid w:val="004C0933"/>
    <w:rsid w:val="004C0A81"/>
    <w:rsid w:val="004C0BC8"/>
    <w:rsid w:val="004C0CFC"/>
    <w:rsid w:val="004C0F1F"/>
    <w:rsid w:val="004C1021"/>
    <w:rsid w:val="004C14A6"/>
    <w:rsid w:val="004C1569"/>
    <w:rsid w:val="004C1637"/>
    <w:rsid w:val="004C189C"/>
    <w:rsid w:val="004C1957"/>
    <w:rsid w:val="004C199F"/>
    <w:rsid w:val="004C1C69"/>
    <w:rsid w:val="004C23C2"/>
    <w:rsid w:val="004C2612"/>
    <w:rsid w:val="004C2771"/>
    <w:rsid w:val="004C289D"/>
    <w:rsid w:val="004C2BA7"/>
    <w:rsid w:val="004C2BB9"/>
    <w:rsid w:val="004C3024"/>
    <w:rsid w:val="004C308D"/>
    <w:rsid w:val="004C3918"/>
    <w:rsid w:val="004C3935"/>
    <w:rsid w:val="004C3942"/>
    <w:rsid w:val="004C39B9"/>
    <w:rsid w:val="004C39C7"/>
    <w:rsid w:val="004C3F59"/>
    <w:rsid w:val="004C4280"/>
    <w:rsid w:val="004C437B"/>
    <w:rsid w:val="004C443F"/>
    <w:rsid w:val="004C4498"/>
    <w:rsid w:val="004C44A5"/>
    <w:rsid w:val="004C44B6"/>
    <w:rsid w:val="004C4556"/>
    <w:rsid w:val="004C46E6"/>
    <w:rsid w:val="004C48E7"/>
    <w:rsid w:val="004C50D0"/>
    <w:rsid w:val="004C5336"/>
    <w:rsid w:val="004C53DA"/>
    <w:rsid w:val="004C5526"/>
    <w:rsid w:val="004C56F2"/>
    <w:rsid w:val="004C5994"/>
    <w:rsid w:val="004C5B7F"/>
    <w:rsid w:val="004C5CB3"/>
    <w:rsid w:val="004C5DF5"/>
    <w:rsid w:val="004C5F12"/>
    <w:rsid w:val="004C60AA"/>
    <w:rsid w:val="004C612B"/>
    <w:rsid w:val="004C68A7"/>
    <w:rsid w:val="004C6A8B"/>
    <w:rsid w:val="004C6ADC"/>
    <w:rsid w:val="004C6D0B"/>
    <w:rsid w:val="004C6EE1"/>
    <w:rsid w:val="004C70C7"/>
    <w:rsid w:val="004C7155"/>
    <w:rsid w:val="004C75E0"/>
    <w:rsid w:val="004C7830"/>
    <w:rsid w:val="004C797F"/>
    <w:rsid w:val="004C7C63"/>
    <w:rsid w:val="004C7E67"/>
    <w:rsid w:val="004D0630"/>
    <w:rsid w:val="004D07EC"/>
    <w:rsid w:val="004D0CE2"/>
    <w:rsid w:val="004D0F8B"/>
    <w:rsid w:val="004D11AD"/>
    <w:rsid w:val="004D11C5"/>
    <w:rsid w:val="004D11CA"/>
    <w:rsid w:val="004D1506"/>
    <w:rsid w:val="004D16F3"/>
    <w:rsid w:val="004D1851"/>
    <w:rsid w:val="004D1BFE"/>
    <w:rsid w:val="004D1E63"/>
    <w:rsid w:val="004D212B"/>
    <w:rsid w:val="004D216F"/>
    <w:rsid w:val="004D21CC"/>
    <w:rsid w:val="004D26D4"/>
    <w:rsid w:val="004D2C82"/>
    <w:rsid w:val="004D2CC6"/>
    <w:rsid w:val="004D2CD6"/>
    <w:rsid w:val="004D2DA0"/>
    <w:rsid w:val="004D30CB"/>
    <w:rsid w:val="004D328A"/>
    <w:rsid w:val="004D342C"/>
    <w:rsid w:val="004D34D8"/>
    <w:rsid w:val="004D36B1"/>
    <w:rsid w:val="004D37EE"/>
    <w:rsid w:val="004D3922"/>
    <w:rsid w:val="004D3929"/>
    <w:rsid w:val="004D3C17"/>
    <w:rsid w:val="004D3C8C"/>
    <w:rsid w:val="004D3CE2"/>
    <w:rsid w:val="004D3E35"/>
    <w:rsid w:val="004D3EB4"/>
    <w:rsid w:val="004D46B2"/>
    <w:rsid w:val="004D4711"/>
    <w:rsid w:val="004D4D7D"/>
    <w:rsid w:val="004D4EA7"/>
    <w:rsid w:val="004D4EBC"/>
    <w:rsid w:val="004D50F5"/>
    <w:rsid w:val="004D519E"/>
    <w:rsid w:val="004D54DB"/>
    <w:rsid w:val="004D5705"/>
    <w:rsid w:val="004D5739"/>
    <w:rsid w:val="004D5846"/>
    <w:rsid w:val="004D58C0"/>
    <w:rsid w:val="004D5ABF"/>
    <w:rsid w:val="004D5CE8"/>
    <w:rsid w:val="004D5DE6"/>
    <w:rsid w:val="004D624B"/>
    <w:rsid w:val="004D64AE"/>
    <w:rsid w:val="004D65AD"/>
    <w:rsid w:val="004D669C"/>
    <w:rsid w:val="004D67B4"/>
    <w:rsid w:val="004D6830"/>
    <w:rsid w:val="004D68E7"/>
    <w:rsid w:val="004D6A2A"/>
    <w:rsid w:val="004D6B57"/>
    <w:rsid w:val="004D6B7C"/>
    <w:rsid w:val="004D7267"/>
    <w:rsid w:val="004D74AA"/>
    <w:rsid w:val="004D7657"/>
    <w:rsid w:val="004D77B7"/>
    <w:rsid w:val="004D784A"/>
    <w:rsid w:val="004D78A2"/>
    <w:rsid w:val="004D7C34"/>
    <w:rsid w:val="004E01A0"/>
    <w:rsid w:val="004E0636"/>
    <w:rsid w:val="004E064A"/>
    <w:rsid w:val="004E0677"/>
    <w:rsid w:val="004E0731"/>
    <w:rsid w:val="004E09B5"/>
    <w:rsid w:val="004E0E9E"/>
    <w:rsid w:val="004E1053"/>
    <w:rsid w:val="004E1966"/>
    <w:rsid w:val="004E1997"/>
    <w:rsid w:val="004E19BC"/>
    <w:rsid w:val="004E1B63"/>
    <w:rsid w:val="004E1E86"/>
    <w:rsid w:val="004E2007"/>
    <w:rsid w:val="004E21F7"/>
    <w:rsid w:val="004E2408"/>
    <w:rsid w:val="004E24A8"/>
    <w:rsid w:val="004E2588"/>
    <w:rsid w:val="004E2678"/>
    <w:rsid w:val="004E2948"/>
    <w:rsid w:val="004E2B54"/>
    <w:rsid w:val="004E2C80"/>
    <w:rsid w:val="004E2C92"/>
    <w:rsid w:val="004E2DF4"/>
    <w:rsid w:val="004E2E6C"/>
    <w:rsid w:val="004E2EA8"/>
    <w:rsid w:val="004E2F2C"/>
    <w:rsid w:val="004E3157"/>
    <w:rsid w:val="004E31A9"/>
    <w:rsid w:val="004E33F5"/>
    <w:rsid w:val="004E3480"/>
    <w:rsid w:val="004E3897"/>
    <w:rsid w:val="004E3B37"/>
    <w:rsid w:val="004E3D11"/>
    <w:rsid w:val="004E3D33"/>
    <w:rsid w:val="004E3E62"/>
    <w:rsid w:val="004E3F8C"/>
    <w:rsid w:val="004E41FD"/>
    <w:rsid w:val="004E4384"/>
    <w:rsid w:val="004E4437"/>
    <w:rsid w:val="004E444C"/>
    <w:rsid w:val="004E463B"/>
    <w:rsid w:val="004E469D"/>
    <w:rsid w:val="004E48F0"/>
    <w:rsid w:val="004E4A75"/>
    <w:rsid w:val="004E4C86"/>
    <w:rsid w:val="004E4E28"/>
    <w:rsid w:val="004E4EE4"/>
    <w:rsid w:val="004E562E"/>
    <w:rsid w:val="004E56D8"/>
    <w:rsid w:val="004E5705"/>
    <w:rsid w:val="004E5B79"/>
    <w:rsid w:val="004E5DB4"/>
    <w:rsid w:val="004E5F5D"/>
    <w:rsid w:val="004E6397"/>
    <w:rsid w:val="004E69C0"/>
    <w:rsid w:val="004E6C3D"/>
    <w:rsid w:val="004E6DCF"/>
    <w:rsid w:val="004E7429"/>
    <w:rsid w:val="004E75B0"/>
    <w:rsid w:val="004E7600"/>
    <w:rsid w:val="004E76CB"/>
    <w:rsid w:val="004E7771"/>
    <w:rsid w:val="004E7D54"/>
    <w:rsid w:val="004E7E0E"/>
    <w:rsid w:val="004E7EAC"/>
    <w:rsid w:val="004F042A"/>
    <w:rsid w:val="004F06B8"/>
    <w:rsid w:val="004F09BF"/>
    <w:rsid w:val="004F0C0E"/>
    <w:rsid w:val="004F0C87"/>
    <w:rsid w:val="004F0EF1"/>
    <w:rsid w:val="004F13CD"/>
    <w:rsid w:val="004F1660"/>
    <w:rsid w:val="004F1702"/>
    <w:rsid w:val="004F1747"/>
    <w:rsid w:val="004F175C"/>
    <w:rsid w:val="004F1AD5"/>
    <w:rsid w:val="004F1F4E"/>
    <w:rsid w:val="004F1F5A"/>
    <w:rsid w:val="004F2174"/>
    <w:rsid w:val="004F23B4"/>
    <w:rsid w:val="004F23DD"/>
    <w:rsid w:val="004F267E"/>
    <w:rsid w:val="004F2C85"/>
    <w:rsid w:val="004F2D78"/>
    <w:rsid w:val="004F2E96"/>
    <w:rsid w:val="004F2F35"/>
    <w:rsid w:val="004F2F54"/>
    <w:rsid w:val="004F312B"/>
    <w:rsid w:val="004F328F"/>
    <w:rsid w:val="004F33B9"/>
    <w:rsid w:val="004F354D"/>
    <w:rsid w:val="004F36A3"/>
    <w:rsid w:val="004F36F1"/>
    <w:rsid w:val="004F37A8"/>
    <w:rsid w:val="004F37AE"/>
    <w:rsid w:val="004F3DEC"/>
    <w:rsid w:val="004F3E61"/>
    <w:rsid w:val="004F4220"/>
    <w:rsid w:val="004F48CC"/>
    <w:rsid w:val="004F4DFF"/>
    <w:rsid w:val="004F4EA7"/>
    <w:rsid w:val="004F504F"/>
    <w:rsid w:val="004F53C3"/>
    <w:rsid w:val="004F57CB"/>
    <w:rsid w:val="004F5AE6"/>
    <w:rsid w:val="004F6172"/>
    <w:rsid w:val="004F61FA"/>
    <w:rsid w:val="004F631F"/>
    <w:rsid w:val="004F65FB"/>
    <w:rsid w:val="004F661F"/>
    <w:rsid w:val="004F6803"/>
    <w:rsid w:val="004F68F6"/>
    <w:rsid w:val="004F6925"/>
    <w:rsid w:val="004F6AEB"/>
    <w:rsid w:val="004F6B02"/>
    <w:rsid w:val="004F6C45"/>
    <w:rsid w:val="004F6C7B"/>
    <w:rsid w:val="004F6D34"/>
    <w:rsid w:val="004F6D52"/>
    <w:rsid w:val="004F6DCD"/>
    <w:rsid w:val="004F6DF9"/>
    <w:rsid w:val="004F7208"/>
    <w:rsid w:val="004F7371"/>
    <w:rsid w:val="004F7390"/>
    <w:rsid w:val="004F739F"/>
    <w:rsid w:val="004F743C"/>
    <w:rsid w:val="004F74A3"/>
    <w:rsid w:val="004F757A"/>
    <w:rsid w:val="004F790D"/>
    <w:rsid w:val="004F7F21"/>
    <w:rsid w:val="005000B5"/>
    <w:rsid w:val="005000D4"/>
    <w:rsid w:val="005001CA"/>
    <w:rsid w:val="00500363"/>
    <w:rsid w:val="00500721"/>
    <w:rsid w:val="005007DA"/>
    <w:rsid w:val="00500BD6"/>
    <w:rsid w:val="00500ED4"/>
    <w:rsid w:val="0050103E"/>
    <w:rsid w:val="00501491"/>
    <w:rsid w:val="0050154C"/>
    <w:rsid w:val="00501EF3"/>
    <w:rsid w:val="0050204A"/>
    <w:rsid w:val="00502083"/>
    <w:rsid w:val="0050226C"/>
    <w:rsid w:val="005026C6"/>
    <w:rsid w:val="00502762"/>
    <w:rsid w:val="00502DD5"/>
    <w:rsid w:val="00502E9E"/>
    <w:rsid w:val="00502EAF"/>
    <w:rsid w:val="00502EE7"/>
    <w:rsid w:val="005030A3"/>
    <w:rsid w:val="00503155"/>
    <w:rsid w:val="0050358B"/>
    <w:rsid w:val="0050368A"/>
    <w:rsid w:val="00503719"/>
    <w:rsid w:val="00503AA7"/>
    <w:rsid w:val="00503C6C"/>
    <w:rsid w:val="00503CDC"/>
    <w:rsid w:val="00503DB2"/>
    <w:rsid w:val="00503F11"/>
    <w:rsid w:val="00503FD2"/>
    <w:rsid w:val="005040AC"/>
    <w:rsid w:val="00504242"/>
    <w:rsid w:val="0050441F"/>
    <w:rsid w:val="00504425"/>
    <w:rsid w:val="005047B8"/>
    <w:rsid w:val="005047EF"/>
    <w:rsid w:val="005049B8"/>
    <w:rsid w:val="0050504F"/>
    <w:rsid w:val="0050505C"/>
    <w:rsid w:val="00505129"/>
    <w:rsid w:val="005057A8"/>
    <w:rsid w:val="005057DC"/>
    <w:rsid w:val="00505863"/>
    <w:rsid w:val="00505D03"/>
    <w:rsid w:val="0050625A"/>
    <w:rsid w:val="00506604"/>
    <w:rsid w:val="00506ABC"/>
    <w:rsid w:val="00506B0D"/>
    <w:rsid w:val="00506C06"/>
    <w:rsid w:val="00506C3B"/>
    <w:rsid w:val="00506D7C"/>
    <w:rsid w:val="005074B6"/>
    <w:rsid w:val="00507825"/>
    <w:rsid w:val="0050792F"/>
    <w:rsid w:val="00507B13"/>
    <w:rsid w:val="00507B1F"/>
    <w:rsid w:val="00507E5C"/>
    <w:rsid w:val="005100BC"/>
    <w:rsid w:val="005102A4"/>
    <w:rsid w:val="005105F2"/>
    <w:rsid w:val="00510A21"/>
    <w:rsid w:val="00510A39"/>
    <w:rsid w:val="00510AF8"/>
    <w:rsid w:val="00510E33"/>
    <w:rsid w:val="00510F50"/>
    <w:rsid w:val="0051144D"/>
    <w:rsid w:val="0051158C"/>
    <w:rsid w:val="0051162E"/>
    <w:rsid w:val="005118CA"/>
    <w:rsid w:val="00511963"/>
    <w:rsid w:val="00511AA7"/>
    <w:rsid w:val="00511BA6"/>
    <w:rsid w:val="00511D50"/>
    <w:rsid w:val="00511F2F"/>
    <w:rsid w:val="00512068"/>
    <w:rsid w:val="0051240F"/>
    <w:rsid w:val="005125BE"/>
    <w:rsid w:val="005130F6"/>
    <w:rsid w:val="00513220"/>
    <w:rsid w:val="0051327E"/>
    <w:rsid w:val="00513763"/>
    <w:rsid w:val="00513820"/>
    <w:rsid w:val="00513A30"/>
    <w:rsid w:val="00513FA0"/>
    <w:rsid w:val="005142B6"/>
    <w:rsid w:val="0051451B"/>
    <w:rsid w:val="0051483F"/>
    <w:rsid w:val="00514D1C"/>
    <w:rsid w:val="00515153"/>
    <w:rsid w:val="00515213"/>
    <w:rsid w:val="0051572A"/>
    <w:rsid w:val="00515D4F"/>
    <w:rsid w:val="00515D7A"/>
    <w:rsid w:val="00516085"/>
    <w:rsid w:val="0051635A"/>
    <w:rsid w:val="0051638A"/>
    <w:rsid w:val="005163FC"/>
    <w:rsid w:val="005166B0"/>
    <w:rsid w:val="00516A4F"/>
    <w:rsid w:val="00516F86"/>
    <w:rsid w:val="005173F3"/>
    <w:rsid w:val="00517647"/>
    <w:rsid w:val="00517C59"/>
    <w:rsid w:val="00517E3D"/>
    <w:rsid w:val="00520096"/>
    <w:rsid w:val="0052034D"/>
    <w:rsid w:val="005204BC"/>
    <w:rsid w:val="0052069D"/>
    <w:rsid w:val="00520A38"/>
    <w:rsid w:val="00520C37"/>
    <w:rsid w:val="00521185"/>
    <w:rsid w:val="00521292"/>
    <w:rsid w:val="00521449"/>
    <w:rsid w:val="00521506"/>
    <w:rsid w:val="00521798"/>
    <w:rsid w:val="005217E3"/>
    <w:rsid w:val="00521893"/>
    <w:rsid w:val="00521B53"/>
    <w:rsid w:val="00521B85"/>
    <w:rsid w:val="00521BE9"/>
    <w:rsid w:val="00521F07"/>
    <w:rsid w:val="00522250"/>
    <w:rsid w:val="00522313"/>
    <w:rsid w:val="0052272A"/>
    <w:rsid w:val="00522845"/>
    <w:rsid w:val="005228C1"/>
    <w:rsid w:val="00522977"/>
    <w:rsid w:val="00522CF8"/>
    <w:rsid w:val="00522F0E"/>
    <w:rsid w:val="00522F2D"/>
    <w:rsid w:val="00522F57"/>
    <w:rsid w:val="005231D4"/>
    <w:rsid w:val="0052357A"/>
    <w:rsid w:val="0052384C"/>
    <w:rsid w:val="00523ABC"/>
    <w:rsid w:val="00523D28"/>
    <w:rsid w:val="0052414E"/>
    <w:rsid w:val="005241BE"/>
    <w:rsid w:val="005244FA"/>
    <w:rsid w:val="005245F4"/>
    <w:rsid w:val="005248A0"/>
    <w:rsid w:val="00524AAD"/>
    <w:rsid w:val="00524BB7"/>
    <w:rsid w:val="00524D6F"/>
    <w:rsid w:val="00524FE5"/>
    <w:rsid w:val="00525108"/>
    <w:rsid w:val="00525345"/>
    <w:rsid w:val="00525357"/>
    <w:rsid w:val="0052579C"/>
    <w:rsid w:val="005257A2"/>
    <w:rsid w:val="00525A35"/>
    <w:rsid w:val="0052625F"/>
    <w:rsid w:val="00526295"/>
    <w:rsid w:val="00526358"/>
    <w:rsid w:val="005263BB"/>
    <w:rsid w:val="0052647D"/>
    <w:rsid w:val="0052657C"/>
    <w:rsid w:val="00526681"/>
    <w:rsid w:val="005269D5"/>
    <w:rsid w:val="00526A00"/>
    <w:rsid w:val="00526DAB"/>
    <w:rsid w:val="00526FB7"/>
    <w:rsid w:val="005271D5"/>
    <w:rsid w:val="0052720E"/>
    <w:rsid w:val="0052731F"/>
    <w:rsid w:val="00527402"/>
    <w:rsid w:val="00527462"/>
    <w:rsid w:val="005277ED"/>
    <w:rsid w:val="005278A5"/>
    <w:rsid w:val="00527943"/>
    <w:rsid w:val="005279E7"/>
    <w:rsid w:val="00527C3F"/>
    <w:rsid w:val="00527CEA"/>
    <w:rsid w:val="00527DE2"/>
    <w:rsid w:val="00527E3E"/>
    <w:rsid w:val="00527ED9"/>
    <w:rsid w:val="00527FE9"/>
    <w:rsid w:val="005300BC"/>
    <w:rsid w:val="00530100"/>
    <w:rsid w:val="00530521"/>
    <w:rsid w:val="00530588"/>
    <w:rsid w:val="0053059B"/>
    <w:rsid w:val="00530E39"/>
    <w:rsid w:val="005310A3"/>
    <w:rsid w:val="0053126B"/>
    <w:rsid w:val="00531479"/>
    <w:rsid w:val="00531760"/>
    <w:rsid w:val="005317D4"/>
    <w:rsid w:val="005318A8"/>
    <w:rsid w:val="00532042"/>
    <w:rsid w:val="005321BE"/>
    <w:rsid w:val="00532626"/>
    <w:rsid w:val="0053262B"/>
    <w:rsid w:val="00532669"/>
    <w:rsid w:val="00532DF5"/>
    <w:rsid w:val="00532EFF"/>
    <w:rsid w:val="00532FD5"/>
    <w:rsid w:val="00533196"/>
    <w:rsid w:val="0053325D"/>
    <w:rsid w:val="005332B4"/>
    <w:rsid w:val="00533334"/>
    <w:rsid w:val="005334EF"/>
    <w:rsid w:val="005335D2"/>
    <w:rsid w:val="00533789"/>
    <w:rsid w:val="00533797"/>
    <w:rsid w:val="005339AB"/>
    <w:rsid w:val="00533B58"/>
    <w:rsid w:val="00533B5C"/>
    <w:rsid w:val="00533D7E"/>
    <w:rsid w:val="00533E23"/>
    <w:rsid w:val="00533F2F"/>
    <w:rsid w:val="0053429D"/>
    <w:rsid w:val="00534314"/>
    <w:rsid w:val="0053436B"/>
    <w:rsid w:val="00534546"/>
    <w:rsid w:val="00534962"/>
    <w:rsid w:val="00534DC6"/>
    <w:rsid w:val="0053516E"/>
    <w:rsid w:val="005351F5"/>
    <w:rsid w:val="005354D2"/>
    <w:rsid w:val="005355EE"/>
    <w:rsid w:val="0053577D"/>
    <w:rsid w:val="005357D2"/>
    <w:rsid w:val="005358F0"/>
    <w:rsid w:val="005358FE"/>
    <w:rsid w:val="00535B5B"/>
    <w:rsid w:val="00535C75"/>
    <w:rsid w:val="00535CA2"/>
    <w:rsid w:val="00535FB5"/>
    <w:rsid w:val="0053600A"/>
    <w:rsid w:val="00536162"/>
    <w:rsid w:val="0053697A"/>
    <w:rsid w:val="00536B8C"/>
    <w:rsid w:val="00536BE0"/>
    <w:rsid w:val="00536BE9"/>
    <w:rsid w:val="00536C84"/>
    <w:rsid w:val="00536DC5"/>
    <w:rsid w:val="00536F57"/>
    <w:rsid w:val="00537622"/>
    <w:rsid w:val="005378B5"/>
    <w:rsid w:val="0053796D"/>
    <w:rsid w:val="00537A8A"/>
    <w:rsid w:val="00537BC4"/>
    <w:rsid w:val="00537C60"/>
    <w:rsid w:val="00540181"/>
    <w:rsid w:val="005401CD"/>
    <w:rsid w:val="00540433"/>
    <w:rsid w:val="00540B72"/>
    <w:rsid w:val="00540D7A"/>
    <w:rsid w:val="005410BA"/>
    <w:rsid w:val="00541122"/>
    <w:rsid w:val="00541130"/>
    <w:rsid w:val="00541273"/>
    <w:rsid w:val="0054140F"/>
    <w:rsid w:val="0054189C"/>
    <w:rsid w:val="00541938"/>
    <w:rsid w:val="00541A2E"/>
    <w:rsid w:val="00541F3F"/>
    <w:rsid w:val="00541FD6"/>
    <w:rsid w:val="005425AE"/>
    <w:rsid w:val="00542A27"/>
    <w:rsid w:val="00542D05"/>
    <w:rsid w:val="00542FBB"/>
    <w:rsid w:val="005430DD"/>
    <w:rsid w:val="005431AF"/>
    <w:rsid w:val="00543205"/>
    <w:rsid w:val="00543515"/>
    <w:rsid w:val="005435C2"/>
    <w:rsid w:val="00543683"/>
    <w:rsid w:val="00543785"/>
    <w:rsid w:val="0054391F"/>
    <w:rsid w:val="00543AE8"/>
    <w:rsid w:val="00543AFC"/>
    <w:rsid w:val="00543CCC"/>
    <w:rsid w:val="00543E0F"/>
    <w:rsid w:val="00543F25"/>
    <w:rsid w:val="00544708"/>
    <w:rsid w:val="0054476C"/>
    <w:rsid w:val="00544AEA"/>
    <w:rsid w:val="00544E41"/>
    <w:rsid w:val="00544F52"/>
    <w:rsid w:val="00545046"/>
    <w:rsid w:val="00545248"/>
    <w:rsid w:val="005453C8"/>
    <w:rsid w:val="00545514"/>
    <w:rsid w:val="00545B0D"/>
    <w:rsid w:val="00545BA0"/>
    <w:rsid w:val="00545DE2"/>
    <w:rsid w:val="00545F07"/>
    <w:rsid w:val="00545F9B"/>
    <w:rsid w:val="005461FA"/>
    <w:rsid w:val="00546318"/>
    <w:rsid w:val="005463E3"/>
    <w:rsid w:val="00546457"/>
    <w:rsid w:val="0054671C"/>
    <w:rsid w:val="0054698D"/>
    <w:rsid w:val="00547080"/>
    <w:rsid w:val="00547364"/>
    <w:rsid w:val="0054748C"/>
    <w:rsid w:val="00547779"/>
    <w:rsid w:val="005477D1"/>
    <w:rsid w:val="00547ADD"/>
    <w:rsid w:val="00547B59"/>
    <w:rsid w:val="00547BB0"/>
    <w:rsid w:val="00547DBC"/>
    <w:rsid w:val="005500DD"/>
    <w:rsid w:val="005501B9"/>
    <w:rsid w:val="005504F1"/>
    <w:rsid w:val="005505D8"/>
    <w:rsid w:val="005506C1"/>
    <w:rsid w:val="00550789"/>
    <w:rsid w:val="00550F05"/>
    <w:rsid w:val="00550F82"/>
    <w:rsid w:val="0055115C"/>
    <w:rsid w:val="005513A7"/>
    <w:rsid w:val="00551440"/>
    <w:rsid w:val="00551452"/>
    <w:rsid w:val="0055152B"/>
    <w:rsid w:val="005517AB"/>
    <w:rsid w:val="00551A3A"/>
    <w:rsid w:val="00551B1A"/>
    <w:rsid w:val="00551B54"/>
    <w:rsid w:val="00551E3A"/>
    <w:rsid w:val="0055201E"/>
    <w:rsid w:val="00552134"/>
    <w:rsid w:val="0055254D"/>
    <w:rsid w:val="005525C6"/>
    <w:rsid w:val="005525C7"/>
    <w:rsid w:val="0055284F"/>
    <w:rsid w:val="00552D8C"/>
    <w:rsid w:val="00552E6B"/>
    <w:rsid w:val="00552F6A"/>
    <w:rsid w:val="005530D7"/>
    <w:rsid w:val="005531DD"/>
    <w:rsid w:val="0055330E"/>
    <w:rsid w:val="005533C5"/>
    <w:rsid w:val="00553516"/>
    <w:rsid w:val="00553773"/>
    <w:rsid w:val="005537D4"/>
    <w:rsid w:val="0055387C"/>
    <w:rsid w:val="005542E3"/>
    <w:rsid w:val="00554469"/>
    <w:rsid w:val="00554489"/>
    <w:rsid w:val="00554709"/>
    <w:rsid w:val="00554BB1"/>
    <w:rsid w:val="00554BC6"/>
    <w:rsid w:val="00554C01"/>
    <w:rsid w:val="005550B6"/>
    <w:rsid w:val="00555547"/>
    <w:rsid w:val="00555736"/>
    <w:rsid w:val="005558FE"/>
    <w:rsid w:val="0055596D"/>
    <w:rsid w:val="00555A53"/>
    <w:rsid w:val="00555A88"/>
    <w:rsid w:val="00555C3A"/>
    <w:rsid w:val="00556034"/>
    <w:rsid w:val="00556101"/>
    <w:rsid w:val="00556227"/>
    <w:rsid w:val="00556560"/>
    <w:rsid w:val="0055679D"/>
    <w:rsid w:val="00556981"/>
    <w:rsid w:val="00556D70"/>
    <w:rsid w:val="005571CA"/>
    <w:rsid w:val="005572D0"/>
    <w:rsid w:val="0055789B"/>
    <w:rsid w:val="005578DD"/>
    <w:rsid w:val="005579E1"/>
    <w:rsid w:val="00557A15"/>
    <w:rsid w:val="00557AED"/>
    <w:rsid w:val="005607E2"/>
    <w:rsid w:val="00560834"/>
    <w:rsid w:val="0056086B"/>
    <w:rsid w:val="0056091B"/>
    <w:rsid w:val="00560FB7"/>
    <w:rsid w:val="005610E9"/>
    <w:rsid w:val="0056121C"/>
    <w:rsid w:val="0056128A"/>
    <w:rsid w:val="00561388"/>
    <w:rsid w:val="00561666"/>
    <w:rsid w:val="005617EB"/>
    <w:rsid w:val="0056181B"/>
    <w:rsid w:val="00561AEB"/>
    <w:rsid w:val="00561B84"/>
    <w:rsid w:val="00561E7E"/>
    <w:rsid w:val="00561E87"/>
    <w:rsid w:val="00561FFD"/>
    <w:rsid w:val="00563044"/>
    <w:rsid w:val="0056310E"/>
    <w:rsid w:val="0056345A"/>
    <w:rsid w:val="0056346C"/>
    <w:rsid w:val="0056349B"/>
    <w:rsid w:val="00563651"/>
    <w:rsid w:val="00563915"/>
    <w:rsid w:val="00563924"/>
    <w:rsid w:val="00563B9A"/>
    <w:rsid w:val="00563EA3"/>
    <w:rsid w:val="0056422F"/>
    <w:rsid w:val="005642BD"/>
    <w:rsid w:val="0056431D"/>
    <w:rsid w:val="0056433E"/>
    <w:rsid w:val="00564454"/>
    <w:rsid w:val="00564559"/>
    <w:rsid w:val="005646DD"/>
    <w:rsid w:val="0056470B"/>
    <w:rsid w:val="0056474A"/>
    <w:rsid w:val="00564793"/>
    <w:rsid w:val="00564A32"/>
    <w:rsid w:val="00564A7E"/>
    <w:rsid w:val="00564B69"/>
    <w:rsid w:val="00564CA5"/>
    <w:rsid w:val="00564D60"/>
    <w:rsid w:val="00564DAF"/>
    <w:rsid w:val="00564F03"/>
    <w:rsid w:val="0056563E"/>
    <w:rsid w:val="0056564F"/>
    <w:rsid w:val="00565AB2"/>
    <w:rsid w:val="00565CAD"/>
    <w:rsid w:val="0056603A"/>
    <w:rsid w:val="00566117"/>
    <w:rsid w:val="0056653F"/>
    <w:rsid w:val="00566569"/>
    <w:rsid w:val="00566696"/>
    <w:rsid w:val="0056686C"/>
    <w:rsid w:val="005668B1"/>
    <w:rsid w:val="005668D7"/>
    <w:rsid w:val="0056699A"/>
    <w:rsid w:val="00566E2C"/>
    <w:rsid w:val="00566F04"/>
    <w:rsid w:val="00566F8F"/>
    <w:rsid w:val="00567547"/>
    <w:rsid w:val="005675F9"/>
    <w:rsid w:val="00567931"/>
    <w:rsid w:val="005679DF"/>
    <w:rsid w:val="00567EB7"/>
    <w:rsid w:val="00567EF7"/>
    <w:rsid w:val="00567F11"/>
    <w:rsid w:val="005702A9"/>
    <w:rsid w:val="005702DC"/>
    <w:rsid w:val="005703CD"/>
    <w:rsid w:val="00570553"/>
    <w:rsid w:val="00570665"/>
    <w:rsid w:val="005706BB"/>
    <w:rsid w:val="00570AD5"/>
    <w:rsid w:val="00570B4C"/>
    <w:rsid w:val="00570C1B"/>
    <w:rsid w:val="00570C93"/>
    <w:rsid w:val="00570F32"/>
    <w:rsid w:val="00571009"/>
    <w:rsid w:val="0057110B"/>
    <w:rsid w:val="00571460"/>
    <w:rsid w:val="0057177C"/>
    <w:rsid w:val="005718ED"/>
    <w:rsid w:val="00571AB8"/>
    <w:rsid w:val="0057207A"/>
    <w:rsid w:val="005720A5"/>
    <w:rsid w:val="00572234"/>
    <w:rsid w:val="00572460"/>
    <w:rsid w:val="005724A5"/>
    <w:rsid w:val="00572A73"/>
    <w:rsid w:val="00572C16"/>
    <w:rsid w:val="00572C9C"/>
    <w:rsid w:val="00572FBC"/>
    <w:rsid w:val="0057335E"/>
    <w:rsid w:val="005734EC"/>
    <w:rsid w:val="00573644"/>
    <w:rsid w:val="005736B6"/>
    <w:rsid w:val="005736D4"/>
    <w:rsid w:val="00573E1E"/>
    <w:rsid w:val="00573F0B"/>
    <w:rsid w:val="0057412F"/>
    <w:rsid w:val="00574167"/>
    <w:rsid w:val="005743B4"/>
    <w:rsid w:val="0057440C"/>
    <w:rsid w:val="00574477"/>
    <w:rsid w:val="0057488E"/>
    <w:rsid w:val="0057493E"/>
    <w:rsid w:val="00574977"/>
    <w:rsid w:val="00574B04"/>
    <w:rsid w:val="00574F1F"/>
    <w:rsid w:val="00574FA1"/>
    <w:rsid w:val="0057517D"/>
    <w:rsid w:val="00575728"/>
    <w:rsid w:val="00575BBF"/>
    <w:rsid w:val="00575E2D"/>
    <w:rsid w:val="00575E47"/>
    <w:rsid w:val="0057625B"/>
    <w:rsid w:val="00576314"/>
    <w:rsid w:val="00576325"/>
    <w:rsid w:val="00576485"/>
    <w:rsid w:val="005765CE"/>
    <w:rsid w:val="00576AA2"/>
    <w:rsid w:val="0057706B"/>
    <w:rsid w:val="005775DF"/>
    <w:rsid w:val="00577741"/>
    <w:rsid w:val="00577C23"/>
    <w:rsid w:val="00577CD1"/>
    <w:rsid w:val="00577DD1"/>
    <w:rsid w:val="0058002E"/>
    <w:rsid w:val="0058017F"/>
    <w:rsid w:val="005801B8"/>
    <w:rsid w:val="00580C10"/>
    <w:rsid w:val="00580C45"/>
    <w:rsid w:val="00580C74"/>
    <w:rsid w:val="0058107B"/>
    <w:rsid w:val="0058149E"/>
    <w:rsid w:val="005814F3"/>
    <w:rsid w:val="005815E3"/>
    <w:rsid w:val="005816A7"/>
    <w:rsid w:val="0058173D"/>
    <w:rsid w:val="00581766"/>
    <w:rsid w:val="00581D30"/>
    <w:rsid w:val="00581D9F"/>
    <w:rsid w:val="00581EE7"/>
    <w:rsid w:val="00582266"/>
    <w:rsid w:val="0058230E"/>
    <w:rsid w:val="005823DC"/>
    <w:rsid w:val="005827F3"/>
    <w:rsid w:val="00582867"/>
    <w:rsid w:val="005828B4"/>
    <w:rsid w:val="00582963"/>
    <w:rsid w:val="005829D5"/>
    <w:rsid w:val="00582B88"/>
    <w:rsid w:val="00582C24"/>
    <w:rsid w:val="00582D54"/>
    <w:rsid w:val="005831E8"/>
    <w:rsid w:val="00583409"/>
    <w:rsid w:val="00583542"/>
    <w:rsid w:val="0058370B"/>
    <w:rsid w:val="005837A7"/>
    <w:rsid w:val="005837AC"/>
    <w:rsid w:val="00583BB3"/>
    <w:rsid w:val="00583C7D"/>
    <w:rsid w:val="00583CD9"/>
    <w:rsid w:val="00583DF5"/>
    <w:rsid w:val="00584136"/>
    <w:rsid w:val="00584240"/>
    <w:rsid w:val="00584905"/>
    <w:rsid w:val="00584CEF"/>
    <w:rsid w:val="005851CD"/>
    <w:rsid w:val="00585241"/>
    <w:rsid w:val="00585392"/>
    <w:rsid w:val="0058578A"/>
    <w:rsid w:val="005859F3"/>
    <w:rsid w:val="005859FB"/>
    <w:rsid w:val="00585C17"/>
    <w:rsid w:val="00585C4D"/>
    <w:rsid w:val="00586307"/>
    <w:rsid w:val="00586403"/>
    <w:rsid w:val="0058693B"/>
    <w:rsid w:val="00586C37"/>
    <w:rsid w:val="00586CF1"/>
    <w:rsid w:val="00586D49"/>
    <w:rsid w:val="00586E9F"/>
    <w:rsid w:val="00586FA6"/>
    <w:rsid w:val="00587052"/>
    <w:rsid w:val="00587056"/>
    <w:rsid w:val="005870CF"/>
    <w:rsid w:val="005870E0"/>
    <w:rsid w:val="005871B6"/>
    <w:rsid w:val="00587528"/>
    <w:rsid w:val="00587944"/>
    <w:rsid w:val="00587A71"/>
    <w:rsid w:val="00587B2E"/>
    <w:rsid w:val="00587C7F"/>
    <w:rsid w:val="00587CE9"/>
    <w:rsid w:val="00587E0C"/>
    <w:rsid w:val="00587F32"/>
    <w:rsid w:val="00590069"/>
    <w:rsid w:val="005900CA"/>
    <w:rsid w:val="005901D7"/>
    <w:rsid w:val="005902CC"/>
    <w:rsid w:val="00590356"/>
    <w:rsid w:val="0059035B"/>
    <w:rsid w:val="005905AE"/>
    <w:rsid w:val="0059075E"/>
    <w:rsid w:val="005908E8"/>
    <w:rsid w:val="00590AD2"/>
    <w:rsid w:val="00590C5B"/>
    <w:rsid w:val="00590CB1"/>
    <w:rsid w:val="00590FF4"/>
    <w:rsid w:val="00591451"/>
    <w:rsid w:val="00591806"/>
    <w:rsid w:val="005918FD"/>
    <w:rsid w:val="00591A82"/>
    <w:rsid w:val="00592067"/>
    <w:rsid w:val="0059235C"/>
    <w:rsid w:val="005927E4"/>
    <w:rsid w:val="00592923"/>
    <w:rsid w:val="00592954"/>
    <w:rsid w:val="005929CC"/>
    <w:rsid w:val="005929F7"/>
    <w:rsid w:val="00592AA6"/>
    <w:rsid w:val="00592AF7"/>
    <w:rsid w:val="00592B33"/>
    <w:rsid w:val="00592FB7"/>
    <w:rsid w:val="00593403"/>
    <w:rsid w:val="00593616"/>
    <w:rsid w:val="0059375D"/>
    <w:rsid w:val="005939FC"/>
    <w:rsid w:val="00593A45"/>
    <w:rsid w:val="00593CEF"/>
    <w:rsid w:val="00593E87"/>
    <w:rsid w:val="0059400F"/>
    <w:rsid w:val="005940BB"/>
    <w:rsid w:val="0059451A"/>
    <w:rsid w:val="005946DA"/>
    <w:rsid w:val="00594D61"/>
    <w:rsid w:val="00594E7B"/>
    <w:rsid w:val="005951C7"/>
    <w:rsid w:val="00595234"/>
    <w:rsid w:val="00595379"/>
    <w:rsid w:val="005955C2"/>
    <w:rsid w:val="005956CC"/>
    <w:rsid w:val="0059571C"/>
    <w:rsid w:val="0059574C"/>
    <w:rsid w:val="00595A63"/>
    <w:rsid w:val="00595AFE"/>
    <w:rsid w:val="00595BA1"/>
    <w:rsid w:val="00595D35"/>
    <w:rsid w:val="00595F93"/>
    <w:rsid w:val="005965B5"/>
    <w:rsid w:val="005965E0"/>
    <w:rsid w:val="00596680"/>
    <w:rsid w:val="00596903"/>
    <w:rsid w:val="00596B36"/>
    <w:rsid w:val="00596BA5"/>
    <w:rsid w:val="00596DCC"/>
    <w:rsid w:val="00597078"/>
    <w:rsid w:val="005973A9"/>
    <w:rsid w:val="00597774"/>
    <w:rsid w:val="005977BF"/>
    <w:rsid w:val="00597951"/>
    <w:rsid w:val="00597CF2"/>
    <w:rsid w:val="00597DDD"/>
    <w:rsid w:val="005A037D"/>
    <w:rsid w:val="005A046A"/>
    <w:rsid w:val="005A060C"/>
    <w:rsid w:val="005A0779"/>
    <w:rsid w:val="005A090B"/>
    <w:rsid w:val="005A0946"/>
    <w:rsid w:val="005A0C10"/>
    <w:rsid w:val="005A0D2F"/>
    <w:rsid w:val="005A0EE4"/>
    <w:rsid w:val="005A104E"/>
    <w:rsid w:val="005A13EF"/>
    <w:rsid w:val="005A1697"/>
    <w:rsid w:val="005A1944"/>
    <w:rsid w:val="005A1B78"/>
    <w:rsid w:val="005A1C44"/>
    <w:rsid w:val="005A1C91"/>
    <w:rsid w:val="005A1D24"/>
    <w:rsid w:val="005A1D45"/>
    <w:rsid w:val="005A1E14"/>
    <w:rsid w:val="005A248F"/>
    <w:rsid w:val="005A24BC"/>
    <w:rsid w:val="005A26A7"/>
    <w:rsid w:val="005A294F"/>
    <w:rsid w:val="005A2955"/>
    <w:rsid w:val="005A29FC"/>
    <w:rsid w:val="005A2A1F"/>
    <w:rsid w:val="005A2A89"/>
    <w:rsid w:val="005A2ADB"/>
    <w:rsid w:val="005A2E82"/>
    <w:rsid w:val="005A3038"/>
    <w:rsid w:val="005A3455"/>
    <w:rsid w:val="005A3466"/>
    <w:rsid w:val="005A35D7"/>
    <w:rsid w:val="005A3771"/>
    <w:rsid w:val="005A37B5"/>
    <w:rsid w:val="005A3821"/>
    <w:rsid w:val="005A391C"/>
    <w:rsid w:val="005A3A8B"/>
    <w:rsid w:val="005A3F12"/>
    <w:rsid w:val="005A4062"/>
    <w:rsid w:val="005A416B"/>
    <w:rsid w:val="005A4238"/>
    <w:rsid w:val="005A430C"/>
    <w:rsid w:val="005A43FF"/>
    <w:rsid w:val="005A44EB"/>
    <w:rsid w:val="005A4576"/>
    <w:rsid w:val="005A47F7"/>
    <w:rsid w:val="005A504F"/>
    <w:rsid w:val="005A51F1"/>
    <w:rsid w:val="005A564F"/>
    <w:rsid w:val="005A58E9"/>
    <w:rsid w:val="005A5D85"/>
    <w:rsid w:val="005A5F5A"/>
    <w:rsid w:val="005A63AB"/>
    <w:rsid w:val="005A64E3"/>
    <w:rsid w:val="005A656D"/>
    <w:rsid w:val="005A666A"/>
    <w:rsid w:val="005A685A"/>
    <w:rsid w:val="005A6869"/>
    <w:rsid w:val="005A687A"/>
    <w:rsid w:val="005A691B"/>
    <w:rsid w:val="005A6A1D"/>
    <w:rsid w:val="005A6F9A"/>
    <w:rsid w:val="005A71C6"/>
    <w:rsid w:val="005A739E"/>
    <w:rsid w:val="005A7A84"/>
    <w:rsid w:val="005A7AC6"/>
    <w:rsid w:val="005A7BED"/>
    <w:rsid w:val="005A7C68"/>
    <w:rsid w:val="005A7CF5"/>
    <w:rsid w:val="005A7E62"/>
    <w:rsid w:val="005A7E82"/>
    <w:rsid w:val="005B005D"/>
    <w:rsid w:val="005B0077"/>
    <w:rsid w:val="005B00A5"/>
    <w:rsid w:val="005B0142"/>
    <w:rsid w:val="005B02D4"/>
    <w:rsid w:val="005B0341"/>
    <w:rsid w:val="005B04B1"/>
    <w:rsid w:val="005B053A"/>
    <w:rsid w:val="005B05A0"/>
    <w:rsid w:val="005B0814"/>
    <w:rsid w:val="005B0A90"/>
    <w:rsid w:val="005B0A9D"/>
    <w:rsid w:val="005B0BBA"/>
    <w:rsid w:val="005B0D5C"/>
    <w:rsid w:val="005B0EB4"/>
    <w:rsid w:val="005B0F45"/>
    <w:rsid w:val="005B1074"/>
    <w:rsid w:val="005B118A"/>
    <w:rsid w:val="005B11C1"/>
    <w:rsid w:val="005B123F"/>
    <w:rsid w:val="005B1961"/>
    <w:rsid w:val="005B1991"/>
    <w:rsid w:val="005B1CE6"/>
    <w:rsid w:val="005B1D5D"/>
    <w:rsid w:val="005B1DFB"/>
    <w:rsid w:val="005B1E17"/>
    <w:rsid w:val="005B1FF0"/>
    <w:rsid w:val="005B212D"/>
    <w:rsid w:val="005B21C9"/>
    <w:rsid w:val="005B2271"/>
    <w:rsid w:val="005B22D0"/>
    <w:rsid w:val="005B25A2"/>
    <w:rsid w:val="005B2800"/>
    <w:rsid w:val="005B28CE"/>
    <w:rsid w:val="005B296F"/>
    <w:rsid w:val="005B299A"/>
    <w:rsid w:val="005B2C4F"/>
    <w:rsid w:val="005B2D2B"/>
    <w:rsid w:val="005B2EAC"/>
    <w:rsid w:val="005B3670"/>
    <w:rsid w:val="005B36B1"/>
    <w:rsid w:val="005B3934"/>
    <w:rsid w:val="005B3C89"/>
    <w:rsid w:val="005B4144"/>
    <w:rsid w:val="005B4616"/>
    <w:rsid w:val="005B4681"/>
    <w:rsid w:val="005B4846"/>
    <w:rsid w:val="005B4A08"/>
    <w:rsid w:val="005B4C75"/>
    <w:rsid w:val="005B4ED0"/>
    <w:rsid w:val="005B4F57"/>
    <w:rsid w:val="005B4F8B"/>
    <w:rsid w:val="005B5153"/>
    <w:rsid w:val="005B51F3"/>
    <w:rsid w:val="005B5334"/>
    <w:rsid w:val="005B534C"/>
    <w:rsid w:val="005B53AF"/>
    <w:rsid w:val="005B5FEF"/>
    <w:rsid w:val="005B6546"/>
    <w:rsid w:val="005B66C8"/>
    <w:rsid w:val="005B66F4"/>
    <w:rsid w:val="005B6786"/>
    <w:rsid w:val="005B6DF3"/>
    <w:rsid w:val="005B71D8"/>
    <w:rsid w:val="005B74DC"/>
    <w:rsid w:val="005B7762"/>
    <w:rsid w:val="005B784F"/>
    <w:rsid w:val="005B7D49"/>
    <w:rsid w:val="005B7DD8"/>
    <w:rsid w:val="005B7E97"/>
    <w:rsid w:val="005B7F7F"/>
    <w:rsid w:val="005C010B"/>
    <w:rsid w:val="005C0115"/>
    <w:rsid w:val="005C013C"/>
    <w:rsid w:val="005C0156"/>
    <w:rsid w:val="005C02B9"/>
    <w:rsid w:val="005C0827"/>
    <w:rsid w:val="005C0911"/>
    <w:rsid w:val="005C093F"/>
    <w:rsid w:val="005C0A2B"/>
    <w:rsid w:val="005C0BC7"/>
    <w:rsid w:val="005C0CBF"/>
    <w:rsid w:val="005C0E0C"/>
    <w:rsid w:val="005C0EFF"/>
    <w:rsid w:val="005C0FF3"/>
    <w:rsid w:val="005C117F"/>
    <w:rsid w:val="005C13F0"/>
    <w:rsid w:val="005C16A8"/>
    <w:rsid w:val="005C17BC"/>
    <w:rsid w:val="005C1858"/>
    <w:rsid w:val="005C1962"/>
    <w:rsid w:val="005C1B1F"/>
    <w:rsid w:val="005C1CAE"/>
    <w:rsid w:val="005C1DEC"/>
    <w:rsid w:val="005C1F0B"/>
    <w:rsid w:val="005C20F6"/>
    <w:rsid w:val="005C21BA"/>
    <w:rsid w:val="005C22A4"/>
    <w:rsid w:val="005C241A"/>
    <w:rsid w:val="005C29D4"/>
    <w:rsid w:val="005C2A9B"/>
    <w:rsid w:val="005C2E1E"/>
    <w:rsid w:val="005C2F32"/>
    <w:rsid w:val="005C30D9"/>
    <w:rsid w:val="005C3213"/>
    <w:rsid w:val="005C3306"/>
    <w:rsid w:val="005C335A"/>
    <w:rsid w:val="005C35B6"/>
    <w:rsid w:val="005C3659"/>
    <w:rsid w:val="005C37E1"/>
    <w:rsid w:val="005C3B7D"/>
    <w:rsid w:val="005C3B89"/>
    <w:rsid w:val="005C4237"/>
    <w:rsid w:val="005C44DD"/>
    <w:rsid w:val="005C45C4"/>
    <w:rsid w:val="005C48DE"/>
    <w:rsid w:val="005C4A56"/>
    <w:rsid w:val="005C4AFD"/>
    <w:rsid w:val="005C4BF2"/>
    <w:rsid w:val="005C4C79"/>
    <w:rsid w:val="005C4EE5"/>
    <w:rsid w:val="005C4F70"/>
    <w:rsid w:val="005C4FA1"/>
    <w:rsid w:val="005C5082"/>
    <w:rsid w:val="005C5FBE"/>
    <w:rsid w:val="005C627E"/>
    <w:rsid w:val="005C6470"/>
    <w:rsid w:val="005C6781"/>
    <w:rsid w:val="005C6AF8"/>
    <w:rsid w:val="005C6CF2"/>
    <w:rsid w:val="005C6E7A"/>
    <w:rsid w:val="005C7209"/>
    <w:rsid w:val="005C739E"/>
    <w:rsid w:val="005C740B"/>
    <w:rsid w:val="005C752E"/>
    <w:rsid w:val="005C759D"/>
    <w:rsid w:val="005C7767"/>
    <w:rsid w:val="005C77B4"/>
    <w:rsid w:val="005C7945"/>
    <w:rsid w:val="005C7A93"/>
    <w:rsid w:val="005C7B6E"/>
    <w:rsid w:val="005C7C18"/>
    <w:rsid w:val="005D0086"/>
    <w:rsid w:val="005D028C"/>
    <w:rsid w:val="005D055B"/>
    <w:rsid w:val="005D0632"/>
    <w:rsid w:val="005D081C"/>
    <w:rsid w:val="005D0979"/>
    <w:rsid w:val="005D0D76"/>
    <w:rsid w:val="005D0D8C"/>
    <w:rsid w:val="005D0F68"/>
    <w:rsid w:val="005D10AB"/>
    <w:rsid w:val="005D1B91"/>
    <w:rsid w:val="005D1C68"/>
    <w:rsid w:val="005D1EF3"/>
    <w:rsid w:val="005D22C9"/>
    <w:rsid w:val="005D24B9"/>
    <w:rsid w:val="005D24CE"/>
    <w:rsid w:val="005D269F"/>
    <w:rsid w:val="005D27D3"/>
    <w:rsid w:val="005D2F59"/>
    <w:rsid w:val="005D3B2F"/>
    <w:rsid w:val="005D3C63"/>
    <w:rsid w:val="005D3C68"/>
    <w:rsid w:val="005D3C79"/>
    <w:rsid w:val="005D3DA8"/>
    <w:rsid w:val="005D3E62"/>
    <w:rsid w:val="005D3E8E"/>
    <w:rsid w:val="005D3F3F"/>
    <w:rsid w:val="005D40E7"/>
    <w:rsid w:val="005D40F3"/>
    <w:rsid w:val="005D41B7"/>
    <w:rsid w:val="005D4206"/>
    <w:rsid w:val="005D42CE"/>
    <w:rsid w:val="005D4481"/>
    <w:rsid w:val="005D4642"/>
    <w:rsid w:val="005D4812"/>
    <w:rsid w:val="005D484B"/>
    <w:rsid w:val="005D4A92"/>
    <w:rsid w:val="005D4AAE"/>
    <w:rsid w:val="005D4C64"/>
    <w:rsid w:val="005D4D15"/>
    <w:rsid w:val="005D4DED"/>
    <w:rsid w:val="005D4F2A"/>
    <w:rsid w:val="005D5442"/>
    <w:rsid w:val="005D5898"/>
    <w:rsid w:val="005D5ABE"/>
    <w:rsid w:val="005D5E97"/>
    <w:rsid w:val="005D6154"/>
    <w:rsid w:val="005D61C5"/>
    <w:rsid w:val="005D6254"/>
    <w:rsid w:val="005D62C0"/>
    <w:rsid w:val="005D63C0"/>
    <w:rsid w:val="005D63EA"/>
    <w:rsid w:val="005D67E1"/>
    <w:rsid w:val="005D6823"/>
    <w:rsid w:val="005D689E"/>
    <w:rsid w:val="005D69FE"/>
    <w:rsid w:val="005D6ADE"/>
    <w:rsid w:val="005D6DC9"/>
    <w:rsid w:val="005D71FC"/>
    <w:rsid w:val="005D7583"/>
    <w:rsid w:val="005D75B3"/>
    <w:rsid w:val="005D77AA"/>
    <w:rsid w:val="005D79F2"/>
    <w:rsid w:val="005D7A33"/>
    <w:rsid w:val="005D7BEC"/>
    <w:rsid w:val="005D7CFB"/>
    <w:rsid w:val="005D7E2A"/>
    <w:rsid w:val="005D7F92"/>
    <w:rsid w:val="005D7FCB"/>
    <w:rsid w:val="005D7FEA"/>
    <w:rsid w:val="005E00DF"/>
    <w:rsid w:val="005E0615"/>
    <w:rsid w:val="005E0663"/>
    <w:rsid w:val="005E0807"/>
    <w:rsid w:val="005E091D"/>
    <w:rsid w:val="005E09C6"/>
    <w:rsid w:val="005E0A61"/>
    <w:rsid w:val="005E0D05"/>
    <w:rsid w:val="005E0F5D"/>
    <w:rsid w:val="005E13C5"/>
    <w:rsid w:val="005E14D2"/>
    <w:rsid w:val="005E19BE"/>
    <w:rsid w:val="005E1B2B"/>
    <w:rsid w:val="005E1D0D"/>
    <w:rsid w:val="005E1DA7"/>
    <w:rsid w:val="005E21A1"/>
    <w:rsid w:val="005E294F"/>
    <w:rsid w:val="005E2ADD"/>
    <w:rsid w:val="005E2E1A"/>
    <w:rsid w:val="005E2F9C"/>
    <w:rsid w:val="005E2FB6"/>
    <w:rsid w:val="005E300F"/>
    <w:rsid w:val="005E3198"/>
    <w:rsid w:val="005E34A8"/>
    <w:rsid w:val="005E35C1"/>
    <w:rsid w:val="005E3711"/>
    <w:rsid w:val="005E3715"/>
    <w:rsid w:val="005E37E1"/>
    <w:rsid w:val="005E38C1"/>
    <w:rsid w:val="005E3A9E"/>
    <w:rsid w:val="005E3C0D"/>
    <w:rsid w:val="005E3C15"/>
    <w:rsid w:val="005E3C32"/>
    <w:rsid w:val="005E3CF4"/>
    <w:rsid w:val="005E3E53"/>
    <w:rsid w:val="005E3E8B"/>
    <w:rsid w:val="005E413E"/>
    <w:rsid w:val="005E42B1"/>
    <w:rsid w:val="005E42B3"/>
    <w:rsid w:val="005E43FC"/>
    <w:rsid w:val="005E4DAE"/>
    <w:rsid w:val="005E4EB2"/>
    <w:rsid w:val="005E4F98"/>
    <w:rsid w:val="005E51DE"/>
    <w:rsid w:val="005E52D4"/>
    <w:rsid w:val="005E56D0"/>
    <w:rsid w:val="005E57D4"/>
    <w:rsid w:val="005E58C1"/>
    <w:rsid w:val="005E5DDC"/>
    <w:rsid w:val="005E6230"/>
    <w:rsid w:val="005E67E6"/>
    <w:rsid w:val="005E696B"/>
    <w:rsid w:val="005E70F5"/>
    <w:rsid w:val="005E70FF"/>
    <w:rsid w:val="005E733C"/>
    <w:rsid w:val="005E73ED"/>
    <w:rsid w:val="005E74C2"/>
    <w:rsid w:val="005E767C"/>
    <w:rsid w:val="005E788A"/>
    <w:rsid w:val="005E79E7"/>
    <w:rsid w:val="005E7AC2"/>
    <w:rsid w:val="005E7B50"/>
    <w:rsid w:val="005E7C16"/>
    <w:rsid w:val="005E7D2A"/>
    <w:rsid w:val="005E7EE3"/>
    <w:rsid w:val="005F0088"/>
    <w:rsid w:val="005F0169"/>
    <w:rsid w:val="005F01DC"/>
    <w:rsid w:val="005F02CA"/>
    <w:rsid w:val="005F035A"/>
    <w:rsid w:val="005F03E1"/>
    <w:rsid w:val="005F0EA8"/>
    <w:rsid w:val="005F10ED"/>
    <w:rsid w:val="005F13DE"/>
    <w:rsid w:val="005F153C"/>
    <w:rsid w:val="005F1923"/>
    <w:rsid w:val="005F1929"/>
    <w:rsid w:val="005F1B3D"/>
    <w:rsid w:val="005F1EE2"/>
    <w:rsid w:val="005F219C"/>
    <w:rsid w:val="005F27D1"/>
    <w:rsid w:val="005F2B1E"/>
    <w:rsid w:val="005F2CB6"/>
    <w:rsid w:val="005F2D41"/>
    <w:rsid w:val="005F2D54"/>
    <w:rsid w:val="005F3147"/>
    <w:rsid w:val="005F3186"/>
    <w:rsid w:val="005F328B"/>
    <w:rsid w:val="005F3485"/>
    <w:rsid w:val="005F36D7"/>
    <w:rsid w:val="005F374D"/>
    <w:rsid w:val="005F385D"/>
    <w:rsid w:val="005F3903"/>
    <w:rsid w:val="005F3B57"/>
    <w:rsid w:val="005F3EA0"/>
    <w:rsid w:val="005F3EBB"/>
    <w:rsid w:val="005F417C"/>
    <w:rsid w:val="005F41B5"/>
    <w:rsid w:val="005F42A9"/>
    <w:rsid w:val="005F42E9"/>
    <w:rsid w:val="005F4331"/>
    <w:rsid w:val="005F4439"/>
    <w:rsid w:val="005F453C"/>
    <w:rsid w:val="005F47B6"/>
    <w:rsid w:val="005F4C8D"/>
    <w:rsid w:val="005F4D87"/>
    <w:rsid w:val="005F4E5C"/>
    <w:rsid w:val="005F500D"/>
    <w:rsid w:val="005F5472"/>
    <w:rsid w:val="005F55FB"/>
    <w:rsid w:val="005F5610"/>
    <w:rsid w:val="005F569F"/>
    <w:rsid w:val="005F593F"/>
    <w:rsid w:val="005F5B3B"/>
    <w:rsid w:val="005F5CD3"/>
    <w:rsid w:val="005F5D63"/>
    <w:rsid w:val="005F5E4E"/>
    <w:rsid w:val="005F60D0"/>
    <w:rsid w:val="005F6183"/>
    <w:rsid w:val="005F64D1"/>
    <w:rsid w:val="005F666B"/>
    <w:rsid w:val="005F66D3"/>
    <w:rsid w:val="005F6A3C"/>
    <w:rsid w:val="005F7219"/>
    <w:rsid w:val="005F7265"/>
    <w:rsid w:val="005F73CE"/>
    <w:rsid w:val="005F7666"/>
    <w:rsid w:val="005F7816"/>
    <w:rsid w:val="005F7960"/>
    <w:rsid w:val="005F7A5C"/>
    <w:rsid w:val="005F7B27"/>
    <w:rsid w:val="005F7B6F"/>
    <w:rsid w:val="0060022A"/>
    <w:rsid w:val="006002CB"/>
    <w:rsid w:val="006004BD"/>
    <w:rsid w:val="006007E7"/>
    <w:rsid w:val="00600AA0"/>
    <w:rsid w:val="00600BC3"/>
    <w:rsid w:val="00600CE9"/>
    <w:rsid w:val="00600DD7"/>
    <w:rsid w:val="00600FA1"/>
    <w:rsid w:val="00601026"/>
    <w:rsid w:val="0060111E"/>
    <w:rsid w:val="006012D1"/>
    <w:rsid w:val="00601353"/>
    <w:rsid w:val="00601457"/>
    <w:rsid w:val="0060150E"/>
    <w:rsid w:val="00601644"/>
    <w:rsid w:val="006016CD"/>
    <w:rsid w:val="00601821"/>
    <w:rsid w:val="0060187C"/>
    <w:rsid w:val="00601F2A"/>
    <w:rsid w:val="00602113"/>
    <w:rsid w:val="00602212"/>
    <w:rsid w:val="0060246C"/>
    <w:rsid w:val="00602570"/>
    <w:rsid w:val="006026C9"/>
    <w:rsid w:val="006029C5"/>
    <w:rsid w:val="00602A54"/>
    <w:rsid w:val="00602D5D"/>
    <w:rsid w:val="00602DC4"/>
    <w:rsid w:val="00602F6D"/>
    <w:rsid w:val="00603177"/>
    <w:rsid w:val="006031E7"/>
    <w:rsid w:val="0060323E"/>
    <w:rsid w:val="0060359B"/>
    <w:rsid w:val="0060361C"/>
    <w:rsid w:val="006037C4"/>
    <w:rsid w:val="006037EA"/>
    <w:rsid w:val="00603987"/>
    <w:rsid w:val="00603AB0"/>
    <w:rsid w:val="00603CA6"/>
    <w:rsid w:val="00603F71"/>
    <w:rsid w:val="00604348"/>
    <w:rsid w:val="006044F6"/>
    <w:rsid w:val="0060488D"/>
    <w:rsid w:val="006049CD"/>
    <w:rsid w:val="00604AAF"/>
    <w:rsid w:val="006051D5"/>
    <w:rsid w:val="00605424"/>
    <w:rsid w:val="006054EF"/>
    <w:rsid w:val="00605813"/>
    <w:rsid w:val="00605842"/>
    <w:rsid w:val="006058D4"/>
    <w:rsid w:val="0060591B"/>
    <w:rsid w:val="00605987"/>
    <w:rsid w:val="00605A06"/>
    <w:rsid w:val="00605C4E"/>
    <w:rsid w:val="00605CF2"/>
    <w:rsid w:val="00605D62"/>
    <w:rsid w:val="00605EEB"/>
    <w:rsid w:val="00606125"/>
    <w:rsid w:val="00606167"/>
    <w:rsid w:val="006064A4"/>
    <w:rsid w:val="006064F6"/>
    <w:rsid w:val="0060666D"/>
    <w:rsid w:val="00606A31"/>
    <w:rsid w:val="0060760A"/>
    <w:rsid w:val="006076D6"/>
    <w:rsid w:val="006076DE"/>
    <w:rsid w:val="006076E1"/>
    <w:rsid w:val="00607765"/>
    <w:rsid w:val="00607868"/>
    <w:rsid w:val="00607EC6"/>
    <w:rsid w:val="00607F4F"/>
    <w:rsid w:val="0061018F"/>
    <w:rsid w:val="0061024D"/>
    <w:rsid w:val="006102C3"/>
    <w:rsid w:val="006105FF"/>
    <w:rsid w:val="006106AC"/>
    <w:rsid w:val="00610C11"/>
    <w:rsid w:val="00610C32"/>
    <w:rsid w:val="00610CFA"/>
    <w:rsid w:val="00610D62"/>
    <w:rsid w:val="00610DA6"/>
    <w:rsid w:val="0061101B"/>
    <w:rsid w:val="006115D5"/>
    <w:rsid w:val="006116B4"/>
    <w:rsid w:val="00611819"/>
    <w:rsid w:val="0061199C"/>
    <w:rsid w:val="00611D2E"/>
    <w:rsid w:val="00611F2D"/>
    <w:rsid w:val="006121EB"/>
    <w:rsid w:val="006121F5"/>
    <w:rsid w:val="00612579"/>
    <w:rsid w:val="00612593"/>
    <w:rsid w:val="006126B1"/>
    <w:rsid w:val="00612B6C"/>
    <w:rsid w:val="00612D27"/>
    <w:rsid w:val="00612EC4"/>
    <w:rsid w:val="00612FAF"/>
    <w:rsid w:val="006132D8"/>
    <w:rsid w:val="00613355"/>
    <w:rsid w:val="00613522"/>
    <w:rsid w:val="006135B1"/>
    <w:rsid w:val="00613624"/>
    <w:rsid w:val="006139F1"/>
    <w:rsid w:val="00613B21"/>
    <w:rsid w:val="00613CA8"/>
    <w:rsid w:val="00613FAD"/>
    <w:rsid w:val="00614224"/>
    <w:rsid w:val="00614575"/>
    <w:rsid w:val="0061469A"/>
    <w:rsid w:val="0061490E"/>
    <w:rsid w:val="00614A3D"/>
    <w:rsid w:val="00614DF2"/>
    <w:rsid w:val="00614EBB"/>
    <w:rsid w:val="006150A9"/>
    <w:rsid w:val="006150F3"/>
    <w:rsid w:val="00615161"/>
    <w:rsid w:val="006157CA"/>
    <w:rsid w:val="00615802"/>
    <w:rsid w:val="00615811"/>
    <w:rsid w:val="0061598B"/>
    <w:rsid w:val="00615CE8"/>
    <w:rsid w:val="00615D32"/>
    <w:rsid w:val="00615D43"/>
    <w:rsid w:val="00615F73"/>
    <w:rsid w:val="006161D6"/>
    <w:rsid w:val="00616405"/>
    <w:rsid w:val="0061656B"/>
    <w:rsid w:val="00616B6D"/>
    <w:rsid w:val="00616F77"/>
    <w:rsid w:val="00616F8A"/>
    <w:rsid w:val="00617130"/>
    <w:rsid w:val="00617206"/>
    <w:rsid w:val="006172F5"/>
    <w:rsid w:val="0061733A"/>
    <w:rsid w:val="00617388"/>
    <w:rsid w:val="00617451"/>
    <w:rsid w:val="006174F5"/>
    <w:rsid w:val="0061754C"/>
    <w:rsid w:val="006175B4"/>
    <w:rsid w:val="00617822"/>
    <w:rsid w:val="00617830"/>
    <w:rsid w:val="00617900"/>
    <w:rsid w:val="0061797B"/>
    <w:rsid w:val="00617BCA"/>
    <w:rsid w:val="00617F18"/>
    <w:rsid w:val="00620264"/>
    <w:rsid w:val="006202A1"/>
    <w:rsid w:val="0062032B"/>
    <w:rsid w:val="00620428"/>
    <w:rsid w:val="0062045C"/>
    <w:rsid w:val="00620563"/>
    <w:rsid w:val="006205AE"/>
    <w:rsid w:val="0062061E"/>
    <w:rsid w:val="00620695"/>
    <w:rsid w:val="0062083F"/>
    <w:rsid w:val="00620880"/>
    <w:rsid w:val="006208D1"/>
    <w:rsid w:val="006209F0"/>
    <w:rsid w:val="00621034"/>
    <w:rsid w:val="00621098"/>
    <w:rsid w:val="0062116F"/>
    <w:rsid w:val="0062136A"/>
    <w:rsid w:val="00621478"/>
    <w:rsid w:val="00621601"/>
    <w:rsid w:val="00621887"/>
    <w:rsid w:val="006219BD"/>
    <w:rsid w:val="006219C1"/>
    <w:rsid w:val="00621BA7"/>
    <w:rsid w:val="00621FEE"/>
    <w:rsid w:val="006221A4"/>
    <w:rsid w:val="00622255"/>
    <w:rsid w:val="006225A5"/>
    <w:rsid w:val="00622690"/>
    <w:rsid w:val="00622744"/>
    <w:rsid w:val="00622955"/>
    <w:rsid w:val="00622A06"/>
    <w:rsid w:val="00622CD0"/>
    <w:rsid w:val="00622D72"/>
    <w:rsid w:val="00622E95"/>
    <w:rsid w:val="00623029"/>
    <w:rsid w:val="006230CD"/>
    <w:rsid w:val="0062314A"/>
    <w:rsid w:val="00623387"/>
    <w:rsid w:val="0062347B"/>
    <w:rsid w:val="0062367E"/>
    <w:rsid w:val="006238C8"/>
    <w:rsid w:val="00623965"/>
    <w:rsid w:val="00623D5D"/>
    <w:rsid w:val="00623D5F"/>
    <w:rsid w:val="00623DD2"/>
    <w:rsid w:val="00624067"/>
    <w:rsid w:val="006241F4"/>
    <w:rsid w:val="00624276"/>
    <w:rsid w:val="006243B7"/>
    <w:rsid w:val="0062442F"/>
    <w:rsid w:val="00624503"/>
    <w:rsid w:val="006245D6"/>
    <w:rsid w:val="0062465C"/>
    <w:rsid w:val="00624723"/>
    <w:rsid w:val="00624876"/>
    <w:rsid w:val="006249E5"/>
    <w:rsid w:val="00624A85"/>
    <w:rsid w:val="00624B16"/>
    <w:rsid w:val="00624D40"/>
    <w:rsid w:val="00624FFB"/>
    <w:rsid w:val="0062504D"/>
    <w:rsid w:val="00625178"/>
    <w:rsid w:val="006251E4"/>
    <w:rsid w:val="006252D2"/>
    <w:rsid w:val="006254F7"/>
    <w:rsid w:val="00625557"/>
    <w:rsid w:val="00625570"/>
    <w:rsid w:val="00625585"/>
    <w:rsid w:val="006255E2"/>
    <w:rsid w:val="00625BEA"/>
    <w:rsid w:val="00625D4A"/>
    <w:rsid w:val="00625E1D"/>
    <w:rsid w:val="00625EC6"/>
    <w:rsid w:val="00625F3F"/>
    <w:rsid w:val="00625F69"/>
    <w:rsid w:val="0062652C"/>
    <w:rsid w:val="006266F0"/>
    <w:rsid w:val="00626E45"/>
    <w:rsid w:val="00627032"/>
    <w:rsid w:val="00627355"/>
    <w:rsid w:val="006273B2"/>
    <w:rsid w:val="00627454"/>
    <w:rsid w:val="006275D7"/>
    <w:rsid w:val="00627A99"/>
    <w:rsid w:val="00627B42"/>
    <w:rsid w:val="00627C17"/>
    <w:rsid w:val="00627C44"/>
    <w:rsid w:val="00627E2C"/>
    <w:rsid w:val="00627EC6"/>
    <w:rsid w:val="0062B5EB"/>
    <w:rsid w:val="006300E5"/>
    <w:rsid w:val="00630352"/>
    <w:rsid w:val="0063052A"/>
    <w:rsid w:val="0063055B"/>
    <w:rsid w:val="00630768"/>
    <w:rsid w:val="006308A7"/>
    <w:rsid w:val="00630903"/>
    <w:rsid w:val="00630C87"/>
    <w:rsid w:val="00630DBC"/>
    <w:rsid w:val="0063105D"/>
    <w:rsid w:val="0063133F"/>
    <w:rsid w:val="006314AB"/>
    <w:rsid w:val="006318C3"/>
    <w:rsid w:val="006318CC"/>
    <w:rsid w:val="00631A9C"/>
    <w:rsid w:val="00631D4A"/>
    <w:rsid w:val="00631D93"/>
    <w:rsid w:val="00631F5C"/>
    <w:rsid w:val="00632273"/>
    <w:rsid w:val="006322C1"/>
    <w:rsid w:val="00632340"/>
    <w:rsid w:val="0063236C"/>
    <w:rsid w:val="006325AE"/>
    <w:rsid w:val="006328E5"/>
    <w:rsid w:val="00632DB4"/>
    <w:rsid w:val="0063327F"/>
    <w:rsid w:val="0063350C"/>
    <w:rsid w:val="00633745"/>
    <w:rsid w:val="00633CAE"/>
    <w:rsid w:val="00634068"/>
    <w:rsid w:val="0063439F"/>
    <w:rsid w:val="00634562"/>
    <w:rsid w:val="0063474E"/>
    <w:rsid w:val="006348A8"/>
    <w:rsid w:val="0063495B"/>
    <w:rsid w:val="00634A84"/>
    <w:rsid w:val="00634B5E"/>
    <w:rsid w:val="00634D44"/>
    <w:rsid w:val="00634E15"/>
    <w:rsid w:val="00634F89"/>
    <w:rsid w:val="006350E3"/>
    <w:rsid w:val="0063517B"/>
    <w:rsid w:val="006351D3"/>
    <w:rsid w:val="00635431"/>
    <w:rsid w:val="0063544C"/>
    <w:rsid w:val="006355D6"/>
    <w:rsid w:val="006357A1"/>
    <w:rsid w:val="006357CE"/>
    <w:rsid w:val="00635906"/>
    <w:rsid w:val="00635B1C"/>
    <w:rsid w:val="00635EA9"/>
    <w:rsid w:val="00636195"/>
    <w:rsid w:val="00636746"/>
    <w:rsid w:val="006367CF"/>
    <w:rsid w:val="006368E4"/>
    <w:rsid w:val="006368F5"/>
    <w:rsid w:val="006369A7"/>
    <w:rsid w:val="00636A02"/>
    <w:rsid w:val="00636A09"/>
    <w:rsid w:val="00636F39"/>
    <w:rsid w:val="00637178"/>
    <w:rsid w:val="0063727A"/>
    <w:rsid w:val="0063740D"/>
    <w:rsid w:val="006374AF"/>
    <w:rsid w:val="006374EC"/>
    <w:rsid w:val="00637579"/>
    <w:rsid w:val="0064033F"/>
    <w:rsid w:val="00640974"/>
    <w:rsid w:val="006409D1"/>
    <w:rsid w:val="00640A59"/>
    <w:rsid w:val="00640B88"/>
    <w:rsid w:val="00640D5C"/>
    <w:rsid w:val="00640E25"/>
    <w:rsid w:val="00640F90"/>
    <w:rsid w:val="0064122F"/>
    <w:rsid w:val="00641317"/>
    <w:rsid w:val="00641A30"/>
    <w:rsid w:val="00641BE4"/>
    <w:rsid w:val="00641CF4"/>
    <w:rsid w:val="00641D5C"/>
    <w:rsid w:val="00641E0B"/>
    <w:rsid w:val="00641F9B"/>
    <w:rsid w:val="00642596"/>
    <w:rsid w:val="006425F5"/>
    <w:rsid w:val="00642631"/>
    <w:rsid w:val="00642A4F"/>
    <w:rsid w:val="00642B19"/>
    <w:rsid w:val="00642BDB"/>
    <w:rsid w:val="00642FA3"/>
    <w:rsid w:val="00643268"/>
    <w:rsid w:val="00643981"/>
    <w:rsid w:val="00643CA3"/>
    <w:rsid w:val="00643D5A"/>
    <w:rsid w:val="00643E53"/>
    <w:rsid w:val="00644137"/>
    <w:rsid w:val="00644165"/>
    <w:rsid w:val="006441AF"/>
    <w:rsid w:val="006441E8"/>
    <w:rsid w:val="0064439B"/>
    <w:rsid w:val="006443A4"/>
    <w:rsid w:val="00644683"/>
    <w:rsid w:val="006447DC"/>
    <w:rsid w:val="00644860"/>
    <w:rsid w:val="00644942"/>
    <w:rsid w:val="00644E6E"/>
    <w:rsid w:val="00644FD4"/>
    <w:rsid w:val="00645008"/>
    <w:rsid w:val="00645107"/>
    <w:rsid w:val="006451CE"/>
    <w:rsid w:val="00645241"/>
    <w:rsid w:val="006453EE"/>
    <w:rsid w:val="006453FA"/>
    <w:rsid w:val="00645875"/>
    <w:rsid w:val="00645A14"/>
    <w:rsid w:val="00645BDF"/>
    <w:rsid w:val="00645D17"/>
    <w:rsid w:val="00646140"/>
    <w:rsid w:val="00646886"/>
    <w:rsid w:val="00646C6D"/>
    <w:rsid w:val="00646EE6"/>
    <w:rsid w:val="0064706E"/>
    <w:rsid w:val="00650117"/>
    <w:rsid w:val="006504EC"/>
    <w:rsid w:val="0065057E"/>
    <w:rsid w:val="00650931"/>
    <w:rsid w:val="00650AD2"/>
    <w:rsid w:val="00650DEC"/>
    <w:rsid w:val="00650F16"/>
    <w:rsid w:val="00651049"/>
    <w:rsid w:val="006513B6"/>
    <w:rsid w:val="00651424"/>
    <w:rsid w:val="0065142E"/>
    <w:rsid w:val="00651993"/>
    <w:rsid w:val="00651A0F"/>
    <w:rsid w:val="00651C24"/>
    <w:rsid w:val="00651F6E"/>
    <w:rsid w:val="006520BE"/>
    <w:rsid w:val="006520E0"/>
    <w:rsid w:val="006524F7"/>
    <w:rsid w:val="0065260A"/>
    <w:rsid w:val="006526E8"/>
    <w:rsid w:val="00652750"/>
    <w:rsid w:val="00652C71"/>
    <w:rsid w:val="00652E6C"/>
    <w:rsid w:val="0065306B"/>
    <w:rsid w:val="006531C0"/>
    <w:rsid w:val="00653305"/>
    <w:rsid w:val="006533A7"/>
    <w:rsid w:val="006534D3"/>
    <w:rsid w:val="00653587"/>
    <w:rsid w:val="006535D9"/>
    <w:rsid w:val="006537C3"/>
    <w:rsid w:val="00653CCA"/>
    <w:rsid w:val="00653DDD"/>
    <w:rsid w:val="006540CB"/>
    <w:rsid w:val="006541AE"/>
    <w:rsid w:val="0065438F"/>
    <w:rsid w:val="006543DF"/>
    <w:rsid w:val="00654440"/>
    <w:rsid w:val="006544A8"/>
    <w:rsid w:val="00654A49"/>
    <w:rsid w:val="00654BE6"/>
    <w:rsid w:val="00654CFA"/>
    <w:rsid w:val="00654D8A"/>
    <w:rsid w:val="00654E1B"/>
    <w:rsid w:val="006550B4"/>
    <w:rsid w:val="0065510C"/>
    <w:rsid w:val="00655300"/>
    <w:rsid w:val="006557BC"/>
    <w:rsid w:val="006557DA"/>
    <w:rsid w:val="006558E0"/>
    <w:rsid w:val="00655AA4"/>
    <w:rsid w:val="00655AEF"/>
    <w:rsid w:val="00655ED3"/>
    <w:rsid w:val="0065619B"/>
    <w:rsid w:val="0065636E"/>
    <w:rsid w:val="006564D9"/>
    <w:rsid w:val="006565AE"/>
    <w:rsid w:val="00656838"/>
    <w:rsid w:val="006568C2"/>
    <w:rsid w:val="00656D47"/>
    <w:rsid w:val="00656DC6"/>
    <w:rsid w:val="00657118"/>
    <w:rsid w:val="0065724C"/>
    <w:rsid w:val="0065726B"/>
    <w:rsid w:val="00657BB6"/>
    <w:rsid w:val="00657ED2"/>
    <w:rsid w:val="00660165"/>
    <w:rsid w:val="006601D8"/>
    <w:rsid w:val="0066022B"/>
    <w:rsid w:val="00660419"/>
    <w:rsid w:val="00660475"/>
    <w:rsid w:val="006605E1"/>
    <w:rsid w:val="006609EA"/>
    <w:rsid w:val="00660F40"/>
    <w:rsid w:val="00660F88"/>
    <w:rsid w:val="006612EC"/>
    <w:rsid w:val="00661420"/>
    <w:rsid w:val="006614EE"/>
    <w:rsid w:val="00661968"/>
    <w:rsid w:val="00661AD5"/>
    <w:rsid w:val="00661BE2"/>
    <w:rsid w:val="00662810"/>
    <w:rsid w:val="00662CD9"/>
    <w:rsid w:val="00662D8D"/>
    <w:rsid w:val="00662EA8"/>
    <w:rsid w:val="006632A1"/>
    <w:rsid w:val="006636E2"/>
    <w:rsid w:val="00663936"/>
    <w:rsid w:val="00663A07"/>
    <w:rsid w:val="00663BF3"/>
    <w:rsid w:val="00663E13"/>
    <w:rsid w:val="00663ECB"/>
    <w:rsid w:val="00663F09"/>
    <w:rsid w:val="006641EB"/>
    <w:rsid w:val="006642D9"/>
    <w:rsid w:val="0066433A"/>
    <w:rsid w:val="0066456B"/>
    <w:rsid w:val="00664AD9"/>
    <w:rsid w:val="00664F08"/>
    <w:rsid w:val="00664F9A"/>
    <w:rsid w:val="0066500F"/>
    <w:rsid w:val="00665202"/>
    <w:rsid w:val="0066528C"/>
    <w:rsid w:val="0066538F"/>
    <w:rsid w:val="0066555B"/>
    <w:rsid w:val="006655DB"/>
    <w:rsid w:val="00665673"/>
    <w:rsid w:val="006656D7"/>
    <w:rsid w:val="006658B7"/>
    <w:rsid w:val="00665BC6"/>
    <w:rsid w:val="00665D34"/>
    <w:rsid w:val="00665E83"/>
    <w:rsid w:val="00665EDB"/>
    <w:rsid w:val="00666458"/>
    <w:rsid w:val="00666496"/>
    <w:rsid w:val="0066678B"/>
    <w:rsid w:val="0066678D"/>
    <w:rsid w:val="00666B14"/>
    <w:rsid w:val="00666DDD"/>
    <w:rsid w:val="00667268"/>
    <w:rsid w:val="00667276"/>
    <w:rsid w:val="00667625"/>
    <w:rsid w:val="006677FA"/>
    <w:rsid w:val="0066781E"/>
    <w:rsid w:val="00667A4F"/>
    <w:rsid w:val="00667D9D"/>
    <w:rsid w:val="00667E96"/>
    <w:rsid w:val="00670084"/>
    <w:rsid w:val="0067041E"/>
    <w:rsid w:val="00670814"/>
    <w:rsid w:val="0067093B"/>
    <w:rsid w:val="00670A47"/>
    <w:rsid w:val="00670F2B"/>
    <w:rsid w:val="00670FB9"/>
    <w:rsid w:val="00671016"/>
    <w:rsid w:val="00671030"/>
    <w:rsid w:val="0067122A"/>
    <w:rsid w:val="006712A8"/>
    <w:rsid w:val="00671460"/>
    <w:rsid w:val="00671EA4"/>
    <w:rsid w:val="00671FE2"/>
    <w:rsid w:val="00671FF9"/>
    <w:rsid w:val="00672338"/>
    <w:rsid w:val="006728C2"/>
    <w:rsid w:val="006728FF"/>
    <w:rsid w:val="006729E8"/>
    <w:rsid w:val="00672ABC"/>
    <w:rsid w:val="00672BCE"/>
    <w:rsid w:val="00672D00"/>
    <w:rsid w:val="00672F5F"/>
    <w:rsid w:val="006730D6"/>
    <w:rsid w:val="006730DF"/>
    <w:rsid w:val="006731A8"/>
    <w:rsid w:val="006734DB"/>
    <w:rsid w:val="006736E1"/>
    <w:rsid w:val="00673890"/>
    <w:rsid w:val="006738E8"/>
    <w:rsid w:val="0067392F"/>
    <w:rsid w:val="00673AC1"/>
    <w:rsid w:val="00673D33"/>
    <w:rsid w:val="00673DD6"/>
    <w:rsid w:val="00674475"/>
    <w:rsid w:val="0067472C"/>
    <w:rsid w:val="00674862"/>
    <w:rsid w:val="006748BD"/>
    <w:rsid w:val="00674B65"/>
    <w:rsid w:val="00674C6F"/>
    <w:rsid w:val="00674D73"/>
    <w:rsid w:val="00674E71"/>
    <w:rsid w:val="006753D6"/>
    <w:rsid w:val="006755C9"/>
    <w:rsid w:val="00675640"/>
    <w:rsid w:val="00675669"/>
    <w:rsid w:val="006758E7"/>
    <w:rsid w:val="0067593D"/>
    <w:rsid w:val="00675D35"/>
    <w:rsid w:val="006760A2"/>
    <w:rsid w:val="006761BB"/>
    <w:rsid w:val="00676330"/>
    <w:rsid w:val="006763BC"/>
    <w:rsid w:val="006768F3"/>
    <w:rsid w:val="00676AAF"/>
    <w:rsid w:val="00677023"/>
    <w:rsid w:val="0067713A"/>
    <w:rsid w:val="00677213"/>
    <w:rsid w:val="006773AE"/>
    <w:rsid w:val="00677445"/>
    <w:rsid w:val="006774ED"/>
    <w:rsid w:val="0067754E"/>
    <w:rsid w:val="006775BE"/>
    <w:rsid w:val="0067764D"/>
    <w:rsid w:val="006800AE"/>
    <w:rsid w:val="006800B4"/>
    <w:rsid w:val="00680148"/>
    <w:rsid w:val="00680197"/>
    <w:rsid w:val="0068060F"/>
    <w:rsid w:val="00680876"/>
    <w:rsid w:val="00680F5A"/>
    <w:rsid w:val="006815C8"/>
    <w:rsid w:val="00681775"/>
    <w:rsid w:val="006817DE"/>
    <w:rsid w:val="00681903"/>
    <w:rsid w:val="00681BF6"/>
    <w:rsid w:val="00681E23"/>
    <w:rsid w:val="00681E6E"/>
    <w:rsid w:val="00682392"/>
    <w:rsid w:val="006823FE"/>
    <w:rsid w:val="00682411"/>
    <w:rsid w:val="0068248C"/>
    <w:rsid w:val="006828A0"/>
    <w:rsid w:val="00682A1A"/>
    <w:rsid w:val="00682B5B"/>
    <w:rsid w:val="00682C22"/>
    <w:rsid w:val="00682C9D"/>
    <w:rsid w:val="00682E2B"/>
    <w:rsid w:val="00683151"/>
    <w:rsid w:val="00683615"/>
    <w:rsid w:val="0068377A"/>
    <w:rsid w:val="006837AB"/>
    <w:rsid w:val="00683A29"/>
    <w:rsid w:val="00683C44"/>
    <w:rsid w:val="00683D13"/>
    <w:rsid w:val="00683DD1"/>
    <w:rsid w:val="006840BA"/>
    <w:rsid w:val="0068417E"/>
    <w:rsid w:val="00684373"/>
    <w:rsid w:val="00684388"/>
    <w:rsid w:val="00684697"/>
    <w:rsid w:val="006846E9"/>
    <w:rsid w:val="00684E30"/>
    <w:rsid w:val="00685357"/>
    <w:rsid w:val="00685545"/>
    <w:rsid w:val="0068554D"/>
    <w:rsid w:val="006855C2"/>
    <w:rsid w:val="006856B2"/>
    <w:rsid w:val="00685776"/>
    <w:rsid w:val="006858FA"/>
    <w:rsid w:val="0068598F"/>
    <w:rsid w:val="00685FEB"/>
    <w:rsid w:val="00686050"/>
    <w:rsid w:val="00686062"/>
    <w:rsid w:val="006860A6"/>
    <w:rsid w:val="00686240"/>
    <w:rsid w:val="00686345"/>
    <w:rsid w:val="00686379"/>
    <w:rsid w:val="0068662A"/>
    <w:rsid w:val="00686965"/>
    <w:rsid w:val="00686992"/>
    <w:rsid w:val="00686AC4"/>
    <w:rsid w:val="00686AC6"/>
    <w:rsid w:val="00686B32"/>
    <w:rsid w:val="00686C37"/>
    <w:rsid w:val="00686E68"/>
    <w:rsid w:val="00687103"/>
    <w:rsid w:val="00687988"/>
    <w:rsid w:val="00687ABB"/>
    <w:rsid w:val="00687BF9"/>
    <w:rsid w:val="0069012B"/>
    <w:rsid w:val="0069014A"/>
    <w:rsid w:val="006901CF"/>
    <w:rsid w:val="0069046E"/>
    <w:rsid w:val="00690470"/>
    <w:rsid w:val="006904A0"/>
    <w:rsid w:val="006906C6"/>
    <w:rsid w:val="006906D9"/>
    <w:rsid w:val="006907A8"/>
    <w:rsid w:val="00690BD6"/>
    <w:rsid w:val="00690C47"/>
    <w:rsid w:val="00690DEB"/>
    <w:rsid w:val="00691201"/>
    <w:rsid w:val="006913B7"/>
    <w:rsid w:val="0069195F"/>
    <w:rsid w:val="00691963"/>
    <w:rsid w:val="00691B26"/>
    <w:rsid w:val="00691DA4"/>
    <w:rsid w:val="00691FD2"/>
    <w:rsid w:val="006920AB"/>
    <w:rsid w:val="00692352"/>
    <w:rsid w:val="006925DC"/>
    <w:rsid w:val="0069263D"/>
    <w:rsid w:val="00692668"/>
    <w:rsid w:val="006928B7"/>
    <w:rsid w:val="006928DA"/>
    <w:rsid w:val="0069299B"/>
    <w:rsid w:val="00692AE7"/>
    <w:rsid w:val="00692C2C"/>
    <w:rsid w:val="00692DFF"/>
    <w:rsid w:val="00692FF0"/>
    <w:rsid w:val="00693493"/>
    <w:rsid w:val="006934C3"/>
    <w:rsid w:val="00693628"/>
    <w:rsid w:val="006936CB"/>
    <w:rsid w:val="006938CB"/>
    <w:rsid w:val="006946B8"/>
    <w:rsid w:val="00694718"/>
    <w:rsid w:val="006947D4"/>
    <w:rsid w:val="00694A10"/>
    <w:rsid w:val="00694A61"/>
    <w:rsid w:val="00694E24"/>
    <w:rsid w:val="00694FB8"/>
    <w:rsid w:val="0069544E"/>
    <w:rsid w:val="00695758"/>
    <w:rsid w:val="00695760"/>
    <w:rsid w:val="0069576B"/>
    <w:rsid w:val="0069579A"/>
    <w:rsid w:val="006957DC"/>
    <w:rsid w:val="0069581B"/>
    <w:rsid w:val="00695949"/>
    <w:rsid w:val="00695A29"/>
    <w:rsid w:val="00695C09"/>
    <w:rsid w:val="00695C3E"/>
    <w:rsid w:val="00695D54"/>
    <w:rsid w:val="00695E75"/>
    <w:rsid w:val="00695E89"/>
    <w:rsid w:val="00695F99"/>
    <w:rsid w:val="00696036"/>
    <w:rsid w:val="006960CA"/>
    <w:rsid w:val="006964F7"/>
    <w:rsid w:val="00696579"/>
    <w:rsid w:val="006967BB"/>
    <w:rsid w:val="0069689B"/>
    <w:rsid w:val="00696C60"/>
    <w:rsid w:val="00696D8C"/>
    <w:rsid w:val="00696EC5"/>
    <w:rsid w:val="00696F72"/>
    <w:rsid w:val="0069702C"/>
    <w:rsid w:val="0069703A"/>
    <w:rsid w:val="00697224"/>
    <w:rsid w:val="00697250"/>
    <w:rsid w:val="00697702"/>
    <w:rsid w:val="00697967"/>
    <w:rsid w:val="00697A52"/>
    <w:rsid w:val="00697B05"/>
    <w:rsid w:val="00697B7B"/>
    <w:rsid w:val="00697BD3"/>
    <w:rsid w:val="006A022E"/>
    <w:rsid w:val="006A03E3"/>
    <w:rsid w:val="006A0547"/>
    <w:rsid w:val="006A054C"/>
    <w:rsid w:val="006A08EC"/>
    <w:rsid w:val="006A0B6C"/>
    <w:rsid w:val="006A0CE4"/>
    <w:rsid w:val="006A0D09"/>
    <w:rsid w:val="006A0DE1"/>
    <w:rsid w:val="006A0E82"/>
    <w:rsid w:val="006A0F51"/>
    <w:rsid w:val="006A10BE"/>
    <w:rsid w:val="006A111B"/>
    <w:rsid w:val="006A134F"/>
    <w:rsid w:val="006A135F"/>
    <w:rsid w:val="006A16CA"/>
    <w:rsid w:val="006A1766"/>
    <w:rsid w:val="006A1776"/>
    <w:rsid w:val="006A18EA"/>
    <w:rsid w:val="006A19D0"/>
    <w:rsid w:val="006A1C9B"/>
    <w:rsid w:val="006A1D1F"/>
    <w:rsid w:val="006A1DD2"/>
    <w:rsid w:val="006A1F14"/>
    <w:rsid w:val="006A2079"/>
    <w:rsid w:val="006A20FC"/>
    <w:rsid w:val="006A24C7"/>
    <w:rsid w:val="006A273D"/>
    <w:rsid w:val="006A29A4"/>
    <w:rsid w:val="006A2B9D"/>
    <w:rsid w:val="006A2BF3"/>
    <w:rsid w:val="006A2F00"/>
    <w:rsid w:val="006A379F"/>
    <w:rsid w:val="006A39B0"/>
    <w:rsid w:val="006A3CC7"/>
    <w:rsid w:val="006A3E32"/>
    <w:rsid w:val="006A3EB7"/>
    <w:rsid w:val="006A41A0"/>
    <w:rsid w:val="006A45DF"/>
    <w:rsid w:val="006A46A7"/>
    <w:rsid w:val="006A4937"/>
    <w:rsid w:val="006A4B48"/>
    <w:rsid w:val="006A4D7D"/>
    <w:rsid w:val="006A5016"/>
    <w:rsid w:val="006A5044"/>
    <w:rsid w:val="006A5084"/>
    <w:rsid w:val="006A5182"/>
    <w:rsid w:val="006A529C"/>
    <w:rsid w:val="006A55CA"/>
    <w:rsid w:val="006A5635"/>
    <w:rsid w:val="006A5820"/>
    <w:rsid w:val="006A587E"/>
    <w:rsid w:val="006A590C"/>
    <w:rsid w:val="006A59AB"/>
    <w:rsid w:val="006A5A88"/>
    <w:rsid w:val="006A5B84"/>
    <w:rsid w:val="006A5BBE"/>
    <w:rsid w:val="006A5C49"/>
    <w:rsid w:val="006A5CF2"/>
    <w:rsid w:val="006A5F97"/>
    <w:rsid w:val="006A6274"/>
    <w:rsid w:val="006A6400"/>
    <w:rsid w:val="006A643F"/>
    <w:rsid w:val="006A6473"/>
    <w:rsid w:val="006A64E6"/>
    <w:rsid w:val="006A6547"/>
    <w:rsid w:val="006A675C"/>
    <w:rsid w:val="006A6ABE"/>
    <w:rsid w:val="006A6CD6"/>
    <w:rsid w:val="006A6FEB"/>
    <w:rsid w:val="006A7104"/>
    <w:rsid w:val="006A728F"/>
    <w:rsid w:val="006A735A"/>
    <w:rsid w:val="006A73FF"/>
    <w:rsid w:val="006A7469"/>
    <w:rsid w:val="006A746F"/>
    <w:rsid w:val="006A74EB"/>
    <w:rsid w:val="006A75BC"/>
    <w:rsid w:val="006A7681"/>
    <w:rsid w:val="006A7B2F"/>
    <w:rsid w:val="006A7B40"/>
    <w:rsid w:val="006A7D8E"/>
    <w:rsid w:val="006A7F69"/>
    <w:rsid w:val="006A7FB2"/>
    <w:rsid w:val="006B02B1"/>
    <w:rsid w:val="006B0412"/>
    <w:rsid w:val="006B04E6"/>
    <w:rsid w:val="006B04F3"/>
    <w:rsid w:val="006B05A5"/>
    <w:rsid w:val="006B0C81"/>
    <w:rsid w:val="006B0D64"/>
    <w:rsid w:val="006B0F4A"/>
    <w:rsid w:val="006B1178"/>
    <w:rsid w:val="006B1414"/>
    <w:rsid w:val="006B14F3"/>
    <w:rsid w:val="006B166D"/>
    <w:rsid w:val="006B176B"/>
    <w:rsid w:val="006B1972"/>
    <w:rsid w:val="006B1DC6"/>
    <w:rsid w:val="006B209E"/>
    <w:rsid w:val="006B24F1"/>
    <w:rsid w:val="006B2576"/>
    <w:rsid w:val="006B2B2E"/>
    <w:rsid w:val="006B2C08"/>
    <w:rsid w:val="006B2C23"/>
    <w:rsid w:val="006B2FB9"/>
    <w:rsid w:val="006B306F"/>
    <w:rsid w:val="006B352F"/>
    <w:rsid w:val="006B379E"/>
    <w:rsid w:val="006B3834"/>
    <w:rsid w:val="006B3B11"/>
    <w:rsid w:val="006B3BA0"/>
    <w:rsid w:val="006B3CA8"/>
    <w:rsid w:val="006B3DE3"/>
    <w:rsid w:val="006B3E99"/>
    <w:rsid w:val="006B3F2A"/>
    <w:rsid w:val="006B40A2"/>
    <w:rsid w:val="006B44E3"/>
    <w:rsid w:val="006B454F"/>
    <w:rsid w:val="006B4769"/>
    <w:rsid w:val="006B48BB"/>
    <w:rsid w:val="006B4A23"/>
    <w:rsid w:val="006B4A52"/>
    <w:rsid w:val="006B4A9C"/>
    <w:rsid w:val="006B4DFE"/>
    <w:rsid w:val="006B50FD"/>
    <w:rsid w:val="006B5175"/>
    <w:rsid w:val="006B536E"/>
    <w:rsid w:val="006B54BF"/>
    <w:rsid w:val="006B5651"/>
    <w:rsid w:val="006B59FE"/>
    <w:rsid w:val="006B5B0A"/>
    <w:rsid w:val="006B5B59"/>
    <w:rsid w:val="006B5E01"/>
    <w:rsid w:val="006B5E73"/>
    <w:rsid w:val="006B6074"/>
    <w:rsid w:val="006B6139"/>
    <w:rsid w:val="006B6160"/>
    <w:rsid w:val="006B6256"/>
    <w:rsid w:val="006B63B1"/>
    <w:rsid w:val="006B64E4"/>
    <w:rsid w:val="006B64F1"/>
    <w:rsid w:val="006B657F"/>
    <w:rsid w:val="006B67C3"/>
    <w:rsid w:val="006B6AB6"/>
    <w:rsid w:val="006B6B44"/>
    <w:rsid w:val="006B6B81"/>
    <w:rsid w:val="006B70D1"/>
    <w:rsid w:val="006B7510"/>
    <w:rsid w:val="006B7513"/>
    <w:rsid w:val="006B76CB"/>
    <w:rsid w:val="006B7751"/>
    <w:rsid w:val="006B7BF2"/>
    <w:rsid w:val="006B97C8"/>
    <w:rsid w:val="006BA21A"/>
    <w:rsid w:val="006C027B"/>
    <w:rsid w:val="006C0304"/>
    <w:rsid w:val="006C06A7"/>
    <w:rsid w:val="006C0778"/>
    <w:rsid w:val="006C08C5"/>
    <w:rsid w:val="006C08CF"/>
    <w:rsid w:val="006C0D15"/>
    <w:rsid w:val="006C0E84"/>
    <w:rsid w:val="006C139E"/>
    <w:rsid w:val="006C17A4"/>
    <w:rsid w:val="006C1B04"/>
    <w:rsid w:val="006C1C3F"/>
    <w:rsid w:val="006C1CB4"/>
    <w:rsid w:val="006C1DC3"/>
    <w:rsid w:val="006C1DCF"/>
    <w:rsid w:val="006C239F"/>
    <w:rsid w:val="006C2439"/>
    <w:rsid w:val="006C2443"/>
    <w:rsid w:val="006C2674"/>
    <w:rsid w:val="006C26DA"/>
    <w:rsid w:val="006C289A"/>
    <w:rsid w:val="006C294A"/>
    <w:rsid w:val="006C29CF"/>
    <w:rsid w:val="006C2AC3"/>
    <w:rsid w:val="006C2B83"/>
    <w:rsid w:val="006C2C9D"/>
    <w:rsid w:val="006C2E11"/>
    <w:rsid w:val="006C3043"/>
    <w:rsid w:val="006C32E1"/>
    <w:rsid w:val="006C3485"/>
    <w:rsid w:val="006C3544"/>
    <w:rsid w:val="006C35FF"/>
    <w:rsid w:val="006C39AC"/>
    <w:rsid w:val="006C3A61"/>
    <w:rsid w:val="006C3AE7"/>
    <w:rsid w:val="006C3BBD"/>
    <w:rsid w:val="006C3E51"/>
    <w:rsid w:val="006C3EB2"/>
    <w:rsid w:val="006C3EE2"/>
    <w:rsid w:val="006C41EF"/>
    <w:rsid w:val="006C4275"/>
    <w:rsid w:val="006C42BD"/>
    <w:rsid w:val="006C490A"/>
    <w:rsid w:val="006C511F"/>
    <w:rsid w:val="006C53B1"/>
    <w:rsid w:val="006C5409"/>
    <w:rsid w:val="006C560D"/>
    <w:rsid w:val="006C59AE"/>
    <w:rsid w:val="006C59B4"/>
    <w:rsid w:val="006C5C8E"/>
    <w:rsid w:val="006C5D25"/>
    <w:rsid w:val="006C6105"/>
    <w:rsid w:val="006C632B"/>
    <w:rsid w:val="006C6375"/>
    <w:rsid w:val="006C6774"/>
    <w:rsid w:val="006C69E8"/>
    <w:rsid w:val="006C6BD7"/>
    <w:rsid w:val="006C6BE1"/>
    <w:rsid w:val="006C6F26"/>
    <w:rsid w:val="006C6FF3"/>
    <w:rsid w:val="006C7444"/>
    <w:rsid w:val="006C797A"/>
    <w:rsid w:val="006C79E0"/>
    <w:rsid w:val="006C7DFA"/>
    <w:rsid w:val="006C7EF4"/>
    <w:rsid w:val="006D000B"/>
    <w:rsid w:val="006D0139"/>
    <w:rsid w:val="006D0265"/>
    <w:rsid w:val="006D0434"/>
    <w:rsid w:val="006D09AC"/>
    <w:rsid w:val="006D09AD"/>
    <w:rsid w:val="006D0CF7"/>
    <w:rsid w:val="006D0F53"/>
    <w:rsid w:val="006D0F7B"/>
    <w:rsid w:val="006D1128"/>
    <w:rsid w:val="006D14E8"/>
    <w:rsid w:val="006D181A"/>
    <w:rsid w:val="006D18AF"/>
    <w:rsid w:val="006D19FB"/>
    <w:rsid w:val="006D1A12"/>
    <w:rsid w:val="006D1E71"/>
    <w:rsid w:val="006D1E90"/>
    <w:rsid w:val="006D2060"/>
    <w:rsid w:val="006D20F6"/>
    <w:rsid w:val="006D2192"/>
    <w:rsid w:val="006D21F6"/>
    <w:rsid w:val="006D231E"/>
    <w:rsid w:val="006D24B0"/>
    <w:rsid w:val="006D252E"/>
    <w:rsid w:val="006D25CA"/>
    <w:rsid w:val="006D2772"/>
    <w:rsid w:val="006D2C55"/>
    <w:rsid w:val="006D2D39"/>
    <w:rsid w:val="006D2FAD"/>
    <w:rsid w:val="006D3415"/>
    <w:rsid w:val="006D354C"/>
    <w:rsid w:val="006D3659"/>
    <w:rsid w:val="006D36EC"/>
    <w:rsid w:val="006D37C8"/>
    <w:rsid w:val="006D3972"/>
    <w:rsid w:val="006D3982"/>
    <w:rsid w:val="006D3A40"/>
    <w:rsid w:val="006D3DB4"/>
    <w:rsid w:val="006D3DE2"/>
    <w:rsid w:val="006D3F58"/>
    <w:rsid w:val="006D41C3"/>
    <w:rsid w:val="006D48A2"/>
    <w:rsid w:val="006D49AA"/>
    <w:rsid w:val="006D4C1C"/>
    <w:rsid w:val="006D4D18"/>
    <w:rsid w:val="006D51CA"/>
    <w:rsid w:val="006D54BE"/>
    <w:rsid w:val="006D5789"/>
    <w:rsid w:val="006D57FC"/>
    <w:rsid w:val="006D5898"/>
    <w:rsid w:val="006D5E1D"/>
    <w:rsid w:val="006D5F8E"/>
    <w:rsid w:val="006D60C0"/>
    <w:rsid w:val="006D6156"/>
    <w:rsid w:val="006D6268"/>
    <w:rsid w:val="006D650E"/>
    <w:rsid w:val="006D667F"/>
    <w:rsid w:val="006D6804"/>
    <w:rsid w:val="006D699F"/>
    <w:rsid w:val="006D6B31"/>
    <w:rsid w:val="006D6C12"/>
    <w:rsid w:val="006D6D5F"/>
    <w:rsid w:val="006D706D"/>
    <w:rsid w:val="006D708D"/>
    <w:rsid w:val="006D7123"/>
    <w:rsid w:val="006D7195"/>
    <w:rsid w:val="006D738B"/>
    <w:rsid w:val="006D769E"/>
    <w:rsid w:val="006D7C05"/>
    <w:rsid w:val="006D7D57"/>
    <w:rsid w:val="006D7F81"/>
    <w:rsid w:val="006E0107"/>
    <w:rsid w:val="006E0524"/>
    <w:rsid w:val="006E05D4"/>
    <w:rsid w:val="006E067B"/>
    <w:rsid w:val="006E07CD"/>
    <w:rsid w:val="006E085C"/>
    <w:rsid w:val="006E08BE"/>
    <w:rsid w:val="006E0EE0"/>
    <w:rsid w:val="006E123E"/>
    <w:rsid w:val="006E13CE"/>
    <w:rsid w:val="006E1475"/>
    <w:rsid w:val="006E1532"/>
    <w:rsid w:val="006E158C"/>
    <w:rsid w:val="006E174A"/>
    <w:rsid w:val="006E1775"/>
    <w:rsid w:val="006E1B0C"/>
    <w:rsid w:val="006E1B57"/>
    <w:rsid w:val="006E1FD0"/>
    <w:rsid w:val="006E218A"/>
    <w:rsid w:val="006E21AC"/>
    <w:rsid w:val="006E23F8"/>
    <w:rsid w:val="006E24FE"/>
    <w:rsid w:val="006E28E8"/>
    <w:rsid w:val="006E29F8"/>
    <w:rsid w:val="006E2CC6"/>
    <w:rsid w:val="006E3088"/>
    <w:rsid w:val="006E326E"/>
    <w:rsid w:val="006E38A1"/>
    <w:rsid w:val="006E39A7"/>
    <w:rsid w:val="006E3B6A"/>
    <w:rsid w:val="006E3D90"/>
    <w:rsid w:val="006E3F3D"/>
    <w:rsid w:val="006E4000"/>
    <w:rsid w:val="006E41A0"/>
    <w:rsid w:val="006E426B"/>
    <w:rsid w:val="006E43E3"/>
    <w:rsid w:val="006E4A56"/>
    <w:rsid w:val="006E4B40"/>
    <w:rsid w:val="006E4C8D"/>
    <w:rsid w:val="006E5158"/>
    <w:rsid w:val="006E534D"/>
    <w:rsid w:val="006E55FC"/>
    <w:rsid w:val="006E5A7C"/>
    <w:rsid w:val="006E5B80"/>
    <w:rsid w:val="006E5D51"/>
    <w:rsid w:val="006E5DF7"/>
    <w:rsid w:val="006E6192"/>
    <w:rsid w:val="006E6302"/>
    <w:rsid w:val="006E6488"/>
    <w:rsid w:val="006E67C1"/>
    <w:rsid w:val="006E6888"/>
    <w:rsid w:val="006E693D"/>
    <w:rsid w:val="006E6CF9"/>
    <w:rsid w:val="006E6D5A"/>
    <w:rsid w:val="006E6D5E"/>
    <w:rsid w:val="006E6EC1"/>
    <w:rsid w:val="006E6EE4"/>
    <w:rsid w:val="006E7030"/>
    <w:rsid w:val="006E70BF"/>
    <w:rsid w:val="006E7590"/>
    <w:rsid w:val="006E76A2"/>
    <w:rsid w:val="006E789E"/>
    <w:rsid w:val="006E7A7E"/>
    <w:rsid w:val="006E7C10"/>
    <w:rsid w:val="006E7C9E"/>
    <w:rsid w:val="006E7CDE"/>
    <w:rsid w:val="006E7CE2"/>
    <w:rsid w:val="006E7DC7"/>
    <w:rsid w:val="006E7E76"/>
    <w:rsid w:val="006F0434"/>
    <w:rsid w:val="006F058E"/>
    <w:rsid w:val="006F08C7"/>
    <w:rsid w:val="006F091A"/>
    <w:rsid w:val="006F09A1"/>
    <w:rsid w:val="006F0A00"/>
    <w:rsid w:val="006F0C49"/>
    <w:rsid w:val="006F0EFB"/>
    <w:rsid w:val="006F0F3B"/>
    <w:rsid w:val="006F0F6C"/>
    <w:rsid w:val="006F1017"/>
    <w:rsid w:val="006F104E"/>
    <w:rsid w:val="006F11C0"/>
    <w:rsid w:val="006F15B7"/>
    <w:rsid w:val="006F18AE"/>
    <w:rsid w:val="006F1922"/>
    <w:rsid w:val="006F1955"/>
    <w:rsid w:val="006F1A46"/>
    <w:rsid w:val="006F1B2D"/>
    <w:rsid w:val="006F1C17"/>
    <w:rsid w:val="006F1C44"/>
    <w:rsid w:val="006F1CF8"/>
    <w:rsid w:val="006F1D6A"/>
    <w:rsid w:val="006F1E0D"/>
    <w:rsid w:val="006F1F1F"/>
    <w:rsid w:val="006F1FC9"/>
    <w:rsid w:val="006F211A"/>
    <w:rsid w:val="006F2167"/>
    <w:rsid w:val="006F21AC"/>
    <w:rsid w:val="006F21DF"/>
    <w:rsid w:val="006F220B"/>
    <w:rsid w:val="006F254E"/>
    <w:rsid w:val="006F27C9"/>
    <w:rsid w:val="006F281D"/>
    <w:rsid w:val="006F2B33"/>
    <w:rsid w:val="006F2D7A"/>
    <w:rsid w:val="006F2DD5"/>
    <w:rsid w:val="006F2F0C"/>
    <w:rsid w:val="006F2FD0"/>
    <w:rsid w:val="006F3073"/>
    <w:rsid w:val="006F3183"/>
    <w:rsid w:val="006F32CF"/>
    <w:rsid w:val="006F330C"/>
    <w:rsid w:val="006F3341"/>
    <w:rsid w:val="006F355E"/>
    <w:rsid w:val="006F3C3A"/>
    <w:rsid w:val="006F3CA5"/>
    <w:rsid w:val="006F40A0"/>
    <w:rsid w:val="006F412E"/>
    <w:rsid w:val="006F44CD"/>
    <w:rsid w:val="006F48EF"/>
    <w:rsid w:val="006F4AE1"/>
    <w:rsid w:val="006F4EC7"/>
    <w:rsid w:val="006F4EDA"/>
    <w:rsid w:val="006F4FD4"/>
    <w:rsid w:val="006F58E6"/>
    <w:rsid w:val="006F5956"/>
    <w:rsid w:val="006F5958"/>
    <w:rsid w:val="006F5B14"/>
    <w:rsid w:val="006F63B8"/>
    <w:rsid w:val="006F63EF"/>
    <w:rsid w:val="006F6731"/>
    <w:rsid w:val="006F67BC"/>
    <w:rsid w:val="006F6D97"/>
    <w:rsid w:val="006F6DD1"/>
    <w:rsid w:val="006F6ED6"/>
    <w:rsid w:val="006F6F09"/>
    <w:rsid w:val="006F6F5F"/>
    <w:rsid w:val="006F71F0"/>
    <w:rsid w:val="006F735A"/>
    <w:rsid w:val="006F75B1"/>
    <w:rsid w:val="006F75F3"/>
    <w:rsid w:val="006F76A6"/>
    <w:rsid w:val="006F77B3"/>
    <w:rsid w:val="006F783C"/>
    <w:rsid w:val="006F7CA2"/>
    <w:rsid w:val="00700147"/>
    <w:rsid w:val="0070042B"/>
    <w:rsid w:val="00700461"/>
    <w:rsid w:val="007005BD"/>
    <w:rsid w:val="0070064A"/>
    <w:rsid w:val="007008C1"/>
    <w:rsid w:val="00700C32"/>
    <w:rsid w:val="00700F52"/>
    <w:rsid w:val="00701896"/>
    <w:rsid w:val="00701F38"/>
    <w:rsid w:val="007020B5"/>
    <w:rsid w:val="007020F5"/>
    <w:rsid w:val="0070221C"/>
    <w:rsid w:val="00702635"/>
    <w:rsid w:val="0070286A"/>
    <w:rsid w:val="00702996"/>
    <w:rsid w:val="00702AE2"/>
    <w:rsid w:val="00702DE5"/>
    <w:rsid w:val="00702DEE"/>
    <w:rsid w:val="0070360C"/>
    <w:rsid w:val="0070375D"/>
    <w:rsid w:val="007038A4"/>
    <w:rsid w:val="007039DE"/>
    <w:rsid w:val="00703D41"/>
    <w:rsid w:val="00703E2A"/>
    <w:rsid w:val="00703EAD"/>
    <w:rsid w:val="00703FE0"/>
    <w:rsid w:val="00704044"/>
    <w:rsid w:val="0070461D"/>
    <w:rsid w:val="00704987"/>
    <w:rsid w:val="007049FD"/>
    <w:rsid w:val="00704BAA"/>
    <w:rsid w:val="00704BCF"/>
    <w:rsid w:val="00704F24"/>
    <w:rsid w:val="00705193"/>
    <w:rsid w:val="00705201"/>
    <w:rsid w:val="007054E4"/>
    <w:rsid w:val="007054F5"/>
    <w:rsid w:val="0070554F"/>
    <w:rsid w:val="00705914"/>
    <w:rsid w:val="007059ED"/>
    <w:rsid w:val="00705CFF"/>
    <w:rsid w:val="00706134"/>
    <w:rsid w:val="007061E3"/>
    <w:rsid w:val="00706528"/>
    <w:rsid w:val="00706A8E"/>
    <w:rsid w:val="00706AB2"/>
    <w:rsid w:val="00706E40"/>
    <w:rsid w:val="00707052"/>
    <w:rsid w:val="007071DF"/>
    <w:rsid w:val="0070729E"/>
    <w:rsid w:val="0070733A"/>
    <w:rsid w:val="0070761B"/>
    <w:rsid w:val="007078E5"/>
    <w:rsid w:val="00707ACD"/>
    <w:rsid w:val="00707B48"/>
    <w:rsid w:val="00707B82"/>
    <w:rsid w:val="00707CA1"/>
    <w:rsid w:val="00707CCC"/>
    <w:rsid w:val="00707E14"/>
    <w:rsid w:val="00707E80"/>
    <w:rsid w:val="00707F4F"/>
    <w:rsid w:val="007101B1"/>
    <w:rsid w:val="007101FE"/>
    <w:rsid w:val="00710285"/>
    <w:rsid w:val="00710338"/>
    <w:rsid w:val="00710472"/>
    <w:rsid w:val="00710725"/>
    <w:rsid w:val="00710813"/>
    <w:rsid w:val="0071085F"/>
    <w:rsid w:val="00710868"/>
    <w:rsid w:val="007108BA"/>
    <w:rsid w:val="00710B16"/>
    <w:rsid w:val="00710EC7"/>
    <w:rsid w:val="0071105C"/>
    <w:rsid w:val="00711179"/>
    <w:rsid w:val="00711249"/>
    <w:rsid w:val="0071125D"/>
    <w:rsid w:val="0071142D"/>
    <w:rsid w:val="007114EA"/>
    <w:rsid w:val="00711666"/>
    <w:rsid w:val="007117AC"/>
    <w:rsid w:val="00711ED4"/>
    <w:rsid w:val="00711FFB"/>
    <w:rsid w:val="0071247C"/>
    <w:rsid w:val="00712565"/>
    <w:rsid w:val="00712681"/>
    <w:rsid w:val="007126D1"/>
    <w:rsid w:val="00712A18"/>
    <w:rsid w:val="00712BF9"/>
    <w:rsid w:val="00712C5C"/>
    <w:rsid w:val="00712DF1"/>
    <w:rsid w:val="00712E65"/>
    <w:rsid w:val="00712F91"/>
    <w:rsid w:val="00713047"/>
    <w:rsid w:val="00713051"/>
    <w:rsid w:val="0071307A"/>
    <w:rsid w:val="007130A5"/>
    <w:rsid w:val="007130A6"/>
    <w:rsid w:val="007131EE"/>
    <w:rsid w:val="00713249"/>
    <w:rsid w:val="0071327B"/>
    <w:rsid w:val="007132AD"/>
    <w:rsid w:val="00713571"/>
    <w:rsid w:val="00713719"/>
    <w:rsid w:val="00713C19"/>
    <w:rsid w:val="00713C8E"/>
    <w:rsid w:val="00713DAC"/>
    <w:rsid w:val="00713E72"/>
    <w:rsid w:val="00713F19"/>
    <w:rsid w:val="00714059"/>
    <w:rsid w:val="007141E9"/>
    <w:rsid w:val="007142A7"/>
    <w:rsid w:val="0071430E"/>
    <w:rsid w:val="0071463F"/>
    <w:rsid w:val="007148E4"/>
    <w:rsid w:val="00714C32"/>
    <w:rsid w:val="00715186"/>
    <w:rsid w:val="00715635"/>
    <w:rsid w:val="0071568F"/>
    <w:rsid w:val="0071592B"/>
    <w:rsid w:val="00715CD4"/>
    <w:rsid w:val="00715EA3"/>
    <w:rsid w:val="007161FB"/>
    <w:rsid w:val="00716A02"/>
    <w:rsid w:val="00716A15"/>
    <w:rsid w:val="00716F01"/>
    <w:rsid w:val="00716F54"/>
    <w:rsid w:val="00717087"/>
    <w:rsid w:val="0071721D"/>
    <w:rsid w:val="0071724E"/>
    <w:rsid w:val="0071743F"/>
    <w:rsid w:val="00717672"/>
    <w:rsid w:val="007176B8"/>
    <w:rsid w:val="007177EC"/>
    <w:rsid w:val="00717924"/>
    <w:rsid w:val="007179D9"/>
    <w:rsid w:val="007179FF"/>
    <w:rsid w:val="00717AA7"/>
    <w:rsid w:val="00717B66"/>
    <w:rsid w:val="007200B3"/>
    <w:rsid w:val="007201D0"/>
    <w:rsid w:val="00720240"/>
    <w:rsid w:val="0072050E"/>
    <w:rsid w:val="00720562"/>
    <w:rsid w:val="00720796"/>
    <w:rsid w:val="00720A1F"/>
    <w:rsid w:val="00720A30"/>
    <w:rsid w:val="00720B87"/>
    <w:rsid w:val="00720B8D"/>
    <w:rsid w:val="00720D3E"/>
    <w:rsid w:val="00720E11"/>
    <w:rsid w:val="00720FD5"/>
    <w:rsid w:val="00721016"/>
    <w:rsid w:val="00721433"/>
    <w:rsid w:val="0072146D"/>
    <w:rsid w:val="0072147B"/>
    <w:rsid w:val="00721535"/>
    <w:rsid w:val="00721741"/>
    <w:rsid w:val="00721AF9"/>
    <w:rsid w:val="00721C09"/>
    <w:rsid w:val="00721E9D"/>
    <w:rsid w:val="00721EDF"/>
    <w:rsid w:val="007222E5"/>
    <w:rsid w:val="007222ED"/>
    <w:rsid w:val="007223E6"/>
    <w:rsid w:val="0072245B"/>
    <w:rsid w:val="007224DD"/>
    <w:rsid w:val="007227C4"/>
    <w:rsid w:val="00722803"/>
    <w:rsid w:val="00722913"/>
    <w:rsid w:val="00722C17"/>
    <w:rsid w:val="00722D62"/>
    <w:rsid w:val="00722F4D"/>
    <w:rsid w:val="007230DB"/>
    <w:rsid w:val="00723147"/>
    <w:rsid w:val="0072362B"/>
    <w:rsid w:val="00723678"/>
    <w:rsid w:val="00723A8D"/>
    <w:rsid w:val="00723D70"/>
    <w:rsid w:val="0072414C"/>
    <w:rsid w:val="007242E1"/>
    <w:rsid w:val="0072440A"/>
    <w:rsid w:val="0072441C"/>
    <w:rsid w:val="00724446"/>
    <w:rsid w:val="007245C6"/>
    <w:rsid w:val="00724852"/>
    <w:rsid w:val="00724B24"/>
    <w:rsid w:val="00724B6A"/>
    <w:rsid w:val="00724C3E"/>
    <w:rsid w:val="00724DA3"/>
    <w:rsid w:val="007252B4"/>
    <w:rsid w:val="007252EB"/>
    <w:rsid w:val="0072544B"/>
    <w:rsid w:val="007255CD"/>
    <w:rsid w:val="007257A6"/>
    <w:rsid w:val="0072585F"/>
    <w:rsid w:val="00725C93"/>
    <w:rsid w:val="00726122"/>
    <w:rsid w:val="007261C4"/>
    <w:rsid w:val="00726376"/>
    <w:rsid w:val="007263C2"/>
    <w:rsid w:val="0072667A"/>
    <w:rsid w:val="007267C1"/>
    <w:rsid w:val="007267D6"/>
    <w:rsid w:val="00726864"/>
    <w:rsid w:val="0072690E"/>
    <w:rsid w:val="00726AEB"/>
    <w:rsid w:val="00726CD7"/>
    <w:rsid w:val="00726F20"/>
    <w:rsid w:val="00726F4E"/>
    <w:rsid w:val="00727035"/>
    <w:rsid w:val="007274F4"/>
    <w:rsid w:val="007274F5"/>
    <w:rsid w:val="0072772C"/>
    <w:rsid w:val="00727A40"/>
    <w:rsid w:val="00727FF5"/>
    <w:rsid w:val="00730892"/>
    <w:rsid w:val="00730B1D"/>
    <w:rsid w:val="00730C2B"/>
    <w:rsid w:val="00730DA3"/>
    <w:rsid w:val="00730E06"/>
    <w:rsid w:val="00730F29"/>
    <w:rsid w:val="00730F66"/>
    <w:rsid w:val="00730F72"/>
    <w:rsid w:val="00730F8C"/>
    <w:rsid w:val="0073132B"/>
    <w:rsid w:val="00731380"/>
    <w:rsid w:val="00731409"/>
    <w:rsid w:val="0073175D"/>
    <w:rsid w:val="00731953"/>
    <w:rsid w:val="00731E33"/>
    <w:rsid w:val="00731E5D"/>
    <w:rsid w:val="00731F66"/>
    <w:rsid w:val="007322AB"/>
    <w:rsid w:val="007322D8"/>
    <w:rsid w:val="007322EC"/>
    <w:rsid w:val="007323D3"/>
    <w:rsid w:val="007323D8"/>
    <w:rsid w:val="007325A6"/>
    <w:rsid w:val="007329E4"/>
    <w:rsid w:val="00732AEB"/>
    <w:rsid w:val="00732B99"/>
    <w:rsid w:val="0073343A"/>
    <w:rsid w:val="0073343B"/>
    <w:rsid w:val="007335CF"/>
    <w:rsid w:val="007339D3"/>
    <w:rsid w:val="00733EF4"/>
    <w:rsid w:val="00733F44"/>
    <w:rsid w:val="00734437"/>
    <w:rsid w:val="007348A4"/>
    <w:rsid w:val="00734C29"/>
    <w:rsid w:val="00734E15"/>
    <w:rsid w:val="00734E95"/>
    <w:rsid w:val="00734F7F"/>
    <w:rsid w:val="00735272"/>
    <w:rsid w:val="007352EC"/>
    <w:rsid w:val="00735512"/>
    <w:rsid w:val="0073562F"/>
    <w:rsid w:val="00735676"/>
    <w:rsid w:val="0073569C"/>
    <w:rsid w:val="0073586D"/>
    <w:rsid w:val="00735D39"/>
    <w:rsid w:val="00735E6B"/>
    <w:rsid w:val="00735F2D"/>
    <w:rsid w:val="00736143"/>
    <w:rsid w:val="0073619D"/>
    <w:rsid w:val="00736303"/>
    <w:rsid w:val="00736665"/>
    <w:rsid w:val="00736C66"/>
    <w:rsid w:val="00736DDF"/>
    <w:rsid w:val="00736F0F"/>
    <w:rsid w:val="00736FDA"/>
    <w:rsid w:val="0073704F"/>
    <w:rsid w:val="007370B8"/>
    <w:rsid w:val="0073719D"/>
    <w:rsid w:val="00737362"/>
    <w:rsid w:val="00737563"/>
    <w:rsid w:val="00737579"/>
    <w:rsid w:val="007375E5"/>
    <w:rsid w:val="007376D0"/>
    <w:rsid w:val="007377CD"/>
    <w:rsid w:val="007377F3"/>
    <w:rsid w:val="007378E7"/>
    <w:rsid w:val="00737A2A"/>
    <w:rsid w:val="00737DEA"/>
    <w:rsid w:val="00737F68"/>
    <w:rsid w:val="007388D8"/>
    <w:rsid w:val="0074003A"/>
    <w:rsid w:val="00740165"/>
    <w:rsid w:val="0074016D"/>
    <w:rsid w:val="00740324"/>
    <w:rsid w:val="0074063C"/>
    <w:rsid w:val="0074070D"/>
    <w:rsid w:val="00740787"/>
    <w:rsid w:val="00740796"/>
    <w:rsid w:val="00740EF3"/>
    <w:rsid w:val="00740F77"/>
    <w:rsid w:val="007410ED"/>
    <w:rsid w:val="007415B4"/>
    <w:rsid w:val="0074187E"/>
    <w:rsid w:val="00741A56"/>
    <w:rsid w:val="00741AA7"/>
    <w:rsid w:val="00741B84"/>
    <w:rsid w:val="0074208A"/>
    <w:rsid w:val="00742110"/>
    <w:rsid w:val="00742366"/>
    <w:rsid w:val="0074244C"/>
    <w:rsid w:val="00742B48"/>
    <w:rsid w:val="00742BAE"/>
    <w:rsid w:val="0074308C"/>
    <w:rsid w:val="00743134"/>
    <w:rsid w:val="0074322E"/>
    <w:rsid w:val="00743248"/>
    <w:rsid w:val="00743421"/>
    <w:rsid w:val="00743456"/>
    <w:rsid w:val="007435B5"/>
    <w:rsid w:val="00743C4A"/>
    <w:rsid w:val="00743D0A"/>
    <w:rsid w:val="00743DE4"/>
    <w:rsid w:val="00743E35"/>
    <w:rsid w:val="00744155"/>
    <w:rsid w:val="007442E2"/>
    <w:rsid w:val="00744349"/>
    <w:rsid w:val="00744639"/>
    <w:rsid w:val="00744652"/>
    <w:rsid w:val="00744678"/>
    <w:rsid w:val="00744905"/>
    <w:rsid w:val="00744DE2"/>
    <w:rsid w:val="00744F83"/>
    <w:rsid w:val="00744FA5"/>
    <w:rsid w:val="00745030"/>
    <w:rsid w:val="0074535A"/>
    <w:rsid w:val="00745462"/>
    <w:rsid w:val="007455E6"/>
    <w:rsid w:val="0074573D"/>
    <w:rsid w:val="00745AB1"/>
    <w:rsid w:val="00745CB2"/>
    <w:rsid w:val="00745DA3"/>
    <w:rsid w:val="00745E40"/>
    <w:rsid w:val="00745F7F"/>
    <w:rsid w:val="00746154"/>
    <w:rsid w:val="00746220"/>
    <w:rsid w:val="0074623F"/>
    <w:rsid w:val="00746321"/>
    <w:rsid w:val="0074641E"/>
    <w:rsid w:val="007464A1"/>
    <w:rsid w:val="007466F6"/>
    <w:rsid w:val="007467FF"/>
    <w:rsid w:val="00746D9E"/>
    <w:rsid w:val="00746EA3"/>
    <w:rsid w:val="00746F24"/>
    <w:rsid w:val="007470B0"/>
    <w:rsid w:val="007471EC"/>
    <w:rsid w:val="00747414"/>
    <w:rsid w:val="00747805"/>
    <w:rsid w:val="0074783D"/>
    <w:rsid w:val="007479A3"/>
    <w:rsid w:val="00747A67"/>
    <w:rsid w:val="00747CB2"/>
    <w:rsid w:val="00747CF6"/>
    <w:rsid w:val="00747D32"/>
    <w:rsid w:val="00747F97"/>
    <w:rsid w:val="007500B5"/>
    <w:rsid w:val="0075027F"/>
    <w:rsid w:val="007502D4"/>
    <w:rsid w:val="007502F9"/>
    <w:rsid w:val="007504CE"/>
    <w:rsid w:val="00750562"/>
    <w:rsid w:val="00750571"/>
    <w:rsid w:val="00750BF7"/>
    <w:rsid w:val="00750ECC"/>
    <w:rsid w:val="007510A5"/>
    <w:rsid w:val="00751129"/>
    <w:rsid w:val="007511A0"/>
    <w:rsid w:val="00751262"/>
    <w:rsid w:val="0075127D"/>
    <w:rsid w:val="00751411"/>
    <w:rsid w:val="0075141A"/>
    <w:rsid w:val="0075162B"/>
    <w:rsid w:val="007519C5"/>
    <w:rsid w:val="00751AFE"/>
    <w:rsid w:val="00751B9C"/>
    <w:rsid w:val="00751D55"/>
    <w:rsid w:val="00751F4B"/>
    <w:rsid w:val="00751FB3"/>
    <w:rsid w:val="007520E8"/>
    <w:rsid w:val="0075221B"/>
    <w:rsid w:val="007523FA"/>
    <w:rsid w:val="007525AA"/>
    <w:rsid w:val="007525BF"/>
    <w:rsid w:val="007527CC"/>
    <w:rsid w:val="007527E7"/>
    <w:rsid w:val="00752A52"/>
    <w:rsid w:val="00752DE9"/>
    <w:rsid w:val="00752E56"/>
    <w:rsid w:val="00752EC4"/>
    <w:rsid w:val="00752F4B"/>
    <w:rsid w:val="007530B1"/>
    <w:rsid w:val="00753190"/>
    <w:rsid w:val="0075328C"/>
    <w:rsid w:val="0075370E"/>
    <w:rsid w:val="0075372A"/>
    <w:rsid w:val="00753782"/>
    <w:rsid w:val="007538AB"/>
    <w:rsid w:val="007538E3"/>
    <w:rsid w:val="00753C6B"/>
    <w:rsid w:val="00754797"/>
    <w:rsid w:val="007547B6"/>
    <w:rsid w:val="007548A4"/>
    <w:rsid w:val="007548B0"/>
    <w:rsid w:val="00754A33"/>
    <w:rsid w:val="00754E31"/>
    <w:rsid w:val="00755072"/>
    <w:rsid w:val="007554AD"/>
    <w:rsid w:val="0075550E"/>
    <w:rsid w:val="0075562D"/>
    <w:rsid w:val="0075590C"/>
    <w:rsid w:val="0075591B"/>
    <w:rsid w:val="00755DFD"/>
    <w:rsid w:val="00755E9A"/>
    <w:rsid w:val="00755FC2"/>
    <w:rsid w:val="0075603C"/>
    <w:rsid w:val="0075612C"/>
    <w:rsid w:val="007561B4"/>
    <w:rsid w:val="0075625B"/>
    <w:rsid w:val="00756A40"/>
    <w:rsid w:val="00756BBF"/>
    <w:rsid w:val="00756D29"/>
    <w:rsid w:val="0075716F"/>
    <w:rsid w:val="00757207"/>
    <w:rsid w:val="0075724D"/>
    <w:rsid w:val="007572B9"/>
    <w:rsid w:val="007575C7"/>
    <w:rsid w:val="00757728"/>
    <w:rsid w:val="00757874"/>
    <w:rsid w:val="00757A78"/>
    <w:rsid w:val="00757EB4"/>
    <w:rsid w:val="00757F9A"/>
    <w:rsid w:val="007603EA"/>
    <w:rsid w:val="007603FC"/>
    <w:rsid w:val="0076081B"/>
    <w:rsid w:val="00760876"/>
    <w:rsid w:val="007608E1"/>
    <w:rsid w:val="00760979"/>
    <w:rsid w:val="0076099C"/>
    <w:rsid w:val="007609D9"/>
    <w:rsid w:val="007609F1"/>
    <w:rsid w:val="00760B3A"/>
    <w:rsid w:val="00760EA5"/>
    <w:rsid w:val="00761038"/>
    <w:rsid w:val="00761193"/>
    <w:rsid w:val="007611B2"/>
    <w:rsid w:val="007612B0"/>
    <w:rsid w:val="00761421"/>
    <w:rsid w:val="00761527"/>
    <w:rsid w:val="00761725"/>
    <w:rsid w:val="00761743"/>
    <w:rsid w:val="007618FA"/>
    <w:rsid w:val="00761903"/>
    <w:rsid w:val="0076192F"/>
    <w:rsid w:val="00761AB1"/>
    <w:rsid w:val="00761DEC"/>
    <w:rsid w:val="00761E49"/>
    <w:rsid w:val="00761ECD"/>
    <w:rsid w:val="00761F47"/>
    <w:rsid w:val="0076204D"/>
    <w:rsid w:val="007621CA"/>
    <w:rsid w:val="00762386"/>
    <w:rsid w:val="007623CB"/>
    <w:rsid w:val="0076273F"/>
    <w:rsid w:val="007628C9"/>
    <w:rsid w:val="00762A9C"/>
    <w:rsid w:val="00762CB4"/>
    <w:rsid w:val="00762DCF"/>
    <w:rsid w:val="0076330D"/>
    <w:rsid w:val="00763333"/>
    <w:rsid w:val="007635F2"/>
    <w:rsid w:val="00763B91"/>
    <w:rsid w:val="00763F8E"/>
    <w:rsid w:val="0076403F"/>
    <w:rsid w:val="007644A9"/>
    <w:rsid w:val="0076452D"/>
    <w:rsid w:val="00764BDF"/>
    <w:rsid w:val="00764DBF"/>
    <w:rsid w:val="00764F97"/>
    <w:rsid w:val="0076506F"/>
    <w:rsid w:val="007654FF"/>
    <w:rsid w:val="00765533"/>
    <w:rsid w:val="00765634"/>
    <w:rsid w:val="007657AC"/>
    <w:rsid w:val="00765DA4"/>
    <w:rsid w:val="0076612A"/>
    <w:rsid w:val="0076616B"/>
    <w:rsid w:val="00766847"/>
    <w:rsid w:val="00766A4C"/>
    <w:rsid w:val="00766BB6"/>
    <w:rsid w:val="00766D23"/>
    <w:rsid w:val="00766E86"/>
    <w:rsid w:val="00766EFA"/>
    <w:rsid w:val="0076714D"/>
    <w:rsid w:val="0076719D"/>
    <w:rsid w:val="0076746D"/>
    <w:rsid w:val="007675AE"/>
    <w:rsid w:val="0076779D"/>
    <w:rsid w:val="007678FC"/>
    <w:rsid w:val="007679E6"/>
    <w:rsid w:val="007679ED"/>
    <w:rsid w:val="00767ACF"/>
    <w:rsid w:val="00767C04"/>
    <w:rsid w:val="00767D7D"/>
    <w:rsid w:val="00767DED"/>
    <w:rsid w:val="00767E4A"/>
    <w:rsid w:val="00770459"/>
    <w:rsid w:val="0077073D"/>
    <w:rsid w:val="007708D5"/>
    <w:rsid w:val="007709E6"/>
    <w:rsid w:val="00770B69"/>
    <w:rsid w:val="00770C2A"/>
    <w:rsid w:val="00770D53"/>
    <w:rsid w:val="00770EC9"/>
    <w:rsid w:val="00770F65"/>
    <w:rsid w:val="00770FBC"/>
    <w:rsid w:val="0077124A"/>
    <w:rsid w:val="007718CB"/>
    <w:rsid w:val="00771A06"/>
    <w:rsid w:val="00771A5E"/>
    <w:rsid w:val="00771CCE"/>
    <w:rsid w:val="00771CE2"/>
    <w:rsid w:val="00771D34"/>
    <w:rsid w:val="00771E40"/>
    <w:rsid w:val="00771F23"/>
    <w:rsid w:val="0077205D"/>
    <w:rsid w:val="007720B6"/>
    <w:rsid w:val="007721C6"/>
    <w:rsid w:val="007721D2"/>
    <w:rsid w:val="00772393"/>
    <w:rsid w:val="007725DE"/>
    <w:rsid w:val="00772701"/>
    <w:rsid w:val="0077279E"/>
    <w:rsid w:val="00772BFD"/>
    <w:rsid w:val="00772CC0"/>
    <w:rsid w:val="00772D67"/>
    <w:rsid w:val="00772E56"/>
    <w:rsid w:val="00772ECC"/>
    <w:rsid w:val="00772F57"/>
    <w:rsid w:val="00772FC6"/>
    <w:rsid w:val="007731EB"/>
    <w:rsid w:val="007731FD"/>
    <w:rsid w:val="00773494"/>
    <w:rsid w:val="007734B1"/>
    <w:rsid w:val="00773615"/>
    <w:rsid w:val="00773685"/>
    <w:rsid w:val="0077384E"/>
    <w:rsid w:val="0077384F"/>
    <w:rsid w:val="0077393D"/>
    <w:rsid w:val="007739BF"/>
    <w:rsid w:val="00773A96"/>
    <w:rsid w:val="00773BAC"/>
    <w:rsid w:val="00774134"/>
    <w:rsid w:val="00774171"/>
    <w:rsid w:val="00774209"/>
    <w:rsid w:val="007743A4"/>
    <w:rsid w:val="00774474"/>
    <w:rsid w:val="007745E0"/>
    <w:rsid w:val="00774758"/>
    <w:rsid w:val="007748E9"/>
    <w:rsid w:val="00774A17"/>
    <w:rsid w:val="00774AE8"/>
    <w:rsid w:val="00774B78"/>
    <w:rsid w:val="00774B90"/>
    <w:rsid w:val="00774C5A"/>
    <w:rsid w:val="00774E99"/>
    <w:rsid w:val="00775135"/>
    <w:rsid w:val="007752CE"/>
    <w:rsid w:val="007754AC"/>
    <w:rsid w:val="00775979"/>
    <w:rsid w:val="0077597D"/>
    <w:rsid w:val="00775CF6"/>
    <w:rsid w:val="00775F74"/>
    <w:rsid w:val="00775FDD"/>
    <w:rsid w:val="00776000"/>
    <w:rsid w:val="0077628D"/>
    <w:rsid w:val="007763F5"/>
    <w:rsid w:val="0077645A"/>
    <w:rsid w:val="007764D6"/>
    <w:rsid w:val="00776651"/>
    <w:rsid w:val="0077670E"/>
    <w:rsid w:val="0077674E"/>
    <w:rsid w:val="0077676C"/>
    <w:rsid w:val="00776C91"/>
    <w:rsid w:val="00776DD2"/>
    <w:rsid w:val="007770A7"/>
    <w:rsid w:val="00777115"/>
    <w:rsid w:val="00777551"/>
    <w:rsid w:val="00777613"/>
    <w:rsid w:val="007776F9"/>
    <w:rsid w:val="0077770F"/>
    <w:rsid w:val="00777850"/>
    <w:rsid w:val="007778E6"/>
    <w:rsid w:val="00777A57"/>
    <w:rsid w:val="00777B28"/>
    <w:rsid w:val="00777E31"/>
    <w:rsid w:val="0077B9AD"/>
    <w:rsid w:val="007800E9"/>
    <w:rsid w:val="00780189"/>
    <w:rsid w:val="007801CF"/>
    <w:rsid w:val="007801FB"/>
    <w:rsid w:val="0078028C"/>
    <w:rsid w:val="007804CB"/>
    <w:rsid w:val="007805E8"/>
    <w:rsid w:val="00780659"/>
    <w:rsid w:val="0078089A"/>
    <w:rsid w:val="007808C0"/>
    <w:rsid w:val="00780C2A"/>
    <w:rsid w:val="00780D24"/>
    <w:rsid w:val="00780DF1"/>
    <w:rsid w:val="00780E08"/>
    <w:rsid w:val="00780E6E"/>
    <w:rsid w:val="00781045"/>
    <w:rsid w:val="00781409"/>
    <w:rsid w:val="00781990"/>
    <w:rsid w:val="00781B27"/>
    <w:rsid w:val="00781F17"/>
    <w:rsid w:val="007820EC"/>
    <w:rsid w:val="0078225A"/>
    <w:rsid w:val="00782274"/>
    <w:rsid w:val="0078256F"/>
    <w:rsid w:val="007830EF"/>
    <w:rsid w:val="00783250"/>
    <w:rsid w:val="007836EE"/>
    <w:rsid w:val="00783B73"/>
    <w:rsid w:val="00783C03"/>
    <w:rsid w:val="00783C49"/>
    <w:rsid w:val="00784130"/>
    <w:rsid w:val="007842B0"/>
    <w:rsid w:val="007842BA"/>
    <w:rsid w:val="007843FD"/>
    <w:rsid w:val="00784897"/>
    <w:rsid w:val="00784ADE"/>
    <w:rsid w:val="00784C3E"/>
    <w:rsid w:val="0078526B"/>
    <w:rsid w:val="00785483"/>
    <w:rsid w:val="00785702"/>
    <w:rsid w:val="007857AF"/>
    <w:rsid w:val="0078588E"/>
    <w:rsid w:val="007858AB"/>
    <w:rsid w:val="007859BE"/>
    <w:rsid w:val="00786179"/>
    <w:rsid w:val="007862B1"/>
    <w:rsid w:val="00786755"/>
    <w:rsid w:val="007868ED"/>
    <w:rsid w:val="00786931"/>
    <w:rsid w:val="00787157"/>
    <w:rsid w:val="007871A9"/>
    <w:rsid w:val="007871B0"/>
    <w:rsid w:val="007872D6"/>
    <w:rsid w:val="00787372"/>
    <w:rsid w:val="007875BD"/>
    <w:rsid w:val="007877E3"/>
    <w:rsid w:val="00787C54"/>
    <w:rsid w:val="00787D05"/>
    <w:rsid w:val="00787DD4"/>
    <w:rsid w:val="00787FDD"/>
    <w:rsid w:val="0079012D"/>
    <w:rsid w:val="00790395"/>
    <w:rsid w:val="00790941"/>
    <w:rsid w:val="00790AA3"/>
    <w:rsid w:val="00790B2A"/>
    <w:rsid w:val="00790D8E"/>
    <w:rsid w:val="00790DAA"/>
    <w:rsid w:val="00791109"/>
    <w:rsid w:val="0079115D"/>
    <w:rsid w:val="0079116F"/>
    <w:rsid w:val="00791265"/>
    <w:rsid w:val="0079144B"/>
    <w:rsid w:val="0079170A"/>
    <w:rsid w:val="007917A0"/>
    <w:rsid w:val="00791937"/>
    <w:rsid w:val="00791A4E"/>
    <w:rsid w:val="00791C97"/>
    <w:rsid w:val="00792251"/>
    <w:rsid w:val="00792368"/>
    <w:rsid w:val="00792531"/>
    <w:rsid w:val="00792660"/>
    <w:rsid w:val="00792728"/>
    <w:rsid w:val="00792763"/>
    <w:rsid w:val="007928AD"/>
    <w:rsid w:val="00792905"/>
    <w:rsid w:val="007929DE"/>
    <w:rsid w:val="00792A25"/>
    <w:rsid w:val="00792A42"/>
    <w:rsid w:val="00792A6D"/>
    <w:rsid w:val="00792C7D"/>
    <w:rsid w:val="00792E8C"/>
    <w:rsid w:val="00792EFD"/>
    <w:rsid w:val="0079316D"/>
    <w:rsid w:val="0079355A"/>
    <w:rsid w:val="00793922"/>
    <w:rsid w:val="0079392A"/>
    <w:rsid w:val="00793BB0"/>
    <w:rsid w:val="00793F1C"/>
    <w:rsid w:val="0079413E"/>
    <w:rsid w:val="0079437F"/>
    <w:rsid w:val="007946F4"/>
    <w:rsid w:val="00794BA6"/>
    <w:rsid w:val="00794CC6"/>
    <w:rsid w:val="00794F7E"/>
    <w:rsid w:val="00794FA3"/>
    <w:rsid w:val="00794FCB"/>
    <w:rsid w:val="00795662"/>
    <w:rsid w:val="0079574D"/>
    <w:rsid w:val="00795807"/>
    <w:rsid w:val="00795AEF"/>
    <w:rsid w:val="00795AF5"/>
    <w:rsid w:val="00795BA6"/>
    <w:rsid w:val="00795D2A"/>
    <w:rsid w:val="00795E12"/>
    <w:rsid w:val="00795E92"/>
    <w:rsid w:val="007960EB"/>
    <w:rsid w:val="00796641"/>
    <w:rsid w:val="00796829"/>
    <w:rsid w:val="00796DC9"/>
    <w:rsid w:val="00796E99"/>
    <w:rsid w:val="00796F3D"/>
    <w:rsid w:val="00797295"/>
    <w:rsid w:val="0079735F"/>
    <w:rsid w:val="00797728"/>
    <w:rsid w:val="00797792"/>
    <w:rsid w:val="00797900"/>
    <w:rsid w:val="00797E99"/>
    <w:rsid w:val="00797F1B"/>
    <w:rsid w:val="00797F9A"/>
    <w:rsid w:val="007A02A8"/>
    <w:rsid w:val="007A030B"/>
    <w:rsid w:val="007A0510"/>
    <w:rsid w:val="007A0633"/>
    <w:rsid w:val="007A09E8"/>
    <w:rsid w:val="007A0A67"/>
    <w:rsid w:val="007A0BF8"/>
    <w:rsid w:val="007A0EAC"/>
    <w:rsid w:val="007A1194"/>
    <w:rsid w:val="007A1196"/>
    <w:rsid w:val="007A136A"/>
    <w:rsid w:val="007A1396"/>
    <w:rsid w:val="007A1477"/>
    <w:rsid w:val="007A1588"/>
    <w:rsid w:val="007A17D0"/>
    <w:rsid w:val="007A2037"/>
    <w:rsid w:val="007A203C"/>
    <w:rsid w:val="007A21BB"/>
    <w:rsid w:val="007A239E"/>
    <w:rsid w:val="007A2501"/>
    <w:rsid w:val="007A26AE"/>
    <w:rsid w:val="007A2706"/>
    <w:rsid w:val="007A27B1"/>
    <w:rsid w:val="007A2813"/>
    <w:rsid w:val="007A2AF5"/>
    <w:rsid w:val="007A2E26"/>
    <w:rsid w:val="007A2E4D"/>
    <w:rsid w:val="007A328B"/>
    <w:rsid w:val="007A3422"/>
    <w:rsid w:val="007A38EC"/>
    <w:rsid w:val="007A3AD7"/>
    <w:rsid w:val="007A3B98"/>
    <w:rsid w:val="007A3D96"/>
    <w:rsid w:val="007A3E3A"/>
    <w:rsid w:val="007A3EE7"/>
    <w:rsid w:val="007A40D5"/>
    <w:rsid w:val="007A4176"/>
    <w:rsid w:val="007A41B9"/>
    <w:rsid w:val="007A42B7"/>
    <w:rsid w:val="007A447D"/>
    <w:rsid w:val="007A45C6"/>
    <w:rsid w:val="007A45DA"/>
    <w:rsid w:val="007A465A"/>
    <w:rsid w:val="007A48E3"/>
    <w:rsid w:val="007A4A2D"/>
    <w:rsid w:val="007A4B74"/>
    <w:rsid w:val="007A4DAA"/>
    <w:rsid w:val="007A4F65"/>
    <w:rsid w:val="007A4FAC"/>
    <w:rsid w:val="007A55E0"/>
    <w:rsid w:val="007A5673"/>
    <w:rsid w:val="007A5F82"/>
    <w:rsid w:val="007A60AB"/>
    <w:rsid w:val="007A6167"/>
    <w:rsid w:val="007A616C"/>
    <w:rsid w:val="007A61B8"/>
    <w:rsid w:val="007A622E"/>
    <w:rsid w:val="007A6408"/>
    <w:rsid w:val="007A64CB"/>
    <w:rsid w:val="007A6545"/>
    <w:rsid w:val="007A68FD"/>
    <w:rsid w:val="007A6AB9"/>
    <w:rsid w:val="007A6AC5"/>
    <w:rsid w:val="007A6DBB"/>
    <w:rsid w:val="007A7043"/>
    <w:rsid w:val="007A775A"/>
    <w:rsid w:val="007A7BD8"/>
    <w:rsid w:val="007A7D37"/>
    <w:rsid w:val="007B0264"/>
    <w:rsid w:val="007B064B"/>
    <w:rsid w:val="007B0BB8"/>
    <w:rsid w:val="007B0D4B"/>
    <w:rsid w:val="007B0DFF"/>
    <w:rsid w:val="007B1221"/>
    <w:rsid w:val="007B130A"/>
    <w:rsid w:val="007B1384"/>
    <w:rsid w:val="007B14B1"/>
    <w:rsid w:val="007B159D"/>
    <w:rsid w:val="007B1762"/>
    <w:rsid w:val="007B1948"/>
    <w:rsid w:val="007B1DF7"/>
    <w:rsid w:val="007B1F28"/>
    <w:rsid w:val="007B25D3"/>
    <w:rsid w:val="007B2721"/>
    <w:rsid w:val="007B2739"/>
    <w:rsid w:val="007B273D"/>
    <w:rsid w:val="007B2812"/>
    <w:rsid w:val="007B2AFD"/>
    <w:rsid w:val="007B2E8B"/>
    <w:rsid w:val="007B2F2C"/>
    <w:rsid w:val="007B3039"/>
    <w:rsid w:val="007B307B"/>
    <w:rsid w:val="007B346A"/>
    <w:rsid w:val="007B346C"/>
    <w:rsid w:val="007B3492"/>
    <w:rsid w:val="007B38AB"/>
    <w:rsid w:val="007B3965"/>
    <w:rsid w:val="007B397D"/>
    <w:rsid w:val="007B3B80"/>
    <w:rsid w:val="007B3E0D"/>
    <w:rsid w:val="007B3E98"/>
    <w:rsid w:val="007B3FFA"/>
    <w:rsid w:val="007B4547"/>
    <w:rsid w:val="007B45B5"/>
    <w:rsid w:val="007B4737"/>
    <w:rsid w:val="007B4912"/>
    <w:rsid w:val="007B4B4A"/>
    <w:rsid w:val="007B4BDF"/>
    <w:rsid w:val="007B4F08"/>
    <w:rsid w:val="007B5021"/>
    <w:rsid w:val="007B5154"/>
    <w:rsid w:val="007B52DA"/>
    <w:rsid w:val="007B52DD"/>
    <w:rsid w:val="007B5490"/>
    <w:rsid w:val="007B54E6"/>
    <w:rsid w:val="007B554E"/>
    <w:rsid w:val="007B59D1"/>
    <w:rsid w:val="007B5A3B"/>
    <w:rsid w:val="007B5A96"/>
    <w:rsid w:val="007B5CC4"/>
    <w:rsid w:val="007B5D0F"/>
    <w:rsid w:val="007B60AF"/>
    <w:rsid w:val="007B6170"/>
    <w:rsid w:val="007B6257"/>
    <w:rsid w:val="007B64F4"/>
    <w:rsid w:val="007B66CB"/>
    <w:rsid w:val="007B6A3A"/>
    <w:rsid w:val="007B6E11"/>
    <w:rsid w:val="007B6FA5"/>
    <w:rsid w:val="007B7604"/>
    <w:rsid w:val="007B77FC"/>
    <w:rsid w:val="007B79B2"/>
    <w:rsid w:val="007B7C4D"/>
    <w:rsid w:val="007B7CA4"/>
    <w:rsid w:val="007C0004"/>
    <w:rsid w:val="007C012E"/>
    <w:rsid w:val="007C0473"/>
    <w:rsid w:val="007C055B"/>
    <w:rsid w:val="007C0777"/>
    <w:rsid w:val="007C0893"/>
    <w:rsid w:val="007C08D8"/>
    <w:rsid w:val="007C09B1"/>
    <w:rsid w:val="007C09FE"/>
    <w:rsid w:val="007C0AFF"/>
    <w:rsid w:val="007C0B43"/>
    <w:rsid w:val="007C0C7B"/>
    <w:rsid w:val="007C0C9A"/>
    <w:rsid w:val="007C0D01"/>
    <w:rsid w:val="007C12B5"/>
    <w:rsid w:val="007C1362"/>
    <w:rsid w:val="007C1534"/>
    <w:rsid w:val="007C1700"/>
    <w:rsid w:val="007C1734"/>
    <w:rsid w:val="007C1880"/>
    <w:rsid w:val="007C1BDA"/>
    <w:rsid w:val="007C1CFC"/>
    <w:rsid w:val="007C1CFF"/>
    <w:rsid w:val="007C1D11"/>
    <w:rsid w:val="007C1E6E"/>
    <w:rsid w:val="007C20C7"/>
    <w:rsid w:val="007C2116"/>
    <w:rsid w:val="007C218E"/>
    <w:rsid w:val="007C221D"/>
    <w:rsid w:val="007C2426"/>
    <w:rsid w:val="007C2466"/>
    <w:rsid w:val="007C2705"/>
    <w:rsid w:val="007C295D"/>
    <w:rsid w:val="007C2D8F"/>
    <w:rsid w:val="007C2D99"/>
    <w:rsid w:val="007C2F4F"/>
    <w:rsid w:val="007C3073"/>
    <w:rsid w:val="007C34B0"/>
    <w:rsid w:val="007C3540"/>
    <w:rsid w:val="007C3730"/>
    <w:rsid w:val="007C3A24"/>
    <w:rsid w:val="007C3B54"/>
    <w:rsid w:val="007C3BD5"/>
    <w:rsid w:val="007C3D8A"/>
    <w:rsid w:val="007C3E81"/>
    <w:rsid w:val="007C3F84"/>
    <w:rsid w:val="007C4605"/>
    <w:rsid w:val="007C470E"/>
    <w:rsid w:val="007C473A"/>
    <w:rsid w:val="007C4865"/>
    <w:rsid w:val="007C4BC0"/>
    <w:rsid w:val="007C4C18"/>
    <w:rsid w:val="007C4DC4"/>
    <w:rsid w:val="007C4E8C"/>
    <w:rsid w:val="007C4EB6"/>
    <w:rsid w:val="007C4EBC"/>
    <w:rsid w:val="007C5117"/>
    <w:rsid w:val="007C5180"/>
    <w:rsid w:val="007C5453"/>
    <w:rsid w:val="007C589D"/>
    <w:rsid w:val="007C5B28"/>
    <w:rsid w:val="007C5B86"/>
    <w:rsid w:val="007C5D3D"/>
    <w:rsid w:val="007C5DC5"/>
    <w:rsid w:val="007C5F1E"/>
    <w:rsid w:val="007C6120"/>
    <w:rsid w:val="007C61F1"/>
    <w:rsid w:val="007C620B"/>
    <w:rsid w:val="007C63B8"/>
    <w:rsid w:val="007C6636"/>
    <w:rsid w:val="007C676A"/>
    <w:rsid w:val="007C689A"/>
    <w:rsid w:val="007C6AA1"/>
    <w:rsid w:val="007C6E29"/>
    <w:rsid w:val="007C6F5A"/>
    <w:rsid w:val="007C708D"/>
    <w:rsid w:val="007C7775"/>
    <w:rsid w:val="007C7A21"/>
    <w:rsid w:val="007C7B78"/>
    <w:rsid w:val="007C7C2D"/>
    <w:rsid w:val="007C7E1C"/>
    <w:rsid w:val="007D00A7"/>
    <w:rsid w:val="007D031C"/>
    <w:rsid w:val="007D0373"/>
    <w:rsid w:val="007D055E"/>
    <w:rsid w:val="007D05A8"/>
    <w:rsid w:val="007D06C2"/>
    <w:rsid w:val="007D07E5"/>
    <w:rsid w:val="007D0AE8"/>
    <w:rsid w:val="007D0CEB"/>
    <w:rsid w:val="007D0D4E"/>
    <w:rsid w:val="007D0DE5"/>
    <w:rsid w:val="007D0E15"/>
    <w:rsid w:val="007D0EE2"/>
    <w:rsid w:val="007D105A"/>
    <w:rsid w:val="007D115E"/>
    <w:rsid w:val="007D11C1"/>
    <w:rsid w:val="007D12F3"/>
    <w:rsid w:val="007D137F"/>
    <w:rsid w:val="007D1895"/>
    <w:rsid w:val="007D1A4C"/>
    <w:rsid w:val="007D1AC5"/>
    <w:rsid w:val="007D1C5E"/>
    <w:rsid w:val="007D1D97"/>
    <w:rsid w:val="007D1E8E"/>
    <w:rsid w:val="007D24BB"/>
    <w:rsid w:val="007D251F"/>
    <w:rsid w:val="007D256A"/>
    <w:rsid w:val="007D283F"/>
    <w:rsid w:val="007D2BF6"/>
    <w:rsid w:val="007D2E05"/>
    <w:rsid w:val="007D2E3F"/>
    <w:rsid w:val="007D36E8"/>
    <w:rsid w:val="007D3816"/>
    <w:rsid w:val="007D38AB"/>
    <w:rsid w:val="007D390C"/>
    <w:rsid w:val="007D39D9"/>
    <w:rsid w:val="007D3A6C"/>
    <w:rsid w:val="007D3BB2"/>
    <w:rsid w:val="007D3CFD"/>
    <w:rsid w:val="007D3E0E"/>
    <w:rsid w:val="007D3E66"/>
    <w:rsid w:val="007D4083"/>
    <w:rsid w:val="007D4120"/>
    <w:rsid w:val="007D4190"/>
    <w:rsid w:val="007D44E2"/>
    <w:rsid w:val="007D44EB"/>
    <w:rsid w:val="007D4779"/>
    <w:rsid w:val="007D49B0"/>
    <w:rsid w:val="007D49B5"/>
    <w:rsid w:val="007D4A8F"/>
    <w:rsid w:val="007D4A92"/>
    <w:rsid w:val="007D4D55"/>
    <w:rsid w:val="007D4D71"/>
    <w:rsid w:val="007D4DD9"/>
    <w:rsid w:val="007D4E5C"/>
    <w:rsid w:val="007D4E84"/>
    <w:rsid w:val="007D4FD5"/>
    <w:rsid w:val="007D50CB"/>
    <w:rsid w:val="007D50EC"/>
    <w:rsid w:val="007D5521"/>
    <w:rsid w:val="007D5960"/>
    <w:rsid w:val="007D5C7C"/>
    <w:rsid w:val="007D6494"/>
    <w:rsid w:val="007D674B"/>
    <w:rsid w:val="007D6894"/>
    <w:rsid w:val="007D69D5"/>
    <w:rsid w:val="007D6AC0"/>
    <w:rsid w:val="007D6AEA"/>
    <w:rsid w:val="007D6C6C"/>
    <w:rsid w:val="007D714A"/>
    <w:rsid w:val="007D72B7"/>
    <w:rsid w:val="007D736F"/>
    <w:rsid w:val="007D7634"/>
    <w:rsid w:val="007D7956"/>
    <w:rsid w:val="007D7A0F"/>
    <w:rsid w:val="007D7A5D"/>
    <w:rsid w:val="007D7B80"/>
    <w:rsid w:val="007D7C9C"/>
    <w:rsid w:val="007D7EC7"/>
    <w:rsid w:val="007D7F6C"/>
    <w:rsid w:val="007E0178"/>
    <w:rsid w:val="007E0188"/>
    <w:rsid w:val="007E01C5"/>
    <w:rsid w:val="007E0233"/>
    <w:rsid w:val="007E02D5"/>
    <w:rsid w:val="007E02F4"/>
    <w:rsid w:val="007E0485"/>
    <w:rsid w:val="007E0851"/>
    <w:rsid w:val="007E089D"/>
    <w:rsid w:val="007E092C"/>
    <w:rsid w:val="007E0BD0"/>
    <w:rsid w:val="007E0D5F"/>
    <w:rsid w:val="007E11AC"/>
    <w:rsid w:val="007E1209"/>
    <w:rsid w:val="007E13BC"/>
    <w:rsid w:val="007E1769"/>
    <w:rsid w:val="007E1A7F"/>
    <w:rsid w:val="007E1D5A"/>
    <w:rsid w:val="007E1F7C"/>
    <w:rsid w:val="007E23AE"/>
    <w:rsid w:val="007E24F5"/>
    <w:rsid w:val="007E2904"/>
    <w:rsid w:val="007E2A4D"/>
    <w:rsid w:val="007E2C60"/>
    <w:rsid w:val="007E2E47"/>
    <w:rsid w:val="007E2E8F"/>
    <w:rsid w:val="007E2EAF"/>
    <w:rsid w:val="007E35B2"/>
    <w:rsid w:val="007E376F"/>
    <w:rsid w:val="007E3970"/>
    <w:rsid w:val="007E3BD2"/>
    <w:rsid w:val="007E3D37"/>
    <w:rsid w:val="007E3F47"/>
    <w:rsid w:val="007E4A14"/>
    <w:rsid w:val="007E4B4C"/>
    <w:rsid w:val="007E4BC4"/>
    <w:rsid w:val="007E4C09"/>
    <w:rsid w:val="007E4D26"/>
    <w:rsid w:val="007E5014"/>
    <w:rsid w:val="007E513F"/>
    <w:rsid w:val="007E51BC"/>
    <w:rsid w:val="007E5773"/>
    <w:rsid w:val="007E59FF"/>
    <w:rsid w:val="007E5A98"/>
    <w:rsid w:val="007E5B35"/>
    <w:rsid w:val="007E5C2D"/>
    <w:rsid w:val="007E5C54"/>
    <w:rsid w:val="007E5E7C"/>
    <w:rsid w:val="007E5FC2"/>
    <w:rsid w:val="007E6067"/>
    <w:rsid w:val="007E6543"/>
    <w:rsid w:val="007E687F"/>
    <w:rsid w:val="007E69EF"/>
    <w:rsid w:val="007E6B34"/>
    <w:rsid w:val="007E7260"/>
    <w:rsid w:val="007E733D"/>
    <w:rsid w:val="007E76FE"/>
    <w:rsid w:val="007E7822"/>
    <w:rsid w:val="007E798E"/>
    <w:rsid w:val="007E7BD6"/>
    <w:rsid w:val="007E7C06"/>
    <w:rsid w:val="007E7F5A"/>
    <w:rsid w:val="007E7F71"/>
    <w:rsid w:val="007F02E8"/>
    <w:rsid w:val="007F03C2"/>
    <w:rsid w:val="007F0924"/>
    <w:rsid w:val="007F0BD2"/>
    <w:rsid w:val="007F0CB1"/>
    <w:rsid w:val="007F0E1A"/>
    <w:rsid w:val="007F0E4D"/>
    <w:rsid w:val="007F0E76"/>
    <w:rsid w:val="007F0FA0"/>
    <w:rsid w:val="007F0FAF"/>
    <w:rsid w:val="007F0FD9"/>
    <w:rsid w:val="007F106E"/>
    <w:rsid w:val="007F164E"/>
    <w:rsid w:val="007F16DF"/>
    <w:rsid w:val="007F1E58"/>
    <w:rsid w:val="007F1FF3"/>
    <w:rsid w:val="007F212B"/>
    <w:rsid w:val="007F243A"/>
    <w:rsid w:val="007F2454"/>
    <w:rsid w:val="007F256C"/>
    <w:rsid w:val="007F25DD"/>
    <w:rsid w:val="007F2667"/>
    <w:rsid w:val="007F284C"/>
    <w:rsid w:val="007F2B19"/>
    <w:rsid w:val="007F2B9E"/>
    <w:rsid w:val="007F2FB5"/>
    <w:rsid w:val="007F330F"/>
    <w:rsid w:val="007F35AC"/>
    <w:rsid w:val="007F3662"/>
    <w:rsid w:val="007F376A"/>
    <w:rsid w:val="007F3B82"/>
    <w:rsid w:val="007F3DC7"/>
    <w:rsid w:val="007F3E5B"/>
    <w:rsid w:val="007F3EC5"/>
    <w:rsid w:val="007F424E"/>
    <w:rsid w:val="007F438E"/>
    <w:rsid w:val="007F47A6"/>
    <w:rsid w:val="007F48D2"/>
    <w:rsid w:val="007F492A"/>
    <w:rsid w:val="007F4A01"/>
    <w:rsid w:val="007F4A77"/>
    <w:rsid w:val="007F4B93"/>
    <w:rsid w:val="007F4E56"/>
    <w:rsid w:val="007F4E7D"/>
    <w:rsid w:val="007F4EFF"/>
    <w:rsid w:val="007F524A"/>
    <w:rsid w:val="007F58BB"/>
    <w:rsid w:val="007F5901"/>
    <w:rsid w:val="007F5B60"/>
    <w:rsid w:val="007F5B65"/>
    <w:rsid w:val="007F6107"/>
    <w:rsid w:val="007F6294"/>
    <w:rsid w:val="007F65B0"/>
    <w:rsid w:val="007F66AE"/>
    <w:rsid w:val="007F67AD"/>
    <w:rsid w:val="007F6E08"/>
    <w:rsid w:val="007F6E27"/>
    <w:rsid w:val="007F753E"/>
    <w:rsid w:val="007F76DE"/>
    <w:rsid w:val="007F7950"/>
    <w:rsid w:val="007F7A9D"/>
    <w:rsid w:val="007F7B2C"/>
    <w:rsid w:val="007F7CB4"/>
    <w:rsid w:val="007F7FE7"/>
    <w:rsid w:val="007FCD93"/>
    <w:rsid w:val="00800304"/>
    <w:rsid w:val="0080037E"/>
    <w:rsid w:val="00800541"/>
    <w:rsid w:val="008005DD"/>
    <w:rsid w:val="00800678"/>
    <w:rsid w:val="008006F4"/>
    <w:rsid w:val="008007BC"/>
    <w:rsid w:val="008009A2"/>
    <w:rsid w:val="00800A2F"/>
    <w:rsid w:val="00800C13"/>
    <w:rsid w:val="00800F0F"/>
    <w:rsid w:val="00801057"/>
    <w:rsid w:val="008010E2"/>
    <w:rsid w:val="00801885"/>
    <w:rsid w:val="008018E1"/>
    <w:rsid w:val="0080194C"/>
    <w:rsid w:val="00801A5E"/>
    <w:rsid w:val="00801D03"/>
    <w:rsid w:val="00801E63"/>
    <w:rsid w:val="0080201B"/>
    <w:rsid w:val="0080204B"/>
    <w:rsid w:val="00802411"/>
    <w:rsid w:val="00802465"/>
    <w:rsid w:val="00802757"/>
    <w:rsid w:val="00802855"/>
    <w:rsid w:val="008029F1"/>
    <w:rsid w:val="00802C81"/>
    <w:rsid w:val="00802D19"/>
    <w:rsid w:val="00802E6A"/>
    <w:rsid w:val="00802E94"/>
    <w:rsid w:val="00802F24"/>
    <w:rsid w:val="008030A5"/>
    <w:rsid w:val="0080329F"/>
    <w:rsid w:val="0080357F"/>
    <w:rsid w:val="008036A2"/>
    <w:rsid w:val="00803806"/>
    <w:rsid w:val="00803882"/>
    <w:rsid w:val="008038AC"/>
    <w:rsid w:val="0080411D"/>
    <w:rsid w:val="00804125"/>
    <w:rsid w:val="00804290"/>
    <w:rsid w:val="008044D0"/>
    <w:rsid w:val="00804661"/>
    <w:rsid w:val="00804836"/>
    <w:rsid w:val="00804B31"/>
    <w:rsid w:val="00804FC7"/>
    <w:rsid w:val="00805231"/>
    <w:rsid w:val="008052AF"/>
    <w:rsid w:val="008053CE"/>
    <w:rsid w:val="00805861"/>
    <w:rsid w:val="00805ACB"/>
    <w:rsid w:val="00805B19"/>
    <w:rsid w:val="00805DC0"/>
    <w:rsid w:val="00805EEC"/>
    <w:rsid w:val="0080610B"/>
    <w:rsid w:val="0080614E"/>
    <w:rsid w:val="00806360"/>
    <w:rsid w:val="008064F8"/>
    <w:rsid w:val="00806775"/>
    <w:rsid w:val="008067E0"/>
    <w:rsid w:val="0080684C"/>
    <w:rsid w:val="00806DDC"/>
    <w:rsid w:val="00806F00"/>
    <w:rsid w:val="00806F03"/>
    <w:rsid w:val="00806FA5"/>
    <w:rsid w:val="008070C0"/>
    <w:rsid w:val="0080714B"/>
    <w:rsid w:val="008072D9"/>
    <w:rsid w:val="00807362"/>
    <w:rsid w:val="00807375"/>
    <w:rsid w:val="0080739F"/>
    <w:rsid w:val="00807549"/>
    <w:rsid w:val="0080766D"/>
    <w:rsid w:val="00807796"/>
    <w:rsid w:val="0080788C"/>
    <w:rsid w:val="008079ED"/>
    <w:rsid w:val="00807C4A"/>
    <w:rsid w:val="00807F18"/>
    <w:rsid w:val="00807F45"/>
    <w:rsid w:val="008102BB"/>
    <w:rsid w:val="008102CB"/>
    <w:rsid w:val="00810750"/>
    <w:rsid w:val="008107B2"/>
    <w:rsid w:val="008109E4"/>
    <w:rsid w:val="00810A8D"/>
    <w:rsid w:val="00810BFD"/>
    <w:rsid w:val="00810C29"/>
    <w:rsid w:val="00810CB4"/>
    <w:rsid w:val="00810CFF"/>
    <w:rsid w:val="00810DC0"/>
    <w:rsid w:val="00810FAA"/>
    <w:rsid w:val="00811302"/>
    <w:rsid w:val="008114B9"/>
    <w:rsid w:val="00811530"/>
    <w:rsid w:val="0081178F"/>
    <w:rsid w:val="00811791"/>
    <w:rsid w:val="0081198A"/>
    <w:rsid w:val="00811D20"/>
    <w:rsid w:val="00811EDD"/>
    <w:rsid w:val="008126BA"/>
    <w:rsid w:val="00812855"/>
    <w:rsid w:val="008128BF"/>
    <w:rsid w:val="0081291F"/>
    <w:rsid w:val="00812935"/>
    <w:rsid w:val="00812A08"/>
    <w:rsid w:val="00812B9B"/>
    <w:rsid w:val="00812DA2"/>
    <w:rsid w:val="00812E2B"/>
    <w:rsid w:val="00812E77"/>
    <w:rsid w:val="0081306F"/>
    <w:rsid w:val="008130C4"/>
    <w:rsid w:val="008131A4"/>
    <w:rsid w:val="00813327"/>
    <w:rsid w:val="008136FD"/>
    <w:rsid w:val="0081370E"/>
    <w:rsid w:val="00813942"/>
    <w:rsid w:val="00813B4E"/>
    <w:rsid w:val="00813C29"/>
    <w:rsid w:val="00813D07"/>
    <w:rsid w:val="00813F93"/>
    <w:rsid w:val="00814441"/>
    <w:rsid w:val="00814448"/>
    <w:rsid w:val="00814508"/>
    <w:rsid w:val="00814B83"/>
    <w:rsid w:val="00814C67"/>
    <w:rsid w:val="00814F85"/>
    <w:rsid w:val="008151C4"/>
    <w:rsid w:val="00815797"/>
    <w:rsid w:val="00815A66"/>
    <w:rsid w:val="00815AAD"/>
    <w:rsid w:val="00815B60"/>
    <w:rsid w:val="00815BD8"/>
    <w:rsid w:val="00815C5E"/>
    <w:rsid w:val="00815D4B"/>
    <w:rsid w:val="00816026"/>
    <w:rsid w:val="008160B8"/>
    <w:rsid w:val="00816406"/>
    <w:rsid w:val="008167D0"/>
    <w:rsid w:val="0081686C"/>
    <w:rsid w:val="00816D74"/>
    <w:rsid w:val="00816E01"/>
    <w:rsid w:val="00816EB2"/>
    <w:rsid w:val="00816F8E"/>
    <w:rsid w:val="00817039"/>
    <w:rsid w:val="008172EE"/>
    <w:rsid w:val="008173BB"/>
    <w:rsid w:val="008174A2"/>
    <w:rsid w:val="0081759B"/>
    <w:rsid w:val="00817954"/>
    <w:rsid w:val="00817DD5"/>
    <w:rsid w:val="00817F0E"/>
    <w:rsid w:val="00820473"/>
    <w:rsid w:val="00820574"/>
    <w:rsid w:val="00820D71"/>
    <w:rsid w:val="00820E13"/>
    <w:rsid w:val="008211DD"/>
    <w:rsid w:val="008213D8"/>
    <w:rsid w:val="00821960"/>
    <w:rsid w:val="00821A78"/>
    <w:rsid w:val="00821A81"/>
    <w:rsid w:val="00822085"/>
    <w:rsid w:val="00822252"/>
    <w:rsid w:val="0082226F"/>
    <w:rsid w:val="00822524"/>
    <w:rsid w:val="008225BA"/>
    <w:rsid w:val="0082269F"/>
    <w:rsid w:val="0082280C"/>
    <w:rsid w:val="00822985"/>
    <w:rsid w:val="00822B0B"/>
    <w:rsid w:val="00822C39"/>
    <w:rsid w:val="00822E55"/>
    <w:rsid w:val="00823256"/>
    <w:rsid w:val="008232C1"/>
    <w:rsid w:val="00823313"/>
    <w:rsid w:val="00823450"/>
    <w:rsid w:val="008238D2"/>
    <w:rsid w:val="00823BCF"/>
    <w:rsid w:val="00823E28"/>
    <w:rsid w:val="00823F1A"/>
    <w:rsid w:val="00824105"/>
    <w:rsid w:val="00824830"/>
    <w:rsid w:val="00824C7A"/>
    <w:rsid w:val="00824CB6"/>
    <w:rsid w:val="00824DB7"/>
    <w:rsid w:val="008251D7"/>
    <w:rsid w:val="00825275"/>
    <w:rsid w:val="008252AF"/>
    <w:rsid w:val="0082542B"/>
    <w:rsid w:val="008256AE"/>
    <w:rsid w:val="008258A7"/>
    <w:rsid w:val="008258ED"/>
    <w:rsid w:val="00825949"/>
    <w:rsid w:val="00825B89"/>
    <w:rsid w:val="00825BA9"/>
    <w:rsid w:val="00825BDC"/>
    <w:rsid w:val="00825C1F"/>
    <w:rsid w:val="00825CA2"/>
    <w:rsid w:val="00825CD5"/>
    <w:rsid w:val="00825CFD"/>
    <w:rsid w:val="00825DD3"/>
    <w:rsid w:val="0082626E"/>
    <w:rsid w:val="00826297"/>
    <w:rsid w:val="008262B1"/>
    <w:rsid w:val="0082653B"/>
    <w:rsid w:val="008265D8"/>
    <w:rsid w:val="00826A51"/>
    <w:rsid w:val="00826BE9"/>
    <w:rsid w:val="00826DA9"/>
    <w:rsid w:val="00826F6F"/>
    <w:rsid w:val="00827044"/>
    <w:rsid w:val="00827285"/>
    <w:rsid w:val="00827405"/>
    <w:rsid w:val="0082749A"/>
    <w:rsid w:val="008275CF"/>
    <w:rsid w:val="008276DE"/>
    <w:rsid w:val="008278C1"/>
    <w:rsid w:val="00827A90"/>
    <w:rsid w:val="00827BFB"/>
    <w:rsid w:val="00827C08"/>
    <w:rsid w:val="00827CB7"/>
    <w:rsid w:val="00827E76"/>
    <w:rsid w:val="00827EFC"/>
    <w:rsid w:val="00827F61"/>
    <w:rsid w:val="00827FA5"/>
    <w:rsid w:val="0083018C"/>
    <w:rsid w:val="0083019D"/>
    <w:rsid w:val="00830263"/>
    <w:rsid w:val="008306D5"/>
    <w:rsid w:val="008308BA"/>
    <w:rsid w:val="008308C0"/>
    <w:rsid w:val="00830BAB"/>
    <w:rsid w:val="00830ECC"/>
    <w:rsid w:val="008313A5"/>
    <w:rsid w:val="008318FE"/>
    <w:rsid w:val="00831B4A"/>
    <w:rsid w:val="00831B62"/>
    <w:rsid w:val="00831D50"/>
    <w:rsid w:val="00831DC6"/>
    <w:rsid w:val="00831EC9"/>
    <w:rsid w:val="00831FCE"/>
    <w:rsid w:val="008321F7"/>
    <w:rsid w:val="00832408"/>
    <w:rsid w:val="00832665"/>
    <w:rsid w:val="00832849"/>
    <w:rsid w:val="00832D6D"/>
    <w:rsid w:val="00833475"/>
    <w:rsid w:val="008334DC"/>
    <w:rsid w:val="00833505"/>
    <w:rsid w:val="00833773"/>
    <w:rsid w:val="00833CFA"/>
    <w:rsid w:val="0083425F"/>
    <w:rsid w:val="008346DD"/>
    <w:rsid w:val="0083473C"/>
    <w:rsid w:val="0083487F"/>
    <w:rsid w:val="008348FE"/>
    <w:rsid w:val="00834C28"/>
    <w:rsid w:val="00834D31"/>
    <w:rsid w:val="00835208"/>
    <w:rsid w:val="00835699"/>
    <w:rsid w:val="00835A09"/>
    <w:rsid w:val="00835E94"/>
    <w:rsid w:val="00836138"/>
    <w:rsid w:val="0083654F"/>
    <w:rsid w:val="00836559"/>
    <w:rsid w:val="0083662E"/>
    <w:rsid w:val="00836CC0"/>
    <w:rsid w:val="00836DC2"/>
    <w:rsid w:val="00836F48"/>
    <w:rsid w:val="00837164"/>
    <w:rsid w:val="0083768A"/>
    <w:rsid w:val="008379B1"/>
    <w:rsid w:val="00837A27"/>
    <w:rsid w:val="00837D8E"/>
    <w:rsid w:val="00837EF9"/>
    <w:rsid w:val="00840057"/>
    <w:rsid w:val="00840272"/>
    <w:rsid w:val="008407A5"/>
    <w:rsid w:val="00840B87"/>
    <w:rsid w:val="00840CE3"/>
    <w:rsid w:val="00840E99"/>
    <w:rsid w:val="00840EFA"/>
    <w:rsid w:val="00840F25"/>
    <w:rsid w:val="00840FE3"/>
    <w:rsid w:val="00841336"/>
    <w:rsid w:val="00841404"/>
    <w:rsid w:val="008414FA"/>
    <w:rsid w:val="00841543"/>
    <w:rsid w:val="008416E4"/>
    <w:rsid w:val="008416F6"/>
    <w:rsid w:val="0084190B"/>
    <w:rsid w:val="00841A3C"/>
    <w:rsid w:val="00841AAB"/>
    <w:rsid w:val="00841E2C"/>
    <w:rsid w:val="00841F12"/>
    <w:rsid w:val="00842065"/>
    <w:rsid w:val="008422DF"/>
    <w:rsid w:val="00842595"/>
    <w:rsid w:val="008425D1"/>
    <w:rsid w:val="0084260A"/>
    <w:rsid w:val="0084266D"/>
    <w:rsid w:val="008431CE"/>
    <w:rsid w:val="008431E0"/>
    <w:rsid w:val="00843296"/>
    <w:rsid w:val="008432B2"/>
    <w:rsid w:val="008432BD"/>
    <w:rsid w:val="0084357B"/>
    <w:rsid w:val="008437A2"/>
    <w:rsid w:val="008440BF"/>
    <w:rsid w:val="008441F4"/>
    <w:rsid w:val="0084428E"/>
    <w:rsid w:val="0084432D"/>
    <w:rsid w:val="008443FE"/>
    <w:rsid w:val="008444AA"/>
    <w:rsid w:val="00844850"/>
    <w:rsid w:val="00844968"/>
    <w:rsid w:val="008449D4"/>
    <w:rsid w:val="00845188"/>
    <w:rsid w:val="008451BF"/>
    <w:rsid w:val="00845463"/>
    <w:rsid w:val="008454AA"/>
    <w:rsid w:val="008454EF"/>
    <w:rsid w:val="008456E3"/>
    <w:rsid w:val="00845764"/>
    <w:rsid w:val="00845A49"/>
    <w:rsid w:val="00845B00"/>
    <w:rsid w:val="00845B0E"/>
    <w:rsid w:val="00845BBF"/>
    <w:rsid w:val="00845D44"/>
    <w:rsid w:val="00845DAB"/>
    <w:rsid w:val="00845E59"/>
    <w:rsid w:val="00846255"/>
    <w:rsid w:val="00846414"/>
    <w:rsid w:val="0084660A"/>
    <w:rsid w:val="00846744"/>
    <w:rsid w:val="00846C23"/>
    <w:rsid w:val="00846F3D"/>
    <w:rsid w:val="00846FBF"/>
    <w:rsid w:val="0084705F"/>
    <w:rsid w:val="00847268"/>
    <w:rsid w:val="00847364"/>
    <w:rsid w:val="00847669"/>
    <w:rsid w:val="008477C3"/>
    <w:rsid w:val="00847888"/>
    <w:rsid w:val="00847944"/>
    <w:rsid w:val="00847B30"/>
    <w:rsid w:val="00847C0D"/>
    <w:rsid w:val="00847C92"/>
    <w:rsid w:val="00847C99"/>
    <w:rsid w:val="00847E4F"/>
    <w:rsid w:val="00847E69"/>
    <w:rsid w:val="00847EC1"/>
    <w:rsid w:val="00850084"/>
    <w:rsid w:val="00850120"/>
    <w:rsid w:val="008505FB"/>
    <w:rsid w:val="00850679"/>
    <w:rsid w:val="008507ED"/>
    <w:rsid w:val="00850883"/>
    <w:rsid w:val="00850DC2"/>
    <w:rsid w:val="00851239"/>
    <w:rsid w:val="00851390"/>
    <w:rsid w:val="008516E1"/>
    <w:rsid w:val="00851847"/>
    <w:rsid w:val="00851B1C"/>
    <w:rsid w:val="00851FEC"/>
    <w:rsid w:val="00852107"/>
    <w:rsid w:val="008522B2"/>
    <w:rsid w:val="008524AB"/>
    <w:rsid w:val="00852792"/>
    <w:rsid w:val="008527E1"/>
    <w:rsid w:val="008528E6"/>
    <w:rsid w:val="00852981"/>
    <w:rsid w:val="00852A44"/>
    <w:rsid w:val="00852E03"/>
    <w:rsid w:val="00852E39"/>
    <w:rsid w:val="00852E70"/>
    <w:rsid w:val="00852F66"/>
    <w:rsid w:val="00852F73"/>
    <w:rsid w:val="008531F0"/>
    <w:rsid w:val="008537CD"/>
    <w:rsid w:val="00853A99"/>
    <w:rsid w:val="00853E65"/>
    <w:rsid w:val="00854379"/>
    <w:rsid w:val="00854809"/>
    <w:rsid w:val="00854896"/>
    <w:rsid w:val="00854ADE"/>
    <w:rsid w:val="00854B4E"/>
    <w:rsid w:val="00854B89"/>
    <w:rsid w:val="00854C31"/>
    <w:rsid w:val="00854D3F"/>
    <w:rsid w:val="00855020"/>
    <w:rsid w:val="008555A0"/>
    <w:rsid w:val="008555BA"/>
    <w:rsid w:val="0085564C"/>
    <w:rsid w:val="00855778"/>
    <w:rsid w:val="00855908"/>
    <w:rsid w:val="00855ABE"/>
    <w:rsid w:val="00855DE9"/>
    <w:rsid w:val="00855E8B"/>
    <w:rsid w:val="0085649B"/>
    <w:rsid w:val="008566F8"/>
    <w:rsid w:val="00856D18"/>
    <w:rsid w:val="00856FDC"/>
    <w:rsid w:val="0085738E"/>
    <w:rsid w:val="008573D5"/>
    <w:rsid w:val="00857616"/>
    <w:rsid w:val="0085792D"/>
    <w:rsid w:val="00857945"/>
    <w:rsid w:val="00857BD9"/>
    <w:rsid w:val="00857E0F"/>
    <w:rsid w:val="008602D0"/>
    <w:rsid w:val="008606FD"/>
    <w:rsid w:val="0086079D"/>
    <w:rsid w:val="00860AC9"/>
    <w:rsid w:val="00860BF0"/>
    <w:rsid w:val="00860D31"/>
    <w:rsid w:val="00861149"/>
    <w:rsid w:val="00861843"/>
    <w:rsid w:val="0086199F"/>
    <w:rsid w:val="00861FAB"/>
    <w:rsid w:val="0086203D"/>
    <w:rsid w:val="00862221"/>
    <w:rsid w:val="00862617"/>
    <w:rsid w:val="008629C0"/>
    <w:rsid w:val="00863103"/>
    <w:rsid w:val="00863144"/>
    <w:rsid w:val="008631F7"/>
    <w:rsid w:val="00863281"/>
    <w:rsid w:val="008636AE"/>
    <w:rsid w:val="0086385D"/>
    <w:rsid w:val="00863921"/>
    <w:rsid w:val="008639BE"/>
    <w:rsid w:val="00863B35"/>
    <w:rsid w:val="00863DE1"/>
    <w:rsid w:val="00863E68"/>
    <w:rsid w:val="00864429"/>
    <w:rsid w:val="008644FB"/>
    <w:rsid w:val="0086457C"/>
    <w:rsid w:val="008646E1"/>
    <w:rsid w:val="00864B22"/>
    <w:rsid w:val="00864EC4"/>
    <w:rsid w:val="00865298"/>
    <w:rsid w:val="00865806"/>
    <w:rsid w:val="00865978"/>
    <w:rsid w:val="008659B7"/>
    <w:rsid w:val="008659C7"/>
    <w:rsid w:val="00865BC4"/>
    <w:rsid w:val="00865D2C"/>
    <w:rsid w:val="00865E57"/>
    <w:rsid w:val="00865ECE"/>
    <w:rsid w:val="008661C1"/>
    <w:rsid w:val="00866447"/>
    <w:rsid w:val="0086651A"/>
    <w:rsid w:val="00866699"/>
    <w:rsid w:val="00866871"/>
    <w:rsid w:val="00866A83"/>
    <w:rsid w:val="00866B9C"/>
    <w:rsid w:val="00866BCD"/>
    <w:rsid w:val="00866D29"/>
    <w:rsid w:val="008673D5"/>
    <w:rsid w:val="008674A5"/>
    <w:rsid w:val="0086773C"/>
    <w:rsid w:val="008678FA"/>
    <w:rsid w:val="00867D5A"/>
    <w:rsid w:val="00867FC5"/>
    <w:rsid w:val="008703F4"/>
    <w:rsid w:val="008704F5"/>
    <w:rsid w:val="00870540"/>
    <w:rsid w:val="00870CD2"/>
    <w:rsid w:val="00870D5C"/>
    <w:rsid w:val="00870E0A"/>
    <w:rsid w:val="00870E11"/>
    <w:rsid w:val="00870F0C"/>
    <w:rsid w:val="00870F1A"/>
    <w:rsid w:val="00870F51"/>
    <w:rsid w:val="00870F9F"/>
    <w:rsid w:val="008712C1"/>
    <w:rsid w:val="0087137C"/>
    <w:rsid w:val="00871434"/>
    <w:rsid w:val="00871446"/>
    <w:rsid w:val="008714D8"/>
    <w:rsid w:val="0087153E"/>
    <w:rsid w:val="00871547"/>
    <w:rsid w:val="0087159A"/>
    <w:rsid w:val="008715BE"/>
    <w:rsid w:val="00871B1E"/>
    <w:rsid w:val="00871E6F"/>
    <w:rsid w:val="00871F68"/>
    <w:rsid w:val="00871FFD"/>
    <w:rsid w:val="0087200A"/>
    <w:rsid w:val="00872029"/>
    <w:rsid w:val="00872038"/>
    <w:rsid w:val="00872093"/>
    <w:rsid w:val="008724B7"/>
    <w:rsid w:val="00872647"/>
    <w:rsid w:val="008727B4"/>
    <w:rsid w:val="008727F0"/>
    <w:rsid w:val="00872A82"/>
    <w:rsid w:val="00872E28"/>
    <w:rsid w:val="00872EF7"/>
    <w:rsid w:val="0087312B"/>
    <w:rsid w:val="00873228"/>
    <w:rsid w:val="008735D6"/>
    <w:rsid w:val="008736FC"/>
    <w:rsid w:val="00873943"/>
    <w:rsid w:val="00873C3A"/>
    <w:rsid w:val="00873D1C"/>
    <w:rsid w:val="00873E36"/>
    <w:rsid w:val="00874087"/>
    <w:rsid w:val="008741C9"/>
    <w:rsid w:val="0087450F"/>
    <w:rsid w:val="0087469A"/>
    <w:rsid w:val="00874797"/>
    <w:rsid w:val="008747DA"/>
    <w:rsid w:val="0087496A"/>
    <w:rsid w:val="008749D4"/>
    <w:rsid w:val="00874B0B"/>
    <w:rsid w:val="00874DD8"/>
    <w:rsid w:val="0087518B"/>
    <w:rsid w:val="00875378"/>
    <w:rsid w:val="008754E2"/>
    <w:rsid w:val="00875561"/>
    <w:rsid w:val="0087558A"/>
    <w:rsid w:val="008759E9"/>
    <w:rsid w:val="008762A3"/>
    <w:rsid w:val="008764FD"/>
    <w:rsid w:val="00876708"/>
    <w:rsid w:val="00876C2C"/>
    <w:rsid w:val="00876D7B"/>
    <w:rsid w:val="00876E0F"/>
    <w:rsid w:val="00876FB0"/>
    <w:rsid w:val="008770D1"/>
    <w:rsid w:val="00877630"/>
    <w:rsid w:val="0087768E"/>
    <w:rsid w:val="008777BF"/>
    <w:rsid w:val="00877A52"/>
    <w:rsid w:val="00877C61"/>
    <w:rsid w:val="00877C9A"/>
    <w:rsid w:val="00877CCA"/>
    <w:rsid w:val="00877DBD"/>
    <w:rsid w:val="00877EB5"/>
    <w:rsid w:val="008804B6"/>
    <w:rsid w:val="00880565"/>
    <w:rsid w:val="00880974"/>
    <w:rsid w:val="00880CD4"/>
    <w:rsid w:val="00880EAE"/>
    <w:rsid w:val="00880F9B"/>
    <w:rsid w:val="008810E0"/>
    <w:rsid w:val="00881121"/>
    <w:rsid w:val="008813FF"/>
    <w:rsid w:val="00881801"/>
    <w:rsid w:val="008818BF"/>
    <w:rsid w:val="00881EAE"/>
    <w:rsid w:val="00881F8D"/>
    <w:rsid w:val="008820A2"/>
    <w:rsid w:val="00882115"/>
    <w:rsid w:val="008821F7"/>
    <w:rsid w:val="00882382"/>
    <w:rsid w:val="008823F1"/>
    <w:rsid w:val="008826DB"/>
    <w:rsid w:val="008829E7"/>
    <w:rsid w:val="00882B41"/>
    <w:rsid w:val="00882EF6"/>
    <w:rsid w:val="00882F26"/>
    <w:rsid w:val="00883141"/>
    <w:rsid w:val="0088382A"/>
    <w:rsid w:val="00883CDF"/>
    <w:rsid w:val="00883F88"/>
    <w:rsid w:val="0088403E"/>
    <w:rsid w:val="008840BB"/>
    <w:rsid w:val="00884265"/>
    <w:rsid w:val="00884328"/>
    <w:rsid w:val="008844C9"/>
    <w:rsid w:val="00884791"/>
    <w:rsid w:val="0088487A"/>
    <w:rsid w:val="00884A88"/>
    <w:rsid w:val="00884C76"/>
    <w:rsid w:val="00884CA0"/>
    <w:rsid w:val="00884CCF"/>
    <w:rsid w:val="00885177"/>
    <w:rsid w:val="008854A7"/>
    <w:rsid w:val="008854DF"/>
    <w:rsid w:val="0088563F"/>
    <w:rsid w:val="0088565A"/>
    <w:rsid w:val="00885673"/>
    <w:rsid w:val="00885705"/>
    <w:rsid w:val="00885C99"/>
    <w:rsid w:val="0088658A"/>
    <w:rsid w:val="008865D1"/>
    <w:rsid w:val="008866AA"/>
    <w:rsid w:val="00886849"/>
    <w:rsid w:val="008868C7"/>
    <w:rsid w:val="008868C8"/>
    <w:rsid w:val="008868EC"/>
    <w:rsid w:val="00886929"/>
    <w:rsid w:val="00886A7C"/>
    <w:rsid w:val="00886B65"/>
    <w:rsid w:val="00886DAD"/>
    <w:rsid w:val="00887214"/>
    <w:rsid w:val="0088747B"/>
    <w:rsid w:val="00887755"/>
    <w:rsid w:val="00887802"/>
    <w:rsid w:val="0088799C"/>
    <w:rsid w:val="00887B87"/>
    <w:rsid w:val="00887F8E"/>
    <w:rsid w:val="008900F3"/>
    <w:rsid w:val="00890B73"/>
    <w:rsid w:val="00890CF2"/>
    <w:rsid w:val="00890F71"/>
    <w:rsid w:val="008913A3"/>
    <w:rsid w:val="00891A7A"/>
    <w:rsid w:val="00891C92"/>
    <w:rsid w:val="00891F34"/>
    <w:rsid w:val="00892046"/>
    <w:rsid w:val="0089215D"/>
    <w:rsid w:val="008921F5"/>
    <w:rsid w:val="008921F8"/>
    <w:rsid w:val="00892238"/>
    <w:rsid w:val="008926A4"/>
    <w:rsid w:val="00892743"/>
    <w:rsid w:val="00892948"/>
    <w:rsid w:val="00892A0F"/>
    <w:rsid w:val="00892EE9"/>
    <w:rsid w:val="00892F1A"/>
    <w:rsid w:val="00892F64"/>
    <w:rsid w:val="00892F6F"/>
    <w:rsid w:val="0089306F"/>
    <w:rsid w:val="008935D2"/>
    <w:rsid w:val="008936BE"/>
    <w:rsid w:val="00893768"/>
    <w:rsid w:val="00893905"/>
    <w:rsid w:val="00893969"/>
    <w:rsid w:val="00893978"/>
    <w:rsid w:val="00893C0F"/>
    <w:rsid w:val="00893D1B"/>
    <w:rsid w:val="00894055"/>
    <w:rsid w:val="00894152"/>
    <w:rsid w:val="0089419A"/>
    <w:rsid w:val="00894203"/>
    <w:rsid w:val="00894360"/>
    <w:rsid w:val="00894689"/>
    <w:rsid w:val="00894714"/>
    <w:rsid w:val="00894736"/>
    <w:rsid w:val="008949B5"/>
    <w:rsid w:val="00894B95"/>
    <w:rsid w:val="00894C2F"/>
    <w:rsid w:val="00894CC9"/>
    <w:rsid w:val="008950DF"/>
    <w:rsid w:val="00895386"/>
    <w:rsid w:val="00895443"/>
    <w:rsid w:val="00895528"/>
    <w:rsid w:val="00895A93"/>
    <w:rsid w:val="00895BBC"/>
    <w:rsid w:val="00895D1B"/>
    <w:rsid w:val="00895D89"/>
    <w:rsid w:val="00896083"/>
    <w:rsid w:val="00896232"/>
    <w:rsid w:val="00896296"/>
    <w:rsid w:val="0089652D"/>
    <w:rsid w:val="0089658C"/>
    <w:rsid w:val="0089668E"/>
    <w:rsid w:val="008967B2"/>
    <w:rsid w:val="00896866"/>
    <w:rsid w:val="00896944"/>
    <w:rsid w:val="00896969"/>
    <w:rsid w:val="00896C67"/>
    <w:rsid w:val="00896DD6"/>
    <w:rsid w:val="0089701A"/>
    <w:rsid w:val="008975B7"/>
    <w:rsid w:val="00897BDE"/>
    <w:rsid w:val="00897C49"/>
    <w:rsid w:val="00897C7C"/>
    <w:rsid w:val="008A04AE"/>
    <w:rsid w:val="008A0827"/>
    <w:rsid w:val="008A09D6"/>
    <w:rsid w:val="008A0A3B"/>
    <w:rsid w:val="008A0A7A"/>
    <w:rsid w:val="008A0B21"/>
    <w:rsid w:val="008A0B62"/>
    <w:rsid w:val="008A0CD2"/>
    <w:rsid w:val="008A0EBE"/>
    <w:rsid w:val="008A10F7"/>
    <w:rsid w:val="008A1108"/>
    <w:rsid w:val="008A1310"/>
    <w:rsid w:val="008A138F"/>
    <w:rsid w:val="008A14BA"/>
    <w:rsid w:val="008A19BD"/>
    <w:rsid w:val="008A1AFE"/>
    <w:rsid w:val="008A1DC2"/>
    <w:rsid w:val="008A1DCF"/>
    <w:rsid w:val="008A201A"/>
    <w:rsid w:val="008A2025"/>
    <w:rsid w:val="008A2170"/>
    <w:rsid w:val="008A2183"/>
    <w:rsid w:val="008A2195"/>
    <w:rsid w:val="008A23EF"/>
    <w:rsid w:val="008A24F4"/>
    <w:rsid w:val="008A2623"/>
    <w:rsid w:val="008A29C2"/>
    <w:rsid w:val="008A2C79"/>
    <w:rsid w:val="008A2E96"/>
    <w:rsid w:val="008A31B4"/>
    <w:rsid w:val="008A31CF"/>
    <w:rsid w:val="008A3360"/>
    <w:rsid w:val="008A33A8"/>
    <w:rsid w:val="008A3541"/>
    <w:rsid w:val="008A35D7"/>
    <w:rsid w:val="008A3A2F"/>
    <w:rsid w:val="008A3B67"/>
    <w:rsid w:val="008A3F68"/>
    <w:rsid w:val="008A4254"/>
    <w:rsid w:val="008A4291"/>
    <w:rsid w:val="008A4369"/>
    <w:rsid w:val="008A448C"/>
    <w:rsid w:val="008A44C8"/>
    <w:rsid w:val="008A457E"/>
    <w:rsid w:val="008A45C0"/>
    <w:rsid w:val="008A4677"/>
    <w:rsid w:val="008A47DE"/>
    <w:rsid w:val="008A4FCC"/>
    <w:rsid w:val="008A511F"/>
    <w:rsid w:val="008A555E"/>
    <w:rsid w:val="008A55B5"/>
    <w:rsid w:val="008A56CA"/>
    <w:rsid w:val="008A57F4"/>
    <w:rsid w:val="008A5E2C"/>
    <w:rsid w:val="008A5E4E"/>
    <w:rsid w:val="008A6416"/>
    <w:rsid w:val="008A6B22"/>
    <w:rsid w:val="008A7307"/>
    <w:rsid w:val="008A76E6"/>
    <w:rsid w:val="008A7C65"/>
    <w:rsid w:val="008A7CAB"/>
    <w:rsid w:val="008A7D50"/>
    <w:rsid w:val="008A7F89"/>
    <w:rsid w:val="008A7FA4"/>
    <w:rsid w:val="008A7FCE"/>
    <w:rsid w:val="008B0194"/>
    <w:rsid w:val="008B04B9"/>
    <w:rsid w:val="008B06B5"/>
    <w:rsid w:val="008B0DD2"/>
    <w:rsid w:val="008B0F03"/>
    <w:rsid w:val="008B1020"/>
    <w:rsid w:val="008B167F"/>
    <w:rsid w:val="008B1905"/>
    <w:rsid w:val="008B1951"/>
    <w:rsid w:val="008B19E6"/>
    <w:rsid w:val="008B1A3E"/>
    <w:rsid w:val="008B1A7F"/>
    <w:rsid w:val="008B1AD5"/>
    <w:rsid w:val="008B21CD"/>
    <w:rsid w:val="008B2235"/>
    <w:rsid w:val="008B245C"/>
    <w:rsid w:val="008B256F"/>
    <w:rsid w:val="008B276E"/>
    <w:rsid w:val="008B2808"/>
    <w:rsid w:val="008B2B07"/>
    <w:rsid w:val="008B2BDF"/>
    <w:rsid w:val="008B2CC8"/>
    <w:rsid w:val="008B2E0D"/>
    <w:rsid w:val="008B32FD"/>
    <w:rsid w:val="008B3474"/>
    <w:rsid w:val="008B347C"/>
    <w:rsid w:val="008B34F2"/>
    <w:rsid w:val="008B35C7"/>
    <w:rsid w:val="008B3748"/>
    <w:rsid w:val="008B37ED"/>
    <w:rsid w:val="008B393E"/>
    <w:rsid w:val="008B3EDC"/>
    <w:rsid w:val="008B4229"/>
    <w:rsid w:val="008B49D3"/>
    <w:rsid w:val="008B4A44"/>
    <w:rsid w:val="008B4D52"/>
    <w:rsid w:val="008B4F17"/>
    <w:rsid w:val="008B4F57"/>
    <w:rsid w:val="008B4FDD"/>
    <w:rsid w:val="008B5138"/>
    <w:rsid w:val="008B51F5"/>
    <w:rsid w:val="008B57A6"/>
    <w:rsid w:val="008B5ECF"/>
    <w:rsid w:val="008B5F3E"/>
    <w:rsid w:val="008B61C6"/>
    <w:rsid w:val="008B6351"/>
    <w:rsid w:val="008B6468"/>
    <w:rsid w:val="008B6542"/>
    <w:rsid w:val="008B6A02"/>
    <w:rsid w:val="008B6B27"/>
    <w:rsid w:val="008B6C67"/>
    <w:rsid w:val="008B6CF9"/>
    <w:rsid w:val="008B6D03"/>
    <w:rsid w:val="008B6E90"/>
    <w:rsid w:val="008B6ED5"/>
    <w:rsid w:val="008B70CD"/>
    <w:rsid w:val="008B7384"/>
    <w:rsid w:val="008B746B"/>
    <w:rsid w:val="008B759E"/>
    <w:rsid w:val="008B7685"/>
    <w:rsid w:val="008B7781"/>
    <w:rsid w:val="008B787F"/>
    <w:rsid w:val="008B79B3"/>
    <w:rsid w:val="008B7AF7"/>
    <w:rsid w:val="008B7F99"/>
    <w:rsid w:val="008C0046"/>
    <w:rsid w:val="008C0464"/>
    <w:rsid w:val="008C04AA"/>
    <w:rsid w:val="008C0579"/>
    <w:rsid w:val="008C0A73"/>
    <w:rsid w:val="008C0BAD"/>
    <w:rsid w:val="008C0FDC"/>
    <w:rsid w:val="008C1026"/>
    <w:rsid w:val="008C1272"/>
    <w:rsid w:val="008C139E"/>
    <w:rsid w:val="008C14DA"/>
    <w:rsid w:val="008C14F2"/>
    <w:rsid w:val="008C1579"/>
    <w:rsid w:val="008C1617"/>
    <w:rsid w:val="008C174C"/>
    <w:rsid w:val="008C17B3"/>
    <w:rsid w:val="008C19FC"/>
    <w:rsid w:val="008C1C89"/>
    <w:rsid w:val="008C1F16"/>
    <w:rsid w:val="008C1F89"/>
    <w:rsid w:val="008C1FF3"/>
    <w:rsid w:val="008C2052"/>
    <w:rsid w:val="008C2074"/>
    <w:rsid w:val="008C2255"/>
    <w:rsid w:val="008C247B"/>
    <w:rsid w:val="008C249F"/>
    <w:rsid w:val="008C25A2"/>
    <w:rsid w:val="008C266F"/>
    <w:rsid w:val="008C2784"/>
    <w:rsid w:val="008C278F"/>
    <w:rsid w:val="008C2B7C"/>
    <w:rsid w:val="008C2BE3"/>
    <w:rsid w:val="008C2E6D"/>
    <w:rsid w:val="008C2FD0"/>
    <w:rsid w:val="008C3107"/>
    <w:rsid w:val="008C3111"/>
    <w:rsid w:val="008C3140"/>
    <w:rsid w:val="008C3477"/>
    <w:rsid w:val="008C38EB"/>
    <w:rsid w:val="008C3982"/>
    <w:rsid w:val="008C3BAE"/>
    <w:rsid w:val="008C3FFD"/>
    <w:rsid w:val="008C418A"/>
    <w:rsid w:val="008C421D"/>
    <w:rsid w:val="008C498B"/>
    <w:rsid w:val="008C4BBA"/>
    <w:rsid w:val="008C4C5E"/>
    <w:rsid w:val="008C4D46"/>
    <w:rsid w:val="008C4D4C"/>
    <w:rsid w:val="008C4F0F"/>
    <w:rsid w:val="008C4F8D"/>
    <w:rsid w:val="008C5054"/>
    <w:rsid w:val="008C5154"/>
    <w:rsid w:val="008C5677"/>
    <w:rsid w:val="008C570B"/>
    <w:rsid w:val="008C59E5"/>
    <w:rsid w:val="008C5B20"/>
    <w:rsid w:val="008C5EB7"/>
    <w:rsid w:val="008C6226"/>
    <w:rsid w:val="008C6310"/>
    <w:rsid w:val="008C639F"/>
    <w:rsid w:val="008C64D9"/>
    <w:rsid w:val="008C6502"/>
    <w:rsid w:val="008C65FA"/>
    <w:rsid w:val="008C670F"/>
    <w:rsid w:val="008C6783"/>
    <w:rsid w:val="008C69EB"/>
    <w:rsid w:val="008C6B1C"/>
    <w:rsid w:val="008C6DCB"/>
    <w:rsid w:val="008C705B"/>
    <w:rsid w:val="008C7384"/>
    <w:rsid w:val="008C765F"/>
    <w:rsid w:val="008C77F5"/>
    <w:rsid w:val="008C798F"/>
    <w:rsid w:val="008C7B0D"/>
    <w:rsid w:val="008C7B4B"/>
    <w:rsid w:val="008C7DEE"/>
    <w:rsid w:val="008C7E3B"/>
    <w:rsid w:val="008C7EE4"/>
    <w:rsid w:val="008C7F16"/>
    <w:rsid w:val="008D01BD"/>
    <w:rsid w:val="008D0676"/>
    <w:rsid w:val="008D0787"/>
    <w:rsid w:val="008D0848"/>
    <w:rsid w:val="008D08EA"/>
    <w:rsid w:val="008D0CE5"/>
    <w:rsid w:val="008D0F5E"/>
    <w:rsid w:val="008D0FA3"/>
    <w:rsid w:val="008D102D"/>
    <w:rsid w:val="008D122E"/>
    <w:rsid w:val="008D149B"/>
    <w:rsid w:val="008D15B9"/>
    <w:rsid w:val="008D19C4"/>
    <w:rsid w:val="008D1B0E"/>
    <w:rsid w:val="008D1B23"/>
    <w:rsid w:val="008D1BB0"/>
    <w:rsid w:val="008D1CBC"/>
    <w:rsid w:val="008D1DDF"/>
    <w:rsid w:val="008D1F70"/>
    <w:rsid w:val="008D1F7D"/>
    <w:rsid w:val="008D2411"/>
    <w:rsid w:val="008D268F"/>
    <w:rsid w:val="008D269B"/>
    <w:rsid w:val="008D289E"/>
    <w:rsid w:val="008D28C9"/>
    <w:rsid w:val="008D28CC"/>
    <w:rsid w:val="008D2F19"/>
    <w:rsid w:val="008D3237"/>
    <w:rsid w:val="008D3325"/>
    <w:rsid w:val="008D33B2"/>
    <w:rsid w:val="008D395D"/>
    <w:rsid w:val="008D39D0"/>
    <w:rsid w:val="008D3D66"/>
    <w:rsid w:val="008D437F"/>
    <w:rsid w:val="008D44CA"/>
    <w:rsid w:val="008D47F6"/>
    <w:rsid w:val="008D4A91"/>
    <w:rsid w:val="008D4BF0"/>
    <w:rsid w:val="008D4E6E"/>
    <w:rsid w:val="008D4FC0"/>
    <w:rsid w:val="008D5047"/>
    <w:rsid w:val="008D51E8"/>
    <w:rsid w:val="008D5310"/>
    <w:rsid w:val="008D5A5E"/>
    <w:rsid w:val="008D5B29"/>
    <w:rsid w:val="008D5BCA"/>
    <w:rsid w:val="008D5C8C"/>
    <w:rsid w:val="008D5FBA"/>
    <w:rsid w:val="008D6032"/>
    <w:rsid w:val="008D60B0"/>
    <w:rsid w:val="008D61A1"/>
    <w:rsid w:val="008D6925"/>
    <w:rsid w:val="008D6A3C"/>
    <w:rsid w:val="008D6ACA"/>
    <w:rsid w:val="008D6E41"/>
    <w:rsid w:val="008D6F81"/>
    <w:rsid w:val="008D6FC8"/>
    <w:rsid w:val="008D7317"/>
    <w:rsid w:val="008D755E"/>
    <w:rsid w:val="008D7EF4"/>
    <w:rsid w:val="008D7F30"/>
    <w:rsid w:val="008E01A4"/>
    <w:rsid w:val="008E038B"/>
    <w:rsid w:val="008E04DD"/>
    <w:rsid w:val="008E090E"/>
    <w:rsid w:val="008E0BF1"/>
    <w:rsid w:val="008E0CAE"/>
    <w:rsid w:val="008E0D11"/>
    <w:rsid w:val="008E0E56"/>
    <w:rsid w:val="008E0FF1"/>
    <w:rsid w:val="008E1124"/>
    <w:rsid w:val="008E15D7"/>
    <w:rsid w:val="008E1611"/>
    <w:rsid w:val="008E1744"/>
    <w:rsid w:val="008E1F89"/>
    <w:rsid w:val="008E2427"/>
    <w:rsid w:val="008E28BD"/>
    <w:rsid w:val="008E290A"/>
    <w:rsid w:val="008E29B0"/>
    <w:rsid w:val="008E2C0C"/>
    <w:rsid w:val="008E2C6C"/>
    <w:rsid w:val="008E2C81"/>
    <w:rsid w:val="008E2DEE"/>
    <w:rsid w:val="008E2E9F"/>
    <w:rsid w:val="008E3205"/>
    <w:rsid w:val="008E3396"/>
    <w:rsid w:val="008E3397"/>
    <w:rsid w:val="008E391B"/>
    <w:rsid w:val="008E3938"/>
    <w:rsid w:val="008E395C"/>
    <w:rsid w:val="008E3AA0"/>
    <w:rsid w:val="008E3AA3"/>
    <w:rsid w:val="008E3B3D"/>
    <w:rsid w:val="008E3C28"/>
    <w:rsid w:val="008E3C63"/>
    <w:rsid w:val="008E3C7A"/>
    <w:rsid w:val="008E3EEE"/>
    <w:rsid w:val="008E3F59"/>
    <w:rsid w:val="008E40CE"/>
    <w:rsid w:val="008E4192"/>
    <w:rsid w:val="008E483B"/>
    <w:rsid w:val="008E4AFF"/>
    <w:rsid w:val="008E50C2"/>
    <w:rsid w:val="008E5164"/>
    <w:rsid w:val="008E5351"/>
    <w:rsid w:val="008E54D9"/>
    <w:rsid w:val="008E54DE"/>
    <w:rsid w:val="008E5724"/>
    <w:rsid w:val="008E59C4"/>
    <w:rsid w:val="008E5F89"/>
    <w:rsid w:val="008E60C0"/>
    <w:rsid w:val="008E610F"/>
    <w:rsid w:val="008E61A7"/>
    <w:rsid w:val="008E639A"/>
    <w:rsid w:val="008E64CE"/>
    <w:rsid w:val="008E64E5"/>
    <w:rsid w:val="008E6873"/>
    <w:rsid w:val="008E6B7D"/>
    <w:rsid w:val="008E6BB0"/>
    <w:rsid w:val="008E6BC8"/>
    <w:rsid w:val="008E6E9C"/>
    <w:rsid w:val="008E6F07"/>
    <w:rsid w:val="008E6F81"/>
    <w:rsid w:val="008E70B7"/>
    <w:rsid w:val="008E72FC"/>
    <w:rsid w:val="008E746B"/>
    <w:rsid w:val="008E784A"/>
    <w:rsid w:val="008E791C"/>
    <w:rsid w:val="008E7EFC"/>
    <w:rsid w:val="008E7F17"/>
    <w:rsid w:val="008F0722"/>
    <w:rsid w:val="008F0A1C"/>
    <w:rsid w:val="008F1201"/>
    <w:rsid w:val="008F1654"/>
    <w:rsid w:val="008F1858"/>
    <w:rsid w:val="008F1937"/>
    <w:rsid w:val="008F1B31"/>
    <w:rsid w:val="008F1DE2"/>
    <w:rsid w:val="008F1FC2"/>
    <w:rsid w:val="008F1FC6"/>
    <w:rsid w:val="008F262A"/>
    <w:rsid w:val="008F262D"/>
    <w:rsid w:val="008F26B5"/>
    <w:rsid w:val="008F26FF"/>
    <w:rsid w:val="008F27A8"/>
    <w:rsid w:val="008F288A"/>
    <w:rsid w:val="008F29BD"/>
    <w:rsid w:val="008F29C1"/>
    <w:rsid w:val="008F2B27"/>
    <w:rsid w:val="008F3485"/>
    <w:rsid w:val="008F3BAA"/>
    <w:rsid w:val="008F3D7E"/>
    <w:rsid w:val="008F3E09"/>
    <w:rsid w:val="008F40AA"/>
    <w:rsid w:val="008F40F9"/>
    <w:rsid w:val="008F42C8"/>
    <w:rsid w:val="008F4694"/>
    <w:rsid w:val="008F479B"/>
    <w:rsid w:val="008F4F35"/>
    <w:rsid w:val="008F536A"/>
    <w:rsid w:val="008F5613"/>
    <w:rsid w:val="008F562F"/>
    <w:rsid w:val="008F56A4"/>
    <w:rsid w:val="008F58F9"/>
    <w:rsid w:val="008F5AC0"/>
    <w:rsid w:val="008F5D07"/>
    <w:rsid w:val="008F5DDF"/>
    <w:rsid w:val="008F6115"/>
    <w:rsid w:val="008F63F3"/>
    <w:rsid w:val="008F6987"/>
    <w:rsid w:val="008F6993"/>
    <w:rsid w:val="008F6B98"/>
    <w:rsid w:val="008F6F4B"/>
    <w:rsid w:val="008F6FA3"/>
    <w:rsid w:val="008F7026"/>
    <w:rsid w:val="008F72F1"/>
    <w:rsid w:val="008F74E2"/>
    <w:rsid w:val="008F7680"/>
    <w:rsid w:val="008F76E2"/>
    <w:rsid w:val="008F781B"/>
    <w:rsid w:val="008F7E1F"/>
    <w:rsid w:val="008FD6AE"/>
    <w:rsid w:val="009000DE"/>
    <w:rsid w:val="009007E4"/>
    <w:rsid w:val="00900AE3"/>
    <w:rsid w:val="00900B51"/>
    <w:rsid w:val="00900C54"/>
    <w:rsid w:val="0090104D"/>
    <w:rsid w:val="009011C5"/>
    <w:rsid w:val="0090125B"/>
    <w:rsid w:val="0090140D"/>
    <w:rsid w:val="009017DB"/>
    <w:rsid w:val="009018CF"/>
    <w:rsid w:val="00901932"/>
    <w:rsid w:val="00901D79"/>
    <w:rsid w:val="00901DBA"/>
    <w:rsid w:val="00901F5F"/>
    <w:rsid w:val="00901F93"/>
    <w:rsid w:val="0090219C"/>
    <w:rsid w:val="0090220A"/>
    <w:rsid w:val="0090226E"/>
    <w:rsid w:val="009022F4"/>
    <w:rsid w:val="009023CB"/>
    <w:rsid w:val="00902700"/>
    <w:rsid w:val="00902964"/>
    <w:rsid w:val="00902B04"/>
    <w:rsid w:val="00902C61"/>
    <w:rsid w:val="00903045"/>
    <w:rsid w:val="00903220"/>
    <w:rsid w:val="009035A4"/>
    <w:rsid w:val="009035CE"/>
    <w:rsid w:val="00903795"/>
    <w:rsid w:val="009038C1"/>
    <w:rsid w:val="00903E39"/>
    <w:rsid w:val="009041AB"/>
    <w:rsid w:val="00904237"/>
    <w:rsid w:val="00904361"/>
    <w:rsid w:val="009045BD"/>
    <w:rsid w:val="0090481F"/>
    <w:rsid w:val="00904D48"/>
    <w:rsid w:val="00904EE8"/>
    <w:rsid w:val="009051EF"/>
    <w:rsid w:val="00905473"/>
    <w:rsid w:val="009054A6"/>
    <w:rsid w:val="00905615"/>
    <w:rsid w:val="009056B3"/>
    <w:rsid w:val="009058B5"/>
    <w:rsid w:val="00905AC0"/>
    <w:rsid w:val="00905C44"/>
    <w:rsid w:val="00905C99"/>
    <w:rsid w:val="00905DD6"/>
    <w:rsid w:val="009063FD"/>
    <w:rsid w:val="009067C5"/>
    <w:rsid w:val="009068CF"/>
    <w:rsid w:val="00906944"/>
    <w:rsid w:val="00906A25"/>
    <w:rsid w:val="00906AFD"/>
    <w:rsid w:val="00906CFD"/>
    <w:rsid w:val="00907080"/>
    <w:rsid w:val="00907316"/>
    <w:rsid w:val="00907340"/>
    <w:rsid w:val="00907449"/>
    <w:rsid w:val="00907679"/>
    <w:rsid w:val="009076FA"/>
    <w:rsid w:val="00907774"/>
    <w:rsid w:val="00907828"/>
    <w:rsid w:val="009078E6"/>
    <w:rsid w:val="00907F36"/>
    <w:rsid w:val="00907F9D"/>
    <w:rsid w:val="00907FAA"/>
    <w:rsid w:val="00907FC0"/>
    <w:rsid w:val="0091007C"/>
    <w:rsid w:val="00910275"/>
    <w:rsid w:val="009105B3"/>
    <w:rsid w:val="00910654"/>
    <w:rsid w:val="00910796"/>
    <w:rsid w:val="00910812"/>
    <w:rsid w:val="00910896"/>
    <w:rsid w:val="009108D2"/>
    <w:rsid w:val="009108DA"/>
    <w:rsid w:val="00910989"/>
    <w:rsid w:val="00910EAC"/>
    <w:rsid w:val="00910EE1"/>
    <w:rsid w:val="00911642"/>
    <w:rsid w:val="009118F1"/>
    <w:rsid w:val="00911B3D"/>
    <w:rsid w:val="00911C5A"/>
    <w:rsid w:val="00911CE2"/>
    <w:rsid w:val="00911D93"/>
    <w:rsid w:val="00911E41"/>
    <w:rsid w:val="00911FC9"/>
    <w:rsid w:val="0091207B"/>
    <w:rsid w:val="009121CB"/>
    <w:rsid w:val="00912982"/>
    <w:rsid w:val="00912B86"/>
    <w:rsid w:val="00912BB9"/>
    <w:rsid w:val="00912CBB"/>
    <w:rsid w:val="00913156"/>
    <w:rsid w:val="0091335C"/>
    <w:rsid w:val="00913631"/>
    <w:rsid w:val="0091375D"/>
    <w:rsid w:val="009137F2"/>
    <w:rsid w:val="00913926"/>
    <w:rsid w:val="009139DD"/>
    <w:rsid w:val="00913B2F"/>
    <w:rsid w:val="00913B85"/>
    <w:rsid w:val="00913BD5"/>
    <w:rsid w:val="00913C5E"/>
    <w:rsid w:val="00913E38"/>
    <w:rsid w:val="009142F7"/>
    <w:rsid w:val="00914532"/>
    <w:rsid w:val="00914533"/>
    <w:rsid w:val="009145AC"/>
    <w:rsid w:val="00914968"/>
    <w:rsid w:val="00914B40"/>
    <w:rsid w:val="00914E52"/>
    <w:rsid w:val="00914E59"/>
    <w:rsid w:val="00914F16"/>
    <w:rsid w:val="0091500A"/>
    <w:rsid w:val="0091518F"/>
    <w:rsid w:val="009159AD"/>
    <w:rsid w:val="00915A9C"/>
    <w:rsid w:val="00915CA0"/>
    <w:rsid w:val="00915D92"/>
    <w:rsid w:val="00916756"/>
    <w:rsid w:val="00916BFC"/>
    <w:rsid w:val="00916EF6"/>
    <w:rsid w:val="00916F93"/>
    <w:rsid w:val="009170FB"/>
    <w:rsid w:val="00917335"/>
    <w:rsid w:val="009173CA"/>
    <w:rsid w:val="009175E3"/>
    <w:rsid w:val="009177A0"/>
    <w:rsid w:val="00917AD9"/>
    <w:rsid w:val="00917C00"/>
    <w:rsid w:val="00917DD7"/>
    <w:rsid w:val="00917E26"/>
    <w:rsid w:val="009201B0"/>
    <w:rsid w:val="0092038F"/>
    <w:rsid w:val="009203C9"/>
    <w:rsid w:val="0092046F"/>
    <w:rsid w:val="00920641"/>
    <w:rsid w:val="00920666"/>
    <w:rsid w:val="00920AE9"/>
    <w:rsid w:val="00920DEE"/>
    <w:rsid w:val="00920DEF"/>
    <w:rsid w:val="00920EA9"/>
    <w:rsid w:val="00920FF1"/>
    <w:rsid w:val="0092122A"/>
    <w:rsid w:val="00921236"/>
    <w:rsid w:val="00921800"/>
    <w:rsid w:val="00921A5A"/>
    <w:rsid w:val="00922250"/>
    <w:rsid w:val="009222C0"/>
    <w:rsid w:val="0092235C"/>
    <w:rsid w:val="009223FB"/>
    <w:rsid w:val="00922955"/>
    <w:rsid w:val="00922B8B"/>
    <w:rsid w:val="00923251"/>
    <w:rsid w:val="0092326A"/>
    <w:rsid w:val="00923429"/>
    <w:rsid w:val="009234E5"/>
    <w:rsid w:val="009235A3"/>
    <w:rsid w:val="00923816"/>
    <w:rsid w:val="0092389A"/>
    <w:rsid w:val="00923AED"/>
    <w:rsid w:val="00923BF9"/>
    <w:rsid w:val="00923F8A"/>
    <w:rsid w:val="009240BD"/>
    <w:rsid w:val="00924AC6"/>
    <w:rsid w:val="00924EC8"/>
    <w:rsid w:val="00924FEC"/>
    <w:rsid w:val="00925012"/>
    <w:rsid w:val="009254F2"/>
    <w:rsid w:val="009257C2"/>
    <w:rsid w:val="00925A29"/>
    <w:rsid w:val="00926214"/>
    <w:rsid w:val="0092682A"/>
    <w:rsid w:val="00926851"/>
    <w:rsid w:val="00926941"/>
    <w:rsid w:val="00926B07"/>
    <w:rsid w:val="00926B76"/>
    <w:rsid w:val="00926EA0"/>
    <w:rsid w:val="00926EAC"/>
    <w:rsid w:val="00926F39"/>
    <w:rsid w:val="00927155"/>
    <w:rsid w:val="0092735B"/>
    <w:rsid w:val="009273DD"/>
    <w:rsid w:val="009274BB"/>
    <w:rsid w:val="00927854"/>
    <w:rsid w:val="00927A33"/>
    <w:rsid w:val="00927BCE"/>
    <w:rsid w:val="009302F3"/>
    <w:rsid w:val="0093038C"/>
    <w:rsid w:val="00930602"/>
    <w:rsid w:val="009306E5"/>
    <w:rsid w:val="00930703"/>
    <w:rsid w:val="009309C4"/>
    <w:rsid w:val="00930B64"/>
    <w:rsid w:val="00930D5D"/>
    <w:rsid w:val="00930DC1"/>
    <w:rsid w:val="00930DE0"/>
    <w:rsid w:val="00930E5B"/>
    <w:rsid w:val="00930EED"/>
    <w:rsid w:val="00930F29"/>
    <w:rsid w:val="00930F86"/>
    <w:rsid w:val="009310FC"/>
    <w:rsid w:val="00931517"/>
    <w:rsid w:val="0093155F"/>
    <w:rsid w:val="009317D8"/>
    <w:rsid w:val="00931812"/>
    <w:rsid w:val="0093194E"/>
    <w:rsid w:val="00931A84"/>
    <w:rsid w:val="00931D5B"/>
    <w:rsid w:val="00931EA0"/>
    <w:rsid w:val="00931F09"/>
    <w:rsid w:val="00931F9F"/>
    <w:rsid w:val="00932052"/>
    <w:rsid w:val="009321AB"/>
    <w:rsid w:val="0093221F"/>
    <w:rsid w:val="00932575"/>
    <w:rsid w:val="00932997"/>
    <w:rsid w:val="00932A47"/>
    <w:rsid w:val="00932ABF"/>
    <w:rsid w:val="00932AE6"/>
    <w:rsid w:val="00932D1B"/>
    <w:rsid w:val="00932F68"/>
    <w:rsid w:val="00932F69"/>
    <w:rsid w:val="009331A0"/>
    <w:rsid w:val="00933201"/>
    <w:rsid w:val="009333B9"/>
    <w:rsid w:val="00933438"/>
    <w:rsid w:val="009337EF"/>
    <w:rsid w:val="00933B62"/>
    <w:rsid w:val="00933B92"/>
    <w:rsid w:val="00933C20"/>
    <w:rsid w:val="00933D3F"/>
    <w:rsid w:val="00933DEA"/>
    <w:rsid w:val="00933F20"/>
    <w:rsid w:val="00933F93"/>
    <w:rsid w:val="00934074"/>
    <w:rsid w:val="00934115"/>
    <w:rsid w:val="0093413C"/>
    <w:rsid w:val="00934152"/>
    <w:rsid w:val="0093464B"/>
    <w:rsid w:val="00934776"/>
    <w:rsid w:val="00934B44"/>
    <w:rsid w:val="00935A28"/>
    <w:rsid w:val="00935A80"/>
    <w:rsid w:val="00935C1E"/>
    <w:rsid w:val="00935DBF"/>
    <w:rsid w:val="009368A7"/>
    <w:rsid w:val="00936DEB"/>
    <w:rsid w:val="00936E4C"/>
    <w:rsid w:val="00937011"/>
    <w:rsid w:val="00937117"/>
    <w:rsid w:val="00937144"/>
    <w:rsid w:val="009372F1"/>
    <w:rsid w:val="0093736E"/>
    <w:rsid w:val="00937463"/>
    <w:rsid w:val="009375DF"/>
    <w:rsid w:val="00937868"/>
    <w:rsid w:val="00937912"/>
    <w:rsid w:val="00937B9B"/>
    <w:rsid w:val="00937C30"/>
    <w:rsid w:val="00937C43"/>
    <w:rsid w:val="00937D12"/>
    <w:rsid w:val="00937FFA"/>
    <w:rsid w:val="00940073"/>
    <w:rsid w:val="0094017E"/>
    <w:rsid w:val="00940313"/>
    <w:rsid w:val="00940523"/>
    <w:rsid w:val="00940661"/>
    <w:rsid w:val="009406B8"/>
    <w:rsid w:val="009406D4"/>
    <w:rsid w:val="0094079D"/>
    <w:rsid w:val="009407E7"/>
    <w:rsid w:val="00940954"/>
    <w:rsid w:val="00940C3A"/>
    <w:rsid w:val="00940CF1"/>
    <w:rsid w:val="00940EDE"/>
    <w:rsid w:val="009412C0"/>
    <w:rsid w:val="009414E0"/>
    <w:rsid w:val="009415FC"/>
    <w:rsid w:val="009416A9"/>
    <w:rsid w:val="00941939"/>
    <w:rsid w:val="00941A6E"/>
    <w:rsid w:val="00941BD0"/>
    <w:rsid w:val="00941D06"/>
    <w:rsid w:val="00941F2E"/>
    <w:rsid w:val="009420DB"/>
    <w:rsid w:val="009426F8"/>
    <w:rsid w:val="00942723"/>
    <w:rsid w:val="00942805"/>
    <w:rsid w:val="0094312C"/>
    <w:rsid w:val="009432DC"/>
    <w:rsid w:val="009433AC"/>
    <w:rsid w:val="00943959"/>
    <w:rsid w:val="00943A76"/>
    <w:rsid w:val="00943ABF"/>
    <w:rsid w:val="00943D73"/>
    <w:rsid w:val="00943E13"/>
    <w:rsid w:val="00943EC4"/>
    <w:rsid w:val="009440B1"/>
    <w:rsid w:val="009445AE"/>
    <w:rsid w:val="00944B0A"/>
    <w:rsid w:val="00944B73"/>
    <w:rsid w:val="00944C4C"/>
    <w:rsid w:val="00944E72"/>
    <w:rsid w:val="00944EA0"/>
    <w:rsid w:val="00944F23"/>
    <w:rsid w:val="009450FC"/>
    <w:rsid w:val="00945508"/>
    <w:rsid w:val="00945611"/>
    <w:rsid w:val="0094576F"/>
    <w:rsid w:val="009457CF"/>
    <w:rsid w:val="009459C1"/>
    <w:rsid w:val="00945A0B"/>
    <w:rsid w:val="00945D62"/>
    <w:rsid w:val="009460BB"/>
    <w:rsid w:val="009465DC"/>
    <w:rsid w:val="00946904"/>
    <w:rsid w:val="00946B7F"/>
    <w:rsid w:val="00946D26"/>
    <w:rsid w:val="00946DAF"/>
    <w:rsid w:val="00946E2B"/>
    <w:rsid w:val="00946EBB"/>
    <w:rsid w:val="00947112"/>
    <w:rsid w:val="00947451"/>
    <w:rsid w:val="00947543"/>
    <w:rsid w:val="00947BE2"/>
    <w:rsid w:val="00947CB5"/>
    <w:rsid w:val="00947F7F"/>
    <w:rsid w:val="0095010E"/>
    <w:rsid w:val="0095031B"/>
    <w:rsid w:val="009507AD"/>
    <w:rsid w:val="009507C0"/>
    <w:rsid w:val="009507DF"/>
    <w:rsid w:val="00950829"/>
    <w:rsid w:val="00950916"/>
    <w:rsid w:val="00950ABD"/>
    <w:rsid w:val="00950AFF"/>
    <w:rsid w:val="00951254"/>
    <w:rsid w:val="0095127A"/>
    <w:rsid w:val="00951329"/>
    <w:rsid w:val="009513D9"/>
    <w:rsid w:val="00951581"/>
    <w:rsid w:val="009515A5"/>
    <w:rsid w:val="0095176C"/>
    <w:rsid w:val="009517DF"/>
    <w:rsid w:val="00951919"/>
    <w:rsid w:val="0095199D"/>
    <w:rsid w:val="00951ACD"/>
    <w:rsid w:val="00951C17"/>
    <w:rsid w:val="00951EA2"/>
    <w:rsid w:val="00952371"/>
    <w:rsid w:val="009524B4"/>
    <w:rsid w:val="00952B06"/>
    <w:rsid w:val="00952B91"/>
    <w:rsid w:val="00952B9E"/>
    <w:rsid w:val="00952C9D"/>
    <w:rsid w:val="00952EED"/>
    <w:rsid w:val="0095311F"/>
    <w:rsid w:val="009531AA"/>
    <w:rsid w:val="0095328C"/>
    <w:rsid w:val="0095378F"/>
    <w:rsid w:val="00953888"/>
    <w:rsid w:val="009538CA"/>
    <w:rsid w:val="00953A07"/>
    <w:rsid w:val="00953AD9"/>
    <w:rsid w:val="00953E3C"/>
    <w:rsid w:val="00953FFD"/>
    <w:rsid w:val="00954076"/>
    <w:rsid w:val="00954142"/>
    <w:rsid w:val="00954148"/>
    <w:rsid w:val="00954371"/>
    <w:rsid w:val="00954393"/>
    <w:rsid w:val="009544AE"/>
    <w:rsid w:val="0095457E"/>
    <w:rsid w:val="0095466C"/>
    <w:rsid w:val="00954686"/>
    <w:rsid w:val="009546C8"/>
    <w:rsid w:val="009548EA"/>
    <w:rsid w:val="0095490D"/>
    <w:rsid w:val="0095494F"/>
    <w:rsid w:val="00954C44"/>
    <w:rsid w:val="00954CE8"/>
    <w:rsid w:val="00954D05"/>
    <w:rsid w:val="0095561B"/>
    <w:rsid w:val="00955895"/>
    <w:rsid w:val="009558E3"/>
    <w:rsid w:val="00955920"/>
    <w:rsid w:val="009559FB"/>
    <w:rsid w:val="00955A53"/>
    <w:rsid w:val="00955EE5"/>
    <w:rsid w:val="0095611B"/>
    <w:rsid w:val="00956209"/>
    <w:rsid w:val="0095637E"/>
    <w:rsid w:val="009565FB"/>
    <w:rsid w:val="00956748"/>
    <w:rsid w:val="00956773"/>
    <w:rsid w:val="00956A98"/>
    <w:rsid w:val="00956E23"/>
    <w:rsid w:val="00956E6A"/>
    <w:rsid w:val="00956FA3"/>
    <w:rsid w:val="009572C7"/>
    <w:rsid w:val="009574A0"/>
    <w:rsid w:val="00957658"/>
    <w:rsid w:val="00957671"/>
    <w:rsid w:val="00957760"/>
    <w:rsid w:val="00957A62"/>
    <w:rsid w:val="00957D59"/>
    <w:rsid w:val="009600C1"/>
    <w:rsid w:val="009602F5"/>
    <w:rsid w:val="00960523"/>
    <w:rsid w:val="009607AD"/>
    <w:rsid w:val="00960A2E"/>
    <w:rsid w:val="00960AA3"/>
    <w:rsid w:val="00960B67"/>
    <w:rsid w:val="00960F7C"/>
    <w:rsid w:val="00960FAC"/>
    <w:rsid w:val="009611C3"/>
    <w:rsid w:val="00961246"/>
    <w:rsid w:val="0096136A"/>
    <w:rsid w:val="00961840"/>
    <w:rsid w:val="00961AB1"/>
    <w:rsid w:val="00961BE1"/>
    <w:rsid w:val="00961C11"/>
    <w:rsid w:val="00961D1F"/>
    <w:rsid w:val="0096213F"/>
    <w:rsid w:val="0096215D"/>
    <w:rsid w:val="009621A3"/>
    <w:rsid w:val="009621AC"/>
    <w:rsid w:val="0096240E"/>
    <w:rsid w:val="009625ED"/>
    <w:rsid w:val="0096268E"/>
    <w:rsid w:val="00962776"/>
    <w:rsid w:val="009629D0"/>
    <w:rsid w:val="00962C4C"/>
    <w:rsid w:val="00962F87"/>
    <w:rsid w:val="00963103"/>
    <w:rsid w:val="00963319"/>
    <w:rsid w:val="009633A0"/>
    <w:rsid w:val="00963464"/>
    <w:rsid w:val="0096383C"/>
    <w:rsid w:val="009638A4"/>
    <w:rsid w:val="00963A91"/>
    <w:rsid w:val="00963CE4"/>
    <w:rsid w:val="00963D2E"/>
    <w:rsid w:val="00963F5C"/>
    <w:rsid w:val="009644CD"/>
    <w:rsid w:val="00964533"/>
    <w:rsid w:val="009645B8"/>
    <w:rsid w:val="009648E2"/>
    <w:rsid w:val="00964E73"/>
    <w:rsid w:val="00964F38"/>
    <w:rsid w:val="0096587F"/>
    <w:rsid w:val="009658B4"/>
    <w:rsid w:val="00965A0D"/>
    <w:rsid w:val="00965BF6"/>
    <w:rsid w:val="00965D48"/>
    <w:rsid w:val="00965D90"/>
    <w:rsid w:val="00965DCC"/>
    <w:rsid w:val="00965EE8"/>
    <w:rsid w:val="00965F0C"/>
    <w:rsid w:val="00965FC5"/>
    <w:rsid w:val="0096626E"/>
    <w:rsid w:val="0096652B"/>
    <w:rsid w:val="00966661"/>
    <w:rsid w:val="00966B4F"/>
    <w:rsid w:val="00966BF8"/>
    <w:rsid w:val="009670E3"/>
    <w:rsid w:val="009672AB"/>
    <w:rsid w:val="00967527"/>
    <w:rsid w:val="00967545"/>
    <w:rsid w:val="009677B3"/>
    <w:rsid w:val="0096786D"/>
    <w:rsid w:val="009679DE"/>
    <w:rsid w:val="00967CF9"/>
    <w:rsid w:val="00967E5D"/>
    <w:rsid w:val="00967E71"/>
    <w:rsid w:val="00970279"/>
    <w:rsid w:val="00970354"/>
    <w:rsid w:val="00970591"/>
    <w:rsid w:val="009705D7"/>
    <w:rsid w:val="0097092E"/>
    <w:rsid w:val="00970942"/>
    <w:rsid w:val="00970997"/>
    <w:rsid w:val="009709A6"/>
    <w:rsid w:val="00970B09"/>
    <w:rsid w:val="00970BFC"/>
    <w:rsid w:val="00970E44"/>
    <w:rsid w:val="00970F0B"/>
    <w:rsid w:val="009711E5"/>
    <w:rsid w:val="00971250"/>
    <w:rsid w:val="009712AF"/>
    <w:rsid w:val="0097142B"/>
    <w:rsid w:val="009715C1"/>
    <w:rsid w:val="00971603"/>
    <w:rsid w:val="00971655"/>
    <w:rsid w:val="0097180E"/>
    <w:rsid w:val="0097184E"/>
    <w:rsid w:val="00971B65"/>
    <w:rsid w:val="00971FE8"/>
    <w:rsid w:val="00972054"/>
    <w:rsid w:val="009723CD"/>
    <w:rsid w:val="00972A74"/>
    <w:rsid w:val="00973003"/>
    <w:rsid w:val="00973090"/>
    <w:rsid w:val="00973525"/>
    <w:rsid w:val="0097352E"/>
    <w:rsid w:val="00973755"/>
    <w:rsid w:val="00973BFB"/>
    <w:rsid w:val="00973D69"/>
    <w:rsid w:val="00973D7A"/>
    <w:rsid w:val="00974032"/>
    <w:rsid w:val="00974045"/>
    <w:rsid w:val="009741DE"/>
    <w:rsid w:val="00974212"/>
    <w:rsid w:val="00974654"/>
    <w:rsid w:val="00974911"/>
    <w:rsid w:val="00974933"/>
    <w:rsid w:val="00974AD1"/>
    <w:rsid w:val="00974DA0"/>
    <w:rsid w:val="00975013"/>
    <w:rsid w:val="009750EF"/>
    <w:rsid w:val="00975322"/>
    <w:rsid w:val="00975374"/>
    <w:rsid w:val="00975729"/>
    <w:rsid w:val="009757DA"/>
    <w:rsid w:val="0097593D"/>
    <w:rsid w:val="00975B1B"/>
    <w:rsid w:val="00975BF3"/>
    <w:rsid w:val="00975C81"/>
    <w:rsid w:val="00975D15"/>
    <w:rsid w:val="00975E16"/>
    <w:rsid w:val="00975E43"/>
    <w:rsid w:val="00975ED4"/>
    <w:rsid w:val="00975FAF"/>
    <w:rsid w:val="00975FF5"/>
    <w:rsid w:val="009762CD"/>
    <w:rsid w:val="009764C9"/>
    <w:rsid w:val="009764D8"/>
    <w:rsid w:val="00976545"/>
    <w:rsid w:val="009765EF"/>
    <w:rsid w:val="0097669D"/>
    <w:rsid w:val="009766A0"/>
    <w:rsid w:val="00976A42"/>
    <w:rsid w:val="00976B09"/>
    <w:rsid w:val="00976B18"/>
    <w:rsid w:val="00976CC4"/>
    <w:rsid w:val="00976DCC"/>
    <w:rsid w:val="00976E75"/>
    <w:rsid w:val="00976F96"/>
    <w:rsid w:val="00977142"/>
    <w:rsid w:val="00977411"/>
    <w:rsid w:val="00977450"/>
    <w:rsid w:val="00977497"/>
    <w:rsid w:val="009779A0"/>
    <w:rsid w:val="00977BA2"/>
    <w:rsid w:val="00977CAE"/>
    <w:rsid w:val="00977CF1"/>
    <w:rsid w:val="00977FF8"/>
    <w:rsid w:val="00980122"/>
    <w:rsid w:val="009804DD"/>
    <w:rsid w:val="009805A8"/>
    <w:rsid w:val="00980873"/>
    <w:rsid w:val="009809BE"/>
    <w:rsid w:val="00980AA1"/>
    <w:rsid w:val="00980B1A"/>
    <w:rsid w:val="00980D73"/>
    <w:rsid w:val="00981048"/>
    <w:rsid w:val="009810D4"/>
    <w:rsid w:val="0098125E"/>
    <w:rsid w:val="00981282"/>
    <w:rsid w:val="0098159F"/>
    <w:rsid w:val="00981686"/>
    <w:rsid w:val="009819E5"/>
    <w:rsid w:val="00981AE6"/>
    <w:rsid w:val="0098200A"/>
    <w:rsid w:val="00982014"/>
    <w:rsid w:val="009821DB"/>
    <w:rsid w:val="009822B8"/>
    <w:rsid w:val="009823DB"/>
    <w:rsid w:val="009824C0"/>
    <w:rsid w:val="00982D4D"/>
    <w:rsid w:val="00982F5E"/>
    <w:rsid w:val="00983273"/>
    <w:rsid w:val="009832A6"/>
    <w:rsid w:val="009832D9"/>
    <w:rsid w:val="0098335F"/>
    <w:rsid w:val="00983490"/>
    <w:rsid w:val="00983ADA"/>
    <w:rsid w:val="00983D33"/>
    <w:rsid w:val="009840B7"/>
    <w:rsid w:val="00984134"/>
    <w:rsid w:val="00984275"/>
    <w:rsid w:val="009842B7"/>
    <w:rsid w:val="00984389"/>
    <w:rsid w:val="00984972"/>
    <w:rsid w:val="00984982"/>
    <w:rsid w:val="00984B8F"/>
    <w:rsid w:val="00984F59"/>
    <w:rsid w:val="009850D6"/>
    <w:rsid w:val="00985198"/>
    <w:rsid w:val="00985379"/>
    <w:rsid w:val="00985CD7"/>
    <w:rsid w:val="00985F03"/>
    <w:rsid w:val="009860FD"/>
    <w:rsid w:val="009861B4"/>
    <w:rsid w:val="0098632C"/>
    <w:rsid w:val="009865D8"/>
    <w:rsid w:val="00986605"/>
    <w:rsid w:val="00986A22"/>
    <w:rsid w:val="00986AFC"/>
    <w:rsid w:val="00986CE9"/>
    <w:rsid w:val="00986F2D"/>
    <w:rsid w:val="0098749D"/>
    <w:rsid w:val="009875AA"/>
    <w:rsid w:val="00987821"/>
    <w:rsid w:val="009878A2"/>
    <w:rsid w:val="009878BB"/>
    <w:rsid w:val="00987906"/>
    <w:rsid w:val="00987919"/>
    <w:rsid w:val="00987CAC"/>
    <w:rsid w:val="0099036C"/>
    <w:rsid w:val="0099054B"/>
    <w:rsid w:val="009907C8"/>
    <w:rsid w:val="009908FD"/>
    <w:rsid w:val="00990A9A"/>
    <w:rsid w:val="00990C1B"/>
    <w:rsid w:val="00990D50"/>
    <w:rsid w:val="009911AE"/>
    <w:rsid w:val="0099133B"/>
    <w:rsid w:val="009915C7"/>
    <w:rsid w:val="0099165F"/>
    <w:rsid w:val="009919A9"/>
    <w:rsid w:val="009919F2"/>
    <w:rsid w:val="00991A2F"/>
    <w:rsid w:val="00991CBF"/>
    <w:rsid w:val="0099203D"/>
    <w:rsid w:val="009920CE"/>
    <w:rsid w:val="0099219D"/>
    <w:rsid w:val="009923FD"/>
    <w:rsid w:val="00992A00"/>
    <w:rsid w:val="00992ABB"/>
    <w:rsid w:val="00992BF0"/>
    <w:rsid w:val="00992DC2"/>
    <w:rsid w:val="009934D2"/>
    <w:rsid w:val="00993753"/>
    <w:rsid w:val="00993BE0"/>
    <w:rsid w:val="00993D19"/>
    <w:rsid w:val="0099408E"/>
    <w:rsid w:val="00994099"/>
    <w:rsid w:val="00994153"/>
    <w:rsid w:val="00994345"/>
    <w:rsid w:val="00994384"/>
    <w:rsid w:val="009943CC"/>
    <w:rsid w:val="00994484"/>
    <w:rsid w:val="0099456C"/>
    <w:rsid w:val="009946DB"/>
    <w:rsid w:val="00994795"/>
    <w:rsid w:val="009947BF"/>
    <w:rsid w:val="0099486F"/>
    <w:rsid w:val="009948FF"/>
    <w:rsid w:val="009950F1"/>
    <w:rsid w:val="0099513A"/>
    <w:rsid w:val="0099519A"/>
    <w:rsid w:val="00995235"/>
    <w:rsid w:val="0099546A"/>
    <w:rsid w:val="009954B1"/>
    <w:rsid w:val="009957ED"/>
    <w:rsid w:val="009958B3"/>
    <w:rsid w:val="009959E1"/>
    <w:rsid w:val="00995AB7"/>
    <w:rsid w:val="00995AD3"/>
    <w:rsid w:val="00995B7C"/>
    <w:rsid w:val="00995B9A"/>
    <w:rsid w:val="00995D39"/>
    <w:rsid w:val="00995E1B"/>
    <w:rsid w:val="00995E2E"/>
    <w:rsid w:val="00995E80"/>
    <w:rsid w:val="009960F4"/>
    <w:rsid w:val="00996171"/>
    <w:rsid w:val="00996534"/>
    <w:rsid w:val="009965AC"/>
    <w:rsid w:val="0099662F"/>
    <w:rsid w:val="009966F4"/>
    <w:rsid w:val="009967B9"/>
    <w:rsid w:val="00996907"/>
    <w:rsid w:val="00996BD2"/>
    <w:rsid w:val="0099713C"/>
    <w:rsid w:val="0099732F"/>
    <w:rsid w:val="009973D1"/>
    <w:rsid w:val="0099749F"/>
    <w:rsid w:val="009974BC"/>
    <w:rsid w:val="00997600"/>
    <w:rsid w:val="00997B1B"/>
    <w:rsid w:val="009A0299"/>
    <w:rsid w:val="009A0542"/>
    <w:rsid w:val="009A05E7"/>
    <w:rsid w:val="009A0754"/>
    <w:rsid w:val="009A0773"/>
    <w:rsid w:val="009A084C"/>
    <w:rsid w:val="009A089D"/>
    <w:rsid w:val="009A08B6"/>
    <w:rsid w:val="009A0A6C"/>
    <w:rsid w:val="009A0FEB"/>
    <w:rsid w:val="009A1088"/>
    <w:rsid w:val="009A1365"/>
    <w:rsid w:val="009A13AF"/>
    <w:rsid w:val="009A180E"/>
    <w:rsid w:val="009A18E0"/>
    <w:rsid w:val="009A1D2A"/>
    <w:rsid w:val="009A1D67"/>
    <w:rsid w:val="009A1DDE"/>
    <w:rsid w:val="009A1DE7"/>
    <w:rsid w:val="009A1E08"/>
    <w:rsid w:val="009A2824"/>
    <w:rsid w:val="009A2A5E"/>
    <w:rsid w:val="009A354C"/>
    <w:rsid w:val="009A3C58"/>
    <w:rsid w:val="009A3F43"/>
    <w:rsid w:val="009A41B0"/>
    <w:rsid w:val="009A4284"/>
    <w:rsid w:val="009A4378"/>
    <w:rsid w:val="009A43C8"/>
    <w:rsid w:val="009A4959"/>
    <w:rsid w:val="009A4BCE"/>
    <w:rsid w:val="009A4BDB"/>
    <w:rsid w:val="009A4C7D"/>
    <w:rsid w:val="009A4E84"/>
    <w:rsid w:val="009A51F7"/>
    <w:rsid w:val="009A57F8"/>
    <w:rsid w:val="009A593E"/>
    <w:rsid w:val="009A5BEE"/>
    <w:rsid w:val="009A5C81"/>
    <w:rsid w:val="009A608B"/>
    <w:rsid w:val="009A64F1"/>
    <w:rsid w:val="009A6657"/>
    <w:rsid w:val="009A6A17"/>
    <w:rsid w:val="009A6A79"/>
    <w:rsid w:val="009A6BBF"/>
    <w:rsid w:val="009A6E21"/>
    <w:rsid w:val="009A6F02"/>
    <w:rsid w:val="009A6F3B"/>
    <w:rsid w:val="009A7096"/>
    <w:rsid w:val="009A70C2"/>
    <w:rsid w:val="009A74C7"/>
    <w:rsid w:val="009A76EE"/>
    <w:rsid w:val="009A7778"/>
    <w:rsid w:val="009A77B9"/>
    <w:rsid w:val="009A77FE"/>
    <w:rsid w:val="009A7883"/>
    <w:rsid w:val="009A797F"/>
    <w:rsid w:val="009A79B8"/>
    <w:rsid w:val="009A7B98"/>
    <w:rsid w:val="009A7F5F"/>
    <w:rsid w:val="009A801B"/>
    <w:rsid w:val="009B0396"/>
    <w:rsid w:val="009B049E"/>
    <w:rsid w:val="009B073D"/>
    <w:rsid w:val="009B0F0B"/>
    <w:rsid w:val="009B10A8"/>
    <w:rsid w:val="009B10BA"/>
    <w:rsid w:val="009B10FF"/>
    <w:rsid w:val="009B138B"/>
    <w:rsid w:val="009B1549"/>
    <w:rsid w:val="009B1739"/>
    <w:rsid w:val="009B1A04"/>
    <w:rsid w:val="009B1B38"/>
    <w:rsid w:val="009B1CFB"/>
    <w:rsid w:val="009B1D06"/>
    <w:rsid w:val="009B1ECD"/>
    <w:rsid w:val="009B268A"/>
    <w:rsid w:val="009B287C"/>
    <w:rsid w:val="009B294C"/>
    <w:rsid w:val="009B29CB"/>
    <w:rsid w:val="009B2D4B"/>
    <w:rsid w:val="009B2D78"/>
    <w:rsid w:val="009B2DBD"/>
    <w:rsid w:val="009B329A"/>
    <w:rsid w:val="009B3394"/>
    <w:rsid w:val="009B35D5"/>
    <w:rsid w:val="009B3695"/>
    <w:rsid w:val="009B3697"/>
    <w:rsid w:val="009B3A5B"/>
    <w:rsid w:val="009B3EC2"/>
    <w:rsid w:val="009B4270"/>
    <w:rsid w:val="009B431D"/>
    <w:rsid w:val="009B436B"/>
    <w:rsid w:val="009B472D"/>
    <w:rsid w:val="009B47FA"/>
    <w:rsid w:val="009B4AE4"/>
    <w:rsid w:val="009B4D1B"/>
    <w:rsid w:val="009B4DB7"/>
    <w:rsid w:val="009B518E"/>
    <w:rsid w:val="009B566F"/>
    <w:rsid w:val="009B5B9C"/>
    <w:rsid w:val="009B5E92"/>
    <w:rsid w:val="009B60B8"/>
    <w:rsid w:val="009B64CE"/>
    <w:rsid w:val="009B68D5"/>
    <w:rsid w:val="009B696D"/>
    <w:rsid w:val="009B6F30"/>
    <w:rsid w:val="009B6F90"/>
    <w:rsid w:val="009B6FEC"/>
    <w:rsid w:val="009B6FF8"/>
    <w:rsid w:val="009B7073"/>
    <w:rsid w:val="009B7269"/>
    <w:rsid w:val="009B7327"/>
    <w:rsid w:val="009B73EF"/>
    <w:rsid w:val="009B76A1"/>
    <w:rsid w:val="009B7BFE"/>
    <w:rsid w:val="009B7C51"/>
    <w:rsid w:val="009B7D88"/>
    <w:rsid w:val="009C0216"/>
    <w:rsid w:val="009C0288"/>
    <w:rsid w:val="009C0744"/>
    <w:rsid w:val="009C094C"/>
    <w:rsid w:val="009C0C23"/>
    <w:rsid w:val="009C0C9B"/>
    <w:rsid w:val="009C0D54"/>
    <w:rsid w:val="009C0F6F"/>
    <w:rsid w:val="009C1300"/>
    <w:rsid w:val="009C1474"/>
    <w:rsid w:val="009C166C"/>
    <w:rsid w:val="009C1724"/>
    <w:rsid w:val="009C17A8"/>
    <w:rsid w:val="009C17D1"/>
    <w:rsid w:val="009C17D9"/>
    <w:rsid w:val="009C1815"/>
    <w:rsid w:val="009C185C"/>
    <w:rsid w:val="009C1F86"/>
    <w:rsid w:val="009C21DD"/>
    <w:rsid w:val="009C2212"/>
    <w:rsid w:val="009C2268"/>
    <w:rsid w:val="009C243B"/>
    <w:rsid w:val="009C2694"/>
    <w:rsid w:val="009C276E"/>
    <w:rsid w:val="009C2AB3"/>
    <w:rsid w:val="009C2DDC"/>
    <w:rsid w:val="009C2F09"/>
    <w:rsid w:val="009C3071"/>
    <w:rsid w:val="009C3102"/>
    <w:rsid w:val="009C3342"/>
    <w:rsid w:val="009C3391"/>
    <w:rsid w:val="009C33BB"/>
    <w:rsid w:val="009C34BD"/>
    <w:rsid w:val="009C3535"/>
    <w:rsid w:val="009C357E"/>
    <w:rsid w:val="009C3843"/>
    <w:rsid w:val="009C396A"/>
    <w:rsid w:val="009C3C37"/>
    <w:rsid w:val="009C3C6F"/>
    <w:rsid w:val="009C40BA"/>
    <w:rsid w:val="009C417D"/>
    <w:rsid w:val="009C42B1"/>
    <w:rsid w:val="009C46BA"/>
    <w:rsid w:val="009C4AD3"/>
    <w:rsid w:val="009C4B4E"/>
    <w:rsid w:val="009C4D28"/>
    <w:rsid w:val="009C4E49"/>
    <w:rsid w:val="009C4EA5"/>
    <w:rsid w:val="009C50E0"/>
    <w:rsid w:val="009C548C"/>
    <w:rsid w:val="009C55A6"/>
    <w:rsid w:val="009C5820"/>
    <w:rsid w:val="009C59FF"/>
    <w:rsid w:val="009C5B4F"/>
    <w:rsid w:val="009C5E0D"/>
    <w:rsid w:val="009C5FF4"/>
    <w:rsid w:val="009C605F"/>
    <w:rsid w:val="009C6081"/>
    <w:rsid w:val="009C633C"/>
    <w:rsid w:val="009C63CF"/>
    <w:rsid w:val="009C64FC"/>
    <w:rsid w:val="009C69B1"/>
    <w:rsid w:val="009C6B01"/>
    <w:rsid w:val="009C6C5F"/>
    <w:rsid w:val="009C6D41"/>
    <w:rsid w:val="009C6EBE"/>
    <w:rsid w:val="009C702C"/>
    <w:rsid w:val="009C7043"/>
    <w:rsid w:val="009C706C"/>
    <w:rsid w:val="009C7491"/>
    <w:rsid w:val="009C75F0"/>
    <w:rsid w:val="009C7988"/>
    <w:rsid w:val="009C7B23"/>
    <w:rsid w:val="009C7CDC"/>
    <w:rsid w:val="009C7D3E"/>
    <w:rsid w:val="009C7E76"/>
    <w:rsid w:val="009C7FA2"/>
    <w:rsid w:val="009D01E2"/>
    <w:rsid w:val="009D03CC"/>
    <w:rsid w:val="009D0646"/>
    <w:rsid w:val="009D0F4C"/>
    <w:rsid w:val="009D1017"/>
    <w:rsid w:val="009D1188"/>
    <w:rsid w:val="009D14A6"/>
    <w:rsid w:val="009D18AF"/>
    <w:rsid w:val="009D1A09"/>
    <w:rsid w:val="009D1AE5"/>
    <w:rsid w:val="009D1C00"/>
    <w:rsid w:val="009D1C0A"/>
    <w:rsid w:val="009D1CB0"/>
    <w:rsid w:val="009D1EF9"/>
    <w:rsid w:val="009D1F50"/>
    <w:rsid w:val="009D20DA"/>
    <w:rsid w:val="009D2146"/>
    <w:rsid w:val="009D21A0"/>
    <w:rsid w:val="009D2304"/>
    <w:rsid w:val="009D2388"/>
    <w:rsid w:val="009D2414"/>
    <w:rsid w:val="009D2422"/>
    <w:rsid w:val="009D25C6"/>
    <w:rsid w:val="009D260B"/>
    <w:rsid w:val="009D2811"/>
    <w:rsid w:val="009D2A4C"/>
    <w:rsid w:val="009D2A8D"/>
    <w:rsid w:val="009D2FFB"/>
    <w:rsid w:val="009D317F"/>
    <w:rsid w:val="009D3441"/>
    <w:rsid w:val="009D3459"/>
    <w:rsid w:val="009D3593"/>
    <w:rsid w:val="009D3661"/>
    <w:rsid w:val="009D37CD"/>
    <w:rsid w:val="009D39B5"/>
    <w:rsid w:val="009D39D1"/>
    <w:rsid w:val="009D3B26"/>
    <w:rsid w:val="009D3B6A"/>
    <w:rsid w:val="009D3D5A"/>
    <w:rsid w:val="009D3E00"/>
    <w:rsid w:val="009D3EA5"/>
    <w:rsid w:val="009D42C0"/>
    <w:rsid w:val="009D4310"/>
    <w:rsid w:val="009D453D"/>
    <w:rsid w:val="009D4813"/>
    <w:rsid w:val="009D485E"/>
    <w:rsid w:val="009D4D49"/>
    <w:rsid w:val="009D4F32"/>
    <w:rsid w:val="009D54AA"/>
    <w:rsid w:val="009D55A2"/>
    <w:rsid w:val="009D5649"/>
    <w:rsid w:val="009D57DE"/>
    <w:rsid w:val="009D5CA2"/>
    <w:rsid w:val="009D5CA6"/>
    <w:rsid w:val="009D60B6"/>
    <w:rsid w:val="009D64A8"/>
    <w:rsid w:val="009D64DB"/>
    <w:rsid w:val="009D663D"/>
    <w:rsid w:val="009D68E1"/>
    <w:rsid w:val="009D6A6C"/>
    <w:rsid w:val="009D6C12"/>
    <w:rsid w:val="009D6D92"/>
    <w:rsid w:val="009D6ED5"/>
    <w:rsid w:val="009D70DB"/>
    <w:rsid w:val="009D7286"/>
    <w:rsid w:val="009D76EB"/>
    <w:rsid w:val="009D77AE"/>
    <w:rsid w:val="009D7863"/>
    <w:rsid w:val="009D7AE2"/>
    <w:rsid w:val="009D7C32"/>
    <w:rsid w:val="009D7D51"/>
    <w:rsid w:val="009D7D75"/>
    <w:rsid w:val="009D7F57"/>
    <w:rsid w:val="009E019E"/>
    <w:rsid w:val="009E0311"/>
    <w:rsid w:val="009E0588"/>
    <w:rsid w:val="009E0754"/>
    <w:rsid w:val="009E0826"/>
    <w:rsid w:val="009E0928"/>
    <w:rsid w:val="009E0B75"/>
    <w:rsid w:val="009E0D74"/>
    <w:rsid w:val="009E0F92"/>
    <w:rsid w:val="009E1135"/>
    <w:rsid w:val="009E162E"/>
    <w:rsid w:val="009E17C4"/>
    <w:rsid w:val="009E17D3"/>
    <w:rsid w:val="009E1AD7"/>
    <w:rsid w:val="009E1E41"/>
    <w:rsid w:val="009E1EEB"/>
    <w:rsid w:val="009E1F0C"/>
    <w:rsid w:val="009E2233"/>
    <w:rsid w:val="009E2250"/>
    <w:rsid w:val="009E2274"/>
    <w:rsid w:val="009E26FD"/>
    <w:rsid w:val="009E2777"/>
    <w:rsid w:val="009E28AC"/>
    <w:rsid w:val="009E28CF"/>
    <w:rsid w:val="009E2A25"/>
    <w:rsid w:val="009E2B58"/>
    <w:rsid w:val="009E2BC1"/>
    <w:rsid w:val="009E2BFD"/>
    <w:rsid w:val="009E2C91"/>
    <w:rsid w:val="009E2E3F"/>
    <w:rsid w:val="009E306A"/>
    <w:rsid w:val="009E34A2"/>
    <w:rsid w:val="009E350B"/>
    <w:rsid w:val="009E3725"/>
    <w:rsid w:val="009E3859"/>
    <w:rsid w:val="009E39AF"/>
    <w:rsid w:val="009E3A4F"/>
    <w:rsid w:val="009E3DE1"/>
    <w:rsid w:val="009E3FDB"/>
    <w:rsid w:val="009E40B6"/>
    <w:rsid w:val="009E40E9"/>
    <w:rsid w:val="009E4304"/>
    <w:rsid w:val="009E4A5E"/>
    <w:rsid w:val="009E4B3C"/>
    <w:rsid w:val="009E4C8C"/>
    <w:rsid w:val="009E4F1D"/>
    <w:rsid w:val="009E50C9"/>
    <w:rsid w:val="009E5BFD"/>
    <w:rsid w:val="009E6045"/>
    <w:rsid w:val="009E6325"/>
    <w:rsid w:val="009E6477"/>
    <w:rsid w:val="009E6B2A"/>
    <w:rsid w:val="009E6CAF"/>
    <w:rsid w:val="009E7090"/>
    <w:rsid w:val="009E724A"/>
    <w:rsid w:val="009E737B"/>
    <w:rsid w:val="009E754F"/>
    <w:rsid w:val="009E77DB"/>
    <w:rsid w:val="009E7A09"/>
    <w:rsid w:val="009E7B2D"/>
    <w:rsid w:val="009E7C72"/>
    <w:rsid w:val="009E7CD2"/>
    <w:rsid w:val="009E7E7E"/>
    <w:rsid w:val="009E7FE3"/>
    <w:rsid w:val="009F0015"/>
    <w:rsid w:val="009F00CA"/>
    <w:rsid w:val="009F02F6"/>
    <w:rsid w:val="009F0B10"/>
    <w:rsid w:val="009F0E04"/>
    <w:rsid w:val="009F0E3C"/>
    <w:rsid w:val="009F0E56"/>
    <w:rsid w:val="009F0EA2"/>
    <w:rsid w:val="009F1102"/>
    <w:rsid w:val="009F1238"/>
    <w:rsid w:val="009F14A2"/>
    <w:rsid w:val="009F14C5"/>
    <w:rsid w:val="009F1886"/>
    <w:rsid w:val="009F19C7"/>
    <w:rsid w:val="009F1A5E"/>
    <w:rsid w:val="009F1B15"/>
    <w:rsid w:val="009F202B"/>
    <w:rsid w:val="009F2282"/>
    <w:rsid w:val="009F2430"/>
    <w:rsid w:val="009F251D"/>
    <w:rsid w:val="009F2767"/>
    <w:rsid w:val="009F2942"/>
    <w:rsid w:val="009F29E6"/>
    <w:rsid w:val="009F2AF0"/>
    <w:rsid w:val="009F2B97"/>
    <w:rsid w:val="009F2DBA"/>
    <w:rsid w:val="009F2E9F"/>
    <w:rsid w:val="009F2EE6"/>
    <w:rsid w:val="009F2F0D"/>
    <w:rsid w:val="009F2F6C"/>
    <w:rsid w:val="009F3163"/>
    <w:rsid w:val="009F31C6"/>
    <w:rsid w:val="009F33BE"/>
    <w:rsid w:val="009F389A"/>
    <w:rsid w:val="009F3A81"/>
    <w:rsid w:val="009F3A89"/>
    <w:rsid w:val="009F3D93"/>
    <w:rsid w:val="009F3E04"/>
    <w:rsid w:val="009F43F1"/>
    <w:rsid w:val="009F4972"/>
    <w:rsid w:val="009F4FCC"/>
    <w:rsid w:val="009F51A7"/>
    <w:rsid w:val="009F52DC"/>
    <w:rsid w:val="009F52FB"/>
    <w:rsid w:val="009F5335"/>
    <w:rsid w:val="009F5418"/>
    <w:rsid w:val="009F56F7"/>
    <w:rsid w:val="009F590F"/>
    <w:rsid w:val="009F5A4F"/>
    <w:rsid w:val="009F5CDF"/>
    <w:rsid w:val="009F5EC4"/>
    <w:rsid w:val="009F61B5"/>
    <w:rsid w:val="009F6354"/>
    <w:rsid w:val="009F660E"/>
    <w:rsid w:val="009F6649"/>
    <w:rsid w:val="009F6683"/>
    <w:rsid w:val="009F69FF"/>
    <w:rsid w:val="009F6A6B"/>
    <w:rsid w:val="009F6B3E"/>
    <w:rsid w:val="009F6D30"/>
    <w:rsid w:val="009F6D9A"/>
    <w:rsid w:val="009F703D"/>
    <w:rsid w:val="009F7049"/>
    <w:rsid w:val="009F7564"/>
    <w:rsid w:val="009F75C3"/>
    <w:rsid w:val="009F76EB"/>
    <w:rsid w:val="009F7940"/>
    <w:rsid w:val="009F79BD"/>
    <w:rsid w:val="009F7A79"/>
    <w:rsid w:val="009F7ABB"/>
    <w:rsid w:val="009F7B53"/>
    <w:rsid w:val="009F7D0B"/>
    <w:rsid w:val="009F7E3A"/>
    <w:rsid w:val="00A00081"/>
    <w:rsid w:val="00A00085"/>
    <w:rsid w:val="00A00774"/>
    <w:rsid w:val="00A008CB"/>
    <w:rsid w:val="00A00B24"/>
    <w:rsid w:val="00A00BF7"/>
    <w:rsid w:val="00A00D35"/>
    <w:rsid w:val="00A00E83"/>
    <w:rsid w:val="00A01003"/>
    <w:rsid w:val="00A0108C"/>
    <w:rsid w:val="00A010C1"/>
    <w:rsid w:val="00A01374"/>
    <w:rsid w:val="00A013E2"/>
    <w:rsid w:val="00A01825"/>
    <w:rsid w:val="00A01B2A"/>
    <w:rsid w:val="00A01D56"/>
    <w:rsid w:val="00A01F0B"/>
    <w:rsid w:val="00A02058"/>
    <w:rsid w:val="00A0230D"/>
    <w:rsid w:val="00A027B2"/>
    <w:rsid w:val="00A028CD"/>
    <w:rsid w:val="00A028D8"/>
    <w:rsid w:val="00A02A7D"/>
    <w:rsid w:val="00A02BBE"/>
    <w:rsid w:val="00A02E41"/>
    <w:rsid w:val="00A02F93"/>
    <w:rsid w:val="00A02FD4"/>
    <w:rsid w:val="00A02FF6"/>
    <w:rsid w:val="00A031C6"/>
    <w:rsid w:val="00A033EA"/>
    <w:rsid w:val="00A03463"/>
    <w:rsid w:val="00A0381D"/>
    <w:rsid w:val="00A03839"/>
    <w:rsid w:val="00A03853"/>
    <w:rsid w:val="00A03E88"/>
    <w:rsid w:val="00A03E98"/>
    <w:rsid w:val="00A03EB8"/>
    <w:rsid w:val="00A0400F"/>
    <w:rsid w:val="00A040E0"/>
    <w:rsid w:val="00A04488"/>
    <w:rsid w:val="00A0477F"/>
    <w:rsid w:val="00A04A51"/>
    <w:rsid w:val="00A04AE4"/>
    <w:rsid w:val="00A04D73"/>
    <w:rsid w:val="00A04DD4"/>
    <w:rsid w:val="00A04DFC"/>
    <w:rsid w:val="00A04E2F"/>
    <w:rsid w:val="00A04E93"/>
    <w:rsid w:val="00A05120"/>
    <w:rsid w:val="00A05335"/>
    <w:rsid w:val="00A0597A"/>
    <w:rsid w:val="00A05A75"/>
    <w:rsid w:val="00A05B18"/>
    <w:rsid w:val="00A05B6E"/>
    <w:rsid w:val="00A05BDF"/>
    <w:rsid w:val="00A05CE0"/>
    <w:rsid w:val="00A05F8D"/>
    <w:rsid w:val="00A063BB"/>
    <w:rsid w:val="00A064E7"/>
    <w:rsid w:val="00A06728"/>
    <w:rsid w:val="00A06929"/>
    <w:rsid w:val="00A06AF8"/>
    <w:rsid w:val="00A06B4B"/>
    <w:rsid w:val="00A06D4A"/>
    <w:rsid w:val="00A06DAB"/>
    <w:rsid w:val="00A071E7"/>
    <w:rsid w:val="00A073FA"/>
    <w:rsid w:val="00A074C0"/>
    <w:rsid w:val="00A0757F"/>
    <w:rsid w:val="00A07632"/>
    <w:rsid w:val="00A0765D"/>
    <w:rsid w:val="00A07903"/>
    <w:rsid w:val="00A07F34"/>
    <w:rsid w:val="00A1028D"/>
    <w:rsid w:val="00A10766"/>
    <w:rsid w:val="00A10795"/>
    <w:rsid w:val="00A10AF8"/>
    <w:rsid w:val="00A10B20"/>
    <w:rsid w:val="00A10D68"/>
    <w:rsid w:val="00A11320"/>
    <w:rsid w:val="00A11334"/>
    <w:rsid w:val="00A11363"/>
    <w:rsid w:val="00A11377"/>
    <w:rsid w:val="00A1157F"/>
    <w:rsid w:val="00A116CF"/>
    <w:rsid w:val="00A118AD"/>
    <w:rsid w:val="00A1190E"/>
    <w:rsid w:val="00A11948"/>
    <w:rsid w:val="00A11E90"/>
    <w:rsid w:val="00A11F02"/>
    <w:rsid w:val="00A12102"/>
    <w:rsid w:val="00A122CE"/>
    <w:rsid w:val="00A122FF"/>
    <w:rsid w:val="00A12AA2"/>
    <w:rsid w:val="00A12B9F"/>
    <w:rsid w:val="00A12EEE"/>
    <w:rsid w:val="00A12F0A"/>
    <w:rsid w:val="00A1319A"/>
    <w:rsid w:val="00A13378"/>
    <w:rsid w:val="00A13387"/>
    <w:rsid w:val="00A13492"/>
    <w:rsid w:val="00A13777"/>
    <w:rsid w:val="00A138BE"/>
    <w:rsid w:val="00A1392E"/>
    <w:rsid w:val="00A139FA"/>
    <w:rsid w:val="00A13D9C"/>
    <w:rsid w:val="00A13F4A"/>
    <w:rsid w:val="00A14088"/>
    <w:rsid w:val="00A144EB"/>
    <w:rsid w:val="00A14607"/>
    <w:rsid w:val="00A1476F"/>
    <w:rsid w:val="00A14E26"/>
    <w:rsid w:val="00A15581"/>
    <w:rsid w:val="00A15693"/>
    <w:rsid w:val="00A1595E"/>
    <w:rsid w:val="00A15999"/>
    <w:rsid w:val="00A15AB4"/>
    <w:rsid w:val="00A16461"/>
    <w:rsid w:val="00A1646C"/>
    <w:rsid w:val="00A168E2"/>
    <w:rsid w:val="00A169B8"/>
    <w:rsid w:val="00A16A2F"/>
    <w:rsid w:val="00A16A31"/>
    <w:rsid w:val="00A16AA3"/>
    <w:rsid w:val="00A16F47"/>
    <w:rsid w:val="00A172AE"/>
    <w:rsid w:val="00A172C8"/>
    <w:rsid w:val="00A174B7"/>
    <w:rsid w:val="00A17B1D"/>
    <w:rsid w:val="00A17B56"/>
    <w:rsid w:val="00A17BF8"/>
    <w:rsid w:val="00A17D09"/>
    <w:rsid w:val="00A17E61"/>
    <w:rsid w:val="00A17EA0"/>
    <w:rsid w:val="00A17FA0"/>
    <w:rsid w:val="00A2010F"/>
    <w:rsid w:val="00A2044A"/>
    <w:rsid w:val="00A205BB"/>
    <w:rsid w:val="00A20730"/>
    <w:rsid w:val="00A208A6"/>
    <w:rsid w:val="00A20A65"/>
    <w:rsid w:val="00A20A73"/>
    <w:rsid w:val="00A20C46"/>
    <w:rsid w:val="00A20E57"/>
    <w:rsid w:val="00A20ECA"/>
    <w:rsid w:val="00A21113"/>
    <w:rsid w:val="00A2183A"/>
    <w:rsid w:val="00A21A57"/>
    <w:rsid w:val="00A21D0C"/>
    <w:rsid w:val="00A220D2"/>
    <w:rsid w:val="00A222E4"/>
    <w:rsid w:val="00A22456"/>
    <w:rsid w:val="00A22591"/>
    <w:rsid w:val="00A22825"/>
    <w:rsid w:val="00A22954"/>
    <w:rsid w:val="00A229B2"/>
    <w:rsid w:val="00A229F2"/>
    <w:rsid w:val="00A22D10"/>
    <w:rsid w:val="00A22E12"/>
    <w:rsid w:val="00A22FCE"/>
    <w:rsid w:val="00A231CE"/>
    <w:rsid w:val="00A2346C"/>
    <w:rsid w:val="00A234B9"/>
    <w:rsid w:val="00A236B3"/>
    <w:rsid w:val="00A237F5"/>
    <w:rsid w:val="00A23F3E"/>
    <w:rsid w:val="00A23F56"/>
    <w:rsid w:val="00A24205"/>
    <w:rsid w:val="00A2420E"/>
    <w:rsid w:val="00A242A8"/>
    <w:rsid w:val="00A24392"/>
    <w:rsid w:val="00A2444A"/>
    <w:rsid w:val="00A24564"/>
    <w:rsid w:val="00A245E4"/>
    <w:rsid w:val="00A246F9"/>
    <w:rsid w:val="00A2471A"/>
    <w:rsid w:val="00A2475D"/>
    <w:rsid w:val="00A248F7"/>
    <w:rsid w:val="00A24A21"/>
    <w:rsid w:val="00A24A56"/>
    <w:rsid w:val="00A24AEE"/>
    <w:rsid w:val="00A24B04"/>
    <w:rsid w:val="00A24EFA"/>
    <w:rsid w:val="00A25044"/>
    <w:rsid w:val="00A25093"/>
    <w:rsid w:val="00A253AE"/>
    <w:rsid w:val="00A2558F"/>
    <w:rsid w:val="00A25D03"/>
    <w:rsid w:val="00A25F7A"/>
    <w:rsid w:val="00A2621E"/>
    <w:rsid w:val="00A265EB"/>
    <w:rsid w:val="00A266D6"/>
    <w:rsid w:val="00A26917"/>
    <w:rsid w:val="00A26B09"/>
    <w:rsid w:val="00A26ECF"/>
    <w:rsid w:val="00A26FDD"/>
    <w:rsid w:val="00A27194"/>
    <w:rsid w:val="00A271BB"/>
    <w:rsid w:val="00A27563"/>
    <w:rsid w:val="00A27622"/>
    <w:rsid w:val="00A276B1"/>
    <w:rsid w:val="00A27915"/>
    <w:rsid w:val="00A27BD0"/>
    <w:rsid w:val="00A27EA5"/>
    <w:rsid w:val="00A27FA9"/>
    <w:rsid w:val="00A3005E"/>
    <w:rsid w:val="00A30213"/>
    <w:rsid w:val="00A30372"/>
    <w:rsid w:val="00A30392"/>
    <w:rsid w:val="00A30544"/>
    <w:rsid w:val="00A30591"/>
    <w:rsid w:val="00A305D0"/>
    <w:rsid w:val="00A30680"/>
    <w:rsid w:val="00A306DE"/>
    <w:rsid w:val="00A30A77"/>
    <w:rsid w:val="00A30AE4"/>
    <w:rsid w:val="00A30FB7"/>
    <w:rsid w:val="00A3101D"/>
    <w:rsid w:val="00A310A3"/>
    <w:rsid w:val="00A31373"/>
    <w:rsid w:val="00A313A6"/>
    <w:rsid w:val="00A315A4"/>
    <w:rsid w:val="00A31867"/>
    <w:rsid w:val="00A31A95"/>
    <w:rsid w:val="00A31BA5"/>
    <w:rsid w:val="00A31C1F"/>
    <w:rsid w:val="00A31D35"/>
    <w:rsid w:val="00A31F2E"/>
    <w:rsid w:val="00A3250C"/>
    <w:rsid w:val="00A32535"/>
    <w:rsid w:val="00A325BD"/>
    <w:rsid w:val="00A3273E"/>
    <w:rsid w:val="00A32776"/>
    <w:rsid w:val="00A327C4"/>
    <w:rsid w:val="00A32AA1"/>
    <w:rsid w:val="00A32AAB"/>
    <w:rsid w:val="00A32B4E"/>
    <w:rsid w:val="00A32BCD"/>
    <w:rsid w:val="00A32C8A"/>
    <w:rsid w:val="00A331E6"/>
    <w:rsid w:val="00A3326E"/>
    <w:rsid w:val="00A33334"/>
    <w:rsid w:val="00A33357"/>
    <w:rsid w:val="00A3379F"/>
    <w:rsid w:val="00A33BC0"/>
    <w:rsid w:val="00A33D62"/>
    <w:rsid w:val="00A33F50"/>
    <w:rsid w:val="00A33FE9"/>
    <w:rsid w:val="00A34370"/>
    <w:rsid w:val="00A3446D"/>
    <w:rsid w:val="00A3453A"/>
    <w:rsid w:val="00A34582"/>
    <w:rsid w:val="00A34BB9"/>
    <w:rsid w:val="00A34E9F"/>
    <w:rsid w:val="00A3516F"/>
    <w:rsid w:val="00A353CD"/>
    <w:rsid w:val="00A354A1"/>
    <w:rsid w:val="00A358F0"/>
    <w:rsid w:val="00A35C3E"/>
    <w:rsid w:val="00A35FFA"/>
    <w:rsid w:val="00A369A2"/>
    <w:rsid w:val="00A36A41"/>
    <w:rsid w:val="00A36CCB"/>
    <w:rsid w:val="00A36E60"/>
    <w:rsid w:val="00A36EC3"/>
    <w:rsid w:val="00A36ED0"/>
    <w:rsid w:val="00A37511"/>
    <w:rsid w:val="00A3765B"/>
    <w:rsid w:val="00A379AE"/>
    <w:rsid w:val="00A37AB6"/>
    <w:rsid w:val="00A37C0C"/>
    <w:rsid w:val="00A37C96"/>
    <w:rsid w:val="00A37CD4"/>
    <w:rsid w:val="00A37D59"/>
    <w:rsid w:val="00A37F14"/>
    <w:rsid w:val="00A37FA6"/>
    <w:rsid w:val="00A37FE4"/>
    <w:rsid w:val="00A403B5"/>
    <w:rsid w:val="00A40878"/>
    <w:rsid w:val="00A408AE"/>
    <w:rsid w:val="00A408FE"/>
    <w:rsid w:val="00A40A85"/>
    <w:rsid w:val="00A40E2D"/>
    <w:rsid w:val="00A40ED0"/>
    <w:rsid w:val="00A40EDE"/>
    <w:rsid w:val="00A413F7"/>
    <w:rsid w:val="00A416AE"/>
    <w:rsid w:val="00A4173B"/>
    <w:rsid w:val="00A419A4"/>
    <w:rsid w:val="00A41C69"/>
    <w:rsid w:val="00A42012"/>
    <w:rsid w:val="00A421C3"/>
    <w:rsid w:val="00A423C8"/>
    <w:rsid w:val="00A426A2"/>
    <w:rsid w:val="00A42D9C"/>
    <w:rsid w:val="00A42EB0"/>
    <w:rsid w:val="00A42EF6"/>
    <w:rsid w:val="00A43275"/>
    <w:rsid w:val="00A4359C"/>
    <w:rsid w:val="00A4367E"/>
    <w:rsid w:val="00A43D22"/>
    <w:rsid w:val="00A43F47"/>
    <w:rsid w:val="00A43FA4"/>
    <w:rsid w:val="00A440A0"/>
    <w:rsid w:val="00A441AE"/>
    <w:rsid w:val="00A4433F"/>
    <w:rsid w:val="00A443C6"/>
    <w:rsid w:val="00A4441B"/>
    <w:rsid w:val="00A445D5"/>
    <w:rsid w:val="00A44890"/>
    <w:rsid w:val="00A44C13"/>
    <w:rsid w:val="00A44E80"/>
    <w:rsid w:val="00A44EFF"/>
    <w:rsid w:val="00A44F24"/>
    <w:rsid w:val="00A45213"/>
    <w:rsid w:val="00A45317"/>
    <w:rsid w:val="00A45765"/>
    <w:rsid w:val="00A45991"/>
    <w:rsid w:val="00A45AD3"/>
    <w:rsid w:val="00A45C58"/>
    <w:rsid w:val="00A45D67"/>
    <w:rsid w:val="00A45DAD"/>
    <w:rsid w:val="00A45E7B"/>
    <w:rsid w:val="00A45F35"/>
    <w:rsid w:val="00A464C9"/>
    <w:rsid w:val="00A46811"/>
    <w:rsid w:val="00A46C4B"/>
    <w:rsid w:val="00A46D4C"/>
    <w:rsid w:val="00A46E54"/>
    <w:rsid w:val="00A46EA5"/>
    <w:rsid w:val="00A46EDD"/>
    <w:rsid w:val="00A46F29"/>
    <w:rsid w:val="00A47006"/>
    <w:rsid w:val="00A471A5"/>
    <w:rsid w:val="00A471AD"/>
    <w:rsid w:val="00A4751E"/>
    <w:rsid w:val="00A47534"/>
    <w:rsid w:val="00A477E6"/>
    <w:rsid w:val="00A47977"/>
    <w:rsid w:val="00A47C16"/>
    <w:rsid w:val="00A47DEF"/>
    <w:rsid w:val="00A47E0B"/>
    <w:rsid w:val="00A47E68"/>
    <w:rsid w:val="00A47E74"/>
    <w:rsid w:val="00A50279"/>
    <w:rsid w:val="00A503F4"/>
    <w:rsid w:val="00A50562"/>
    <w:rsid w:val="00A5075E"/>
    <w:rsid w:val="00A5087C"/>
    <w:rsid w:val="00A5091B"/>
    <w:rsid w:val="00A50A41"/>
    <w:rsid w:val="00A50AB1"/>
    <w:rsid w:val="00A50AD4"/>
    <w:rsid w:val="00A50E51"/>
    <w:rsid w:val="00A50EF3"/>
    <w:rsid w:val="00A5140B"/>
    <w:rsid w:val="00A514A9"/>
    <w:rsid w:val="00A51731"/>
    <w:rsid w:val="00A51921"/>
    <w:rsid w:val="00A51A7D"/>
    <w:rsid w:val="00A51B7D"/>
    <w:rsid w:val="00A51D36"/>
    <w:rsid w:val="00A51EB9"/>
    <w:rsid w:val="00A51F62"/>
    <w:rsid w:val="00A51F8E"/>
    <w:rsid w:val="00A52031"/>
    <w:rsid w:val="00A52120"/>
    <w:rsid w:val="00A52209"/>
    <w:rsid w:val="00A523B8"/>
    <w:rsid w:val="00A523F5"/>
    <w:rsid w:val="00A524CF"/>
    <w:rsid w:val="00A526C5"/>
    <w:rsid w:val="00A527AB"/>
    <w:rsid w:val="00A5280C"/>
    <w:rsid w:val="00A528A7"/>
    <w:rsid w:val="00A52911"/>
    <w:rsid w:val="00A52BB3"/>
    <w:rsid w:val="00A52D86"/>
    <w:rsid w:val="00A5311E"/>
    <w:rsid w:val="00A5319D"/>
    <w:rsid w:val="00A532CD"/>
    <w:rsid w:val="00A53449"/>
    <w:rsid w:val="00A53560"/>
    <w:rsid w:val="00A5369C"/>
    <w:rsid w:val="00A5373E"/>
    <w:rsid w:val="00A537D8"/>
    <w:rsid w:val="00A538A2"/>
    <w:rsid w:val="00A5393C"/>
    <w:rsid w:val="00A53B9B"/>
    <w:rsid w:val="00A53D50"/>
    <w:rsid w:val="00A53E25"/>
    <w:rsid w:val="00A53E9B"/>
    <w:rsid w:val="00A53F89"/>
    <w:rsid w:val="00A53FA4"/>
    <w:rsid w:val="00A5405B"/>
    <w:rsid w:val="00A542A0"/>
    <w:rsid w:val="00A5431D"/>
    <w:rsid w:val="00A5452A"/>
    <w:rsid w:val="00A547FF"/>
    <w:rsid w:val="00A54821"/>
    <w:rsid w:val="00A548AC"/>
    <w:rsid w:val="00A54A55"/>
    <w:rsid w:val="00A54AC6"/>
    <w:rsid w:val="00A55182"/>
    <w:rsid w:val="00A551C8"/>
    <w:rsid w:val="00A552FD"/>
    <w:rsid w:val="00A5540B"/>
    <w:rsid w:val="00A55528"/>
    <w:rsid w:val="00A55633"/>
    <w:rsid w:val="00A558D9"/>
    <w:rsid w:val="00A55C8F"/>
    <w:rsid w:val="00A55FEA"/>
    <w:rsid w:val="00A5602D"/>
    <w:rsid w:val="00A56443"/>
    <w:rsid w:val="00A5653D"/>
    <w:rsid w:val="00A56659"/>
    <w:rsid w:val="00A56725"/>
    <w:rsid w:val="00A5676D"/>
    <w:rsid w:val="00A5692A"/>
    <w:rsid w:val="00A56B16"/>
    <w:rsid w:val="00A56BCA"/>
    <w:rsid w:val="00A56EC7"/>
    <w:rsid w:val="00A570D1"/>
    <w:rsid w:val="00A57390"/>
    <w:rsid w:val="00A576C9"/>
    <w:rsid w:val="00A576ED"/>
    <w:rsid w:val="00A5777E"/>
    <w:rsid w:val="00A5793A"/>
    <w:rsid w:val="00A57D8E"/>
    <w:rsid w:val="00A57F9E"/>
    <w:rsid w:val="00A57FEA"/>
    <w:rsid w:val="00A60379"/>
    <w:rsid w:val="00A6040D"/>
    <w:rsid w:val="00A60503"/>
    <w:rsid w:val="00A606A6"/>
    <w:rsid w:val="00A60BDA"/>
    <w:rsid w:val="00A60BDE"/>
    <w:rsid w:val="00A60E4C"/>
    <w:rsid w:val="00A613B3"/>
    <w:rsid w:val="00A614F7"/>
    <w:rsid w:val="00A6170F"/>
    <w:rsid w:val="00A61830"/>
    <w:rsid w:val="00A61B3C"/>
    <w:rsid w:val="00A61BF1"/>
    <w:rsid w:val="00A61CDE"/>
    <w:rsid w:val="00A61D8B"/>
    <w:rsid w:val="00A61E25"/>
    <w:rsid w:val="00A61E36"/>
    <w:rsid w:val="00A61EA2"/>
    <w:rsid w:val="00A61FF4"/>
    <w:rsid w:val="00A62060"/>
    <w:rsid w:val="00A6229A"/>
    <w:rsid w:val="00A623A6"/>
    <w:rsid w:val="00A627DC"/>
    <w:rsid w:val="00A628CB"/>
    <w:rsid w:val="00A629A3"/>
    <w:rsid w:val="00A62B24"/>
    <w:rsid w:val="00A62CE8"/>
    <w:rsid w:val="00A63428"/>
    <w:rsid w:val="00A638BF"/>
    <w:rsid w:val="00A63CA1"/>
    <w:rsid w:val="00A63D9B"/>
    <w:rsid w:val="00A63E96"/>
    <w:rsid w:val="00A642DA"/>
    <w:rsid w:val="00A645B9"/>
    <w:rsid w:val="00A64AE6"/>
    <w:rsid w:val="00A64BBB"/>
    <w:rsid w:val="00A65053"/>
    <w:rsid w:val="00A6513E"/>
    <w:rsid w:val="00A651EC"/>
    <w:rsid w:val="00A65250"/>
    <w:rsid w:val="00A65593"/>
    <w:rsid w:val="00A656BF"/>
    <w:rsid w:val="00A6598C"/>
    <w:rsid w:val="00A65C1C"/>
    <w:rsid w:val="00A65F66"/>
    <w:rsid w:val="00A6606A"/>
    <w:rsid w:val="00A660A8"/>
    <w:rsid w:val="00A660FE"/>
    <w:rsid w:val="00A6610A"/>
    <w:rsid w:val="00A66246"/>
    <w:rsid w:val="00A66363"/>
    <w:rsid w:val="00A66377"/>
    <w:rsid w:val="00A663E6"/>
    <w:rsid w:val="00A6665F"/>
    <w:rsid w:val="00A66743"/>
    <w:rsid w:val="00A668EE"/>
    <w:rsid w:val="00A66D20"/>
    <w:rsid w:val="00A670E0"/>
    <w:rsid w:val="00A672EC"/>
    <w:rsid w:val="00A6759D"/>
    <w:rsid w:val="00A67843"/>
    <w:rsid w:val="00A678EC"/>
    <w:rsid w:val="00A67922"/>
    <w:rsid w:val="00A67BE0"/>
    <w:rsid w:val="00A67CC2"/>
    <w:rsid w:val="00A67CE2"/>
    <w:rsid w:val="00A67D77"/>
    <w:rsid w:val="00A67E7F"/>
    <w:rsid w:val="00A67F65"/>
    <w:rsid w:val="00A7003D"/>
    <w:rsid w:val="00A70790"/>
    <w:rsid w:val="00A70854"/>
    <w:rsid w:val="00A70B0C"/>
    <w:rsid w:val="00A70E85"/>
    <w:rsid w:val="00A71514"/>
    <w:rsid w:val="00A71520"/>
    <w:rsid w:val="00A716E7"/>
    <w:rsid w:val="00A71B85"/>
    <w:rsid w:val="00A71B98"/>
    <w:rsid w:val="00A71C6F"/>
    <w:rsid w:val="00A71D83"/>
    <w:rsid w:val="00A71DB2"/>
    <w:rsid w:val="00A71EAC"/>
    <w:rsid w:val="00A71F0D"/>
    <w:rsid w:val="00A72740"/>
    <w:rsid w:val="00A72A06"/>
    <w:rsid w:val="00A72A2D"/>
    <w:rsid w:val="00A72C8A"/>
    <w:rsid w:val="00A72DB3"/>
    <w:rsid w:val="00A73147"/>
    <w:rsid w:val="00A7325C"/>
    <w:rsid w:val="00A73435"/>
    <w:rsid w:val="00A73538"/>
    <w:rsid w:val="00A7365F"/>
    <w:rsid w:val="00A73B15"/>
    <w:rsid w:val="00A73B4E"/>
    <w:rsid w:val="00A73E77"/>
    <w:rsid w:val="00A73F86"/>
    <w:rsid w:val="00A74035"/>
    <w:rsid w:val="00A742EF"/>
    <w:rsid w:val="00A74475"/>
    <w:rsid w:val="00A74543"/>
    <w:rsid w:val="00A7493A"/>
    <w:rsid w:val="00A74AB1"/>
    <w:rsid w:val="00A75187"/>
    <w:rsid w:val="00A7520C"/>
    <w:rsid w:val="00A75379"/>
    <w:rsid w:val="00A7548A"/>
    <w:rsid w:val="00A7579A"/>
    <w:rsid w:val="00A757D3"/>
    <w:rsid w:val="00A75953"/>
    <w:rsid w:val="00A75F25"/>
    <w:rsid w:val="00A76241"/>
    <w:rsid w:val="00A76515"/>
    <w:rsid w:val="00A76664"/>
    <w:rsid w:val="00A766BB"/>
    <w:rsid w:val="00A76B34"/>
    <w:rsid w:val="00A7716E"/>
    <w:rsid w:val="00A774FA"/>
    <w:rsid w:val="00A77576"/>
    <w:rsid w:val="00A777C1"/>
    <w:rsid w:val="00A778DB"/>
    <w:rsid w:val="00A778E8"/>
    <w:rsid w:val="00A77A56"/>
    <w:rsid w:val="00A77A6D"/>
    <w:rsid w:val="00A77AC9"/>
    <w:rsid w:val="00A802BA"/>
    <w:rsid w:val="00A80316"/>
    <w:rsid w:val="00A8032C"/>
    <w:rsid w:val="00A803A7"/>
    <w:rsid w:val="00A804E0"/>
    <w:rsid w:val="00A805DC"/>
    <w:rsid w:val="00A80644"/>
    <w:rsid w:val="00A80876"/>
    <w:rsid w:val="00A80AEA"/>
    <w:rsid w:val="00A80B96"/>
    <w:rsid w:val="00A80C26"/>
    <w:rsid w:val="00A80CAD"/>
    <w:rsid w:val="00A80CFF"/>
    <w:rsid w:val="00A80D90"/>
    <w:rsid w:val="00A80F7A"/>
    <w:rsid w:val="00A80F8C"/>
    <w:rsid w:val="00A81287"/>
    <w:rsid w:val="00A81317"/>
    <w:rsid w:val="00A8133E"/>
    <w:rsid w:val="00A81463"/>
    <w:rsid w:val="00A81A8A"/>
    <w:rsid w:val="00A81C3E"/>
    <w:rsid w:val="00A81CFC"/>
    <w:rsid w:val="00A81EA3"/>
    <w:rsid w:val="00A82146"/>
    <w:rsid w:val="00A824D3"/>
    <w:rsid w:val="00A825CD"/>
    <w:rsid w:val="00A8289C"/>
    <w:rsid w:val="00A82982"/>
    <w:rsid w:val="00A82A1E"/>
    <w:rsid w:val="00A82C0A"/>
    <w:rsid w:val="00A82C9A"/>
    <w:rsid w:val="00A82F25"/>
    <w:rsid w:val="00A83048"/>
    <w:rsid w:val="00A830C4"/>
    <w:rsid w:val="00A833BF"/>
    <w:rsid w:val="00A83812"/>
    <w:rsid w:val="00A83907"/>
    <w:rsid w:val="00A839AA"/>
    <w:rsid w:val="00A839AD"/>
    <w:rsid w:val="00A84026"/>
    <w:rsid w:val="00A842D5"/>
    <w:rsid w:val="00A843C2"/>
    <w:rsid w:val="00A843E8"/>
    <w:rsid w:val="00A8487B"/>
    <w:rsid w:val="00A84A05"/>
    <w:rsid w:val="00A84A0D"/>
    <w:rsid w:val="00A84A54"/>
    <w:rsid w:val="00A84A7C"/>
    <w:rsid w:val="00A84B0F"/>
    <w:rsid w:val="00A84BA5"/>
    <w:rsid w:val="00A84D4F"/>
    <w:rsid w:val="00A84DB9"/>
    <w:rsid w:val="00A853F7"/>
    <w:rsid w:val="00A8540F"/>
    <w:rsid w:val="00A85448"/>
    <w:rsid w:val="00A854AD"/>
    <w:rsid w:val="00A8554E"/>
    <w:rsid w:val="00A85D20"/>
    <w:rsid w:val="00A85DFE"/>
    <w:rsid w:val="00A86071"/>
    <w:rsid w:val="00A86180"/>
    <w:rsid w:val="00A8630E"/>
    <w:rsid w:val="00A8638C"/>
    <w:rsid w:val="00A86607"/>
    <w:rsid w:val="00A86853"/>
    <w:rsid w:val="00A86A33"/>
    <w:rsid w:val="00A86ECF"/>
    <w:rsid w:val="00A86F97"/>
    <w:rsid w:val="00A86FE5"/>
    <w:rsid w:val="00A870B3"/>
    <w:rsid w:val="00A8749C"/>
    <w:rsid w:val="00A87857"/>
    <w:rsid w:val="00A8793A"/>
    <w:rsid w:val="00A8799F"/>
    <w:rsid w:val="00A87FAC"/>
    <w:rsid w:val="00A9037B"/>
    <w:rsid w:val="00A90619"/>
    <w:rsid w:val="00A90D16"/>
    <w:rsid w:val="00A90DDB"/>
    <w:rsid w:val="00A90FC6"/>
    <w:rsid w:val="00A90FF0"/>
    <w:rsid w:val="00A91059"/>
    <w:rsid w:val="00A911BA"/>
    <w:rsid w:val="00A913AA"/>
    <w:rsid w:val="00A9204B"/>
    <w:rsid w:val="00A92086"/>
    <w:rsid w:val="00A920DC"/>
    <w:rsid w:val="00A92195"/>
    <w:rsid w:val="00A922B1"/>
    <w:rsid w:val="00A92354"/>
    <w:rsid w:val="00A9240F"/>
    <w:rsid w:val="00A92440"/>
    <w:rsid w:val="00A9297D"/>
    <w:rsid w:val="00A92B38"/>
    <w:rsid w:val="00A92BA1"/>
    <w:rsid w:val="00A930B7"/>
    <w:rsid w:val="00A9342C"/>
    <w:rsid w:val="00A93894"/>
    <w:rsid w:val="00A93B71"/>
    <w:rsid w:val="00A93C3A"/>
    <w:rsid w:val="00A93E16"/>
    <w:rsid w:val="00A93E99"/>
    <w:rsid w:val="00A93E9E"/>
    <w:rsid w:val="00A93F28"/>
    <w:rsid w:val="00A9413A"/>
    <w:rsid w:val="00A9413B"/>
    <w:rsid w:val="00A94336"/>
    <w:rsid w:val="00A945BD"/>
    <w:rsid w:val="00A94841"/>
    <w:rsid w:val="00A94C67"/>
    <w:rsid w:val="00A94E71"/>
    <w:rsid w:val="00A94F2B"/>
    <w:rsid w:val="00A95043"/>
    <w:rsid w:val="00A952B1"/>
    <w:rsid w:val="00A953D1"/>
    <w:rsid w:val="00A95429"/>
    <w:rsid w:val="00A954B3"/>
    <w:rsid w:val="00A95524"/>
    <w:rsid w:val="00A95894"/>
    <w:rsid w:val="00A95B1E"/>
    <w:rsid w:val="00A95B3E"/>
    <w:rsid w:val="00A95FEE"/>
    <w:rsid w:val="00A9655F"/>
    <w:rsid w:val="00A965EC"/>
    <w:rsid w:val="00A96686"/>
    <w:rsid w:val="00A966AA"/>
    <w:rsid w:val="00A96AF1"/>
    <w:rsid w:val="00A96C17"/>
    <w:rsid w:val="00A96C63"/>
    <w:rsid w:val="00A96F20"/>
    <w:rsid w:val="00A97588"/>
    <w:rsid w:val="00A975BA"/>
    <w:rsid w:val="00A97624"/>
    <w:rsid w:val="00A976C2"/>
    <w:rsid w:val="00A977A3"/>
    <w:rsid w:val="00A97A5A"/>
    <w:rsid w:val="00A97B3B"/>
    <w:rsid w:val="00A97BAB"/>
    <w:rsid w:val="00A97DA9"/>
    <w:rsid w:val="00AA0711"/>
    <w:rsid w:val="00AA0AB0"/>
    <w:rsid w:val="00AA0C6E"/>
    <w:rsid w:val="00AA0D15"/>
    <w:rsid w:val="00AA0DE1"/>
    <w:rsid w:val="00AA0E6D"/>
    <w:rsid w:val="00AA107D"/>
    <w:rsid w:val="00AA1081"/>
    <w:rsid w:val="00AA17DB"/>
    <w:rsid w:val="00AA1846"/>
    <w:rsid w:val="00AA1F44"/>
    <w:rsid w:val="00AA210B"/>
    <w:rsid w:val="00AA2201"/>
    <w:rsid w:val="00AA2307"/>
    <w:rsid w:val="00AA237A"/>
    <w:rsid w:val="00AA23B6"/>
    <w:rsid w:val="00AA240D"/>
    <w:rsid w:val="00AA2468"/>
    <w:rsid w:val="00AA25C7"/>
    <w:rsid w:val="00AA2606"/>
    <w:rsid w:val="00AA2742"/>
    <w:rsid w:val="00AA2BF8"/>
    <w:rsid w:val="00AA2C03"/>
    <w:rsid w:val="00AA2CCA"/>
    <w:rsid w:val="00AA2CE4"/>
    <w:rsid w:val="00AA2E48"/>
    <w:rsid w:val="00AA2FED"/>
    <w:rsid w:val="00AA30FD"/>
    <w:rsid w:val="00AA3141"/>
    <w:rsid w:val="00AA3341"/>
    <w:rsid w:val="00AA35CB"/>
    <w:rsid w:val="00AA3ECD"/>
    <w:rsid w:val="00AA43DC"/>
    <w:rsid w:val="00AA4659"/>
    <w:rsid w:val="00AA46B1"/>
    <w:rsid w:val="00AA46BE"/>
    <w:rsid w:val="00AA4750"/>
    <w:rsid w:val="00AA4920"/>
    <w:rsid w:val="00AA4961"/>
    <w:rsid w:val="00AA4A09"/>
    <w:rsid w:val="00AA4AFE"/>
    <w:rsid w:val="00AA4DBC"/>
    <w:rsid w:val="00AA545B"/>
    <w:rsid w:val="00AA555D"/>
    <w:rsid w:val="00AA560F"/>
    <w:rsid w:val="00AA58D9"/>
    <w:rsid w:val="00AA5ADE"/>
    <w:rsid w:val="00AA5E58"/>
    <w:rsid w:val="00AA5ED3"/>
    <w:rsid w:val="00AA6146"/>
    <w:rsid w:val="00AA631F"/>
    <w:rsid w:val="00AA635B"/>
    <w:rsid w:val="00AA63DE"/>
    <w:rsid w:val="00AA642B"/>
    <w:rsid w:val="00AA6665"/>
    <w:rsid w:val="00AA6A0F"/>
    <w:rsid w:val="00AA6A72"/>
    <w:rsid w:val="00AA6CE1"/>
    <w:rsid w:val="00AA6DC9"/>
    <w:rsid w:val="00AA6E83"/>
    <w:rsid w:val="00AA6FF6"/>
    <w:rsid w:val="00AA7134"/>
    <w:rsid w:val="00AA720A"/>
    <w:rsid w:val="00AA73D3"/>
    <w:rsid w:val="00AA748C"/>
    <w:rsid w:val="00AA7634"/>
    <w:rsid w:val="00AA78E7"/>
    <w:rsid w:val="00AA7900"/>
    <w:rsid w:val="00AA793B"/>
    <w:rsid w:val="00AA7A90"/>
    <w:rsid w:val="00AA7DF3"/>
    <w:rsid w:val="00AA7E6A"/>
    <w:rsid w:val="00AA7F60"/>
    <w:rsid w:val="00AB004C"/>
    <w:rsid w:val="00AB02B1"/>
    <w:rsid w:val="00AB03AA"/>
    <w:rsid w:val="00AB0507"/>
    <w:rsid w:val="00AB05F9"/>
    <w:rsid w:val="00AB0C0C"/>
    <w:rsid w:val="00AB0C76"/>
    <w:rsid w:val="00AB0F8B"/>
    <w:rsid w:val="00AB1434"/>
    <w:rsid w:val="00AB1511"/>
    <w:rsid w:val="00AB1BAE"/>
    <w:rsid w:val="00AB1BDD"/>
    <w:rsid w:val="00AB1D24"/>
    <w:rsid w:val="00AB23C2"/>
    <w:rsid w:val="00AB2525"/>
    <w:rsid w:val="00AB252D"/>
    <w:rsid w:val="00AB2681"/>
    <w:rsid w:val="00AB273F"/>
    <w:rsid w:val="00AB2939"/>
    <w:rsid w:val="00AB2B49"/>
    <w:rsid w:val="00AB2C2C"/>
    <w:rsid w:val="00AB2CD2"/>
    <w:rsid w:val="00AB2D73"/>
    <w:rsid w:val="00AB2EF8"/>
    <w:rsid w:val="00AB3166"/>
    <w:rsid w:val="00AB3414"/>
    <w:rsid w:val="00AB38A0"/>
    <w:rsid w:val="00AB3996"/>
    <w:rsid w:val="00AB3B77"/>
    <w:rsid w:val="00AB402C"/>
    <w:rsid w:val="00AB4098"/>
    <w:rsid w:val="00AB416F"/>
    <w:rsid w:val="00AB41D8"/>
    <w:rsid w:val="00AB4490"/>
    <w:rsid w:val="00AB472E"/>
    <w:rsid w:val="00AB47E1"/>
    <w:rsid w:val="00AB4D25"/>
    <w:rsid w:val="00AB56C4"/>
    <w:rsid w:val="00AB57B3"/>
    <w:rsid w:val="00AB590A"/>
    <w:rsid w:val="00AB5B19"/>
    <w:rsid w:val="00AB5B61"/>
    <w:rsid w:val="00AB5C69"/>
    <w:rsid w:val="00AB5C98"/>
    <w:rsid w:val="00AB5D25"/>
    <w:rsid w:val="00AB5F40"/>
    <w:rsid w:val="00AB5F59"/>
    <w:rsid w:val="00AB630B"/>
    <w:rsid w:val="00AB6439"/>
    <w:rsid w:val="00AB65A7"/>
    <w:rsid w:val="00AB6868"/>
    <w:rsid w:val="00AB69EE"/>
    <w:rsid w:val="00AB6A9A"/>
    <w:rsid w:val="00AB6C8E"/>
    <w:rsid w:val="00AB6CFD"/>
    <w:rsid w:val="00AB6F14"/>
    <w:rsid w:val="00AB7150"/>
    <w:rsid w:val="00AB736A"/>
    <w:rsid w:val="00AB75BF"/>
    <w:rsid w:val="00AB7603"/>
    <w:rsid w:val="00AB79AA"/>
    <w:rsid w:val="00AC01C6"/>
    <w:rsid w:val="00AC02B7"/>
    <w:rsid w:val="00AC0301"/>
    <w:rsid w:val="00AC0394"/>
    <w:rsid w:val="00AC04AF"/>
    <w:rsid w:val="00AC0559"/>
    <w:rsid w:val="00AC0594"/>
    <w:rsid w:val="00AC05D1"/>
    <w:rsid w:val="00AC0B6C"/>
    <w:rsid w:val="00AC0C01"/>
    <w:rsid w:val="00AC0F08"/>
    <w:rsid w:val="00AC10B0"/>
    <w:rsid w:val="00AC10D1"/>
    <w:rsid w:val="00AC135A"/>
    <w:rsid w:val="00AC1373"/>
    <w:rsid w:val="00AC177B"/>
    <w:rsid w:val="00AC1AA5"/>
    <w:rsid w:val="00AC1F0F"/>
    <w:rsid w:val="00AC213D"/>
    <w:rsid w:val="00AC22E1"/>
    <w:rsid w:val="00AC251C"/>
    <w:rsid w:val="00AC2549"/>
    <w:rsid w:val="00AC254F"/>
    <w:rsid w:val="00AC2586"/>
    <w:rsid w:val="00AC296B"/>
    <w:rsid w:val="00AC2D52"/>
    <w:rsid w:val="00AC2EEE"/>
    <w:rsid w:val="00AC3131"/>
    <w:rsid w:val="00AC314D"/>
    <w:rsid w:val="00AC3197"/>
    <w:rsid w:val="00AC3256"/>
    <w:rsid w:val="00AC3A44"/>
    <w:rsid w:val="00AC3B54"/>
    <w:rsid w:val="00AC3CF3"/>
    <w:rsid w:val="00AC3DC3"/>
    <w:rsid w:val="00AC3EDF"/>
    <w:rsid w:val="00AC3F3A"/>
    <w:rsid w:val="00AC3FC7"/>
    <w:rsid w:val="00AC4430"/>
    <w:rsid w:val="00AC4B92"/>
    <w:rsid w:val="00AC4F3F"/>
    <w:rsid w:val="00AC4F86"/>
    <w:rsid w:val="00AC4F99"/>
    <w:rsid w:val="00AC55D8"/>
    <w:rsid w:val="00AC5893"/>
    <w:rsid w:val="00AC58E4"/>
    <w:rsid w:val="00AC59DD"/>
    <w:rsid w:val="00AC5C03"/>
    <w:rsid w:val="00AC5E27"/>
    <w:rsid w:val="00AC61A9"/>
    <w:rsid w:val="00AC61AD"/>
    <w:rsid w:val="00AC62CC"/>
    <w:rsid w:val="00AC63DE"/>
    <w:rsid w:val="00AC67DD"/>
    <w:rsid w:val="00AC6872"/>
    <w:rsid w:val="00AC6983"/>
    <w:rsid w:val="00AC6C48"/>
    <w:rsid w:val="00AC6D22"/>
    <w:rsid w:val="00AC70CA"/>
    <w:rsid w:val="00AC71CA"/>
    <w:rsid w:val="00AC726D"/>
    <w:rsid w:val="00AC727A"/>
    <w:rsid w:val="00AC72AC"/>
    <w:rsid w:val="00AC72E3"/>
    <w:rsid w:val="00AC740F"/>
    <w:rsid w:val="00AC7C3C"/>
    <w:rsid w:val="00AD017E"/>
    <w:rsid w:val="00AD029B"/>
    <w:rsid w:val="00AD034B"/>
    <w:rsid w:val="00AD0699"/>
    <w:rsid w:val="00AD07AF"/>
    <w:rsid w:val="00AD07E9"/>
    <w:rsid w:val="00AD09A1"/>
    <w:rsid w:val="00AD1039"/>
    <w:rsid w:val="00AD1060"/>
    <w:rsid w:val="00AD108F"/>
    <w:rsid w:val="00AD10AB"/>
    <w:rsid w:val="00AD11F9"/>
    <w:rsid w:val="00AD11FD"/>
    <w:rsid w:val="00AD1369"/>
    <w:rsid w:val="00AD1799"/>
    <w:rsid w:val="00AD18BC"/>
    <w:rsid w:val="00AD1B65"/>
    <w:rsid w:val="00AD1BBA"/>
    <w:rsid w:val="00AD1C8D"/>
    <w:rsid w:val="00AD1CE6"/>
    <w:rsid w:val="00AD1EF8"/>
    <w:rsid w:val="00AD1F3A"/>
    <w:rsid w:val="00AD2029"/>
    <w:rsid w:val="00AD212B"/>
    <w:rsid w:val="00AD24BA"/>
    <w:rsid w:val="00AD2883"/>
    <w:rsid w:val="00AD292A"/>
    <w:rsid w:val="00AD2B08"/>
    <w:rsid w:val="00AD2BAF"/>
    <w:rsid w:val="00AD3078"/>
    <w:rsid w:val="00AD31B5"/>
    <w:rsid w:val="00AD3272"/>
    <w:rsid w:val="00AD3470"/>
    <w:rsid w:val="00AD3907"/>
    <w:rsid w:val="00AD3FF2"/>
    <w:rsid w:val="00AD4267"/>
    <w:rsid w:val="00AD4407"/>
    <w:rsid w:val="00AD446E"/>
    <w:rsid w:val="00AD458B"/>
    <w:rsid w:val="00AD4D52"/>
    <w:rsid w:val="00AD531F"/>
    <w:rsid w:val="00AD5C14"/>
    <w:rsid w:val="00AD5D7F"/>
    <w:rsid w:val="00AD5D8C"/>
    <w:rsid w:val="00AD5EDE"/>
    <w:rsid w:val="00AD6183"/>
    <w:rsid w:val="00AD63F6"/>
    <w:rsid w:val="00AD645C"/>
    <w:rsid w:val="00AD6497"/>
    <w:rsid w:val="00AD6847"/>
    <w:rsid w:val="00AD695F"/>
    <w:rsid w:val="00AD6C43"/>
    <w:rsid w:val="00AD6C8B"/>
    <w:rsid w:val="00AD6D2D"/>
    <w:rsid w:val="00AD6DC7"/>
    <w:rsid w:val="00AD6F00"/>
    <w:rsid w:val="00AD6FA1"/>
    <w:rsid w:val="00AD7088"/>
    <w:rsid w:val="00AD70F2"/>
    <w:rsid w:val="00AD74EF"/>
    <w:rsid w:val="00AD75FF"/>
    <w:rsid w:val="00AD7648"/>
    <w:rsid w:val="00AD778D"/>
    <w:rsid w:val="00AD7792"/>
    <w:rsid w:val="00AD7AEF"/>
    <w:rsid w:val="00AE005E"/>
    <w:rsid w:val="00AE03B1"/>
    <w:rsid w:val="00AE05D2"/>
    <w:rsid w:val="00AE0780"/>
    <w:rsid w:val="00AE07B0"/>
    <w:rsid w:val="00AE0801"/>
    <w:rsid w:val="00AE0D76"/>
    <w:rsid w:val="00AE0E3F"/>
    <w:rsid w:val="00AE11D1"/>
    <w:rsid w:val="00AE16E5"/>
    <w:rsid w:val="00AE1813"/>
    <w:rsid w:val="00AE19A7"/>
    <w:rsid w:val="00AE23DF"/>
    <w:rsid w:val="00AE24A4"/>
    <w:rsid w:val="00AE25DB"/>
    <w:rsid w:val="00AE28EC"/>
    <w:rsid w:val="00AE29AD"/>
    <w:rsid w:val="00AE2C52"/>
    <w:rsid w:val="00AE325E"/>
    <w:rsid w:val="00AE34AB"/>
    <w:rsid w:val="00AE357C"/>
    <w:rsid w:val="00AE35F5"/>
    <w:rsid w:val="00AE3616"/>
    <w:rsid w:val="00AE3785"/>
    <w:rsid w:val="00AE3A70"/>
    <w:rsid w:val="00AE3DE4"/>
    <w:rsid w:val="00AE3E12"/>
    <w:rsid w:val="00AE40EE"/>
    <w:rsid w:val="00AE4175"/>
    <w:rsid w:val="00AE47C8"/>
    <w:rsid w:val="00AE4974"/>
    <w:rsid w:val="00AE4A41"/>
    <w:rsid w:val="00AE4DC4"/>
    <w:rsid w:val="00AE5247"/>
    <w:rsid w:val="00AE5A0B"/>
    <w:rsid w:val="00AE5C00"/>
    <w:rsid w:val="00AE5D7A"/>
    <w:rsid w:val="00AE6113"/>
    <w:rsid w:val="00AE620D"/>
    <w:rsid w:val="00AE6218"/>
    <w:rsid w:val="00AE63C5"/>
    <w:rsid w:val="00AE663E"/>
    <w:rsid w:val="00AE6825"/>
    <w:rsid w:val="00AE688A"/>
    <w:rsid w:val="00AE69A2"/>
    <w:rsid w:val="00AE6B93"/>
    <w:rsid w:val="00AE6F10"/>
    <w:rsid w:val="00AE6FAE"/>
    <w:rsid w:val="00AE71C4"/>
    <w:rsid w:val="00AE72A7"/>
    <w:rsid w:val="00AE73AA"/>
    <w:rsid w:val="00AE73E0"/>
    <w:rsid w:val="00AE76E4"/>
    <w:rsid w:val="00AE78DB"/>
    <w:rsid w:val="00AE7917"/>
    <w:rsid w:val="00AE79AC"/>
    <w:rsid w:val="00AE7A07"/>
    <w:rsid w:val="00AE7E6C"/>
    <w:rsid w:val="00AE7E7C"/>
    <w:rsid w:val="00AE7F20"/>
    <w:rsid w:val="00AF0744"/>
    <w:rsid w:val="00AF0810"/>
    <w:rsid w:val="00AF08F4"/>
    <w:rsid w:val="00AF0D63"/>
    <w:rsid w:val="00AF0D69"/>
    <w:rsid w:val="00AF0E03"/>
    <w:rsid w:val="00AF0E49"/>
    <w:rsid w:val="00AF0EBF"/>
    <w:rsid w:val="00AF0FED"/>
    <w:rsid w:val="00AF1036"/>
    <w:rsid w:val="00AF13C9"/>
    <w:rsid w:val="00AF1576"/>
    <w:rsid w:val="00AF15FA"/>
    <w:rsid w:val="00AF1759"/>
    <w:rsid w:val="00AF1DEA"/>
    <w:rsid w:val="00AF1FA6"/>
    <w:rsid w:val="00AF2053"/>
    <w:rsid w:val="00AF20E5"/>
    <w:rsid w:val="00AF23B7"/>
    <w:rsid w:val="00AF28DD"/>
    <w:rsid w:val="00AF28F5"/>
    <w:rsid w:val="00AF2A40"/>
    <w:rsid w:val="00AF2AB4"/>
    <w:rsid w:val="00AF2BAB"/>
    <w:rsid w:val="00AF2D62"/>
    <w:rsid w:val="00AF2F9F"/>
    <w:rsid w:val="00AF3022"/>
    <w:rsid w:val="00AF3778"/>
    <w:rsid w:val="00AF39AA"/>
    <w:rsid w:val="00AF3C61"/>
    <w:rsid w:val="00AF40AD"/>
    <w:rsid w:val="00AF4143"/>
    <w:rsid w:val="00AF43CC"/>
    <w:rsid w:val="00AF44BE"/>
    <w:rsid w:val="00AF4544"/>
    <w:rsid w:val="00AF4B79"/>
    <w:rsid w:val="00AF4C08"/>
    <w:rsid w:val="00AF4C55"/>
    <w:rsid w:val="00AF4CA9"/>
    <w:rsid w:val="00AF5010"/>
    <w:rsid w:val="00AF5082"/>
    <w:rsid w:val="00AF51F3"/>
    <w:rsid w:val="00AF5715"/>
    <w:rsid w:val="00AF581D"/>
    <w:rsid w:val="00AF5A28"/>
    <w:rsid w:val="00AF5A82"/>
    <w:rsid w:val="00AF5E78"/>
    <w:rsid w:val="00AF5F04"/>
    <w:rsid w:val="00AF603C"/>
    <w:rsid w:val="00AF627A"/>
    <w:rsid w:val="00AF6393"/>
    <w:rsid w:val="00AF643C"/>
    <w:rsid w:val="00AF66BB"/>
    <w:rsid w:val="00AF68AD"/>
    <w:rsid w:val="00AF68FE"/>
    <w:rsid w:val="00AF6BF9"/>
    <w:rsid w:val="00AF6D17"/>
    <w:rsid w:val="00AF6E85"/>
    <w:rsid w:val="00AF6F17"/>
    <w:rsid w:val="00AF7003"/>
    <w:rsid w:val="00AF71C3"/>
    <w:rsid w:val="00AF72BD"/>
    <w:rsid w:val="00AF7368"/>
    <w:rsid w:val="00AF78BB"/>
    <w:rsid w:val="00AF79BB"/>
    <w:rsid w:val="00AF79FC"/>
    <w:rsid w:val="00AF7A36"/>
    <w:rsid w:val="00AF7B4C"/>
    <w:rsid w:val="00AF7D33"/>
    <w:rsid w:val="00AF7D5C"/>
    <w:rsid w:val="00AF7E3E"/>
    <w:rsid w:val="00AF7F17"/>
    <w:rsid w:val="00B00151"/>
    <w:rsid w:val="00B003AE"/>
    <w:rsid w:val="00B0082A"/>
    <w:rsid w:val="00B00E08"/>
    <w:rsid w:val="00B00F04"/>
    <w:rsid w:val="00B01015"/>
    <w:rsid w:val="00B01017"/>
    <w:rsid w:val="00B01036"/>
    <w:rsid w:val="00B011E5"/>
    <w:rsid w:val="00B0135A"/>
    <w:rsid w:val="00B019DA"/>
    <w:rsid w:val="00B0204E"/>
    <w:rsid w:val="00B020EA"/>
    <w:rsid w:val="00B0212A"/>
    <w:rsid w:val="00B02234"/>
    <w:rsid w:val="00B02832"/>
    <w:rsid w:val="00B028C6"/>
    <w:rsid w:val="00B02AE7"/>
    <w:rsid w:val="00B02B90"/>
    <w:rsid w:val="00B02C65"/>
    <w:rsid w:val="00B02CA0"/>
    <w:rsid w:val="00B02D60"/>
    <w:rsid w:val="00B02F6C"/>
    <w:rsid w:val="00B02FEC"/>
    <w:rsid w:val="00B03202"/>
    <w:rsid w:val="00B033DE"/>
    <w:rsid w:val="00B036CD"/>
    <w:rsid w:val="00B037AF"/>
    <w:rsid w:val="00B037E8"/>
    <w:rsid w:val="00B03819"/>
    <w:rsid w:val="00B03F08"/>
    <w:rsid w:val="00B0439A"/>
    <w:rsid w:val="00B04568"/>
    <w:rsid w:val="00B04778"/>
    <w:rsid w:val="00B047B9"/>
    <w:rsid w:val="00B04A47"/>
    <w:rsid w:val="00B04B4C"/>
    <w:rsid w:val="00B04C69"/>
    <w:rsid w:val="00B04FFA"/>
    <w:rsid w:val="00B05266"/>
    <w:rsid w:val="00B0544C"/>
    <w:rsid w:val="00B05745"/>
    <w:rsid w:val="00B0575D"/>
    <w:rsid w:val="00B05A7F"/>
    <w:rsid w:val="00B05AC1"/>
    <w:rsid w:val="00B05AF3"/>
    <w:rsid w:val="00B05C1E"/>
    <w:rsid w:val="00B064BE"/>
    <w:rsid w:val="00B06C9B"/>
    <w:rsid w:val="00B06D80"/>
    <w:rsid w:val="00B07069"/>
    <w:rsid w:val="00B07256"/>
    <w:rsid w:val="00B072E7"/>
    <w:rsid w:val="00B07341"/>
    <w:rsid w:val="00B075F5"/>
    <w:rsid w:val="00B0799B"/>
    <w:rsid w:val="00B07FB5"/>
    <w:rsid w:val="00B10043"/>
    <w:rsid w:val="00B10346"/>
    <w:rsid w:val="00B10544"/>
    <w:rsid w:val="00B106C1"/>
    <w:rsid w:val="00B10834"/>
    <w:rsid w:val="00B108FC"/>
    <w:rsid w:val="00B10ACD"/>
    <w:rsid w:val="00B10ADB"/>
    <w:rsid w:val="00B10C7D"/>
    <w:rsid w:val="00B10F54"/>
    <w:rsid w:val="00B11075"/>
    <w:rsid w:val="00B11243"/>
    <w:rsid w:val="00B112E8"/>
    <w:rsid w:val="00B113E8"/>
    <w:rsid w:val="00B11429"/>
    <w:rsid w:val="00B1155E"/>
    <w:rsid w:val="00B116D8"/>
    <w:rsid w:val="00B116E0"/>
    <w:rsid w:val="00B116F8"/>
    <w:rsid w:val="00B11920"/>
    <w:rsid w:val="00B11B7A"/>
    <w:rsid w:val="00B11C6C"/>
    <w:rsid w:val="00B11E5F"/>
    <w:rsid w:val="00B11FEA"/>
    <w:rsid w:val="00B129A2"/>
    <w:rsid w:val="00B12C23"/>
    <w:rsid w:val="00B12C74"/>
    <w:rsid w:val="00B12CCE"/>
    <w:rsid w:val="00B12D35"/>
    <w:rsid w:val="00B12F4A"/>
    <w:rsid w:val="00B12F7B"/>
    <w:rsid w:val="00B130EC"/>
    <w:rsid w:val="00B1324A"/>
    <w:rsid w:val="00B1369B"/>
    <w:rsid w:val="00B136F5"/>
    <w:rsid w:val="00B13B0B"/>
    <w:rsid w:val="00B13B52"/>
    <w:rsid w:val="00B13CED"/>
    <w:rsid w:val="00B13E7C"/>
    <w:rsid w:val="00B1412B"/>
    <w:rsid w:val="00B1414A"/>
    <w:rsid w:val="00B14164"/>
    <w:rsid w:val="00B14621"/>
    <w:rsid w:val="00B14727"/>
    <w:rsid w:val="00B14951"/>
    <w:rsid w:val="00B149A1"/>
    <w:rsid w:val="00B14C4D"/>
    <w:rsid w:val="00B14DDB"/>
    <w:rsid w:val="00B152E1"/>
    <w:rsid w:val="00B1536B"/>
    <w:rsid w:val="00B15499"/>
    <w:rsid w:val="00B15AB8"/>
    <w:rsid w:val="00B15C96"/>
    <w:rsid w:val="00B15EF6"/>
    <w:rsid w:val="00B1617F"/>
    <w:rsid w:val="00B16693"/>
    <w:rsid w:val="00B1677F"/>
    <w:rsid w:val="00B16862"/>
    <w:rsid w:val="00B16D11"/>
    <w:rsid w:val="00B17908"/>
    <w:rsid w:val="00B17909"/>
    <w:rsid w:val="00B17911"/>
    <w:rsid w:val="00B1793F"/>
    <w:rsid w:val="00B17B62"/>
    <w:rsid w:val="00B17BB0"/>
    <w:rsid w:val="00B17C55"/>
    <w:rsid w:val="00B17D9B"/>
    <w:rsid w:val="00B17E0A"/>
    <w:rsid w:val="00B17F18"/>
    <w:rsid w:val="00B201AA"/>
    <w:rsid w:val="00B203D3"/>
    <w:rsid w:val="00B20C06"/>
    <w:rsid w:val="00B21236"/>
    <w:rsid w:val="00B2167F"/>
    <w:rsid w:val="00B216D7"/>
    <w:rsid w:val="00B2173F"/>
    <w:rsid w:val="00B21891"/>
    <w:rsid w:val="00B218B0"/>
    <w:rsid w:val="00B2192D"/>
    <w:rsid w:val="00B21976"/>
    <w:rsid w:val="00B21A0E"/>
    <w:rsid w:val="00B21A52"/>
    <w:rsid w:val="00B21AF5"/>
    <w:rsid w:val="00B22086"/>
    <w:rsid w:val="00B2216F"/>
    <w:rsid w:val="00B221A9"/>
    <w:rsid w:val="00B222EF"/>
    <w:rsid w:val="00B2241B"/>
    <w:rsid w:val="00B22A2F"/>
    <w:rsid w:val="00B22AFA"/>
    <w:rsid w:val="00B22B36"/>
    <w:rsid w:val="00B22E36"/>
    <w:rsid w:val="00B2301B"/>
    <w:rsid w:val="00B2314B"/>
    <w:rsid w:val="00B231DC"/>
    <w:rsid w:val="00B23351"/>
    <w:rsid w:val="00B23444"/>
    <w:rsid w:val="00B2390B"/>
    <w:rsid w:val="00B23C56"/>
    <w:rsid w:val="00B23DBE"/>
    <w:rsid w:val="00B23F58"/>
    <w:rsid w:val="00B24018"/>
    <w:rsid w:val="00B2411B"/>
    <w:rsid w:val="00B242A9"/>
    <w:rsid w:val="00B246BA"/>
    <w:rsid w:val="00B24C32"/>
    <w:rsid w:val="00B24CCD"/>
    <w:rsid w:val="00B24F9F"/>
    <w:rsid w:val="00B25077"/>
    <w:rsid w:val="00B25406"/>
    <w:rsid w:val="00B256C5"/>
    <w:rsid w:val="00B257A6"/>
    <w:rsid w:val="00B258BD"/>
    <w:rsid w:val="00B25983"/>
    <w:rsid w:val="00B259EE"/>
    <w:rsid w:val="00B25E1F"/>
    <w:rsid w:val="00B25EE0"/>
    <w:rsid w:val="00B25F25"/>
    <w:rsid w:val="00B26196"/>
    <w:rsid w:val="00B26315"/>
    <w:rsid w:val="00B26D06"/>
    <w:rsid w:val="00B26EB5"/>
    <w:rsid w:val="00B26F43"/>
    <w:rsid w:val="00B27115"/>
    <w:rsid w:val="00B27366"/>
    <w:rsid w:val="00B2795F"/>
    <w:rsid w:val="00B27DA5"/>
    <w:rsid w:val="00B27DBA"/>
    <w:rsid w:val="00B27E88"/>
    <w:rsid w:val="00B27F6B"/>
    <w:rsid w:val="00B300BA"/>
    <w:rsid w:val="00B300F0"/>
    <w:rsid w:val="00B30222"/>
    <w:rsid w:val="00B30579"/>
    <w:rsid w:val="00B30A53"/>
    <w:rsid w:val="00B310CC"/>
    <w:rsid w:val="00B31117"/>
    <w:rsid w:val="00B31467"/>
    <w:rsid w:val="00B31497"/>
    <w:rsid w:val="00B317B3"/>
    <w:rsid w:val="00B31A25"/>
    <w:rsid w:val="00B31A7E"/>
    <w:rsid w:val="00B31ADE"/>
    <w:rsid w:val="00B31C44"/>
    <w:rsid w:val="00B31DAC"/>
    <w:rsid w:val="00B31E7D"/>
    <w:rsid w:val="00B3200C"/>
    <w:rsid w:val="00B320F7"/>
    <w:rsid w:val="00B320FD"/>
    <w:rsid w:val="00B321C7"/>
    <w:rsid w:val="00B32261"/>
    <w:rsid w:val="00B325E7"/>
    <w:rsid w:val="00B327C1"/>
    <w:rsid w:val="00B328B4"/>
    <w:rsid w:val="00B32940"/>
    <w:rsid w:val="00B329BB"/>
    <w:rsid w:val="00B32C48"/>
    <w:rsid w:val="00B32E08"/>
    <w:rsid w:val="00B32EDB"/>
    <w:rsid w:val="00B32FD5"/>
    <w:rsid w:val="00B332B7"/>
    <w:rsid w:val="00B332FC"/>
    <w:rsid w:val="00B3333B"/>
    <w:rsid w:val="00B3346C"/>
    <w:rsid w:val="00B334BF"/>
    <w:rsid w:val="00B337A6"/>
    <w:rsid w:val="00B338BF"/>
    <w:rsid w:val="00B339A8"/>
    <w:rsid w:val="00B33A79"/>
    <w:rsid w:val="00B33DC4"/>
    <w:rsid w:val="00B33F2C"/>
    <w:rsid w:val="00B342D5"/>
    <w:rsid w:val="00B34369"/>
    <w:rsid w:val="00B34418"/>
    <w:rsid w:val="00B3442E"/>
    <w:rsid w:val="00B345A1"/>
    <w:rsid w:val="00B34628"/>
    <w:rsid w:val="00B347C3"/>
    <w:rsid w:val="00B35013"/>
    <w:rsid w:val="00B35030"/>
    <w:rsid w:val="00B35369"/>
    <w:rsid w:val="00B354A8"/>
    <w:rsid w:val="00B355D0"/>
    <w:rsid w:val="00B357E9"/>
    <w:rsid w:val="00B35AF0"/>
    <w:rsid w:val="00B35C4A"/>
    <w:rsid w:val="00B35E29"/>
    <w:rsid w:val="00B35EEA"/>
    <w:rsid w:val="00B35F92"/>
    <w:rsid w:val="00B36089"/>
    <w:rsid w:val="00B3635C"/>
    <w:rsid w:val="00B363FF"/>
    <w:rsid w:val="00B3642E"/>
    <w:rsid w:val="00B36470"/>
    <w:rsid w:val="00B36510"/>
    <w:rsid w:val="00B36C8F"/>
    <w:rsid w:val="00B36CAF"/>
    <w:rsid w:val="00B36D7F"/>
    <w:rsid w:val="00B36E89"/>
    <w:rsid w:val="00B36F01"/>
    <w:rsid w:val="00B373C3"/>
    <w:rsid w:val="00B37565"/>
    <w:rsid w:val="00B3763F"/>
    <w:rsid w:val="00B37714"/>
    <w:rsid w:val="00B3787B"/>
    <w:rsid w:val="00B378B4"/>
    <w:rsid w:val="00B3792C"/>
    <w:rsid w:val="00B37A35"/>
    <w:rsid w:val="00B37E86"/>
    <w:rsid w:val="00B37F9A"/>
    <w:rsid w:val="00B4006C"/>
    <w:rsid w:val="00B404D1"/>
    <w:rsid w:val="00B40544"/>
    <w:rsid w:val="00B408FD"/>
    <w:rsid w:val="00B40CEC"/>
    <w:rsid w:val="00B40D4D"/>
    <w:rsid w:val="00B414A1"/>
    <w:rsid w:val="00B41C1C"/>
    <w:rsid w:val="00B41C4E"/>
    <w:rsid w:val="00B41CFA"/>
    <w:rsid w:val="00B42080"/>
    <w:rsid w:val="00B4218A"/>
    <w:rsid w:val="00B4239E"/>
    <w:rsid w:val="00B423A7"/>
    <w:rsid w:val="00B42791"/>
    <w:rsid w:val="00B427D4"/>
    <w:rsid w:val="00B42B41"/>
    <w:rsid w:val="00B42BAE"/>
    <w:rsid w:val="00B42E11"/>
    <w:rsid w:val="00B42E36"/>
    <w:rsid w:val="00B43213"/>
    <w:rsid w:val="00B43255"/>
    <w:rsid w:val="00B433DA"/>
    <w:rsid w:val="00B4348F"/>
    <w:rsid w:val="00B435B8"/>
    <w:rsid w:val="00B43CB0"/>
    <w:rsid w:val="00B43E34"/>
    <w:rsid w:val="00B43ED5"/>
    <w:rsid w:val="00B44132"/>
    <w:rsid w:val="00B44169"/>
    <w:rsid w:val="00B4486F"/>
    <w:rsid w:val="00B44CAD"/>
    <w:rsid w:val="00B44EB7"/>
    <w:rsid w:val="00B44FEF"/>
    <w:rsid w:val="00B452F6"/>
    <w:rsid w:val="00B45393"/>
    <w:rsid w:val="00B4541F"/>
    <w:rsid w:val="00B45729"/>
    <w:rsid w:val="00B4578B"/>
    <w:rsid w:val="00B458CB"/>
    <w:rsid w:val="00B459BE"/>
    <w:rsid w:val="00B45BF4"/>
    <w:rsid w:val="00B45C46"/>
    <w:rsid w:val="00B461F2"/>
    <w:rsid w:val="00B46A55"/>
    <w:rsid w:val="00B46B5C"/>
    <w:rsid w:val="00B46C6B"/>
    <w:rsid w:val="00B47225"/>
    <w:rsid w:val="00B472A0"/>
    <w:rsid w:val="00B474B6"/>
    <w:rsid w:val="00B475E9"/>
    <w:rsid w:val="00B47627"/>
    <w:rsid w:val="00B476C3"/>
    <w:rsid w:val="00B47AE8"/>
    <w:rsid w:val="00B47DB1"/>
    <w:rsid w:val="00B47F1E"/>
    <w:rsid w:val="00B47F83"/>
    <w:rsid w:val="00B50065"/>
    <w:rsid w:val="00B5007C"/>
    <w:rsid w:val="00B50113"/>
    <w:rsid w:val="00B50531"/>
    <w:rsid w:val="00B505E7"/>
    <w:rsid w:val="00B50703"/>
    <w:rsid w:val="00B50810"/>
    <w:rsid w:val="00B50836"/>
    <w:rsid w:val="00B508D2"/>
    <w:rsid w:val="00B50A12"/>
    <w:rsid w:val="00B50A21"/>
    <w:rsid w:val="00B50DC0"/>
    <w:rsid w:val="00B51620"/>
    <w:rsid w:val="00B5168B"/>
    <w:rsid w:val="00B5179A"/>
    <w:rsid w:val="00B51B57"/>
    <w:rsid w:val="00B51B71"/>
    <w:rsid w:val="00B51BC7"/>
    <w:rsid w:val="00B51C96"/>
    <w:rsid w:val="00B51DD1"/>
    <w:rsid w:val="00B51FE8"/>
    <w:rsid w:val="00B52098"/>
    <w:rsid w:val="00B5220E"/>
    <w:rsid w:val="00B5221A"/>
    <w:rsid w:val="00B52302"/>
    <w:rsid w:val="00B52325"/>
    <w:rsid w:val="00B523F3"/>
    <w:rsid w:val="00B5251D"/>
    <w:rsid w:val="00B525C1"/>
    <w:rsid w:val="00B525E0"/>
    <w:rsid w:val="00B52813"/>
    <w:rsid w:val="00B52C16"/>
    <w:rsid w:val="00B52C5A"/>
    <w:rsid w:val="00B52E09"/>
    <w:rsid w:val="00B5334B"/>
    <w:rsid w:val="00B5339B"/>
    <w:rsid w:val="00B5346C"/>
    <w:rsid w:val="00B534B9"/>
    <w:rsid w:val="00B534E0"/>
    <w:rsid w:val="00B536F0"/>
    <w:rsid w:val="00B53753"/>
    <w:rsid w:val="00B53D54"/>
    <w:rsid w:val="00B540EE"/>
    <w:rsid w:val="00B542C8"/>
    <w:rsid w:val="00B54321"/>
    <w:rsid w:val="00B54624"/>
    <w:rsid w:val="00B54944"/>
    <w:rsid w:val="00B54AE3"/>
    <w:rsid w:val="00B54B7A"/>
    <w:rsid w:val="00B54E29"/>
    <w:rsid w:val="00B54E9A"/>
    <w:rsid w:val="00B55087"/>
    <w:rsid w:val="00B551B3"/>
    <w:rsid w:val="00B55656"/>
    <w:rsid w:val="00B5567F"/>
    <w:rsid w:val="00B55B64"/>
    <w:rsid w:val="00B55BBB"/>
    <w:rsid w:val="00B55BF3"/>
    <w:rsid w:val="00B55D1C"/>
    <w:rsid w:val="00B55ED6"/>
    <w:rsid w:val="00B56086"/>
    <w:rsid w:val="00B562E4"/>
    <w:rsid w:val="00B56541"/>
    <w:rsid w:val="00B565B6"/>
    <w:rsid w:val="00B569E6"/>
    <w:rsid w:val="00B56B23"/>
    <w:rsid w:val="00B56B6A"/>
    <w:rsid w:val="00B56F97"/>
    <w:rsid w:val="00B57110"/>
    <w:rsid w:val="00B5713D"/>
    <w:rsid w:val="00B57329"/>
    <w:rsid w:val="00B57648"/>
    <w:rsid w:val="00B57771"/>
    <w:rsid w:val="00B577B2"/>
    <w:rsid w:val="00B577FF"/>
    <w:rsid w:val="00B5AC41"/>
    <w:rsid w:val="00B60314"/>
    <w:rsid w:val="00B6039B"/>
    <w:rsid w:val="00B6039C"/>
    <w:rsid w:val="00B60700"/>
    <w:rsid w:val="00B609D9"/>
    <w:rsid w:val="00B60A3B"/>
    <w:rsid w:val="00B60AA1"/>
    <w:rsid w:val="00B60F50"/>
    <w:rsid w:val="00B610E9"/>
    <w:rsid w:val="00B611EC"/>
    <w:rsid w:val="00B611F5"/>
    <w:rsid w:val="00B61241"/>
    <w:rsid w:val="00B6134D"/>
    <w:rsid w:val="00B61744"/>
    <w:rsid w:val="00B61955"/>
    <w:rsid w:val="00B61B02"/>
    <w:rsid w:val="00B61B5D"/>
    <w:rsid w:val="00B61D82"/>
    <w:rsid w:val="00B620B5"/>
    <w:rsid w:val="00B627FE"/>
    <w:rsid w:val="00B628BD"/>
    <w:rsid w:val="00B62B4B"/>
    <w:rsid w:val="00B62E58"/>
    <w:rsid w:val="00B632A1"/>
    <w:rsid w:val="00B63376"/>
    <w:rsid w:val="00B63508"/>
    <w:rsid w:val="00B637FE"/>
    <w:rsid w:val="00B638D6"/>
    <w:rsid w:val="00B63ADC"/>
    <w:rsid w:val="00B63CBD"/>
    <w:rsid w:val="00B63D8A"/>
    <w:rsid w:val="00B63F1F"/>
    <w:rsid w:val="00B63FA8"/>
    <w:rsid w:val="00B64207"/>
    <w:rsid w:val="00B6426E"/>
    <w:rsid w:val="00B642C5"/>
    <w:rsid w:val="00B644F2"/>
    <w:rsid w:val="00B6454C"/>
    <w:rsid w:val="00B64664"/>
    <w:rsid w:val="00B64762"/>
    <w:rsid w:val="00B64764"/>
    <w:rsid w:val="00B6495B"/>
    <w:rsid w:val="00B6497F"/>
    <w:rsid w:val="00B64DBA"/>
    <w:rsid w:val="00B64E54"/>
    <w:rsid w:val="00B64F87"/>
    <w:rsid w:val="00B64FBC"/>
    <w:rsid w:val="00B650CE"/>
    <w:rsid w:val="00B6511E"/>
    <w:rsid w:val="00B65296"/>
    <w:rsid w:val="00B65476"/>
    <w:rsid w:val="00B655A9"/>
    <w:rsid w:val="00B658C1"/>
    <w:rsid w:val="00B658D8"/>
    <w:rsid w:val="00B65977"/>
    <w:rsid w:val="00B65BFB"/>
    <w:rsid w:val="00B65CAD"/>
    <w:rsid w:val="00B65CD6"/>
    <w:rsid w:val="00B65EEC"/>
    <w:rsid w:val="00B6602D"/>
    <w:rsid w:val="00B662FD"/>
    <w:rsid w:val="00B66804"/>
    <w:rsid w:val="00B66A69"/>
    <w:rsid w:val="00B66B43"/>
    <w:rsid w:val="00B672CF"/>
    <w:rsid w:val="00B674F8"/>
    <w:rsid w:val="00B678C2"/>
    <w:rsid w:val="00B67968"/>
    <w:rsid w:val="00B679D9"/>
    <w:rsid w:val="00B67B70"/>
    <w:rsid w:val="00B67DF9"/>
    <w:rsid w:val="00B70A14"/>
    <w:rsid w:val="00B70AFC"/>
    <w:rsid w:val="00B71082"/>
    <w:rsid w:val="00B7117E"/>
    <w:rsid w:val="00B7119D"/>
    <w:rsid w:val="00B712AC"/>
    <w:rsid w:val="00B717A8"/>
    <w:rsid w:val="00B717AD"/>
    <w:rsid w:val="00B717C9"/>
    <w:rsid w:val="00B71CFE"/>
    <w:rsid w:val="00B7226B"/>
    <w:rsid w:val="00B726B7"/>
    <w:rsid w:val="00B72E55"/>
    <w:rsid w:val="00B72EF0"/>
    <w:rsid w:val="00B72FE1"/>
    <w:rsid w:val="00B73194"/>
    <w:rsid w:val="00B733E4"/>
    <w:rsid w:val="00B73558"/>
    <w:rsid w:val="00B737FA"/>
    <w:rsid w:val="00B73819"/>
    <w:rsid w:val="00B739FF"/>
    <w:rsid w:val="00B73B35"/>
    <w:rsid w:val="00B73F43"/>
    <w:rsid w:val="00B73F73"/>
    <w:rsid w:val="00B73FE4"/>
    <w:rsid w:val="00B74373"/>
    <w:rsid w:val="00B7458E"/>
    <w:rsid w:val="00B746F0"/>
    <w:rsid w:val="00B74D57"/>
    <w:rsid w:val="00B74E6D"/>
    <w:rsid w:val="00B75470"/>
    <w:rsid w:val="00B754E1"/>
    <w:rsid w:val="00B75703"/>
    <w:rsid w:val="00B75767"/>
    <w:rsid w:val="00B757BA"/>
    <w:rsid w:val="00B75CE6"/>
    <w:rsid w:val="00B75DB7"/>
    <w:rsid w:val="00B75DE4"/>
    <w:rsid w:val="00B75FFD"/>
    <w:rsid w:val="00B7600F"/>
    <w:rsid w:val="00B76027"/>
    <w:rsid w:val="00B761A0"/>
    <w:rsid w:val="00B76548"/>
    <w:rsid w:val="00B765D6"/>
    <w:rsid w:val="00B76613"/>
    <w:rsid w:val="00B766DC"/>
    <w:rsid w:val="00B76750"/>
    <w:rsid w:val="00B76753"/>
    <w:rsid w:val="00B76858"/>
    <w:rsid w:val="00B76866"/>
    <w:rsid w:val="00B7693C"/>
    <w:rsid w:val="00B76943"/>
    <w:rsid w:val="00B76DA7"/>
    <w:rsid w:val="00B76DAE"/>
    <w:rsid w:val="00B76ED3"/>
    <w:rsid w:val="00B76EF0"/>
    <w:rsid w:val="00B770AF"/>
    <w:rsid w:val="00B77337"/>
    <w:rsid w:val="00B77457"/>
    <w:rsid w:val="00B77606"/>
    <w:rsid w:val="00B7763B"/>
    <w:rsid w:val="00B777D4"/>
    <w:rsid w:val="00B77AA4"/>
    <w:rsid w:val="00B77B99"/>
    <w:rsid w:val="00B77DFA"/>
    <w:rsid w:val="00B77E1A"/>
    <w:rsid w:val="00B77E80"/>
    <w:rsid w:val="00B77FCC"/>
    <w:rsid w:val="00B8017E"/>
    <w:rsid w:val="00B801D2"/>
    <w:rsid w:val="00B80750"/>
    <w:rsid w:val="00B80752"/>
    <w:rsid w:val="00B80775"/>
    <w:rsid w:val="00B80868"/>
    <w:rsid w:val="00B8093C"/>
    <w:rsid w:val="00B80B68"/>
    <w:rsid w:val="00B80BF2"/>
    <w:rsid w:val="00B80D37"/>
    <w:rsid w:val="00B813F2"/>
    <w:rsid w:val="00B814EF"/>
    <w:rsid w:val="00B8151D"/>
    <w:rsid w:val="00B816D3"/>
    <w:rsid w:val="00B8193F"/>
    <w:rsid w:val="00B81BF2"/>
    <w:rsid w:val="00B81C91"/>
    <w:rsid w:val="00B81CA0"/>
    <w:rsid w:val="00B81F47"/>
    <w:rsid w:val="00B82139"/>
    <w:rsid w:val="00B824F2"/>
    <w:rsid w:val="00B825BB"/>
    <w:rsid w:val="00B827A9"/>
    <w:rsid w:val="00B82E31"/>
    <w:rsid w:val="00B83137"/>
    <w:rsid w:val="00B83205"/>
    <w:rsid w:val="00B8320C"/>
    <w:rsid w:val="00B83562"/>
    <w:rsid w:val="00B835EF"/>
    <w:rsid w:val="00B83804"/>
    <w:rsid w:val="00B83A9A"/>
    <w:rsid w:val="00B83B49"/>
    <w:rsid w:val="00B83BF0"/>
    <w:rsid w:val="00B83D3C"/>
    <w:rsid w:val="00B8400A"/>
    <w:rsid w:val="00B84548"/>
    <w:rsid w:val="00B845EA"/>
    <w:rsid w:val="00B847B8"/>
    <w:rsid w:val="00B84862"/>
    <w:rsid w:val="00B84AFD"/>
    <w:rsid w:val="00B84B46"/>
    <w:rsid w:val="00B84BBF"/>
    <w:rsid w:val="00B84C8F"/>
    <w:rsid w:val="00B84E13"/>
    <w:rsid w:val="00B84E29"/>
    <w:rsid w:val="00B84EF2"/>
    <w:rsid w:val="00B84F64"/>
    <w:rsid w:val="00B84FCB"/>
    <w:rsid w:val="00B859D0"/>
    <w:rsid w:val="00B85F5C"/>
    <w:rsid w:val="00B86112"/>
    <w:rsid w:val="00B861F2"/>
    <w:rsid w:val="00B86447"/>
    <w:rsid w:val="00B865F1"/>
    <w:rsid w:val="00B86720"/>
    <w:rsid w:val="00B8696E"/>
    <w:rsid w:val="00B86A75"/>
    <w:rsid w:val="00B86D6D"/>
    <w:rsid w:val="00B86E9B"/>
    <w:rsid w:val="00B86EB7"/>
    <w:rsid w:val="00B879A4"/>
    <w:rsid w:val="00B87D4B"/>
    <w:rsid w:val="00B87F4C"/>
    <w:rsid w:val="00B900EF"/>
    <w:rsid w:val="00B90293"/>
    <w:rsid w:val="00B9034E"/>
    <w:rsid w:val="00B90477"/>
    <w:rsid w:val="00B906C7"/>
    <w:rsid w:val="00B909F0"/>
    <w:rsid w:val="00B90A4E"/>
    <w:rsid w:val="00B90CE1"/>
    <w:rsid w:val="00B90EC1"/>
    <w:rsid w:val="00B90F1E"/>
    <w:rsid w:val="00B911AA"/>
    <w:rsid w:val="00B913F0"/>
    <w:rsid w:val="00B91417"/>
    <w:rsid w:val="00B914DF"/>
    <w:rsid w:val="00B9177E"/>
    <w:rsid w:val="00B919D1"/>
    <w:rsid w:val="00B91A0D"/>
    <w:rsid w:val="00B91AA3"/>
    <w:rsid w:val="00B91D74"/>
    <w:rsid w:val="00B91FC4"/>
    <w:rsid w:val="00B92295"/>
    <w:rsid w:val="00B92358"/>
    <w:rsid w:val="00B92735"/>
    <w:rsid w:val="00B92781"/>
    <w:rsid w:val="00B92958"/>
    <w:rsid w:val="00B92A02"/>
    <w:rsid w:val="00B92A85"/>
    <w:rsid w:val="00B92B48"/>
    <w:rsid w:val="00B92DD8"/>
    <w:rsid w:val="00B92FED"/>
    <w:rsid w:val="00B930B8"/>
    <w:rsid w:val="00B93530"/>
    <w:rsid w:val="00B936EF"/>
    <w:rsid w:val="00B939D5"/>
    <w:rsid w:val="00B93BB9"/>
    <w:rsid w:val="00B93BDC"/>
    <w:rsid w:val="00B93E82"/>
    <w:rsid w:val="00B93FF3"/>
    <w:rsid w:val="00B94424"/>
    <w:rsid w:val="00B9471C"/>
    <w:rsid w:val="00B948DC"/>
    <w:rsid w:val="00B95620"/>
    <w:rsid w:val="00B956C1"/>
    <w:rsid w:val="00B957EA"/>
    <w:rsid w:val="00B9587C"/>
    <w:rsid w:val="00B95E97"/>
    <w:rsid w:val="00B9638D"/>
    <w:rsid w:val="00B96471"/>
    <w:rsid w:val="00B9653F"/>
    <w:rsid w:val="00B96705"/>
    <w:rsid w:val="00B968C6"/>
    <w:rsid w:val="00B96D60"/>
    <w:rsid w:val="00B974D9"/>
    <w:rsid w:val="00B97500"/>
    <w:rsid w:val="00B97527"/>
    <w:rsid w:val="00B9767E"/>
    <w:rsid w:val="00B977DF"/>
    <w:rsid w:val="00B97B03"/>
    <w:rsid w:val="00B97C82"/>
    <w:rsid w:val="00B97CB5"/>
    <w:rsid w:val="00B97CFB"/>
    <w:rsid w:val="00B97F39"/>
    <w:rsid w:val="00BA0062"/>
    <w:rsid w:val="00BA0140"/>
    <w:rsid w:val="00BA0477"/>
    <w:rsid w:val="00BA0A0F"/>
    <w:rsid w:val="00BA0C03"/>
    <w:rsid w:val="00BA0D0C"/>
    <w:rsid w:val="00BA0DD4"/>
    <w:rsid w:val="00BA0DDD"/>
    <w:rsid w:val="00BA0DF9"/>
    <w:rsid w:val="00BA0E08"/>
    <w:rsid w:val="00BA1118"/>
    <w:rsid w:val="00BA11A0"/>
    <w:rsid w:val="00BA11CF"/>
    <w:rsid w:val="00BA14C0"/>
    <w:rsid w:val="00BA1545"/>
    <w:rsid w:val="00BA1575"/>
    <w:rsid w:val="00BA1724"/>
    <w:rsid w:val="00BA1B26"/>
    <w:rsid w:val="00BA1B5B"/>
    <w:rsid w:val="00BA1BF9"/>
    <w:rsid w:val="00BA1D3F"/>
    <w:rsid w:val="00BA20D7"/>
    <w:rsid w:val="00BA2140"/>
    <w:rsid w:val="00BA256F"/>
    <w:rsid w:val="00BA2ABA"/>
    <w:rsid w:val="00BA2C04"/>
    <w:rsid w:val="00BA2F99"/>
    <w:rsid w:val="00BA30B1"/>
    <w:rsid w:val="00BA33B3"/>
    <w:rsid w:val="00BA33E0"/>
    <w:rsid w:val="00BA37AF"/>
    <w:rsid w:val="00BA38CA"/>
    <w:rsid w:val="00BA391C"/>
    <w:rsid w:val="00BA3AA9"/>
    <w:rsid w:val="00BA3C0E"/>
    <w:rsid w:val="00BA3DC3"/>
    <w:rsid w:val="00BA3E68"/>
    <w:rsid w:val="00BA3EF3"/>
    <w:rsid w:val="00BA430D"/>
    <w:rsid w:val="00BA440A"/>
    <w:rsid w:val="00BA452A"/>
    <w:rsid w:val="00BA4543"/>
    <w:rsid w:val="00BA45BF"/>
    <w:rsid w:val="00BA4607"/>
    <w:rsid w:val="00BA463D"/>
    <w:rsid w:val="00BA4858"/>
    <w:rsid w:val="00BA48C2"/>
    <w:rsid w:val="00BA49C7"/>
    <w:rsid w:val="00BA4B18"/>
    <w:rsid w:val="00BA4FDC"/>
    <w:rsid w:val="00BA5352"/>
    <w:rsid w:val="00BA53FB"/>
    <w:rsid w:val="00BA5400"/>
    <w:rsid w:val="00BA557A"/>
    <w:rsid w:val="00BA5FA0"/>
    <w:rsid w:val="00BA636F"/>
    <w:rsid w:val="00BA6B17"/>
    <w:rsid w:val="00BA6D19"/>
    <w:rsid w:val="00BA6D50"/>
    <w:rsid w:val="00BA6F1F"/>
    <w:rsid w:val="00BA7020"/>
    <w:rsid w:val="00BA718B"/>
    <w:rsid w:val="00BA78B4"/>
    <w:rsid w:val="00BA7B06"/>
    <w:rsid w:val="00BA7C85"/>
    <w:rsid w:val="00BB037A"/>
    <w:rsid w:val="00BB04D3"/>
    <w:rsid w:val="00BB0B8E"/>
    <w:rsid w:val="00BB0C1C"/>
    <w:rsid w:val="00BB1003"/>
    <w:rsid w:val="00BB11DF"/>
    <w:rsid w:val="00BB1440"/>
    <w:rsid w:val="00BB1465"/>
    <w:rsid w:val="00BB160D"/>
    <w:rsid w:val="00BB173E"/>
    <w:rsid w:val="00BB1A8E"/>
    <w:rsid w:val="00BB210D"/>
    <w:rsid w:val="00BB218B"/>
    <w:rsid w:val="00BB22BB"/>
    <w:rsid w:val="00BB2463"/>
    <w:rsid w:val="00BB25EF"/>
    <w:rsid w:val="00BB2D1C"/>
    <w:rsid w:val="00BB2DEC"/>
    <w:rsid w:val="00BB2E7D"/>
    <w:rsid w:val="00BB3332"/>
    <w:rsid w:val="00BB341D"/>
    <w:rsid w:val="00BB3481"/>
    <w:rsid w:val="00BB34E4"/>
    <w:rsid w:val="00BB3639"/>
    <w:rsid w:val="00BB3B60"/>
    <w:rsid w:val="00BB3CC0"/>
    <w:rsid w:val="00BB3E65"/>
    <w:rsid w:val="00BB40FA"/>
    <w:rsid w:val="00BB4232"/>
    <w:rsid w:val="00BB42D1"/>
    <w:rsid w:val="00BB435B"/>
    <w:rsid w:val="00BB435F"/>
    <w:rsid w:val="00BB4393"/>
    <w:rsid w:val="00BB467C"/>
    <w:rsid w:val="00BB48E5"/>
    <w:rsid w:val="00BB4E81"/>
    <w:rsid w:val="00BB4F1F"/>
    <w:rsid w:val="00BB5719"/>
    <w:rsid w:val="00BB6364"/>
    <w:rsid w:val="00BB641A"/>
    <w:rsid w:val="00BB642B"/>
    <w:rsid w:val="00BB698D"/>
    <w:rsid w:val="00BB69EE"/>
    <w:rsid w:val="00BB6C29"/>
    <w:rsid w:val="00BB6D51"/>
    <w:rsid w:val="00BB6F80"/>
    <w:rsid w:val="00BB7166"/>
    <w:rsid w:val="00BB77F0"/>
    <w:rsid w:val="00BB7804"/>
    <w:rsid w:val="00BB78D4"/>
    <w:rsid w:val="00BB79B7"/>
    <w:rsid w:val="00BB7A50"/>
    <w:rsid w:val="00BB7B18"/>
    <w:rsid w:val="00BB7C9C"/>
    <w:rsid w:val="00BC017E"/>
    <w:rsid w:val="00BC03B1"/>
    <w:rsid w:val="00BC0448"/>
    <w:rsid w:val="00BC0966"/>
    <w:rsid w:val="00BC09F4"/>
    <w:rsid w:val="00BC0C5B"/>
    <w:rsid w:val="00BC0D37"/>
    <w:rsid w:val="00BC11EA"/>
    <w:rsid w:val="00BC1246"/>
    <w:rsid w:val="00BC124E"/>
    <w:rsid w:val="00BC1458"/>
    <w:rsid w:val="00BC15AF"/>
    <w:rsid w:val="00BC15CB"/>
    <w:rsid w:val="00BC16F4"/>
    <w:rsid w:val="00BC1718"/>
    <w:rsid w:val="00BC1BB3"/>
    <w:rsid w:val="00BC1D5C"/>
    <w:rsid w:val="00BC22B4"/>
    <w:rsid w:val="00BC257B"/>
    <w:rsid w:val="00BC25F8"/>
    <w:rsid w:val="00BC28F2"/>
    <w:rsid w:val="00BC29C9"/>
    <w:rsid w:val="00BC2B03"/>
    <w:rsid w:val="00BC2BDB"/>
    <w:rsid w:val="00BC2D28"/>
    <w:rsid w:val="00BC322D"/>
    <w:rsid w:val="00BC344C"/>
    <w:rsid w:val="00BC3531"/>
    <w:rsid w:val="00BC37D4"/>
    <w:rsid w:val="00BC37F3"/>
    <w:rsid w:val="00BC37FA"/>
    <w:rsid w:val="00BC394D"/>
    <w:rsid w:val="00BC399C"/>
    <w:rsid w:val="00BC3C0D"/>
    <w:rsid w:val="00BC3F39"/>
    <w:rsid w:val="00BC4100"/>
    <w:rsid w:val="00BC41E6"/>
    <w:rsid w:val="00BC4262"/>
    <w:rsid w:val="00BC42DB"/>
    <w:rsid w:val="00BC44B5"/>
    <w:rsid w:val="00BC44BA"/>
    <w:rsid w:val="00BC472F"/>
    <w:rsid w:val="00BC4A49"/>
    <w:rsid w:val="00BC4EEE"/>
    <w:rsid w:val="00BC5055"/>
    <w:rsid w:val="00BC53C9"/>
    <w:rsid w:val="00BC58A4"/>
    <w:rsid w:val="00BC5B3A"/>
    <w:rsid w:val="00BC5CE3"/>
    <w:rsid w:val="00BC5D00"/>
    <w:rsid w:val="00BC5DA3"/>
    <w:rsid w:val="00BC5E64"/>
    <w:rsid w:val="00BC5FEA"/>
    <w:rsid w:val="00BC6054"/>
    <w:rsid w:val="00BC628E"/>
    <w:rsid w:val="00BC62A5"/>
    <w:rsid w:val="00BC6386"/>
    <w:rsid w:val="00BC670C"/>
    <w:rsid w:val="00BC680D"/>
    <w:rsid w:val="00BC6ACB"/>
    <w:rsid w:val="00BC6ACC"/>
    <w:rsid w:val="00BC6D0D"/>
    <w:rsid w:val="00BC7354"/>
    <w:rsid w:val="00BC7585"/>
    <w:rsid w:val="00BC75CD"/>
    <w:rsid w:val="00BC7762"/>
    <w:rsid w:val="00BC7851"/>
    <w:rsid w:val="00BC7885"/>
    <w:rsid w:val="00BC78FF"/>
    <w:rsid w:val="00BC7D57"/>
    <w:rsid w:val="00BC7EBF"/>
    <w:rsid w:val="00BD070A"/>
    <w:rsid w:val="00BD075E"/>
    <w:rsid w:val="00BD0F65"/>
    <w:rsid w:val="00BD0FA9"/>
    <w:rsid w:val="00BD10B8"/>
    <w:rsid w:val="00BD10FB"/>
    <w:rsid w:val="00BD123A"/>
    <w:rsid w:val="00BD14D1"/>
    <w:rsid w:val="00BD1832"/>
    <w:rsid w:val="00BD18B1"/>
    <w:rsid w:val="00BD1C1C"/>
    <w:rsid w:val="00BD22BF"/>
    <w:rsid w:val="00BD22FB"/>
    <w:rsid w:val="00BD2334"/>
    <w:rsid w:val="00BD23B5"/>
    <w:rsid w:val="00BD2567"/>
    <w:rsid w:val="00BD28C1"/>
    <w:rsid w:val="00BD2937"/>
    <w:rsid w:val="00BD2AA4"/>
    <w:rsid w:val="00BD2BB1"/>
    <w:rsid w:val="00BD2BC5"/>
    <w:rsid w:val="00BD2F0C"/>
    <w:rsid w:val="00BD2F84"/>
    <w:rsid w:val="00BD30B8"/>
    <w:rsid w:val="00BD3131"/>
    <w:rsid w:val="00BD3188"/>
    <w:rsid w:val="00BD332F"/>
    <w:rsid w:val="00BD3639"/>
    <w:rsid w:val="00BD36ED"/>
    <w:rsid w:val="00BD37DB"/>
    <w:rsid w:val="00BD3949"/>
    <w:rsid w:val="00BD3A4A"/>
    <w:rsid w:val="00BD3AFA"/>
    <w:rsid w:val="00BD3C57"/>
    <w:rsid w:val="00BD3FC3"/>
    <w:rsid w:val="00BD40FA"/>
    <w:rsid w:val="00BD420B"/>
    <w:rsid w:val="00BD4433"/>
    <w:rsid w:val="00BD4504"/>
    <w:rsid w:val="00BD46E1"/>
    <w:rsid w:val="00BD47F6"/>
    <w:rsid w:val="00BD485C"/>
    <w:rsid w:val="00BD4AB7"/>
    <w:rsid w:val="00BD4D63"/>
    <w:rsid w:val="00BD5540"/>
    <w:rsid w:val="00BD55BD"/>
    <w:rsid w:val="00BD5833"/>
    <w:rsid w:val="00BD5C91"/>
    <w:rsid w:val="00BD5CC2"/>
    <w:rsid w:val="00BD5E09"/>
    <w:rsid w:val="00BD61BC"/>
    <w:rsid w:val="00BD624A"/>
    <w:rsid w:val="00BD6800"/>
    <w:rsid w:val="00BD6B92"/>
    <w:rsid w:val="00BD7118"/>
    <w:rsid w:val="00BD7155"/>
    <w:rsid w:val="00BD7310"/>
    <w:rsid w:val="00BD76CB"/>
    <w:rsid w:val="00BD7754"/>
    <w:rsid w:val="00BD7866"/>
    <w:rsid w:val="00BD7A79"/>
    <w:rsid w:val="00BD7F47"/>
    <w:rsid w:val="00BE03D4"/>
    <w:rsid w:val="00BE04D5"/>
    <w:rsid w:val="00BE08F3"/>
    <w:rsid w:val="00BE0931"/>
    <w:rsid w:val="00BE0B2A"/>
    <w:rsid w:val="00BE0E74"/>
    <w:rsid w:val="00BE1055"/>
    <w:rsid w:val="00BE1122"/>
    <w:rsid w:val="00BE1217"/>
    <w:rsid w:val="00BE13D5"/>
    <w:rsid w:val="00BE14AA"/>
    <w:rsid w:val="00BE14E1"/>
    <w:rsid w:val="00BE170B"/>
    <w:rsid w:val="00BE174A"/>
    <w:rsid w:val="00BE199A"/>
    <w:rsid w:val="00BE1AA1"/>
    <w:rsid w:val="00BE1B35"/>
    <w:rsid w:val="00BE1C44"/>
    <w:rsid w:val="00BE2196"/>
    <w:rsid w:val="00BE2405"/>
    <w:rsid w:val="00BE24BD"/>
    <w:rsid w:val="00BE263C"/>
    <w:rsid w:val="00BE2665"/>
    <w:rsid w:val="00BE271B"/>
    <w:rsid w:val="00BE2847"/>
    <w:rsid w:val="00BE28ED"/>
    <w:rsid w:val="00BE2997"/>
    <w:rsid w:val="00BE29A5"/>
    <w:rsid w:val="00BE2C12"/>
    <w:rsid w:val="00BE2EC7"/>
    <w:rsid w:val="00BE3050"/>
    <w:rsid w:val="00BE321F"/>
    <w:rsid w:val="00BE3496"/>
    <w:rsid w:val="00BE355A"/>
    <w:rsid w:val="00BE3789"/>
    <w:rsid w:val="00BE381B"/>
    <w:rsid w:val="00BE383C"/>
    <w:rsid w:val="00BE3BB0"/>
    <w:rsid w:val="00BE3D0C"/>
    <w:rsid w:val="00BE4636"/>
    <w:rsid w:val="00BE485D"/>
    <w:rsid w:val="00BE4866"/>
    <w:rsid w:val="00BE4D57"/>
    <w:rsid w:val="00BE4E7F"/>
    <w:rsid w:val="00BE50BA"/>
    <w:rsid w:val="00BE50C9"/>
    <w:rsid w:val="00BE53EC"/>
    <w:rsid w:val="00BE54D2"/>
    <w:rsid w:val="00BE5DB8"/>
    <w:rsid w:val="00BE612B"/>
    <w:rsid w:val="00BE63D2"/>
    <w:rsid w:val="00BE6AD9"/>
    <w:rsid w:val="00BE6B88"/>
    <w:rsid w:val="00BE6D51"/>
    <w:rsid w:val="00BE6DC0"/>
    <w:rsid w:val="00BE6DE0"/>
    <w:rsid w:val="00BE6DE2"/>
    <w:rsid w:val="00BE7011"/>
    <w:rsid w:val="00BE704E"/>
    <w:rsid w:val="00BE70E5"/>
    <w:rsid w:val="00BE7134"/>
    <w:rsid w:val="00BE770F"/>
    <w:rsid w:val="00BE785B"/>
    <w:rsid w:val="00BE7878"/>
    <w:rsid w:val="00BE7C0D"/>
    <w:rsid w:val="00BE7E17"/>
    <w:rsid w:val="00BE7F68"/>
    <w:rsid w:val="00BE7FAF"/>
    <w:rsid w:val="00BF00EE"/>
    <w:rsid w:val="00BF0382"/>
    <w:rsid w:val="00BF04DD"/>
    <w:rsid w:val="00BF053F"/>
    <w:rsid w:val="00BF0E36"/>
    <w:rsid w:val="00BF139A"/>
    <w:rsid w:val="00BF13A0"/>
    <w:rsid w:val="00BF1596"/>
    <w:rsid w:val="00BF179E"/>
    <w:rsid w:val="00BF18FC"/>
    <w:rsid w:val="00BF1A7A"/>
    <w:rsid w:val="00BF1AED"/>
    <w:rsid w:val="00BF1C64"/>
    <w:rsid w:val="00BF1F9C"/>
    <w:rsid w:val="00BF2030"/>
    <w:rsid w:val="00BF234D"/>
    <w:rsid w:val="00BF24A5"/>
    <w:rsid w:val="00BF26B0"/>
    <w:rsid w:val="00BF30E3"/>
    <w:rsid w:val="00BF31BD"/>
    <w:rsid w:val="00BF3402"/>
    <w:rsid w:val="00BF3412"/>
    <w:rsid w:val="00BF3A70"/>
    <w:rsid w:val="00BF3BC3"/>
    <w:rsid w:val="00BF3BF2"/>
    <w:rsid w:val="00BF3BFD"/>
    <w:rsid w:val="00BF3E45"/>
    <w:rsid w:val="00BF3E59"/>
    <w:rsid w:val="00BF3FC9"/>
    <w:rsid w:val="00BF4182"/>
    <w:rsid w:val="00BF4270"/>
    <w:rsid w:val="00BF458D"/>
    <w:rsid w:val="00BF4596"/>
    <w:rsid w:val="00BF4607"/>
    <w:rsid w:val="00BF4AA0"/>
    <w:rsid w:val="00BF4E66"/>
    <w:rsid w:val="00BF559C"/>
    <w:rsid w:val="00BF56BF"/>
    <w:rsid w:val="00BF587D"/>
    <w:rsid w:val="00BF58C5"/>
    <w:rsid w:val="00BF58DF"/>
    <w:rsid w:val="00BF5B00"/>
    <w:rsid w:val="00BF5B3D"/>
    <w:rsid w:val="00BF5C34"/>
    <w:rsid w:val="00BF5D47"/>
    <w:rsid w:val="00BF5D94"/>
    <w:rsid w:val="00BF5E91"/>
    <w:rsid w:val="00BF5EDF"/>
    <w:rsid w:val="00BF5FC4"/>
    <w:rsid w:val="00BF6076"/>
    <w:rsid w:val="00BF6085"/>
    <w:rsid w:val="00BF6112"/>
    <w:rsid w:val="00BF6131"/>
    <w:rsid w:val="00BF62C0"/>
    <w:rsid w:val="00BF64BD"/>
    <w:rsid w:val="00BF6716"/>
    <w:rsid w:val="00BF6985"/>
    <w:rsid w:val="00BF723F"/>
    <w:rsid w:val="00BF73A5"/>
    <w:rsid w:val="00BF766F"/>
    <w:rsid w:val="00BF7688"/>
    <w:rsid w:val="00BF77C4"/>
    <w:rsid w:val="00BF79C8"/>
    <w:rsid w:val="00BF7AA0"/>
    <w:rsid w:val="00BF7B43"/>
    <w:rsid w:val="00BF7C4F"/>
    <w:rsid w:val="00BF7DF5"/>
    <w:rsid w:val="00BF7F2A"/>
    <w:rsid w:val="00C00071"/>
    <w:rsid w:val="00C00165"/>
    <w:rsid w:val="00C004BC"/>
    <w:rsid w:val="00C005B1"/>
    <w:rsid w:val="00C006A2"/>
    <w:rsid w:val="00C006FB"/>
    <w:rsid w:val="00C008E5"/>
    <w:rsid w:val="00C008F7"/>
    <w:rsid w:val="00C00967"/>
    <w:rsid w:val="00C00A9E"/>
    <w:rsid w:val="00C00E60"/>
    <w:rsid w:val="00C00F83"/>
    <w:rsid w:val="00C01019"/>
    <w:rsid w:val="00C010FC"/>
    <w:rsid w:val="00C01569"/>
    <w:rsid w:val="00C01727"/>
    <w:rsid w:val="00C01A82"/>
    <w:rsid w:val="00C01B39"/>
    <w:rsid w:val="00C01E6C"/>
    <w:rsid w:val="00C0209F"/>
    <w:rsid w:val="00C0210D"/>
    <w:rsid w:val="00C022A0"/>
    <w:rsid w:val="00C0257F"/>
    <w:rsid w:val="00C02673"/>
    <w:rsid w:val="00C02910"/>
    <w:rsid w:val="00C02E0C"/>
    <w:rsid w:val="00C02EA6"/>
    <w:rsid w:val="00C02EB6"/>
    <w:rsid w:val="00C02EEA"/>
    <w:rsid w:val="00C0300E"/>
    <w:rsid w:val="00C0328B"/>
    <w:rsid w:val="00C037BF"/>
    <w:rsid w:val="00C037EE"/>
    <w:rsid w:val="00C0399A"/>
    <w:rsid w:val="00C03E22"/>
    <w:rsid w:val="00C03F7A"/>
    <w:rsid w:val="00C03FE9"/>
    <w:rsid w:val="00C04269"/>
    <w:rsid w:val="00C0465F"/>
    <w:rsid w:val="00C04675"/>
    <w:rsid w:val="00C04788"/>
    <w:rsid w:val="00C04920"/>
    <w:rsid w:val="00C049A9"/>
    <w:rsid w:val="00C04C82"/>
    <w:rsid w:val="00C04CC1"/>
    <w:rsid w:val="00C04D56"/>
    <w:rsid w:val="00C05589"/>
    <w:rsid w:val="00C056D8"/>
    <w:rsid w:val="00C05892"/>
    <w:rsid w:val="00C058D4"/>
    <w:rsid w:val="00C059C1"/>
    <w:rsid w:val="00C05A64"/>
    <w:rsid w:val="00C05AA3"/>
    <w:rsid w:val="00C05DAB"/>
    <w:rsid w:val="00C064AA"/>
    <w:rsid w:val="00C0657E"/>
    <w:rsid w:val="00C06889"/>
    <w:rsid w:val="00C068C2"/>
    <w:rsid w:val="00C068FD"/>
    <w:rsid w:val="00C06ABB"/>
    <w:rsid w:val="00C06B8C"/>
    <w:rsid w:val="00C06BC7"/>
    <w:rsid w:val="00C06C33"/>
    <w:rsid w:val="00C06CAE"/>
    <w:rsid w:val="00C06D23"/>
    <w:rsid w:val="00C06F53"/>
    <w:rsid w:val="00C071D5"/>
    <w:rsid w:val="00C0725D"/>
    <w:rsid w:val="00C07680"/>
    <w:rsid w:val="00C07755"/>
    <w:rsid w:val="00C079D6"/>
    <w:rsid w:val="00C07ABA"/>
    <w:rsid w:val="00C07CE3"/>
    <w:rsid w:val="00C1004E"/>
    <w:rsid w:val="00C10079"/>
    <w:rsid w:val="00C102E1"/>
    <w:rsid w:val="00C1046E"/>
    <w:rsid w:val="00C10ABF"/>
    <w:rsid w:val="00C10C3E"/>
    <w:rsid w:val="00C10CAD"/>
    <w:rsid w:val="00C111A8"/>
    <w:rsid w:val="00C11468"/>
    <w:rsid w:val="00C11AAA"/>
    <w:rsid w:val="00C11AB3"/>
    <w:rsid w:val="00C11CCD"/>
    <w:rsid w:val="00C1201D"/>
    <w:rsid w:val="00C127CC"/>
    <w:rsid w:val="00C127E6"/>
    <w:rsid w:val="00C12808"/>
    <w:rsid w:val="00C128B9"/>
    <w:rsid w:val="00C128D1"/>
    <w:rsid w:val="00C1299A"/>
    <w:rsid w:val="00C12ADC"/>
    <w:rsid w:val="00C12B65"/>
    <w:rsid w:val="00C12F6D"/>
    <w:rsid w:val="00C12F87"/>
    <w:rsid w:val="00C12FEB"/>
    <w:rsid w:val="00C1322E"/>
    <w:rsid w:val="00C13316"/>
    <w:rsid w:val="00C13323"/>
    <w:rsid w:val="00C134AF"/>
    <w:rsid w:val="00C13555"/>
    <w:rsid w:val="00C13568"/>
    <w:rsid w:val="00C1357E"/>
    <w:rsid w:val="00C1371C"/>
    <w:rsid w:val="00C1377D"/>
    <w:rsid w:val="00C137E7"/>
    <w:rsid w:val="00C138B7"/>
    <w:rsid w:val="00C138F6"/>
    <w:rsid w:val="00C13EC8"/>
    <w:rsid w:val="00C13F06"/>
    <w:rsid w:val="00C1411C"/>
    <w:rsid w:val="00C141D8"/>
    <w:rsid w:val="00C14538"/>
    <w:rsid w:val="00C14BB8"/>
    <w:rsid w:val="00C14BBC"/>
    <w:rsid w:val="00C14C82"/>
    <w:rsid w:val="00C14C95"/>
    <w:rsid w:val="00C14CDE"/>
    <w:rsid w:val="00C151B4"/>
    <w:rsid w:val="00C151D8"/>
    <w:rsid w:val="00C1521E"/>
    <w:rsid w:val="00C15555"/>
    <w:rsid w:val="00C156AE"/>
    <w:rsid w:val="00C156C2"/>
    <w:rsid w:val="00C1573B"/>
    <w:rsid w:val="00C15A16"/>
    <w:rsid w:val="00C15A7B"/>
    <w:rsid w:val="00C15AC4"/>
    <w:rsid w:val="00C15E2B"/>
    <w:rsid w:val="00C15E98"/>
    <w:rsid w:val="00C15FFE"/>
    <w:rsid w:val="00C160C7"/>
    <w:rsid w:val="00C161E7"/>
    <w:rsid w:val="00C16228"/>
    <w:rsid w:val="00C166BD"/>
    <w:rsid w:val="00C1691D"/>
    <w:rsid w:val="00C17407"/>
    <w:rsid w:val="00C176EF"/>
    <w:rsid w:val="00C17790"/>
    <w:rsid w:val="00C1783F"/>
    <w:rsid w:val="00C178FE"/>
    <w:rsid w:val="00C17FB3"/>
    <w:rsid w:val="00C200DD"/>
    <w:rsid w:val="00C201FC"/>
    <w:rsid w:val="00C20253"/>
    <w:rsid w:val="00C20295"/>
    <w:rsid w:val="00C2068A"/>
    <w:rsid w:val="00C20826"/>
    <w:rsid w:val="00C2095C"/>
    <w:rsid w:val="00C209F8"/>
    <w:rsid w:val="00C20A6D"/>
    <w:rsid w:val="00C20BEF"/>
    <w:rsid w:val="00C20D04"/>
    <w:rsid w:val="00C20E1C"/>
    <w:rsid w:val="00C20E9D"/>
    <w:rsid w:val="00C2109F"/>
    <w:rsid w:val="00C21117"/>
    <w:rsid w:val="00C211E8"/>
    <w:rsid w:val="00C21A56"/>
    <w:rsid w:val="00C21B15"/>
    <w:rsid w:val="00C21B4E"/>
    <w:rsid w:val="00C21E4F"/>
    <w:rsid w:val="00C220AB"/>
    <w:rsid w:val="00C22490"/>
    <w:rsid w:val="00C224C0"/>
    <w:rsid w:val="00C22698"/>
    <w:rsid w:val="00C22AB2"/>
    <w:rsid w:val="00C22BD0"/>
    <w:rsid w:val="00C22DA4"/>
    <w:rsid w:val="00C22E07"/>
    <w:rsid w:val="00C2305E"/>
    <w:rsid w:val="00C23223"/>
    <w:rsid w:val="00C2323A"/>
    <w:rsid w:val="00C23348"/>
    <w:rsid w:val="00C23753"/>
    <w:rsid w:val="00C23A73"/>
    <w:rsid w:val="00C23AA1"/>
    <w:rsid w:val="00C23BEE"/>
    <w:rsid w:val="00C23D2D"/>
    <w:rsid w:val="00C240AC"/>
    <w:rsid w:val="00C24144"/>
    <w:rsid w:val="00C2418F"/>
    <w:rsid w:val="00C24D36"/>
    <w:rsid w:val="00C250C1"/>
    <w:rsid w:val="00C2510E"/>
    <w:rsid w:val="00C25195"/>
    <w:rsid w:val="00C252A7"/>
    <w:rsid w:val="00C25421"/>
    <w:rsid w:val="00C2566D"/>
    <w:rsid w:val="00C256FB"/>
    <w:rsid w:val="00C2570E"/>
    <w:rsid w:val="00C2631E"/>
    <w:rsid w:val="00C26358"/>
    <w:rsid w:val="00C264C1"/>
    <w:rsid w:val="00C26714"/>
    <w:rsid w:val="00C26BF8"/>
    <w:rsid w:val="00C27087"/>
    <w:rsid w:val="00C271AC"/>
    <w:rsid w:val="00C2728B"/>
    <w:rsid w:val="00C2729A"/>
    <w:rsid w:val="00C272A4"/>
    <w:rsid w:val="00C272F4"/>
    <w:rsid w:val="00C2730C"/>
    <w:rsid w:val="00C2748F"/>
    <w:rsid w:val="00C274AB"/>
    <w:rsid w:val="00C27888"/>
    <w:rsid w:val="00C2789F"/>
    <w:rsid w:val="00C278FB"/>
    <w:rsid w:val="00C27986"/>
    <w:rsid w:val="00C27A8B"/>
    <w:rsid w:val="00C27B12"/>
    <w:rsid w:val="00C3012F"/>
    <w:rsid w:val="00C304BA"/>
    <w:rsid w:val="00C30699"/>
    <w:rsid w:val="00C30917"/>
    <w:rsid w:val="00C30A2D"/>
    <w:rsid w:val="00C30B98"/>
    <w:rsid w:val="00C30DD1"/>
    <w:rsid w:val="00C31158"/>
    <w:rsid w:val="00C313F5"/>
    <w:rsid w:val="00C31600"/>
    <w:rsid w:val="00C3169C"/>
    <w:rsid w:val="00C317EB"/>
    <w:rsid w:val="00C318D9"/>
    <w:rsid w:val="00C31906"/>
    <w:rsid w:val="00C31926"/>
    <w:rsid w:val="00C31960"/>
    <w:rsid w:val="00C31AB7"/>
    <w:rsid w:val="00C31BD0"/>
    <w:rsid w:val="00C31C75"/>
    <w:rsid w:val="00C31F5E"/>
    <w:rsid w:val="00C321D8"/>
    <w:rsid w:val="00C3234D"/>
    <w:rsid w:val="00C32497"/>
    <w:rsid w:val="00C32617"/>
    <w:rsid w:val="00C3294B"/>
    <w:rsid w:val="00C329C5"/>
    <w:rsid w:val="00C32A7B"/>
    <w:rsid w:val="00C32ABD"/>
    <w:rsid w:val="00C32C5B"/>
    <w:rsid w:val="00C32D05"/>
    <w:rsid w:val="00C32D5E"/>
    <w:rsid w:val="00C32FAB"/>
    <w:rsid w:val="00C32FBD"/>
    <w:rsid w:val="00C33152"/>
    <w:rsid w:val="00C3335B"/>
    <w:rsid w:val="00C33889"/>
    <w:rsid w:val="00C339A7"/>
    <w:rsid w:val="00C33BAC"/>
    <w:rsid w:val="00C33C8B"/>
    <w:rsid w:val="00C33E99"/>
    <w:rsid w:val="00C33F53"/>
    <w:rsid w:val="00C34082"/>
    <w:rsid w:val="00C340D1"/>
    <w:rsid w:val="00C34241"/>
    <w:rsid w:val="00C3437A"/>
    <w:rsid w:val="00C3448A"/>
    <w:rsid w:val="00C346D8"/>
    <w:rsid w:val="00C3477F"/>
    <w:rsid w:val="00C34858"/>
    <w:rsid w:val="00C34921"/>
    <w:rsid w:val="00C34A6E"/>
    <w:rsid w:val="00C34E77"/>
    <w:rsid w:val="00C34FB3"/>
    <w:rsid w:val="00C351DF"/>
    <w:rsid w:val="00C352E7"/>
    <w:rsid w:val="00C35380"/>
    <w:rsid w:val="00C353CF"/>
    <w:rsid w:val="00C3544E"/>
    <w:rsid w:val="00C35488"/>
    <w:rsid w:val="00C35497"/>
    <w:rsid w:val="00C3569B"/>
    <w:rsid w:val="00C356D8"/>
    <w:rsid w:val="00C3589E"/>
    <w:rsid w:val="00C35CF3"/>
    <w:rsid w:val="00C35E2B"/>
    <w:rsid w:val="00C36385"/>
    <w:rsid w:val="00C3638F"/>
    <w:rsid w:val="00C36575"/>
    <w:rsid w:val="00C365CB"/>
    <w:rsid w:val="00C367FE"/>
    <w:rsid w:val="00C36BD2"/>
    <w:rsid w:val="00C36D25"/>
    <w:rsid w:val="00C370CE"/>
    <w:rsid w:val="00C37492"/>
    <w:rsid w:val="00C374CC"/>
    <w:rsid w:val="00C37751"/>
    <w:rsid w:val="00C37B91"/>
    <w:rsid w:val="00C37EC5"/>
    <w:rsid w:val="00C40058"/>
    <w:rsid w:val="00C40218"/>
    <w:rsid w:val="00C405A0"/>
    <w:rsid w:val="00C40842"/>
    <w:rsid w:val="00C40982"/>
    <w:rsid w:val="00C40D90"/>
    <w:rsid w:val="00C40E20"/>
    <w:rsid w:val="00C40F45"/>
    <w:rsid w:val="00C40FB0"/>
    <w:rsid w:val="00C410DA"/>
    <w:rsid w:val="00C412D2"/>
    <w:rsid w:val="00C4151F"/>
    <w:rsid w:val="00C41528"/>
    <w:rsid w:val="00C4186E"/>
    <w:rsid w:val="00C418DC"/>
    <w:rsid w:val="00C4192F"/>
    <w:rsid w:val="00C41BCC"/>
    <w:rsid w:val="00C41D5B"/>
    <w:rsid w:val="00C41D6B"/>
    <w:rsid w:val="00C41E54"/>
    <w:rsid w:val="00C42065"/>
    <w:rsid w:val="00C421AE"/>
    <w:rsid w:val="00C421B2"/>
    <w:rsid w:val="00C42213"/>
    <w:rsid w:val="00C42243"/>
    <w:rsid w:val="00C42255"/>
    <w:rsid w:val="00C42542"/>
    <w:rsid w:val="00C429E3"/>
    <w:rsid w:val="00C42D0F"/>
    <w:rsid w:val="00C42F41"/>
    <w:rsid w:val="00C4304E"/>
    <w:rsid w:val="00C43086"/>
    <w:rsid w:val="00C431DA"/>
    <w:rsid w:val="00C4320C"/>
    <w:rsid w:val="00C43539"/>
    <w:rsid w:val="00C4355D"/>
    <w:rsid w:val="00C435D8"/>
    <w:rsid w:val="00C43624"/>
    <w:rsid w:val="00C436E3"/>
    <w:rsid w:val="00C43810"/>
    <w:rsid w:val="00C439C4"/>
    <w:rsid w:val="00C43C8D"/>
    <w:rsid w:val="00C43CBA"/>
    <w:rsid w:val="00C4421F"/>
    <w:rsid w:val="00C44498"/>
    <w:rsid w:val="00C44517"/>
    <w:rsid w:val="00C4487F"/>
    <w:rsid w:val="00C448CC"/>
    <w:rsid w:val="00C4497A"/>
    <w:rsid w:val="00C449CA"/>
    <w:rsid w:val="00C44AD3"/>
    <w:rsid w:val="00C44C85"/>
    <w:rsid w:val="00C44EED"/>
    <w:rsid w:val="00C451A5"/>
    <w:rsid w:val="00C45252"/>
    <w:rsid w:val="00C45374"/>
    <w:rsid w:val="00C458CE"/>
    <w:rsid w:val="00C45940"/>
    <w:rsid w:val="00C4595E"/>
    <w:rsid w:val="00C45AD2"/>
    <w:rsid w:val="00C45DEE"/>
    <w:rsid w:val="00C45EFA"/>
    <w:rsid w:val="00C46288"/>
    <w:rsid w:val="00C46343"/>
    <w:rsid w:val="00C466F7"/>
    <w:rsid w:val="00C46727"/>
    <w:rsid w:val="00C467F5"/>
    <w:rsid w:val="00C46936"/>
    <w:rsid w:val="00C46B7D"/>
    <w:rsid w:val="00C46BBE"/>
    <w:rsid w:val="00C46F5E"/>
    <w:rsid w:val="00C46FFB"/>
    <w:rsid w:val="00C472F6"/>
    <w:rsid w:val="00C47502"/>
    <w:rsid w:val="00C4760A"/>
    <w:rsid w:val="00C47664"/>
    <w:rsid w:val="00C477AA"/>
    <w:rsid w:val="00C478FE"/>
    <w:rsid w:val="00C47946"/>
    <w:rsid w:val="00C47CB1"/>
    <w:rsid w:val="00C47E38"/>
    <w:rsid w:val="00C47FB0"/>
    <w:rsid w:val="00C47FFC"/>
    <w:rsid w:val="00C500E5"/>
    <w:rsid w:val="00C502D0"/>
    <w:rsid w:val="00C50450"/>
    <w:rsid w:val="00C50521"/>
    <w:rsid w:val="00C50670"/>
    <w:rsid w:val="00C50ADC"/>
    <w:rsid w:val="00C50BB2"/>
    <w:rsid w:val="00C50C35"/>
    <w:rsid w:val="00C50CBC"/>
    <w:rsid w:val="00C50EBB"/>
    <w:rsid w:val="00C50F0E"/>
    <w:rsid w:val="00C50F6D"/>
    <w:rsid w:val="00C51217"/>
    <w:rsid w:val="00C5131E"/>
    <w:rsid w:val="00C51538"/>
    <w:rsid w:val="00C5156C"/>
    <w:rsid w:val="00C516E9"/>
    <w:rsid w:val="00C5179F"/>
    <w:rsid w:val="00C517E6"/>
    <w:rsid w:val="00C51E0E"/>
    <w:rsid w:val="00C51FF9"/>
    <w:rsid w:val="00C52219"/>
    <w:rsid w:val="00C5259E"/>
    <w:rsid w:val="00C52751"/>
    <w:rsid w:val="00C527F1"/>
    <w:rsid w:val="00C5280C"/>
    <w:rsid w:val="00C5295B"/>
    <w:rsid w:val="00C529AD"/>
    <w:rsid w:val="00C52EE1"/>
    <w:rsid w:val="00C52F8E"/>
    <w:rsid w:val="00C5307D"/>
    <w:rsid w:val="00C53366"/>
    <w:rsid w:val="00C5336A"/>
    <w:rsid w:val="00C53569"/>
    <w:rsid w:val="00C5381F"/>
    <w:rsid w:val="00C53B7E"/>
    <w:rsid w:val="00C53E59"/>
    <w:rsid w:val="00C53F80"/>
    <w:rsid w:val="00C54110"/>
    <w:rsid w:val="00C541A2"/>
    <w:rsid w:val="00C5446E"/>
    <w:rsid w:val="00C5453F"/>
    <w:rsid w:val="00C545DE"/>
    <w:rsid w:val="00C54617"/>
    <w:rsid w:val="00C54619"/>
    <w:rsid w:val="00C54662"/>
    <w:rsid w:val="00C546BE"/>
    <w:rsid w:val="00C54702"/>
    <w:rsid w:val="00C54BC2"/>
    <w:rsid w:val="00C54E4F"/>
    <w:rsid w:val="00C54EE5"/>
    <w:rsid w:val="00C55120"/>
    <w:rsid w:val="00C55255"/>
    <w:rsid w:val="00C552AE"/>
    <w:rsid w:val="00C55614"/>
    <w:rsid w:val="00C55637"/>
    <w:rsid w:val="00C558FF"/>
    <w:rsid w:val="00C5590A"/>
    <w:rsid w:val="00C55921"/>
    <w:rsid w:val="00C55B0C"/>
    <w:rsid w:val="00C55CC8"/>
    <w:rsid w:val="00C55F0C"/>
    <w:rsid w:val="00C56256"/>
    <w:rsid w:val="00C5692E"/>
    <w:rsid w:val="00C569C6"/>
    <w:rsid w:val="00C569EC"/>
    <w:rsid w:val="00C57157"/>
    <w:rsid w:val="00C5720E"/>
    <w:rsid w:val="00C5740B"/>
    <w:rsid w:val="00C57428"/>
    <w:rsid w:val="00C57544"/>
    <w:rsid w:val="00C5756A"/>
    <w:rsid w:val="00C57648"/>
    <w:rsid w:val="00C577CD"/>
    <w:rsid w:val="00C579F2"/>
    <w:rsid w:val="00C57AA5"/>
    <w:rsid w:val="00C57DA3"/>
    <w:rsid w:val="00C57DBC"/>
    <w:rsid w:val="00C57E3A"/>
    <w:rsid w:val="00C606FB"/>
    <w:rsid w:val="00C607A8"/>
    <w:rsid w:val="00C60ADE"/>
    <w:rsid w:val="00C60B2F"/>
    <w:rsid w:val="00C60C64"/>
    <w:rsid w:val="00C60D74"/>
    <w:rsid w:val="00C60E3F"/>
    <w:rsid w:val="00C61212"/>
    <w:rsid w:val="00C614F6"/>
    <w:rsid w:val="00C6187B"/>
    <w:rsid w:val="00C61EA0"/>
    <w:rsid w:val="00C61F66"/>
    <w:rsid w:val="00C623F0"/>
    <w:rsid w:val="00C62405"/>
    <w:rsid w:val="00C624CD"/>
    <w:rsid w:val="00C62657"/>
    <w:rsid w:val="00C628D3"/>
    <w:rsid w:val="00C629F2"/>
    <w:rsid w:val="00C62A2A"/>
    <w:rsid w:val="00C62B06"/>
    <w:rsid w:val="00C62BC3"/>
    <w:rsid w:val="00C62C49"/>
    <w:rsid w:val="00C62CAC"/>
    <w:rsid w:val="00C62CCC"/>
    <w:rsid w:val="00C6319D"/>
    <w:rsid w:val="00C63312"/>
    <w:rsid w:val="00C634A4"/>
    <w:rsid w:val="00C636B1"/>
    <w:rsid w:val="00C63710"/>
    <w:rsid w:val="00C637F8"/>
    <w:rsid w:val="00C638F1"/>
    <w:rsid w:val="00C63AF1"/>
    <w:rsid w:val="00C63C75"/>
    <w:rsid w:val="00C64025"/>
    <w:rsid w:val="00C641B9"/>
    <w:rsid w:val="00C64441"/>
    <w:rsid w:val="00C6444D"/>
    <w:rsid w:val="00C64876"/>
    <w:rsid w:val="00C64986"/>
    <w:rsid w:val="00C649BE"/>
    <w:rsid w:val="00C64A88"/>
    <w:rsid w:val="00C64A96"/>
    <w:rsid w:val="00C64EEB"/>
    <w:rsid w:val="00C65341"/>
    <w:rsid w:val="00C65516"/>
    <w:rsid w:val="00C65577"/>
    <w:rsid w:val="00C655D0"/>
    <w:rsid w:val="00C6569A"/>
    <w:rsid w:val="00C656DF"/>
    <w:rsid w:val="00C65B87"/>
    <w:rsid w:val="00C65BAA"/>
    <w:rsid w:val="00C65D14"/>
    <w:rsid w:val="00C65EDD"/>
    <w:rsid w:val="00C65F5F"/>
    <w:rsid w:val="00C660D1"/>
    <w:rsid w:val="00C66175"/>
    <w:rsid w:val="00C66289"/>
    <w:rsid w:val="00C662C6"/>
    <w:rsid w:val="00C664C5"/>
    <w:rsid w:val="00C668CD"/>
    <w:rsid w:val="00C669D3"/>
    <w:rsid w:val="00C66AB5"/>
    <w:rsid w:val="00C66C60"/>
    <w:rsid w:val="00C66F4C"/>
    <w:rsid w:val="00C670C5"/>
    <w:rsid w:val="00C6746C"/>
    <w:rsid w:val="00C6748F"/>
    <w:rsid w:val="00C674F6"/>
    <w:rsid w:val="00C6790C"/>
    <w:rsid w:val="00C67940"/>
    <w:rsid w:val="00C679D8"/>
    <w:rsid w:val="00C67A09"/>
    <w:rsid w:val="00C67B2E"/>
    <w:rsid w:val="00C703E4"/>
    <w:rsid w:val="00C70424"/>
    <w:rsid w:val="00C704FB"/>
    <w:rsid w:val="00C705A7"/>
    <w:rsid w:val="00C707AA"/>
    <w:rsid w:val="00C70DD0"/>
    <w:rsid w:val="00C71805"/>
    <w:rsid w:val="00C71CB6"/>
    <w:rsid w:val="00C71E61"/>
    <w:rsid w:val="00C71FF4"/>
    <w:rsid w:val="00C72170"/>
    <w:rsid w:val="00C7223C"/>
    <w:rsid w:val="00C72267"/>
    <w:rsid w:val="00C72579"/>
    <w:rsid w:val="00C72622"/>
    <w:rsid w:val="00C7268C"/>
    <w:rsid w:val="00C7272A"/>
    <w:rsid w:val="00C72872"/>
    <w:rsid w:val="00C728C1"/>
    <w:rsid w:val="00C72B7A"/>
    <w:rsid w:val="00C72D1C"/>
    <w:rsid w:val="00C72D9E"/>
    <w:rsid w:val="00C72DEF"/>
    <w:rsid w:val="00C72EF4"/>
    <w:rsid w:val="00C731C3"/>
    <w:rsid w:val="00C73302"/>
    <w:rsid w:val="00C73385"/>
    <w:rsid w:val="00C73540"/>
    <w:rsid w:val="00C73591"/>
    <w:rsid w:val="00C73671"/>
    <w:rsid w:val="00C73BCB"/>
    <w:rsid w:val="00C73E1C"/>
    <w:rsid w:val="00C74619"/>
    <w:rsid w:val="00C747F6"/>
    <w:rsid w:val="00C74AA4"/>
    <w:rsid w:val="00C74C26"/>
    <w:rsid w:val="00C74CCD"/>
    <w:rsid w:val="00C75004"/>
    <w:rsid w:val="00C7501B"/>
    <w:rsid w:val="00C7506C"/>
    <w:rsid w:val="00C7559E"/>
    <w:rsid w:val="00C75A5A"/>
    <w:rsid w:val="00C75CD7"/>
    <w:rsid w:val="00C76258"/>
    <w:rsid w:val="00C76463"/>
    <w:rsid w:val="00C7647B"/>
    <w:rsid w:val="00C7692C"/>
    <w:rsid w:val="00C76A38"/>
    <w:rsid w:val="00C76A3D"/>
    <w:rsid w:val="00C76ADC"/>
    <w:rsid w:val="00C76D9C"/>
    <w:rsid w:val="00C772AE"/>
    <w:rsid w:val="00C77386"/>
    <w:rsid w:val="00C77458"/>
    <w:rsid w:val="00C77AA0"/>
    <w:rsid w:val="00C77CF4"/>
    <w:rsid w:val="00C77DE2"/>
    <w:rsid w:val="00C80339"/>
    <w:rsid w:val="00C80433"/>
    <w:rsid w:val="00C804BC"/>
    <w:rsid w:val="00C80894"/>
    <w:rsid w:val="00C816A6"/>
    <w:rsid w:val="00C81702"/>
    <w:rsid w:val="00C817DD"/>
    <w:rsid w:val="00C818F9"/>
    <w:rsid w:val="00C819B0"/>
    <w:rsid w:val="00C81AFE"/>
    <w:rsid w:val="00C81B9D"/>
    <w:rsid w:val="00C81D6B"/>
    <w:rsid w:val="00C81ED0"/>
    <w:rsid w:val="00C81EF4"/>
    <w:rsid w:val="00C81F7D"/>
    <w:rsid w:val="00C82174"/>
    <w:rsid w:val="00C822EE"/>
    <w:rsid w:val="00C8230D"/>
    <w:rsid w:val="00C824D0"/>
    <w:rsid w:val="00C82628"/>
    <w:rsid w:val="00C827FE"/>
    <w:rsid w:val="00C82938"/>
    <w:rsid w:val="00C82BC3"/>
    <w:rsid w:val="00C82D21"/>
    <w:rsid w:val="00C8310E"/>
    <w:rsid w:val="00C832ED"/>
    <w:rsid w:val="00C83390"/>
    <w:rsid w:val="00C835F1"/>
    <w:rsid w:val="00C83976"/>
    <w:rsid w:val="00C83A52"/>
    <w:rsid w:val="00C84042"/>
    <w:rsid w:val="00C84410"/>
    <w:rsid w:val="00C84461"/>
    <w:rsid w:val="00C845D3"/>
    <w:rsid w:val="00C84730"/>
    <w:rsid w:val="00C84B04"/>
    <w:rsid w:val="00C84E61"/>
    <w:rsid w:val="00C84F49"/>
    <w:rsid w:val="00C84FE4"/>
    <w:rsid w:val="00C85181"/>
    <w:rsid w:val="00C85203"/>
    <w:rsid w:val="00C8522D"/>
    <w:rsid w:val="00C8526E"/>
    <w:rsid w:val="00C85760"/>
    <w:rsid w:val="00C85860"/>
    <w:rsid w:val="00C85873"/>
    <w:rsid w:val="00C85FCE"/>
    <w:rsid w:val="00C86329"/>
    <w:rsid w:val="00C863C3"/>
    <w:rsid w:val="00C86455"/>
    <w:rsid w:val="00C86590"/>
    <w:rsid w:val="00C868A7"/>
    <w:rsid w:val="00C869A0"/>
    <w:rsid w:val="00C86AAF"/>
    <w:rsid w:val="00C86B06"/>
    <w:rsid w:val="00C86D8D"/>
    <w:rsid w:val="00C87015"/>
    <w:rsid w:val="00C87522"/>
    <w:rsid w:val="00C87548"/>
    <w:rsid w:val="00C87566"/>
    <w:rsid w:val="00C87658"/>
    <w:rsid w:val="00C87665"/>
    <w:rsid w:val="00C8792D"/>
    <w:rsid w:val="00C87B43"/>
    <w:rsid w:val="00C87D28"/>
    <w:rsid w:val="00C87F6E"/>
    <w:rsid w:val="00C905F7"/>
    <w:rsid w:val="00C9068C"/>
    <w:rsid w:val="00C908E8"/>
    <w:rsid w:val="00C90FDE"/>
    <w:rsid w:val="00C9130E"/>
    <w:rsid w:val="00C9131A"/>
    <w:rsid w:val="00C915A1"/>
    <w:rsid w:val="00C91961"/>
    <w:rsid w:val="00C91B36"/>
    <w:rsid w:val="00C92022"/>
    <w:rsid w:val="00C9214F"/>
    <w:rsid w:val="00C921E3"/>
    <w:rsid w:val="00C92382"/>
    <w:rsid w:val="00C927EB"/>
    <w:rsid w:val="00C928B4"/>
    <w:rsid w:val="00C92B29"/>
    <w:rsid w:val="00C92BB6"/>
    <w:rsid w:val="00C92D61"/>
    <w:rsid w:val="00C92E43"/>
    <w:rsid w:val="00C92E7C"/>
    <w:rsid w:val="00C92E99"/>
    <w:rsid w:val="00C93160"/>
    <w:rsid w:val="00C93517"/>
    <w:rsid w:val="00C93B6A"/>
    <w:rsid w:val="00C93E82"/>
    <w:rsid w:val="00C94076"/>
    <w:rsid w:val="00C9420B"/>
    <w:rsid w:val="00C94268"/>
    <w:rsid w:val="00C942C4"/>
    <w:rsid w:val="00C94416"/>
    <w:rsid w:val="00C94457"/>
    <w:rsid w:val="00C9473F"/>
    <w:rsid w:val="00C9482F"/>
    <w:rsid w:val="00C94B45"/>
    <w:rsid w:val="00C9520B"/>
    <w:rsid w:val="00C952B4"/>
    <w:rsid w:val="00C955C8"/>
    <w:rsid w:val="00C9573D"/>
    <w:rsid w:val="00C95980"/>
    <w:rsid w:val="00C95A8A"/>
    <w:rsid w:val="00C95BEF"/>
    <w:rsid w:val="00C95D77"/>
    <w:rsid w:val="00C9636F"/>
    <w:rsid w:val="00C96517"/>
    <w:rsid w:val="00C96875"/>
    <w:rsid w:val="00C968AB"/>
    <w:rsid w:val="00C96A7A"/>
    <w:rsid w:val="00C96B0E"/>
    <w:rsid w:val="00C96C0A"/>
    <w:rsid w:val="00C96C3F"/>
    <w:rsid w:val="00C96D98"/>
    <w:rsid w:val="00C96DEB"/>
    <w:rsid w:val="00C96F39"/>
    <w:rsid w:val="00C96FA4"/>
    <w:rsid w:val="00C96FD7"/>
    <w:rsid w:val="00C971A7"/>
    <w:rsid w:val="00C972E2"/>
    <w:rsid w:val="00C9774F"/>
    <w:rsid w:val="00C97D4D"/>
    <w:rsid w:val="00C97D81"/>
    <w:rsid w:val="00C98F70"/>
    <w:rsid w:val="00CA0183"/>
    <w:rsid w:val="00CA03EB"/>
    <w:rsid w:val="00CA04FB"/>
    <w:rsid w:val="00CA0544"/>
    <w:rsid w:val="00CA0A5D"/>
    <w:rsid w:val="00CA0AED"/>
    <w:rsid w:val="00CA0C60"/>
    <w:rsid w:val="00CA0E18"/>
    <w:rsid w:val="00CA157E"/>
    <w:rsid w:val="00CA17C1"/>
    <w:rsid w:val="00CA1B85"/>
    <w:rsid w:val="00CA1D3C"/>
    <w:rsid w:val="00CA1E29"/>
    <w:rsid w:val="00CA23AE"/>
    <w:rsid w:val="00CA25F0"/>
    <w:rsid w:val="00CA275D"/>
    <w:rsid w:val="00CA2765"/>
    <w:rsid w:val="00CA2877"/>
    <w:rsid w:val="00CA28BF"/>
    <w:rsid w:val="00CA2A6D"/>
    <w:rsid w:val="00CA2BB4"/>
    <w:rsid w:val="00CA2BD4"/>
    <w:rsid w:val="00CA2FC8"/>
    <w:rsid w:val="00CA2FE1"/>
    <w:rsid w:val="00CA302B"/>
    <w:rsid w:val="00CA31D3"/>
    <w:rsid w:val="00CA31FB"/>
    <w:rsid w:val="00CA327E"/>
    <w:rsid w:val="00CA3470"/>
    <w:rsid w:val="00CA3484"/>
    <w:rsid w:val="00CA34CD"/>
    <w:rsid w:val="00CA383F"/>
    <w:rsid w:val="00CA3B24"/>
    <w:rsid w:val="00CA3B26"/>
    <w:rsid w:val="00CA3B2A"/>
    <w:rsid w:val="00CA3BA3"/>
    <w:rsid w:val="00CA428D"/>
    <w:rsid w:val="00CA439D"/>
    <w:rsid w:val="00CA43A9"/>
    <w:rsid w:val="00CA4738"/>
    <w:rsid w:val="00CA49A2"/>
    <w:rsid w:val="00CA4A9E"/>
    <w:rsid w:val="00CA4B39"/>
    <w:rsid w:val="00CA4C08"/>
    <w:rsid w:val="00CA4DDE"/>
    <w:rsid w:val="00CA4F2E"/>
    <w:rsid w:val="00CA5082"/>
    <w:rsid w:val="00CA522C"/>
    <w:rsid w:val="00CA54D8"/>
    <w:rsid w:val="00CA56ED"/>
    <w:rsid w:val="00CA57D2"/>
    <w:rsid w:val="00CA57FF"/>
    <w:rsid w:val="00CA59A2"/>
    <w:rsid w:val="00CA5B76"/>
    <w:rsid w:val="00CA5E17"/>
    <w:rsid w:val="00CA5F42"/>
    <w:rsid w:val="00CA5FC4"/>
    <w:rsid w:val="00CA608F"/>
    <w:rsid w:val="00CA609F"/>
    <w:rsid w:val="00CA6468"/>
    <w:rsid w:val="00CA6864"/>
    <w:rsid w:val="00CA6DD8"/>
    <w:rsid w:val="00CA6E12"/>
    <w:rsid w:val="00CA7033"/>
    <w:rsid w:val="00CA760E"/>
    <w:rsid w:val="00CA772D"/>
    <w:rsid w:val="00CA7929"/>
    <w:rsid w:val="00CA7A1D"/>
    <w:rsid w:val="00CA7ECD"/>
    <w:rsid w:val="00CA7F50"/>
    <w:rsid w:val="00CAF8E0"/>
    <w:rsid w:val="00CB0363"/>
    <w:rsid w:val="00CB0518"/>
    <w:rsid w:val="00CB0B8D"/>
    <w:rsid w:val="00CB0D30"/>
    <w:rsid w:val="00CB0E12"/>
    <w:rsid w:val="00CB1095"/>
    <w:rsid w:val="00CB1104"/>
    <w:rsid w:val="00CB114A"/>
    <w:rsid w:val="00CB12BA"/>
    <w:rsid w:val="00CB1444"/>
    <w:rsid w:val="00CB1448"/>
    <w:rsid w:val="00CB16A8"/>
    <w:rsid w:val="00CB180B"/>
    <w:rsid w:val="00CB1A02"/>
    <w:rsid w:val="00CB1D16"/>
    <w:rsid w:val="00CB205D"/>
    <w:rsid w:val="00CB2136"/>
    <w:rsid w:val="00CB2182"/>
    <w:rsid w:val="00CB24E2"/>
    <w:rsid w:val="00CB2528"/>
    <w:rsid w:val="00CB2D83"/>
    <w:rsid w:val="00CB2F90"/>
    <w:rsid w:val="00CB2FED"/>
    <w:rsid w:val="00CB3058"/>
    <w:rsid w:val="00CB312A"/>
    <w:rsid w:val="00CB314C"/>
    <w:rsid w:val="00CB332F"/>
    <w:rsid w:val="00CB3566"/>
    <w:rsid w:val="00CB3B19"/>
    <w:rsid w:val="00CB3C24"/>
    <w:rsid w:val="00CB3CF0"/>
    <w:rsid w:val="00CB3E05"/>
    <w:rsid w:val="00CB3F27"/>
    <w:rsid w:val="00CB404F"/>
    <w:rsid w:val="00CB438A"/>
    <w:rsid w:val="00CB44F4"/>
    <w:rsid w:val="00CB4507"/>
    <w:rsid w:val="00CB453B"/>
    <w:rsid w:val="00CB4867"/>
    <w:rsid w:val="00CB49B5"/>
    <w:rsid w:val="00CB4AEF"/>
    <w:rsid w:val="00CB4DF8"/>
    <w:rsid w:val="00CB4EC0"/>
    <w:rsid w:val="00CB4F80"/>
    <w:rsid w:val="00CB5302"/>
    <w:rsid w:val="00CB5406"/>
    <w:rsid w:val="00CB56B0"/>
    <w:rsid w:val="00CB5B60"/>
    <w:rsid w:val="00CB5CBD"/>
    <w:rsid w:val="00CB5E49"/>
    <w:rsid w:val="00CB5FEF"/>
    <w:rsid w:val="00CB6062"/>
    <w:rsid w:val="00CB6244"/>
    <w:rsid w:val="00CB62F8"/>
    <w:rsid w:val="00CB6535"/>
    <w:rsid w:val="00CB67ED"/>
    <w:rsid w:val="00CB6910"/>
    <w:rsid w:val="00CB6A0D"/>
    <w:rsid w:val="00CB6C31"/>
    <w:rsid w:val="00CB6F91"/>
    <w:rsid w:val="00CB71C4"/>
    <w:rsid w:val="00CB71C8"/>
    <w:rsid w:val="00CB71FD"/>
    <w:rsid w:val="00CB7326"/>
    <w:rsid w:val="00CB732A"/>
    <w:rsid w:val="00CB7B8A"/>
    <w:rsid w:val="00CB7C6A"/>
    <w:rsid w:val="00CB939C"/>
    <w:rsid w:val="00CC0048"/>
    <w:rsid w:val="00CC00DE"/>
    <w:rsid w:val="00CC0373"/>
    <w:rsid w:val="00CC05C2"/>
    <w:rsid w:val="00CC0784"/>
    <w:rsid w:val="00CC07A7"/>
    <w:rsid w:val="00CC0A1E"/>
    <w:rsid w:val="00CC0CF7"/>
    <w:rsid w:val="00CC0EF2"/>
    <w:rsid w:val="00CC0F28"/>
    <w:rsid w:val="00CC0FAC"/>
    <w:rsid w:val="00CC1114"/>
    <w:rsid w:val="00CC12FE"/>
    <w:rsid w:val="00CC13ED"/>
    <w:rsid w:val="00CC173B"/>
    <w:rsid w:val="00CC17E5"/>
    <w:rsid w:val="00CC19CC"/>
    <w:rsid w:val="00CC1AC2"/>
    <w:rsid w:val="00CC1B02"/>
    <w:rsid w:val="00CC1B36"/>
    <w:rsid w:val="00CC1C19"/>
    <w:rsid w:val="00CC1FDE"/>
    <w:rsid w:val="00CC208C"/>
    <w:rsid w:val="00CC20C4"/>
    <w:rsid w:val="00CC2281"/>
    <w:rsid w:val="00CC22F2"/>
    <w:rsid w:val="00CC23E8"/>
    <w:rsid w:val="00CC272C"/>
    <w:rsid w:val="00CC29CB"/>
    <w:rsid w:val="00CC2C05"/>
    <w:rsid w:val="00CC2CCD"/>
    <w:rsid w:val="00CC2E14"/>
    <w:rsid w:val="00CC2FCF"/>
    <w:rsid w:val="00CC3346"/>
    <w:rsid w:val="00CC33B5"/>
    <w:rsid w:val="00CC368A"/>
    <w:rsid w:val="00CC37EC"/>
    <w:rsid w:val="00CC3945"/>
    <w:rsid w:val="00CC3A15"/>
    <w:rsid w:val="00CC3C2B"/>
    <w:rsid w:val="00CC3E60"/>
    <w:rsid w:val="00CC3F41"/>
    <w:rsid w:val="00CC42AA"/>
    <w:rsid w:val="00CC455E"/>
    <w:rsid w:val="00CC4621"/>
    <w:rsid w:val="00CC4A64"/>
    <w:rsid w:val="00CC4AAA"/>
    <w:rsid w:val="00CC4D61"/>
    <w:rsid w:val="00CC5586"/>
    <w:rsid w:val="00CC55E0"/>
    <w:rsid w:val="00CC58E8"/>
    <w:rsid w:val="00CC5A22"/>
    <w:rsid w:val="00CC5EBF"/>
    <w:rsid w:val="00CC5F74"/>
    <w:rsid w:val="00CC60D2"/>
    <w:rsid w:val="00CC6176"/>
    <w:rsid w:val="00CC6190"/>
    <w:rsid w:val="00CC6232"/>
    <w:rsid w:val="00CC636E"/>
    <w:rsid w:val="00CC6518"/>
    <w:rsid w:val="00CC6709"/>
    <w:rsid w:val="00CC68EA"/>
    <w:rsid w:val="00CC6E15"/>
    <w:rsid w:val="00CC6EF0"/>
    <w:rsid w:val="00CC70DB"/>
    <w:rsid w:val="00CC72C9"/>
    <w:rsid w:val="00CC72FB"/>
    <w:rsid w:val="00CC75DD"/>
    <w:rsid w:val="00CC76FC"/>
    <w:rsid w:val="00CC7A66"/>
    <w:rsid w:val="00CC7CE6"/>
    <w:rsid w:val="00CC7DDB"/>
    <w:rsid w:val="00CC7E4C"/>
    <w:rsid w:val="00CC7F79"/>
    <w:rsid w:val="00CC7FA2"/>
    <w:rsid w:val="00CD03F9"/>
    <w:rsid w:val="00CD0430"/>
    <w:rsid w:val="00CD046C"/>
    <w:rsid w:val="00CD0B4A"/>
    <w:rsid w:val="00CD104E"/>
    <w:rsid w:val="00CD1474"/>
    <w:rsid w:val="00CD1880"/>
    <w:rsid w:val="00CD1B79"/>
    <w:rsid w:val="00CD1BE4"/>
    <w:rsid w:val="00CD1D65"/>
    <w:rsid w:val="00CD1DFD"/>
    <w:rsid w:val="00CD1E99"/>
    <w:rsid w:val="00CD210F"/>
    <w:rsid w:val="00CD2210"/>
    <w:rsid w:val="00CD2275"/>
    <w:rsid w:val="00CD22A4"/>
    <w:rsid w:val="00CD242E"/>
    <w:rsid w:val="00CD25F8"/>
    <w:rsid w:val="00CD2670"/>
    <w:rsid w:val="00CD2863"/>
    <w:rsid w:val="00CD28D9"/>
    <w:rsid w:val="00CD2D19"/>
    <w:rsid w:val="00CD2DA4"/>
    <w:rsid w:val="00CD2E5F"/>
    <w:rsid w:val="00CD2EA8"/>
    <w:rsid w:val="00CD2F0D"/>
    <w:rsid w:val="00CD319F"/>
    <w:rsid w:val="00CD3265"/>
    <w:rsid w:val="00CD3A14"/>
    <w:rsid w:val="00CD3E81"/>
    <w:rsid w:val="00CD3FF8"/>
    <w:rsid w:val="00CD425D"/>
    <w:rsid w:val="00CD449E"/>
    <w:rsid w:val="00CD45AE"/>
    <w:rsid w:val="00CD45B3"/>
    <w:rsid w:val="00CD45FF"/>
    <w:rsid w:val="00CD46F4"/>
    <w:rsid w:val="00CD4927"/>
    <w:rsid w:val="00CD4A01"/>
    <w:rsid w:val="00CD4A7A"/>
    <w:rsid w:val="00CD4CFA"/>
    <w:rsid w:val="00CD4D13"/>
    <w:rsid w:val="00CD528B"/>
    <w:rsid w:val="00CD5531"/>
    <w:rsid w:val="00CD5903"/>
    <w:rsid w:val="00CD59E0"/>
    <w:rsid w:val="00CD5AC9"/>
    <w:rsid w:val="00CD5B44"/>
    <w:rsid w:val="00CD6469"/>
    <w:rsid w:val="00CD653D"/>
    <w:rsid w:val="00CD6E0E"/>
    <w:rsid w:val="00CD6E83"/>
    <w:rsid w:val="00CD6F40"/>
    <w:rsid w:val="00CD73BB"/>
    <w:rsid w:val="00CD74A8"/>
    <w:rsid w:val="00CD779C"/>
    <w:rsid w:val="00CD7BD0"/>
    <w:rsid w:val="00CD7E20"/>
    <w:rsid w:val="00CE0294"/>
    <w:rsid w:val="00CE0344"/>
    <w:rsid w:val="00CE0449"/>
    <w:rsid w:val="00CE056C"/>
    <w:rsid w:val="00CE075B"/>
    <w:rsid w:val="00CE087F"/>
    <w:rsid w:val="00CE08BE"/>
    <w:rsid w:val="00CE09A9"/>
    <w:rsid w:val="00CE0AE0"/>
    <w:rsid w:val="00CE0C8A"/>
    <w:rsid w:val="00CE0E16"/>
    <w:rsid w:val="00CE0F0E"/>
    <w:rsid w:val="00CE1031"/>
    <w:rsid w:val="00CE10A6"/>
    <w:rsid w:val="00CE1318"/>
    <w:rsid w:val="00CE147C"/>
    <w:rsid w:val="00CE1912"/>
    <w:rsid w:val="00CE1C60"/>
    <w:rsid w:val="00CE1C94"/>
    <w:rsid w:val="00CE1D9B"/>
    <w:rsid w:val="00CE2AD1"/>
    <w:rsid w:val="00CE2BCB"/>
    <w:rsid w:val="00CE2E5B"/>
    <w:rsid w:val="00CE2F7F"/>
    <w:rsid w:val="00CE35E0"/>
    <w:rsid w:val="00CE3886"/>
    <w:rsid w:val="00CE3998"/>
    <w:rsid w:val="00CE39AC"/>
    <w:rsid w:val="00CE3AEC"/>
    <w:rsid w:val="00CE3E02"/>
    <w:rsid w:val="00CE4236"/>
    <w:rsid w:val="00CE429F"/>
    <w:rsid w:val="00CE42E9"/>
    <w:rsid w:val="00CE4382"/>
    <w:rsid w:val="00CE4651"/>
    <w:rsid w:val="00CE496A"/>
    <w:rsid w:val="00CE4B13"/>
    <w:rsid w:val="00CE4D22"/>
    <w:rsid w:val="00CE4D98"/>
    <w:rsid w:val="00CE4DFC"/>
    <w:rsid w:val="00CE4FEA"/>
    <w:rsid w:val="00CE51E8"/>
    <w:rsid w:val="00CE52FE"/>
    <w:rsid w:val="00CE53CA"/>
    <w:rsid w:val="00CE56A7"/>
    <w:rsid w:val="00CE5AFD"/>
    <w:rsid w:val="00CE5E95"/>
    <w:rsid w:val="00CE6165"/>
    <w:rsid w:val="00CE65E7"/>
    <w:rsid w:val="00CE6728"/>
    <w:rsid w:val="00CE699A"/>
    <w:rsid w:val="00CE6B8B"/>
    <w:rsid w:val="00CE6BAC"/>
    <w:rsid w:val="00CE6BB2"/>
    <w:rsid w:val="00CE6C3E"/>
    <w:rsid w:val="00CE6D03"/>
    <w:rsid w:val="00CE6F40"/>
    <w:rsid w:val="00CE6FAF"/>
    <w:rsid w:val="00CE704E"/>
    <w:rsid w:val="00CE74F3"/>
    <w:rsid w:val="00CE75E0"/>
    <w:rsid w:val="00CE77ED"/>
    <w:rsid w:val="00CE79B2"/>
    <w:rsid w:val="00CE7A96"/>
    <w:rsid w:val="00CE7D5E"/>
    <w:rsid w:val="00CF0085"/>
    <w:rsid w:val="00CF00B7"/>
    <w:rsid w:val="00CF00EB"/>
    <w:rsid w:val="00CF01A2"/>
    <w:rsid w:val="00CF05E2"/>
    <w:rsid w:val="00CF07B1"/>
    <w:rsid w:val="00CF0A9E"/>
    <w:rsid w:val="00CF0C6A"/>
    <w:rsid w:val="00CF0E5C"/>
    <w:rsid w:val="00CF10C0"/>
    <w:rsid w:val="00CF111A"/>
    <w:rsid w:val="00CF128B"/>
    <w:rsid w:val="00CF143C"/>
    <w:rsid w:val="00CF148A"/>
    <w:rsid w:val="00CF173D"/>
    <w:rsid w:val="00CF178D"/>
    <w:rsid w:val="00CF1897"/>
    <w:rsid w:val="00CF19B7"/>
    <w:rsid w:val="00CF1D9C"/>
    <w:rsid w:val="00CF200F"/>
    <w:rsid w:val="00CF2109"/>
    <w:rsid w:val="00CF218D"/>
    <w:rsid w:val="00CF27F2"/>
    <w:rsid w:val="00CF2810"/>
    <w:rsid w:val="00CF2919"/>
    <w:rsid w:val="00CF2BD4"/>
    <w:rsid w:val="00CF2E6D"/>
    <w:rsid w:val="00CF2EB5"/>
    <w:rsid w:val="00CF3052"/>
    <w:rsid w:val="00CF32EC"/>
    <w:rsid w:val="00CF3449"/>
    <w:rsid w:val="00CF35B6"/>
    <w:rsid w:val="00CF3611"/>
    <w:rsid w:val="00CF3923"/>
    <w:rsid w:val="00CF3E84"/>
    <w:rsid w:val="00CF3E8F"/>
    <w:rsid w:val="00CF414B"/>
    <w:rsid w:val="00CF44C8"/>
    <w:rsid w:val="00CF450F"/>
    <w:rsid w:val="00CF46B2"/>
    <w:rsid w:val="00CF46D3"/>
    <w:rsid w:val="00CF47F7"/>
    <w:rsid w:val="00CF4CA5"/>
    <w:rsid w:val="00CF4E59"/>
    <w:rsid w:val="00CF52FA"/>
    <w:rsid w:val="00CF52FE"/>
    <w:rsid w:val="00CF5328"/>
    <w:rsid w:val="00CF54F7"/>
    <w:rsid w:val="00CF5682"/>
    <w:rsid w:val="00CF56D6"/>
    <w:rsid w:val="00CF574C"/>
    <w:rsid w:val="00CF579B"/>
    <w:rsid w:val="00CF6374"/>
    <w:rsid w:val="00CF64A2"/>
    <w:rsid w:val="00CF65DE"/>
    <w:rsid w:val="00CF6623"/>
    <w:rsid w:val="00CF698A"/>
    <w:rsid w:val="00CF6C80"/>
    <w:rsid w:val="00CF6D10"/>
    <w:rsid w:val="00CF6D15"/>
    <w:rsid w:val="00CF6F13"/>
    <w:rsid w:val="00CF6FF7"/>
    <w:rsid w:val="00CF70E7"/>
    <w:rsid w:val="00CF7135"/>
    <w:rsid w:val="00CF73B7"/>
    <w:rsid w:val="00CF785B"/>
    <w:rsid w:val="00CF79D0"/>
    <w:rsid w:val="00CF7C71"/>
    <w:rsid w:val="00D00029"/>
    <w:rsid w:val="00D00057"/>
    <w:rsid w:val="00D003F9"/>
    <w:rsid w:val="00D008C2"/>
    <w:rsid w:val="00D00A76"/>
    <w:rsid w:val="00D00C27"/>
    <w:rsid w:val="00D00CA4"/>
    <w:rsid w:val="00D00F13"/>
    <w:rsid w:val="00D012DA"/>
    <w:rsid w:val="00D012E3"/>
    <w:rsid w:val="00D013AA"/>
    <w:rsid w:val="00D01773"/>
    <w:rsid w:val="00D017EB"/>
    <w:rsid w:val="00D019F6"/>
    <w:rsid w:val="00D01BBA"/>
    <w:rsid w:val="00D01D43"/>
    <w:rsid w:val="00D01D94"/>
    <w:rsid w:val="00D01E9D"/>
    <w:rsid w:val="00D01EED"/>
    <w:rsid w:val="00D0210C"/>
    <w:rsid w:val="00D02268"/>
    <w:rsid w:val="00D02716"/>
    <w:rsid w:val="00D02A22"/>
    <w:rsid w:val="00D02A3A"/>
    <w:rsid w:val="00D02AC9"/>
    <w:rsid w:val="00D02ADB"/>
    <w:rsid w:val="00D02BD6"/>
    <w:rsid w:val="00D02BE5"/>
    <w:rsid w:val="00D02EC8"/>
    <w:rsid w:val="00D03084"/>
    <w:rsid w:val="00D0331E"/>
    <w:rsid w:val="00D0348B"/>
    <w:rsid w:val="00D0353D"/>
    <w:rsid w:val="00D037EB"/>
    <w:rsid w:val="00D03A66"/>
    <w:rsid w:val="00D03CA5"/>
    <w:rsid w:val="00D03F64"/>
    <w:rsid w:val="00D0419F"/>
    <w:rsid w:val="00D04649"/>
    <w:rsid w:val="00D0485D"/>
    <w:rsid w:val="00D04BEC"/>
    <w:rsid w:val="00D05141"/>
    <w:rsid w:val="00D051AA"/>
    <w:rsid w:val="00D053BD"/>
    <w:rsid w:val="00D05556"/>
    <w:rsid w:val="00D0580B"/>
    <w:rsid w:val="00D05A15"/>
    <w:rsid w:val="00D05AC0"/>
    <w:rsid w:val="00D05C7E"/>
    <w:rsid w:val="00D05F54"/>
    <w:rsid w:val="00D062BE"/>
    <w:rsid w:val="00D062EB"/>
    <w:rsid w:val="00D06629"/>
    <w:rsid w:val="00D06939"/>
    <w:rsid w:val="00D06CD5"/>
    <w:rsid w:val="00D06FF7"/>
    <w:rsid w:val="00D072A8"/>
    <w:rsid w:val="00D07872"/>
    <w:rsid w:val="00D078C8"/>
    <w:rsid w:val="00D07A2A"/>
    <w:rsid w:val="00D07B47"/>
    <w:rsid w:val="00D07C4D"/>
    <w:rsid w:val="00D07C76"/>
    <w:rsid w:val="00D07D19"/>
    <w:rsid w:val="00D07F10"/>
    <w:rsid w:val="00D1001A"/>
    <w:rsid w:val="00D10257"/>
    <w:rsid w:val="00D102C0"/>
    <w:rsid w:val="00D10694"/>
    <w:rsid w:val="00D10822"/>
    <w:rsid w:val="00D10A37"/>
    <w:rsid w:val="00D10BBF"/>
    <w:rsid w:val="00D10FF3"/>
    <w:rsid w:val="00D1100F"/>
    <w:rsid w:val="00D1108E"/>
    <w:rsid w:val="00D110D9"/>
    <w:rsid w:val="00D111C4"/>
    <w:rsid w:val="00D11628"/>
    <w:rsid w:val="00D11644"/>
    <w:rsid w:val="00D11823"/>
    <w:rsid w:val="00D11846"/>
    <w:rsid w:val="00D11AE8"/>
    <w:rsid w:val="00D11CBC"/>
    <w:rsid w:val="00D11E3F"/>
    <w:rsid w:val="00D12133"/>
    <w:rsid w:val="00D1221E"/>
    <w:rsid w:val="00D1231A"/>
    <w:rsid w:val="00D1269E"/>
    <w:rsid w:val="00D12793"/>
    <w:rsid w:val="00D12A5A"/>
    <w:rsid w:val="00D12AF5"/>
    <w:rsid w:val="00D12C14"/>
    <w:rsid w:val="00D12C42"/>
    <w:rsid w:val="00D12C43"/>
    <w:rsid w:val="00D130F8"/>
    <w:rsid w:val="00D131AA"/>
    <w:rsid w:val="00D131EC"/>
    <w:rsid w:val="00D13892"/>
    <w:rsid w:val="00D138F4"/>
    <w:rsid w:val="00D13ACC"/>
    <w:rsid w:val="00D13BB1"/>
    <w:rsid w:val="00D13C7C"/>
    <w:rsid w:val="00D13E2A"/>
    <w:rsid w:val="00D13FD8"/>
    <w:rsid w:val="00D140FD"/>
    <w:rsid w:val="00D141AC"/>
    <w:rsid w:val="00D141E6"/>
    <w:rsid w:val="00D142F7"/>
    <w:rsid w:val="00D1482F"/>
    <w:rsid w:val="00D148AE"/>
    <w:rsid w:val="00D1498A"/>
    <w:rsid w:val="00D14A1A"/>
    <w:rsid w:val="00D14C46"/>
    <w:rsid w:val="00D14F83"/>
    <w:rsid w:val="00D150C5"/>
    <w:rsid w:val="00D151B6"/>
    <w:rsid w:val="00D153E3"/>
    <w:rsid w:val="00D154FC"/>
    <w:rsid w:val="00D15529"/>
    <w:rsid w:val="00D156F7"/>
    <w:rsid w:val="00D1596C"/>
    <w:rsid w:val="00D1599C"/>
    <w:rsid w:val="00D15A39"/>
    <w:rsid w:val="00D15BCE"/>
    <w:rsid w:val="00D15C1A"/>
    <w:rsid w:val="00D15DAD"/>
    <w:rsid w:val="00D160A6"/>
    <w:rsid w:val="00D165A8"/>
    <w:rsid w:val="00D16B32"/>
    <w:rsid w:val="00D16FED"/>
    <w:rsid w:val="00D1719C"/>
    <w:rsid w:val="00D17223"/>
    <w:rsid w:val="00D177D1"/>
    <w:rsid w:val="00D17810"/>
    <w:rsid w:val="00D1792F"/>
    <w:rsid w:val="00D17BA1"/>
    <w:rsid w:val="00D17EF1"/>
    <w:rsid w:val="00D17F1C"/>
    <w:rsid w:val="00D2032D"/>
    <w:rsid w:val="00D203D9"/>
    <w:rsid w:val="00D204DC"/>
    <w:rsid w:val="00D20626"/>
    <w:rsid w:val="00D20709"/>
    <w:rsid w:val="00D20BB4"/>
    <w:rsid w:val="00D20BDB"/>
    <w:rsid w:val="00D2135C"/>
    <w:rsid w:val="00D21776"/>
    <w:rsid w:val="00D217CF"/>
    <w:rsid w:val="00D2193C"/>
    <w:rsid w:val="00D21B03"/>
    <w:rsid w:val="00D21DD9"/>
    <w:rsid w:val="00D21EB0"/>
    <w:rsid w:val="00D21ED4"/>
    <w:rsid w:val="00D2210B"/>
    <w:rsid w:val="00D222C1"/>
    <w:rsid w:val="00D22432"/>
    <w:rsid w:val="00D227E4"/>
    <w:rsid w:val="00D22835"/>
    <w:rsid w:val="00D2293D"/>
    <w:rsid w:val="00D22B84"/>
    <w:rsid w:val="00D22C49"/>
    <w:rsid w:val="00D22C4D"/>
    <w:rsid w:val="00D22D6E"/>
    <w:rsid w:val="00D22ECE"/>
    <w:rsid w:val="00D22F18"/>
    <w:rsid w:val="00D235F3"/>
    <w:rsid w:val="00D23799"/>
    <w:rsid w:val="00D237EB"/>
    <w:rsid w:val="00D2395D"/>
    <w:rsid w:val="00D23AA1"/>
    <w:rsid w:val="00D23B05"/>
    <w:rsid w:val="00D23DCA"/>
    <w:rsid w:val="00D240A1"/>
    <w:rsid w:val="00D240FD"/>
    <w:rsid w:val="00D2427B"/>
    <w:rsid w:val="00D245CE"/>
    <w:rsid w:val="00D246DD"/>
    <w:rsid w:val="00D248D9"/>
    <w:rsid w:val="00D24BFF"/>
    <w:rsid w:val="00D24C1F"/>
    <w:rsid w:val="00D24E01"/>
    <w:rsid w:val="00D25067"/>
    <w:rsid w:val="00D25079"/>
    <w:rsid w:val="00D25140"/>
    <w:rsid w:val="00D251CB"/>
    <w:rsid w:val="00D2547E"/>
    <w:rsid w:val="00D25618"/>
    <w:rsid w:val="00D25632"/>
    <w:rsid w:val="00D2585F"/>
    <w:rsid w:val="00D259FA"/>
    <w:rsid w:val="00D25C21"/>
    <w:rsid w:val="00D25C7E"/>
    <w:rsid w:val="00D25E18"/>
    <w:rsid w:val="00D25F1D"/>
    <w:rsid w:val="00D25F70"/>
    <w:rsid w:val="00D26043"/>
    <w:rsid w:val="00D2618F"/>
    <w:rsid w:val="00D2630E"/>
    <w:rsid w:val="00D26378"/>
    <w:rsid w:val="00D2661A"/>
    <w:rsid w:val="00D26723"/>
    <w:rsid w:val="00D267AA"/>
    <w:rsid w:val="00D2690C"/>
    <w:rsid w:val="00D27168"/>
    <w:rsid w:val="00D27674"/>
    <w:rsid w:val="00D27715"/>
    <w:rsid w:val="00D2776B"/>
    <w:rsid w:val="00D27937"/>
    <w:rsid w:val="00D27967"/>
    <w:rsid w:val="00D27CE8"/>
    <w:rsid w:val="00D27D33"/>
    <w:rsid w:val="00D30003"/>
    <w:rsid w:val="00D301DB"/>
    <w:rsid w:val="00D3054C"/>
    <w:rsid w:val="00D306C1"/>
    <w:rsid w:val="00D3080C"/>
    <w:rsid w:val="00D30888"/>
    <w:rsid w:val="00D308B7"/>
    <w:rsid w:val="00D30A27"/>
    <w:rsid w:val="00D30CC8"/>
    <w:rsid w:val="00D30D5C"/>
    <w:rsid w:val="00D3145B"/>
    <w:rsid w:val="00D315C2"/>
    <w:rsid w:val="00D3186F"/>
    <w:rsid w:val="00D318FE"/>
    <w:rsid w:val="00D31D9F"/>
    <w:rsid w:val="00D320B4"/>
    <w:rsid w:val="00D322FF"/>
    <w:rsid w:val="00D325AF"/>
    <w:rsid w:val="00D3269A"/>
    <w:rsid w:val="00D3273F"/>
    <w:rsid w:val="00D3277B"/>
    <w:rsid w:val="00D32A40"/>
    <w:rsid w:val="00D32B94"/>
    <w:rsid w:val="00D32BBB"/>
    <w:rsid w:val="00D32BE7"/>
    <w:rsid w:val="00D32C6D"/>
    <w:rsid w:val="00D32F8F"/>
    <w:rsid w:val="00D330A4"/>
    <w:rsid w:val="00D33113"/>
    <w:rsid w:val="00D3324C"/>
    <w:rsid w:val="00D332CD"/>
    <w:rsid w:val="00D332D5"/>
    <w:rsid w:val="00D3363A"/>
    <w:rsid w:val="00D33833"/>
    <w:rsid w:val="00D33AA3"/>
    <w:rsid w:val="00D33B3F"/>
    <w:rsid w:val="00D33D9B"/>
    <w:rsid w:val="00D33E81"/>
    <w:rsid w:val="00D34158"/>
    <w:rsid w:val="00D342DD"/>
    <w:rsid w:val="00D345F4"/>
    <w:rsid w:val="00D3488D"/>
    <w:rsid w:val="00D34AD9"/>
    <w:rsid w:val="00D34B31"/>
    <w:rsid w:val="00D34D49"/>
    <w:rsid w:val="00D34ED8"/>
    <w:rsid w:val="00D34F19"/>
    <w:rsid w:val="00D35039"/>
    <w:rsid w:val="00D350EA"/>
    <w:rsid w:val="00D352B8"/>
    <w:rsid w:val="00D3531A"/>
    <w:rsid w:val="00D3533D"/>
    <w:rsid w:val="00D3537C"/>
    <w:rsid w:val="00D3537F"/>
    <w:rsid w:val="00D35404"/>
    <w:rsid w:val="00D35564"/>
    <w:rsid w:val="00D35595"/>
    <w:rsid w:val="00D35777"/>
    <w:rsid w:val="00D357A1"/>
    <w:rsid w:val="00D357F8"/>
    <w:rsid w:val="00D358FD"/>
    <w:rsid w:val="00D3593B"/>
    <w:rsid w:val="00D3597B"/>
    <w:rsid w:val="00D359C4"/>
    <w:rsid w:val="00D35BEF"/>
    <w:rsid w:val="00D35D6D"/>
    <w:rsid w:val="00D35DA1"/>
    <w:rsid w:val="00D35E22"/>
    <w:rsid w:val="00D35FC2"/>
    <w:rsid w:val="00D36051"/>
    <w:rsid w:val="00D36263"/>
    <w:rsid w:val="00D36409"/>
    <w:rsid w:val="00D36767"/>
    <w:rsid w:val="00D3681E"/>
    <w:rsid w:val="00D36837"/>
    <w:rsid w:val="00D36C2E"/>
    <w:rsid w:val="00D36EFA"/>
    <w:rsid w:val="00D36F29"/>
    <w:rsid w:val="00D37045"/>
    <w:rsid w:val="00D379EA"/>
    <w:rsid w:val="00D37A09"/>
    <w:rsid w:val="00D37B74"/>
    <w:rsid w:val="00D37C67"/>
    <w:rsid w:val="00D37C92"/>
    <w:rsid w:val="00D37E26"/>
    <w:rsid w:val="00D37F57"/>
    <w:rsid w:val="00D4039F"/>
    <w:rsid w:val="00D40873"/>
    <w:rsid w:val="00D40DF0"/>
    <w:rsid w:val="00D40FBB"/>
    <w:rsid w:val="00D410BA"/>
    <w:rsid w:val="00D41278"/>
    <w:rsid w:val="00D41A5F"/>
    <w:rsid w:val="00D41AC4"/>
    <w:rsid w:val="00D41BEF"/>
    <w:rsid w:val="00D41CE9"/>
    <w:rsid w:val="00D41E21"/>
    <w:rsid w:val="00D41F89"/>
    <w:rsid w:val="00D41FCF"/>
    <w:rsid w:val="00D420AF"/>
    <w:rsid w:val="00D421AC"/>
    <w:rsid w:val="00D42583"/>
    <w:rsid w:val="00D427C4"/>
    <w:rsid w:val="00D42870"/>
    <w:rsid w:val="00D42981"/>
    <w:rsid w:val="00D4298B"/>
    <w:rsid w:val="00D429BB"/>
    <w:rsid w:val="00D42BB8"/>
    <w:rsid w:val="00D42C17"/>
    <w:rsid w:val="00D42E97"/>
    <w:rsid w:val="00D437C8"/>
    <w:rsid w:val="00D4397A"/>
    <w:rsid w:val="00D43AA2"/>
    <w:rsid w:val="00D43E43"/>
    <w:rsid w:val="00D43F4B"/>
    <w:rsid w:val="00D43F95"/>
    <w:rsid w:val="00D43FD0"/>
    <w:rsid w:val="00D442E3"/>
    <w:rsid w:val="00D443A3"/>
    <w:rsid w:val="00D4476B"/>
    <w:rsid w:val="00D44A34"/>
    <w:rsid w:val="00D44CFF"/>
    <w:rsid w:val="00D44E25"/>
    <w:rsid w:val="00D44EA9"/>
    <w:rsid w:val="00D4519B"/>
    <w:rsid w:val="00D454A1"/>
    <w:rsid w:val="00D4556A"/>
    <w:rsid w:val="00D45645"/>
    <w:rsid w:val="00D458B0"/>
    <w:rsid w:val="00D45920"/>
    <w:rsid w:val="00D45948"/>
    <w:rsid w:val="00D45A21"/>
    <w:rsid w:val="00D45C2B"/>
    <w:rsid w:val="00D45D40"/>
    <w:rsid w:val="00D45FF2"/>
    <w:rsid w:val="00D46213"/>
    <w:rsid w:val="00D465C6"/>
    <w:rsid w:val="00D466B9"/>
    <w:rsid w:val="00D4674B"/>
    <w:rsid w:val="00D469DE"/>
    <w:rsid w:val="00D46CF2"/>
    <w:rsid w:val="00D47104"/>
    <w:rsid w:val="00D473CA"/>
    <w:rsid w:val="00D47827"/>
    <w:rsid w:val="00D47B6E"/>
    <w:rsid w:val="00D500C9"/>
    <w:rsid w:val="00D5016A"/>
    <w:rsid w:val="00D501F6"/>
    <w:rsid w:val="00D50493"/>
    <w:rsid w:val="00D506CE"/>
    <w:rsid w:val="00D50808"/>
    <w:rsid w:val="00D50D02"/>
    <w:rsid w:val="00D50FDE"/>
    <w:rsid w:val="00D5155A"/>
    <w:rsid w:val="00D516CB"/>
    <w:rsid w:val="00D517BE"/>
    <w:rsid w:val="00D51BFF"/>
    <w:rsid w:val="00D51C58"/>
    <w:rsid w:val="00D524C9"/>
    <w:rsid w:val="00D524F3"/>
    <w:rsid w:val="00D52564"/>
    <w:rsid w:val="00D52603"/>
    <w:rsid w:val="00D526BE"/>
    <w:rsid w:val="00D52A6D"/>
    <w:rsid w:val="00D52B0C"/>
    <w:rsid w:val="00D52D7C"/>
    <w:rsid w:val="00D52E59"/>
    <w:rsid w:val="00D52FAC"/>
    <w:rsid w:val="00D53588"/>
    <w:rsid w:val="00D535D9"/>
    <w:rsid w:val="00D5436C"/>
    <w:rsid w:val="00D543CE"/>
    <w:rsid w:val="00D5453F"/>
    <w:rsid w:val="00D54C98"/>
    <w:rsid w:val="00D54E3C"/>
    <w:rsid w:val="00D550C3"/>
    <w:rsid w:val="00D553BC"/>
    <w:rsid w:val="00D55403"/>
    <w:rsid w:val="00D5542B"/>
    <w:rsid w:val="00D55445"/>
    <w:rsid w:val="00D5558B"/>
    <w:rsid w:val="00D5584B"/>
    <w:rsid w:val="00D5591C"/>
    <w:rsid w:val="00D559CE"/>
    <w:rsid w:val="00D55C67"/>
    <w:rsid w:val="00D55CA1"/>
    <w:rsid w:val="00D560C6"/>
    <w:rsid w:val="00D56248"/>
    <w:rsid w:val="00D562AF"/>
    <w:rsid w:val="00D5633F"/>
    <w:rsid w:val="00D56552"/>
    <w:rsid w:val="00D5685D"/>
    <w:rsid w:val="00D56A3E"/>
    <w:rsid w:val="00D56B42"/>
    <w:rsid w:val="00D56DDB"/>
    <w:rsid w:val="00D57036"/>
    <w:rsid w:val="00D57353"/>
    <w:rsid w:val="00D57417"/>
    <w:rsid w:val="00D57442"/>
    <w:rsid w:val="00D57541"/>
    <w:rsid w:val="00D575B7"/>
    <w:rsid w:val="00D57E95"/>
    <w:rsid w:val="00D57EEE"/>
    <w:rsid w:val="00D57FA0"/>
    <w:rsid w:val="00D57FF4"/>
    <w:rsid w:val="00D60158"/>
    <w:rsid w:val="00D60605"/>
    <w:rsid w:val="00D606B2"/>
    <w:rsid w:val="00D606EE"/>
    <w:rsid w:val="00D6097E"/>
    <w:rsid w:val="00D60A2D"/>
    <w:rsid w:val="00D60AF1"/>
    <w:rsid w:val="00D60B91"/>
    <w:rsid w:val="00D61178"/>
    <w:rsid w:val="00D61316"/>
    <w:rsid w:val="00D61318"/>
    <w:rsid w:val="00D61603"/>
    <w:rsid w:val="00D61860"/>
    <w:rsid w:val="00D6187C"/>
    <w:rsid w:val="00D61BD5"/>
    <w:rsid w:val="00D61D74"/>
    <w:rsid w:val="00D61E08"/>
    <w:rsid w:val="00D62306"/>
    <w:rsid w:val="00D62728"/>
    <w:rsid w:val="00D62C06"/>
    <w:rsid w:val="00D631D1"/>
    <w:rsid w:val="00D633D9"/>
    <w:rsid w:val="00D6366D"/>
    <w:rsid w:val="00D637EE"/>
    <w:rsid w:val="00D63AE3"/>
    <w:rsid w:val="00D63B7D"/>
    <w:rsid w:val="00D63C6E"/>
    <w:rsid w:val="00D63E82"/>
    <w:rsid w:val="00D64424"/>
    <w:rsid w:val="00D645FB"/>
    <w:rsid w:val="00D6481E"/>
    <w:rsid w:val="00D6489B"/>
    <w:rsid w:val="00D648B0"/>
    <w:rsid w:val="00D64AFF"/>
    <w:rsid w:val="00D64BEC"/>
    <w:rsid w:val="00D64DE4"/>
    <w:rsid w:val="00D64FCA"/>
    <w:rsid w:val="00D65073"/>
    <w:rsid w:val="00D65182"/>
    <w:rsid w:val="00D651A3"/>
    <w:rsid w:val="00D653CD"/>
    <w:rsid w:val="00D655D4"/>
    <w:rsid w:val="00D658B9"/>
    <w:rsid w:val="00D6593A"/>
    <w:rsid w:val="00D65AD4"/>
    <w:rsid w:val="00D668EC"/>
    <w:rsid w:val="00D66C9F"/>
    <w:rsid w:val="00D66DEA"/>
    <w:rsid w:val="00D670DD"/>
    <w:rsid w:val="00D672C1"/>
    <w:rsid w:val="00D672C8"/>
    <w:rsid w:val="00D675BD"/>
    <w:rsid w:val="00D675E5"/>
    <w:rsid w:val="00D678EC"/>
    <w:rsid w:val="00D67BF6"/>
    <w:rsid w:val="00D67CAA"/>
    <w:rsid w:val="00D67D24"/>
    <w:rsid w:val="00D67F4E"/>
    <w:rsid w:val="00D7009F"/>
    <w:rsid w:val="00D70273"/>
    <w:rsid w:val="00D70319"/>
    <w:rsid w:val="00D7036E"/>
    <w:rsid w:val="00D706DB"/>
    <w:rsid w:val="00D708A0"/>
    <w:rsid w:val="00D70B3B"/>
    <w:rsid w:val="00D70C2F"/>
    <w:rsid w:val="00D70CA0"/>
    <w:rsid w:val="00D70D11"/>
    <w:rsid w:val="00D70E7C"/>
    <w:rsid w:val="00D70F99"/>
    <w:rsid w:val="00D71168"/>
    <w:rsid w:val="00D71171"/>
    <w:rsid w:val="00D71272"/>
    <w:rsid w:val="00D714D0"/>
    <w:rsid w:val="00D71700"/>
    <w:rsid w:val="00D71808"/>
    <w:rsid w:val="00D71B0E"/>
    <w:rsid w:val="00D71CEA"/>
    <w:rsid w:val="00D71F56"/>
    <w:rsid w:val="00D71FB8"/>
    <w:rsid w:val="00D7236B"/>
    <w:rsid w:val="00D723C7"/>
    <w:rsid w:val="00D7273A"/>
    <w:rsid w:val="00D727CA"/>
    <w:rsid w:val="00D72873"/>
    <w:rsid w:val="00D72961"/>
    <w:rsid w:val="00D729A4"/>
    <w:rsid w:val="00D72A0E"/>
    <w:rsid w:val="00D731EA"/>
    <w:rsid w:val="00D73359"/>
    <w:rsid w:val="00D73508"/>
    <w:rsid w:val="00D73911"/>
    <w:rsid w:val="00D73AAD"/>
    <w:rsid w:val="00D740A1"/>
    <w:rsid w:val="00D74492"/>
    <w:rsid w:val="00D74647"/>
    <w:rsid w:val="00D748ED"/>
    <w:rsid w:val="00D7491F"/>
    <w:rsid w:val="00D74A04"/>
    <w:rsid w:val="00D74E23"/>
    <w:rsid w:val="00D74E72"/>
    <w:rsid w:val="00D74F8F"/>
    <w:rsid w:val="00D74FD3"/>
    <w:rsid w:val="00D75063"/>
    <w:rsid w:val="00D75379"/>
    <w:rsid w:val="00D758C2"/>
    <w:rsid w:val="00D7596D"/>
    <w:rsid w:val="00D75E85"/>
    <w:rsid w:val="00D76051"/>
    <w:rsid w:val="00D764BD"/>
    <w:rsid w:val="00D764DC"/>
    <w:rsid w:val="00D7672A"/>
    <w:rsid w:val="00D768DF"/>
    <w:rsid w:val="00D76B00"/>
    <w:rsid w:val="00D76BE4"/>
    <w:rsid w:val="00D76CFB"/>
    <w:rsid w:val="00D76D62"/>
    <w:rsid w:val="00D76E5E"/>
    <w:rsid w:val="00D76E72"/>
    <w:rsid w:val="00D77153"/>
    <w:rsid w:val="00D7719C"/>
    <w:rsid w:val="00D775A9"/>
    <w:rsid w:val="00D77CAF"/>
    <w:rsid w:val="00D80053"/>
    <w:rsid w:val="00D8013B"/>
    <w:rsid w:val="00D8036D"/>
    <w:rsid w:val="00D8064F"/>
    <w:rsid w:val="00D807C9"/>
    <w:rsid w:val="00D80B61"/>
    <w:rsid w:val="00D80D51"/>
    <w:rsid w:val="00D80DBE"/>
    <w:rsid w:val="00D80EF3"/>
    <w:rsid w:val="00D80F70"/>
    <w:rsid w:val="00D81131"/>
    <w:rsid w:val="00D8121E"/>
    <w:rsid w:val="00D812F6"/>
    <w:rsid w:val="00D8136F"/>
    <w:rsid w:val="00D81580"/>
    <w:rsid w:val="00D817EF"/>
    <w:rsid w:val="00D81810"/>
    <w:rsid w:val="00D81859"/>
    <w:rsid w:val="00D81910"/>
    <w:rsid w:val="00D81996"/>
    <w:rsid w:val="00D81B44"/>
    <w:rsid w:val="00D81D52"/>
    <w:rsid w:val="00D81F17"/>
    <w:rsid w:val="00D822AA"/>
    <w:rsid w:val="00D822BA"/>
    <w:rsid w:val="00D8232A"/>
    <w:rsid w:val="00D82362"/>
    <w:rsid w:val="00D8241A"/>
    <w:rsid w:val="00D8249C"/>
    <w:rsid w:val="00D82613"/>
    <w:rsid w:val="00D82770"/>
    <w:rsid w:val="00D82B3F"/>
    <w:rsid w:val="00D82FA4"/>
    <w:rsid w:val="00D831FB"/>
    <w:rsid w:val="00D83624"/>
    <w:rsid w:val="00D836F8"/>
    <w:rsid w:val="00D838BF"/>
    <w:rsid w:val="00D83B4D"/>
    <w:rsid w:val="00D83B6C"/>
    <w:rsid w:val="00D83DE0"/>
    <w:rsid w:val="00D8405E"/>
    <w:rsid w:val="00D843B7"/>
    <w:rsid w:val="00D8449F"/>
    <w:rsid w:val="00D844D1"/>
    <w:rsid w:val="00D844FA"/>
    <w:rsid w:val="00D8453A"/>
    <w:rsid w:val="00D848BD"/>
    <w:rsid w:val="00D84A2E"/>
    <w:rsid w:val="00D84C54"/>
    <w:rsid w:val="00D84FF1"/>
    <w:rsid w:val="00D8501A"/>
    <w:rsid w:val="00D85209"/>
    <w:rsid w:val="00D85369"/>
    <w:rsid w:val="00D85496"/>
    <w:rsid w:val="00D85AFB"/>
    <w:rsid w:val="00D85BAD"/>
    <w:rsid w:val="00D85BD1"/>
    <w:rsid w:val="00D85BF3"/>
    <w:rsid w:val="00D85EB3"/>
    <w:rsid w:val="00D85F5C"/>
    <w:rsid w:val="00D860FD"/>
    <w:rsid w:val="00D8618D"/>
    <w:rsid w:val="00D864DD"/>
    <w:rsid w:val="00D86658"/>
    <w:rsid w:val="00D867E0"/>
    <w:rsid w:val="00D867FA"/>
    <w:rsid w:val="00D86A50"/>
    <w:rsid w:val="00D86A5D"/>
    <w:rsid w:val="00D86C1A"/>
    <w:rsid w:val="00D86E4A"/>
    <w:rsid w:val="00D86FBF"/>
    <w:rsid w:val="00D871A0"/>
    <w:rsid w:val="00D87392"/>
    <w:rsid w:val="00D873C9"/>
    <w:rsid w:val="00D87A85"/>
    <w:rsid w:val="00D87FF2"/>
    <w:rsid w:val="00D9005A"/>
    <w:rsid w:val="00D9022C"/>
    <w:rsid w:val="00D90441"/>
    <w:rsid w:val="00D9069E"/>
    <w:rsid w:val="00D906B1"/>
    <w:rsid w:val="00D90952"/>
    <w:rsid w:val="00D90A33"/>
    <w:rsid w:val="00D90A83"/>
    <w:rsid w:val="00D90DB7"/>
    <w:rsid w:val="00D90DF2"/>
    <w:rsid w:val="00D90F1F"/>
    <w:rsid w:val="00D91019"/>
    <w:rsid w:val="00D91211"/>
    <w:rsid w:val="00D91251"/>
    <w:rsid w:val="00D91633"/>
    <w:rsid w:val="00D916C5"/>
    <w:rsid w:val="00D917AB"/>
    <w:rsid w:val="00D919B1"/>
    <w:rsid w:val="00D91A13"/>
    <w:rsid w:val="00D91A59"/>
    <w:rsid w:val="00D920D2"/>
    <w:rsid w:val="00D922C5"/>
    <w:rsid w:val="00D92345"/>
    <w:rsid w:val="00D924F5"/>
    <w:rsid w:val="00D926F2"/>
    <w:rsid w:val="00D92746"/>
    <w:rsid w:val="00D92B3F"/>
    <w:rsid w:val="00D92D57"/>
    <w:rsid w:val="00D92E3B"/>
    <w:rsid w:val="00D92EA5"/>
    <w:rsid w:val="00D93231"/>
    <w:rsid w:val="00D9345C"/>
    <w:rsid w:val="00D93864"/>
    <w:rsid w:val="00D93AF1"/>
    <w:rsid w:val="00D93F08"/>
    <w:rsid w:val="00D9402C"/>
    <w:rsid w:val="00D943FD"/>
    <w:rsid w:val="00D948E9"/>
    <w:rsid w:val="00D9492E"/>
    <w:rsid w:val="00D94E1C"/>
    <w:rsid w:val="00D94E94"/>
    <w:rsid w:val="00D950ED"/>
    <w:rsid w:val="00D95296"/>
    <w:rsid w:val="00D955C2"/>
    <w:rsid w:val="00D9564F"/>
    <w:rsid w:val="00D956C2"/>
    <w:rsid w:val="00D95A49"/>
    <w:rsid w:val="00D95B34"/>
    <w:rsid w:val="00D95CAC"/>
    <w:rsid w:val="00D95CED"/>
    <w:rsid w:val="00D95D5A"/>
    <w:rsid w:val="00D95E49"/>
    <w:rsid w:val="00D95F45"/>
    <w:rsid w:val="00D96027"/>
    <w:rsid w:val="00D96218"/>
    <w:rsid w:val="00D962E5"/>
    <w:rsid w:val="00D967F1"/>
    <w:rsid w:val="00D9681E"/>
    <w:rsid w:val="00D9694F"/>
    <w:rsid w:val="00D96AB4"/>
    <w:rsid w:val="00D96C5D"/>
    <w:rsid w:val="00D96DA7"/>
    <w:rsid w:val="00D9705E"/>
    <w:rsid w:val="00D9734D"/>
    <w:rsid w:val="00D975A8"/>
    <w:rsid w:val="00D977BE"/>
    <w:rsid w:val="00D97CAA"/>
    <w:rsid w:val="00D97E1B"/>
    <w:rsid w:val="00D97E5D"/>
    <w:rsid w:val="00D97F37"/>
    <w:rsid w:val="00D97F54"/>
    <w:rsid w:val="00DA009E"/>
    <w:rsid w:val="00DA02A5"/>
    <w:rsid w:val="00DA0411"/>
    <w:rsid w:val="00DA0579"/>
    <w:rsid w:val="00DA06F2"/>
    <w:rsid w:val="00DA07F1"/>
    <w:rsid w:val="00DA099E"/>
    <w:rsid w:val="00DA10A1"/>
    <w:rsid w:val="00DA1109"/>
    <w:rsid w:val="00DA13B5"/>
    <w:rsid w:val="00DA16C8"/>
    <w:rsid w:val="00DA1ACC"/>
    <w:rsid w:val="00DA1D0B"/>
    <w:rsid w:val="00DA2207"/>
    <w:rsid w:val="00DA2226"/>
    <w:rsid w:val="00DA23FD"/>
    <w:rsid w:val="00DA27C2"/>
    <w:rsid w:val="00DA27D8"/>
    <w:rsid w:val="00DA2A99"/>
    <w:rsid w:val="00DA2AED"/>
    <w:rsid w:val="00DA2B25"/>
    <w:rsid w:val="00DA2BE5"/>
    <w:rsid w:val="00DA2CFC"/>
    <w:rsid w:val="00DA2E35"/>
    <w:rsid w:val="00DA2E59"/>
    <w:rsid w:val="00DA3276"/>
    <w:rsid w:val="00DA3858"/>
    <w:rsid w:val="00DA3A06"/>
    <w:rsid w:val="00DA3AE6"/>
    <w:rsid w:val="00DA3B10"/>
    <w:rsid w:val="00DA3B60"/>
    <w:rsid w:val="00DA3BCC"/>
    <w:rsid w:val="00DA3BEB"/>
    <w:rsid w:val="00DA3FBB"/>
    <w:rsid w:val="00DA403E"/>
    <w:rsid w:val="00DA43C9"/>
    <w:rsid w:val="00DA4438"/>
    <w:rsid w:val="00DA46FB"/>
    <w:rsid w:val="00DA4AE3"/>
    <w:rsid w:val="00DA4AE6"/>
    <w:rsid w:val="00DA4B00"/>
    <w:rsid w:val="00DA4BD4"/>
    <w:rsid w:val="00DA4DD6"/>
    <w:rsid w:val="00DA4E42"/>
    <w:rsid w:val="00DA507D"/>
    <w:rsid w:val="00DA52D9"/>
    <w:rsid w:val="00DA5386"/>
    <w:rsid w:val="00DA53D2"/>
    <w:rsid w:val="00DA566C"/>
    <w:rsid w:val="00DA5844"/>
    <w:rsid w:val="00DA5A28"/>
    <w:rsid w:val="00DA5D87"/>
    <w:rsid w:val="00DA5DC6"/>
    <w:rsid w:val="00DA5E26"/>
    <w:rsid w:val="00DA62C4"/>
    <w:rsid w:val="00DA638D"/>
    <w:rsid w:val="00DA64FB"/>
    <w:rsid w:val="00DA65EB"/>
    <w:rsid w:val="00DA6F30"/>
    <w:rsid w:val="00DA7097"/>
    <w:rsid w:val="00DA70B5"/>
    <w:rsid w:val="00DA7311"/>
    <w:rsid w:val="00DA7381"/>
    <w:rsid w:val="00DA7895"/>
    <w:rsid w:val="00DA7B6B"/>
    <w:rsid w:val="00DA7BB3"/>
    <w:rsid w:val="00DA7DAB"/>
    <w:rsid w:val="00DA7DAC"/>
    <w:rsid w:val="00DB0054"/>
    <w:rsid w:val="00DB01B9"/>
    <w:rsid w:val="00DB01BF"/>
    <w:rsid w:val="00DB0212"/>
    <w:rsid w:val="00DB021F"/>
    <w:rsid w:val="00DB03ED"/>
    <w:rsid w:val="00DB0694"/>
    <w:rsid w:val="00DB0859"/>
    <w:rsid w:val="00DB09C8"/>
    <w:rsid w:val="00DB0B8E"/>
    <w:rsid w:val="00DB104B"/>
    <w:rsid w:val="00DB1172"/>
    <w:rsid w:val="00DB165F"/>
    <w:rsid w:val="00DB167E"/>
    <w:rsid w:val="00DB183E"/>
    <w:rsid w:val="00DB194E"/>
    <w:rsid w:val="00DB1D81"/>
    <w:rsid w:val="00DB1E85"/>
    <w:rsid w:val="00DB1ED6"/>
    <w:rsid w:val="00DB1F80"/>
    <w:rsid w:val="00DB20E1"/>
    <w:rsid w:val="00DB2156"/>
    <w:rsid w:val="00DB220A"/>
    <w:rsid w:val="00DB2493"/>
    <w:rsid w:val="00DB2583"/>
    <w:rsid w:val="00DB29D2"/>
    <w:rsid w:val="00DB2F32"/>
    <w:rsid w:val="00DB321E"/>
    <w:rsid w:val="00DB3220"/>
    <w:rsid w:val="00DB323B"/>
    <w:rsid w:val="00DB3380"/>
    <w:rsid w:val="00DB33EB"/>
    <w:rsid w:val="00DB34F7"/>
    <w:rsid w:val="00DB3513"/>
    <w:rsid w:val="00DB353A"/>
    <w:rsid w:val="00DB3583"/>
    <w:rsid w:val="00DB3A17"/>
    <w:rsid w:val="00DB3AA5"/>
    <w:rsid w:val="00DB3C20"/>
    <w:rsid w:val="00DB3D54"/>
    <w:rsid w:val="00DB3D70"/>
    <w:rsid w:val="00DB3E13"/>
    <w:rsid w:val="00DB405F"/>
    <w:rsid w:val="00DB40C7"/>
    <w:rsid w:val="00DB4158"/>
    <w:rsid w:val="00DB4499"/>
    <w:rsid w:val="00DB4667"/>
    <w:rsid w:val="00DB4701"/>
    <w:rsid w:val="00DB4730"/>
    <w:rsid w:val="00DB4A77"/>
    <w:rsid w:val="00DB4D4B"/>
    <w:rsid w:val="00DB4D6D"/>
    <w:rsid w:val="00DB4E3C"/>
    <w:rsid w:val="00DB4FE6"/>
    <w:rsid w:val="00DB50C5"/>
    <w:rsid w:val="00DB5272"/>
    <w:rsid w:val="00DB5361"/>
    <w:rsid w:val="00DB540E"/>
    <w:rsid w:val="00DB5680"/>
    <w:rsid w:val="00DB593C"/>
    <w:rsid w:val="00DB5971"/>
    <w:rsid w:val="00DB5EB3"/>
    <w:rsid w:val="00DB5FB2"/>
    <w:rsid w:val="00DB63A2"/>
    <w:rsid w:val="00DB6453"/>
    <w:rsid w:val="00DB66CB"/>
    <w:rsid w:val="00DB66F0"/>
    <w:rsid w:val="00DB6729"/>
    <w:rsid w:val="00DB67CD"/>
    <w:rsid w:val="00DB6942"/>
    <w:rsid w:val="00DB69B0"/>
    <w:rsid w:val="00DB6A83"/>
    <w:rsid w:val="00DB6BCF"/>
    <w:rsid w:val="00DB6D62"/>
    <w:rsid w:val="00DB6E72"/>
    <w:rsid w:val="00DB6F69"/>
    <w:rsid w:val="00DB719F"/>
    <w:rsid w:val="00DB729A"/>
    <w:rsid w:val="00DB729C"/>
    <w:rsid w:val="00DB73D4"/>
    <w:rsid w:val="00DB76E1"/>
    <w:rsid w:val="00DB7A8A"/>
    <w:rsid w:val="00DB7AFA"/>
    <w:rsid w:val="00DB7B16"/>
    <w:rsid w:val="00DB7D7C"/>
    <w:rsid w:val="00DB7EF9"/>
    <w:rsid w:val="00DB7F67"/>
    <w:rsid w:val="00DC01FD"/>
    <w:rsid w:val="00DC0269"/>
    <w:rsid w:val="00DC0454"/>
    <w:rsid w:val="00DC0463"/>
    <w:rsid w:val="00DC05FC"/>
    <w:rsid w:val="00DC087C"/>
    <w:rsid w:val="00DC09CA"/>
    <w:rsid w:val="00DC0D28"/>
    <w:rsid w:val="00DC0F23"/>
    <w:rsid w:val="00DC10E6"/>
    <w:rsid w:val="00DC15B3"/>
    <w:rsid w:val="00DC167A"/>
    <w:rsid w:val="00DC16E4"/>
    <w:rsid w:val="00DC1852"/>
    <w:rsid w:val="00DC1DBB"/>
    <w:rsid w:val="00DC2394"/>
    <w:rsid w:val="00DC24C8"/>
    <w:rsid w:val="00DC2859"/>
    <w:rsid w:val="00DC2A79"/>
    <w:rsid w:val="00DC2AEF"/>
    <w:rsid w:val="00DC2EC6"/>
    <w:rsid w:val="00DC2F9B"/>
    <w:rsid w:val="00DC30C6"/>
    <w:rsid w:val="00DC3113"/>
    <w:rsid w:val="00DC31CD"/>
    <w:rsid w:val="00DC31F0"/>
    <w:rsid w:val="00DC4101"/>
    <w:rsid w:val="00DC4243"/>
    <w:rsid w:val="00DC4547"/>
    <w:rsid w:val="00DC47FD"/>
    <w:rsid w:val="00DC495C"/>
    <w:rsid w:val="00DC49AF"/>
    <w:rsid w:val="00DC4C11"/>
    <w:rsid w:val="00DC4C1C"/>
    <w:rsid w:val="00DC4DAF"/>
    <w:rsid w:val="00DC4DFA"/>
    <w:rsid w:val="00DC4E3F"/>
    <w:rsid w:val="00DC4EB5"/>
    <w:rsid w:val="00DC4FA8"/>
    <w:rsid w:val="00DC5315"/>
    <w:rsid w:val="00DC546D"/>
    <w:rsid w:val="00DC567E"/>
    <w:rsid w:val="00DC57B0"/>
    <w:rsid w:val="00DC5854"/>
    <w:rsid w:val="00DC593A"/>
    <w:rsid w:val="00DC59A5"/>
    <w:rsid w:val="00DC5EA4"/>
    <w:rsid w:val="00DC60D8"/>
    <w:rsid w:val="00DC60F3"/>
    <w:rsid w:val="00DC631E"/>
    <w:rsid w:val="00DC6626"/>
    <w:rsid w:val="00DC6629"/>
    <w:rsid w:val="00DC69C2"/>
    <w:rsid w:val="00DC6AC0"/>
    <w:rsid w:val="00DC6BAA"/>
    <w:rsid w:val="00DC6EE8"/>
    <w:rsid w:val="00DC6F5A"/>
    <w:rsid w:val="00DC6F97"/>
    <w:rsid w:val="00DC6FC8"/>
    <w:rsid w:val="00DC6FD0"/>
    <w:rsid w:val="00DC725B"/>
    <w:rsid w:val="00DC72B5"/>
    <w:rsid w:val="00DC758F"/>
    <w:rsid w:val="00DC76DE"/>
    <w:rsid w:val="00DC781D"/>
    <w:rsid w:val="00DC7DAC"/>
    <w:rsid w:val="00DC7F94"/>
    <w:rsid w:val="00DD009E"/>
    <w:rsid w:val="00DD00D7"/>
    <w:rsid w:val="00DD01A8"/>
    <w:rsid w:val="00DD037E"/>
    <w:rsid w:val="00DD07F5"/>
    <w:rsid w:val="00DD092C"/>
    <w:rsid w:val="00DD099C"/>
    <w:rsid w:val="00DD0B0C"/>
    <w:rsid w:val="00DD0CC3"/>
    <w:rsid w:val="00DD0CF2"/>
    <w:rsid w:val="00DD1182"/>
    <w:rsid w:val="00DD12C8"/>
    <w:rsid w:val="00DD1300"/>
    <w:rsid w:val="00DD153B"/>
    <w:rsid w:val="00DD2252"/>
    <w:rsid w:val="00DD232E"/>
    <w:rsid w:val="00DD23AE"/>
    <w:rsid w:val="00DD247C"/>
    <w:rsid w:val="00DD24C1"/>
    <w:rsid w:val="00DD254D"/>
    <w:rsid w:val="00DD25C3"/>
    <w:rsid w:val="00DD2731"/>
    <w:rsid w:val="00DD28C1"/>
    <w:rsid w:val="00DD2935"/>
    <w:rsid w:val="00DD29B1"/>
    <w:rsid w:val="00DD2ACD"/>
    <w:rsid w:val="00DD2AD4"/>
    <w:rsid w:val="00DD2E67"/>
    <w:rsid w:val="00DD2EEF"/>
    <w:rsid w:val="00DD2FE0"/>
    <w:rsid w:val="00DD38F5"/>
    <w:rsid w:val="00DD39EB"/>
    <w:rsid w:val="00DD4295"/>
    <w:rsid w:val="00DD43C6"/>
    <w:rsid w:val="00DD451D"/>
    <w:rsid w:val="00DD475B"/>
    <w:rsid w:val="00DD50E3"/>
    <w:rsid w:val="00DD5238"/>
    <w:rsid w:val="00DD52E1"/>
    <w:rsid w:val="00DD54DF"/>
    <w:rsid w:val="00DD553E"/>
    <w:rsid w:val="00DD5671"/>
    <w:rsid w:val="00DD5690"/>
    <w:rsid w:val="00DD590C"/>
    <w:rsid w:val="00DD59B6"/>
    <w:rsid w:val="00DD5BE9"/>
    <w:rsid w:val="00DD5C25"/>
    <w:rsid w:val="00DD5DC4"/>
    <w:rsid w:val="00DD5F66"/>
    <w:rsid w:val="00DD5F82"/>
    <w:rsid w:val="00DD607F"/>
    <w:rsid w:val="00DD61CC"/>
    <w:rsid w:val="00DD645B"/>
    <w:rsid w:val="00DD6A9C"/>
    <w:rsid w:val="00DD6AEB"/>
    <w:rsid w:val="00DD6B7C"/>
    <w:rsid w:val="00DD6C21"/>
    <w:rsid w:val="00DD6D1A"/>
    <w:rsid w:val="00DD71C0"/>
    <w:rsid w:val="00DD737F"/>
    <w:rsid w:val="00DD73CA"/>
    <w:rsid w:val="00DD757F"/>
    <w:rsid w:val="00DD76CF"/>
    <w:rsid w:val="00DD7769"/>
    <w:rsid w:val="00DD7850"/>
    <w:rsid w:val="00DD7A46"/>
    <w:rsid w:val="00DD7B1B"/>
    <w:rsid w:val="00DD7CBC"/>
    <w:rsid w:val="00DD7D35"/>
    <w:rsid w:val="00DD7FDE"/>
    <w:rsid w:val="00DE024A"/>
    <w:rsid w:val="00DE030E"/>
    <w:rsid w:val="00DE03C2"/>
    <w:rsid w:val="00DE0433"/>
    <w:rsid w:val="00DE0977"/>
    <w:rsid w:val="00DE0B4A"/>
    <w:rsid w:val="00DE0BA4"/>
    <w:rsid w:val="00DE0D62"/>
    <w:rsid w:val="00DE0FED"/>
    <w:rsid w:val="00DE14E5"/>
    <w:rsid w:val="00DE172D"/>
    <w:rsid w:val="00DE184A"/>
    <w:rsid w:val="00DE1A57"/>
    <w:rsid w:val="00DE1CC6"/>
    <w:rsid w:val="00DE1D2A"/>
    <w:rsid w:val="00DE1D4E"/>
    <w:rsid w:val="00DE1FC4"/>
    <w:rsid w:val="00DE1FC5"/>
    <w:rsid w:val="00DE2386"/>
    <w:rsid w:val="00DE2512"/>
    <w:rsid w:val="00DE2AED"/>
    <w:rsid w:val="00DE2B8C"/>
    <w:rsid w:val="00DE2D16"/>
    <w:rsid w:val="00DE359B"/>
    <w:rsid w:val="00DE3759"/>
    <w:rsid w:val="00DE37AF"/>
    <w:rsid w:val="00DE3F5C"/>
    <w:rsid w:val="00DE40D4"/>
    <w:rsid w:val="00DE40DB"/>
    <w:rsid w:val="00DE40FC"/>
    <w:rsid w:val="00DE42FD"/>
    <w:rsid w:val="00DE4A1C"/>
    <w:rsid w:val="00DE4BEA"/>
    <w:rsid w:val="00DE4BFE"/>
    <w:rsid w:val="00DE5050"/>
    <w:rsid w:val="00DE525E"/>
    <w:rsid w:val="00DE5522"/>
    <w:rsid w:val="00DE57EA"/>
    <w:rsid w:val="00DE5932"/>
    <w:rsid w:val="00DE5A13"/>
    <w:rsid w:val="00DE5AA7"/>
    <w:rsid w:val="00DE5B4E"/>
    <w:rsid w:val="00DE5C6D"/>
    <w:rsid w:val="00DE5EEF"/>
    <w:rsid w:val="00DE627B"/>
    <w:rsid w:val="00DE6308"/>
    <w:rsid w:val="00DE63BE"/>
    <w:rsid w:val="00DE641E"/>
    <w:rsid w:val="00DE6506"/>
    <w:rsid w:val="00DE6775"/>
    <w:rsid w:val="00DE687A"/>
    <w:rsid w:val="00DE7040"/>
    <w:rsid w:val="00DE71CD"/>
    <w:rsid w:val="00DE71DC"/>
    <w:rsid w:val="00DE746D"/>
    <w:rsid w:val="00DE7866"/>
    <w:rsid w:val="00DE78F5"/>
    <w:rsid w:val="00DE7BCD"/>
    <w:rsid w:val="00DE7CAA"/>
    <w:rsid w:val="00DE7CC9"/>
    <w:rsid w:val="00DE7D68"/>
    <w:rsid w:val="00DE7FF0"/>
    <w:rsid w:val="00DF01D6"/>
    <w:rsid w:val="00DF0343"/>
    <w:rsid w:val="00DF03E3"/>
    <w:rsid w:val="00DF0AF0"/>
    <w:rsid w:val="00DF0B56"/>
    <w:rsid w:val="00DF0B93"/>
    <w:rsid w:val="00DF0BD2"/>
    <w:rsid w:val="00DF0D3A"/>
    <w:rsid w:val="00DF0E81"/>
    <w:rsid w:val="00DF0F07"/>
    <w:rsid w:val="00DF1257"/>
    <w:rsid w:val="00DF13FF"/>
    <w:rsid w:val="00DF1447"/>
    <w:rsid w:val="00DF152B"/>
    <w:rsid w:val="00DF1718"/>
    <w:rsid w:val="00DF175B"/>
    <w:rsid w:val="00DF181A"/>
    <w:rsid w:val="00DF1C42"/>
    <w:rsid w:val="00DF1E56"/>
    <w:rsid w:val="00DF1E7E"/>
    <w:rsid w:val="00DF1FCE"/>
    <w:rsid w:val="00DF225D"/>
    <w:rsid w:val="00DF2635"/>
    <w:rsid w:val="00DF2781"/>
    <w:rsid w:val="00DF2894"/>
    <w:rsid w:val="00DF2922"/>
    <w:rsid w:val="00DF2990"/>
    <w:rsid w:val="00DF2A90"/>
    <w:rsid w:val="00DF2B05"/>
    <w:rsid w:val="00DF2BC5"/>
    <w:rsid w:val="00DF2E79"/>
    <w:rsid w:val="00DF2F00"/>
    <w:rsid w:val="00DF2FAF"/>
    <w:rsid w:val="00DF34FB"/>
    <w:rsid w:val="00DF3658"/>
    <w:rsid w:val="00DF36EC"/>
    <w:rsid w:val="00DF374B"/>
    <w:rsid w:val="00DF37EA"/>
    <w:rsid w:val="00DF3833"/>
    <w:rsid w:val="00DF3A00"/>
    <w:rsid w:val="00DF3B8C"/>
    <w:rsid w:val="00DF3BDB"/>
    <w:rsid w:val="00DF3FC6"/>
    <w:rsid w:val="00DF40E3"/>
    <w:rsid w:val="00DF4200"/>
    <w:rsid w:val="00DF4474"/>
    <w:rsid w:val="00DF455B"/>
    <w:rsid w:val="00DF45AD"/>
    <w:rsid w:val="00DF4764"/>
    <w:rsid w:val="00DF4997"/>
    <w:rsid w:val="00DF4D04"/>
    <w:rsid w:val="00DF531A"/>
    <w:rsid w:val="00DF5335"/>
    <w:rsid w:val="00DF5381"/>
    <w:rsid w:val="00DF5F1A"/>
    <w:rsid w:val="00DF5F61"/>
    <w:rsid w:val="00DF5FCF"/>
    <w:rsid w:val="00DF60F5"/>
    <w:rsid w:val="00DF61B1"/>
    <w:rsid w:val="00DF62DD"/>
    <w:rsid w:val="00DF6349"/>
    <w:rsid w:val="00DF65E8"/>
    <w:rsid w:val="00DF669C"/>
    <w:rsid w:val="00DF6755"/>
    <w:rsid w:val="00DF67D2"/>
    <w:rsid w:val="00DF6C8B"/>
    <w:rsid w:val="00DF6D99"/>
    <w:rsid w:val="00DF6E2A"/>
    <w:rsid w:val="00DF6F37"/>
    <w:rsid w:val="00DF6F78"/>
    <w:rsid w:val="00DF7354"/>
    <w:rsid w:val="00DF7379"/>
    <w:rsid w:val="00DF751D"/>
    <w:rsid w:val="00DF76D4"/>
    <w:rsid w:val="00DF7A2E"/>
    <w:rsid w:val="00DF7BE6"/>
    <w:rsid w:val="00DF7CAA"/>
    <w:rsid w:val="00DF7CDA"/>
    <w:rsid w:val="00DF7D10"/>
    <w:rsid w:val="00DF7ED2"/>
    <w:rsid w:val="00DF7F61"/>
    <w:rsid w:val="00E00086"/>
    <w:rsid w:val="00E001E4"/>
    <w:rsid w:val="00E0048A"/>
    <w:rsid w:val="00E005AC"/>
    <w:rsid w:val="00E006D4"/>
    <w:rsid w:val="00E008C3"/>
    <w:rsid w:val="00E00B58"/>
    <w:rsid w:val="00E00B93"/>
    <w:rsid w:val="00E00C9B"/>
    <w:rsid w:val="00E01087"/>
    <w:rsid w:val="00E0111A"/>
    <w:rsid w:val="00E012E1"/>
    <w:rsid w:val="00E016C8"/>
    <w:rsid w:val="00E01A53"/>
    <w:rsid w:val="00E01B07"/>
    <w:rsid w:val="00E01E7E"/>
    <w:rsid w:val="00E02087"/>
    <w:rsid w:val="00E021EE"/>
    <w:rsid w:val="00E02291"/>
    <w:rsid w:val="00E02432"/>
    <w:rsid w:val="00E02572"/>
    <w:rsid w:val="00E028EA"/>
    <w:rsid w:val="00E02CB2"/>
    <w:rsid w:val="00E02E7A"/>
    <w:rsid w:val="00E03075"/>
    <w:rsid w:val="00E03091"/>
    <w:rsid w:val="00E0319E"/>
    <w:rsid w:val="00E0357D"/>
    <w:rsid w:val="00E0359C"/>
    <w:rsid w:val="00E03791"/>
    <w:rsid w:val="00E03B81"/>
    <w:rsid w:val="00E03BB3"/>
    <w:rsid w:val="00E03BDA"/>
    <w:rsid w:val="00E03E60"/>
    <w:rsid w:val="00E0414F"/>
    <w:rsid w:val="00E04157"/>
    <w:rsid w:val="00E043B0"/>
    <w:rsid w:val="00E04530"/>
    <w:rsid w:val="00E045A0"/>
    <w:rsid w:val="00E045CD"/>
    <w:rsid w:val="00E04877"/>
    <w:rsid w:val="00E04888"/>
    <w:rsid w:val="00E04A7B"/>
    <w:rsid w:val="00E04ACB"/>
    <w:rsid w:val="00E04C10"/>
    <w:rsid w:val="00E04DA1"/>
    <w:rsid w:val="00E051B9"/>
    <w:rsid w:val="00E051F2"/>
    <w:rsid w:val="00E0526F"/>
    <w:rsid w:val="00E052FF"/>
    <w:rsid w:val="00E05304"/>
    <w:rsid w:val="00E05351"/>
    <w:rsid w:val="00E0536A"/>
    <w:rsid w:val="00E05896"/>
    <w:rsid w:val="00E0599F"/>
    <w:rsid w:val="00E05A5D"/>
    <w:rsid w:val="00E05CF6"/>
    <w:rsid w:val="00E05DF5"/>
    <w:rsid w:val="00E0657B"/>
    <w:rsid w:val="00E0670E"/>
    <w:rsid w:val="00E06854"/>
    <w:rsid w:val="00E06A49"/>
    <w:rsid w:val="00E06B43"/>
    <w:rsid w:val="00E06C03"/>
    <w:rsid w:val="00E06C6E"/>
    <w:rsid w:val="00E07281"/>
    <w:rsid w:val="00E07317"/>
    <w:rsid w:val="00E073AA"/>
    <w:rsid w:val="00E07458"/>
    <w:rsid w:val="00E0777B"/>
    <w:rsid w:val="00E07836"/>
    <w:rsid w:val="00E07C63"/>
    <w:rsid w:val="00E10487"/>
    <w:rsid w:val="00E10530"/>
    <w:rsid w:val="00E10644"/>
    <w:rsid w:val="00E106B5"/>
    <w:rsid w:val="00E10733"/>
    <w:rsid w:val="00E107D4"/>
    <w:rsid w:val="00E1084A"/>
    <w:rsid w:val="00E10ACA"/>
    <w:rsid w:val="00E10CCC"/>
    <w:rsid w:val="00E10DD7"/>
    <w:rsid w:val="00E11095"/>
    <w:rsid w:val="00E119A2"/>
    <w:rsid w:val="00E11B73"/>
    <w:rsid w:val="00E11C09"/>
    <w:rsid w:val="00E11DE9"/>
    <w:rsid w:val="00E11FC1"/>
    <w:rsid w:val="00E12171"/>
    <w:rsid w:val="00E12202"/>
    <w:rsid w:val="00E12283"/>
    <w:rsid w:val="00E12313"/>
    <w:rsid w:val="00E126A7"/>
    <w:rsid w:val="00E12798"/>
    <w:rsid w:val="00E127DB"/>
    <w:rsid w:val="00E127DE"/>
    <w:rsid w:val="00E1284F"/>
    <w:rsid w:val="00E12A1C"/>
    <w:rsid w:val="00E12A76"/>
    <w:rsid w:val="00E12E22"/>
    <w:rsid w:val="00E12EFE"/>
    <w:rsid w:val="00E1327D"/>
    <w:rsid w:val="00E1333B"/>
    <w:rsid w:val="00E13B90"/>
    <w:rsid w:val="00E13BA5"/>
    <w:rsid w:val="00E13CC4"/>
    <w:rsid w:val="00E13F94"/>
    <w:rsid w:val="00E14295"/>
    <w:rsid w:val="00E1437A"/>
    <w:rsid w:val="00E143BB"/>
    <w:rsid w:val="00E144D6"/>
    <w:rsid w:val="00E1477E"/>
    <w:rsid w:val="00E1495B"/>
    <w:rsid w:val="00E14A9C"/>
    <w:rsid w:val="00E14C0B"/>
    <w:rsid w:val="00E14D4E"/>
    <w:rsid w:val="00E14E0D"/>
    <w:rsid w:val="00E14E52"/>
    <w:rsid w:val="00E152C4"/>
    <w:rsid w:val="00E154EB"/>
    <w:rsid w:val="00E158B5"/>
    <w:rsid w:val="00E15AC2"/>
    <w:rsid w:val="00E15D6B"/>
    <w:rsid w:val="00E1622E"/>
    <w:rsid w:val="00E162E0"/>
    <w:rsid w:val="00E16650"/>
    <w:rsid w:val="00E1665C"/>
    <w:rsid w:val="00E1674F"/>
    <w:rsid w:val="00E16788"/>
    <w:rsid w:val="00E16FCF"/>
    <w:rsid w:val="00E17205"/>
    <w:rsid w:val="00E17329"/>
    <w:rsid w:val="00E174D4"/>
    <w:rsid w:val="00E17739"/>
    <w:rsid w:val="00E179B1"/>
    <w:rsid w:val="00E17A5C"/>
    <w:rsid w:val="00E17DC0"/>
    <w:rsid w:val="00E17DF9"/>
    <w:rsid w:val="00E17E44"/>
    <w:rsid w:val="00E200FD"/>
    <w:rsid w:val="00E20222"/>
    <w:rsid w:val="00E203C9"/>
    <w:rsid w:val="00E204E7"/>
    <w:rsid w:val="00E20629"/>
    <w:rsid w:val="00E20ECF"/>
    <w:rsid w:val="00E20F31"/>
    <w:rsid w:val="00E21335"/>
    <w:rsid w:val="00E213A9"/>
    <w:rsid w:val="00E21646"/>
    <w:rsid w:val="00E217CA"/>
    <w:rsid w:val="00E217F8"/>
    <w:rsid w:val="00E21A92"/>
    <w:rsid w:val="00E21C24"/>
    <w:rsid w:val="00E21F2D"/>
    <w:rsid w:val="00E2267E"/>
    <w:rsid w:val="00E22913"/>
    <w:rsid w:val="00E229E5"/>
    <w:rsid w:val="00E22ACB"/>
    <w:rsid w:val="00E22B73"/>
    <w:rsid w:val="00E23025"/>
    <w:rsid w:val="00E23717"/>
    <w:rsid w:val="00E23725"/>
    <w:rsid w:val="00E2380A"/>
    <w:rsid w:val="00E23A21"/>
    <w:rsid w:val="00E23BA8"/>
    <w:rsid w:val="00E240DC"/>
    <w:rsid w:val="00E24274"/>
    <w:rsid w:val="00E24365"/>
    <w:rsid w:val="00E2447E"/>
    <w:rsid w:val="00E24582"/>
    <w:rsid w:val="00E24612"/>
    <w:rsid w:val="00E24C9A"/>
    <w:rsid w:val="00E24D8E"/>
    <w:rsid w:val="00E24E27"/>
    <w:rsid w:val="00E24F97"/>
    <w:rsid w:val="00E25054"/>
    <w:rsid w:val="00E251D8"/>
    <w:rsid w:val="00E2553B"/>
    <w:rsid w:val="00E25551"/>
    <w:rsid w:val="00E2559C"/>
    <w:rsid w:val="00E25667"/>
    <w:rsid w:val="00E25709"/>
    <w:rsid w:val="00E25727"/>
    <w:rsid w:val="00E259A8"/>
    <w:rsid w:val="00E25A80"/>
    <w:rsid w:val="00E25ADF"/>
    <w:rsid w:val="00E25AEE"/>
    <w:rsid w:val="00E25C16"/>
    <w:rsid w:val="00E25E87"/>
    <w:rsid w:val="00E26216"/>
    <w:rsid w:val="00E266E1"/>
    <w:rsid w:val="00E26999"/>
    <w:rsid w:val="00E26DFA"/>
    <w:rsid w:val="00E2705E"/>
    <w:rsid w:val="00E273A7"/>
    <w:rsid w:val="00E274C2"/>
    <w:rsid w:val="00E276BC"/>
    <w:rsid w:val="00E277A8"/>
    <w:rsid w:val="00E27956"/>
    <w:rsid w:val="00E27A09"/>
    <w:rsid w:val="00E27BA5"/>
    <w:rsid w:val="00E27BD8"/>
    <w:rsid w:val="00E3013A"/>
    <w:rsid w:val="00E30142"/>
    <w:rsid w:val="00E301FB"/>
    <w:rsid w:val="00E302E4"/>
    <w:rsid w:val="00E304A2"/>
    <w:rsid w:val="00E30694"/>
    <w:rsid w:val="00E307F8"/>
    <w:rsid w:val="00E3095F"/>
    <w:rsid w:val="00E3122E"/>
    <w:rsid w:val="00E312A1"/>
    <w:rsid w:val="00E31591"/>
    <w:rsid w:val="00E31903"/>
    <w:rsid w:val="00E31AD9"/>
    <w:rsid w:val="00E31BFA"/>
    <w:rsid w:val="00E31CE0"/>
    <w:rsid w:val="00E31ED7"/>
    <w:rsid w:val="00E31EFB"/>
    <w:rsid w:val="00E31F16"/>
    <w:rsid w:val="00E31FA0"/>
    <w:rsid w:val="00E321CA"/>
    <w:rsid w:val="00E3233A"/>
    <w:rsid w:val="00E3235E"/>
    <w:rsid w:val="00E32367"/>
    <w:rsid w:val="00E323C6"/>
    <w:rsid w:val="00E32491"/>
    <w:rsid w:val="00E32583"/>
    <w:rsid w:val="00E3262C"/>
    <w:rsid w:val="00E32635"/>
    <w:rsid w:val="00E32666"/>
    <w:rsid w:val="00E326FE"/>
    <w:rsid w:val="00E32748"/>
    <w:rsid w:val="00E32845"/>
    <w:rsid w:val="00E32C6C"/>
    <w:rsid w:val="00E3315F"/>
    <w:rsid w:val="00E33241"/>
    <w:rsid w:val="00E33287"/>
    <w:rsid w:val="00E335D7"/>
    <w:rsid w:val="00E335DD"/>
    <w:rsid w:val="00E33674"/>
    <w:rsid w:val="00E33856"/>
    <w:rsid w:val="00E33A2B"/>
    <w:rsid w:val="00E33EB7"/>
    <w:rsid w:val="00E33F7C"/>
    <w:rsid w:val="00E340D4"/>
    <w:rsid w:val="00E34463"/>
    <w:rsid w:val="00E3449C"/>
    <w:rsid w:val="00E346B1"/>
    <w:rsid w:val="00E34B88"/>
    <w:rsid w:val="00E34D11"/>
    <w:rsid w:val="00E34F05"/>
    <w:rsid w:val="00E34FFD"/>
    <w:rsid w:val="00E350B2"/>
    <w:rsid w:val="00E35358"/>
    <w:rsid w:val="00E354E2"/>
    <w:rsid w:val="00E35757"/>
    <w:rsid w:val="00E3575D"/>
    <w:rsid w:val="00E359C8"/>
    <w:rsid w:val="00E35ABC"/>
    <w:rsid w:val="00E35F29"/>
    <w:rsid w:val="00E3613C"/>
    <w:rsid w:val="00E36269"/>
    <w:rsid w:val="00E363E0"/>
    <w:rsid w:val="00E3640E"/>
    <w:rsid w:val="00E3682C"/>
    <w:rsid w:val="00E36AEE"/>
    <w:rsid w:val="00E371F1"/>
    <w:rsid w:val="00E37987"/>
    <w:rsid w:val="00E37E8B"/>
    <w:rsid w:val="00E40050"/>
    <w:rsid w:val="00E4039C"/>
    <w:rsid w:val="00E40980"/>
    <w:rsid w:val="00E409F2"/>
    <w:rsid w:val="00E40B0E"/>
    <w:rsid w:val="00E40C04"/>
    <w:rsid w:val="00E40CC0"/>
    <w:rsid w:val="00E40F4F"/>
    <w:rsid w:val="00E411DF"/>
    <w:rsid w:val="00E417E8"/>
    <w:rsid w:val="00E41933"/>
    <w:rsid w:val="00E41A05"/>
    <w:rsid w:val="00E41C7B"/>
    <w:rsid w:val="00E41CC4"/>
    <w:rsid w:val="00E41CCB"/>
    <w:rsid w:val="00E41EFC"/>
    <w:rsid w:val="00E423E4"/>
    <w:rsid w:val="00E42472"/>
    <w:rsid w:val="00E42526"/>
    <w:rsid w:val="00E425C7"/>
    <w:rsid w:val="00E425E4"/>
    <w:rsid w:val="00E42777"/>
    <w:rsid w:val="00E42860"/>
    <w:rsid w:val="00E42AE5"/>
    <w:rsid w:val="00E43060"/>
    <w:rsid w:val="00E43172"/>
    <w:rsid w:val="00E43502"/>
    <w:rsid w:val="00E43578"/>
    <w:rsid w:val="00E4365B"/>
    <w:rsid w:val="00E43B45"/>
    <w:rsid w:val="00E44180"/>
    <w:rsid w:val="00E4423E"/>
    <w:rsid w:val="00E44686"/>
    <w:rsid w:val="00E44844"/>
    <w:rsid w:val="00E448C6"/>
    <w:rsid w:val="00E44A35"/>
    <w:rsid w:val="00E44BB0"/>
    <w:rsid w:val="00E44BD0"/>
    <w:rsid w:val="00E44D0F"/>
    <w:rsid w:val="00E4501A"/>
    <w:rsid w:val="00E45133"/>
    <w:rsid w:val="00E4530D"/>
    <w:rsid w:val="00E4556F"/>
    <w:rsid w:val="00E455E0"/>
    <w:rsid w:val="00E458D1"/>
    <w:rsid w:val="00E45F70"/>
    <w:rsid w:val="00E45FF4"/>
    <w:rsid w:val="00E46092"/>
    <w:rsid w:val="00E4611B"/>
    <w:rsid w:val="00E46175"/>
    <w:rsid w:val="00E46191"/>
    <w:rsid w:val="00E46225"/>
    <w:rsid w:val="00E46304"/>
    <w:rsid w:val="00E464B9"/>
    <w:rsid w:val="00E46B39"/>
    <w:rsid w:val="00E46D1F"/>
    <w:rsid w:val="00E46E77"/>
    <w:rsid w:val="00E46FE1"/>
    <w:rsid w:val="00E471C2"/>
    <w:rsid w:val="00E472EE"/>
    <w:rsid w:val="00E4732D"/>
    <w:rsid w:val="00E473D3"/>
    <w:rsid w:val="00E475A3"/>
    <w:rsid w:val="00E475B1"/>
    <w:rsid w:val="00E4764A"/>
    <w:rsid w:val="00E47A19"/>
    <w:rsid w:val="00E47D17"/>
    <w:rsid w:val="00E5030B"/>
    <w:rsid w:val="00E50534"/>
    <w:rsid w:val="00E507A0"/>
    <w:rsid w:val="00E508E1"/>
    <w:rsid w:val="00E50974"/>
    <w:rsid w:val="00E50C39"/>
    <w:rsid w:val="00E50D46"/>
    <w:rsid w:val="00E50DD8"/>
    <w:rsid w:val="00E50EDF"/>
    <w:rsid w:val="00E50FBC"/>
    <w:rsid w:val="00E5115F"/>
    <w:rsid w:val="00E51329"/>
    <w:rsid w:val="00E5138F"/>
    <w:rsid w:val="00E51436"/>
    <w:rsid w:val="00E51895"/>
    <w:rsid w:val="00E5199D"/>
    <w:rsid w:val="00E51A30"/>
    <w:rsid w:val="00E5256E"/>
    <w:rsid w:val="00E5262C"/>
    <w:rsid w:val="00E528F4"/>
    <w:rsid w:val="00E52B5A"/>
    <w:rsid w:val="00E52B5F"/>
    <w:rsid w:val="00E52B85"/>
    <w:rsid w:val="00E52BEA"/>
    <w:rsid w:val="00E52C91"/>
    <w:rsid w:val="00E53375"/>
    <w:rsid w:val="00E53483"/>
    <w:rsid w:val="00E5348C"/>
    <w:rsid w:val="00E537E4"/>
    <w:rsid w:val="00E53B04"/>
    <w:rsid w:val="00E542D6"/>
    <w:rsid w:val="00E546B4"/>
    <w:rsid w:val="00E5473D"/>
    <w:rsid w:val="00E5481D"/>
    <w:rsid w:val="00E5482F"/>
    <w:rsid w:val="00E548AA"/>
    <w:rsid w:val="00E54BE6"/>
    <w:rsid w:val="00E54E3C"/>
    <w:rsid w:val="00E54EAF"/>
    <w:rsid w:val="00E54F4A"/>
    <w:rsid w:val="00E553D1"/>
    <w:rsid w:val="00E556D2"/>
    <w:rsid w:val="00E5571D"/>
    <w:rsid w:val="00E55909"/>
    <w:rsid w:val="00E55BAD"/>
    <w:rsid w:val="00E55D79"/>
    <w:rsid w:val="00E55E20"/>
    <w:rsid w:val="00E5635D"/>
    <w:rsid w:val="00E56403"/>
    <w:rsid w:val="00E5667B"/>
    <w:rsid w:val="00E56C66"/>
    <w:rsid w:val="00E56CEF"/>
    <w:rsid w:val="00E56CFD"/>
    <w:rsid w:val="00E56D13"/>
    <w:rsid w:val="00E56D67"/>
    <w:rsid w:val="00E56E0A"/>
    <w:rsid w:val="00E57113"/>
    <w:rsid w:val="00E57A1C"/>
    <w:rsid w:val="00E57BC6"/>
    <w:rsid w:val="00E57C13"/>
    <w:rsid w:val="00E60037"/>
    <w:rsid w:val="00E60195"/>
    <w:rsid w:val="00E605C3"/>
    <w:rsid w:val="00E60613"/>
    <w:rsid w:val="00E60669"/>
    <w:rsid w:val="00E60670"/>
    <w:rsid w:val="00E608F0"/>
    <w:rsid w:val="00E60901"/>
    <w:rsid w:val="00E6091B"/>
    <w:rsid w:val="00E60A57"/>
    <w:rsid w:val="00E60BD7"/>
    <w:rsid w:val="00E60E5C"/>
    <w:rsid w:val="00E61224"/>
    <w:rsid w:val="00E6125A"/>
    <w:rsid w:val="00E613BF"/>
    <w:rsid w:val="00E61450"/>
    <w:rsid w:val="00E61744"/>
    <w:rsid w:val="00E61C26"/>
    <w:rsid w:val="00E61CD9"/>
    <w:rsid w:val="00E61EDE"/>
    <w:rsid w:val="00E62042"/>
    <w:rsid w:val="00E626B3"/>
    <w:rsid w:val="00E6277D"/>
    <w:rsid w:val="00E6281C"/>
    <w:rsid w:val="00E62832"/>
    <w:rsid w:val="00E62CA5"/>
    <w:rsid w:val="00E62DB3"/>
    <w:rsid w:val="00E62F02"/>
    <w:rsid w:val="00E6309B"/>
    <w:rsid w:val="00E631EE"/>
    <w:rsid w:val="00E63A1B"/>
    <w:rsid w:val="00E63D13"/>
    <w:rsid w:val="00E63FD2"/>
    <w:rsid w:val="00E64134"/>
    <w:rsid w:val="00E64713"/>
    <w:rsid w:val="00E64745"/>
    <w:rsid w:val="00E64816"/>
    <w:rsid w:val="00E649E0"/>
    <w:rsid w:val="00E64A34"/>
    <w:rsid w:val="00E64B1D"/>
    <w:rsid w:val="00E64C97"/>
    <w:rsid w:val="00E6505C"/>
    <w:rsid w:val="00E65235"/>
    <w:rsid w:val="00E65512"/>
    <w:rsid w:val="00E657C9"/>
    <w:rsid w:val="00E6593B"/>
    <w:rsid w:val="00E65A7C"/>
    <w:rsid w:val="00E65CB4"/>
    <w:rsid w:val="00E66021"/>
    <w:rsid w:val="00E661AE"/>
    <w:rsid w:val="00E66552"/>
    <w:rsid w:val="00E6682C"/>
    <w:rsid w:val="00E66C8D"/>
    <w:rsid w:val="00E66EDD"/>
    <w:rsid w:val="00E67352"/>
    <w:rsid w:val="00E67480"/>
    <w:rsid w:val="00E678A3"/>
    <w:rsid w:val="00E679C4"/>
    <w:rsid w:val="00E7003F"/>
    <w:rsid w:val="00E7015A"/>
    <w:rsid w:val="00E7023C"/>
    <w:rsid w:val="00E7029E"/>
    <w:rsid w:val="00E70563"/>
    <w:rsid w:val="00E706F9"/>
    <w:rsid w:val="00E706FF"/>
    <w:rsid w:val="00E70781"/>
    <w:rsid w:val="00E707CF"/>
    <w:rsid w:val="00E70964"/>
    <w:rsid w:val="00E70ED8"/>
    <w:rsid w:val="00E711C4"/>
    <w:rsid w:val="00E7148F"/>
    <w:rsid w:val="00E71611"/>
    <w:rsid w:val="00E71885"/>
    <w:rsid w:val="00E71999"/>
    <w:rsid w:val="00E71B21"/>
    <w:rsid w:val="00E71B48"/>
    <w:rsid w:val="00E71DD1"/>
    <w:rsid w:val="00E72007"/>
    <w:rsid w:val="00E722FB"/>
    <w:rsid w:val="00E72384"/>
    <w:rsid w:val="00E7240D"/>
    <w:rsid w:val="00E72461"/>
    <w:rsid w:val="00E724BC"/>
    <w:rsid w:val="00E724F1"/>
    <w:rsid w:val="00E72619"/>
    <w:rsid w:val="00E72810"/>
    <w:rsid w:val="00E7287B"/>
    <w:rsid w:val="00E7291D"/>
    <w:rsid w:val="00E729C7"/>
    <w:rsid w:val="00E72EC6"/>
    <w:rsid w:val="00E73508"/>
    <w:rsid w:val="00E73669"/>
    <w:rsid w:val="00E7390F"/>
    <w:rsid w:val="00E73B36"/>
    <w:rsid w:val="00E74226"/>
    <w:rsid w:val="00E743A3"/>
    <w:rsid w:val="00E74679"/>
    <w:rsid w:val="00E74684"/>
    <w:rsid w:val="00E747E8"/>
    <w:rsid w:val="00E74966"/>
    <w:rsid w:val="00E74989"/>
    <w:rsid w:val="00E74E6E"/>
    <w:rsid w:val="00E753F7"/>
    <w:rsid w:val="00E75514"/>
    <w:rsid w:val="00E75613"/>
    <w:rsid w:val="00E7565B"/>
    <w:rsid w:val="00E75A00"/>
    <w:rsid w:val="00E761C2"/>
    <w:rsid w:val="00E7630C"/>
    <w:rsid w:val="00E7652F"/>
    <w:rsid w:val="00E765FC"/>
    <w:rsid w:val="00E76844"/>
    <w:rsid w:val="00E769E6"/>
    <w:rsid w:val="00E76D8D"/>
    <w:rsid w:val="00E76F77"/>
    <w:rsid w:val="00E770BF"/>
    <w:rsid w:val="00E77576"/>
    <w:rsid w:val="00E779D3"/>
    <w:rsid w:val="00E77A26"/>
    <w:rsid w:val="00E77A3E"/>
    <w:rsid w:val="00E77DBE"/>
    <w:rsid w:val="00E77DFA"/>
    <w:rsid w:val="00E77E98"/>
    <w:rsid w:val="00E77ED2"/>
    <w:rsid w:val="00E801C4"/>
    <w:rsid w:val="00E8033E"/>
    <w:rsid w:val="00E808D7"/>
    <w:rsid w:val="00E809F9"/>
    <w:rsid w:val="00E80C33"/>
    <w:rsid w:val="00E812B4"/>
    <w:rsid w:val="00E815CC"/>
    <w:rsid w:val="00E81654"/>
    <w:rsid w:val="00E817E5"/>
    <w:rsid w:val="00E81F7B"/>
    <w:rsid w:val="00E820B9"/>
    <w:rsid w:val="00E820C3"/>
    <w:rsid w:val="00E822C4"/>
    <w:rsid w:val="00E825D2"/>
    <w:rsid w:val="00E82612"/>
    <w:rsid w:val="00E8264E"/>
    <w:rsid w:val="00E826AB"/>
    <w:rsid w:val="00E8273C"/>
    <w:rsid w:val="00E82961"/>
    <w:rsid w:val="00E82BCB"/>
    <w:rsid w:val="00E82C6D"/>
    <w:rsid w:val="00E82E02"/>
    <w:rsid w:val="00E82EBF"/>
    <w:rsid w:val="00E8314C"/>
    <w:rsid w:val="00E832A9"/>
    <w:rsid w:val="00E8344B"/>
    <w:rsid w:val="00E83474"/>
    <w:rsid w:val="00E8349A"/>
    <w:rsid w:val="00E836DB"/>
    <w:rsid w:val="00E83C9E"/>
    <w:rsid w:val="00E83CE3"/>
    <w:rsid w:val="00E84495"/>
    <w:rsid w:val="00E848C0"/>
    <w:rsid w:val="00E84B69"/>
    <w:rsid w:val="00E84C57"/>
    <w:rsid w:val="00E84C97"/>
    <w:rsid w:val="00E84CB7"/>
    <w:rsid w:val="00E84D35"/>
    <w:rsid w:val="00E84E5C"/>
    <w:rsid w:val="00E84F59"/>
    <w:rsid w:val="00E856FB"/>
    <w:rsid w:val="00E858A9"/>
    <w:rsid w:val="00E858F9"/>
    <w:rsid w:val="00E859F5"/>
    <w:rsid w:val="00E85A0D"/>
    <w:rsid w:val="00E85AB3"/>
    <w:rsid w:val="00E85FCB"/>
    <w:rsid w:val="00E86285"/>
    <w:rsid w:val="00E862D4"/>
    <w:rsid w:val="00E86439"/>
    <w:rsid w:val="00E86585"/>
    <w:rsid w:val="00E869B4"/>
    <w:rsid w:val="00E86B87"/>
    <w:rsid w:val="00E87748"/>
    <w:rsid w:val="00E877FE"/>
    <w:rsid w:val="00E8787D"/>
    <w:rsid w:val="00E87C37"/>
    <w:rsid w:val="00E87F6B"/>
    <w:rsid w:val="00E9020D"/>
    <w:rsid w:val="00E9029C"/>
    <w:rsid w:val="00E9039E"/>
    <w:rsid w:val="00E90654"/>
    <w:rsid w:val="00E9067E"/>
    <w:rsid w:val="00E906A5"/>
    <w:rsid w:val="00E90954"/>
    <w:rsid w:val="00E90B5F"/>
    <w:rsid w:val="00E90B6B"/>
    <w:rsid w:val="00E90D88"/>
    <w:rsid w:val="00E90F72"/>
    <w:rsid w:val="00E90FEB"/>
    <w:rsid w:val="00E91152"/>
    <w:rsid w:val="00E9126D"/>
    <w:rsid w:val="00E912F7"/>
    <w:rsid w:val="00E919FD"/>
    <w:rsid w:val="00E91D3B"/>
    <w:rsid w:val="00E91D73"/>
    <w:rsid w:val="00E91DA5"/>
    <w:rsid w:val="00E922F1"/>
    <w:rsid w:val="00E92C23"/>
    <w:rsid w:val="00E92C25"/>
    <w:rsid w:val="00E92D5A"/>
    <w:rsid w:val="00E931A6"/>
    <w:rsid w:val="00E93653"/>
    <w:rsid w:val="00E9371C"/>
    <w:rsid w:val="00E93B99"/>
    <w:rsid w:val="00E93F39"/>
    <w:rsid w:val="00E94075"/>
    <w:rsid w:val="00E940C1"/>
    <w:rsid w:val="00E94154"/>
    <w:rsid w:val="00E9457A"/>
    <w:rsid w:val="00E946AF"/>
    <w:rsid w:val="00E94C40"/>
    <w:rsid w:val="00E94CF4"/>
    <w:rsid w:val="00E94D64"/>
    <w:rsid w:val="00E95031"/>
    <w:rsid w:val="00E95075"/>
    <w:rsid w:val="00E950E0"/>
    <w:rsid w:val="00E95211"/>
    <w:rsid w:val="00E952E0"/>
    <w:rsid w:val="00E9535B"/>
    <w:rsid w:val="00E955AB"/>
    <w:rsid w:val="00E9581C"/>
    <w:rsid w:val="00E9593D"/>
    <w:rsid w:val="00E959A9"/>
    <w:rsid w:val="00E95C4D"/>
    <w:rsid w:val="00E95D31"/>
    <w:rsid w:val="00E95F89"/>
    <w:rsid w:val="00E95FFD"/>
    <w:rsid w:val="00E9626D"/>
    <w:rsid w:val="00E96367"/>
    <w:rsid w:val="00E96392"/>
    <w:rsid w:val="00E96516"/>
    <w:rsid w:val="00E96599"/>
    <w:rsid w:val="00E968B1"/>
    <w:rsid w:val="00E96946"/>
    <w:rsid w:val="00E96D81"/>
    <w:rsid w:val="00E96E37"/>
    <w:rsid w:val="00E96F76"/>
    <w:rsid w:val="00E971B8"/>
    <w:rsid w:val="00E97226"/>
    <w:rsid w:val="00E9769E"/>
    <w:rsid w:val="00E976B5"/>
    <w:rsid w:val="00E976BE"/>
    <w:rsid w:val="00E976F1"/>
    <w:rsid w:val="00E97903"/>
    <w:rsid w:val="00E97D42"/>
    <w:rsid w:val="00E97FA8"/>
    <w:rsid w:val="00E97FAE"/>
    <w:rsid w:val="00E97FF6"/>
    <w:rsid w:val="00EA0118"/>
    <w:rsid w:val="00EA01E2"/>
    <w:rsid w:val="00EA071F"/>
    <w:rsid w:val="00EA07EF"/>
    <w:rsid w:val="00EA0854"/>
    <w:rsid w:val="00EA0BA9"/>
    <w:rsid w:val="00EA0C33"/>
    <w:rsid w:val="00EA1386"/>
    <w:rsid w:val="00EA149C"/>
    <w:rsid w:val="00EA1860"/>
    <w:rsid w:val="00EA18FA"/>
    <w:rsid w:val="00EA214E"/>
    <w:rsid w:val="00EA216B"/>
    <w:rsid w:val="00EA24F2"/>
    <w:rsid w:val="00EA2541"/>
    <w:rsid w:val="00EA27CD"/>
    <w:rsid w:val="00EA2C55"/>
    <w:rsid w:val="00EA2FBE"/>
    <w:rsid w:val="00EA301F"/>
    <w:rsid w:val="00EA302A"/>
    <w:rsid w:val="00EA3107"/>
    <w:rsid w:val="00EA3735"/>
    <w:rsid w:val="00EA37B3"/>
    <w:rsid w:val="00EA3A92"/>
    <w:rsid w:val="00EA3D68"/>
    <w:rsid w:val="00EA3E1A"/>
    <w:rsid w:val="00EA3ECC"/>
    <w:rsid w:val="00EA3F36"/>
    <w:rsid w:val="00EA3FDE"/>
    <w:rsid w:val="00EA3FF6"/>
    <w:rsid w:val="00EA40C7"/>
    <w:rsid w:val="00EA4127"/>
    <w:rsid w:val="00EA42AF"/>
    <w:rsid w:val="00EA441C"/>
    <w:rsid w:val="00EA457E"/>
    <w:rsid w:val="00EA4657"/>
    <w:rsid w:val="00EA472C"/>
    <w:rsid w:val="00EA4E02"/>
    <w:rsid w:val="00EA5580"/>
    <w:rsid w:val="00EA56E5"/>
    <w:rsid w:val="00EA5748"/>
    <w:rsid w:val="00EA5AE4"/>
    <w:rsid w:val="00EA5BA9"/>
    <w:rsid w:val="00EA5CE1"/>
    <w:rsid w:val="00EA5E59"/>
    <w:rsid w:val="00EA63E3"/>
    <w:rsid w:val="00EA6754"/>
    <w:rsid w:val="00EA69F4"/>
    <w:rsid w:val="00EA6A2A"/>
    <w:rsid w:val="00EA6BE4"/>
    <w:rsid w:val="00EA6F60"/>
    <w:rsid w:val="00EA6F6F"/>
    <w:rsid w:val="00EA70BB"/>
    <w:rsid w:val="00EA73B7"/>
    <w:rsid w:val="00EA759F"/>
    <w:rsid w:val="00EA7CC4"/>
    <w:rsid w:val="00EA7DE2"/>
    <w:rsid w:val="00EB0041"/>
    <w:rsid w:val="00EB006F"/>
    <w:rsid w:val="00EB0126"/>
    <w:rsid w:val="00EB03E1"/>
    <w:rsid w:val="00EB0408"/>
    <w:rsid w:val="00EB0489"/>
    <w:rsid w:val="00EB049B"/>
    <w:rsid w:val="00EB093F"/>
    <w:rsid w:val="00EB09BB"/>
    <w:rsid w:val="00EB0D5C"/>
    <w:rsid w:val="00EB0EEF"/>
    <w:rsid w:val="00EB0F2A"/>
    <w:rsid w:val="00EB11C4"/>
    <w:rsid w:val="00EB150E"/>
    <w:rsid w:val="00EB176E"/>
    <w:rsid w:val="00EB17CF"/>
    <w:rsid w:val="00EB19F4"/>
    <w:rsid w:val="00EB1ED1"/>
    <w:rsid w:val="00EB1F02"/>
    <w:rsid w:val="00EB218B"/>
    <w:rsid w:val="00EB2277"/>
    <w:rsid w:val="00EB22E3"/>
    <w:rsid w:val="00EB2476"/>
    <w:rsid w:val="00EB25BB"/>
    <w:rsid w:val="00EB2670"/>
    <w:rsid w:val="00EB2AF1"/>
    <w:rsid w:val="00EB2D0E"/>
    <w:rsid w:val="00EB2DFA"/>
    <w:rsid w:val="00EB2FC2"/>
    <w:rsid w:val="00EB3240"/>
    <w:rsid w:val="00EB3241"/>
    <w:rsid w:val="00EB3278"/>
    <w:rsid w:val="00EB3414"/>
    <w:rsid w:val="00EB3582"/>
    <w:rsid w:val="00EB37DD"/>
    <w:rsid w:val="00EB37EE"/>
    <w:rsid w:val="00EB38FC"/>
    <w:rsid w:val="00EB3913"/>
    <w:rsid w:val="00EB3983"/>
    <w:rsid w:val="00EB3BF7"/>
    <w:rsid w:val="00EB3F78"/>
    <w:rsid w:val="00EB3FD6"/>
    <w:rsid w:val="00EB3FFF"/>
    <w:rsid w:val="00EB41A1"/>
    <w:rsid w:val="00EB41D0"/>
    <w:rsid w:val="00EB422B"/>
    <w:rsid w:val="00EB433D"/>
    <w:rsid w:val="00EB4436"/>
    <w:rsid w:val="00EB4483"/>
    <w:rsid w:val="00EB48F8"/>
    <w:rsid w:val="00EB495F"/>
    <w:rsid w:val="00EB4C79"/>
    <w:rsid w:val="00EB4DF3"/>
    <w:rsid w:val="00EB4E9E"/>
    <w:rsid w:val="00EB4F19"/>
    <w:rsid w:val="00EB4FD7"/>
    <w:rsid w:val="00EB50EB"/>
    <w:rsid w:val="00EB51D6"/>
    <w:rsid w:val="00EB53BE"/>
    <w:rsid w:val="00EB55E9"/>
    <w:rsid w:val="00EB59F2"/>
    <w:rsid w:val="00EB5B8B"/>
    <w:rsid w:val="00EB5C79"/>
    <w:rsid w:val="00EB5C9D"/>
    <w:rsid w:val="00EB5EA9"/>
    <w:rsid w:val="00EB5F29"/>
    <w:rsid w:val="00EB5FB7"/>
    <w:rsid w:val="00EB5FEB"/>
    <w:rsid w:val="00EB602C"/>
    <w:rsid w:val="00EB644D"/>
    <w:rsid w:val="00EB6F24"/>
    <w:rsid w:val="00EB6F28"/>
    <w:rsid w:val="00EB7251"/>
    <w:rsid w:val="00EB72D4"/>
    <w:rsid w:val="00EB745D"/>
    <w:rsid w:val="00EB748F"/>
    <w:rsid w:val="00EB756F"/>
    <w:rsid w:val="00EB765E"/>
    <w:rsid w:val="00EB7D06"/>
    <w:rsid w:val="00EB7EC4"/>
    <w:rsid w:val="00EC0359"/>
    <w:rsid w:val="00EC046C"/>
    <w:rsid w:val="00EC04D0"/>
    <w:rsid w:val="00EC05E7"/>
    <w:rsid w:val="00EC07D4"/>
    <w:rsid w:val="00EC0887"/>
    <w:rsid w:val="00EC08B0"/>
    <w:rsid w:val="00EC09AB"/>
    <w:rsid w:val="00EC09B7"/>
    <w:rsid w:val="00EC0BF2"/>
    <w:rsid w:val="00EC0D4B"/>
    <w:rsid w:val="00EC13A5"/>
    <w:rsid w:val="00EC1596"/>
    <w:rsid w:val="00EC163D"/>
    <w:rsid w:val="00EC1834"/>
    <w:rsid w:val="00EC19BA"/>
    <w:rsid w:val="00EC1EED"/>
    <w:rsid w:val="00EC20B6"/>
    <w:rsid w:val="00EC2141"/>
    <w:rsid w:val="00EC23C5"/>
    <w:rsid w:val="00EC2425"/>
    <w:rsid w:val="00EC2461"/>
    <w:rsid w:val="00EC2566"/>
    <w:rsid w:val="00EC2A6D"/>
    <w:rsid w:val="00EC2C44"/>
    <w:rsid w:val="00EC3055"/>
    <w:rsid w:val="00EC3081"/>
    <w:rsid w:val="00EC3241"/>
    <w:rsid w:val="00EC3248"/>
    <w:rsid w:val="00EC330E"/>
    <w:rsid w:val="00EC335B"/>
    <w:rsid w:val="00EC3660"/>
    <w:rsid w:val="00EC388D"/>
    <w:rsid w:val="00EC3A06"/>
    <w:rsid w:val="00EC3C7F"/>
    <w:rsid w:val="00EC3DCB"/>
    <w:rsid w:val="00EC3F70"/>
    <w:rsid w:val="00EC422D"/>
    <w:rsid w:val="00EC42F7"/>
    <w:rsid w:val="00EC43B3"/>
    <w:rsid w:val="00EC43F7"/>
    <w:rsid w:val="00EC4407"/>
    <w:rsid w:val="00EC46BB"/>
    <w:rsid w:val="00EC46D3"/>
    <w:rsid w:val="00EC4C73"/>
    <w:rsid w:val="00EC4CF4"/>
    <w:rsid w:val="00EC4D24"/>
    <w:rsid w:val="00EC5010"/>
    <w:rsid w:val="00EC5058"/>
    <w:rsid w:val="00EC517C"/>
    <w:rsid w:val="00EC52E0"/>
    <w:rsid w:val="00EC52FC"/>
    <w:rsid w:val="00EC5346"/>
    <w:rsid w:val="00EC546A"/>
    <w:rsid w:val="00EC55D7"/>
    <w:rsid w:val="00EC56CE"/>
    <w:rsid w:val="00EC59C1"/>
    <w:rsid w:val="00EC5B6F"/>
    <w:rsid w:val="00EC5C9A"/>
    <w:rsid w:val="00EC6105"/>
    <w:rsid w:val="00EC66A4"/>
    <w:rsid w:val="00EC6955"/>
    <w:rsid w:val="00EC6B28"/>
    <w:rsid w:val="00EC6E48"/>
    <w:rsid w:val="00EC7126"/>
    <w:rsid w:val="00EC721A"/>
    <w:rsid w:val="00EC7296"/>
    <w:rsid w:val="00EC76A8"/>
    <w:rsid w:val="00EC78F6"/>
    <w:rsid w:val="00EC7944"/>
    <w:rsid w:val="00EC79AC"/>
    <w:rsid w:val="00EC7B70"/>
    <w:rsid w:val="00ED0096"/>
    <w:rsid w:val="00ED09E8"/>
    <w:rsid w:val="00ED0AC9"/>
    <w:rsid w:val="00ED0C37"/>
    <w:rsid w:val="00ED0CDE"/>
    <w:rsid w:val="00ED1236"/>
    <w:rsid w:val="00ED1439"/>
    <w:rsid w:val="00ED14B1"/>
    <w:rsid w:val="00ED192E"/>
    <w:rsid w:val="00ED1C05"/>
    <w:rsid w:val="00ED1D1C"/>
    <w:rsid w:val="00ED2769"/>
    <w:rsid w:val="00ED2A5E"/>
    <w:rsid w:val="00ED2B4F"/>
    <w:rsid w:val="00ED2BAB"/>
    <w:rsid w:val="00ED2DC0"/>
    <w:rsid w:val="00ED306C"/>
    <w:rsid w:val="00ED342B"/>
    <w:rsid w:val="00ED3591"/>
    <w:rsid w:val="00ED3784"/>
    <w:rsid w:val="00ED3A10"/>
    <w:rsid w:val="00ED3A26"/>
    <w:rsid w:val="00ED3A4A"/>
    <w:rsid w:val="00ED3AE4"/>
    <w:rsid w:val="00ED3AED"/>
    <w:rsid w:val="00ED3C4D"/>
    <w:rsid w:val="00ED3D8C"/>
    <w:rsid w:val="00ED3E03"/>
    <w:rsid w:val="00ED42B4"/>
    <w:rsid w:val="00ED4460"/>
    <w:rsid w:val="00ED44D8"/>
    <w:rsid w:val="00ED4874"/>
    <w:rsid w:val="00ED5033"/>
    <w:rsid w:val="00ED5295"/>
    <w:rsid w:val="00ED529B"/>
    <w:rsid w:val="00ED568B"/>
    <w:rsid w:val="00ED5A6F"/>
    <w:rsid w:val="00ED5B38"/>
    <w:rsid w:val="00ED5CDF"/>
    <w:rsid w:val="00ED5D16"/>
    <w:rsid w:val="00ED5EE1"/>
    <w:rsid w:val="00ED5FBE"/>
    <w:rsid w:val="00ED60AE"/>
    <w:rsid w:val="00ED6782"/>
    <w:rsid w:val="00ED6858"/>
    <w:rsid w:val="00ED6E29"/>
    <w:rsid w:val="00ED7165"/>
    <w:rsid w:val="00ED73A4"/>
    <w:rsid w:val="00ED79B0"/>
    <w:rsid w:val="00ED79E9"/>
    <w:rsid w:val="00ED7B31"/>
    <w:rsid w:val="00ED7FE5"/>
    <w:rsid w:val="00EE0518"/>
    <w:rsid w:val="00EE06B8"/>
    <w:rsid w:val="00EE06FE"/>
    <w:rsid w:val="00EE077C"/>
    <w:rsid w:val="00EE0A7B"/>
    <w:rsid w:val="00EE0ED2"/>
    <w:rsid w:val="00EE121E"/>
    <w:rsid w:val="00EE17AF"/>
    <w:rsid w:val="00EE22B8"/>
    <w:rsid w:val="00EE2492"/>
    <w:rsid w:val="00EE24A1"/>
    <w:rsid w:val="00EE25A7"/>
    <w:rsid w:val="00EE26F1"/>
    <w:rsid w:val="00EE2A62"/>
    <w:rsid w:val="00EE2D73"/>
    <w:rsid w:val="00EE2DA5"/>
    <w:rsid w:val="00EE2DB9"/>
    <w:rsid w:val="00EE2F24"/>
    <w:rsid w:val="00EE3268"/>
    <w:rsid w:val="00EE32AF"/>
    <w:rsid w:val="00EE33B4"/>
    <w:rsid w:val="00EE37FB"/>
    <w:rsid w:val="00EE384E"/>
    <w:rsid w:val="00EE3ACF"/>
    <w:rsid w:val="00EE3B5B"/>
    <w:rsid w:val="00EE3C7F"/>
    <w:rsid w:val="00EE3D43"/>
    <w:rsid w:val="00EE3D6B"/>
    <w:rsid w:val="00EE401E"/>
    <w:rsid w:val="00EE40A1"/>
    <w:rsid w:val="00EE40B9"/>
    <w:rsid w:val="00EE4199"/>
    <w:rsid w:val="00EE452C"/>
    <w:rsid w:val="00EE4613"/>
    <w:rsid w:val="00EE4711"/>
    <w:rsid w:val="00EE4A65"/>
    <w:rsid w:val="00EE4F18"/>
    <w:rsid w:val="00EE531A"/>
    <w:rsid w:val="00EE5573"/>
    <w:rsid w:val="00EE5BBF"/>
    <w:rsid w:val="00EE5D1D"/>
    <w:rsid w:val="00EE5F06"/>
    <w:rsid w:val="00EE65F4"/>
    <w:rsid w:val="00EE666E"/>
    <w:rsid w:val="00EE66C7"/>
    <w:rsid w:val="00EE684D"/>
    <w:rsid w:val="00EE6A76"/>
    <w:rsid w:val="00EE6AF7"/>
    <w:rsid w:val="00EE6C17"/>
    <w:rsid w:val="00EE6F11"/>
    <w:rsid w:val="00EE725A"/>
    <w:rsid w:val="00EE7277"/>
    <w:rsid w:val="00EE7376"/>
    <w:rsid w:val="00EE7532"/>
    <w:rsid w:val="00EE76A9"/>
    <w:rsid w:val="00EE784B"/>
    <w:rsid w:val="00EE79EC"/>
    <w:rsid w:val="00EE7A68"/>
    <w:rsid w:val="00EE7BDF"/>
    <w:rsid w:val="00EE7C37"/>
    <w:rsid w:val="00EE7C69"/>
    <w:rsid w:val="00EE7D3A"/>
    <w:rsid w:val="00EF00B1"/>
    <w:rsid w:val="00EF0183"/>
    <w:rsid w:val="00EF026C"/>
    <w:rsid w:val="00EF0548"/>
    <w:rsid w:val="00EF0625"/>
    <w:rsid w:val="00EF075D"/>
    <w:rsid w:val="00EF0ECE"/>
    <w:rsid w:val="00EF1170"/>
    <w:rsid w:val="00EF11A8"/>
    <w:rsid w:val="00EF1285"/>
    <w:rsid w:val="00EF12AF"/>
    <w:rsid w:val="00EF12C1"/>
    <w:rsid w:val="00EF165A"/>
    <w:rsid w:val="00EF18E2"/>
    <w:rsid w:val="00EF19C1"/>
    <w:rsid w:val="00EF19DC"/>
    <w:rsid w:val="00EF1E86"/>
    <w:rsid w:val="00EF1FBE"/>
    <w:rsid w:val="00EF2053"/>
    <w:rsid w:val="00EF23C9"/>
    <w:rsid w:val="00EF240F"/>
    <w:rsid w:val="00EF2512"/>
    <w:rsid w:val="00EF256E"/>
    <w:rsid w:val="00EF2609"/>
    <w:rsid w:val="00EF2C21"/>
    <w:rsid w:val="00EF2CF3"/>
    <w:rsid w:val="00EF2F05"/>
    <w:rsid w:val="00EF2F23"/>
    <w:rsid w:val="00EF3311"/>
    <w:rsid w:val="00EF35FB"/>
    <w:rsid w:val="00EF3645"/>
    <w:rsid w:val="00EF36D5"/>
    <w:rsid w:val="00EF387A"/>
    <w:rsid w:val="00EF3C97"/>
    <w:rsid w:val="00EF3D60"/>
    <w:rsid w:val="00EF3E02"/>
    <w:rsid w:val="00EF3F8F"/>
    <w:rsid w:val="00EF42D1"/>
    <w:rsid w:val="00EF504D"/>
    <w:rsid w:val="00EF50D7"/>
    <w:rsid w:val="00EF5338"/>
    <w:rsid w:val="00EF5E8D"/>
    <w:rsid w:val="00EF6043"/>
    <w:rsid w:val="00EF63B5"/>
    <w:rsid w:val="00EF655B"/>
    <w:rsid w:val="00EF6566"/>
    <w:rsid w:val="00EF681C"/>
    <w:rsid w:val="00EF684C"/>
    <w:rsid w:val="00EF7195"/>
    <w:rsid w:val="00EF73B1"/>
    <w:rsid w:val="00EF7852"/>
    <w:rsid w:val="00EF7A71"/>
    <w:rsid w:val="00EF7CB0"/>
    <w:rsid w:val="00EFA6B8"/>
    <w:rsid w:val="00F001D8"/>
    <w:rsid w:val="00F0023F"/>
    <w:rsid w:val="00F007A3"/>
    <w:rsid w:val="00F0081B"/>
    <w:rsid w:val="00F008EB"/>
    <w:rsid w:val="00F00B80"/>
    <w:rsid w:val="00F00D31"/>
    <w:rsid w:val="00F00D82"/>
    <w:rsid w:val="00F00E16"/>
    <w:rsid w:val="00F00E91"/>
    <w:rsid w:val="00F00F7D"/>
    <w:rsid w:val="00F010D2"/>
    <w:rsid w:val="00F010D8"/>
    <w:rsid w:val="00F013F1"/>
    <w:rsid w:val="00F014DE"/>
    <w:rsid w:val="00F018FB"/>
    <w:rsid w:val="00F01D97"/>
    <w:rsid w:val="00F028BA"/>
    <w:rsid w:val="00F0295F"/>
    <w:rsid w:val="00F02D54"/>
    <w:rsid w:val="00F02F5A"/>
    <w:rsid w:val="00F02FF5"/>
    <w:rsid w:val="00F031E7"/>
    <w:rsid w:val="00F036D6"/>
    <w:rsid w:val="00F03AE5"/>
    <w:rsid w:val="00F03B10"/>
    <w:rsid w:val="00F03C15"/>
    <w:rsid w:val="00F03C56"/>
    <w:rsid w:val="00F03F5E"/>
    <w:rsid w:val="00F04200"/>
    <w:rsid w:val="00F04310"/>
    <w:rsid w:val="00F04585"/>
    <w:rsid w:val="00F046F7"/>
    <w:rsid w:val="00F0479A"/>
    <w:rsid w:val="00F048CF"/>
    <w:rsid w:val="00F04904"/>
    <w:rsid w:val="00F0493C"/>
    <w:rsid w:val="00F04D1A"/>
    <w:rsid w:val="00F051AC"/>
    <w:rsid w:val="00F0547F"/>
    <w:rsid w:val="00F05BB3"/>
    <w:rsid w:val="00F05F8D"/>
    <w:rsid w:val="00F0625D"/>
    <w:rsid w:val="00F063A1"/>
    <w:rsid w:val="00F06464"/>
    <w:rsid w:val="00F06900"/>
    <w:rsid w:val="00F06CA8"/>
    <w:rsid w:val="00F06DB5"/>
    <w:rsid w:val="00F06F00"/>
    <w:rsid w:val="00F06F26"/>
    <w:rsid w:val="00F06F3A"/>
    <w:rsid w:val="00F070F9"/>
    <w:rsid w:val="00F07648"/>
    <w:rsid w:val="00F07802"/>
    <w:rsid w:val="00F07850"/>
    <w:rsid w:val="00F07E33"/>
    <w:rsid w:val="00F07EBF"/>
    <w:rsid w:val="00F10245"/>
    <w:rsid w:val="00F10338"/>
    <w:rsid w:val="00F10381"/>
    <w:rsid w:val="00F10439"/>
    <w:rsid w:val="00F10678"/>
    <w:rsid w:val="00F107A8"/>
    <w:rsid w:val="00F1087C"/>
    <w:rsid w:val="00F10AF4"/>
    <w:rsid w:val="00F10EAC"/>
    <w:rsid w:val="00F10EC4"/>
    <w:rsid w:val="00F112A2"/>
    <w:rsid w:val="00F11424"/>
    <w:rsid w:val="00F11645"/>
    <w:rsid w:val="00F11869"/>
    <w:rsid w:val="00F118F3"/>
    <w:rsid w:val="00F11916"/>
    <w:rsid w:val="00F11A19"/>
    <w:rsid w:val="00F11B06"/>
    <w:rsid w:val="00F11C94"/>
    <w:rsid w:val="00F11D54"/>
    <w:rsid w:val="00F11D86"/>
    <w:rsid w:val="00F11F20"/>
    <w:rsid w:val="00F11FBC"/>
    <w:rsid w:val="00F11FD0"/>
    <w:rsid w:val="00F12222"/>
    <w:rsid w:val="00F12366"/>
    <w:rsid w:val="00F124D6"/>
    <w:rsid w:val="00F1290E"/>
    <w:rsid w:val="00F12A46"/>
    <w:rsid w:val="00F12BC1"/>
    <w:rsid w:val="00F12C46"/>
    <w:rsid w:val="00F12DE9"/>
    <w:rsid w:val="00F12E09"/>
    <w:rsid w:val="00F12F74"/>
    <w:rsid w:val="00F1306C"/>
    <w:rsid w:val="00F133BE"/>
    <w:rsid w:val="00F136A3"/>
    <w:rsid w:val="00F137CC"/>
    <w:rsid w:val="00F137E9"/>
    <w:rsid w:val="00F139A9"/>
    <w:rsid w:val="00F13B6B"/>
    <w:rsid w:val="00F13E48"/>
    <w:rsid w:val="00F140F4"/>
    <w:rsid w:val="00F14161"/>
    <w:rsid w:val="00F14688"/>
    <w:rsid w:val="00F14B5F"/>
    <w:rsid w:val="00F14BC1"/>
    <w:rsid w:val="00F14D49"/>
    <w:rsid w:val="00F14EC1"/>
    <w:rsid w:val="00F15271"/>
    <w:rsid w:val="00F153A8"/>
    <w:rsid w:val="00F15647"/>
    <w:rsid w:val="00F1584C"/>
    <w:rsid w:val="00F15939"/>
    <w:rsid w:val="00F159FB"/>
    <w:rsid w:val="00F15A05"/>
    <w:rsid w:val="00F15B4F"/>
    <w:rsid w:val="00F15C36"/>
    <w:rsid w:val="00F15CE9"/>
    <w:rsid w:val="00F15E6E"/>
    <w:rsid w:val="00F15EED"/>
    <w:rsid w:val="00F16428"/>
    <w:rsid w:val="00F165A2"/>
    <w:rsid w:val="00F1675D"/>
    <w:rsid w:val="00F168AB"/>
    <w:rsid w:val="00F1694A"/>
    <w:rsid w:val="00F16E9C"/>
    <w:rsid w:val="00F17236"/>
    <w:rsid w:val="00F17304"/>
    <w:rsid w:val="00F17544"/>
    <w:rsid w:val="00F1787B"/>
    <w:rsid w:val="00F178E7"/>
    <w:rsid w:val="00F17E14"/>
    <w:rsid w:val="00F20009"/>
    <w:rsid w:val="00F200D2"/>
    <w:rsid w:val="00F20168"/>
    <w:rsid w:val="00F202A3"/>
    <w:rsid w:val="00F202CF"/>
    <w:rsid w:val="00F203BF"/>
    <w:rsid w:val="00F20623"/>
    <w:rsid w:val="00F206B7"/>
    <w:rsid w:val="00F2088E"/>
    <w:rsid w:val="00F208D3"/>
    <w:rsid w:val="00F2091A"/>
    <w:rsid w:val="00F209DD"/>
    <w:rsid w:val="00F20A60"/>
    <w:rsid w:val="00F20DE8"/>
    <w:rsid w:val="00F20EC2"/>
    <w:rsid w:val="00F210DE"/>
    <w:rsid w:val="00F212DE"/>
    <w:rsid w:val="00F2131C"/>
    <w:rsid w:val="00F21572"/>
    <w:rsid w:val="00F215AB"/>
    <w:rsid w:val="00F21815"/>
    <w:rsid w:val="00F218C0"/>
    <w:rsid w:val="00F219A1"/>
    <w:rsid w:val="00F21B5F"/>
    <w:rsid w:val="00F21CB1"/>
    <w:rsid w:val="00F22093"/>
    <w:rsid w:val="00F22128"/>
    <w:rsid w:val="00F221E7"/>
    <w:rsid w:val="00F224A5"/>
    <w:rsid w:val="00F225CB"/>
    <w:rsid w:val="00F225D5"/>
    <w:rsid w:val="00F226BA"/>
    <w:rsid w:val="00F2278C"/>
    <w:rsid w:val="00F227ED"/>
    <w:rsid w:val="00F229CF"/>
    <w:rsid w:val="00F22A18"/>
    <w:rsid w:val="00F22A3B"/>
    <w:rsid w:val="00F22D22"/>
    <w:rsid w:val="00F22E37"/>
    <w:rsid w:val="00F22E4D"/>
    <w:rsid w:val="00F232A3"/>
    <w:rsid w:val="00F233D8"/>
    <w:rsid w:val="00F23490"/>
    <w:rsid w:val="00F234FE"/>
    <w:rsid w:val="00F235E3"/>
    <w:rsid w:val="00F23646"/>
    <w:rsid w:val="00F2372B"/>
    <w:rsid w:val="00F237AE"/>
    <w:rsid w:val="00F23945"/>
    <w:rsid w:val="00F23A66"/>
    <w:rsid w:val="00F23C18"/>
    <w:rsid w:val="00F23F71"/>
    <w:rsid w:val="00F2402D"/>
    <w:rsid w:val="00F24065"/>
    <w:rsid w:val="00F241A9"/>
    <w:rsid w:val="00F24216"/>
    <w:rsid w:val="00F2442D"/>
    <w:rsid w:val="00F24557"/>
    <w:rsid w:val="00F24A07"/>
    <w:rsid w:val="00F24A60"/>
    <w:rsid w:val="00F24DF1"/>
    <w:rsid w:val="00F24E69"/>
    <w:rsid w:val="00F24F9C"/>
    <w:rsid w:val="00F251AA"/>
    <w:rsid w:val="00F254D8"/>
    <w:rsid w:val="00F258B8"/>
    <w:rsid w:val="00F25951"/>
    <w:rsid w:val="00F25972"/>
    <w:rsid w:val="00F25A59"/>
    <w:rsid w:val="00F25E4B"/>
    <w:rsid w:val="00F2623B"/>
    <w:rsid w:val="00F26322"/>
    <w:rsid w:val="00F264F0"/>
    <w:rsid w:val="00F2682D"/>
    <w:rsid w:val="00F26930"/>
    <w:rsid w:val="00F26AA6"/>
    <w:rsid w:val="00F271B9"/>
    <w:rsid w:val="00F2730E"/>
    <w:rsid w:val="00F27329"/>
    <w:rsid w:val="00F2771D"/>
    <w:rsid w:val="00F2785E"/>
    <w:rsid w:val="00F27966"/>
    <w:rsid w:val="00F27A16"/>
    <w:rsid w:val="00F27AF1"/>
    <w:rsid w:val="00F27E71"/>
    <w:rsid w:val="00F30053"/>
    <w:rsid w:val="00F30211"/>
    <w:rsid w:val="00F30300"/>
    <w:rsid w:val="00F304F1"/>
    <w:rsid w:val="00F30504"/>
    <w:rsid w:val="00F30B80"/>
    <w:rsid w:val="00F30D8A"/>
    <w:rsid w:val="00F30DDE"/>
    <w:rsid w:val="00F30E53"/>
    <w:rsid w:val="00F30E78"/>
    <w:rsid w:val="00F310A6"/>
    <w:rsid w:val="00F31123"/>
    <w:rsid w:val="00F3135F"/>
    <w:rsid w:val="00F313C8"/>
    <w:rsid w:val="00F314E0"/>
    <w:rsid w:val="00F31617"/>
    <w:rsid w:val="00F316CB"/>
    <w:rsid w:val="00F317F3"/>
    <w:rsid w:val="00F318C6"/>
    <w:rsid w:val="00F31C94"/>
    <w:rsid w:val="00F31F29"/>
    <w:rsid w:val="00F31F9D"/>
    <w:rsid w:val="00F32284"/>
    <w:rsid w:val="00F3248C"/>
    <w:rsid w:val="00F324FC"/>
    <w:rsid w:val="00F32577"/>
    <w:rsid w:val="00F32644"/>
    <w:rsid w:val="00F32A84"/>
    <w:rsid w:val="00F32B4C"/>
    <w:rsid w:val="00F32CBD"/>
    <w:rsid w:val="00F33009"/>
    <w:rsid w:val="00F3333B"/>
    <w:rsid w:val="00F333D9"/>
    <w:rsid w:val="00F334B8"/>
    <w:rsid w:val="00F33575"/>
    <w:rsid w:val="00F337B2"/>
    <w:rsid w:val="00F338A8"/>
    <w:rsid w:val="00F339C5"/>
    <w:rsid w:val="00F339FA"/>
    <w:rsid w:val="00F33E97"/>
    <w:rsid w:val="00F34150"/>
    <w:rsid w:val="00F341CC"/>
    <w:rsid w:val="00F342D4"/>
    <w:rsid w:val="00F34412"/>
    <w:rsid w:val="00F34471"/>
    <w:rsid w:val="00F34FF9"/>
    <w:rsid w:val="00F35165"/>
    <w:rsid w:val="00F356AD"/>
    <w:rsid w:val="00F356E6"/>
    <w:rsid w:val="00F35945"/>
    <w:rsid w:val="00F35DA9"/>
    <w:rsid w:val="00F36212"/>
    <w:rsid w:val="00F36293"/>
    <w:rsid w:val="00F36364"/>
    <w:rsid w:val="00F36A68"/>
    <w:rsid w:val="00F36A9A"/>
    <w:rsid w:val="00F36B65"/>
    <w:rsid w:val="00F36DAA"/>
    <w:rsid w:val="00F37153"/>
    <w:rsid w:val="00F371C2"/>
    <w:rsid w:val="00F37597"/>
    <w:rsid w:val="00F378FE"/>
    <w:rsid w:val="00F37B39"/>
    <w:rsid w:val="00F37D61"/>
    <w:rsid w:val="00F405AD"/>
    <w:rsid w:val="00F40678"/>
    <w:rsid w:val="00F408B8"/>
    <w:rsid w:val="00F40A48"/>
    <w:rsid w:val="00F40A85"/>
    <w:rsid w:val="00F40CC9"/>
    <w:rsid w:val="00F40D06"/>
    <w:rsid w:val="00F40DCF"/>
    <w:rsid w:val="00F40F65"/>
    <w:rsid w:val="00F4161D"/>
    <w:rsid w:val="00F41639"/>
    <w:rsid w:val="00F41E23"/>
    <w:rsid w:val="00F420E5"/>
    <w:rsid w:val="00F42127"/>
    <w:rsid w:val="00F42504"/>
    <w:rsid w:val="00F428C4"/>
    <w:rsid w:val="00F428C5"/>
    <w:rsid w:val="00F42996"/>
    <w:rsid w:val="00F42B3C"/>
    <w:rsid w:val="00F42B56"/>
    <w:rsid w:val="00F42B9A"/>
    <w:rsid w:val="00F42BFC"/>
    <w:rsid w:val="00F42D86"/>
    <w:rsid w:val="00F42DAE"/>
    <w:rsid w:val="00F42EF7"/>
    <w:rsid w:val="00F43165"/>
    <w:rsid w:val="00F4333A"/>
    <w:rsid w:val="00F434CD"/>
    <w:rsid w:val="00F4351A"/>
    <w:rsid w:val="00F4353B"/>
    <w:rsid w:val="00F43569"/>
    <w:rsid w:val="00F43588"/>
    <w:rsid w:val="00F43603"/>
    <w:rsid w:val="00F4374C"/>
    <w:rsid w:val="00F439AF"/>
    <w:rsid w:val="00F43DEF"/>
    <w:rsid w:val="00F43F62"/>
    <w:rsid w:val="00F443F2"/>
    <w:rsid w:val="00F444EB"/>
    <w:rsid w:val="00F44778"/>
    <w:rsid w:val="00F447A5"/>
    <w:rsid w:val="00F447B0"/>
    <w:rsid w:val="00F448A0"/>
    <w:rsid w:val="00F449AA"/>
    <w:rsid w:val="00F44E49"/>
    <w:rsid w:val="00F44E88"/>
    <w:rsid w:val="00F44E96"/>
    <w:rsid w:val="00F45156"/>
    <w:rsid w:val="00F4538A"/>
    <w:rsid w:val="00F454ED"/>
    <w:rsid w:val="00F45797"/>
    <w:rsid w:val="00F45CED"/>
    <w:rsid w:val="00F45E16"/>
    <w:rsid w:val="00F45EF4"/>
    <w:rsid w:val="00F45F7A"/>
    <w:rsid w:val="00F46090"/>
    <w:rsid w:val="00F46185"/>
    <w:rsid w:val="00F461A5"/>
    <w:rsid w:val="00F462CF"/>
    <w:rsid w:val="00F46588"/>
    <w:rsid w:val="00F46913"/>
    <w:rsid w:val="00F46AE3"/>
    <w:rsid w:val="00F46D52"/>
    <w:rsid w:val="00F47093"/>
    <w:rsid w:val="00F470DD"/>
    <w:rsid w:val="00F471DF"/>
    <w:rsid w:val="00F47232"/>
    <w:rsid w:val="00F47328"/>
    <w:rsid w:val="00F473D7"/>
    <w:rsid w:val="00F47438"/>
    <w:rsid w:val="00F474DD"/>
    <w:rsid w:val="00F47649"/>
    <w:rsid w:val="00F476DE"/>
    <w:rsid w:val="00F47739"/>
    <w:rsid w:val="00F4775D"/>
    <w:rsid w:val="00F4779A"/>
    <w:rsid w:val="00F47812"/>
    <w:rsid w:val="00F47840"/>
    <w:rsid w:val="00F47A41"/>
    <w:rsid w:val="00F47C23"/>
    <w:rsid w:val="00F47C2E"/>
    <w:rsid w:val="00F47D92"/>
    <w:rsid w:val="00F47F4A"/>
    <w:rsid w:val="00F50017"/>
    <w:rsid w:val="00F50055"/>
    <w:rsid w:val="00F501DF"/>
    <w:rsid w:val="00F5021D"/>
    <w:rsid w:val="00F505FF"/>
    <w:rsid w:val="00F50670"/>
    <w:rsid w:val="00F507D5"/>
    <w:rsid w:val="00F50936"/>
    <w:rsid w:val="00F50A67"/>
    <w:rsid w:val="00F50C71"/>
    <w:rsid w:val="00F50ED4"/>
    <w:rsid w:val="00F50F33"/>
    <w:rsid w:val="00F50F95"/>
    <w:rsid w:val="00F50FCF"/>
    <w:rsid w:val="00F5102E"/>
    <w:rsid w:val="00F513E3"/>
    <w:rsid w:val="00F5143B"/>
    <w:rsid w:val="00F515C1"/>
    <w:rsid w:val="00F51A19"/>
    <w:rsid w:val="00F51AFC"/>
    <w:rsid w:val="00F51EB4"/>
    <w:rsid w:val="00F52106"/>
    <w:rsid w:val="00F52149"/>
    <w:rsid w:val="00F522A2"/>
    <w:rsid w:val="00F5257E"/>
    <w:rsid w:val="00F5281E"/>
    <w:rsid w:val="00F528A2"/>
    <w:rsid w:val="00F52A23"/>
    <w:rsid w:val="00F52BAA"/>
    <w:rsid w:val="00F52D5E"/>
    <w:rsid w:val="00F52DDB"/>
    <w:rsid w:val="00F533BA"/>
    <w:rsid w:val="00F53516"/>
    <w:rsid w:val="00F53607"/>
    <w:rsid w:val="00F53642"/>
    <w:rsid w:val="00F53958"/>
    <w:rsid w:val="00F53A28"/>
    <w:rsid w:val="00F53D87"/>
    <w:rsid w:val="00F53F7E"/>
    <w:rsid w:val="00F54010"/>
    <w:rsid w:val="00F5404F"/>
    <w:rsid w:val="00F5411C"/>
    <w:rsid w:val="00F5446E"/>
    <w:rsid w:val="00F548BB"/>
    <w:rsid w:val="00F54940"/>
    <w:rsid w:val="00F54AC6"/>
    <w:rsid w:val="00F54D4E"/>
    <w:rsid w:val="00F54E54"/>
    <w:rsid w:val="00F54F09"/>
    <w:rsid w:val="00F55053"/>
    <w:rsid w:val="00F5539E"/>
    <w:rsid w:val="00F55520"/>
    <w:rsid w:val="00F55645"/>
    <w:rsid w:val="00F556D6"/>
    <w:rsid w:val="00F558BE"/>
    <w:rsid w:val="00F55928"/>
    <w:rsid w:val="00F55A28"/>
    <w:rsid w:val="00F55B53"/>
    <w:rsid w:val="00F55F46"/>
    <w:rsid w:val="00F561EC"/>
    <w:rsid w:val="00F562C4"/>
    <w:rsid w:val="00F566CA"/>
    <w:rsid w:val="00F566D4"/>
    <w:rsid w:val="00F56896"/>
    <w:rsid w:val="00F56945"/>
    <w:rsid w:val="00F56A84"/>
    <w:rsid w:val="00F56BAE"/>
    <w:rsid w:val="00F56C50"/>
    <w:rsid w:val="00F56CB6"/>
    <w:rsid w:val="00F56EBB"/>
    <w:rsid w:val="00F56F57"/>
    <w:rsid w:val="00F5700F"/>
    <w:rsid w:val="00F57599"/>
    <w:rsid w:val="00F57D0A"/>
    <w:rsid w:val="00F57DE2"/>
    <w:rsid w:val="00F60016"/>
    <w:rsid w:val="00F60057"/>
    <w:rsid w:val="00F60248"/>
    <w:rsid w:val="00F602DF"/>
    <w:rsid w:val="00F60738"/>
    <w:rsid w:val="00F607D8"/>
    <w:rsid w:val="00F60D80"/>
    <w:rsid w:val="00F6128E"/>
    <w:rsid w:val="00F61646"/>
    <w:rsid w:val="00F61742"/>
    <w:rsid w:val="00F61CF5"/>
    <w:rsid w:val="00F61E10"/>
    <w:rsid w:val="00F61E47"/>
    <w:rsid w:val="00F61F50"/>
    <w:rsid w:val="00F61FC0"/>
    <w:rsid w:val="00F620FB"/>
    <w:rsid w:val="00F627F0"/>
    <w:rsid w:val="00F62CFE"/>
    <w:rsid w:val="00F62E8E"/>
    <w:rsid w:val="00F63658"/>
    <w:rsid w:val="00F6366C"/>
    <w:rsid w:val="00F63706"/>
    <w:rsid w:val="00F637EC"/>
    <w:rsid w:val="00F638F7"/>
    <w:rsid w:val="00F63CF8"/>
    <w:rsid w:val="00F640CD"/>
    <w:rsid w:val="00F64132"/>
    <w:rsid w:val="00F6441E"/>
    <w:rsid w:val="00F64579"/>
    <w:rsid w:val="00F646EF"/>
    <w:rsid w:val="00F64F36"/>
    <w:rsid w:val="00F64F9E"/>
    <w:rsid w:val="00F65031"/>
    <w:rsid w:val="00F65119"/>
    <w:rsid w:val="00F6523A"/>
    <w:rsid w:val="00F6526B"/>
    <w:rsid w:val="00F653A2"/>
    <w:rsid w:val="00F655C5"/>
    <w:rsid w:val="00F65939"/>
    <w:rsid w:val="00F65B15"/>
    <w:rsid w:val="00F65FFF"/>
    <w:rsid w:val="00F6614D"/>
    <w:rsid w:val="00F661D7"/>
    <w:rsid w:val="00F66304"/>
    <w:rsid w:val="00F6634D"/>
    <w:rsid w:val="00F664B7"/>
    <w:rsid w:val="00F664D2"/>
    <w:rsid w:val="00F66545"/>
    <w:rsid w:val="00F6671F"/>
    <w:rsid w:val="00F6679C"/>
    <w:rsid w:val="00F66896"/>
    <w:rsid w:val="00F66BB8"/>
    <w:rsid w:val="00F66C25"/>
    <w:rsid w:val="00F66CCA"/>
    <w:rsid w:val="00F66D0D"/>
    <w:rsid w:val="00F66D65"/>
    <w:rsid w:val="00F66D77"/>
    <w:rsid w:val="00F66FA9"/>
    <w:rsid w:val="00F672AD"/>
    <w:rsid w:val="00F6757C"/>
    <w:rsid w:val="00F6790C"/>
    <w:rsid w:val="00F67E16"/>
    <w:rsid w:val="00F6B058"/>
    <w:rsid w:val="00F7007F"/>
    <w:rsid w:val="00F70209"/>
    <w:rsid w:val="00F70219"/>
    <w:rsid w:val="00F702F3"/>
    <w:rsid w:val="00F706C1"/>
    <w:rsid w:val="00F708F1"/>
    <w:rsid w:val="00F70916"/>
    <w:rsid w:val="00F70D86"/>
    <w:rsid w:val="00F711C3"/>
    <w:rsid w:val="00F713B9"/>
    <w:rsid w:val="00F71643"/>
    <w:rsid w:val="00F7180B"/>
    <w:rsid w:val="00F718A5"/>
    <w:rsid w:val="00F71AD6"/>
    <w:rsid w:val="00F71C79"/>
    <w:rsid w:val="00F72113"/>
    <w:rsid w:val="00F72241"/>
    <w:rsid w:val="00F729EE"/>
    <w:rsid w:val="00F72CEE"/>
    <w:rsid w:val="00F72F47"/>
    <w:rsid w:val="00F730D7"/>
    <w:rsid w:val="00F734A3"/>
    <w:rsid w:val="00F73AAE"/>
    <w:rsid w:val="00F73FCA"/>
    <w:rsid w:val="00F740C3"/>
    <w:rsid w:val="00F7429E"/>
    <w:rsid w:val="00F7461D"/>
    <w:rsid w:val="00F746BA"/>
    <w:rsid w:val="00F74715"/>
    <w:rsid w:val="00F74A3E"/>
    <w:rsid w:val="00F74FCF"/>
    <w:rsid w:val="00F75032"/>
    <w:rsid w:val="00F750C5"/>
    <w:rsid w:val="00F75408"/>
    <w:rsid w:val="00F755E8"/>
    <w:rsid w:val="00F75BF5"/>
    <w:rsid w:val="00F7607C"/>
    <w:rsid w:val="00F760EF"/>
    <w:rsid w:val="00F760FD"/>
    <w:rsid w:val="00F763A9"/>
    <w:rsid w:val="00F768C0"/>
    <w:rsid w:val="00F7696A"/>
    <w:rsid w:val="00F76A2E"/>
    <w:rsid w:val="00F76C1D"/>
    <w:rsid w:val="00F76C8A"/>
    <w:rsid w:val="00F76CCF"/>
    <w:rsid w:val="00F770F5"/>
    <w:rsid w:val="00F772C5"/>
    <w:rsid w:val="00F773DF"/>
    <w:rsid w:val="00F77513"/>
    <w:rsid w:val="00F77734"/>
    <w:rsid w:val="00F777A9"/>
    <w:rsid w:val="00F778BB"/>
    <w:rsid w:val="00F77F4A"/>
    <w:rsid w:val="00F8002C"/>
    <w:rsid w:val="00F8014B"/>
    <w:rsid w:val="00F80231"/>
    <w:rsid w:val="00F802C1"/>
    <w:rsid w:val="00F806F7"/>
    <w:rsid w:val="00F808B9"/>
    <w:rsid w:val="00F80C01"/>
    <w:rsid w:val="00F80DE2"/>
    <w:rsid w:val="00F80FEB"/>
    <w:rsid w:val="00F814C1"/>
    <w:rsid w:val="00F8154C"/>
    <w:rsid w:val="00F816CB"/>
    <w:rsid w:val="00F8170B"/>
    <w:rsid w:val="00F81AC3"/>
    <w:rsid w:val="00F81AFC"/>
    <w:rsid w:val="00F81E53"/>
    <w:rsid w:val="00F81F15"/>
    <w:rsid w:val="00F82266"/>
    <w:rsid w:val="00F82A79"/>
    <w:rsid w:val="00F82B54"/>
    <w:rsid w:val="00F83376"/>
    <w:rsid w:val="00F835BA"/>
    <w:rsid w:val="00F83659"/>
    <w:rsid w:val="00F836FB"/>
    <w:rsid w:val="00F837EE"/>
    <w:rsid w:val="00F83976"/>
    <w:rsid w:val="00F839A8"/>
    <w:rsid w:val="00F83C55"/>
    <w:rsid w:val="00F83D37"/>
    <w:rsid w:val="00F83D92"/>
    <w:rsid w:val="00F84201"/>
    <w:rsid w:val="00F84363"/>
    <w:rsid w:val="00F8451E"/>
    <w:rsid w:val="00F84666"/>
    <w:rsid w:val="00F846DA"/>
    <w:rsid w:val="00F84742"/>
    <w:rsid w:val="00F84B20"/>
    <w:rsid w:val="00F84C38"/>
    <w:rsid w:val="00F84D0E"/>
    <w:rsid w:val="00F84FDD"/>
    <w:rsid w:val="00F85106"/>
    <w:rsid w:val="00F8531D"/>
    <w:rsid w:val="00F853F5"/>
    <w:rsid w:val="00F854FF"/>
    <w:rsid w:val="00F8581A"/>
    <w:rsid w:val="00F85B30"/>
    <w:rsid w:val="00F85C88"/>
    <w:rsid w:val="00F85D4C"/>
    <w:rsid w:val="00F85D90"/>
    <w:rsid w:val="00F860F2"/>
    <w:rsid w:val="00F8645F"/>
    <w:rsid w:val="00F8651C"/>
    <w:rsid w:val="00F8651F"/>
    <w:rsid w:val="00F86530"/>
    <w:rsid w:val="00F865AB"/>
    <w:rsid w:val="00F86603"/>
    <w:rsid w:val="00F86619"/>
    <w:rsid w:val="00F866A4"/>
    <w:rsid w:val="00F86702"/>
    <w:rsid w:val="00F86B1D"/>
    <w:rsid w:val="00F86E0D"/>
    <w:rsid w:val="00F86FF4"/>
    <w:rsid w:val="00F873D9"/>
    <w:rsid w:val="00F87417"/>
    <w:rsid w:val="00F8759C"/>
    <w:rsid w:val="00F87644"/>
    <w:rsid w:val="00F8772A"/>
    <w:rsid w:val="00F877CF"/>
    <w:rsid w:val="00F87826"/>
    <w:rsid w:val="00F87D86"/>
    <w:rsid w:val="00F9008D"/>
    <w:rsid w:val="00F904E0"/>
    <w:rsid w:val="00F905F0"/>
    <w:rsid w:val="00F90B03"/>
    <w:rsid w:val="00F90B22"/>
    <w:rsid w:val="00F90D5B"/>
    <w:rsid w:val="00F90F31"/>
    <w:rsid w:val="00F91148"/>
    <w:rsid w:val="00F91451"/>
    <w:rsid w:val="00F9176D"/>
    <w:rsid w:val="00F91891"/>
    <w:rsid w:val="00F91952"/>
    <w:rsid w:val="00F919E2"/>
    <w:rsid w:val="00F919F4"/>
    <w:rsid w:val="00F91ACE"/>
    <w:rsid w:val="00F9224B"/>
    <w:rsid w:val="00F92348"/>
    <w:rsid w:val="00F929EB"/>
    <w:rsid w:val="00F92A05"/>
    <w:rsid w:val="00F92BDB"/>
    <w:rsid w:val="00F92FB9"/>
    <w:rsid w:val="00F935C1"/>
    <w:rsid w:val="00F935FB"/>
    <w:rsid w:val="00F93692"/>
    <w:rsid w:val="00F93FEE"/>
    <w:rsid w:val="00F94025"/>
    <w:rsid w:val="00F9411F"/>
    <w:rsid w:val="00F94171"/>
    <w:rsid w:val="00F945FA"/>
    <w:rsid w:val="00F94698"/>
    <w:rsid w:val="00F947F8"/>
    <w:rsid w:val="00F94900"/>
    <w:rsid w:val="00F94B58"/>
    <w:rsid w:val="00F94C95"/>
    <w:rsid w:val="00F94C9D"/>
    <w:rsid w:val="00F94E1D"/>
    <w:rsid w:val="00F94FF1"/>
    <w:rsid w:val="00F9511F"/>
    <w:rsid w:val="00F951A9"/>
    <w:rsid w:val="00F95253"/>
    <w:rsid w:val="00F95376"/>
    <w:rsid w:val="00F95581"/>
    <w:rsid w:val="00F955C3"/>
    <w:rsid w:val="00F95606"/>
    <w:rsid w:val="00F95613"/>
    <w:rsid w:val="00F95623"/>
    <w:rsid w:val="00F95898"/>
    <w:rsid w:val="00F9594A"/>
    <w:rsid w:val="00F959BF"/>
    <w:rsid w:val="00F95BA3"/>
    <w:rsid w:val="00F95C2B"/>
    <w:rsid w:val="00F95DD8"/>
    <w:rsid w:val="00F95F25"/>
    <w:rsid w:val="00F96191"/>
    <w:rsid w:val="00F961F1"/>
    <w:rsid w:val="00F96466"/>
    <w:rsid w:val="00F966B7"/>
    <w:rsid w:val="00F96933"/>
    <w:rsid w:val="00F96C8F"/>
    <w:rsid w:val="00F96F37"/>
    <w:rsid w:val="00F972C8"/>
    <w:rsid w:val="00F9735A"/>
    <w:rsid w:val="00F973FE"/>
    <w:rsid w:val="00F9769A"/>
    <w:rsid w:val="00F9773D"/>
    <w:rsid w:val="00F97A6F"/>
    <w:rsid w:val="00F97AF1"/>
    <w:rsid w:val="00F97B22"/>
    <w:rsid w:val="00F97D51"/>
    <w:rsid w:val="00F97D5F"/>
    <w:rsid w:val="00F97D7D"/>
    <w:rsid w:val="00F97DDE"/>
    <w:rsid w:val="00F97E15"/>
    <w:rsid w:val="00FA0186"/>
    <w:rsid w:val="00FA0217"/>
    <w:rsid w:val="00FA034F"/>
    <w:rsid w:val="00FA0436"/>
    <w:rsid w:val="00FA0579"/>
    <w:rsid w:val="00FA06C3"/>
    <w:rsid w:val="00FA07F6"/>
    <w:rsid w:val="00FA0A6A"/>
    <w:rsid w:val="00FA1041"/>
    <w:rsid w:val="00FA11E8"/>
    <w:rsid w:val="00FA1619"/>
    <w:rsid w:val="00FA1623"/>
    <w:rsid w:val="00FA1699"/>
    <w:rsid w:val="00FA189C"/>
    <w:rsid w:val="00FA192A"/>
    <w:rsid w:val="00FA1A59"/>
    <w:rsid w:val="00FA1AAA"/>
    <w:rsid w:val="00FA1B82"/>
    <w:rsid w:val="00FA2167"/>
    <w:rsid w:val="00FA23A5"/>
    <w:rsid w:val="00FA2551"/>
    <w:rsid w:val="00FA28B7"/>
    <w:rsid w:val="00FA28BB"/>
    <w:rsid w:val="00FA295E"/>
    <w:rsid w:val="00FA2C5A"/>
    <w:rsid w:val="00FA2ED5"/>
    <w:rsid w:val="00FA3394"/>
    <w:rsid w:val="00FA3403"/>
    <w:rsid w:val="00FA3445"/>
    <w:rsid w:val="00FA386A"/>
    <w:rsid w:val="00FA394E"/>
    <w:rsid w:val="00FA3E25"/>
    <w:rsid w:val="00FA404A"/>
    <w:rsid w:val="00FA4094"/>
    <w:rsid w:val="00FA412A"/>
    <w:rsid w:val="00FA4242"/>
    <w:rsid w:val="00FA43B0"/>
    <w:rsid w:val="00FA4543"/>
    <w:rsid w:val="00FA468C"/>
    <w:rsid w:val="00FA4AAD"/>
    <w:rsid w:val="00FA4FBB"/>
    <w:rsid w:val="00FA530D"/>
    <w:rsid w:val="00FA5558"/>
    <w:rsid w:val="00FA55B9"/>
    <w:rsid w:val="00FA5773"/>
    <w:rsid w:val="00FA58A0"/>
    <w:rsid w:val="00FA5921"/>
    <w:rsid w:val="00FA5AF1"/>
    <w:rsid w:val="00FA5BA6"/>
    <w:rsid w:val="00FA5D10"/>
    <w:rsid w:val="00FA64E6"/>
    <w:rsid w:val="00FA65B1"/>
    <w:rsid w:val="00FA6760"/>
    <w:rsid w:val="00FA67A6"/>
    <w:rsid w:val="00FA6E49"/>
    <w:rsid w:val="00FA6E6E"/>
    <w:rsid w:val="00FA6F66"/>
    <w:rsid w:val="00FA73C1"/>
    <w:rsid w:val="00FA76CB"/>
    <w:rsid w:val="00FA7CFA"/>
    <w:rsid w:val="00FA7EB9"/>
    <w:rsid w:val="00FB02E8"/>
    <w:rsid w:val="00FB06CA"/>
    <w:rsid w:val="00FB0B06"/>
    <w:rsid w:val="00FB108A"/>
    <w:rsid w:val="00FB10D3"/>
    <w:rsid w:val="00FB11C9"/>
    <w:rsid w:val="00FB1276"/>
    <w:rsid w:val="00FB156C"/>
    <w:rsid w:val="00FB1768"/>
    <w:rsid w:val="00FB1AC3"/>
    <w:rsid w:val="00FB1BD9"/>
    <w:rsid w:val="00FB1ECB"/>
    <w:rsid w:val="00FB1F5C"/>
    <w:rsid w:val="00FB21D9"/>
    <w:rsid w:val="00FB2205"/>
    <w:rsid w:val="00FB2668"/>
    <w:rsid w:val="00FB26AA"/>
    <w:rsid w:val="00FB2754"/>
    <w:rsid w:val="00FB2770"/>
    <w:rsid w:val="00FB2B81"/>
    <w:rsid w:val="00FB2D04"/>
    <w:rsid w:val="00FB2DC3"/>
    <w:rsid w:val="00FB2E4C"/>
    <w:rsid w:val="00FB2F60"/>
    <w:rsid w:val="00FB31AF"/>
    <w:rsid w:val="00FB340E"/>
    <w:rsid w:val="00FB3493"/>
    <w:rsid w:val="00FB3809"/>
    <w:rsid w:val="00FB38BC"/>
    <w:rsid w:val="00FB38CA"/>
    <w:rsid w:val="00FB3912"/>
    <w:rsid w:val="00FB3987"/>
    <w:rsid w:val="00FB3A28"/>
    <w:rsid w:val="00FB3A37"/>
    <w:rsid w:val="00FB3AE7"/>
    <w:rsid w:val="00FB3ECB"/>
    <w:rsid w:val="00FB3FD5"/>
    <w:rsid w:val="00FB401C"/>
    <w:rsid w:val="00FB4309"/>
    <w:rsid w:val="00FB4909"/>
    <w:rsid w:val="00FB496C"/>
    <w:rsid w:val="00FB5522"/>
    <w:rsid w:val="00FB59E3"/>
    <w:rsid w:val="00FB5A71"/>
    <w:rsid w:val="00FB5A76"/>
    <w:rsid w:val="00FB5C5C"/>
    <w:rsid w:val="00FB5D28"/>
    <w:rsid w:val="00FB5EDC"/>
    <w:rsid w:val="00FB6270"/>
    <w:rsid w:val="00FB62ED"/>
    <w:rsid w:val="00FB64F7"/>
    <w:rsid w:val="00FB6698"/>
    <w:rsid w:val="00FB67FD"/>
    <w:rsid w:val="00FB6900"/>
    <w:rsid w:val="00FB6945"/>
    <w:rsid w:val="00FB6967"/>
    <w:rsid w:val="00FB69E6"/>
    <w:rsid w:val="00FB6ADB"/>
    <w:rsid w:val="00FB6D7A"/>
    <w:rsid w:val="00FB6FC1"/>
    <w:rsid w:val="00FB71E2"/>
    <w:rsid w:val="00FB7257"/>
    <w:rsid w:val="00FB7506"/>
    <w:rsid w:val="00FB75DB"/>
    <w:rsid w:val="00FB77BB"/>
    <w:rsid w:val="00FB7C10"/>
    <w:rsid w:val="00FB7D0A"/>
    <w:rsid w:val="00FB7FE5"/>
    <w:rsid w:val="00FC0269"/>
    <w:rsid w:val="00FC03DC"/>
    <w:rsid w:val="00FC042A"/>
    <w:rsid w:val="00FC0842"/>
    <w:rsid w:val="00FC0963"/>
    <w:rsid w:val="00FC0B3B"/>
    <w:rsid w:val="00FC0E21"/>
    <w:rsid w:val="00FC0F38"/>
    <w:rsid w:val="00FC0F57"/>
    <w:rsid w:val="00FC0F5D"/>
    <w:rsid w:val="00FC1217"/>
    <w:rsid w:val="00FC12D6"/>
    <w:rsid w:val="00FC166F"/>
    <w:rsid w:val="00FC17DA"/>
    <w:rsid w:val="00FC1A74"/>
    <w:rsid w:val="00FC2039"/>
    <w:rsid w:val="00FC2056"/>
    <w:rsid w:val="00FC2685"/>
    <w:rsid w:val="00FC2696"/>
    <w:rsid w:val="00FC2895"/>
    <w:rsid w:val="00FC3092"/>
    <w:rsid w:val="00FC32C4"/>
    <w:rsid w:val="00FC33B1"/>
    <w:rsid w:val="00FC34AF"/>
    <w:rsid w:val="00FC36E6"/>
    <w:rsid w:val="00FC375E"/>
    <w:rsid w:val="00FC3A75"/>
    <w:rsid w:val="00FC3BF2"/>
    <w:rsid w:val="00FC3FF5"/>
    <w:rsid w:val="00FC419C"/>
    <w:rsid w:val="00FC42B3"/>
    <w:rsid w:val="00FC4346"/>
    <w:rsid w:val="00FC454B"/>
    <w:rsid w:val="00FC482C"/>
    <w:rsid w:val="00FC49BD"/>
    <w:rsid w:val="00FC4BD7"/>
    <w:rsid w:val="00FC4DD9"/>
    <w:rsid w:val="00FC4E64"/>
    <w:rsid w:val="00FC55F2"/>
    <w:rsid w:val="00FC5732"/>
    <w:rsid w:val="00FC5A76"/>
    <w:rsid w:val="00FC5B32"/>
    <w:rsid w:val="00FC5D84"/>
    <w:rsid w:val="00FC5DD1"/>
    <w:rsid w:val="00FC614E"/>
    <w:rsid w:val="00FC6313"/>
    <w:rsid w:val="00FC66E3"/>
    <w:rsid w:val="00FC6731"/>
    <w:rsid w:val="00FC6925"/>
    <w:rsid w:val="00FC6A2B"/>
    <w:rsid w:val="00FC6A4B"/>
    <w:rsid w:val="00FC6BC7"/>
    <w:rsid w:val="00FC7245"/>
    <w:rsid w:val="00FC738B"/>
    <w:rsid w:val="00FC7454"/>
    <w:rsid w:val="00FC762C"/>
    <w:rsid w:val="00FC79FD"/>
    <w:rsid w:val="00FC7E4E"/>
    <w:rsid w:val="00FC7F1C"/>
    <w:rsid w:val="00FC7F67"/>
    <w:rsid w:val="00FC7FF9"/>
    <w:rsid w:val="00FD008D"/>
    <w:rsid w:val="00FD018F"/>
    <w:rsid w:val="00FD01ED"/>
    <w:rsid w:val="00FD032C"/>
    <w:rsid w:val="00FD0340"/>
    <w:rsid w:val="00FD03BE"/>
    <w:rsid w:val="00FD063C"/>
    <w:rsid w:val="00FD063E"/>
    <w:rsid w:val="00FD0BE7"/>
    <w:rsid w:val="00FD0C61"/>
    <w:rsid w:val="00FD0C90"/>
    <w:rsid w:val="00FD0D89"/>
    <w:rsid w:val="00FD0F28"/>
    <w:rsid w:val="00FD104E"/>
    <w:rsid w:val="00FD109D"/>
    <w:rsid w:val="00FD10CC"/>
    <w:rsid w:val="00FD10ED"/>
    <w:rsid w:val="00FD11A6"/>
    <w:rsid w:val="00FD124E"/>
    <w:rsid w:val="00FD167B"/>
    <w:rsid w:val="00FD16F9"/>
    <w:rsid w:val="00FD1739"/>
    <w:rsid w:val="00FD1812"/>
    <w:rsid w:val="00FD1A0F"/>
    <w:rsid w:val="00FD1A6E"/>
    <w:rsid w:val="00FD1C9E"/>
    <w:rsid w:val="00FD1CCA"/>
    <w:rsid w:val="00FD1E9B"/>
    <w:rsid w:val="00FD1F08"/>
    <w:rsid w:val="00FD2248"/>
    <w:rsid w:val="00FD22B1"/>
    <w:rsid w:val="00FD2AD3"/>
    <w:rsid w:val="00FD2B24"/>
    <w:rsid w:val="00FD2C36"/>
    <w:rsid w:val="00FD2C91"/>
    <w:rsid w:val="00FD2D9D"/>
    <w:rsid w:val="00FD307B"/>
    <w:rsid w:val="00FD3713"/>
    <w:rsid w:val="00FD3A9B"/>
    <w:rsid w:val="00FD410A"/>
    <w:rsid w:val="00FD411A"/>
    <w:rsid w:val="00FD4289"/>
    <w:rsid w:val="00FD4339"/>
    <w:rsid w:val="00FD44D9"/>
    <w:rsid w:val="00FD4570"/>
    <w:rsid w:val="00FD459E"/>
    <w:rsid w:val="00FD4652"/>
    <w:rsid w:val="00FD491B"/>
    <w:rsid w:val="00FD4CC2"/>
    <w:rsid w:val="00FD4E15"/>
    <w:rsid w:val="00FD5033"/>
    <w:rsid w:val="00FD5225"/>
    <w:rsid w:val="00FD537E"/>
    <w:rsid w:val="00FD53A0"/>
    <w:rsid w:val="00FD549C"/>
    <w:rsid w:val="00FD54AB"/>
    <w:rsid w:val="00FD5527"/>
    <w:rsid w:val="00FD568F"/>
    <w:rsid w:val="00FD56E8"/>
    <w:rsid w:val="00FD5930"/>
    <w:rsid w:val="00FD5A36"/>
    <w:rsid w:val="00FD5D29"/>
    <w:rsid w:val="00FD5D7E"/>
    <w:rsid w:val="00FD629A"/>
    <w:rsid w:val="00FD630F"/>
    <w:rsid w:val="00FD6763"/>
    <w:rsid w:val="00FD6AE4"/>
    <w:rsid w:val="00FD6B87"/>
    <w:rsid w:val="00FD6ED1"/>
    <w:rsid w:val="00FD6FF9"/>
    <w:rsid w:val="00FD70EB"/>
    <w:rsid w:val="00FD70F5"/>
    <w:rsid w:val="00FD7106"/>
    <w:rsid w:val="00FD7138"/>
    <w:rsid w:val="00FD71C0"/>
    <w:rsid w:val="00FD7685"/>
    <w:rsid w:val="00FD779C"/>
    <w:rsid w:val="00FD7892"/>
    <w:rsid w:val="00FD79CF"/>
    <w:rsid w:val="00FD7C9D"/>
    <w:rsid w:val="00FD7D94"/>
    <w:rsid w:val="00FD7E34"/>
    <w:rsid w:val="00FD7EEE"/>
    <w:rsid w:val="00FE0030"/>
    <w:rsid w:val="00FE0039"/>
    <w:rsid w:val="00FE03B4"/>
    <w:rsid w:val="00FE05B4"/>
    <w:rsid w:val="00FE0AA2"/>
    <w:rsid w:val="00FE0F91"/>
    <w:rsid w:val="00FE0FFC"/>
    <w:rsid w:val="00FE128D"/>
    <w:rsid w:val="00FE1359"/>
    <w:rsid w:val="00FE1833"/>
    <w:rsid w:val="00FE1A01"/>
    <w:rsid w:val="00FE1A44"/>
    <w:rsid w:val="00FE1BE3"/>
    <w:rsid w:val="00FE1E5A"/>
    <w:rsid w:val="00FE20A9"/>
    <w:rsid w:val="00FE261C"/>
    <w:rsid w:val="00FE2974"/>
    <w:rsid w:val="00FE2DBA"/>
    <w:rsid w:val="00FE31D3"/>
    <w:rsid w:val="00FE339B"/>
    <w:rsid w:val="00FE3643"/>
    <w:rsid w:val="00FE37C2"/>
    <w:rsid w:val="00FE3982"/>
    <w:rsid w:val="00FE3E43"/>
    <w:rsid w:val="00FE42E8"/>
    <w:rsid w:val="00FE4538"/>
    <w:rsid w:val="00FE45E5"/>
    <w:rsid w:val="00FE4670"/>
    <w:rsid w:val="00FE47CA"/>
    <w:rsid w:val="00FE47F8"/>
    <w:rsid w:val="00FE4B0D"/>
    <w:rsid w:val="00FE50AA"/>
    <w:rsid w:val="00FE5199"/>
    <w:rsid w:val="00FE5310"/>
    <w:rsid w:val="00FE57F6"/>
    <w:rsid w:val="00FE589A"/>
    <w:rsid w:val="00FE5B59"/>
    <w:rsid w:val="00FE5CAB"/>
    <w:rsid w:val="00FE5D02"/>
    <w:rsid w:val="00FE5E49"/>
    <w:rsid w:val="00FE5EDC"/>
    <w:rsid w:val="00FE6587"/>
    <w:rsid w:val="00FE6614"/>
    <w:rsid w:val="00FE6652"/>
    <w:rsid w:val="00FE672D"/>
    <w:rsid w:val="00FE6892"/>
    <w:rsid w:val="00FE6B12"/>
    <w:rsid w:val="00FE6D2E"/>
    <w:rsid w:val="00FE6EEC"/>
    <w:rsid w:val="00FE6F32"/>
    <w:rsid w:val="00FE70BB"/>
    <w:rsid w:val="00FE7141"/>
    <w:rsid w:val="00FE73C2"/>
    <w:rsid w:val="00FE7576"/>
    <w:rsid w:val="00FE7623"/>
    <w:rsid w:val="00FE77C5"/>
    <w:rsid w:val="00FE77D2"/>
    <w:rsid w:val="00FE79FB"/>
    <w:rsid w:val="00FE7CE1"/>
    <w:rsid w:val="00FE7D14"/>
    <w:rsid w:val="00FE7FF4"/>
    <w:rsid w:val="00FF0210"/>
    <w:rsid w:val="00FF0512"/>
    <w:rsid w:val="00FF0A1C"/>
    <w:rsid w:val="00FF0E3B"/>
    <w:rsid w:val="00FF1047"/>
    <w:rsid w:val="00FF10BF"/>
    <w:rsid w:val="00FF1167"/>
    <w:rsid w:val="00FF12ED"/>
    <w:rsid w:val="00FF13CC"/>
    <w:rsid w:val="00FF1606"/>
    <w:rsid w:val="00FF19A2"/>
    <w:rsid w:val="00FF1A30"/>
    <w:rsid w:val="00FF1C0D"/>
    <w:rsid w:val="00FF1C6B"/>
    <w:rsid w:val="00FF1D02"/>
    <w:rsid w:val="00FF1D45"/>
    <w:rsid w:val="00FF1ED3"/>
    <w:rsid w:val="00FF1F1F"/>
    <w:rsid w:val="00FF2234"/>
    <w:rsid w:val="00FF2352"/>
    <w:rsid w:val="00FF23D7"/>
    <w:rsid w:val="00FF2407"/>
    <w:rsid w:val="00FF2880"/>
    <w:rsid w:val="00FF2988"/>
    <w:rsid w:val="00FF2C46"/>
    <w:rsid w:val="00FF328D"/>
    <w:rsid w:val="00FF339C"/>
    <w:rsid w:val="00FF3827"/>
    <w:rsid w:val="00FF394D"/>
    <w:rsid w:val="00FF3DD7"/>
    <w:rsid w:val="00FF3F11"/>
    <w:rsid w:val="00FF3FCA"/>
    <w:rsid w:val="00FF4103"/>
    <w:rsid w:val="00FF4157"/>
    <w:rsid w:val="00FF434B"/>
    <w:rsid w:val="00FF44F8"/>
    <w:rsid w:val="00FF44FF"/>
    <w:rsid w:val="00FF4623"/>
    <w:rsid w:val="00FF46AC"/>
    <w:rsid w:val="00FF4A16"/>
    <w:rsid w:val="00FF4E1F"/>
    <w:rsid w:val="00FF5030"/>
    <w:rsid w:val="00FF533B"/>
    <w:rsid w:val="00FF5619"/>
    <w:rsid w:val="00FF5C48"/>
    <w:rsid w:val="00FF5ED6"/>
    <w:rsid w:val="00FF5FDD"/>
    <w:rsid w:val="00FF6005"/>
    <w:rsid w:val="00FF6007"/>
    <w:rsid w:val="00FF6156"/>
    <w:rsid w:val="00FF6490"/>
    <w:rsid w:val="00FF64D9"/>
    <w:rsid w:val="00FF64FE"/>
    <w:rsid w:val="00FF653C"/>
    <w:rsid w:val="00FF6914"/>
    <w:rsid w:val="00FF6CE0"/>
    <w:rsid w:val="00FF7075"/>
    <w:rsid w:val="00FF71BE"/>
    <w:rsid w:val="00FF7324"/>
    <w:rsid w:val="00FF76EF"/>
    <w:rsid w:val="00FF772E"/>
    <w:rsid w:val="00FF7819"/>
    <w:rsid w:val="00FF7896"/>
    <w:rsid w:val="00FF7B7C"/>
    <w:rsid w:val="00FF7E59"/>
    <w:rsid w:val="0105BF2B"/>
    <w:rsid w:val="01091341"/>
    <w:rsid w:val="010A594F"/>
    <w:rsid w:val="010A5F58"/>
    <w:rsid w:val="01182D0F"/>
    <w:rsid w:val="011FE7E8"/>
    <w:rsid w:val="01232333"/>
    <w:rsid w:val="01290C8A"/>
    <w:rsid w:val="012D5101"/>
    <w:rsid w:val="013786FA"/>
    <w:rsid w:val="014EC1EE"/>
    <w:rsid w:val="01516366"/>
    <w:rsid w:val="0156746B"/>
    <w:rsid w:val="015C839B"/>
    <w:rsid w:val="015CB8C7"/>
    <w:rsid w:val="015DE898"/>
    <w:rsid w:val="01674857"/>
    <w:rsid w:val="016BAD87"/>
    <w:rsid w:val="01731B15"/>
    <w:rsid w:val="01760ED2"/>
    <w:rsid w:val="0179D56B"/>
    <w:rsid w:val="0184C851"/>
    <w:rsid w:val="01880A99"/>
    <w:rsid w:val="018C007F"/>
    <w:rsid w:val="01941D43"/>
    <w:rsid w:val="01953FAE"/>
    <w:rsid w:val="0196DE30"/>
    <w:rsid w:val="01972B15"/>
    <w:rsid w:val="01982045"/>
    <w:rsid w:val="019B310A"/>
    <w:rsid w:val="019F1359"/>
    <w:rsid w:val="01A2CDC9"/>
    <w:rsid w:val="01A99C4C"/>
    <w:rsid w:val="01B561EA"/>
    <w:rsid w:val="01B88FC5"/>
    <w:rsid w:val="01BE1789"/>
    <w:rsid w:val="01BEB458"/>
    <w:rsid w:val="01C5C6A9"/>
    <w:rsid w:val="01D44E1A"/>
    <w:rsid w:val="01D4E32E"/>
    <w:rsid w:val="01E13B15"/>
    <w:rsid w:val="01EC6AB0"/>
    <w:rsid w:val="01F0C10A"/>
    <w:rsid w:val="01F50B4C"/>
    <w:rsid w:val="01F696E4"/>
    <w:rsid w:val="020583C9"/>
    <w:rsid w:val="0205DDBA"/>
    <w:rsid w:val="0207CA37"/>
    <w:rsid w:val="020822D5"/>
    <w:rsid w:val="020C674B"/>
    <w:rsid w:val="020EF84D"/>
    <w:rsid w:val="0217E342"/>
    <w:rsid w:val="022A4285"/>
    <w:rsid w:val="022E078D"/>
    <w:rsid w:val="022F0CDE"/>
    <w:rsid w:val="0234ADF9"/>
    <w:rsid w:val="023B7BA9"/>
    <w:rsid w:val="02466501"/>
    <w:rsid w:val="0252BB52"/>
    <w:rsid w:val="02531EB0"/>
    <w:rsid w:val="025F4A1B"/>
    <w:rsid w:val="02652334"/>
    <w:rsid w:val="0265D634"/>
    <w:rsid w:val="0272E9AD"/>
    <w:rsid w:val="0273A277"/>
    <w:rsid w:val="027F8570"/>
    <w:rsid w:val="0284BACA"/>
    <w:rsid w:val="028525BC"/>
    <w:rsid w:val="028BF8FB"/>
    <w:rsid w:val="0294135B"/>
    <w:rsid w:val="02998D6B"/>
    <w:rsid w:val="029D96A8"/>
    <w:rsid w:val="02B1584E"/>
    <w:rsid w:val="02B235B9"/>
    <w:rsid w:val="02B2E58A"/>
    <w:rsid w:val="02B868C4"/>
    <w:rsid w:val="02BB16CC"/>
    <w:rsid w:val="02C0680A"/>
    <w:rsid w:val="02C9CC0A"/>
    <w:rsid w:val="02CFE445"/>
    <w:rsid w:val="02DA7074"/>
    <w:rsid w:val="02DACCB8"/>
    <w:rsid w:val="02DB0DAE"/>
    <w:rsid w:val="02DB8C3D"/>
    <w:rsid w:val="02DE5878"/>
    <w:rsid w:val="02DF997E"/>
    <w:rsid w:val="02E27DF6"/>
    <w:rsid w:val="02E47F3B"/>
    <w:rsid w:val="02F1FB0A"/>
    <w:rsid w:val="02F652CE"/>
    <w:rsid w:val="0301ACA1"/>
    <w:rsid w:val="0308ED0C"/>
    <w:rsid w:val="0310199D"/>
    <w:rsid w:val="0315F13E"/>
    <w:rsid w:val="0323BCFE"/>
    <w:rsid w:val="03254F9A"/>
    <w:rsid w:val="03287911"/>
    <w:rsid w:val="032EFDD8"/>
    <w:rsid w:val="03302AA3"/>
    <w:rsid w:val="0330BBA8"/>
    <w:rsid w:val="03318D9F"/>
    <w:rsid w:val="033C84FD"/>
    <w:rsid w:val="033E4DFB"/>
    <w:rsid w:val="0340561A"/>
    <w:rsid w:val="0342A17A"/>
    <w:rsid w:val="0345DB06"/>
    <w:rsid w:val="0349F124"/>
    <w:rsid w:val="034B95AB"/>
    <w:rsid w:val="034C9757"/>
    <w:rsid w:val="03518F4A"/>
    <w:rsid w:val="0357E619"/>
    <w:rsid w:val="035AD942"/>
    <w:rsid w:val="035BDF4D"/>
    <w:rsid w:val="035FAB24"/>
    <w:rsid w:val="03610893"/>
    <w:rsid w:val="03652CF5"/>
    <w:rsid w:val="03714FAA"/>
    <w:rsid w:val="037337DE"/>
    <w:rsid w:val="037B183F"/>
    <w:rsid w:val="037CA8D4"/>
    <w:rsid w:val="03889FA6"/>
    <w:rsid w:val="038FB937"/>
    <w:rsid w:val="03987F95"/>
    <w:rsid w:val="03A968FD"/>
    <w:rsid w:val="03AC9AE3"/>
    <w:rsid w:val="03ADF366"/>
    <w:rsid w:val="03AF8396"/>
    <w:rsid w:val="03B45636"/>
    <w:rsid w:val="03B7B689"/>
    <w:rsid w:val="03B82119"/>
    <w:rsid w:val="03BC9E8A"/>
    <w:rsid w:val="03BCA4F9"/>
    <w:rsid w:val="03BD938A"/>
    <w:rsid w:val="03BF2F35"/>
    <w:rsid w:val="03C026EA"/>
    <w:rsid w:val="03C2C60E"/>
    <w:rsid w:val="03C4A0FE"/>
    <w:rsid w:val="03C9C25C"/>
    <w:rsid w:val="03CEC338"/>
    <w:rsid w:val="03D4C084"/>
    <w:rsid w:val="03E2E388"/>
    <w:rsid w:val="03EE22A5"/>
    <w:rsid w:val="03F26D6F"/>
    <w:rsid w:val="040669D0"/>
    <w:rsid w:val="040DFBBB"/>
    <w:rsid w:val="040E175B"/>
    <w:rsid w:val="0413B9B1"/>
    <w:rsid w:val="0419F2B7"/>
    <w:rsid w:val="041EEFDA"/>
    <w:rsid w:val="04201AB7"/>
    <w:rsid w:val="0428F579"/>
    <w:rsid w:val="042AB04B"/>
    <w:rsid w:val="042E082B"/>
    <w:rsid w:val="042E4D1B"/>
    <w:rsid w:val="042F581B"/>
    <w:rsid w:val="04328EBA"/>
    <w:rsid w:val="0435BB73"/>
    <w:rsid w:val="043856F4"/>
    <w:rsid w:val="0438BB08"/>
    <w:rsid w:val="0439274C"/>
    <w:rsid w:val="043A96C3"/>
    <w:rsid w:val="0443CC83"/>
    <w:rsid w:val="044BC897"/>
    <w:rsid w:val="044D4E2F"/>
    <w:rsid w:val="044FCC20"/>
    <w:rsid w:val="04510D54"/>
    <w:rsid w:val="0453E63C"/>
    <w:rsid w:val="0456CA96"/>
    <w:rsid w:val="04582DA2"/>
    <w:rsid w:val="046C9DC0"/>
    <w:rsid w:val="047087A5"/>
    <w:rsid w:val="04749716"/>
    <w:rsid w:val="047ECDD4"/>
    <w:rsid w:val="048AF818"/>
    <w:rsid w:val="04939793"/>
    <w:rsid w:val="04989685"/>
    <w:rsid w:val="049A057C"/>
    <w:rsid w:val="049EA4FB"/>
    <w:rsid w:val="04A00F86"/>
    <w:rsid w:val="04A79CC2"/>
    <w:rsid w:val="04AB48DB"/>
    <w:rsid w:val="04B02098"/>
    <w:rsid w:val="04B0651A"/>
    <w:rsid w:val="04B0A141"/>
    <w:rsid w:val="04BB5972"/>
    <w:rsid w:val="04BC768B"/>
    <w:rsid w:val="04C03241"/>
    <w:rsid w:val="04C05EA1"/>
    <w:rsid w:val="04C3FE1E"/>
    <w:rsid w:val="04C41409"/>
    <w:rsid w:val="04C59786"/>
    <w:rsid w:val="04C6F90E"/>
    <w:rsid w:val="04CCCCD9"/>
    <w:rsid w:val="04D31C6B"/>
    <w:rsid w:val="04DEDDAF"/>
    <w:rsid w:val="04E6B5E7"/>
    <w:rsid w:val="04E952E9"/>
    <w:rsid w:val="04EDEDD8"/>
    <w:rsid w:val="04F316E9"/>
    <w:rsid w:val="04F67B8C"/>
    <w:rsid w:val="04FADD68"/>
    <w:rsid w:val="04FBB512"/>
    <w:rsid w:val="05118848"/>
    <w:rsid w:val="051B6051"/>
    <w:rsid w:val="05206003"/>
    <w:rsid w:val="0527E0EB"/>
    <w:rsid w:val="05283B60"/>
    <w:rsid w:val="052EF9FF"/>
    <w:rsid w:val="052FE27D"/>
    <w:rsid w:val="05343C17"/>
    <w:rsid w:val="054286F8"/>
    <w:rsid w:val="0548D948"/>
    <w:rsid w:val="054B61CE"/>
    <w:rsid w:val="05511B88"/>
    <w:rsid w:val="05551262"/>
    <w:rsid w:val="05655C47"/>
    <w:rsid w:val="05683B3D"/>
    <w:rsid w:val="056B382C"/>
    <w:rsid w:val="056C8FE3"/>
    <w:rsid w:val="0575C441"/>
    <w:rsid w:val="05760A2F"/>
    <w:rsid w:val="057D1322"/>
    <w:rsid w:val="057F6470"/>
    <w:rsid w:val="058AB40D"/>
    <w:rsid w:val="058D971D"/>
    <w:rsid w:val="0599488A"/>
    <w:rsid w:val="059A7484"/>
    <w:rsid w:val="059C7C8D"/>
    <w:rsid w:val="05A64A03"/>
    <w:rsid w:val="05A761C4"/>
    <w:rsid w:val="05A9124A"/>
    <w:rsid w:val="05A932AB"/>
    <w:rsid w:val="05AB497C"/>
    <w:rsid w:val="05AC951B"/>
    <w:rsid w:val="05AE8013"/>
    <w:rsid w:val="05AEB70F"/>
    <w:rsid w:val="05B1EAF7"/>
    <w:rsid w:val="05B88DAF"/>
    <w:rsid w:val="05BB9D64"/>
    <w:rsid w:val="05BF144B"/>
    <w:rsid w:val="05C3AD50"/>
    <w:rsid w:val="05C55441"/>
    <w:rsid w:val="05C710C1"/>
    <w:rsid w:val="05C88813"/>
    <w:rsid w:val="05C8E599"/>
    <w:rsid w:val="05D73016"/>
    <w:rsid w:val="05D78B4A"/>
    <w:rsid w:val="05D82FF3"/>
    <w:rsid w:val="05D8A254"/>
    <w:rsid w:val="05DBEEA1"/>
    <w:rsid w:val="05E1447A"/>
    <w:rsid w:val="05E2E9FC"/>
    <w:rsid w:val="05E67FE6"/>
    <w:rsid w:val="05E89FD1"/>
    <w:rsid w:val="05E9023F"/>
    <w:rsid w:val="05F1B24E"/>
    <w:rsid w:val="06017583"/>
    <w:rsid w:val="0604E7CB"/>
    <w:rsid w:val="0609849C"/>
    <w:rsid w:val="060DBDCB"/>
    <w:rsid w:val="0614320A"/>
    <w:rsid w:val="06166F8E"/>
    <w:rsid w:val="0617BE80"/>
    <w:rsid w:val="061CB4D3"/>
    <w:rsid w:val="0623AE57"/>
    <w:rsid w:val="062DBF9D"/>
    <w:rsid w:val="062E6AFF"/>
    <w:rsid w:val="062E9BDD"/>
    <w:rsid w:val="062EA0E1"/>
    <w:rsid w:val="063185E9"/>
    <w:rsid w:val="0631ECB7"/>
    <w:rsid w:val="0639D609"/>
    <w:rsid w:val="063DEDE1"/>
    <w:rsid w:val="06411460"/>
    <w:rsid w:val="064A6009"/>
    <w:rsid w:val="064DF99E"/>
    <w:rsid w:val="064E713A"/>
    <w:rsid w:val="06592A04"/>
    <w:rsid w:val="0664A95D"/>
    <w:rsid w:val="06650BE6"/>
    <w:rsid w:val="066E6D28"/>
    <w:rsid w:val="06741019"/>
    <w:rsid w:val="0676DCA9"/>
    <w:rsid w:val="067E2080"/>
    <w:rsid w:val="067E83E4"/>
    <w:rsid w:val="067EF94C"/>
    <w:rsid w:val="0681667C"/>
    <w:rsid w:val="068318F6"/>
    <w:rsid w:val="06887208"/>
    <w:rsid w:val="068A314E"/>
    <w:rsid w:val="068FCA3C"/>
    <w:rsid w:val="06AE745A"/>
    <w:rsid w:val="06BC1A07"/>
    <w:rsid w:val="06BC41E1"/>
    <w:rsid w:val="06CACFD0"/>
    <w:rsid w:val="06CBB7FD"/>
    <w:rsid w:val="06D16E2D"/>
    <w:rsid w:val="06D3185A"/>
    <w:rsid w:val="06D61156"/>
    <w:rsid w:val="06D97892"/>
    <w:rsid w:val="06E0E6F1"/>
    <w:rsid w:val="06E1CDB5"/>
    <w:rsid w:val="06E55BBA"/>
    <w:rsid w:val="06E865A7"/>
    <w:rsid w:val="06EB3294"/>
    <w:rsid w:val="06ECC93A"/>
    <w:rsid w:val="06FC49AE"/>
    <w:rsid w:val="0707A061"/>
    <w:rsid w:val="07089198"/>
    <w:rsid w:val="070F7798"/>
    <w:rsid w:val="072ED714"/>
    <w:rsid w:val="073154DC"/>
    <w:rsid w:val="0733D558"/>
    <w:rsid w:val="0739F550"/>
    <w:rsid w:val="074280E7"/>
    <w:rsid w:val="0748C090"/>
    <w:rsid w:val="0748FDC0"/>
    <w:rsid w:val="074A142B"/>
    <w:rsid w:val="0760105D"/>
    <w:rsid w:val="077574B0"/>
    <w:rsid w:val="077D805C"/>
    <w:rsid w:val="078198A0"/>
    <w:rsid w:val="07834A13"/>
    <w:rsid w:val="0784ABA5"/>
    <w:rsid w:val="0786025D"/>
    <w:rsid w:val="078A8D86"/>
    <w:rsid w:val="078AA734"/>
    <w:rsid w:val="078C2798"/>
    <w:rsid w:val="079A100C"/>
    <w:rsid w:val="079B03C6"/>
    <w:rsid w:val="079FD2D6"/>
    <w:rsid w:val="07A2435D"/>
    <w:rsid w:val="07A92D8F"/>
    <w:rsid w:val="07A9F09E"/>
    <w:rsid w:val="07B55F56"/>
    <w:rsid w:val="07BA18D8"/>
    <w:rsid w:val="07BA7B96"/>
    <w:rsid w:val="07BAA7E8"/>
    <w:rsid w:val="07BAD99B"/>
    <w:rsid w:val="07BBDC96"/>
    <w:rsid w:val="07BE199E"/>
    <w:rsid w:val="07BF671C"/>
    <w:rsid w:val="07CBCB7A"/>
    <w:rsid w:val="07CE2F67"/>
    <w:rsid w:val="07CE6A9C"/>
    <w:rsid w:val="07D24129"/>
    <w:rsid w:val="07D44F05"/>
    <w:rsid w:val="07D96FDA"/>
    <w:rsid w:val="07DFEE8D"/>
    <w:rsid w:val="07E58DF0"/>
    <w:rsid w:val="07E5B805"/>
    <w:rsid w:val="07E8465C"/>
    <w:rsid w:val="07EDF607"/>
    <w:rsid w:val="07F8F66F"/>
    <w:rsid w:val="07FAADE5"/>
    <w:rsid w:val="07FEE72C"/>
    <w:rsid w:val="080517ED"/>
    <w:rsid w:val="080612E7"/>
    <w:rsid w:val="080F8E72"/>
    <w:rsid w:val="0811BD7B"/>
    <w:rsid w:val="0821F4CA"/>
    <w:rsid w:val="08326022"/>
    <w:rsid w:val="083C93F8"/>
    <w:rsid w:val="083E5578"/>
    <w:rsid w:val="0846C7E3"/>
    <w:rsid w:val="08497B10"/>
    <w:rsid w:val="084B8E64"/>
    <w:rsid w:val="08503D68"/>
    <w:rsid w:val="085DB493"/>
    <w:rsid w:val="08637350"/>
    <w:rsid w:val="086A52E2"/>
    <w:rsid w:val="086EF6CC"/>
    <w:rsid w:val="0875AE3D"/>
    <w:rsid w:val="0881E4E1"/>
    <w:rsid w:val="0885C043"/>
    <w:rsid w:val="088610B5"/>
    <w:rsid w:val="088ACAF8"/>
    <w:rsid w:val="088B849C"/>
    <w:rsid w:val="08A800EF"/>
    <w:rsid w:val="08ABB716"/>
    <w:rsid w:val="08B01DB2"/>
    <w:rsid w:val="08B7702B"/>
    <w:rsid w:val="08BDD8E5"/>
    <w:rsid w:val="08BED21A"/>
    <w:rsid w:val="08CD44BB"/>
    <w:rsid w:val="08D096CA"/>
    <w:rsid w:val="08D70CCF"/>
    <w:rsid w:val="08DD009D"/>
    <w:rsid w:val="08DF595D"/>
    <w:rsid w:val="08E82157"/>
    <w:rsid w:val="08E97CAE"/>
    <w:rsid w:val="08EA100E"/>
    <w:rsid w:val="0902FB1B"/>
    <w:rsid w:val="090ECF32"/>
    <w:rsid w:val="090F344E"/>
    <w:rsid w:val="0912B4E0"/>
    <w:rsid w:val="091ABE93"/>
    <w:rsid w:val="0922601C"/>
    <w:rsid w:val="0922F2B2"/>
    <w:rsid w:val="09243E2F"/>
    <w:rsid w:val="0924A1CC"/>
    <w:rsid w:val="09250602"/>
    <w:rsid w:val="09326179"/>
    <w:rsid w:val="0933C0CA"/>
    <w:rsid w:val="0933C69C"/>
    <w:rsid w:val="093EE47F"/>
    <w:rsid w:val="094E8E1A"/>
    <w:rsid w:val="095533E8"/>
    <w:rsid w:val="095B4957"/>
    <w:rsid w:val="095E7E9F"/>
    <w:rsid w:val="0962716F"/>
    <w:rsid w:val="09669CDC"/>
    <w:rsid w:val="096B1FC7"/>
    <w:rsid w:val="096C7157"/>
    <w:rsid w:val="096C9A12"/>
    <w:rsid w:val="097C8A9E"/>
    <w:rsid w:val="097CC185"/>
    <w:rsid w:val="099195A7"/>
    <w:rsid w:val="099BE2CB"/>
    <w:rsid w:val="09A3D99D"/>
    <w:rsid w:val="09B351C1"/>
    <w:rsid w:val="09B3EBCE"/>
    <w:rsid w:val="09B55261"/>
    <w:rsid w:val="09B9EE22"/>
    <w:rsid w:val="09C056AB"/>
    <w:rsid w:val="09C73E99"/>
    <w:rsid w:val="09C7DE30"/>
    <w:rsid w:val="09D36386"/>
    <w:rsid w:val="09D6B5E7"/>
    <w:rsid w:val="09DABCC4"/>
    <w:rsid w:val="09DF028A"/>
    <w:rsid w:val="09E0D6CE"/>
    <w:rsid w:val="09E6CE82"/>
    <w:rsid w:val="09E6E5F0"/>
    <w:rsid w:val="09E9C4AF"/>
    <w:rsid w:val="09EF2C57"/>
    <w:rsid w:val="09F3FEFA"/>
    <w:rsid w:val="09F70AEC"/>
    <w:rsid w:val="09FA0DA8"/>
    <w:rsid w:val="09FEF3C8"/>
    <w:rsid w:val="0A001E88"/>
    <w:rsid w:val="0A10D6D5"/>
    <w:rsid w:val="0A10FB09"/>
    <w:rsid w:val="0A19521F"/>
    <w:rsid w:val="0A24AA13"/>
    <w:rsid w:val="0A255FBA"/>
    <w:rsid w:val="0A27001A"/>
    <w:rsid w:val="0A2AD904"/>
    <w:rsid w:val="0A342A7E"/>
    <w:rsid w:val="0A36B713"/>
    <w:rsid w:val="0A3A16BB"/>
    <w:rsid w:val="0A3C6A56"/>
    <w:rsid w:val="0A4E51E6"/>
    <w:rsid w:val="0A51C0A1"/>
    <w:rsid w:val="0A648AAB"/>
    <w:rsid w:val="0A68ECCA"/>
    <w:rsid w:val="0A6ADBE2"/>
    <w:rsid w:val="0A6D3E7A"/>
    <w:rsid w:val="0A72FE4C"/>
    <w:rsid w:val="0A77F5AF"/>
    <w:rsid w:val="0A783C7F"/>
    <w:rsid w:val="0A7F94FE"/>
    <w:rsid w:val="0A896EA5"/>
    <w:rsid w:val="0A8D5BEF"/>
    <w:rsid w:val="0A92AC36"/>
    <w:rsid w:val="0A95AE91"/>
    <w:rsid w:val="0A98BC13"/>
    <w:rsid w:val="0AC17173"/>
    <w:rsid w:val="0AC9F606"/>
    <w:rsid w:val="0ACBBE1A"/>
    <w:rsid w:val="0ACC2C5E"/>
    <w:rsid w:val="0ACC934C"/>
    <w:rsid w:val="0ACD9A3D"/>
    <w:rsid w:val="0ACF55F6"/>
    <w:rsid w:val="0AD0DFBC"/>
    <w:rsid w:val="0AD1B16D"/>
    <w:rsid w:val="0ADD6024"/>
    <w:rsid w:val="0AE17888"/>
    <w:rsid w:val="0AEB4348"/>
    <w:rsid w:val="0AEBC710"/>
    <w:rsid w:val="0AFD7202"/>
    <w:rsid w:val="0AFDBFC9"/>
    <w:rsid w:val="0B00684D"/>
    <w:rsid w:val="0B0C8D82"/>
    <w:rsid w:val="0B0FBC30"/>
    <w:rsid w:val="0B0FF09E"/>
    <w:rsid w:val="0B1049B8"/>
    <w:rsid w:val="0B14AFE9"/>
    <w:rsid w:val="0B198DAF"/>
    <w:rsid w:val="0B1B26CE"/>
    <w:rsid w:val="0B1C0C0A"/>
    <w:rsid w:val="0B1CBCCC"/>
    <w:rsid w:val="0B1FD904"/>
    <w:rsid w:val="0B479B47"/>
    <w:rsid w:val="0B486EDC"/>
    <w:rsid w:val="0B5E89DD"/>
    <w:rsid w:val="0B606B55"/>
    <w:rsid w:val="0B6BB178"/>
    <w:rsid w:val="0B6F4636"/>
    <w:rsid w:val="0B6FF864"/>
    <w:rsid w:val="0B6FF910"/>
    <w:rsid w:val="0B7495E1"/>
    <w:rsid w:val="0B79E188"/>
    <w:rsid w:val="0B7DC311"/>
    <w:rsid w:val="0B7DC966"/>
    <w:rsid w:val="0B83F37D"/>
    <w:rsid w:val="0B852026"/>
    <w:rsid w:val="0B897874"/>
    <w:rsid w:val="0B8A137A"/>
    <w:rsid w:val="0B8B67DE"/>
    <w:rsid w:val="0B8C56EB"/>
    <w:rsid w:val="0B8D5412"/>
    <w:rsid w:val="0B8FD88B"/>
    <w:rsid w:val="0B96564C"/>
    <w:rsid w:val="0BA2D704"/>
    <w:rsid w:val="0BAA5E4E"/>
    <w:rsid w:val="0BB0AD40"/>
    <w:rsid w:val="0BB30CE4"/>
    <w:rsid w:val="0BB62389"/>
    <w:rsid w:val="0BB9096C"/>
    <w:rsid w:val="0BBAEEF3"/>
    <w:rsid w:val="0BBE15DA"/>
    <w:rsid w:val="0BC0E8B8"/>
    <w:rsid w:val="0BC96B92"/>
    <w:rsid w:val="0BCAEAB7"/>
    <w:rsid w:val="0BD083D3"/>
    <w:rsid w:val="0BD1DF92"/>
    <w:rsid w:val="0BD1F393"/>
    <w:rsid w:val="0BD3776D"/>
    <w:rsid w:val="0BDBE1DF"/>
    <w:rsid w:val="0BDC70D2"/>
    <w:rsid w:val="0BDD1AB9"/>
    <w:rsid w:val="0BE01843"/>
    <w:rsid w:val="0BEB4348"/>
    <w:rsid w:val="0BEC2A94"/>
    <w:rsid w:val="0BEFB688"/>
    <w:rsid w:val="0BF89F00"/>
    <w:rsid w:val="0C0712A2"/>
    <w:rsid w:val="0C0A53B5"/>
    <w:rsid w:val="0C0DFB77"/>
    <w:rsid w:val="0C15A0CC"/>
    <w:rsid w:val="0C1C0A20"/>
    <w:rsid w:val="0C1CCA8B"/>
    <w:rsid w:val="0C223014"/>
    <w:rsid w:val="0C24998F"/>
    <w:rsid w:val="0C274E2E"/>
    <w:rsid w:val="0C404357"/>
    <w:rsid w:val="0C44C241"/>
    <w:rsid w:val="0C49195B"/>
    <w:rsid w:val="0C55752C"/>
    <w:rsid w:val="0C58C649"/>
    <w:rsid w:val="0C59399F"/>
    <w:rsid w:val="0C5BF62D"/>
    <w:rsid w:val="0C644A1A"/>
    <w:rsid w:val="0C66112A"/>
    <w:rsid w:val="0C674A13"/>
    <w:rsid w:val="0C677988"/>
    <w:rsid w:val="0C696EF2"/>
    <w:rsid w:val="0C6CA5A7"/>
    <w:rsid w:val="0C76639B"/>
    <w:rsid w:val="0C7A927F"/>
    <w:rsid w:val="0C7BDF06"/>
    <w:rsid w:val="0C81E507"/>
    <w:rsid w:val="0C81F382"/>
    <w:rsid w:val="0C830F71"/>
    <w:rsid w:val="0C85582D"/>
    <w:rsid w:val="0C907FFC"/>
    <w:rsid w:val="0C91BD3F"/>
    <w:rsid w:val="0C92C28A"/>
    <w:rsid w:val="0C9723CB"/>
    <w:rsid w:val="0C9E8E10"/>
    <w:rsid w:val="0CA3DCAA"/>
    <w:rsid w:val="0CA42938"/>
    <w:rsid w:val="0CA590D2"/>
    <w:rsid w:val="0CA892E8"/>
    <w:rsid w:val="0CADE3B9"/>
    <w:rsid w:val="0CB6246B"/>
    <w:rsid w:val="0CBBB7FC"/>
    <w:rsid w:val="0CBE4F29"/>
    <w:rsid w:val="0CC27DA4"/>
    <w:rsid w:val="0CC2E95F"/>
    <w:rsid w:val="0CCD67A7"/>
    <w:rsid w:val="0CD1425E"/>
    <w:rsid w:val="0CDA2472"/>
    <w:rsid w:val="0CDBE066"/>
    <w:rsid w:val="0CDD335C"/>
    <w:rsid w:val="0CDDA699"/>
    <w:rsid w:val="0CDF73DB"/>
    <w:rsid w:val="0CE2F050"/>
    <w:rsid w:val="0CE5F207"/>
    <w:rsid w:val="0CE66787"/>
    <w:rsid w:val="0CE6B9F7"/>
    <w:rsid w:val="0CEB0901"/>
    <w:rsid w:val="0CEEF2E8"/>
    <w:rsid w:val="0CF20E0D"/>
    <w:rsid w:val="0CF44870"/>
    <w:rsid w:val="0CFD59AD"/>
    <w:rsid w:val="0CFFE2EC"/>
    <w:rsid w:val="0D00B69E"/>
    <w:rsid w:val="0D0AE910"/>
    <w:rsid w:val="0D0BEA22"/>
    <w:rsid w:val="0D0E4509"/>
    <w:rsid w:val="0D0FB00B"/>
    <w:rsid w:val="0D1E1763"/>
    <w:rsid w:val="0D23E677"/>
    <w:rsid w:val="0D266953"/>
    <w:rsid w:val="0D29634B"/>
    <w:rsid w:val="0D320EC8"/>
    <w:rsid w:val="0D41BE40"/>
    <w:rsid w:val="0D480EF8"/>
    <w:rsid w:val="0D5F15E3"/>
    <w:rsid w:val="0D63DA07"/>
    <w:rsid w:val="0D6B5B23"/>
    <w:rsid w:val="0D6C04DA"/>
    <w:rsid w:val="0D6C9BBF"/>
    <w:rsid w:val="0D6D9445"/>
    <w:rsid w:val="0D6E32E7"/>
    <w:rsid w:val="0D6F0507"/>
    <w:rsid w:val="0D730CF4"/>
    <w:rsid w:val="0D796ED3"/>
    <w:rsid w:val="0D80A122"/>
    <w:rsid w:val="0D84ED8E"/>
    <w:rsid w:val="0D8F75FD"/>
    <w:rsid w:val="0D9758A1"/>
    <w:rsid w:val="0D99CDB9"/>
    <w:rsid w:val="0D9DB10E"/>
    <w:rsid w:val="0DA43D8A"/>
    <w:rsid w:val="0DA56EA4"/>
    <w:rsid w:val="0DA70BD4"/>
    <w:rsid w:val="0DA8820B"/>
    <w:rsid w:val="0DAD0144"/>
    <w:rsid w:val="0DAD70BC"/>
    <w:rsid w:val="0DB41732"/>
    <w:rsid w:val="0DB6EFBF"/>
    <w:rsid w:val="0DBBED6E"/>
    <w:rsid w:val="0DC10D53"/>
    <w:rsid w:val="0DC62258"/>
    <w:rsid w:val="0DC9D9F9"/>
    <w:rsid w:val="0DD17699"/>
    <w:rsid w:val="0DD2BDC2"/>
    <w:rsid w:val="0DD47A17"/>
    <w:rsid w:val="0DD708B6"/>
    <w:rsid w:val="0DDDADBE"/>
    <w:rsid w:val="0DDE5F18"/>
    <w:rsid w:val="0DE123BD"/>
    <w:rsid w:val="0DE14503"/>
    <w:rsid w:val="0DE4A56E"/>
    <w:rsid w:val="0DEA556E"/>
    <w:rsid w:val="0DEFA161"/>
    <w:rsid w:val="0DF6C230"/>
    <w:rsid w:val="0DF86716"/>
    <w:rsid w:val="0DFA0001"/>
    <w:rsid w:val="0E0F1312"/>
    <w:rsid w:val="0E104E99"/>
    <w:rsid w:val="0E150E43"/>
    <w:rsid w:val="0E155996"/>
    <w:rsid w:val="0E1A270D"/>
    <w:rsid w:val="0E203B58"/>
    <w:rsid w:val="0E222718"/>
    <w:rsid w:val="0E2410DF"/>
    <w:rsid w:val="0E282190"/>
    <w:rsid w:val="0E2E9DD4"/>
    <w:rsid w:val="0E3F9581"/>
    <w:rsid w:val="0E40E63C"/>
    <w:rsid w:val="0E41328D"/>
    <w:rsid w:val="0E43E215"/>
    <w:rsid w:val="0E5415B3"/>
    <w:rsid w:val="0E618B78"/>
    <w:rsid w:val="0E6420D6"/>
    <w:rsid w:val="0E64D777"/>
    <w:rsid w:val="0E65232E"/>
    <w:rsid w:val="0E66BCA5"/>
    <w:rsid w:val="0E684F4F"/>
    <w:rsid w:val="0E688784"/>
    <w:rsid w:val="0E69081C"/>
    <w:rsid w:val="0E6AD553"/>
    <w:rsid w:val="0E7A66EE"/>
    <w:rsid w:val="0E7D3792"/>
    <w:rsid w:val="0E8BDD37"/>
    <w:rsid w:val="0E8CFA06"/>
    <w:rsid w:val="0E93417D"/>
    <w:rsid w:val="0E9B27CE"/>
    <w:rsid w:val="0EA2FC24"/>
    <w:rsid w:val="0EA63270"/>
    <w:rsid w:val="0EAC22DB"/>
    <w:rsid w:val="0EAD0837"/>
    <w:rsid w:val="0EB8C95F"/>
    <w:rsid w:val="0EBA5103"/>
    <w:rsid w:val="0EBEAF1D"/>
    <w:rsid w:val="0EC61480"/>
    <w:rsid w:val="0EC7E848"/>
    <w:rsid w:val="0EC9CF1D"/>
    <w:rsid w:val="0ECCB7B3"/>
    <w:rsid w:val="0ECDCC6C"/>
    <w:rsid w:val="0ED2F20E"/>
    <w:rsid w:val="0EDF1EE7"/>
    <w:rsid w:val="0EE2EE26"/>
    <w:rsid w:val="0EEC72C5"/>
    <w:rsid w:val="0EF5D112"/>
    <w:rsid w:val="0EF6AA09"/>
    <w:rsid w:val="0EFB8D37"/>
    <w:rsid w:val="0F06F5B2"/>
    <w:rsid w:val="0F090674"/>
    <w:rsid w:val="0F11E6B7"/>
    <w:rsid w:val="0F139F03"/>
    <w:rsid w:val="0F196F12"/>
    <w:rsid w:val="0F1B4207"/>
    <w:rsid w:val="0F1BB2EF"/>
    <w:rsid w:val="0F1D3654"/>
    <w:rsid w:val="0F2147A8"/>
    <w:rsid w:val="0F241CAF"/>
    <w:rsid w:val="0F2FE75F"/>
    <w:rsid w:val="0F3A1096"/>
    <w:rsid w:val="0F3E7325"/>
    <w:rsid w:val="0F3E9C43"/>
    <w:rsid w:val="0F3EEF68"/>
    <w:rsid w:val="0F40D2E3"/>
    <w:rsid w:val="0F42153C"/>
    <w:rsid w:val="0F436150"/>
    <w:rsid w:val="0F48459F"/>
    <w:rsid w:val="0F4B3A10"/>
    <w:rsid w:val="0F5099A8"/>
    <w:rsid w:val="0F56BCC8"/>
    <w:rsid w:val="0F5D8D9C"/>
    <w:rsid w:val="0F5FDFC8"/>
    <w:rsid w:val="0F5FFEEF"/>
    <w:rsid w:val="0F628D84"/>
    <w:rsid w:val="0F650EA5"/>
    <w:rsid w:val="0F68DB26"/>
    <w:rsid w:val="0F7AC59D"/>
    <w:rsid w:val="0F7B619D"/>
    <w:rsid w:val="0F861A7F"/>
    <w:rsid w:val="0F8983BE"/>
    <w:rsid w:val="0F8B4BA3"/>
    <w:rsid w:val="0F8E8BB2"/>
    <w:rsid w:val="0F90EC90"/>
    <w:rsid w:val="0F922701"/>
    <w:rsid w:val="0F974698"/>
    <w:rsid w:val="0F9EFB77"/>
    <w:rsid w:val="0FA75E2E"/>
    <w:rsid w:val="0FAA46BC"/>
    <w:rsid w:val="0FB13DC4"/>
    <w:rsid w:val="0FB88DA1"/>
    <w:rsid w:val="0FBCF9D2"/>
    <w:rsid w:val="0FC41851"/>
    <w:rsid w:val="0FC4E6F4"/>
    <w:rsid w:val="0FC6284C"/>
    <w:rsid w:val="0FC7B9D4"/>
    <w:rsid w:val="0FCABF43"/>
    <w:rsid w:val="0FCE7CC6"/>
    <w:rsid w:val="0FCEB2FF"/>
    <w:rsid w:val="0FD918AA"/>
    <w:rsid w:val="0FD964E6"/>
    <w:rsid w:val="0FDF23BD"/>
    <w:rsid w:val="0FE0963D"/>
    <w:rsid w:val="0FE735B1"/>
    <w:rsid w:val="0FE8C108"/>
    <w:rsid w:val="0FEFE03A"/>
    <w:rsid w:val="0FF1EBA5"/>
    <w:rsid w:val="0FF33B76"/>
    <w:rsid w:val="1000F06A"/>
    <w:rsid w:val="100B223A"/>
    <w:rsid w:val="100C2261"/>
    <w:rsid w:val="100CD409"/>
    <w:rsid w:val="10144E22"/>
    <w:rsid w:val="101973F1"/>
    <w:rsid w:val="1019C7B9"/>
    <w:rsid w:val="101CD2C1"/>
    <w:rsid w:val="101F2B2C"/>
    <w:rsid w:val="1034D061"/>
    <w:rsid w:val="1036F848"/>
    <w:rsid w:val="1039D449"/>
    <w:rsid w:val="1040C95A"/>
    <w:rsid w:val="104AB069"/>
    <w:rsid w:val="10551D84"/>
    <w:rsid w:val="10577C1C"/>
    <w:rsid w:val="105785A6"/>
    <w:rsid w:val="10743EE7"/>
    <w:rsid w:val="107C8F76"/>
    <w:rsid w:val="107FAA89"/>
    <w:rsid w:val="108E844C"/>
    <w:rsid w:val="1090F2C2"/>
    <w:rsid w:val="1094EFC5"/>
    <w:rsid w:val="109D3ECC"/>
    <w:rsid w:val="109FDAC3"/>
    <w:rsid w:val="10A5A989"/>
    <w:rsid w:val="10AD331E"/>
    <w:rsid w:val="10B6B357"/>
    <w:rsid w:val="10B7C682"/>
    <w:rsid w:val="10B92948"/>
    <w:rsid w:val="10BC2F77"/>
    <w:rsid w:val="10C2F92A"/>
    <w:rsid w:val="10C38BD2"/>
    <w:rsid w:val="10C63C29"/>
    <w:rsid w:val="10C772DA"/>
    <w:rsid w:val="10C826C8"/>
    <w:rsid w:val="10C94212"/>
    <w:rsid w:val="10CB9508"/>
    <w:rsid w:val="10CBF234"/>
    <w:rsid w:val="10D27A22"/>
    <w:rsid w:val="10D71471"/>
    <w:rsid w:val="10D721C1"/>
    <w:rsid w:val="10DABB83"/>
    <w:rsid w:val="10DAD7E3"/>
    <w:rsid w:val="10DB01F3"/>
    <w:rsid w:val="10DCB15D"/>
    <w:rsid w:val="10DF30E0"/>
    <w:rsid w:val="10EC1968"/>
    <w:rsid w:val="10F14A30"/>
    <w:rsid w:val="10F6F5C7"/>
    <w:rsid w:val="11077729"/>
    <w:rsid w:val="110F3134"/>
    <w:rsid w:val="1113600B"/>
    <w:rsid w:val="111385C4"/>
    <w:rsid w:val="1114D30C"/>
    <w:rsid w:val="111B54E4"/>
    <w:rsid w:val="111BCB36"/>
    <w:rsid w:val="11287135"/>
    <w:rsid w:val="1129EF9D"/>
    <w:rsid w:val="112B826D"/>
    <w:rsid w:val="112C66BC"/>
    <w:rsid w:val="113BC53B"/>
    <w:rsid w:val="113C715B"/>
    <w:rsid w:val="113C9280"/>
    <w:rsid w:val="11438290"/>
    <w:rsid w:val="114A0BC0"/>
    <w:rsid w:val="114B33F0"/>
    <w:rsid w:val="1154A75F"/>
    <w:rsid w:val="1155DAAF"/>
    <w:rsid w:val="115EB09A"/>
    <w:rsid w:val="11663449"/>
    <w:rsid w:val="11671247"/>
    <w:rsid w:val="1167D3F4"/>
    <w:rsid w:val="11708C70"/>
    <w:rsid w:val="11763BF7"/>
    <w:rsid w:val="117D0A56"/>
    <w:rsid w:val="118B0BB7"/>
    <w:rsid w:val="1192FF1D"/>
    <w:rsid w:val="119EF3CB"/>
    <w:rsid w:val="11A25B7B"/>
    <w:rsid w:val="11AD991F"/>
    <w:rsid w:val="11AEFCC9"/>
    <w:rsid w:val="11B40914"/>
    <w:rsid w:val="11B717D9"/>
    <w:rsid w:val="11BDF370"/>
    <w:rsid w:val="11BF8B89"/>
    <w:rsid w:val="11C9ACAA"/>
    <w:rsid w:val="11CC38B9"/>
    <w:rsid w:val="11D2A54A"/>
    <w:rsid w:val="11D6B319"/>
    <w:rsid w:val="11D6C51C"/>
    <w:rsid w:val="11DE9A6A"/>
    <w:rsid w:val="11E57A8F"/>
    <w:rsid w:val="11E5A865"/>
    <w:rsid w:val="11E750BD"/>
    <w:rsid w:val="11E9B63A"/>
    <w:rsid w:val="11E9BBF6"/>
    <w:rsid w:val="11EEEB25"/>
    <w:rsid w:val="11EF296B"/>
    <w:rsid w:val="11F5C0CE"/>
    <w:rsid w:val="11FA0080"/>
    <w:rsid w:val="12090F36"/>
    <w:rsid w:val="120A63DA"/>
    <w:rsid w:val="120C7471"/>
    <w:rsid w:val="12109250"/>
    <w:rsid w:val="1214011F"/>
    <w:rsid w:val="121E953D"/>
    <w:rsid w:val="1222E4F5"/>
    <w:rsid w:val="1223EE4A"/>
    <w:rsid w:val="1228D53F"/>
    <w:rsid w:val="1238FCAF"/>
    <w:rsid w:val="1242D9E3"/>
    <w:rsid w:val="124BD4BC"/>
    <w:rsid w:val="124EEF77"/>
    <w:rsid w:val="1254B7E8"/>
    <w:rsid w:val="1255ABF0"/>
    <w:rsid w:val="125E3C81"/>
    <w:rsid w:val="1264FD39"/>
    <w:rsid w:val="12653A11"/>
    <w:rsid w:val="1273CB19"/>
    <w:rsid w:val="127A8F83"/>
    <w:rsid w:val="12890136"/>
    <w:rsid w:val="128A810B"/>
    <w:rsid w:val="129076E7"/>
    <w:rsid w:val="12920287"/>
    <w:rsid w:val="12924B01"/>
    <w:rsid w:val="12961C55"/>
    <w:rsid w:val="12964743"/>
    <w:rsid w:val="129AB45E"/>
    <w:rsid w:val="129AD2EA"/>
    <w:rsid w:val="129E2C9C"/>
    <w:rsid w:val="12AE8CA8"/>
    <w:rsid w:val="12BC0062"/>
    <w:rsid w:val="12BCAB74"/>
    <w:rsid w:val="12CE7105"/>
    <w:rsid w:val="12E29063"/>
    <w:rsid w:val="12F36888"/>
    <w:rsid w:val="12F4E0B9"/>
    <w:rsid w:val="12F57D55"/>
    <w:rsid w:val="12F83CC3"/>
    <w:rsid w:val="1302D454"/>
    <w:rsid w:val="13044344"/>
    <w:rsid w:val="130E84EE"/>
    <w:rsid w:val="130F9185"/>
    <w:rsid w:val="130FF84F"/>
    <w:rsid w:val="13160B47"/>
    <w:rsid w:val="13209D88"/>
    <w:rsid w:val="132A0F9C"/>
    <w:rsid w:val="132A58B9"/>
    <w:rsid w:val="13326672"/>
    <w:rsid w:val="1334D0B1"/>
    <w:rsid w:val="13372B1E"/>
    <w:rsid w:val="13383642"/>
    <w:rsid w:val="133AC0D4"/>
    <w:rsid w:val="133CB7B2"/>
    <w:rsid w:val="1340ADAD"/>
    <w:rsid w:val="13450C7C"/>
    <w:rsid w:val="13454A39"/>
    <w:rsid w:val="134679EB"/>
    <w:rsid w:val="13530100"/>
    <w:rsid w:val="13568570"/>
    <w:rsid w:val="13666FDF"/>
    <w:rsid w:val="1368657A"/>
    <w:rsid w:val="1373CABA"/>
    <w:rsid w:val="13859F3D"/>
    <w:rsid w:val="1385E945"/>
    <w:rsid w:val="1386A979"/>
    <w:rsid w:val="139061EB"/>
    <w:rsid w:val="1394F3D0"/>
    <w:rsid w:val="13981130"/>
    <w:rsid w:val="139C3261"/>
    <w:rsid w:val="13A6A083"/>
    <w:rsid w:val="13AD6CB8"/>
    <w:rsid w:val="13AEB2A1"/>
    <w:rsid w:val="13B3C7B1"/>
    <w:rsid w:val="13B9FA90"/>
    <w:rsid w:val="13BB6C0D"/>
    <w:rsid w:val="13BBE41D"/>
    <w:rsid w:val="13BD3550"/>
    <w:rsid w:val="13BF26ED"/>
    <w:rsid w:val="13C6D51F"/>
    <w:rsid w:val="13C94003"/>
    <w:rsid w:val="13D51E2F"/>
    <w:rsid w:val="13DF8121"/>
    <w:rsid w:val="13E48BAB"/>
    <w:rsid w:val="13F24C2C"/>
    <w:rsid w:val="13F516C6"/>
    <w:rsid w:val="13FB96CD"/>
    <w:rsid w:val="13FECF6C"/>
    <w:rsid w:val="13FF5BEB"/>
    <w:rsid w:val="13FF66C8"/>
    <w:rsid w:val="14003C5B"/>
    <w:rsid w:val="140790B0"/>
    <w:rsid w:val="1409FDC2"/>
    <w:rsid w:val="14147941"/>
    <w:rsid w:val="141BF96D"/>
    <w:rsid w:val="142A03C9"/>
    <w:rsid w:val="143CC423"/>
    <w:rsid w:val="1440B35D"/>
    <w:rsid w:val="14463A6F"/>
    <w:rsid w:val="144989CA"/>
    <w:rsid w:val="144D2F30"/>
    <w:rsid w:val="1452C300"/>
    <w:rsid w:val="1453EF24"/>
    <w:rsid w:val="1454E4EC"/>
    <w:rsid w:val="14593D2A"/>
    <w:rsid w:val="145D4560"/>
    <w:rsid w:val="145FB982"/>
    <w:rsid w:val="146A1D7F"/>
    <w:rsid w:val="1472911E"/>
    <w:rsid w:val="14798CDF"/>
    <w:rsid w:val="147FC247"/>
    <w:rsid w:val="148321BC"/>
    <w:rsid w:val="1485DE0A"/>
    <w:rsid w:val="148F7295"/>
    <w:rsid w:val="1495C767"/>
    <w:rsid w:val="149B5DB9"/>
    <w:rsid w:val="149CF2A0"/>
    <w:rsid w:val="149D073C"/>
    <w:rsid w:val="14A6B54E"/>
    <w:rsid w:val="14B01403"/>
    <w:rsid w:val="14B1BA75"/>
    <w:rsid w:val="14BA8AB3"/>
    <w:rsid w:val="14BB7DF4"/>
    <w:rsid w:val="14BB9198"/>
    <w:rsid w:val="14C6E649"/>
    <w:rsid w:val="14C83053"/>
    <w:rsid w:val="14C84DCE"/>
    <w:rsid w:val="14CB590A"/>
    <w:rsid w:val="14CC13D9"/>
    <w:rsid w:val="14CD31AD"/>
    <w:rsid w:val="14CE7F7E"/>
    <w:rsid w:val="14D2B22D"/>
    <w:rsid w:val="14D43D3D"/>
    <w:rsid w:val="14DD7CA7"/>
    <w:rsid w:val="14E22C9F"/>
    <w:rsid w:val="14E7E882"/>
    <w:rsid w:val="14E9A2A2"/>
    <w:rsid w:val="14F4979C"/>
    <w:rsid w:val="14F5AF09"/>
    <w:rsid w:val="14F66402"/>
    <w:rsid w:val="14FA1540"/>
    <w:rsid w:val="14FAF9C4"/>
    <w:rsid w:val="14FBA578"/>
    <w:rsid w:val="15057413"/>
    <w:rsid w:val="1509F3B4"/>
    <w:rsid w:val="150CDB0C"/>
    <w:rsid w:val="1512A502"/>
    <w:rsid w:val="15144F05"/>
    <w:rsid w:val="1515AAFC"/>
    <w:rsid w:val="15190BFD"/>
    <w:rsid w:val="151E1B20"/>
    <w:rsid w:val="151F0F90"/>
    <w:rsid w:val="15266EB2"/>
    <w:rsid w:val="152F833A"/>
    <w:rsid w:val="15335359"/>
    <w:rsid w:val="153F6A6A"/>
    <w:rsid w:val="154726C9"/>
    <w:rsid w:val="154A86ED"/>
    <w:rsid w:val="15511F89"/>
    <w:rsid w:val="15564D38"/>
    <w:rsid w:val="1556A3C1"/>
    <w:rsid w:val="155BD054"/>
    <w:rsid w:val="155EC9F7"/>
    <w:rsid w:val="155F7DA4"/>
    <w:rsid w:val="155FEBCD"/>
    <w:rsid w:val="156DA3A4"/>
    <w:rsid w:val="15753859"/>
    <w:rsid w:val="157A244A"/>
    <w:rsid w:val="157AF341"/>
    <w:rsid w:val="157B2C53"/>
    <w:rsid w:val="157C70BA"/>
    <w:rsid w:val="157EFC12"/>
    <w:rsid w:val="1580D7AA"/>
    <w:rsid w:val="1582CF93"/>
    <w:rsid w:val="158750AC"/>
    <w:rsid w:val="15893E46"/>
    <w:rsid w:val="15897CBC"/>
    <w:rsid w:val="15953D2A"/>
    <w:rsid w:val="15970A8A"/>
    <w:rsid w:val="1599E33C"/>
    <w:rsid w:val="159B5B55"/>
    <w:rsid w:val="15A0BE0A"/>
    <w:rsid w:val="15A34D9B"/>
    <w:rsid w:val="15AD7D18"/>
    <w:rsid w:val="15B43B41"/>
    <w:rsid w:val="15B51AB3"/>
    <w:rsid w:val="15B52A08"/>
    <w:rsid w:val="15B9E9CA"/>
    <w:rsid w:val="15C5FD89"/>
    <w:rsid w:val="15C9D9B2"/>
    <w:rsid w:val="15DFF9A3"/>
    <w:rsid w:val="15E01237"/>
    <w:rsid w:val="15E3F1DD"/>
    <w:rsid w:val="15E64D90"/>
    <w:rsid w:val="15E79EBB"/>
    <w:rsid w:val="15EBD993"/>
    <w:rsid w:val="15F03444"/>
    <w:rsid w:val="15F1D021"/>
    <w:rsid w:val="15F882DF"/>
    <w:rsid w:val="15FA65B7"/>
    <w:rsid w:val="15FD02E3"/>
    <w:rsid w:val="160A73CC"/>
    <w:rsid w:val="1610A703"/>
    <w:rsid w:val="161110D5"/>
    <w:rsid w:val="1619B0ED"/>
    <w:rsid w:val="161DEC71"/>
    <w:rsid w:val="16215B36"/>
    <w:rsid w:val="1623D19D"/>
    <w:rsid w:val="162FB073"/>
    <w:rsid w:val="1630D1CF"/>
    <w:rsid w:val="16420BE5"/>
    <w:rsid w:val="164689BA"/>
    <w:rsid w:val="164DD0E5"/>
    <w:rsid w:val="1652FCE7"/>
    <w:rsid w:val="1654CA9F"/>
    <w:rsid w:val="1657F088"/>
    <w:rsid w:val="1658C70E"/>
    <w:rsid w:val="166036D9"/>
    <w:rsid w:val="1661C8F0"/>
    <w:rsid w:val="16684B44"/>
    <w:rsid w:val="166DA660"/>
    <w:rsid w:val="1676A7CA"/>
    <w:rsid w:val="167AC296"/>
    <w:rsid w:val="1684204A"/>
    <w:rsid w:val="16873750"/>
    <w:rsid w:val="168A05A4"/>
    <w:rsid w:val="168D8782"/>
    <w:rsid w:val="16AA2B64"/>
    <w:rsid w:val="16B0FD38"/>
    <w:rsid w:val="16B2C789"/>
    <w:rsid w:val="16B6CD0C"/>
    <w:rsid w:val="16B7335E"/>
    <w:rsid w:val="16B9E842"/>
    <w:rsid w:val="16BE4C57"/>
    <w:rsid w:val="16C1A0D6"/>
    <w:rsid w:val="16CEC878"/>
    <w:rsid w:val="16D44AF1"/>
    <w:rsid w:val="16D45F66"/>
    <w:rsid w:val="16D7D360"/>
    <w:rsid w:val="16E2FD3E"/>
    <w:rsid w:val="16E30F42"/>
    <w:rsid w:val="16E99ECB"/>
    <w:rsid w:val="16EAE106"/>
    <w:rsid w:val="16EB9872"/>
    <w:rsid w:val="16F9C7EB"/>
    <w:rsid w:val="16FD37DE"/>
    <w:rsid w:val="16FF6C06"/>
    <w:rsid w:val="1703A0DE"/>
    <w:rsid w:val="170575E6"/>
    <w:rsid w:val="1706E51C"/>
    <w:rsid w:val="170BA268"/>
    <w:rsid w:val="170BE91E"/>
    <w:rsid w:val="1711E5D8"/>
    <w:rsid w:val="17151483"/>
    <w:rsid w:val="1715C5EB"/>
    <w:rsid w:val="171B6C4F"/>
    <w:rsid w:val="17265F40"/>
    <w:rsid w:val="17384D0F"/>
    <w:rsid w:val="1738AEF5"/>
    <w:rsid w:val="1738C66D"/>
    <w:rsid w:val="1739819A"/>
    <w:rsid w:val="173F993A"/>
    <w:rsid w:val="17431A03"/>
    <w:rsid w:val="174BAB6B"/>
    <w:rsid w:val="175A2DAA"/>
    <w:rsid w:val="175A529B"/>
    <w:rsid w:val="176A9E01"/>
    <w:rsid w:val="1777D029"/>
    <w:rsid w:val="1785CAE2"/>
    <w:rsid w:val="178AC5D2"/>
    <w:rsid w:val="178B90B6"/>
    <w:rsid w:val="178C65CF"/>
    <w:rsid w:val="178EA253"/>
    <w:rsid w:val="179707BB"/>
    <w:rsid w:val="17A190D1"/>
    <w:rsid w:val="17A9D51B"/>
    <w:rsid w:val="17AB9CA4"/>
    <w:rsid w:val="17BB5740"/>
    <w:rsid w:val="17BC1BDB"/>
    <w:rsid w:val="17C0749C"/>
    <w:rsid w:val="17C33F73"/>
    <w:rsid w:val="17C8455E"/>
    <w:rsid w:val="17C89ED6"/>
    <w:rsid w:val="17D2E958"/>
    <w:rsid w:val="17D4F435"/>
    <w:rsid w:val="17D577AA"/>
    <w:rsid w:val="17D599BE"/>
    <w:rsid w:val="17E11205"/>
    <w:rsid w:val="17E75899"/>
    <w:rsid w:val="17EDA649"/>
    <w:rsid w:val="17F2DB67"/>
    <w:rsid w:val="18024EDB"/>
    <w:rsid w:val="180706F8"/>
    <w:rsid w:val="180EF388"/>
    <w:rsid w:val="1816CA78"/>
    <w:rsid w:val="182170AB"/>
    <w:rsid w:val="1821BF6A"/>
    <w:rsid w:val="18263E3F"/>
    <w:rsid w:val="18272517"/>
    <w:rsid w:val="182C1CCC"/>
    <w:rsid w:val="182E653D"/>
    <w:rsid w:val="183BA38E"/>
    <w:rsid w:val="183C2BC3"/>
    <w:rsid w:val="183D622D"/>
    <w:rsid w:val="1840BC2B"/>
    <w:rsid w:val="18414624"/>
    <w:rsid w:val="1845D91A"/>
    <w:rsid w:val="184B59FF"/>
    <w:rsid w:val="184C0B7B"/>
    <w:rsid w:val="18504462"/>
    <w:rsid w:val="18533B64"/>
    <w:rsid w:val="185CBC5D"/>
    <w:rsid w:val="185F5CEE"/>
    <w:rsid w:val="186BB7EC"/>
    <w:rsid w:val="186E5F57"/>
    <w:rsid w:val="1872223C"/>
    <w:rsid w:val="1877B8AB"/>
    <w:rsid w:val="187985D0"/>
    <w:rsid w:val="187C8292"/>
    <w:rsid w:val="188465B4"/>
    <w:rsid w:val="18885852"/>
    <w:rsid w:val="188A9EF9"/>
    <w:rsid w:val="18933A73"/>
    <w:rsid w:val="18A1AAD3"/>
    <w:rsid w:val="18A6E913"/>
    <w:rsid w:val="18A706A4"/>
    <w:rsid w:val="18AAEA3C"/>
    <w:rsid w:val="18B46EAF"/>
    <w:rsid w:val="18BCD5FE"/>
    <w:rsid w:val="18C37C79"/>
    <w:rsid w:val="18C9E00F"/>
    <w:rsid w:val="18D4F725"/>
    <w:rsid w:val="18D6A5CB"/>
    <w:rsid w:val="18D93684"/>
    <w:rsid w:val="18DC58E1"/>
    <w:rsid w:val="18DD35E0"/>
    <w:rsid w:val="18DD4E64"/>
    <w:rsid w:val="18E539ED"/>
    <w:rsid w:val="18E82248"/>
    <w:rsid w:val="18E9F778"/>
    <w:rsid w:val="18EB8CDB"/>
    <w:rsid w:val="18FA27F5"/>
    <w:rsid w:val="18FB1B2B"/>
    <w:rsid w:val="190FEDA2"/>
    <w:rsid w:val="1911A492"/>
    <w:rsid w:val="191527DA"/>
    <w:rsid w:val="1918590A"/>
    <w:rsid w:val="191ACF90"/>
    <w:rsid w:val="191F65E5"/>
    <w:rsid w:val="191FC72A"/>
    <w:rsid w:val="1922268F"/>
    <w:rsid w:val="1936F74D"/>
    <w:rsid w:val="193AF459"/>
    <w:rsid w:val="1941B576"/>
    <w:rsid w:val="1942CC4F"/>
    <w:rsid w:val="1947EA62"/>
    <w:rsid w:val="1949404E"/>
    <w:rsid w:val="194D8D73"/>
    <w:rsid w:val="1958B3EE"/>
    <w:rsid w:val="196273D5"/>
    <w:rsid w:val="1970D13B"/>
    <w:rsid w:val="19779DBD"/>
    <w:rsid w:val="197A4A5C"/>
    <w:rsid w:val="197CFD73"/>
    <w:rsid w:val="19808BC7"/>
    <w:rsid w:val="19820DE2"/>
    <w:rsid w:val="198719A3"/>
    <w:rsid w:val="198E4E13"/>
    <w:rsid w:val="1993A9E9"/>
    <w:rsid w:val="19947E06"/>
    <w:rsid w:val="1999EAB0"/>
    <w:rsid w:val="199CA518"/>
    <w:rsid w:val="199D32B8"/>
    <w:rsid w:val="19A3E277"/>
    <w:rsid w:val="19A4582B"/>
    <w:rsid w:val="19A558CD"/>
    <w:rsid w:val="19AD69A3"/>
    <w:rsid w:val="19B883F5"/>
    <w:rsid w:val="19C25CE8"/>
    <w:rsid w:val="19C314EE"/>
    <w:rsid w:val="19D18B77"/>
    <w:rsid w:val="19EFD86C"/>
    <w:rsid w:val="19F54555"/>
    <w:rsid w:val="19F587CC"/>
    <w:rsid w:val="19F656F2"/>
    <w:rsid w:val="19FE2DA9"/>
    <w:rsid w:val="1A04C3C8"/>
    <w:rsid w:val="1A076D1B"/>
    <w:rsid w:val="1A0E68BE"/>
    <w:rsid w:val="1A0EBC5F"/>
    <w:rsid w:val="1A0FAD38"/>
    <w:rsid w:val="1A146902"/>
    <w:rsid w:val="1A1C928B"/>
    <w:rsid w:val="1A20A8C0"/>
    <w:rsid w:val="1A211C1F"/>
    <w:rsid w:val="1A2869C2"/>
    <w:rsid w:val="1A2AF779"/>
    <w:rsid w:val="1A2F6EEE"/>
    <w:rsid w:val="1A32C791"/>
    <w:rsid w:val="1A360B7E"/>
    <w:rsid w:val="1A36DC9F"/>
    <w:rsid w:val="1A38502B"/>
    <w:rsid w:val="1A554E34"/>
    <w:rsid w:val="1A55A5F0"/>
    <w:rsid w:val="1A57BBD1"/>
    <w:rsid w:val="1A5BEEB3"/>
    <w:rsid w:val="1A639CA5"/>
    <w:rsid w:val="1A7247F0"/>
    <w:rsid w:val="1A72B1E4"/>
    <w:rsid w:val="1A792FC1"/>
    <w:rsid w:val="1A85CF9B"/>
    <w:rsid w:val="1A881142"/>
    <w:rsid w:val="1A94592B"/>
    <w:rsid w:val="1A9C9CDB"/>
    <w:rsid w:val="1A9EC397"/>
    <w:rsid w:val="1AAD4427"/>
    <w:rsid w:val="1AAF59EE"/>
    <w:rsid w:val="1AC23718"/>
    <w:rsid w:val="1AC5CE49"/>
    <w:rsid w:val="1ACE9D2F"/>
    <w:rsid w:val="1AD83419"/>
    <w:rsid w:val="1AD927A2"/>
    <w:rsid w:val="1ADBA22E"/>
    <w:rsid w:val="1AE4354B"/>
    <w:rsid w:val="1AE541A9"/>
    <w:rsid w:val="1AE641DC"/>
    <w:rsid w:val="1AEE2CA2"/>
    <w:rsid w:val="1AF7E860"/>
    <w:rsid w:val="1AFC0CFA"/>
    <w:rsid w:val="1AFC93B6"/>
    <w:rsid w:val="1AFFCC33"/>
    <w:rsid w:val="1B005BC7"/>
    <w:rsid w:val="1B00C99B"/>
    <w:rsid w:val="1B076FBE"/>
    <w:rsid w:val="1B1839F4"/>
    <w:rsid w:val="1B19D28D"/>
    <w:rsid w:val="1B1CCC5A"/>
    <w:rsid w:val="1B2040E6"/>
    <w:rsid w:val="1B20CE6B"/>
    <w:rsid w:val="1B237893"/>
    <w:rsid w:val="1B27069B"/>
    <w:rsid w:val="1B27BED2"/>
    <w:rsid w:val="1B2942D4"/>
    <w:rsid w:val="1B2DC04A"/>
    <w:rsid w:val="1B38B394"/>
    <w:rsid w:val="1B3C0C42"/>
    <w:rsid w:val="1B3F0C7B"/>
    <w:rsid w:val="1B48826C"/>
    <w:rsid w:val="1B4E8DC2"/>
    <w:rsid w:val="1B4F0206"/>
    <w:rsid w:val="1B4F719B"/>
    <w:rsid w:val="1B4F8DD0"/>
    <w:rsid w:val="1B500E77"/>
    <w:rsid w:val="1B506B5F"/>
    <w:rsid w:val="1B51F2E4"/>
    <w:rsid w:val="1B544608"/>
    <w:rsid w:val="1B618FDC"/>
    <w:rsid w:val="1B6304FD"/>
    <w:rsid w:val="1B702F9C"/>
    <w:rsid w:val="1B71B8D6"/>
    <w:rsid w:val="1B791D68"/>
    <w:rsid w:val="1B7D94FC"/>
    <w:rsid w:val="1B80C2BB"/>
    <w:rsid w:val="1B87CFEE"/>
    <w:rsid w:val="1B89DEE2"/>
    <w:rsid w:val="1B95228B"/>
    <w:rsid w:val="1B98075E"/>
    <w:rsid w:val="1B99D1E8"/>
    <w:rsid w:val="1B9C952B"/>
    <w:rsid w:val="1B9D9FF8"/>
    <w:rsid w:val="1BA72F8B"/>
    <w:rsid w:val="1BACFB2B"/>
    <w:rsid w:val="1BB1B18A"/>
    <w:rsid w:val="1BB634FD"/>
    <w:rsid w:val="1BB785B9"/>
    <w:rsid w:val="1BBD5C15"/>
    <w:rsid w:val="1BC139B1"/>
    <w:rsid w:val="1BC38048"/>
    <w:rsid w:val="1BCACA86"/>
    <w:rsid w:val="1BD2ED93"/>
    <w:rsid w:val="1BDC9455"/>
    <w:rsid w:val="1BEEAC7B"/>
    <w:rsid w:val="1BF07A24"/>
    <w:rsid w:val="1BF871B0"/>
    <w:rsid w:val="1BFB7B43"/>
    <w:rsid w:val="1C0E7C57"/>
    <w:rsid w:val="1C10699C"/>
    <w:rsid w:val="1C1A0734"/>
    <w:rsid w:val="1C1EDDC5"/>
    <w:rsid w:val="1C21C55E"/>
    <w:rsid w:val="1C26A2CF"/>
    <w:rsid w:val="1C28F58F"/>
    <w:rsid w:val="1C29981F"/>
    <w:rsid w:val="1C31A8B6"/>
    <w:rsid w:val="1C3DC747"/>
    <w:rsid w:val="1C3DD108"/>
    <w:rsid w:val="1C3FCFED"/>
    <w:rsid w:val="1C4DF215"/>
    <w:rsid w:val="1C522345"/>
    <w:rsid w:val="1C548FDE"/>
    <w:rsid w:val="1C55B859"/>
    <w:rsid w:val="1C62A205"/>
    <w:rsid w:val="1C65728A"/>
    <w:rsid w:val="1C699619"/>
    <w:rsid w:val="1C71C975"/>
    <w:rsid w:val="1C7488B9"/>
    <w:rsid w:val="1C763F5F"/>
    <w:rsid w:val="1C7D35AB"/>
    <w:rsid w:val="1C7D6A44"/>
    <w:rsid w:val="1C81D062"/>
    <w:rsid w:val="1C895447"/>
    <w:rsid w:val="1C93B252"/>
    <w:rsid w:val="1C9FD6D1"/>
    <w:rsid w:val="1CA42EEB"/>
    <w:rsid w:val="1CB3B64D"/>
    <w:rsid w:val="1CB97ACB"/>
    <w:rsid w:val="1CBC77AA"/>
    <w:rsid w:val="1CC415EA"/>
    <w:rsid w:val="1CC76CC7"/>
    <w:rsid w:val="1CD0075C"/>
    <w:rsid w:val="1CD53E29"/>
    <w:rsid w:val="1CDACCBF"/>
    <w:rsid w:val="1CDD3F82"/>
    <w:rsid w:val="1CE37CCB"/>
    <w:rsid w:val="1CE6C732"/>
    <w:rsid w:val="1CE70E49"/>
    <w:rsid w:val="1CECD3CF"/>
    <w:rsid w:val="1CEE2EF7"/>
    <w:rsid w:val="1CEFD172"/>
    <w:rsid w:val="1CF471E3"/>
    <w:rsid w:val="1CF8F5A2"/>
    <w:rsid w:val="1CFC2969"/>
    <w:rsid w:val="1CFDD81B"/>
    <w:rsid w:val="1D082F0B"/>
    <w:rsid w:val="1D09BD22"/>
    <w:rsid w:val="1D0DF8A7"/>
    <w:rsid w:val="1D0E0510"/>
    <w:rsid w:val="1D1032DB"/>
    <w:rsid w:val="1D12253D"/>
    <w:rsid w:val="1D23E4A1"/>
    <w:rsid w:val="1D2A07E3"/>
    <w:rsid w:val="1D31655F"/>
    <w:rsid w:val="1D3AB391"/>
    <w:rsid w:val="1D400B49"/>
    <w:rsid w:val="1D45D57A"/>
    <w:rsid w:val="1D48B842"/>
    <w:rsid w:val="1D495A7E"/>
    <w:rsid w:val="1D500870"/>
    <w:rsid w:val="1D5011A6"/>
    <w:rsid w:val="1D58C814"/>
    <w:rsid w:val="1D59BED8"/>
    <w:rsid w:val="1D5AD1F3"/>
    <w:rsid w:val="1D5AF3A3"/>
    <w:rsid w:val="1D5CC8FF"/>
    <w:rsid w:val="1D625C81"/>
    <w:rsid w:val="1D65DF3F"/>
    <w:rsid w:val="1D6AE980"/>
    <w:rsid w:val="1D753279"/>
    <w:rsid w:val="1D761BA9"/>
    <w:rsid w:val="1D81EE2E"/>
    <w:rsid w:val="1D8792A9"/>
    <w:rsid w:val="1D885D8E"/>
    <w:rsid w:val="1D9389B3"/>
    <w:rsid w:val="1D96956D"/>
    <w:rsid w:val="1D97638B"/>
    <w:rsid w:val="1D9EFF3C"/>
    <w:rsid w:val="1DA555C3"/>
    <w:rsid w:val="1DABBB0B"/>
    <w:rsid w:val="1DAC42EC"/>
    <w:rsid w:val="1DAF711D"/>
    <w:rsid w:val="1DB08D9B"/>
    <w:rsid w:val="1DB56611"/>
    <w:rsid w:val="1DB6F3D9"/>
    <w:rsid w:val="1DCEFD17"/>
    <w:rsid w:val="1DD0DD3C"/>
    <w:rsid w:val="1DD55A86"/>
    <w:rsid w:val="1DDB8A23"/>
    <w:rsid w:val="1DDF0E9E"/>
    <w:rsid w:val="1DE022BE"/>
    <w:rsid w:val="1DE553CF"/>
    <w:rsid w:val="1DE5D66B"/>
    <w:rsid w:val="1DE866D4"/>
    <w:rsid w:val="1DE8D4A2"/>
    <w:rsid w:val="1DE8E2B5"/>
    <w:rsid w:val="1DF55F3F"/>
    <w:rsid w:val="1DFC9697"/>
    <w:rsid w:val="1E0E8182"/>
    <w:rsid w:val="1E11790B"/>
    <w:rsid w:val="1E14946D"/>
    <w:rsid w:val="1E194B37"/>
    <w:rsid w:val="1E1AA181"/>
    <w:rsid w:val="1E1B0DBE"/>
    <w:rsid w:val="1E1FA563"/>
    <w:rsid w:val="1E23F9BD"/>
    <w:rsid w:val="1E27551F"/>
    <w:rsid w:val="1E315DF6"/>
    <w:rsid w:val="1E34AEDD"/>
    <w:rsid w:val="1E415D17"/>
    <w:rsid w:val="1E4DDEEC"/>
    <w:rsid w:val="1E4F29A8"/>
    <w:rsid w:val="1E5295CF"/>
    <w:rsid w:val="1E53108A"/>
    <w:rsid w:val="1E5336A1"/>
    <w:rsid w:val="1E5A1811"/>
    <w:rsid w:val="1E5E5C7A"/>
    <w:rsid w:val="1E600DC7"/>
    <w:rsid w:val="1E667891"/>
    <w:rsid w:val="1E675678"/>
    <w:rsid w:val="1E6C5559"/>
    <w:rsid w:val="1E6EBDDD"/>
    <w:rsid w:val="1E723C41"/>
    <w:rsid w:val="1E75B6DC"/>
    <w:rsid w:val="1E76D995"/>
    <w:rsid w:val="1E77080D"/>
    <w:rsid w:val="1E7F74C2"/>
    <w:rsid w:val="1E7FDBB2"/>
    <w:rsid w:val="1E81673C"/>
    <w:rsid w:val="1E82F533"/>
    <w:rsid w:val="1E8A1101"/>
    <w:rsid w:val="1E8ACEFF"/>
    <w:rsid w:val="1E985A7E"/>
    <w:rsid w:val="1E9B4E09"/>
    <w:rsid w:val="1EA12B90"/>
    <w:rsid w:val="1EA553CF"/>
    <w:rsid w:val="1EA7AD43"/>
    <w:rsid w:val="1EA974CE"/>
    <w:rsid w:val="1EA9F6C7"/>
    <w:rsid w:val="1EAE5E25"/>
    <w:rsid w:val="1EB4C5A0"/>
    <w:rsid w:val="1EBA4922"/>
    <w:rsid w:val="1EBAAC3D"/>
    <w:rsid w:val="1EBC7423"/>
    <w:rsid w:val="1EC0540B"/>
    <w:rsid w:val="1ECD83A7"/>
    <w:rsid w:val="1ECF9D5B"/>
    <w:rsid w:val="1EDA000D"/>
    <w:rsid w:val="1EDB44C6"/>
    <w:rsid w:val="1EDD3EA4"/>
    <w:rsid w:val="1EDD5650"/>
    <w:rsid w:val="1EF06D72"/>
    <w:rsid w:val="1EF3F83B"/>
    <w:rsid w:val="1EF864D6"/>
    <w:rsid w:val="1F029981"/>
    <w:rsid w:val="1F0BBDC2"/>
    <w:rsid w:val="1F11CFB8"/>
    <w:rsid w:val="1F137518"/>
    <w:rsid w:val="1F19FC18"/>
    <w:rsid w:val="1F24E38A"/>
    <w:rsid w:val="1F2586C6"/>
    <w:rsid w:val="1F39BAAF"/>
    <w:rsid w:val="1F3F4F36"/>
    <w:rsid w:val="1F44F533"/>
    <w:rsid w:val="1F4561D2"/>
    <w:rsid w:val="1F463612"/>
    <w:rsid w:val="1F463D4C"/>
    <w:rsid w:val="1F5394A9"/>
    <w:rsid w:val="1F5F96B8"/>
    <w:rsid w:val="1F63E400"/>
    <w:rsid w:val="1F679C07"/>
    <w:rsid w:val="1F69F1AA"/>
    <w:rsid w:val="1F6BA0EF"/>
    <w:rsid w:val="1F7DB8A8"/>
    <w:rsid w:val="1F84D48B"/>
    <w:rsid w:val="1F890CC1"/>
    <w:rsid w:val="1F8FF3A4"/>
    <w:rsid w:val="1F911DE4"/>
    <w:rsid w:val="1F9574E8"/>
    <w:rsid w:val="1F95861E"/>
    <w:rsid w:val="1F95A08E"/>
    <w:rsid w:val="1F994CDF"/>
    <w:rsid w:val="1F9C965B"/>
    <w:rsid w:val="1F9F8EAE"/>
    <w:rsid w:val="1FA0F24A"/>
    <w:rsid w:val="1FA10026"/>
    <w:rsid w:val="1FA15EA2"/>
    <w:rsid w:val="1FA7B2BC"/>
    <w:rsid w:val="1FA7DCFB"/>
    <w:rsid w:val="1FAAAC61"/>
    <w:rsid w:val="1FAD6CBA"/>
    <w:rsid w:val="1FB4BF56"/>
    <w:rsid w:val="1FB60E4B"/>
    <w:rsid w:val="1FBAB5F6"/>
    <w:rsid w:val="1FBC6C23"/>
    <w:rsid w:val="1FC89291"/>
    <w:rsid w:val="1FCA0F62"/>
    <w:rsid w:val="1FCDC545"/>
    <w:rsid w:val="1FCFFE2F"/>
    <w:rsid w:val="1FD04B37"/>
    <w:rsid w:val="1FD1638A"/>
    <w:rsid w:val="1FD97CB8"/>
    <w:rsid w:val="1FDC16B0"/>
    <w:rsid w:val="1FECAEA5"/>
    <w:rsid w:val="1FFFD16A"/>
    <w:rsid w:val="200AF8A1"/>
    <w:rsid w:val="2013117C"/>
    <w:rsid w:val="20139E09"/>
    <w:rsid w:val="20139F01"/>
    <w:rsid w:val="2013CD0B"/>
    <w:rsid w:val="201BAA69"/>
    <w:rsid w:val="201D44A0"/>
    <w:rsid w:val="202079DD"/>
    <w:rsid w:val="203F1954"/>
    <w:rsid w:val="2046E484"/>
    <w:rsid w:val="204979C3"/>
    <w:rsid w:val="2057E346"/>
    <w:rsid w:val="205B521F"/>
    <w:rsid w:val="205D6310"/>
    <w:rsid w:val="206D1C56"/>
    <w:rsid w:val="20772F6B"/>
    <w:rsid w:val="20791C8B"/>
    <w:rsid w:val="207E5437"/>
    <w:rsid w:val="207FF28A"/>
    <w:rsid w:val="208A4611"/>
    <w:rsid w:val="20914D00"/>
    <w:rsid w:val="209C9A23"/>
    <w:rsid w:val="20A0AD19"/>
    <w:rsid w:val="20A3D8B5"/>
    <w:rsid w:val="20AD415F"/>
    <w:rsid w:val="20B4AB93"/>
    <w:rsid w:val="20C26449"/>
    <w:rsid w:val="20CB5A9A"/>
    <w:rsid w:val="20CC193E"/>
    <w:rsid w:val="20CEDF8C"/>
    <w:rsid w:val="20D2A072"/>
    <w:rsid w:val="20D5ECE5"/>
    <w:rsid w:val="20DA65F5"/>
    <w:rsid w:val="20DC97F2"/>
    <w:rsid w:val="20E2E718"/>
    <w:rsid w:val="20E60037"/>
    <w:rsid w:val="21027561"/>
    <w:rsid w:val="2104840B"/>
    <w:rsid w:val="2106B9A9"/>
    <w:rsid w:val="21084E0D"/>
    <w:rsid w:val="210C79C3"/>
    <w:rsid w:val="210D5E54"/>
    <w:rsid w:val="210FBF75"/>
    <w:rsid w:val="21120941"/>
    <w:rsid w:val="211226F6"/>
    <w:rsid w:val="21145FD3"/>
    <w:rsid w:val="211B233C"/>
    <w:rsid w:val="211D3C7E"/>
    <w:rsid w:val="211E16C5"/>
    <w:rsid w:val="211EF6CA"/>
    <w:rsid w:val="211F93BA"/>
    <w:rsid w:val="21210294"/>
    <w:rsid w:val="2126DEF5"/>
    <w:rsid w:val="21288E3C"/>
    <w:rsid w:val="21354D26"/>
    <w:rsid w:val="213707DE"/>
    <w:rsid w:val="213CAEA1"/>
    <w:rsid w:val="213CD13D"/>
    <w:rsid w:val="2143147C"/>
    <w:rsid w:val="21498A1A"/>
    <w:rsid w:val="2150BB5B"/>
    <w:rsid w:val="215165FB"/>
    <w:rsid w:val="2152A654"/>
    <w:rsid w:val="21601A65"/>
    <w:rsid w:val="2164868F"/>
    <w:rsid w:val="21649F06"/>
    <w:rsid w:val="21776BC4"/>
    <w:rsid w:val="21797D8F"/>
    <w:rsid w:val="2180FF78"/>
    <w:rsid w:val="2184F4C0"/>
    <w:rsid w:val="2185CEBB"/>
    <w:rsid w:val="219C46A8"/>
    <w:rsid w:val="219D70AA"/>
    <w:rsid w:val="21A43861"/>
    <w:rsid w:val="21A4B918"/>
    <w:rsid w:val="21ABA7CC"/>
    <w:rsid w:val="21B62ADD"/>
    <w:rsid w:val="21B72A4A"/>
    <w:rsid w:val="21BEA6DB"/>
    <w:rsid w:val="21C41F2D"/>
    <w:rsid w:val="21C6A4D9"/>
    <w:rsid w:val="21C8C921"/>
    <w:rsid w:val="21C9E941"/>
    <w:rsid w:val="21CB1A9F"/>
    <w:rsid w:val="21CEFA5E"/>
    <w:rsid w:val="21D02A3E"/>
    <w:rsid w:val="21D28DC7"/>
    <w:rsid w:val="21D67B16"/>
    <w:rsid w:val="21D7C4DB"/>
    <w:rsid w:val="21D913FF"/>
    <w:rsid w:val="21DC7DF7"/>
    <w:rsid w:val="21E015C0"/>
    <w:rsid w:val="21E5DBFF"/>
    <w:rsid w:val="21E8F68E"/>
    <w:rsid w:val="21EC12CD"/>
    <w:rsid w:val="21ED083A"/>
    <w:rsid w:val="21F071CF"/>
    <w:rsid w:val="21FDC9EE"/>
    <w:rsid w:val="220661B8"/>
    <w:rsid w:val="2207581C"/>
    <w:rsid w:val="2209077F"/>
    <w:rsid w:val="22132C9D"/>
    <w:rsid w:val="222CC4D2"/>
    <w:rsid w:val="2231BDA7"/>
    <w:rsid w:val="2236AE17"/>
    <w:rsid w:val="223B4162"/>
    <w:rsid w:val="2241E711"/>
    <w:rsid w:val="22474984"/>
    <w:rsid w:val="224D1011"/>
    <w:rsid w:val="22540376"/>
    <w:rsid w:val="22569F98"/>
    <w:rsid w:val="225AFEC4"/>
    <w:rsid w:val="225B11D2"/>
    <w:rsid w:val="225E3FBD"/>
    <w:rsid w:val="2271FFF3"/>
    <w:rsid w:val="2275F1F0"/>
    <w:rsid w:val="227D333E"/>
    <w:rsid w:val="22836A30"/>
    <w:rsid w:val="2284A039"/>
    <w:rsid w:val="228651DE"/>
    <w:rsid w:val="2293D37F"/>
    <w:rsid w:val="229932CE"/>
    <w:rsid w:val="22A14380"/>
    <w:rsid w:val="22A85E2D"/>
    <w:rsid w:val="22AD5ECE"/>
    <w:rsid w:val="22B546F1"/>
    <w:rsid w:val="22C05293"/>
    <w:rsid w:val="22CA24CF"/>
    <w:rsid w:val="22CC148F"/>
    <w:rsid w:val="22CCCCE1"/>
    <w:rsid w:val="22CF273C"/>
    <w:rsid w:val="22D77335"/>
    <w:rsid w:val="22DC6D39"/>
    <w:rsid w:val="22DDE1DC"/>
    <w:rsid w:val="22E20C77"/>
    <w:rsid w:val="22E2B128"/>
    <w:rsid w:val="22E3009B"/>
    <w:rsid w:val="22E8A9D8"/>
    <w:rsid w:val="22E95BC4"/>
    <w:rsid w:val="22ED3F3D"/>
    <w:rsid w:val="22F3F354"/>
    <w:rsid w:val="22F4C789"/>
    <w:rsid w:val="22F57180"/>
    <w:rsid w:val="22F5D7AA"/>
    <w:rsid w:val="22FA3140"/>
    <w:rsid w:val="2301D10B"/>
    <w:rsid w:val="2307D5CB"/>
    <w:rsid w:val="2308301F"/>
    <w:rsid w:val="230A4559"/>
    <w:rsid w:val="230B7770"/>
    <w:rsid w:val="23127209"/>
    <w:rsid w:val="2318A792"/>
    <w:rsid w:val="231E7B6A"/>
    <w:rsid w:val="231F6830"/>
    <w:rsid w:val="232A6FCC"/>
    <w:rsid w:val="23311F2E"/>
    <w:rsid w:val="2336FAB7"/>
    <w:rsid w:val="2338FC8B"/>
    <w:rsid w:val="233EDDA1"/>
    <w:rsid w:val="2341BE5F"/>
    <w:rsid w:val="2343734D"/>
    <w:rsid w:val="234A2610"/>
    <w:rsid w:val="2357DAA1"/>
    <w:rsid w:val="23593188"/>
    <w:rsid w:val="235A6472"/>
    <w:rsid w:val="235E8F9A"/>
    <w:rsid w:val="236342D7"/>
    <w:rsid w:val="2363CA2B"/>
    <w:rsid w:val="23775A16"/>
    <w:rsid w:val="2377AA5A"/>
    <w:rsid w:val="2377BA0C"/>
    <w:rsid w:val="2378A156"/>
    <w:rsid w:val="2378F05E"/>
    <w:rsid w:val="237ADBE4"/>
    <w:rsid w:val="237DC302"/>
    <w:rsid w:val="23816709"/>
    <w:rsid w:val="2389CE36"/>
    <w:rsid w:val="238C2F2D"/>
    <w:rsid w:val="2393C37E"/>
    <w:rsid w:val="2397157A"/>
    <w:rsid w:val="23980439"/>
    <w:rsid w:val="239A1B13"/>
    <w:rsid w:val="239E622B"/>
    <w:rsid w:val="239EDB63"/>
    <w:rsid w:val="23A1946E"/>
    <w:rsid w:val="23AFA537"/>
    <w:rsid w:val="23AFACAC"/>
    <w:rsid w:val="23B14418"/>
    <w:rsid w:val="23B4D0D0"/>
    <w:rsid w:val="23B98E18"/>
    <w:rsid w:val="23BA4C2C"/>
    <w:rsid w:val="23BA6A40"/>
    <w:rsid w:val="23C0BF47"/>
    <w:rsid w:val="23C19E90"/>
    <w:rsid w:val="23C6022A"/>
    <w:rsid w:val="23C69DAB"/>
    <w:rsid w:val="23D13524"/>
    <w:rsid w:val="23D960FD"/>
    <w:rsid w:val="23F0DE92"/>
    <w:rsid w:val="23F2C111"/>
    <w:rsid w:val="23F2D7F2"/>
    <w:rsid w:val="23F52713"/>
    <w:rsid w:val="23F656AD"/>
    <w:rsid w:val="2401D5D7"/>
    <w:rsid w:val="24032E78"/>
    <w:rsid w:val="2403B664"/>
    <w:rsid w:val="240CA41A"/>
    <w:rsid w:val="240F24FD"/>
    <w:rsid w:val="241547D9"/>
    <w:rsid w:val="2416393F"/>
    <w:rsid w:val="2418F7E5"/>
    <w:rsid w:val="24191588"/>
    <w:rsid w:val="241FAF13"/>
    <w:rsid w:val="2425AF2D"/>
    <w:rsid w:val="242624C6"/>
    <w:rsid w:val="2429BDA0"/>
    <w:rsid w:val="243367E9"/>
    <w:rsid w:val="2435303F"/>
    <w:rsid w:val="24354092"/>
    <w:rsid w:val="2441F432"/>
    <w:rsid w:val="2442E793"/>
    <w:rsid w:val="24431753"/>
    <w:rsid w:val="24434D78"/>
    <w:rsid w:val="24456259"/>
    <w:rsid w:val="245D1295"/>
    <w:rsid w:val="245DC725"/>
    <w:rsid w:val="246466D9"/>
    <w:rsid w:val="24671D72"/>
    <w:rsid w:val="247277CA"/>
    <w:rsid w:val="2476333F"/>
    <w:rsid w:val="247ABF5B"/>
    <w:rsid w:val="24934625"/>
    <w:rsid w:val="2496751D"/>
    <w:rsid w:val="249B1F30"/>
    <w:rsid w:val="24A1271D"/>
    <w:rsid w:val="24AB7F23"/>
    <w:rsid w:val="24AC88B9"/>
    <w:rsid w:val="24ACC255"/>
    <w:rsid w:val="24AF4073"/>
    <w:rsid w:val="24B20E87"/>
    <w:rsid w:val="24BE5A6A"/>
    <w:rsid w:val="24C7C0C2"/>
    <w:rsid w:val="24CDCBFB"/>
    <w:rsid w:val="24D298E3"/>
    <w:rsid w:val="24D98646"/>
    <w:rsid w:val="24DBBD4D"/>
    <w:rsid w:val="24E118A0"/>
    <w:rsid w:val="24E6F670"/>
    <w:rsid w:val="24F429FA"/>
    <w:rsid w:val="24F5E123"/>
    <w:rsid w:val="24FEBFDE"/>
    <w:rsid w:val="24FEEB28"/>
    <w:rsid w:val="250537FD"/>
    <w:rsid w:val="2507092A"/>
    <w:rsid w:val="25127308"/>
    <w:rsid w:val="2515DEC6"/>
    <w:rsid w:val="25195A6F"/>
    <w:rsid w:val="251ADB71"/>
    <w:rsid w:val="25204BBC"/>
    <w:rsid w:val="252350FE"/>
    <w:rsid w:val="252443A0"/>
    <w:rsid w:val="2525ED57"/>
    <w:rsid w:val="2535E087"/>
    <w:rsid w:val="25396B30"/>
    <w:rsid w:val="253C965B"/>
    <w:rsid w:val="253F2836"/>
    <w:rsid w:val="2547409C"/>
    <w:rsid w:val="2547EE74"/>
    <w:rsid w:val="2548E7D5"/>
    <w:rsid w:val="254EC7AD"/>
    <w:rsid w:val="2551E582"/>
    <w:rsid w:val="25581721"/>
    <w:rsid w:val="255BAFDA"/>
    <w:rsid w:val="255D6AD9"/>
    <w:rsid w:val="256B0F9D"/>
    <w:rsid w:val="256F35A0"/>
    <w:rsid w:val="2572AEE6"/>
    <w:rsid w:val="2574152C"/>
    <w:rsid w:val="257748E1"/>
    <w:rsid w:val="25896823"/>
    <w:rsid w:val="259436D1"/>
    <w:rsid w:val="259B378A"/>
    <w:rsid w:val="25A04DBE"/>
    <w:rsid w:val="25A15269"/>
    <w:rsid w:val="25A5E904"/>
    <w:rsid w:val="25A6F39D"/>
    <w:rsid w:val="25AABE25"/>
    <w:rsid w:val="25ADF422"/>
    <w:rsid w:val="25B20A54"/>
    <w:rsid w:val="25B8BA1C"/>
    <w:rsid w:val="25BFACE3"/>
    <w:rsid w:val="25C500D3"/>
    <w:rsid w:val="25C9C3A6"/>
    <w:rsid w:val="25CE2C25"/>
    <w:rsid w:val="25CEE2C3"/>
    <w:rsid w:val="25D3F26F"/>
    <w:rsid w:val="25D6F1C9"/>
    <w:rsid w:val="25D82BEB"/>
    <w:rsid w:val="25DA983B"/>
    <w:rsid w:val="25E015CF"/>
    <w:rsid w:val="25E8E76D"/>
    <w:rsid w:val="25ED25C5"/>
    <w:rsid w:val="25F121E7"/>
    <w:rsid w:val="25F199E1"/>
    <w:rsid w:val="25F37AB9"/>
    <w:rsid w:val="2603C97A"/>
    <w:rsid w:val="26073C31"/>
    <w:rsid w:val="2608191E"/>
    <w:rsid w:val="26133AC4"/>
    <w:rsid w:val="26156659"/>
    <w:rsid w:val="2616C1B8"/>
    <w:rsid w:val="261D0EE4"/>
    <w:rsid w:val="26240ED5"/>
    <w:rsid w:val="2626B212"/>
    <w:rsid w:val="2628F079"/>
    <w:rsid w:val="262FE256"/>
    <w:rsid w:val="263063B7"/>
    <w:rsid w:val="2631DB98"/>
    <w:rsid w:val="2634D86A"/>
    <w:rsid w:val="263D4926"/>
    <w:rsid w:val="263D8B3C"/>
    <w:rsid w:val="26434E88"/>
    <w:rsid w:val="26451B9F"/>
    <w:rsid w:val="26473F4A"/>
    <w:rsid w:val="264BC361"/>
    <w:rsid w:val="2652C5F2"/>
    <w:rsid w:val="2653E917"/>
    <w:rsid w:val="2656B64A"/>
    <w:rsid w:val="26574645"/>
    <w:rsid w:val="265FF6E2"/>
    <w:rsid w:val="265FF7EF"/>
    <w:rsid w:val="266843E2"/>
    <w:rsid w:val="266FE185"/>
    <w:rsid w:val="26708BA9"/>
    <w:rsid w:val="26805519"/>
    <w:rsid w:val="268674A8"/>
    <w:rsid w:val="2687D30E"/>
    <w:rsid w:val="268F1B3D"/>
    <w:rsid w:val="268F586D"/>
    <w:rsid w:val="269057BC"/>
    <w:rsid w:val="26B7CB75"/>
    <w:rsid w:val="26B8B268"/>
    <w:rsid w:val="26B9870B"/>
    <w:rsid w:val="26BD27AB"/>
    <w:rsid w:val="26C6DD20"/>
    <w:rsid w:val="26C9DD42"/>
    <w:rsid w:val="26CB40ED"/>
    <w:rsid w:val="26D1FBDC"/>
    <w:rsid w:val="26D5943E"/>
    <w:rsid w:val="26DEC0AB"/>
    <w:rsid w:val="26E5A7CB"/>
    <w:rsid w:val="26E6C705"/>
    <w:rsid w:val="26EE8C73"/>
    <w:rsid w:val="26EE9A9A"/>
    <w:rsid w:val="26FA2CA0"/>
    <w:rsid w:val="26FCA6B5"/>
    <w:rsid w:val="2700533F"/>
    <w:rsid w:val="27083B32"/>
    <w:rsid w:val="270D2444"/>
    <w:rsid w:val="270EC0EC"/>
    <w:rsid w:val="270F1218"/>
    <w:rsid w:val="2714365A"/>
    <w:rsid w:val="271A514A"/>
    <w:rsid w:val="271DC297"/>
    <w:rsid w:val="271DD4AF"/>
    <w:rsid w:val="272A2DC5"/>
    <w:rsid w:val="272BAAA3"/>
    <w:rsid w:val="272BBF78"/>
    <w:rsid w:val="272BE073"/>
    <w:rsid w:val="273259B9"/>
    <w:rsid w:val="27342267"/>
    <w:rsid w:val="2735A793"/>
    <w:rsid w:val="2739ABCD"/>
    <w:rsid w:val="273BEB38"/>
    <w:rsid w:val="273E43CE"/>
    <w:rsid w:val="2748D478"/>
    <w:rsid w:val="274E6A86"/>
    <w:rsid w:val="274E6DDA"/>
    <w:rsid w:val="274E72B5"/>
    <w:rsid w:val="275A6675"/>
    <w:rsid w:val="27605D92"/>
    <w:rsid w:val="2764F5C3"/>
    <w:rsid w:val="27656788"/>
    <w:rsid w:val="27730C1C"/>
    <w:rsid w:val="277D06D8"/>
    <w:rsid w:val="277E64BD"/>
    <w:rsid w:val="2781DC04"/>
    <w:rsid w:val="27827600"/>
    <w:rsid w:val="278881B8"/>
    <w:rsid w:val="278F7151"/>
    <w:rsid w:val="27904B62"/>
    <w:rsid w:val="279262A7"/>
    <w:rsid w:val="2795F4FF"/>
    <w:rsid w:val="27982E44"/>
    <w:rsid w:val="27A48A02"/>
    <w:rsid w:val="27ABCC88"/>
    <w:rsid w:val="27B1D09E"/>
    <w:rsid w:val="27B38103"/>
    <w:rsid w:val="27D30596"/>
    <w:rsid w:val="27DB6DD1"/>
    <w:rsid w:val="27DD6A23"/>
    <w:rsid w:val="27DF61B3"/>
    <w:rsid w:val="27E0E913"/>
    <w:rsid w:val="27E40CAE"/>
    <w:rsid w:val="27E9E96F"/>
    <w:rsid w:val="27EEEB7D"/>
    <w:rsid w:val="27F2F5DC"/>
    <w:rsid w:val="27F443E8"/>
    <w:rsid w:val="27F64CE9"/>
    <w:rsid w:val="27F86853"/>
    <w:rsid w:val="27FA1EA9"/>
    <w:rsid w:val="28068A81"/>
    <w:rsid w:val="2807D48F"/>
    <w:rsid w:val="280B030B"/>
    <w:rsid w:val="28120803"/>
    <w:rsid w:val="2813629F"/>
    <w:rsid w:val="2814AA03"/>
    <w:rsid w:val="2819B96D"/>
    <w:rsid w:val="281A081F"/>
    <w:rsid w:val="281AD2BB"/>
    <w:rsid w:val="281C5CE4"/>
    <w:rsid w:val="283132A2"/>
    <w:rsid w:val="2832DF77"/>
    <w:rsid w:val="283DF872"/>
    <w:rsid w:val="283EB539"/>
    <w:rsid w:val="2849500F"/>
    <w:rsid w:val="2851E28C"/>
    <w:rsid w:val="285A74EB"/>
    <w:rsid w:val="286690EE"/>
    <w:rsid w:val="2868E4DA"/>
    <w:rsid w:val="286B14F8"/>
    <w:rsid w:val="286B4C95"/>
    <w:rsid w:val="286C69BE"/>
    <w:rsid w:val="286EE3B9"/>
    <w:rsid w:val="28730CAD"/>
    <w:rsid w:val="2876752F"/>
    <w:rsid w:val="2881C697"/>
    <w:rsid w:val="28864A94"/>
    <w:rsid w:val="28881939"/>
    <w:rsid w:val="288BA57E"/>
    <w:rsid w:val="2890E70A"/>
    <w:rsid w:val="289995FA"/>
    <w:rsid w:val="2899F2DC"/>
    <w:rsid w:val="289FF731"/>
    <w:rsid w:val="28A489D1"/>
    <w:rsid w:val="28A731CE"/>
    <w:rsid w:val="28AAFB3C"/>
    <w:rsid w:val="28ADCE07"/>
    <w:rsid w:val="28AEB3A3"/>
    <w:rsid w:val="28B10A11"/>
    <w:rsid w:val="28B9197A"/>
    <w:rsid w:val="28B99D8E"/>
    <w:rsid w:val="28BB4C14"/>
    <w:rsid w:val="28BB6DF9"/>
    <w:rsid w:val="28BF7195"/>
    <w:rsid w:val="28C002B4"/>
    <w:rsid w:val="28C090C9"/>
    <w:rsid w:val="28C467FF"/>
    <w:rsid w:val="28CA7090"/>
    <w:rsid w:val="28CCA716"/>
    <w:rsid w:val="28D9A375"/>
    <w:rsid w:val="28DAB1F2"/>
    <w:rsid w:val="28DCB17E"/>
    <w:rsid w:val="28E83420"/>
    <w:rsid w:val="28EC4377"/>
    <w:rsid w:val="28F4A26A"/>
    <w:rsid w:val="28F876FF"/>
    <w:rsid w:val="2901A9F3"/>
    <w:rsid w:val="2901B640"/>
    <w:rsid w:val="29080FBD"/>
    <w:rsid w:val="290AA7F0"/>
    <w:rsid w:val="290D5F36"/>
    <w:rsid w:val="291102BC"/>
    <w:rsid w:val="29235814"/>
    <w:rsid w:val="2930385A"/>
    <w:rsid w:val="2931BA89"/>
    <w:rsid w:val="293399E9"/>
    <w:rsid w:val="2936CAD7"/>
    <w:rsid w:val="293B6D0D"/>
    <w:rsid w:val="293C3D73"/>
    <w:rsid w:val="29570ECA"/>
    <w:rsid w:val="2958026B"/>
    <w:rsid w:val="295FC1BF"/>
    <w:rsid w:val="29609CFD"/>
    <w:rsid w:val="296419E9"/>
    <w:rsid w:val="2968702A"/>
    <w:rsid w:val="296C3024"/>
    <w:rsid w:val="2975A2AF"/>
    <w:rsid w:val="2976DC0E"/>
    <w:rsid w:val="2980091C"/>
    <w:rsid w:val="29878960"/>
    <w:rsid w:val="298C62E1"/>
    <w:rsid w:val="29924B84"/>
    <w:rsid w:val="2996910D"/>
    <w:rsid w:val="2996C504"/>
    <w:rsid w:val="29981A7F"/>
    <w:rsid w:val="29994C1A"/>
    <w:rsid w:val="299A8EBF"/>
    <w:rsid w:val="29A52B95"/>
    <w:rsid w:val="29A69E7B"/>
    <w:rsid w:val="29A90079"/>
    <w:rsid w:val="29ABFC39"/>
    <w:rsid w:val="29B3713A"/>
    <w:rsid w:val="29BAE34E"/>
    <w:rsid w:val="29C85B86"/>
    <w:rsid w:val="29CA355E"/>
    <w:rsid w:val="29CAECA0"/>
    <w:rsid w:val="29CBF262"/>
    <w:rsid w:val="29DB7BD8"/>
    <w:rsid w:val="29DCA3BF"/>
    <w:rsid w:val="29E0E142"/>
    <w:rsid w:val="29E421A9"/>
    <w:rsid w:val="29E60DEF"/>
    <w:rsid w:val="29E7394A"/>
    <w:rsid w:val="29FA1935"/>
    <w:rsid w:val="29FA45F6"/>
    <w:rsid w:val="29FF3299"/>
    <w:rsid w:val="29FF703B"/>
    <w:rsid w:val="2A06FB6D"/>
    <w:rsid w:val="2A0A9E9C"/>
    <w:rsid w:val="2A0F41C1"/>
    <w:rsid w:val="2A133913"/>
    <w:rsid w:val="2A18D748"/>
    <w:rsid w:val="2A1E8204"/>
    <w:rsid w:val="2A1F0D6B"/>
    <w:rsid w:val="2A26FF74"/>
    <w:rsid w:val="2A38F213"/>
    <w:rsid w:val="2A3958CB"/>
    <w:rsid w:val="2A3CF300"/>
    <w:rsid w:val="2A3D30EE"/>
    <w:rsid w:val="2A3DDD89"/>
    <w:rsid w:val="2A3F5D1A"/>
    <w:rsid w:val="2A415BE0"/>
    <w:rsid w:val="2A42EA25"/>
    <w:rsid w:val="2A436D2E"/>
    <w:rsid w:val="2A47F55E"/>
    <w:rsid w:val="2A4C3C63"/>
    <w:rsid w:val="2A4EA06C"/>
    <w:rsid w:val="2A564958"/>
    <w:rsid w:val="2A59377C"/>
    <w:rsid w:val="2A5FAD17"/>
    <w:rsid w:val="2A61631F"/>
    <w:rsid w:val="2A66E466"/>
    <w:rsid w:val="2A6A80F8"/>
    <w:rsid w:val="2A70FB83"/>
    <w:rsid w:val="2A7BAB9C"/>
    <w:rsid w:val="2A7DC155"/>
    <w:rsid w:val="2A81EDDB"/>
    <w:rsid w:val="2A827FD0"/>
    <w:rsid w:val="2A8BE67E"/>
    <w:rsid w:val="2A8F325C"/>
    <w:rsid w:val="2A90F006"/>
    <w:rsid w:val="2A955A4D"/>
    <w:rsid w:val="2A962D72"/>
    <w:rsid w:val="2A990CFA"/>
    <w:rsid w:val="2AA2EA4F"/>
    <w:rsid w:val="2AA6659D"/>
    <w:rsid w:val="2AA8AED1"/>
    <w:rsid w:val="2AA9FA0D"/>
    <w:rsid w:val="2AB0BF8A"/>
    <w:rsid w:val="2AB218E6"/>
    <w:rsid w:val="2AC1306C"/>
    <w:rsid w:val="2AC59E34"/>
    <w:rsid w:val="2AC68B57"/>
    <w:rsid w:val="2AD00365"/>
    <w:rsid w:val="2AD0BF23"/>
    <w:rsid w:val="2AD2C99F"/>
    <w:rsid w:val="2AD5A9CB"/>
    <w:rsid w:val="2AD6DA0B"/>
    <w:rsid w:val="2ADF55E9"/>
    <w:rsid w:val="2AEB82A4"/>
    <w:rsid w:val="2AEE1617"/>
    <w:rsid w:val="2AEE5915"/>
    <w:rsid w:val="2AF83374"/>
    <w:rsid w:val="2AFC11CC"/>
    <w:rsid w:val="2B005E91"/>
    <w:rsid w:val="2B0208A7"/>
    <w:rsid w:val="2B021ED9"/>
    <w:rsid w:val="2B041A06"/>
    <w:rsid w:val="2B077BAD"/>
    <w:rsid w:val="2B0A18C0"/>
    <w:rsid w:val="2B0CA386"/>
    <w:rsid w:val="2B1CF540"/>
    <w:rsid w:val="2B1E47D5"/>
    <w:rsid w:val="2B1E9942"/>
    <w:rsid w:val="2B261FEE"/>
    <w:rsid w:val="2B332177"/>
    <w:rsid w:val="2B37BA11"/>
    <w:rsid w:val="2B3E30C0"/>
    <w:rsid w:val="2B43A536"/>
    <w:rsid w:val="2B4667CC"/>
    <w:rsid w:val="2B4DF21B"/>
    <w:rsid w:val="2B542B28"/>
    <w:rsid w:val="2B572F2D"/>
    <w:rsid w:val="2B5B4649"/>
    <w:rsid w:val="2B69CD1E"/>
    <w:rsid w:val="2B6A64E9"/>
    <w:rsid w:val="2B87D3A2"/>
    <w:rsid w:val="2B975D36"/>
    <w:rsid w:val="2B9960DF"/>
    <w:rsid w:val="2BA6A66B"/>
    <w:rsid w:val="2BB00F47"/>
    <w:rsid w:val="2BB3E382"/>
    <w:rsid w:val="2BC0374F"/>
    <w:rsid w:val="2BC74111"/>
    <w:rsid w:val="2BCD3787"/>
    <w:rsid w:val="2BCE0C79"/>
    <w:rsid w:val="2BCE37A9"/>
    <w:rsid w:val="2BD0F18D"/>
    <w:rsid w:val="2BD44131"/>
    <w:rsid w:val="2BD45BD2"/>
    <w:rsid w:val="2BE77786"/>
    <w:rsid w:val="2BEBC622"/>
    <w:rsid w:val="2BEBCCAB"/>
    <w:rsid w:val="2BF2DEE9"/>
    <w:rsid w:val="2BF5B79D"/>
    <w:rsid w:val="2BFAC568"/>
    <w:rsid w:val="2C03F265"/>
    <w:rsid w:val="2C07AD1A"/>
    <w:rsid w:val="2C086883"/>
    <w:rsid w:val="2C0CD6C5"/>
    <w:rsid w:val="2C126469"/>
    <w:rsid w:val="2C12B121"/>
    <w:rsid w:val="2C156365"/>
    <w:rsid w:val="2C186C03"/>
    <w:rsid w:val="2C1B96F2"/>
    <w:rsid w:val="2C1BD00A"/>
    <w:rsid w:val="2C1CFD73"/>
    <w:rsid w:val="2C209BB9"/>
    <w:rsid w:val="2C25BB6F"/>
    <w:rsid w:val="2C2F28D3"/>
    <w:rsid w:val="2C335CF0"/>
    <w:rsid w:val="2C35ED86"/>
    <w:rsid w:val="2C399313"/>
    <w:rsid w:val="2C3F152E"/>
    <w:rsid w:val="2C41425C"/>
    <w:rsid w:val="2C422DD2"/>
    <w:rsid w:val="2C44A55E"/>
    <w:rsid w:val="2C46F1ED"/>
    <w:rsid w:val="2C478D62"/>
    <w:rsid w:val="2C4A9376"/>
    <w:rsid w:val="2C4CE360"/>
    <w:rsid w:val="2C4E1EC7"/>
    <w:rsid w:val="2C4F2368"/>
    <w:rsid w:val="2C55C995"/>
    <w:rsid w:val="2C59DFB8"/>
    <w:rsid w:val="2C600265"/>
    <w:rsid w:val="2C640E76"/>
    <w:rsid w:val="2C645BE8"/>
    <w:rsid w:val="2C6C6226"/>
    <w:rsid w:val="2C7B3682"/>
    <w:rsid w:val="2C7E02D5"/>
    <w:rsid w:val="2C8B28DB"/>
    <w:rsid w:val="2C8C5102"/>
    <w:rsid w:val="2C906AD7"/>
    <w:rsid w:val="2C98A079"/>
    <w:rsid w:val="2C996F4F"/>
    <w:rsid w:val="2C9CC892"/>
    <w:rsid w:val="2C9DFA3A"/>
    <w:rsid w:val="2CA09CDE"/>
    <w:rsid w:val="2CA33267"/>
    <w:rsid w:val="2CA59B72"/>
    <w:rsid w:val="2CA85F47"/>
    <w:rsid w:val="2CADB92E"/>
    <w:rsid w:val="2CAF0217"/>
    <w:rsid w:val="2CB1351E"/>
    <w:rsid w:val="2CBDDED2"/>
    <w:rsid w:val="2CC080C7"/>
    <w:rsid w:val="2CC56350"/>
    <w:rsid w:val="2CCB9599"/>
    <w:rsid w:val="2CD0A093"/>
    <w:rsid w:val="2CDD5F32"/>
    <w:rsid w:val="2CE41631"/>
    <w:rsid w:val="2CEE7533"/>
    <w:rsid w:val="2CF9491F"/>
    <w:rsid w:val="2CF9EF41"/>
    <w:rsid w:val="2CFD9409"/>
    <w:rsid w:val="2D021CDB"/>
    <w:rsid w:val="2D0647D3"/>
    <w:rsid w:val="2D0904B1"/>
    <w:rsid w:val="2D0AC9C4"/>
    <w:rsid w:val="2D0B31D6"/>
    <w:rsid w:val="2D15BD61"/>
    <w:rsid w:val="2D1D44C9"/>
    <w:rsid w:val="2D28FE69"/>
    <w:rsid w:val="2D2AB527"/>
    <w:rsid w:val="2D30A413"/>
    <w:rsid w:val="2D32459E"/>
    <w:rsid w:val="2D3792F4"/>
    <w:rsid w:val="2D3862B6"/>
    <w:rsid w:val="2D3BA387"/>
    <w:rsid w:val="2D40CA45"/>
    <w:rsid w:val="2D467000"/>
    <w:rsid w:val="2D49AFAD"/>
    <w:rsid w:val="2D4A2724"/>
    <w:rsid w:val="2D5B0BC1"/>
    <w:rsid w:val="2D65BEB8"/>
    <w:rsid w:val="2D69DE2F"/>
    <w:rsid w:val="2D6A1D46"/>
    <w:rsid w:val="2D6A3620"/>
    <w:rsid w:val="2D74FAFE"/>
    <w:rsid w:val="2D76B8CA"/>
    <w:rsid w:val="2D7EA2ED"/>
    <w:rsid w:val="2D864BA8"/>
    <w:rsid w:val="2D870E6C"/>
    <w:rsid w:val="2D8880CB"/>
    <w:rsid w:val="2D904630"/>
    <w:rsid w:val="2D914CFB"/>
    <w:rsid w:val="2D9AB74D"/>
    <w:rsid w:val="2DAA7F3E"/>
    <w:rsid w:val="2DAD7147"/>
    <w:rsid w:val="2DB56103"/>
    <w:rsid w:val="2DBE817F"/>
    <w:rsid w:val="2DD27A64"/>
    <w:rsid w:val="2DD793E1"/>
    <w:rsid w:val="2DD952E9"/>
    <w:rsid w:val="2DD9864A"/>
    <w:rsid w:val="2DDA88E9"/>
    <w:rsid w:val="2DE02BF8"/>
    <w:rsid w:val="2DE8993D"/>
    <w:rsid w:val="2DEF4D48"/>
    <w:rsid w:val="2DF256FD"/>
    <w:rsid w:val="2E00AD0B"/>
    <w:rsid w:val="2E031763"/>
    <w:rsid w:val="2E088E6F"/>
    <w:rsid w:val="2E0DA89C"/>
    <w:rsid w:val="2E116322"/>
    <w:rsid w:val="2E12A131"/>
    <w:rsid w:val="2E12DF48"/>
    <w:rsid w:val="2E13BD40"/>
    <w:rsid w:val="2E1911D8"/>
    <w:rsid w:val="2E1942D1"/>
    <w:rsid w:val="2E1D4310"/>
    <w:rsid w:val="2E224923"/>
    <w:rsid w:val="2E28999F"/>
    <w:rsid w:val="2E2C4BEF"/>
    <w:rsid w:val="2E2E072D"/>
    <w:rsid w:val="2E337D22"/>
    <w:rsid w:val="2E3C2DF0"/>
    <w:rsid w:val="2E406A99"/>
    <w:rsid w:val="2E54B216"/>
    <w:rsid w:val="2E55D37D"/>
    <w:rsid w:val="2E55EB66"/>
    <w:rsid w:val="2E5699F7"/>
    <w:rsid w:val="2E57C179"/>
    <w:rsid w:val="2E5C3434"/>
    <w:rsid w:val="2E5F4298"/>
    <w:rsid w:val="2E5F8CFF"/>
    <w:rsid w:val="2E617F64"/>
    <w:rsid w:val="2E63F29B"/>
    <w:rsid w:val="2E68267A"/>
    <w:rsid w:val="2E6C4C15"/>
    <w:rsid w:val="2E6DE903"/>
    <w:rsid w:val="2E7318FF"/>
    <w:rsid w:val="2E74E200"/>
    <w:rsid w:val="2E75C03B"/>
    <w:rsid w:val="2E7A8B7F"/>
    <w:rsid w:val="2E86FF9C"/>
    <w:rsid w:val="2E929E28"/>
    <w:rsid w:val="2E963318"/>
    <w:rsid w:val="2E96EA71"/>
    <w:rsid w:val="2E986452"/>
    <w:rsid w:val="2E998052"/>
    <w:rsid w:val="2E9DC247"/>
    <w:rsid w:val="2E9EE939"/>
    <w:rsid w:val="2EAD3241"/>
    <w:rsid w:val="2EB0D385"/>
    <w:rsid w:val="2EB21B4F"/>
    <w:rsid w:val="2EB35BE4"/>
    <w:rsid w:val="2EB5525C"/>
    <w:rsid w:val="2EB5B8FB"/>
    <w:rsid w:val="2EBB20E0"/>
    <w:rsid w:val="2EC07A4C"/>
    <w:rsid w:val="2EC764BC"/>
    <w:rsid w:val="2ECAAFA6"/>
    <w:rsid w:val="2ECAC40A"/>
    <w:rsid w:val="2ECED94D"/>
    <w:rsid w:val="2EE17DAB"/>
    <w:rsid w:val="2EE46FB1"/>
    <w:rsid w:val="2EE4ADE0"/>
    <w:rsid w:val="2EE5BE8A"/>
    <w:rsid w:val="2EEA178A"/>
    <w:rsid w:val="2EEB0A88"/>
    <w:rsid w:val="2EEB6A79"/>
    <w:rsid w:val="2EECABBE"/>
    <w:rsid w:val="2EF0F4E2"/>
    <w:rsid w:val="2EF1831F"/>
    <w:rsid w:val="2EF5A641"/>
    <w:rsid w:val="2EF8A974"/>
    <w:rsid w:val="2EFAAF77"/>
    <w:rsid w:val="2EFBEECD"/>
    <w:rsid w:val="2EFD9915"/>
    <w:rsid w:val="2EFE819F"/>
    <w:rsid w:val="2F0309D0"/>
    <w:rsid w:val="2F06B4B4"/>
    <w:rsid w:val="2F06ECEF"/>
    <w:rsid w:val="2F0928CD"/>
    <w:rsid w:val="2F203237"/>
    <w:rsid w:val="2F222721"/>
    <w:rsid w:val="2F235E49"/>
    <w:rsid w:val="2F29126A"/>
    <w:rsid w:val="2F2D2D60"/>
    <w:rsid w:val="2F35E5C9"/>
    <w:rsid w:val="2F3BD068"/>
    <w:rsid w:val="2F3D6969"/>
    <w:rsid w:val="2F40125B"/>
    <w:rsid w:val="2F46BFDA"/>
    <w:rsid w:val="2F49C8F1"/>
    <w:rsid w:val="2F4B3F8B"/>
    <w:rsid w:val="2F4D0124"/>
    <w:rsid w:val="2F50E06F"/>
    <w:rsid w:val="2F553A95"/>
    <w:rsid w:val="2F57BE9E"/>
    <w:rsid w:val="2F58135D"/>
    <w:rsid w:val="2F6368F4"/>
    <w:rsid w:val="2F6F3DF1"/>
    <w:rsid w:val="2F72D346"/>
    <w:rsid w:val="2F7ADE65"/>
    <w:rsid w:val="2F8582E6"/>
    <w:rsid w:val="2F886F37"/>
    <w:rsid w:val="2F9A6A66"/>
    <w:rsid w:val="2F9AFC3D"/>
    <w:rsid w:val="2FA0E613"/>
    <w:rsid w:val="2FA6D73F"/>
    <w:rsid w:val="2FA73699"/>
    <w:rsid w:val="2FAC8F37"/>
    <w:rsid w:val="2FB6C224"/>
    <w:rsid w:val="2FBE4BDD"/>
    <w:rsid w:val="2FC730F5"/>
    <w:rsid w:val="2FCA94CB"/>
    <w:rsid w:val="2FCAC7C8"/>
    <w:rsid w:val="2FD12FAD"/>
    <w:rsid w:val="2FD43E84"/>
    <w:rsid w:val="2FD8E0F5"/>
    <w:rsid w:val="2FDB6161"/>
    <w:rsid w:val="2FDCD781"/>
    <w:rsid w:val="2FE5F831"/>
    <w:rsid w:val="2FECB307"/>
    <w:rsid w:val="2FED0962"/>
    <w:rsid w:val="2FF02C48"/>
    <w:rsid w:val="2FF185C4"/>
    <w:rsid w:val="2FF33734"/>
    <w:rsid w:val="2FF790A8"/>
    <w:rsid w:val="2FF858C6"/>
    <w:rsid w:val="3000A6DA"/>
    <w:rsid w:val="30054DD3"/>
    <w:rsid w:val="30094719"/>
    <w:rsid w:val="300B0369"/>
    <w:rsid w:val="300DDE90"/>
    <w:rsid w:val="30125593"/>
    <w:rsid w:val="301598B6"/>
    <w:rsid w:val="301CC762"/>
    <w:rsid w:val="30310E33"/>
    <w:rsid w:val="303DDAD3"/>
    <w:rsid w:val="303EC204"/>
    <w:rsid w:val="3040587F"/>
    <w:rsid w:val="30470FDB"/>
    <w:rsid w:val="304AD7A5"/>
    <w:rsid w:val="304B3AAC"/>
    <w:rsid w:val="304D9882"/>
    <w:rsid w:val="30500C91"/>
    <w:rsid w:val="30560579"/>
    <w:rsid w:val="305A6128"/>
    <w:rsid w:val="3060636C"/>
    <w:rsid w:val="3067B1C0"/>
    <w:rsid w:val="307500A4"/>
    <w:rsid w:val="3077E405"/>
    <w:rsid w:val="30895FC1"/>
    <w:rsid w:val="3090FFA3"/>
    <w:rsid w:val="3091DC95"/>
    <w:rsid w:val="3097C1BE"/>
    <w:rsid w:val="3098C2E9"/>
    <w:rsid w:val="309F3232"/>
    <w:rsid w:val="30A00F17"/>
    <w:rsid w:val="30A43BCC"/>
    <w:rsid w:val="30AB02FD"/>
    <w:rsid w:val="30C72940"/>
    <w:rsid w:val="30D10152"/>
    <w:rsid w:val="30D843D5"/>
    <w:rsid w:val="30E2B741"/>
    <w:rsid w:val="30E495E1"/>
    <w:rsid w:val="30EC993E"/>
    <w:rsid w:val="30EF1C3F"/>
    <w:rsid w:val="30F0B06C"/>
    <w:rsid w:val="30F36A62"/>
    <w:rsid w:val="30F98148"/>
    <w:rsid w:val="30FBD37C"/>
    <w:rsid w:val="3108F66B"/>
    <w:rsid w:val="310A3E0A"/>
    <w:rsid w:val="310BF6EA"/>
    <w:rsid w:val="311313A4"/>
    <w:rsid w:val="31153211"/>
    <w:rsid w:val="311EC1E0"/>
    <w:rsid w:val="311F0C1E"/>
    <w:rsid w:val="3127DFE3"/>
    <w:rsid w:val="31283D49"/>
    <w:rsid w:val="312B8ABB"/>
    <w:rsid w:val="312F4290"/>
    <w:rsid w:val="31373254"/>
    <w:rsid w:val="313747D3"/>
    <w:rsid w:val="313A8FFE"/>
    <w:rsid w:val="313AADBF"/>
    <w:rsid w:val="313DF6BF"/>
    <w:rsid w:val="313F520F"/>
    <w:rsid w:val="3146A737"/>
    <w:rsid w:val="3146CFA4"/>
    <w:rsid w:val="31487C88"/>
    <w:rsid w:val="31494C6F"/>
    <w:rsid w:val="3154A4BC"/>
    <w:rsid w:val="315EE4DF"/>
    <w:rsid w:val="31700B58"/>
    <w:rsid w:val="31777B54"/>
    <w:rsid w:val="31784C6C"/>
    <w:rsid w:val="3189821C"/>
    <w:rsid w:val="3193094D"/>
    <w:rsid w:val="3193E7DC"/>
    <w:rsid w:val="3197B38C"/>
    <w:rsid w:val="3197D153"/>
    <w:rsid w:val="31989D90"/>
    <w:rsid w:val="319ABA9E"/>
    <w:rsid w:val="31A51FA9"/>
    <w:rsid w:val="31A8AB59"/>
    <w:rsid w:val="31AC5DB7"/>
    <w:rsid w:val="31B28D31"/>
    <w:rsid w:val="31B883BF"/>
    <w:rsid w:val="31B94DF0"/>
    <w:rsid w:val="31BE0D2A"/>
    <w:rsid w:val="31C04BEF"/>
    <w:rsid w:val="31C8F77E"/>
    <w:rsid w:val="31C9B6B6"/>
    <w:rsid w:val="31DBE0A8"/>
    <w:rsid w:val="31DDF339"/>
    <w:rsid w:val="31E3B37A"/>
    <w:rsid w:val="31E563BA"/>
    <w:rsid w:val="31EA0A43"/>
    <w:rsid w:val="31F17A7B"/>
    <w:rsid w:val="31F32379"/>
    <w:rsid w:val="31FD27BF"/>
    <w:rsid w:val="320090D4"/>
    <w:rsid w:val="320B711E"/>
    <w:rsid w:val="320C991C"/>
    <w:rsid w:val="32103D32"/>
    <w:rsid w:val="321200C8"/>
    <w:rsid w:val="32129E8B"/>
    <w:rsid w:val="32144686"/>
    <w:rsid w:val="32158DDB"/>
    <w:rsid w:val="3219580A"/>
    <w:rsid w:val="321FFDA2"/>
    <w:rsid w:val="322193A0"/>
    <w:rsid w:val="3225130F"/>
    <w:rsid w:val="32287A4E"/>
    <w:rsid w:val="3229AEE5"/>
    <w:rsid w:val="322EA8E0"/>
    <w:rsid w:val="322FC3CC"/>
    <w:rsid w:val="32373186"/>
    <w:rsid w:val="32375FEA"/>
    <w:rsid w:val="323D88FA"/>
    <w:rsid w:val="324A9642"/>
    <w:rsid w:val="32504DA9"/>
    <w:rsid w:val="32581291"/>
    <w:rsid w:val="325B4EA2"/>
    <w:rsid w:val="325C3D76"/>
    <w:rsid w:val="325E4839"/>
    <w:rsid w:val="325F5971"/>
    <w:rsid w:val="32604BE6"/>
    <w:rsid w:val="3269A7F8"/>
    <w:rsid w:val="326C9F81"/>
    <w:rsid w:val="326D46A4"/>
    <w:rsid w:val="326D66BD"/>
    <w:rsid w:val="32718411"/>
    <w:rsid w:val="327AFD75"/>
    <w:rsid w:val="327D2D99"/>
    <w:rsid w:val="3280E955"/>
    <w:rsid w:val="3287DAF4"/>
    <w:rsid w:val="328DC94C"/>
    <w:rsid w:val="329F5FA0"/>
    <w:rsid w:val="32A6966B"/>
    <w:rsid w:val="32A9093D"/>
    <w:rsid w:val="32B4F3ED"/>
    <w:rsid w:val="32C8CF20"/>
    <w:rsid w:val="32CA5D79"/>
    <w:rsid w:val="32CD9BAE"/>
    <w:rsid w:val="32D0E7B4"/>
    <w:rsid w:val="32D5C272"/>
    <w:rsid w:val="32DDD442"/>
    <w:rsid w:val="32E0052C"/>
    <w:rsid w:val="32F58843"/>
    <w:rsid w:val="32F69ABF"/>
    <w:rsid w:val="32F90110"/>
    <w:rsid w:val="32FFA4E3"/>
    <w:rsid w:val="3302B597"/>
    <w:rsid w:val="33092D95"/>
    <w:rsid w:val="330EEA3A"/>
    <w:rsid w:val="330F458C"/>
    <w:rsid w:val="33169629"/>
    <w:rsid w:val="3317AEA4"/>
    <w:rsid w:val="3319E339"/>
    <w:rsid w:val="331B9EFB"/>
    <w:rsid w:val="331C5F36"/>
    <w:rsid w:val="331E1544"/>
    <w:rsid w:val="332BD800"/>
    <w:rsid w:val="3334D1B2"/>
    <w:rsid w:val="33402F63"/>
    <w:rsid w:val="3340A2EF"/>
    <w:rsid w:val="3348E64C"/>
    <w:rsid w:val="334A4591"/>
    <w:rsid w:val="334DFA4D"/>
    <w:rsid w:val="334F96DE"/>
    <w:rsid w:val="335CD6AA"/>
    <w:rsid w:val="33628BB9"/>
    <w:rsid w:val="3363DC5F"/>
    <w:rsid w:val="336849AC"/>
    <w:rsid w:val="3371657E"/>
    <w:rsid w:val="337FF0D1"/>
    <w:rsid w:val="338143E0"/>
    <w:rsid w:val="3381EDAA"/>
    <w:rsid w:val="338E1F7C"/>
    <w:rsid w:val="3393C2B6"/>
    <w:rsid w:val="339C8B59"/>
    <w:rsid w:val="339CA7A4"/>
    <w:rsid w:val="339E5C10"/>
    <w:rsid w:val="339F3161"/>
    <w:rsid w:val="33A597C9"/>
    <w:rsid w:val="33A9D087"/>
    <w:rsid w:val="33B10162"/>
    <w:rsid w:val="33B4714C"/>
    <w:rsid w:val="33B5B5A9"/>
    <w:rsid w:val="33BA46FC"/>
    <w:rsid w:val="33BA7883"/>
    <w:rsid w:val="33BC9E80"/>
    <w:rsid w:val="33C00CBF"/>
    <w:rsid w:val="33C05B83"/>
    <w:rsid w:val="33C08832"/>
    <w:rsid w:val="33C1B777"/>
    <w:rsid w:val="33C5964B"/>
    <w:rsid w:val="33C86A23"/>
    <w:rsid w:val="33D9F675"/>
    <w:rsid w:val="33E00097"/>
    <w:rsid w:val="33E15CBC"/>
    <w:rsid w:val="33ECCB6E"/>
    <w:rsid w:val="33F2B75B"/>
    <w:rsid w:val="33FB53FD"/>
    <w:rsid w:val="33FBB9E3"/>
    <w:rsid w:val="33FCD9EA"/>
    <w:rsid w:val="340174BC"/>
    <w:rsid w:val="3405177F"/>
    <w:rsid w:val="34084E60"/>
    <w:rsid w:val="3409F846"/>
    <w:rsid w:val="340D99A0"/>
    <w:rsid w:val="340F5609"/>
    <w:rsid w:val="34121298"/>
    <w:rsid w:val="341FDE00"/>
    <w:rsid w:val="3432A0EF"/>
    <w:rsid w:val="34494F68"/>
    <w:rsid w:val="344B7A01"/>
    <w:rsid w:val="344BA1D1"/>
    <w:rsid w:val="344DE1AB"/>
    <w:rsid w:val="344F3634"/>
    <w:rsid w:val="34563D5C"/>
    <w:rsid w:val="3456D8B3"/>
    <w:rsid w:val="345B252E"/>
    <w:rsid w:val="346EE8D7"/>
    <w:rsid w:val="346FB1B2"/>
    <w:rsid w:val="34702FBB"/>
    <w:rsid w:val="347382BB"/>
    <w:rsid w:val="347B3FB5"/>
    <w:rsid w:val="348194DF"/>
    <w:rsid w:val="34838271"/>
    <w:rsid w:val="3487CC07"/>
    <w:rsid w:val="348F83F2"/>
    <w:rsid w:val="3495ECEA"/>
    <w:rsid w:val="34985495"/>
    <w:rsid w:val="349F57FD"/>
    <w:rsid w:val="349FBC22"/>
    <w:rsid w:val="34A04BBB"/>
    <w:rsid w:val="34A36AED"/>
    <w:rsid w:val="34A6A1DA"/>
    <w:rsid w:val="34B560DA"/>
    <w:rsid w:val="34BD9C90"/>
    <w:rsid w:val="34BE0D18"/>
    <w:rsid w:val="34C076F2"/>
    <w:rsid w:val="34C2D210"/>
    <w:rsid w:val="34CC48DC"/>
    <w:rsid w:val="34D292D6"/>
    <w:rsid w:val="34DAFF7E"/>
    <w:rsid w:val="34F15435"/>
    <w:rsid w:val="34F4251D"/>
    <w:rsid w:val="34F50CFE"/>
    <w:rsid w:val="34F5C0B4"/>
    <w:rsid w:val="35081DD7"/>
    <w:rsid w:val="35141821"/>
    <w:rsid w:val="35151947"/>
    <w:rsid w:val="351AF163"/>
    <w:rsid w:val="351E12B9"/>
    <w:rsid w:val="352819E3"/>
    <w:rsid w:val="3532F7D0"/>
    <w:rsid w:val="353AE238"/>
    <w:rsid w:val="353B9917"/>
    <w:rsid w:val="353D4B31"/>
    <w:rsid w:val="353E20BA"/>
    <w:rsid w:val="353EB684"/>
    <w:rsid w:val="3541A2E9"/>
    <w:rsid w:val="3542F166"/>
    <w:rsid w:val="3543E823"/>
    <w:rsid w:val="35488312"/>
    <w:rsid w:val="3548C79B"/>
    <w:rsid w:val="354AA5E5"/>
    <w:rsid w:val="354C545A"/>
    <w:rsid w:val="354FFA9B"/>
    <w:rsid w:val="355C0F26"/>
    <w:rsid w:val="3568EA96"/>
    <w:rsid w:val="356A9BF4"/>
    <w:rsid w:val="35775A79"/>
    <w:rsid w:val="357A6582"/>
    <w:rsid w:val="357AAB7D"/>
    <w:rsid w:val="3585EBE6"/>
    <w:rsid w:val="3586C6F3"/>
    <w:rsid w:val="358C6F28"/>
    <w:rsid w:val="35929575"/>
    <w:rsid w:val="35A205A7"/>
    <w:rsid w:val="35A32E14"/>
    <w:rsid w:val="35A468AD"/>
    <w:rsid w:val="35ACC6EE"/>
    <w:rsid w:val="35ACD2D5"/>
    <w:rsid w:val="35B16459"/>
    <w:rsid w:val="35B936E8"/>
    <w:rsid w:val="35BF0CB0"/>
    <w:rsid w:val="35BFFC5B"/>
    <w:rsid w:val="35CD6C79"/>
    <w:rsid w:val="35CF7475"/>
    <w:rsid w:val="35CFD2FA"/>
    <w:rsid w:val="35DED850"/>
    <w:rsid w:val="35DF16E8"/>
    <w:rsid w:val="35E555D0"/>
    <w:rsid w:val="35EDBBC9"/>
    <w:rsid w:val="35F8734B"/>
    <w:rsid w:val="35FA9256"/>
    <w:rsid w:val="35FA9DAA"/>
    <w:rsid w:val="35FBAC32"/>
    <w:rsid w:val="361350A7"/>
    <w:rsid w:val="36148D77"/>
    <w:rsid w:val="36168A60"/>
    <w:rsid w:val="362086A3"/>
    <w:rsid w:val="36235085"/>
    <w:rsid w:val="362B32E5"/>
    <w:rsid w:val="36335BE9"/>
    <w:rsid w:val="36368604"/>
    <w:rsid w:val="36498E5C"/>
    <w:rsid w:val="36506E59"/>
    <w:rsid w:val="3657D486"/>
    <w:rsid w:val="3658EE4F"/>
    <w:rsid w:val="3663D2D9"/>
    <w:rsid w:val="3665A3CE"/>
    <w:rsid w:val="36688B0C"/>
    <w:rsid w:val="3669D4C5"/>
    <w:rsid w:val="366C153C"/>
    <w:rsid w:val="366F8939"/>
    <w:rsid w:val="36731256"/>
    <w:rsid w:val="36745176"/>
    <w:rsid w:val="367FF071"/>
    <w:rsid w:val="36847443"/>
    <w:rsid w:val="3684E6F8"/>
    <w:rsid w:val="36852597"/>
    <w:rsid w:val="3685CE56"/>
    <w:rsid w:val="36891BA6"/>
    <w:rsid w:val="3689E2DF"/>
    <w:rsid w:val="3689FE6D"/>
    <w:rsid w:val="368A4C82"/>
    <w:rsid w:val="368E7C01"/>
    <w:rsid w:val="36944432"/>
    <w:rsid w:val="369814FD"/>
    <w:rsid w:val="369A2DDF"/>
    <w:rsid w:val="369B5ADD"/>
    <w:rsid w:val="369BC0CB"/>
    <w:rsid w:val="36A01EEE"/>
    <w:rsid w:val="36A2CC15"/>
    <w:rsid w:val="36A3B96F"/>
    <w:rsid w:val="36AB7DA0"/>
    <w:rsid w:val="36AEBAFD"/>
    <w:rsid w:val="36B46F76"/>
    <w:rsid w:val="36B5E8A7"/>
    <w:rsid w:val="36BC96B9"/>
    <w:rsid w:val="36C1D5F6"/>
    <w:rsid w:val="36CF175C"/>
    <w:rsid w:val="36CFFEAD"/>
    <w:rsid w:val="36D9F4E2"/>
    <w:rsid w:val="36E90FD7"/>
    <w:rsid w:val="36EB72F8"/>
    <w:rsid w:val="36F9654E"/>
    <w:rsid w:val="36FEAA2C"/>
    <w:rsid w:val="37003C62"/>
    <w:rsid w:val="37033707"/>
    <w:rsid w:val="3704FD20"/>
    <w:rsid w:val="37089673"/>
    <w:rsid w:val="370BFC78"/>
    <w:rsid w:val="370D08CF"/>
    <w:rsid w:val="370E8733"/>
    <w:rsid w:val="371AC643"/>
    <w:rsid w:val="371D567D"/>
    <w:rsid w:val="372AA0F5"/>
    <w:rsid w:val="37396DEB"/>
    <w:rsid w:val="373C1E2B"/>
    <w:rsid w:val="373C40A9"/>
    <w:rsid w:val="373D4371"/>
    <w:rsid w:val="373F589D"/>
    <w:rsid w:val="374C5B5A"/>
    <w:rsid w:val="374EF1BA"/>
    <w:rsid w:val="375DD5AA"/>
    <w:rsid w:val="37681672"/>
    <w:rsid w:val="376D4A44"/>
    <w:rsid w:val="376EE86C"/>
    <w:rsid w:val="3770FED0"/>
    <w:rsid w:val="37757388"/>
    <w:rsid w:val="377BB6EF"/>
    <w:rsid w:val="377D7DFB"/>
    <w:rsid w:val="377F193C"/>
    <w:rsid w:val="3780B0FD"/>
    <w:rsid w:val="3785E67D"/>
    <w:rsid w:val="3786CE67"/>
    <w:rsid w:val="378956F0"/>
    <w:rsid w:val="37916EA4"/>
    <w:rsid w:val="3793FB07"/>
    <w:rsid w:val="3795559A"/>
    <w:rsid w:val="3797CEEB"/>
    <w:rsid w:val="379D88D8"/>
    <w:rsid w:val="37A37F33"/>
    <w:rsid w:val="37A39A9A"/>
    <w:rsid w:val="37A574C0"/>
    <w:rsid w:val="37A842AC"/>
    <w:rsid w:val="37A92D2A"/>
    <w:rsid w:val="37A9BFF7"/>
    <w:rsid w:val="37AB3D34"/>
    <w:rsid w:val="37AED2F2"/>
    <w:rsid w:val="37B78CBA"/>
    <w:rsid w:val="37B99744"/>
    <w:rsid w:val="37BB7060"/>
    <w:rsid w:val="37BD2A18"/>
    <w:rsid w:val="37BFF6B2"/>
    <w:rsid w:val="37C61698"/>
    <w:rsid w:val="37C8931F"/>
    <w:rsid w:val="37D388AB"/>
    <w:rsid w:val="37D730B4"/>
    <w:rsid w:val="37DD1EFC"/>
    <w:rsid w:val="37EC6314"/>
    <w:rsid w:val="37F0F1F2"/>
    <w:rsid w:val="37F5782A"/>
    <w:rsid w:val="37FCC49D"/>
    <w:rsid w:val="37FD8B97"/>
    <w:rsid w:val="37FF32AC"/>
    <w:rsid w:val="3808B22E"/>
    <w:rsid w:val="38143C7C"/>
    <w:rsid w:val="3815D1C8"/>
    <w:rsid w:val="381673B0"/>
    <w:rsid w:val="3817D8A5"/>
    <w:rsid w:val="381BD077"/>
    <w:rsid w:val="381F6E25"/>
    <w:rsid w:val="3827B797"/>
    <w:rsid w:val="382D5EC5"/>
    <w:rsid w:val="382F97E8"/>
    <w:rsid w:val="383772D2"/>
    <w:rsid w:val="383880F6"/>
    <w:rsid w:val="383A90C0"/>
    <w:rsid w:val="383B5850"/>
    <w:rsid w:val="3841010B"/>
    <w:rsid w:val="3842956F"/>
    <w:rsid w:val="384348F9"/>
    <w:rsid w:val="384700E8"/>
    <w:rsid w:val="3847AAD1"/>
    <w:rsid w:val="38492471"/>
    <w:rsid w:val="3849A7D0"/>
    <w:rsid w:val="384A26EF"/>
    <w:rsid w:val="384C0248"/>
    <w:rsid w:val="384F5FDF"/>
    <w:rsid w:val="38513EBF"/>
    <w:rsid w:val="3855B008"/>
    <w:rsid w:val="385ADE93"/>
    <w:rsid w:val="385E3BE2"/>
    <w:rsid w:val="385F965B"/>
    <w:rsid w:val="38614531"/>
    <w:rsid w:val="38615DCE"/>
    <w:rsid w:val="38637AAD"/>
    <w:rsid w:val="3864C4FF"/>
    <w:rsid w:val="38656665"/>
    <w:rsid w:val="3869134E"/>
    <w:rsid w:val="386A2B4B"/>
    <w:rsid w:val="386BCC6A"/>
    <w:rsid w:val="3875DBD0"/>
    <w:rsid w:val="38811420"/>
    <w:rsid w:val="38822EC5"/>
    <w:rsid w:val="3888A0E3"/>
    <w:rsid w:val="389306C9"/>
    <w:rsid w:val="389BE9D3"/>
    <w:rsid w:val="389E493D"/>
    <w:rsid w:val="38B822DD"/>
    <w:rsid w:val="38B99018"/>
    <w:rsid w:val="38BA5CFD"/>
    <w:rsid w:val="38BE94AB"/>
    <w:rsid w:val="38C30254"/>
    <w:rsid w:val="38C3E70C"/>
    <w:rsid w:val="38C6AB53"/>
    <w:rsid w:val="38C8DCDC"/>
    <w:rsid w:val="38CAF400"/>
    <w:rsid w:val="38CF318D"/>
    <w:rsid w:val="38D6693F"/>
    <w:rsid w:val="38E66213"/>
    <w:rsid w:val="38E80090"/>
    <w:rsid w:val="38F1D50D"/>
    <w:rsid w:val="38F8ADF1"/>
    <w:rsid w:val="38FC20CB"/>
    <w:rsid w:val="390023B7"/>
    <w:rsid w:val="39088242"/>
    <w:rsid w:val="3908BB29"/>
    <w:rsid w:val="390939C7"/>
    <w:rsid w:val="390C3A36"/>
    <w:rsid w:val="390F9876"/>
    <w:rsid w:val="3916EA41"/>
    <w:rsid w:val="3918E2A7"/>
    <w:rsid w:val="3919B067"/>
    <w:rsid w:val="391E08C5"/>
    <w:rsid w:val="3921E901"/>
    <w:rsid w:val="392753E3"/>
    <w:rsid w:val="392DE94A"/>
    <w:rsid w:val="392DEACB"/>
    <w:rsid w:val="3930C634"/>
    <w:rsid w:val="39369328"/>
    <w:rsid w:val="3936B502"/>
    <w:rsid w:val="393D8C95"/>
    <w:rsid w:val="393E200C"/>
    <w:rsid w:val="39546841"/>
    <w:rsid w:val="3956DA20"/>
    <w:rsid w:val="395895B4"/>
    <w:rsid w:val="3966EE76"/>
    <w:rsid w:val="3969E003"/>
    <w:rsid w:val="396FA467"/>
    <w:rsid w:val="397A7690"/>
    <w:rsid w:val="397E753F"/>
    <w:rsid w:val="397EA449"/>
    <w:rsid w:val="398D6624"/>
    <w:rsid w:val="39977B66"/>
    <w:rsid w:val="3998858D"/>
    <w:rsid w:val="399B227A"/>
    <w:rsid w:val="399B7B4B"/>
    <w:rsid w:val="399F0804"/>
    <w:rsid w:val="399F6966"/>
    <w:rsid w:val="39A35249"/>
    <w:rsid w:val="39A4EE48"/>
    <w:rsid w:val="39A99389"/>
    <w:rsid w:val="39AE7C15"/>
    <w:rsid w:val="39B2C9E6"/>
    <w:rsid w:val="39BA273E"/>
    <w:rsid w:val="39BA863A"/>
    <w:rsid w:val="39C02E89"/>
    <w:rsid w:val="39C9F845"/>
    <w:rsid w:val="39DDD9B5"/>
    <w:rsid w:val="39F828FE"/>
    <w:rsid w:val="39F92035"/>
    <w:rsid w:val="39F9EC74"/>
    <w:rsid w:val="39FC90A6"/>
    <w:rsid w:val="3A05466F"/>
    <w:rsid w:val="3A0830B4"/>
    <w:rsid w:val="3A0A6299"/>
    <w:rsid w:val="3A0EE10C"/>
    <w:rsid w:val="3A10F3AA"/>
    <w:rsid w:val="3A122101"/>
    <w:rsid w:val="3A16E69D"/>
    <w:rsid w:val="3A1C86E7"/>
    <w:rsid w:val="3A22F9E0"/>
    <w:rsid w:val="3A2500A9"/>
    <w:rsid w:val="3A28FA47"/>
    <w:rsid w:val="3A2C25B3"/>
    <w:rsid w:val="3A36C212"/>
    <w:rsid w:val="3A39B456"/>
    <w:rsid w:val="3A452D37"/>
    <w:rsid w:val="3A48A8E3"/>
    <w:rsid w:val="3A4BA5B1"/>
    <w:rsid w:val="3A50BAE6"/>
    <w:rsid w:val="3A5AE69E"/>
    <w:rsid w:val="3A5AEF5E"/>
    <w:rsid w:val="3A5FB83F"/>
    <w:rsid w:val="3A66E5AD"/>
    <w:rsid w:val="3A72E0FF"/>
    <w:rsid w:val="3A74C16F"/>
    <w:rsid w:val="3A7A86C3"/>
    <w:rsid w:val="3A7BC337"/>
    <w:rsid w:val="3A80CFE2"/>
    <w:rsid w:val="3A85B66E"/>
    <w:rsid w:val="3A8AF7C7"/>
    <w:rsid w:val="3A8CE973"/>
    <w:rsid w:val="3A8E973A"/>
    <w:rsid w:val="3A955A26"/>
    <w:rsid w:val="3A9C76C4"/>
    <w:rsid w:val="3A9EA9E5"/>
    <w:rsid w:val="3AA1C8AE"/>
    <w:rsid w:val="3AAD97DF"/>
    <w:rsid w:val="3AB43C3F"/>
    <w:rsid w:val="3ABA64FE"/>
    <w:rsid w:val="3AC44610"/>
    <w:rsid w:val="3AC8EB2A"/>
    <w:rsid w:val="3ACB731C"/>
    <w:rsid w:val="3AD1C84F"/>
    <w:rsid w:val="3AD5F007"/>
    <w:rsid w:val="3ADA31F7"/>
    <w:rsid w:val="3AE3D8E8"/>
    <w:rsid w:val="3AE6DB95"/>
    <w:rsid w:val="3AE968E8"/>
    <w:rsid w:val="3AED8BF1"/>
    <w:rsid w:val="3AEFBF69"/>
    <w:rsid w:val="3AF1BB44"/>
    <w:rsid w:val="3AF6CB4A"/>
    <w:rsid w:val="3AF8CCA0"/>
    <w:rsid w:val="3AFC6386"/>
    <w:rsid w:val="3B0628F6"/>
    <w:rsid w:val="3B06B62B"/>
    <w:rsid w:val="3B0883CF"/>
    <w:rsid w:val="3B092059"/>
    <w:rsid w:val="3B11A49F"/>
    <w:rsid w:val="3B1235DF"/>
    <w:rsid w:val="3B130092"/>
    <w:rsid w:val="3B1537AA"/>
    <w:rsid w:val="3B1748AB"/>
    <w:rsid w:val="3B1E65AE"/>
    <w:rsid w:val="3B1EA61C"/>
    <w:rsid w:val="3B1FC712"/>
    <w:rsid w:val="3B25B48C"/>
    <w:rsid w:val="3B29431D"/>
    <w:rsid w:val="3B2D4F1F"/>
    <w:rsid w:val="3B2FA375"/>
    <w:rsid w:val="3B353A6F"/>
    <w:rsid w:val="3B3BCD3C"/>
    <w:rsid w:val="3B403250"/>
    <w:rsid w:val="3B4368C7"/>
    <w:rsid w:val="3B43A5F8"/>
    <w:rsid w:val="3B4A4630"/>
    <w:rsid w:val="3B4C9B22"/>
    <w:rsid w:val="3B536992"/>
    <w:rsid w:val="3B55B673"/>
    <w:rsid w:val="3B5B5C0E"/>
    <w:rsid w:val="3B6376E3"/>
    <w:rsid w:val="3B64FFA4"/>
    <w:rsid w:val="3B8DF711"/>
    <w:rsid w:val="3B8ED478"/>
    <w:rsid w:val="3B8F5DB7"/>
    <w:rsid w:val="3B906BB6"/>
    <w:rsid w:val="3B93A494"/>
    <w:rsid w:val="3B93D363"/>
    <w:rsid w:val="3B9D0F18"/>
    <w:rsid w:val="3B9D1F4C"/>
    <w:rsid w:val="3BA0C22B"/>
    <w:rsid w:val="3BA8B306"/>
    <w:rsid w:val="3BA92050"/>
    <w:rsid w:val="3BA9BE83"/>
    <w:rsid w:val="3BA9F185"/>
    <w:rsid w:val="3BAD4B04"/>
    <w:rsid w:val="3BB0B368"/>
    <w:rsid w:val="3BB3BA1E"/>
    <w:rsid w:val="3BB5B152"/>
    <w:rsid w:val="3BB6E8E2"/>
    <w:rsid w:val="3BB787EB"/>
    <w:rsid w:val="3BBB8D9D"/>
    <w:rsid w:val="3BC236D4"/>
    <w:rsid w:val="3BC389E2"/>
    <w:rsid w:val="3BC5BF47"/>
    <w:rsid w:val="3BC5E934"/>
    <w:rsid w:val="3BC85594"/>
    <w:rsid w:val="3BCA8F8B"/>
    <w:rsid w:val="3BCB998F"/>
    <w:rsid w:val="3BCC2398"/>
    <w:rsid w:val="3BCD8457"/>
    <w:rsid w:val="3BD01ABB"/>
    <w:rsid w:val="3BD27400"/>
    <w:rsid w:val="3BD60586"/>
    <w:rsid w:val="3BE64EF4"/>
    <w:rsid w:val="3BE9C21D"/>
    <w:rsid w:val="3BEF9689"/>
    <w:rsid w:val="3BF20A93"/>
    <w:rsid w:val="3BF3C122"/>
    <w:rsid w:val="3BF83F48"/>
    <w:rsid w:val="3BFEA7E4"/>
    <w:rsid w:val="3C119E62"/>
    <w:rsid w:val="3C131AC3"/>
    <w:rsid w:val="3C21B39C"/>
    <w:rsid w:val="3C21C744"/>
    <w:rsid w:val="3C228DF9"/>
    <w:rsid w:val="3C24B7FE"/>
    <w:rsid w:val="3C2A3158"/>
    <w:rsid w:val="3C2D5DB7"/>
    <w:rsid w:val="3C2EBAA8"/>
    <w:rsid w:val="3C2F63E1"/>
    <w:rsid w:val="3C349C23"/>
    <w:rsid w:val="3C3616CC"/>
    <w:rsid w:val="3C38D5F3"/>
    <w:rsid w:val="3C45C37F"/>
    <w:rsid w:val="3C484E7D"/>
    <w:rsid w:val="3C4EE9DA"/>
    <w:rsid w:val="3C5B2A3C"/>
    <w:rsid w:val="3C5E73B7"/>
    <w:rsid w:val="3C5F2F29"/>
    <w:rsid w:val="3C69698E"/>
    <w:rsid w:val="3C7CCF45"/>
    <w:rsid w:val="3C7D02C1"/>
    <w:rsid w:val="3C8660A2"/>
    <w:rsid w:val="3C8A40ED"/>
    <w:rsid w:val="3C8BBF66"/>
    <w:rsid w:val="3C962029"/>
    <w:rsid w:val="3C97C240"/>
    <w:rsid w:val="3C985EB7"/>
    <w:rsid w:val="3CA01F44"/>
    <w:rsid w:val="3CAC3F80"/>
    <w:rsid w:val="3CADC63B"/>
    <w:rsid w:val="3CB26B5B"/>
    <w:rsid w:val="3CC04D35"/>
    <w:rsid w:val="3CC3F598"/>
    <w:rsid w:val="3CC71B49"/>
    <w:rsid w:val="3CC81683"/>
    <w:rsid w:val="3CCA772C"/>
    <w:rsid w:val="3CCDD663"/>
    <w:rsid w:val="3CD0764D"/>
    <w:rsid w:val="3CDC435E"/>
    <w:rsid w:val="3CE9D562"/>
    <w:rsid w:val="3CF03F56"/>
    <w:rsid w:val="3CF86168"/>
    <w:rsid w:val="3CFA418D"/>
    <w:rsid w:val="3CFB8797"/>
    <w:rsid w:val="3D05C970"/>
    <w:rsid w:val="3D0744AA"/>
    <w:rsid w:val="3D087C22"/>
    <w:rsid w:val="3D0AF774"/>
    <w:rsid w:val="3D13C5DA"/>
    <w:rsid w:val="3D13D9B2"/>
    <w:rsid w:val="3D1BD647"/>
    <w:rsid w:val="3D1FABA4"/>
    <w:rsid w:val="3D26D7D6"/>
    <w:rsid w:val="3D28D81C"/>
    <w:rsid w:val="3D2F590F"/>
    <w:rsid w:val="3D33DCD6"/>
    <w:rsid w:val="3D3536E1"/>
    <w:rsid w:val="3D3AFB34"/>
    <w:rsid w:val="3D45A07B"/>
    <w:rsid w:val="3D4B58C9"/>
    <w:rsid w:val="3D6435DA"/>
    <w:rsid w:val="3D65ED08"/>
    <w:rsid w:val="3D70DEFE"/>
    <w:rsid w:val="3D7AA7E1"/>
    <w:rsid w:val="3D7B331A"/>
    <w:rsid w:val="3D85EFB6"/>
    <w:rsid w:val="3D95C1F6"/>
    <w:rsid w:val="3D9B24EA"/>
    <w:rsid w:val="3D9C31CE"/>
    <w:rsid w:val="3D9E901D"/>
    <w:rsid w:val="3DACB4BD"/>
    <w:rsid w:val="3DAD4697"/>
    <w:rsid w:val="3DB2F90F"/>
    <w:rsid w:val="3DB7E271"/>
    <w:rsid w:val="3DBB6AA9"/>
    <w:rsid w:val="3DC1AA00"/>
    <w:rsid w:val="3DC8AC1C"/>
    <w:rsid w:val="3DC977A8"/>
    <w:rsid w:val="3DC9F6A4"/>
    <w:rsid w:val="3DD04141"/>
    <w:rsid w:val="3DD6E5ED"/>
    <w:rsid w:val="3DD9006F"/>
    <w:rsid w:val="3DE0C2F4"/>
    <w:rsid w:val="3DE7957A"/>
    <w:rsid w:val="3DEDE374"/>
    <w:rsid w:val="3DF73E6A"/>
    <w:rsid w:val="3E03890F"/>
    <w:rsid w:val="3E045967"/>
    <w:rsid w:val="3E09D340"/>
    <w:rsid w:val="3E0D50E4"/>
    <w:rsid w:val="3E0D82C5"/>
    <w:rsid w:val="3E0DD63E"/>
    <w:rsid w:val="3E11B20B"/>
    <w:rsid w:val="3E11E522"/>
    <w:rsid w:val="3E15D7A3"/>
    <w:rsid w:val="3E1D1652"/>
    <w:rsid w:val="3E20FE4C"/>
    <w:rsid w:val="3E24FEE7"/>
    <w:rsid w:val="3E2B948D"/>
    <w:rsid w:val="3E2C0E5C"/>
    <w:rsid w:val="3E372672"/>
    <w:rsid w:val="3E43B533"/>
    <w:rsid w:val="3E4B6BAD"/>
    <w:rsid w:val="3E54CA8F"/>
    <w:rsid w:val="3E58DEB1"/>
    <w:rsid w:val="3E6130DA"/>
    <w:rsid w:val="3E68803E"/>
    <w:rsid w:val="3E68AA2D"/>
    <w:rsid w:val="3E693B01"/>
    <w:rsid w:val="3E763CC7"/>
    <w:rsid w:val="3E7AD14D"/>
    <w:rsid w:val="3E99D790"/>
    <w:rsid w:val="3EA41A35"/>
    <w:rsid w:val="3EA6FCAC"/>
    <w:rsid w:val="3EB06A23"/>
    <w:rsid w:val="3EB13F39"/>
    <w:rsid w:val="3EB70B17"/>
    <w:rsid w:val="3EC0EDE7"/>
    <w:rsid w:val="3EC1977B"/>
    <w:rsid w:val="3ECC83F1"/>
    <w:rsid w:val="3ED11221"/>
    <w:rsid w:val="3ED17641"/>
    <w:rsid w:val="3ED2A077"/>
    <w:rsid w:val="3ED7CE7E"/>
    <w:rsid w:val="3ED95C98"/>
    <w:rsid w:val="3EDE8459"/>
    <w:rsid w:val="3EE42CE9"/>
    <w:rsid w:val="3EE715A5"/>
    <w:rsid w:val="3EED76EB"/>
    <w:rsid w:val="3EF9D3DD"/>
    <w:rsid w:val="3F04239D"/>
    <w:rsid w:val="3F0E0C65"/>
    <w:rsid w:val="3F114815"/>
    <w:rsid w:val="3F16B263"/>
    <w:rsid w:val="3F17B172"/>
    <w:rsid w:val="3F19AFB7"/>
    <w:rsid w:val="3F1A3705"/>
    <w:rsid w:val="3F1F2771"/>
    <w:rsid w:val="3F23AF74"/>
    <w:rsid w:val="3F2EABD4"/>
    <w:rsid w:val="3F4B1A1E"/>
    <w:rsid w:val="3F520FF0"/>
    <w:rsid w:val="3F55224A"/>
    <w:rsid w:val="3F58AF2E"/>
    <w:rsid w:val="3F5D4F6F"/>
    <w:rsid w:val="3F626CF9"/>
    <w:rsid w:val="3F665FDF"/>
    <w:rsid w:val="3F68E650"/>
    <w:rsid w:val="3F7022F7"/>
    <w:rsid w:val="3F78C0B3"/>
    <w:rsid w:val="3F7DB68C"/>
    <w:rsid w:val="3F802307"/>
    <w:rsid w:val="3F866111"/>
    <w:rsid w:val="3F872F00"/>
    <w:rsid w:val="3F875C5F"/>
    <w:rsid w:val="3F941276"/>
    <w:rsid w:val="3F945665"/>
    <w:rsid w:val="3F9A4328"/>
    <w:rsid w:val="3F9A609D"/>
    <w:rsid w:val="3FBE3D74"/>
    <w:rsid w:val="3FBE438A"/>
    <w:rsid w:val="3FC09B85"/>
    <w:rsid w:val="3FC262F5"/>
    <w:rsid w:val="3FC9D9CD"/>
    <w:rsid w:val="3FCDC008"/>
    <w:rsid w:val="3FD70380"/>
    <w:rsid w:val="3FDB32EA"/>
    <w:rsid w:val="3FDB57F0"/>
    <w:rsid w:val="3FE54729"/>
    <w:rsid w:val="3FF2CA0D"/>
    <w:rsid w:val="3FF49425"/>
    <w:rsid w:val="3FF80B90"/>
    <w:rsid w:val="3FF87D1A"/>
    <w:rsid w:val="400B9F22"/>
    <w:rsid w:val="400F2BAA"/>
    <w:rsid w:val="400F7ACD"/>
    <w:rsid w:val="401E6ADD"/>
    <w:rsid w:val="402059D2"/>
    <w:rsid w:val="4023E522"/>
    <w:rsid w:val="4027602D"/>
    <w:rsid w:val="402D3D14"/>
    <w:rsid w:val="402F4E2F"/>
    <w:rsid w:val="402F5065"/>
    <w:rsid w:val="40338A52"/>
    <w:rsid w:val="4039FB15"/>
    <w:rsid w:val="403FA77C"/>
    <w:rsid w:val="4040382C"/>
    <w:rsid w:val="4040902A"/>
    <w:rsid w:val="40468B2C"/>
    <w:rsid w:val="4046EB12"/>
    <w:rsid w:val="404DB844"/>
    <w:rsid w:val="4051B1F2"/>
    <w:rsid w:val="4065B215"/>
    <w:rsid w:val="40681FB6"/>
    <w:rsid w:val="40691FEF"/>
    <w:rsid w:val="406E011A"/>
    <w:rsid w:val="407B6C11"/>
    <w:rsid w:val="40802DFE"/>
    <w:rsid w:val="408E2255"/>
    <w:rsid w:val="409557B1"/>
    <w:rsid w:val="409F84CC"/>
    <w:rsid w:val="40AA220C"/>
    <w:rsid w:val="40AA36D0"/>
    <w:rsid w:val="40ADDDB5"/>
    <w:rsid w:val="40AEA1C3"/>
    <w:rsid w:val="40B455A8"/>
    <w:rsid w:val="40B4B548"/>
    <w:rsid w:val="40B8261B"/>
    <w:rsid w:val="40C6DE08"/>
    <w:rsid w:val="40C6EBBD"/>
    <w:rsid w:val="40CCEF9E"/>
    <w:rsid w:val="40D5AEF8"/>
    <w:rsid w:val="40D84EAD"/>
    <w:rsid w:val="40DF648E"/>
    <w:rsid w:val="40E04411"/>
    <w:rsid w:val="40E115C1"/>
    <w:rsid w:val="40E25A6C"/>
    <w:rsid w:val="40E45768"/>
    <w:rsid w:val="40E9E41D"/>
    <w:rsid w:val="40EF3A4B"/>
    <w:rsid w:val="40F14AB2"/>
    <w:rsid w:val="40F72D88"/>
    <w:rsid w:val="40FA2EE4"/>
    <w:rsid w:val="40FD475C"/>
    <w:rsid w:val="40FEFCF3"/>
    <w:rsid w:val="4104C441"/>
    <w:rsid w:val="41118C32"/>
    <w:rsid w:val="4112A25D"/>
    <w:rsid w:val="41143827"/>
    <w:rsid w:val="41250CCD"/>
    <w:rsid w:val="412624D2"/>
    <w:rsid w:val="4127F841"/>
    <w:rsid w:val="4128672F"/>
    <w:rsid w:val="4129A962"/>
    <w:rsid w:val="412B70DD"/>
    <w:rsid w:val="412F1818"/>
    <w:rsid w:val="412F8192"/>
    <w:rsid w:val="413080B9"/>
    <w:rsid w:val="4130BAFC"/>
    <w:rsid w:val="41355865"/>
    <w:rsid w:val="41366032"/>
    <w:rsid w:val="4136AF16"/>
    <w:rsid w:val="4137F7D4"/>
    <w:rsid w:val="41380C9D"/>
    <w:rsid w:val="4139BA87"/>
    <w:rsid w:val="4143476F"/>
    <w:rsid w:val="414B9B8A"/>
    <w:rsid w:val="415DB8EE"/>
    <w:rsid w:val="415E733D"/>
    <w:rsid w:val="41681E14"/>
    <w:rsid w:val="4171DDA6"/>
    <w:rsid w:val="4177690A"/>
    <w:rsid w:val="4178D6CB"/>
    <w:rsid w:val="4179A040"/>
    <w:rsid w:val="4179E700"/>
    <w:rsid w:val="417C18A0"/>
    <w:rsid w:val="417CF715"/>
    <w:rsid w:val="417F76FE"/>
    <w:rsid w:val="4187DB20"/>
    <w:rsid w:val="418A5627"/>
    <w:rsid w:val="41929680"/>
    <w:rsid w:val="4193D758"/>
    <w:rsid w:val="41A13E30"/>
    <w:rsid w:val="41A6A842"/>
    <w:rsid w:val="41A6B311"/>
    <w:rsid w:val="41A7FCC3"/>
    <w:rsid w:val="41A81E08"/>
    <w:rsid w:val="41ABF130"/>
    <w:rsid w:val="41AE80DD"/>
    <w:rsid w:val="41B90BF0"/>
    <w:rsid w:val="41BCBFA7"/>
    <w:rsid w:val="41BFF4C6"/>
    <w:rsid w:val="41C0EB28"/>
    <w:rsid w:val="41C5F9F0"/>
    <w:rsid w:val="41CB0857"/>
    <w:rsid w:val="41CBC859"/>
    <w:rsid w:val="41D15DA3"/>
    <w:rsid w:val="41DFAC00"/>
    <w:rsid w:val="41DFBA3D"/>
    <w:rsid w:val="41EE107B"/>
    <w:rsid w:val="41F57535"/>
    <w:rsid w:val="41F69EDC"/>
    <w:rsid w:val="41F77EA7"/>
    <w:rsid w:val="42040117"/>
    <w:rsid w:val="420A195F"/>
    <w:rsid w:val="420FD818"/>
    <w:rsid w:val="4211B705"/>
    <w:rsid w:val="42205BEA"/>
    <w:rsid w:val="4225D35F"/>
    <w:rsid w:val="42310B61"/>
    <w:rsid w:val="4231A4FA"/>
    <w:rsid w:val="423AE5A9"/>
    <w:rsid w:val="423B79A6"/>
    <w:rsid w:val="4244B950"/>
    <w:rsid w:val="4245C185"/>
    <w:rsid w:val="424D4597"/>
    <w:rsid w:val="425358EE"/>
    <w:rsid w:val="4260962B"/>
    <w:rsid w:val="4266E0C9"/>
    <w:rsid w:val="426AEA5F"/>
    <w:rsid w:val="426BC8CC"/>
    <w:rsid w:val="426D09EF"/>
    <w:rsid w:val="426E5F03"/>
    <w:rsid w:val="426EC1AB"/>
    <w:rsid w:val="426FC093"/>
    <w:rsid w:val="4276C30A"/>
    <w:rsid w:val="427A1288"/>
    <w:rsid w:val="427A74CD"/>
    <w:rsid w:val="427BE1DE"/>
    <w:rsid w:val="427C1CF2"/>
    <w:rsid w:val="42862342"/>
    <w:rsid w:val="4291228F"/>
    <w:rsid w:val="429EDFC5"/>
    <w:rsid w:val="42A0A6C1"/>
    <w:rsid w:val="42A23254"/>
    <w:rsid w:val="42A3BB89"/>
    <w:rsid w:val="42A41314"/>
    <w:rsid w:val="42A470E5"/>
    <w:rsid w:val="42B8DEE2"/>
    <w:rsid w:val="42B8EC07"/>
    <w:rsid w:val="42BFA03E"/>
    <w:rsid w:val="42CA946F"/>
    <w:rsid w:val="42D64912"/>
    <w:rsid w:val="42DFCBFC"/>
    <w:rsid w:val="42E1500C"/>
    <w:rsid w:val="42E326B5"/>
    <w:rsid w:val="42F7E412"/>
    <w:rsid w:val="42FD149C"/>
    <w:rsid w:val="4306CFD1"/>
    <w:rsid w:val="430754A2"/>
    <w:rsid w:val="430AF6E1"/>
    <w:rsid w:val="430B2D1F"/>
    <w:rsid w:val="430D0127"/>
    <w:rsid w:val="430D5AA0"/>
    <w:rsid w:val="43117065"/>
    <w:rsid w:val="4313E5D2"/>
    <w:rsid w:val="431601D5"/>
    <w:rsid w:val="4316788F"/>
    <w:rsid w:val="431879AB"/>
    <w:rsid w:val="431C660C"/>
    <w:rsid w:val="431CA516"/>
    <w:rsid w:val="431F4D18"/>
    <w:rsid w:val="4320943D"/>
    <w:rsid w:val="43227D54"/>
    <w:rsid w:val="43271B2B"/>
    <w:rsid w:val="4327B0C5"/>
    <w:rsid w:val="43286D9E"/>
    <w:rsid w:val="432C2323"/>
    <w:rsid w:val="432EDF5D"/>
    <w:rsid w:val="4331E363"/>
    <w:rsid w:val="433B4A77"/>
    <w:rsid w:val="433C668B"/>
    <w:rsid w:val="434F3D31"/>
    <w:rsid w:val="435B836C"/>
    <w:rsid w:val="435CA781"/>
    <w:rsid w:val="435F4AEE"/>
    <w:rsid w:val="437065E1"/>
    <w:rsid w:val="4371DBFD"/>
    <w:rsid w:val="4372C2C6"/>
    <w:rsid w:val="437415A7"/>
    <w:rsid w:val="4374AFDF"/>
    <w:rsid w:val="437E700B"/>
    <w:rsid w:val="437EB5EF"/>
    <w:rsid w:val="437EE138"/>
    <w:rsid w:val="437F2764"/>
    <w:rsid w:val="43812276"/>
    <w:rsid w:val="4382D1B8"/>
    <w:rsid w:val="43873960"/>
    <w:rsid w:val="438D8472"/>
    <w:rsid w:val="4396D82D"/>
    <w:rsid w:val="439880A9"/>
    <w:rsid w:val="43A09E43"/>
    <w:rsid w:val="43A8DE0F"/>
    <w:rsid w:val="43B5D3D1"/>
    <w:rsid w:val="43B95E31"/>
    <w:rsid w:val="43BA9B70"/>
    <w:rsid w:val="43BB6329"/>
    <w:rsid w:val="43C0B38B"/>
    <w:rsid w:val="43C0E654"/>
    <w:rsid w:val="43C8AB4F"/>
    <w:rsid w:val="43CB3D84"/>
    <w:rsid w:val="43CDF944"/>
    <w:rsid w:val="43D0F316"/>
    <w:rsid w:val="43D12DC5"/>
    <w:rsid w:val="43D2AFB4"/>
    <w:rsid w:val="43D48D02"/>
    <w:rsid w:val="43DDB1A1"/>
    <w:rsid w:val="43E3FAC0"/>
    <w:rsid w:val="43E50FBC"/>
    <w:rsid w:val="43EB4AB0"/>
    <w:rsid w:val="43F68548"/>
    <w:rsid w:val="43FAD40B"/>
    <w:rsid w:val="44024938"/>
    <w:rsid w:val="4403DC76"/>
    <w:rsid w:val="44090C9C"/>
    <w:rsid w:val="441293A7"/>
    <w:rsid w:val="441B03E5"/>
    <w:rsid w:val="4427992A"/>
    <w:rsid w:val="442E1D0F"/>
    <w:rsid w:val="442F842C"/>
    <w:rsid w:val="4436756E"/>
    <w:rsid w:val="44380414"/>
    <w:rsid w:val="443D321A"/>
    <w:rsid w:val="443F42BE"/>
    <w:rsid w:val="4445769E"/>
    <w:rsid w:val="444DF47D"/>
    <w:rsid w:val="44546B12"/>
    <w:rsid w:val="44554F59"/>
    <w:rsid w:val="445F6BFF"/>
    <w:rsid w:val="44686167"/>
    <w:rsid w:val="44689546"/>
    <w:rsid w:val="447037EE"/>
    <w:rsid w:val="4479F663"/>
    <w:rsid w:val="447D1F3B"/>
    <w:rsid w:val="4490A6F3"/>
    <w:rsid w:val="4491C38E"/>
    <w:rsid w:val="44952F7F"/>
    <w:rsid w:val="44988DB0"/>
    <w:rsid w:val="449D56BF"/>
    <w:rsid w:val="44A313FE"/>
    <w:rsid w:val="44A62F4F"/>
    <w:rsid w:val="44AA717D"/>
    <w:rsid w:val="44B22D0C"/>
    <w:rsid w:val="44BB719A"/>
    <w:rsid w:val="44C1FF9C"/>
    <w:rsid w:val="44C2759F"/>
    <w:rsid w:val="44C86FC7"/>
    <w:rsid w:val="44CD2A41"/>
    <w:rsid w:val="44D590A5"/>
    <w:rsid w:val="44DB1EA3"/>
    <w:rsid w:val="44DE0EE1"/>
    <w:rsid w:val="44DFA753"/>
    <w:rsid w:val="44E30ECC"/>
    <w:rsid w:val="44E3F47F"/>
    <w:rsid w:val="44EC5C68"/>
    <w:rsid w:val="44EF1E1D"/>
    <w:rsid w:val="44EF7214"/>
    <w:rsid w:val="44F103F5"/>
    <w:rsid w:val="44FAEFD6"/>
    <w:rsid w:val="44FEAD6B"/>
    <w:rsid w:val="4502E077"/>
    <w:rsid w:val="45077633"/>
    <w:rsid w:val="45126766"/>
    <w:rsid w:val="45127541"/>
    <w:rsid w:val="45269B8D"/>
    <w:rsid w:val="4527FBC8"/>
    <w:rsid w:val="452C6469"/>
    <w:rsid w:val="452FC340"/>
    <w:rsid w:val="45305149"/>
    <w:rsid w:val="4535C713"/>
    <w:rsid w:val="45394093"/>
    <w:rsid w:val="454BCA9C"/>
    <w:rsid w:val="454CC21F"/>
    <w:rsid w:val="4551C174"/>
    <w:rsid w:val="45551E7A"/>
    <w:rsid w:val="4555A9CA"/>
    <w:rsid w:val="4555FAD0"/>
    <w:rsid w:val="455B235D"/>
    <w:rsid w:val="45618177"/>
    <w:rsid w:val="45632100"/>
    <w:rsid w:val="456759CA"/>
    <w:rsid w:val="4568F38B"/>
    <w:rsid w:val="4569EB3E"/>
    <w:rsid w:val="456BB0C9"/>
    <w:rsid w:val="456F6301"/>
    <w:rsid w:val="4572E099"/>
    <w:rsid w:val="45759E8E"/>
    <w:rsid w:val="4577D91C"/>
    <w:rsid w:val="457D08CB"/>
    <w:rsid w:val="4588D651"/>
    <w:rsid w:val="458EACBE"/>
    <w:rsid w:val="4596BEDB"/>
    <w:rsid w:val="459E563F"/>
    <w:rsid w:val="45A0CE08"/>
    <w:rsid w:val="45AF96B9"/>
    <w:rsid w:val="45B29D5A"/>
    <w:rsid w:val="45B98CF8"/>
    <w:rsid w:val="45BF7DB8"/>
    <w:rsid w:val="45C6B744"/>
    <w:rsid w:val="45D1C9EA"/>
    <w:rsid w:val="45D9DBE9"/>
    <w:rsid w:val="45DF78F3"/>
    <w:rsid w:val="45E0C66F"/>
    <w:rsid w:val="45E4DDFD"/>
    <w:rsid w:val="45E58C1A"/>
    <w:rsid w:val="45F4172C"/>
    <w:rsid w:val="45F4F786"/>
    <w:rsid w:val="45F54983"/>
    <w:rsid w:val="45F99DCB"/>
    <w:rsid w:val="45FE2E7A"/>
    <w:rsid w:val="460ED10A"/>
    <w:rsid w:val="4610059B"/>
    <w:rsid w:val="4612FF4B"/>
    <w:rsid w:val="461A717F"/>
    <w:rsid w:val="461A9A2B"/>
    <w:rsid w:val="461B6DC9"/>
    <w:rsid w:val="4623EB4B"/>
    <w:rsid w:val="4626414A"/>
    <w:rsid w:val="46264DEF"/>
    <w:rsid w:val="462D200C"/>
    <w:rsid w:val="463ACA63"/>
    <w:rsid w:val="463C588D"/>
    <w:rsid w:val="46427494"/>
    <w:rsid w:val="4642A90F"/>
    <w:rsid w:val="46432753"/>
    <w:rsid w:val="46442581"/>
    <w:rsid w:val="4644D848"/>
    <w:rsid w:val="46494109"/>
    <w:rsid w:val="464D8ED4"/>
    <w:rsid w:val="464F4E18"/>
    <w:rsid w:val="464F6F1B"/>
    <w:rsid w:val="4657A3C7"/>
    <w:rsid w:val="465ADBD1"/>
    <w:rsid w:val="4663A426"/>
    <w:rsid w:val="4663E22E"/>
    <w:rsid w:val="466BF175"/>
    <w:rsid w:val="46722D00"/>
    <w:rsid w:val="4673867F"/>
    <w:rsid w:val="467B310B"/>
    <w:rsid w:val="46815D3A"/>
    <w:rsid w:val="46836869"/>
    <w:rsid w:val="468944E9"/>
    <w:rsid w:val="46963DBD"/>
    <w:rsid w:val="469B0A15"/>
    <w:rsid w:val="469D4412"/>
    <w:rsid w:val="469E86A9"/>
    <w:rsid w:val="46A55E8E"/>
    <w:rsid w:val="46ABD628"/>
    <w:rsid w:val="46AC728D"/>
    <w:rsid w:val="46B0B7D3"/>
    <w:rsid w:val="46B179ED"/>
    <w:rsid w:val="46C092C1"/>
    <w:rsid w:val="46C394E5"/>
    <w:rsid w:val="46C45248"/>
    <w:rsid w:val="46C9C649"/>
    <w:rsid w:val="46D3C033"/>
    <w:rsid w:val="46DBF6B9"/>
    <w:rsid w:val="46DC35CD"/>
    <w:rsid w:val="46E17FB1"/>
    <w:rsid w:val="46E418ED"/>
    <w:rsid w:val="46E82D63"/>
    <w:rsid w:val="46F26A5D"/>
    <w:rsid w:val="46F95110"/>
    <w:rsid w:val="46FD06CF"/>
    <w:rsid w:val="46FD8C5F"/>
    <w:rsid w:val="46FE4AB7"/>
    <w:rsid w:val="4702959C"/>
    <w:rsid w:val="470D0ECD"/>
    <w:rsid w:val="470FD169"/>
    <w:rsid w:val="471087A0"/>
    <w:rsid w:val="4711CD4A"/>
    <w:rsid w:val="4716E2ED"/>
    <w:rsid w:val="4722130A"/>
    <w:rsid w:val="4727449D"/>
    <w:rsid w:val="47278E02"/>
    <w:rsid w:val="473C879E"/>
    <w:rsid w:val="47460356"/>
    <w:rsid w:val="474A80CF"/>
    <w:rsid w:val="474F4814"/>
    <w:rsid w:val="47508068"/>
    <w:rsid w:val="47534696"/>
    <w:rsid w:val="47657B86"/>
    <w:rsid w:val="4766329F"/>
    <w:rsid w:val="4769002F"/>
    <w:rsid w:val="476C1FBF"/>
    <w:rsid w:val="476F8A39"/>
    <w:rsid w:val="47700BA5"/>
    <w:rsid w:val="4774D040"/>
    <w:rsid w:val="47779DBA"/>
    <w:rsid w:val="4779D649"/>
    <w:rsid w:val="478948C9"/>
    <w:rsid w:val="478BB494"/>
    <w:rsid w:val="478C48EC"/>
    <w:rsid w:val="4792A9CA"/>
    <w:rsid w:val="479FC769"/>
    <w:rsid w:val="47A94E6B"/>
    <w:rsid w:val="47A9D352"/>
    <w:rsid w:val="47AD997D"/>
    <w:rsid w:val="47B16B5B"/>
    <w:rsid w:val="47B383E7"/>
    <w:rsid w:val="47B5F642"/>
    <w:rsid w:val="47B8BF6D"/>
    <w:rsid w:val="47BD0489"/>
    <w:rsid w:val="47BF3D8D"/>
    <w:rsid w:val="47BF8019"/>
    <w:rsid w:val="47C68C1F"/>
    <w:rsid w:val="47C6D554"/>
    <w:rsid w:val="47CE949D"/>
    <w:rsid w:val="47D871E7"/>
    <w:rsid w:val="47D8E7D8"/>
    <w:rsid w:val="47DC928F"/>
    <w:rsid w:val="47DE4D37"/>
    <w:rsid w:val="47E30402"/>
    <w:rsid w:val="47F78F21"/>
    <w:rsid w:val="47FBCE7E"/>
    <w:rsid w:val="480936F7"/>
    <w:rsid w:val="4811A54A"/>
    <w:rsid w:val="4816624F"/>
    <w:rsid w:val="4817504C"/>
    <w:rsid w:val="481859B3"/>
    <w:rsid w:val="4820CC57"/>
    <w:rsid w:val="48223B9B"/>
    <w:rsid w:val="482BEEB4"/>
    <w:rsid w:val="482E622E"/>
    <w:rsid w:val="4833D55F"/>
    <w:rsid w:val="4835DEF2"/>
    <w:rsid w:val="4836801C"/>
    <w:rsid w:val="48368EC9"/>
    <w:rsid w:val="483B9023"/>
    <w:rsid w:val="483EDF31"/>
    <w:rsid w:val="4841049B"/>
    <w:rsid w:val="48518031"/>
    <w:rsid w:val="485C0FDD"/>
    <w:rsid w:val="4860B6A4"/>
    <w:rsid w:val="4862C015"/>
    <w:rsid w:val="48660FD9"/>
    <w:rsid w:val="486D5058"/>
    <w:rsid w:val="487D61C0"/>
    <w:rsid w:val="487D712C"/>
    <w:rsid w:val="48808F09"/>
    <w:rsid w:val="4882CC4E"/>
    <w:rsid w:val="4884CA09"/>
    <w:rsid w:val="4884DCCD"/>
    <w:rsid w:val="4889A1BC"/>
    <w:rsid w:val="488C9E43"/>
    <w:rsid w:val="4896F974"/>
    <w:rsid w:val="48993FD5"/>
    <w:rsid w:val="4899BD4D"/>
    <w:rsid w:val="489A35E1"/>
    <w:rsid w:val="48A0C807"/>
    <w:rsid w:val="48A64E19"/>
    <w:rsid w:val="48A6DAB0"/>
    <w:rsid w:val="48B0ED8A"/>
    <w:rsid w:val="48B3552F"/>
    <w:rsid w:val="48B427C8"/>
    <w:rsid w:val="48B689CB"/>
    <w:rsid w:val="48B8F0A7"/>
    <w:rsid w:val="48BB7B28"/>
    <w:rsid w:val="48CB16DA"/>
    <w:rsid w:val="48D6D031"/>
    <w:rsid w:val="48DAE59C"/>
    <w:rsid w:val="48DE7FA0"/>
    <w:rsid w:val="48DF0557"/>
    <w:rsid w:val="48EE4DC2"/>
    <w:rsid w:val="48F26070"/>
    <w:rsid w:val="48FC2473"/>
    <w:rsid w:val="48FE7C81"/>
    <w:rsid w:val="490203A1"/>
    <w:rsid w:val="49049C0F"/>
    <w:rsid w:val="49074425"/>
    <w:rsid w:val="490B6D78"/>
    <w:rsid w:val="491BD721"/>
    <w:rsid w:val="491CD93D"/>
    <w:rsid w:val="491E51B1"/>
    <w:rsid w:val="4921765A"/>
    <w:rsid w:val="492250D1"/>
    <w:rsid w:val="492C8919"/>
    <w:rsid w:val="492FA4E7"/>
    <w:rsid w:val="4932EE82"/>
    <w:rsid w:val="4935AE79"/>
    <w:rsid w:val="493FCD88"/>
    <w:rsid w:val="494A0BF7"/>
    <w:rsid w:val="49533B46"/>
    <w:rsid w:val="495456CB"/>
    <w:rsid w:val="4958FBB3"/>
    <w:rsid w:val="496281B3"/>
    <w:rsid w:val="4964983F"/>
    <w:rsid w:val="4969634A"/>
    <w:rsid w:val="49720082"/>
    <w:rsid w:val="4977F355"/>
    <w:rsid w:val="4986D15A"/>
    <w:rsid w:val="498902B2"/>
    <w:rsid w:val="498AAF8C"/>
    <w:rsid w:val="498FDF43"/>
    <w:rsid w:val="4995F627"/>
    <w:rsid w:val="49969E6D"/>
    <w:rsid w:val="49A3BE79"/>
    <w:rsid w:val="49A94292"/>
    <w:rsid w:val="49B2298E"/>
    <w:rsid w:val="49B794BF"/>
    <w:rsid w:val="49B86DF0"/>
    <w:rsid w:val="49BCA857"/>
    <w:rsid w:val="49C64922"/>
    <w:rsid w:val="49D31B0F"/>
    <w:rsid w:val="49D374FF"/>
    <w:rsid w:val="49D38A44"/>
    <w:rsid w:val="49E602BA"/>
    <w:rsid w:val="49E86B89"/>
    <w:rsid w:val="49E9A743"/>
    <w:rsid w:val="49EA8C06"/>
    <w:rsid w:val="49EAF883"/>
    <w:rsid w:val="49EBCF0E"/>
    <w:rsid w:val="49F48FBE"/>
    <w:rsid w:val="49FFD5F0"/>
    <w:rsid w:val="4A00CE33"/>
    <w:rsid w:val="4A05065C"/>
    <w:rsid w:val="4A0E6C1C"/>
    <w:rsid w:val="4A105903"/>
    <w:rsid w:val="4A157267"/>
    <w:rsid w:val="4A176A36"/>
    <w:rsid w:val="4A17DD33"/>
    <w:rsid w:val="4A22E782"/>
    <w:rsid w:val="4A298EF0"/>
    <w:rsid w:val="4A2C6A54"/>
    <w:rsid w:val="4A2DE29D"/>
    <w:rsid w:val="4A3152E3"/>
    <w:rsid w:val="4A3B1E75"/>
    <w:rsid w:val="4A3CBB9A"/>
    <w:rsid w:val="4A56C1E8"/>
    <w:rsid w:val="4A594FA0"/>
    <w:rsid w:val="4A62490D"/>
    <w:rsid w:val="4A676F62"/>
    <w:rsid w:val="4A6B64DC"/>
    <w:rsid w:val="4A6C0AB9"/>
    <w:rsid w:val="4A6C83FD"/>
    <w:rsid w:val="4A77D303"/>
    <w:rsid w:val="4A7974F2"/>
    <w:rsid w:val="4A7D2E52"/>
    <w:rsid w:val="4A7E8A6E"/>
    <w:rsid w:val="4A8ACA54"/>
    <w:rsid w:val="4A8B18BB"/>
    <w:rsid w:val="4A8D21F5"/>
    <w:rsid w:val="4A90030D"/>
    <w:rsid w:val="4A939B4B"/>
    <w:rsid w:val="4A972368"/>
    <w:rsid w:val="4A988D84"/>
    <w:rsid w:val="4A9AC41B"/>
    <w:rsid w:val="4A9CB5E7"/>
    <w:rsid w:val="4AA95192"/>
    <w:rsid w:val="4AAA2D46"/>
    <w:rsid w:val="4AACC3B8"/>
    <w:rsid w:val="4AAF5CBA"/>
    <w:rsid w:val="4ABE0A81"/>
    <w:rsid w:val="4ABEB56D"/>
    <w:rsid w:val="4AC05D73"/>
    <w:rsid w:val="4AC0E125"/>
    <w:rsid w:val="4AD04C13"/>
    <w:rsid w:val="4AD554FF"/>
    <w:rsid w:val="4AD9D0D1"/>
    <w:rsid w:val="4ADCF21A"/>
    <w:rsid w:val="4ADE747A"/>
    <w:rsid w:val="4AEBFC56"/>
    <w:rsid w:val="4AF75F4A"/>
    <w:rsid w:val="4AF84F3D"/>
    <w:rsid w:val="4AFFF5C0"/>
    <w:rsid w:val="4B00C75B"/>
    <w:rsid w:val="4B0B1853"/>
    <w:rsid w:val="4B0BC9B5"/>
    <w:rsid w:val="4B0CD0C6"/>
    <w:rsid w:val="4B0F8F13"/>
    <w:rsid w:val="4B109615"/>
    <w:rsid w:val="4B179A34"/>
    <w:rsid w:val="4B186111"/>
    <w:rsid w:val="4B1B191B"/>
    <w:rsid w:val="4B1C6111"/>
    <w:rsid w:val="4B1CE9AD"/>
    <w:rsid w:val="4B1EA720"/>
    <w:rsid w:val="4B1F52BD"/>
    <w:rsid w:val="4B1FF10B"/>
    <w:rsid w:val="4B24D522"/>
    <w:rsid w:val="4B384877"/>
    <w:rsid w:val="4B3D3358"/>
    <w:rsid w:val="4B3E0A29"/>
    <w:rsid w:val="4B435F86"/>
    <w:rsid w:val="4B49CD3E"/>
    <w:rsid w:val="4B5C9602"/>
    <w:rsid w:val="4B5D79B1"/>
    <w:rsid w:val="4B6645A0"/>
    <w:rsid w:val="4B6BB711"/>
    <w:rsid w:val="4B6BCD78"/>
    <w:rsid w:val="4B706863"/>
    <w:rsid w:val="4B70FFB8"/>
    <w:rsid w:val="4B7246E4"/>
    <w:rsid w:val="4B734783"/>
    <w:rsid w:val="4B73AD33"/>
    <w:rsid w:val="4B740D26"/>
    <w:rsid w:val="4B75BA6B"/>
    <w:rsid w:val="4B774324"/>
    <w:rsid w:val="4B7DC3C7"/>
    <w:rsid w:val="4B7FBFC8"/>
    <w:rsid w:val="4B8004C3"/>
    <w:rsid w:val="4B8541CB"/>
    <w:rsid w:val="4B882F6C"/>
    <w:rsid w:val="4B89500B"/>
    <w:rsid w:val="4B91E485"/>
    <w:rsid w:val="4BA4A4AD"/>
    <w:rsid w:val="4BA7A305"/>
    <w:rsid w:val="4BAA2012"/>
    <w:rsid w:val="4BAB429B"/>
    <w:rsid w:val="4BB22281"/>
    <w:rsid w:val="4BC1C366"/>
    <w:rsid w:val="4BC1F3D8"/>
    <w:rsid w:val="4BCA1CF1"/>
    <w:rsid w:val="4BCA79A7"/>
    <w:rsid w:val="4BCB0EFA"/>
    <w:rsid w:val="4BCE86CE"/>
    <w:rsid w:val="4BD0CBE7"/>
    <w:rsid w:val="4BD1D5D0"/>
    <w:rsid w:val="4BD306F5"/>
    <w:rsid w:val="4BE1B55C"/>
    <w:rsid w:val="4BE32DA9"/>
    <w:rsid w:val="4BF55D78"/>
    <w:rsid w:val="4C05E8E4"/>
    <w:rsid w:val="4C079144"/>
    <w:rsid w:val="4C099821"/>
    <w:rsid w:val="4C0DDBFF"/>
    <w:rsid w:val="4C1538A5"/>
    <w:rsid w:val="4C15C3C1"/>
    <w:rsid w:val="4C1B699A"/>
    <w:rsid w:val="4C269161"/>
    <w:rsid w:val="4C2BF6B9"/>
    <w:rsid w:val="4C2D5327"/>
    <w:rsid w:val="4C2D5E9B"/>
    <w:rsid w:val="4C2D6C61"/>
    <w:rsid w:val="4C409495"/>
    <w:rsid w:val="4C42302F"/>
    <w:rsid w:val="4C4525D0"/>
    <w:rsid w:val="4C456F62"/>
    <w:rsid w:val="4C457A5A"/>
    <w:rsid w:val="4C473BB1"/>
    <w:rsid w:val="4C4B8E01"/>
    <w:rsid w:val="4C51E561"/>
    <w:rsid w:val="4C530B76"/>
    <w:rsid w:val="4C5427BA"/>
    <w:rsid w:val="4C5A11CB"/>
    <w:rsid w:val="4C6311F7"/>
    <w:rsid w:val="4C6581C0"/>
    <w:rsid w:val="4C6F8371"/>
    <w:rsid w:val="4C71F557"/>
    <w:rsid w:val="4C7476E3"/>
    <w:rsid w:val="4C7BAD8B"/>
    <w:rsid w:val="4C7C11B7"/>
    <w:rsid w:val="4C813E85"/>
    <w:rsid w:val="4C8ABC96"/>
    <w:rsid w:val="4C920955"/>
    <w:rsid w:val="4C94B454"/>
    <w:rsid w:val="4C95442A"/>
    <w:rsid w:val="4C98EEE4"/>
    <w:rsid w:val="4C9B8536"/>
    <w:rsid w:val="4C9D3CE7"/>
    <w:rsid w:val="4C9DA7B0"/>
    <w:rsid w:val="4C9EC052"/>
    <w:rsid w:val="4CA4AC84"/>
    <w:rsid w:val="4CB0A679"/>
    <w:rsid w:val="4CB614C0"/>
    <w:rsid w:val="4CB966BC"/>
    <w:rsid w:val="4CBC9ABA"/>
    <w:rsid w:val="4CBCA1C0"/>
    <w:rsid w:val="4CC3B7B8"/>
    <w:rsid w:val="4CC75175"/>
    <w:rsid w:val="4CD25627"/>
    <w:rsid w:val="4CD93B81"/>
    <w:rsid w:val="4CD96BC7"/>
    <w:rsid w:val="4CE11A37"/>
    <w:rsid w:val="4CE1548D"/>
    <w:rsid w:val="4CE33094"/>
    <w:rsid w:val="4CE8BBB9"/>
    <w:rsid w:val="4CE90421"/>
    <w:rsid w:val="4CEB2FA2"/>
    <w:rsid w:val="4CEC9919"/>
    <w:rsid w:val="4CFECC36"/>
    <w:rsid w:val="4D0B9D81"/>
    <w:rsid w:val="4D0D996C"/>
    <w:rsid w:val="4D1A59B7"/>
    <w:rsid w:val="4D2203A3"/>
    <w:rsid w:val="4D2E0AF1"/>
    <w:rsid w:val="4D31AA7F"/>
    <w:rsid w:val="4D33A6B5"/>
    <w:rsid w:val="4D382990"/>
    <w:rsid w:val="4D392C6F"/>
    <w:rsid w:val="4D3A1347"/>
    <w:rsid w:val="4D48DEE6"/>
    <w:rsid w:val="4D499271"/>
    <w:rsid w:val="4D554506"/>
    <w:rsid w:val="4D620AC3"/>
    <w:rsid w:val="4D68CCDF"/>
    <w:rsid w:val="4D6C6566"/>
    <w:rsid w:val="4D712597"/>
    <w:rsid w:val="4D76E638"/>
    <w:rsid w:val="4D7743CF"/>
    <w:rsid w:val="4D7D6731"/>
    <w:rsid w:val="4D84066A"/>
    <w:rsid w:val="4D8659EA"/>
    <w:rsid w:val="4D8D1E67"/>
    <w:rsid w:val="4D91B4C1"/>
    <w:rsid w:val="4D9308DE"/>
    <w:rsid w:val="4D975DC6"/>
    <w:rsid w:val="4D9B2DBC"/>
    <w:rsid w:val="4D9D080F"/>
    <w:rsid w:val="4D9DEA3E"/>
    <w:rsid w:val="4DA188C5"/>
    <w:rsid w:val="4DA44295"/>
    <w:rsid w:val="4DA66B64"/>
    <w:rsid w:val="4DAC28F6"/>
    <w:rsid w:val="4DB1B9EC"/>
    <w:rsid w:val="4DB65B14"/>
    <w:rsid w:val="4DB9CE21"/>
    <w:rsid w:val="4DBD5FEB"/>
    <w:rsid w:val="4DC4F93D"/>
    <w:rsid w:val="4DC73733"/>
    <w:rsid w:val="4DC8553E"/>
    <w:rsid w:val="4DCC90FF"/>
    <w:rsid w:val="4DCCDB5B"/>
    <w:rsid w:val="4DCCEF73"/>
    <w:rsid w:val="4DCD62FB"/>
    <w:rsid w:val="4DCF84E0"/>
    <w:rsid w:val="4DD3B879"/>
    <w:rsid w:val="4DDC5B5A"/>
    <w:rsid w:val="4DDE8423"/>
    <w:rsid w:val="4DE085BA"/>
    <w:rsid w:val="4DE42C9F"/>
    <w:rsid w:val="4DE91E83"/>
    <w:rsid w:val="4DEEC6E2"/>
    <w:rsid w:val="4DEFF38B"/>
    <w:rsid w:val="4DF4D869"/>
    <w:rsid w:val="4DF9FFCC"/>
    <w:rsid w:val="4DFF0485"/>
    <w:rsid w:val="4DFF7949"/>
    <w:rsid w:val="4E10B7DE"/>
    <w:rsid w:val="4E150D56"/>
    <w:rsid w:val="4E179A90"/>
    <w:rsid w:val="4E23C974"/>
    <w:rsid w:val="4E28F775"/>
    <w:rsid w:val="4E291D8F"/>
    <w:rsid w:val="4E2E948D"/>
    <w:rsid w:val="4E34C7B5"/>
    <w:rsid w:val="4E3732D4"/>
    <w:rsid w:val="4E3B21A6"/>
    <w:rsid w:val="4E435F8A"/>
    <w:rsid w:val="4E446188"/>
    <w:rsid w:val="4E4695F2"/>
    <w:rsid w:val="4E4CCD7C"/>
    <w:rsid w:val="4E5C3215"/>
    <w:rsid w:val="4E67A140"/>
    <w:rsid w:val="4E6E4CF9"/>
    <w:rsid w:val="4E729A78"/>
    <w:rsid w:val="4E733F41"/>
    <w:rsid w:val="4E754CB0"/>
    <w:rsid w:val="4E75BC92"/>
    <w:rsid w:val="4E796A1B"/>
    <w:rsid w:val="4E85D539"/>
    <w:rsid w:val="4E8E05F4"/>
    <w:rsid w:val="4E93C6A8"/>
    <w:rsid w:val="4E995699"/>
    <w:rsid w:val="4E9E2772"/>
    <w:rsid w:val="4EA075D1"/>
    <w:rsid w:val="4EAA4F53"/>
    <w:rsid w:val="4EAD486D"/>
    <w:rsid w:val="4EB2BCF4"/>
    <w:rsid w:val="4EB3365F"/>
    <w:rsid w:val="4EB899B0"/>
    <w:rsid w:val="4EB8F0B2"/>
    <w:rsid w:val="4EBA06B5"/>
    <w:rsid w:val="4EBD8CEC"/>
    <w:rsid w:val="4EBDFB03"/>
    <w:rsid w:val="4EBFFC52"/>
    <w:rsid w:val="4ECD9593"/>
    <w:rsid w:val="4ED4C1C5"/>
    <w:rsid w:val="4EDC9271"/>
    <w:rsid w:val="4EDD8A02"/>
    <w:rsid w:val="4EDF6AAC"/>
    <w:rsid w:val="4EE099C5"/>
    <w:rsid w:val="4EE2AE85"/>
    <w:rsid w:val="4EE33671"/>
    <w:rsid w:val="4EE467E4"/>
    <w:rsid w:val="4EE4AA9F"/>
    <w:rsid w:val="4EE812D0"/>
    <w:rsid w:val="4EE8D9C4"/>
    <w:rsid w:val="4EF031ED"/>
    <w:rsid w:val="4EFC2667"/>
    <w:rsid w:val="4F045E81"/>
    <w:rsid w:val="4F048128"/>
    <w:rsid w:val="4F152134"/>
    <w:rsid w:val="4F18C57B"/>
    <w:rsid w:val="4F1BBB74"/>
    <w:rsid w:val="4F1FD5AF"/>
    <w:rsid w:val="4F239E32"/>
    <w:rsid w:val="4F29058B"/>
    <w:rsid w:val="4F2CA7C9"/>
    <w:rsid w:val="4F2F20F8"/>
    <w:rsid w:val="4F2F8741"/>
    <w:rsid w:val="4F356ADE"/>
    <w:rsid w:val="4F3E82B3"/>
    <w:rsid w:val="4F407A9B"/>
    <w:rsid w:val="4F486FAC"/>
    <w:rsid w:val="4F4CE870"/>
    <w:rsid w:val="4F52C3A1"/>
    <w:rsid w:val="4F54891A"/>
    <w:rsid w:val="4F5C413B"/>
    <w:rsid w:val="4F5CB3BE"/>
    <w:rsid w:val="4F66CED4"/>
    <w:rsid w:val="4F67795F"/>
    <w:rsid w:val="4F841AA4"/>
    <w:rsid w:val="4F88645D"/>
    <w:rsid w:val="4F93912B"/>
    <w:rsid w:val="4F9A0842"/>
    <w:rsid w:val="4F9A41D0"/>
    <w:rsid w:val="4F9B57B8"/>
    <w:rsid w:val="4F9D4251"/>
    <w:rsid w:val="4FB0DBCB"/>
    <w:rsid w:val="4FB2B4F8"/>
    <w:rsid w:val="4FC75CB5"/>
    <w:rsid w:val="4FD16478"/>
    <w:rsid w:val="4FD86183"/>
    <w:rsid w:val="4FD8D57C"/>
    <w:rsid w:val="4FDD553F"/>
    <w:rsid w:val="4FE17C6A"/>
    <w:rsid w:val="4FE2DE4A"/>
    <w:rsid w:val="4FE2ECF9"/>
    <w:rsid w:val="4FEBEB18"/>
    <w:rsid w:val="4FEDBC8F"/>
    <w:rsid w:val="4FF582BE"/>
    <w:rsid w:val="50000CB9"/>
    <w:rsid w:val="5007D77A"/>
    <w:rsid w:val="501E3D5B"/>
    <w:rsid w:val="50265842"/>
    <w:rsid w:val="503A3BBC"/>
    <w:rsid w:val="50449CA2"/>
    <w:rsid w:val="504964E4"/>
    <w:rsid w:val="504B68F1"/>
    <w:rsid w:val="504DEDF8"/>
    <w:rsid w:val="505203BA"/>
    <w:rsid w:val="505B1132"/>
    <w:rsid w:val="506248D4"/>
    <w:rsid w:val="5064822C"/>
    <w:rsid w:val="5067AC6E"/>
    <w:rsid w:val="5069AFD3"/>
    <w:rsid w:val="506CFDAC"/>
    <w:rsid w:val="506DFBBA"/>
    <w:rsid w:val="50733EA5"/>
    <w:rsid w:val="50738E7F"/>
    <w:rsid w:val="50739891"/>
    <w:rsid w:val="5075A6C2"/>
    <w:rsid w:val="5077FDD5"/>
    <w:rsid w:val="5078397C"/>
    <w:rsid w:val="507DD521"/>
    <w:rsid w:val="508A9056"/>
    <w:rsid w:val="5097F226"/>
    <w:rsid w:val="509834EE"/>
    <w:rsid w:val="5099A0FB"/>
    <w:rsid w:val="509AB7E5"/>
    <w:rsid w:val="509BA1C5"/>
    <w:rsid w:val="509F8F6B"/>
    <w:rsid w:val="509FA8E8"/>
    <w:rsid w:val="50A45FC3"/>
    <w:rsid w:val="50BDC9A9"/>
    <w:rsid w:val="50C68730"/>
    <w:rsid w:val="50C79A09"/>
    <w:rsid w:val="50CC0FD8"/>
    <w:rsid w:val="50CD803C"/>
    <w:rsid w:val="50CE718F"/>
    <w:rsid w:val="50D038CB"/>
    <w:rsid w:val="50D27911"/>
    <w:rsid w:val="50D55E7C"/>
    <w:rsid w:val="50DD91EB"/>
    <w:rsid w:val="50DDACC1"/>
    <w:rsid w:val="50DEF62D"/>
    <w:rsid w:val="50DFE6CE"/>
    <w:rsid w:val="50E7D82E"/>
    <w:rsid w:val="50E86AB3"/>
    <w:rsid w:val="50E8B4BC"/>
    <w:rsid w:val="50EFD179"/>
    <w:rsid w:val="50F4F4A6"/>
    <w:rsid w:val="50F90CEC"/>
    <w:rsid w:val="50FADE71"/>
    <w:rsid w:val="50FC7EA9"/>
    <w:rsid w:val="50FD8D62"/>
    <w:rsid w:val="5102F09E"/>
    <w:rsid w:val="5109DEF2"/>
    <w:rsid w:val="510E8A5E"/>
    <w:rsid w:val="5111CEB5"/>
    <w:rsid w:val="511283BD"/>
    <w:rsid w:val="511B7085"/>
    <w:rsid w:val="511E2D9B"/>
    <w:rsid w:val="51223860"/>
    <w:rsid w:val="5124B464"/>
    <w:rsid w:val="51266EE1"/>
    <w:rsid w:val="51338944"/>
    <w:rsid w:val="5158CCEF"/>
    <w:rsid w:val="515FD67C"/>
    <w:rsid w:val="515FF205"/>
    <w:rsid w:val="5164432B"/>
    <w:rsid w:val="5165F810"/>
    <w:rsid w:val="51664E41"/>
    <w:rsid w:val="5169AB56"/>
    <w:rsid w:val="517A38BD"/>
    <w:rsid w:val="5180FF57"/>
    <w:rsid w:val="51833251"/>
    <w:rsid w:val="51848051"/>
    <w:rsid w:val="518AC35F"/>
    <w:rsid w:val="519A25A3"/>
    <w:rsid w:val="51AF5867"/>
    <w:rsid w:val="51B1A494"/>
    <w:rsid w:val="51B1ECA9"/>
    <w:rsid w:val="51B46A89"/>
    <w:rsid w:val="51B50600"/>
    <w:rsid w:val="51B53A91"/>
    <w:rsid w:val="51C1A0AB"/>
    <w:rsid w:val="51CA4747"/>
    <w:rsid w:val="51CF837D"/>
    <w:rsid w:val="51D88223"/>
    <w:rsid w:val="51DA6D96"/>
    <w:rsid w:val="51E69244"/>
    <w:rsid w:val="51EF2A15"/>
    <w:rsid w:val="51F04FF6"/>
    <w:rsid w:val="51F1FF42"/>
    <w:rsid w:val="51F6489C"/>
    <w:rsid w:val="51F79C77"/>
    <w:rsid w:val="51F7F07F"/>
    <w:rsid w:val="51FA6532"/>
    <w:rsid w:val="51FCF48F"/>
    <w:rsid w:val="5200830C"/>
    <w:rsid w:val="52010CFC"/>
    <w:rsid w:val="5207EA87"/>
    <w:rsid w:val="520DE1EA"/>
    <w:rsid w:val="521279FA"/>
    <w:rsid w:val="521C6013"/>
    <w:rsid w:val="521ECD13"/>
    <w:rsid w:val="52242BCB"/>
    <w:rsid w:val="5227B9CE"/>
    <w:rsid w:val="5231345C"/>
    <w:rsid w:val="5234D9B2"/>
    <w:rsid w:val="523A8019"/>
    <w:rsid w:val="523D2903"/>
    <w:rsid w:val="52439BCB"/>
    <w:rsid w:val="524802D8"/>
    <w:rsid w:val="52484BC1"/>
    <w:rsid w:val="5249CCD7"/>
    <w:rsid w:val="5250D7F3"/>
    <w:rsid w:val="52538C1C"/>
    <w:rsid w:val="5253A8BA"/>
    <w:rsid w:val="52575352"/>
    <w:rsid w:val="525BBD3B"/>
    <w:rsid w:val="5268B5FA"/>
    <w:rsid w:val="527AF20E"/>
    <w:rsid w:val="528440DE"/>
    <w:rsid w:val="528E93CC"/>
    <w:rsid w:val="52942E9D"/>
    <w:rsid w:val="5299A675"/>
    <w:rsid w:val="5299F8B2"/>
    <w:rsid w:val="529EC008"/>
    <w:rsid w:val="529FD96C"/>
    <w:rsid w:val="52A0041E"/>
    <w:rsid w:val="52A7D1BF"/>
    <w:rsid w:val="52ABB2FB"/>
    <w:rsid w:val="52AC4E50"/>
    <w:rsid w:val="52B25371"/>
    <w:rsid w:val="52BE24EA"/>
    <w:rsid w:val="52C6A8C3"/>
    <w:rsid w:val="52CEA82E"/>
    <w:rsid w:val="52D0757F"/>
    <w:rsid w:val="52D4B130"/>
    <w:rsid w:val="52D5789B"/>
    <w:rsid w:val="52D5B0C5"/>
    <w:rsid w:val="52EF923F"/>
    <w:rsid w:val="52FAC41C"/>
    <w:rsid w:val="52FC405C"/>
    <w:rsid w:val="5305B171"/>
    <w:rsid w:val="530C4C9B"/>
    <w:rsid w:val="530ED79D"/>
    <w:rsid w:val="531A8E2F"/>
    <w:rsid w:val="531AB85E"/>
    <w:rsid w:val="531ACD7B"/>
    <w:rsid w:val="531BBA72"/>
    <w:rsid w:val="531CF23A"/>
    <w:rsid w:val="532A42D0"/>
    <w:rsid w:val="532C489C"/>
    <w:rsid w:val="532E2BAA"/>
    <w:rsid w:val="532E7A0D"/>
    <w:rsid w:val="53393EF5"/>
    <w:rsid w:val="533B2CC0"/>
    <w:rsid w:val="53419EAB"/>
    <w:rsid w:val="53552717"/>
    <w:rsid w:val="5355A9A2"/>
    <w:rsid w:val="5356693A"/>
    <w:rsid w:val="53570598"/>
    <w:rsid w:val="5357D2F7"/>
    <w:rsid w:val="535A4CAC"/>
    <w:rsid w:val="53668417"/>
    <w:rsid w:val="536DB6FB"/>
    <w:rsid w:val="53708FE5"/>
    <w:rsid w:val="5370F4B6"/>
    <w:rsid w:val="537AA825"/>
    <w:rsid w:val="537F268E"/>
    <w:rsid w:val="53897175"/>
    <w:rsid w:val="538CD850"/>
    <w:rsid w:val="5390D14A"/>
    <w:rsid w:val="53920B71"/>
    <w:rsid w:val="53920D6D"/>
    <w:rsid w:val="5394551C"/>
    <w:rsid w:val="5397FAD3"/>
    <w:rsid w:val="539813FA"/>
    <w:rsid w:val="539CBD02"/>
    <w:rsid w:val="539E498A"/>
    <w:rsid w:val="539E8325"/>
    <w:rsid w:val="539ED8D3"/>
    <w:rsid w:val="53ABC8FC"/>
    <w:rsid w:val="53B31E5F"/>
    <w:rsid w:val="53BCA815"/>
    <w:rsid w:val="53CA7C30"/>
    <w:rsid w:val="53DA9162"/>
    <w:rsid w:val="53DC80AA"/>
    <w:rsid w:val="53DE017D"/>
    <w:rsid w:val="53E5B84C"/>
    <w:rsid w:val="53EAE72B"/>
    <w:rsid w:val="53EE7A20"/>
    <w:rsid w:val="53F11928"/>
    <w:rsid w:val="53F1863B"/>
    <w:rsid w:val="53F6F228"/>
    <w:rsid w:val="53FF2F55"/>
    <w:rsid w:val="540447CD"/>
    <w:rsid w:val="540820D6"/>
    <w:rsid w:val="5409B8EC"/>
    <w:rsid w:val="540A5EA6"/>
    <w:rsid w:val="54115D0D"/>
    <w:rsid w:val="5413DB0B"/>
    <w:rsid w:val="54158735"/>
    <w:rsid w:val="54210DB6"/>
    <w:rsid w:val="54229AA7"/>
    <w:rsid w:val="5423857E"/>
    <w:rsid w:val="5424E3FD"/>
    <w:rsid w:val="5425CE77"/>
    <w:rsid w:val="54268D8A"/>
    <w:rsid w:val="542F477E"/>
    <w:rsid w:val="5433548D"/>
    <w:rsid w:val="54350AF8"/>
    <w:rsid w:val="5439997E"/>
    <w:rsid w:val="543AD363"/>
    <w:rsid w:val="544352A5"/>
    <w:rsid w:val="5448B53B"/>
    <w:rsid w:val="54531D5B"/>
    <w:rsid w:val="5454834C"/>
    <w:rsid w:val="54580BDA"/>
    <w:rsid w:val="545B6153"/>
    <w:rsid w:val="54606D0C"/>
    <w:rsid w:val="546A4E70"/>
    <w:rsid w:val="546B3E93"/>
    <w:rsid w:val="5470FFA8"/>
    <w:rsid w:val="5476D0DA"/>
    <w:rsid w:val="547B44CD"/>
    <w:rsid w:val="548011B6"/>
    <w:rsid w:val="5485EDE6"/>
    <w:rsid w:val="5487A8DD"/>
    <w:rsid w:val="548AA14C"/>
    <w:rsid w:val="548CCC24"/>
    <w:rsid w:val="54984996"/>
    <w:rsid w:val="549A9122"/>
    <w:rsid w:val="549D621F"/>
    <w:rsid w:val="54AB50A7"/>
    <w:rsid w:val="54B64AA2"/>
    <w:rsid w:val="54B89D14"/>
    <w:rsid w:val="54BA3F10"/>
    <w:rsid w:val="54CA4D0C"/>
    <w:rsid w:val="54CEE02A"/>
    <w:rsid w:val="54D3E448"/>
    <w:rsid w:val="54D62F35"/>
    <w:rsid w:val="54D64E2F"/>
    <w:rsid w:val="54D8663B"/>
    <w:rsid w:val="54D8A68D"/>
    <w:rsid w:val="54DBB4F5"/>
    <w:rsid w:val="54E111DE"/>
    <w:rsid w:val="54E13196"/>
    <w:rsid w:val="54E498EE"/>
    <w:rsid w:val="54EAD323"/>
    <w:rsid w:val="54F4F938"/>
    <w:rsid w:val="54F6B1F2"/>
    <w:rsid w:val="5501F2DA"/>
    <w:rsid w:val="5502055E"/>
    <w:rsid w:val="5504BBA0"/>
    <w:rsid w:val="55064FAD"/>
    <w:rsid w:val="5508F7CD"/>
    <w:rsid w:val="550BD7B0"/>
    <w:rsid w:val="550F2270"/>
    <w:rsid w:val="55101DE3"/>
    <w:rsid w:val="5513CA77"/>
    <w:rsid w:val="5517215A"/>
    <w:rsid w:val="55180C03"/>
    <w:rsid w:val="5524E3D7"/>
    <w:rsid w:val="552D52AA"/>
    <w:rsid w:val="552DB2BC"/>
    <w:rsid w:val="552E1834"/>
    <w:rsid w:val="553FF162"/>
    <w:rsid w:val="554E938E"/>
    <w:rsid w:val="555E1C0C"/>
    <w:rsid w:val="55622928"/>
    <w:rsid w:val="5566804B"/>
    <w:rsid w:val="55684DC3"/>
    <w:rsid w:val="55694915"/>
    <w:rsid w:val="556E82D9"/>
    <w:rsid w:val="55714493"/>
    <w:rsid w:val="557FAF41"/>
    <w:rsid w:val="5585AD7B"/>
    <w:rsid w:val="558BE13E"/>
    <w:rsid w:val="558E9735"/>
    <w:rsid w:val="55927E4B"/>
    <w:rsid w:val="55942522"/>
    <w:rsid w:val="55A0B144"/>
    <w:rsid w:val="55A64667"/>
    <w:rsid w:val="55A6BDE1"/>
    <w:rsid w:val="55A74B23"/>
    <w:rsid w:val="55A75FB6"/>
    <w:rsid w:val="55A982A4"/>
    <w:rsid w:val="55A9F4DD"/>
    <w:rsid w:val="55AAAFD2"/>
    <w:rsid w:val="55AD6937"/>
    <w:rsid w:val="55ADE398"/>
    <w:rsid w:val="55AFC8BF"/>
    <w:rsid w:val="55B9DB29"/>
    <w:rsid w:val="55BD9FFC"/>
    <w:rsid w:val="55C1BB03"/>
    <w:rsid w:val="55C81B14"/>
    <w:rsid w:val="55D59D9E"/>
    <w:rsid w:val="55D5E84C"/>
    <w:rsid w:val="55D68F1F"/>
    <w:rsid w:val="55EBA718"/>
    <w:rsid w:val="55EE2B06"/>
    <w:rsid w:val="55F1F053"/>
    <w:rsid w:val="55F3FBCC"/>
    <w:rsid w:val="55F51095"/>
    <w:rsid w:val="55F6F0E7"/>
    <w:rsid w:val="55FADA4E"/>
    <w:rsid w:val="55FC106D"/>
    <w:rsid w:val="55FE3C51"/>
    <w:rsid w:val="560149EF"/>
    <w:rsid w:val="560785A0"/>
    <w:rsid w:val="560CB4F0"/>
    <w:rsid w:val="561423D7"/>
    <w:rsid w:val="56143DC3"/>
    <w:rsid w:val="5614D8D8"/>
    <w:rsid w:val="56215F53"/>
    <w:rsid w:val="562DA867"/>
    <w:rsid w:val="5632D9ED"/>
    <w:rsid w:val="5639BD32"/>
    <w:rsid w:val="563BDE81"/>
    <w:rsid w:val="564236B5"/>
    <w:rsid w:val="5643DB28"/>
    <w:rsid w:val="56582729"/>
    <w:rsid w:val="5658FBC2"/>
    <w:rsid w:val="56599B2A"/>
    <w:rsid w:val="565D1383"/>
    <w:rsid w:val="5666E872"/>
    <w:rsid w:val="566B01FC"/>
    <w:rsid w:val="566C9841"/>
    <w:rsid w:val="56761131"/>
    <w:rsid w:val="567DF365"/>
    <w:rsid w:val="567F53F7"/>
    <w:rsid w:val="568484E5"/>
    <w:rsid w:val="5685816E"/>
    <w:rsid w:val="568E7493"/>
    <w:rsid w:val="5693393D"/>
    <w:rsid w:val="569D1C6B"/>
    <w:rsid w:val="569FC4F4"/>
    <w:rsid w:val="56A2627B"/>
    <w:rsid w:val="56A39F1C"/>
    <w:rsid w:val="56A4CA8C"/>
    <w:rsid w:val="56A7643D"/>
    <w:rsid w:val="56A866A4"/>
    <w:rsid w:val="56AAA082"/>
    <w:rsid w:val="56AFD584"/>
    <w:rsid w:val="56BF2C6E"/>
    <w:rsid w:val="56C3BCC5"/>
    <w:rsid w:val="56C94F4A"/>
    <w:rsid w:val="56C9E3FE"/>
    <w:rsid w:val="56D3EAB6"/>
    <w:rsid w:val="56D5BA5B"/>
    <w:rsid w:val="56E01297"/>
    <w:rsid w:val="56E47C63"/>
    <w:rsid w:val="56E5878A"/>
    <w:rsid w:val="56E91F5D"/>
    <w:rsid w:val="56EFA041"/>
    <w:rsid w:val="56F181BD"/>
    <w:rsid w:val="56F3A4B9"/>
    <w:rsid w:val="56F48423"/>
    <w:rsid w:val="56F8367A"/>
    <w:rsid w:val="56F94DA4"/>
    <w:rsid w:val="570132E8"/>
    <w:rsid w:val="5702DD7C"/>
    <w:rsid w:val="570AF2FD"/>
    <w:rsid w:val="570B9227"/>
    <w:rsid w:val="570C63F0"/>
    <w:rsid w:val="570E7134"/>
    <w:rsid w:val="5712E6F9"/>
    <w:rsid w:val="5718C7FC"/>
    <w:rsid w:val="5719E592"/>
    <w:rsid w:val="571E49B4"/>
    <w:rsid w:val="5721D0AD"/>
    <w:rsid w:val="57226C55"/>
    <w:rsid w:val="57244BE8"/>
    <w:rsid w:val="572B94B7"/>
    <w:rsid w:val="57300217"/>
    <w:rsid w:val="5735AB80"/>
    <w:rsid w:val="57374C2A"/>
    <w:rsid w:val="573809A0"/>
    <w:rsid w:val="573821C8"/>
    <w:rsid w:val="573F0AC4"/>
    <w:rsid w:val="574E2E82"/>
    <w:rsid w:val="574F25AA"/>
    <w:rsid w:val="5758B15D"/>
    <w:rsid w:val="5758FD0D"/>
    <w:rsid w:val="5759B3B1"/>
    <w:rsid w:val="575BF243"/>
    <w:rsid w:val="575DB4B1"/>
    <w:rsid w:val="5764E0C4"/>
    <w:rsid w:val="57671B4E"/>
    <w:rsid w:val="576B7A26"/>
    <w:rsid w:val="576C0ABF"/>
    <w:rsid w:val="5773607B"/>
    <w:rsid w:val="577974B5"/>
    <w:rsid w:val="577AD255"/>
    <w:rsid w:val="578492FA"/>
    <w:rsid w:val="578B17E1"/>
    <w:rsid w:val="578C631A"/>
    <w:rsid w:val="5793ACAA"/>
    <w:rsid w:val="579C9F83"/>
    <w:rsid w:val="57B131D7"/>
    <w:rsid w:val="57B6824B"/>
    <w:rsid w:val="57C4A018"/>
    <w:rsid w:val="57C8F9E0"/>
    <w:rsid w:val="57D143ED"/>
    <w:rsid w:val="57DFF2C0"/>
    <w:rsid w:val="57E26A3C"/>
    <w:rsid w:val="57E758A1"/>
    <w:rsid w:val="57E7B3B9"/>
    <w:rsid w:val="57E9C74A"/>
    <w:rsid w:val="5800D32D"/>
    <w:rsid w:val="5802C17B"/>
    <w:rsid w:val="58041D7B"/>
    <w:rsid w:val="58060B29"/>
    <w:rsid w:val="5812E06A"/>
    <w:rsid w:val="58157A78"/>
    <w:rsid w:val="58275041"/>
    <w:rsid w:val="582C28FF"/>
    <w:rsid w:val="5837620E"/>
    <w:rsid w:val="58377D18"/>
    <w:rsid w:val="583C16A2"/>
    <w:rsid w:val="583D7C3E"/>
    <w:rsid w:val="583DE653"/>
    <w:rsid w:val="583FF33A"/>
    <w:rsid w:val="5847B472"/>
    <w:rsid w:val="58497A50"/>
    <w:rsid w:val="584A85F0"/>
    <w:rsid w:val="5850F6DB"/>
    <w:rsid w:val="585181C0"/>
    <w:rsid w:val="5851ACC2"/>
    <w:rsid w:val="58529B10"/>
    <w:rsid w:val="5856DC10"/>
    <w:rsid w:val="5857AD26"/>
    <w:rsid w:val="58622FDF"/>
    <w:rsid w:val="58651EF8"/>
    <w:rsid w:val="586C4960"/>
    <w:rsid w:val="586E8207"/>
    <w:rsid w:val="5870FC8B"/>
    <w:rsid w:val="5871E7D7"/>
    <w:rsid w:val="587905C5"/>
    <w:rsid w:val="587D717C"/>
    <w:rsid w:val="587DA08F"/>
    <w:rsid w:val="58817967"/>
    <w:rsid w:val="58831804"/>
    <w:rsid w:val="5883CA08"/>
    <w:rsid w:val="5889FFE9"/>
    <w:rsid w:val="58912100"/>
    <w:rsid w:val="5895619F"/>
    <w:rsid w:val="589E8E1D"/>
    <w:rsid w:val="58AAB62A"/>
    <w:rsid w:val="58AD69BE"/>
    <w:rsid w:val="58AFB31C"/>
    <w:rsid w:val="58B246CB"/>
    <w:rsid w:val="58B4A132"/>
    <w:rsid w:val="58BE6547"/>
    <w:rsid w:val="58C8C37A"/>
    <w:rsid w:val="58C8D2C1"/>
    <w:rsid w:val="58CE24D1"/>
    <w:rsid w:val="58D5BB8F"/>
    <w:rsid w:val="58D5F1F0"/>
    <w:rsid w:val="58D6A5B4"/>
    <w:rsid w:val="58D979F0"/>
    <w:rsid w:val="58DA333B"/>
    <w:rsid w:val="58E07901"/>
    <w:rsid w:val="58E235D6"/>
    <w:rsid w:val="58EE9973"/>
    <w:rsid w:val="58F3990B"/>
    <w:rsid w:val="58FA09CE"/>
    <w:rsid w:val="58FA2D74"/>
    <w:rsid w:val="58FB9487"/>
    <w:rsid w:val="58FE5D8F"/>
    <w:rsid w:val="58FE7D79"/>
    <w:rsid w:val="590B24E0"/>
    <w:rsid w:val="590F1D91"/>
    <w:rsid w:val="59117768"/>
    <w:rsid w:val="5916F2DE"/>
    <w:rsid w:val="59170ADE"/>
    <w:rsid w:val="591F14F8"/>
    <w:rsid w:val="59250700"/>
    <w:rsid w:val="59254C1D"/>
    <w:rsid w:val="59322B15"/>
    <w:rsid w:val="5934B063"/>
    <w:rsid w:val="593E16E3"/>
    <w:rsid w:val="5945DA34"/>
    <w:rsid w:val="59502191"/>
    <w:rsid w:val="59513061"/>
    <w:rsid w:val="595AADFA"/>
    <w:rsid w:val="595AC476"/>
    <w:rsid w:val="595DDF36"/>
    <w:rsid w:val="5961C87B"/>
    <w:rsid w:val="5969E00C"/>
    <w:rsid w:val="5969F4AD"/>
    <w:rsid w:val="596BB79C"/>
    <w:rsid w:val="596E464B"/>
    <w:rsid w:val="596EC0D2"/>
    <w:rsid w:val="59765438"/>
    <w:rsid w:val="59786EF7"/>
    <w:rsid w:val="5978A296"/>
    <w:rsid w:val="59870247"/>
    <w:rsid w:val="598B0E54"/>
    <w:rsid w:val="5990E572"/>
    <w:rsid w:val="5992551C"/>
    <w:rsid w:val="59939F87"/>
    <w:rsid w:val="5998C63D"/>
    <w:rsid w:val="599BC69D"/>
    <w:rsid w:val="599F3E90"/>
    <w:rsid w:val="59A75C42"/>
    <w:rsid w:val="59AC27C9"/>
    <w:rsid w:val="59B316FD"/>
    <w:rsid w:val="59B319F0"/>
    <w:rsid w:val="59B3A557"/>
    <w:rsid w:val="59C15D12"/>
    <w:rsid w:val="59CA40DF"/>
    <w:rsid w:val="59CA75AB"/>
    <w:rsid w:val="59CC58EF"/>
    <w:rsid w:val="59CCB8D2"/>
    <w:rsid w:val="59CCEB81"/>
    <w:rsid w:val="59D53637"/>
    <w:rsid w:val="59D68458"/>
    <w:rsid w:val="59D9B539"/>
    <w:rsid w:val="59DA5D44"/>
    <w:rsid w:val="59DD73C1"/>
    <w:rsid w:val="59DE5BA3"/>
    <w:rsid w:val="59EB74DE"/>
    <w:rsid w:val="59EFBDD9"/>
    <w:rsid w:val="59F06512"/>
    <w:rsid w:val="59F3D1DE"/>
    <w:rsid w:val="59F405FA"/>
    <w:rsid w:val="59F7569B"/>
    <w:rsid w:val="59FBB6DF"/>
    <w:rsid w:val="59FF2A15"/>
    <w:rsid w:val="5A069EB8"/>
    <w:rsid w:val="5A08F7F9"/>
    <w:rsid w:val="5A0ADA39"/>
    <w:rsid w:val="5A0D4444"/>
    <w:rsid w:val="5A0FD9FF"/>
    <w:rsid w:val="5A147738"/>
    <w:rsid w:val="5A16A5DA"/>
    <w:rsid w:val="5A1BF5FB"/>
    <w:rsid w:val="5A293FBF"/>
    <w:rsid w:val="5A2A1BCB"/>
    <w:rsid w:val="5A311255"/>
    <w:rsid w:val="5A31B0F8"/>
    <w:rsid w:val="5A393944"/>
    <w:rsid w:val="5A3A4A81"/>
    <w:rsid w:val="5A3E1859"/>
    <w:rsid w:val="5A402DEC"/>
    <w:rsid w:val="5A44484F"/>
    <w:rsid w:val="5A49A5DF"/>
    <w:rsid w:val="5A4B4E48"/>
    <w:rsid w:val="5A543ECF"/>
    <w:rsid w:val="5A58FCCA"/>
    <w:rsid w:val="5A5E1A44"/>
    <w:rsid w:val="5A6307AF"/>
    <w:rsid w:val="5A69E898"/>
    <w:rsid w:val="5A6B7189"/>
    <w:rsid w:val="5A6DD923"/>
    <w:rsid w:val="5A7A3B9E"/>
    <w:rsid w:val="5A93D3DF"/>
    <w:rsid w:val="5A9436BD"/>
    <w:rsid w:val="5A995711"/>
    <w:rsid w:val="5AA0369F"/>
    <w:rsid w:val="5AAD580E"/>
    <w:rsid w:val="5AB05DB1"/>
    <w:rsid w:val="5AB69A04"/>
    <w:rsid w:val="5ACAD433"/>
    <w:rsid w:val="5ACB6F7F"/>
    <w:rsid w:val="5AD02AF8"/>
    <w:rsid w:val="5AD7FEC7"/>
    <w:rsid w:val="5AEE7684"/>
    <w:rsid w:val="5AFC72CF"/>
    <w:rsid w:val="5B0071BB"/>
    <w:rsid w:val="5B03EE5E"/>
    <w:rsid w:val="5B06D94C"/>
    <w:rsid w:val="5B0959E3"/>
    <w:rsid w:val="5B131BEE"/>
    <w:rsid w:val="5B13EDC2"/>
    <w:rsid w:val="5B176814"/>
    <w:rsid w:val="5B1CC1C4"/>
    <w:rsid w:val="5B1EA1EC"/>
    <w:rsid w:val="5B256CFF"/>
    <w:rsid w:val="5B277EFC"/>
    <w:rsid w:val="5B28F505"/>
    <w:rsid w:val="5B2F5BD6"/>
    <w:rsid w:val="5B357144"/>
    <w:rsid w:val="5B36115E"/>
    <w:rsid w:val="5B3A9376"/>
    <w:rsid w:val="5B468FF9"/>
    <w:rsid w:val="5B477EC8"/>
    <w:rsid w:val="5B4A3AF8"/>
    <w:rsid w:val="5B56015B"/>
    <w:rsid w:val="5B5A7134"/>
    <w:rsid w:val="5B5C21C8"/>
    <w:rsid w:val="5B5EC87C"/>
    <w:rsid w:val="5B5F172E"/>
    <w:rsid w:val="5B620A62"/>
    <w:rsid w:val="5B638666"/>
    <w:rsid w:val="5B6541DE"/>
    <w:rsid w:val="5B67CF37"/>
    <w:rsid w:val="5B6F5D65"/>
    <w:rsid w:val="5B7112CC"/>
    <w:rsid w:val="5B72C95D"/>
    <w:rsid w:val="5B739F04"/>
    <w:rsid w:val="5B7D5C4D"/>
    <w:rsid w:val="5B7E7A55"/>
    <w:rsid w:val="5B8260A9"/>
    <w:rsid w:val="5B8A7C3D"/>
    <w:rsid w:val="5B8D1E75"/>
    <w:rsid w:val="5B92FE83"/>
    <w:rsid w:val="5B999796"/>
    <w:rsid w:val="5BA1D447"/>
    <w:rsid w:val="5BA38312"/>
    <w:rsid w:val="5BAB82DD"/>
    <w:rsid w:val="5BACB06F"/>
    <w:rsid w:val="5BAE584C"/>
    <w:rsid w:val="5BB9CC41"/>
    <w:rsid w:val="5BBD49B4"/>
    <w:rsid w:val="5BBE077E"/>
    <w:rsid w:val="5BCD753C"/>
    <w:rsid w:val="5BD4B8FC"/>
    <w:rsid w:val="5BD71420"/>
    <w:rsid w:val="5BD9E96F"/>
    <w:rsid w:val="5BDBA377"/>
    <w:rsid w:val="5BDC68E3"/>
    <w:rsid w:val="5BDD159A"/>
    <w:rsid w:val="5BDF4C87"/>
    <w:rsid w:val="5BE23E9C"/>
    <w:rsid w:val="5BE26D3C"/>
    <w:rsid w:val="5BEB6383"/>
    <w:rsid w:val="5BEC8469"/>
    <w:rsid w:val="5BECC1E5"/>
    <w:rsid w:val="5BEE6712"/>
    <w:rsid w:val="5BF28786"/>
    <w:rsid w:val="5BFED04E"/>
    <w:rsid w:val="5C03DE03"/>
    <w:rsid w:val="5C049547"/>
    <w:rsid w:val="5C0537E0"/>
    <w:rsid w:val="5C07D8F9"/>
    <w:rsid w:val="5C0DE546"/>
    <w:rsid w:val="5C177757"/>
    <w:rsid w:val="5C19136A"/>
    <w:rsid w:val="5C277496"/>
    <w:rsid w:val="5C2A7511"/>
    <w:rsid w:val="5C2CDAB9"/>
    <w:rsid w:val="5C2E754F"/>
    <w:rsid w:val="5C2ED987"/>
    <w:rsid w:val="5C36F33D"/>
    <w:rsid w:val="5C3C3532"/>
    <w:rsid w:val="5C3D742A"/>
    <w:rsid w:val="5C402AA7"/>
    <w:rsid w:val="5C40BCE4"/>
    <w:rsid w:val="5C428F94"/>
    <w:rsid w:val="5C4600A3"/>
    <w:rsid w:val="5C54F0F8"/>
    <w:rsid w:val="5C6E2B34"/>
    <w:rsid w:val="5C70CB3D"/>
    <w:rsid w:val="5C763CDD"/>
    <w:rsid w:val="5C93265F"/>
    <w:rsid w:val="5C98F776"/>
    <w:rsid w:val="5C9B35BB"/>
    <w:rsid w:val="5CA585E7"/>
    <w:rsid w:val="5CAC4654"/>
    <w:rsid w:val="5CAD44EE"/>
    <w:rsid w:val="5CAF3AB7"/>
    <w:rsid w:val="5CB55086"/>
    <w:rsid w:val="5CB5D0EB"/>
    <w:rsid w:val="5CC42B97"/>
    <w:rsid w:val="5CC818A1"/>
    <w:rsid w:val="5CC835E3"/>
    <w:rsid w:val="5CCC47F8"/>
    <w:rsid w:val="5CCC585D"/>
    <w:rsid w:val="5CD4637F"/>
    <w:rsid w:val="5CD765F2"/>
    <w:rsid w:val="5CD8D591"/>
    <w:rsid w:val="5CDB2DB8"/>
    <w:rsid w:val="5CDE79B4"/>
    <w:rsid w:val="5CE5BB26"/>
    <w:rsid w:val="5CEB4F7D"/>
    <w:rsid w:val="5CEFC173"/>
    <w:rsid w:val="5CF0CC7C"/>
    <w:rsid w:val="5CF10137"/>
    <w:rsid w:val="5CF3250C"/>
    <w:rsid w:val="5D00797C"/>
    <w:rsid w:val="5D0B3ED7"/>
    <w:rsid w:val="5D0CB856"/>
    <w:rsid w:val="5D254748"/>
    <w:rsid w:val="5D2D0325"/>
    <w:rsid w:val="5D2FCF77"/>
    <w:rsid w:val="5D302111"/>
    <w:rsid w:val="5D338705"/>
    <w:rsid w:val="5D33E16F"/>
    <w:rsid w:val="5D394EFD"/>
    <w:rsid w:val="5D3A66C1"/>
    <w:rsid w:val="5D5B7610"/>
    <w:rsid w:val="5D5DA76A"/>
    <w:rsid w:val="5D60018E"/>
    <w:rsid w:val="5D616783"/>
    <w:rsid w:val="5D62E852"/>
    <w:rsid w:val="5D660389"/>
    <w:rsid w:val="5D69CBA3"/>
    <w:rsid w:val="5D6AC07A"/>
    <w:rsid w:val="5D6F92B5"/>
    <w:rsid w:val="5D7057EF"/>
    <w:rsid w:val="5D78DACB"/>
    <w:rsid w:val="5D809CF5"/>
    <w:rsid w:val="5D80A5C9"/>
    <w:rsid w:val="5D82DC8B"/>
    <w:rsid w:val="5D83F0D4"/>
    <w:rsid w:val="5D900253"/>
    <w:rsid w:val="5D9083B4"/>
    <w:rsid w:val="5D90D565"/>
    <w:rsid w:val="5D9B9EB4"/>
    <w:rsid w:val="5DA1063A"/>
    <w:rsid w:val="5DAD82B2"/>
    <w:rsid w:val="5DB07902"/>
    <w:rsid w:val="5DB2628C"/>
    <w:rsid w:val="5DBA8B6A"/>
    <w:rsid w:val="5DBB9F09"/>
    <w:rsid w:val="5DC161F1"/>
    <w:rsid w:val="5DCE115A"/>
    <w:rsid w:val="5DCF4C0B"/>
    <w:rsid w:val="5DD2F41A"/>
    <w:rsid w:val="5DE556A8"/>
    <w:rsid w:val="5DEC2D0F"/>
    <w:rsid w:val="5DF6F7F6"/>
    <w:rsid w:val="5DF763DA"/>
    <w:rsid w:val="5DFF0668"/>
    <w:rsid w:val="5E062BAA"/>
    <w:rsid w:val="5E090EFB"/>
    <w:rsid w:val="5E0B4C46"/>
    <w:rsid w:val="5E0C5434"/>
    <w:rsid w:val="5E1C8F20"/>
    <w:rsid w:val="5E1E9FDC"/>
    <w:rsid w:val="5E1EFC89"/>
    <w:rsid w:val="5E1FBB9C"/>
    <w:rsid w:val="5E21C1A2"/>
    <w:rsid w:val="5E24CD76"/>
    <w:rsid w:val="5E2E2704"/>
    <w:rsid w:val="5E3E1089"/>
    <w:rsid w:val="5E3FBD6C"/>
    <w:rsid w:val="5E446D5B"/>
    <w:rsid w:val="5E4AD816"/>
    <w:rsid w:val="5E4CE882"/>
    <w:rsid w:val="5E4F4E9A"/>
    <w:rsid w:val="5E50965C"/>
    <w:rsid w:val="5E5E15D7"/>
    <w:rsid w:val="5E6B965A"/>
    <w:rsid w:val="5E6BC047"/>
    <w:rsid w:val="5E77856C"/>
    <w:rsid w:val="5E7B306C"/>
    <w:rsid w:val="5E7F1E8A"/>
    <w:rsid w:val="5E7F7D47"/>
    <w:rsid w:val="5E80E5E8"/>
    <w:rsid w:val="5E84FAD3"/>
    <w:rsid w:val="5E86035C"/>
    <w:rsid w:val="5E8BC2E0"/>
    <w:rsid w:val="5E8C13CD"/>
    <w:rsid w:val="5E8D70FD"/>
    <w:rsid w:val="5E8DE16F"/>
    <w:rsid w:val="5E91CF01"/>
    <w:rsid w:val="5E945575"/>
    <w:rsid w:val="5E9A2A50"/>
    <w:rsid w:val="5E9D812C"/>
    <w:rsid w:val="5EA55AED"/>
    <w:rsid w:val="5EA61DC1"/>
    <w:rsid w:val="5EA69FA8"/>
    <w:rsid w:val="5EA797F7"/>
    <w:rsid w:val="5EAD6A64"/>
    <w:rsid w:val="5EADED50"/>
    <w:rsid w:val="5EAF9725"/>
    <w:rsid w:val="5EB061C2"/>
    <w:rsid w:val="5EB68611"/>
    <w:rsid w:val="5EBF7360"/>
    <w:rsid w:val="5EC0B072"/>
    <w:rsid w:val="5EC8248D"/>
    <w:rsid w:val="5EC8E473"/>
    <w:rsid w:val="5ECEBF72"/>
    <w:rsid w:val="5ED5C3AE"/>
    <w:rsid w:val="5EDA60A8"/>
    <w:rsid w:val="5EDFD63C"/>
    <w:rsid w:val="5EE46EFA"/>
    <w:rsid w:val="5EE6133A"/>
    <w:rsid w:val="5EE7F44D"/>
    <w:rsid w:val="5EE9DC0D"/>
    <w:rsid w:val="5EED43D8"/>
    <w:rsid w:val="5EEDFAB9"/>
    <w:rsid w:val="5EF1E032"/>
    <w:rsid w:val="5EF947D5"/>
    <w:rsid w:val="5F01B646"/>
    <w:rsid w:val="5F03EABB"/>
    <w:rsid w:val="5F076CA5"/>
    <w:rsid w:val="5F12DF79"/>
    <w:rsid w:val="5F13D99B"/>
    <w:rsid w:val="5F1BB6DC"/>
    <w:rsid w:val="5F2376E2"/>
    <w:rsid w:val="5F270CA5"/>
    <w:rsid w:val="5F299FEC"/>
    <w:rsid w:val="5F2C6DDD"/>
    <w:rsid w:val="5F2F6518"/>
    <w:rsid w:val="5F325386"/>
    <w:rsid w:val="5F33E2C2"/>
    <w:rsid w:val="5F36A4C0"/>
    <w:rsid w:val="5F383E34"/>
    <w:rsid w:val="5F38E9E8"/>
    <w:rsid w:val="5F3A0F00"/>
    <w:rsid w:val="5F3AFA08"/>
    <w:rsid w:val="5F3F2163"/>
    <w:rsid w:val="5F4648B3"/>
    <w:rsid w:val="5F46B716"/>
    <w:rsid w:val="5F4AD03D"/>
    <w:rsid w:val="5F4E7384"/>
    <w:rsid w:val="5F56A9A0"/>
    <w:rsid w:val="5F61BD31"/>
    <w:rsid w:val="5F63D4EB"/>
    <w:rsid w:val="5F720991"/>
    <w:rsid w:val="5F722977"/>
    <w:rsid w:val="5F745656"/>
    <w:rsid w:val="5F77C06E"/>
    <w:rsid w:val="5F8BBC7B"/>
    <w:rsid w:val="5F9473DD"/>
    <w:rsid w:val="5F948344"/>
    <w:rsid w:val="5F97EF72"/>
    <w:rsid w:val="5F991185"/>
    <w:rsid w:val="5F999CB7"/>
    <w:rsid w:val="5F9A1FAF"/>
    <w:rsid w:val="5F9B6CCD"/>
    <w:rsid w:val="5F9DE13E"/>
    <w:rsid w:val="5FA31815"/>
    <w:rsid w:val="5FA806C9"/>
    <w:rsid w:val="5FAE6C6F"/>
    <w:rsid w:val="5FBA4968"/>
    <w:rsid w:val="5FBA5193"/>
    <w:rsid w:val="5FBC0446"/>
    <w:rsid w:val="5FC5D3BE"/>
    <w:rsid w:val="5FC7DCFF"/>
    <w:rsid w:val="5FCC7137"/>
    <w:rsid w:val="5FCC8588"/>
    <w:rsid w:val="5FD2ACA9"/>
    <w:rsid w:val="5FD2ED10"/>
    <w:rsid w:val="5FD687B9"/>
    <w:rsid w:val="5FD6882E"/>
    <w:rsid w:val="5FDC25B3"/>
    <w:rsid w:val="5FDE7E6B"/>
    <w:rsid w:val="5FE9882C"/>
    <w:rsid w:val="5FF2C150"/>
    <w:rsid w:val="5FF30C35"/>
    <w:rsid w:val="5FF6D61A"/>
    <w:rsid w:val="5FF80928"/>
    <w:rsid w:val="5FFA4BD5"/>
    <w:rsid w:val="5FFD50AF"/>
    <w:rsid w:val="6006E609"/>
    <w:rsid w:val="600BE7E8"/>
    <w:rsid w:val="600E3495"/>
    <w:rsid w:val="601743E4"/>
    <w:rsid w:val="6018FCEA"/>
    <w:rsid w:val="601F2E27"/>
    <w:rsid w:val="601FAF83"/>
    <w:rsid w:val="60281129"/>
    <w:rsid w:val="60291ECF"/>
    <w:rsid w:val="602E0424"/>
    <w:rsid w:val="6036B6EE"/>
    <w:rsid w:val="6039B3B7"/>
    <w:rsid w:val="603EA3EB"/>
    <w:rsid w:val="60457672"/>
    <w:rsid w:val="60496A6C"/>
    <w:rsid w:val="604EFC81"/>
    <w:rsid w:val="604F231A"/>
    <w:rsid w:val="60510389"/>
    <w:rsid w:val="6054D08D"/>
    <w:rsid w:val="605B4912"/>
    <w:rsid w:val="605E1E5E"/>
    <w:rsid w:val="606015E6"/>
    <w:rsid w:val="606597A2"/>
    <w:rsid w:val="607EA069"/>
    <w:rsid w:val="6080BF48"/>
    <w:rsid w:val="6084BB0A"/>
    <w:rsid w:val="60886D2C"/>
    <w:rsid w:val="608D4BDF"/>
    <w:rsid w:val="608F310A"/>
    <w:rsid w:val="609114B5"/>
    <w:rsid w:val="609440DD"/>
    <w:rsid w:val="609849E4"/>
    <w:rsid w:val="6099BB81"/>
    <w:rsid w:val="609DF7B1"/>
    <w:rsid w:val="609EA7DD"/>
    <w:rsid w:val="60A100AB"/>
    <w:rsid w:val="60A4C764"/>
    <w:rsid w:val="60A9032B"/>
    <w:rsid w:val="60AD1887"/>
    <w:rsid w:val="60B8DC97"/>
    <w:rsid w:val="60B97012"/>
    <w:rsid w:val="60F04902"/>
    <w:rsid w:val="60F10338"/>
    <w:rsid w:val="60F2472B"/>
    <w:rsid w:val="60FAD037"/>
    <w:rsid w:val="6100E04B"/>
    <w:rsid w:val="61099A4D"/>
    <w:rsid w:val="61099D54"/>
    <w:rsid w:val="610E9E51"/>
    <w:rsid w:val="61139660"/>
    <w:rsid w:val="611D641F"/>
    <w:rsid w:val="612095EF"/>
    <w:rsid w:val="61278379"/>
    <w:rsid w:val="6134AFBE"/>
    <w:rsid w:val="613B0E21"/>
    <w:rsid w:val="61419F79"/>
    <w:rsid w:val="6143A2DC"/>
    <w:rsid w:val="61445D69"/>
    <w:rsid w:val="614BB909"/>
    <w:rsid w:val="614BCE30"/>
    <w:rsid w:val="61507632"/>
    <w:rsid w:val="61509B61"/>
    <w:rsid w:val="6153BA79"/>
    <w:rsid w:val="615CA84E"/>
    <w:rsid w:val="615D7747"/>
    <w:rsid w:val="616123C8"/>
    <w:rsid w:val="6164C18F"/>
    <w:rsid w:val="61749AAA"/>
    <w:rsid w:val="61775E02"/>
    <w:rsid w:val="617839AA"/>
    <w:rsid w:val="61827BE4"/>
    <w:rsid w:val="6187D8D8"/>
    <w:rsid w:val="61908940"/>
    <w:rsid w:val="6196EA66"/>
    <w:rsid w:val="61A37A88"/>
    <w:rsid w:val="61AC97DC"/>
    <w:rsid w:val="61B072DE"/>
    <w:rsid w:val="61B1FE96"/>
    <w:rsid w:val="61B3D2C3"/>
    <w:rsid w:val="61B88C9D"/>
    <w:rsid w:val="61B952F0"/>
    <w:rsid w:val="61BD5B9F"/>
    <w:rsid w:val="61C16F7E"/>
    <w:rsid w:val="61C2A36C"/>
    <w:rsid w:val="61D0D0C1"/>
    <w:rsid w:val="61D36855"/>
    <w:rsid w:val="61DF5CA3"/>
    <w:rsid w:val="61E0E0CA"/>
    <w:rsid w:val="61E383FB"/>
    <w:rsid w:val="61E66E8E"/>
    <w:rsid w:val="61EF05AB"/>
    <w:rsid w:val="61F04881"/>
    <w:rsid w:val="61F0D8BF"/>
    <w:rsid w:val="61F11D21"/>
    <w:rsid w:val="61F34FC2"/>
    <w:rsid w:val="61F39840"/>
    <w:rsid w:val="61F9A2E2"/>
    <w:rsid w:val="61FEE924"/>
    <w:rsid w:val="620040FE"/>
    <w:rsid w:val="620F2BFC"/>
    <w:rsid w:val="6215E295"/>
    <w:rsid w:val="62176D3E"/>
    <w:rsid w:val="62184E38"/>
    <w:rsid w:val="621B401F"/>
    <w:rsid w:val="621C6CBF"/>
    <w:rsid w:val="621D536B"/>
    <w:rsid w:val="621E3169"/>
    <w:rsid w:val="6226BC70"/>
    <w:rsid w:val="6230A34A"/>
    <w:rsid w:val="62314C06"/>
    <w:rsid w:val="623750E7"/>
    <w:rsid w:val="623CFFE2"/>
    <w:rsid w:val="623FB899"/>
    <w:rsid w:val="62419C68"/>
    <w:rsid w:val="62510713"/>
    <w:rsid w:val="625DDF3C"/>
    <w:rsid w:val="62648250"/>
    <w:rsid w:val="626601F7"/>
    <w:rsid w:val="6276096C"/>
    <w:rsid w:val="6278A56B"/>
    <w:rsid w:val="627AE0B9"/>
    <w:rsid w:val="629717A9"/>
    <w:rsid w:val="6298594D"/>
    <w:rsid w:val="629A7514"/>
    <w:rsid w:val="629D67CF"/>
    <w:rsid w:val="629E1B67"/>
    <w:rsid w:val="629F3B32"/>
    <w:rsid w:val="629FC04A"/>
    <w:rsid w:val="62AA201E"/>
    <w:rsid w:val="62ABC04D"/>
    <w:rsid w:val="62AE9093"/>
    <w:rsid w:val="62B226A1"/>
    <w:rsid w:val="62B557EB"/>
    <w:rsid w:val="62C07FDC"/>
    <w:rsid w:val="62D2D15F"/>
    <w:rsid w:val="62D7DED1"/>
    <w:rsid w:val="62DD92F5"/>
    <w:rsid w:val="62DDAD63"/>
    <w:rsid w:val="62DF804E"/>
    <w:rsid w:val="62E29582"/>
    <w:rsid w:val="62E38340"/>
    <w:rsid w:val="62E9B8DA"/>
    <w:rsid w:val="62EB24B1"/>
    <w:rsid w:val="63047A5A"/>
    <w:rsid w:val="630B7067"/>
    <w:rsid w:val="6310F135"/>
    <w:rsid w:val="631E3CB1"/>
    <w:rsid w:val="632681F8"/>
    <w:rsid w:val="632A1E5B"/>
    <w:rsid w:val="6330F42D"/>
    <w:rsid w:val="633545C6"/>
    <w:rsid w:val="633C567F"/>
    <w:rsid w:val="6340881B"/>
    <w:rsid w:val="634EB6AE"/>
    <w:rsid w:val="63509E14"/>
    <w:rsid w:val="6354DBAD"/>
    <w:rsid w:val="6356BBAF"/>
    <w:rsid w:val="6360AD13"/>
    <w:rsid w:val="6361DDAA"/>
    <w:rsid w:val="636EB1F7"/>
    <w:rsid w:val="6374B939"/>
    <w:rsid w:val="6378CD30"/>
    <w:rsid w:val="637CAB7F"/>
    <w:rsid w:val="63828540"/>
    <w:rsid w:val="638676D5"/>
    <w:rsid w:val="6390BE0A"/>
    <w:rsid w:val="639BD174"/>
    <w:rsid w:val="639C2DF0"/>
    <w:rsid w:val="639C837D"/>
    <w:rsid w:val="63A27875"/>
    <w:rsid w:val="63A335C8"/>
    <w:rsid w:val="63A687D8"/>
    <w:rsid w:val="63AD5363"/>
    <w:rsid w:val="63B0A0CC"/>
    <w:rsid w:val="63B103BD"/>
    <w:rsid w:val="63B4695A"/>
    <w:rsid w:val="63B49726"/>
    <w:rsid w:val="63B72801"/>
    <w:rsid w:val="63BB43BF"/>
    <w:rsid w:val="63C844A5"/>
    <w:rsid w:val="63D0783B"/>
    <w:rsid w:val="63D29AF5"/>
    <w:rsid w:val="63D37BA5"/>
    <w:rsid w:val="63D51136"/>
    <w:rsid w:val="63D6CC10"/>
    <w:rsid w:val="63DDAC67"/>
    <w:rsid w:val="63DF6654"/>
    <w:rsid w:val="63DF7EED"/>
    <w:rsid w:val="63E0F4E2"/>
    <w:rsid w:val="63E47D83"/>
    <w:rsid w:val="63E9591E"/>
    <w:rsid w:val="63F249D2"/>
    <w:rsid w:val="63F3C09E"/>
    <w:rsid w:val="63F72E59"/>
    <w:rsid w:val="63FAD649"/>
    <w:rsid w:val="63FC6386"/>
    <w:rsid w:val="63FF4E9C"/>
    <w:rsid w:val="64021327"/>
    <w:rsid w:val="640FC16C"/>
    <w:rsid w:val="6413172B"/>
    <w:rsid w:val="641D80AB"/>
    <w:rsid w:val="642B2EA3"/>
    <w:rsid w:val="642B6E06"/>
    <w:rsid w:val="642DA409"/>
    <w:rsid w:val="642EDA40"/>
    <w:rsid w:val="6439593B"/>
    <w:rsid w:val="643E111B"/>
    <w:rsid w:val="644135F1"/>
    <w:rsid w:val="6441A1E5"/>
    <w:rsid w:val="6445CAB5"/>
    <w:rsid w:val="6452282D"/>
    <w:rsid w:val="645738B9"/>
    <w:rsid w:val="645FFC90"/>
    <w:rsid w:val="646723C4"/>
    <w:rsid w:val="646B52D5"/>
    <w:rsid w:val="6475585B"/>
    <w:rsid w:val="647ACEE9"/>
    <w:rsid w:val="647AF24A"/>
    <w:rsid w:val="64800CD8"/>
    <w:rsid w:val="6480FEF9"/>
    <w:rsid w:val="648D4BF5"/>
    <w:rsid w:val="649702E3"/>
    <w:rsid w:val="6499D387"/>
    <w:rsid w:val="649A7399"/>
    <w:rsid w:val="649F5739"/>
    <w:rsid w:val="64A0617F"/>
    <w:rsid w:val="64A997A8"/>
    <w:rsid w:val="64A9EDA6"/>
    <w:rsid w:val="64B20A9A"/>
    <w:rsid w:val="64B3D406"/>
    <w:rsid w:val="64BBD51C"/>
    <w:rsid w:val="64BD9288"/>
    <w:rsid w:val="64C08491"/>
    <w:rsid w:val="64C39685"/>
    <w:rsid w:val="64C5D191"/>
    <w:rsid w:val="64CC8B3F"/>
    <w:rsid w:val="64D23132"/>
    <w:rsid w:val="64D2945D"/>
    <w:rsid w:val="64D401B0"/>
    <w:rsid w:val="64D58FFF"/>
    <w:rsid w:val="64DB71E9"/>
    <w:rsid w:val="64DFC9F4"/>
    <w:rsid w:val="64EED71B"/>
    <w:rsid w:val="64F0B0B7"/>
    <w:rsid w:val="64FA5144"/>
    <w:rsid w:val="64FD9296"/>
    <w:rsid w:val="64FE78E1"/>
    <w:rsid w:val="65050E55"/>
    <w:rsid w:val="6509837D"/>
    <w:rsid w:val="6509B93D"/>
    <w:rsid w:val="6512C470"/>
    <w:rsid w:val="65165255"/>
    <w:rsid w:val="651CD306"/>
    <w:rsid w:val="651DC9C9"/>
    <w:rsid w:val="651F8522"/>
    <w:rsid w:val="65218776"/>
    <w:rsid w:val="65222B80"/>
    <w:rsid w:val="6525E78D"/>
    <w:rsid w:val="6527733E"/>
    <w:rsid w:val="65346651"/>
    <w:rsid w:val="6535D325"/>
    <w:rsid w:val="653A93D1"/>
    <w:rsid w:val="654564CC"/>
    <w:rsid w:val="65457FE0"/>
    <w:rsid w:val="654841B5"/>
    <w:rsid w:val="654B95EA"/>
    <w:rsid w:val="655222CA"/>
    <w:rsid w:val="655942D9"/>
    <w:rsid w:val="65613645"/>
    <w:rsid w:val="6561D0CB"/>
    <w:rsid w:val="656A7CD3"/>
    <w:rsid w:val="6571B596"/>
    <w:rsid w:val="65765F33"/>
    <w:rsid w:val="6577D089"/>
    <w:rsid w:val="657963AE"/>
    <w:rsid w:val="657D1240"/>
    <w:rsid w:val="658CC52E"/>
    <w:rsid w:val="6594D868"/>
    <w:rsid w:val="65974BA2"/>
    <w:rsid w:val="659875E3"/>
    <w:rsid w:val="6599AF8C"/>
    <w:rsid w:val="65A4E46E"/>
    <w:rsid w:val="65A56BB5"/>
    <w:rsid w:val="65A744F9"/>
    <w:rsid w:val="65ABA65E"/>
    <w:rsid w:val="65ACB437"/>
    <w:rsid w:val="65AD1537"/>
    <w:rsid w:val="65B16515"/>
    <w:rsid w:val="65B76061"/>
    <w:rsid w:val="65C68517"/>
    <w:rsid w:val="65D92E5E"/>
    <w:rsid w:val="65DA6842"/>
    <w:rsid w:val="65E7D8F6"/>
    <w:rsid w:val="65EEDB38"/>
    <w:rsid w:val="65F3C944"/>
    <w:rsid w:val="65FA2EBB"/>
    <w:rsid w:val="65FB83AC"/>
    <w:rsid w:val="65FF4AAD"/>
    <w:rsid w:val="66158AB2"/>
    <w:rsid w:val="66175281"/>
    <w:rsid w:val="661A8960"/>
    <w:rsid w:val="662321EA"/>
    <w:rsid w:val="662451EC"/>
    <w:rsid w:val="662CC594"/>
    <w:rsid w:val="66436BD1"/>
    <w:rsid w:val="664784E3"/>
    <w:rsid w:val="664ED13F"/>
    <w:rsid w:val="6650FB83"/>
    <w:rsid w:val="66593C9F"/>
    <w:rsid w:val="665EC7A8"/>
    <w:rsid w:val="6660DA21"/>
    <w:rsid w:val="666224D6"/>
    <w:rsid w:val="66650D0B"/>
    <w:rsid w:val="66676B2D"/>
    <w:rsid w:val="6669C54A"/>
    <w:rsid w:val="666CD048"/>
    <w:rsid w:val="666D7BE6"/>
    <w:rsid w:val="666DCCC6"/>
    <w:rsid w:val="6672F88E"/>
    <w:rsid w:val="6676D59A"/>
    <w:rsid w:val="66776028"/>
    <w:rsid w:val="6677FEB2"/>
    <w:rsid w:val="66780196"/>
    <w:rsid w:val="66781EBF"/>
    <w:rsid w:val="667D1412"/>
    <w:rsid w:val="66841C22"/>
    <w:rsid w:val="668A4EDE"/>
    <w:rsid w:val="668BC20E"/>
    <w:rsid w:val="669EFD93"/>
    <w:rsid w:val="66A16EF1"/>
    <w:rsid w:val="66A88599"/>
    <w:rsid w:val="66B9D923"/>
    <w:rsid w:val="66BB2868"/>
    <w:rsid w:val="66C05E75"/>
    <w:rsid w:val="66C200A9"/>
    <w:rsid w:val="66C5D146"/>
    <w:rsid w:val="66C86B63"/>
    <w:rsid w:val="66CAC66C"/>
    <w:rsid w:val="66CBF3C2"/>
    <w:rsid w:val="66CCF7A9"/>
    <w:rsid w:val="66CDE4CC"/>
    <w:rsid w:val="66CFE074"/>
    <w:rsid w:val="66D3A337"/>
    <w:rsid w:val="66DAD340"/>
    <w:rsid w:val="66E02E8A"/>
    <w:rsid w:val="66EFDDB8"/>
    <w:rsid w:val="66F115F1"/>
    <w:rsid w:val="66F24043"/>
    <w:rsid w:val="66F3A920"/>
    <w:rsid w:val="66F643F1"/>
    <w:rsid w:val="66F73ED5"/>
    <w:rsid w:val="66F89528"/>
    <w:rsid w:val="66F8D3F6"/>
    <w:rsid w:val="66FBCC79"/>
    <w:rsid w:val="66FD642C"/>
    <w:rsid w:val="66FD700A"/>
    <w:rsid w:val="6702FE6C"/>
    <w:rsid w:val="67086D2C"/>
    <w:rsid w:val="6718994F"/>
    <w:rsid w:val="671CBAB0"/>
    <w:rsid w:val="671F8BFC"/>
    <w:rsid w:val="672AD352"/>
    <w:rsid w:val="67325386"/>
    <w:rsid w:val="673B54C1"/>
    <w:rsid w:val="673E15A2"/>
    <w:rsid w:val="67477B70"/>
    <w:rsid w:val="675168CD"/>
    <w:rsid w:val="67557022"/>
    <w:rsid w:val="6759488D"/>
    <w:rsid w:val="67619BB4"/>
    <w:rsid w:val="676FFA84"/>
    <w:rsid w:val="6775F8E5"/>
    <w:rsid w:val="677BD78B"/>
    <w:rsid w:val="67836F45"/>
    <w:rsid w:val="67846C96"/>
    <w:rsid w:val="67862492"/>
    <w:rsid w:val="67865548"/>
    <w:rsid w:val="6787B6DE"/>
    <w:rsid w:val="679852F0"/>
    <w:rsid w:val="67999927"/>
    <w:rsid w:val="679D26B2"/>
    <w:rsid w:val="67A78800"/>
    <w:rsid w:val="67AFFA9F"/>
    <w:rsid w:val="67C33DBF"/>
    <w:rsid w:val="67C95B5A"/>
    <w:rsid w:val="67D9F16A"/>
    <w:rsid w:val="67DBEE16"/>
    <w:rsid w:val="67DF74CC"/>
    <w:rsid w:val="67E2DAB1"/>
    <w:rsid w:val="67E66A42"/>
    <w:rsid w:val="67E6A9B6"/>
    <w:rsid w:val="67EA734C"/>
    <w:rsid w:val="67ECBB3F"/>
    <w:rsid w:val="67EF7521"/>
    <w:rsid w:val="67F2A79B"/>
    <w:rsid w:val="68011B52"/>
    <w:rsid w:val="6801880F"/>
    <w:rsid w:val="6802F32B"/>
    <w:rsid w:val="680418E3"/>
    <w:rsid w:val="680E8BB1"/>
    <w:rsid w:val="681415AF"/>
    <w:rsid w:val="6815A857"/>
    <w:rsid w:val="681CF32A"/>
    <w:rsid w:val="68233AD8"/>
    <w:rsid w:val="6825D228"/>
    <w:rsid w:val="6828B60C"/>
    <w:rsid w:val="682D8362"/>
    <w:rsid w:val="68368E3F"/>
    <w:rsid w:val="683BA5FE"/>
    <w:rsid w:val="683CFCD2"/>
    <w:rsid w:val="6845E789"/>
    <w:rsid w:val="685A8F60"/>
    <w:rsid w:val="685AAE68"/>
    <w:rsid w:val="6867730E"/>
    <w:rsid w:val="686FF37E"/>
    <w:rsid w:val="68762911"/>
    <w:rsid w:val="687D2D15"/>
    <w:rsid w:val="6885EDF5"/>
    <w:rsid w:val="68862948"/>
    <w:rsid w:val="688A585F"/>
    <w:rsid w:val="6893C2CC"/>
    <w:rsid w:val="68952A53"/>
    <w:rsid w:val="689924EB"/>
    <w:rsid w:val="68A9F53B"/>
    <w:rsid w:val="68B18BD2"/>
    <w:rsid w:val="68B30EC9"/>
    <w:rsid w:val="68BC8A8F"/>
    <w:rsid w:val="68C5F2E7"/>
    <w:rsid w:val="68CD9F3B"/>
    <w:rsid w:val="68CEDEAF"/>
    <w:rsid w:val="68D075D8"/>
    <w:rsid w:val="68D16D1B"/>
    <w:rsid w:val="68E3C56C"/>
    <w:rsid w:val="68E75F0C"/>
    <w:rsid w:val="68E86134"/>
    <w:rsid w:val="68F06593"/>
    <w:rsid w:val="68FABC8F"/>
    <w:rsid w:val="68FCAD7F"/>
    <w:rsid w:val="68FE4095"/>
    <w:rsid w:val="6900E544"/>
    <w:rsid w:val="6901E8A9"/>
    <w:rsid w:val="69084641"/>
    <w:rsid w:val="6911A025"/>
    <w:rsid w:val="6913C26D"/>
    <w:rsid w:val="69144A15"/>
    <w:rsid w:val="6915165C"/>
    <w:rsid w:val="691D8D32"/>
    <w:rsid w:val="692187F7"/>
    <w:rsid w:val="692312E4"/>
    <w:rsid w:val="69247D5B"/>
    <w:rsid w:val="6925DBEF"/>
    <w:rsid w:val="692B4D0F"/>
    <w:rsid w:val="692E955E"/>
    <w:rsid w:val="6931B615"/>
    <w:rsid w:val="6931C46D"/>
    <w:rsid w:val="693255FA"/>
    <w:rsid w:val="69338455"/>
    <w:rsid w:val="6936A040"/>
    <w:rsid w:val="69402722"/>
    <w:rsid w:val="69460E0B"/>
    <w:rsid w:val="694783E3"/>
    <w:rsid w:val="694B0212"/>
    <w:rsid w:val="695435B7"/>
    <w:rsid w:val="6954AE1D"/>
    <w:rsid w:val="6954C6AC"/>
    <w:rsid w:val="6955CBBC"/>
    <w:rsid w:val="695A89D5"/>
    <w:rsid w:val="695B40D0"/>
    <w:rsid w:val="695B42C2"/>
    <w:rsid w:val="695B85AF"/>
    <w:rsid w:val="6967821F"/>
    <w:rsid w:val="6974B30C"/>
    <w:rsid w:val="6974DF48"/>
    <w:rsid w:val="69771927"/>
    <w:rsid w:val="697D9BFC"/>
    <w:rsid w:val="697FCF04"/>
    <w:rsid w:val="69862850"/>
    <w:rsid w:val="699CDC24"/>
    <w:rsid w:val="699D41A2"/>
    <w:rsid w:val="69A476A8"/>
    <w:rsid w:val="69B868F9"/>
    <w:rsid w:val="69BD50E2"/>
    <w:rsid w:val="69C8F28E"/>
    <w:rsid w:val="69CBD8E9"/>
    <w:rsid w:val="69DCADDB"/>
    <w:rsid w:val="69E9A1DE"/>
    <w:rsid w:val="69F0C9C5"/>
    <w:rsid w:val="69F4435E"/>
    <w:rsid w:val="69F6A526"/>
    <w:rsid w:val="6A080B10"/>
    <w:rsid w:val="6A103CB9"/>
    <w:rsid w:val="6A105D13"/>
    <w:rsid w:val="6A15B46B"/>
    <w:rsid w:val="6A15B627"/>
    <w:rsid w:val="6A15F120"/>
    <w:rsid w:val="6A231D72"/>
    <w:rsid w:val="6A255D3B"/>
    <w:rsid w:val="6A2DB916"/>
    <w:rsid w:val="6A2FCC1C"/>
    <w:rsid w:val="6A33DC40"/>
    <w:rsid w:val="6A34CFF3"/>
    <w:rsid w:val="6A3AFC5F"/>
    <w:rsid w:val="6A3D5731"/>
    <w:rsid w:val="6A4EBD6D"/>
    <w:rsid w:val="6A5267B6"/>
    <w:rsid w:val="6A56DEBD"/>
    <w:rsid w:val="6A5F01A7"/>
    <w:rsid w:val="6A6184FB"/>
    <w:rsid w:val="6A694754"/>
    <w:rsid w:val="6A6D36A0"/>
    <w:rsid w:val="6A7296C8"/>
    <w:rsid w:val="6A79DC88"/>
    <w:rsid w:val="6A7B1C5A"/>
    <w:rsid w:val="6A7FD29B"/>
    <w:rsid w:val="6A8590F1"/>
    <w:rsid w:val="6A85DABB"/>
    <w:rsid w:val="6A8CE6FF"/>
    <w:rsid w:val="6A9681A7"/>
    <w:rsid w:val="6A9CCAB4"/>
    <w:rsid w:val="6AA14595"/>
    <w:rsid w:val="6AA48452"/>
    <w:rsid w:val="6AABCFDE"/>
    <w:rsid w:val="6AAC7114"/>
    <w:rsid w:val="6AB5D687"/>
    <w:rsid w:val="6AB699E1"/>
    <w:rsid w:val="6AB733FE"/>
    <w:rsid w:val="6AC404D9"/>
    <w:rsid w:val="6AC7E7FB"/>
    <w:rsid w:val="6AC95F1F"/>
    <w:rsid w:val="6AD41D9E"/>
    <w:rsid w:val="6AD490B6"/>
    <w:rsid w:val="6AD6B7BB"/>
    <w:rsid w:val="6AD739B6"/>
    <w:rsid w:val="6AD773A1"/>
    <w:rsid w:val="6ADECB15"/>
    <w:rsid w:val="6AE89457"/>
    <w:rsid w:val="6AED4557"/>
    <w:rsid w:val="6AEEBB37"/>
    <w:rsid w:val="6AEF3EEA"/>
    <w:rsid w:val="6AF1AFEF"/>
    <w:rsid w:val="6AF5433A"/>
    <w:rsid w:val="6AF733BE"/>
    <w:rsid w:val="6AF9050F"/>
    <w:rsid w:val="6B01E0CB"/>
    <w:rsid w:val="6B022A82"/>
    <w:rsid w:val="6B058ABD"/>
    <w:rsid w:val="6B0793B0"/>
    <w:rsid w:val="6B09B3CA"/>
    <w:rsid w:val="6B10E8E4"/>
    <w:rsid w:val="6B112850"/>
    <w:rsid w:val="6B11ABF9"/>
    <w:rsid w:val="6B1387A1"/>
    <w:rsid w:val="6B177407"/>
    <w:rsid w:val="6B1E90CC"/>
    <w:rsid w:val="6B236FF0"/>
    <w:rsid w:val="6B23CCC6"/>
    <w:rsid w:val="6B2452BF"/>
    <w:rsid w:val="6B250309"/>
    <w:rsid w:val="6B269223"/>
    <w:rsid w:val="6B2E15B5"/>
    <w:rsid w:val="6B38E764"/>
    <w:rsid w:val="6B39228D"/>
    <w:rsid w:val="6B3BF972"/>
    <w:rsid w:val="6B46448C"/>
    <w:rsid w:val="6B471F97"/>
    <w:rsid w:val="6B4A7CEB"/>
    <w:rsid w:val="6B4DB0FA"/>
    <w:rsid w:val="6B51015D"/>
    <w:rsid w:val="6B540120"/>
    <w:rsid w:val="6B5485EB"/>
    <w:rsid w:val="6B5B06F4"/>
    <w:rsid w:val="6B5E1590"/>
    <w:rsid w:val="6B5F92E0"/>
    <w:rsid w:val="6B625D59"/>
    <w:rsid w:val="6B63738A"/>
    <w:rsid w:val="6B6376F2"/>
    <w:rsid w:val="6B64F4A8"/>
    <w:rsid w:val="6B6581B9"/>
    <w:rsid w:val="6B6F5971"/>
    <w:rsid w:val="6B762F53"/>
    <w:rsid w:val="6B7F2258"/>
    <w:rsid w:val="6B8594C2"/>
    <w:rsid w:val="6B8F93C2"/>
    <w:rsid w:val="6B8FC463"/>
    <w:rsid w:val="6B959EC6"/>
    <w:rsid w:val="6B963C0B"/>
    <w:rsid w:val="6BA0104C"/>
    <w:rsid w:val="6BA87EBA"/>
    <w:rsid w:val="6BA8E3C3"/>
    <w:rsid w:val="6BA933B5"/>
    <w:rsid w:val="6BAECC59"/>
    <w:rsid w:val="6BB7E1A7"/>
    <w:rsid w:val="6BBF4C9E"/>
    <w:rsid w:val="6BC098AF"/>
    <w:rsid w:val="6BC21E4C"/>
    <w:rsid w:val="6BC803F6"/>
    <w:rsid w:val="6BCDFB96"/>
    <w:rsid w:val="6BD15FB6"/>
    <w:rsid w:val="6BD40875"/>
    <w:rsid w:val="6BD69719"/>
    <w:rsid w:val="6BD71C26"/>
    <w:rsid w:val="6BD89DD5"/>
    <w:rsid w:val="6BD9111F"/>
    <w:rsid w:val="6BDAB6D9"/>
    <w:rsid w:val="6BE02BF9"/>
    <w:rsid w:val="6BE0D39F"/>
    <w:rsid w:val="6BE12098"/>
    <w:rsid w:val="6BE1FE87"/>
    <w:rsid w:val="6BEB34B2"/>
    <w:rsid w:val="6BEB6273"/>
    <w:rsid w:val="6BEE1B81"/>
    <w:rsid w:val="6BF1C2CD"/>
    <w:rsid w:val="6BF4616B"/>
    <w:rsid w:val="6BF6A14C"/>
    <w:rsid w:val="6BFB7B5D"/>
    <w:rsid w:val="6BFC8902"/>
    <w:rsid w:val="6C02692D"/>
    <w:rsid w:val="6C03DE44"/>
    <w:rsid w:val="6C040901"/>
    <w:rsid w:val="6C0DDE53"/>
    <w:rsid w:val="6C10A6E6"/>
    <w:rsid w:val="6C258C61"/>
    <w:rsid w:val="6C2730D2"/>
    <w:rsid w:val="6C2871A8"/>
    <w:rsid w:val="6C29910D"/>
    <w:rsid w:val="6C2F2A27"/>
    <w:rsid w:val="6C2FC789"/>
    <w:rsid w:val="6C30776C"/>
    <w:rsid w:val="6C48096B"/>
    <w:rsid w:val="6C524143"/>
    <w:rsid w:val="6C699E11"/>
    <w:rsid w:val="6C6AEAD2"/>
    <w:rsid w:val="6C6C91F4"/>
    <w:rsid w:val="6C6E2876"/>
    <w:rsid w:val="6C7533FD"/>
    <w:rsid w:val="6C757038"/>
    <w:rsid w:val="6C7FEED8"/>
    <w:rsid w:val="6C803513"/>
    <w:rsid w:val="6C90DF60"/>
    <w:rsid w:val="6C9322B6"/>
    <w:rsid w:val="6C950833"/>
    <w:rsid w:val="6C983A44"/>
    <w:rsid w:val="6C9B3E1B"/>
    <w:rsid w:val="6CA53297"/>
    <w:rsid w:val="6CA54F8E"/>
    <w:rsid w:val="6CACFE95"/>
    <w:rsid w:val="6CB1EED9"/>
    <w:rsid w:val="6CB7F380"/>
    <w:rsid w:val="6CB8B67A"/>
    <w:rsid w:val="6CBC2E53"/>
    <w:rsid w:val="6CC02E48"/>
    <w:rsid w:val="6CCE67D2"/>
    <w:rsid w:val="6CCE8D8F"/>
    <w:rsid w:val="6CCFB808"/>
    <w:rsid w:val="6CD2133B"/>
    <w:rsid w:val="6CD45CD7"/>
    <w:rsid w:val="6CD5EACF"/>
    <w:rsid w:val="6CDD41E9"/>
    <w:rsid w:val="6CE83665"/>
    <w:rsid w:val="6CEF1958"/>
    <w:rsid w:val="6CF21402"/>
    <w:rsid w:val="6CF51CD4"/>
    <w:rsid w:val="6CF543CC"/>
    <w:rsid w:val="6CF87751"/>
    <w:rsid w:val="6CFC5F96"/>
    <w:rsid w:val="6CFDADA7"/>
    <w:rsid w:val="6D004233"/>
    <w:rsid w:val="6D08B1B9"/>
    <w:rsid w:val="6D0A1EE5"/>
    <w:rsid w:val="6D0D32AF"/>
    <w:rsid w:val="6D14537F"/>
    <w:rsid w:val="6D171CEA"/>
    <w:rsid w:val="6D1947EA"/>
    <w:rsid w:val="6D199205"/>
    <w:rsid w:val="6D241992"/>
    <w:rsid w:val="6D2E2891"/>
    <w:rsid w:val="6D2F32C9"/>
    <w:rsid w:val="6D3F65F9"/>
    <w:rsid w:val="6D43934E"/>
    <w:rsid w:val="6D46535D"/>
    <w:rsid w:val="6D4A9A9A"/>
    <w:rsid w:val="6D4B1A48"/>
    <w:rsid w:val="6D4DE503"/>
    <w:rsid w:val="6D4E8C9A"/>
    <w:rsid w:val="6D501A23"/>
    <w:rsid w:val="6D501AD8"/>
    <w:rsid w:val="6D527DAB"/>
    <w:rsid w:val="6D568379"/>
    <w:rsid w:val="6D5BFAB8"/>
    <w:rsid w:val="6D5FD1F9"/>
    <w:rsid w:val="6D6D5A2A"/>
    <w:rsid w:val="6D6EAF19"/>
    <w:rsid w:val="6D744368"/>
    <w:rsid w:val="6D749C75"/>
    <w:rsid w:val="6D764507"/>
    <w:rsid w:val="6D797666"/>
    <w:rsid w:val="6D7A0BEE"/>
    <w:rsid w:val="6D7E1769"/>
    <w:rsid w:val="6D7E90DE"/>
    <w:rsid w:val="6D804509"/>
    <w:rsid w:val="6D832A00"/>
    <w:rsid w:val="6D8D9F32"/>
    <w:rsid w:val="6D8FB442"/>
    <w:rsid w:val="6D938E7D"/>
    <w:rsid w:val="6D98F012"/>
    <w:rsid w:val="6DA6A099"/>
    <w:rsid w:val="6DAC2EF0"/>
    <w:rsid w:val="6DAFC82A"/>
    <w:rsid w:val="6DB20690"/>
    <w:rsid w:val="6DB23E16"/>
    <w:rsid w:val="6DB28DEA"/>
    <w:rsid w:val="6DB8A307"/>
    <w:rsid w:val="6DB8B66B"/>
    <w:rsid w:val="6DBDA1F9"/>
    <w:rsid w:val="6DBDB8A9"/>
    <w:rsid w:val="6DBE4EBB"/>
    <w:rsid w:val="6DCCEE38"/>
    <w:rsid w:val="6DD21E80"/>
    <w:rsid w:val="6DD7C511"/>
    <w:rsid w:val="6DDA2781"/>
    <w:rsid w:val="6DDB3D33"/>
    <w:rsid w:val="6DDD2F6F"/>
    <w:rsid w:val="6DF023E4"/>
    <w:rsid w:val="6DF11EB9"/>
    <w:rsid w:val="6DF3E4B2"/>
    <w:rsid w:val="6DF51F4C"/>
    <w:rsid w:val="6DF72C1F"/>
    <w:rsid w:val="6DFB709D"/>
    <w:rsid w:val="6DFE9918"/>
    <w:rsid w:val="6E03C8CD"/>
    <w:rsid w:val="6E0626D0"/>
    <w:rsid w:val="6E0C5168"/>
    <w:rsid w:val="6E152DF8"/>
    <w:rsid w:val="6E1CAFD4"/>
    <w:rsid w:val="6E2131DA"/>
    <w:rsid w:val="6E2AD52A"/>
    <w:rsid w:val="6E2AEC2A"/>
    <w:rsid w:val="6E2C3CEB"/>
    <w:rsid w:val="6E338BD4"/>
    <w:rsid w:val="6E35AE6F"/>
    <w:rsid w:val="6E37808A"/>
    <w:rsid w:val="6E3F07DD"/>
    <w:rsid w:val="6E405218"/>
    <w:rsid w:val="6E426274"/>
    <w:rsid w:val="6E4DDA7A"/>
    <w:rsid w:val="6E4EFCB4"/>
    <w:rsid w:val="6E4F5715"/>
    <w:rsid w:val="6E560C93"/>
    <w:rsid w:val="6E5B17D6"/>
    <w:rsid w:val="6E5B609E"/>
    <w:rsid w:val="6E601C36"/>
    <w:rsid w:val="6E648F54"/>
    <w:rsid w:val="6E758910"/>
    <w:rsid w:val="6E792ADB"/>
    <w:rsid w:val="6E7C2F0F"/>
    <w:rsid w:val="6E820BDE"/>
    <w:rsid w:val="6E83F46C"/>
    <w:rsid w:val="6E8B2280"/>
    <w:rsid w:val="6E90903F"/>
    <w:rsid w:val="6E92401B"/>
    <w:rsid w:val="6E940CFD"/>
    <w:rsid w:val="6E998AAF"/>
    <w:rsid w:val="6EA1851D"/>
    <w:rsid w:val="6EA7F9D9"/>
    <w:rsid w:val="6EAA6BB4"/>
    <w:rsid w:val="6EB0673B"/>
    <w:rsid w:val="6EB3F009"/>
    <w:rsid w:val="6EB4B32A"/>
    <w:rsid w:val="6EB747D6"/>
    <w:rsid w:val="6EB8D573"/>
    <w:rsid w:val="6EB9772B"/>
    <w:rsid w:val="6EC751CF"/>
    <w:rsid w:val="6ECB94A0"/>
    <w:rsid w:val="6ECC6C07"/>
    <w:rsid w:val="6ECD0573"/>
    <w:rsid w:val="6ED4945A"/>
    <w:rsid w:val="6EDF7207"/>
    <w:rsid w:val="6EE75BBE"/>
    <w:rsid w:val="6EE7F251"/>
    <w:rsid w:val="6EE83563"/>
    <w:rsid w:val="6EEAE2EF"/>
    <w:rsid w:val="6EED51CB"/>
    <w:rsid w:val="6EEDB0D8"/>
    <w:rsid w:val="6EEE0613"/>
    <w:rsid w:val="6EF59DB9"/>
    <w:rsid w:val="6EFBD564"/>
    <w:rsid w:val="6F03BB42"/>
    <w:rsid w:val="6F06CEA4"/>
    <w:rsid w:val="6F09E54E"/>
    <w:rsid w:val="6F0CA3F2"/>
    <w:rsid w:val="6F15551E"/>
    <w:rsid w:val="6F1FF9B7"/>
    <w:rsid w:val="6F2738E7"/>
    <w:rsid w:val="6F30CFEA"/>
    <w:rsid w:val="6F35E8A0"/>
    <w:rsid w:val="6F36747B"/>
    <w:rsid w:val="6F377522"/>
    <w:rsid w:val="6F3C2773"/>
    <w:rsid w:val="6F3D5660"/>
    <w:rsid w:val="6F3F43A7"/>
    <w:rsid w:val="6F453339"/>
    <w:rsid w:val="6F47A260"/>
    <w:rsid w:val="6F4C850F"/>
    <w:rsid w:val="6F5417B5"/>
    <w:rsid w:val="6F5EF5C4"/>
    <w:rsid w:val="6F5FEF14"/>
    <w:rsid w:val="6F6543CE"/>
    <w:rsid w:val="6F672D58"/>
    <w:rsid w:val="6F6C43A6"/>
    <w:rsid w:val="6F6EBD21"/>
    <w:rsid w:val="6F703DA0"/>
    <w:rsid w:val="6F74FE6A"/>
    <w:rsid w:val="6F85FEAC"/>
    <w:rsid w:val="6F8743AF"/>
    <w:rsid w:val="6F89171B"/>
    <w:rsid w:val="6F96E749"/>
    <w:rsid w:val="6F9AF264"/>
    <w:rsid w:val="6FA1540F"/>
    <w:rsid w:val="6FA54D3F"/>
    <w:rsid w:val="6FA64FA8"/>
    <w:rsid w:val="6FA82E78"/>
    <w:rsid w:val="6FAE1FC6"/>
    <w:rsid w:val="6FC63DF4"/>
    <w:rsid w:val="6FC7B00D"/>
    <w:rsid w:val="6FCE3D89"/>
    <w:rsid w:val="6FD1617A"/>
    <w:rsid w:val="6FD350F7"/>
    <w:rsid w:val="6FDB137D"/>
    <w:rsid w:val="6FE9B018"/>
    <w:rsid w:val="6FEDFA99"/>
    <w:rsid w:val="6FF5315A"/>
    <w:rsid w:val="70054335"/>
    <w:rsid w:val="70085731"/>
    <w:rsid w:val="700B880C"/>
    <w:rsid w:val="70135888"/>
    <w:rsid w:val="7017F3F3"/>
    <w:rsid w:val="7022FD0A"/>
    <w:rsid w:val="7023E1F7"/>
    <w:rsid w:val="70285BFB"/>
    <w:rsid w:val="702953D8"/>
    <w:rsid w:val="702C0D1A"/>
    <w:rsid w:val="702D6821"/>
    <w:rsid w:val="7030BFA7"/>
    <w:rsid w:val="70399877"/>
    <w:rsid w:val="703A6C9E"/>
    <w:rsid w:val="70422360"/>
    <w:rsid w:val="70427D2C"/>
    <w:rsid w:val="7046960D"/>
    <w:rsid w:val="70484B71"/>
    <w:rsid w:val="704B3E1A"/>
    <w:rsid w:val="704D9829"/>
    <w:rsid w:val="70527FD4"/>
    <w:rsid w:val="70540BC1"/>
    <w:rsid w:val="70583A18"/>
    <w:rsid w:val="705DF8C2"/>
    <w:rsid w:val="7063F7F0"/>
    <w:rsid w:val="706951FA"/>
    <w:rsid w:val="7072A0A1"/>
    <w:rsid w:val="70790FB4"/>
    <w:rsid w:val="707977CE"/>
    <w:rsid w:val="707F536A"/>
    <w:rsid w:val="707F5EF8"/>
    <w:rsid w:val="70801564"/>
    <w:rsid w:val="7088FFBB"/>
    <w:rsid w:val="70A278C0"/>
    <w:rsid w:val="70A9880A"/>
    <w:rsid w:val="70AA8E02"/>
    <w:rsid w:val="70AC94DB"/>
    <w:rsid w:val="70AEA43F"/>
    <w:rsid w:val="70AEADDC"/>
    <w:rsid w:val="70B02B76"/>
    <w:rsid w:val="70B40C18"/>
    <w:rsid w:val="70B54618"/>
    <w:rsid w:val="70BD4DD2"/>
    <w:rsid w:val="70C11976"/>
    <w:rsid w:val="70C47519"/>
    <w:rsid w:val="70D05738"/>
    <w:rsid w:val="70D30F38"/>
    <w:rsid w:val="70D5588F"/>
    <w:rsid w:val="70DF09F6"/>
    <w:rsid w:val="70E19C8B"/>
    <w:rsid w:val="70E3D65D"/>
    <w:rsid w:val="70E3F392"/>
    <w:rsid w:val="70E89772"/>
    <w:rsid w:val="70E9FCB5"/>
    <w:rsid w:val="70EA18F2"/>
    <w:rsid w:val="70EF7983"/>
    <w:rsid w:val="70F3CC08"/>
    <w:rsid w:val="70F44E47"/>
    <w:rsid w:val="70F97E39"/>
    <w:rsid w:val="710551C2"/>
    <w:rsid w:val="7105DA66"/>
    <w:rsid w:val="7116744F"/>
    <w:rsid w:val="7118F245"/>
    <w:rsid w:val="711B97ED"/>
    <w:rsid w:val="711D8B68"/>
    <w:rsid w:val="7120F20C"/>
    <w:rsid w:val="7125C2B4"/>
    <w:rsid w:val="712AD348"/>
    <w:rsid w:val="712DED47"/>
    <w:rsid w:val="712F661F"/>
    <w:rsid w:val="71393A3A"/>
    <w:rsid w:val="713AF708"/>
    <w:rsid w:val="713BBF1B"/>
    <w:rsid w:val="713E70B7"/>
    <w:rsid w:val="71419D79"/>
    <w:rsid w:val="7145567D"/>
    <w:rsid w:val="7146CAF8"/>
    <w:rsid w:val="7149AB24"/>
    <w:rsid w:val="7149BC95"/>
    <w:rsid w:val="714AEC26"/>
    <w:rsid w:val="714DE46D"/>
    <w:rsid w:val="7158B39B"/>
    <w:rsid w:val="7167670A"/>
    <w:rsid w:val="7167BBBD"/>
    <w:rsid w:val="716CA360"/>
    <w:rsid w:val="717560ED"/>
    <w:rsid w:val="717FFA90"/>
    <w:rsid w:val="7180AEC8"/>
    <w:rsid w:val="7181757C"/>
    <w:rsid w:val="7193578D"/>
    <w:rsid w:val="71A4413C"/>
    <w:rsid w:val="71B01CC1"/>
    <w:rsid w:val="71B984DD"/>
    <w:rsid w:val="71BC3E2D"/>
    <w:rsid w:val="71C6F200"/>
    <w:rsid w:val="71C79757"/>
    <w:rsid w:val="71CB6F0C"/>
    <w:rsid w:val="71CC92C7"/>
    <w:rsid w:val="71CF6296"/>
    <w:rsid w:val="71CFA15F"/>
    <w:rsid w:val="71D2509A"/>
    <w:rsid w:val="71D5C86D"/>
    <w:rsid w:val="71D6CEDF"/>
    <w:rsid w:val="71D87BC0"/>
    <w:rsid w:val="71DB1BB3"/>
    <w:rsid w:val="71E08CA3"/>
    <w:rsid w:val="71E59C2A"/>
    <w:rsid w:val="71EDE54C"/>
    <w:rsid w:val="71EFA390"/>
    <w:rsid w:val="71F246D8"/>
    <w:rsid w:val="71F49E93"/>
    <w:rsid w:val="71F9B7C2"/>
    <w:rsid w:val="71FCD430"/>
    <w:rsid w:val="71FD92BA"/>
    <w:rsid w:val="7203EB40"/>
    <w:rsid w:val="720738C1"/>
    <w:rsid w:val="720BCCBD"/>
    <w:rsid w:val="72102749"/>
    <w:rsid w:val="721B5C47"/>
    <w:rsid w:val="721CD5D8"/>
    <w:rsid w:val="72209467"/>
    <w:rsid w:val="722627CE"/>
    <w:rsid w:val="722CBE95"/>
    <w:rsid w:val="722F1FF4"/>
    <w:rsid w:val="723225E3"/>
    <w:rsid w:val="7240AF77"/>
    <w:rsid w:val="72428495"/>
    <w:rsid w:val="72431969"/>
    <w:rsid w:val="7244AB9C"/>
    <w:rsid w:val="72493BC3"/>
    <w:rsid w:val="724E6E84"/>
    <w:rsid w:val="725BD346"/>
    <w:rsid w:val="725E3A07"/>
    <w:rsid w:val="725F6066"/>
    <w:rsid w:val="7260B6D8"/>
    <w:rsid w:val="726447BA"/>
    <w:rsid w:val="726DAA74"/>
    <w:rsid w:val="727850E6"/>
    <w:rsid w:val="728ABC9D"/>
    <w:rsid w:val="728BE997"/>
    <w:rsid w:val="7298EDDB"/>
    <w:rsid w:val="72A5E4FA"/>
    <w:rsid w:val="72AD17A2"/>
    <w:rsid w:val="72B45020"/>
    <w:rsid w:val="72B547E7"/>
    <w:rsid w:val="72B646C5"/>
    <w:rsid w:val="72BB4271"/>
    <w:rsid w:val="72C2CFD9"/>
    <w:rsid w:val="72C393D4"/>
    <w:rsid w:val="72C8C4CB"/>
    <w:rsid w:val="72C9122A"/>
    <w:rsid w:val="72C98B5D"/>
    <w:rsid w:val="72CE3E73"/>
    <w:rsid w:val="72D359BC"/>
    <w:rsid w:val="72D79112"/>
    <w:rsid w:val="72D7C11A"/>
    <w:rsid w:val="72E0AF44"/>
    <w:rsid w:val="72E2647C"/>
    <w:rsid w:val="72E580C5"/>
    <w:rsid w:val="72E5A224"/>
    <w:rsid w:val="72E72B80"/>
    <w:rsid w:val="72E77EFD"/>
    <w:rsid w:val="72E90564"/>
    <w:rsid w:val="72EBACD6"/>
    <w:rsid w:val="72ECD805"/>
    <w:rsid w:val="72ED2FA2"/>
    <w:rsid w:val="72F0DF65"/>
    <w:rsid w:val="72F74B49"/>
    <w:rsid w:val="730240A0"/>
    <w:rsid w:val="73029B68"/>
    <w:rsid w:val="730E8AB6"/>
    <w:rsid w:val="7311E2BB"/>
    <w:rsid w:val="7312B5B8"/>
    <w:rsid w:val="731A99A1"/>
    <w:rsid w:val="7325A8C6"/>
    <w:rsid w:val="73271B5A"/>
    <w:rsid w:val="732C66BE"/>
    <w:rsid w:val="732DE56F"/>
    <w:rsid w:val="732F7D61"/>
    <w:rsid w:val="73322D8F"/>
    <w:rsid w:val="73395B51"/>
    <w:rsid w:val="733C6C73"/>
    <w:rsid w:val="733E5026"/>
    <w:rsid w:val="73422245"/>
    <w:rsid w:val="7344B00D"/>
    <w:rsid w:val="7344D7B8"/>
    <w:rsid w:val="734B5825"/>
    <w:rsid w:val="734F13D6"/>
    <w:rsid w:val="7352B066"/>
    <w:rsid w:val="73544D26"/>
    <w:rsid w:val="735B5EAE"/>
    <w:rsid w:val="7360A990"/>
    <w:rsid w:val="73645139"/>
    <w:rsid w:val="7365AC6C"/>
    <w:rsid w:val="736B081D"/>
    <w:rsid w:val="736C6C01"/>
    <w:rsid w:val="73730960"/>
    <w:rsid w:val="73785F7A"/>
    <w:rsid w:val="73794475"/>
    <w:rsid w:val="737D9C12"/>
    <w:rsid w:val="7383E2B7"/>
    <w:rsid w:val="7388F402"/>
    <w:rsid w:val="738A49A1"/>
    <w:rsid w:val="738A7099"/>
    <w:rsid w:val="738C97BE"/>
    <w:rsid w:val="739559A2"/>
    <w:rsid w:val="7396EA96"/>
    <w:rsid w:val="739C6C67"/>
    <w:rsid w:val="739F4F91"/>
    <w:rsid w:val="73A46AD7"/>
    <w:rsid w:val="73A4DFBC"/>
    <w:rsid w:val="73A68BDE"/>
    <w:rsid w:val="73A8608B"/>
    <w:rsid w:val="73A8BB90"/>
    <w:rsid w:val="73AFFFF8"/>
    <w:rsid w:val="73C0879C"/>
    <w:rsid w:val="73C33277"/>
    <w:rsid w:val="73CBBBF1"/>
    <w:rsid w:val="73CBFD8A"/>
    <w:rsid w:val="73D79D82"/>
    <w:rsid w:val="73D89CA5"/>
    <w:rsid w:val="73DFF18B"/>
    <w:rsid w:val="73F475ED"/>
    <w:rsid w:val="73F8F812"/>
    <w:rsid w:val="73FB8393"/>
    <w:rsid w:val="73FC4DC3"/>
    <w:rsid w:val="73FE960F"/>
    <w:rsid w:val="73FEEB7D"/>
    <w:rsid w:val="74016834"/>
    <w:rsid w:val="7403E71A"/>
    <w:rsid w:val="740E8092"/>
    <w:rsid w:val="7418EC72"/>
    <w:rsid w:val="74212900"/>
    <w:rsid w:val="74271496"/>
    <w:rsid w:val="742B20CE"/>
    <w:rsid w:val="7430CB9F"/>
    <w:rsid w:val="7434937C"/>
    <w:rsid w:val="74355614"/>
    <w:rsid w:val="743F6603"/>
    <w:rsid w:val="74415BC0"/>
    <w:rsid w:val="74436871"/>
    <w:rsid w:val="744A681B"/>
    <w:rsid w:val="744B67C3"/>
    <w:rsid w:val="745E5069"/>
    <w:rsid w:val="7461312D"/>
    <w:rsid w:val="74618A4E"/>
    <w:rsid w:val="7462F52F"/>
    <w:rsid w:val="7467782D"/>
    <w:rsid w:val="746834B2"/>
    <w:rsid w:val="746B5AED"/>
    <w:rsid w:val="74726631"/>
    <w:rsid w:val="747284DE"/>
    <w:rsid w:val="7472B350"/>
    <w:rsid w:val="7474016D"/>
    <w:rsid w:val="7481C386"/>
    <w:rsid w:val="7484EAEC"/>
    <w:rsid w:val="7485A2BE"/>
    <w:rsid w:val="7487AD54"/>
    <w:rsid w:val="7491B3C9"/>
    <w:rsid w:val="7494D6A6"/>
    <w:rsid w:val="7495C186"/>
    <w:rsid w:val="74960D7A"/>
    <w:rsid w:val="749876A1"/>
    <w:rsid w:val="7499D1C6"/>
    <w:rsid w:val="749B9975"/>
    <w:rsid w:val="749E9AF2"/>
    <w:rsid w:val="74A955C1"/>
    <w:rsid w:val="74BC6037"/>
    <w:rsid w:val="74BD2D1E"/>
    <w:rsid w:val="74BD5469"/>
    <w:rsid w:val="74C156ED"/>
    <w:rsid w:val="74C1B566"/>
    <w:rsid w:val="74C565A4"/>
    <w:rsid w:val="74D69A0E"/>
    <w:rsid w:val="74D711B3"/>
    <w:rsid w:val="74DB9ED4"/>
    <w:rsid w:val="74E04307"/>
    <w:rsid w:val="74E0A2BA"/>
    <w:rsid w:val="74E0B290"/>
    <w:rsid w:val="74EB295B"/>
    <w:rsid w:val="74F3898A"/>
    <w:rsid w:val="74F455BC"/>
    <w:rsid w:val="74F7226B"/>
    <w:rsid w:val="74F942F3"/>
    <w:rsid w:val="74FA855A"/>
    <w:rsid w:val="75000C74"/>
    <w:rsid w:val="750251E2"/>
    <w:rsid w:val="7510BA4C"/>
    <w:rsid w:val="75111F62"/>
    <w:rsid w:val="751125DB"/>
    <w:rsid w:val="7513B6E4"/>
    <w:rsid w:val="7517954A"/>
    <w:rsid w:val="7521037E"/>
    <w:rsid w:val="7526377E"/>
    <w:rsid w:val="752C222C"/>
    <w:rsid w:val="7537EF37"/>
    <w:rsid w:val="7540BD91"/>
    <w:rsid w:val="7540FFFF"/>
    <w:rsid w:val="754BCDDD"/>
    <w:rsid w:val="75547451"/>
    <w:rsid w:val="7564C16A"/>
    <w:rsid w:val="7565F5A1"/>
    <w:rsid w:val="756DD11B"/>
    <w:rsid w:val="756ED867"/>
    <w:rsid w:val="756F4D9C"/>
    <w:rsid w:val="756FF93C"/>
    <w:rsid w:val="757C8641"/>
    <w:rsid w:val="7581EDCC"/>
    <w:rsid w:val="7589515F"/>
    <w:rsid w:val="758A1CE2"/>
    <w:rsid w:val="758C84AF"/>
    <w:rsid w:val="759294EA"/>
    <w:rsid w:val="7592D620"/>
    <w:rsid w:val="7598C7FA"/>
    <w:rsid w:val="75A41027"/>
    <w:rsid w:val="75A4547E"/>
    <w:rsid w:val="75A486CC"/>
    <w:rsid w:val="75A4977A"/>
    <w:rsid w:val="75A5C3BF"/>
    <w:rsid w:val="75AAAB50"/>
    <w:rsid w:val="75AB52C2"/>
    <w:rsid w:val="75ACDF91"/>
    <w:rsid w:val="75AE48AC"/>
    <w:rsid w:val="75B35135"/>
    <w:rsid w:val="75B94D95"/>
    <w:rsid w:val="75BE596C"/>
    <w:rsid w:val="75C06573"/>
    <w:rsid w:val="75C72A49"/>
    <w:rsid w:val="75D02834"/>
    <w:rsid w:val="75D0ADAE"/>
    <w:rsid w:val="75D0FDF5"/>
    <w:rsid w:val="75D12088"/>
    <w:rsid w:val="75D6D9FF"/>
    <w:rsid w:val="75D74296"/>
    <w:rsid w:val="75DB2EEB"/>
    <w:rsid w:val="75DB8CFD"/>
    <w:rsid w:val="75E35ADE"/>
    <w:rsid w:val="75E3E36F"/>
    <w:rsid w:val="75E70248"/>
    <w:rsid w:val="75E80079"/>
    <w:rsid w:val="75E8AE36"/>
    <w:rsid w:val="75EA9133"/>
    <w:rsid w:val="75EE90EB"/>
    <w:rsid w:val="75EED771"/>
    <w:rsid w:val="75F0CB1B"/>
    <w:rsid w:val="76080B61"/>
    <w:rsid w:val="7609E62D"/>
    <w:rsid w:val="760F68E3"/>
    <w:rsid w:val="76190476"/>
    <w:rsid w:val="761CF86A"/>
    <w:rsid w:val="7625ABB1"/>
    <w:rsid w:val="762B96D7"/>
    <w:rsid w:val="7637CA9A"/>
    <w:rsid w:val="7638FCEC"/>
    <w:rsid w:val="764200DC"/>
    <w:rsid w:val="764404B3"/>
    <w:rsid w:val="764CFA68"/>
    <w:rsid w:val="764D95A6"/>
    <w:rsid w:val="764E51B1"/>
    <w:rsid w:val="765180AA"/>
    <w:rsid w:val="76542CE8"/>
    <w:rsid w:val="76554B1F"/>
    <w:rsid w:val="7655955E"/>
    <w:rsid w:val="7658273D"/>
    <w:rsid w:val="765B7DB2"/>
    <w:rsid w:val="76622AF1"/>
    <w:rsid w:val="76634E26"/>
    <w:rsid w:val="766365BE"/>
    <w:rsid w:val="766A7399"/>
    <w:rsid w:val="76719F82"/>
    <w:rsid w:val="7677A501"/>
    <w:rsid w:val="76870F9A"/>
    <w:rsid w:val="76875390"/>
    <w:rsid w:val="7688F868"/>
    <w:rsid w:val="768C19F4"/>
    <w:rsid w:val="769011F8"/>
    <w:rsid w:val="7696CFA5"/>
    <w:rsid w:val="7699D4D2"/>
    <w:rsid w:val="769F0D99"/>
    <w:rsid w:val="76A57C5E"/>
    <w:rsid w:val="76AAD305"/>
    <w:rsid w:val="76AE9D2B"/>
    <w:rsid w:val="76B75F95"/>
    <w:rsid w:val="76BCA41E"/>
    <w:rsid w:val="76C6EA0B"/>
    <w:rsid w:val="76CF0B75"/>
    <w:rsid w:val="76D0FEE2"/>
    <w:rsid w:val="76D2CBEB"/>
    <w:rsid w:val="76D3009B"/>
    <w:rsid w:val="76D51D9F"/>
    <w:rsid w:val="76D82112"/>
    <w:rsid w:val="76E3D9C1"/>
    <w:rsid w:val="76F0E44B"/>
    <w:rsid w:val="76F1544B"/>
    <w:rsid w:val="76F5A4AB"/>
    <w:rsid w:val="770006FC"/>
    <w:rsid w:val="77049211"/>
    <w:rsid w:val="7715CEF2"/>
    <w:rsid w:val="7719B7B4"/>
    <w:rsid w:val="77233C1B"/>
    <w:rsid w:val="772A15C3"/>
    <w:rsid w:val="772CCD7F"/>
    <w:rsid w:val="772F859E"/>
    <w:rsid w:val="7730B88E"/>
    <w:rsid w:val="7734114A"/>
    <w:rsid w:val="7735EE92"/>
    <w:rsid w:val="773679E0"/>
    <w:rsid w:val="773B3068"/>
    <w:rsid w:val="773D77A2"/>
    <w:rsid w:val="773D8EB6"/>
    <w:rsid w:val="7745670E"/>
    <w:rsid w:val="774AAD6B"/>
    <w:rsid w:val="774EEC97"/>
    <w:rsid w:val="7752D6DE"/>
    <w:rsid w:val="77552F27"/>
    <w:rsid w:val="7756B778"/>
    <w:rsid w:val="7757F796"/>
    <w:rsid w:val="775B23DA"/>
    <w:rsid w:val="776038BF"/>
    <w:rsid w:val="7762C0CE"/>
    <w:rsid w:val="77642BAC"/>
    <w:rsid w:val="7764EE69"/>
    <w:rsid w:val="7769016A"/>
    <w:rsid w:val="7770DA3A"/>
    <w:rsid w:val="77749965"/>
    <w:rsid w:val="777ADC9F"/>
    <w:rsid w:val="777B505E"/>
    <w:rsid w:val="777FD402"/>
    <w:rsid w:val="77834E5E"/>
    <w:rsid w:val="77841F1C"/>
    <w:rsid w:val="7790274C"/>
    <w:rsid w:val="77988F16"/>
    <w:rsid w:val="77997B9F"/>
    <w:rsid w:val="779AD1C8"/>
    <w:rsid w:val="779EB134"/>
    <w:rsid w:val="77A35D66"/>
    <w:rsid w:val="77A41EAB"/>
    <w:rsid w:val="77A5F0E8"/>
    <w:rsid w:val="77A5F90F"/>
    <w:rsid w:val="77AFCBFA"/>
    <w:rsid w:val="77B0A5DE"/>
    <w:rsid w:val="77B4BAE9"/>
    <w:rsid w:val="77B5811B"/>
    <w:rsid w:val="77C27C66"/>
    <w:rsid w:val="77D0AE9A"/>
    <w:rsid w:val="77D24D63"/>
    <w:rsid w:val="77D906B2"/>
    <w:rsid w:val="77D9720A"/>
    <w:rsid w:val="77E2E0CA"/>
    <w:rsid w:val="77E3D440"/>
    <w:rsid w:val="77E3D81C"/>
    <w:rsid w:val="77E7F3D4"/>
    <w:rsid w:val="77EAAAE3"/>
    <w:rsid w:val="77ED1D77"/>
    <w:rsid w:val="7806F196"/>
    <w:rsid w:val="78083F52"/>
    <w:rsid w:val="780D6020"/>
    <w:rsid w:val="781AC880"/>
    <w:rsid w:val="781CA6E7"/>
    <w:rsid w:val="7822C38F"/>
    <w:rsid w:val="78238FA0"/>
    <w:rsid w:val="78246565"/>
    <w:rsid w:val="782A55CD"/>
    <w:rsid w:val="782BEBFA"/>
    <w:rsid w:val="78341172"/>
    <w:rsid w:val="78383A88"/>
    <w:rsid w:val="7838DE50"/>
    <w:rsid w:val="7839B83E"/>
    <w:rsid w:val="783A91FD"/>
    <w:rsid w:val="7845F6F4"/>
    <w:rsid w:val="78582E17"/>
    <w:rsid w:val="786172D5"/>
    <w:rsid w:val="7863D920"/>
    <w:rsid w:val="78662B4F"/>
    <w:rsid w:val="786AD0E0"/>
    <w:rsid w:val="786C3171"/>
    <w:rsid w:val="7888F694"/>
    <w:rsid w:val="78904BDA"/>
    <w:rsid w:val="7894CC44"/>
    <w:rsid w:val="78966284"/>
    <w:rsid w:val="78987053"/>
    <w:rsid w:val="7899B120"/>
    <w:rsid w:val="789ADA5A"/>
    <w:rsid w:val="789DA76E"/>
    <w:rsid w:val="78A91D32"/>
    <w:rsid w:val="78AA10F1"/>
    <w:rsid w:val="78B0DCAC"/>
    <w:rsid w:val="78B45C96"/>
    <w:rsid w:val="78BC9CFF"/>
    <w:rsid w:val="78BFCEB5"/>
    <w:rsid w:val="78C34ECC"/>
    <w:rsid w:val="78D2054B"/>
    <w:rsid w:val="78D64A34"/>
    <w:rsid w:val="78D6AB5C"/>
    <w:rsid w:val="78DBBABD"/>
    <w:rsid w:val="78DF4479"/>
    <w:rsid w:val="78E52529"/>
    <w:rsid w:val="78E59909"/>
    <w:rsid w:val="78E68925"/>
    <w:rsid w:val="78EBB8BA"/>
    <w:rsid w:val="78EC8404"/>
    <w:rsid w:val="78EE9991"/>
    <w:rsid w:val="78EFE754"/>
    <w:rsid w:val="78F13C04"/>
    <w:rsid w:val="78F57776"/>
    <w:rsid w:val="78F96F9D"/>
    <w:rsid w:val="78FAAD8C"/>
    <w:rsid w:val="78FABDA1"/>
    <w:rsid w:val="78FB9F2B"/>
    <w:rsid w:val="79022D03"/>
    <w:rsid w:val="79033B86"/>
    <w:rsid w:val="790B8D9B"/>
    <w:rsid w:val="790CEA9E"/>
    <w:rsid w:val="790EA42F"/>
    <w:rsid w:val="7910F19D"/>
    <w:rsid w:val="79186180"/>
    <w:rsid w:val="791AC07C"/>
    <w:rsid w:val="791D0B4D"/>
    <w:rsid w:val="792BF34F"/>
    <w:rsid w:val="7932CFBF"/>
    <w:rsid w:val="793E4A9E"/>
    <w:rsid w:val="793E8B44"/>
    <w:rsid w:val="79427C6D"/>
    <w:rsid w:val="79448F4F"/>
    <w:rsid w:val="794593F0"/>
    <w:rsid w:val="7949E384"/>
    <w:rsid w:val="794B27F8"/>
    <w:rsid w:val="794BA65B"/>
    <w:rsid w:val="794DB1CD"/>
    <w:rsid w:val="794EF7A7"/>
    <w:rsid w:val="7950D020"/>
    <w:rsid w:val="79540DE4"/>
    <w:rsid w:val="7954AACD"/>
    <w:rsid w:val="7954B933"/>
    <w:rsid w:val="79592D8A"/>
    <w:rsid w:val="795942F4"/>
    <w:rsid w:val="795B64F6"/>
    <w:rsid w:val="795B9A16"/>
    <w:rsid w:val="795F0FE3"/>
    <w:rsid w:val="7960772B"/>
    <w:rsid w:val="796BD1A6"/>
    <w:rsid w:val="796EB737"/>
    <w:rsid w:val="796F1777"/>
    <w:rsid w:val="797426FA"/>
    <w:rsid w:val="79752186"/>
    <w:rsid w:val="7976167C"/>
    <w:rsid w:val="797B04C2"/>
    <w:rsid w:val="797FE30F"/>
    <w:rsid w:val="798DFFCC"/>
    <w:rsid w:val="798FB482"/>
    <w:rsid w:val="7992819F"/>
    <w:rsid w:val="799862F7"/>
    <w:rsid w:val="799D1EAE"/>
    <w:rsid w:val="79A40A9E"/>
    <w:rsid w:val="79A5FDF6"/>
    <w:rsid w:val="79A7280D"/>
    <w:rsid w:val="79AB7A8B"/>
    <w:rsid w:val="79B34EC9"/>
    <w:rsid w:val="79B5FB69"/>
    <w:rsid w:val="79BED1CD"/>
    <w:rsid w:val="79BFDCB4"/>
    <w:rsid w:val="79C52394"/>
    <w:rsid w:val="79CD933D"/>
    <w:rsid w:val="79D4803E"/>
    <w:rsid w:val="79D4DA1E"/>
    <w:rsid w:val="79D68761"/>
    <w:rsid w:val="79D954E4"/>
    <w:rsid w:val="79DA474E"/>
    <w:rsid w:val="79DA7C9D"/>
    <w:rsid w:val="79DECF7C"/>
    <w:rsid w:val="79E4B625"/>
    <w:rsid w:val="79E5471A"/>
    <w:rsid w:val="79F03888"/>
    <w:rsid w:val="79F27EA0"/>
    <w:rsid w:val="7A1237C1"/>
    <w:rsid w:val="7A1320B0"/>
    <w:rsid w:val="7A1A10FA"/>
    <w:rsid w:val="7A1BBB9C"/>
    <w:rsid w:val="7A1BC6FA"/>
    <w:rsid w:val="7A1C3CDF"/>
    <w:rsid w:val="7A24F4E0"/>
    <w:rsid w:val="7A2B938A"/>
    <w:rsid w:val="7A2E0358"/>
    <w:rsid w:val="7A3548A0"/>
    <w:rsid w:val="7A3A32DC"/>
    <w:rsid w:val="7A3A4F75"/>
    <w:rsid w:val="7A3BABCB"/>
    <w:rsid w:val="7A433023"/>
    <w:rsid w:val="7A478468"/>
    <w:rsid w:val="7A4BA389"/>
    <w:rsid w:val="7A4D6C55"/>
    <w:rsid w:val="7A4F7393"/>
    <w:rsid w:val="7A590CED"/>
    <w:rsid w:val="7A61A334"/>
    <w:rsid w:val="7A6C80B5"/>
    <w:rsid w:val="7A72BF3B"/>
    <w:rsid w:val="7A74BCC3"/>
    <w:rsid w:val="7A7C20AD"/>
    <w:rsid w:val="7A7C91AE"/>
    <w:rsid w:val="7A8E0A1A"/>
    <w:rsid w:val="7A9916D1"/>
    <w:rsid w:val="7A9E707C"/>
    <w:rsid w:val="7A9F9797"/>
    <w:rsid w:val="7AA2BB5A"/>
    <w:rsid w:val="7AA50E24"/>
    <w:rsid w:val="7AAA2732"/>
    <w:rsid w:val="7AAECCDC"/>
    <w:rsid w:val="7AB67F4E"/>
    <w:rsid w:val="7AB9CE8E"/>
    <w:rsid w:val="7ABC6EEE"/>
    <w:rsid w:val="7AC13311"/>
    <w:rsid w:val="7AC7946A"/>
    <w:rsid w:val="7ACC63DF"/>
    <w:rsid w:val="7AD1E830"/>
    <w:rsid w:val="7AD45EEC"/>
    <w:rsid w:val="7AE2DF60"/>
    <w:rsid w:val="7AE98F07"/>
    <w:rsid w:val="7AF09CB2"/>
    <w:rsid w:val="7AF30B8E"/>
    <w:rsid w:val="7AFB8E1E"/>
    <w:rsid w:val="7B0284A3"/>
    <w:rsid w:val="7B040089"/>
    <w:rsid w:val="7B07BA86"/>
    <w:rsid w:val="7B0A3136"/>
    <w:rsid w:val="7B13D3EC"/>
    <w:rsid w:val="7B1A57C5"/>
    <w:rsid w:val="7B240E69"/>
    <w:rsid w:val="7B2AA1D6"/>
    <w:rsid w:val="7B2DB29D"/>
    <w:rsid w:val="7B2F7582"/>
    <w:rsid w:val="7B3C544B"/>
    <w:rsid w:val="7B3F4FF5"/>
    <w:rsid w:val="7B5AF714"/>
    <w:rsid w:val="7B5D13CE"/>
    <w:rsid w:val="7B67E9AD"/>
    <w:rsid w:val="7B685758"/>
    <w:rsid w:val="7B69D783"/>
    <w:rsid w:val="7B7A3DA0"/>
    <w:rsid w:val="7B7ACF7C"/>
    <w:rsid w:val="7B812994"/>
    <w:rsid w:val="7B8145EB"/>
    <w:rsid w:val="7B825CDD"/>
    <w:rsid w:val="7B8C28E1"/>
    <w:rsid w:val="7B8CFEBF"/>
    <w:rsid w:val="7B8DB2D9"/>
    <w:rsid w:val="7B93250B"/>
    <w:rsid w:val="7B93817B"/>
    <w:rsid w:val="7B9479B9"/>
    <w:rsid w:val="7B9CA6C4"/>
    <w:rsid w:val="7B9D9EB1"/>
    <w:rsid w:val="7BA1E302"/>
    <w:rsid w:val="7BAA5B38"/>
    <w:rsid w:val="7BAC85CB"/>
    <w:rsid w:val="7BB2F94C"/>
    <w:rsid w:val="7BB5982D"/>
    <w:rsid w:val="7BB7F801"/>
    <w:rsid w:val="7BC04978"/>
    <w:rsid w:val="7BC30846"/>
    <w:rsid w:val="7BC3FCBE"/>
    <w:rsid w:val="7BD34ABD"/>
    <w:rsid w:val="7BD8A907"/>
    <w:rsid w:val="7BDA6351"/>
    <w:rsid w:val="7BDB961D"/>
    <w:rsid w:val="7BDF1083"/>
    <w:rsid w:val="7BE09FEA"/>
    <w:rsid w:val="7BE0A4AF"/>
    <w:rsid w:val="7BE4C37A"/>
    <w:rsid w:val="7BE534CE"/>
    <w:rsid w:val="7BE94EC0"/>
    <w:rsid w:val="7BEBDF56"/>
    <w:rsid w:val="7BECD919"/>
    <w:rsid w:val="7BEEE99F"/>
    <w:rsid w:val="7BF3C4FE"/>
    <w:rsid w:val="7C070903"/>
    <w:rsid w:val="7C08DB8B"/>
    <w:rsid w:val="7C0A5130"/>
    <w:rsid w:val="7C0A97F7"/>
    <w:rsid w:val="7C0C33B0"/>
    <w:rsid w:val="7C0D13D1"/>
    <w:rsid w:val="7C10D6AA"/>
    <w:rsid w:val="7C15926C"/>
    <w:rsid w:val="7C1DCCAF"/>
    <w:rsid w:val="7C202B43"/>
    <w:rsid w:val="7C22D11A"/>
    <w:rsid w:val="7C2319DA"/>
    <w:rsid w:val="7C2A82A6"/>
    <w:rsid w:val="7C2D2E83"/>
    <w:rsid w:val="7C2E0FA6"/>
    <w:rsid w:val="7C2F07F9"/>
    <w:rsid w:val="7C31B341"/>
    <w:rsid w:val="7C34AE61"/>
    <w:rsid w:val="7C3709CE"/>
    <w:rsid w:val="7C380277"/>
    <w:rsid w:val="7C381EC4"/>
    <w:rsid w:val="7C3D8FAA"/>
    <w:rsid w:val="7C432BE0"/>
    <w:rsid w:val="7C450506"/>
    <w:rsid w:val="7C4CC700"/>
    <w:rsid w:val="7C549839"/>
    <w:rsid w:val="7C5A5335"/>
    <w:rsid w:val="7C6195EF"/>
    <w:rsid w:val="7C6B1E9B"/>
    <w:rsid w:val="7C74C533"/>
    <w:rsid w:val="7C7D169A"/>
    <w:rsid w:val="7C84CCDF"/>
    <w:rsid w:val="7C85C733"/>
    <w:rsid w:val="7C8864B3"/>
    <w:rsid w:val="7C89779C"/>
    <w:rsid w:val="7C910B37"/>
    <w:rsid w:val="7C945097"/>
    <w:rsid w:val="7C99F98D"/>
    <w:rsid w:val="7C9C2288"/>
    <w:rsid w:val="7CA2CC63"/>
    <w:rsid w:val="7CA2CFCB"/>
    <w:rsid w:val="7CAD2E8C"/>
    <w:rsid w:val="7CB273AE"/>
    <w:rsid w:val="7CB7B7CB"/>
    <w:rsid w:val="7CC0247C"/>
    <w:rsid w:val="7CCC3D75"/>
    <w:rsid w:val="7CCCBB4B"/>
    <w:rsid w:val="7CCDD12F"/>
    <w:rsid w:val="7CD05E5F"/>
    <w:rsid w:val="7CD65170"/>
    <w:rsid w:val="7CD736FA"/>
    <w:rsid w:val="7CD853AD"/>
    <w:rsid w:val="7CDA8CAF"/>
    <w:rsid w:val="7CDA922F"/>
    <w:rsid w:val="7CDEF1BD"/>
    <w:rsid w:val="7CE87062"/>
    <w:rsid w:val="7CEA2F66"/>
    <w:rsid w:val="7CEB9306"/>
    <w:rsid w:val="7CEFDA8B"/>
    <w:rsid w:val="7CF1A551"/>
    <w:rsid w:val="7CFA8936"/>
    <w:rsid w:val="7D004842"/>
    <w:rsid w:val="7D006E76"/>
    <w:rsid w:val="7D009669"/>
    <w:rsid w:val="7D044A35"/>
    <w:rsid w:val="7D06769B"/>
    <w:rsid w:val="7D07FF1B"/>
    <w:rsid w:val="7D0821CA"/>
    <w:rsid w:val="7D0C709C"/>
    <w:rsid w:val="7D0F9737"/>
    <w:rsid w:val="7D186E44"/>
    <w:rsid w:val="7D3EC20D"/>
    <w:rsid w:val="7D441A62"/>
    <w:rsid w:val="7D44AD78"/>
    <w:rsid w:val="7D4F76C0"/>
    <w:rsid w:val="7D69AEF9"/>
    <w:rsid w:val="7D6B39FC"/>
    <w:rsid w:val="7D6FB91B"/>
    <w:rsid w:val="7D71C991"/>
    <w:rsid w:val="7D7724A0"/>
    <w:rsid w:val="7D7B0D7E"/>
    <w:rsid w:val="7D7E2775"/>
    <w:rsid w:val="7D8965E2"/>
    <w:rsid w:val="7D89BDED"/>
    <w:rsid w:val="7D8F2869"/>
    <w:rsid w:val="7D921585"/>
    <w:rsid w:val="7D9647AF"/>
    <w:rsid w:val="7D973F2C"/>
    <w:rsid w:val="7D9B3A5E"/>
    <w:rsid w:val="7D9B7CE4"/>
    <w:rsid w:val="7DA848D2"/>
    <w:rsid w:val="7DAD5783"/>
    <w:rsid w:val="7DAF921A"/>
    <w:rsid w:val="7DB21EA3"/>
    <w:rsid w:val="7DC499A0"/>
    <w:rsid w:val="7DC55FD5"/>
    <w:rsid w:val="7DC5ECE4"/>
    <w:rsid w:val="7DC767E6"/>
    <w:rsid w:val="7DC96324"/>
    <w:rsid w:val="7DCB7EAA"/>
    <w:rsid w:val="7DD828D6"/>
    <w:rsid w:val="7DDADD02"/>
    <w:rsid w:val="7DE735F2"/>
    <w:rsid w:val="7DE82CCC"/>
    <w:rsid w:val="7DEFC20F"/>
    <w:rsid w:val="7DF3E980"/>
    <w:rsid w:val="7DF4A6BB"/>
    <w:rsid w:val="7DF5F8B5"/>
    <w:rsid w:val="7DF9F38D"/>
    <w:rsid w:val="7DFDC20E"/>
    <w:rsid w:val="7E044B88"/>
    <w:rsid w:val="7E06A944"/>
    <w:rsid w:val="7E072EC0"/>
    <w:rsid w:val="7E0EA052"/>
    <w:rsid w:val="7E126EBA"/>
    <w:rsid w:val="7E12B80B"/>
    <w:rsid w:val="7E13ED72"/>
    <w:rsid w:val="7E15537C"/>
    <w:rsid w:val="7E1998A4"/>
    <w:rsid w:val="7E2853CE"/>
    <w:rsid w:val="7E36388A"/>
    <w:rsid w:val="7E4350D2"/>
    <w:rsid w:val="7E4896E8"/>
    <w:rsid w:val="7E4D2BC5"/>
    <w:rsid w:val="7E518B41"/>
    <w:rsid w:val="7E51B20E"/>
    <w:rsid w:val="7E57004B"/>
    <w:rsid w:val="7E5815BB"/>
    <w:rsid w:val="7E5BF91C"/>
    <w:rsid w:val="7E5CCA09"/>
    <w:rsid w:val="7E65B83E"/>
    <w:rsid w:val="7E6A1F92"/>
    <w:rsid w:val="7E782994"/>
    <w:rsid w:val="7E78CA18"/>
    <w:rsid w:val="7E7C2CA1"/>
    <w:rsid w:val="7E7DB9E5"/>
    <w:rsid w:val="7E85312E"/>
    <w:rsid w:val="7E8FD89E"/>
    <w:rsid w:val="7E93ADCE"/>
    <w:rsid w:val="7E99938A"/>
    <w:rsid w:val="7E99CF50"/>
    <w:rsid w:val="7E9D3F08"/>
    <w:rsid w:val="7E9F9C8B"/>
    <w:rsid w:val="7EA43040"/>
    <w:rsid w:val="7EB1E97A"/>
    <w:rsid w:val="7EB58E4F"/>
    <w:rsid w:val="7EBAEBC5"/>
    <w:rsid w:val="7EBF00BB"/>
    <w:rsid w:val="7EC8D189"/>
    <w:rsid w:val="7ECD6B37"/>
    <w:rsid w:val="7ED0CCCD"/>
    <w:rsid w:val="7ED289AA"/>
    <w:rsid w:val="7ED3CEB8"/>
    <w:rsid w:val="7ED687B7"/>
    <w:rsid w:val="7EDBCC9A"/>
    <w:rsid w:val="7EE1E017"/>
    <w:rsid w:val="7EE646E1"/>
    <w:rsid w:val="7EF765BA"/>
    <w:rsid w:val="7EFE7C35"/>
    <w:rsid w:val="7F06719E"/>
    <w:rsid w:val="7F06B391"/>
    <w:rsid w:val="7F0F0564"/>
    <w:rsid w:val="7F12C521"/>
    <w:rsid w:val="7F1C8BA9"/>
    <w:rsid w:val="7F1E366A"/>
    <w:rsid w:val="7F25AF14"/>
    <w:rsid w:val="7F27187E"/>
    <w:rsid w:val="7F29DA68"/>
    <w:rsid w:val="7F2A7400"/>
    <w:rsid w:val="7F2A8B54"/>
    <w:rsid w:val="7F315F16"/>
    <w:rsid w:val="7F344698"/>
    <w:rsid w:val="7F3D4B15"/>
    <w:rsid w:val="7F40F8F1"/>
    <w:rsid w:val="7F425859"/>
    <w:rsid w:val="7F465BFA"/>
    <w:rsid w:val="7F4A58D8"/>
    <w:rsid w:val="7F4CFB75"/>
    <w:rsid w:val="7F4EC8C0"/>
    <w:rsid w:val="7F4FE25C"/>
    <w:rsid w:val="7F54A700"/>
    <w:rsid w:val="7F56CD71"/>
    <w:rsid w:val="7F592964"/>
    <w:rsid w:val="7F59B562"/>
    <w:rsid w:val="7F5BC814"/>
    <w:rsid w:val="7F645EDA"/>
    <w:rsid w:val="7F665E00"/>
    <w:rsid w:val="7F6A4036"/>
    <w:rsid w:val="7F729FD1"/>
    <w:rsid w:val="7F76EA60"/>
    <w:rsid w:val="7F7A62FF"/>
    <w:rsid w:val="7F7E81D1"/>
    <w:rsid w:val="7F816A41"/>
    <w:rsid w:val="7F88C999"/>
    <w:rsid w:val="7F965819"/>
    <w:rsid w:val="7F97651C"/>
    <w:rsid w:val="7F9D3D33"/>
    <w:rsid w:val="7F9DF2B6"/>
    <w:rsid w:val="7FA11FF2"/>
    <w:rsid w:val="7FABF075"/>
    <w:rsid w:val="7FB24396"/>
    <w:rsid w:val="7FC34D61"/>
    <w:rsid w:val="7FCBFA6C"/>
    <w:rsid w:val="7FCCB9B7"/>
    <w:rsid w:val="7FD631AE"/>
    <w:rsid w:val="7FD63D72"/>
    <w:rsid w:val="7FD887D2"/>
    <w:rsid w:val="7FDE049B"/>
    <w:rsid w:val="7FE01A04"/>
    <w:rsid w:val="7FE3F158"/>
    <w:rsid w:val="7FF0EB86"/>
    <w:rsid w:val="7FF1AAC2"/>
    <w:rsid w:val="7FFC573C"/>
    <w:rsid w:val="7FFD9B2C"/>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F64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fi-FI" w:eastAsia="fi-FI" w:bidi="ar-SA"/>
      </w:rPr>
    </w:rPrDefault>
    <w:pPrDefault/>
  </w:docDefaults>
  <w:latentStyles w:defLockedState="0" w:defUIPriority="99" w:defSemiHidden="0" w:defUnhideWhenUsed="0" w:defQFormat="0" w:count="376">
    <w:lsdException w:name="Normal" w:uiPriority="0"/>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 w:unhideWhenUsed="1"/>
    <w:lsdException w:name="footer" w:semiHidden="1" w:uiPriority="4"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rsid w:val="00FC7F67"/>
  </w:style>
  <w:style w:type="paragraph" w:styleId="Otsikko1">
    <w:name w:val="heading 1"/>
    <w:aliases w:val="Otsikko 1 VN"/>
    <w:basedOn w:val="Normaali"/>
    <w:next w:val="VNLeip1kappale"/>
    <w:link w:val="Otsikko1Char"/>
    <w:uiPriority w:val="4"/>
    <w:qFormat/>
    <w:rsid w:val="0050358B"/>
    <w:pPr>
      <w:pageBreakBefore/>
      <w:numPr>
        <w:numId w:val="55"/>
      </w:numPr>
      <w:suppressAutoHyphens/>
      <w:spacing w:before="2268" w:after="283" w:line="560" w:lineRule="atLeast"/>
      <w:outlineLvl w:val="0"/>
    </w:pPr>
    <w:rPr>
      <w:rFonts w:ascii="Arial Narrow" w:hAnsi="Arial Narrow"/>
      <w:b/>
      <w:color w:val="365ABD"/>
      <w:sz w:val="50"/>
    </w:rPr>
  </w:style>
  <w:style w:type="paragraph" w:styleId="Otsikko2">
    <w:name w:val="heading 2"/>
    <w:aliases w:val="Otsikko 2 VN"/>
    <w:basedOn w:val="Normaali"/>
    <w:next w:val="VNLeip1kappale"/>
    <w:link w:val="Otsikko2Char"/>
    <w:uiPriority w:val="4"/>
    <w:qFormat/>
    <w:rsid w:val="009E4304"/>
    <w:pPr>
      <w:keepNext/>
      <w:tabs>
        <w:tab w:val="num" w:pos="360"/>
      </w:tabs>
      <w:suppressAutoHyphens/>
      <w:spacing w:before="737" w:after="170" w:line="340" w:lineRule="atLeast"/>
      <w:outlineLvl w:val="1"/>
    </w:pPr>
    <w:rPr>
      <w:rFonts w:ascii="Arial Narrow" w:hAnsi="Arial Narrow"/>
      <w:b/>
      <w:color w:val="365ABD" w:themeColor="text2"/>
      <w:spacing w:val="10"/>
      <w:sz w:val="38"/>
      <w:lang w:val="en-US" w:eastAsia="en-US"/>
    </w:rPr>
  </w:style>
  <w:style w:type="paragraph" w:styleId="Otsikko3">
    <w:name w:val="heading 3"/>
    <w:aliases w:val="Otsikko 3 VN"/>
    <w:basedOn w:val="Normaali"/>
    <w:next w:val="VNLeip1kappale"/>
    <w:link w:val="Otsikko3Char"/>
    <w:uiPriority w:val="4"/>
    <w:qFormat/>
    <w:rsid w:val="009F51A7"/>
    <w:pPr>
      <w:keepNext/>
      <w:numPr>
        <w:ilvl w:val="2"/>
        <w:numId w:val="55"/>
      </w:numPr>
      <w:suppressAutoHyphens/>
      <w:spacing w:before="640" w:line="301" w:lineRule="atLeast"/>
      <w:outlineLvl w:val="2"/>
    </w:pPr>
    <w:rPr>
      <w:rFonts w:ascii="Arial Narrow" w:hAnsi="Arial Narrow" w:cs="Arial"/>
      <w:b/>
      <w:bCs/>
      <w:color w:val="365ABD" w:themeColor="text2"/>
      <w:spacing w:val="8"/>
      <w:position w:val="10"/>
      <w:sz w:val="33"/>
      <w:szCs w:val="26"/>
      <w:lang w:eastAsia="en-US"/>
    </w:rPr>
  </w:style>
  <w:style w:type="paragraph" w:styleId="Otsikko4">
    <w:name w:val="heading 4"/>
    <w:aliases w:val="Otsikko 4 VN"/>
    <w:basedOn w:val="Normaali"/>
    <w:next w:val="VNLeip1kappale"/>
    <w:link w:val="Otsikko4Char"/>
    <w:uiPriority w:val="4"/>
    <w:qFormat/>
    <w:rsid w:val="008D7317"/>
    <w:pPr>
      <w:keepNext/>
      <w:numPr>
        <w:ilvl w:val="3"/>
        <w:numId w:val="55"/>
      </w:numPr>
      <w:suppressAutoHyphens/>
      <w:spacing w:before="440" w:line="301" w:lineRule="atLeast"/>
      <w:jc w:val="both"/>
      <w:outlineLvl w:val="3"/>
    </w:pPr>
    <w:rPr>
      <w:rFonts w:ascii="Arial Narrow" w:hAnsi="Arial Narrow"/>
      <w:color w:val="365ABD" w:themeColor="text2"/>
      <w:sz w:val="28"/>
      <w:lang w:eastAsia="en-US"/>
    </w:rPr>
  </w:style>
  <w:style w:type="paragraph" w:styleId="Otsikko5">
    <w:name w:val="heading 5"/>
    <w:aliases w:val="Otsikko 5 VN"/>
    <w:basedOn w:val="Normaali"/>
    <w:next w:val="Normaali"/>
    <w:link w:val="Otsikko5Char"/>
    <w:uiPriority w:val="9"/>
    <w:semiHidden/>
    <w:unhideWhenUsed/>
    <w:rsid w:val="00FA0A6A"/>
    <w:pPr>
      <w:keepNext/>
      <w:keepLines/>
      <w:numPr>
        <w:ilvl w:val="4"/>
        <w:numId w:val="55"/>
      </w:numPr>
      <w:spacing w:before="200"/>
      <w:outlineLvl w:val="4"/>
    </w:pPr>
    <w:rPr>
      <w:rFonts w:asciiTheme="majorHAnsi" w:eastAsiaTheme="majorEastAsia" w:hAnsiTheme="majorHAnsi" w:cstheme="majorBidi"/>
      <w:color w:val="365ABD" w:themeColor="text2"/>
    </w:rPr>
  </w:style>
  <w:style w:type="paragraph" w:styleId="Otsikko6">
    <w:name w:val="heading 6"/>
    <w:basedOn w:val="Normaali"/>
    <w:next w:val="Normaali"/>
    <w:link w:val="Otsikko6Char"/>
    <w:uiPriority w:val="9"/>
    <w:semiHidden/>
    <w:unhideWhenUsed/>
    <w:rsid w:val="001A7B17"/>
    <w:pPr>
      <w:keepNext/>
      <w:keepLines/>
      <w:numPr>
        <w:ilvl w:val="5"/>
        <w:numId w:val="55"/>
      </w:numPr>
      <w:spacing w:before="200"/>
      <w:outlineLvl w:val="5"/>
    </w:pPr>
    <w:rPr>
      <w:rFonts w:asciiTheme="majorHAnsi" w:eastAsiaTheme="majorEastAsia" w:hAnsiTheme="majorHAnsi" w:cstheme="majorBidi"/>
      <w:i/>
      <w:iCs/>
      <w:color w:val="001735" w:themeColor="accent1" w:themeShade="7F"/>
    </w:rPr>
  </w:style>
  <w:style w:type="paragraph" w:styleId="Otsikko7">
    <w:name w:val="heading 7"/>
    <w:basedOn w:val="Normaali"/>
    <w:next w:val="Normaali"/>
    <w:link w:val="Otsikko7Char"/>
    <w:uiPriority w:val="9"/>
    <w:semiHidden/>
    <w:unhideWhenUsed/>
    <w:rsid w:val="001A7B17"/>
    <w:pPr>
      <w:keepNext/>
      <w:keepLines/>
      <w:numPr>
        <w:ilvl w:val="6"/>
        <w:numId w:val="55"/>
      </w:numPr>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rsid w:val="001A7B17"/>
    <w:pPr>
      <w:keepNext/>
      <w:keepLines/>
      <w:numPr>
        <w:ilvl w:val="7"/>
        <w:numId w:val="55"/>
      </w:numPr>
      <w:spacing w:before="200"/>
      <w:outlineLvl w:val="7"/>
    </w:pPr>
    <w:rPr>
      <w:rFonts w:asciiTheme="majorHAnsi" w:eastAsiaTheme="majorEastAsia" w:hAnsiTheme="majorHAnsi" w:cstheme="majorBidi"/>
      <w:color w:val="404040" w:themeColor="text1" w:themeTint="BF"/>
    </w:rPr>
  </w:style>
  <w:style w:type="paragraph" w:styleId="Otsikko9">
    <w:name w:val="heading 9"/>
    <w:basedOn w:val="Normaali"/>
    <w:next w:val="Normaali"/>
    <w:link w:val="Otsikko9Char"/>
    <w:uiPriority w:val="9"/>
    <w:semiHidden/>
    <w:unhideWhenUsed/>
    <w:rsid w:val="001A7B17"/>
    <w:pPr>
      <w:keepNext/>
      <w:keepLines/>
      <w:numPr>
        <w:ilvl w:val="8"/>
        <w:numId w:val="55"/>
      </w:numPr>
      <w:spacing w:before="200"/>
      <w:outlineLvl w:val="8"/>
    </w:pPr>
    <w:rPr>
      <w:rFonts w:asciiTheme="majorHAnsi" w:eastAsiaTheme="majorEastAsia" w:hAnsiTheme="majorHAnsi" w:cstheme="majorBidi"/>
      <w:i/>
      <w:iCs/>
      <w:color w:val="404040" w:themeColor="text1" w:themeTint="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VNLeip1kappale">
    <w:name w:val="VN_Leipä 1. kappale"/>
    <w:basedOn w:val="Normaali"/>
    <w:qFormat/>
    <w:rsid w:val="00892F1A"/>
    <w:pPr>
      <w:spacing w:before="240" w:after="320" w:line="320" w:lineRule="atLeast"/>
    </w:pPr>
    <w:rPr>
      <w:rFonts w:cs="Myriad Pro"/>
      <w:spacing w:val="1"/>
      <w:sz w:val="22"/>
    </w:rPr>
  </w:style>
  <w:style w:type="character" w:customStyle="1" w:styleId="Otsikko1Char">
    <w:name w:val="Otsikko 1 Char"/>
    <w:aliases w:val="Otsikko 1 VN Char"/>
    <w:basedOn w:val="Kappaleenoletusfontti"/>
    <w:link w:val="Otsikko1"/>
    <w:uiPriority w:val="4"/>
    <w:rsid w:val="00E11095"/>
    <w:rPr>
      <w:rFonts w:ascii="Arial Narrow" w:hAnsi="Arial Narrow"/>
      <w:b/>
      <w:color w:val="365ABD"/>
      <w:sz w:val="50"/>
    </w:rPr>
  </w:style>
  <w:style w:type="character" w:customStyle="1" w:styleId="Otsikko2Char">
    <w:name w:val="Otsikko 2 Char"/>
    <w:aliases w:val="Otsikko 2 VN Char"/>
    <w:basedOn w:val="Kappaleenoletusfontti"/>
    <w:link w:val="Otsikko2"/>
    <w:uiPriority w:val="4"/>
    <w:rsid w:val="00D807C9"/>
    <w:rPr>
      <w:rFonts w:ascii="Arial Narrow" w:hAnsi="Arial Narrow"/>
      <w:b/>
      <w:color w:val="365ABD" w:themeColor="text2"/>
      <w:spacing w:val="10"/>
      <w:sz w:val="38"/>
      <w:lang w:val="en-US" w:eastAsia="en-US"/>
    </w:rPr>
  </w:style>
  <w:style w:type="character" w:customStyle="1" w:styleId="Otsikko3Char">
    <w:name w:val="Otsikko 3 Char"/>
    <w:aliases w:val="Otsikko 3 VN Char"/>
    <w:basedOn w:val="Kappaleenoletusfontti"/>
    <w:link w:val="Otsikko3"/>
    <w:uiPriority w:val="4"/>
    <w:rsid w:val="009F51A7"/>
    <w:rPr>
      <w:rFonts w:ascii="Arial Narrow" w:hAnsi="Arial Narrow" w:cs="Arial"/>
      <w:b/>
      <w:bCs/>
      <w:color w:val="365ABD" w:themeColor="text2"/>
      <w:spacing w:val="8"/>
      <w:position w:val="10"/>
      <w:sz w:val="33"/>
      <w:szCs w:val="26"/>
      <w:lang w:eastAsia="en-US"/>
    </w:rPr>
  </w:style>
  <w:style w:type="character" w:customStyle="1" w:styleId="Otsikko4Char">
    <w:name w:val="Otsikko 4 Char"/>
    <w:aliases w:val="Otsikko 4 VN Char"/>
    <w:basedOn w:val="Kappaleenoletusfontti"/>
    <w:link w:val="Otsikko4"/>
    <w:uiPriority w:val="4"/>
    <w:rsid w:val="008D7317"/>
    <w:rPr>
      <w:rFonts w:ascii="Arial Narrow" w:hAnsi="Arial Narrow"/>
      <w:color w:val="365ABD" w:themeColor="text2"/>
      <w:sz w:val="28"/>
      <w:lang w:eastAsia="en-US"/>
    </w:rPr>
  </w:style>
  <w:style w:type="character" w:customStyle="1" w:styleId="Otsikko5Char">
    <w:name w:val="Otsikko 5 Char"/>
    <w:aliases w:val="Otsikko 5 VN Char"/>
    <w:basedOn w:val="Kappaleenoletusfontti"/>
    <w:link w:val="Otsikko5"/>
    <w:uiPriority w:val="9"/>
    <w:semiHidden/>
    <w:rsid w:val="00FA0A6A"/>
    <w:rPr>
      <w:rFonts w:asciiTheme="majorHAnsi" w:eastAsiaTheme="majorEastAsia" w:hAnsiTheme="majorHAnsi" w:cstheme="majorBidi"/>
      <w:color w:val="365ABD" w:themeColor="text2"/>
    </w:rPr>
  </w:style>
  <w:style w:type="character" w:customStyle="1" w:styleId="Otsikko6Char">
    <w:name w:val="Otsikko 6 Char"/>
    <w:basedOn w:val="Kappaleenoletusfontti"/>
    <w:link w:val="Otsikko6"/>
    <w:uiPriority w:val="9"/>
    <w:semiHidden/>
    <w:rsid w:val="001A7B17"/>
    <w:rPr>
      <w:rFonts w:asciiTheme="majorHAnsi" w:eastAsiaTheme="majorEastAsia" w:hAnsiTheme="majorHAnsi" w:cstheme="majorBidi"/>
      <w:i/>
      <w:iCs/>
      <w:color w:val="001735" w:themeColor="accent1" w:themeShade="7F"/>
    </w:rPr>
  </w:style>
  <w:style w:type="character" w:customStyle="1" w:styleId="Otsikko7Char">
    <w:name w:val="Otsikko 7 Char"/>
    <w:basedOn w:val="Kappaleenoletusfontti"/>
    <w:link w:val="Otsikko7"/>
    <w:uiPriority w:val="9"/>
    <w:semiHidden/>
    <w:rsid w:val="001A7B17"/>
    <w:rPr>
      <w:rFonts w:asciiTheme="majorHAnsi" w:eastAsiaTheme="majorEastAsia" w:hAnsiTheme="majorHAnsi" w:cstheme="majorBidi"/>
      <w:i/>
      <w:iCs/>
      <w:color w:val="404040" w:themeColor="text1" w:themeTint="BF"/>
    </w:rPr>
  </w:style>
  <w:style w:type="character" w:customStyle="1" w:styleId="Otsikko8Char">
    <w:name w:val="Otsikko 8 Char"/>
    <w:basedOn w:val="Kappaleenoletusfontti"/>
    <w:link w:val="Otsikko8"/>
    <w:uiPriority w:val="9"/>
    <w:semiHidden/>
    <w:rsid w:val="001A7B17"/>
    <w:rPr>
      <w:rFonts w:asciiTheme="majorHAnsi" w:eastAsiaTheme="majorEastAsia" w:hAnsiTheme="majorHAnsi" w:cstheme="majorBidi"/>
      <w:color w:val="404040" w:themeColor="text1" w:themeTint="BF"/>
    </w:rPr>
  </w:style>
  <w:style w:type="character" w:customStyle="1" w:styleId="Otsikko9Char">
    <w:name w:val="Otsikko 9 Char"/>
    <w:basedOn w:val="Kappaleenoletusfontti"/>
    <w:link w:val="Otsikko9"/>
    <w:uiPriority w:val="9"/>
    <w:semiHidden/>
    <w:rsid w:val="001A7B17"/>
    <w:rPr>
      <w:rFonts w:asciiTheme="majorHAnsi" w:eastAsiaTheme="majorEastAsia" w:hAnsiTheme="majorHAnsi" w:cstheme="majorBidi"/>
      <w:i/>
      <w:iCs/>
      <w:color w:val="404040" w:themeColor="text1" w:themeTint="BF"/>
    </w:rPr>
  </w:style>
  <w:style w:type="paragraph" w:styleId="Yltunniste">
    <w:name w:val="header"/>
    <w:aliases w:val="VN_Ylätunniste_sarjanimi"/>
    <w:basedOn w:val="Normaali"/>
    <w:next w:val="Normaali"/>
    <w:link w:val="YltunnisteChar"/>
    <w:uiPriority w:val="4"/>
    <w:unhideWhenUsed/>
    <w:rsid w:val="00526295"/>
    <w:pPr>
      <w:tabs>
        <w:tab w:val="center" w:pos="4819"/>
        <w:tab w:val="right" w:pos="9638"/>
      </w:tabs>
      <w:jc w:val="center"/>
    </w:pPr>
    <w:rPr>
      <w:caps/>
      <w:color w:val="7F7F7F" w:themeColor="text1" w:themeTint="80"/>
      <w:sz w:val="14"/>
    </w:rPr>
  </w:style>
  <w:style w:type="character" w:customStyle="1" w:styleId="YltunnisteChar">
    <w:name w:val="Ylätunniste Char"/>
    <w:aliases w:val="VN_Ylätunniste_sarjanimi Char"/>
    <w:basedOn w:val="Kappaleenoletusfontti"/>
    <w:link w:val="Yltunniste"/>
    <w:uiPriority w:val="4"/>
    <w:rsid w:val="00A44890"/>
    <w:rPr>
      <w:caps/>
      <w:color w:val="7F7F7F" w:themeColor="text1" w:themeTint="80"/>
      <w:sz w:val="14"/>
    </w:rPr>
  </w:style>
  <w:style w:type="paragraph" w:styleId="Alatunniste">
    <w:name w:val="footer"/>
    <w:aliases w:val="Alatunniste VN"/>
    <w:basedOn w:val="Normaali"/>
    <w:next w:val="Normaali"/>
    <w:link w:val="AlatunnisteChar"/>
    <w:uiPriority w:val="4"/>
    <w:unhideWhenUsed/>
    <w:rsid w:val="004C3942"/>
    <w:pPr>
      <w:spacing w:before="170" w:line="280" w:lineRule="atLeast"/>
      <w:jc w:val="center"/>
    </w:pPr>
  </w:style>
  <w:style w:type="character" w:customStyle="1" w:styleId="AlatunnisteChar">
    <w:name w:val="Alatunniste Char"/>
    <w:aliases w:val="Alatunniste VN Char"/>
    <w:basedOn w:val="Kappaleenoletusfontti"/>
    <w:link w:val="Alatunniste"/>
    <w:uiPriority w:val="4"/>
    <w:rsid w:val="00A44890"/>
  </w:style>
  <w:style w:type="paragraph" w:customStyle="1" w:styleId="VNAlaviitetaulukkokuvio">
    <w:name w:val="VN_Alaviite_taulukko_kuvio"/>
    <w:basedOn w:val="Normaali"/>
    <w:link w:val="VNAlaviitetaulukkokuvioChar"/>
    <w:qFormat/>
    <w:rsid w:val="0074003A"/>
    <w:pPr>
      <w:spacing w:before="100"/>
      <w:jc w:val="both"/>
    </w:pPr>
    <w:rPr>
      <w:sz w:val="18"/>
    </w:rPr>
  </w:style>
  <w:style w:type="character" w:customStyle="1" w:styleId="VNAlaviitetaulukkokuvioChar">
    <w:name w:val="VN_Alaviite_taulukko_kuvio Char"/>
    <w:basedOn w:val="Kappaleenoletusfontti"/>
    <w:link w:val="VNAlaviitetaulukkokuvio"/>
    <w:rsid w:val="0074003A"/>
    <w:rPr>
      <w:sz w:val="18"/>
    </w:rPr>
  </w:style>
  <w:style w:type="paragraph" w:styleId="Sisllysluettelonotsikko">
    <w:name w:val="TOC Heading"/>
    <w:basedOn w:val="Otsikko1"/>
    <w:next w:val="Normaali"/>
    <w:uiPriority w:val="39"/>
    <w:semiHidden/>
    <w:unhideWhenUsed/>
    <w:qFormat/>
    <w:rsid w:val="0011429D"/>
    <w:pPr>
      <w:keepNext/>
      <w:keepLines/>
      <w:framePr w:wrap="notBeside" w:hAnchor="text"/>
      <w:spacing w:before="480" w:after="0" w:line="276" w:lineRule="auto"/>
      <w:outlineLvl w:val="9"/>
    </w:pPr>
    <w:rPr>
      <w:rFonts w:asciiTheme="majorHAnsi" w:eastAsiaTheme="majorEastAsia" w:hAnsiTheme="majorHAnsi" w:cstheme="majorBidi"/>
      <w:b w:val="0"/>
      <w:bCs/>
      <w:color w:val="002250" w:themeColor="accent1" w:themeShade="BF"/>
      <w:sz w:val="28"/>
      <w:szCs w:val="28"/>
      <w:lang w:eastAsia="en-US"/>
    </w:rPr>
  </w:style>
  <w:style w:type="paragraph" w:styleId="Sisluet1">
    <w:name w:val="toc 1"/>
    <w:basedOn w:val="Normaali"/>
    <w:next w:val="Normaali"/>
    <w:autoRedefine/>
    <w:uiPriority w:val="39"/>
    <w:unhideWhenUsed/>
    <w:rsid w:val="00FA0A6A"/>
    <w:pPr>
      <w:tabs>
        <w:tab w:val="right" w:leader="dot" w:pos="7700"/>
      </w:tabs>
      <w:spacing w:before="340" w:after="80"/>
      <w:ind w:left="567" w:right="851" w:hanging="567"/>
    </w:pPr>
    <w:rPr>
      <w:rFonts w:ascii="Arial Narrow" w:hAnsi="Arial Narrow"/>
      <w:b/>
      <w:noProof/>
      <w:color w:val="365ABD" w:themeColor="text2"/>
      <w:sz w:val="26"/>
      <w:szCs w:val="26"/>
    </w:rPr>
  </w:style>
  <w:style w:type="paragraph" w:styleId="Sisluet2">
    <w:name w:val="toc 2"/>
    <w:basedOn w:val="Normaali"/>
    <w:next w:val="Normaali"/>
    <w:autoRedefine/>
    <w:uiPriority w:val="39"/>
    <w:unhideWhenUsed/>
    <w:rsid w:val="007764D6"/>
    <w:pPr>
      <w:tabs>
        <w:tab w:val="right" w:leader="dot" w:pos="7700"/>
      </w:tabs>
      <w:spacing w:before="40" w:after="100"/>
      <w:ind w:left="1134" w:right="851" w:hanging="567"/>
    </w:pPr>
    <w:rPr>
      <w:rFonts w:ascii="Arial Narrow" w:hAnsi="Arial Narrow"/>
      <w:noProof/>
      <w:sz w:val="21"/>
    </w:rPr>
  </w:style>
  <w:style w:type="paragraph" w:styleId="Sisluet3">
    <w:name w:val="toc 3"/>
    <w:basedOn w:val="Normaali"/>
    <w:next w:val="Normaali"/>
    <w:autoRedefine/>
    <w:uiPriority w:val="39"/>
    <w:unhideWhenUsed/>
    <w:rsid w:val="00000C1A"/>
    <w:pPr>
      <w:tabs>
        <w:tab w:val="left" w:pos="1985"/>
        <w:tab w:val="right" w:leader="dot" w:pos="7700"/>
      </w:tabs>
      <w:spacing w:after="100"/>
      <w:ind w:left="1985" w:right="851" w:hanging="851"/>
    </w:pPr>
    <w:rPr>
      <w:rFonts w:ascii="Arial Narrow" w:hAnsi="Arial Narrow"/>
      <w:noProof/>
      <w:sz w:val="21"/>
    </w:rPr>
  </w:style>
  <w:style w:type="paragraph" w:styleId="Sisluet4">
    <w:name w:val="toc 4"/>
    <w:basedOn w:val="Normaali"/>
    <w:next w:val="Normaali"/>
    <w:autoRedefine/>
    <w:uiPriority w:val="39"/>
    <w:unhideWhenUsed/>
    <w:rsid w:val="007764D6"/>
    <w:pPr>
      <w:tabs>
        <w:tab w:val="right" w:leader="dot" w:pos="7700"/>
      </w:tabs>
      <w:spacing w:after="100"/>
      <w:ind w:left="3062" w:right="851" w:hanging="1077"/>
    </w:pPr>
    <w:rPr>
      <w:rFonts w:ascii="Arial Narrow" w:hAnsi="Arial Narrow"/>
      <w:noProof/>
      <w:sz w:val="21"/>
    </w:rPr>
  </w:style>
  <w:style w:type="paragraph" w:customStyle="1" w:styleId="VNSisltOtsikko">
    <w:name w:val="VN_Sisältö Otsikko"/>
    <w:basedOn w:val="VNOtsikkoesipuhe"/>
    <w:uiPriority w:val="1"/>
    <w:rsid w:val="00384AD1"/>
    <w:pPr>
      <w:spacing w:before="0" w:after="510"/>
    </w:pPr>
    <w:rPr>
      <w:rFonts w:ascii="Arial Narrow" w:hAnsi="Arial Narrow"/>
      <w:caps w:val="0"/>
      <w:sz w:val="34"/>
      <w:szCs w:val="34"/>
      <w:lang w:val="en-US"/>
    </w:rPr>
  </w:style>
  <w:style w:type="paragraph" w:customStyle="1" w:styleId="VNOtsikkoesipuhe">
    <w:name w:val="VN_Otsikko esipuhe"/>
    <w:basedOn w:val="Normaali"/>
    <w:next w:val="VNLeip1kappale"/>
    <w:uiPriority w:val="1"/>
    <w:rsid w:val="00384AD1"/>
    <w:pPr>
      <w:suppressAutoHyphens/>
      <w:spacing w:before="2268" w:after="680" w:line="240" w:lineRule="atLeast"/>
    </w:pPr>
    <w:rPr>
      <w:rFonts w:cs="Myriad Pro"/>
      <w:b/>
      <w:bCs/>
      <w:caps/>
      <w:color w:val="365ABD" w:themeColor="text2"/>
      <w:spacing w:val="24"/>
      <w:sz w:val="24"/>
    </w:rPr>
  </w:style>
  <w:style w:type="paragraph" w:customStyle="1" w:styleId="VNKuvateksti">
    <w:name w:val="VN_Kuvateksti"/>
    <w:basedOn w:val="Normaali"/>
    <w:next w:val="VNLeip1kappale"/>
    <w:uiPriority w:val="99"/>
    <w:qFormat/>
    <w:rsid w:val="00E217F8"/>
    <w:pPr>
      <w:autoSpaceDE w:val="0"/>
      <w:autoSpaceDN w:val="0"/>
      <w:adjustRightInd w:val="0"/>
      <w:spacing w:before="510" w:after="440" w:line="260" w:lineRule="atLeast"/>
      <w:textAlignment w:val="center"/>
    </w:pPr>
    <w:rPr>
      <w:rFonts w:ascii="Arial Narrow" w:hAnsi="Arial Narrow" w:cs="Myriad Pro Light"/>
      <w:spacing w:val="1"/>
      <w:position w:val="-10"/>
      <w:sz w:val="22"/>
      <w:szCs w:val="18"/>
    </w:rPr>
  </w:style>
  <w:style w:type="paragraph" w:customStyle="1" w:styleId="VNNiminotsikko">
    <w:name w:val="VN_Nimiön otsikko"/>
    <w:basedOn w:val="Normaali"/>
    <w:autoRedefine/>
    <w:uiPriority w:val="3"/>
    <w:rsid w:val="00600FA1"/>
    <w:pPr>
      <w:keepNext/>
      <w:keepLines/>
      <w:suppressAutoHyphens/>
      <w:kinsoku w:val="0"/>
      <w:autoSpaceDE w:val="0"/>
      <w:autoSpaceDN w:val="0"/>
      <w:adjustRightInd w:val="0"/>
      <w:spacing w:before="2937" w:after="284" w:line="760" w:lineRule="atLeast"/>
      <w:textAlignment w:val="center"/>
    </w:pPr>
    <w:rPr>
      <w:rFonts w:ascii="Arial Narrow" w:hAnsi="Arial Narrow" w:cs="Myriad Pro Cond"/>
      <w:color w:val="365ABD"/>
      <w:spacing w:val="4"/>
      <w:sz w:val="72"/>
      <w:szCs w:val="72"/>
    </w:rPr>
  </w:style>
  <w:style w:type="paragraph" w:customStyle="1" w:styleId="VNNiminalaotsikko">
    <w:name w:val="VN_Nimiön alaotsikko"/>
    <w:basedOn w:val="VNNiminotsikko"/>
    <w:autoRedefine/>
    <w:uiPriority w:val="3"/>
    <w:rsid w:val="00D95A49"/>
    <w:pPr>
      <w:spacing w:before="0" w:after="638" w:line="560" w:lineRule="atLeast"/>
    </w:pPr>
    <w:rPr>
      <w:color w:val="365ABD" w:themeColor="text2"/>
      <w:spacing w:val="3"/>
      <w:sz w:val="32"/>
      <w:szCs w:val="26"/>
    </w:rPr>
  </w:style>
  <w:style w:type="paragraph" w:customStyle="1" w:styleId="VNSarjanimi">
    <w:name w:val="VN_Sarjanimi"/>
    <w:basedOn w:val="VNNiminalaotsikko"/>
    <w:uiPriority w:val="3"/>
    <w:rsid w:val="006A6400"/>
    <w:pPr>
      <w:spacing w:after="0" w:line="280" w:lineRule="atLeast"/>
    </w:pPr>
    <w:rPr>
      <w:rFonts w:ascii="Arial" w:hAnsi="Arial" w:cs="Myriad Pro"/>
      <w:color w:val="000000" w:themeColor="text1"/>
      <w:spacing w:val="2"/>
      <w:sz w:val="22"/>
      <w:szCs w:val="20"/>
    </w:rPr>
  </w:style>
  <w:style w:type="paragraph" w:customStyle="1" w:styleId="VNCopyright">
    <w:name w:val="VN_Copyright"/>
    <w:basedOn w:val="Normaali"/>
    <w:uiPriority w:val="3"/>
    <w:rsid w:val="00E56CEF"/>
    <w:pPr>
      <w:suppressAutoHyphens/>
      <w:autoSpaceDE w:val="0"/>
      <w:autoSpaceDN w:val="0"/>
      <w:adjustRightInd w:val="0"/>
      <w:spacing w:before="40" w:after="40" w:line="240" w:lineRule="atLeast"/>
      <w:ind w:left="1304" w:hanging="1304"/>
      <w:textAlignment w:val="center"/>
    </w:pPr>
    <w:rPr>
      <w:rFonts w:cs="Myriad Pro"/>
      <w:sz w:val="22"/>
      <w:szCs w:val="16"/>
    </w:rPr>
  </w:style>
  <w:style w:type="paragraph" w:customStyle="1" w:styleId="VNTaulukkosarakeotsikkovasen">
    <w:name w:val="VN_Taulukko_sarakeotsikko_vasen"/>
    <w:basedOn w:val="VNTaulukkoperusvasen"/>
    <w:rsid w:val="008036A2"/>
    <w:rPr>
      <w:color w:val="365ABD" w:themeColor="text2"/>
      <w:szCs w:val="22"/>
    </w:rPr>
  </w:style>
  <w:style w:type="paragraph" w:customStyle="1" w:styleId="VNKuvailulehtiotsikko">
    <w:name w:val="VN_Kuvailulehti otsikko"/>
    <w:basedOn w:val="Normaali"/>
    <w:uiPriority w:val="3"/>
    <w:rsid w:val="00F0547F"/>
    <w:pPr>
      <w:suppressAutoHyphens/>
      <w:autoSpaceDE w:val="0"/>
      <w:autoSpaceDN w:val="0"/>
      <w:adjustRightInd w:val="0"/>
      <w:spacing w:after="80" w:line="280" w:lineRule="atLeast"/>
      <w:textAlignment w:val="center"/>
    </w:pPr>
    <w:rPr>
      <w:rFonts w:cs="Myriad Pro Light"/>
      <w:b/>
      <w:color w:val="365ABD" w:themeColor="text2"/>
      <w:spacing w:val="5"/>
      <w:sz w:val="24"/>
      <w:szCs w:val="26"/>
      <w:u w:color="000000"/>
    </w:rPr>
  </w:style>
  <w:style w:type="paragraph" w:customStyle="1" w:styleId="VNKuvailulehtityhjllvlillregular">
    <w:name w:val="VN_Kuvailulehti tyhjällä välillä regular"/>
    <w:basedOn w:val="Normaali"/>
    <w:uiPriority w:val="3"/>
    <w:rsid w:val="00B24C32"/>
    <w:pPr>
      <w:tabs>
        <w:tab w:val="left" w:pos="6804"/>
      </w:tabs>
      <w:suppressAutoHyphens/>
      <w:autoSpaceDE w:val="0"/>
      <w:autoSpaceDN w:val="0"/>
      <w:adjustRightInd w:val="0"/>
      <w:spacing w:after="170" w:line="240" w:lineRule="atLeast"/>
      <w:textAlignment w:val="center"/>
    </w:pPr>
    <w:rPr>
      <w:rFonts w:asciiTheme="majorHAnsi" w:hAnsiTheme="majorHAnsi" w:cs="Myriad Pro"/>
      <w:sz w:val="18"/>
      <w:szCs w:val="18"/>
      <w:u w:color="000000"/>
    </w:rPr>
  </w:style>
  <w:style w:type="paragraph" w:customStyle="1" w:styleId="VNKuvailulehtiotsikkopalstabold">
    <w:name w:val="VN_Kuvailulehti otsikkopalsta bold"/>
    <w:basedOn w:val="Normaali"/>
    <w:uiPriority w:val="3"/>
    <w:rsid w:val="000370FF"/>
    <w:pPr>
      <w:spacing w:before="120" w:after="20" w:line="240" w:lineRule="atLeast"/>
      <w:ind w:right="-108"/>
    </w:pPr>
    <w:rPr>
      <w:b/>
      <w:sz w:val="18"/>
    </w:rPr>
  </w:style>
  <w:style w:type="paragraph" w:customStyle="1" w:styleId="VNKuvailulehtieityhjvli">
    <w:name w:val="VN_Kuvailulehti ei tyhjää väliä"/>
    <w:basedOn w:val="VNKuvailulehtityhjllvlillregular"/>
    <w:uiPriority w:val="3"/>
    <w:rsid w:val="000370FF"/>
    <w:pPr>
      <w:spacing w:before="120" w:after="20"/>
    </w:pPr>
  </w:style>
  <w:style w:type="paragraph" w:customStyle="1" w:styleId="VNKuvailulehtityhjllvlillbold">
    <w:name w:val="VN_Kuvailulehti tyhjällä välillä bold"/>
    <w:basedOn w:val="VNKuvailulehtiotsikkopalstabold"/>
    <w:uiPriority w:val="3"/>
    <w:rsid w:val="003A0185"/>
    <w:pPr>
      <w:spacing w:after="170" w:line="200" w:lineRule="atLeast"/>
    </w:pPr>
    <w:rPr>
      <w:rFonts w:asciiTheme="majorHAnsi" w:hAnsiTheme="majorHAnsi"/>
    </w:rPr>
  </w:style>
  <w:style w:type="character" w:customStyle="1" w:styleId="nimitiedot">
    <w:name w:val="nimiö tiedot"/>
    <w:uiPriority w:val="99"/>
    <w:semiHidden/>
    <w:rsid w:val="004863B9"/>
  </w:style>
  <w:style w:type="character" w:styleId="Hyperlinkki">
    <w:name w:val="Hyperlink"/>
    <w:uiPriority w:val="99"/>
    <w:unhideWhenUsed/>
    <w:rsid w:val="00B76750"/>
    <w:rPr>
      <w:color w:val="365ABD" w:themeColor="text2"/>
      <w:u w:val="none"/>
    </w:rPr>
  </w:style>
  <w:style w:type="paragraph" w:customStyle="1" w:styleId="VNLeip2kappaleet">
    <w:name w:val="VN_Leipä 2. kappaleet"/>
    <w:basedOn w:val="VNLeip1kappale"/>
    <w:rsid w:val="007D4120"/>
    <w:pPr>
      <w:autoSpaceDE w:val="0"/>
      <w:autoSpaceDN w:val="0"/>
      <w:adjustRightInd w:val="0"/>
      <w:textAlignment w:val="center"/>
    </w:pPr>
  </w:style>
  <w:style w:type="paragraph" w:customStyle="1" w:styleId="VNIngressi">
    <w:name w:val="VN_Ingressi"/>
    <w:basedOn w:val="VNLeip1kappale"/>
    <w:next w:val="VNLeip1kappale"/>
    <w:uiPriority w:val="1"/>
    <w:rsid w:val="00CC2281"/>
    <w:pPr>
      <w:suppressAutoHyphens/>
      <w:autoSpaceDE w:val="0"/>
      <w:autoSpaceDN w:val="0"/>
      <w:adjustRightInd w:val="0"/>
      <w:spacing w:after="340"/>
      <w:ind w:left="851"/>
      <w:textAlignment w:val="center"/>
    </w:pPr>
    <w:rPr>
      <w:rFonts w:cs="Myriad Pro Light"/>
      <w:b/>
      <w:sz w:val="24"/>
      <w:szCs w:val="22"/>
    </w:rPr>
  </w:style>
  <w:style w:type="paragraph" w:customStyle="1" w:styleId="VNLeipluettelonumeroituna">
    <w:name w:val="VN_Leipä luettelo numeroituna"/>
    <w:basedOn w:val="VNLeipluetteloajatusviivalla"/>
    <w:rsid w:val="003026B4"/>
    <w:pPr>
      <w:numPr>
        <w:numId w:val="2"/>
      </w:numPr>
    </w:pPr>
  </w:style>
  <w:style w:type="paragraph" w:customStyle="1" w:styleId="VNLeipluetteloajatusviivalla">
    <w:name w:val="VN_Leipä luettelo ajatusviivalla"/>
    <w:basedOn w:val="Normaali"/>
    <w:rsid w:val="008E2DEE"/>
    <w:pPr>
      <w:numPr>
        <w:numId w:val="3"/>
      </w:numPr>
      <w:tabs>
        <w:tab w:val="left" w:pos="227"/>
        <w:tab w:val="left" w:pos="397"/>
        <w:tab w:val="left" w:pos="794"/>
        <w:tab w:val="left" w:pos="1020"/>
      </w:tabs>
      <w:spacing w:line="320" w:lineRule="atLeast"/>
      <w:ind w:left="1281" w:hanging="357"/>
    </w:pPr>
    <w:rPr>
      <w:rFonts w:cs="Myriad Pro"/>
      <w:sz w:val="22"/>
    </w:rPr>
  </w:style>
  <w:style w:type="paragraph" w:customStyle="1" w:styleId="VNLeipluettelopallukalla">
    <w:name w:val="VN_Leipä luettelo pallukalla"/>
    <w:basedOn w:val="VNLeipluetteloajatusviivalla"/>
    <w:rsid w:val="007B064B"/>
    <w:pPr>
      <w:numPr>
        <w:numId w:val="4"/>
      </w:numPr>
      <w:tabs>
        <w:tab w:val="clear" w:pos="227"/>
        <w:tab w:val="clear" w:pos="397"/>
        <w:tab w:val="clear" w:pos="794"/>
        <w:tab w:val="clear" w:pos="1020"/>
        <w:tab w:val="left" w:pos="1276"/>
      </w:tabs>
      <w:autoSpaceDE w:val="0"/>
      <w:autoSpaceDN w:val="0"/>
      <w:adjustRightInd w:val="0"/>
      <w:textAlignment w:val="center"/>
    </w:pPr>
  </w:style>
  <w:style w:type="paragraph" w:customStyle="1" w:styleId="VNTaulukonotsikkoeinumeroitu">
    <w:name w:val="VN_Taulukon otsikko_einumeroitu"/>
    <w:basedOn w:val="Normaali"/>
    <w:next w:val="VNTaulukonoletus"/>
    <w:uiPriority w:val="2"/>
    <w:rsid w:val="00906AFD"/>
    <w:pPr>
      <w:autoSpaceDE w:val="0"/>
      <w:autoSpaceDN w:val="0"/>
      <w:adjustRightInd w:val="0"/>
      <w:spacing w:before="510" w:after="240" w:line="260" w:lineRule="atLeast"/>
      <w:textAlignment w:val="center"/>
    </w:pPr>
    <w:rPr>
      <w:rFonts w:cs="Myriad Pro Light Cond"/>
      <w:b/>
      <w:sz w:val="22"/>
      <w:szCs w:val="22"/>
    </w:rPr>
  </w:style>
  <w:style w:type="paragraph" w:customStyle="1" w:styleId="VNTaulukonoletus">
    <w:name w:val="VN_Taulukon oletus"/>
    <w:basedOn w:val="Normaali"/>
    <w:next w:val="VNLeip1kappale"/>
    <w:qFormat/>
    <w:rsid w:val="0015486C"/>
    <w:pPr>
      <w:spacing w:before="80" w:after="80" w:line="260" w:lineRule="atLeast"/>
    </w:pPr>
    <w:rPr>
      <w:rFonts w:ascii="Arial Narrow" w:hAnsi="Arial Narrow"/>
      <w:sz w:val="22"/>
      <w:szCs w:val="18"/>
    </w:rPr>
  </w:style>
  <w:style w:type="paragraph" w:customStyle="1" w:styleId="VNTaulukkoperusoikea">
    <w:name w:val="VN_Taulukko perus oikea"/>
    <w:basedOn w:val="Normaali"/>
    <w:uiPriority w:val="2"/>
    <w:rsid w:val="00B36F01"/>
    <w:pPr>
      <w:autoSpaceDE w:val="0"/>
      <w:autoSpaceDN w:val="0"/>
      <w:adjustRightInd w:val="0"/>
      <w:spacing w:before="80" w:after="80" w:line="260" w:lineRule="atLeast"/>
      <w:jc w:val="right"/>
      <w:textAlignment w:val="center"/>
    </w:pPr>
    <w:rPr>
      <w:rFonts w:ascii="Arial Narrow" w:hAnsi="Arial Narrow" w:cs="Myriad Pro Cond"/>
      <w:spacing w:val="4"/>
      <w:sz w:val="22"/>
      <w:szCs w:val="18"/>
      <w:u w:color="000000"/>
    </w:rPr>
  </w:style>
  <w:style w:type="paragraph" w:customStyle="1" w:styleId="VNTaulukkosarakeotsikkokeskitetty">
    <w:name w:val="VN_Taulukko sarakeotsikko keskitetty"/>
    <w:basedOn w:val="Normaali"/>
    <w:uiPriority w:val="2"/>
    <w:rsid w:val="009F33BE"/>
    <w:pPr>
      <w:tabs>
        <w:tab w:val="center" w:pos="600"/>
        <w:tab w:val="center" w:pos="1740"/>
        <w:tab w:val="right" w:pos="2860"/>
        <w:tab w:val="right" w:pos="3940"/>
        <w:tab w:val="right" w:pos="5140"/>
        <w:tab w:val="right" w:pos="6240"/>
        <w:tab w:val="right" w:pos="7940"/>
        <w:tab w:val="right" w:pos="9040"/>
      </w:tabs>
      <w:suppressAutoHyphens/>
      <w:autoSpaceDE w:val="0"/>
      <w:autoSpaceDN w:val="0"/>
      <w:adjustRightInd w:val="0"/>
      <w:spacing w:before="80" w:after="80" w:line="260" w:lineRule="atLeast"/>
      <w:jc w:val="center"/>
      <w:textAlignment w:val="center"/>
    </w:pPr>
    <w:rPr>
      <w:rFonts w:ascii="Arial Narrow" w:hAnsi="Arial Narrow" w:cs="Myriad Pro Light Cond"/>
      <w:color w:val="365ABD" w:themeColor="text2"/>
      <w:sz w:val="22"/>
      <w:szCs w:val="18"/>
      <w:u w:color="000000"/>
    </w:rPr>
  </w:style>
  <w:style w:type="paragraph" w:customStyle="1" w:styleId="VNTaulukkosarakeotsikkokeskitettynega">
    <w:name w:val="VN_Taulukko sarakeotsikko keskitetty nega"/>
    <w:basedOn w:val="VNTaulukkosarakeotsikkokeskitetty"/>
    <w:uiPriority w:val="2"/>
    <w:rsid w:val="008036A2"/>
  </w:style>
  <w:style w:type="paragraph" w:customStyle="1" w:styleId="VNTaulukkoperusvasen">
    <w:name w:val="VN_Taulukko perus vasen"/>
    <w:basedOn w:val="VNTaulukkoperusoikea"/>
    <w:uiPriority w:val="2"/>
    <w:rsid w:val="00B36F01"/>
    <w:pPr>
      <w:suppressAutoHyphens/>
      <w:jc w:val="left"/>
    </w:pPr>
  </w:style>
  <w:style w:type="table" w:customStyle="1" w:styleId="VNTaulukkovasentasaus">
    <w:name w:val="_VN_Taulukko_vasen_tasaus"/>
    <w:basedOn w:val="VNTaulukko2021"/>
    <w:uiPriority w:val="99"/>
    <w:rsid w:val="00DD254D"/>
    <w:tblPr/>
    <w:tblStylePr w:type="firstRow">
      <w:pPr>
        <w:wordWrap/>
        <w:spacing w:beforeLines="0" w:before="170" w:beforeAutospacing="0" w:afterLines="0" w:after="170" w:afterAutospacing="0" w:line="260" w:lineRule="atLeast"/>
        <w:jc w:val="center"/>
      </w:pPr>
      <w:rPr>
        <w:rFonts w:ascii="Myriad Pro Light Cond" w:hAnsi="Myriad Pro Light Cond"/>
        <w:b/>
        <w:i w:val="0"/>
        <w:color w:val="365ABD" w:themeColor="text2"/>
        <w:spacing w:val="0"/>
        <w:sz w:val="22"/>
      </w:rPr>
      <w:tblPr/>
      <w:tcPr>
        <w:tcBorders>
          <w:bottom w:val="single" w:sz="18" w:space="0" w:color="365ABD" w:themeColor="text2"/>
        </w:tcBorders>
      </w:tcPr>
    </w:tblStylePr>
    <w:tblStylePr w:type="lastRow">
      <w:pPr>
        <w:jc w:val="center"/>
      </w:pPr>
      <w:tblPr/>
      <w:tcPr>
        <w:tcBorders>
          <w:top w:val="nil"/>
          <w:left w:val="nil"/>
          <w:bottom w:val="single" w:sz="4" w:space="0" w:color="000000" w:themeColor="text1"/>
          <w:right w:val="nil"/>
          <w:insideH w:val="nil"/>
          <w:insideV w:val="nil"/>
          <w:tl2br w:val="nil"/>
          <w:tr2bl w:val="nil"/>
        </w:tcBorders>
      </w:tcPr>
    </w:tblStylePr>
    <w:tblStylePr w:type="firstCol">
      <w:pPr>
        <w:jc w:val="left"/>
      </w:pPr>
      <w:rPr>
        <w:b w:val="0"/>
      </w:rPr>
    </w:tblStylePr>
    <w:tblStylePr w:type="lastCol">
      <w:pPr>
        <w:jc w:val="left"/>
      </w:pPr>
    </w:tblStylePr>
    <w:tblStylePr w:type="band1Vert">
      <w:pPr>
        <w:jc w:val="left"/>
      </w:pPr>
    </w:tblStylePr>
    <w:tblStylePr w:type="band2Vert">
      <w:pPr>
        <w:jc w:val="left"/>
      </w:pPr>
    </w:tblStylePr>
    <w:tblStylePr w:type="band1Horz">
      <w:pPr>
        <w:wordWrap/>
        <w:spacing w:beforeLines="0" w:before="170" w:beforeAutospacing="0" w:afterLines="0" w:after="170" w:afterAutospacing="0" w:line="260" w:lineRule="atLeast"/>
        <w:jc w:val="left"/>
      </w:pPr>
      <w:tblPr/>
      <w:tcPr>
        <w:tcBorders>
          <w:top w:val="single" w:sz="4" w:space="0" w:color="000000" w:themeColor="text1"/>
          <w:left w:val="nil"/>
          <w:bottom w:val="single" w:sz="4" w:space="0" w:color="000000" w:themeColor="text1"/>
          <w:right w:val="nil"/>
          <w:insideH w:val="single" w:sz="4" w:space="0" w:color="000000" w:themeColor="text1"/>
          <w:insideV w:val="nil"/>
          <w:tl2br w:val="nil"/>
          <w:tr2bl w:val="nil"/>
        </w:tcBorders>
      </w:tcPr>
    </w:tblStylePr>
    <w:tblStylePr w:type="band2Horz">
      <w:pPr>
        <w:wordWrap/>
        <w:spacing w:beforeLines="0" w:before="170" w:beforeAutospacing="0" w:afterLines="0" w:after="170" w:afterAutospacing="0" w:line="260" w:lineRule="atLeast"/>
        <w:jc w:val="left"/>
      </w:pPr>
      <w:tblPr/>
      <w:tcPr>
        <w:tcBorders>
          <w:bottom w:val="nil"/>
          <w:insideH w:val="single" w:sz="4" w:space="0" w:color="000000" w:themeColor="text1"/>
        </w:tcBorders>
      </w:tcPr>
    </w:tblStylePr>
  </w:style>
  <w:style w:type="paragraph" w:customStyle="1" w:styleId="VNCopyright2Punainen">
    <w:name w:val="VN_Copyright_2 + Punainen"/>
    <w:basedOn w:val="VNCopyright2"/>
    <w:rsid w:val="00A1595E"/>
    <w:rPr>
      <w:color w:val="FF0000"/>
    </w:rPr>
  </w:style>
  <w:style w:type="paragraph" w:customStyle="1" w:styleId="VNTaulukkovrillinenbold">
    <w:name w:val="VN_Taulukko värillinen bold"/>
    <w:basedOn w:val="Normaali"/>
    <w:uiPriority w:val="2"/>
    <w:rsid w:val="002A5F69"/>
    <w:pPr>
      <w:autoSpaceDE w:val="0"/>
      <w:autoSpaceDN w:val="0"/>
      <w:adjustRightInd w:val="0"/>
      <w:spacing w:before="170" w:after="170" w:line="260" w:lineRule="atLeast"/>
      <w:textAlignment w:val="center"/>
    </w:pPr>
    <w:rPr>
      <w:rFonts w:ascii="Arial Narrow" w:hAnsi="Arial Narrow" w:cs="Myriad Pro Light Cond"/>
      <w:b/>
      <w:color w:val="365ABD" w:themeColor="text2"/>
      <w:spacing w:val="2"/>
      <w:sz w:val="22"/>
      <w:szCs w:val="18"/>
      <w:u w:color="000000"/>
    </w:rPr>
  </w:style>
  <w:style w:type="character" w:customStyle="1" w:styleId="Indeksinnumero">
    <w:name w:val="Indeksin numero"/>
    <w:uiPriority w:val="99"/>
    <w:semiHidden/>
    <w:rsid w:val="003A7F21"/>
    <w:rPr>
      <w:sz w:val="22"/>
      <w:szCs w:val="22"/>
      <w:vertAlign w:val="superscript"/>
    </w:rPr>
  </w:style>
  <w:style w:type="character" w:customStyle="1" w:styleId="sislnumerotjapisteet">
    <w:name w:val="sisl_numerot ja pisteet"/>
    <w:basedOn w:val="Kappaleenoletusfontti"/>
    <w:uiPriority w:val="1"/>
    <w:semiHidden/>
    <w:rsid w:val="00101BE8"/>
    <w:rPr>
      <w:rFonts w:ascii="Arial Narrow" w:hAnsi="Arial Narrow"/>
      <w:noProof/>
      <w:color w:val="000000" w:themeColor="text1"/>
      <w:sz w:val="18"/>
    </w:rPr>
  </w:style>
  <w:style w:type="paragraph" w:styleId="Seliteteksti">
    <w:name w:val="Balloon Text"/>
    <w:basedOn w:val="Normaali"/>
    <w:link w:val="SelitetekstiChar"/>
    <w:uiPriority w:val="99"/>
    <w:semiHidden/>
    <w:unhideWhenUsed/>
    <w:rsid w:val="00055FA3"/>
    <w:rPr>
      <w:rFonts w:ascii="Tahoma" w:hAnsi="Tahoma" w:cs="Tahoma"/>
      <w:sz w:val="16"/>
      <w:szCs w:val="16"/>
    </w:rPr>
  </w:style>
  <w:style w:type="character" w:customStyle="1" w:styleId="SelitetekstiChar">
    <w:name w:val="Seliteteksti Char"/>
    <w:basedOn w:val="Kappaleenoletusfontti"/>
    <w:link w:val="Seliteteksti"/>
    <w:uiPriority w:val="99"/>
    <w:semiHidden/>
    <w:rsid w:val="00055FA3"/>
    <w:rPr>
      <w:rFonts w:ascii="Tahoma" w:hAnsi="Tahoma" w:cs="Tahoma"/>
      <w:sz w:val="16"/>
      <w:szCs w:val="16"/>
    </w:rPr>
  </w:style>
  <w:style w:type="character" w:styleId="AvattuHyperlinkki">
    <w:name w:val="FollowedHyperlink"/>
    <w:basedOn w:val="Kappaleenoletusfontti"/>
    <w:uiPriority w:val="99"/>
    <w:semiHidden/>
    <w:unhideWhenUsed/>
    <w:rsid w:val="007C295D"/>
    <w:rPr>
      <w:color w:val="002F6C" w:themeColor="accent1"/>
      <w:u w:val="single"/>
    </w:rPr>
  </w:style>
  <w:style w:type="paragraph" w:customStyle="1" w:styleId="VNLiitejaLhteetotsikko">
    <w:name w:val="VN_Liite ja Lähteet otsikko"/>
    <w:basedOn w:val="Normaali"/>
    <w:next w:val="VNLeip1kappale"/>
    <w:autoRedefine/>
    <w:uiPriority w:val="1"/>
    <w:rsid w:val="00384AD1"/>
    <w:pPr>
      <w:keepNext/>
      <w:pageBreakBefore/>
      <w:suppressAutoHyphens/>
      <w:autoSpaceDE w:val="0"/>
      <w:autoSpaceDN w:val="0"/>
      <w:adjustRightInd w:val="0"/>
      <w:spacing w:before="737" w:after="170" w:line="340" w:lineRule="atLeast"/>
      <w:textAlignment w:val="center"/>
      <w:outlineLvl w:val="0"/>
    </w:pPr>
    <w:rPr>
      <w:rFonts w:ascii="Arial Narrow" w:hAnsi="Arial Narrow" w:cs="Myriad Pro Light Cond"/>
      <w:b/>
      <w:color w:val="365ABD" w:themeColor="text2"/>
      <w:spacing w:val="10"/>
      <w:sz w:val="38"/>
      <w:szCs w:val="34"/>
    </w:rPr>
  </w:style>
  <w:style w:type="paragraph" w:customStyle="1" w:styleId="Numeroimatonotsikko">
    <w:name w:val="Numeroimaton otsikko"/>
    <w:basedOn w:val="Normaali"/>
    <w:next w:val="VNLeip1kappale"/>
    <w:uiPriority w:val="4"/>
    <w:qFormat/>
    <w:rsid w:val="00C1046E"/>
    <w:pPr>
      <w:suppressAutoHyphens/>
      <w:spacing w:before="440" w:after="60" w:line="280" w:lineRule="atLeast"/>
    </w:pPr>
    <w:rPr>
      <w:rFonts w:ascii="Arial Narrow" w:eastAsiaTheme="majorEastAsia" w:hAnsi="Arial Narrow" w:cstheme="majorHAnsi"/>
      <w:b/>
      <w:color w:val="365ABD" w:themeColor="text2"/>
      <w:spacing w:val="5"/>
      <w:kern w:val="28"/>
      <w:position w:val="6"/>
      <w:sz w:val="26"/>
      <w:szCs w:val="52"/>
    </w:rPr>
  </w:style>
  <w:style w:type="paragraph" w:styleId="Alaviitteenteksti">
    <w:name w:val="footnote text"/>
    <w:basedOn w:val="Normaali"/>
    <w:link w:val="AlaviitteentekstiChar"/>
    <w:uiPriority w:val="99"/>
    <w:semiHidden/>
    <w:unhideWhenUsed/>
    <w:rsid w:val="005C7A93"/>
  </w:style>
  <w:style w:type="character" w:customStyle="1" w:styleId="AlaviitteentekstiChar">
    <w:name w:val="Alaviitteen teksti Char"/>
    <w:basedOn w:val="Kappaleenoletusfontti"/>
    <w:link w:val="Alaviitteenteksti"/>
    <w:uiPriority w:val="99"/>
    <w:semiHidden/>
    <w:rsid w:val="005C7A93"/>
  </w:style>
  <w:style w:type="character" w:styleId="Alaviitteenviite">
    <w:name w:val="footnote reference"/>
    <w:basedOn w:val="Kappaleenoletusfontti"/>
    <w:uiPriority w:val="99"/>
    <w:semiHidden/>
    <w:unhideWhenUsed/>
    <w:rsid w:val="005C7A93"/>
    <w:rPr>
      <w:vertAlign w:val="superscript"/>
    </w:rPr>
  </w:style>
  <w:style w:type="paragraph" w:customStyle="1" w:styleId="VNOtsikkoHE">
    <w:name w:val="VN_Otsikko_HE"/>
    <w:basedOn w:val="VNOtsikkoesipuhe"/>
    <w:next w:val="Otsikko1"/>
    <w:uiPriority w:val="1"/>
    <w:rsid w:val="00FA0A6A"/>
    <w:pPr>
      <w:spacing w:before="0" w:after="283"/>
    </w:pPr>
  </w:style>
  <w:style w:type="paragraph" w:styleId="Alaotsikko">
    <w:name w:val="Subtitle"/>
    <w:basedOn w:val="Normaali"/>
    <w:next w:val="Normaali"/>
    <w:link w:val="AlaotsikkoChar"/>
    <w:semiHidden/>
    <w:unhideWhenUsed/>
    <w:rsid w:val="00123E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aotsikkoChar">
    <w:name w:val="Alaotsikko Char"/>
    <w:basedOn w:val="Kappaleenoletusfontti"/>
    <w:link w:val="Alaotsikko"/>
    <w:semiHidden/>
    <w:rsid w:val="00123ECA"/>
    <w:rPr>
      <w:rFonts w:asciiTheme="minorHAnsi" w:eastAsiaTheme="minorEastAsia" w:hAnsiTheme="minorHAnsi" w:cstheme="minorBidi"/>
      <w:color w:val="5A5A5A" w:themeColor="text1" w:themeTint="A5"/>
      <w:spacing w:val="15"/>
      <w:sz w:val="22"/>
      <w:szCs w:val="22"/>
    </w:rPr>
  </w:style>
  <w:style w:type="paragraph" w:styleId="Allekirjoitus">
    <w:name w:val="Signature"/>
    <w:basedOn w:val="Normaali"/>
    <w:link w:val="AllekirjoitusChar"/>
    <w:uiPriority w:val="99"/>
    <w:semiHidden/>
    <w:unhideWhenUsed/>
    <w:rsid w:val="00123ECA"/>
    <w:pPr>
      <w:ind w:left="4252"/>
    </w:pPr>
  </w:style>
  <w:style w:type="character" w:customStyle="1" w:styleId="AllekirjoitusChar">
    <w:name w:val="Allekirjoitus Char"/>
    <w:basedOn w:val="Kappaleenoletusfontti"/>
    <w:link w:val="Allekirjoitus"/>
    <w:uiPriority w:val="99"/>
    <w:semiHidden/>
    <w:rsid w:val="00123ECA"/>
  </w:style>
  <w:style w:type="paragraph" w:styleId="Asiakirjanrakenneruutu">
    <w:name w:val="Document Map"/>
    <w:basedOn w:val="Normaali"/>
    <w:link w:val="AsiakirjanrakenneruutuChar"/>
    <w:uiPriority w:val="99"/>
    <w:semiHidden/>
    <w:unhideWhenUsed/>
    <w:rsid w:val="00123ECA"/>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123ECA"/>
    <w:rPr>
      <w:rFonts w:ascii="Segoe UI" w:hAnsi="Segoe UI" w:cs="Segoe UI"/>
      <w:sz w:val="16"/>
      <w:szCs w:val="16"/>
    </w:rPr>
  </w:style>
  <w:style w:type="paragraph" w:styleId="Eivli">
    <w:name w:val="No Spacing"/>
    <w:link w:val="EivliChar"/>
    <w:uiPriority w:val="1"/>
    <w:qFormat/>
    <w:rsid w:val="00123ECA"/>
  </w:style>
  <w:style w:type="paragraph" w:styleId="Erottuvalainaus">
    <w:name w:val="Intense Quote"/>
    <w:basedOn w:val="Normaali"/>
    <w:next w:val="Normaali"/>
    <w:link w:val="ErottuvalainausChar"/>
    <w:uiPriority w:val="30"/>
    <w:semiHidden/>
    <w:rsid w:val="007C295D"/>
    <w:pPr>
      <w:pBdr>
        <w:left w:val="single" w:sz="4" w:space="4" w:color="002F6C" w:themeColor="accent1"/>
      </w:pBdr>
      <w:spacing w:before="360" w:after="360"/>
      <w:ind w:left="864" w:right="864"/>
      <w:jc w:val="center"/>
    </w:pPr>
    <w:rPr>
      <w:b/>
      <w:i/>
      <w:iCs/>
      <w:color w:val="365ABD" w:themeColor="text2"/>
    </w:rPr>
  </w:style>
  <w:style w:type="character" w:customStyle="1" w:styleId="ErottuvalainausChar">
    <w:name w:val="Erottuva lainaus Char"/>
    <w:basedOn w:val="Kappaleenoletusfontti"/>
    <w:link w:val="Erottuvalainaus"/>
    <w:uiPriority w:val="30"/>
    <w:semiHidden/>
    <w:rsid w:val="007C295D"/>
    <w:rPr>
      <w:b/>
      <w:i/>
      <w:iCs/>
      <w:color w:val="365ABD" w:themeColor="text2"/>
    </w:rPr>
  </w:style>
  <w:style w:type="paragraph" w:styleId="Hakemisto1">
    <w:name w:val="index 1"/>
    <w:basedOn w:val="Normaali"/>
    <w:next w:val="Normaali"/>
    <w:autoRedefine/>
    <w:uiPriority w:val="99"/>
    <w:semiHidden/>
    <w:unhideWhenUsed/>
    <w:rsid w:val="00123ECA"/>
    <w:pPr>
      <w:ind w:left="200" w:hanging="200"/>
    </w:pPr>
  </w:style>
  <w:style w:type="paragraph" w:styleId="Hakemisto2">
    <w:name w:val="index 2"/>
    <w:basedOn w:val="Normaali"/>
    <w:next w:val="Normaali"/>
    <w:autoRedefine/>
    <w:uiPriority w:val="99"/>
    <w:semiHidden/>
    <w:unhideWhenUsed/>
    <w:rsid w:val="00123ECA"/>
    <w:pPr>
      <w:ind w:left="400" w:hanging="200"/>
    </w:pPr>
  </w:style>
  <w:style w:type="paragraph" w:styleId="Hakemisto3">
    <w:name w:val="index 3"/>
    <w:basedOn w:val="Normaali"/>
    <w:next w:val="Normaali"/>
    <w:autoRedefine/>
    <w:uiPriority w:val="99"/>
    <w:semiHidden/>
    <w:unhideWhenUsed/>
    <w:rsid w:val="00123ECA"/>
    <w:pPr>
      <w:ind w:left="600" w:hanging="200"/>
    </w:pPr>
  </w:style>
  <w:style w:type="paragraph" w:styleId="Hakemisto4">
    <w:name w:val="index 4"/>
    <w:basedOn w:val="Normaali"/>
    <w:next w:val="Normaali"/>
    <w:autoRedefine/>
    <w:uiPriority w:val="99"/>
    <w:semiHidden/>
    <w:unhideWhenUsed/>
    <w:rsid w:val="00123ECA"/>
    <w:pPr>
      <w:ind w:left="800" w:hanging="200"/>
    </w:pPr>
  </w:style>
  <w:style w:type="paragraph" w:styleId="Hakemisto5">
    <w:name w:val="index 5"/>
    <w:basedOn w:val="Normaali"/>
    <w:next w:val="Normaali"/>
    <w:autoRedefine/>
    <w:uiPriority w:val="99"/>
    <w:semiHidden/>
    <w:unhideWhenUsed/>
    <w:rsid w:val="00123ECA"/>
    <w:pPr>
      <w:ind w:left="1000" w:hanging="200"/>
    </w:pPr>
  </w:style>
  <w:style w:type="paragraph" w:styleId="Hakemisto6">
    <w:name w:val="index 6"/>
    <w:basedOn w:val="Normaali"/>
    <w:next w:val="Normaali"/>
    <w:autoRedefine/>
    <w:uiPriority w:val="99"/>
    <w:semiHidden/>
    <w:unhideWhenUsed/>
    <w:rsid w:val="00123ECA"/>
    <w:pPr>
      <w:ind w:left="1200" w:hanging="200"/>
    </w:pPr>
  </w:style>
  <w:style w:type="paragraph" w:styleId="Hakemisto7">
    <w:name w:val="index 7"/>
    <w:basedOn w:val="Normaali"/>
    <w:next w:val="Normaali"/>
    <w:autoRedefine/>
    <w:uiPriority w:val="99"/>
    <w:semiHidden/>
    <w:unhideWhenUsed/>
    <w:rsid w:val="00123ECA"/>
    <w:pPr>
      <w:ind w:left="1400" w:hanging="200"/>
    </w:pPr>
  </w:style>
  <w:style w:type="paragraph" w:styleId="Hakemisto8">
    <w:name w:val="index 8"/>
    <w:basedOn w:val="Normaali"/>
    <w:next w:val="Normaali"/>
    <w:autoRedefine/>
    <w:uiPriority w:val="99"/>
    <w:semiHidden/>
    <w:unhideWhenUsed/>
    <w:rsid w:val="00123ECA"/>
    <w:pPr>
      <w:ind w:left="1600" w:hanging="200"/>
    </w:pPr>
  </w:style>
  <w:style w:type="paragraph" w:styleId="Hakemisto9">
    <w:name w:val="index 9"/>
    <w:basedOn w:val="Normaali"/>
    <w:next w:val="Normaali"/>
    <w:autoRedefine/>
    <w:uiPriority w:val="99"/>
    <w:semiHidden/>
    <w:unhideWhenUsed/>
    <w:rsid w:val="00123ECA"/>
    <w:pPr>
      <w:ind w:left="1800" w:hanging="200"/>
    </w:pPr>
  </w:style>
  <w:style w:type="paragraph" w:styleId="Hakemistonotsikko">
    <w:name w:val="index heading"/>
    <w:basedOn w:val="Normaali"/>
    <w:next w:val="Hakemisto1"/>
    <w:uiPriority w:val="99"/>
    <w:semiHidden/>
    <w:unhideWhenUsed/>
    <w:rsid w:val="00123ECA"/>
    <w:rPr>
      <w:rFonts w:asciiTheme="majorHAnsi" w:eastAsiaTheme="majorEastAsia" w:hAnsiTheme="majorHAnsi" w:cstheme="majorBidi"/>
      <w:b/>
      <w:bCs/>
    </w:rPr>
  </w:style>
  <w:style w:type="paragraph" w:styleId="HTML-esimuotoiltu">
    <w:name w:val="HTML Preformatted"/>
    <w:basedOn w:val="Normaali"/>
    <w:link w:val="HTML-esimuotoiltuChar"/>
    <w:uiPriority w:val="99"/>
    <w:semiHidden/>
    <w:unhideWhenUsed/>
    <w:rsid w:val="00123ECA"/>
    <w:rPr>
      <w:rFonts w:ascii="Consolas" w:hAnsi="Consolas"/>
    </w:rPr>
  </w:style>
  <w:style w:type="character" w:customStyle="1" w:styleId="HTML-esimuotoiltuChar">
    <w:name w:val="HTML-esimuotoiltu Char"/>
    <w:basedOn w:val="Kappaleenoletusfontti"/>
    <w:link w:val="HTML-esimuotoiltu"/>
    <w:uiPriority w:val="99"/>
    <w:semiHidden/>
    <w:rsid w:val="00123ECA"/>
    <w:rPr>
      <w:rFonts w:ascii="Consolas" w:hAnsi="Consolas"/>
    </w:rPr>
  </w:style>
  <w:style w:type="paragraph" w:styleId="HTML-osoite">
    <w:name w:val="HTML Address"/>
    <w:basedOn w:val="Normaali"/>
    <w:link w:val="HTML-osoiteChar"/>
    <w:uiPriority w:val="99"/>
    <w:semiHidden/>
    <w:unhideWhenUsed/>
    <w:rsid w:val="00123ECA"/>
    <w:rPr>
      <w:i/>
      <w:iCs/>
    </w:rPr>
  </w:style>
  <w:style w:type="character" w:customStyle="1" w:styleId="HTML-osoiteChar">
    <w:name w:val="HTML-osoite Char"/>
    <w:basedOn w:val="Kappaleenoletusfontti"/>
    <w:link w:val="HTML-osoite"/>
    <w:uiPriority w:val="99"/>
    <w:semiHidden/>
    <w:rsid w:val="00123ECA"/>
    <w:rPr>
      <w:i/>
      <w:iCs/>
    </w:rPr>
  </w:style>
  <w:style w:type="paragraph" w:styleId="Huomautuksenotsikko">
    <w:name w:val="Note Heading"/>
    <w:basedOn w:val="Normaali"/>
    <w:next w:val="Normaali"/>
    <w:link w:val="HuomautuksenotsikkoChar"/>
    <w:uiPriority w:val="99"/>
    <w:semiHidden/>
    <w:unhideWhenUsed/>
    <w:rsid w:val="00123ECA"/>
  </w:style>
  <w:style w:type="character" w:customStyle="1" w:styleId="HuomautuksenotsikkoChar">
    <w:name w:val="Huomautuksen otsikko Char"/>
    <w:basedOn w:val="Kappaleenoletusfontti"/>
    <w:link w:val="Huomautuksenotsikko"/>
    <w:uiPriority w:val="99"/>
    <w:semiHidden/>
    <w:rsid w:val="00123ECA"/>
  </w:style>
  <w:style w:type="paragraph" w:styleId="Jatkoluettelo">
    <w:name w:val="List Continue"/>
    <w:basedOn w:val="Normaali"/>
    <w:uiPriority w:val="99"/>
    <w:semiHidden/>
    <w:unhideWhenUsed/>
    <w:rsid w:val="00123ECA"/>
    <w:pPr>
      <w:spacing w:after="120"/>
      <w:ind w:left="283"/>
      <w:contextualSpacing/>
    </w:pPr>
  </w:style>
  <w:style w:type="paragraph" w:styleId="Jatkoluettelo2">
    <w:name w:val="List Continue 2"/>
    <w:basedOn w:val="Normaali"/>
    <w:uiPriority w:val="99"/>
    <w:semiHidden/>
    <w:unhideWhenUsed/>
    <w:rsid w:val="00123ECA"/>
    <w:pPr>
      <w:spacing w:after="120"/>
      <w:ind w:left="566"/>
      <w:contextualSpacing/>
    </w:pPr>
  </w:style>
  <w:style w:type="paragraph" w:styleId="Jatkoluettelo3">
    <w:name w:val="List Continue 3"/>
    <w:basedOn w:val="Normaali"/>
    <w:uiPriority w:val="99"/>
    <w:semiHidden/>
    <w:unhideWhenUsed/>
    <w:rsid w:val="00123ECA"/>
    <w:pPr>
      <w:spacing w:after="120"/>
      <w:ind w:left="849"/>
      <w:contextualSpacing/>
    </w:pPr>
  </w:style>
  <w:style w:type="paragraph" w:styleId="Jatkoluettelo4">
    <w:name w:val="List Continue 4"/>
    <w:basedOn w:val="Normaali"/>
    <w:uiPriority w:val="99"/>
    <w:semiHidden/>
    <w:unhideWhenUsed/>
    <w:rsid w:val="00123ECA"/>
    <w:pPr>
      <w:spacing w:after="120"/>
      <w:ind w:left="1132"/>
      <w:contextualSpacing/>
    </w:pPr>
  </w:style>
  <w:style w:type="paragraph" w:styleId="Jatkoluettelo5">
    <w:name w:val="List Continue 5"/>
    <w:basedOn w:val="Normaali"/>
    <w:uiPriority w:val="99"/>
    <w:semiHidden/>
    <w:unhideWhenUsed/>
    <w:rsid w:val="00123ECA"/>
    <w:pPr>
      <w:spacing w:after="120"/>
      <w:ind w:left="1415"/>
      <w:contextualSpacing/>
    </w:pPr>
  </w:style>
  <w:style w:type="paragraph" w:styleId="Kirjekuorenosoite">
    <w:name w:val="envelope address"/>
    <w:basedOn w:val="Normaali"/>
    <w:uiPriority w:val="99"/>
    <w:semiHidden/>
    <w:unhideWhenUsed/>
    <w:rsid w:val="00123ECA"/>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123ECA"/>
    <w:rPr>
      <w:rFonts w:asciiTheme="majorHAnsi" w:eastAsiaTheme="majorEastAsia" w:hAnsiTheme="majorHAnsi" w:cstheme="majorBidi"/>
    </w:rPr>
  </w:style>
  <w:style w:type="paragraph" w:styleId="Kommentinteksti">
    <w:name w:val="annotation text"/>
    <w:basedOn w:val="Normaali"/>
    <w:link w:val="KommentintekstiChar"/>
    <w:uiPriority w:val="99"/>
    <w:unhideWhenUsed/>
    <w:rsid w:val="00123ECA"/>
  </w:style>
  <w:style w:type="character" w:customStyle="1" w:styleId="KommentintekstiChar">
    <w:name w:val="Kommentin teksti Char"/>
    <w:basedOn w:val="Kappaleenoletusfontti"/>
    <w:link w:val="Kommentinteksti"/>
    <w:uiPriority w:val="99"/>
    <w:rsid w:val="00123ECA"/>
  </w:style>
  <w:style w:type="paragraph" w:styleId="Kommentinotsikko">
    <w:name w:val="annotation subject"/>
    <w:basedOn w:val="Kommentinteksti"/>
    <w:next w:val="Kommentinteksti"/>
    <w:link w:val="KommentinotsikkoChar"/>
    <w:uiPriority w:val="99"/>
    <w:semiHidden/>
    <w:unhideWhenUsed/>
    <w:rsid w:val="00123ECA"/>
    <w:rPr>
      <w:b/>
      <w:bCs/>
    </w:rPr>
  </w:style>
  <w:style w:type="character" w:customStyle="1" w:styleId="KommentinotsikkoChar">
    <w:name w:val="Kommentin otsikko Char"/>
    <w:basedOn w:val="KommentintekstiChar"/>
    <w:link w:val="Kommentinotsikko"/>
    <w:uiPriority w:val="99"/>
    <w:semiHidden/>
    <w:rsid w:val="00123ECA"/>
    <w:rPr>
      <w:b/>
      <w:bCs/>
    </w:rPr>
  </w:style>
  <w:style w:type="paragraph" w:styleId="Kuvaotsikkoluettelo">
    <w:name w:val="table of figures"/>
    <w:basedOn w:val="Normaali"/>
    <w:next w:val="Normaali"/>
    <w:uiPriority w:val="99"/>
    <w:unhideWhenUsed/>
    <w:rsid w:val="00123ECA"/>
  </w:style>
  <w:style w:type="paragraph" w:styleId="Lainaus">
    <w:name w:val="Quote"/>
    <w:basedOn w:val="Normaali"/>
    <w:next w:val="Normaali"/>
    <w:link w:val="LainausChar"/>
    <w:uiPriority w:val="29"/>
    <w:semiHidden/>
    <w:rsid w:val="00123ECA"/>
    <w:pPr>
      <w:spacing w:before="200" w:after="160"/>
      <w:ind w:left="864" w:right="864"/>
      <w:jc w:val="center"/>
    </w:pPr>
    <w:rPr>
      <w:i/>
      <w:iCs/>
      <w:color w:val="404040" w:themeColor="text1" w:themeTint="BF"/>
    </w:rPr>
  </w:style>
  <w:style w:type="character" w:customStyle="1" w:styleId="LainausChar">
    <w:name w:val="Lainaus Char"/>
    <w:basedOn w:val="Kappaleenoletusfontti"/>
    <w:link w:val="Lainaus"/>
    <w:uiPriority w:val="29"/>
    <w:semiHidden/>
    <w:rsid w:val="00123ECA"/>
    <w:rPr>
      <w:i/>
      <w:iCs/>
      <w:color w:val="404040" w:themeColor="text1" w:themeTint="BF"/>
    </w:rPr>
  </w:style>
  <w:style w:type="paragraph" w:styleId="Leipteksti">
    <w:name w:val="Body Text"/>
    <w:basedOn w:val="Normaali"/>
    <w:link w:val="LeiptekstiChar"/>
    <w:semiHidden/>
    <w:unhideWhenUsed/>
    <w:rsid w:val="00123ECA"/>
    <w:pPr>
      <w:spacing w:after="120"/>
    </w:pPr>
  </w:style>
  <w:style w:type="character" w:customStyle="1" w:styleId="LeiptekstiChar">
    <w:name w:val="Leipäteksti Char"/>
    <w:basedOn w:val="Kappaleenoletusfontti"/>
    <w:link w:val="Leipteksti"/>
    <w:semiHidden/>
    <w:rsid w:val="00123ECA"/>
  </w:style>
  <w:style w:type="paragraph" w:styleId="Leipteksti2">
    <w:name w:val="Body Text 2"/>
    <w:basedOn w:val="Normaali"/>
    <w:link w:val="Leipteksti2Char"/>
    <w:uiPriority w:val="99"/>
    <w:semiHidden/>
    <w:unhideWhenUsed/>
    <w:rsid w:val="00123ECA"/>
    <w:pPr>
      <w:spacing w:after="120" w:line="480" w:lineRule="auto"/>
    </w:pPr>
  </w:style>
  <w:style w:type="character" w:customStyle="1" w:styleId="Leipteksti2Char">
    <w:name w:val="Leipäteksti 2 Char"/>
    <w:basedOn w:val="Kappaleenoletusfontti"/>
    <w:link w:val="Leipteksti2"/>
    <w:uiPriority w:val="99"/>
    <w:semiHidden/>
    <w:rsid w:val="00123ECA"/>
  </w:style>
  <w:style w:type="paragraph" w:styleId="Leipteksti3">
    <w:name w:val="Body Text 3"/>
    <w:basedOn w:val="Normaali"/>
    <w:link w:val="Leipteksti3Char"/>
    <w:uiPriority w:val="99"/>
    <w:semiHidden/>
    <w:unhideWhenUsed/>
    <w:rsid w:val="00123ECA"/>
    <w:pPr>
      <w:spacing w:after="120"/>
    </w:pPr>
    <w:rPr>
      <w:sz w:val="16"/>
      <w:szCs w:val="16"/>
    </w:rPr>
  </w:style>
  <w:style w:type="character" w:customStyle="1" w:styleId="Leipteksti3Char">
    <w:name w:val="Leipäteksti 3 Char"/>
    <w:basedOn w:val="Kappaleenoletusfontti"/>
    <w:link w:val="Leipteksti3"/>
    <w:uiPriority w:val="99"/>
    <w:semiHidden/>
    <w:rsid w:val="00123ECA"/>
    <w:rPr>
      <w:sz w:val="16"/>
      <w:szCs w:val="16"/>
    </w:rPr>
  </w:style>
  <w:style w:type="paragraph" w:styleId="Leiptekstin1rivinsisennys">
    <w:name w:val="Body Text First Indent"/>
    <w:basedOn w:val="Leipteksti"/>
    <w:link w:val="Leiptekstin1rivinsisennysChar"/>
    <w:uiPriority w:val="99"/>
    <w:semiHidden/>
    <w:unhideWhenUsed/>
    <w:rsid w:val="00123ECA"/>
    <w:pPr>
      <w:spacing w:after="0"/>
      <w:ind w:firstLine="360"/>
    </w:pPr>
  </w:style>
  <w:style w:type="character" w:customStyle="1" w:styleId="Leiptekstin1rivinsisennysChar">
    <w:name w:val="Leipätekstin 1. rivin sisennys Char"/>
    <w:basedOn w:val="LeiptekstiChar"/>
    <w:link w:val="Leiptekstin1rivinsisennys"/>
    <w:uiPriority w:val="99"/>
    <w:semiHidden/>
    <w:rsid w:val="00123ECA"/>
  </w:style>
  <w:style w:type="paragraph" w:styleId="Sisennettyleipteksti">
    <w:name w:val="Body Text Indent"/>
    <w:basedOn w:val="Normaali"/>
    <w:link w:val="SisennettyleiptekstiChar"/>
    <w:uiPriority w:val="99"/>
    <w:semiHidden/>
    <w:unhideWhenUsed/>
    <w:rsid w:val="00123ECA"/>
    <w:pPr>
      <w:spacing w:after="120"/>
      <w:ind w:left="283"/>
    </w:pPr>
  </w:style>
  <w:style w:type="character" w:customStyle="1" w:styleId="SisennettyleiptekstiChar">
    <w:name w:val="Sisennetty leipäteksti Char"/>
    <w:basedOn w:val="Kappaleenoletusfontti"/>
    <w:link w:val="Sisennettyleipteksti"/>
    <w:uiPriority w:val="99"/>
    <w:semiHidden/>
    <w:rsid w:val="00123ECA"/>
  </w:style>
  <w:style w:type="paragraph" w:styleId="Leiptekstin1rivinsisennys2">
    <w:name w:val="Body Text First Indent 2"/>
    <w:basedOn w:val="Sisennettyleipteksti"/>
    <w:link w:val="Leiptekstin1rivinsisennys2Char"/>
    <w:uiPriority w:val="99"/>
    <w:semiHidden/>
    <w:unhideWhenUsed/>
    <w:rsid w:val="00123ECA"/>
    <w:pPr>
      <w:spacing w:after="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123ECA"/>
  </w:style>
  <w:style w:type="paragraph" w:styleId="Lohkoteksti">
    <w:name w:val="Block Text"/>
    <w:basedOn w:val="Normaali"/>
    <w:uiPriority w:val="99"/>
    <w:semiHidden/>
    <w:unhideWhenUsed/>
    <w:rsid w:val="007C295D"/>
    <w:pPr>
      <w:pBdr>
        <w:top w:val="single" w:sz="2" w:space="10" w:color="365ABD" w:themeColor="text2"/>
        <w:left w:val="single" w:sz="2" w:space="10" w:color="365ABD" w:themeColor="text2"/>
        <w:bottom w:val="single" w:sz="2" w:space="10" w:color="365ABD" w:themeColor="text2"/>
        <w:right w:val="single" w:sz="2" w:space="10" w:color="365ABD" w:themeColor="text2"/>
      </w:pBdr>
      <w:ind w:left="1152" w:right="1152"/>
    </w:pPr>
    <w:rPr>
      <w:rFonts w:asciiTheme="minorHAnsi" w:eastAsiaTheme="minorEastAsia" w:hAnsiTheme="minorHAnsi" w:cstheme="minorBidi"/>
      <w:i/>
      <w:iCs/>
      <w:color w:val="365ABD" w:themeColor="text2"/>
    </w:rPr>
  </w:style>
  <w:style w:type="paragraph" w:styleId="Lopetus">
    <w:name w:val="Closing"/>
    <w:basedOn w:val="Normaali"/>
    <w:link w:val="LopetusChar"/>
    <w:uiPriority w:val="99"/>
    <w:semiHidden/>
    <w:unhideWhenUsed/>
    <w:rsid w:val="00123ECA"/>
    <w:pPr>
      <w:ind w:left="4252"/>
    </w:pPr>
  </w:style>
  <w:style w:type="character" w:customStyle="1" w:styleId="LopetusChar">
    <w:name w:val="Lopetus Char"/>
    <w:basedOn w:val="Kappaleenoletusfontti"/>
    <w:link w:val="Lopetus"/>
    <w:uiPriority w:val="99"/>
    <w:semiHidden/>
    <w:rsid w:val="00123ECA"/>
  </w:style>
  <w:style w:type="paragraph" w:styleId="Loppuviitteenteksti">
    <w:name w:val="endnote text"/>
    <w:basedOn w:val="Normaali"/>
    <w:link w:val="LoppuviitteentekstiChar"/>
    <w:uiPriority w:val="99"/>
    <w:semiHidden/>
    <w:unhideWhenUsed/>
    <w:rsid w:val="00123ECA"/>
  </w:style>
  <w:style w:type="character" w:customStyle="1" w:styleId="LoppuviitteentekstiChar">
    <w:name w:val="Loppuviitteen teksti Char"/>
    <w:basedOn w:val="Kappaleenoletusfontti"/>
    <w:link w:val="Loppuviitteenteksti"/>
    <w:uiPriority w:val="99"/>
    <w:semiHidden/>
    <w:rsid w:val="00123ECA"/>
  </w:style>
  <w:style w:type="paragraph" w:styleId="Luettelo">
    <w:name w:val="List"/>
    <w:basedOn w:val="Normaali"/>
    <w:uiPriority w:val="99"/>
    <w:semiHidden/>
    <w:unhideWhenUsed/>
    <w:rsid w:val="00123ECA"/>
    <w:pPr>
      <w:ind w:left="283" w:hanging="283"/>
      <w:contextualSpacing/>
    </w:pPr>
  </w:style>
  <w:style w:type="paragraph" w:styleId="Luettelo2">
    <w:name w:val="List 2"/>
    <w:basedOn w:val="Normaali"/>
    <w:uiPriority w:val="99"/>
    <w:semiHidden/>
    <w:unhideWhenUsed/>
    <w:rsid w:val="00123ECA"/>
    <w:pPr>
      <w:ind w:left="566" w:hanging="283"/>
      <w:contextualSpacing/>
    </w:pPr>
  </w:style>
  <w:style w:type="paragraph" w:styleId="Luettelo3">
    <w:name w:val="List 3"/>
    <w:basedOn w:val="Normaali"/>
    <w:uiPriority w:val="99"/>
    <w:semiHidden/>
    <w:unhideWhenUsed/>
    <w:rsid w:val="00123ECA"/>
    <w:pPr>
      <w:ind w:left="849" w:hanging="283"/>
      <w:contextualSpacing/>
    </w:pPr>
  </w:style>
  <w:style w:type="paragraph" w:styleId="Luettelo4">
    <w:name w:val="List 4"/>
    <w:basedOn w:val="Normaali"/>
    <w:uiPriority w:val="99"/>
    <w:semiHidden/>
    <w:unhideWhenUsed/>
    <w:rsid w:val="00123ECA"/>
    <w:pPr>
      <w:ind w:left="1132" w:hanging="283"/>
      <w:contextualSpacing/>
    </w:pPr>
  </w:style>
  <w:style w:type="paragraph" w:styleId="Luettelo5">
    <w:name w:val="List 5"/>
    <w:basedOn w:val="Normaali"/>
    <w:uiPriority w:val="99"/>
    <w:semiHidden/>
    <w:unhideWhenUsed/>
    <w:rsid w:val="00123ECA"/>
    <w:pPr>
      <w:ind w:left="1415" w:hanging="283"/>
      <w:contextualSpacing/>
    </w:pPr>
  </w:style>
  <w:style w:type="paragraph" w:styleId="Lhdeluettelo">
    <w:name w:val="Bibliography"/>
    <w:basedOn w:val="Normaali"/>
    <w:next w:val="Normaali"/>
    <w:uiPriority w:val="37"/>
    <w:semiHidden/>
    <w:unhideWhenUsed/>
    <w:rsid w:val="00123ECA"/>
  </w:style>
  <w:style w:type="paragraph" w:styleId="Lhdeluettelonotsikko">
    <w:name w:val="toa heading"/>
    <w:basedOn w:val="Normaali"/>
    <w:next w:val="Normaali"/>
    <w:uiPriority w:val="99"/>
    <w:semiHidden/>
    <w:unhideWhenUsed/>
    <w:rsid w:val="00123ECA"/>
    <w:pPr>
      <w:spacing w:before="120"/>
    </w:pPr>
    <w:rPr>
      <w:rFonts w:asciiTheme="majorHAnsi" w:eastAsiaTheme="majorEastAsia" w:hAnsiTheme="majorHAnsi" w:cstheme="majorBidi"/>
      <w:b/>
      <w:bCs/>
      <w:sz w:val="24"/>
      <w:szCs w:val="24"/>
    </w:rPr>
  </w:style>
  <w:style w:type="paragraph" w:styleId="Lhdeviiteluettelo">
    <w:name w:val="table of authorities"/>
    <w:basedOn w:val="Normaali"/>
    <w:next w:val="Normaali"/>
    <w:semiHidden/>
    <w:unhideWhenUsed/>
    <w:qFormat/>
    <w:rsid w:val="00123ECA"/>
    <w:pPr>
      <w:ind w:left="200" w:hanging="200"/>
    </w:pPr>
  </w:style>
  <w:style w:type="paragraph" w:styleId="Makroteksti">
    <w:name w:val="macro"/>
    <w:link w:val="MakrotekstiChar"/>
    <w:uiPriority w:val="99"/>
    <w:semiHidden/>
    <w:unhideWhenUsed/>
    <w:rsid w:val="00123EC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iChar">
    <w:name w:val="Makroteksti Char"/>
    <w:basedOn w:val="Kappaleenoletusfontti"/>
    <w:link w:val="Makroteksti"/>
    <w:uiPriority w:val="99"/>
    <w:semiHidden/>
    <w:rsid w:val="00123ECA"/>
    <w:rPr>
      <w:rFonts w:ascii="Consolas" w:hAnsi="Consolas"/>
    </w:rPr>
  </w:style>
  <w:style w:type="paragraph" w:styleId="Merkittyluettelo">
    <w:name w:val="List Bullet"/>
    <w:basedOn w:val="Normaali"/>
    <w:uiPriority w:val="99"/>
    <w:semiHidden/>
    <w:unhideWhenUsed/>
    <w:rsid w:val="00123ECA"/>
    <w:pPr>
      <w:numPr>
        <w:numId w:val="5"/>
      </w:numPr>
      <w:contextualSpacing/>
    </w:pPr>
  </w:style>
  <w:style w:type="paragraph" w:styleId="Merkittyluettelo2">
    <w:name w:val="List Bullet 2"/>
    <w:basedOn w:val="Normaali"/>
    <w:uiPriority w:val="99"/>
    <w:semiHidden/>
    <w:unhideWhenUsed/>
    <w:rsid w:val="00123ECA"/>
    <w:pPr>
      <w:numPr>
        <w:numId w:val="6"/>
      </w:numPr>
      <w:contextualSpacing/>
    </w:pPr>
  </w:style>
  <w:style w:type="paragraph" w:styleId="Merkittyluettelo3">
    <w:name w:val="List Bullet 3"/>
    <w:basedOn w:val="Normaali"/>
    <w:uiPriority w:val="99"/>
    <w:semiHidden/>
    <w:unhideWhenUsed/>
    <w:rsid w:val="00123ECA"/>
    <w:pPr>
      <w:numPr>
        <w:numId w:val="7"/>
      </w:numPr>
      <w:contextualSpacing/>
    </w:pPr>
  </w:style>
  <w:style w:type="paragraph" w:styleId="Merkittyluettelo4">
    <w:name w:val="List Bullet 4"/>
    <w:basedOn w:val="Normaali"/>
    <w:uiPriority w:val="99"/>
    <w:semiHidden/>
    <w:unhideWhenUsed/>
    <w:rsid w:val="00123ECA"/>
    <w:pPr>
      <w:numPr>
        <w:numId w:val="8"/>
      </w:numPr>
      <w:contextualSpacing/>
    </w:pPr>
  </w:style>
  <w:style w:type="paragraph" w:styleId="Merkittyluettelo5">
    <w:name w:val="List Bullet 5"/>
    <w:basedOn w:val="Normaali"/>
    <w:uiPriority w:val="99"/>
    <w:semiHidden/>
    <w:unhideWhenUsed/>
    <w:rsid w:val="00123ECA"/>
    <w:pPr>
      <w:numPr>
        <w:numId w:val="9"/>
      </w:numPr>
      <w:contextualSpacing/>
    </w:pPr>
  </w:style>
  <w:style w:type="paragraph" w:styleId="NormaaliWWW">
    <w:name w:val="Normal (Web)"/>
    <w:basedOn w:val="Normaali"/>
    <w:uiPriority w:val="99"/>
    <w:unhideWhenUsed/>
    <w:rsid w:val="00123ECA"/>
    <w:rPr>
      <w:rFonts w:ascii="Times New Roman" w:hAnsi="Times New Roman"/>
      <w:sz w:val="24"/>
      <w:szCs w:val="24"/>
    </w:rPr>
  </w:style>
  <w:style w:type="paragraph" w:styleId="Numeroituluettelo">
    <w:name w:val="List Number"/>
    <w:basedOn w:val="Normaali"/>
    <w:uiPriority w:val="99"/>
    <w:semiHidden/>
    <w:unhideWhenUsed/>
    <w:rsid w:val="00123ECA"/>
    <w:pPr>
      <w:numPr>
        <w:numId w:val="10"/>
      </w:numPr>
      <w:contextualSpacing/>
    </w:pPr>
  </w:style>
  <w:style w:type="paragraph" w:styleId="Numeroituluettelo2">
    <w:name w:val="List Number 2"/>
    <w:basedOn w:val="Normaali"/>
    <w:uiPriority w:val="99"/>
    <w:semiHidden/>
    <w:unhideWhenUsed/>
    <w:rsid w:val="00123ECA"/>
    <w:pPr>
      <w:numPr>
        <w:numId w:val="11"/>
      </w:numPr>
      <w:contextualSpacing/>
    </w:pPr>
  </w:style>
  <w:style w:type="paragraph" w:styleId="Numeroituluettelo3">
    <w:name w:val="List Number 3"/>
    <w:basedOn w:val="Normaali"/>
    <w:uiPriority w:val="99"/>
    <w:semiHidden/>
    <w:unhideWhenUsed/>
    <w:rsid w:val="00123ECA"/>
    <w:pPr>
      <w:numPr>
        <w:numId w:val="12"/>
      </w:numPr>
      <w:contextualSpacing/>
    </w:pPr>
  </w:style>
  <w:style w:type="paragraph" w:styleId="Numeroituluettelo4">
    <w:name w:val="List Number 4"/>
    <w:basedOn w:val="Normaali"/>
    <w:uiPriority w:val="99"/>
    <w:semiHidden/>
    <w:unhideWhenUsed/>
    <w:rsid w:val="00123ECA"/>
    <w:pPr>
      <w:numPr>
        <w:numId w:val="13"/>
      </w:numPr>
      <w:contextualSpacing/>
    </w:pPr>
  </w:style>
  <w:style w:type="paragraph" w:styleId="Numeroituluettelo5">
    <w:name w:val="List Number 5"/>
    <w:basedOn w:val="Normaali"/>
    <w:uiPriority w:val="99"/>
    <w:semiHidden/>
    <w:unhideWhenUsed/>
    <w:rsid w:val="00123ECA"/>
    <w:pPr>
      <w:numPr>
        <w:numId w:val="14"/>
      </w:numPr>
      <w:contextualSpacing/>
    </w:pPr>
  </w:style>
  <w:style w:type="paragraph" w:styleId="Pivmr">
    <w:name w:val="Date"/>
    <w:basedOn w:val="Normaali"/>
    <w:next w:val="Normaali"/>
    <w:link w:val="PivmrChar"/>
    <w:uiPriority w:val="99"/>
    <w:semiHidden/>
    <w:unhideWhenUsed/>
    <w:rsid w:val="00123ECA"/>
  </w:style>
  <w:style w:type="character" w:customStyle="1" w:styleId="PivmrChar">
    <w:name w:val="Päivämäärä Char"/>
    <w:basedOn w:val="Kappaleenoletusfontti"/>
    <w:link w:val="Pivmr"/>
    <w:uiPriority w:val="99"/>
    <w:semiHidden/>
    <w:rsid w:val="00123ECA"/>
  </w:style>
  <w:style w:type="paragraph" w:styleId="Sisennettyleipteksti2">
    <w:name w:val="Body Text Indent 2"/>
    <w:basedOn w:val="Normaali"/>
    <w:link w:val="Sisennettyleipteksti2Char"/>
    <w:uiPriority w:val="99"/>
    <w:semiHidden/>
    <w:unhideWhenUsed/>
    <w:rsid w:val="00123ECA"/>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123ECA"/>
  </w:style>
  <w:style w:type="paragraph" w:styleId="Sisennettyleipteksti3">
    <w:name w:val="Body Text Indent 3"/>
    <w:basedOn w:val="Normaali"/>
    <w:link w:val="Sisennettyleipteksti3Char"/>
    <w:uiPriority w:val="99"/>
    <w:semiHidden/>
    <w:unhideWhenUsed/>
    <w:rsid w:val="00123ECA"/>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123ECA"/>
    <w:rPr>
      <w:sz w:val="16"/>
      <w:szCs w:val="16"/>
    </w:rPr>
  </w:style>
  <w:style w:type="paragraph" w:styleId="Sisluet5">
    <w:name w:val="toc 5"/>
    <w:basedOn w:val="Normaali"/>
    <w:next w:val="Normaali"/>
    <w:autoRedefine/>
    <w:uiPriority w:val="39"/>
    <w:unhideWhenUsed/>
    <w:rsid w:val="00123ECA"/>
    <w:pPr>
      <w:spacing w:after="100"/>
      <w:ind w:left="800"/>
    </w:pPr>
  </w:style>
  <w:style w:type="paragraph" w:styleId="Sisluet6">
    <w:name w:val="toc 6"/>
    <w:basedOn w:val="Normaali"/>
    <w:next w:val="Normaali"/>
    <w:autoRedefine/>
    <w:uiPriority w:val="39"/>
    <w:unhideWhenUsed/>
    <w:rsid w:val="00123ECA"/>
    <w:pPr>
      <w:spacing w:after="100"/>
      <w:ind w:left="1000"/>
    </w:pPr>
  </w:style>
  <w:style w:type="paragraph" w:styleId="Sisluet7">
    <w:name w:val="toc 7"/>
    <w:basedOn w:val="Normaali"/>
    <w:next w:val="Normaali"/>
    <w:autoRedefine/>
    <w:uiPriority w:val="39"/>
    <w:unhideWhenUsed/>
    <w:rsid w:val="00123ECA"/>
    <w:pPr>
      <w:spacing w:after="100"/>
      <w:ind w:left="1200"/>
    </w:pPr>
  </w:style>
  <w:style w:type="paragraph" w:styleId="Sisluet8">
    <w:name w:val="toc 8"/>
    <w:basedOn w:val="Normaali"/>
    <w:next w:val="Normaali"/>
    <w:autoRedefine/>
    <w:uiPriority w:val="39"/>
    <w:unhideWhenUsed/>
    <w:rsid w:val="00123ECA"/>
    <w:pPr>
      <w:spacing w:after="100"/>
      <w:ind w:left="1400"/>
    </w:pPr>
  </w:style>
  <w:style w:type="paragraph" w:styleId="Sisluet9">
    <w:name w:val="toc 9"/>
    <w:basedOn w:val="Normaali"/>
    <w:next w:val="Normaali"/>
    <w:autoRedefine/>
    <w:uiPriority w:val="39"/>
    <w:unhideWhenUsed/>
    <w:rsid w:val="00123ECA"/>
    <w:pPr>
      <w:spacing w:after="100"/>
      <w:ind w:left="1600"/>
    </w:pPr>
  </w:style>
  <w:style w:type="paragraph" w:styleId="Tervehdys">
    <w:name w:val="Salutation"/>
    <w:basedOn w:val="Normaali"/>
    <w:next w:val="Normaali"/>
    <w:link w:val="TervehdysChar"/>
    <w:uiPriority w:val="99"/>
    <w:semiHidden/>
    <w:unhideWhenUsed/>
    <w:rsid w:val="00123ECA"/>
  </w:style>
  <w:style w:type="character" w:customStyle="1" w:styleId="TervehdysChar">
    <w:name w:val="Tervehdys Char"/>
    <w:basedOn w:val="Kappaleenoletusfontti"/>
    <w:link w:val="Tervehdys"/>
    <w:uiPriority w:val="99"/>
    <w:semiHidden/>
    <w:rsid w:val="00123ECA"/>
  </w:style>
  <w:style w:type="paragraph" w:styleId="Vaintekstin">
    <w:name w:val="Plain Text"/>
    <w:basedOn w:val="Normaali"/>
    <w:link w:val="VaintekstinChar"/>
    <w:uiPriority w:val="99"/>
    <w:semiHidden/>
    <w:unhideWhenUsed/>
    <w:rsid w:val="00123ECA"/>
    <w:rPr>
      <w:rFonts w:ascii="Consolas" w:hAnsi="Consolas"/>
      <w:sz w:val="21"/>
      <w:szCs w:val="21"/>
    </w:rPr>
  </w:style>
  <w:style w:type="character" w:customStyle="1" w:styleId="VaintekstinChar">
    <w:name w:val="Vain tekstinä Char"/>
    <w:basedOn w:val="Kappaleenoletusfontti"/>
    <w:link w:val="Vaintekstin"/>
    <w:uiPriority w:val="99"/>
    <w:semiHidden/>
    <w:rsid w:val="00123ECA"/>
    <w:rPr>
      <w:rFonts w:ascii="Consolas" w:hAnsi="Consolas"/>
      <w:sz w:val="21"/>
      <w:szCs w:val="21"/>
    </w:rPr>
  </w:style>
  <w:style w:type="paragraph" w:styleId="Vakiosisennys">
    <w:name w:val="Normal Indent"/>
    <w:basedOn w:val="Normaali"/>
    <w:uiPriority w:val="99"/>
    <w:semiHidden/>
    <w:unhideWhenUsed/>
    <w:rsid w:val="00123ECA"/>
    <w:pPr>
      <w:ind w:left="1304"/>
    </w:pPr>
  </w:style>
  <w:style w:type="paragraph" w:styleId="Viestinallekirjoitus">
    <w:name w:val="E-mail Signature"/>
    <w:basedOn w:val="Normaali"/>
    <w:link w:val="ViestinallekirjoitusChar"/>
    <w:uiPriority w:val="99"/>
    <w:semiHidden/>
    <w:unhideWhenUsed/>
    <w:rsid w:val="00123ECA"/>
  </w:style>
  <w:style w:type="character" w:customStyle="1" w:styleId="ViestinallekirjoitusChar">
    <w:name w:val="Viestin allekirjoitus Char"/>
    <w:basedOn w:val="Kappaleenoletusfontti"/>
    <w:link w:val="Viestinallekirjoitus"/>
    <w:uiPriority w:val="99"/>
    <w:semiHidden/>
    <w:rsid w:val="00123ECA"/>
  </w:style>
  <w:style w:type="paragraph" w:styleId="Viestinotsikko">
    <w:name w:val="Message Header"/>
    <w:basedOn w:val="Normaali"/>
    <w:link w:val="ViestinotsikkoChar"/>
    <w:uiPriority w:val="99"/>
    <w:semiHidden/>
    <w:unhideWhenUsed/>
    <w:rsid w:val="00123E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123ECA"/>
    <w:rPr>
      <w:rFonts w:asciiTheme="majorHAnsi" w:eastAsiaTheme="majorEastAsia" w:hAnsiTheme="majorHAnsi" w:cstheme="majorBidi"/>
      <w:sz w:val="24"/>
      <w:szCs w:val="24"/>
      <w:shd w:val="pct20" w:color="auto" w:fill="auto"/>
    </w:rPr>
  </w:style>
  <w:style w:type="paragraph" w:customStyle="1" w:styleId="VNLainaus">
    <w:name w:val="VN_Lainaus"/>
    <w:basedOn w:val="VNLeip1kappale"/>
    <w:rsid w:val="001E325E"/>
    <w:pPr>
      <w:ind w:left="510"/>
    </w:pPr>
    <w:rPr>
      <w:i/>
    </w:rPr>
  </w:style>
  <w:style w:type="table" w:styleId="TaulukkoRuudukko">
    <w:name w:val="Table Grid"/>
    <w:basedOn w:val="Normaalitaulukko"/>
    <w:uiPriority w:val="39"/>
    <w:rsid w:val="00CD0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riksruudukko-korostus6">
    <w:name w:val="Colorful Grid Accent 6"/>
    <w:basedOn w:val="Normaalitaulukko"/>
    <w:uiPriority w:val="73"/>
    <w:rsid w:val="00664F08"/>
    <w:rPr>
      <w:color w:val="000000" w:themeColor="text1"/>
    </w:rPr>
    <w:tblPr>
      <w:tblStyleRowBandSize w:val="1"/>
      <w:tblStyleColBandSize w:val="1"/>
      <w:tblBorders>
        <w:insideH w:val="single" w:sz="4" w:space="0" w:color="FFFFFF" w:themeColor="background1"/>
      </w:tblBorders>
    </w:tblPr>
    <w:tcPr>
      <w:shd w:val="clear" w:color="auto" w:fill="BAFFFB" w:themeFill="accent6" w:themeFillTint="33"/>
    </w:tcPr>
    <w:tblStylePr w:type="firstRow">
      <w:rPr>
        <w:b/>
        <w:bCs/>
      </w:rPr>
      <w:tblPr/>
      <w:tcPr>
        <w:shd w:val="clear" w:color="auto" w:fill="75FFF7" w:themeFill="accent6" w:themeFillTint="66"/>
      </w:tcPr>
    </w:tblStylePr>
    <w:tblStylePr w:type="lastRow">
      <w:rPr>
        <w:b/>
        <w:bCs/>
        <w:color w:val="000000" w:themeColor="text1"/>
      </w:rPr>
      <w:tblPr/>
      <w:tcPr>
        <w:shd w:val="clear" w:color="auto" w:fill="75FFF7" w:themeFill="accent6" w:themeFillTint="66"/>
      </w:tcPr>
    </w:tblStylePr>
    <w:tblStylePr w:type="firstCol">
      <w:rPr>
        <w:color w:val="FFFFFF" w:themeColor="background1"/>
      </w:rPr>
      <w:tblPr/>
      <w:tcPr>
        <w:shd w:val="clear" w:color="auto" w:fill="007B75" w:themeFill="accent6" w:themeFillShade="BF"/>
      </w:tcPr>
    </w:tblStylePr>
    <w:tblStylePr w:type="lastCol">
      <w:rPr>
        <w:color w:val="FFFFFF" w:themeColor="background1"/>
      </w:rPr>
      <w:tblPr/>
      <w:tcPr>
        <w:shd w:val="clear" w:color="auto" w:fill="007B75" w:themeFill="accent6" w:themeFillShade="BF"/>
      </w:tcPr>
    </w:tblStylePr>
    <w:tblStylePr w:type="band1Vert">
      <w:tblPr/>
      <w:tcPr>
        <w:shd w:val="clear" w:color="auto" w:fill="53FFF6" w:themeFill="accent6" w:themeFillTint="7F"/>
      </w:tcPr>
    </w:tblStylePr>
    <w:tblStylePr w:type="band1Horz">
      <w:tblPr/>
      <w:tcPr>
        <w:shd w:val="clear" w:color="auto" w:fill="53FFF6" w:themeFill="accent6" w:themeFillTint="7F"/>
      </w:tcPr>
    </w:tblStylePr>
  </w:style>
  <w:style w:type="paragraph" w:styleId="Muutos">
    <w:name w:val="Revision"/>
    <w:hidden/>
    <w:uiPriority w:val="99"/>
    <w:semiHidden/>
    <w:rsid w:val="00EE7BDF"/>
  </w:style>
  <w:style w:type="paragraph" w:customStyle="1" w:styleId="VNkuvailulehtitop">
    <w:name w:val="VN_kuvailulehti top"/>
    <w:basedOn w:val="Normaali"/>
    <w:rsid w:val="000153BA"/>
    <w:pPr>
      <w:ind w:left="170"/>
      <w:jc w:val="right"/>
    </w:pPr>
    <w:rPr>
      <w:b/>
      <w:sz w:val="24"/>
    </w:rPr>
  </w:style>
  <w:style w:type="character" w:styleId="Erottuvaviittaus">
    <w:name w:val="Intense Reference"/>
    <w:basedOn w:val="Kappaleenoletusfontti"/>
    <w:uiPriority w:val="32"/>
    <w:semiHidden/>
    <w:rsid w:val="007C295D"/>
    <w:rPr>
      <w:b/>
      <w:bCs/>
      <w:smallCaps/>
      <w:color w:val="365ABD" w:themeColor="text2"/>
      <w:spacing w:val="5"/>
      <w:u w:val="single"/>
    </w:rPr>
  </w:style>
  <w:style w:type="character" w:styleId="Hienovarainenviittaus">
    <w:name w:val="Subtle Reference"/>
    <w:basedOn w:val="Kappaleenoletusfontti"/>
    <w:uiPriority w:val="31"/>
    <w:semiHidden/>
    <w:rsid w:val="007C295D"/>
    <w:rPr>
      <w:smallCaps/>
      <w:color w:val="365ABD" w:themeColor="text2"/>
      <w:u w:val="single"/>
    </w:rPr>
  </w:style>
  <w:style w:type="table" w:customStyle="1" w:styleId="VNTaulukko2021">
    <w:name w:val="_VN_Taulukko_2021"/>
    <w:basedOn w:val="Normaalitaulukko"/>
    <w:uiPriority w:val="99"/>
    <w:rsid w:val="008036A2"/>
    <w:pPr>
      <w:jc w:val="center"/>
    </w:pPr>
    <w:rPr>
      <w:rFonts w:ascii="Arial Narrow" w:hAnsi="Arial Narrow"/>
      <w:sz w:val="22"/>
      <w:szCs w:val="22"/>
    </w:rPr>
    <w:tblPr>
      <w:tblStyleRowBandSize w:val="1"/>
      <w:tblStyleColBandSize w:val="1"/>
      <w:tblBorders>
        <w:bottom w:val="single" w:sz="4" w:space="0" w:color="000000" w:themeColor="text1"/>
        <w:insideH w:val="single" w:sz="4" w:space="0" w:color="000000" w:themeColor="text1"/>
      </w:tblBorders>
    </w:tblPr>
    <w:tblStylePr w:type="firstRow">
      <w:pPr>
        <w:wordWrap/>
        <w:spacing w:beforeLines="0" w:before="170" w:beforeAutospacing="0" w:afterLines="0" w:after="170" w:afterAutospacing="0" w:line="260" w:lineRule="atLeast"/>
        <w:jc w:val="center"/>
      </w:pPr>
      <w:rPr>
        <w:rFonts w:ascii="Myriad Pro Light Cond" w:hAnsi="Myriad Pro Light Cond"/>
        <w:b/>
        <w:i w:val="0"/>
        <w:color w:val="365ABD" w:themeColor="text2"/>
        <w:sz w:val="22"/>
      </w:rPr>
      <w:tblPr/>
      <w:tcPr>
        <w:tcBorders>
          <w:bottom w:val="single" w:sz="18" w:space="0" w:color="365ABD" w:themeColor="text2"/>
        </w:tcBorders>
      </w:tcPr>
    </w:tblStylePr>
    <w:tblStylePr w:type="lastRow">
      <w:pPr>
        <w:jc w:val="center"/>
      </w:pPr>
      <w:tblPr/>
      <w:tcPr>
        <w:tcBorders>
          <w:top w:val="nil"/>
          <w:left w:val="nil"/>
          <w:bottom w:val="single" w:sz="4" w:space="0" w:color="000000" w:themeColor="text1"/>
          <w:right w:val="nil"/>
          <w:insideH w:val="nil"/>
          <w:insideV w:val="nil"/>
          <w:tl2br w:val="nil"/>
          <w:tr2bl w:val="nil"/>
        </w:tcBorders>
      </w:tcPr>
    </w:tblStylePr>
    <w:tblStylePr w:type="firstCol">
      <w:pPr>
        <w:jc w:val="left"/>
      </w:pPr>
      <w:rPr>
        <w:b w:val="0"/>
      </w:rPr>
    </w:tblStylePr>
    <w:tblStylePr w:type="lastCol">
      <w:pPr>
        <w:jc w:val="center"/>
      </w:pPr>
    </w:tblStylePr>
    <w:tblStylePr w:type="band1Vert">
      <w:pPr>
        <w:jc w:val="center"/>
      </w:pPr>
    </w:tblStylePr>
    <w:tblStylePr w:type="band2Vert">
      <w:pPr>
        <w:jc w:val="center"/>
      </w:pPr>
    </w:tblStylePr>
    <w:tblStylePr w:type="band1Horz">
      <w:pPr>
        <w:wordWrap/>
        <w:spacing w:beforeLines="0" w:before="170" w:beforeAutospacing="0" w:afterLines="0" w:after="170" w:afterAutospacing="0" w:line="260" w:lineRule="atLeast"/>
        <w:jc w:val="center"/>
      </w:pPr>
      <w:tblPr/>
      <w:tcPr>
        <w:tcBorders>
          <w:top w:val="single" w:sz="4" w:space="0" w:color="000000" w:themeColor="text1"/>
          <w:left w:val="nil"/>
          <w:bottom w:val="single" w:sz="4" w:space="0" w:color="000000" w:themeColor="text1"/>
          <w:right w:val="nil"/>
          <w:insideH w:val="single" w:sz="4" w:space="0" w:color="000000" w:themeColor="text1"/>
          <w:insideV w:val="nil"/>
          <w:tl2br w:val="nil"/>
          <w:tr2bl w:val="nil"/>
        </w:tcBorders>
      </w:tcPr>
    </w:tblStylePr>
    <w:tblStylePr w:type="band2Horz">
      <w:pPr>
        <w:wordWrap/>
        <w:spacing w:beforeLines="0" w:before="170" w:beforeAutospacing="0" w:afterLines="0" w:after="170" w:afterAutospacing="0" w:line="260" w:lineRule="atLeast"/>
        <w:jc w:val="center"/>
      </w:pPr>
      <w:tblPr/>
      <w:tcPr>
        <w:tcBorders>
          <w:bottom w:val="nil"/>
          <w:insideH w:val="single" w:sz="4" w:space="0" w:color="000000" w:themeColor="text1"/>
        </w:tcBorders>
      </w:tcPr>
    </w:tblStylePr>
  </w:style>
  <w:style w:type="table" w:customStyle="1" w:styleId="VNInfolaatikko2020">
    <w:name w:val="_VN_Infolaatikko_2020"/>
    <w:basedOn w:val="Normaalitaulukko"/>
    <w:uiPriority w:val="99"/>
    <w:rsid w:val="00975E43"/>
    <w:pPr>
      <w:spacing w:before="340" w:after="454" w:line="260" w:lineRule="atLeast"/>
      <w:ind w:left="340" w:right="340"/>
    </w:pPr>
    <w:tblPr/>
    <w:tcPr>
      <w:shd w:val="clear" w:color="auto" w:fill="D9E9FF" w:themeFill="accent2" w:themeFillTint="33"/>
      <w:vAlign w:val="center"/>
    </w:tcPr>
  </w:style>
  <w:style w:type="paragraph" w:customStyle="1" w:styleId="VNtaulukko-otsikkonumerointi">
    <w:name w:val="VN_taulukko-otsikko_numerointi"/>
    <w:basedOn w:val="VNTaulukonotsikkoeinumeroitu"/>
    <w:rsid w:val="000431A3"/>
    <w:pPr>
      <w:numPr>
        <w:numId w:val="16"/>
      </w:numPr>
      <w:spacing w:before="560"/>
      <w:ind w:left="1418" w:hanging="1418"/>
    </w:pPr>
    <w:rPr>
      <w:b w:val="0"/>
    </w:rPr>
  </w:style>
  <w:style w:type="paragraph" w:customStyle="1" w:styleId="VNTekijt">
    <w:name w:val="VN_Tekijät"/>
    <w:basedOn w:val="VNNiminalaotsikko"/>
    <w:rsid w:val="00200273"/>
    <w:pPr>
      <w:spacing w:after="480" w:line="360" w:lineRule="atLeast"/>
    </w:pPr>
    <w:rPr>
      <w:color w:val="auto"/>
    </w:rPr>
  </w:style>
  <w:style w:type="paragraph" w:customStyle="1" w:styleId="VNKuvailulehtipiv">
    <w:name w:val="VN_Kuvailulehti_päivä"/>
    <w:basedOn w:val="Normaali"/>
    <w:rsid w:val="002A4D0C"/>
    <w:pPr>
      <w:spacing w:after="794"/>
      <w:jc w:val="right"/>
    </w:pPr>
    <w:rPr>
      <w:sz w:val="22"/>
    </w:rPr>
  </w:style>
  <w:style w:type="paragraph" w:customStyle="1" w:styleId="VNJulkaisumyynti">
    <w:name w:val="VN_Julkaisumyynti"/>
    <w:basedOn w:val="Normaali"/>
    <w:rsid w:val="00CA1E29"/>
    <w:pPr>
      <w:spacing w:line="440" w:lineRule="atLeast"/>
    </w:pPr>
    <w:rPr>
      <w:b/>
      <w:sz w:val="30"/>
    </w:rPr>
  </w:style>
  <w:style w:type="table" w:customStyle="1" w:styleId="Kuvailulehtiyl">
    <w:name w:val="Kuvailulehti_ylä"/>
    <w:basedOn w:val="Normaalitaulukko"/>
    <w:uiPriority w:val="99"/>
    <w:rsid w:val="00931D5B"/>
    <w:pPr>
      <w:spacing w:before="120"/>
    </w:pPr>
    <w:rPr>
      <w:sz w:val="17"/>
    </w:rPr>
    <w:tblPr>
      <w:tblStyleColBandSize w:val="1"/>
      <w:tblBorders>
        <w:top w:val="single" w:sz="18" w:space="0" w:color="365ABD" w:themeColor="text2"/>
      </w:tblBorders>
    </w:tblPr>
  </w:style>
  <w:style w:type="table" w:customStyle="1" w:styleId="VNtaulukkorivit">
    <w:name w:val="_VN_taulukko_rivit"/>
    <w:basedOn w:val="VNTaulukko2021"/>
    <w:uiPriority w:val="99"/>
    <w:rsid w:val="00DD254D"/>
    <w:tblPr>
      <w:tblBorders>
        <w:bottom w:val="none" w:sz="0" w:space="0" w:color="auto"/>
        <w:insideH w:val="single" w:sz="6" w:space="0" w:color="808080" w:themeColor="background1" w:themeShade="80"/>
      </w:tblBorders>
    </w:tblPr>
    <w:tblStylePr w:type="firstRow">
      <w:pPr>
        <w:wordWrap/>
        <w:spacing w:beforeLines="0" w:before="170" w:beforeAutospacing="0" w:afterLines="0" w:after="170" w:afterAutospacing="0" w:line="260" w:lineRule="atLeast"/>
        <w:jc w:val="center"/>
      </w:pPr>
      <w:rPr>
        <w:rFonts w:ascii="Bahnschrift SemiBold" w:hAnsi="Bahnschrift SemiBold"/>
        <w:b/>
        <w:i w:val="0"/>
        <w:color w:val="365ABD" w:themeColor="text2"/>
        <w:sz w:val="22"/>
      </w:rPr>
      <w:tblPr/>
      <w:tcPr>
        <w:tcBorders>
          <w:bottom w:val="single" w:sz="18" w:space="0" w:color="365ABD" w:themeColor="text2"/>
        </w:tcBorders>
      </w:tcPr>
    </w:tblStylePr>
    <w:tblStylePr w:type="lastRow">
      <w:pPr>
        <w:jc w:val="center"/>
      </w:pPr>
      <w:tblPr/>
      <w:tcPr>
        <w:tcBorders>
          <w:top w:val="nil"/>
          <w:left w:val="nil"/>
          <w:bottom w:val="single" w:sz="4" w:space="0" w:color="000000" w:themeColor="text1"/>
          <w:right w:val="nil"/>
          <w:insideH w:val="nil"/>
          <w:insideV w:val="nil"/>
          <w:tl2br w:val="nil"/>
          <w:tr2bl w:val="nil"/>
        </w:tcBorders>
      </w:tcPr>
    </w:tblStylePr>
    <w:tblStylePr w:type="firstCol">
      <w:pPr>
        <w:jc w:val="left"/>
      </w:pPr>
      <w:rPr>
        <w:b w:val="0"/>
      </w:rPr>
    </w:tblStylePr>
    <w:tblStylePr w:type="lastCol">
      <w:pPr>
        <w:jc w:val="center"/>
      </w:pPr>
    </w:tblStylePr>
    <w:tblStylePr w:type="band1Vert">
      <w:pPr>
        <w:jc w:val="center"/>
      </w:pPr>
    </w:tblStylePr>
    <w:tblStylePr w:type="band2Vert">
      <w:pPr>
        <w:jc w:val="center"/>
      </w:pPr>
    </w:tblStylePr>
    <w:tblStylePr w:type="band1Horz">
      <w:pPr>
        <w:wordWrap/>
        <w:spacing w:beforeLines="0" w:before="170" w:beforeAutospacing="0" w:afterLines="0" w:after="170" w:afterAutospacing="0" w:line="260" w:lineRule="atLeast"/>
        <w:jc w:val="center"/>
      </w:pPr>
      <w:tblPr/>
      <w:tcPr>
        <w:tcBorders>
          <w:top w:val="single" w:sz="4" w:space="0" w:color="000000" w:themeColor="text1"/>
          <w:left w:val="nil"/>
          <w:bottom w:val="nil"/>
          <w:right w:val="nil"/>
          <w:insideH w:val="nil"/>
          <w:insideV w:val="nil"/>
          <w:tl2br w:val="nil"/>
          <w:tr2bl w:val="nil"/>
        </w:tcBorders>
        <w:shd w:val="clear" w:color="auto" w:fill="EBEFF8"/>
      </w:tcPr>
    </w:tblStylePr>
    <w:tblStylePr w:type="band2Horz">
      <w:pPr>
        <w:wordWrap/>
        <w:spacing w:beforeLines="0" w:before="170" w:beforeAutospacing="0" w:afterLines="0" w:after="170" w:afterAutospacing="0" w:line="260" w:lineRule="atLeast"/>
        <w:jc w:val="center"/>
      </w:pPr>
      <w:tblPr/>
      <w:tcPr>
        <w:tcBorders>
          <w:bottom w:val="nil"/>
          <w:insideH w:val="single" w:sz="4" w:space="0" w:color="000000" w:themeColor="text1"/>
        </w:tcBorders>
      </w:tcPr>
    </w:tblStylePr>
  </w:style>
  <w:style w:type="paragraph" w:customStyle="1" w:styleId="VNkuvio-otsikkonumerointi">
    <w:name w:val="VN_kuvio-otsikko_numerointi"/>
    <w:basedOn w:val="VNtaulukko-otsikkonumerointi"/>
    <w:rsid w:val="000431A3"/>
    <w:pPr>
      <w:numPr>
        <w:numId w:val="15"/>
      </w:numPr>
    </w:pPr>
  </w:style>
  <w:style w:type="paragraph" w:customStyle="1" w:styleId="VNInfolaatikkotaustavri">
    <w:name w:val="VN_Infolaatikko_taustaväri"/>
    <w:basedOn w:val="Normaali"/>
    <w:rsid w:val="001572BC"/>
    <w:pPr>
      <w:pBdr>
        <w:top w:val="single" w:sz="6" w:space="20" w:color="FFFFFF" w:themeColor="background1"/>
        <w:left w:val="single" w:sz="6" w:space="20" w:color="FFFFFF" w:themeColor="background1"/>
        <w:bottom w:val="single" w:sz="6" w:space="20" w:color="FFFFFF" w:themeColor="background1"/>
        <w:right w:val="single" w:sz="6" w:space="12" w:color="FFFFFF" w:themeColor="background1"/>
      </w:pBdr>
      <w:shd w:val="clear" w:color="auto" w:fill="D9E9FF"/>
      <w:suppressAutoHyphens/>
      <w:autoSpaceDE w:val="0"/>
      <w:autoSpaceDN w:val="0"/>
      <w:adjustRightInd w:val="0"/>
      <w:spacing w:before="120" w:after="227" w:line="280" w:lineRule="atLeast"/>
      <w:ind w:left="227" w:right="227"/>
      <w:textAlignment w:val="center"/>
    </w:pPr>
    <w:rPr>
      <w:rFonts w:cs="Myriad Pro"/>
      <w:sz w:val="22"/>
      <w:szCs w:val="18"/>
    </w:rPr>
  </w:style>
  <w:style w:type="paragraph" w:styleId="Kuvaotsikko">
    <w:name w:val="caption"/>
    <w:basedOn w:val="Normaali"/>
    <w:next w:val="Normaali"/>
    <w:uiPriority w:val="35"/>
    <w:unhideWhenUsed/>
    <w:rsid w:val="00117718"/>
    <w:pPr>
      <w:spacing w:after="200"/>
    </w:pPr>
    <w:rPr>
      <w:i/>
      <w:iCs/>
      <w:color w:val="365ABD" w:themeColor="text2"/>
      <w:sz w:val="18"/>
      <w:szCs w:val="18"/>
    </w:rPr>
  </w:style>
  <w:style w:type="character" w:styleId="Korostus">
    <w:name w:val="Emphasis"/>
    <w:basedOn w:val="Kappaleenoletusfontti"/>
    <w:uiPriority w:val="20"/>
    <w:semiHidden/>
    <w:rsid w:val="00985F03"/>
    <w:rPr>
      <w:i/>
      <w:iCs/>
    </w:rPr>
  </w:style>
  <w:style w:type="paragraph" w:customStyle="1" w:styleId="VNCopyright2">
    <w:name w:val="VN_Copyright_2"/>
    <w:basedOn w:val="VNCopyright"/>
    <w:rsid w:val="00E56CEF"/>
    <w:pPr>
      <w:spacing w:before="320"/>
    </w:pPr>
  </w:style>
  <w:style w:type="paragraph" w:customStyle="1" w:styleId="VNKuvailulehtitieto">
    <w:name w:val="VN_Kuvailulehti_tieto"/>
    <w:basedOn w:val="Normaali"/>
    <w:rsid w:val="000370FF"/>
    <w:pPr>
      <w:spacing w:before="120" w:after="20" w:line="240" w:lineRule="atLeast"/>
      <w:ind w:right="-108"/>
    </w:pPr>
    <w:rPr>
      <w:sz w:val="18"/>
    </w:rPr>
  </w:style>
  <w:style w:type="character" w:customStyle="1" w:styleId="VNTaulukkomerkkibold">
    <w:name w:val="VN_Taulukko_merkki_bold"/>
    <w:basedOn w:val="Kappaleenoletusfontti"/>
    <w:uiPriority w:val="1"/>
    <w:rsid w:val="00AF0EBF"/>
    <w:rPr>
      <w:rFonts w:ascii="Arial Narrow" w:hAnsi="Arial Narrow"/>
      <w:b/>
      <w:sz w:val="22"/>
    </w:rPr>
  </w:style>
  <w:style w:type="paragraph" w:customStyle="1" w:styleId="VNHEOtsikko">
    <w:name w:val="VN_HE_Otsikko"/>
    <w:basedOn w:val="Otsikko1"/>
    <w:next w:val="VNLeip1kappale"/>
    <w:rsid w:val="00C92E43"/>
    <w:pPr>
      <w:numPr>
        <w:numId w:val="0"/>
      </w:numPr>
    </w:pPr>
    <w:rPr>
      <w:caps/>
      <w:sz w:val="36"/>
    </w:rPr>
  </w:style>
  <w:style w:type="paragraph" w:customStyle="1" w:styleId="VNtaulukkoperuskeskitetty">
    <w:name w:val="VN_taulukko perus keskitetty"/>
    <w:basedOn w:val="VNTaulukkoperusvasen"/>
    <w:rsid w:val="00E52B5A"/>
    <w:pPr>
      <w:jc w:val="center"/>
    </w:pPr>
  </w:style>
  <w:style w:type="paragraph" w:customStyle="1" w:styleId="VNcopy1">
    <w:name w:val="VN_copy1"/>
    <w:basedOn w:val="VNLeip2kappaleet"/>
    <w:rsid w:val="00D07A2A"/>
    <w:pPr>
      <w:spacing w:before="5200" w:after="40"/>
    </w:pPr>
    <w:rPr>
      <w:rFonts w:cs="Times New Roman"/>
    </w:rPr>
  </w:style>
  <w:style w:type="paragraph" w:customStyle="1" w:styleId="VNluetteloaakkosilla">
    <w:name w:val="VN_luettelo_aakkosilla"/>
    <w:basedOn w:val="VNLeipluettelopallukalla"/>
    <w:rsid w:val="00DF7354"/>
    <w:pPr>
      <w:numPr>
        <w:numId w:val="17"/>
      </w:numPr>
    </w:pPr>
  </w:style>
  <w:style w:type="paragraph" w:customStyle="1" w:styleId="VNInfolaatikkonumeroituluettelo">
    <w:name w:val="VN_Infolaatikko_numeroitu_luettelo"/>
    <w:basedOn w:val="VNInfolaatikkotaustavri"/>
    <w:rsid w:val="001572BC"/>
    <w:pPr>
      <w:numPr>
        <w:numId w:val="18"/>
      </w:numPr>
      <w:ind w:left="584" w:hanging="357"/>
    </w:pPr>
    <w:rPr>
      <w:lang w:val="en-US"/>
    </w:rPr>
  </w:style>
  <w:style w:type="paragraph" w:customStyle="1" w:styleId="VNalaviite">
    <w:name w:val="VN_alaviite"/>
    <w:basedOn w:val="Alaviitteenteksti"/>
    <w:rsid w:val="007339D3"/>
  </w:style>
  <w:style w:type="character" w:styleId="Paikkamerkkiteksti">
    <w:name w:val="Placeholder Text"/>
    <w:basedOn w:val="Kappaleenoletusfontti"/>
    <w:uiPriority w:val="99"/>
    <w:semiHidden/>
    <w:rsid w:val="00BD0F65"/>
    <w:rPr>
      <w:color w:val="808080"/>
    </w:rPr>
  </w:style>
  <w:style w:type="character" w:customStyle="1" w:styleId="VNJT">
    <w:name w:val="VN_JT"/>
    <w:basedOn w:val="Kappaleenoletusfontti"/>
    <w:uiPriority w:val="1"/>
    <w:rsid w:val="00906AFD"/>
    <w:rPr>
      <w:rFonts w:ascii="Arial" w:hAnsi="Arial"/>
      <w:b/>
      <w:bCs/>
      <w:color w:val="365ABD" w:themeColor="text2"/>
      <w:sz w:val="22"/>
    </w:rPr>
  </w:style>
  <w:style w:type="paragraph" w:customStyle="1" w:styleId="VNinfolaatikkopallukkaluettelo">
    <w:name w:val="VN_infolaatikko_pallukkaluettelo"/>
    <w:basedOn w:val="VNInfolaatikkonumeroituluettelo"/>
    <w:rsid w:val="00C449CA"/>
    <w:pPr>
      <w:numPr>
        <w:numId w:val="19"/>
      </w:numPr>
    </w:pPr>
  </w:style>
  <w:style w:type="paragraph" w:customStyle="1" w:styleId="VNlhdeleipis">
    <w:name w:val="VN_lähdeleipis"/>
    <w:basedOn w:val="VNLeip1kappale"/>
    <w:rsid w:val="00BB4F1F"/>
    <w:pPr>
      <w:spacing w:before="40" w:after="0"/>
      <w:ind w:left="567" w:hanging="567"/>
    </w:pPr>
  </w:style>
  <w:style w:type="paragraph" w:customStyle="1" w:styleId="VNInfolaatikkootsikkotaustavri">
    <w:name w:val="VN_Infolaatikko_otsikko_taustaväri"/>
    <w:basedOn w:val="VNInfolaatikkotaustavri"/>
    <w:rsid w:val="001572BC"/>
    <w:rPr>
      <w:b/>
      <w:caps/>
      <w:color w:val="365ABD" w:themeColor="text2"/>
      <w:sz w:val="24"/>
      <w:szCs w:val="22"/>
    </w:rPr>
  </w:style>
  <w:style w:type="paragraph" w:styleId="Luettelokappale">
    <w:name w:val="List Paragraph"/>
    <w:basedOn w:val="Normaali"/>
    <w:uiPriority w:val="34"/>
    <w:rsid w:val="00117718"/>
    <w:pPr>
      <w:ind w:left="720"/>
      <w:contextualSpacing/>
    </w:pPr>
  </w:style>
  <w:style w:type="paragraph" w:styleId="Otsikko">
    <w:name w:val="Title"/>
    <w:basedOn w:val="Normaali"/>
    <w:next w:val="Normaali"/>
    <w:link w:val="OtsikkoChar"/>
    <w:rsid w:val="00117718"/>
    <w:pPr>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rsid w:val="00117718"/>
    <w:rPr>
      <w:rFonts w:asciiTheme="majorHAnsi" w:eastAsiaTheme="majorEastAsia" w:hAnsiTheme="majorHAnsi" w:cstheme="majorBidi"/>
      <w:spacing w:val="-10"/>
      <w:kern w:val="28"/>
      <w:sz w:val="56"/>
      <w:szCs w:val="56"/>
    </w:rPr>
  </w:style>
  <w:style w:type="paragraph" w:customStyle="1" w:styleId="Default">
    <w:name w:val="Default"/>
    <w:rsid w:val="000E0409"/>
    <w:pPr>
      <w:autoSpaceDE w:val="0"/>
      <w:autoSpaceDN w:val="0"/>
      <w:adjustRightInd w:val="0"/>
    </w:pPr>
    <w:rPr>
      <w:rFonts w:ascii="Times New Roman" w:hAnsi="Times New Roman"/>
      <w:color w:val="000000"/>
      <w:sz w:val="24"/>
      <w:szCs w:val="24"/>
    </w:rPr>
  </w:style>
  <w:style w:type="character" w:styleId="Kommentinviite">
    <w:name w:val="annotation reference"/>
    <w:basedOn w:val="Kappaleenoletusfontti"/>
    <w:uiPriority w:val="99"/>
    <w:semiHidden/>
    <w:unhideWhenUsed/>
    <w:rsid w:val="002E2C0F"/>
    <w:rPr>
      <w:sz w:val="16"/>
      <w:szCs w:val="16"/>
    </w:rPr>
  </w:style>
  <w:style w:type="paragraph" w:customStyle="1" w:styleId="paragraph">
    <w:name w:val="paragraph"/>
    <w:basedOn w:val="Normaali"/>
    <w:rsid w:val="000047D4"/>
    <w:pPr>
      <w:spacing w:before="100" w:beforeAutospacing="1" w:after="100" w:afterAutospacing="1"/>
    </w:pPr>
    <w:rPr>
      <w:rFonts w:ascii="Times New Roman" w:hAnsi="Times New Roman"/>
      <w:sz w:val="24"/>
      <w:szCs w:val="24"/>
    </w:rPr>
  </w:style>
  <w:style w:type="character" w:customStyle="1" w:styleId="normaltextrun">
    <w:name w:val="normaltextrun"/>
    <w:basedOn w:val="Kappaleenoletusfontti"/>
    <w:rsid w:val="000047D4"/>
  </w:style>
  <w:style w:type="character" w:customStyle="1" w:styleId="eop">
    <w:name w:val="eop"/>
    <w:basedOn w:val="Kappaleenoletusfontti"/>
    <w:rsid w:val="000047D4"/>
  </w:style>
  <w:style w:type="character" w:styleId="Ratkaisematonmaininta">
    <w:name w:val="Unresolved Mention"/>
    <w:basedOn w:val="Kappaleenoletusfontti"/>
    <w:uiPriority w:val="99"/>
    <w:semiHidden/>
    <w:unhideWhenUsed/>
    <w:rsid w:val="00A95B3E"/>
    <w:rPr>
      <w:color w:val="605E5C"/>
      <w:shd w:val="clear" w:color="auto" w:fill="E1DFDD"/>
    </w:rPr>
  </w:style>
  <w:style w:type="numbering" w:customStyle="1" w:styleId="Eiluetteloa1">
    <w:name w:val="Ei luetteloa1"/>
    <w:next w:val="Eiluetteloa"/>
    <w:uiPriority w:val="99"/>
    <w:semiHidden/>
    <w:unhideWhenUsed/>
    <w:rsid w:val="005F4D87"/>
  </w:style>
  <w:style w:type="paragraph" w:customStyle="1" w:styleId="msonormal0">
    <w:name w:val="msonormal"/>
    <w:basedOn w:val="Normaali"/>
    <w:rsid w:val="005F4D87"/>
    <w:pPr>
      <w:spacing w:before="100" w:beforeAutospacing="1" w:after="100" w:afterAutospacing="1"/>
    </w:pPr>
    <w:rPr>
      <w:rFonts w:ascii="Times New Roman" w:hAnsi="Times New Roman"/>
      <w:sz w:val="24"/>
      <w:szCs w:val="24"/>
    </w:rPr>
  </w:style>
  <w:style w:type="character" w:customStyle="1" w:styleId="textrun">
    <w:name w:val="textrun"/>
    <w:basedOn w:val="Kappaleenoletusfontti"/>
    <w:rsid w:val="005F4D87"/>
  </w:style>
  <w:style w:type="paragraph" w:customStyle="1" w:styleId="outlineelement">
    <w:name w:val="outlineelement"/>
    <w:basedOn w:val="Normaali"/>
    <w:rsid w:val="005F4D87"/>
    <w:pPr>
      <w:spacing w:before="100" w:beforeAutospacing="1" w:after="100" w:afterAutospacing="1"/>
    </w:pPr>
    <w:rPr>
      <w:rFonts w:ascii="Times New Roman" w:hAnsi="Times New Roman"/>
      <w:sz w:val="24"/>
      <w:szCs w:val="24"/>
    </w:rPr>
  </w:style>
  <w:style w:type="character" w:customStyle="1" w:styleId="scxw61677432">
    <w:name w:val="scxw61677432"/>
    <w:basedOn w:val="Kappaleenoletusfontti"/>
    <w:rsid w:val="005F4D87"/>
  </w:style>
  <w:style w:type="character" w:customStyle="1" w:styleId="wacimagecontainer">
    <w:name w:val="wacimagecontainer"/>
    <w:basedOn w:val="Kappaleenoletusfontti"/>
    <w:rsid w:val="005F4D87"/>
  </w:style>
  <w:style w:type="character" w:customStyle="1" w:styleId="wacimageborder">
    <w:name w:val="wacimageborder"/>
    <w:basedOn w:val="Kappaleenoletusfontti"/>
    <w:rsid w:val="005F4D87"/>
  </w:style>
  <w:style w:type="character" w:customStyle="1" w:styleId="linebreakblob">
    <w:name w:val="linebreakblob"/>
    <w:basedOn w:val="Kappaleenoletusfontti"/>
    <w:rsid w:val="005F4D87"/>
  </w:style>
  <w:style w:type="character" w:customStyle="1" w:styleId="pagebreakblob">
    <w:name w:val="pagebreakblob"/>
    <w:basedOn w:val="Kappaleenoletusfontti"/>
    <w:rsid w:val="005F4D87"/>
  </w:style>
  <w:style w:type="character" w:customStyle="1" w:styleId="pagebreaktextspan">
    <w:name w:val="pagebreaktextspan"/>
    <w:basedOn w:val="Kappaleenoletusfontti"/>
    <w:rsid w:val="005F4D87"/>
  </w:style>
  <w:style w:type="character" w:customStyle="1" w:styleId="pagebreakborderspan">
    <w:name w:val="pagebreakborderspan"/>
    <w:basedOn w:val="Kappaleenoletusfontti"/>
    <w:rsid w:val="005F4D87"/>
  </w:style>
  <w:style w:type="character" w:customStyle="1" w:styleId="trackedchange">
    <w:name w:val="trackedchange"/>
    <w:basedOn w:val="Kappaleenoletusfontti"/>
    <w:rsid w:val="005F4D87"/>
  </w:style>
  <w:style w:type="character" w:customStyle="1" w:styleId="trackchangetextdeletionmarker">
    <w:name w:val="trackchangetextdeletionmarker"/>
    <w:basedOn w:val="Kappaleenoletusfontti"/>
    <w:rsid w:val="005F4D87"/>
  </w:style>
  <w:style w:type="character" w:customStyle="1" w:styleId="trackchangetextinsertion">
    <w:name w:val="trackchangetextinsertion"/>
    <w:basedOn w:val="Kappaleenoletusfontti"/>
    <w:rsid w:val="005F4D87"/>
  </w:style>
  <w:style w:type="character" w:customStyle="1" w:styleId="trackchangeblobmodified">
    <w:name w:val="trackchangeblobmodified"/>
    <w:basedOn w:val="Kappaleenoletusfontti"/>
    <w:rsid w:val="005F4D87"/>
  </w:style>
  <w:style w:type="character" w:customStyle="1" w:styleId="trackchangeblobinsertion">
    <w:name w:val="trackchangeblobinsertion"/>
    <w:basedOn w:val="Kappaleenoletusfontti"/>
    <w:rsid w:val="005F4D87"/>
  </w:style>
  <w:style w:type="character" w:customStyle="1" w:styleId="fieldrange">
    <w:name w:val="fieldrange"/>
    <w:basedOn w:val="Kappaleenoletusfontti"/>
    <w:rsid w:val="005F4D87"/>
  </w:style>
  <w:style w:type="character" w:customStyle="1" w:styleId="superscript">
    <w:name w:val="superscript"/>
    <w:basedOn w:val="Kappaleenoletusfontti"/>
    <w:rsid w:val="005F4D87"/>
  </w:style>
  <w:style w:type="paragraph" w:customStyle="1" w:styleId="VMYltunniste">
    <w:name w:val="VM_Ylätunniste"/>
    <w:basedOn w:val="Normaali"/>
    <w:qFormat/>
    <w:rsid w:val="00B94424"/>
    <w:pPr>
      <w:tabs>
        <w:tab w:val="left" w:pos="1304"/>
        <w:tab w:val="left" w:pos="2608"/>
        <w:tab w:val="left" w:pos="3912"/>
        <w:tab w:val="left" w:pos="5216"/>
        <w:tab w:val="left" w:pos="6521"/>
        <w:tab w:val="left" w:pos="7825"/>
        <w:tab w:val="left" w:pos="9129"/>
      </w:tabs>
    </w:pPr>
    <w:rPr>
      <w:rFonts w:ascii="Times New Roman" w:hAnsi="Times New Roman"/>
      <w:sz w:val="24"/>
      <w:szCs w:val="24"/>
    </w:rPr>
  </w:style>
  <w:style w:type="paragraph" w:customStyle="1" w:styleId="ALeip1kappale">
    <w:name w:val="A_Leipä 1. kappale"/>
    <w:basedOn w:val="Normaali"/>
    <w:uiPriority w:val="1"/>
    <w:qFormat/>
    <w:rsid w:val="00452B13"/>
    <w:pPr>
      <w:spacing w:before="240" w:after="320" w:line="290" w:lineRule="atLeast"/>
    </w:pPr>
    <w:rPr>
      <w:rFonts w:cs="Myriad Pro"/>
    </w:rPr>
  </w:style>
  <w:style w:type="character" w:customStyle="1" w:styleId="EivliChar">
    <w:name w:val="Ei väliä Char"/>
    <w:basedOn w:val="Kappaleenoletusfontti"/>
    <w:link w:val="Eivli"/>
    <w:uiPriority w:val="1"/>
    <w:rsid w:val="00452B13"/>
  </w:style>
  <w:style w:type="character" w:styleId="Voimakas">
    <w:name w:val="Strong"/>
    <w:basedOn w:val="Kappaleenoletusfontti"/>
    <w:uiPriority w:val="22"/>
    <w:qFormat/>
    <w:rsid w:val="00C9214F"/>
    <w:rPr>
      <w:b/>
      <w:bCs/>
    </w:rPr>
  </w:style>
  <w:style w:type="paragraph" w:customStyle="1" w:styleId="VMleipteksti">
    <w:name w:val="VM_leipäteksti"/>
    <w:basedOn w:val="Normaali"/>
    <w:qFormat/>
    <w:rsid w:val="00A26B09"/>
    <w:pPr>
      <w:ind w:left="2608"/>
    </w:pPr>
    <w:rPr>
      <w:rFonts w:ascii="Times New Roman" w:hAnsi="Times New Roman"/>
      <w:sz w:val="24"/>
      <w:szCs w:val="24"/>
    </w:rPr>
  </w:style>
  <w:style w:type="character" w:customStyle="1" w:styleId="copy-block">
    <w:name w:val="copy-block"/>
    <w:basedOn w:val="Kappaleenoletusfontti"/>
    <w:rsid w:val="00D9402C"/>
  </w:style>
  <w:style w:type="paragraph" w:customStyle="1" w:styleId="VMNormaaliSisentmtn">
    <w:name w:val="VM_Normaali_Sisentämätön"/>
    <w:qFormat/>
    <w:rsid w:val="00D36767"/>
    <w:rPr>
      <w:rFonts w:ascii="Times New Roman" w:hAnsi="Times New Roman"/>
      <w:sz w:val="24"/>
    </w:rPr>
  </w:style>
  <w:style w:type="paragraph" w:customStyle="1" w:styleId="s47">
    <w:name w:val="s47"/>
    <w:basedOn w:val="Normaali"/>
    <w:rsid w:val="00543CCC"/>
    <w:pPr>
      <w:spacing w:before="100" w:beforeAutospacing="1" w:after="100" w:afterAutospacing="1"/>
    </w:pPr>
    <w:rPr>
      <w:rFonts w:ascii="Aptos" w:eastAsiaTheme="minorHAnsi" w:hAnsi="Aptos" w:cs="Aptos"/>
      <w:sz w:val="24"/>
      <w:szCs w:val="24"/>
    </w:rPr>
  </w:style>
  <w:style w:type="character" w:customStyle="1" w:styleId="bumpedfont15">
    <w:name w:val="bumpedfont15"/>
    <w:basedOn w:val="Kappaleenoletusfontti"/>
    <w:rsid w:val="00543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4760">
      <w:bodyDiv w:val="1"/>
      <w:marLeft w:val="0"/>
      <w:marRight w:val="0"/>
      <w:marTop w:val="0"/>
      <w:marBottom w:val="0"/>
      <w:divBdr>
        <w:top w:val="none" w:sz="0" w:space="0" w:color="auto"/>
        <w:left w:val="none" w:sz="0" w:space="0" w:color="auto"/>
        <w:bottom w:val="none" w:sz="0" w:space="0" w:color="auto"/>
        <w:right w:val="none" w:sz="0" w:space="0" w:color="auto"/>
      </w:divBdr>
    </w:div>
    <w:div w:id="167990988">
      <w:bodyDiv w:val="1"/>
      <w:marLeft w:val="0"/>
      <w:marRight w:val="0"/>
      <w:marTop w:val="0"/>
      <w:marBottom w:val="0"/>
      <w:divBdr>
        <w:top w:val="none" w:sz="0" w:space="0" w:color="auto"/>
        <w:left w:val="none" w:sz="0" w:space="0" w:color="auto"/>
        <w:bottom w:val="none" w:sz="0" w:space="0" w:color="auto"/>
        <w:right w:val="none" w:sz="0" w:space="0" w:color="auto"/>
      </w:divBdr>
    </w:div>
    <w:div w:id="353728631">
      <w:bodyDiv w:val="1"/>
      <w:marLeft w:val="0"/>
      <w:marRight w:val="0"/>
      <w:marTop w:val="0"/>
      <w:marBottom w:val="0"/>
      <w:divBdr>
        <w:top w:val="none" w:sz="0" w:space="0" w:color="auto"/>
        <w:left w:val="none" w:sz="0" w:space="0" w:color="auto"/>
        <w:bottom w:val="none" w:sz="0" w:space="0" w:color="auto"/>
        <w:right w:val="none" w:sz="0" w:space="0" w:color="auto"/>
      </w:divBdr>
    </w:div>
    <w:div w:id="422192849">
      <w:bodyDiv w:val="1"/>
      <w:marLeft w:val="0"/>
      <w:marRight w:val="0"/>
      <w:marTop w:val="0"/>
      <w:marBottom w:val="0"/>
      <w:divBdr>
        <w:top w:val="none" w:sz="0" w:space="0" w:color="auto"/>
        <w:left w:val="none" w:sz="0" w:space="0" w:color="auto"/>
        <w:bottom w:val="none" w:sz="0" w:space="0" w:color="auto"/>
        <w:right w:val="none" w:sz="0" w:space="0" w:color="auto"/>
      </w:divBdr>
      <w:divsChild>
        <w:div w:id="57899255">
          <w:marLeft w:val="0"/>
          <w:marRight w:val="0"/>
          <w:marTop w:val="0"/>
          <w:marBottom w:val="0"/>
          <w:divBdr>
            <w:top w:val="none" w:sz="0" w:space="0" w:color="auto"/>
            <w:left w:val="none" w:sz="0" w:space="0" w:color="auto"/>
            <w:bottom w:val="none" w:sz="0" w:space="0" w:color="auto"/>
            <w:right w:val="none" w:sz="0" w:space="0" w:color="auto"/>
          </w:divBdr>
        </w:div>
        <w:div w:id="81420160">
          <w:marLeft w:val="0"/>
          <w:marRight w:val="0"/>
          <w:marTop w:val="0"/>
          <w:marBottom w:val="0"/>
          <w:divBdr>
            <w:top w:val="none" w:sz="0" w:space="0" w:color="auto"/>
            <w:left w:val="none" w:sz="0" w:space="0" w:color="auto"/>
            <w:bottom w:val="none" w:sz="0" w:space="0" w:color="auto"/>
            <w:right w:val="none" w:sz="0" w:space="0" w:color="auto"/>
          </w:divBdr>
        </w:div>
        <w:div w:id="92282505">
          <w:marLeft w:val="0"/>
          <w:marRight w:val="0"/>
          <w:marTop w:val="0"/>
          <w:marBottom w:val="0"/>
          <w:divBdr>
            <w:top w:val="none" w:sz="0" w:space="0" w:color="auto"/>
            <w:left w:val="none" w:sz="0" w:space="0" w:color="auto"/>
            <w:bottom w:val="none" w:sz="0" w:space="0" w:color="auto"/>
            <w:right w:val="none" w:sz="0" w:space="0" w:color="auto"/>
          </w:divBdr>
          <w:divsChild>
            <w:div w:id="337463876">
              <w:marLeft w:val="0"/>
              <w:marRight w:val="0"/>
              <w:marTop w:val="0"/>
              <w:marBottom w:val="0"/>
              <w:divBdr>
                <w:top w:val="none" w:sz="0" w:space="0" w:color="auto"/>
                <w:left w:val="none" w:sz="0" w:space="0" w:color="auto"/>
                <w:bottom w:val="none" w:sz="0" w:space="0" w:color="auto"/>
                <w:right w:val="none" w:sz="0" w:space="0" w:color="auto"/>
              </w:divBdr>
            </w:div>
            <w:div w:id="390931821">
              <w:marLeft w:val="0"/>
              <w:marRight w:val="0"/>
              <w:marTop w:val="0"/>
              <w:marBottom w:val="0"/>
              <w:divBdr>
                <w:top w:val="none" w:sz="0" w:space="0" w:color="auto"/>
                <w:left w:val="none" w:sz="0" w:space="0" w:color="auto"/>
                <w:bottom w:val="none" w:sz="0" w:space="0" w:color="auto"/>
                <w:right w:val="none" w:sz="0" w:space="0" w:color="auto"/>
              </w:divBdr>
            </w:div>
            <w:div w:id="404231535">
              <w:marLeft w:val="0"/>
              <w:marRight w:val="0"/>
              <w:marTop w:val="0"/>
              <w:marBottom w:val="0"/>
              <w:divBdr>
                <w:top w:val="none" w:sz="0" w:space="0" w:color="auto"/>
                <w:left w:val="none" w:sz="0" w:space="0" w:color="auto"/>
                <w:bottom w:val="none" w:sz="0" w:space="0" w:color="auto"/>
                <w:right w:val="none" w:sz="0" w:space="0" w:color="auto"/>
              </w:divBdr>
            </w:div>
            <w:div w:id="437263366">
              <w:marLeft w:val="0"/>
              <w:marRight w:val="0"/>
              <w:marTop w:val="0"/>
              <w:marBottom w:val="0"/>
              <w:divBdr>
                <w:top w:val="none" w:sz="0" w:space="0" w:color="auto"/>
                <w:left w:val="none" w:sz="0" w:space="0" w:color="auto"/>
                <w:bottom w:val="none" w:sz="0" w:space="0" w:color="auto"/>
                <w:right w:val="none" w:sz="0" w:space="0" w:color="auto"/>
              </w:divBdr>
            </w:div>
            <w:div w:id="480736659">
              <w:marLeft w:val="0"/>
              <w:marRight w:val="0"/>
              <w:marTop w:val="0"/>
              <w:marBottom w:val="0"/>
              <w:divBdr>
                <w:top w:val="none" w:sz="0" w:space="0" w:color="auto"/>
                <w:left w:val="none" w:sz="0" w:space="0" w:color="auto"/>
                <w:bottom w:val="none" w:sz="0" w:space="0" w:color="auto"/>
                <w:right w:val="none" w:sz="0" w:space="0" w:color="auto"/>
              </w:divBdr>
            </w:div>
            <w:div w:id="581644225">
              <w:marLeft w:val="0"/>
              <w:marRight w:val="0"/>
              <w:marTop w:val="0"/>
              <w:marBottom w:val="0"/>
              <w:divBdr>
                <w:top w:val="none" w:sz="0" w:space="0" w:color="auto"/>
                <w:left w:val="none" w:sz="0" w:space="0" w:color="auto"/>
                <w:bottom w:val="none" w:sz="0" w:space="0" w:color="auto"/>
                <w:right w:val="none" w:sz="0" w:space="0" w:color="auto"/>
              </w:divBdr>
            </w:div>
            <w:div w:id="744569784">
              <w:marLeft w:val="0"/>
              <w:marRight w:val="0"/>
              <w:marTop w:val="0"/>
              <w:marBottom w:val="0"/>
              <w:divBdr>
                <w:top w:val="none" w:sz="0" w:space="0" w:color="auto"/>
                <w:left w:val="none" w:sz="0" w:space="0" w:color="auto"/>
                <w:bottom w:val="none" w:sz="0" w:space="0" w:color="auto"/>
                <w:right w:val="none" w:sz="0" w:space="0" w:color="auto"/>
              </w:divBdr>
            </w:div>
            <w:div w:id="759135626">
              <w:marLeft w:val="0"/>
              <w:marRight w:val="0"/>
              <w:marTop w:val="0"/>
              <w:marBottom w:val="0"/>
              <w:divBdr>
                <w:top w:val="none" w:sz="0" w:space="0" w:color="auto"/>
                <w:left w:val="none" w:sz="0" w:space="0" w:color="auto"/>
                <w:bottom w:val="none" w:sz="0" w:space="0" w:color="auto"/>
                <w:right w:val="none" w:sz="0" w:space="0" w:color="auto"/>
              </w:divBdr>
            </w:div>
            <w:div w:id="833375666">
              <w:marLeft w:val="0"/>
              <w:marRight w:val="0"/>
              <w:marTop w:val="0"/>
              <w:marBottom w:val="0"/>
              <w:divBdr>
                <w:top w:val="none" w:sz="0" w:space="0" w:color="auto"/>
                <w:left w:val="none" w:sz="0" w:space="0" w:color="auto"/>
                <w:bottom w:val="none" w:sz="0" w:space="0" w:color="auto"/>
                <w:right w:val="none" w:sz="0" w:space="0" w:color="auto"/>
              </w:divBdr>
            </w:div>
            <w:div w:id="912740679">
              <w:marLeft w:val="0"/>
              <w:marRight w:val="0"/>
              <w:marTop w:val="0"/>
              <w:marBottom w:val="0"/>
              <w:divBdr>
                <w:top w:val="none" w:sz="0" w:space="0" w:color="auto"/>
                <w:left w:val="none" w:sz="0" w:space="0" w:color="auto"/>
                <w:bottom w:val="none" w:sz="0" w:space="0" w:color="auto"/>
                <w:right w:val="none" w:sz="0" w:space="0" w:color="auto"/>
              </w:divBdr>
            </w:div>
            <w:div w:id="1034380282">
              <w:marLeft w:val="0"/>
              <w:marRight w:val="0"/>
              <w:marTop w:val="0"/>
              <w:marBottom w:val="0"/>
              <w:divBdr>
                <w:top w:val="none" w:sz="0" w:space="0" w:color="auto"/>
                <w:left w:val="none" w:sz="0" w:space="0" w:color="auto"/>
                <w:bottom w:val="none" w:sz="0" w:space="0" w:color="auto"/>
                <w:right w:val="none" w:sz="0" w:space="0" w:color="auto"/>
              </w:divBdr>
            </w:div>
            <w:div w:id="1130436827">
              <w:marLeft w:val="0"/>
              <w:marRight w:val="0"/>
              <w:marTop w:val="0"/>
              <w:marBottom w:val="0"/>
              <w:divBdr>
                <w:top w:val="none" w:sz="0" w:space="0" w:color="auto"/>
                <w:left w:val="none" w:sz="0" w:space="0" w:color="auto"/>
                <w:bottom w:val="none" w:sz="0" w:space="0" w:color="auto"/>
                <w:right w:val="none" w:sz="0" w:space="0" w:color="auto"/>
              </w:divBdr>
            </w:div>
            <w:div w:id="1199661819">
              <w:marLeft w:val="0"/>
              <w:marRight w:val="0"/>
              <w:marTop w:val="0"/>
              <w:marBottom w:val="0"/>
              <w:divBdr>
                <w:top w:val="none" w:sz="0" w:space="0" w:color="auto"/>
                <w:left w:val="none" w:sz="0" w:space="0" w:color="auto"/>
                <w:bottom w:val="none" w:sz="0" w:space="0" w:color="auto"/>
                <w:right w:val="none" w:sz="0" w:space="0" w:color="auto"/>
              </w:divBdr>
            </w:div>
            <w:div w:id="1237590542">
              <w:marLeft w:val="0"/>
              <w:marRight w:val="0"/>
              <w:marTop w:val="0"/>
              <w:marBottom w:val="0"/>
              <w:divBdr>
                <w:top w:val="none" w:sz="0" w:space="0" w:color="auto"/>
                <w:left w:val="none" w:sz="0" w:space="0" w:color="auto"/>
                <w:bottom w:val="none" w:sz="0" w:space="0" w:color="auto"/>
                <w:right w:val="none" w:sz="0" w:space="0" w:color="auto"/>
              </w:divBdr>
            </w:div>
            <w:div w:id="1403218095">
              <w:marLeft w:val="0"/>
              <w:marRight w:val="0"/>
              <w:marTop w:val="0"/>
              <w:marBottom w:val="0"/>
              <w:divBdr>
                <w:top w:val="none" w:sz="0" w:space="0" w:color="auto"/>
                <w:left w:val="none" w:sz="0" w:space="0" w:color="auto"/>
                <w:bottom w:val="none" w:sz="0" w:space="0" w:color="auto"/>
                <w:right w:val="none" w:sz="0" w:space="0" w:color="auto"/>
              </w:divBdr>
            </w:div>
            <w:div w:id="1738632094">
              <w:marLeft w:val="0"/>
              <w:marRight w:val="0"/>
              <w:marTop w:val="0"/>
              <w:marBottom w:val="0"/>
              <w:divBdr>
                <w:top w:val="none" w:sz="0" w:space="0" w:color="auto"/>
                <w:left w:val="none" w:sz="0" w:space="0" w:color="auto"/>
                <w:bottom w:val="none" w:sz="0" w:space="0" w:color="auto"/>
                <w:right w:val="none" w:sz="0" w:space="0" w:color="auto"/>
              </w:divBdr>
            </w:div>
            <w:div w:id="1777599811">
              <w:marLeft w:val="0"/>
              <w:marRight w:val="0"/>
              <w:marTop w:val="0"/>
              <w:marBottom w:val="0"/>
              <w:divBdr>
                <w:top w:val="none" w:sz="0" w:space="0" w:color="auto"/>
                <w:left w:val="none" w:sz="0" w:space="0" w:color="auto"/>
                <w:bottom w:val="none" w:sz="0" w:space="0" w:color="auto"/>
                <w:right w:val="none" w:sz="0" w:space="0" w:color="auto"/>
              </w:divBdr>
            </w:div>
            <w:div w:id="1805460256">
              <w:marLeft w:val="0"/>
              <w:marRight w:val="0"/>
              <w:marTop w:val="0"/>
              <w:marBottom w:val="0"/>
              <w:divBdr>
                <w:top w:val="none" w:sz="0" w:space="0" w:color="auto"/>
                <w:left w:val="none" w:sz="0" w:space="0" w:color="auto"/>
                <w:bottom w:val="none" w:sz="0" w:space="0" w:color="auto"/>
                <w:right w:val="none" w:sz="0" w:space="0" w:color="auto"/>
              </w:divBdr>
            </w:div>
            <w:div w:id="1874340563">
              <w:marLeft w:val="0"/>
              <w:marRight w:val="0"/>
              <w:marTop w:val="0"/>
              <w:marBottom w:val="0"/>
              <w:divBdr>
                <w:top w:val="none" w:sz="0" w:space="0" w:color="auto"/>
                <w:left w:val="none" w:sz="0" w:space="0" w:color="auto"/>
                <w:bottom w:val="none" w:sz="0" w:space="0" w:color="auto"/>
                <w:right w:val="none" w:sz="0" w:space="0" w:color="auto"/>
              </w:divBdr>
            </w:div>
            <w:div w:id="2083722383">
              <w:marLeft w:val="0"/>
              <w:marRight w:val="0"/>
              <w:marTop w:val="0"/>
              <w:marBottom w:val="0"/>
              <w:divBdr>
                <w:top w:val="none" w:sz="0" w:space="0" w:color="auto"/>
                <w:left w:val="none" w:sz="0" w:space="0" w:color="auto"/>
                <w:bottom w:val="none" w:sz="0" w:space="0" w:color="auto"/>
                <w:right w:val="none" w:sz="0" w:space="0" w:color="auto"/>
              </w:divBdr>
            </w:div>
          </w:divsChild>
        </w:div>
        <w:div w:id="105003400">
          <w:marLeft w:val="0"/>
          <w:marRight w:val="0"/>
          <w:marTop w:val="0"/>
          <w:marBottom w:val="0"/>
          <w:divBdr>
            <w:top w:val="none" w:sz="0" w:space="0" w:color="auto"/>
            <w:left w:val="none" w:sz="0" w:space="0" w:color="auto"/>
            <w:bottom w:val="none" w:sz="0" w:space="0" w:color="auto"/>
            <w:right w:val="none" w:sz="0" w:space="0" w:color="auto"/>
          </w:divBdr>
        </w:div>
        <w:div w:id="134446621">
          <w:marLeft w:val="0"/>
          <w:marRight w:val="0"/>
          <w:marTop w:val="0"/>
          <w:marBottom w:val="0"/>
          <w:divBdr>
            <w:top w:val="none" w:sz="0" w:space="0" w:color="auto"/>
            <w:left w:val="none" w:sz="0" w:space="0" w:color="auto"/>
            <w:bottom w:val="none" w:sz="0" w:space="0" w:color="auto"/>
            <w:right w:val="none" w:sz="0" w:space="0" w:color="auto"/>
          </w:divBdr>
        </w:div>
        <w:div w:id="136647092">
          <w:marLeft w:val="0"/>
          <w:marRight w:val="0"/>
          <w:marTop w:val="0"/>
          <w:marBottom w:val="0"/>
          <w:divBdr>
            <w:top w:val="none" w:sz="0" w:space="0" w:color="auto"/>
            <w:left w:val="none" w:sz="0" w:space="0" w:color="auto"/>
            <w:bottom w:val="none" w:sz="0" w:space="0" w:color="auto"/>
            <w:right w:val="none" w:sz="0" w:space="0" w:color="auto"/>
          </w:divBdr>
        </w:div>
        <w:div w:id="144472765">
          <w:marLeft w:val="0"/>
          <w:marRight w:val="0"/>
          <w:marTop w:val="0"/>
          <w:marBottom w:val="0"/>
          <w:divBdr>
            <w:top w:val="none" w:sz="0" w:space="0" w:color="auto"/>
            <w:left w:val="none" w:sz="0" w:space="0" w:color="auto"/>
            <w:bottom w:val="none" w:sz="0" w:space="0" w:color="auto"/>
            <w:right w:val="none" w:sz="0" w:space="0" w:color="auto"/>
          </w:divBdr>
        </w:div>
        <w:div w:id="148517990">
          <w:marLeft w:val="0"/>
          <w:marRight w:val="0"/>
          <w:marTop w:val="0"/>
          <w:marBottom w:val="0"/>
          <w:divBdr>
            <w:top w:val="none" w:sz="0" w:space="0" w:color="auto"/>
            <w:left w:val="none" w:sz="0" w:space="0" w:color="auto"/>
            <w:bottom w:val="none" w:sz="0" w:space="0" w:color="auto"/>
            <w:right w:val="none" w:sz="0" w:space="0" w:color="auto"/>
          </w:divBdr>
        </w:div>
        <w:div w:id="155192365">
          <w:marLeft w:val="0"/>
          <w:marRight w:val="0"/>
          <w:marTop w:val="0"/>
          <w:marBottom w:val="0"/>
          <w:divBdr>
            <w:top w:val="none" w:sz="0" w:space="0" w:color="auto"/>
            <w:left w:val="none" w:sz="0" w:space="0" w:color="auto"/>
            <w:bottom w:val="none" w:sz="0" w:space="0" w:color="auto"/>
            <w:right w:val="none" w:sz="0" w:space="0" w:color="auto"/>
          </w:divBdr>
        </w:div>
        <w:div w:id="155342059">
          <w:marLeft w:val="0"/>
          <w:marRight w:val="0"/>
          <w:marTop w:val="0"/>
          <w:marBottom w:val="0"/>
          <w:divBdr>
            <w:top w:val="none" w:sz="0" w:space="0" w:color="auto"/>
            <w:left w:val="none" w:sz="0" w:space="0" w:color="auto"/>
            <w:bottom w:val="none" w:sz="0" w:space="0" w:color="auto"/>
            <w:right w:val="none" w:sz="0" w:space="0" w:color="auto"/>
          </w:divBdr>
          <w:divsChild>
            <w:div w:id="1928687934">
              <w:marLeft w:val="-75"/>
              <w:marRight w:val="0"/>
              <w:marTop w:val="30"/>
              <w:marBottom w:val="30"/>
              <w:divBdr>
                <w:top w:val="none" w:sz="0" w:space="0" w:color="auto"/>
                <w:left w:val="none" w:sz="0" w:space="0" w:color="auto"/>
                <w:bottom w:val="none" w:sz="0" w:space="0" w:color="auto"/>
                <w:right w:val="none" w:sz="0" w:space="0" w:color="auto"/>
              </w:divBdr>
              <w:divsChild>
                <w:div w:id="132260816">
                  <w:marLeft w:val="0"/>
                  <w:marRight w:val="0"/>
                  <w:marTop w:val="0"/>
                  <w:marBottom w:val="0"/>
                  <w:divBdr>
                    <w:top w:val="none" w:sz="0" w:space="0" w:color="auto"/>
                    <w:left w:val="none" w:sz="0" w:space="0" w:color="auto"/>
                    <w:bottom w:val="none" w:sz="0" w:space="0" w:color="auto"/>
                    <w:right w:val="none" w:sz="0" w:space="0" w:color="auto"/>
                  </w:divBdr>
                  <w:divsChild>
                    <w:div w:id="716008175">
                      <w:marLeft w:val="0"/>
                      <w:marRight w:val="0"/>
                      <w:marTop w:val="0"/>
                      <w:marBottom w:val="0"/>
                      <w:divBdr>
                        <w:top w:val="none" w:sz="0" w:space="0" w:color="auto"/>
                        <w:left w:val="none" w:sz="0" w:space="0" w:color="auto"/>
                        <w:bottom w:val="none" w:sz="0" w:space="0" w:color="auto"/>
                        <w:right w:val="none" w:sz="0" w:space="0" w:color="auto"/>
                      </w:divBdr>
                    </w:div>
                  </w:divsChild>
                </w:div>
                <w:div w:id="221985632">
                  <w:marLeft w:val="0"/>
                  <w:marRight w:val="0"/>
                  <w:marTop w:val="0"/>
                  <w:marBottom w:val="0"/>
                  <w:divBdr>
                    <w:top w:val="none" w:sz="0" w:space="0" w:color="auto"/>
                    <w:left w:val="none" w:sz="0" w:space="0" w:color="auto"/>
                    <w:bottom w:val="none" w:sz="0" w:space="0" w:color="auto"/>
                    <w:right w:val="none" w:sz="0" w:space="0" w:color="auto"/>
                  </w:divBdr>
                  <w:divsChild>
                    <w:div w:id="507408599">
                      <w:marLeft w:val="0"/>
                      <w:marRight w:val="0"/>
                      <w:marTop w:val="0"/>
                      <w:marBottom w:val="0"/>
                      <w:divBdr>
                        <w:top w:val="none" w:sz="0" w:space="0" w:color="auto"/>
                        <w:left w:val="none" w:sz="0" w:space="0" w:color="auto"/>
                        <w:bottom w:val="none" w:sz="0" w:space="0" w:color="auto"/>
                        <w:right w:val="none" w:sz="0" w:space="0" w:color="auto"/>
                      </w:divBdr>
                    </w:div>
                  </w:divsChild>
                </w:div>
                <w:div w:id="565074047">
                  <w:marLeft w:val="0"/>
                  <w:marRight w:val="0"/>
                  <w:marTop w:val="0"/>
                  <w:marBottom w:val="0"/>
                  <w:divBdr>
                    <w:top w:val="none" w:sz="0" w:space="0" w:color="auto"/>
                    <w:left w:val="none" w:sz="0" w:space="0" w:color="auto"/>
                    <w:bottom w:val="none" w:sz="0" w:space="0" w:color="auto"/>
                    <w:right w:val="none" w:sz="0" w:space="0" w:color="auto"/>
                  </w:divBdr>
                  <w:divsChild>
                    <w:div w:id="1555703434">
                      <w:marLeft w:val="0"/>
                      <w:marRight w:val="0"/>
                      <w:marTop w:val="0"/>
                      <w:marBottom w:val="0"/>
                      <w:divBdr>
                        <w:top w:val="none" w:sz="0" w:space="0" w:color="auto"/>
                        <w:left w:val="none" w:sz="0" w:space="0" w:color="auto"/>
                        <w:bottom w:val="none" w:sz="0" w:space="0" w:color="auto"/>
                        <w:right w:val="none" w:sz="0" w:space="0" w:color="auto"/>
                      </w:divBdr>
                    </w:div>
                  </w:divsChild>
                </w:div>
                <w:div w:id="570241657">
                  <w:marLeft w:val="0"/>
                  <w:marRight w:val="0"/>
                  <w:marTop w:val="0"/>
                  <w:marBottom w:val="0"/>
                  <w:divBdr>
                    <w:top w:val="none" w:sz="0" w:space="0" w:color="auto"/>
                    <w:left w:val="none" w:sz="0" w:space="0" w:color="auto"/>
                    <w:bottom w:val="none" w:sz="0" w:space="0" w:color="auto"/>
                    <w:right w:val="none" w:sz="0" w:space="0" w:color="auto"/>
                  </w:divBdr>
                  <w:divsChild>
                    <w:div w:id="1315450947">
                      <w:marLeft w:val="0"/>
                      <w:marRight w:val="0"/>
                      <w:marTop w:val="0"/>
                      <w:marBottom w:val="0"/>
                      <w:divBdr>
                        <w:top w:val="none" w:sz="0" w:space="0" w:color="auto"/>
                        <w:left w:val="none" w:sz="0" w:space="0" w:color="auto"/>
                        <w:bottom w:val="none" w:sz="0" w:space="0" w:color="auto"/>
                        <w:right w:val="none" w:sz="0" w:space="0" w:color="auto"/>
                      </w:divBdr>
                    </w:div>
                  </w:divsChild>
                </w:div>
                <w:div w:id="692222778">
                  <w:marLeft w:val="0"/>
                  <w:marRight w:val="0"/>
                  <w:marTop w:val="0"/>
                  <w:marBottom w:val="0"/>
                  <w:divBdr>
                    <w:top w:val="none" w:sz="0" w:space="0" w:color="auto"/>
                    <w:left w:val="none" w:sz="0" w:space="0" w:color="auto"/>
                    <w:bottom w:val="none" w:sz="0" w:space="0" w:color="auto"/>
                    <w:right w:val="none" w:sz="0" w:space="0" w:color="auto"/>
                  </w:divBdr>
                  <w:divsChild>
                    <w:div w:id="1954169868">
                      <w:marLeft w:val="0"/>
                      <w:marRight w:val="0"/>
                      <w:marTop w:val="0"/>
                      <w:marBottom w:val="0"/>
                      <w:divBdr>
                        <w:top w:val="none" w:sz="0" w:space="0" w:color="auto"/>
                        <w:left w:val="none" w:sz="0" w:space="0" w:color="auto"/>
                        <w:bottom w:val="none" w:sz="0" w:space="0" w:color="auto"/>
                        <w:right w:val="none" w:sz="0" w:space="0" w:color="auto"/>
                      </w:divBdr>
                    </w:div>
                  </w:divsChild>
                </w:div>
                <w:div w:id="782655828">
                  <w:marLeft w:val="0"/>
                  <w:marRight w:val="0"/>
                  <w:marTop w:val="0"/>
                  <w:marBottom w:val="0"/>
                  <w:divBdr>
                    <w:top w:val="none" w:sz="0" w:space="0" w:color="auto"/>
                    <w:left w:val="none" w:sz="0" w:space="0" w:color="auto"/>
                    <w:bottom w:val="none" w:sz="0" w:space="0" w:color="auto"/>
                    <w:right w:val="none" w:sz="0" w:space="0" w:color="auto"/>
                  </w:divBdr>
                  <w:divsChild>
                    <w:div w:id="2064136671">
                      <w:marLeft w:val="0"/>
                      <w:marRight w:val="0"/>
                      <w:marTop w:val="0"/>
                      <w:marBottom w:val="0"/>
                      <w:divBdr>
                        <w:top w:val="none" w:sz="0" w:space="0" w:color="auto"/>
                        <w:left w:val="none" w:sz="0" w:space="0" w:color="auto"/>
                        <w:bottom w:val="none" w:sz="0" w:space="0" w:color="auto"/>
                        <w:right w:val="none" w:sz="0" w:space="0" w:color="auto"/>
                      </w:divBdr>
                    </w:div>
                  </w:divsChild>
                </w:div>
                <w:div w:id="847790863">
                  <w:marLeft w:val="0"/>
                  <w:marRight w:val="0"/>
                  <w:marTop w:val="0"/>
                  <w:marBottom w:val="0"/>
                  <w:divBdr>
                    <w:top w:val="none" w:sz="0" w:space="0" w:color="auto"/>
                    <w:left w:val="none" w:sz="0" w:space="0" w:color="auto"/>
                    <w:bottom w:val="none" w:sz="0" w:space="0" w:color="auto"/>
                    <w:right w:val="none" w:sz="0" w:space="0" w:color="auto"/>
                  </w:divBdr>
                  <w:divsChild>
                    <w:div w:id="1950890246">
                      <w:marLeft w:val="0"/>
                      <w:marRight w:val="0"/>
                      <w:marTop w:val="0"/>
                      <w:marBottom w:val="0"/>
                      <w:divBdr>
                        <w:top w:val="none" w:sz="0" w:space="0" w:color="auto"/>
                        <w:left w:val="none" w:sz="0" w:space="0" w:color="auto"/>
                        <w:bottom w:val="none" w:sz="0" w:space="0" w:color="auto"/>
                        <w:right w:val="none" w:sz="0" w:space="0" w:color="auto"/>
                      </w:divBdr>
                    </w:div>
                  </w:divsChild>
                </w:div>
                <w:div w:id="864251384">
                  <w:marLeft w:val="0"/>
                  <w:marRight w:val="0"/>
                  <w:marTop w:val="0"/>
                  <w:marBottom w:val="0"/>
                  <w:divBdr>
                    <w:top w:val="none" w:sz="0" w:space="0" w:color="auto"/>
                    <w:left w:val="none" w:sz="0" w:space="0" w:color="auto"/>
                    <w:bottom w:val="none" w:sz="0" w:space="0" w:color="auto"/>
                    <w:right w:val="none" w:sz="0" w:space="0" w:color="auto"/>
                  </w:divBdr>
                  <w:divsChild>
                    <w:div w:id="2104762498">
                      <w:marLeft w:val="0"/>
                      <w:marRight w:val="0"/>
                      <w:marTop w:val="0"/>
                      <w:marBottom w:val="0"/>
                      <w:divBdr>
                        <w:top w:val="none" w:sz="0" w:space="0" w:color="auto"/>
                        <w:left w:val="none" w:sz="0" w:space="0" w:color="auto"/>
                        <w:bottom w:val="none" w:sz="0" w:space="0" w:color="auto"/>
                        <w:right w:val="none" w:sz="0" w:space="0" w:color="auto"/>
                      </w:divBdr>
                    </w:div>
                  </w:divsChild>
                </w:div>
                <w:div w:id="996148788">
                  <w:marLeft w:val="0"/>
                  <w:marRight w:val="0"/>
                  <w:marTop w:val="0"/>
                  <w:marBottom w:val="0"/>
                  <w:divBdr>
                    <w:top w:val="none" w:sz="0" w:space="0" w:color="auto"/>
                    <w:left w:val="none" w:sz="0" w:space="0" w:color="auto"/>
                    <w:bottom w:val="none" w:sz="0" w:space="0" w:color="auto"/>
                    <w:right w:val="none" w:sz="0" w:space="0" w:color="auto"/>
                  </w:divBdr>
                  <w:divsChild>
                    <w:div w:id="1950357931">
                      <w:marLeft w:val="0"/>
                      <w:marRight w:val="0"/>
                      <w:marTop w:val="0"/>
                      <w:marBottom w:val="0"/>
                      <w:divBdr>
                        <w:top w:val="none" w:sz="0" w:space="0" w:color="auto"/>
                        <w:left w:val="none" w:sz="0" w:space="0" w:color="auto"/>
                        <w:bottom w:val="none" w:sz="0" w:space="0" w:color="auto"/>
                        <w:right w:val="none" w:sz="0" w:space="0" w:color="auto"/>
                      </w:divBdr>
                    </w:div>
                  </w:divsChild>
                </w:div>
                <w:div w:id="1101336069">
                  <w:marLeft w:val="0"/>
                  <w:marRight w:val="0"/>
                  <w:marTop w:val="0"/>
                  <w:marBottom w:val="0"/>
                  <w:divBdr>
                    <w:top w:val="none" w:sz="0" w:space="0" w:color="auto"/>
                    <w:left w:val="none" w:sz="0" w:space="0" w:color="auto"/>
                    <w:bottom w:val="none" w:sz="0" w:space="0" w:color="auto"/>
                    <w:right w:val="none" w:sz="0" w:space="0" w:color="auto"/>
                  </w:divBdr>
                  <w:divsChild>
                    <w:div w:id="729810456">
                      <w:marLeft w:val="0"/>
                      <w:marRight w:val="0"/>
                      <w:marTop w:val="0"/>
                      <w:marBottom w:val="0"/>
                      <w:divBdr>
                        <w:top w:val="none" w:sz="0" w:space="0" w:color="auto"/>
                        <w:left w:val="none" w:sz="0" w:space="0" w:color="auto"/>
                        <w:bottom w:val="none" w:sz="0" w:space="0" w:color="auto"/>
                        <w:right w:val="none" w:sz="0" w:space="0" w:color="auto"/>
                      </w:divBdr>
                    </w:div>
                  </w:divsChild>
                </w:div>
                <w:div w:id="1818954063">
                  <w:marLeft w:val="0"/>
                  <w:marRight w:val="0"/>
                  <w:marTop w:val="0"/>
                  <w:marBottom w:val="0"/>
                  <w:divBdr>
                    <w:top w:val="none" w:sz="0" w:space="0" w:color="auto"/>
                    <w:left w:val="none" w:sz="0" w:space="0" w:color="auto"/>
                    <w:bottom w:val="none" w:sz="0" w:space="0" w:color="auto"/>
                    <w:right w:val="none" w:sz="0" w:space="0" w:color="auto"/>
                  </w:divBdr>
                  <w:divsChild>
                    <w:div w:id="1531458850">
                      <w:marLeft w:val="0"/>
                      <w:marRight w:val="0"/>
                      <w:marTop w:val="0"/>
                      <w:marBottom w:val="0"/>
                      <w:divBdr>
                        <w:top w:val="none" w:sz="0" w:space="0" w:color="auto"/>
                        <w:left w:val="none" w:sz="0" w:space="0" w:color="auto"/>
                        <w:bottom w:val="none" w:sz="0" w:space="0" w:color="auto"/>
                        <w:right w:val="none" w:sz="0" w:space="0" w:color="auto"/>
                      </w:divBdr>
                    </w:div>
                  </w:divsChild>
                </w:div>
                <w:div w:id="1863517830">
                  <w:marLeft w:val="0"/>
                  <w:marRight w:val="0"/>
                  <w:marTop w:val="0"/>
                  <w:marBottom w:val="0"/>
                  <w:divBdr>
                    <w:top w:val="none" w:sz="0" w:space="0" w:color="auto"/>
                    <w:left w:val="none" w:sz="0" w:space="0" w:color="auto"/>
                    <w:bottom w:val="none" w:sz="0" w:space="0" w:color="auto"/>
                    <w:right w:val="none" w:sz="0" w:space="0" w:color="auto"/>
                  </w:divBdr>
                  <w:divsChild>
                    <w:div w:id="212372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22690">
          <w:marLeft w:val="0"/>
          <w:marRight w:val="0"/>
          <w:marTop w:val="0"/>
          <w:marBottom w:val="0"/>
          <w:divBdr>
            <w:top w:val="none" w:sz="0" w:space="0" w:color="auto"/>
            <w:left w:val="none" w:sz="0" w:space="0" w:color="auto"/>
            <w:bottom w:val="none" w:sz="0" w:space="0" w:color="auto"/>
            <w:right w:val="none" w:sz="0" w:space="0" w:color="auto"/>
          </w:divBdr>
        </w:div>
        <w:div w:id="208225397">
          <w:marLeft w:val="0"/>
          <w:marRight w:val="0"/>
          <w:marTop w:val="0"/>
          <w:marBottom w:val="0"/>
          <w:divBdr>
            <w:top w:val="none" w:sz="0" w:space="0" w:color="auto"/>
            <w:left w:val="none" w:sz="0" w:space="0" w:color="auto"/>
            <w:bottom w:val="none" w:sz="0" w:space="0" w:color="auto"/>
            <w:right w:val="none" w:sz="0" w:space="0" w:color="auto"/>
          </w:divBdr>
        </w:div>
        <w:div w:id="215317368">
          <w:marLeft w:val="0"/>
          <w:marRight w:val="0"/>
          <w:marTop w:val="0"/>
          <w:marBottom w:val="0"/>
          <w:divBdr>
            <w:top w:val="none" w:sz="0" w:space="0" w:color="auto"/>
            <w:left w:val="none" w:sz="0" w:space="0" w:color="auto"/>
            <w:bottom w:val="none" w:sz="0" w:space="0" w:color="auto"/>
            <w:right w:val="none" w:sz="0" w:space="0" w:color="auto"/>
          </w:divBdr>
        </w:div>
        <w:div w:id="230777593">
          <w:marLeft w:val="0"/>
          <w:marRight w:val="0"/>
          <w:marTop w:val="0"/>
          <w:marBottom w:val="0"/>
          <w:divBdr>
            <w:top w:val="none" w:sz="0" w:space="0" w:color="auto"/>
            <w:left w:val="none" w:sz="0" w:space="0" w:color="auto"/>
            <w:bottom w:val="none" w:sz="0" w:space="0" w:color="auto"/>
            <w:right w:val="none" w:sz="0" w:space="0" w:color="auto"/>
          </w:divBdr>
        </w:div>
        <w:div w:id="289168938">
          <w:marLeft w:val="0"/>
          <w:marRight w:val="0"/>
          <w:marTop w:val="0"/>
          <w:marBottom w:val="0"/>
          <w:divBdr>
            <w:top w:val="none" w:sz="0" w:space="0" w:color="auto"/>
            <w:left w:val="none" w:sz="0" w:space="0" w:color="auto"/>
            <w:bottom w:val="none" w:sz="0" w:space="0" w:color="auto"/>
            <w:right w:val="none" w:sz="0" w:space="0" w:color="auto"/>
          </w:divBdr>
        </w:div>
        <w:div w:id="291181900">
          <w:marLeft w:val="0"/>
          <w:marRight w:val="0"/>
          <w:marTop w:val="0"/>
          <w:marBottom w:val="0"/>
          <w:divBdr>
            <w:top w:val="none" w:sz="0" w:space="0" w:color="auto"/>
            <w:left w:val="none" w:sz="0" w:space="0" w:color="auto"/>
            <w:bottom w:val="none" w:sz="0" w:space="0" w:color="auto"/>
            <w:right w:val="none" w:sz="0" w:space="0" w:color="auto"/>
          </w:divBdr>
        </w:div>
        <w:div w:id="343558680">
          <w:marLeft w:val="0"/>
          <w:marRight w:val="0"/>
          <w:marTop w:val="0"/>
          <w:marBottom w:val="0"/>
          <w:divBdr>
            <w:top w:val="none" w:sz="0" w:space="0" w:color="auto"/>
            <w:left w:val="none" w:sz="0" w:space="0" w:color="auto"/>
            <w:bottom w:val="none" w:sz="0" w:space="0" w:color="auto"/>
            <w:right w:val="none" w:sz="0" w:space="0" w:color="auto"/>
          </w:divBdr>
        </w:div>
        <w:div w:id="347215828">
          <w:marLeft w:val="0"/>
          <w:marRight w:val="0"/>
          <w:marTop w:val="0"/>
          <w:marBottom w:val="0"/>
          <w:divBdr>
            <w:top w:val="none" w:sz="0" w:space="0" w:color="auto"/>
            <w:left w:val="none" w:sz="0" w:space="0" w:color="auto"/>
            <w:bottom w:val="none" w:sz="0" w:space="0" w:color="auto"/>
            <w:right w:val="none" w:sz="0" w:space="0" w:color="auto"/>
          </w:divBdr>
        </w:div>
        <w:div w:id="365449035">
          <w:marLeft w:val="0"/>
          <w:marRight w:val="0"/>
          <w:marTop w:val="0"/>
          <w:marBottom w:val="0"/>
          <w:divBdr>
            <w:top w:val="none" w:sz="0" w:space="0" w:color="auto"/>
            <w:left w:val="none" w:sz="0" w:space="0" w:color="auto"/>
            <w:bottom w:val="none" w:sz="0" w:space="0" w:color="auto"/>
            <w:right w:val="none" w:sz="0" w:space="0" w:color="auto"/>
          </w:divBdr>
        </w:div>
        <w:div w:id="373313234">
          <w:marLeft w:val="0"/>
          <w:marRight w:val="0"/>
          <w:marTop w:val="0"/>
          <w:marBottom w:val="0"/>
          <w:divBdr>
            <w:top w:val="none" w:sz="0" w:space="0" w:color="auto"/>
            <w:left w:val="none" w:sz="0" w:space="0" w:color="auto"/>
            <w:bottom w:val="none" w:sz="0" w:space="0" w:color="auto"/>
            <w:right w:val="none" w:sz="0" w:space="0" w:color="auto"/>
          </w:divBdr>
        </w:div>
        <w:div w:id="378825238">
          <w:marLeft w:val="0"/>
          <w:marRight w:val="0"/>
          <w:marTop w:val="0"/>
          <w:marBottom w:val="0"/>
          <w:divBdr>
            <w:top w:val="none" w:sz="0" w:space="0" w:color="auto"/>
            <w:left w:val="none" w:sz="0" w:space="0" w:color="auto"/>
            <w:bottom w:val="none" w:sz="0" w:space="0" w:color="auto"/>
            <w:right w:val="none" w:sz="0" w:space="0" w:color="auto"/>
          </w:divBdr>
        </w:div>
        <w:div w:id="384987796">
          <w:marLeft w:val="0"/>
          <w:marRight w:val="0"/>
          <w:marTop w:val="0"/>
          <w:marBottom w:val="0"/>
          <w:divBdr>
            <w:top w:val="none" w:sz="0" w:space="0" w:color="auto"/>
            <w:left w:val="none" w:sz="0" w:space="0" w:color="auto"/>
            <w:bottom w:val="none" w:sz="0" w:space="0" w:color="auto"/>
            <w:right w:val="none" w:sz="0" w:space="0" w:color="auto"/>
          </w:divBdr>
        </w:div>
        <w:div w:id="398484744">
          <w:marLeft w:val="0"/>
          <w:marRight w:val="0"/>
          <w:marTop w:val="0"/>
          <w:marBottom w:val="0"/>
          <w:divBdr>
            <w:top w:val="none" w:sz="0" w:space="0" w:color="auto"/>
            <w:left w:val="none" w:sz="0" w:space="0" w:color="auto"/>
            <w:bottom w:val="none" w:sz="0" w:space="0" w:color="auto"/>
            <w:right w:val="none" w:sz="0" w:space="0" w:color="auto"/>
          </w:divBdr>
        </w:div>
        <w:div w:id="408573746">
          <w:marLeft w:val="0"/>
          <w:marRight w:val="0"/>
          <w:marTop w:val="0"/>
          <w:marBottom w:val="0"/>
          <w:divBdr>
            <w:top w:val="none" w:sz="0" w:space="0" w:color="auto"/>
            <w:left w:val="none" w:sz="0" w:space="0" w:color="auto"/>
            <w:bottom w:val="none" w:sz="0" w:space="0" w:color="auto"/>
            <w:right w:val="none" w:sz="0" w:space="0" w:color="auto"/>
          </w:divBdr>
          <w:divsChild>
            <w:div w:id="58139677">
              <w:marLeft w:val="0"/>
              <w:marRight w:val="0"/>
              <w:marTop w:val="0"/>
              <w:marBottom w:val="0"/>
              <w:divBdr>
                <w:top w:val="none" w:sz="0" w:space="0" w:color="auto"/>
                <w:left w:val="none" w:sz="0" w:space="0" w:color="auto"/>
                <w:bottom w:val="none" w:sz="0" w:space="0" w:color="auto"/>
                <w:right w:val="none" w:sz="0" w:space="0" w:color="auto"/>
              </w:divBdr>
            </w:div>
            <w:div w:id="114176785">
              <w:marLeft w:val="0"/>
              <w:marRight w:val="0"/>
              <w:marTop w:val="0"/>
              <w:marBottom w:val="0"/>
              <w:divBdr>
                <w:top w:val="none" w:sz="0" w:space="0" w:color="auto"/>
                <w:left w:val="none" w:sz="0" w:space="0" w:color="auto"/>
                <w:bottom w:val="none" w:sz="0" w:space="0" w:color="auto"/>
                <w:right w:val="none" w:sz="0" w:space="0" w:color="auto"/>
              </w:divBdr>
            </w:div>
            <w:div w:id="161703554">
              <w:marLeft w:val="0"/>
              <w:marRight w:val="0"/>
              <w:marTop w:val="0"/>
              <w:marBottom w:val="0"/>
              <w:divBdr>
                <w:top w:val="none" w:sz="0" w:space="0" w:color="auto"/>
                <w:left w:val="none" w:sz="0" w:space="0" w:color="auto"/>
                <w:bottom w:val="none" w:sz="0" w:space="0" w:color="auto"/>
                <w:right w:val="none" w:sz="0" w:space="0" w:color="auto"/>
              </w:divBdr>
            </w:div>
            <w:div w:id="244384116">
              <w:marLeft w:val="0"/>
              <w:marRight w:val="0"/>
              <w:marTop w:val="0"/>
              <w:marBottom w:val="0"/>
              <w:divBdr>
                <w:top w:val="none" w:sz="0" w:space="0" w:color="auto"/>
                <w:left w:val="none" w:sz="0" w:space="0" w:color="auto"/>
                <w:bottom w:val="none" w:sz="0" w:space="0" w:color="auto"/>
                <w:right w:val="none" w:sz="0" w:space="0" w:color="auto"/>
              </w:divBdr>
            </w:div>
            <w:div w:id="273754672">
              <w:marLeft w:val="0"/>
              <w:marRight w:val="0"/>
              <w:marTop w:val="0"/>
              <w:marBottom w:val="0"/>
              <w:divBdr>
                <w:top w:val="none" w:sz="0" w:space="0" w:color="auto"/>
                <w:left w:val="none" w:sz="0" w:space="0" w:color="auto"/>
                <w:bottom w:val="none" w:sz="0" w:space="0" w:color="auto"/>
                <w:right w:val="none" w:sz="0" w:space="0" w:color="auto"/>
              </w:divBdr>
            </w:div>
            <w:div w:id="328335910">
              <w:marLeft w:val="0"/>
              <w:marRight w:val="0"/>
              <w:marTop w:val="0"/>
              <w:marBottom w:val="0"/>
              <w:divBdr>
                <w:top w:val="none" w:sz="0" w:space="0" w:color="auto"/>
                <w:left w:val="none" w:sz="0" w:space="0" w:color="auto"/>
                <w:bottom w:val="none" w:sz="0" w:space="0" w:color="auto"/>
                <w:right w:val="none" w:sz="0" w:space="0" w:color="auto"/>
              </w:divBdr>
            </w:div>
            <w:div w:id="352001655">
              <w:marLeft w:val="0"/>
              <w:marRight w:val="0"/>
              <w:marTop w:val="0"/>
              <w:marBottom w:val="0"/>
              <w:divBdr>
                <w:top w:val="none" w:sz="0" w:space="0" w:color="auto"/>
                <w:left w:val="none" w:sz="0" w:space="0" w:color="auto"/>
                <w:bottom w:val="none" w:sz="0" w:space="0" w:color="auto"/>
                <w:right w:val="none" w:sz="0" w:space="0" w:color="auto"/>
              </w:divBdr>
            </w:div>
            <w:div w:id="414278146">
              <w:marLeft w:val="0"/>
              <w:marRight w:val="0"/>
              <w:marTop w:val="0"/>
              <w:marBottom w:val="0"/>
              <w:divBdr>
                <w:top w:val="none" w:sz="0" w:space="0" w:color="auto"/>
                <w:left w:val="none" w:sz="0" w:space="0" w:color="auto"/>
                <w:bottom w:val="none" w:sz="0" w:space="0" w:color="auto"/>
                <w:right w:val="none" w:sz="0" w:space="0" w:color="auto"/>
              </w:divBdr>
            </w:div>
            <w:div w:id="629672484">
              <w:marLeft w:val="0"/>
              <w:marRight w:val="0"/>
              <w:marTop w:val="0"/>
              <w:marBottom w:val="0"/>
              <w:divBdr>
                <w:top w:val="none" w:sz="0" w:space="0" w:color="auto"/>
                <w:left w:val="none" w:sz="0" w:space="0" w:color="auto"/>
                <w:bottom w:val="none" w:sz="0" w:space="0" w:color="auto"/>
                <w:right w:val="none" w:sz="0" w:space="0" w:color="auto"/>
              </w:divBdr>
            </w:div>
            <w:div w:id="662664867">
              <w:marLeft w:val="0"/>
              <w:marRight w:val="0"/>
              <w:marTop w:val="0"/>
              <w:marBottom w:val="0"/>
              <w:divBdr>
                <w:top w:val="none" w:sz="0" w:space="0" w:color="auto"/>
                <w:left w:val="none" w:sz="0" w:space="0" w:color="auto"/>
                <w:bottom w:val="none" w:sz="0" w:space="0" w:color="auto"/>
                <w:right w:val="none" w:sz="0" w:space="0" w:color="auto"/>
              </w:divBdr>
            </w:div>
            <w:div w:id="701126563">
              <w:marLeft w:val="0"/>
              <w:marRight w:val="0"/>
              <w:marTop w:val="0"/>
              <w:marBottom w:val="0"/>
              <w:divBdr>
                <w:top w:val="none" w:sz="0" w:space="0" w:color="auto"/>
                <w:left w:val="none" w:sz="0" w:space="0" w:color="auto"/>
                <w:bottom w:val="none" w:sz="0" w:space="0" w:color="auto"/>
                <w:right w:val="none" w:sz="0" w:space="0" w:color="auto"/>
              </w:divBdr>
            </w:div>
            <w:div w:id="738014435">
              <w:marLeft w:val="0"/>
              <w:marRight w:val="0"/>
              <w:marTop w:val="0"/>
              <w:marBottom w:val="0"/>
              <w:divBdr>
                <w:top w:val="none" w:sz="0" w:space="0" w:color="auto"/>
                <w:left w:val="none" w:sz="0" w:space="0" w:color="auto"/>
                <w:bottom w:val="none" w:sz="0" w:space="0" w:color="auto"/>
                <w:right w:val="none" w:sz="0" w:space="0" w:color="auto"/>
              </w:divBdr>
            </w:div>
            <w:div w:id="812331337">
              <w:marLeft w:val="0"/>
              <w:marRight w:val="0"/>
              <w:marTop w:val="0"/>
              <w:marBottom w:val="0"/>
              <w:divBdr>
                <w:top w:val="none" w:sz="0" w:space="0" w:color="auto"/>
                <w:left w:val="none" w:sz="0" w:space="0" w:color="auto"/>
                <w:bottom w:val="none" w:sz="0" w:space="0" w:color="auto"/>
                <w:right w:val="none" w:sz="0" w:space="0" w:color="auto"/>
              </w:divBdr>
            </w:div>
            <w:div w:id="900217824">
              <w:marLeft w:val="0"/>
              <w:marRight w:val="0"/>
              <w:marTop w:val="0"/>
              <w:marBottom w:val="0"/>
              <w:divBdr>
                <w:top w:val="none" w:sz="0" w:space="0" w:color="auto"/>
                <w:left w:val="none" w:sz="0" w:space="0" w:color="auto"/>
                <w:bottom w:val="none" w:sz="0" w:space="0" w:color="auto"/>
                <w:right w:val="none" w:sz="0" w:space="0" w:color="auto"/>
              </w:divBdr>
            </w:div>
            <w:div w:id="1331955322">
              <w:marLeft w:val="0"/>
              <w:marRight w:val="0"/>
              <w:marTop w:val="0"/>
              <w:marBottom w:val="0"/>
              <w:divBdr>
                <w:top w:val="none" w:sz="0" w:space="0" w:color="auto"/>
                <w:left w:val="none" w:sz="0" w:space="0" w:color="auto"/>
                <w:bottom w:val="none" w:sz="0" w:space="0" w:color="auto"/>
                <w:right w:val="none" w:sz="0" w:space="0" w:color="auto"/>
              </w:divBdr>
            </w:div>
            <w:div w:id="1397163961">
              <w:marLeft w:val="0"/>
              <w:marRight w:val="0"/>
              <w:marTop w:val="0"/>
              <w:marBottom w:val="0"/>
              <w:divBdr>
                <w:top w:val="none" w:sz="0" w:space="0" w:color="auto"/>
                <w:left w:val="none" w:sz="0" w:space="0" w:color="auto"/>
                <w:bottom w:val="none" w:sz="0" w:space="0" w:color="auto"/>
                <w:right w:val="none" w:sz="0" w:space="0" w:color="auto"/>
              </w:divBdr>
            </w:div>
            <w:div w:id="1441561407">
              <w:marLeft w:val="0"/>
              <w:marRight w:val="0"/>
              <w:marTop w:val="0"/>
              <w:marBottom w:val="0"/>
              <w:divBdr>
                <w:top w:val="none" w:sz="0" w:space="0" w:color="auto"/>
                <w:left w:val="none" w:sz="0" w:space="0" w:color="auto"/>
                <w:bottom w:val="none" w:sz="0" w:space="0" w:color="auto"/>
                <w:right w:val="none" w:sz="0" w:space="0" w:color="auto"/>
              </w:divBdr>
            </w:div>
            <w:div w:id="1917784319">
              <w:marLeft w:val="0"/>
              <w:marRight w:val="0"/>
              <w:marTop w:val="0"/>
              <w:marBottom w:val="0"/>
              <w:divBdr>
                <w:top w:val="none" w:sz="0" w:space="0" w:color="auto"/>
                <w:left w:val="none" w:sz="0" w:space="0" w:color="auto"/>
                <w:bottom w:val="none" w:sz="0" w:space="0" w:color="auto"/>
                <w:right w:val="none" w:sz="0" w:space="0" w:color="auto"/>
              </w:divBdr>
            </w:div>
            <w:div w:id="2034528573">
              <w:marLeft w:val="0"/>
              <w:marRight w:val="0"/>
              <w:marTop w:val="0"/>
              <w:marBottom w:val="0"/>
              <w:divBdr>
                <w:top w:val="none" w:sz="0" w:space="0" w:color="auto"/>
                <w:left w:val="none" w:sz="0" w:space="0" w:color="auto"/>
                <w:bottom w:val="none" w:sz="0" w:space="0" w:color="auto"/>
                <w:right w:val="none" w:sz="0" w:space="0" w:color="auto"/>
              </w:divBdr>
            </w:div>
            <w:div w:id="2075082007">
              <w:marLeft w:val="0"/>
              <w:marRight w:val="0"/>
              <w:marTop w:val="0"/>
              <w:marBottom w:val="0"/>
              <w:divBdr>
                <w:top w:val="none" w:sz="0" w:space="0" w:color="auto"/>
                <w:left w:val="none" w:sz="0" w:space="0" w:color="auto"/>
                <w:bottom w:val="none" w:sz="0" w:space="0" w:color="auto"/>
                <w:right w:val="none" w:sz="0" w:space="0" w:color="auto"/>
              </w:divBdr>
            </w:div>
          </w:divsChild>
        </w:div>
        <w:div w:id="414597027">
          <w:marLeft w:val="0"/>
          <w:marRight w:val="0"/>
          <w:marTop w:val="0"/>
          <w:marBottom w:val="0"/>
          <w:divBdr>
            <w:top w:val="none" w:sz="0" w:space="0" w:color="auto"/>
            <w:left w:val="none" w:sz="0" w:space="0" w:color="auto"/>
            <w:bottom w:val="none" w:sz="0" w:space="0" w:color="auto"/>
            <w:right w:val="none" w:sz="0" w:space="0" w:color="auto"/>
          </w:divBdr>
        </w:div>
        <w:div w:id="431166968">
          <w:marLeft w:val="0"/>
          <w:marRight w:val="0"/>
          <w:marTop w:val="0"/>
          <w:marBottom w:val="0"/>
          <w:divBdr>
            <w:top w:val="none" w:sz="0" w:space="0" w:color="auto"/>
            <w:left w:val="none" w:sz="0" w:space="0" w:color="auto"/>
            <w:bottom w:val="none" w:sz="0" w:space="0" w:color="auto"/>
            <w:right w:val="none" w:sz="0" w:space="0" w:color="auto"/>
          </w:divBdr>
          <w:divsChild>
            <w:div w:id="1971281136">
              <w:marLeft w:val="-75"/>
              <w:marRight w:val="0"/>
              <w:marTop w:val="30"/>
              <w:marBottom w:val="30"/>
              <w:divBdr>
                <w:top w:val="none" w:sz="0" w:space="0" w:color="auto"/>
                <w:left w:val="none" w:sz="0" w:space="0" w:color="auto"/>
                <w:bottom w:val="none" w:sz="0" w:space="0" w:color="auto"/>
                <w:right w:val="none" w:sz="0" w:space="0" w:color="auto"/>
              </w:divBdr>
              <w:divsChild>
                <w:div w:id="281226470">
                  <w:marLeft w:val="0"/>
                  <w:marRight w:val="0"/>
                  <w:marTop w:val="0"/>
                  <w:marBottom w:val="0"/>
                  <w:divBdr>
                    <w:top w:val="none" w:sz="0" w:space="0" w:color="auto"/>
                    <w:left w:val="none" w:sz="0" w:space="0" w:color="auto"/>
                    <w:bottom w:val="none" w:sz="0" w:space="0" w:color="auto"/>
                    <w:right w:val="none" w:sz="0" w:space="0" w:color="auto"/>
                  </w:divBdr>
                  <w:divsChild>
                    <w:div w:id="2115204064">
                      <w:marLeft w:val="0"/>
                      <w:marRight w:val="0"/>
                      <w:marTop w:val="0"/>
                      <w:marBottom w:val="0"/>
                      <w:divBdr>
                        <w:top w:val="none" w:sz="0" w:space="0" w:color="auto"/>
                        <w:left w:val="none" w:sz="0" w:space="0" w:color="auto"/>
                        <w:bottom w:val="none" w:sz="0" w:space="0" w:color="auto"/>
                        <w:right w:val="none" w:sz="0" w:space="0" w:color="auto"/>
                      </w:divBdr>
                    </w:div>
                  </w:divsChild>
                </w:div>
                <w:div w:id="308485941">
                  <w:marLeft w:val="0"/>
                  <w:marRight w:val="0"/>
                  <w:marTop w:val="0"/>
                  <w:marBottom w:val="0"/>
                  <w:divBdr>
                    <w:top w:val="none" w:sz="0" w:space="0" w:color="auto"/>
                    <w:left w:val="none" w:sz="0" w:space="0" w:color="auto"/>
                    <w:bottom w:val="none" w:sz="0" w:space="0" w:color="auto"/>
                    <w:right w:val="none" w:sz="0" w:space="0" w:color="auto"/>
                  </w:divBdr>
                  <w:divsChild>
                    <w:div w:id="1207717564">
                      <w:marLeft w:val="0"/>
                      <w:marRight w:val="0"/>
                      <w:marTop w:val="0"/>
                      <w:marBottom w:val="0"/>
                      <w:divBdr>
                        <w:top w:val="none" w:sz="0" w:space="0" w:color="auto"/>
                        <w:left w:val="none" w:sz="0" w:space="0" w:color="auto"/>
                        <w:bottom w:val="none" w:sz="0" w:space="0" w:color="auto"/>
                        <w:right w:val="none" w:sz="0" w:space="0" w:color="auto"/>
                      </w:divBdr>
                    </w:div>
                  </w:divsChild>
                </w:div>
                <w:div w:id="379790777">
                  <w:marLeft w:val="0"/>
                  <w:marRight w:val="0"/>
                  <w:marTop w:val="0"/>
                  <w:marBottom w:val="0"/>
                  <w:divBdr>
                    <w:top w:val="none" w:sz="0" w:space="0" w:color="auto"/>
                    <w:left w:val="none" w:sz="0" w:space="0" w:color="auto"/>
                    <w:bottom w:val="none" w:sz="0" w:space="0" w:color="auto"/>
                    <w:right w:val="none" w:sz="0" w:space="0" w:color="auto"/>
                  </w:divBdr>
                  <w:divsChild>
                    <w:div w:id="2059816229">
                      <w:marLeft w:val="0"/>
                      <w:marRight w:val="0"/>
                      <w:marTop w:val="0"/>
                      <w:marBottom w:val="0"/>
                      <w:divBdr>
                        <w:top w:val="none" w:sz="0" w:space="0" w:color="auto"/>
                        <w:left w:val="none" w:sz="0" w:space="0" w:color="auto"/>
                        <w:bottom w:val="none" w:sz="0" w:space="0" w:color="auto"/>
                        <w:right w:val="none" w:sz="0" w:space="0" w:color="auto"/>
                      </w:divBdr>
                    </w:div>
                  </w:divsChild>
                </w:div>
                <w:div w:id="588544340">
                  <w:marLeft w:val="0"/>
                  <w:marRight w:val="0"/>
                  <w:marTop w:val="0"/>
                  <w:marBottom w:val="0"/>
                  <w:divBdr>
                    <w:top w:val="none" w:sz="0" w:space="0" w:color="auto"/>
                    <w:left w:val="none" w:sz="0" w:space="0" w:color="auto"/>
                    <w:bottom w:val="none" w:sz="0" w:space="0" w:color="auto"/>
                    <w:right w:val="none" w:sz="0" w:space="0" w:color="auto"/>
                  </w:divBdr>
                  <w:divsChild>
                    <w:div w:id="341854901">
                      <w:marLeft w:val="0"/>
                      <w:marRight w:val="0"/>
                      <w:marTop w:val="0"/>
                      <w:marBottom w:val="0"/>
                      <w:divBdr>
                        <w:top w:val="none" w:sz="0" w:space="0" w:color="auto"/>
                        <w:left w:val="none" w:sz="0" w:space="0" w:color="auto"/>
                        <w:bottom w:val="none" w:sz="0" w:space="0" w:color="auto"/>
                        <w:right w:val="none" w:sz="0" w:space="0" w:color="auto"/>
                      </w:divBdr>
                    </w:div>
                  </w:divsChild>
                </w:div>
                <w:div w:id="596866580">
                  <w:marLeft w:val="0"/>
                  <w:marRight w:val="0"/>
                  <w:marTop w:val="0"/>
                  <w:marBottom w:val="0"/>
                  <w:divBdr>
                    <w:top w:val="none" w:sz="0" w:space="0" w:color="auto"/>
                    <w:left w:val="none" w:sz="0" w:space="0" w:color="auto"/>
                    <w:bottom w:val="none" w:sz="0" w:space="0" w:color="auto"/>
                    <w:right w:val="none" w:sz="0" w:space="0" w:color="auto"/>
                  </w:divBdr>
                  <w:divsChild>
                    <w:div w:id="1235161767">
                      <w:marLeft w:val="0"/>
                      <w:marRight w:val="0"/>
                      <w:marTop w:val="0"/>
                      <w:marBottom w:val="0"/>
                      <w:divBdr>
                        <w:top w:val="none" w:sz="0" w:space="0" w:color="auto"/>
                        <w:left w:val="none" w:sz="0" w:space="0" w:color="auto"/>
                        <w:bottom w:val="none" w:sz="0" w:space="0" w:color="auto"/>
                        <w:right w:val="none" w:sz="0" w:space="0" w:color="auto"/>
                      </w:divBdr>
                    </w:div>
                  </w:divsChild>
                </w:div>
                <w:div w:id="616522420">
                  <w:marLeft w:val="0"/>
                  <w:marRight w:val="0"/>
                  <w:marTop w:val="0"/>
                  <w:marBottom w:val="0"/>
                  <w:divBdr>
                    <w:top w:val="none" w:sz="0" w:space="0" w:color="auto"/>
                    <w:left w:val="none" w:sz="0" w:space="0" w:color="auto"/>
                    <w:bottom w:val="none" w:sz="0" w:space="0" w:color="auto"/>
                    <w:right w:val="none" w:sz="0" w:space="0" w:color="auto"/>
                  </w:divBdr>
                  <w:divsChild>
                    <w:div w:id="1412501659">
                      <w:marLeft w:val="0"/>
                      <w:marRight w:val="0"/>
                      <w:marTop w:val="0"/>
                      <w:marBottom w:val="0"/>
                      <w:divBdr>
                        <w:top w:val="none" w:sz="0" w:space="0" w:color="auto"/>
                        <w:left w:val="none" w:sz="0" w:space="0" w:color="auto"/>
                        <w:bottom w:val="none" w:sz="0" w:space="0" w:color="auto"/>
                        <w:right w:val="none" w:sz="0" w:space="0" w:color="auto"/>
                      </w:divBdr>
                    </w:div>
                  </w:divsChild>
                </w:div>
                <w:div w:id="1042487354">
                  <w:marLeft w:val="0"/>
                  <w:marRight w:val="0"/>
                  <w:marTop w:val="0"/>
                  <w:marBottom w:val="0"/>
                  <w:divBdr>
                    <w:top w:val="none" w:sz="0" w:space="0" w:color="auto"/>
                    <w:left w:val="none" w:sz="0" w:space="0" w:color="auto"/>
                    <w:bottom w:val="none" w:sz="0" w:space="0" w:color="auto"/>
                    <w:right w:val="none" w:sz="0" w:space="0" w:color="auto"/>
                  </w:divBdr>
                  <w:divsChild>
                    <w:div w:id="1341397702">
                      <w:marLeft w:val="0"/>
                      <w:marRight w:val="0"/>
                      <w:marTop w:val="0"/>
                      <w:marBottom w:val="0"/>
                      <w:divBdr>
                        <w:top w:val="none" w:sz="0" w:space="0" w:color="auto"/>
                        <w:left w:val="none" w:sz="0" w:space="0" w:color="auto"/>
                        <w:bottom w:val="none" w:sz="0" w:space="0" w:color="auto"/>
                        <w:right w:val="none" w:sz="0" w:space="0" w:color="auto"/>
                      </w:divBdr>
                    </w:div>
                  </w:divsChild>
                </w:div>
                <w:div w:id="1080173365">
                  <w:marLeft w:val="0"/>
                  <w:marRight w:val="0"/>
                  <w:marTop w:val="0"/>
                  <w:marBottom w:val="0"/>
                  <w:divBdr>
                    <w:top w:val="none" w:sz="0" w:space="0" w:color="auto"/>
                    <w:left w:val="none" w:sz="0" w:space="0" w:color="auto"/>
                    <w:bottom w:val="none" w:sz="0" w:space="0" w:color="auto"/>
                    <w:right w:val="none" w:sz="0" w:space="0" w:color="auto"/>
                  </w:divBdr>
                  <w:divsChild>
                    <w:div w:id="1900510639">
                      <w:marLeft w:val="0"/>
                      <w:marRight w:val="0"/>
                      <w:marTop w:val="0"/>
                      <w:marBottom w:val="0"/>
                      <w:divBdr>
                        <w:top w:val="none" w:sz="0" w:space="0" w:color="auto"/>
                        <w:left w:val="none" w:sz="0" w:space="0" w:color="auto"/>
                        <w:bottom w:val="none" w:sz="0" w:space="0" w:color="auto"/>
                        <w:right w:val="none" w:sz="0" w:space="0" w:color="auto"/>
                      </w:divBdr>
                    </w:div>
                  </w:divsChild>
                </w:div>
                <w:div w:id="1189488347">
                  <w:marLeft w:val="0"/>
                  <w:marRight w:val="0"/>
                  <w:marTop w:val="0"/>
                  <w:marBottom w:val="0"/>
                  <w:divBdr>
                    <w:top w:val="none" w:sz="0" w:space="0" w:color="auto"/>
                    <w:left w:val="none" w:sz="0" w:space="0" w:color="auto"/>
                    <w:bottom w:val="none" w:sz="0" w:space="0" w:color="auto"/>
                    <w:right w:val="none" w:sz="0" w:space="0" w:color="auto"/>
                  </w:divBdr>
                  <w:divsChild>
                    <w:div w:id="800928700">
                      <w:marLeft w:val="0"/>
                      <w:marRight w:val="0"/>
                      <w:marTop w:val="0"/>
                      <w:marBottom w:val="0"/>
                      <w:divBdr>
                        <w:top w:val="none" w:sz="0" w:space="0" w:color="auto"/>
                        <w:left w:val="none" w:sz="0" w:space="0" w:color="auto"/>
                        <w:bottom w:val="none" w:sz="0" w:space="0" w:color="auto"/>
                        <w:right w:val="none" w:sz="0" w:space="0" w:color="auto"/>
                      </w:divBdr>
                    </w:div>
                  </w:divsChild>
                </w:div>
                <w:div w:id="1324508562">
                  <w:marLeft w:val="0"/>
                  <w:marRight w:val="0"/>
                  <w:marTop w:val="0"/>
                  <w:marBottom w:val="0"/>
                  <w:divBdr>
                    <w:top w:val="none" w:sz="0" w:space="0" w:color="auto"/>
                    <w:left w:val="none" w:sz="0" w:space="0" w:color="auto"/>
                    <w:bottom w:val="none" w:sz="0" w:space="0" w:color="auto"/>
                    <w:right w:val="none" w:sz="0" w:space="0" w:color="auto"/>
                  </w:divBdr>
                  <w:divsChild>
                    <w:div w:id="976842436">
                      <w:marLeft w:val="0"/>
                      <w:marRight w:val="0"/>
                      <w:marTop w:val="0"/>
                      <w:marBottom w:val="0"/>
                      <w:divBdr>
                        <w:top w:val="none" w:sz="0" w:space="0" w:color="auto"/>
                        <w:left w:val="none" w:sz="0" w:space="0" w:color="auto"/>
                        <w:bottom w:val="none" w:sz="0" w:space="0" w:color="auto"/>
                        <w:right w:val="none" w:sz="0" w:space="0" w:color="auto"/>
                      </w:divBdr>
                    </w:div>
                    <w:div w:id="2131976935">
                      <w:marLeft w:val="0"/>
                      <w:marRight w:val="0"/>
                      <w:marTop w:val="0"/>
                      <w:marBottom w:val="0"/>
                      <w:divBdr>
                        <w:top w:val="none" w:sz="0" w:space="0" w:color="auto"/>
                        <w:left w:val="none" w:sz="0" w:space="0" w:color="auto"/>
                        <w:bottom w:val="none" w:sz="0" w:space="0" w:color="auto"/>
                        <w:right w:val="none" w:sz="0" w:space="0" w:color="auto"/>
                      </w:divBdr>
                    </w:div>
                  </w:divsChild>
                </w:div>
                <w:div w:id="1353337590">
                  <w:marLeft w:val="0"/>
                  <w:marRight w:val="0"/>
                  <w:marTop w:val="0"/>
                  <w:marBottom w:val="0"/>
                  <w:divBdr>
                    <w:top w:val="none" w:sz="0" w:space="0" w:color="auto"/>
                    <w:left w:val="none" w:sz="0" w:space="0" w:color="auto"/>
                    <w:bottom w:val="none" w:sz="0" w:space="0" w:color="auto"/>
                    <w:right w:val="none" w:sz="0" w:space="0" w:color="auto"/>
                  </w:divBdr>
                  <w:divsChild>
                    <w:div w:id="896475951">
                      <w:marLeft w:val="0"/>
                      <w:marRight w:val="0"/>
                      <w:marTop w:val="0"/>
                      <w:marBottom w:val="0"/>
                      <w:divBdr>
                        <w:top w:val="none" w:sz="0" w:space="0" w:color="auto"/>
                        <w:left w:val="none" w:sz="0" w:space="0" w:color="auto"/>
                        <w:bottom w:val="none" w:sz="0" w:space="0" w:color="auto"/>
                        <w:right w:val="none" w:sz="0" w:space="0" w:color="auto"/>
                      </w:divBdr>
                    </w:div>
                  </w:divsChild>
                </w:div>
                <w:div w:id="1575159462">
                  <w:marLeft w:val="0"/>
                  <w:marRight w:val="0"/>
                  <w:marTop w:val="0"/>
                  <w:marBottom w:val="0"/>
                  <w:divBdr>
                    <w:top w:val="none" w:sz="0" w:space="0" w:color="auto"/>
                    <w:left w:val="none" w:sz="0" w:space="0" w:color="auto"/>
                    <w:bottom w:val="none" w:sz="0" w:space="0" w:color="auto"/>
                    <w:right w:val="none" w:sz="0" w:space="0" w:color="auto"/>
                  </w:divBdr>
                  <w:divsChild>
                    <w:div w:id="11006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734593">
          <w:marLeft w:val="0"/>
          <w:marRight w:val="0"/>
          <w:marTop w:val="0"/>
          <w:marBottom w:val="0"/>
          <w:divBdr>
            <w:top w:val="none" w:sz="0" w:space="0" w:color="auto"/>
            <w:left w:val="none" w:sz="0" w:space="0" w:color="auto"/>
            <w:bottom w:val="none" w:sz="0" w:space="0" w:color="auto"/>
            <w:right w:val="none" w:sz="0" w:space="0" w:color="auto"/>
          </w:divBdr>
        </w:div>
        <w:div w:id="464853087">
          <w:marLeft w:val="0"/>
          <w:marRight w:val="0"/>
          <w:marTop w:val="0"/>
          <w:marBottom w:val="0"/>
          <w:divBdr>
            <w:top w:val="none" w:sz="0" w:space="0" w:color="auto"/>
            <w:left w:val="none" w:sz="0" w:space="0" w:color="auto"/>
            <w:bottom w:val="none" w:sz="0" w:space="0" w:color="auto"/>
            <w:right w:val="none" w:sz="0" w:space="0" w:color="auto"/>
          </w:divBdr>
        </w:div>
        <w:div w:id="504174868">
          <w:marLeft w:val="0"/>
          <w:marRight w:val="0"/>
          <w:marTop w:val="0"/>
          <w:marBottom w:val="0"/>
          <w:divBdr>
            <w:top w:val="none" w:sz="0" w:space="0" w:color="auto"/>
            <w:left w:val="none" w:sz="0" w:space="0" w:color="auto"/>
            <w:bottom w:val="none" w:sz="0" w:space="0" w:color="auto"/>
            <w:right w:val="none" w:sz="0" w:space="0" w:color="auto"/>
          </w:divBdr>
        </w:div>
        <w:div w:id="510031547">
          <w:marLeft w:val="0"/>
          <w:marRight w:val="0"/>
          <w:marTop w:val="0"/>
          <w:marBottom w:val="0"/>
          <w:divBdr>
            <w:top w:val="none" w:sz="0" w:space="0" w:color="auto"/>
            <w:left w:val="none" w:sz="0" w:space="0" w:color="auto"/>
            <w:bottom w:val="none" w:sz="0" w:space="0" w:color="auto"/>
            <w:right w:val="none" w:sz="0" w:space="0" w:color="auto"/>
          </w:divBdr>
        </w:div>
        <w:div w:id="519395651">
          <w:marLeft w:val="0"/>
          <w:marRight w:val="0"/>
          <w:marTop w:val="0"/>
          <w:marBottom w:val="0"/>
          <w:divBdr>
            <w:top w:val="none" w:sz="0" w:space="0" w:color="auto"/>
            <w:left w:val="none" w:sz="0" w:space="0" w:color="auto"/>
            <w:bottom w:val="none" w:sz="0" w:space="0" w:color="auto"/>
            <w:right w:val="none" w:sz="0" w:space="0" w:color="auto"/>
          </w:divBdr>
        </w:div>
        <w:div w:id="525216443">
          <w:marLeft w:val="0"/>
          <w:marRight w:val="0"/>
          <w:marTop w:val="0"/>
          <w:marBottom w:val="0"/>
          <w:divBdr>
            <w:top w:val="none" w:sz="0" w:space="0" w:color="auto"/>
            <w:left w:val="none" w:sz="0" w:space="0" w:color="auto"/>
            <w:bottom w:val="none" w:sz="0" w:space="0" w:color="auto"/>
            <w:right w:val="none" w:sz="0" w:space="0" w:color="auto"/>
          </w:divBdr>
          <w:divsChild>
            <w:div w:id="73668963">
              <w:marLeft w:val="0"/>
              <w:marRight w:val="0"/>
              <w:marTop w:val="0"/>
              <w:marBottom w:val="0"/>
              <w:divBdr>
                <w:top w:val="none" w:sz="0" w:space="0" w:color="auto"/>
                <w:left w:val="none" w:sz="0" w:space="0" w:color="auto"/>
                <w:bottom w:val="none" w:sz="0" w:space="0" w:color="auto"/>
                <w:right w:val="none" w:sz="0" w:space="0" w:color="auto"/>
              </w:divBdr>
            </w:div>
            <w:div w:id="143549781">
              <w:marLeft w:val="0"/>
              <w:marRight w:val="0"/>
              <w:marTop w:val="0"/>
              <w:marBottom w:val="0"/>
              <w:divBdr>
                <w:top w:val="none" w:sz="0" w:space="0" w:color="auto"/>
                <w:left w:val="none" w:sz="0" w:space="0" w:color="auto"/>
                <w:bottom w:val="none" w:sz="0" w:space="0" w:color="auto"/>
                <w:right w:val="none" w:sz="0" w:space="0" w:color="auto"/>
              </w:divBdr>
            </w:div>
            <w:div w:id="176045912">
              <w:marLeft w:val="0"/>
              <w:marRight w:val="0"/>
              <w:marTop w:val="0"/>
              <w:marBottom w:val="0"/>
              <w:divBdr>
                <w:top w:val="none" w:sz="0" w:space="0" w:color="auto"/>
                <w:left w:val="none" w:sz="0" w:space="0" w:color="auto"/>
                <w:bottom w:val="none" w:sz="0" w:space="0" w:color="auto"/>
                <w:right w:val="none" w:sz="0" w:space="0" w:color="auto"/>
              </w:divBdr>
            </w:div>
            <w:div w:id="408498389">
              <w:marLeft w:val="0"/>
              <w:marRight w:val="0"/>
              <w:marTop w:val="0"/>
              <w:marBottom w:val="0"/>
              <w:divBdr>
                <w:top w:val="none" w:sz="0" w:space="0" w:color="auto"/>
                <w:left w:val="none" w:sz="0" w:space="0" w:color="auto"/>
                <w:bottom w:val="none" w:sz="0" w:space="0" w:color="auto"/>
                <w:right w:val="none" w:sz="0" w:space="0" w:color="auto"/>
              </w:divBdr>
            </w:div>
            <w:div w:id="478885599">
              <w:marLeft w:val="0"/>
              <w:marRight w:val="0"/>
              <w:marTop w:val="0"/>
              <w:marBottom w:val="0"/>
              <w:divBdr>
                <w:top w:val="none" w:sz="0" w:space="0" w:color="auto"/>
                <w:left w:val="none" w:sz="0" w:space="0" w:color="auto"/>
                <w:bottom w:val="none" w:sz="0" w:space="0" w:color="auto"/>
                <w:right w:val="none" w:sz="0" w:space="0" w:color="auto"/>
              </w:divBdr>
            </w:div>
            <w:div w:id="563178325">
              <w:marLeft w:val="0"/>
              <w:marRight w:val="0"/>
              <w:marTop w:val="0"/>
              <w:marBottom w:val="0"/>
              <w:divBdr>
                <w:top w:val="none" w:sz="0" w:space="0" w:color="auto"/>
                <w:left w:val="none" w:sz="0" w:space="0" w:color="auto"/>
                <w:bottom w:val="none" w:sz="0" w:space="0" w:color="auto"/>
                <w:right w:val="none" w:sz="0" w:space="0" w:color="auto"/>
              </w:divBdr>
            </w:div>
            <w:div w:id="576671106">
              <w:marLeft w:val="0"/>
              <w:marRight w:val="0"/>
              <w:marTop w:val="0"/>
              <w:marBottom w:val="0"/>
              <w:divBdr>
                <w:top w:val="none" w:sz="0" w:space="0" w:color="auto"/>
                <w:left w:val="none" w:sz="0" w:space="0" w:color="auto"/>
                <w:bottom w:val="none" w:sz="0" w:space="0" w:color="auto"/>
                <w:right w:val="none" w:sz="0" w:space="0" w:color="auto"/>
              </w:divBdr>
            </w:div>
            <w:div w:id="792286131">
              <w:marLeft w:val="0"/>
              <w:marRight w:val="0"/>
              <w:marTop w:val="0"/>
              <w:marBottom w:val="0"/>
              <w:divBdr>
                <w:top w:val="none" w:sz="0" w:space="0" w:color="auto"/>
                <w:left w:val="none" w:sz="0" w:space="0" w:color="auto"/>
                <w:bottom w:val="none" w:sz="0" w:space="0" w:color="auto"/>
                <w:right w:val="none" w:sz="0" w:space="0" w:color="auto"/>
              </w:divBdr>
            </w:div>
            <w:div w:id="1195390588">
              <w:marLeft w:val="0"/>
              <w:marRight w:val="0"/>
              <w:marTop w:val="0"/>
              <w:marBottom w:val="0"/>
              <w:divBdr>
                <w:top w:val="none" w:sz="0" w:space="0" w:color="auto"/>
                <w:left w:val="none" w:sz="0" w:space="0" w:color="auto"/>
                <w:bottom w:val="none" w:sz="0" w:space="0" w:color="auto"/>
                <w:right w:val="none" w:sz="0" w:space="0" w:color="auto"/>
              </w:divBdr>
            </w:div>
            <w:div w:id="1377394519">
              <w:marLeft w:val="0"/>
              <w:marRight w:val="0"/>
              <w:marTop w:val="0"/>
              <w:marBottom w:val="0"/>
              <w:divBdr>
                <w:top w:val="none" w:sz="0" w:space="0" w:color="auto"/>
                <w:left w:val="none" w:sz="0" w:space="0" w:color="auto"/>
                <w:bottom w:val="none" w:sz="0" w:space="0" w:color="auto"/>
                <w:right w:val="none" w:sz="0" w:space="0" w:color="auto"/>
              </w:divBdr>
            </w:div>
            <w:div w:id="1449203424">
              <w:marLeft w:val="0"/>
              <w:marRight w:val="0"/>
              <w:marTop w:val="0"/>
              <w:marBottom w:val="0"/>
              <w:divBdr>
                <w:top w:val="none" w:sz="0" w:space="0" w:color="auto"/>
                <w:left w:val="none" w:sz="0" w:space="0" w:color="auto"/>
                <w:bottom w:val="none" w:sz="0" w:space="0" w:color="auto"/>
                <w:right w:val="none" w:sz="0" w:space="0" w:color="auto"/>
              </w:divBdr>
            </w:div>
            <w:div w:id="1479491789">
              <w:marLeft w:val="0"/>
              <w:marRight w:val="0"/>
              <w:marTop w:val="0"/>
              <w:marBottom w:val="0"/>
              <w:divBdr>
                <w:top w:val="none" w:sz="0" w:space="0" w:color="auto"/>
                <w:left w:val="none" w:sz="0" w:space="0" w:color="auto"/>
                <w:bottom w:val="none" w:sz="0" w:space="0" w:color="auto"/>
                <w:right w:val="none" w:sz="0" w:space="0" w:color="auto"/>
              </w:divBdr>
            </w:div>
            <w:div w:id="1548448015">
              <w:marLeft w:val="0"/>
              <w:marRight w:val="0"/>
              <w:marTop w:val="0"/>
              <w:marBottom w:val="0"/>
              <w:divBdr>
                <w:top w:val="none" w:sz="0" w:space="0" w:color="auto"/>
                <w:left w:val="none" w:sz="0" w:space="0" w:color="auto"/>
                <w:bottom w:val="none" w:sz="0" w:space="0" w:color="auto"/>
                <w:right w:val="none" w:sz="0" w:space="0" w:color="auto"/>
              </w:divBdr>
            </w:div>
            <w:div w:id="1550068908">
              <w:marLeft w:val="0"/>
              <w:marRight w:val="0"/>
              <w:marTop w:val="0"/>
              <w:marBottom w:val="0"/>
              <w:divBdr>
                <w:top w:val="none" w:sz="0" w:space="0" w:color="auto"/>
                <w:left w:val="none" w:sz="0" w:space="0" w:color="auto"/>
                <w:bottom w:val="none" w:sz="0" w:space="0" w:color="auto"/>
                <w:right w:val="none" w:sz="0" w:space="0" w:color="auto"/>
              </w:divBdr>
            </w:div>
            <w:div w:id="1638223110">
              <w:marLeft w:val="0"/>
              <w:marRight w:val="0"/>
              <w:marTop w:val="0"/>
              <w:marBottom w:val="0"/>
              <w:divBdr>
                <w:top w:val="none" w:sz="0" w:space="0" w:color="auto"/>
                <w:left w:val="none" w:sz="0" w:space="0" w:color="auto"/>
                <w:bottom w:val="none" w:sz="0" w:space="0" w:color="auto"/>
                <w:right w:val="none" w:sz="0" w:space="0" w:color="auto"/>
              </w:divBdr>
            </w:div>
            <w:div w:id="1682005632">
              <w:marLeft w:val="0"/>
              <w:marRight w:val="0"/>
              <w:marTop w:val="0"/>
              <w:marBottom w:val="0"/>
              <w:divBdr>
                <w:top w:val="none" w:sz="0" w:space="0" w:color="auto"/>
                <w:left w:val="none" w:sz="0" w:space="0" w:color="auto"/>
                <w:bottom w:val="none" w:sz="0" w:space="0" w:color="auto"/>
                <w:right w:val="none" w:sz="0" w:space="0" w:color="auto"/>
              </w:divBdr>
            </w:div>
            <w:div w:id="1742676716">
              <w:marLeft w:val="0"/>
              <w:marRight w:val="0"/>
              <w:marTop w:val="0"/>
              <w:marBottom w:val="0"/>
              <w:divBdr>
                <w:top w:val="none" w:sz="0" w:space="0" w:color="auto"/>
                <w:left w:val="none" w:sz="0" w:space="0" w:color="auto"/>
                <w:bottom w:val="none" w:sz="0" w:space="0" w:color="auto"/>
                <w:right w:val="none" w:sz="0" w:space="0" w:color="auto"/>
              </w:divBdr>
            </w:div>
            <w:div w:id="1840074071">
              <w:marLeft w:val="0"/>
              <w:marRight w:val="0"/>
              <w:marTop w:val="0"/>
              <w:marBottom w:val="0"/>
              <w:divBdr>
                <w:top w:val="none" w:sz="0" w:space="0" w:color="auto"/>
                <w:left w:val="none" w:sz="0" w:space="0" w:color="auto"/>
                <w:bottom w:val="none" w:sz="0" w:space="0" w:color="auto"/>
                <w:right w:val="none" w:sz="0" w:space="0" w:color="auto"/>
              </w:divBdr>
            </w:div>
            <w:div w:id="1860393472">
              <w:marLeft w:val="0"/>
              <w:marRight w:val="0"/>
              <w:marTop w:val="0"/>
              <w:marBottom w:val="0"/>
              <w:divBdr>
                <w:top w:val="none" w:sz="0" w:space="0" w:color="auto"/>
                <w:left w:val="none" w:sz="0" w:space="0" w:color="auto"/>
                <w:bottom w:val="none" w:sz="0" w:space="0" w:color="auto"/>
                <w:right w:val="none" w:sz="0" w:space="0" w:color="auto"/>
              </w:divBdr>
            </w:div>
            <w:div w:id="2126539283">
              <w:marLeft w:val="0"/>
              <w:marRight w:val="0"/>
              <w:marTop w:val="0"/>
              <w:marBottom w:val="0"/>
              <w:divBdr>
                <w:top w:val="none" w:sz="0" w:space="0" w:color="auto"/>
                <w:left w:val="none" w:sz="0" w:space="0" w:color="auto"/>
                <w:bottom w:val="none" w:sz="0" w:space="0" w:color="auto"/>
                <w:right w:val="none" w:sz="0" w:space="0" w:color="auto"/>
              </w:divBdr>
            </w:div>
          </w:divsChild>
        </w:div>
        <w:div w:id="536354091">
          <w:marLeft w:val="0"/>
          <w:marRight w:val="0"/>
          <w:marTop w:val="0"/>
          <w:marBottom w:val="0"/>
          <w:divBdr>
            <w:top w:val="none" w:sz="0" w:space="0" w:color="auto"/>
            <w:left w:val="none" w:sz="0" w:space="0" w:color="auto"/>
            <w:bottom w:val="none" w:sz="0" w:space="0" w:color="auto"/>
            <w:right w:val="none" w:sz="0" w:space="0" w:color="auto"/>
          </w:divBdr>
        </w:div>
        <w:div w:id="543367103">
          <w:marLeft w:val="0"/>
          <w:marRight w:val="0"/>
          <w:marTop w:val="0"/>
          <w:marBottom w:val="0"/>
          <w:divBdr>
            <w:top w:val="none" w:sz="0" w:space="0" w:color="auto"/>
            <w:left w:val="none" w:sz="0" w:space="0" w:color="auto"/>
            <w:bottom w:val="none" w:sz="0" w:space="0" w:color="auto"/>
            <w:right w:val="none" w:sz="0" w:space="0" w:color="auto"/>
          </w:divBdr>
        </w:div>
        <w:div w:id="545483737">
          <w:marLeft w:val="0"/>
          <w:marRight w:val="0"/>
          <w:marTop w:val="0"/>
          <w:marBottom w:val="0"/>
          <w:divBdr>
            <w:top w:val="none" w:sz="0" w:space="0" w:color="auto"/>
            <w:left w:val="none" w:sz="0" w:space="0" w:color="auto"/>
            <w:bottom w:val="none" w:sz="0" w:space="0" w:color="auto"/>
            <w:right w:val="none" w:sz="0" w:space="0" w:color="auto"/>
          </w:divBdr>
        </w:div>
        <w:div w:id="551383569">
          <w:marLeft w:val="0"/>
          <w:marRight w:val="0"/>
          <w:marTop w:val="0"/>
          <w:marBottom w:val="0"/>
          <w:divBdr>
            <w:top w:val="none" w:sz="0" w:space="0" w:color="auto"/>
            <w:left w:val="none" w:sz="0" w:space="0" w:color="auto"/>
            <w:bottom w:val="none" w:sz="0" w:space="0" w:color="auto"/>
            <w:right w:val="none" w:sz="0" w:space="0" w:color="auto"/>
          </w:divBdr>
        </w:div>
        <w:div w:id="551844981">
          <w:marLeft w:val="0"/>
          <w:marRight w:val="0"/>
          <w:marTop w:val="0"/>
          <w:marBottom w:val="0"/>
          <w:divBdr>
            <w:top w:val="none" w:sz="0" w:space="0" w:color="auto"/>
            <w:left w:val="none" w:sz="0" w:space="0" w:color="auto"/>
            <w:bottom w:val="none" w:sz="0" w:space="0" w:color="auto"/>
            <w:right w:val="none" w:sz="0" w:space="0" w:color="auto"/>
          </w:divBdr>
          <w:divsChild>
            <w:div w:id="134571288">
              <w:marLeft w:val="0"/>
              <w:marRight w:val="0"/>
              <w:marTop w:val="0"/>
              <w:marBottom w:val="0"/>
              <w:divBdr>
                <w:top w:val="none" w:sz="0" w:space="0" w:color="auto"/>
                <w:left w:val="none" w:sz="0" w:space="0" w:color="auto"/>
                <w:bottom w:val="none" w:sz="0" w:space="0" w:color="auto"/>
                <w:right w:val="none" w:sz="0" w:space="0" w:color="auto"/>
              </w:divBdr>
            </w:div>
            <w:div w:id="281156737">
              <w:marLeft w:val="0"/>
              <w:marRight w:val="0"/>
              <w:marTop w:val="0"/>
              <w:marBottom w:val="0"/>
              <w:divBdr>
                <w:top w:val="none" w:sz="0" w:space="0" w:color="auto"/>
                <w:left w:val="none" w:sz="0" w:space="0" w:color="auto"/>
                <w:bottom w:val="none" w:sz="0" w:space="0" w:color="auto"/>
                <w:right w:val="none" w:sz="0" w:space="0" w:color="auto"/>
              </w:divBdr>
            </w:div>
            <w:div w:id="290016782">
              <w:marLeft w:val="0"/>
              <w:marRight w:val="0"/>
              <w:marTop w:val="0"/>
              <w:marBottom w:val="0"/>
              <w:divBdr>
                <w:top w:val="none" w:sz="0" w:space="0" w:color="auto"/>
                <w:left w:val="none" w:sz="0" w:space="0" w:color="auto"/>
                <w:bottom w:val="none" w:sz="0" w:space="0" w:color="auto"/>
                <w:right w:val="none" w:sz="0" w:space="0" w:color="auto"/>
              </w:divBdr>
            </w:div>
            <w:div w:id="319625964">
              <w:marLeft w:val="0"/>
              <w:marRight w:val="0"/>
              <w:marTop w:val="0"/>
              <w:marBottom w:val="0"/>
              <w:divBdr>
                <w:top w:val="none" w:sz="0" w:space="0" w:color="auto"/>
                <w:left w:val="none" w:sz="0" w:space="0" w:color="auto"/>
                <w:bottom w:val="none" w:sz="0" w:space="0" w:color="auto"/>
                <w:right w:val="none" w:sz="0" w:space="0" w:color="auto"/>
              </w:divBdr>
            </w:div>
            <w:div w:id="339965794">
              <w:marLeft w:val="0"/>
              <w:marRight w:val="0"/>
              <w:marTop w:val="0"/>
              <w:marBottom w:val="0"/>
              <w:divBdr>
                <w:top w:val="none" w:sz="0" w:space="0" w:color="auto"/>
                <w:left w:val="none" w:sz="0" w:space="0" w:color="auto"/>
                <w:bottom w:val="none" w:sz="0" w:space="0" w:color="auto"/>
                <w:right w:val="none" w:sz="0" w:space="0" w:color="auto"/>
              </w:divBdr>
            </w:div>
            <w:div w:id="451939408">
              <w:marLeft w:val="0"/>
              <w:marRight w:val="0"/>
              <w:marTop w:val="0"/>
              <w:marBottom w:val="0"/>
              <w:divBdr>
                <w:top w:val="none" w:sz="0" w:space="0" w:color="auto"/>
                <w:left w:val="none" w:sz="0" w:space="0" w:color="auto"/>
                <w:bottom w:val="none" w:sz="0" w:space="0" w:color="auto"/>
                <w:right w:val="none" w:sz="0" w:space="0" w:color="auto"/>
              </w:divBdr>
            </w:div>
            <w:div w:id="545021285">
              <w:marLeft w:val="0"/>
              <w:marRight w:val="0"/>
              <w:marTop w:val="0"/>
              <w:marBottom w:val="0"/>
              <w:divBdr>
                <w:top w:val="none" w:sz="0" w:space="0" w:color="auto"/>
                <w:left w:val="none" w:sz="0" w:space="0" w:color="auto"/>
                <w:bottom w:val="none" w:sz="0" w:space="0" w:color="auto"/>
                <w:right w:val="none" w:sz="0" w:space="0" w:color="auto"/>
              </w:divBdr>
            </w:div>
            <w:div w:id="547958844">
              <w:marLeft w:val="0"/>
              <w:marRight w:val="0"/>
              <w:marTop w:val="0"/>
              <w:marBottom w:val="0"/>
              <w:divBdr>
                <w:top w:val="none" w:sz="0" w:space="0" w:color="auto"/>
                <w:left w:val="none" w:sz="0" w:space="0" w:color="auto"/>
                <w:bottom w:val="none" w:sz="0" w:space="0" w:color="auto"/>
                <w:right w:val="none" w:sz="0" w:space="0" w:color="auto"/>
              </w:divBdr>
            </w:div>
            <w:div w:id="657921479">
              <w:marLeft w:val="0"/>
              <w:marRight w:val="0"/>
              <w:marTop w:val="0"/>
              <w:marBottom w:val="0"/>
              <w:divBdr>
                <w:top w:val="none" w:sz="0" w:space="0" w:color="auto"/>
                <w:left w:val="none" w:sz="0" w:space="0" w:color="auto"/>
                <w:bottom w:val="none" w:sz="0" w:space="0" w:color="auto"/>
                <w:right w:val="none" w:sz="0" w:space="0" w:color="auto"/>
              </w:divBdr>
            </w:div>
            <w:div w:id="747965559">
              <w:marLeft w:val="0"/>
              <w:marRight w:val="0"/>
              <w:marTop w:val="0"/>
              <w:marBottom w:val="0"/>
              <w:divBdr>
                <w:top w:val="none" w:sz="0" w:space="0" w:color="auto"/>
                <w:left w:val="none" w:sz="0" w:space="0" w:color="auto"/>
                <w:bottom w:val="none" w:sz="0" w:space="0" w:color="auto"/>
                <w:right w:val="none" w:sz="0" w:space="0" w:color="auto"/>
              </w:divBdr>
            </w:div>
            <w:div w:id="870992678">
              <w:marLeft w:val="0"/>
              <w:marRight w:val="0"/>
              <w:marTop w:val="0"/>
              <w:marBottom w:val="0"/>
              <w:divBdr>
                <w:top w:val="none" w:sz="0" w:space="0" w:color="auto"/>
                <w:left w:val="none" w:sz="0" w:space="0" w:color="auto"/>
                <w:bottom w:val="none" w:sz="0" w:space="0" w:color="auto"/>
                <w:right w:val="none" w:sz="0" w:space="0" w:color="auto"/>
              </w:divBdr>
            </w:div>
            <w:div w:id="1368724826">
              <w:marLeft w:val="0"/>
              <w:marRight w:val="0"/>
              <w:marTop w:val="0"/>
              <w:marBottom w:val="0"/>
              <w:divBdr>
                <w:top w:val="none" w:sz="0" w:space="0" w:color="auto"/>
                <w:left w:val="none" w:sz="0" w:space="0" w:color="auto"/>
                <w:bottom w:val="none" w:sz="0" w:space="0" w:color="auto"/>
                <w:right w:val="none" w:sz="0" w:space="0" w:color="auto"/>
              </w:divBdr>
            </w:div>
            <w:div w:id="1756200521">
              <w:marLeft w:val="0"/>
              <w:marRight w:val="0"/>
              <w:marTop w:val="0"/>
              <w:marBottom w:val="0"/>
              <w:divBdr>
                <w:top w:val="none" w:sz="0" w:space="0" w:color="auto"/>
                <w:left w:val="none" w:sz="0" w:space="0" w:color="auto"/>
                <w:bottom w:val="none" w:sz="0" w:space="0" w:color="auto"/>
                <w:right w:val="none" w:sz="0" w:space="0" w:color="auto"/>
              </w:divBdr>
            </w:div>
            <w:div w:id="1760056686">
              <w:marLeft w:val="0"/>
              <w:marRight w:val="0"/>
              <w:marTop w:val="0"/>
              <w:marBottom w:val="0"/>
              <w:divBdr>
                <w:top w:val="none" w:sz="0" w:space="0" w:color="auto"/>
                <w:left w:val="none" w:sz="0" w:space="0" w:color="auto"/>
                <w:bottom w:val="none" w:sz="0" w:space="0" w:color="auto"/>
                <w:right w:val="none" w:sz="0" w:space="0" w:color="auto"/>
              </w:divBdr>
            </w:div>
            <w:div w:id="1825315238">
              <w:marLeft w:val="0"/>
              <w:marRight w:val="0"/>
              <w:marTop w:val="0"/>
              <w:marBottom w:val="0"/>
              <w:divBdr>
                <w:top w:val="none" w:sz="0" w:space="0" w:color="auto"/>
                <w:left w:val="none" w:sz="0" w:space="0" w:color="auto"/>
                <w:bottom w:val="none" w:sz="0" w:space="0" w:color="auto"/>
                <w:right w:val="none" w:sz="0" w:space="0" w:color="auto"/>
              </w:divBdr>
            </w:div>
            <w:div w:id="1857115850">
              <w:marLeft w:val="0"/>
              <w:marRight w:val="0"/>
              <w:marTop w:val="0"/>
              <w:marBottom w:val="0"/>
              <w:divBdr>
                <w:top w:val="none" w:sz="0" w:space="0" w:color="auto"/>
                <w:left w:val="none" w:sz="0" w:space="0" w:color="auto"/>
                <w:bottom w:val="none" w:sz="0" w:space="0" w:color="auto"/>
                <w:right w:val="none" w:sz="0" w:space="0" w:color="auto"/>
              </w:divBdr>
            </w:div>
            <w:div w:id="1897817321">
              <w:marLeft w:val="0"/>
              <w:marRight w:val="0"/>
              <w:marTop w:val="0"/>
              <w:marBottom w:val="0"/>
              <w:divBdr>
                <w:top w:val="none" w:sz="0" w:space="0" w:color="auto"/>
                <w:left w:val="none" w:sz="0" w:space="0" w:color="auto"/>
                <w:bottom w:val="none" w:sz="0" w:space="0" w:color="auto"/>
                <w:right w:val="none" w:sz="0" w:space="0" w:color="auto"/>
              </w:divBdr>
            </w:div>
            <w:div w:id="1916359263">
              <w:marLeft w:val="0"/>
              <w:marRight w:val="0"/>
              <w:marTop w:val="0"/>
              <w:marBottom w:val="0"/>
              <w:divBdr>
                <w:top w:val="none" w:sz="0" w:space="0" w:color="auto"/>
                <w:left w:val="none" w:sz="0" w:space="0" w:color="auto"/>
                <w:bottom w:val="none" w:sz="0" w:space="0" w:color="auto"/>
                <w:right w:val="none" w:sz="0" w:space="0" w:color="auto"/>
              </w:divBdr>
            </w:div>
            <w:div w:id="1962490173">
              <w:marLeft w:val="0"/>
              <w:marRight w:val="0"/>
              <w:marTop w:val="0"/>
              <w:marBottom w:val="0"/>
              <w:divBdr>
                <w:top w:val="none" w:sz="0" w:space="0" w:color="auto"/>
                <w:left w:val="none" w:sz="0" w:space="0" w:color="auto"/>
                <w:bottom w:val="none" w:sz="0" w:space="0" w:color="auto"/>
                <w:right w:val="none" w:sz="0" w:space="0" w:color="auto"/>
              </w:divBdr>
            </w:div>
            <w:div w:id="2016688438">
              <w:marLeft w:val="0"/>
              <w:marRight w:val="0"/>
              <w:marTop w:val="0"/>
              <w:marBottom w:val="0"/>
              <w:divBdr>
                <w:top w:val="none" w:sz="0" w:space="0" w:color="auto"/>
                <w:left w:val="none" w:sz="0" w:space="0" w:color="auto"/>
                <w:bottom w:val="none" w:sz="0" w:space="0" w:color="auto"/>
                <w:right w:val="none" w:sz="0" w:space="0" w:color="auto"/>
              </w:divBdr>
            </w:div>
          </w:divsChild>
        </w:div>
        <w:div w:id="588201374">
          <w:marLeft w:val="0"/>
          <w:marRight w:val="0"/>
          <w:marTop w:val="0"/>
          <w:marBottom w:val="0"/>
          <w:divBdr>
            <w:top w:val="none" w:sz="0" w:space="0" w:color="auto"/>
            <w:left w:val="none" w:sz="0" w:space="0" w:color="auto"/>
            <w:bottom w:val="none" w:sz="0" w:space="0" w:color="auto"/>
            <w:right w:val="none" w:sz="0" w:space="0" w:color="auto"/>
          </w:divBdr>
        </w:div>
        <w:div w:id="591209933">
          <w:marLeft w:val="0"/>
          <w:marRight w:val="0"/>
          <w:marTop w:val="0"/>
          <w:marBottom w:val="0"/>
          <w:divBdr>
            <w:top w:val="none" w:sz="0" w:space="0" w:color="auto"/>
            <w:left w:val="none" w:sz="0" w:space="0" w:color="auto"/>
            <w:bottom w:val="none" w:sz="0" w:space="0" w:color="auto"/>
            <w:right w:val="none" w:sz="0" w:space="0" w:color="auto"/>
          </w:divBdr>
        </w:div>
        <w:div w:id="591355568">
          <w:marLeft w:val="0"/>
          <w:marRight w:val="0"/>
          <w:marTop w:val="0"/>
          <w:marBottom w:val="0"/>
          <w:divBdr>
            <w:top w:val="none" w:sz="0" w:space="0" w:color="auto"/>
            <w:left w:val="none" w:sz="0" w:space="0" w:color="auto"/>
            <w:bottom w:val="none" w:sz="0" w:space="0" w:color="auto"/>
            <w:right w:val="none" w:sz="0" w:space="0" w:color="auto"/>
          </w:divBdr>
        </w:div>
        <w:div w:id="594165990">
          <w:marLeft w:val="0"/>
          <w:marRight w:val="0"/>
          <w:marTop w:val="0"/>
          <w:marBottom w:val="0"/>
          <w:divBdr>
            <w:top w:val="none" w:sz="0" w:space="0" w:color="auto"/>
            <w:left w:val="none" w:sz="0" w:space="0" w:color="auto"/>
            <w:bottom w:val="none" w:sz="0" w:space="0" w:color="auto"/>
            <w:right w:val="none" w:sz="0" w:space="0" w:color="auto"/>
          </w:divBdr>
        </w:div>
        <w:div w:id="605507087">
          <w:marLeft w:val="0"/>
          <w:marRight w:val="0"/>
          <w:marTop w:val="0"/>
          <w:marBottom w:val="0"/>
          <w:divBdr>
            <w:top w:val="none" w:sz="0" w:space="0" w:color="auto"/>
            <w:left w:val="none" w:sz="0" w:space="0" w:color="auto"/>
            <w:bottom w:val="none" w:sz="0" w:space="0" w:color="auto"/>
            <w:right w:val="none" w:sz="0" w:space="0" w:color="auto"/>
          </w:divBdr>
        </w:div>
        <w:div w:id="610892947">
          <w:marLeft w:val="0"/>
          <w:marRight w:val="0"/>
          <w:marTop w:val="0"/>
          <w:marBottom w:val="0"/>
          <w:divBdr>
            <w:top w:val="none" w:sz="0" w:space="0" w:color="auto"/>
            <w:left w:val="none" w:sz="0" w:space="0" w:color="auto"/>
            <w:bottom w:val="none" w:sz="0" w:space="0" w:color="auto"/>
            <w:right w:val="none" w:sz="0" w:space="0" w:color="auto"/>
          </w:divBdr>
        </w:div>
        <w:div w:id="619799911">
          <w:marLeft w:val="0"/>
          <w:marRight w:val="0"/>
          <w:marTop w:val="0"/>
          <w:marBottom w:val="0"/>
          <w:divBdr>
            <w:top w:val="none" w:sz="0" w:space="0" w:color="auto"/>
            <w:left w:val="none" w:sz="0" w:space="0" w:color="auto"/>
            <w:bottom w:val="none" w:sz="0" w:space="0" w:color="auto"/>
            <w:right w:val="none" w:sz="0" w:space="0" w:color="auto"/>
          </w:divBdr>
        </w:div>
        <w:div w:id="662318699">
          <w:marLeft w:val="0"/>
          <w:marRight w:val="0"/>
          <w:marTop w:val="0"/>
          <w:marBottom w:val="0"/>
          <w:divBdr>
            <w:top w:val="none" w:sz="0" w:space="0" w:color="auto"/>
            <w:left w:val="none" w:sz="0" w:space="0" w:color="auto"/>
            <w:bottom w:val="none" w:sz="0" w:space="0" w:color="auto"/>
            <w:right w:val="none" w:sz="0" w:space="0" w:color="auto"/>
          </w:divBdr>
        </w:div>
        <w:div w:id="679084083">
          <w:marLeft w:val="0"/>
          <w:marRight w:val="0"/>
          <w:marTop w:val="0"/>
          <w:marBottom w:val="0"/>
          <w:divBdr>
            <w:top w:val="none" w:sz="0" w:space="0" w:color="auto"/>
            <w:left w:val="none" w:sz="0" w:space="0" w:color="auto"/>
            <w:bottom w:val="none" w:sz="0" w:space="0" w:color="auto"/>
            <w:right w:val="none" w:sz="0" w:space="0" w:color="auto"/>
          </w:divBdr>
        </w:div>
        <w:div w:id="702023595">
          <w:marLeft w:val="0"/>
          <w:marRight w:val="0"/>
          <w:marTop w:val="0"/>
          <w:marBottom w:val="0"/>
          <w:divBdr>
            <w:top w:val="none" w:sz="0" w:space="0" w:color="auto"/>
            <w:left w:val="none" w:sz="0" w:space="0" w:color="auto"/>
            <w:bottom w:val="none" w:sz="0" w:space="0" w:color="auto"/>
            <w:right w:val="none" w:sz="0" w:space="0" w:color="auto"/>
          </w:divBdr>
        </w:div>
        <w:div w:id="706294221">
          <w:marLeft w:val="0"/>
          <w:marRight w:val="0"/>
          <w:marTop w:val="0"/>
          <w:marBottom w:val="0"/>
          <w:divBdr>
            <w:top w:val="none" w:sz="0" w:space="0" w:color="auto"/>
            <w:left w:val="none" w:sz="0" w:space="0" w:color="auto"/>
            <w:bottom w:val="none" w:sz="0" w:space="0" w:color="auto"/>
            <w:right w:val="none" w:sz="0" w:space="0" w:color="auto"/>
          </w:divBdr>
        </w:div>
        <w:div w:id="724839246">
          <w:marLeft w:val="0"/>
          <w:marRight w:val="0"/>
          <w:marTop w:val="0"/>
          <w:marBottom w:val="0"/>
          <w:divBdr>
            <w:top w:val="none" w:sz="0" w:space="0" w:color="auto"/>
            <w:left w:val="none" w:sz="0" w:space="0" w:color="auto"/>
            <w:bottom w:val="none" w:sz="0" w:space="0" w:color="auto"/>
            <w:right w:val="none" w:sz="0" w:space="0" w:color="auto"/>
          </w:divBdr>
        </w:div>
        <w:div w:id="745617580">
          <w:marLeft w:val="0"/>
          <w:marRight w:val="0"/>
          <w:marTop w:val="0"/>
          <w:marBottom w:val="0"/>
          <w:divBdr>
            <w:top w:val="none" w:sz="0" w:space="0" w:color="auto"/>
            <w:left w:val="none" w:sz="0" w:space="0" w:color="auto"/>
            <w:bottom w:val="none" w:sz="0" w:space="0" w:color="auto"/>
            <w:right w:val="none" w:sz="0" w:space="0" w:color="auto"/>
          </w:divBdr>
        </w:div>
        <w:div w:id="803350436">
          <w:marLeft w:val="0"/>
          <w:marRight w:val="0"/>
          <w:marTop w:val="0"/>
          <w:marBottom w:val="0"/>
          <w:divBdr>
            <w:top w:val="none" w:sz="0" w:space="0" w:color="auto"/>
            <w:left w:val="none" w:sz="0" w:space="0" w:color="auto"/>
            <w:bottom w:val="none" w:sz="0" w:space="0" w:color="auto"/>
            <w:right w:val="none" w:sz="0" w:space="0" w:color="auto"/>
          </w:divBdr>
        </w:div>
        <w:div w:id="839924951">
          <w:marLeft w:val="0"/>
          <w:marRight w:val="0"/>
          <w:marTop w:val="0"/>
          <w:marBottom w:val="0"/>
          <w:divBdr>
            <w:top w:val="none" w:sz="0" w:space="0" w:color="auto"/>
            <w:left w:val="none" w:sz="0" w:space="0" w:color="auto"/>
            <w:bottom w:val="none" w:sz="0" w:space="0" w:color="auto"/>
            <w:right w:val="none" w:sz="0" w:space="0" w:color="auto"/>
          </w:divBdr>
        </w:div>
        <w:div w:id="881790532">
          <w:marLeft w:val="0"/>
          <w:marRight w:val="0"/>
          <w:marTop w:val="0"/>
          <w:marBottom w:val="0"/>
          <w:divBdr>
            <w:top w:val="none" w:sz="0" w:space="0" w:color="auto"/>
            <w:left w:val="none" w:sz="0" w:space="0" w:color="auto"/>
            <w:bottom w:val="none" w:sz="0" w:space="0" w:color="auto"/>
            <w:right w:val="none" w:sz="0" w:space="0" w:color="auto"/>
          </w:divBdr>
          <w:divsChild>
            <w:div w:id="128401940">
              <w:marLeft w:val="0"/>
              <w:marRight w:val="0"/>
              <w:marTop w:val="0"/>
              <w:marBottom w:val="0"/>
              <w:divBdr>
                <w:top w:val="none" w:sz="0" w:space="0" w:color="auto"/>
                <w:left w:val="none" w:sz="0" w:space="0" w:color="auto"/>
                <w:bottom w:val="none" w:sz="0" w:space="0" w:color="auto"/>
                <w:right w:val="none" w:sz="0" w:space="0" w:color="auto"/>
              </w:divBdr>
            </w:div>
            <w:div w:id="174152577">
              <w:marLeft w:val="0"/>
              <w:marRight w:val="0"/>
              <w:marTop w:val="0"/>
              <w:marBottom w:val="0"/>
              <w:divBdr>
                <w:top w:val="none" w:sz="0" w:space="0" w:color="auto"/>
                <w:left w:val="none" w:sz="0" w:space="0" w:color="auto"/>
                <w:bottom w:val="none" w:sz="0" w:space="0" w:color="auto"/>
                <w:right w:val="none" w:sz="0" w:space="0" w:color="auto"/>
              </w:divBdr>
            </w:div>
            <w:div w:id="282081771">
              <w:marLeft w:val="0"/>
              <w:marRight w:val="0"/>
              <w:marTop w:val="0"/>
              <w:marBottom w:val="0"/>
              <w:divBdr>
                <w:top w:val="none" w:sz="0" w:space="0" w:color="auto"/>
                <w:left w:val="none" w:sz="0" w:space="0" w:color="auto"/>
                <w:bottom w:val="none" w:sz="0" w:space="0" w:color="auto"/>
                <w:right w:val="none" w:sz="0" w:space="0" w:color="auto"/>
              </w:divBdr>
            </w:div>
            <w:div w:id="287661372">
              <w:marLeft w:val="0"/>
              <w:marRight w:val="0"/>
              <w:marTop w:val="0"/>
              <w:marBottom w:val="0"/>
              <w:divBdr>
                <w:top w:val="none" w:sz="0" w:space="0" w:color="auto"/>
                <w:left w:val="none" w:sz="0" w:space="0" w:color="auto"/>
                <w:bottom w:val="none" w:sz="0" w:space="0" w:color="auto"/>
                <w:right w:val="none" w:sz="0" w:space="0" w:color="auto"/>
              </w:divBdr>
            </w:div>
            <w:div w:id="304311334">
              <w:marLeft w:val="0"/>
              <w:marRight w:val="0"/>
              <w:marTop w:val="0"/>
              <w:marBottom w:val="0"/>
              <w:divBdr>
                <w:top w:val="none" w:sz="0" w:space="0" w:color="auto"/>
                <w:left w:val="none" w:sz="0" w:space="0" w:color="auto"/>
                <w:bottom w:val="none" w:sz="0" w:space="0" w:color="auto"/>
                <w:right w:val="none" w:sz="0" w:space="0" w:color="auto"/>
              </w:divBdr>
            </w:div>
            <w:div w:id="336924875">
              <w:marLeft w:val="0"/>
              <w:marRight w:val="0"/>
              <w:marTop w:val="0"/>
              <w:marBottom w:val="0"/>
              <w:divBdr>
                <w:top w:val="none" w:sz="0" w:space="0" w:color="auto"/>
                <w:left w:val="none" w:sz="0" w:space="0" w:color="auto"/>
                <w:bottom w:val="none" w:sz="0" w:space="0" w:color="auto"/>
                <w:right w:val="none" w:sz="0" w:space="0" w:color="auto"/>
              </w:divBdr>
            </w:div>
            <w:div w:id="402947551">
              <w:marLeft w:val="0"/>
              <w:marRight w:val="0"/>
              <w:marTop w:val="0"/>
              <w:marBottom w:val="0"/>
              <w:divBdr>
                <w:top w:val="none" w:sz="0" w:space="0" w:color="auto"/>
                <w:left w:val="none" w:sz="0" w:space="0" w:color="auto"/>
                <w:bottom w:val="none" w:sz="0" w:space="0" w:color="auto"/>
                <w:right w:val="none" w:sz="0" w:space="0" w:color="auto"/>
              </w:divBdr>
            </w:div>
            <w:div w:id="666830895">
              <w:marLeft w:val="0"/>
              <w:marRight w:val="0"/>
              <w:marTop w:val="0"/>
              <w:marBottom w:val="0"/>
              <w:divBdr>
                <w:top w:val="none" w:sz="0" w:space="0" w:color="auto"/>
                <w:left w:val="none" w:sz="0" w:space="0" w:color="auto"/>
                <w:bottom w:val="none" w:sz="0" w:space="0" w:color="auto"/>
                <w:right w:val="none" w:sz="0" w:space="0" w:color="auto"/>
              </w:divBdr>
            </w:div>
            <w:div w:id="763961561">
              <w:marLeft w:val="0"/>
              <w:marRight w:val="0"/>
              <w:marTop w:val="0"/>
              <w:marBottom w:val="0"/>
              <w:divBdr>
                <w:top w:val="none" w:sz="0" w:space="0" w:color="auto"/>
                <w:left w:val="none" w:sz="0" w:space="0" w:color="auto"/>
                <w:bottom w:val="none" w:sz="0" w:space="0" w:color="auto"/>
                <w:right w:val="none" w:sz="0" w:space="0" w:color="auto"/>
              </w:divBdr>
            </w:div>
            <w:div w:id="923297715">
              <w:marLeft w:val="0"/>
              <w:marRight w:val="0"/>
              <w:marTop w:val="0"/>
              <w:marBottom w:val="0"/>
              <w:divBdr>
                <w:top w:val="none" w:sz="0" w:space="0" w:color="auto"/>
                <w:left w:val="none" w:sz="0" w:space="0" w:color="auto"/>
                <w:bottom w:val="none" w:sz="0" w:space="0" w:color="auto"/>
                <w:right w:val="none" w:sz="0" w:space="0" w:color="auto"/>
              </w:divBdr>
            </w:div>
            <w:div w:id="1013729328">
              <w:marLeft w:val="0"/>
              <w:marRight w:val="0"/>
              <w:marTop w:val="0"/>
              <w:marBottom w:val="0"/>
              <w:divBdr>
                <w:top w:val="none" w:sz="0" w:space="0" w:color="auto"/>
                <w:left w:val="none" w:sz="0" w:space="0" w:color="auto"/>
                <w:bottom w:val="none" w:sz="0" w:space="0" w:color="auto"/>
                <w:right w:val="none" w:sz="0" w:space="0" w:color="auto"/>
              </w:divBdr>
            </w:div>
            <w:div w:id="1069227294">
              <w:marLeft w:val="0"/>
              <w:marRight w:val="0"/>
              <w:marTop w:val="0"/>
              <w:marBottom w:val="0"/>
              <w:divBdr>
                <w:top w:val="none" w:sz="0" w:space="0" w:color="auto"/>
                <w:left w:val="none" w:sz="0" w:space="0" w:color="auto"/>
                <w:bottom w:val="none" w:sz="0" w:space="0" w:color="auto"/>
                <w:right w:val="none" w:sz="0" w:space="0" w:color="auto"/>
              </w:divBdr>
            </w:div>
            <w:div w:id="1470901779">
              <w:marLeft w:val="0"/>
              <w:marRight w:val="0"/>
              <w:marTop w:val="0"/>
              <w:marBottom w:val="0"/>
              <w:divBdr>
                <w:top w:val="none" w:sz="0" w:space="0" w:color="auto"/>
                <w:left w:val="none" w:sz="0" w:space="0" w:color="auto"/>
                <w:bottom w:val="none" w:sz="0" w:space="0" w:color="auto"/>
                <w:right w:val="none" w:sz="0" w:space="0" w:color="auto"/>
              </w:divBdr>
            </w:div>
            <w:div w:id="1532452284">
              <w:marLeft w:val="0"/>
              <w:marRight w:val="0"/>
              <w:marTop w:val="0"/>
              <w:marBottom w:val="0"/>
              <w:divBdr>
                <w:top w:val="none" w:sz="0" w:space="0" w:color="auto"/>
                <w:left w:val="none" w:sz="0" w:space="0" w:color="auto"/>
                <w:bottom w:val="none" w:sz="0" w:space="0" w:color="auto"/>
                <w:right w:val="none" w:sz="0" w:space="0" w:color="auto"/>
              </w:divBdr>
            </w:div>
            <w:div w:id="1790512961">
              <w:marLeft w:val="0"/>
              <w:marRight w:val="0"/>
              <w:marTop w:val="0"/>
              <w:marBottom w:val="0"/>
              <w:divBdr>
                <w:top w:val="none" w:sz="0" w:space="0" w:color="auto"/>
                <w:left w:val="none" w:sz="0" w:space="0" w:color="auto"/>
                <w:bottom w:val="none" w:sz="0" w:space="0" w:color="auto"/>
                <w:right w:val="none" w:sz="0" w:space="0" w:color="auto"/>
              </w:divBdr>
            </w:div>
            <w:div w:id="1794784488">
              <w:marLeft w:val="0"/>
              <w:marRight w:val="0"/>
              <w:marTop w:val="0"/>
              <w:marBottom w:val="0"/>
              <w:divBdr>
                <w:top w:val="none" w:sz="0" w:space="0" w:color="auto"/>
                <w:left w:val="none" w:sz="0" w:space="0" w:color="auto"/>
                <w:bottom w:val="none" w:sz="0" w:space="0" w:color="auto"/>
                <w:right w:val="none" w:sz="0" w:space="0" w:color="auto"/>
              </w:divBdr>
            </w:div>
            <w:div w:id="1842618931">
              <w:marLeft w:val="0"/>
              <w:marRight w:val="0"/>
              <w:marTop w:val="0"/>
              <w:marBottom w:val="0"/>
              <w:divBdr>
                <w:top w:val="none" w:sz="0" w:space="0" w:color="auto"/>
                <w:left w:val="none" w:sz="0" w:space="0" w:color="auto"/>
                <w:bottom w:val="none" w:sz="0" w:space="0" w:color="auto"/>
                <w:right w:val="none" w:sz="0" w:space="0" w:color="auto"/>
              </w:divBdr>
            </w:div>
            <w:div w:id="2011055004">
              <w:marLeft w:val="0"/>
              <w:marRight w:val="0"/>
              <w:marTop w:val="0"/>
              <w:marBottom w:val="0"/>
              <w:divBdr>
                <w:top w:val="none" w:sz="0" w:space="0" w:color="auto"/>
                <w:left w:val="none" w:sz="0" w:space="0" w:color="auto"/>
                <w:bottom w:val="none" w:sz="0" w:space="0" w:color="auto"/>
                <w:right w:val="none" w:sz="0" w:space="0" w:color="auto"/>
              </w:divBdr>
            </w:div>
            <w:div w:id="2137487529">
              <w:marLeft w:val="0"/>
              <w:marRight w:val="0"/>
              <w:marTop w:val="0"/>
              <w:marBottom w:val="0"/>
              <w:divBdr>
                <w:top w:val="none" w:sz="0" w:space="0" w:color="auto"/>
                <w:left w:val="none" w:sz="0" w:space="0" w:color="auto"/>
                <w:bottom w:val="none" w:sz="0" w:space="0" w:color="auto"/>
                <w:right w:val="none" w:sz="0" w:space="0" w:color="auto"/>
              </w:divBdr>
            </w:div>
          </w:divsChild>
        </w:div>
        <w:div w:id="892156489">
          <w:marLeft w:val="0"/>
          <w:marRight w:val="0"/>
          <w:marTop w:val="0"/>
          <w:marBottom w:val="0"/>
          <w:divBdr>
            <w:top w:val="none" w:sz="0" w:space="0" w:color="auto"/>
            <w:left w:val="none" w:sz="0" w:space="0" w:color="auto"/>
            <w:bottom w:val="none" w:sz="0" w:space="0" w:color="auto"/>
            <w:right w:val="none" w:sz="0" w:space="0" w:color="auto"/>
          </w:divBdr>
        </w:div>
        <w:div w:id="903948437">
          <w:marLeft w:val="0"/>
          <w:marRight w:val="0"/>
          <w:marTop w:val="0"/>
          <w:marBottom w:val="0"/>
          <w:divBdr>
            <w:top w:val="none" w:sz="0" w:space="0" w:color="auto"/>
            <w:left w:val="none" w:sz="0" w:space="0" w:color="auto"/>
            <w:bottom w:val="none" w:sz="0" w:space="0" w:color="auto"/>
            <w:right w:val="none" w:sz="0" w:space="0" w:color="auto"/>
          </w:divBdr>
        </w:div>
        <w:div w:id="925655153">
          <w:marLeft w:val="0"/>
          <w:marRight w:val="0"/>
          <w:marTop w:val="0"/>
          <w:marBottom w:val="0"/>
          <w:divBdr>
            <w:top w:val="none" w:sz="0" w:space="0" w:color="auto"/>
            <w:left w:val="none" w:sz="0" w:space="0" w:color="auto"/>
            <w:bottom w:val="none" w:sz="0" w:space="0" w:color="auto"/>
            <w:right w:val="none" w:sz="0" w:space="0" w:color="auto"/>
          </w:divBdr>
        </w:div>
        <w:div w:id="928078665">
          <w:marLeft w:val="0"/>
          <w:marRight w:val="0"/>
          <w:marTop w:val="0"/>
          <w:marBottom w:val="0"/>
          <w:divBdr>
            <w:top w:val="none" w:sz="0" w:space="0" w:color="auto"/>
            <w:left w:val="none" w:sz="0" w:space="0" w:color="auto"/>
            <w:bottom w:val="none" w:sz="0" w:space="0" w:color="auto"/>
            <w:right w:val="none" w:sz="0" w:space="0" w:color="auto"/>
          </w:divBdr>
        </w:div>
        <w:div w:id="928126405">
          <w:marLeft w:val="0"/>
          <w:marRight w:val="0"/>
          <w:marTop w:val="0"/>
          <w:marBottom w:val="0"/>
          <w:divBdr>
            <w:top w:val="none" w:sz="0" w:space="0" w:color="auto"/>
            <w:left w:val="none" w:sz="0" w:space="0" w:color="auto"/>
            <w:bottom w:val="none" w:sz="0" w:space="0" w:color="auto"/>
            <w:right w:val="none" w:sz="0" w:space="0" w:color="auto"/>
          </w:divBdr>
        </w:div>
        <w:div w:id="936329197">
          <w:marLeft w:val="0"/>
          <w:marRight w:val="0"/>
          <w:marTop w:val="0"/>
          <w:marBottom w:val="0"/>
          <w:divBdr>
            <w:top w:val="none" w:sz="0" w:space="0" w:color="auto"/>
            <w:left w:val="none" w:sz="0" w:space="0" w:color="auto"/>
            <w:bottom w:val="none" w:sz="0" w:space="0" w:color="auto"/>
            <w:right w:val="none" w:sz="0" w:space="0" w:color="auto"/>
          </w:divBdr>
        </w:div>
        <w:div w:id="940838189">
          <w:marLeft w:val="0"/>
          <w:marRight w:val="0"/>
          <w:marTop w:val="0"/>
          <w:marBottom w:val="0"/>
          <w:divBdr>
            <w:top w:val="none" w:sz="0" w:space="0" w:color="auto"/>
            <w:left w:val="none" w:sz="0" w:space="0" w:color="auto"/>
            <w:bottom w:val="none" w:sz="0" w:space="0" w:color="auto"/>
            <w:right w:val="none" w:sz="0" w:space="0" w:color="auto"/>
          </w:divBdr>
        </w:div>
        <w:div w:id="943078271">
          <w:marLeft w:val="0"/>
          <w:marRight w:val="0"/>
          <w:marTop w:val="0"/>
          <w:marBottom w:val="0"/>
          <w:divBdr>
            <w:top w:val="none" w:sz="0" w:space="0" w:color="auto"/>
            <w:left w:val="none" w:sz="0" w:space="0" w:color="auto"/>
            <w:bottom w:val="none" w:sz="0" w:space="0" w:color="auto"/>
            <w:right w:val="none" w:sz="0" w:space="0" w:color="auto"/>
          </w:divBdr>
        </w:div>
        <w:div w:id="973633762">
          <w:marLeft w:val="0"/>
          <w:marRight w:val="0"/>
          <w:marTop w:val="0"/>
          <w:marBottom w:val="0"/>
          <w:divBdr>
            <w:top w:val="none" w:sz="0" w:space="0" w:color="auto"/>
            <w:left w:val="none" w:sz="0" w:space="0" w:color="auto"/>
            <w:bottom w:val="none" w:sz="0" w:space="0" w:color="auto"/>
            <w:right w:val="none" w:sz="0" w:space="0" w:color="auto"/>
          </w:divBdr>
          <w:divsChild>
            <w:div w:id="86510246">
              <w:marLeft w:val="0"/>
              <w:marRight w:val="0"/>
              <w:marTop w:val="0"/>
              <w:marBottom w:val="0"/>
              <w:divBdr>
                <w:top w:val="none" w:sz="0" w:space="0" w:color="auto"/>
                <w:left w:val="none" w:sz="0" w:space="0" w:color="auto"/>
                <w:bottom w:val="none" w:sz="0" w:space="0" w:color="auto"/>
                <w:right w:val="none" w:sz="0" w:space="0" w:color="auto"/>
              </w:divBdr>
            </w:div>
            <w:div w:id="127823642">
              <w:marLeft w:val="0"/>
              <w:marRight w:val="0"/>
              <w:marTop w:val="0"/>
              <w:marBottom w:val="0"/>
              <w:divBdr>
                <w:top w:val="none" w:sz="0" w:space="0" w:color="auto"/>
                <w:left w:val="none" w:sz="0" w:space="0" w:color="auto"/>
                <w:bottom w:val="none" w:sz="0" w:space="0" w:color="auto"/>
                <w:right w:val="none" w:sz="0" w:space="0" w:color="auto"/>
              </w:divBdr>
            </w:div>
            <w:div w:id="182017537">
              <w:marLeft w:val="0"/>
              <w:marRight w:val="0"/>
              <w:marTop w:val="0"/>
              <w:marBottom w:val="0"/>
              <w:divBdr>
                <w:top w:val="none" w:sz="0" w:space="0" w:color="auto"/>
                <w:left w:val="none" w:sz="0" w:space="0" w:color="auto"/>
                <w:bottom w:val="none" w:sz="0" w:space="0" w:color="auto"/>
                <w:right w:val="none" w:sz="0" w:space="0" w:color="auto"/>
              </w:divBdr>
            </w:div>
            <w:div w:id="192574732">
              <w:marLeft w:val="0"/>
              <w:marRight w:val="0"/>
              <w:marTop w:val="0"/>
              <w:marBottom w:val="0"/>
              <w:divBdr>
                <w:top w:val="none" w:sz="0" w:space="0" w:color="auto"/>
                <w:left w:val="none" w:sz="0" w:space="0" w:color="auto"/>
                <w:bottom w:val="none" w:sz="0" w:space="0" w:color="auto"/>
                <w:right w:val="none" w:sz="0" w:space="0" w:color="auto"/>
              </w:divBdr>
            </w:div>
            <w:div w:id="297030241">
              <w:marLeft w:val="0"/>
              <w:marRight w:val="0"/>
              <w:marTop w:val="0"/>
              <w:marBottom w:val="0"/>
              <w:divBdr>
                <w:top w:val="none" w:sz="0" w:space="0" w:color="auto"/>
                <w:left w:val="none" w:sz="0" w:space="0" w:color="auto"/>
                <w:bottom w:val="none" w:sz="0" w:space="0" w:color="auto"/>
                <w:right w:val="none" w:sz="0" w:space="0" w:color="auto"/>
              </w:divBdr>
            </w:div>
            <w:div w:id="475681450">
              <w:marLeft w:val="0"/>
              <w:marRight w:val="0"/>
              <w:marTop w:val="0"/>
              <w:marBottom w:val="0"/>
              <w:divBdr>
                <w:top w:val="none" w:sz="0" w:space="0" w:color="auto"/>
                <w:left w:val="none" w:sz="0" w:space="0" w:color="auto"/>
                <w:bottom w:val="none" w:sz="0" w:space="0" w:color="auto"/>
                <w:right w:val="none" w:sz="0" w:space="0" w:color="auto"/>
              </w:divBdr>
            </w:div>
            <w:div w:id="881482549">
              <w:marLeft w:val="0"/>
              <w:marRight w:val="0"/>
              <w:marTop w:val="0"/>
              <w:marBottom w:val="0"/>
              <w:divBdr>
                <w:top w:val="none" w:sz="0" w:space="0" w:color="auto"/>
                <w:left w:val="none" w:sz="0" w:space="0" w:color="auto"/>
                <w:bottom w:val="none" w:sz="0" w:space="0" w:color="auto"/>
                <w:right w:val="none" w:sz="0" w:space="0" w:color="auto"/>
              </w:divBdr>
            </w:div>
            <w:div w:id="959914739">
              <w:marLeft w:val="0"/>
              <w:marRight w:val="0"/>
              <w:marTop w:val="0"/>
              <w:marBottom w:val="0"/>
              <w:divBdr>
                <w:top w:val="none" w:sz="0" w:space="0" w:color="auto"/>
                <w:left w:val="none" w:sz="0" w:space="0" w:color="auto"/>
                <w:bottom w:val="none" w:sz="0" w:space="0" w:color="auto"/>
                <w:right w:val="none" w:sz="0" w:space="0" w:color="auto"/>
              </w:divBdr>
            </w:div>
            <w:div w:id="1237327739">
              <w:marLeft w:val="0"/>
              <w:marRight w:val="0"/>
              <w:marTop w:val="0"/>
              <w:marBottom w:val="0"/>
              <w:divBdr>
                <w:top w:val="none" w:sz="0" w:space="0" w:color="auto"/>
                <w:left w:val="none" w:sz="0" w:space="0" w:color="auto"/>
                <w:bottom w:val="none" w:sz="0" w:space="0" w:color="auto"/>
                <w:right w:val="none" w:sz="0" w:space="0" w:color="auto"/>
              </w:divBdr>
            </w:div>
            <w:div w:id="1394154048">
              <w:marLeft w:val="0"/>
              <w:marRight w:val="0"/>
              <w:marTop w:val="0"/>
              <w:marBottom w:val="0"/>
              <w:divBdr>
                <w:top w:val="none" w:sz="0" w:space="0" w:color="auto"/>
                <w:left w:val="none" w:sz="0" w:space="0" w:color="auto"/>
                <w:bottom w:val="none" w:sz="0" w:space="0" w:color="auto"/>
                <w:right w:val="none" w:sz="0" w:space="0" w:color="auto"/>
              </w:divBdr>
            </w:div>
            <w:div w:id="1414014929">
              <w:marLeft w:val="0"/>
              <w:marRight w:val="0"/>
              <w:marTop w:val="0"/>
              <w:marBottom w:val="0"/>
              <w:divBdr>
                <w:top w:val="none" w:sz="0" w:space="0" w:color="auto"/>
                <w:left w:val="none" w:sz="0" w:space="0" w:color="auto"/>
                <w:bottom w:val="none" w:sz="0" w:space="0" w:color="auto"/>
                <w:right w:val="none" w:sz="0" w:space="0" w:color="auto"/>
              </w:divBdr>
            </w:div>
            <w:div w:id="1424951696">
              <w:marLeft w:val="0"/>
              <w:marRight w:val="0"/>
              <w:marTop w:val="0"/>
              <w:marBottom w:val="0"/>
              <w:divBdr>
                <w:top w:val="none" w:sz="0" w:space="0" w:color="auto"/>
                <w:left w:val="none" w:sz="0" w:space="0" w:color="auto"/>
                <w:bottom w:val="none" w:sz="0" w:space="0" w:color="auto"/>
                <w:right w:val="none" w:sz="0" w:space="0" w:color="auto"/>
              </w:divBdr>
            </w:div>
            <w:div w:id="1546674817">
              <w:marLeft w:val="0"/>
              <w:marRight w:val="0"/>
              <w:marTop w:val="0"/>
              <w:marBottom w:val="0"/>
              <w:divBdr>
                <w:top w:val="none" w:sz="0" w:space="0" w:color="auto"/>
                <w:left w:val="none" w:sz="0" w:space="0" w:color="auto"/>
                <w:bottom w:val="none" w:sz="0" w:space="0" w:color="auto"/>
                <w:right w:val="none" w:sz="0" w:space="0" w:color="auto"/>
              </w:divBdr>
            </w:div>
            <w:div w:id="1650741619">
              <w:marLeft w:val="0"/>
              <w:marRight w:val="0"/>
              <w:marTop w:val="0"/>
              <w:marBottom w:val="0"/>
              <w:divBdr>
                <w:top w:val="none" w:sz="0" w:space="0" w:color="auto"/>
                <w:left w:val="none" w:sz="0" w:space="0" w:color="auto"/>
                <w:bottom w:val="none" w:sz="0" w:space="0" w:color="auto"/>
                <w:right w:val="none" w:sz="0" w:space="0" w:color="auto"/>
              </w:divBdr>
            </w:div>
            <w:div w:id="1668826025">
              <w:marLeft w:val="0"/>
              <w:marRight w:val="0"/>
              <w:marTop w:val="0"/>
              <w:marBottom w:val="0"/>
              <w:divBdr>
                <w:top w:val="none" w:sz="0" w:space="0" w:color="auto"/>
                <w:left w:val="none" w:sz="0" w:space="0" w:color="auto"/>
                <w:bottom w:val="none" w:sz="0" w:space="0" w:color="auto"/>
                <w:right w:val="none" w:sz="0" w:space="0" w:color="auto"/>
              </w:divBdr>
            </w:div>
            <w:div w:id="1777166361">
              <w:marLeft w:val="0"/>
              <w:marRight w:val="0"/>
              <w:marTop w:val="0"/>
              <w:marBottom w:val="0"/>
              <w:divBdr>
                <w:top w:val="none" w:sz="0" w:space="0" w:color="auto"/>
                <w:left w:val="none" w:sz="0" w:space="0" w:color="auto"/>
                <w:bottom w:val="none" w:sz="0" w:space="0" w:color="auto"/>
                <w:right w:val="none" w:sz="0" w:space="0" w:color="auto"/>
              </w:divBdr>
            </w:div>
            <w:div w:id="1778601878">
              <w:marLeft w:val="0"/>
              <w:marRight w:val="0"/>
              <w:marTop w:val="0"/>
              <w:marBottom w:val="0"/>
              <w:divBdr>
                <w:top w:val="none" w:sz="0" w:space="0" w:color="auto"/>
                <w:left w:val="none" w:sz="0" w:space="0" w:color="auto"/>
                <w:bottom w:val="none" w:sz="0" w:space="0" w:color="auto"/>
                <w:right w:val="none" w:sz="0" w:space="0" w:color="auto"/>
              </w:divBdr>
            </w:div>
            <w:div w:id="1852798413">
              <w:marLeft w:val="0"/>
              <w:marRight w:val="0"/>
              <w:marTop w:val="0"/>
              <w:marBottom w:val="0"/>
              <w:divBdr>
                <w:top w:val="none" w:sz="0" w:space="0" w:color="auto"/>
                <w:left w:val="none" w:sz="0" w:space="0" w:color="auto"/>
                <w:bottom w:val="none" w:sz="0" w:space="0" w:color="auto"/>
                <w:right w:val="none" w:sz="0" w:space="0" w:color="auto"/>
              </w:divBdr>
            </w:div>
            <w:div w:id="1912306652">
              <w:marLeft w:val="0"/>
              <w:marRight w:val="0"/>
              <w:marTop w:val="0"/>
              <w:marBottom w:val="0"/>
              <w:divBdr>
                <w:top w:val="none" w:sz="0" w:space="0" w:color="auto"/>
                <w:left w:val="none" w:sz="0" w:space="0" w:color="auto"/>
                <w:bottom w:val="none" w:sz="0" w:space="0" w:color="auto"/>
                <w:right w:val="none" w:sz="0" w:space="0" w:color="auto"/>
              </w:divBdr>
            </w:div>
            <w:div w:id="1927418556">
              <w:marLeft w:val="0"/>
              <w:marRight w:val="0"/>
              <w:marTop w:val="0"/>
              <w:marBottom w:val="0"/>
              <w:divBdr>
                <w:top w:val="none" w:sz="0" w:space="0" w:color="auto"/>
                <w:left w:val="none" w:sz="0" w:space="0" w:color="auto"/>
                <w:bottom w:val="none" w:sz="0" w:space="0" w:color="auto"/>
                <w:right w:val="none" w:sz="0" w:space="0" w:color="auto"/>
              </w:divBdr>
            </w:div>
          </w:divsChild>
        </w:div>
        <w:div w:id="1030643433">
          <w:marLeft w:val="0"/>
          <w:marRight w:val="0"/>
          <w:marTop w:val="0"/>
          <w:marBottom w:val="0"/>
          <w:divBdr>
            <w:top w:val="none" w:sz="0" w:space="0" w:color="auto"/>
            <w:left w:val="none" w:sz="0" w:space="0" w:color="auto"/>
            <w:bottom w:val="none" w:sz="0" w:space="0" w:color="auto"/>
            <w:right w:val="none" w:sz="0" w:space="0" w:color="auto"/>
          </w:divBdr>
          <w:divsChild>
            <w:div w:id="216939344">
              <w:marLeft w:val="0"/>
              <w:marRight w:val="0"/>
              <w:marTop w:val="0"/>
              <w:marBottom w:val="0"/>
              <w:divBdr>
                <w:top w:val="none" w:sz="0" w:space="0" w:color="auto"/>
                <w:left w:val="none" w:sz="0" w:space="0" w:color="auto"/>
                <w:bottom w:val="none" w:sz="0" w:space="0" w:color="auto"/>
                <w:right w:val="none" w:sz="0" w:space="0" w:color="auto"/>
              </w:divBdr>
            </w:div>
            <w:div w:id="409232296">
              <w:marLeft w:val="0"/>
              <w:marRight w:val="0"/>
              <w:marTop w:val="0"/>
              <w:marBottom w:val="0"/>
              <w:divBdr>
                <w:top w:val="none" w:sz="0" w:space="0" w:color="auto"/>
                <w:left w:val="none" w:sz="0" w:space="0" w:color="auto"/>
                <w:bottom w:val="none" w:sz="0" w:space="0" w:color="auto"/>
                <w:right w:val="none" w:sz="0" w:space="0" w:color="auto"/>
              </w:divBdr>
            </w:div>
            <w:div w:id="561796854">
              <w:marLeft w:val="0"/>
              <w:marRight w:val="0"/>
              <w:marTop w:val="0"/>
              <w:marBottom w:val="0"/>
              <w:divBdr>
                <w:top w:val="none" w:sz="0" w:space="0" w:color="auto"/>
                <w:left w:val="none" w:sz="0" w:space="0" w:color="auto"/>
                <w:bottom w:val="none" w:sz="0" w:space="0" w:color="auto"/>
                <w:right w:val="none" w:sz="0" w:space="0" w:color="auto"/>
              </w:divBdr>
            </w:div>
            <w:div w:id="595595543">
              <w:marLeft w:val="0"/>
              <w:marRight w:val="0"/>
              <w:marTop w:val="0"/>
              <w:marBottom w:val="0"/>
              <w:divBdr>
                <w:top w:val="none" w:sz="0" w:space="0" w:color="auto"/>
                <w:left w:val="none" w:sz="0" w:space="0" w:color="auto"/>
                <w:bottom w:val="none" w:sz="0" w:space="0" w:color="auto"/>
                <w:right w:val="none" w:sz="0" w:space="0" w:color="auto"/>
              </w:divBdr>
            </w:div>
            <w:div w:id="939683591">
              <w:marLeft w:val="0"/>
              <w:marRight w:val="0"/>
              <w:marTop w:val="0"/>
              <w:marBottom w:val="0"/>
              <w:divBdr>
                <w:top w:val="none" w:sz="0" w:space="0" w:color="auto"/>
                <w:left w:val="none" w:sz="0" w:space="0" w:color="auto"/>
                <w:bottom w:val="none" w:sz="0" w:space="0" w:color="auto"/>
                <w:right w:val="none" w:sz="0" w:space="0" w:color="auto"/>
              </w:divBdr>
            </w:div>
            <w:div w:id="1029722547">
              <w:marLeft w:val="0"/>
              <w:marRight w:val="0"/>
              <w:marTop w:val="0"/>
              <w:marBottom w:val="0"/>
              <w:divBdr>
                <w:top w:val="none" w:sz="0" w:space="0" w:color="auto"/>
                <w:left w:val="none" w:sz="0" w:space="0" w:color="auto"/>
                <w:bottom w:val="none" w:sz="0" w:space="0" w:color="auto"/>
                <w:right w:val="none" w:sz="0" w:space="0" w:color="auto"/>
              </w:divBdr>
            </w:div>
            <w:div w:id="1059741638">
              <w:marLeft w:val="0"/>
              <w:marRight w:val="0"/>
              <w:marTop w:val="0"/>
              <w:marBottom w:val="0"/>
              <w:divBdr>
                <w:top w:val="none" w:sz="0" w:space="0" w:color="auto"/>
                <w:left w:val="none" w:sz="0" w:space="0" w:color="auto"/>
                <w:bottom w:val="none" w:sz="0" w:space="0" w:color="auto"/>
                <w:right w:val="none" w:sz="0" w:space="0" w:color="auto"/>
              </w:divBdr>
            </w:div>
            <w:div w:id="1160930594">
              <w:marLeft w:val="0"/>
              <w:marRight w:val="0"/>
              <w:marTop w:val="0"/>
              <w:marBottom w:val="0"/>
              <w:divBdr>
                <w:top w:val="none" w:sz="0" w:space="0" w:color="auto"/>
                <w:left w:val="none" w:sz="0" w:space="0" w:color="auto"/>
                <w:bottom w:val="none" w:sz="0" w:space="0" w:color="auto"/>
                <w:right w:val="none" w:sz="0" w:space="0" w:color="auto"/>
              </w:divBdr>
            </w:div>
            <w:div w:id="1243876422">
              <w:marLeft w:val="0"/>
              <w:marRight w:val="0"/>
              <w:marTop w:val="0"/>
              <w:marBottom w:val="0"/>
              <w:divBdr>
                <w:top w:val="none" w:sz="0" w:space="0" w:color="auto"/>
                <w:left w:val="none" w:sz="0" w:space="0" w:color="auto"/>
                <w:bottom w:val="none" w:sz="0" w:space="0" w:color="auto"/>
                <w:right w:val="none" w:sz="0" w:space="0" w:color="auto"/>
              </w:divBdr>
            </w:div>
            <w:div w:id="1388845194">
              <w:marLeft w:val="0"/>
              <w:marRight w:val="0"/>
              <w:marTop w:val="0"/>
              <w:marBottom w:val="0"/>
              <w:divBdr>
                <w:top w:val="none" w:sz="0" w:space="0" w:color="auto"/>
                <w:left w:val="none" w:sz="0" w:space="0" w:color="auto"/>
                <w:bottom w:val="none" w:sz="0" w:space="0" w:color="auto"/>
                <w:right w:val="none" w:sz="0" w:space="0" w:color="auto"/>
              </w:divBdr>
            </w:div>
            <w:div w:id="1422608918">
              <w:marLeft w:val="0"/>
              <w:marRight w:val="0"/>
              <w:marTop w:val="0"/>
              <w:marBottom w:val="0"/>
              <w:divBdr>
                <w:top w:val="none" w:sz="0" w:space="0" w:color="auto"/>
                <w:left w:val="none" w:sz="0" w:space="0" w:color="auto"/>
                <w:bottom w:val="none" w:sz="0" w:space="0" w:color="auto"/>
                <w:right w:val="none" w:sz="0" w:space="0" w:color="auto"/>
              </w:divBdr>
            </w:div>
            <w:div w:id="1483422013">
              <w:marLeft w:val="0"/>
              <w:marRight w:val="0"/>
              <w:marTop w:val="0"/>
              <w:marBottom w:val="0"/>
              <w:divBdr>
                <w:top w:val="none" w:sz="0" w:space="0" w:color="auto"/>
                <w:left w:val="none" w:sz="0" w:space="0" w:color="auto"/>
                <w:bottom w:val="none" w:sz="0" w:space="0" w:color="auto"/>
                <w:right w:val="none" w:sz="0" w:space="0" w:color="auto"/>
              </w:divBdr>
            </w:div>
            <w:div w:id="1553997890">
              <w:marLeft w:val="0"/>
              <w:marRight w:val="0"/>
              <w:marTop w:val="0"/>
              <w:marBottom w:val="0"/>
              <w:divBdr>
                <w:top w:val="none" w:sz="0" w:space="0" w:color="auto"/>
                <w:left w:val="none" w:sz="0" w:space="0" w:color="auto"/>
                <w:bottom w:val="none" w:sz="0" w:space="0" w:color="auto"/>
                <w:right w:val="none" w:sz="0" w:space="0" w:color="auto"/>
              </w:divBdr>
            </w:div>
            <w:div w:id="1572542772">
              <w:marLeft w:val="0"/>
              <w:marRight w:val="0"/>
              <w:marTop w:val="0"/>
              <w:marBottom w:val="0"/>
              <w:divBdr>
                <w:top w:val="none" w:sz="0" w:space="0" w:color="auto"/>
                <w:left w:val="none" w:sz="0" w:space="0" w:color="auto"/>
                <w:bottom w:val="none" w:sz="0" w:space="0" w:color="auto"/>
                <w:right w:val="none" w:sz="0" w:space="0" w:color="auto"/>
              </w:divBdr>
            </w:div>
            <w:div w:id="1638687089">
              <w:marLeft w:val="0"/>
              <w:marRight w:val="0"/>
              <w:marTop w:val="0"/>
              <w:marBottom w:val="0"/>
              <w:divBdr>
                <w:top w:val="none" w:sz="0" w:space="0" w:color="auto"/>
                <w:left w:val="none" w:sz="0" w:space="0" w:color="auto"/>
                <w:bottom w:val="none" w:sz="0" w:space="0" w:color="auto"/>
                <w:right w:val="none" w:sz="0" w:space="0" w:color="auto"/>
              </w:divBdr>
            </w:div>
            <w:div w:id="1718121501">
              <w:marLeft w:val="0"/>
              <w:marRight w:val="0"/>
              <w:marTop w:val="0"/>
              <w:marBottom w:val="0"/>
              <w:divBdr>
                <w:top w:val="none" w:sz="0" w:space="0" w:color="auto"/>
                <w:left w:val="none" w:sz="0" w:space="0" w:color="auto"/>
                <w:bottom w:val="none" w:sz="0" w:space="0" w:color="auto"/>
                <w:right w:val="none" w:sz="0" w:space="0" w:color="auto"/>
              </w:divBdr>
            </w:div>
            <w:div w:id="1837987843">
              <w:marLeft w:val="0"/>
              <w:marRight w:val="0"/>
              <w:marTop w:val="0"/>
              <w:marBottom w:val="0"/>
              <w:divBdr>
                <w:top w:val="none" w:sz="0" w:space="0" w:color="auto"/>
                <w:left w:val="none" w:sz="0" w:space="0" w:color="auto"/>
                <w:bottom w:val="none" w:sz="0" w:space="0" w:color="auto"/>
                <w:right w:val="none" w:sz="0" w:space="0" w:color="auto"/>
              </w:divBdr>
            </w:div>
            <w:div w:id="1873421497">
              <w:marLeft w:val="0"/>
              <w:marRight w:val="0"/>
              <w:marTop w:val="0"/>
              <w:marBottom w:val="0"/>
              <w:divBdr>
                <w:top w:val="none" w:sz="0" w:space="0" w:color="auto"/>
                <w:left w:val="none" w:sz="0" w:space="0" w:color="auto"/>
                <w:bottom w:val="none" w:sz="0" w:space="0" w:color="auto"/>
                <w:right w:val="none" w:sz="0" w:space="0" w:color="auto"/>
              </w:divBdr>
            </w:div>
            <w:div w:id="1981034285">
              <w:marLeft w:val="0"/>
              <w:marRight w:val="0"/>
              <w:marTop w:val="0"/>
              <w:marBottom w:val="0"/>
              <w:divBdr>
                <w:top w:val="none" w:sz="0" w:space="0" w:color="auto"/>
                <w:left w:val="none" w:sz="0" w:space="0" w:color="auto"/>
                <w:bottom w:val="none" w:sz="0" w:space="0" w:color="auto"/>
                <w:right w:val="none" w:sz="0" w:space="0" w:color="auto"/>
              </w:divBdr>
            </w:div>
          </w:divsChild>
        </w:div>
        <w:div w:id="1039815367">
          <w:marLeft w:val="0"/>
          <w:marRight w:val="0"/>
          <w:marTop w:val="0"/>
          <w:marBottom w:val="0"/>
          <w:divBdr>
            <w:top w:val="none" w:sz="0" w:space="0" w:color="auto"/>
            <w:left w:val="none" w:sz="0" w:space="0" w:color="auto"/>
            <w:bottom w:val="none" w:sz="0" w:space="0" w:color="auto"/>
            <w:right w:val="none" w:sz="0" w:space="0" w:color="auto"/>
          </w:divBdr>
          <w:divsChild>
            <w:div w:id="82337749">
              <w:marLeft w:val="0"/>
              <w:marRight w:val="0"/>
              <w:marTop w:val="0"/>
              <w:marBottom w:val="0"/>
              <w:divBdr>
                <w:top w:val="none" w:sz="0" w:space="0" w:color="auto"/>
                <w:left w:val="none" w:sz="0" w:space="0" w:color="auto"/>
                <w:bottom w:val="none" w:sz="0" w:space="0" w:color="auto"/>
                <w:right w:val="none" w:sz="0" w:space="0" w:color="auto"/>
              </w:divBdr>
            </w:div>
            <w:div w:id="160463171">
              <w:marLeft w:val="0"/>
              <w:marRight w:val="0"/>
              <w:marTop w:val="0"/>
              <w:marBottom w:val="0"/>
              <w:divBdr>
                <w:top w:val="none" w:sz="0" w:space="0" w:color="auto"/>
                <w:left w:val="none" w:sz="0" w:space="0" w:color="auto"/>
                <w:bottom w:val="none" w:sz="0" w:space="0" w:color="auto"/>
                <w:right w:val="none" w:sz="0" w:space="0" w:color="auto"/>
              </w:divBdr>
            </w:div>
            <w:div w:id="349188379">
              <w:marLeft w:val="0"/>
              <w:marRight w:val="0"/>
              <w:marTop w:val="0"/>
              <w:marBottom w:val="0"/>
              <w:divBdr>
                <w:top w:val="none" w:sz="0" w:space="0" w:color="auto"/>
                <w:left w:val="none" w:sz="0" w:space="0" w:color="auto"/>
                <w:bottom w:val="none" w:sz="0" w:space="0" w:color="auto"/>
                <w:right w:val="none" w:sz="0" w:space="0" w:color="auto"/>
              </w:divBdr>
            </w:div>
            <w:div w:id="433980609">
              <w:marLeft w:val="0"/>
              <w:marRight w:val="0"/>
              <w:marTop w:val="0"/>
              <w:marBottom w:val="0"/>
              <w:divBdr>
                <w:top w:val="none" w:sz="0" w:space="0" w:color="auto"/>
                <w:left w:val="none" w:sz="0" w:space="0" w:color="auto"/>
                <w:bottom w:val="none" w:sz="0" w:space="0" w:color="auto"/>
                <w:right w:val="none" w:sz="0" w:space="0" w:color="auto"/>
              </w:divBdr>
            </w:div>
            <w:div w:id="526723476">
              <w:marLeft w:val="0"/>
              <w:marRight w:val="0"/>
              <w:marTop w:val="0"/>
              <w:marBottom w:val="0"/>
              <w:divBdr>
                <w:top w:val="none" w:sz="0" w:space="0" w:color="auto"/>
                <w:left w:val="none" w:sz="0" w:space="0" w:color="auto"/>
                <w:bottom w:val="none" w:sz="0" w:space="0" w:color="auto"/>
                <w:right w:val="none" w:sz="0" w:space="0" w:color="auto"/>
              </w:divBdr>
            </w:div>
            <w:div w:id="655452249">
              <w:marLeft w:val="0"/>
              <w:marRight w:val="0"/>
              <w:marTop w:val="0"/>
              <w:marBottom w:val="0"/>
              <w:divBdr>
                <w:top w:val="none" w:sz="0" w:space="0" w:color="auto"/>
                <w:left w:val="none" w:sz="0" w:space="0" w:color="auto"/>
                <w:bottom w:val="none" w:sz="0" w:space="0" w:color="auto"/>
                <w:right w:val="none" w:sz="0" w:space="0" w:color="auto"/>
              </w:divBdr>
            </w:div>
            <w:div w:id="734864238">
              <w:marLeft w:val="0"/>
              <w:marRight w:val="0"/>
              <w:marTop w:val="0"/>
              <w:marBottom w:val="0"/>
              <w:divBdr>
                <w:top w:val="none" w:sz="0" w:space="0" w:color="auto"/>
                <w:left w:val="none" w:sz="0" w:space="0" w:color="auto"/>
                <w:bottom w:val="none" w:sz="0" w:space="0" w:color="auto"/>
                <w:right w:val="none" w:sz="0" w:space="0" w:color="auto"/>
              </w:divBdr>
            </w:div>
            <w:div w:id="984311200">
              <w:marLeft w:val="0"/>
              <w:marRight w:val="0"/>
              <w:marTop w:val="0"/>
              <w:marBottom w:val="0"/>
              <w:divBdr>
                <w:top w:val="none" w:sz="0" w:space="0" w:color="auto"/>
                <w:left w:val="none" w:sz="0" w:space="0" w:color="auto"/>
                <w:bottom w:val="none" w:sz="0" w:space="0" w:color="auto"/>
                <w:right w:val="none" w:sz="0" w:space="0" w:color="auto"/>
              </w:divBdr>
            </w:div>
            <w:div w:id="1003585034">
              <w:marLeft w:val="0"/>
              <w:marRight w:val="0"/>
              <w:marTop w:val="0"/>
              <w:marBottom w:val="0"/>
              <w:divBdr>
                <w:top w:val="none" w:sz="0" w:space="0" w:color="auto"/>
                <w:left w:val="none" w:sz="0" w:space="0" w:color="auto"/>
                <w:bottom w:val="none" w:sz="0" w:space="0" w:color="auto"/>
                <w:right w:val="none" w:sz="0" w:space="0" w:color="auto"/>
              </w:divBdr>
            </w:div>
            <w:div w:id="1154444454">
              <w:marLeft w:val="0"/>
              <w:marRight w:val="0"/>
              <w:marTop w:val="0"/>
              <w:marBottom w:val="0"/>
              <w:divBdr>
                <w:top w:val="none" w:sz="0" w:space="0" w:color="auto"/>
                <w:left w:val="none" w:sz="0" w:space="0" w:color="auto"/>
                <w:bottom w:val="none" w:sz="0" w:space="0" w:color="auto"/>
                <w:right w:val="none" w:sz="0" w:space="0" w:color="auto"/>
              </w:divBdr>
            </w:div>
            <w:div w:id="1163201563">
              <w:marLeft w:val="0"/>
              <w:marRight w:val="0"/>
              <w:marTop w:val="0"/>
              <w:marBottom w:val="0"/>
              <w:divBdr>
                <w:top w:val="none" w:sz="0" w:space="0" w:color="auto"/>
                <w:left w:val="none" w:sz="0" w:space="0" w:color="auto"/>
                <w:bottom w:val="none" w:sz="0" w:space="0" w:color="auto"/>
                <w:right w:val="none" w:sz="0" w:space="0" w:color="auto"/>
              </w:divBdr>
            </w:div>
            <w:div w:id="1255749433">
              <w:marLeft w:val="0"/>
              <w:marRight w:val="0"/>
              <w:marTop w:val="0"/>
              <w:marBottom w:val="0"/>
              <w:divBdr>
                <w:top w:val="none" w:sz="0" w:space="0" w:color="auto"/>
                <w:left w:val="none" w:sz="0" w:space="0" w:color="auto"/>
                <w:bottom w:val="none" w:sz="0" w:space="0" w:color="auto"/>
                <w:right w:val="none" w:sz="0" w:space="0" w:color="auto"/>
              </w:divBdr>
            </w:div>
            <w:div w:id="1403790836">
              <w:marLeft w:val="0"/>
              <w:marRight w:val="0"/>
              <w:marTop w:val="0"/>
              <w:marBottom w:val="0"/>
              <w:divBdr>
                <w:top w:val="none" w:sz="0" w:space="0" w:color="auto"/>
                <w:left w:val="none" w:sz="0" w:space="0" w:color="auto"/>
                <w:bottom w:val="none" w:sz="0" w:space="0" w:color="auto"/>
                <w:right w:val="none" w:sz="0" w:space="0" w:color="auto"/>
              </w:divBdr>
            </w:div>
            <w:div w:id="1572232429">
              <w:marLeft w:val="0"/>
              <w:marRight w:val="0"/>
              <w:marTop w:val="0"/>
              <w:marBottom w:val="0"/>
              <w:divBdr>
                <w:top w:val="none" w:sz="0" w:space="0" w:color="auto"/>
                <w:left w:val="none" w:sz="0" w:space="0" w:color="auto"/>
                <w:bottom w:val="none" w:sz="0" w:space="0" w:color="auto"/>
                <w:right w:val="none" w:sz="0" w:space="0" w:color="auto"/>
              </w:divBdr>
            </w:div>
            <w:div w:id="1580290174">
              <w:marLeft w:val="0"/>
              <w:marRight w:val="0"/>
              <w:marTop w:val="0"/>
              <w:marBottom w:val="0"/>
              <w:divBdr>
                <w:top w:val="none" w:sz="0" w:space="0" w:color="auto"/>
                <w:left w:val="none" w:sz="0" w:space="0" w:color="auto"/>
                <w:bottom w:val="none" w:sz="0" w:space="0" w:color="auto"/>
                <w:right w:val="none" w:sz="0" w:space="0" w:color="auto"/>
              </w:divBdr>
            </w:div>
            <w:div w:id="1875457346">
              <w:marLeft w:val="0"/>
              <w:marRight w:val="0"/>
              <w:marTop w:val="0"/>
              <w:marBottom w:val="0"/>
              <w:divBdr>
                <w:top w:val="none" w:sz="0" w:space="0" w:color="auto"/>
                <w:left w:val="none" w:sz="0" w:space="0" w:color="auto"/>
                <w:bottom w:val="none" w:sz="0" w:space="0" w:color="auto"/>
                <w:right w:val="none" w:sz="0" w:space="0" w:color="auto"/>
              </w:divBdr>
            </w:div>
            <w:div w:id="1969124457">
              <w:marLeft w:val="0"/>
              <w:marRight w:val="0"/>
              <w:marTop w:val="0"/>
              <w:marBottom w:val="0"/>
              <w:divBdr>
                <w:top w:val="none" w:sz="0" w:space="0" w:color="auto"/>
                <w:left w:val="none" w:sz="0" w:space="0" w:color="auto"/>
                <w:bottom w:val="none" w:sz="0" w:space="0" w:color="auto"/>
                <w:right w:val="none" w:sz="0" w:space="0" w:color="auto"/>
              </w:divBdr>
            </w:div>
            <w:div w:id="1997107158">
              <w:marLeft w:val="0"/>
              <w:marRight w:val="0"/>
              <w:marTop w:val="0"/>
              <w:marBottom w:val="0"/>
              <w:divBdr>
                <w:top w:val="none" w:sz="0" w:space="0" w:color="auto"/>
                <w:left w:val="none" w:sz="0" w:space="0" w:color="auto"/>
                <w:bottom w:val="none" w:sz="0" w:space="0" w:color="auto"/>
                <w:right w:val="none" w:sz="0" w:space="0" w:color="auto"/>
              </w:divBdr>
            </w:div>
            <w:div w:id="2042629310">
              <w:marLeft w:val="0"/>
              <w:marRight w:val="0"/>
              <w:marTop w:val="0"/>
              <w:marBottom w:val="0"/>
              <w:divBdr>
                <w:top w:val="none" w:sz="0" w:space="0" w:color="auto"/>
                <w:left w:val="none" w:sz="0" w:space="0" w:color="auto"/>
                <w:bottom w:val="none" w:sz="0" w:space="0" w:color="auto"/>
                <w:right w:val="none" w:sz="0" w:space="0" w:color="auto"/>
              </w:divBdr>
            </w:div>
            <w:div w:id="2137140333">
              <w:marLeft w:val="0"/>
              <w:marRight w:val="0"/>
              <w:marTop w:val="0"/>
              <w:marBottom w:val="0"/>
              <w:divBdr>
                <w:top w:val="none" w:sz="0" w:space="0" w:color="auto"/>
                <w:left w:val="none" w:sz="0" w:space="0" w:color="auto"/>
                <w:bottom w:val="none" w:sz="0" w:space="0" w:color="auto"/>
                <w:right w:val="none" w:sz="0" w:space="0" w:color="auto"/>
              </w:divBdr>
            </w:div>
          </w:divsChild>
        </w:div>
        <w:div w:id="1044252979">
          <w:marLeft w:val="0"/>
          <w:marRight w:val="0"/>
          <w:marTop w:val="0"/>
          <w:marBottom w:val="0"/>
          <w:divBdr>
            <w:top w:val="none" w:sz="0" w:space="0" w:color="auto"/>
            <w:left w:val="none" w:sz="0" w:space="0" w:color="auto"/>
            <w:bottom w:val="none" w:sz="0" w:space="0" w:color="auto"/>
            <w:right w:val="none" w:sz="0" w:space="0" w:color="auto"/>
          </w:divBdr>
          <w:divsChild>
            <w:div w:id="1453816488">
              <w:marLeft w:val="-75"/>
              <w:marRight w:val="0"/>
              <w:marTop w:val="30"/>
              <w:marBottom w:val="30"/>
              <w:divBdr>
                <w:top w:val="none" w:sz="0" w:space="0" w:color="auto"/>
                <w:left w:val="none" w:sz="0" w:space="0" w:color="auto"/>
                <w:bottom w:val="none" w:sz="0" w:space="0" w:color="auto"/>
                <w:right w:val="none" w:sz="0" w:space="0" w:color="auto"/>
              </w:divBdr>
              <w:divsChild>
                <w:div w:id="36245194">
                  <w:marLeft w:val="0"/>
                  <w:marRight w:val="0"/>
                  <w:marTop w:val="0"/>
                  <w:marBottom w:val="0"/>
                  <w:divBdr>
                    <w:top w:val="none" w:sz="0" w:space="0" w:color="auto"/>
                    <w:left w:val="none" w:sz="0" w:space="0" w:color="auto"/>
                    <w:bottom w:val="none" w:sz="0" w:space="0" w:color="auto"/>
                    <w:right w:val="none" w:sz="0" w:space="0" w:color="auto"/>
                  </w:divBdr>
                  <w:divsChild>
                    <w:div w:id="760641775">
                      <w:marLeft w:val="0"/>
                      <w:marRight w:val="0"/>
                      <w:marTop w:val="0"/>
                      <w:marBottom w:val="0"/>
                      <w:divBdr>
                        <w:top w:val="none" w:sz="0" w:space="0" w:color="auto"/>
                        <w:left w:val="none" w:sz="0" w:space="0" w:color="auto"/>
                        <w:bottom w:val="none" w:sz="0" w:space="0" w:color="auto"/>
                        <w:right w:val="none" w:sz="0" w:space="0" w:color="auto"/>
                      </w:divBdr>
                    </w:div>
                  </w:divsChild>
                </w:div>
                <w:div w:id="192810757">
                  <w:marLeft w:val="0"/>
                  <w:marRight w:val="0"/>
                  <w:marTop w:val="0"/>
                  <w:marBottom w:val="0"/>
                  <w:divBdr>
                    <w:top w:val="none" w:sz="0" w:space="0" w:color="auto"/>
                    <w:left w:val="none" w:sz="0" w:space="0" w:color="auto"/>
                    <w:bottom w:val="none" w:sz="0" w:space="0" w:color="auto"/>
                    <w:right w:val="none" w:sz="0" w:space="0" w:color="auto"/>
                  </w:divBdr>
                  <w:divsChild>
                    <w:div w:id="1648820578">
                      <w:marLeft w:val="0"/>
                      <w:marRight w:val="0"/>
                      <w:marTop w:val="0"/>
                      <w:marBottom w:val="0"/>
                      <w:divBdr>
                        <w:top w:val="none" w:sz="0" w:space="0" w:color="auto"/>
                        <w:left w:val="none" w:sz="0" w:space="0" w:color="auto"/>
                        <w:bottom w:val="none" w:sz="0" w:space="0" w:color="auto"/>
                        <w:right w:val="none" w:sz="0" w:space="0" w:color="auto"/>
                      </w:divBdr>
                    </w:div>
                  </w:divsChild>
                </w:div>
                <w:div w:id="715394058">
                  <w:marLeft w:val="0"/>
                  <w:marRight w:val="0"/>
                  <w:marTop w:val="0"/>
                  <w:marBottom w:val="0"/>
                  <w:divBdr>
                    <w:top w:val="none" w:sz="0" w:space="0" w:color="auto"/>
                    <w:left w:val="none" w:sz="0" w:space="0" w:color="auto"/>
                    <w:bottom w:val="none" w:sz="0" w:space="0" w:color="auto"/>
                    <w:right w:val="none" w:sz="0" w:space="0" w:color="auto"/>
                  </w:divBdr>
                  <w:divsChild>
                    <w:div w:id="1572538443">
                      <w:marLeft w:val="0"/>
                      <w:marRight w:val="0"/>
                      <w:marTop w:val="0"/>
                      <w:marBottom w:val="0"/>
                      <w:divBdr>
                        <w:top w:val="none" w:sz="0" w:space="0" w:color="auto"/>
                        <w:left w:val="none" w:sz="0" w:space="0" w:color="auto"/>
                        <w:bottom w:val="none" w:sz="0" w:space="0" w:color="auto"/>
                        <w:right w:val="none" w:sz="0" w:space="0" w:color="auto"/>
                      </w:divBdr>
                    </w:div>
                  </w:divsChild>
                </w:div>
                <w:div w:id="826433566">
                  <w:marLeft w:val="0"/>
                  <w:marRight w:val="0"/>
                  <w:marTop w:val="0"/>
                  <w:marBottom w:val="0"/>
                  <w:divBdr>
                    <w:top w:val="none" w:sz="0" w:space="0" w:color="auto"/>
                    <w:left w:val="none" w:sz="0" w:space="0" w:color="auto"/>
                    <w:bottom w:val="none" w:sz="0" w:space="0" w:color="auto"/>
                    <w:right w:val="none" w:sz="0" w:space="0" w:color="auto"/>
                  </w:divBdr>
                  <w:divsChild>
                    <w:div w:id="1255557096">
                      <w:marLeft w:val="0"/>
                      <w:marRight w:val="0"/>
                      <w:marTop w:val="0"/>
                      <w:marBottom w:val="0"/>
                      <w:divBdr>
                        <w:top w:val="none" w:sz="0" w:space="0" w:color="auto"/>
                        <w:left w:val="none" w:sz="0" w:space="0" w:color="auto"/>
                        <w:bottom w:val="none" w:sz="0" w:space="0" w:color="auto"/>
                        <w:right w:val="none" w:sz="0" w:space="0" w:color="auto"/>
                      </w:divBdr>
                    </w:div>
                  </w:divsChild>
                </w:div>
                <w:div w:id="879591302">
                  <w:marLeft w:val="0"/>
                  <w:marRight w:val="0"/>
                  <w:marTop w:val="0"/>
                  <w:marBottom w:val="0"/>
                  <w:divBdr>
                    <w:top w:val="none" w:sz="0" w:space="0" w:color="auto"/>
                    <w:left w:val="none" w:sz="0" w:space="0" w:color="auto"/>
                    <w:bottom w:val="none" w:sz="0" w:space="0" w:color="auto"/>
                    <w:right w:val="none" w:sz="0" w:space="0" w:color="auto"/>
                  </w:divBdr>
                  <w:divsChild>
                    <w:div w:id="2090344315">
                      <w:marLeft w:val="0"/>
                      <w:marRight w:val="0"/>
                      <w:marTop w:val="0"/>
                      <w:marBottom w:val="0"/>
                      <w:divBdr>
                        <w:top w:val="none" w:sz="0" w:space="0" w:color="auto"/>
                        <w:left w:val="none" w:sz="0" w:space="0" w:color="auto"/>
                        <w:bottom w:val="none" w:sz="0" w:space="0" w:color="auto"/>
                        <w:right w:val="none" w:sz="0" w:space="0" w:color="auto"/>
                      </w:divBdr>
                    </w:div>
                  </w:divsChild>
                </w:div>
                <w:div w:id="995458564">
                  <w:marLeft w:val="0"/>
                  <w:marRight w:val="0"/>
                  <w:marTop w:val="0"/>
                  <w:marBottom w:val="0"/>
                  <w:divBdr>
                    <w:top w:val="none" w:sz="0" w:space="0" w:color="auto"/>
                    <w:left w:val="none" w:sz="0" w:space="0" w:color="auto"/>
                    <w:bottom w:val="none" w:sz="0" w:space="0" w:color="auto"/>
                    <w:right w:val="none" w:sz="0" w:space="0" w:color="auto"/>
                  </w:divBdr>
                  <w:divsChild>
                    <w:div w:id="1753578166">
                      <w:marLeft w:val="0"/>
                      <w:marRight w:val="0"/>
                      <w:marTop w:val="0"/>
                      <w:marBottom w:val="0"/>
                      <w:divBdr>
                        <w:top w:val="none" w:sz="0" w:space="0" w:color="auto"/>
                        <w:left w:val="none" w:sz="0" w:space="0" w:color="auto"/>
                        <w:bottom w:val="none" w:sz="0" w:space="0" w:color="auto"/>
                        <w:right w:val="none" w:sz="0" w:space="0" w:color="auto"/>
                      </w:divBdr>
                    </w:div>
                  </w:divsChild>
                </w:div>
                <w:div w:id="1272981411">
                  <w:marLeft w:val="0"/>
                  <w:marRight w:val="0"/>
                  <w:marTop w:val="0"/>
                  <w:marBottom w:val="0"/>
                  <w:divBdr>
                    <w:top w:val="none" w:sz="0" w:space="0" w:color="auto"/>
                    <w:left w:val="none" w:sz="0" w:space="0" w:color="auto"/>
                    <w:bottom w:val="none" w:sz="0" w:space="0" w:color="auto"/>
                    <w:right w:val="none" w:sz="0" w:space="0" w:color="auto"/>
                  </w:divBdr>
                  <w:divsChild>
                    <w:div w:id="1245451301">
                      <w:marLeft w:val="0"/>
                      <w:marRight w:val="0"/>
                      <w:marTop w:val="0"/>
                      <w:marBottom w:val="0"/>
                      <w:divBdr>
                        <w:top w:val="none" w:sz="0" w:space="0" w:color="auto"/>
                        <w:left w:val="none" w:sz="0" w:space="0" w:color="auto"/>
                        <w:bottom w:val="none" w:sz="0" w:space="0" w:color="auto"/>
                        <w:right w:val="none" w:sz="0" w:space="0" w:color="auto"/>
                      </w:divBdr>
                    </w:div>
                  </w:divsChild>
                </w:div>
                <w:div w:id="1326477169">
                  <w:marLeft w:val="0"/>
                  <w:marRight w:val="0"/>
                  <w:marTop w:val="0"/>
                  <w:marBottom w:val="0"/>
                  <w:divBdr>
                    <w:top w:val="none" w:sz="0" w:space="0" w:color="auto"/>
                    <w:left w:val="none" w:sz="0" w:space="0" w:color="auto"/>
                    <w:bottom w:val="none" w:sz="0" w:space="0" w:color="auto"/>
                    <w:right w:val="none" w:sz="0" w:space="0" w:color="auto"/>
                  </w:divBdr>
                  <w:divsChild>
                    <w:div w:id="2138791774">
                      <w:marLeft w:val="0"/>
                      <w:marRight w:val="0"/>
                      <w:marTop w:val="0"/>
                      <w:marBottom w:val="0"/>
                      <w:divBdr>
                        <w:top w:val="none" w:sz="0" w:space="0" w:color="auto"/>
                        <w:left w:val="none" w:sz="0" w:space="0" w:color="auto"/>
                        <w:bottom w:val="none" w:sz="0" w:space="0" w:color="auto"/>
                        <w:right w:val="none" w:sz="0" w:space="0" w:color="auto"/>
                      </w:divBdr>
                    </w:div>
                  </w:divsChild>
                </w:div>
                <w:div w:id="1357271782">
                  <w:marLeft w:val="0"/>
                  <w:marRight w:val="0"/>
                  <w:marTop w:val="0"/>
                  <w:marBottom w:val="0"/>
                  <w:divBdr>
                    <w:top w:val="none" w:sz="0" w:space="0" w:color="auto"/>
                    <w:left w:val="none" w:sz="0" w:space="0" w:color="auto"/>
                    <w:bottom w:val="none" w:sz="0" w:space="0" w:color="auto"/>
                    <w:right w:val="none" w:sz="0" w:space="0" w:color="auto"/>
                  </w:divBdr>
                  <w:divsChild>
                    <w:div w:id="1743605157">
                      <w:marLeft w:val="0"/>
                      <w:marRight w:val="0"/>
                      <w:marTop w:val="0"/>
                      <w:marBottom w:val="0"/>
                      <w:divBdr>
                        <w:top w:val="none" w:sz="0" w:space="0" w:color="auto"/>
                        <w:left w:val="none" w:sz="0" w:space="0" w:color="auto"/>
                        <w:bottom w:val="none" w:sz="0" w:space="0" w:color="auto"/>
                        <w:right w:val="none" w:sz="0" w:space="0" w:color="auto"/>
                      </w:divBdr>
                    </w:div>
                  </w:divsChild>
                </w:div>
                <w:div w:id="1385175445">
                  <w:marLeft w:val="0"/>
                  <w:marRight w:val="0"/>
                  <w:marTop w:val="0"/>
                  <w:marBottom w:val="0"/>
                  <w:divBdr>
                    <w:top w:val="none" w:sz="0" w:space="0" w:color="auto"/>
                    <w:left w:val="none" w:sz="0" w:space="0" w:color="auto"/>
                    <w:bottom w:val="none" w:sz="0" w:space="0" w:color="auto"/>
                    <w:right w:val="none" w:sz="0" w:space="0" w:color="auto"/>
                  </w:divBdr>
                  <w:divsChild>
                    <w:div w:id="1666005995">
                      <w:marLeft w:val="0"/>
                      <w:marRight w:val="0"/>
                      <w:marTop w:val="0"/>
                      <w:marBottom w:val="0"/>
                      <w:divBdr>
                        <w:top w:val="none" w:sz="0" w:space="0" w:color="auto"/>
                        <w:left w:val="none" w:sz="0" w:space="0" w:color="auto"/>
                        <w:bottom w:val="none" w:sz="0" w:space="0" w:color="auto"/>
                        <w:right w:val="none" w:sz="0" w:space="0" w:color="auto"/>
                      </w:divBdr>
                    </w:div>
                  </w:divsChild>
                </w:div>
                <w:div w:id="1401294944">
                  <w:marLeft w:val="0"/>
                  <w:marRight w:val="0"/>
                  <w:marTop w:val="0"/>
                  <w:marBottom w:val="0"/>
                  <w:divBdr>
                    <w:top w:val="none" w:sz="0" w:space="0" w:color="auto"/>
                    <w:left w:val="none" w:sz="0" w:space="0" w:color="auto"/>
                    <w:bottom w:val="none" w:sz="0" w:space="0" w:color="auto"/>
                    <w:right w:val="none" w:sz="0" w:space="0" w:color="auto"/>
                  </w:divBdr>
                  <w:divsChild>
                    <w:div w:id="2134473635">
                      <w:marLeft w:val="0"/>
                      <w:marRight w:val="0"/>
                      <w:marTop w:val="0"/>
                      <w:marBottom w:val="0"/>
                      <w:divBdr>
                        <w:top w:val="none" w:sz="0" w:space="0" w:color="auto"/>
                        <w:left w:val="none" w:sz="0" w:space="0" w:color="auto"/>
                        <w:bottom w:val="none" w:sz="0" w:space="0" w:color="auto"/>
                        <w:right w:val="none" w:sz="0" w:space="0" w:color="auto"/>
                      </w:divBdr>
                    </w:div>
                  </w:divsChild>
                </w:div>
                <w:div w:id="1429887302">
                  <w:marLeft w:val="0"/>
                  <w:marRight w:val="0"/>
                  <w:marTop w:val="0"/>
                  <w:marBottom w:val="0"/>
                  <w:divBdr>
                    <w:top w:val="none" w:sz="0" w:space="0" w:color="auto"/>
                    <w:left w:val="none" w:sz="0" w:space="0" w:color="auto"/>
                    <w:bottom w:val="none" w:sz="0" w:space="0" w:color="auto"/>
                    <w:right w:val="none" w:sz="0" w:space="0" w:color="auto"/>
                  </w:divBdr>
                  <w:divsChild>
                    <w:div w:id="1354301589">
                      <w:marLeft w:val="0"/>
                      <w:marRight w:val="0"/>
                      <w:marTop w:val="0"/>
                      <w:marBottom w:val="0"/>
                      <w:divBdr>
                        <w:top w:val="none" w:sz="0" w:space="0" w:color="auto"/>
                        <w:left w:val="none" w:sz="0" w:space="0" w:color="auto"/>
                        <w:bottom w:val="none" w:sz="0" w:space="0" w:color="auto"/>
                        <w:right w:val="none" w:sz="0" w:space="0" w:color="auto"/>
                      </w:divBdr>
                    </w:div>
                  </w:divsChild>
                </w:div>
                <w:div w:id="1743520820">
                  <w:marLeft w:val="0"/>
                  <w:marRight w:val="0"/>
                  <w:marTop w:val="0"/>
                  <w:marBottom w:val="0"/>
                  <w:divBdr>
                    <w:top w:val="none" w:sz="0" w:space="0" w:color="auto"/>
                    <w:left w:val="none" w:sz="0" w:space="0" w:color="auto"/>
                    <w:bottom w:val="none" w:sz="0" w:space="0" w:color="auto"/>
                    <w:right w:val="none" w:sz="0" w:space="0" w:color="auto"/>
                  </w:divBdr>
                  <w:divsChild>
                    <w:div w:id="1609652827">
                      <w:marLeft w:val="0"/>
                      <w:marRight w:val="0"/>
                      <w:marTop w:val="0"/>
                      <w:marBottom w:val="0"/>
                      <w:divBdr>
                        <w:top w:val="none" w:sz="0" w:space="0" w:color="auto"/>
                        <w:left w:val="none" w:sz="0" w:space="0" w:color="auto"/>
                        <w:bottom w:val="none" w:sz="0" w:space="0" w:color="auto"/>
                        <w:right w:val="none" w:sz="0" w:space="0" w:color="auto"/>
                      </w:divBdr>
                    </w:div>
                  </w:divsChild>
                </w:div>
                <w:div w:id="1813256800">
                  <w:marLeft w:val="0"/>
                  <w:marRight w:val="0"/>
                  <w:marTop w:val="0"/>
                  <w:marBottom w:val="0"/>
                  <w:divBdr>
                    <w:top w:val="none" w:sz="0" w:space="0" w:color="auto"/>
                    <w:left w:val="none" w:sz="0" w:space="0" w:color="auto"/>
                    <w:bottom w:val="none" w:sz="0" w:space="0" w:color="auto"/>
                    <w:right w:val="none" w:sz="0" w:space="0" w:color="auto"/>
                  </w:divBdr>
                  <w:divsChild>
                    <w:div w:id="541674541">
                      <w:marLeft w:val="0"/>
                      <w:marRight w:val="0"/>
                      <w:marTop w:val="0"/>
                      <w:marBottom w:val="0"/>
                      <w:divBdr>
                        <w:top w:val="none" w:sz="0" w:space="0" w:color="auto"/>
                        <w:left w:val="none" w:sz="0" w:space="0" w:color="auto"/>
                        <w:bottom w:val="none" w:sz="0" w:space="0" w:color="auto"/>
                        <w:right w:val="none" w:sz="0" w:space="0" w:color="auto"/>
                      </w:divBdr>
                    </w:div>
                  </w:divsChild>
                </w:div>
                <w:div w:id="1936084702">
                  <w:marLeft w:val="0"/>
                  <w:marRight w:val="0"/>
                  <w:marTop w:val="0"/>
                  <w:marBottom w:val="0"/>
                  <w:divBdr>
                    <w:top w:val="none" w:sz="0" w:space="0" w:color="auto"/>
                    <w:left w:val="none" w:sz="0" w:space="0" w:color="auto"/>
                    <w:bottom w:val="none" w:sz="0" w:space="0" w:color="auto"/>
                    <w:right w:val="none" w:sz="0" w:space="0" w:color="auto"/>
                  </w:divBdr>
                  <w:divsChild>
                    <w:div w:id="1700081083">
                      <w:marLeft w:val="0"/>
                      <w:marRight w:val="0"/>
                      <w:marTop w:val="0"/>
                      <w:marBottom w:val="0"/>
                      <w:divBdr>
                        <w:top w:val="none" w:sz="0" w:space="0" w:color="auto"/>
                        <w:left w:val="none" w:sz="0" w:space="0" w:color="auto"/>
                        <w:bottom w:val="none" w:sz="0" w:space="0" w:color="auto"/>
                        <w:right w:val="none" w:sz="0" w:space="0" w:color="auto"/>
                      </w:divBdr>
                    </w:div>
                  </w:divsChild>
                </w:div>
                <w:div w:id="1963879404">
                  <w:marLeft w:val="0"/>
                  <w:marRight w:val="0"/>
                  <w:marTop w:val="0"/>
                  <w:marBottom w:val="0"/>
                  <w:divBdr>
                    <w:top w:val="none" w:sz="0" w:space="0" w:color="auto"/>
                    <w:left w:val="none" w:sz="0" w:space="0" w:color="auto"/>
                    <w:bottom w:val="none" w:sz="0" w:space="0" w:color="auto"/>
                    <w:right w:val="none" w:sz="0" w:space="0" w:color="auto"/>
                  </w:divBdr>
                  <w:divsChild>
                    <w:div w:id="173095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654102">
          <w:marLeft w:val="0"/>
          <w:marRight w:val="0"/>
          <w:marTop w:val="0"/>
          <w:marBottom w:val="0"/>
          <w:divBdr>
            <w:top w:val="none" w:sz="0" w:space="0" w:color="auto"/>
            <w:left w:val="none" w:sz="0" w:space="0" w:color="auto"/>
            <w:bottom w:val="none" w:sz="0" w:space="0" w:color="auto"/>
            <w:right w:val="none" w:sz="0" w:space="0" w:color="auto"/>
          </w:divBdr>
        </w:div>
        <w:div w:id="1063941233">
          <w:marLeft w:val="0"/>
          <w:marRight w:val="0"/>
          <w:marTop w:val="0"/>
          <w:marBottom w:val="0"/>
          <w:divBdr>
            <w:top w:val="none" w:sz="0" w:space="0" w:color="auto"/>
            <w:left w:val="none" w:sz="0" w:space="0" w:color="auto"/>
            <w:bottom w:val="none" w:sz="0" w:space="0" w:color="auto"/>
            <w:right w:val="none" w:sz="0" w:space="0" w:color="auto"/>
          </w:divBdr>
        </w:div>
        <w:div w:id="1072659616">
          <w:marLeft w:val="0"/>
          <w:marRight w:val="0"/>
          <w:marTop w:val="0"/>
          <w:marBottom w:val="0"/>
          <w:divBdr>
            <w:top w:val="none" w:sz="0" w:space="0" w:color="auto"/>
            <w:left w:val="none" w:sz="0" w:space="0" w:color="auto"/>
            <w:bottom w:val="none" w:sz="0" w:space="0" w:color="auto"/>
            <w:right w:val="none" w:sz="0" w:space="0" w:color="auto"/>
          </w:divBdr>
        </w:div>
        <w:div w:id="1073163576">
          <w:marLeft w:val="0"/>
          <w:marRight w:val="0"/>
          <w:marTop w:val="0"/>
          <w:marBottom w:val="0"/>
          <w:divBdr>
            <w:top w:val="none" w:sz="0" w:space="0" w:color="auto"/>
            <w:left w:val="none" w:sz="0" w:space="0" w:color="auto"/>
            <w:bottom w:val="none" w:sz="0" w:space="0" w:color="auto"/>
            <w:right w:val="none" w:sz="0" w:space="0" w:color="auto"/>
          </w:divBdr>
        </w:div>
        <w:div w:id="1079672457">
          <w:marLeft w:val="0"/>
          <w:marRight w:val="0"/>
          <w:marTop w:val="0"/>
          <w:marBottom w:val="0"/>
          <w:divBdr>
            <w:top w:val="none" w:sz="0" w:space="0" w:color="auto"/>
            <w:left w:val="none" w:sz="0" w:space="0" w:color="auto"/>
            <w:bottom w:val="none" w:sz="0" w:space="0" w:color="auto"/>
            <w:right w:val="none" w:sz="0" w:space="0" w:color="auto"/>
          </w:divBdr>
        </w:div>
        <w:div w:id="1080373632">
          <w:marLeft w:val="0"/>
          <w:marRight w:val="0"/>
          <w:marTop w:val="0"/>
          <w:marBottom w:val="0"/>
          <w:divBdr>
            <w:top w:val="none" w:sz="0" w:space="0" w:color="auto"/>
            <w:left w:val="none" w:sz="0" w:space="0" w:color="auto"/>
            <w:bottom w:val="none" w:sz="0" w:space="0" w:color="auto"/>
            <w:right w:val="none" w:sz="0" w:space="0" w:color="auto"/>
          </w:divBdr>
          <w:divsChild>
            <w:div w:id="164133982">
              <w:marLeft w:val="0"/>
              <w:marRight w:val="0"/>
              <w:marTop w:val="0"/>
              <w:marBottom w:val="0"/>
              <w:divBdr>
                <w:top w:val="none" w:sz="0" w:space="0" w:color="auto"/>
                <w:left w:val="none" w:sz="0" w:space="0" w:color="auto"/>
                <w:bottom w:val="none" w:sz="0" w:space="0" w:color="auto"/>
                <w:right w:val="none" w:sz="0" w:space="0" w:color="auto"/>
              </w:divBdr>
            </w:div>
            <w:div w:id="209194891">
              <w:marLeft w:val="0"/>
              <w:marRight w:val="0"/>
              <w:marTop w:val="0"/>
              <w:marBottom w:val="0"/>
              <w:divBdr>
                <w:top w:val="none" w:sz="0" w:space="0" w:color="auto"/>
                <w:left w:val="none" w:sz="0" w:space="0" w:color="auto"/>
                <w:bottom w:val="none" w:sz="0" w:space="0" w:color="auto"/>
                <w:right w:val="none" w:sz="0" w:space="0" w:color="auto"/>
              </w:divBdr>
            </w:div>
            <w:div w:id="326398514">
              <w:marLeft w:val="0"/>
              <w:marRight w:val="0"/>
              <w:marTop w:val="0"/>
              <w:marBottom w:val="0"/>
              <w:divBdr>
                <w:top w:val="none" w:sz="0" w:space="0" w:color="auto"/>
                <w:left w:val="none" w:sz="0" w:space="0" w:color="auto"/>
                <w:bottom w:val="none" w:sz="0" w:space="0" w:color="auto"/>
                <w:right w:val="none" w:sz="0" w:space="0" w:color="auto"/>
              </w:divBdr>
            </w:div>
            <w:div w:id="410859271">
              <w:marLeft w:val="0"/>
              <w:marRight w:val="0"/>
              <w:marTop w:val="0"/>
              <w:marBottom w:val="0"/>
              <w:divBdr>
                <w:top w:val="none" w:sz="0" w:space="0" w:color="auto"/>
                <w:left w:val="none" w:sz="0" w:space="0" w:color="auto"/>
                <w:bottom w:val="none" w:sz="0" w:space="0" w:color="auto"/>
                <w:right w:val="none" w:sz="0" w:space="0" w:color="auto"/>
              </w:divBdr>
            </w:div>
            <w:div w:id="562255893">
              <w:marLeft w:val="0"/>
              <w:marRight w:val="0"/>
              <w:marTop w:val="0"/>
              <w:marBottom w:val="0"/>
              <w:divBdr>
                <w:top w:val="none" w:sz="0" w:space="0" w:color="auto"/>
                <w:left w:val="none" w:sz="0" w:space="0" w:color="auto"/>
                <w:bottom w:val="none" w:sz="0" w:space="0" w:color="auto"/>
                <w:right w:val="none" w:sz="0" w:space="0" w:color="auto"/>
              </w:divBdr>
            </w:div>
            <w:div w:id="643244973">
              <w:marLeft w:val="0"/>
              <w:marRight w:val="0"/>
              <w:marTop w:val="0"/>
              <w:marBottom w:val="0"/>
              <w:divBdr>
                <w:top w:val="none" w:sz="0" w:space="0" w:color="auto"/>
                <w:left w:val="none" w:sz="0" w:space="0" w:color="auto"/>
                <w:bottom w:val="none" w:sz="0" w:space="0" w:color="auto"/>
                <w:right w:val="none" w:sz="0" w:space="0" w:color="auto"/>
              </w:divBdr>
            </w:div>
            <w:div w:id="645941015">
              <w:marLeft w:val="0"/>
              <w:marRight w:val="0"/>
              <w:marTop w:val="0"/>
              <w:marBottom w:val="0"/>
              <w:divBdr>
                <w:top w:val="none" w:sz="0" w:space="0" w:color="auto"/>
                <w:left w:val="none" w:sz="0" w:space="0" w:color="auto"/>
                <w:bottom w:val="none" w:sz="0" w:space="0" w:color="auto"/>
                <w:right w:val="none" w:sz="0" w:space="0" w:color="auto"/>
              </w:divBdr>
            </w:div>
            <w:div w:id="646785447">
              <w:marLeft w:val="0"/>
              <w:marRight w:val="0"/>
              <w:marTop w:val="0"/>
              <w:marBottom w:val="0"/>
              <w:divBdr>
                <w:top w:val="none" w:sz="0" w:space="0" w:color="auto"/>
                <w:left w:val="none" w:sz="0" w:space="0" w:color="auto"/>
                <w:bottom w:val="none" w:sz="0" w:space="0" w:color="auto"/>
                <w:right w:val="none" w:sz="0" w:space="0" w:color="auto"/>
              </w:divBdr>
            </w:div>
            <w:div w:id="719667895">
              <w:marLeft w:val="0"/>
              <w:marRight w:val="0"/>
              <w:marTop w:val="0"/>
              <w:marBottom w:val="0"/>
              <w:divBdr>
                <w:top w:val="none" w:sz="0" w:space="0" w:color="auto"/>
                <w:left w:val="none" w:sz="0" w:space="0" w:color="auto"/>
                <w:bottom w:val="none" w:sz="0" w:space="0" w:color="auto"/>
                <w:right w:val="none" w:sz="0" w:space="0" w:color="auto"/>
              </w:divBdr>
            </w:div>
            <w:div w:id="930966951">
              <w:marLeft w:val="0"/>
              <w:marRight w:val="0"/>
              <w:marTop w:val="0"/>
              <w:marBottom w:val="0"/>
              <w:divBdr>
                <w:top w:val="none" w:sz="0" w:space="0" w:color="auto"/>
                <w:left w:val="none" w:sz="0" w:space="0" w:color="auto"/>
                <w:bottom w:val="none" w:sz="0" w:space="0" w:color="auto"/>
                <w:right w:val="none" w:sz="0" w:space="0" w:color="auto"/>
              </w:divBdr>
            </w:div>
            <w:div w:id="1205944393">
              <w:marLeft w:val="0"/>
              <w:marRight w:val="0"/>
              <w:marTop w:val="0"/>
              <w:marBottom w:val="0"/>
              <w:divBdr>
                <w:top w:val="none" w:sz="0" w:space="0" w:color="auto"/>
                <w:left w:val="none" w:sz="0" w:space="0" w:color="auto"/>
                <w:bottom w:val="none" w:sz="0" w:space="0" w:color="auto"/>
                <w:right w:val="none" w:sz="0" w:space="0" w:color="auto"/>
              </w:divBdr>
            </w:div>
            <w:div w:id="1215124016">
              <w:marLeft w:val="0"/>
              <w:marRight w:val="0"/>
              <w:marTop w:val="0"/>
              <w:marBottom w:val="0"/>
              <w:divBdr>
                <w:top w:val="none" w:sz="0" w:space="0" w:color="auto"/>
                <w:left w:val="none" w:sz="0" w:space="0" w:color="auto"/>
                <w:bottom w:val="none" w:sz="0" w:space="0" w:color="auto"/>
                <w:right w:val="none" w:sz="0" w:space="0" w:color="auto"/>
              </w:divBdr>
            </w:div>
            <w:div w:id="1237865617">
              <w:marLeft w:val="0"/>
              <w:marRight w:val="0"/>
              <w:marTop w:val="0"/>
              <w:marBottom w:val="0"/>
              <w:divBdr>
                <w:top w:val="none" w:sz="0" w:space="0" w:color="auto"/>
                <w:left w:val="none" w:sz="0" w:space="0" w:color="auto"/>
                <w:bottom w:val="none" w:sz="0" w:space="0" w:color="auto"/>
                <w:right w:val="none" w:sz="0" w:space="0" w:color="auto"/>
              </w:divBdr>
            </w:div>
            <w:div w:id="1303773338">
              <w:marLeft w:val="0"/>
              <w:marRight w:val="0"/>
              <w:marTop w:val="0"/>
              <w:marBottom w:val="0"/>
              <w:divBdr>
                <w:top w:val="none" w:sz="0" w:space="0" w:color="auto"/>
                <w:left w:val="none" w:sz="0" w:space="0" w:color="auto"/>
                <w:bottom w:val="none" w:sz="0" w:space="0" w:color="auto"/>
                <w:right w:val="none" w:sz="0" w:space="0" w:color="auto"/>
              </w:divBdr>
            </w:div>
            <w:div w:id="1319577710">
              <w:marLeft w:val="0"/>
              <w:marRight w:val="0"/>
              <w:marTop w:val="0"/>
              <w:marBottom w:val="0"/>
              <w:divBdr>
                <w:top w:val="none" w:sz="0" w:space="0" w:color="auto"/>
                <w:left w:val="none" w:sz="0" w:space="0" w:color="auto"/>
                <w:bottom w:val="none" w:sz="0" w:space="0" w:color="auto"/>
                <w:right w:val="none" w:sz="0" w:space="0" w:color="auto"/>
              </w:divBdr>
            </w:div>
            <w:div w:id="1337489982">
              <w:marLeft w:val="0"/>
              <w:marRight w:val="0"/>
              <w:marTop w:val="0"/>
              <w:marBottom w:val="0"/>
              <w:divBdr>
                <w:top w:val="none" w:sz="0" w:space="0" w:color="auto"/>
                <w:left w:val="none" w:sz="0" w:space="0" w:color="auto"/>
                <w:bottom w:val="none" w:sz="0" w:space="0" w:color="auto"/>
                <w:right w:val="none" w:sz="0" w:space="0" w:color="auto"/>
              </w:divBdr>
            </w:div>
            <w:div w:id="1477410367">
              <w:marLeft w:val="0"/>
              <w:marRight w:val="0"/>
              <w:marTop w:val="0"/>
              <w:marBottom w:val="0"/>
              <w:divBdr>
                <w:top w:val="none" w:sz="0" w:space="0" w:color="auto"/>
                <w:left w:val="none" w:sz="0" w:space="0" w:color="auto"/>
                <w:bottom w:val="none" w:sz="0" w:space="0" w:color="auto"/>
                <w:right w:val="none" w:sz="0" w:space="0" w:color="auto"/>
              </w:divBdr>
            </w:div>
            <w:div w:id="1477651430">
              <w:marLeft w:val="0"/>
              <w:marRight w:val="0"/>
              <w:marTop w:val="0"/>
              <w:marBottom w:val="0"/>
              <w:divBdr>
                <w:top w:val="none" w:sz="0" w:space="0" w:color="auto"/>
                <w:left w:val="none" w:sz="0" w:space="0" w:color="auto"/>
                <w:bottom w:val="none" w:sz="0" w:space="0" w:color="auto"/>
                <w:right w:val="none" w:sz="0" w:space="0" w:color="auto"/>
              </w:divBdr>
            </w:div>
            <w:div w:id="1540822717">
              <w:marLeft w:val="0"/>
              <w:marRight w:val="0"/>
              <w:marTop w:val="0"/>
              <w:marBottom w:val="0"/>
              <w:divBdr>
                <w:top w:val="none" w:sz="0" w:space="0" w:color="auto"/>
                <w:left w:val="none" w:sz="0" w:space="0" w:color="auto"/>
                <w:bottom w:val="none" w:sz="0" w:space="0" w:color="auto"/>
                <w:right w:val="none" w:sz="0" w:space="0" w:color="auto"/>
              </w:divBdr>
            </w:div>
            <w:div w:id="1549218915">
              <w:marLeft w:val="0"/>
              <w:marRight w:val="0"/>
              <w:marTop w:val="0"/>
              <w:marBottom w:val="0"/>
              <w:divBdr>
                <w:top w:val="none" w:sz="0" w:space="0" w:color="auto"/>
                <w:left w:val="none" w:sz="0" w:space="0" w:color="auto"/>
                <w:bottom w:val="none" w:sz="0" w:space="0" w:color="auto"/>
                <w:right w:val="none" w:sz="0" w:space="0" w:color="auto"/>
              </w:divBdr>
            </w:div>
          </w:divsChild>
        </w:div>
        <w:div w:id="1087118004">
          <w:marLeft w:val="0"/>
          <w:marRight w:val="0"/>
          <w:marTop w:val="0"/>
          <w:marBottom w:val="0"/>
          <w:divBdr>
            <w:top w:val="none" w:sz="0" w:space="0" w:color="auto"/>
            <w:left w:val="none" w:sz="0" w:space="0" w:color="auto"/>
            <w:bottom w:val="none" w:sz="0" w:space="0" w:color="auto"/>
            <w:right w:val="none" w:sz="0" w:space="0" w:color="auto"/>
          </w:divBdr>
          <w:divsChild>
            <w:div w:id="104009757">
              <w:marLeft w:val="0"/>
              <w:marRight w:val="0"/>
              <w:marTop w:val="0"/>
              <w:marBottom w:val="0"/>
              <w:divBdr>
                <w:top w:val="none" w:sz="0" w:space="0" w:color="auto"/>
                <w:left w:val="none" w:sz="0" w:space="0" w:color="auto"/>
                <w:bottom w:val="none" w:sz="0" w:space="0" w:color="auto"/>
                <w:right w:val="none" w:sz="0" w:space="0" w:color="auto"/>
              </w:divBdr>
            </w:div>
            <w:div w:id="279848738">
              <w:marLeft w:val="0"/>
              <w:marRight w:val="0"/>
              <w:marTop w:val="0"/>
              <w:marBottom w:val="0"/>
              <w:divBdr>
                <w:top w:val="none" w:sz="0" w:space="0" w:color="auto"/>
                <w:left w:val="none" w:sz="0" w:space="0" w:color="auto"/>
                <w:bottom w:val="none" w:sz="0" w:space="0" w:color="auto"/>
                <w:right w:val="none" w:sz="0" w:space="0" w:color="auto"/>
              </w:divBdr>
            </w:div>
            <w:div w:id="283197021">
              <w:marLeft w:val="0"/>
              <w:marRight w:val="0"/>
              <w:marTop w:val="0"/>
              <w:marBottom w:val="0"/>
              <w:divBdr>
                <w:top w:val="none" w:sz="0" w:space="0" w:color="auto"/>
                <w:left w:val="none" w:sz="0" w:space="0" w:color="auto"/>
                <w:bottom w:val="none" w:sz="0" w:space="0" w:color="auto"/>
                <w:right w:val="none" w:sz="0" w:space="0" w:color="auto"/>
              </w:divBdr>
            </w:div>
            <w:div w:id="380902709">
              <w:marLeft w:val="0"/>
              <w:marRight w:val="0"/>
              <w:marTop w:val="0"/>
              <w:marBottom w:val="0"/>
              <w:divBdr>
                <w:top w:val="none" w:sz="0" w:space="0" w:color="auto"/>
                <w:left w:val="none" w:sz="0" w:space="0" w:color="auto"/>
                <w:bottom w:val="none" w:sz="0" w:space="0" w:color="auto"/>
                <w:right w:val="none" w:sz="0" w:space="0" w:color="auto"/>
              </w:divBdr>
            </w:div>
            <w:div w:id="514074170">
              <w:marLeft w:val="0"/>
              <w:marRight w:val="0"/>
              <w:marTop w:val="0"/>
              <w:marBottom w:val="0"/>
              <w:divBdr>
                <w:top w:val="none" w:sz="0" w:space="0" w:color="auto"/>
                <w:left w:val="none" w:sz="0" w:space="0" w:color="auto"/>
                <w:bottom w:val="none" w:sz="0" w:space="0" w:color="auto"/>
                <w:right w:val="none" w:sz="0" w:space="0" w:color="auto"/>
              </w:divBdr>
            </w:div>
            <w:div w:id="589657553">
              <w:marLeft w:val="0"/>
              <w:marRight w:val="0"/>
              <w:marTop w:val="0"/>
              <w:marBottom w:val="0"/>
              <w:divBdr>
                <w:top w:val="none" w:sz="0" w:space="0" w:color="auto"/>
                <w:left w:val="none" w:sz="0" w:space="0" w:color="auto"/>
                <w:bottom w:val="none" w:sz="0" w:space="0" w:color="auto"/>
                <w:right w:val="none" w:sz="0" w:space="0" w:color="auto"/>
              </w:divBdr>
            </w:div>
            <w:div w:id="642929158">
              <w:marLeft w:val="0"/>
              <w:marRight w:val="0"/>
              <w:marTop w:val="0"/>
              <w:marBottom w:val="0"/>
              <w:divBdr>
                <w:top w:val="none" w:sz="0" w:space="0" w:color="auto"/>
                <w:left w:val="none" w:sz="0" w:space="0" w:color="auto"/>
                <w:bottom w:val="none" w:sz="0" w:space="0" w:color="auto"/>
                <w:right w:val="none" w:sz="0" w:space="0" w:color="auto"/>
              </w:divBdr>
            </w:div>
            <w:div w:id="863445751">
              <w:marLeft w:val="0"/>
              <w:marRight w:val="0"/>
              <w:marTop w:val="0"/>
              <w:marBottom w:val="0"/>
              <w:divBdr>
                <w:top w:val="none" w:sz="0" w:space="0" w:color="auto"/>
                <w:left w:val="none" w:sz="0" w:space="0" w:color="auto"/>
                <w:bottom w:val="none" w:sz="0" w:space="0" w:color="auto"/>
                <w:right w:val="none" w:sz="0" w:space="0" w:color="auto"/>
              </w:divBdr>
            </w:div>
            <w:div w:id="915019896">
              <w:marLeft w:val="0"/>
              <w:marRight w:val="0"/>
              <w:marTop w:val="0"/>
              <w:marBottom w:val="0"/>
              <w:divBdr>
                <w:top w:val="none" w:sz="0" w:space="0" w:color="auto"/>
                <w:left w:val="none" w:sz="0" w:space="0" w:color="auto"/>
                <w:bottom w:val="none" w:sz="0" w:space="0" w:color="auto"/>
                <w:right w:val="none" w:sz="0" w:space="0" w:color="auto"/>
              </w:divBdr>
            </w:div>
            <w:div w:id="946230079">
              <w:marLeft w:val="0"/>
              <w:marRight w:val="0"/>
              <w:marTop w:val="0"/>
              <w:marBottom w:val="0"/>
              <w:divBdr>
                <w:top w:val="none" w:sz="0" w:space="0" w:color="auto"/>
                <w:left w:val="none" w:sz="0" w:space="0" w:color="auto"/>
                <w:bottom w:val="none" w:sz="0" w:space="0" w:color="auto"/>
                <w:right w:val="none" w:sz="0" w:space="0" w:color="auto"/>
              </w:divBdr>
            </w:div>
            <w:div w:id="960377390">
              <w:marLeft w:val="0"/>
              <w:marRight w:val="0"/>
              <w:marTop w:val="0"/>
              <w:marBottom w:val="0"/>
              <w:divBdr>
                <w:top w:val="none" w:sz="0" w:space="0" w:color="auto"/>
                <w:left w:val="none" w:sz="0" w:space="0" w:color="auto"/>
                <w:bottom w:val="none" w:sz="0" w:space="0" w:color="auto"/>
                <w:right w:val="none" w:sz="0" w:space="0" w:color="auto"/>
              </w:divBdr>
            </w:div>
            <w:div w:id="1029529204">
              <w:marLeft w:val="0"/>
              <w:marRight w:val="0"/>
              <w:marTop w:val="0"/>
              <w:marBottom w:val="0"/>
              <w:divBdr>
                <w:top w:val="none" w:sz="0" w:space="0" w:color="auto"/>
                <w:left w:val="none" w:sz="0" w:space="0" w:color="auto"/>
                <w:bottom w:val="none" w:sz="0" w:space="0" w:color="auto"/>
                <w:right w:val="none" w:sz="0" w:space="0" w:color="auto"/>
              </w:divBdr>
            </w:div>
            <w:div w:id="1037390574">
              <w:marLeft w:val="0"/>
              <w:marRight w:val="0"/>
              <w:marTop w:val="0"/>
              <w:marBottom w:val="0"/>
              <w:divBdr>
                <w:top w:val="none" w:sz="0" w:space="0" w:color="auto"/>
                <w:left w:val="none" w:sz="0" w:space="0" w:color="auto"/>
                <w:bottom w:val="none" w:sz="0" w:space="0" w:color="auto"/>
                <w:right w:val="none" w:sz="0" w:space="0" w:color="auto"/>
              </w:divBdr>
            </w:div>
            <w:div w:id="1049374485">
              <w:marLeft w:val="0"/>
              <w:marRight w:val="0"/>
              <w:marTop w:val="0"/>
              <w:marBottom w:val="0"/>
              <w:divBdr>
                <w:top w:val="none" w:sz="0" w:space="0" w:color="auto"/>
                <w:left w:val="none" w:sz="0" w:space="0" w:color="auto"/>
                <w:bottom w:val="none" w:sz="0" w:space="0" w:color="auto"/>
                <w:right w:val="none" w:sz="0" w:space="0" w:color="auto"/>
              </w:divBdr>
            </w:div>
            <w:div w:id="1200359319">
              <w:marLeft w:val="0"/>
              <w:marRight w:val="0"/>
              <w:marTop w:val="0"/>
              <w:marBottom w:val="0"/>
              <w:divBdr>
                <w:top w:val="none" w:sz="0" w:space="0" w:color="auto"/>
                <w:left w:val="none" w:sz="0" w:space="0" w:color="auto"/>
                <w:bottom w:val="none" w:sz="0" w:space="0" w:color="auto"/>
                <w:right w:val="none" w:sz="0" w:space="0" w:color="auto"/>
              </w:divBdr>
            </w:div>
            <w:div w:id="1411199591">
              <w:marLeft w:val="0"/>
              <w:marRight w:val="0"/>
              <w:marTop w:val="0"/>
              <w:marBottom w:val="0"/>
              <w:divBdr>
                <w:top w:val="none" w:sz="0" w:space="0" w:color="auto"/>
                <w:left w:val="none" w:sz="0" w:space="0" w:color="auto"/>
                <w:bottom w:val="none" w:sz="0" w:space="0" w:color="auto"/>
                <w:right w:val="none" w:sz="0" w:space="0" w:color="auto"/>
              </w:divBdr>
            </w:div>
            <w:div w:id="1834301141">
              <w:marLeft w:val="0"/>
              <w:marRight w:val="0"/>
              <w:marTop w:val="0"/>
              <w:marBottom w:val="0"/>
              <w:divBdr>
                <w:top w:val="none" w:sz="0" w:space="0" w:color="auto"/>
                <w:left w:val="none" w:sz="0" w:space="0" w:color="auto"/>
                <w:bottom w:val="none" w:sz="0" w:space="0" w:color="auto"/>
                <w:right w:val="none" w:sz="0" w:space="0" w:color="auto"/>
              </w:divBdr>
            </w:div>
            <w:div w:id="1871452570">
              <w:marLeft w:val="0"/>
              <w:marRight w:val="0"/>
              <w:marTop w:val="0"/>
              <w:marBottom w:val="0"/>
              <w:divBdr>
                <w:top w:val="none" w:sz="0" w:space="0" w:color="auto"/>
                <w:left w:val="none" w:sz="0" w:space="0" w:color="auto"/>
                <w:bottom w:val="none" w:sz="0" w:space="0" w:color="auto"/>
                <w:right w:val="none" w:sz="0" w:space="0" w:color="auto"/>
              </w:divBdr>
            </w:div>
            <w:div w:id="2003460378">
              <w:marLeft w:val="0"/>
              <w:marRight w:val="0"/>
              <w:marTop w:val="0"/>
              <w:marBottom w:val="0"/>
              <w:divBdr>
                <w:top w:val="none" w:sz="0" w:space="0" w:color="auto"/>
                <w:left w:val="none" w:sz="0" w:space="0" w:color="auto"/>
                <w:bottom w:val="none" w:sz="0" w:space="0" w:color="auto"/>
                <w:right w:val="none" w:sz="0" w:space="0" w:color="auto"/>
              </w:divBdr>
            </w:div>
          </w:divsChild>
        </w:div>
        <w:div w:id="1096557558">
          <w:marLeft w:val="0"/>
          <w:marRight w:val="0"/>
          <w:marTop w:val="0"/>
          <w:marBottom w:val="0"/>
          <w:divBdr>
            <w:top w:val="none" w:sz="0" w:space="0" w:color="auto"/>
            <w:left w:val="none" w:sz="0" w:space="0" w:color="auto"/>
            <w:bottom w:val="none" w:sz="0" w:space="0" w:color="auto"/>
            <w:right w:val="none" w:sz="0" w:space="0" w:color="auto"/>
          </w:divBdr>
        </w:div>
        <w:div w:id="1103382162">
          <w:marLeft w:val="0"/>
          <w:marRight w:val="0"/>
          <w:marTop w:val="0"/>
          <w:marBottom w:val="0"/>
          <w:divBdr>
            <w:top w:val="none" w:sz="0" w:space="0" w:color="auto"/>
            <w:left w:val="none" w:sz="0" w:space="0" w:color="auto"/>
            <w:bottom w:val="none" w:sz="0" w:space="0" w:color="auto"/>
            <w:right w:val="none" w:sz="0" w:space="0" w:color="auto"/>
          </w:divBdr>
        </w:div>
        <w:div w:id="1108693544">
          <w:marLeft w:val="0"/>
          <w:marRight w:val="0"/>
          <w:marTop w:val="0"/>
          <w:marBottom w:val="0"/>
          <w:divBdr>
            <w:top w:val="none" w:sz="0" w:space="0" w:color="auto"/>
            <w:left w:val="none" w:sz="0" w:space="0" w:color="auto"/>
            <w:bottom w:val="none" w:sz="0" w:space="0" w:color="auto"/>
            <w:right w:val="none" w:sz="0" w:space="0" w:color="auto"/>
          </w:divBdr>
        </w:div>
        <w:div w:id="1115102236">
          <w:marLeft w:val="0"/>
          <w:marRight w:val="0"/>
          <w:marTop w:val="0"/>
          <w:marBottom w:val="0"/>
          <w:divBdr>
            <w:top w:val="none" w:sz="0" w:space="0" w:color="auto"/>
            <w:left w:val="none" w:sz="0" w:space="0" w:color="auto"/>
            <w:bottom w:val="none" w:sz="0" w:space="0" w:color="auto"/>
            <w:right w:val="none" w:sz="0" w:space="0" w:color="auto"/>
          </w:divBdr>
        </w:div>
        <w:div w:id="1131903589">
          <w:marLeft w:val="0"/>
          <w:marRight w:val="0"/>
          <w:marTop w:val="0"/>
          <w:marBottom w:val="0"/>
          <w:divBdr>
            <w:top w:val="none" w:sz="0" w:space="0" w:color="auto"/>
            <w:left w:val="none" w:sz="0" w:space="0" w:color="auto"/>
            <w:bottom w:val="none" w:sz="0" w:space="0" w:color="auto"/>
            <w:right w:val="none" w:sz="0" w:space="0" w:color="auto"/>
          </w:divBdr>
          <w:divsChild>
            <w:div w:id="99840690">
              <w:marLeft w:val="0"/>
              <w:marRight w:val="0"/>
              <w:marTop w:val="0"/>
              <w:marBottom w:val="0"/>
              <w:divBdr>
                <w:top w:val="none" w:sz="0" w:space="0" w:color="auto"/>
                <w:left w:val="none" w:sz="0" w:space="0" w:color="auto"/>
                <w:bottom w:val="none" w:sz="0" w:space="0" w:color="auto"/>
                <w:right w:val="none" w:sz="0" w:space="0" w:color="auto"/>
              </w:divBdr>
            </w:div>
            <w:div w:id="110831201">
              <w:marLeft w:val="0"/>
              <w:marRight w:val="0"/>
              <w:marTop w:val="0"/>
              <w:marBottom w:val="0"/>
              <w:divBdr>
                <w:top w:val="none" w:sz="0" w:space="0" w:color="auto"/>
                <w:left w:val="none" w:sz="0" w:space="0" w:color="auto"/>
                <w:bottom w:val="none" w:sz="0" w:space="0" w:color="auto"/>
                <w:right w:val="none" w:sz="0" w:space="0" w:color="auto"/>
              </w:divBdr>
            </w:div>
            <w:div w:id="239020961">
              <w:marLeft w:val="0"/>
              <w:marRight w:val="0"/>
              <w:marTop w:val="0"/>
              <w:marBottom w:val="0"/>
              <w:divBdr>
                <w:top w:val="none" w:sz="0" w:space="0" w:color="auto"/>
                <w:left w:val="none" w:sz="0" w:space="0" w:color="auto"/>
                <w:bottom w:val="none" w:sz="0" w:space="0" w:color="auto"/>
                <w:right w:val="none" w:sz="0" w:space="0" w:color="auto"/>
              </w:divBdr>
            </w:div>
            <w:div w:id="445124327">
              <w:marLeft w:val="0"/>
              <w:marRight w:val="0"/>
              <w:marTop w:val="0"/>
              <w:marBottom w:val="0"/>
              <w:divBdr>
                <w:top w:val="none" w:sz="0" w:space="0" w:color="auto"/>
                <w:left w:val="none" w:sz="0" w:space="0" w:color="auto"/>
                <w:bottom w:val="none" w:sz="0" w:space="0" w:color="auto"/>
                <w:right w:val="none" w:sz="0" w:space="0" w:color="auto"/>
              </w:divBdr>
            </w:div>
            <w:div w:id="513766516">
              <w:marLeft w:val="0"/>
              <w:marRight w:val="0"/>
              <w:marTop w:val="0"/>
              <w:marBottom w:val="0"/>
              <w:divBdr>
                <w:top w:val="none" w:sz="0" w:space="0" w:color="auto"/>
                <w:left w:val="none" w:sz="0" w:space="0" w:color="auto"/>
                <w:bottom w:val="none" w:sz="0" w:space="0" w:color="auto"/>
                <w:right w:val="none" w:sz="0" w:space="0" w:color="auto"/>
              </w:divBdr>
            </w:div>
            <w:div w:id="550725296">
              <w:marLeft w:val="0"/>
              <w:marRight w:val="0"/>
              <w:marTop w:val="0"/>
              <w:marBottom w:val="0"/>
              <w:divBdr>
                <w:top w:val="none" w:sz="0" w:space="0" w:color="auto"/>
                <w:left w:val="none" w:sz="0" w:space="0" w:color="auto"/>
                <w:bottom w:val="none" w:sz="0" w:space="0" w:color="auto"/>
                <w:right w:val="none" w:sz="0" w:space="0" w:color="auto"/>
              </w:divBdr>
            </w:div>
            <w:div w:id="639726143">
              <w:marLeft w:val="0"/>
              <w:marRight w:val="0"/>
              <w:marTop w:val="0"/>
              <w:marBottom w:val="0"/>
              <w:divBdr>
                <w:top w:val="none" w:sz="0" w:space="0" w:color="auto"/>
                <w:left w:val="none" w:sz="0" w:space="0" w:color="auto"/>
                <w:bottom w:val="none" w:sz="0" w:space="0" w:color="auto"/>
                <w:right w:val="none" w:sz="0" w:space="0" w:color="auto"/>
              </w:divBdr>
            </w:div>
            <w:div w:id="705253213">
              <w:marLeft w:val="0"/>
              <w:marRight w:val="0"/>
              <w:marTop w:val="0"/>
              <w:marBottom w:val="0"/>
              <w:divBdr>
                <w:top w:val="none" w:sz="0" w:space="0" w:color="auto"/>
                <w:left w:val="none" w:sz="0" w:space="0" w:color="auto"/>
                <w:bottom w:val="none" w:sz="0" w:space="0" w:color="auto"/>
                <w:right w:val="none" w:sz="0" w:space="0" w:color="auto"/>
              </w:divBdr>
            </w:div>
            <w:div w:id="856695532">
              <w:marLeft w:val="0"/>
              <w:marRight w:val="0"/>
              <w:marTop w:val="0"/>
              <w:marBottom w:val="0"/>
              <w:divBdr>
                <w:top w:val="none" w:sz="0" w:space="0" w:color="auto"/>
                <w:left w:val="none" w:sz="0" w:space="0" w:color="auto"/>
                <w:bottom w:val="none" w:sz="0" w:space="0" w:color="auto"/>
                <w:right w:val="none" w:sz="0" w:space="0" w:color="auto"/>
              </w:divBdr>
            </w:div>
            <w:div w:id="889997447">
              <w:marLeft w:val="0"/>
              <w:marRight w:val="0"/>
              <w:marTop w:val="0"/>
              <w:marBottom w:val="0"/>
              <w:divBdr>
                <w:top w:val="none" w:sz="0" w:space="0" w:color="auto"/>
                <w:left w:val="none" w:sz="0" w:space="0" w:color="auto"/>
                <w:bottom w:val="none" w:sz="0" w:space="0" w:color="auto"/>
                <w:right w:val="none" w:sz="0" w:space="0" w:color="auto"/>
              </w:divBdr>
            </w:div>
            <w:div w:id="1238131590">
              <w:marLeft w:val="0"/>
              <w:marRight w:val="0"/>
              <w:marTop w:val="0"/>
              <w:marBottom w:val="0"/>
              <w:divBdr>
                <w:top w:val="none" w:sz="0" w:space="0" w:color="auto"/>
                <w:left w:val="none" w:sz="0" w:space="0" w:color="auto"/>
                <w:bottom w:val="none" w:sz="0" w:space="0" w:color="auto"/>
                <w:right w:val="none" w:sz="0" w:space="0" w:color="auto"/>
              </w:divBdr>
            </w:div>
            <w:div w:id="1241713777">
              <w:marLeft w:val="0"/>
              <w:marRight w:val="0"/>
              <w:marTop w:val="0"/>
              <w:marBottom w:val="0"/>
              <w:divBdr>
                <w:top w:val="none" w:sz="0" w:space="0" w:color="auto"/>
                <w:left w:val="none" w:sz="0" w:space="0" w:color="auto"/>
                <w:bottom w:val="none" w:sz="0" w:space="0" w:color="auto"/>
                <w:right w:val="none" w:sz="0" w:space="0" w:color="auto"/>
              </w:divBdr>
            </w:div>
            <w:div w:id="1291087471">
              <w:marLeft w:val="0"/>
              <w:marRight w:val="0"/>
              <w:marTop w:val="0"/>
              <w:marBottom w:val="0"/>
              <w:divBdr>
                <w:top w:val="none" w:sz="0" w:space="0" w:color="auto"/>
                <w:left w:val="none" w:sz="0" w:space="0" w:color="auto"/>
                <w:bottom w:val="none" w:sz="0" w:space="0" w:color="auto"/>
                <w:right w:val="none" w:sz="0" w:space="0" w:color="auto"/>
              </w:divBdr>
            </w:div>
            <w:div w:id="1332368797">
              <w:marLeft w:val="0"/>
              <w:marRight w:val="0"/>
              <w:marTop w:val="0"/>
              <w:marBottom w:val="0"/>
              <w:divBdr>
                <w:top w:val="none" w:sz="0" w:space="0" w:color="auto"/>
                <w:left w:val="none" w:sz="0" w:space="0" w:color="auto"/>
                <w:bottom w:val="none" w:sz="0" w:space="0" w:color="auto"/>
                <w:right w:val="none" w:sz="0" w:space="0" w:color="auto"/>
              </w:divBdr>
            </w:div>
            <w:div w:id="1516730939">
              <w:marLeft w:val="0"/>
              <w:marRight w:val="0"/>
              <w:marTop w:val="0"/>
              <w:marBottom w:val="0"/>
              <w:divBdr>
                <w:top w:val="none" w:sz="0" w:space="0" w:color="auto"/>
                <w:left w:val="none" w:sz="0" w:space="0" w:color="auto"/>
                <w:bottom w:val="none" w:sz="0" w:space="0" w:color="auto"/>
                <w:right w:val="none" w:sz="0" w:space="0" w:color="auto"/>
              </w:divBdr>
            </w:div>
            <w:div w:id="1557861630">
              <w:marLeft w:val="0"/>
              <w:marRight w:val="0"/>
              <w:marTop w:val="0"/>
              <w:marBottom w:val="0"/>
              <w:divBdr>
                <w:top w:val="none" w:sz="0" w:space="0" w:color="auto"/>
                <w:left w:val="none" w:sz="0" w:space="0" w:color="auto"/>
                <w:bottom w:val="none" w:sz="0" w:space="0" w:color="auto"/>
                <w:right w:val="none" w:sz="0" w:space="0" w:color="auto"/>
              </w:divBdr>
            </w:div>
            <w:div w:id="1719236201">
              <w:marLeft w:val="0"/>
              <w:marRight w:val="0"/>
              <w:marTop w:val="0"/>
              <w:marBottom w:val="0"/>
              <w:divBdr>
                <w:top w:val="none" w:sz="0" w:space="0" w:color="auto"/>
                <w:left w:val="none" w:sz="0" w:space="0" w:color="auto"/>
                <w:bottom w:val="none" w:sz="0" w:space="0" w:color="auto"/>
                <w:right w:val="none" w:sz="0" w:space="0" w:color="auto"/>
              </w:divBdr>
            </w:div>
            <w:div w:id="1782606597">
              <w:marLeft w:val="0"/>
              <w:marRight w:val="0"/>
              <w:marTop w:val="0"/>
              <w:marBottom w:val="0"/>
              <w:divBdr>
                <w:top w:val="none" w:sz="0" w:space="0" w:color="auto"/>
                <w:left w:val="none" w:sz="0" w:space="0" w:color="auto"/>
                <w:bottom w:val="none" w:sz="0" w:space="0" w:color="auto"/>
                <w:right w:val="none" w:sz="0" w:space="0" w:color="auto"/>
              </w:divBdr>
            </w:div>
            <w:div w:id="2011366945">
              <w:marLeft w:val="0"/>
              <w:marRight w:val="0"/>
              <w:marTop w:val="0"/>
              <w:marBottom w:val="0"/>
              <w:divBdr>
                <w:top w:val="none" w:sz="0" w:space="0" w:color="auto"/>
                <w:left w:val="none" w:sz="0" w:space="0" w:color="auto"/>
                <w:bottom w:val="none" w:sz="0" w:space="0" w:color="auto"/>
                <w:right w:val="none" w:sz="0" w:space="0" w:color="auto"/>
              </w:divBdr>
            </w:div>
            <w:div w:id="2119442715">
              <w:marLeft w:val="0"/>
              <w:marRight w:val="0"/>
              <w:marTop w:val="0"/>
              <w:marBottom w:val="0"/>
              <w:divBdr>
                <w:top w:val="none" w:sz="0" w:space="0" w:color="auto"/>
                <w:left w:val="none" w:sz="0" w:space="0" w:color="auto"/>
                <w:bottom w:val="none" w:sz="0" w:space="0" w:color="auto"/>
                <w:right w:val="none" w:sz="0" w:space="0" w:color="auto"/>
              </w:divBdr>
            </w:div>
          </w:divsChild>
        </w:div>
        <w:div w:id="1148397335">
          <w:marLeft w:val="0"/>
          <w:marRight w:val="0"/>
          <w:marTop w:val="0"/>
          <w:marBottom w:val="0"/>
          <w:divBdr>
            <w:top w:val="none" w:sz="0" w:space="0" w:color="auto"/>
            <w:left w:val="none" w:sz="0" w:space="0" w:color="auto"/>
            <w:bottom w:val="none" w:sz="0" w:space="0" w:color="auto"/>
            <w:right w:val="none" w:sz="0" w:space="0" w:color="auto"/>
          </w:divBdr>
        </w:div>
        <w:div w:id="1184174467">
          <w:marLeft w:val="0"/>
          <w:marRight w:val="0"/>
          <w:marTop w:val="0"/>
          <w:marBottom w:val="0"/>
          <w:divBdr>
            <w:top w:val="none" w:sz="0" w:space="0" w:color="auto"/>
            <w:left w:val="none" w:sz="0" w:space="0" w:color="auto"/>
            <w:bottom w:val="none" w:sz="0" w:space="0" w:color="auto"/>
            <w:right w:val="none" w:sz="0" w:space="0" w:color="auto"/>
          </w:divBdr>
        </w:div>
        <w:div w:id="1186794226">
          <w:marLeft w:val="0"/>
          <w:marRight w:val="0"/>
          <w:marTop w:val="0"/>
          <w:marBottom w:val="0"/>
          <w:divBdr>
            <w:top w:val="none" w:sz="0" w:space="0" w:color="auto"/>
            <w:left w:val="none" w:sz="0" w:space="0" w:color="auto"/>
            <w:bottom w:val="none" w:sz="0" w:space="0" w:color="auto"/>
            <w:right w:val="none" w:sz="0" w:space="0" w:color="auto"/>
          </w:divBdr>
        </w:div>
        <w:div w:id="1211112451">
          <w:marLeft w:val="0"/>
          <w:marRight w:val="0"/>
          <w:marTop w:val="0"/>
          <w:marBottom w:val="0"/>
          <w:divBdr>
            <w:top w:val="none" w:sz="0" w:space="0" w:color="auto"/>
            <w:left w:val="none" w:sz="0" w:space="0" w:color="auto"/>
            <w:bottom w:val="none" w:sz="0" w:space="0" w:color="auto"/>
            <w:right w:val="none" w:sz="0" w:space="0" w:color="auto"/>
          </w:divBdr>
        </w:div>
        <w:div w:id="1220557613">
          <w:marLeft w:val="0"/>
          <w:marRight w:val="0"/>
          <w:marTop w:val="0"/>
          <w:marBottom w:val="0"/>
          <w:divBdr>
            <w:top w:val="none" w:sz="0" w:space="0" w:color="auto"/>
            <w:left w:val="none" w:sz="0" w:space="0" w:color="auto"/>
            <w:bottom w:val="none" w:sz="0" w:space="0" w:color="auto"/>
            <w:right w:val="none" w:sz="0" w:space="0" w:color="auto"/>
          </w:divBdr>
        </w:div>
        <w:div w:id="1222253622">
          <w:marLeft w:val="0"/>
          <w:marRight w:val="0"/>
          <w:marTop w:val="0"/>
          <w:marBottom w:val="0"/>
          <w:divBdr>
            <w:top w:val="none" w:sz="0" w:space="0" w:color="auto"/>
            <w:left w:val="none" w:sz="0" w:space="0" w:color="auto"/>
            <w:bottom w:val="none" w:sz="0" w:space="0" w:color="auto"/>
            <w:right w:val="none" w:sz="0" w:space="0" w:color="auto"/>
          </w:divBdr>
        </w:div>
        <w:div w:id="1236361810">
          <w:marLeft w:val="0"/>
          <w:marRight w:val="0"/>
          <w:marTop w:val="0"/>
          <w:marBottom w:val="0"/>
          <w:divBdr>
            <w:top w:val="none" w:sz="0" w:space="0" w:color="auto"/>
            <w:left w:val="none" w:sz="0" w:space="0" w:color="auto"/>
            <w:bottom w:val="none" w:sz="0" w:space="0" w:color="auto"/>
            <w:right w:val="none" w:sz="0" w:space="0" w:color="auto"/>
          </w:divBdr>
          <w:divsChild>
            <w:div w:id="338242672">
              <w:marLeft w:val="0"/>
              <w:marRight w:val="0"/>
              <w:marTop w:val="0"/>
              <w:marBottom w:val="0"/>
              <w:divBdr>
                <w:top w:val="none" w:sz="0" w:space="0" w:color="auto"/>
                <w:left w:val="none" w:sz="0" w:space="0" w:color="auto"/>
                <w:bottom w:val="none" w:sz="0" w:space="0" w:color="auto"/>
                <w:right w:val="none" w:sz="0" w:space="0" w:color="auto"/>
              </w:divBdr>
            </w:div>
            <w:div w:id="402802158">
              <w:marLeft w:val="0"/>
              <w:marRight w:val="0"/>
              <w:marTop w:val="0"/>
              <w:marBottom w:val="0"/>
              <w:divBdr>
                <w:top w:val="none" w:sz="0" w:space="0" w:color="auto"/>
                <w:left w:val="none" w:sz="0" w:space="0" w:color="auto"/>
                <w:bottom w:val="none" w:sz="0" w:space="0" w:color="auto"/>
                <w:right w:val="none" w:sz="0" w:space="0" w:color="auto"/>
              </w:divBdr>
            </w:div>
            <w:div w:id="625045089">
              <w:marLeft w:val="0"/>
              <w:marRight w:val="0"/>
              <w:marTop w:val="0"/>
              <w:marBottom w:val="0"/>
              <w:divBdr>
                <w:top w:val="none" w:sz="0" w:space="0" w:color="auto"/>
                <w:left w:val="none" w:sz="0" w:space="0" w:color="auto"/>
                <w:bottom w:val="none" w:sz="0" w:space="0" w:color="auto"/>
                <w:right w:val="none" w:sz="0" w:space="0" w:color="auto"/>
              </w:divBdr>
            </w:div>
            <w:div w:id="846141026">
              <w:marLeft w:val="0"/>
              <w:marRight w:val="0"/>
              <w:marTop w:val="0"/>
              <w:marBottom w:val="0"/>
              <w:divBdr>
                <w:top w:val="none" w:sz="0" w:space="0" w:color="auto"/>
                <w:left w:val="none" w:sz="0" w:space="0" w:color="auto"/>
                <w:bottom w:val="none" w:sz="0" w:space="0" w:color="auto"/>
                <w:right w:val="none" w:sz="0" w:space="0" w:color="auto"/>
              </w:divBdr>
            </w:div>
            <w:div w:id="945767685">
              <w:marLeft w:val="0"/>
              <w:marRight w:val="0"/>
              <w:marTop w:val="0"/>
              <w:marBottom w:val="0"/>
              <w:divBdr>
                <w:top w:val="none" w:sz="0" w:space="0" w:color="auto"/>
                <w:left w:val="none" w:sz="0" w:space="0" w:color="auto"/>
                <w:bottom w:val="none" w:sz="0" w:space="0" w:color="auto"/>
                <w:right w:val="none" w:sz="0" w:space="0" w:color="auto"/>
              </w:divBdr>
            </w:div>
            <w:div w:id="954095340">
              <w:marLeft w:val="0"/>
              <w:marRight w:val="0"/>
              <w:marTop w:val="0"/>
              <w:marBottom w:val="0"/>
              <w:divBdr>
                <w:top w:val="none" w:sz="0" w:space="0" w:color="auto"/>
                <w:left w:val="none" w:sz="0" w:space="0" w:color="auto"/>
                <w:bottom w:val="none" w:sz="0" w:space="0" w:color="auto"/>
                <w:right w:val="none" w:sz="0" w:space="0" w:color="auto"/>
              </w:divBdr>
            </w:div>
            <w:div w:id="981080075">
              <w:marLeft w:val="0"/>
              <w:marRight w:val="0"/>
              <w:marTop w:val="0"/>
              <w:marBottom w:val="0"/>
              <w:divBdr>
                <w:top w:val="none" w:sz="0" w:space="0" w:color="auto"/>
                <w:left w:val="none" w:sz="0" w:space="0" w:color="auto"/>
                <w:bottom w:val="none" w:sz="0" w:space="0" w:color="auto"/>
                <w:right w:val="none" w:sz="0" w:space="0" w:color="auto"/>
              </w:divBdr>
            </w:div>
            <w:div w:id="982197652">
              <w:marLeft w:val="0"/>
              <w:marRight w:val="0"/>
              <w:marTop w:val="0"/>
              <w:marBottom w:val="0"/>
              <w:divBdr>
                <w:top w:val="none" w:sz="0" w:space="0" w:color="auto"/>
                <w:left w:val="none" w:sz="0" w:space="0" w:color="auto"/>
                <w:bottom w:val="none" w:sz="0" w:space="0" w:color="auto"/>
                <w:right w:val="none" w:sz="0" w:space="0" w:color="auto"/>
              </w:divBdr>
            </w:div>
            <w:div w:id="1027829168">
              <w:marLeft w:val="0"/>
              <w:marRight w:val="0"/>
              <w:marTop w:val="0"/>
              <w:marBottom w:val="0"/>
              <w:divBdr>
                <w:top w:val="none" w:sz="0" w:space="0" w:color="auto"/>
                <w:left w:val="none" w:sz="0" w:space="0" w:color="auto"/>
                <w:bottom w:val="none" w:sz="0" w:space="0" w:color="auto"/>
                <w:right w:val="none" w:sz="0" w:space="0" w:color="auto"/>
              </w:divBdr>
            </w:div>
            <w:div w:id="1073969439">
              <w:marLeft w:val="0"/>
              <w:marRight w:val="0"/>
              <w:marTop w:val="0"/>
              <w:marBottom w:val="0"/>
              <w:divBdr>
                <w:top w:val="none" w:sz="0" w:space="0" w:color="auto"/>
                <w:left w:val="none" w:sz="0" w:space="0" w:color="auto"/>
                <w:bottom w:val="none" w:sz="0" w:space="0" w:color="auto"/>
                <w:right w:val="none" w:sz="0" w:space="0" w:color="auto"/>
              </w:divBdr>
            </w:div>
            <w:div w:id="1153252176">
              <w:marLeft w:val="0"/>
              <w:marRight w:val="0"/>
              <w:marTop w:val="0"/>
              <w:marBottom w:val="0"/>
              <w:divBdr>
                <w:top w:val="none" w:sz="0" w:space="0" w:color="auto"/>
                <w:left w:val="none" w:sz="0" w:space="0" w:color="auto"/>
                <w:bottom w:val="none" w:sz="0" w:space="0" w:color="auto"/>
                <w:right w:val="none" w:sz="0" w:space="0" w:color="auto"/>
              </w:divBdr>
            </w:div>
            <w:div w:id="1203248212">
              <w:marLeft w:val="0"/>
              <w:marRight w:val="0"/>
              <w:marTop w:val="0"/>
              <w:marBottom w:val="0"/>
              <w:divBdr>
                <w:top w:val="none" w:sz="0" w:space="0" w:color="auto"/>
                <w:left w:val="none" w:sz="0" w:space="0" w:color="auto"/>
                <w:bottom w:val="none" w:sz="0" w:space="0" w:color="auto"/>
                <w:right w:val="none" w:sz="0" w:space="0" w:color="auto"/>
              </w:divBdr>
            </w:div>
            <w:div w:id="1257057038">
              <w:marLeft w:val="0"/>
              <w:marRight w:val="0"/>
              <w:marTop w:val="0"/>
              <w:marBottom w:val="0"/>
              <w:divBdr>
                <w:top w:val="none" w:sz="0" w:space="0" w:color="auto"/>
                <w:left w:val="none" w:sz="0" w:space="0" w:color="auto"/>
                <w:bottom w:val="none" w:sz="0" w:space="0" w:color="auto"/>
                <w:right w:val="none" w:sz="0" w:space="0" w:color="auto"/>
              </w:divBdr>
            </w:div>
            <w:div w:id="1381511666">
              <w:marLeft w:val="0"/>
              <w:marRight w:val="0"/>
              <w:marTop w:val="0"/>
              <w:marBottom w:val="0"/>
              <w:divBdr>
                <w:top w:val="none" w:sz="0" w:space="0" w:color="auto"/>
                <w:left w:val="none" w:sz="0" w:space="0" w:color="auto"/>
                <w:bottom w:val="none" w:sz="0" w:space="0" w:color="auto"/>
                <w:right w:val="none" w:sz="0" w:space="0" w:color="auto"/>
              </w:divBdr>
            </w:div>
            <w:div w:id="1539005876">
              <w:marLeft w:val="0"/>
              <w:marRight w:val="0"/>
              <w:marTop w:val="0"/>
              <w:marBottom w:val="0"/>
              <w:divBdr>
                <w:top w:val="none" w:sz="0" w:space="0" w:color="auto"/>
                <w:left w:val="none" w:sz="0" w:space="0" w:color="auto"/>
                <w:bottom w:val="none" w:sz="0" w:space="0" w:color="auto"/>
                <w:right w:val="none" w:sz="0" w:space="0" w:color="auto"/>
              </w:divBdr>
            </w:div>
            <w:div w:id="1600137967">
              <w:marLeft w:val="0"/>
              <w:marRight w:val="0"/>
              <w:marTop w:val="0"/>
              <w:marBottom w:val="0"/>
              <w:divBdr>
                <w:top w:val="none" w:sz="0" w:space="0" w:color="auto"/>
                <w:left w:val="none" w:sz="0" w:space="0" w:color="auto"/>
                <w:bottom w:val="none" w:sz="0" w:space="0" w:color="auto"/>
                <w:right w:val="none" w:sz="0" w:space="0" w:color="auto"/>
              </w:divBdr>
            </w:div>
            <w:div w:id="1668945140">
              <w:marLeft w:val="0"/>
              <w:marRight w:val="0"/>
              <w:marTop w:val="0"/>
              <w:marBottom w:val="0"/>
              <w:divBdr>
                <w:top w:val="none" w:sz="0" w:space="0" w:color="auto"/>
                <w:left w:val="none" w:sz="0" w:space="0" w:color="auto"/>
                <w:bottom w:val="none" w:sz="0" w:space="0" w:color="auto"/>
                <w:right w:val="none" w:sz="0" w:space="0" w:color="auto"/>
              </w:divBdr>
            </w:div>
            <w:div w:id="1816987010">
              <w:marLeft w:val="0"/>
              <w:marRight w:val="0"/>
              <w:marTop w:val="0"/>
              <w:marBottom w:val="0"/>
              <w:divBdr>
                <w:top w:val="none" w:sz="0" w:space="0" w:color="auto"/>
                <w:left w:val="none" w:sz="0" w:space="0" w:color="auto"/>
                <w:bottom w:val="none" w:sz="0" w:space="0" w:color="auto"/>
                <w:right w:val="none" w:sz="0" w:space="0" w:color="auto"/>
              </w:divBdr>
            </w:div>
            <w:div w:id="1824201561">
              <w:marLeft w:val="0"/>
              <w:marRight w:val="0"/>
              <w:marTop w:val="0"/>
              <w:marBottom w:val="0"/>
              <w:divBdr>
                <w:top w:val="none" w:sz="0" w:space="0" w:color="auto"/>
                <w:left w:val="none" w:sz="0" w:space="0" w:color="auto"/>
                <w:bottom w:val="none" w:sz="0" w:space="0" w:color="auto"/>
                <w:right w:val="none" w:sz="0" w:space="0" w:color="auto"/>
              </w:divBdr>
            </w:div>
            <w:div w:id="1948736506">
              <w:marLeft w:val="0"/>
              <w:marRight w:val="0"/>
              <w:marTop w:val="0"/>
              <w:marBottom w:val="0"/>
              <w:divBdr>
                <w:top w:val="none" w:sz="0" w:space="0" w:color="auto"/>
                <w:left w:val="none" w:sz="0" w:space="0" w:color="auto"/>
                <w:bottom w:val="none" w:sz="0" w:space="0" w:color="auto"/>
                <w:right w:val="none" w:sz="0" w:space="0" w:color="auto"/>
              </w:divBdr>
            </w:div>
          </w:divsChild>
        </w:div>
        <w:div w:id="1237398853">
          <w:marLeft w:val="0"/>
          <w:marRight w:val="0"/>
          <w:marTop w:val="0"/>
          <w:marBottom w:val="0"/>
          <w:divBdr>
            <w:top w:val="none" w:sz="0" w:space="0" w:color="auto"/>
            <w:left w:val="none" w:sz="0" w:space="0" w:color="auto"/>
            <w:bottom w:val="none" w:sz="0" w:space="0" w:color="auto"/>
            <w:right w:val="none" w:sz="0" w:space="0" w:color="auto"/>
          </w:divBdr>
        </w:div>
        <w:div w:id="1297025700">
          <w:marLeft w:val="0"/>
          <w:marRight w:val="0"/>
          <w:marTop w:val="0"/>
          <w:marBottom w:val="0"/>
          <w:divBdr>
            <w:top w:val="none" w:sz="0" w:space="0" w:color="auto"/>
            <w:left w:val="none" w:sz="0" w:space="0" w:color="auto"/>
            <w:bottom w:val="none" w:sz="0" w:space="0" w:color="auto"/>
            <w:right w:val="none" w:sz="0" w:space="0" w:color="auto"/>
          </w:divBdr>
        </w:div>
        <w:div w:id="1314219555">
          <w:marLeft w:val="0"/>
          <w:marRight w:val="0"/>
          <w:marTop w:val="0"/>
          <w:marBottom w:val="0"/>
          <w:divBdr>
            <w:top w:val="none" w:sz="0" w:space="0" w:color="auto"/>
            <w:left w:val="none" w:sz="0" w:space="0" w:color="auto"/>
            <w:bottom w:val="none" w:sz="0" w:space="0" w:color="auto"/>
            <w:right w:val="none" w:sz="0" w:space="0" w:color="auto"/>
          </w:divBdr>
        </w:div>
        <w:div w:id="1330987055">
          <w:marLeft w:val="0"/>
          <w:marRight w:val="0"/>
          <w:marTop w:val="0"/>
          <w:marBottom w:val="0"/>
          <w:divBdr>
            <w:top w:val="none" w:sz="0" w:space="0" w:color="auto"/>
            <w:left w:val="none" w:sz="0" w:space="0" w:color="auto"/>
            <w:bottom w:val="none" w:sz="0" w:space="0" w:color="auto"/>
            <w:right w:val="none" w:sz="0" w:space="0" w:color="auto"/>
          </w:divBdr>
          <w:divsChild>
            <w:div w:id="69429118">
              <w:marLeft w:val="0"/>
              <w:marRight w:val="0"/>
              <w:marTop w:val="0"/>
              <w:marBottom w:val="0"/>
              <w:divBdr>
                <w:top w:val="none" w:sz="0" w:space="0" w:color="auto"/>
                <w:left w:val="none" w:sz="0" w:space="0" w:color="auto"/>
                <w:bottom w:val="none" w:sz="0" w:space="0" w:color="auto"/>
                <w:right w:val="none" w:sz="0" w:space="0" w:color="auto"/>
              </w:divBdr>
            </w:div>
            <w:div w:id="159004915">
              <w:marLeft w:val="0"/>
              <w:marRight w:val="0"/>
              <w:marTop w:val="0"/>
              <w:marBottom w:val="0"/>
              <w:divBdr>
                <w:top w:val="none" w:sz="0" w:space="0" w:color="auto"/>
                <w:left w:val="none" w:sz="0" w:space="0" w:color="auto"/>
                <w:bottom w:val="none" w:sz="0" w:space="0" w:color="auto"/>
                <w:right w:val="none" w:sz="0" w:space="0" w:color="auto"/>
              </w:divBdr>
            </w:div>
            <w:div w:id="264266052">
              <w:marLeft w:val="0"/>
              <w:marRight w:val="0"/>
              <w:marTop w:val="0"/>
              <w:marBottom w:val="0"/>
              <w:divBdr>
                <w:top w:val="none" w:sz="0" w:space="0" w:color="auto"/>
                <w:left w:val="none" w:sz="0" w:space="0" w:color="auto"/>
                <w:bottom w:val="none" w:sz="0" w:space="0" w:color="auto"/>
                <w:right w:val="none" w:sz="0" w:space="0" w:color="auto"/>
              </w:divBdr>
            </w:div>
            <w:div w:id="274214947">
              <w:marLeft w:val="0"/>
              <w:marRight w:val="0"/>
              <w:marTop w:val="0"/>
              <w:marBottom w:val="0"/>
              <w:divBdr>
                <w:top w:val="none" w:sz="0" w:space="0" w:color="auto"/>
                <w:left w:val="none" w:sz="0" w:space="0" w:color="auto"/>
                <w:bottom w:val="none" w:sz="0" w:space="0" w:color="auto"/>
                <w:right w:val="none" w:sz="0" w:space="0" w:color="auto"/>
              </w:divBdr>
            </w:div>
            <w:div w:id="318967608">
              <w:marLeft w:val="0"/>
              <w:marRight w:val="0"/>
              <w:marTop w:val="0"/>
              <w:marBottom w:val="0"/>
              <w:divBdr>
                <w:top w:val="none" w:sz="0" w:space="0" w:color="auto"/>
                <w:left w:val="none" w:sz="0" w:space="0" w:color="auto"/>
                <w:bottom w:val="none" w:sz="0" w:space="0" w:color="auto"/>
                <w:right w:val="none" w:sz="0" w:space="0" w:color="auto"/>
              </w:divBdr>
            </w:div>
            <w:div w:id="334499498">
              <w:marLeft w:val="0"/>
              <w:marRight w:val="0"/>
              <w:marTop w:val="0"/>
              <w:marBottom w:val="0"/>
              <w:divBdr>
                <w:top w:val="none" w:sz="0" w:space="0" w:color="auto"/>
                <w:left w:val="none" w:sz="0" w:space="0" w:color="auto"/>
                <w:bottom w:val="none" w:sz="0" w:space="0" w:color="auto"/>
                <w:right w:val="none" w:sz="0" w:space="0" w:color="auto"/>
              </w:divBdr>
            </w:div>
            <w:div w:id="396172435">
              <w:marLeft w:val="0"/>
              <w:marRight w:val="0"/>
              <w:marTop w:val="0"/>
              <w:marBottom w:val="0"/>
              <w:divBdr>
                <w:top w:val="none" w:sz="0" w:space="0" w:color="auto"/>
                <w:left w:val="none" w:sz="0" w:space="0" w:color="auto"/>
                <w:bottom w:val="none" w:sz="0" w:space="0" w:color="auto"/>
                <w:right w:val="none" w:sz="0" w:space="0" w:color="auto"/>
              </w:divBdr>
            </w:div>
            <w:div w:id="427429491">
              <w:marLeft w:val="0"/>
              <w:marRight w:val="0"/>
              <w:marTop w:val="0"/>
              <w:marBottom w:val="0"/>
              <w:divBdr>
                <w:top w:val="none" w:sz="0" w:space="0" w:color="auto"/>
                <w:left w:val="none" w:sz="0" w:space="0" w:color="auto"/>
                <w:bottom w:val="none" w:sz="0" w:space="0" w:color="auto"/>
                <w:right w:val="none" w:sz="0" w:space="0" w:color="auto"/>
              </w:divBdr>
            </w:div>
            <w:div w:id="454106587">
              <w:marLeft w:val="0"/>
              <w:marRight w:val="0"/>
              <w:marTop w:val="0"/>
              <w:marBottom w:val="0"/>
              <w:divBdr>
                <w:top w:val="none" w:sz="0" w:space="0" w:color="auto"/>
                <w:left w:val="none" w:sz="0" w:space="0" w:color="auto"/>
                <w:bottom w:val="none" w:sz="0" w:space="0" w:color="auto"/>
                <w:right w:val="none" w:sz="0" w:space="0" w:color="auto"/>
              </w:divBdr>
            </w:div>
            <w:div w:id="497767320">
              <w:marLeft w:val="0"/>
              <w:marRight w:val="0"/>
              <w:marTop w:val="0"/>
              <w:marBottom w:val="0"/>
              <w:divBdr>
                <w:top w:val="none" w:sz="0" w:space="0" w:color="auto"/>
                <w:left w:val="none" w:sz="0" w:space="0" w:color="auto"/>
                <w:bottom w:val="none" w:sz="0" w:space="0" w:color="auto"/>
                <w:right w:val="none" w:sz="0" w:space="0" w:color="auto"/>
              </w:divBdr>
            </w:div>
            <w:div w:id="626472854">
              <w:marLeft w:val="0"/>
              <w:marRight w:val="0"/>
              <w:marTop w:val="0"/>
              <w:marBottom w:val="0"/>
              <w:divBdr>
                <w:top w:val="none" w:sz="0" w:space="0" w:color="auto"/>
                <w:left w:val="none" w:sz="0" w:space="0" w:color="auto"/>
                <w:bottom w:val="none" w:sz="0" w:space="0" w:color="auto"/>
                <w:right w:val="none" w:sz="0" w:space="0" w:color="auto"/>
              </w:divBdr>
            </w:div>
            <w:div w:id="651525478">
              <w:marLeft w:val="0"/>
              <w:marRight w:val="0"/>
              <w:marTop w:val="0"/>
              <w:marBottom w:val="0"/>
              <w:divBdr>
                <w:top w:val="none" w:sz="0" w:space="0" w:color="auto"/>
                <w:left w:val="none" w:sz="0" w:space="0" w:color="auto"/>
                <w:bottom w:val="none" w:sz="0" w:space="0" w:color="auto"/>
                <w:right w:val="none" w:sz="0" w:space="0" w:color="auto"/>
              </w:divBdr>
            </w:div>
            <w:div w:id="749230582">
              <w:marLeft w:val="0"/>
              <w:marRight w:val="0"/>
              <w:marTop w:val="0"/>
              <w:marBottom w:val="0"/>
              <w:divBdr>
                <w:top w:val="none" w:sz="0" w:space="0" w:color="auto"/>
                <w:left w:val="none" w:sz="0" w:space="0" w:color="auto"/>
                <w:bottom w:val="none" w:sz="0" w:space="0" w:color="auto"/>
                <w:right w:val="none" w:sz="0" w:space="0" w:color="auto"/>
              </w:divBdr>
            </w:div>
            <w:div w:id="956906721">
              <w:marLeft w:val="0"/>
              <w:marRight w:val="0"/>
              <w:marTop w:val="0"/>
              <w:marBottom w:val="0"/>
              <w:divBdr>
                <w:top w:val="none" w:sz="0" w:space="0" w:color="auto"/>
                <w:left w:val="none" w:sz="0" w:space="0" w:color="auto"/>
                <w:bottom w:val="none" w:sz="0" w:space="0" w:color="auto"/>
                <w:right w:val="none" w:sz="0" w:space="0" w:color="auto"/>
              </w:divBdr>
            </w:div>
            <w:div w:id="959804962">
              <w:marLeft w:val="0"/>
              <w:marRight w:val="0"/>
              <w:marTop w:val="0"/>
              <w:marBottom w:val="0"/>
              <w:divBdr>
                <w:top w:val="none" w:sz="0" w:space="0" w:color="auto"/>
                <w:left w:val="none" w:sz="0" w:space="0" w:color="auto"/>
                <w:bottom w:val="none" w:sz="0" w:space="0" w:color="auto"/>
                <w:right w:val="none" w:sz="0" w:space="0" w:color="auto"/>
              </w:divBdr>
            </w:div>
            <w:div w:id="1291743182">
              <w:marLeft w:val="0"/>
              <w:marRight w:val="0"/>
              <w:marTop w:val="0"/>
              <w:marBottom w:val="0"/>
              <w:divBdr>
                <w:top w:val="none" w:sz="0" w:space="0" w:color="auto"/>
                <w:left w:val="none" w:sz="0" w:space="0" w:color="auto"/>
                <w:bottom w:val="none" w:sz="0" w:space="0" w:color="auto"/>
                <w:right w:val="none" w:sz="0" w:space="0" w:color="auto"/>
              </w:divBdr>
            </w:div>
            <w:div w:id="1459101878">
              <w:marLeft w:val="0"/>
              <w:marRight w:val="0"/>
              <w:marTop w:val="0"/>
              <w:marBottom w:val="0"/>
              <w:divBdr>
                <w:top w:val="none" w:sz="0" w:space="0" w:color="auto"/>
                <w:left w:val="none" w:sz="0" w:space="0" w:color="auto"/>
                <w:bottom w:val="none" w:sz="0" w:space="0" w:color="auto"/>
                <w:right w:val="none" w:sz="0" w:space="0" w:color="auto"/>
              </w:divBdr>
            </w:div>
            <w:div w:id="1545681154">
              <w:marLeft w:val="0"/>
              <w:marRight w:val="0"/>
              <w:marTop w:val="0"/>
              <w:marBottom w:val="0"/>
              <w:divBdr>
                <w:top w:val="none" w:sz="0" w:space="0" w:color="auto"/>
                <w:left w:val="none" w:sz="0" w:space="0" w:color="auto"/>
                <w:bottom w:val="none" w:sz="0" w:space="0" w:color="auto"/>
                <w:right w:val="none" w:sz="0" w:space="0" w:color="auto"/>
              </w:divBdr>
            </w:div>
            <w:div w:id="1566406162">
              <w:marLeft w:val="0"/>
              <w:marRight w:val="0"/>
              <w:marTop w:val="0"/>
              <w:marBottom w:val="0"/>
              <w:divBdr>
                <w:top w:val="none" w:sz="0" w:space="0" w:color="auto"/>
                <w:left w:val="none" w:sz="0" w:space="0" w:color="auto"/>
                <w:bottom w:val="none" w:sz="0" w:space="0" w:color="auto"/>
                <w:right w:val="none" w:sz="0" w:space="0" w:color="auto"/>
              </w:divBdr>
            </w:div>
            <w:div w:id="1568564438">
              <w:marLeft w:val="0"/>
              <w:marRight w:val="0"/>
              <w:marTop w:val="0"/>
              <w:marBottom w:val="0"/>
              <w:divBdr>
                <w:top w:val="none" w:sz="0" w:space="0" w:color="auto"/>
                <w:left w:val="none" w:sz="0" w:space="0" w:color="auto"/>
                <w:bottom w:val="none" w:sz="0" w:space="0" w:color="auto"/>
                <w:right w:val="none" w:sz="0" w:space="0" w:color="auto"/>
              </w:divBdr>
            </w:div>
            <w:div w:id="1584605847">
              <w:marLeft w:val="0"/>
              <w:marRight w:val="0"/>
              <w:marTop w:val="0"/>
              <w:marBottom w:val="0"/>
              <w:divBdr>
                <w:top w:val="none" w:sz="0" w:space="0" w:color="auto"/>
                <w:left w:val="none" w:sz="0" w:space="0" w:color="auto"/>
                <w:bottom w:val="none" w:sz="0" w:space="0" w:color="auto"/>
                <w:right w:val="none" w:sz="0" w:space="0" w:color="auto"/>
              </w:divBdr>
            </w:div>
            <w:div w:id="1609464958">
              <w:marLeft w:val="0"/>
              <w:marRight w:val="0"/>
              <w:marTop w:val="0"/>
              <w:marBottom w:val="0"/>
              <w:divBdr>
                <w:top w:val="none" w:sz="0" w:space="0" w:color="auto"/>
                <w:left w:val="none" w:sz="0" w:space="0" w:color="auto"/>
                <w:bottom w:val="none" w:sz="0" w:space="0" w:color="auto"/>
                <w:right w:val="none" w:sz="0" w:space="0" w:color="auto"/>
              </w:divBdr>
            </w:div>
            <w:div w:id="1805078105">
              <w:marLeft w:val="0"/>
              <w:marRight w:val="0"/>
              <w:marTop w:val="0"/>
              <w:marBottom w:val="0"/>
              <w:divBdr>
                <w:top w:val="none" w:sz="0" w:space="0" w:color="auto"/>
                <w:left w:val="none" w:sz="0" w:space="0" w:color="auto"/>
                <w:bottom w:val="none" w:sz="0" w:space="0" w:color="auto"/>
                <w:right w:val="none" w:sz="0" w:space="0" w:color="auto"/>
              </w:divBdr>
            </w:div>
            <w:div w:id="2111194237">
              <w:marLeft w:val="0"/>
              <w:marRight w:val="0"/>
              <w:marTop w:val="0"/>
              <w:marBottom w:val="0"/>
              <w:divBdr>
                <w:top w:val="none" w:sz="0" w:space="0" w:color="auto"/>
                <w:left w:val="none" w:sz="0" w:space="0" w:color="auto"/>
                <w:bottom w:val="none" w:sz="0" w:space="0" w:color="auto"/>
                <w:right w:val="none" w:sz="0" w:space="0" w:color="auto"/>
              </w:divBdr>
            </w:div>
          </w:divsChild>
        </w:div>
        <w:div w:id="1344556173">
          <w:marLeft w:val="0"/>
          <w:marRight w:val="0"/>
          <w:marTop w:val="0"/>
          <w:marBottom w:val="0"/>
          <w:divBdr>
            <w:top w:val="none" w:sz="0" w:space="0" w:color="auto"/>
            <w:left w:val="none" w:sz="0" w:space="0" w:color="auto"/>
            <w:bottom w:val="none" w:sz="0" w:space="0" w:color="auto"/>
            <w:right w:val="none" w:sz="0" w:space="0" w:color="auto"/>
          </w:divBdr>
        </w:div>
        <w:div w:id="1350333024">
          <w:marLeft w:val="0"/>
          <w:marRight w:val="0"/>
          <w:marTop w:val="0"/>
          <w:marBottom w:val="0"/>
          <w:divBdr>
            <w:top w:val="none" w:sz="0" w:space="0" w:color="auto"/>
            <w:left w:val="none" w:sz="0" w:space="0" w:color="auto"/>
            <w:bottom w:val="none" w:sz="0" w:space="0" w:color="auto"/>
            <w:right w:val="none" w:sz="0" w:space="0" w:color="auto"/>
          </w:divBdr>
          <w:divsChild>
            <w:div w:id="215315421">
              <w:marLeft w:val="0"/>
              <w:marRight w:val="0"/>
              <w:marTop w:val="0"/>
              <w:marBottom w:val="0"/>
              <w:divBdr>
                <w:top w:val="none" w:sz="0" w:space="0" w:color="auto"/>
                <w:left w:val="none" w:sz="0" w:space="0" w:color="auto"/>
                <w:bottom w:val="none" w:sz="0" w:space="0" w:color="auto"/>
                <w:right w:val="none" w:sz="0" w:space="0" w:color="auto"/>
              </w:divBdr>
            </w:div>
            <w:div w:id="469597729">
              <w:marLeft w:val="0"/>
              <w:marRight w:val="0"/>
              <w:marTop w:val="0"/>
              <w:marBottom w:val="0"/>
              <w:divBdr>
                <w:top w:val="none" w:sz="0" w:space="0" w:color="auto"/>
                <w:left w:val="none" w:sz="0" w:space="0" w:color="auto"/>
                <w:bottom w:val="none" w:sz="0" w:space="0" w:color="auto"/>
                <w:right w:val="none" w:sz="0" w:space="0" w:color="auto"/>
              </w:divBdr>
            </w:div>
            <w:div w:id="671300507">
              <w:marLeft w:val="0"/>
              <w:marRight w:val="0"/>
              <w:marTop w:val="0"/>
              <w:marBottom w:val="0"/>
              <w:divBdr>
                <w:top w:val="none" w:sz="0" w:space="0" w:color="auto"/>
                <w:left w:val="none" w:sz="0" w:space="0" w:color="auto"/>
                <w:bottom w:val="none" w:sz="0" w:space="0" w:color="auto"/>
                <w:right w:val="none" w:sz="0" w:space="0" w:color="auto"/>
              </w:divBdr>
            </w:div>
            <w:div w:id="765926829">
              <w:marLeft w:val="0"/>
              <w:marRight w:val="0"/>
              <w:marTop w:val="0"/>
              <w:marBottom w:val="0"/>
              <w:divBdr>
                <w:top w:val="none" w:sz="0" w:space="0" w:color="auto"/>
                <w:left w:val="none" w:sz="0" w:space="0" w:color="auto"/>
                <w:bottom w:val="none" w:sz="0" w:space="0" w:color="auto"/>
                <w:right w:val="none" w:sz="0" w:space="0" w:color="auto"/>
              </w:divBdr>
            </w:div>
            <w:div w:id="835344534">
              <w:marLeft w:val="0"/>
              <w:marRight w:val="0"/>
              <w:marTop w:val="0"/>
              <w:marBottom w:val="0"/>
              <w:divBdr>
                <w:top w:val="none" w:sz="0" w:space="0" w:color="auto"/>
                <w:left w:val="none" w:sz="0" w:space="0" w:color="auto"/>
                <w:bottom w:val="none" w:sz="0" w:space="0" w:color="auto"/>
                <w:right w:val="none" w:sz="0" w:space="0" w:color="auto"/>
              </w:divBdr>
            </w:div>
            <w:div w:id="848300357">
              <w:marLeft w:val="0"/>
              <w:marRight w:val="0"/>
              <w:marTop w:val="0"/>
              <w:marBottom w:val="0"/>
              <w:divBdr>
                <w:top w:val="none" w:sz="0" w:space="0" w:color="auto"/>
                <w:left w:val="none" w:sz="0" w:space="0" w:color="auto"/>
                <w:bottom w:val="none" w:sz="0" w:space="0" w:color="auto"/>
                <w:right w:val="none" w:sz="0" w:space="0" w:color="auto"/>
              </w:divBdr>
            </w:div>
            <w:div w:id="892815541">
              <w:marLeft w:val="0"/>
              <w:marRight w:val="0"/>
              <w:marTop w:val="0"/>
              <w:marBottom w:val="0"/>
              <w:divBdr>
                <w:top w:val="none" w:sz="0" w:space="0" w:color="auto"/>
                <w:left w:val="none" w:sz="0" w:space="0" w:color="auto"/>
                <w:bottom w:val="none" w:sz="0" w:space="0" w:color="auto"/>
                <w:right w:val="none" w:sz="0" w:space="0" w:color="auto"/>
              </w:divBdr>
            </w:div>
            <w:div w:id="1150901900">
              <w:marLeft w:val="0"/>
              <w:marRight w:val="0"/>
              <w:marTop w:val="0"/>
              <w:marBottom w:val="0"/>
              <w:divBdr>
                <w:top w:val="none" w:sz="0" w:space="0" w:color="auto"/>
                <w:left w:val="none" w:sz="0" w:space="0" w:color="auto"/>
                <w:bottom w:val="none" w:sz="0" w:space="0" w:color="auto"/>
                <w:right w:val="none" w:sz="0" w:space="0" w:color="auto"/>
              </w:divBdr>
            </w:div>
            <w:div w:id="1242327488">
              <w:marLeft w:val="0"/>
              <w:marRight w:val="0"/>
              <w:marTop w:val="0"/>
              <w:marBottom w:val="0"/>
              <w:divBdr>
                <w:top w:val="none" w:sz="0" w:space="0" w:color="auto"/>
                <w:left w:val="none" w:sz="0" w:space="0" w:color="auto"/>
                <w:bottom w:val="none" w:sz="0" w:space="0" w:color="auto"/>
                <w:right w:val="none" w:sz="0" w:space="0" w:color="auto"/>
              </w:divBdr>
            </w:div>
            <w:div w:id="1303805210">
              <w:marLeft w:val="0"/>
              <w:marRight w:val="0"/>
              <w:marTop w:val="0"/>
              <w:marBottom w:val="0"/>
              <w:divBdr>
                <w:top w:val="none" w:sz="0" w:space="0" w:color="auto"/>
                <w:left w:val="none" w:sz="0" w:space="0" w:color="auto"/>
                <w:bottom w:val="none" w:sz="0" w:space="0" w:color="auto"/>
                <w:right w:val="none" w:sz="0" w:space="0" w:color="auto"/>
              </w:divBdr>
            </w:div>
            <w:div w:id="1334995788">
              <w:marLeft w:val="0"/>
              <w:marRight w:val="0"/>
              <w:marTop w:val="0"/>
              <w:marBottom w:val="0"/>
              <w:divBdr>
                <w:top w:val="none" w:sz="0" w:space="0" w:color="auto"/>
                <w:left w:val="none" w:sz="0" w:space="0" w:color="auto"/>
                <w:bottom w:val="none" w:sz="0" w:space="0" w:color="auto"/>
                <w:right w:val="none" w:sz="0" w:space="0" w:color="auto"/>
              </w:divBdr>
            </w:div>
            <w:div w:id="1361129330">
              <w:marLeft w:val="0"/>
              <w:marRight w:val="0"/>
              <w:marTop w:val="0"/>
              <w:marBottom w:val="0"/>
              <w:divBdr>
                <w:top w:val="none" w:sz="0" w:space="0" w:color="auto"/>
                <w:left w:val="none" w:sz="0" w:space="0" w:color="auto"/>
                <w:bottom w:val="none" w:sz="0" w:space="0" w:color="auto"/>
                <w:right w:val="none" w:sz="0" w:space="0" w:color="auto"/>
              </w:divBdr>
            </w:div>
            <w:div w:id="1375344627">
              <w:marLeft w:val="0"/>
              <w:marRight w:val="0"/>
              <w:marTop w:val="0"/>
              <w:marBottom w:val="0"/>
              <w:divBdr>
                <w:top w:val="none" w:sz="0" w:space="0" w:color="auto"/>
                <w:left w:val="none" w:sz="0" w:space="0" w:color="auto"/>
                <w:bottom w:val="none" w:sz="0" w:space="0" w:color="auto"/>
                <w:right w:val="none" w:sz="0" w:space="0" w:color="auto"/>
              </w:divBdr>
            </w:div>
            <w:div w:id="1556314599">
              <w:marLeft w:val="0"/>
              <w:marRight w:val="0"/>
              <w:marTop w:val="0"/>
              <w:marBottom w:val="0"/>
              <w:divBdr>
                <w:top w:val="none" w:sz="0" w:space="0" w:color="auto"/>
                <w:left w:val="none" w:sz="0" w:space="0" w:color="auto"/>
                <w:bottom w:val="none" w:sz="0" w:space="0" w:color="auto"/>
                <w:right w:val="none" w:sz="0" w:space="0" w:color="auto"/>
              </w:divBdr>
            </w:div>
            <w:div w:id="1835410859">
              <w:marLeft w:val="0"/>
              <w:marRight w:val="0"/>
              <w:marTop w:val="0"/>
              <w:marBottom w:val="0"/>
              <w:divBdr>
                <w:top w:val="none" w:sz="0" w:space="0" w:color="auto"/>
                <w:left w:val="none" w:sz="0" w:space="0" w:color="auto"/>
                <w:bottom w:val="none" w:sz="0" w:space="0" w:color="auto"/>
                <w:right w:val="none" w:sz="0" w:space="0" w:color="auto"/>
              </w:divBdr>
            </w:div>
            <w:div w:id="1877161373">
              <w:marLeft w:val="0"/>
              <w:marRight w:val="0"/>
              <w:marTop w:val="0"/>
              <w:marBottom w:val="0"/>
              <w:divBdr>
                <w:top w:val="none" w:sz="0" w:space="0" w:color="auto"/>
                <w:left w:val="none" w:sz="0" w:space="0" w:color="auto"/>
                <w:bottom w:val="none" w:sz="0" w:space="0" w:color="auto"/>
                <w:right w:val="none" w:sz="0" w:space="0" w:color="auto"/>
              </w:divBdr>
            </w:div>
            <w:div w:id="1913466781">
              <w:marLeft w:val="0"/>
              <w:marRight w:val="0"/>
              <w:marTop w:val="0"/>
              <w:marBottom w:val="0"/>
              <w:divBdr>
                <w:top w:val="none" w:sz="0" w:space="0" w:color="auto"/>
                <w:left w:val="none" w:sz="0" w:space="0" w:color="auto"/>
                <w:bottom w:val="none" w:sz="0" w:space="0" w:color="auto"/>
                <w:right w:val="none" w:sz="0" w:space="0" w:color="auto"/>
              </w:divBdr>
            </w:div>
            <w:div w:id="1946964612">
              <w:marLeft w:val="0"/>
              <w:marRight w:val="0"/>
              <w:marTop w:val="0"/>
              <w:marBottom w:val="0"/>
              <w:divBdr>
                <w:top w:val="none" w:sz="0" w:space="0" w:color="auto"/>
                <w:left w:val="none" w:sz="0" w:space="0" w:color="auto"/>
                <w:bottom w:val="none" w:sz="0" w:space="0" w:color="auto"/>
                <w:right w:val="none" w:sz="0" w:space="0" w:color="auto"/>
              </w:divBdr>
            </w:div>
            <w:div w:id="1983151702">
              <w:marLeft w:val="0"/>
              <w:marRight w:val="0"/>
              <w:marTop w:val="0"/>
              <w:marBottom w:val="0"/>
              <w:divBdr>
                <w:top w:val="none" w:sz="0" w:space="0" w:color="auto"/>
                <w:left w:val="none" w:sz="0" w:space="0" w:color="auto"/>
                <w:bottom w:val="none" w:sz="0" w:space="0" w:color="auto"/>
                <w:right w:val="none" w:sz="0" w:space="0" w:color="auto"/>
              </w:divBdr>
            </w:div>
            <w:div w:id="2115978114">
              <w:marLeft w:val="0"/>
              <w:marRight w:val="0"/>
              <w:marTop w:val="0"/>
              <w:marBottom w:val="0"/>
              <w:divBdr>
                <w:top w:val="none" w:sz="0" w:space="0" w:color="auto"/>
                <w:left w:val="none" w:sz="0" w:space="0" w:color="auto"/>
                <w:bottom w:val="none" w:sz="0" w:space="0" w:color="auto"/>
                <w:right w:val="none" w:sz="0" w:space="0" w:color="auto"/>
              </w:divBdr>
            </w:div>
          </w:divsChild>
        </w:div>
        <w:div w:id="1365788794">
          <w:marLeft w:val="0"/>
          <w:marRight w:val="0"/>
          <w:marTop w:val="0"/>
          <w:marBottom w:val="0"/>
          <w:divBdr>
            <w:top w:val="none" w:sz="0" w:space="0" w:color="auto"/>
            <w:left w:val="none" w:sz="0" w:space="0" w:color="auto"/>
            <w:bottom w:val="none" w:sz="0" w:space="0" w:color="auto"/>
            <w:right w:val="none" w:sz="0" w:space="0" w:color="auto"/>
          </w:divBdr>
        </w:div>
        <w:div w:id="1372143808">
          <w:marLeft w:val="0"/>
          <w:marRight w:val="0"/>
          <w:marTop w:val="0"/>
          <w:marBottom w:val="0"/>
          <w:divBdr>
            <w:top w:val="none" w:sz="0" w:space="0" w:color="auto"/>
            <w:left w:val="none" w:sz="0" w:space="0" w:color="auto"/>
            <w:bottom w:val="none" w:sz="0" w:space="0" w:color="auto"/>
            <w:right w:val="none" w:sz="0" w:space="0" w:color="auto"/>
          </w:divBdr>
          <w:divsChild>
            <w:div w:id="1325806">
              <w:marLeft w:val="0"/>
              <w:marRight w:val="0"/>
              <w:marTop w:val="0"/>
              <w:marBottom w:val="0"/>
              <w:divBdr>
                <w:top w:val="none" w:sz="0" w:space="0" w:color="auto"/>
                <w:left w:val="none" w:sz="0" w:space="0" w:color="auto"/>
                <w:bottom w:val="none" w:sz="0" w:space="0" w:color="auto"/>
                <w:right w:val="none" w:sz="0" w:space="0" w:color="auto"/>
              </w:divBdr>
            </w:div>
            <w:div w:id="7410058">
              <w:marLeft w:val="0"/>
              <w:marRight w:val="0"/>
              <w:marTop w:val="0"/>
              <w:marBottom w:val="0"/>
              <w:divBdr>
                <w:top w:val="none" w:sz="0" w:space="0" w:color="auto"/>
                <w:left w:val="none" w:sz="0" w:space="0" w:color="auto"/>
                <w:bottom w:val="none" w:sz="0" w:space="0" w:color="auto"/>
                <w:right w:val="none" w:sz="0" w:space="0" w:color="auto"/>
              </w:divBdr>
            </w:div>
            <w:div w:id="28384932">
              <w:marLeft w:val="0"/>
              <w:marRight w:val="0"/>
              <w:marTop w:val="0"/>
              <w:marBottom w:val="0"/>
              <w:divBdr>
                <w:top w:val="none" w:sz="0" w:space="0" w:color="auto"/>
                <w:left w:val="none" w:sz="0" w:space="0" w:color="auto"/>
                <w:bottom w:val="none" w:sz="0" w:space="0" w:color="auto"/>
                <w:right w:val="none" w:sz="0" w:space="0" w:color="auto"/>
              </w:divBdr>
            </w:div>
            <w:div w:id="211160382">
              <w:marLeft w:val="0"/>
              <w:marRight w:val="0"/>
              <w:marTop w:val="0"/>
              <w:marBottom w:val="0"/>
              <w:divBdr>
                <w:top w:val="none" w:sz="0" w:space="0" w:color="auto"/>
                <w:left w:val="none" w:sz="0" w:space="0" w:color="auto"/>
                <w:bottom w:val="none" w:sz="0" w:space="0" w:color="auto"/>
                <w:right w:val="none" w:sz="0" w:space="0" w:color="auto"/>
              </w:divBdr>
            </w:div>
            <w:div w:id="215895620">
              <w:marLeft w:val="0"/>
              <w:marRight w:val="0"/>
              <w:marTop w:val="0"/>
              <w:marBottom w:val="0"/>
              <w:divBdr>
                <w:top w:val="none" w:sz="0" w:space="0" w:color="auto"/>
                <w:left w:val="none" w:sz="0" w:space="0" w:color="auto"/>
                <w:bottom w:val="none" w:sz="0" w:space="0" w:color="auto"/>
                <w:right w:val="none" w:sz="0" w:space="0" w:color="auto"/>
              </w:divBdr>
            </w:div>
            <w:div w:id="371851606">
              <w:marLeft w:val="0"/>
              <w:marRight w:val="0"/>
              <w:marTop w:val="0"/>
              <w:marBottom w:val="0"/>
              <w:divBdr>
                <w:top w:val="none" w:sz="0" w:space="0" w:color="auto"/>
                <w:left w:val="none" w:sz="0" w:space="0" w:color="auto"/>
                <w:bottom w:val="none" w:sz="0" w:space="0" w:color="auto"/>
                <w:right w:val="none" w:sz="0" w:space="0" w:color="auto"/>
              </w:divBdr>
            </w:div>
            <w:div w:id="470637713">
              <w:marLeft w:val="0"/>
              <w:marRight w:val="0"/>
              <w:marTop w:val="0"/>
              <w:marBottom w:val="0"/>
              <w:divBdr>
                <w:top w:val="none" w:sz="0" w:space="0" w:color="auto"/>
                <w:left w:val="none" w:sz="0" w:space="0" w:color="auto"/>
                <w:bottom w:val="none" w:sz="0" w:space="0" w:color="auto"/>
                <w:right w:val="none" w:sz="0" w:space="0" w:color="auto"/>
              </w:divBdr>
            </w:div>
            <w:div w:id="489951685">
              <w:marLeft w:val="0"/>
              <w:marRight w:val="0"/>
              <w:marTop w:val="0"/>
              <w:marBottom w:val="0"/>
              <w:divBdr>
                <w:top w:val="none" w:sz="0" w:space="0" w:color="auto"/>
                <w:left w:val="none" w:sz="0" w:space="0" w:color="auto"/>
                <w:bottom w:val="none" w:sz="0" w:space="0" w:color="auto"/>
                <w:right w:val="none" w:sz="0" w:space="0" w:color="auto"/>
              </w:divBdr>
            </w:div>
            <w:div w:id="914241668">
              <w:marLeft w:val="0"/>
              <w:marRight w:val="0"/>
              <w:marTop w:val="0"/>
              <w:marBottom w:val="0"/>
              <w:divBdr>
                <w:top w:val="none" w:sz="0" w:space="0" w:color="auto"/>
                <w:left w:val="none" w:sz="0" w:space="0" w:color="auto"/>
                <w:bottom w:val="none" w:sz="0" w:space="0" w:color="auto"/>
                <w:right w:val="none" w:sz="0" w:space="0" w:color="auto"/>
              </w:divBdr>
            </w:div>
            <w:div w:id="938291631">
              <w:marLeft w:val="0"/>
              <w:marRight w:val="0"/>
              <w:marTop w:val="0"/>
              <w:marBottom w:val="0"/>
              <w:divBdr>
                <w:top w:val="none" w:sz="0" w:space="0" w:color="auto"/>
                <w:left w:val="none" w:sz="0" w:space="0" w:color="auto"/>
                <w:bottom w:val="none" w:sz="0" w:space="0" w:color="auto"/>
                <w:right w:val="none" w:sz="0" w:space="0" w:color="auto"/>
              </w:divBdr>
            </w:div>
            <w:div w:id="966862810">
              <w:marLeft w:val="0"/>
              <w:marRight w:val="0"/>
              <w:marTop w:val="0"/>
              <w:marBottom w:val="0"/>
              <w:divBdr>
                <w:top w:val="none" w:sz="0" w:space="0" w:color="auto"/>
                <w:left w:val="none" w:sz="0" w:space="0" w:color="auto"/>
                <w:bottom w:val="none" w:sz="0" w:space="0" w:color="auto"/>
                <w:right w:val="none" w:sz="0" w:space="0" w:color="auto"/>
              </w:divBdr>
            </w:div>
            <w:div w:id="1103190713">
              <w:marLeft w:val="0"/>
              <w:marRight w:val="0"/>
              <w:marTop w:val="0"/>
              <w:marBottom w:val="0"/>
              <w:divBdr>
                <w:top w:val="none" w:sz="0" w:space="0" w:color="auto"/>
                <w:left w:val="none" w:sz="0" w:space="0" w:color="auto"/>
                <w:bottom w:val="none" w:sz="0" w:space="0" w:color="auto"/>
                <w:right w:val="none" w:sz="0" w:space="0" w:color="auto"/>
              </w:divBdr>
            </w:div>
            <w:div w:id="1174606199">
              <w:marLeft w:val="0"/>
              <w:marRight w:val="0"/>
              <w:marTop w:val="0"/>
              <w:marBottom w:val="0"/>
              <w:divBdr>
                <w:top w:val="none" w:sz="0" w:space="0" w:color="auto"/>
                <w:left w:val="none" w:sz="0" w:space="0" w:color="auto"/>
                <w:bottom w:val="none" w:sz="0" w:space="0" w:color="auto"/>
                <w:right w:val="none" w:sz="0" w:space="0" w:color="auto"/>
              </w:divBdr>
            </w:div>
            <w:div w:id="1210534511">
              <w:marLeft w:val="0"/>
              <w:marRight w:val="0"/>
              <w:marTop w:val="0"/>
              <w:marBottom w:val="0"/>
              <w:divBdr>
                <w:top w:val="none" w:sz="0" w:space="0" w:color="auto"/>
                <w:left w:val="none" w:sz="0" w:space="0" w:color="auto"/>
                <w:bottom w:val="none" w:sz="0" w:space="0" w:color="auto"/>
                <w:right w:val="none" w:sz="0" w:space="0" w:color="auto"/>
              </w:divBdr>
            </w:div>
            <w:div w:id="1495217643">
              <w:marLeft w:val="0"/>
              <w:marRight w:val="0"/>
              <w:marTop w:val="0"/>
              <w:marBottom w:val="0"/>
              <w:divBdr>
                <w:top w:val="none" w:sz="0" w:space="0" w:color="auto"/>
                <w:left w:val="none" w:sz="0" w:space="0" w:color="auto"/>
                <w:bottom w:val="none" w:sz="0" w:space="0" w:color="auto"/>
                <w:right w:val="none" w:sz="0" w:space="0" w:color="auto"/>
              </w:divBdr>
            </w:div>
            <w:div w:id="1564290905">
              <w:marLeft w:val="0"/>
              <w:marRight w:val="0"/>
              <w:marTop w:val="0"/>
              <w:marBottom w:val="0"/>
              <w:divBdr>
                <w:top w:val="none" w:sz="0" w:space="0" w:color="auto"/>
                <w:left w:val="none" w:sz="0" w:space="0" w:color="auto"/>
                <w:bottom w:val="none" w:sz="0" w:space="0" w:color="auto"/>
                <w:right w:val="none" w:sz="0" w:space="0" w:color="auto"/>
              </w:divBdr>
            </w:div>
            <w:div w:id="1573003555">
              <w:marLeft w:val="0"/>
              <w:marRight w:val="0"/>
              <w:marTop w:val="0"/>
              <w:marBottom w:val="0"/>
              <w:divBdr>
                <w:top w:val="none" w:sz="0" w:space="0" w:color="auto"/>
                <w:left w:val="none" w:sz="0" w:space="0" w:color="auto"/>
                <w:bottom w:val="none" w:sz="0" w:space="0" w:color="auto"/>
                <w:right w:val="none" w:sz="0" w:space="0" w:color="auto"/>
              </w:divBdr>
            </w:div>
            <w:div w:id="1599563045">
              <w:marLeft w:val="0"/>
              <w:marRight w:val="0"/>
              <w:marTop w:val="0"/>
              <w:marBottom w:val="0"/>
              <w:divBdr>
                <w:top w:val="none" w:sz="0" w:space="0" w:color="auto"/>
                <w:left w:val="none" w:sz="0" w:space="0" w:color="auto"/>
                <w:bottom w:val="none" w:sz="0" w:space="0" w:color="auto"/>
                <w:right w:val="none" w:sz="0" w:space="0" w:color="auto"/>
              </w:divBdr>
            </w:div>
            <w:div w:id="1954480713">
              <w:marLeft w:val="0"/>
              <w:marRight w:val="0"/>
              <w:marTop w:val="0"/>
              <w:marBottom w:val="0"/>
              <w:divBdr>
                <w:top w:val="none" w:sz="0" w:space="0" w:color="auto"/>
                <w:left w:val="none" w:sz="0" w:space="0" w:color="auto"/>
                <w:bottom w:val="none" w:sz="0" w:space="0" w:color="auto"/>
                <w:right w:val="none" w:sz="0" w:space="0" w:color="auto"/>
              </w:divBdr>
            </w:div>
            <w:div w:id="2096628895">
              <w:marLeft w:val="0"/>
              <w:marRight w:val="0"/>
              <w:marTop w:val="0"/>
              <w:marBottom w:val="0"/>
              <w:divBdr>
                <w:top w:val="none" w:sz="0" w:space="0" w:color="auto"/>
                <w:left w:val="none" w:sz="0" w:space="0" w:color="auto"/>
                <w:bottom w:val="none" w:sz="0" w:space="0" w:color="auto"/>
                <w:right w:val="none" w:sz="0" w:space="0" w:color="auto"/>
              </w:divBdr>
            </w:div>
          </w:divsChild>
        </w:div>
        <w:div w:id="1399787708">
          <w:marLeft w:val="0"/>
          <w:marRight w:val="0"/>
          <w:marTop w:val="0"/>
          <w:marBottom w:val="0"/>
          <w:divBdr>
            <w:top w:val="none" w:sz="0" w:space="0" w:color="auto"/>
            <w:left w:val="none" w:sz="0" w:space="0" w:color="auto"/>
            <w:bottom w:val="none" w:sz="0" w:space="0" w:color="auto"/>
            <w:right w:val="none" w:sz="0" w:space="0" w:color="auto"/>
          </w:divBdr>
        </w:div>
        <w:div w:id="1417247490">
          <w:marLeft w:val="0"/>
          <w:marRight w:val="0"/>
          <w:marTop w:val="0"/>
          <w:marBottom w:val="0"/>
          <w:divBdr>
            <w:top w:val="none" w:sz="0" w:space="0" w:color="auto"/>
            <w:left w:val="none" w:sz="0" w:space="0" w:color="auto"/>
            <w:bottom w:val="none" w:sz="0" w:space="0" w:color="auto"/>
            <w:right w:val="none" w:sz="0" w:space="0" w:color="auto"/>
          </w:divBdr>
        </w:div>
        <w:div w:id="1443113988">
          <w:marLeft w:val="0"/>
          <w:marRight w:val="0"/>
          <w:marTop w:val="0"/>
          <w:marBottom w:val="0"/>
          <w:divBdr>
            <w:top w:val="none" w:sz="0" w:space="0" w:color="auto"/>
            <w:left w:val="none" w:sz="0" w:space="0" w:color="auto"/>
            <w:bottom w:val="none" w:sz="0" w:space="0" w:color="auto"/>
            <w:right w:val="none" w:sz="0" w:space="0" w:color="auto"/>
          </w:divBdr>
        </w:div>
        <w:div w:id="1450468001">
          <w:marLeft w:val="0"/>
          <w:marRight w:val="0"/>
          <w:marTop w:val="0"/>
          <w:marBottom w:val="0"/>
          <w:divBdr>
            <w:top w:val="none" w:sz="0" w:space="0" w:color="auto"/>
            <w:left w:val="none" w:sz="0" w:space="0" w:color="auto"/>
            <w:bottom w:val="none" w:sz="0" w:space="0" w:color="auto"/>
            <w:right w:val="none" w:sz="0" w:space="0" w:color="auto"/>
          </w:divBdr>
        </w:div>
        <w:div w:id="1454330166">
          <w:marLeft w:val="0"/>
          <w:marRight w:val="0"/>
          <w:marTop w:val="0"/>
          <w:marBottom w:val="0"/>
          <w:divBdr>
            <w:top w:val="none" w:sz="0" w:space="0" w:color="auto"/>
            <w:left w:val="none" w:sz="0" w:space="0" w:color="auto"/>
            <w:bottom w:val="none" w:sz="0" w:space="0" w:color="auto"/>
            <w:right w:val="none" w:sz="0" w:space="0" w:color="auto"/>
          </w:divBdr>
          <w:divsChild>
            <w:div w:id="82189815">
              <w:marLeft w:val="0"/>
              <w:marRight w:val="0"/>
              <w:marTop w:val="0"/>
              <w:marBottom w:val="0"/>
              <w:divBdr>
                <w:top w:val="none" w:sz="0" w:space="0" w:color="auto"/>
                <w:left w:val="none" w:sz="0" w:space="0" w:color="auto"/>
                <w:bottom w:val="none" w:sz="0" w:space="0" w:color="auto"/>
                <w:right w:val="none" w:sz="0" w:space="0" w:color="auto"/>
              </w:divBdr>
            </w:div>
            <w:div w:id="165100496">
              <w:marLeft w:val="0"/>
              <w:marRight w:val="0"/>
              <w:marTop w:val="0"/>
              <w:marBottom w:val="0"/>
              <w:divBdr>
                <w:top w:val="none" w:sz="0" w:space="0" w:color="auto"/>
                <w:left w:val="none" w:sz="0" w:space="0" w:color="auto"/>
                <w:bottom w:val="none" w:sz="0" w:space="0" w:color="auto"/>
                <w:right w:val="none" w:sz="0" w:space="0" w:color="auto"/>
              </w:divBdr>
            </w:div>
            <w:div w:id="223640438">
              <w:marLeft w:val="0"/>
              <w:marRight w:val="0"/>
              <w:marTop w:val="0"/>
              <w:marBottom w:val="0"/>
              <w:divBdr>
                <w:top w:val="none" w:sz="0" w:space="0" w:color="auto"/>
                <w:left w:val="none" w:sz="0" w:space="0" w:color="auto"/>
                <w:bottom w:val="none" w:sz="0" w:space="0" w:color="auto"/>
                <w:right w:val="none" w:sz="0" w:space="0" w:color="auto"/>
              </w:divBdr>
            </w:div>
            <w:div w:id="224461890">
              <w:marLeft w:val="0"/>
              <w:marRight w:val="0"/>
              <w:marTop w:val="0"/>
              <w:marBottom w:val="0"/>
              <w:divBdr>
                <w:top w:val="none" w:sz="0" w:space="0" w:color="auto"/>
                <w:left w:val="none" w:sz="0" w:space="0" w:color="auto"/>
                <w:bottom w:val="none" w:sz="0" w:space="0" w:color="auto"/>
                <w:right w:val="none" w:sz="0" w:space="0" w:color="auto"/>
              </w:divBdr>
            </w:div>
            <w:div w:id="474571970">
              <w:marLeft w:val="0"/>
              <w:marRight w:val="0"/>
              <w:marTop w:val="0"/>
              <w:marBottom w:val="0"/>
              <w:divBdr>
                <w:top w:val="none" w:sz="0" w:space="0" w:color="auto"/>
                <w:left w:val="none" w:sz="0" w:space="0" w:color="auto"/>
                <w:bottom w:val="none" w:sz="0" w:space="0" w:color="auto"/>
                <w:right w:val="none" w:sz="0" w:space="0" w:color="auto"/>
              </w:divBdr>
            </w:div>
            <w:div w:id="530729885">
              <w:marLeft w:val="0"/>
              <w:marRight w:val="0"/>
              <w:marTop w:val="0"/>
              <w:marBottom w:val="0"/>
              <w:divBdr>
                <w:top w:val="none" w:sz="0" w:space="0" w:color="auto"/>
                <w:left w:val="none" w:sz="0" w:space="0" w:color="auto"/>
                <w:bottom w:val="none" w:sz="0" w:space="0" w:color="auto"/>
                <w:right w:val="none" w:sz="0" w:space="0" w:color="auto"/>
              </w:divBdr>
            </w:div>
            <w:div w:id="560942372">
              <w:marLeft w:val="0"/>
              <w:marRight w:val="0"/>
              <w:marTop w:val="0"/>
              <w:marBottom w:val="0"/>
              <w:divBdr>
                <w:top w:val="none" w:sz="0" w:space="0" w:color="auto"/>
                <w:left w:val="none" w:sz="0" w:space="0" w:color="auto"/>
                <w:bottom w:val="none" w:sz="0" w:space="0" w:color="auto"/>
                <w:right w:val="none" w:sz="0" w:space="0" w:color="auto"/>
              </w:divBdr>
            </w:div>
            <w:div w:id="612172353">
              <w:marLeft w:val="0"/>
              <w:marRight w:val="0"/>
              <w:marTop w:val="0"/>
              <w:marBottom w:val="0"/>
              <w:divBdr>
                <w:top w:val="none" w:sz="0" w:space="0" w:color="auto"/>
                <w:left w:val="none" w:sz="0" w:space="0" w:color="auto"/>
                <w:bottom w:val="none" w:sz="0" w:space="0" w:color="auto"/>
                <w:right w:val="none" w:sz="0" w:space="0" w:color="auto"/>
              </w:divBdr>
            </w:div>
            <w:div w:id="626398238">
              <w:marLeft w:val="0"/>
              <w:marRight w:val="0"/>
              <w:marTop w:val="0"/>
              <w:marBottom w:val="0"/>
              <w:divBdr>
                <w:top w:val="none" w:sz="0" w:space="0" w:color="auto"/>
                <w:left w:val="none" w:sz="0" w:space="0" w:color="auto"/>
                <w:bottom w:val="none" w:sz="0" w:space="0" w:color="auto"/>
                <w:right w:val="none" w:sz="0" w:space="0" w:color="auto"/>
              </w:divBdr>
            </w:div>
            <w:div w:id="1128012367">
              <w:marLeft w:val="0"/>
              <w:marRight w:val="0"/>
              <w:marTop w:val="0"/>
              <w:marBottom w:val="0"/>
              <w:divBdr>
                <w:top w:val="none" w:sz="0" w:space="0" w:color="auto"/>
                <w:left w:val="none" w:sz="0" w:space="0" w:color="auto"/>
                <w:bottom w:val="none" w:sz="0" w:space="0" w:color="auto"/>
                <w:right w:val="none" w:sz="0" w:space="0" w:color="auto"/>
              </w:divBdr>
            </w:div>
            <w:div w:id="1328047958">
              <w:marLeft w:val="0"/>
              <w:marRight w:val="0"/>
              <w:marTop w:val="0"/>
              <w:marBottom w:val="0"/>
              <w:divBdr>
                <w:top w:val="none" w:sz="0" w:space="0" w:color="auto"/>
                <w:left w:val="none" w:sz="0" w:space="0" w:color="auto"/>
                <w:bottom w:val="none" w:sz="0" w:space="0" w:color="auto"/>
                <w:right w:val="none" w:sz="0" w:space="0" w:color="auto"/>
              </w:divBdr>
            </w:div>
            <w:div w:id="1405494476">
              <w:marLeft w:val="0"/>
              <w:marRight w:val="0"/>
              <w:marTop w:val="0"/>
              <w:marBottom w:val="0"/>
              <w:divBdr>
                <w:top w:val="none" w:sz="0" w:space="0" w:color="auto"/>
                <w:left w:val="none" w:sz="0" w:space="0" w:color="auto"/>
                <w:bottom w:val="none" w:sz="0" w:space="0" w:color="auto"/>
                <w:right w:val="none" w:sz="0" w:space="0" w:color="auto"/>
              </w:divBdr>
            </w:div>
            <w:div w:id="1649624643">
              <w:marLeft w:val="0"/>
              <w:marRight w:val="0"/>
              <w:marTop w:val="0"/>
              <w:marBottom w:val="0"/>
              <w:divBdr>
                <w:top w:val="none" w:sz="0" w:space="0" w:color="auto"/>
                <w:left w:val="none" w:sz="0" w:space="0" w:color="auto"/>
                <w:bottom w:val="none" w:sz="0" w:space="0" w:color="auto"/>
                <w:right w:val="none" w:sz="0" w:space="0" w:color="auto"/>
              </w:divBdr>
            </w:div>
            <w:div w:id="1669404689">
              <w:marLeft w:val="0"/>
              <w:marRight w:val="0"/>
              <w:marTop w:val="0"/>
              <w:marBottom w:val="0"/>
              <w:divBdr>
                <w:top w:val="none" w:sz="0" w:space="0" w:color="auto"/>
                <w:left w:val="none" w:sz="0" w:space="0" w:color="auto"/>
                <w:bottom w:val="none" w:sz="0" w:space="0" w:color="auto"/>
                <w:right w:val="none" w:sz="0" w:space="0" w:color="auto"/>
              </w:divBdr>
            </w:div>
            <w:div w:id="1725830053">
              <w:marLeft w:val="0"/>
              <w:marRight w:val="0"/>
              <w:marTop w:val="0"/>
              <w:marBottom w:val="0"/>
              <w:divBdr>
                <w:top w:val="none" w:sz="0" w:space="0" w:color="auto"/>
                <w:left w:val="none" w:sz="0" w:space="0" w:color="auto"/>
                <w:bottom w:val="none" w:sz="0" w:space="0" w:color="auto"/>
                <w:right w:val="none" w:sz="0" w:space="0" w:color="auto"/>
              </w:divBdr>
            </w:div>
            <w:div w:id="1735156649">
              <w:marLeft w:val="0"/>
              <w:marRight w:val="0"/>
              <w:marTop w:val="0"/>
              <w:marBottom w:val="0"/>
              <w:divBdr>
                <w:top w:val="none" w:sz="0" w:space="0" w:color="auto"/>
                <w:left w:val="none" w:sz="0" w:space="0" w:color="auto"/>
                <w:bottom w:val="none" w:sz="0" w:space="0" w:color="auto"/>
                <w:right w:val="none" w:sz="0" w:space="0" w:color="auto"/>
              </w:divBdr>
            </w:div>
            <w:div w:id="1770586943">
              <w:marLeft w:val="0"/>
              <w:marRight w:val="0"/>
              <w:marTop w:val="0"/>
              <w:marBottom w:val="0"/>
              <w:divBdr>
                <w:top w:val="none" w:sz="0" w:space="0" w:color="auto"/>
                <w:left w:val="none" w:sz="0" w:space="0" w:color="auto"/>
                <w:bottom w:val="none" w:sz="0" w:space="0" w:color="auto"/>
                <w:right w:val="none" w:sz="0" w:space="0" w:color="auto"/>
              </w:divBdr>
            </w:div>
            <w:div w:id="1924024214">
              <w:marLeft w:val="0"/>
              <w:marRight w:val="0"/>
              <w:marTop w:val="0"/>
              <w:marBottom w:val="0"/>
              <w:divBdr>
                <w:top w:val="none" w:sz="0" w:space="0" w:color="auto"/>
                <w:left w:val="none" w:sz="0" w:space="0" w:color="auto"/>
                <w:bottom w:val="none" w:sz="0" w:space="0" w:color="auto"/>
                <w:right w:val="none" w:sz="0" w:space="0" w:color="auto"/>
              </w:divBdr>
            </w:div>
            <w:div w:id="1957326465">
              <w:marLeft w:val="0"/>
              <w:marRight w:val="0"/>
              <w:marTop w:val="0"/>
              <w:marBottom w:val="0"/>
              <w:divBdr>
                <w:top w:val="none" w:sz="0" w:space="0" w:color="auto"/>
                <w:left w:val="none" w:sz="0" w:space="0" w:color="auto"/>
                <w:bottom w:val="none" w:sz="0" w:space="0" w:color="auto"/>
                <w:right w:val="none" w:sz="0" w:space="0" w:color="auto"/>
              </w:divBdr>
            </w:div>
            <w:div w:id="2092775974">
              <w:marLeft w:val="0"/>
              <w:marRight w:val="0"/>
              <w:marTop w:val="0"/>
              <w:marBottom w:val="0"/>
              <w:divBdr>
                <w:top w:val="none" w:sz="0" w:space="0" w:color="auto"/>
                <w:left w:val="none" w:sz="0" w:space="0" w:color="auto"/>
                <w:bottom w:val="none" w:sz="0" w:space="0" w:color="auto"/>
                <w:right w:val="none" w:sz="0" w:space="0" w:color="auto"/>
              </w:divBdr>
            </w:div>
          </w:divsChild>
        </w:div>
        <w:div w:id="1526139477">
          <w:marLeft w:val="0"/>
          <w:marRight w:val="0"/>
          <w:marTop w:val="0"/>
          <w:marBottom w:val="0"/>
          <w:divBdr>
            <w:top w:val="none" w:sz="0" w:space="0" w:color="auto"/>
            <w:left w:val="none" w:sz="0" w:space="0" w:color="auto"/>
            <w:bottom w:val="none" w:sz="0" w:space="0" w:color="auto"/>
            <w:right w:val="none" w:sz="0" w:space="0" w:color="auto"/>
          </w:divBdr>
        </w:div>
        <w:div w:id="1558470075">
          <w:marLeft w:val="0"/>
          <w:marRight w:val="0"/>
          <w:marTop w:val="0"/>
          <w:marBottom w:val="0"/>
          <w:divBdr>
            <w:top w:val="none" w:sz="0" w:space="0" w:color="auto"/>
            <w:left w:val="none" w:sz="0" w:space="0" w:color="auto"/>
            <w:bottom w:val="none" w:sz="0" w:space="0" w:color="auto"/>
            <w:right w:val="none" w:sz="0" w:space="0" w:color="auto"/>
          </w:divBdr>
        </w:div>
        <w:div w:id="1570848662">
          <w:marLeft w:val="0"/>
          <w:marRight w:val="0"/>
          <w:marTop w:val="0"/>
          <w:marBottom w:val="0"/>
          <w:divBdr>
            <w:top w:val="none" w:sz="0" w:space="0" w:color="auto"/>
            <w:left w:val="none" w:sz="0" w:space="0" w:color="auto"/>
            <w:bottom w:val="none" w:sz="0" w:space="0" w:color="auto"/>
            <w:right w:val="none" w:sz="0" w:space="0" w:color="auto"/>
          </w:divBdr>
        </w:div>
        <w:div w:id="1628857639">
          <w:marLeft w:val="0"/>
          <w:marRight w:val="0"/>
          <w:marTop w:val="0"/>
          <w:marBottom w:val="0"/>
          <w:divBdr>
            <w:top w:val="none" w:sz="0" w:space="0" w:color="auto"/>
            <w:left w:val="none" w:sz="0" w:space="0" w:color="auto"/>
            <w:bottom w:val="none" w:sz="0" w:space="0" w:color="auto"/>
            <w:right w:val="none" w:sz="0" w:space="0" w:color="auto"/>
          </w:divBdr>
        </w:div>
        <w:div w:id="1653564593">
          <w:marLeft w:val="0"/>
          <w:marRight w:val="0"/>
          <w:marTop w:val="0"/>
          <w:marBottom w:val="0"/>
          <w:divBdr>
            <w:top w:val="none" w:sz="0" w:space="0" w:color="auto"/>
            <w:left w:val="none" w:sz="0" w:space="0" w:color="auto"/>
            <w:bottom w:val="none" w:sz="0" w:space="0" w:color="auto"/>
            <w:right w:val="none" w:sz="0" w:space="0" w:color="auto"/>
          </w:divBdr>
        </w:div>
        <w:div w:id="1662539906">
          <w:marLeft w:val="0"/>
          <w:marRight w:val="0"/>
          <w:marTop w:val="0"/>
          <w:marBottom w:val="0"/>
          <w:divBdr>
            <w:top w:val="none" w:sz="0" w:space="0" w:color="auto"/>
            <w:left w:val="none" w:sz="0" w:space="0" w:color="auto"/>
            <w:bottom w:val="none" w:sz="0" w:space="0" w:color="auto"/>
            <w:right w:val="none" w:sz="0" w:space="0" w:color="auto"/>
          </w:divBdr>
        </w:div>
        <w:div w:id="1666470064">
          <w:marLeft w:val="0"/>
          <w:marRight w:val="0"/>
          <w:marTop w:val="0"/>
          <w:marBottom w:val="0"/>
          <w:divBdr>
            <w:top w:val="none" w:sz="0" w:space="0" w:color="auto"/>
            <w:left w:val="none" w:sz="0" w:space="0" w:color="auto"/>
            <w:bottom w:val="none" w:sz="0" w:space="0" w:color="auto"/>
            <w:right w:val="none" w:sz="0" w:space="0" w:color="auto"/>
          </w:divBdr>
        </w:div>
        <w:div w:id="1668287446">
          <w:marLeft w:val="0"/>
          <w:marRight w:val="0"/>
          <w:marTop w:val="0"/>
          <w:marBottom w:val="0"/>
          <w:divBdr>
            <w:top w:val="none" w:sz="0" w:space="0" w:color="auto"/>
            <w:left w:val="none" w:sz="0" w:space="0" w:color="auto"/>
            <w:bottom w:val="none" w:sz="0" w:space="0" w:color="auto"/>
            <w:right w:val="none" w:sz="0" w:space="0" w:color="auto"/>
          </w:divBdr>
        </w:div>
        <w:div w:id="1679431242">
          <w:marLeft w:val="0"/>
          <w:marRight w:val="0"/>
          <w:marTop w:val="0"/>
          <w:marBottom w:val="0"/>
          <w:divBdr>
            <w:top w:val="none" w:sz="0" w:space="0" w:color="auto"/>
            <w:left w:val="none" w:sz="0" w:space="0" w:color="auto"/>
            <w:bottom w:val="none" w:sz="0" w:space="0" w:color="auto"/>
            <w:right w:val="none" w:sz="0" w:space="0" w:color="auto"/>
          </w:divBdr>
        </w:div>
        <w:div w:id="1683435332">
          <w:marLeft w:val="0"/>
          <w:marRight w:val="0"/>
          <w:marTop w:val="0"/>
          <w:marBottom w:val="0"/>
          <w:divBdr>
            <w:top w:val="none" w:sz="0" w:space="0" w:color="auto"/>
            <w:left w:val="none" w:sz="0" w:space="0" w:color="auto"/>
            <w:bottom w:val="none" w:sz="0" w:space="0" w:color="auto"/>
            <w:right w:val="none" w:sz="0" w:space="0" w:color="auto"/>
          </w:divBdr>
        </w:div>
        <w:div w:id="1693266483">
          <w:marLeft w:val="0"/>
          <w:marRight w:val="0"/>
          <w:marTop w:val="0"/>
          <w:marBottom w:val="0"/>
          <w:divBdr>
            <w:top w:val="none" w:sz="0" w:space="0" w:color="auto"/>
            <w:left w:val="none" w:sz="0" w:space="0" w:color="auto"/>
            <w:bottom w:val="none" w:sz="0" w:space="0" w:color="auto"/>
            <w:right w:val="none" w:sz="0" w:space="0" w:color="auto"/>
          </w:divBdr>
          <w:divsChild>
            <w:div w:id="31618622">
              <w:marLeft w:val="0"/>
              <w:marRight w:val="0"/>
              <w:marTop w:val="0"/>
              <w:marBottom w:val="0"/>
              <w:divBdr>
                <w:top w:val="none" w:sz="0" w:space="0" w:color="auto"/>
                <w:left w:val="none" w:sz="0" w:space="0" w:color="auto"/>
                <w:bottom w:val="none" w:sz="0" w:space="0" w:color="auto"/>
                <w:right w:val="none" w:sz="0" w:space="0" w:color="auto"/>
              </w:divBdr>
            </w:div>
            <w:div w:id="433863447">
              <w:marLeft w:val="0"/>
              <w:marRight w:val="0"/>
              <w:marTop w:val="0"/>
              <w:marBottom w:val="0"/>
              <w:divBdr>
                <w:top w:val="none" w:sz="0" w:space="0" w:color="auto"/>
                <w:left w:val="none" w:sz="0" w:space="0" w:color="auto"/>
                <w:bottom w:val="none" w:sz="0" w:space="0" w:color="auto"/>
                <w:right w:val="none" w:sz="0" w:space="0" w:color="auto"/>
              </w:divBdr>
            </w:div>
            <w:div w:id="756905319">
              <w:marLeft w:val="0"/>
              <w:marRight w:val="0"/>
              <w:marTop w:val="0"/>
              <w:marBottom w:val="0"/>
              <w:divBdr>
                <w:top w:val="none" w:sz="0" w:space="0" w:color="auto"/>
                <w:left w:val="none" w:sz="0" w:space="0" w:color="auto"/>
                <w:bottom w:val="none" w:sz="0" w:space="0" w:color="auto"/>
                <w:right w:val="none" w:sz="0" w:space="0" w:color="auto"/>
              </w:divBdr>
            </w:div>
            <w:div w:id="777220337">
              <w:marLeft w:val="0"/>
              <w:marRight w:val="0"/>
              <w:marTop w:val="0"/>
              <w:marBottom w:val="0"/>
              <w:divBdr>
                <w:top w:val="none" w:sz="0" w:space="0" w:color="auto"/>
                <w:left w:val="none" w:sz="0" w:space="0" w:color="auto"/>
                <w:bottom w:val="none" w:sz="0" w:space="0" w:color="auto"/>
                <w:right w:val="none" w:sz="0" w:space="0" w:color="auto"/>
              </w:divBdr>
            </w:div>
            <w:div w:id="838734086">
              <w:marLeft w:val="0"/>
              <w:marRight w:val="0"/>
              <w:marTop w:val="0"/>
              <w:marBottom w:val="0"/>
              <w:divBdr>
                <w:top w:val="none" w:sz="0" w:space="0" w:color="auto"/>
                <w:left w:val="none" w:sz="0" w:space="0" w:color="auto"/>
                <w:bottom w:val="none" w:sz="0" w:space="0" w:color="auto"/>
                <w:right w:val="none" w:sz="0" w:space="0" w:color="auto"/>
              </w:divBdr>
            </w:div>
            <w:div w:id="921572279">
              <w:marLeft w:val="0"/>
              <w:marRight w:val="0"/>
              <w:marTop w:val="0"/>
              <w:marBottom w:val="0"/>
              <w:divBdr>
                <w:top w:val="none" w:sz="0" w:space="0" w:color="auto"/>
                <w:left w:val="none" w:sz="0" w:space="0" w:color="auto"/>
                <w:bottom w:val="none" w:sz="0" w:space="0" w:color="auto"/>
                <w:right w:val="none" w:sz="0" w:space="0" w:color="auto"/>
              </w:divBdr>
            </w:div>
            <w:div w:id="1013188092">
              <w:marLeft w:val="0"/>
              <w:marRight w:val="0"/>
              <w:marTop w:val="0"/>
              <w:marBottom w:val="0"/>
              <w:divBdr>
                <w:top w:val="none" w:sz="0" w:space="0" w:color="auto"/>
                <w:left w:val="none" w:sz="0" w:space="0" w:color="auto"/>
                <w:bottom w:val="none" w:sz="0" w:space="0" w:color="auto"/>
                <w:right w:val="none" w:sz="0" w:space="0" w:color="auto"/>
              </w:divBdr>
            </w:div>
            <w:div w:id="1088229380">
              <w:marLeft w:val="0"/>
              <w:marRight w:val="0"/>
              <w:marTop w:val="0"/>
              <w:marBottom w:val="0"/>
              <w:divBdr>
                <w:top w:val="none" w:sz="0" w:space="0" w:color="auto"/>
                <w:left w:val="none" w:sz="0" w:space="0" w:color="auto"/>
                <w:bottom w:val="none" w:sz="0" w:space="0" w:color="auto"/>
                <w:right w:val="none" w:sz="0" w:space="0" w:color="auto"/>
              </w:divBdr>
            </w:div>
            <w:div w:id="1331905550">
              <w:marLeft w:val="0"/>
              <w:marRight w:val="0"/>
              <w:marTop w:val="0"/>
              <w:marBottom w:val="0"/>
              <w:divBdr>
                <w:top w:val="none" w:sz="0" w:space="0" w:color="auto"/>
                <w:left w:val="none" w:sz="0" w:space="0" w:color="auto"/>
                <w:bottom w:val="none" w:sz="0" w:space="0" w:color="auto"/>
                <w:right w:val="none" w:sz="0" w:space="0" w:color="auto"/>
              </w:divBdr>
            </w:div>
            <w:div w:id="1444688811">
              <w:marLeft w:val="0"/>
              <w:marRight w:val="0"/>
              <w:marTop w:val="0"/>
              <w:marBottom w:val="0"/>
              <w:divBdr>
                <w:top w:val="none" w:sz="0" w:space="0" w:color="auto"/>
                <w:left w:val="none" w:sz="0" w:space="0" w:color="auto"/>
                <w:bottom w:val="none" w:sz="0" w:space="0" w:color="auto"/>
                <w:right w:val="none" w:sz="0" w:space="0" w:color="auto"/>
              </w:divBdr>
            </w:div>
            <w:div w:id="1502354694">
              <w:marLeft w:val="0"/>
              <w:marRight w:val="0"/>
              <w:marTop w:val="0"/>
              <w:marBottom w:val="0"/>
              <w:divBdr>
                <w:top w:val="none" w:sz="0" w:space="0" w:color="auto"/>
                <w:left w:val="none" w:sz="0" w:space="0" w:color="auto"/>
                <w:bottom w:val="none" w:sz="0" w:space="0" w:color="auto"/>
                <w:right w:val="none" w:sz="0" w:space="0" w:color="auto"/>
              </w:divBdr>
            </w:div>
            <w:div w:id="1713338566">
              <w:marLeft w:val="0"/>
              <w:marRight w:val="0"/>
              <w:marTop w:val="0"/>
              <w:marBottom w:val="0"/>
              <w:divBdr>
                <w:top w:val="none" w:sz="0" w:space="0" w:color="auto"/>
                <w:left w:val="none" w:sz="0" w:space="0" w:color="auto"/>
                <w:bottom w:val="none" w:sz="0" w:space="0" w:color="auto"/>
                <w:right w:val="none" w:sz="0" w:space="0" w:color="auto"/>
              </w:divBdr>
            </w:div>
            <w:div w:id="1714384339">
              <w:marLeft w:val="0"/>
              <w:marRight w:val="0"/>
              <w:marTop w:val="0"/>
              <w:marBottom w:val="0"/>
              <w:divBdr>
                <w:top w:val="none" w:sz="0" w:space="0" w:color="auto"/>
                <w:left w:val="none" w:sz="0" w:space="0" w:color="auto"/>
                <w:bottom w:val="none" w:sz="0" w:space="0" w:color="auto"/>
                <w:right w:val="none" w:sz="0" w:space="0" w:color="auto"/>
              </w:divBdr>
            </w:div>
            <w:div w:id="1916162055">
              <w:marLeft w:val="0"/>
              <w:marRight w:val="0"/>
              <w:marTop w:val="0"/>
              <w:marBottom w:val="0"/>
              <w:divBdr>
                <w:top w:val="none" w:sz="0" w:space="0" w:color="auto"/>
                <w:left w:val="none" w:sz="0" w:space="0" w:color="auto"/>
                <w:bottom w:val="none" w:sz="0" w:space="0" w:color="auto"/>
                <w:right w:val="none" w:sz="0" w:space="0" w:color="auto"/>
              </w:divBdr>
            </w:div>
            <w:div w:id="1955822810">
              <w:marLeft w:val="0"/>
              <w:marRight w:val="0"/>
              <w:marTop w:val="0"/>
              <w:marBottom w:val="0"/>
              <w:divBdr>
                <w:top w:val="none" w:sz="0" w:space="0" w:color="auto"/>
                <w:left w:val="none" w:sz="0" w:space="0" w:color="auto"/>
                <w:bottom w:val="none" w:sz="0" w:space="0" w:color="auto"/>
                <w:right w:val="none" w:sz="0" w:space="0" w:color="auto"/>
              </w:divBdr>
            </w:div>
            <w:div w:id="2047950652">
              <w:marLeft w:val="0"/>
              <w:marRight w:val="0"/>
              <w:marTop w:val="0"/>
              <w:marBottom w:val="0"/>
              <w:divBdr>
                <w:top w:val="none" w:sz="0" w:space="0" w:color="auto"/>
                <w:left w:val="none" w:sz="0" w:space="0" w:color="auto"/>
                <w:bottom w:val="none" w:sz="0" w:space="0" w:color="auto"/>
                <w:right w:val="none" w:sz="0" w:space="0" w:color="auto"/>
              </w:divBdr>
            </w:div>
            <w:div w:id="2074890655">
              <w:marLeft w:val="0"/>
              <w:marRight w:val="0"/>
              <w:marTop w:val="0"/>
              <w:marBottom w:val="0"/>
              <w:divBdr>
                <w:top w:val="none" w:sz="0" w:space="0" w:color="auto"/>
                <w:left w:val="none" w:sz="0" w:space="0" w:color="auto"/>
                <w:bottom w:val="none" w:sz="0" w:space="0" w:color="auto"/>
                <w:right w:val="none" w:sz="0" w:space="0" w:color="auto"/>
              </w:divBdr>
            </w:div>
            <w:div w:id="2094890255">
              <w:marLeft w:val="0"/>
              <w:marRight w:val="0"/>
              <w:marTop w:val="0"/>
              <w:marBottom w:val="0"/>
              <w:divBdr>
                <w:top w:val="none" w:sz="0" w:space="0" w:color="auto"/>
                <w:left w:val="none" w:sz="0" w:space="0" w:color="auto"/>
                <w:bottom w:val="none" w:sz="0" w:space="0" w:color="auto"/>
                <w:right w:val="none" w:sz="0" w:space="0" w:color="auto"/>
              </w:divBdr>
            </w:div>
            <w:div w:id="2101681836">
              <w:marLeft w:val="0"/>
              <w:marRight w:val="0"/>
              <w:marTop w:val="0"/>
              <w:marBottom w:val="0"/>
              <w:divBdr>
                <w:top w:val="none" w:sz="0" w:space="0" w:color="auto"/>
                <w:left w:val="none" w:sz="0" w:space="0" w:color="auto"/>
                <w:bottom w:val="none" w:sz="0" w:space="0" w:color="auto"/>
                <w:right w:val="none" w:sz="0" w:space="0" w:color="auto"/>
              </w:divBdr>
            </w:div>
            <w:div w:id="2113938674">
              <w:marLeft w:val="0"/>
              <w:marRight w:val="0"/>
              <w:marTop w:val="0"/>
              <w:marBottom w:val="0"/>
              <w:divBdr>
                <w:top w:val="none" w:sz="0" w:space="0" w:color="auto"/>
                <w:left w:val="none" w:sz="0" w:space="0" w:color="auto"/>
                <w:bottom w:val="none" w:sz="0" w:space="0" w:color="auto"/>
                <w:right w:val="none" w:sz="0" w:space="0" w:color="auto"/>
              </w:divBdr>
            </w:div>
          </w:divsChild>
        </w:div>
        <w:div w:id="1695224457">
          <w:marLeft w:val="0"/>
          <w:marRight w:val="0"/>
          <w:marTop w:val="0"/>
          <w:marBottom w:val="0"/>
          <w:divBdr>
            <w:top w:val="none" w:sz="0" w:space="0" w:color="auto"/>
            <w:left w:val="none" w:sz="0" w:space="0" w:color="auto"/>
            <w:bottom w:val="none" w:sz="0" w:space="0" w:color="auto"/>
            <w:right w:val="none" w:sz="0" w:space="0" w:color="auto"/>
          </w:divBdr>
        </w:div>
        <w:div w:id="1722709780">
          <w:marLeft w:val="0"/>
          <w:marRight w:val="0"/>
          <w:marTop w:val="0"/>
          <w:marBottom w:val="0"/>
          <w:divBdr>
            <w:top w:val="none" w:sz="0" w:space="0" w:color="auto"/>
            <w:left w:val="none" w:sz="0" w:space="0" w:color="auto"/>
            <w:bottom w:val="none" w:sz="0" w:space="0" w:color="auto"/>
            <w:right w:val="none" w:sz="0" w:space="0" w:color="auto"/>
          </w:divBdr>
        </w:div>
        <w:div w:id="1732268526">
          <w:marLeft w:val="0"/>
          <w:marRight w:val="0"/>
          <w:marTop w:val="0"/>
          <w:marBottom w:val="0"/>
          <w:divBdr>
            <w:top w:val="none" w:sz="0" w:space="0" w:color="auto"/>
            <w:left w:val="none" w:sz="0" w:space="0" w:color="auto"/>
            <w:bottom w:val="none" w:sz="0" w:space="0" w:color="auto"/>
            <w:right w:val="none" w:sz="0" w:space="0" w:color="auto"/>
          </w:divBdr>
          <w:divsChild>
            <w:div w:id="14160485">
              <w:marLeft w:val="0"/>
              <w:marRight w:val="0"/>
              <w:marTop w:val="0"/>
              <w:marBottom w:val="0"/>
              <w:divBdr>
                <w:top w:val="none" w:sz="0" w:space="0" w:color="auto"/>
                <w:left w:val="none" w:sz="0" w:space="0" w:color="auto"/>
                <w:bottom w:val="none" w:sz="0" w:space="0" w:color="auto"/>
                <w:right w:val="none" w:sz="0" w:space="0" w:color="auto"/>
              </w:divBdr>
            </w:div>
            <w:div w:id="26638135">
              <w:marLeft w:val="0"/>
              <w:marRight w:val="0"/>
              <w:marTop w:val="0"/>
              <w:marBottom w:val="0"/>
              <w:divBdr>
                <w:top w:val="none" w:sz="0" w:space="0" w:color="auto"/>
                <w:left w:val="none" w:sz="0" w:space="0" w:color="auto"/>
                <w:bottom w:val="none" w:sz="0" w:space="0" w:color="auto"/>
                <w:right w:val="none" w:sz="0" w:space="0" w:color="auto"/>
              </w:divBdr>
            </w:div>
            <w:div w:id="274562148">
              <w:marLeft w:val="0"/>
              <w:marRight w:val="0"/>
              <w:marTop w:val="0"/>
              <w:marBottom w:val="0"/>
              <w:divBdr>
                <w:top w:val="none" w:sz="0" w:space="0" w:color="auto"/>
                <w:left w:val="none" w:sz="0" w:space="0" w:color="auto"/>
                <w:bottom w:val="none" w:sz="0" w:space="0" w:color="auto"/>
                <w:right w:val="none" w:sz="0" w:space="0" w:color="auto"/>
              </w:divBdr>
            </w:div>
            <w:div w:id="307901992">
              <w:marLeft w:val="0"/>
              <w:marRight w:val="0"/>
              <w:marTop w:val="0"/>
              <w:marBottom w:val="0"/>
              <w:divBdr>
                <w:top w:val="none" w:sz="0" w:space="0" w:color="auto"/>
                <w:left w:val="none" w:sz="0" w:space="0" w:color="auto"/>
                <w:bottom w:val="none" w:sz="0" w:space="0" w:color="auto"/>
                <w:right w:val="none" w:sz="0" w:space="0" w:color="auto"/>
              </w:divBdr>
            </w:div>
            <w:div w:id="393891769">
              <w:marLeft w:val="0"/>
              <w:marRight w:val="0"/>
              <w:marTop w:val="0"/>
              <w:marBottom w:val="0"/>
              <w:divBdr>
                <w:top w:val="none" w:sz="0" w:space="0" w:color="auto"/>
                <w:left w:val="none" w:sz="0" w:space="0" w:color="auto"/>
                <w:bottom w:val="none" w:sz="0" w:space="0" w:color="auto"/>
                <w:right w:val="none" w:sz="0" w:space="0" w:color="auto"/>
              </w:divBdr>
            </w:div>
            <w:div w:id="421879894">
              <w:marLeft w:val="0"/>
              <w:marRight w:val="0"/>
              <w:marTop w:val="0"/>
              <w:marBottom w:val="0"/>
              <w:divBdr>
                <w:top w:val="none" w:sz="0" w:space="0" w:color="auto"/>
                <w:left w:val="none" w:sz="0" w:space="0" w:color="auto"/>
                <w:bottom w:val="none" w:sz="0" w:space="0" w:color="auto"/>
                <w:right w:val="none" w:sz="0" w:space="0" w:color="auto"/>
              </w:divBdr>
            </w:div>
            <w:div w:id="510529477">
              <w:marLeft w:val="0"/>
              <w:marRight w:val="0"/>
              <w:marTop w:val="0"/>
              <w:marBottom w:val="0"/>
              <w:divBdr>
                <w:top w:val="none" w:sz="0" w:space="0" w:color="auto"/>
                <w:left w:val="none" w:sz="0" w:space="0" w:color="auto"/>
                <w:bottom w:val="none" w:sz="0" w:space="0" w:color="auto"/>
                <w:right w:val="none" w:sz="0" w:space="0" w:color="auto"/>
              </w:divBdr>
            </w:div>
            <w:div w:id="526259198">
              <w:marLeft w:val="0"/>
              <w:marRight w:val="0"/>
              <w:marTop w:val="0"/>
              <w:marBottom w:val="0"/>
              <w:divBdr>
                <w:top w:val="none" w:sz="0" w:space="0" w:color="auto"/>
                <w:left w:val="none" w:sz="0" w:space="0" w:color="auto"/>
                <w:bottom w:val="none" w:sz="0" w:space="0" w:color="auto"/>
                <w:right w:val="none" w:sz="0" w:space="0" w:color="auto"/>
              </w:divBdr>
            </w:div>
            <w:div w:id="791481552">
              <w:marLeft w:val="0"/>
              <w:marRight w:val="0"/>
              <w:marTop w:val="0"/>
              <w:marBottom w:val="0"/>
              <w:divBdr>
                <w:top w:val="none" w:sz="0" w:space="0" w:color="auto"/>
                <w:left w:val="none" w:sz="0" w:space="0" w:color="auto"/>
                <w:bottom w:val="none" w:sz="0" w:space="0" w:color="auto"/>
                <w:right w:val="none" w:sz="0" w:space="0" w:color="auto"/>
              </w:divBdr>
            </w:div>
            <w:div w:id="804784119">
              <w:marLeft w:val="0"/>
              <w:marRight w:val="0"/>
              <w:marTop w:val="0"/>
              <w:marBottom w:val="0"/>
              <w:divBdr>
                <w:top w:val="none" w:sz="0" w:space="0" w:color="auto"/>
                <w:left w:val="none" w:sz="0" w:space="0" w:color="auto"/>
                <w:bottom w:val="none" w:sz="0" w:space="0" w:color="auto"/>
                <w:right w:val="none" w:sz="0" w:space="0" w:color="auto"/>
              </w:divBdr>
            </w:div>
            <w:div w:id="849488738">
              <w:marLeft w:val="0"/>
              <w:marRight w:val="0"/>
              <w:marTop w:val="0"/>
              <w:marBottom w:val="0"/>
              <w:divBdr>
                <w:top w:val="none" w:sz="0" w:space="0" w:color="auto"/>
                <w:left w:val="none" w:sz="0" w:space="0" w:color="auto"/>
                <w:bottom w:val="none" w:sz="0" w:space="0" w:color="auto"/>
                <w:right w:val="none" w:sz="0" w:space="0" w:color="auto"/>
              </w:divBdr>
            </w:div>
            <w:div w:id="928660594">
              <w:marLeft w:val="0"/>
              <w:marRight w:val="0"/>
              <w:marTop w:val="0"/>
              <w:marBottom w:val="0"/>
              <w:divBdr>
                <w:top w:val="none" w:sz="0" w:space="0" w:color="auto"/>
                <w:left w:val="none" w:sz="0" w:space="0" w:color="auto"/>
                <w:bottom w:val="none" w:sz="0" w:space="0" w:color="auto"/>
                <w:right w:val="none" w:sz="0" w:space="0" w:color="auto"/>
              </w:divBdr>
            </w:div>
            <w:div w:id="1069032921">
              <w:marLeft w:val="0"/>
              <w:marRight w:val="0"/>
              <w:marTop w:val="0"/>
              <w:marBottom w:val="0"/>
              <w:divBdr>
                <w:top w:val="none" w:sz="0" w:space="0" w:color="auto"/>
                <w:left w:val="none" w:sz="0" w:space="0" w:color="auto"/>
                <w:bottom w:val="none" w:sz="0" w:space="0" w:color="auto"/>
                <w:right w:val="none" w:sz="0" w:space="0" w:color="auto"/>
              </w:divBdr>
            </w:div>
            <w:div w:id="1538735362">
              <w:marLeft w:val="0"/>
              <w:marRight w:val="0"/>
              <w:marTop w:val="0"/>
              <w:marBottom w:val="0"/>
              <w:divBdr>
                <w:top w:val="none" w:sz="0" w:space="0" w:color="auto"/>
                <w:left w:val="none" w:sz="0" w:space="0" w:color="auto"/>
                <w:bottom w:val="none" w:sz="0" w:space="0" w:color="auto"/>
                <w:right w:val="none" w:sz="0" w:space="0" w:color="auto"/>
              </w:divBdr>
            </w:div>
            <w:div w:id="1640305698">
              <w:marLeft w:val="0"/>
              <w:marRight w:val="0"/>
              <w:marTop w:val="0"/>
              <w:marBottom w:val="0"/>
              <w:divBdr>
                <w:top w:val="none" w:sz="0" w:space="0" w:color="auto"/>
                <w:left w:val="none" w:sz="0" w:space="0" w:color="auto"/>
                <w:bottom w:val="none" w:sz="0" w:space="0" w:color="auto"/>
                <w:right w:val="none" w:sz="0" w:space="0" w:color="auto"/>
              </w:divBdr>
            </w:div>
            <w:div w:id="1828282658">
              <w:marLeft w:val="0"/>
              <w:marRight w:val="0"/>
              <w:marTop w:val="0"/>
              <w:marBottom w:val="0"/>
              <w:divBdr>
                <w:top w:val="none" w:sz="0" w:space="0" w:color="auto"/>
                <w:left w:val="none" w:sz="0" w:space="0" w:color="auto"/>
                <w:bottom w:val="none" w:sz="0" w:space="0" w:color="auto"/>
                <w:right w:val="none" w:sz="0" w:space="0" w:color="auto"/>
              </w:divBdr>
            </w:div>
            <w:div w:id="1920751716">
              <w:marLeft w:val="0"/>
              <w:marRight w:val="0"/>
              <w:marTop w:val="0"/>
              <w:marBottom w:val="0"/>
              <w:divBdr>
                <w:top w:val="none" w:sz="0" w:space="0" w:color="auto"/>
                <w:left w:val="none" w:sz="0" w:space="0" w:color="auto"/>
                <w:bottom w:val="none" w:sz="0" w:space="0" w:color="auto"/>
                <w:right w:val="none" w:sz="0" w:space="0" w:color="auto"/>
              </w:divBdr>
            </w:div>
            <w:div w:id="1928538239">
              <w:marLeft w:val="0"/>
              <w:marRight w:val="0"/>
              <w:marTop w:val="0"/>
              <w:marBottom w:val="0"/>
              <w:divBdr>
                <w:top w:val="none" w:sz="0" w:space="0" w:color="auto"/>
                <w:left w:val="none" w:sz="0" w:space="0" w:color="auto"/>
                <w:bottom w:val="none" w:sz="0" w:space="0" w:color="auto"/>
                <w:right w:val="none" w:sz="0" w:space="0" w:color="auto"/>
              </w:divBdr>
            </w:div>
            <w:div w:id="2063480155">
              <w:marLeft w:val="0"/>
              <w:marRight w:val="0"/>
              <w:marTop w:val="0"/>
              <w:marBottom w:val="0"/>
              <w:divBdr>
                <w:top w:val="none" w:sz="0" w:space="0" w:color="auto"/>
                <w:left w:val="none" w:sz="0" w:space="0" w:color="auto"/>
                <w:bottom w:val="none" w:sz="0" w:space="0" w:color="auto"/>
                <w:right w:val="none" w:sz="0" w:space="0" w:color="auto"/>
              </w:divBdr>
            </w:div>
            <w:div w:id="2125494429">
              <w:marLeft w:val="0"/>
              <w:marRight w:val="0"/>
              <w:marTop w:val="0"/>
              <w:marBottom w:val="0"/>
              <w:divBdr>
                <w:top w:val="none" w:sz="0" w:space="0" w:color="auto"/>
                <w:left w:val="none" w:sz="0" w:space="0" w:color="auto"/>
                <w:bottom w:val="none" w:sz="0" w:space="0" w:color="auto"/>
                <w:right w:val="none" w:sz="0" w:space="0" w:color="auto"/>
              </w:divBdr>
            </w:div>
          </w:divsChild>
        </w:div>
        <w:div w:id="1735734243">
          <w:marLeft w:val="0"/>
          <w:marRight w:val="0"/>
          <w:marTop w:val="0"/>
          <w:marBottom w:val="0"/>
          <w:divBdr>
            <w:top w:val="none" w:sz="0" w:space="0" w:color="auto"/>
            <w:left w:val="none" w:sz="0" w:space="0" w:color="auto"/>
            <w:bottom w:val="none" w:sz="0" w:space="0" w:color="auto"/>
            <w:right w:val="none" w:sz="0" w:space="0" w:color="auto"/>
          </w:divBdr>
        </w:div>
        <w:div w:id="1741488853">
          <w:marLeft w:val="0"/>
          <w:marRight w:val="0"/>
          <w:marTop w:val="0"/>
          <w:marBottom w:val="0"/>
          <w:divBdr>
            <w:top w:val="none" w:sz="0" w:space="0" w:color="auto"/>
            <w:left w:val="none" w:sz="0" w:space="0" w:color="auto"/>
            <w:bottom w:val="none" w:sz="0" w:space="0" w:color="auto"/>
            <w:right w:val="none" w:sz="0" w:space="0" w:color="auto"/>
          </w:divBdr>
        </w:div>
        <w:div w:id="1743481869">
          <w:marLeft w:val="0"/>
          <w:marRight w:val="0"/>
          <w:marTop w:val="0"/>
          <w:marBottom w:val="0"/>
          <w:divBdr>
            <w:top w:val="none" w:sz="0" w:space="0" w:color="auto"/>
            <w:left w:val="none" w:sz="0" w:space="0" w:color="auto"/>
            <w:bottom w:val="none" w:sz="0" w:space="0" w:color="auto"/>
            <w:right w:val="none" w:sz="0" w:space="0" w:color="auto"/>
          </w:divBdr>
        </w:div>
        <w:div w:id="1745490181">
          <w:marLeft w:val="0"/>
          <w:marRight w:val="0"/>
          <w:marTop w:val="0"/>
          <w:marBottom w:val="0"/>
          <w:divBdr>
            <w:top w:val="none" w:sz="0" w:space="0" w:color="auto"/>
            <w:left w:val="none" w:sz="0" w:space="0" w:color="auto"/>
            <w:bottom w:val="none" w:sz="0" w:space="0" w:color="auto"/>
            <w:right w:val="none" w:sz="0" w:space="0" w:color="auto"/>
          </w:divBdr>
        </w:div>
        <w:div w:id="1761297080">
          <w:marLeft w:val="0"/>
          <w:marRight w:val="0"/>
          <w:marTop w:val="0"/>
          <w:marBottom w:val="0"/>
          <w:divBdr>
            <w:top w:val="none" w:sz="0" w:space="0" w:color="auto"/>
            <w:left w:val="none" w:sz="0" w:space="0" w:color="auto"/>
            <w:bottom w:val="none" w:sz="0" w:space="0" w:color="auto"/>
            <w:right w:val="none" w:sz="0" w:space="0" w:color="auto"/>
          </w:divBdr>
        </w:div>
        <w:div w:id="1762602298">
          <w:marLeft w:val="0"/>
          <w:marRight w:val="0"/>
          <w:marTop w:val="0"/>
          <w:marBottom w:val="0"/>
          <w:divBdr>
            <w:top w:val="none" w:sz="0" w:space="0" w:color="auto"/>
            <w:left w:val="none" w:sz="0" w:space="0" w:color="auto"/>
            <w:bottom w:val="none" w:sz="0" w:space="0" w:color="auto"/>
            <w:right w:val="none" w:sz="0" w:space="0" w:color="auto"/>
          </w:divBdr>
          <w:divsChild>
            <w:div w:id="718554029">
              <w:marLeft w:val="-75"/>
              <w:marRight w:val="0"/>
              <w:marTop w:val="30"/>
              <w:marBottom w:val="30"/>
              <w:divBdr>
                <w:top w:val="none" w:sz="0" w:space="0" w:color="auto"/>
                <w:left w:val="none" w:sz="0" w:space="0" w:color="auto"/>
                <w:bottom w:val="none" w:sz="0" w:space="0" w:color="auto"/>
                <w:right w:val="none" w:sz="0" w:space="0" w:color="auto"/>
              </w:divBdr>
              <w:divsChild>
                <w:div w:id="20978625">
                  <w:marLeft w:val="0"/>
                  <w:marRight w:val="0"/>
                  <w:marTop w:val="0"/>
                  <w:marBottom w:val="0"/>
                  <w:divBdr>
                    <w:top w:val="none" w:sz="0" w:space="0" w:color="auto"/>
                    <w:left w:val="none" w:sz="0" w:space="0" w:color="auto"/>
                    <w:bottom w:val="none" w:sz="0" w:space="0" w:color="auto"/>
                    <w:right w:val="none" w:sz="0" w:space="0" w:color="auto"/>
                  </w:divBdr>
                  <w:divsChild>
                    <w:div w:id="17241263">
                      <w:marLeft w:val="0"/>
                      <w:marRight w:val="0"/>
                      <w:marTop w:val="0"/>
                      <w:marBottom w:val="0"/>
                      <w:divBdr>
                        <w:top w:val="none" w:sz="0" w:space="0" w:color="auto"/>
                        <w:left w:val="none" w:sz="0" w:space="0" w:color="auto"/>
                        <w:bottom w:val="none" w:sz="0" w:space="0" w:color="auto"/>
                        <w:right w:val="none" w:sz="0" w:space="0" w:color="auto"/>
                      </w:divBdr>
                    </w:div>
                    <w:div w:id="659233226">
                      <w:marLeft w:val="0"/>
                      <w:marRight w:val="0"/>
                      <w:marTop w:val="0"/>
                      <w:marBottom w:val="0"/>
                      <w:divBdr>
                        <w:top w:val="none" w:sz="0" w:space="0" w:color="auto"/>
                        <w:left w:val="none" w:sz="0" w:space="0" w:color="auto"/>
                        <w:bottom w:val="none" w:sz="0" w:space="0" w:color="auto"/>
                        <w:right w:val="none" w:sz="0" w:space="0" w:color="auto"/>
                      </w:divBdr>
                    </w:div>
                    <w:div w:id="2047171797">
                      <w:marLeft w:val="0"/>
                      <w:marRight w:val="0"/>
                      <w:marTop w:val="0"/>
                      <w:marBottom w:val="0"/>
                      <w:divBdr>
                        <w:top w:val="none" w:sz="0" w:space="0" w:color="auto"/>
                        <w:left w:val="none" w:sz="0" w:space="0" w:color="auto"/>
                        <w:bottom w:val="none" w:sz="0" w:space="0" w:color="auto"/>
                        <w:right w:val="none" w:sz="0" w:space="0" w:color="auto"/>
                      </w:divBdr>
                    </w:div>
                    <w:div w:id="2135710540">
                      <w:marLeft w:val="0"/>
                      <w:marRight w:val="0"/>
                      <w:marTop w:val="0"/>
                      <w:marBottom w:val="0"/>
                      <w:divBdr>
                        <w:top w:val="none" w:sz="0" w:space="0" w:color="auto"/>
                        <w:left w:val="none" w:sz="0" w:space="0" w:color="auto"/>
                        <w:bottom w:val="none" w:sz="0" w:space="0" w:color="auto"/>
                        <w:right w:val="none" w:sz="0" w:space="0" w:color="auto"/>
                      </w:divBdr>
                    </w:div>
                  </w:divsChild>
                </w:div>
                <w:div w:id="335616148">
                  <w:marLeft w:val="0"/>
                  <w:marRight w:val="0"/>
                  <w:marTop w:val="0"/>
                  <w:marBottom w:val="0"/>
                  <w:divBdr>
                    <w:top w:val="none" w:sz="0" w:space="0" w:color="auto"/>
                    <w:left w:val="none" w:sz="0" w:space="0" w:color="auto"/>
                    <w:bottom w:val="none" w:sz="0" w:space="0" w:color="auto"/>
                    <w:right w:val="none" w:sz="0" w:space="0" w:color="auto"/>
                  </w:divBdr>
                  <w:divsChild>
                    <w:div w:id="1087269644">
                      <w:marLeft w:val="0"/>
                      <w:marRight w:val="0"/>
                      <w:marTop w:val="0"/>
                      <w:marBottom w:val="0"/>
                      <w:divBdr>
                        <w:top w:val="none" w:sz="0" w:space="0" w:color="auto"/>
                        <w:left w:val="none" w:sz="0" w:space="0" w:color="auto"/>
                        <w:bottom w:val="none" w:sz="0" w:space="0" w:color="auto"/>
                        <w:right w:val="none" w:sz="0" w:space="0" w:color="auto"/>
                      </w:divBdr>
                    </w:div>
                    <w:div w:id="1269239743">
                      <w:marLeft w:val="0"/>
                      <w:marRight w:val="0"/>
                      <w:marTop w:val="0"/>
                      <w:marBottom w:val="0"/>
                      <w:divBdr>
                        <w:top w:val="none" w:sz="0" w:space="0" w:color="auto"/>
                        <w:left w:val="none" w:sz="0" w:space="0" w:color="auto"/>
                        <w:bottom w:val="none" w:sz="0" w:space="0" w:color="auto"/>
                        <w:right w:val="none" w:sz="0" w:space="0" w:color="auto"/>
                      </w:divBdr>
                    </w:div>
                  </w:divsChild>
                </w:div>
                <w:div w:id="946740272">
                  <w:marLeft w:val="0"/>
                  <w:marRight w:val="0"/>
                  <w:marTop w:val="0"/>
                  <w:marBottom w:val="0"/>
                  <w:divBdr>
                    <w:top w:val="none" w:sz="0" w:space="0" w:color="auto"/>
                    <w:left w:val="none" w:sz="0" w:space="0" w:color="auto"/>
                    <w:bottom w:val="none" w:sz="0" w:space="0" w:color="auto"/>
                    <w:right w:val="none" w:sz="0" w:space="0" w:color="auto"/>
                  </w:divBdr>
                  <w:divsChild>
                    <w:div w:id="341471943">
                      <w:marLeft w:val="0"/>
                      <w:marRight w:val="0"/>
                      <w:marTop w:val="0"/>
                      <w:marBottom w:val="0"/>
                      <w:divBdr>
                        <w:top w:val="none" w:sz="0" w:space="0" w:color="auto"/>
                        <w:left w:val="none" w:sz="0" w:space="0" w:color="auto"/>
                        <w:bottom w:val="none" w:sz="0" w:space="0" w:color="auto"/>
                        <w:right w:val="none" w:sz="0" w:space="0" w:color="auto"/>
                      </w:divBdr>
                    </w:div>
                    <w:div w:id="1846943751">
                      <w:marLeft w:val="0"/>
                      <w:marRight w:val="0"/>
                      <w:marTop w:val="0"/>
                      <w:marBottom w:val="0"/>
                      <w:divBdr>
                        <w:top w:val="none" w:sz="0" w:space="0" w:color="auto"/>
                        <w:left w:val="none" w:sz="0" w:space="0" w:color="auto"/>
                        <w:bottom w:val="none" w:sz="0" w:space="0" w:color="auto"/>
                        <w:right w:val="none" w:sz="0" w:space="0" w:color="auto"/>
                      </w:divBdr>
                    </w:div>
                  </w:divsChild>
                </w:div>
                <w:div w:id="996034677">
                  <w:marLeft w:val="0"/>
                  <w:marRight w:val="0"/>
                  <w:marTop w:val="0"/>
                  <w:marBottom w:val="0"/>
                  <w:divBdr>
                    <w:top w:val="none" w:sz="0" w:space="0" w:color="auto"/>
                    <w:left w:val="none" w:sz="0" w:space="0" w:color="auto"/>
                    <w:bottom w:val="none" w:sz="0" w:space="0" w:color="auto"/>
                    <w:right w:val="none" w:sz="0" w:space="0" w:color="auto"/>
                  </w:divBdr>
                  <w:divsChild>
                    <w:div w:id="948246272">
                      <w:marLeft w:val="0"/>
                      <w:marRight w:val="0"/>
                      <w:marTop w:val="0"/>
                      <w:marBottom w:val="0"/>
                      <w:divBdr>
                        <w:top w:val="none" w:sz="0" w:space="0" w:color="auto"/>
                        <w:left w:val="none" w:sz="0" w:space="0" w:color="auto"/>
                        <w:bottom w:val="none" w:sz="0" w:space="0" w:color="auto"/>
                        <w:right w:val="none" w:sz="0" w:space="0" w:color="auto"/>
                      </w:divBdr>
                    </w:div>
                    <w:div w:id="1909488246">
                      <w:marLeft w:val="0"/>
                      <w:marRight w:val="0"/>
                      <w:marTop w:val="0"/>
                      <w:marBottom w:val="0"/>
                      <w:divBdr>
                        <w:top w:val="none" w:sz="0" w:space="0" w:color="auto"/>
                        <w:left w:val="none" w:sz="0" w:space="0" w:color="auto"/>
                        <w:bottom w:val="none" w:sz="0" w:space="0" w:color="auto"/>
                        <w:right w:val="none" w:sz="0" w:space="0" w:color="auto"/>
                      </w:divBdr>
                    </w:div>
                  </w:divsChild>
                </w:div>
                <w:div w:id="1090194839">
                  <w:marLeft w:val="0"/>
                  <w:marRight w:val="0"/>
                  <w:marTop w:val="0"/>
                  <w:marBottom w:val="0"/>
                  <w:divBdr>
                    <w:top w:val="none" w:sz="0" w:space="0" w:color="auto"/>
                    <w:left w:val="none" w:sz="0" w:space="0" w:color="auto"/>
                    <w:bottom w:val="none" w:sz="0" w:space="0" w:color="auto"/>
                    <w:right w:val="none" w:sz="0" w:space="0" w:color="auto"/>
                  </w:divBdr>
                  <w:divsChild>
                    <w:div w:id="167863948">
                      <w:marLeft w:val="0"/>
                      <w:marRight w:val="0"/>
                      <w:marTop w:val="0"/>
                      <w:marBottom w:val="0"/>
                      <w:divBdr>
                        <w:top w:val="none" w:sz="0" w:space="0" w:color="auto"/>
                        <w:left w:val="none" w:sz="0" w:space="0" w:color="auto"/>
                        <w:bottom w:val="none" w:sz="0" w:space="0" w:color="auto"/>
                        <w:right w:val="none" w:sz="0" w:space="0" w:color="auto"/>
                      </w:divBdr>
                    </w:div>
                    <w:div w:id="553855621">
                      <w:marLeft w:val="0"/>
                      <w:marRight w:val="0"/>
                      <w:marTop w:val="0"/>
                      <w:marBottom w:val="0"/>
                      <w:divBdr>
                        <w:top w:val="none" w:sz="0" w:space="0" w:color="auto"/>
                        <w:left w:val="none" w:sz="0" w:space="0" w:color="auto"/>
                        <w:bottom w:val="none" w:sz="0" w:space="0" w:color="auto"/>
                        <w:right w:val="none" w:sz="0" w:space="0" w:color="auto"/>
                      </w:divBdr>
                    </w:div>
                  </w:divsChild>
                </w:div>
                <w:div w:id="1272858350">
                  <w:marLeft w:val="0"/>
                  <w:marRight w:val="0"/>
                  <w:marTop w:val="0"/>
                  <w:marBottom w:val="0"/>
                  <w:divBdr>
                    <w:top w:val="none" w:sz="0" w:space="0" w:color="auto"/>
                    <w:left w:val="none" w:sz="0" w:space="0" w:color="auto"/>
                    <w:bottom w:val="none" w:sz="0" w:space="0" w:color="auto"/>
                    <w:right w:val="none" w:sz="0" w:space="0" w:color="auto"/>
                  </w:divBdr>
                  <w:divsChild>
                    <w:div w:id="879628645">
                      <w:marLeft w:val="0"/>
                      <w:marRight w:val="0"/>
                      <w:marTop w:val="0"/>
                      <w:marBottom w:val="0"/>
                      <w:divBdr>
                        <w:top w:val="none" w:sz="0" w:space="0" w:color="auto"/>
                        <w:left w:val="none" w:sz="0" w:space="0" w:color="auto"/>
                        <w:bottom w:val="none" w:sz="0" w:space="0" w:color="auto"/>
                        <w:right w:val="none" w:sz="0" w:space="0" w:color="auto"/>
                      </w:divBdr>
                    </w:div>
                    <w:div w:id="1147629917">
                      <w:marLeft w:val="0"/>
                      <w:marRight w:val="0"/>
                      <w:marTop w:val="0"/>
                      <w:marBottom w:val="0"/>
                      <w:divBdr>
                        <w:top w:val="none" w:sz="0" w:space="0" w:color="auto"/>
                        <w:left w:val="none" w:sz="0" w:space="0" w:color="auto"/>
                        <w:bottom w:val="none" w:sz="0" w:space="0" w:color="auto"/>
                        <w:right w:val="none" w:sz="0" w:space="0" w:color="auto"/>
                      </w:divBdr>
                    </w:div>
                  </w:divsChild>
                </w:div>
                <w:div w:id="1558081750">
                  <w:marLeft w:val="0"/>
                  <w:marRight w:val="0"/>
                  <w:marTop w:val="0"/>
                  <w:marBottom w:val="0"/>
                  <w:divBdr>
                    <w:top w:val="none" w:sz="0" w:space="0" w:color="auto"/>
                    <w:left w:val="none" w:sz="0" w:space="0" w:color="auto"/>
                    <w:bottom w:val="none" w:sz="0" w:space="0" w:color="auto"/>
                    <w:right w:val="none" w:sz="0" w:space="0" w:color="auto"/>
                  </w:divBdr>
                  <w:divsChild>
                    <w:div w:id="1792435977">
                      <w:marLeft w:val="0"/>
                      <w:marRight w:val="0"/>
                      <w:marTop w:val="0"/>
                      <w:marBottom w:val="0"/>
                      <w:divBdr>
                        <w:top w:val="none" w:sz="0" w:space="0" w:color="auto"/>
                        <w:left w:val="none" w:sz="0" w:space="0" w:color="auto"/>
                        <w:bottom w:val="none" w:sz="0" w:space="0" w:color="auto"/>
                        <w:right w:val="none" w:sz="0" w:space="0" w:color="auto"/>
                      </w:divBdr>
                    </w:div>
                  </w:divsChild>
                </w:div>
                <w:div w:id="1830293981">
                  <w:marLeft w:val="0"/>
                  <w:marRight w:val="0"/>
                  <w:marTop w:val="0"/>
                  <w:marBottom w:val="0"/>
                  <w:divBdr>
                    <w:top w:val="none" w:sz="0" w:space="0" w:color="auto"/>
                    <w:left w:val="none" w:sz="0" w:space="0" w:color="auto"/>
                    <w:bottom w:val="none" w:sz="0" w:space="0" w:color="auto"/>
                    <w:right w:val="none" w:sz="0" w:space="0" w:color="auto"/>
                  </w:divBdr>
                  <w:divsChild>
                    <w:div w:id="1205100836">
                      <w:marLeft w:val="0"/>
                      <w:marRight w:val="0"/>
                      <w:marTop w:val="0"/>
                      <w:marBottom w:val="0"/>
                      <w:divBdr>
                        <w:top w:val="none" w:sz="0" w:space="0" w:color="auto"/>
                        <w:left w:val="none" w:sz="0" w:space="0" w:color="auto"/>
                        <w:bottom w:val="none" w:sz="0" w:space="0" w:color="auto"/>
                        <w:right w:val="none" w:sz="0" w:space="0" w:color="auto"/>
                      </w:divBdr>
                    </w:div>
                    <w:div w:id="1268654622">
                      <w:marLeft w:val="0"/>
                      <w:marRight w:val="0"/>
                      <w:marTop w:val="0"/>
                      <w:marBottom w:val="0"/>
                      <w:divBdr>
                        <w:top w:val="none" w:sz="0" w:space="0" w:color="auto"/>
                        <w:left w:val="none" w:sz="0" w:space="0" w:color="auto"/>
                        <w:bottom w:val="none" w:sz="0" w:space="0" w:color="auto"/>
                        <w:right w:val="none" w:sz="0" w:space="0" w:color="auto"/>
                      </w:divBdr>
                    </w:div>
                  </w:divsChild>
                </w:div>
                <w:div w:id="1970742438">
                  <w:marLeft w:val="0"/>
                  <w:marRight w:val="0"/>
                  <w:marTop w:val="0"/>
                  <w:marBottom w:val="0"/>
                  <w:divBdr>
                    <w:top w:val="none" w:sz="0" w:space="0" w:color="auto"/>
                    <w:left w:val="none" w:sz="0" w:space="0" w:color="auto"/>
                    <w:bottom w:val="none" w:sz="0" w:space="0" w:color="auto"/>
                    <w:right w:val="none" w:sz="0" w:space="0" w:color="auto"/>
                  </w:divBdr>
                  <w:divsChild>
                    <w:div w:id="178274895">
                      <w:marLeft w:val="0"/>
                      <w:marRight w:val="0"/>
                      <w:marTop w:val="0"/>
                      <w:marBottom w:val="0"/>
                      <w:divBdr>
                        <w:top w:val="none" w:sz="0" w:space="0" w:color="auto"/>
                        <w:left w:val="none" w:sz="0" w:space="0" w:color="auto"/>
                        <w:bottom w:val="none" w:sz="0" w:space="0" w:color="auto"/>
                        <w:right w:val="none" w:sz="0" w:space="0" w:color="auto"/>
                      </w:divBdr>
                    </w:div>
                    <w:div w:id="2114744008">
                      <w:marLeft w:val="0"/>
                      <w:marRight w:val="0"/>
                      <w:marTop w:val="0"/>
                      <w:marBottom w:val="0"/>
                      <w:divBdr>
                        <w:top w:val="none" w:sz="0" w:space="0" w:color="auto"/>
                        <w:left w:val="none" w:sz="0" w:space="0" w:color="auto"/>
                        <w:bottom w:val="none" w:sz="0" w:space="0" w:color="auto"/>
                        <w:right w:val="none" w:sz="0" w:space="0" w:color="auto"/>
                      </w:divBdr>
                    </w:div>
                  </w:divsChild>
                </w:div>
                <w:div w:id="2026595396">
                  <w:marLeft w:val="0"/>
                  <w:marRight w:val="0"/>
                  <w:marTop w:val="0"/>
                  <w:marBottom w:val="0"/>
                  <w:divBdr>
                    <w:top w:val="none" w:sz="0" w:space="0" w:color="auto"/>
                    <w:left w:val="none" w:sz="0" w:space="0" w:color="auto"/>
                    <w:bottom w:val="none" w:sz="0" w:space="0" w:color="auto"/>
                    <w:right w:val="none" w:sz="0" w:space="0" w:color="auto"/>
                  </w:divBdr>
                  <w:divsChild>
                    <w:div w:id="86393887">
                      <w:marLeft w:val="0"/>
                      <w:marRight w:val="0"/>
                      <w:marTop w:val="0"/>
                      <w:marBottom w:val="0"/>
                      <w:divBdr>
                        <w:top w:val="none" w:sz="0" w:space="0" w:color="auto"/>
                        <w:left w:val="none" w:sz="0" w:space="0" w:color="auto"/>
                        <w:bottom w:val="none" w:sz="0" w:space="0" w:color="auto"/>
                        <w:right w:val="none" w:sz="0" w:space="0" w:color="auto"/>
                      </w:divBdr>
                    </w:div>
                    <w:div w:id="1730693382">
                      <w:marLeft w:val="0"/>
                      <w:marRight w:val="0"/>
                      <w:marTop w:val="0"/>
                      <w:marBottom w:val="0"/>
                      <w:divBdr>
                        <w:top w:val="none" w:sz="0" w:space="0" w:color="auto"/>
                        <w:left w:val="none" w:sz="0" w:space="0" w:color="auto"/>
                        <w:bottom w:val="none" w:sz="0" w:space="0" w:color="auto"/>
                        <w:right w:val="none" w:sz="0" w:space="0" w:color="auto"/>
                      </w:divBdr>
                    </w:div>
                  </w:divsChild>
                </w:div>
                <w:div w:id="2106460900">
                  <w:marLeft w:val="0"/>
                  <w:marRight w:val="0"/>
                  <w:marTop w:val="0"/>
                  <w:marBottom w:val="0"/>
                  <w:divBdr>
                    <w:top w:val="none" w:sz="0" w:space="0" w:color="auto"/>
                    <w:left w:val="none" w:sz="0" w:space="0" w:color="auto"/>
                    <w:bottom w:val="none" w:sz="0" w:space="0" w:color="auto"/>
                    <w:right w:val="none" w:sz="0" w:space="0" w:color="auto"/>
                  </w:divBdr>
                  <w:divsChild>
                    <w:div w:id="1091272349">
                      <w:marLeft w:val="0"/>
                      <w:marRight w:val="0"/>
                      <w:marTop w:val="0"/>
                      <w:marBottom w:val="0"/>
                      <w:divBdr>
                        <w:top w:val="none" w:sz="0" w:space="0" w:color="auto"/>
                        <w:left w:val="none" w:sz="0" w:space="0" w:color="auto"/>
                        <w:bottom w:val="none" w:sz="0" w:space="0" w:color="auto"/>
                        <w:right w:val="none" w:sz="0" w:space="0" w:color="auto"/>
                      </w:divBdr>
                    </w:div>
                    <w:div w:id="1395812665">
                      <w:marLeft w:val="0"/>
                      <w:marRight w:val="0"/>
                      <w:marTop w:val="0"/>
                      <w:marBottom w:val="0"/>
                      <w:divBdr>
                        <w:top w:val="none" w:sz="0" w:space="0" w:color="auto"/>
                        <w:left w:val="none" w:sz="0" w:space="0" w:color="auto"/>
                        <w:bottom w:val="none" w:sz="0" w:space="0" w:color="auto"/>
                        <w:right w:val="none" w:sz="0" w:space="0" w:color="auto"/>
                      </w:divBdr>
                    </w:div>
                    <w:div w:id="1669209862">
                      <w:marLeft w:val="0"/>
                      <w:marRight w:val="0"/>
                      <w:marTop w:val="0"/>
                      <w:marBottom w:val="0"/>
                      <w:divBdr>
                        <w:top w:val="none" w:sz="0" w:space="0" w:color="auto"/>
                        <w:left w:val="none" w:sz="0" w:space="0" w:color="auto"/>
                        <w:bottom w:val="none" w:sz="0" w:space="0" w:color="auto"/>
                        <w:right w:val="none" w:sz="0" w:space="0" w:color="auto"/>
                      </w:divBdr>
                    </w:div>
                  </w:divsChild>
                </w:div>
                <w:div w:id="2112696364">
                  <w:marLeft w:val="0"/>
                  <w:marRight w:val="0"/>
                  <w:marTop w:val="0"/>
                  <w:marBottom w:val="0"/>
                  <w:divBdr>
                    <w:top w:val="none" w:sz="0" w:space="0" w:color="auto"/>
                    <w:left w:val="none" w:sz="0" w:space="0" w:color="auto"/>
                    <w:bottom w:val="none" w:sz="0" w:space="0" w:color="auto"/>
                    <w:right w:val="none" w:sz="0" w:space="0" w:color="auto"/>
                  </w:divBdr>
                  <w:divsChild>
                    <w:div w:id="546380678">
                      <w:marLeft w:val="0"/>
                      <w:marRight w:val="0"/>
                      <w:marTop w:val="0"/>
                      <w:marBottom w:val="0"/>
                      <w:divBdr>
                        <w:top w:val="none" w:sz="0" w:space="0" w:color="auto"/>
                        <w:left w:val="none" w:sz="0" w:space="0" w:color="auto"/>
                        <w:bottom w:val="none" w:sz="0" w:space="0" w:color="auto"/>
                        <w:right w:val="none" w:sz="0" w:space="0" w:color="auto"/>
                      </w:divBdr>
                    </w:div>
                    <w:div w:id="190979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182063">
          <w:marLeft w:val="0"/>
          <w:marRight w:val="0"/>
          <w:marTop w:val="0"/>
          <w:marBottom w:val="0"/>
          <w:divBdr>
            <w:top w:val="none" w:sz="0" w:space="0" w:color="auto"/>
            <w:left w:val="none" w:sz="0" w:space="0" w:color="auto"/>
            <w:bottom w:val="none" w:sz="0" w:space="0" w:color="auto"/>
            <w:right w:val="none" w:sz="0" w:space="0" w:color="auto"/>
          </w:divBdr>
          <w:divsChild>
            <w:div w:id="119761333">
              <w:marLeft w:val="0"/>
              <w:marRight w:val="0"/>
              <w:marTop w:val="0"/>
              <w:marBottom w:val="0"/>
              <w:divBdr>
                <w:top w:val="none" w:sz="0" w:space="0" w:color="auto"/>
                <w:left w:val="none" w:sz="0" w:space="0" w:color="auto"/>
                <w:bottom w:val="none" w:sz="0" w:space="0" w:color="auto"/>
                <w:right w:val="none" w:sz="0" w:space="0" w:color="auto"/>
              </w:divBdr>
            </w:div>
            <w:div w:id="280961341">
              <w:marLeft w:val="0"/>
              <w:marRight w:val="0"/>
              <w:marTop w:val="0"/>
              <w:marBottom w:val="0"/>
              <w:divBdr>
                <w:top w:val="none" w:sz="0" w:space="0" w:color="auto"/>
                <w:left w:val="none" w:sz="0" w:space="0" w:color="auto"/>
                <w:bottom w:val="none" w:sz="0" w:space="0" w:color="auto"/>
                <w:right w:val="none" w:sz="0" w:space="0" w:color="auto"/>
              </w:divBdr>
            </w:div>
            <w:div w:id="294870668">
              <w:marLeft w:val="0"/>
              <w:marRight w:val="0"/>
              <w:marTop w:val="0"/>
              <w:marBottom w:val="0"/>
              <w:divBdr>
                <w:top w:val="none" w:sz="0" w:space="0" w:color="auto"/>
                <w:left w:val="none" w:sz="0" w:space="0" w:color="auto"/>
                <w:bottom w:val="none" w:sz="0" w:space="0" w:color="auto"/>
                <w:right w:val="none" w:sz="0" w:space="0" w:color="auto"/>
              </w:divBdr>
            </w:div>
            <w:div w:id="642663206">
              <w:marLeft w:val="0"/>
              <w:marRight w:val="0"/>
              <w:marTop w:val="0"/>
              <w:marBottom w:val="0"/>
              <w:divBdr>
                <w:top w:val="none" w:sz="0" w:space="0" w:color="auto"/>
                <w:left w:val="none" w:sz="0" w:space="0" w:color="auto"/>
                <w:bottom w:val="none" w:sz="0" w:space="0" w:color="auto"/>
                <w:right w:val="none" w:sz="0" w:space="0" w:color="auto"/>
              </w:divBdr>
            </w:div>
            <w:div w:id="836849508">
              <w:marLeft w:val="0"/>
              <w:marRight w:val="0"/>
              <w:marTop w:val="0"/>
              <w:marBottom w:val="0"/>
              <w:divBdr>
                <w:top w:val="none" w:sz="0" w:space="0" w:color="auto"/>
                <w:left w:val="none" w:sz="0" w:space="0" w:color="auto"/>
                <w:bottom w:val="none" w:sz="0" w:space="0" w:color="auto"/>
                <w:right w:val="none" w:sz="0" w:space="0" w:color="auto"/>
              </w:divBdr>
            </w:div>
            <w:div w:id="928777119">
              <w:marLeft w:val="0"/>
              <w:marRight w:val="0"/>
              <w:marTop w:val="0"/>
              <w:marBottom w:val="0"/>
              <w:divBdr>
                <w:top w:val="none" w:sz="0" w:space="0" w:color="auto"/>
                <w:left w:val="none" w:sz="0" w:space="0" w:color="auto"/>
                <w:bottom w:val="none" w:sz="0" w:space="0" w:color="auto"/>
                <w:right w:val="none" w:sz="0" w:space="0" w:color="auto"/>
              </w:divBdr>
            </w:div>
            <w:div w:id="991328440">
              <w:marLeft w:val="0"/>
              <w:marRight w:val="0"/>
              <w:marTop w:val="0"/>
              <w:marBottom w:val="0"/>
              <w:divBdr>
                <w:top w:val="none" w:sz="0" w:space="0" w:color="auto"/>
                <w:left w:val="none" w:sz="0" w:space="0" w:color="auto"/>
                <w:bottom w:val="none" w:sz="0" w:space="0" w:color="auto"/>
                <w:right w:val="none" w:sz="0" w:space="0" w:color="auto"/>
              </w:divBdr>
            </w:div>
            <w:div w:id="1083256198">
              <w:marLeft w:val="0"/>
              <w:marRight w:val="0"/>
              <w:marTop w:val="0"/>
              <w:marBottom w:val="0"/>
              <w:divBdr>
                <w:top w:val="none" w:sz="0" w:space="0" w:color="auto"/>
                <w:left w:val="none" w:sz="0" w:space="0" w:color="auto"/>
                <w:bottom w:val="none" w:sz="0" w:space="0" w:color="auto"/>
                <w:right w:val="none" w:sz="0" w:space="0" w:color="auto"/>
              </w:divBdr>
            </w:div>
            <w:div w:id="1343122081">
              <w:marLeft w:val="0"/>
              <w:marRight w:val="0"/>
              <w:marTop w:val="0"/>
              <w:marBottom w:val="0"/>
              <w:divBdr>
                <w:top w:val="none" w:sz="0" w:space="0" w:color="auto"/>
                <w:left w:val="none" w:sz="0" w:space="0" w:color="auto"/>
                <w:bottom w:val="none" w:sz="0" w:space="0" w:color="auto"/>
                <w:right w:val="none" w:sz="0" w:space="0" w:color="auto"/>
              </w:divBdr>
            </w:div>
            <w:div w:id="1406033244">
              <w:marLeft w:val="0"/>
              <w:marRight w:val="0"/>
              <w:marTop w:val="0"/>
              <w:marBottom w:val="0"/>
              <w:divBdr>
                <w:top w:val="none" w:sz="0" w:space="0" w:color="auto"/>
                <w:left w:val="none" w:sz="0" w:space="0" w:color="auto"/>
                <w:bottom w:val="none" w:sz="0" w:space="0" w:color="auto"/>
                <w:right w:val="none" w:sz="0" w:space="0" w:color="auto"/>
              </w:divBdr>
            </w:div>
            <w:div w:id="1521426994">
              <w:marLeft w:val="0"/>
              <w:marRight w:val="0"/>
              <w:marTop w:val="0"/>
              <w:marBottom w:val="0"/>
              <w:divBdr>
                <w:top w:val="none" w:sz="0" w:space="0" w:color="auto"/>
                <w:left w:val="none" w:sz="0" w:space="0" w:color="auto"/>
                <w:bottom w:val="none" w:sz="0" w:space="0" w:color="auto"/>
                <w:right w:val="none" w:sz="0" w:space="0" w:color="auto"/>
              </w:divBdr>
            </w:div>
            <w:div w:id="1671518151">
              <w:marLeft w:val="0"/>
              <w:marRight w:val="0"/>
              <w:marTop w:val="0"/>
              <w:marBottom w:val="0"/>
              <w:divBdr>
                <w:top w:val="none" w:sz="0" w:space="0" w:color="auto"/>
                <w:left w:val="none" w:sz="0" w:space="0" w:color="auto"/>
                <w:bottom w:val="none" w:sz="0" w:space="0" w:color="auto"/>
                <w:right w:val="none" w:sz="0" w:space="0" w:color="auto"/>
              </w:divBdr>
            </w:div>
            <w:div w:id="1750880675">
              <w:marLeft w:val="0"/>
              <w:marRight w:val="0"/>
              <w:marTop w:val="0"/>
              <w:marBottom w:val="0"/>
              <w:divBdr>
                <w:top w:val="none" w:sz="0" w:space="0" w:color="auto"/>
                <w:left w:val="none" w:sz="0" w:space="0" w:color="auto"/>
                <w:bottom w:val="none" w:sz="0" w:space="0" w:color="auto"/>
                <w:right w:val="none" w:sz="0" w:space="0" w:color="auto"/>
              </w:divBdr>
            </w:div>
            <w:div w:id="1867014580">
              <w:marLeft w:val="0"/>
              <w:marRight w:val="0"/>
              <w:marTop w:val="0"/>
              <w:marBottom w:val="0"/>
              <w:divBdr>
                <w:top w:val="none" w:sz="0" w:space="0" w:color="auto"/>
                <w:left w:val="none" w:sz="0" w:space="0" w:color="auto"/>
                <w:bottom w:val="none" w:sz="0" w:space="0" w:color="auto"/>
                <w:right w:val="none" w:sz="0" w:space="0" w:color="auto"/>
              </w:divBdr>
            </w:div>
            <w:div w:id="1910798228">
              <w:marLeft w:val="0"/>
              <w:marRight w:val="0"/>
              <w:marTop w:val="0"/>
              <w:marBottom w:val="0"/>
              <w:divBdr>
                <w:top w:val="none" w:sz="0" w:space="0" w:color="auto"/>
                <w:left w:val="none" w:sz="0" w:space="0" w:color="auto"/>
                <w:bottom w:val="none" w:sz="0" w:space="0" w:color="auto"/>
                <w:right w:val="none" w:sz="0" w:space="0" w:color="auto"/>
              </w:divBdr>
            </w:div>
            <w:div w:id="1973515390">
              <w:marLeft w:val="0"/>
              <w:marRight w:val="0"/>
              <w:marTop w:val="0"/>
              <w:marBottom w:val="0"/>
              <w:divBdr>
                <w:top w:val="none" w:sz="0" w:space="0" w:color="auto"/>
                <w:left w:val="none" w:sz="0" w:space="0" w:color="auto"/>
                <w:bottom w:val="none" w:sz="0" w:space="0" w:color="auto"/>
                <w:right w:val="none" w:sz="0" w:space="0" w:color="auto"/>
              </w:divBdr>
            </w:div>
            <w:div w:id="2064670532">
              <w:marLeft w:val="0"/>
              <w:marRight w:val="0"/>
              <w:marTop w:val="0"/>
              <w:marBottom w:val="0"/>
              <w:divBdr>
                <w:top w:val="none" w:sz="0" w:space="0" w:color="auto"/>
                <w:left w:val="none" w:sz="0" w:space="0" w:color="auto"/>
                <w:bottom w:val="none" w:sz="0" w:space="0" w:color="auto"/>
                <w:right w:val="none" w:sz="0" w:space="0" w:color="auto"/>
              </w:divBdr>
            </w:div>
            <w:div w:id="2075423892">
              <w:marLeft w:val="0"/>
              <w:marRight w:val="0"/>
              <w:marTop w:val="0"/>
              <w:marBottom w:val="0"/>
              <w:divBdr>
                <w:top w:val="none" w:sz="0" w:space="0" w:color="auto"/>
                <w:left w:val="none" w:sz="0" w:space="0" w:color="auto"/>
                <w:bottom w:val="none" w:sz="0" w:space="0" w:color="auto"/>
                <w:right w:val="none" w:sz="0" w:space="0" w:color="auto"/>
              </w:divBdr>
            </w:div>
            <w:div w:id="2135295247">
              <w:marLeft w:val="0"/>
              <w:marRight w:val="0"/>
              <w:marTop w:val="0"/>
              <w:marBottom w:val="0"/>
              <w:divBdr>
                <w:top w:val="none" w:sz="0" w:space="0" w:color="auto"/>
                <w:left w:val="none" w:sz="0" w:space="0" w:color="auto"/>
                <w:bottom w:val="none" w:sz="0" w:space="0" w:color="auto"/>
                <w:right w:val="none" w:sz="0" w:space="0" w:color="auto"/>
              </w:divBdr>
            </w:div>
          </w:divsChild>
        </w:div>
        <w:div w:id="1780566405">
          <w:marLeft w:val="0"/>
          <w:marRight w:val="0"/>
          <w:marTop w:val="0"/>
          <w:marBottom w:val="0"/>
          <w:divBdr>
            <w:top w:val="none" w:sz="0" w:space="0" w:color="auto"/>
            <w:left w:val="none" w:sz="0" w:space="0" w:color="auto"/>
            <w:bottom w:val="none" w:sz="0" w:space="0" w:color="auto"/>
            <w:right w:val="none" w:sz="0" w:space="0" w:color="auto"/>
          </w:divBdr>
        </w:div>
        <w:div w:id="1822774555">
          <w:marLeft w:val="0"/>
          <w:marRight w:val="0"/>
          <w:marTop w:val="0"/>
          <w:marBottom w:val="0"/>
          <w:divBdr>
            <w:top w:val="none" w:sz="0" w:space="0" w:color="auto"/>
            <w:left w:val="none" w:sz="0" w:space="0" w:color="auto"/>
            <w:bottom w:val="none" w:sz="0" w:space="0" w:color="auto"/>
            <w:right w:val="none" w:sz="0" w:space="0" w:color="auto"/>
          </w:divBdr>
          <w:divsChild>
            <w:div w:id="50201893">
              <w:marLeft w:val="0"/>
              <w:marRight w:val="0"/>
              <w:marTop w:val="0"/>
              <w:marBottom w:val="0"/>
              <w:divBdr>
                <w:top w:val="none" w:sz="0" w:space="0" w:color="auto"/>
                <w:left w:val="none" w:sz="0" w:space="0" w:color="auto"/>
                <w:bottom w:val="none" w:sz="0" w:space="0" w:color="auto"/>
                <w:right w:val="none" w:sz="0" w:space="0" w:color="auto"/>
              </w:divBdr>
            </w:div>
            <w:div w:id="205266388">
              <w:marLeft w:val="0"/>
              <w:marRight w:val="0"/>
              <w:marTop w:val="0"/>
              <w:marBottom w:val="0"/>
              <w:divBdr>
                <w:top w:val="none" w:sz="0" w:space="0" w:color="auto"/>
                <w:left w:val="none" w:sz="0" w:space="0" w:color="auto"/>
                <w:bottom w:val="none" w:sz="0" w:space="0" w:color="auto"/>
                <w:right w:val="none" w:sz="0" w:space="0" w:color="auto"/>
              </w:divBdr>
            </w:div>
            <w:div w:id="235089559">
              <w:marLeft w:val="0"/>
              <w:marRight w:val="0"/>
              <w:marTop w:val="0"/>
              <w:marBottom w:val="0"/>
              <w:divBdr>
                <w:top w:val="none" w:sz="0" w:space="0" w:color="auto"/>
                <w:left w:val="none" w:sz="0" w:space="0" w:color="auto"/>
                <w:bottom w:val="none" w:sz="0" w:space="0" w:color="auto"/>
                <w:right w:val="none" w:sz="0" w:space="0" w:color="auto"/>
              </w:divBdr>
            </w:div>
            <w:div w:id="245892072">
              <w:marLeft w:val="0"/>
              <w:marRight w:val="0"/>
              <w:marTop w:val="0"/>
              <w:marBottom w:val="0"/>
              <w:divBdr>
                <w:top w:val="none" w:sz="0" w:space="0" w:color="auto"/>
                <w:left w:val="none" w:sz="0" w:space="0" w:color="auto"/>
                <w:bottom w:val="none" w:sz="0" w:space="0" w:color="auto"/>
                <w:right w:val="none" w:sz="0" w:space="0" w:color="auto"/>
              </w:divBdr>
            </w:div>
            <w:div w:id="281041753">
              <w:marLeft w:val="0"/>
              <w:marRight w:val="0"/>
              <w:marTop w:val="0"/>
              <w:marBottom w:val="0"/>
              <w:divBdr>
                <w:top w:val="none" w:sz="0" w:space="0" w:color="auto"/>
                <w:left w:val="none" w:sz="0" w:space="0" w:color="auto"/>
                <w:bottom w:val="none" w:sz="0" w:space="0" w:color="auto"/>
                <w:right w:val="none" w:sz="0" w:space="0" w:color="auto"/>
              </w:divBdr>
            </w:div>
            <w:div w:id="534930083">
              <w:marLeft w:val="0"/>
              <w:marRight w:val="0"/>
              <w:marTop w:val="0"/>
              <w:marBottom w:val="0"/>
              <w:divBdr>
                <w:top w:val="none" w:sz="0" w:space="0" w:color="auto"/>
                <w:left w:val="none" w:sz="0" w:space="0" w:color="auto"/>
                <w:bottom w:val="none" w:sz="0" w:space="0" w:color="auto"/>
                <w:right w:val="none" w:sz="0" w:space="0" w:color="auto"/>
              </w:divBdr>
            </w:div>
            <w:div w:id="608706772">
              <w:marLeft w:val="0"/>
              <w:marRight w:val="0"/>
              <w:marTop w:val="0"/>
              <w:marBottom w:val="0"/>
              <w:divBdr>
                <w:top w:val="none" w:sz="0" w:space="0" w:color="auto"/>
                <w:left w:val="none" w:sz="0" w:space="0" w:color="auto"/>
                <w:bottom w:val="none" w:sz="0" w:space="0" w:color="auto"/>
                <w:right w:val="none" w:sz="0" w:space="0" w:color="auto"/>
              </w:divBdr>
            </w:div>
            <w:div w:id="610599455">
              <w:marLeft w:val="0"/>
              <w:marRight w:val="0"/>
              <w:marTop w:val="0"/>
              <w:marBottom w:val="0"/>
              <w:divBdr>
                <w:top w:val="none" w:sz="0" w:space="0" w:color="auto"/>
                <w:left w:val="none" w:sz="0" w:space="0" w:color="auto"/>
                <w:bottom w:val="none" w:sz="0" w:space="0" w:color="auto"/>
                <w:right w:val="none" w:sz="0" w:space="0" w:color="auto"/>
              </w:divBdr>
            </w:div>
            <w:div w:id="1089544353">
              <w:marLeft w:val="0"/>
              <w:marRight w:val="0"/>
              <w:marTop w:val="0"/>
              <w:marBottom w:val="0"/>
              <w:divBdr>
                <w:top w:val="none" w:sz="0" w:space="0" w:color="auto"/>
                <w:left w:val="none" w:sz="0" w:space="0" w:color="auto"/>
                <w:bottom w:val="none" w:sz="0" w:space="0" w:color="auto"/>
                <w:right w:val="none" w:sz="0" w:space="0" w:color="auto"/>
              </w:divBdr>
            </w:div>
            <w:div w:id="1311446014">
              <w:marLeft w:val="0"/>
              <w:marRight w:val="0"/>
              <w:marTop w:val="0"/>
              <w:marBottom w:val="0"/>
              <w:divBdr>
                <w:top w:val="none" w:sz="0" w:space="0" w:color="auto"/>
                <w:left w:val="none" w:sz="0" w:space="0" w:color="auto"/>
                <w:bottom w:val="none" w:sz="0" w:space="0" w:color="auto"/>
                <w:right w:val="none" w:sz="0" w:space="0" w:color="auto"/>
              </w:divBdr>
            </w:div>
            <w:div w:id="1384405470">
              <w:marLeft w:val="0"/>
              <w:marRight w:val="0"/>
              <w:marTop w:val="0"/>
              <w:marBottom w:val="0"/>
              <w:divBdr>
                <w:top w:val="none" w:sz="0" w:space="0" w:color="auto"/>
                <w:left w:val="none" w:sz="0" w:space="0" w:color="auto"/>
                <w:bottom w:val="none" w:sz="0" w:space="0" w:color="auto"/>
                <w:right w:val="none" w:sz="0" w:space="0" w:color="auto"/>
              </w:divBdr>
            </w:div>
            <w:div w:id="1500392098">
              <w:marLeft w:val="0"/>
              <w:marRight w:val="0"/>
              <w:marTop w:val="0"/>
              <w:marBottom w:val="0"/>
              <w:divBdr>
                <w:top w:val="none" w:sz="0" w:space="0" w:color="auto"/>
                <w:left w:val="none" w:sz="0" w:space="0" w:color="auto"/>
                <w:bottom w:val="none" w:sz="0" w:space="0" w:color="auto"/>
                <w:right w:val="none" w:sz="0" w:space="0" w:color="auto"/>
              </w:divBdr>
            </w:div>
            <w:div w:id="1569655202">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1639261449">
              <w:marLeft w:val="0"/>
              <w:marRight w:val="0"/>
              <w:marTop w:val="0"/>
              <w:marBottom w:val="0"/>
              <w:divBdr>
                <w:top w:val="none" w:sz="0" w:space="0" w:color="auto"/>
                <w:left w:val="none" w:sz="0" w:space="0" w:color="auto"/>
                <w:bottom w:val="none" w:sz="0" w:space="0" w:color="auto"/>
                <w:right w:val="none" w:sz="0" w:space="0" w:color="auto"/>
              </w:divBdr>
            </w:div>
            <w:div w:id="1702045654">
              <w:marLeft w:val="0"/>
              <w:marRight w:val="0"/>
              <w:marTop w:val="0"/>
              <w:marBottom w:val="0"/>
              <w:divBdr>
                <w:top w:val="none" w:sz="0" w:space="0" w:color="auto"/>
                <w:left w:val="none" w:sz="0" w:space="0" w:color="auto"/>
                <w:bottom w:val="none" w:sz="0" w:space="0" w:color="auto"/>
                <w:right w:val="none" w:sz="0" w:space="0" w:color="auto"/>
              </w:divBdr>
            </w:div>
            <w:div w:id="1809393653">
              <w:marLeft w:val="0"/>
              <w:marRight w:val="0"/>
              <w:marTop w:val="0"/>
              <w:marBottom w:val="0"/>
              <w:divBdr>
                <w:top w:val="none" w:sz="0" w:space="0" w:color="auto"/>
                <w:left w:val="none" w:sz="0" w:space="0" w:color="auto"/>
                <w:bottom w:val="none" w:sz="0" w:space="0" w:color="auto"/>
                <w:right w:val="none" w:sz="0" w:space="0" w:color="auto"/>
              </w:divBdr>
            </w:div>
            <w:div w:id="1849828074">
              <w:marLeft w:val="0"/>
              <w:marRight w:val="0"/>
              <w:marTop w:val="0"/>
              <w:marBottom w:val="0"/>
              <w:divBdr>
                <w:top w:val="none" w:sz="0" w:space="0" w:color="auto"/>
                <w:left w:val="none" w:sz="0" w:space="0" w:color="auto"/>
                <w:bottom w:val="none" w:sz="0" w:space="0" w:color="auto"/>
                <w:right w:val="none" w:sz="0" w:space="0" w:color="auto"/>
              </w:divBdr>
            </w:div>
            <w:div w:id="1880316860">
              <w:marLeft w:val="0"/>
              <w:marRight w:val="0"/>
              <w:marTop w:val="0"/>
              <w:marBottom w:val="0"/>
              <w:divBdr>
                <w:top w:val="none" w:sz="0" w:space="0" w:color="auto"/>
                <w:left w:val="none" w:sz="0" w:space="0" w:color="auto"/>
                <w:bottom w:val="none" w:sz="0" w:space="0" w:color="auto"/>
                <w:right w:val="none" w:sz="0" w:space="0" w:color="auto"/>
              </w:divBdr>
            </w:div>
            <w:div w:id="1889295407">
              <w:marLeft w:val="0"/>
              <w:marRight w:val="0"/>
              <w:marTop w:val="0"/>
              <w:marBottom w:val="0"/>
              <w:divBdr>
                <w:top w:val="none" w:sz="0" w:space="0" w:color="auto"/>
                <w:left w:val="none" w:sz="0" w:space="0" w:color="auto"/>
                <w:bottom w:val="none" w:sz="0" w:space="0" w:color="auto"/>
                <w:right w:val="none" w:sz="0" w:space="0" w:color="auto"/>
              </w:divBdr>
            </w:div>
          </w:divsChild>
        </w:div>
        <w:div w:id="1846044725">
          <w:marLeft w:val="0"/>
          <w:marRight w:val="0"/>
          <w:marTop w:val="0"/>
          <w:marBottom w:val="0"/>
          <w:divBdr>
            <w:top w:val="none" w:sz="0" w:space="0" w:color="auto"/>
            <w:left w:val="none" w:sz="0" w:space="0" w:color="auto"/>
            <w:bottom w:val="none" w:sz="0" w:space="0" w:color="auto"/>
            <w:right w:val="none" w:sz="0" w:space="0" w:color="auto"/>
          </w:divBdr>
        </w:div>
        <w:div w:id="1870295299">
          <w:marLeft w:val="0"/>
          <w:marRight w:val="0"/>
          <w:marTop w:val="0"/>
          <w:marBottom w:val="0"/>
          <w:divBdr>
            <w:top w:val="none" w:sz="0" w:space="0" w:color="auto"/>
            <w:left w:val="none" w:sz="0" w:space="0" w:color="auto"/>
            <w:bottom w:val="none" w:sz="0" w:space="0" w:color="auto"/>
            <w:right w:val="none" w:sz="0" w:space="0" w:color="auto"/>
          </w:divBdr>
        </w:div>
        <w:div w:id="1870414903">
          <w:marLeft w:val="0"/>
          <w:marRight w:val="0"/>
          <w:marTop w:val="0"/>
          <w:marBottom w:val="0"/>
          <w:divBdr>
            <w:top w:val="none" w:sz="0" w:space="0" w:color="auto"/>
            <w:left w:val="none" w:sz="0" w:space="0" w:color="auto"/>
            <w:bottom w:val="none" w:sz="0" w:space="0" w:color="auto"/>
            <w:right w:val="none" w:sz="0" w:space="0" w:color="auto"/>
          </w:divBdr>
        </w:div>
        <w:div w:id="1921285667">
          <w:marLeft w:val="0"/>
          <w:marRight w:val="0"/>
          <w:marTop w:val="0"/>
          <w:marBottom w:val="0"/>
          <w:divBdr>
            <w:top w:val="none" w:sz="0" w:space="0" w:color="auto"/>
            <w:left w:val="none" w:sz="0" w:space="0" w:color="auto"/>
            <w:bottom w:val="none" w:sz="0" w:space="0" w:color="auto"/>
            <w:right w:val="none" w:sz="0" w:space="0" w:color="auto"/>
          </w:divBdr>
        </w:div>
        <w:div w:id="1921911354">
          <w:marLeft w:val="0"/>
          <w:marRight w:val="0"/>
          <w:marTop w:val="0"/>
          <w:marBottom w:val="0"/>
          <w:divBdr>
            <w:top w:val="none" w:sz="0" w:space="0" w:color="auto"/>
            <w:left w:val="none" w:sz="0" w:space="0" w:color="auto"/>
            <w:bottom w:val="none" w:sz="0" w:space="0" w:color="auto"/>
            <w:right w:val="none" w:sz="0" w:space="0" w:color="auto"/>
          </w:divBdr>
        </w:div>
        <w:div w:id="1926260758">
          <w:marLeft w:val="0"/>
          <w:marRight w:val="0"/>
          <w:marTop w:val="0"/>
          <w:marBottom w:val="0"/>
          <w:divBdr>
            <w:top w:val="none" w:sz="0" w:space="0" w:color="auto"/>
            <w:left w:val="none" w:sz="0" w:space="0" w:color="auto"/>
            <w:bottom w:val="none" w:sz="0" w:space="0" w:color="auto"/>
            <w:right w:val="none" w:sz="0" w:space="0" w:color="auto"/>
          </w:divBdr>
          <w:divsChild>
            <w:div w:id="194851161">
              <w:marLeft w:val="0"/>
              <w:marRight w:val="0"/>
              <w:marTop w:val="0"/>
              <w:marBottom w:val="0"/>
              <w:divBdr>
                <w:top w:val="none" w:sz="0" w:space="0" w:color="auto"/>
                <w:left w:val="none" w:sz="0" w:space="0" w:color="auto"/>
                <w:bottom w:val="none" w:sz="0" w:space="0" w:color="auto"/>
                <w:right w:val="none" w:sz="0" w:space="0" w:color="auto"/>
              </w:divBdr>
            </w:div>
            <w:div w:id="333920260">
              <w:marLeft w:val="0"/>
              <w:marRight w:val="0"/>
              <w:marTop w:val="0"/>
              <w:marBottom w:val="0"/>
              <w:divBdr>
                <w:top w:val="none" w:sz="0" w:space="0" w:color="auto"/>
                <w:left w:val="none" w:sz="0" w:space="0" w:color="auto"/>
                <w:bottom w:val="none" w:sz="0" w:space="0" w:color="auto"/>
                <w:right w:val="none" w:sz="0" w:space="0" w:color="auto"/>
              </w:divBdr>
            </w:div>
            <w:div w:id="451750708">
              <w:marLeft w:val="0"/>
              <w:marRight w:val="0"/>
              <w:marTop w:val="0"/>
              <w:marBottom w:val="0"/>
              <w:divBdr>
                <w:top w:val="none" w:sz="0" w:space="0" w:color="auto"/>
                <w:left w:val="none" w:sz="0" w:space="0" w:color="auto"/>
                <w:bottom w:val="none" w:sz="0" w:space="0" w:color="auto"/>
                <w:right w:val="none" w:sz="0" w:space="0" w:color="auto"/>
              </w:divBdr>
            </w:div>
            <w:div w:id="712734436">
              <w:marLeft w:val="0"/>
              <w:marRight w:val="0"/>
              <w:marTop w:val="0"/>
              <w:marBottom w:val="0"/>
              <w:divBdr>
                <w:top w:val="none" w:sz="0" w:space="0" w:color="auto"/>
                <w:left w:val="none" w:sz="0" w:space="0" w:color="auto"/>
                <w:bottom w:val="none" w:sz="0" w:space="0" w:color="auto"/>
                <w:right w:val="none" w:sz="0" w:space="0" w:color="auto"/>
              </w:divBdr>
            </w:div>
            <w:div w:id="731778612">
              <w:marLeft w:val="0"/>
              <w:marRight w:val="0"/>
              <w:marTop w:val="0"/>
              <w:marBottom w:val="0"/>
              <w:divBdr>
                <w:top w:val="none" w:sz="0" w:space="0" w:color="auto"/>
                <w:left w:val="none" w:sz="0" w:space="0" w:color="auto"/>
                <w:bottom w:val="none" w:sz="0" w:space="0" w:color="auto"/>
                <w:right w:val="none" w:sz="0" w:space="0" w:color="auto"/>
              </w:divBdr>
            </w:div>
            <w:div w:id="740366059">
              <w:marLeft w:val="0"/>
              <w:marRight w:val="0"/>
              <w:marTop w:val="0"/>
              <w:marBottom w:val="0"/>
              <w:divBdr>
                <w:top w:val="none" w:sz="0" w:space="0" w:color="auto"/>
                <w:left w:val="none" w:sz="0" w:space="0" w:color="auto"/>
                <w:bottom w:val="none" w:sz="0" w:space="0" w:color="auto"/>
                <w:right w:val="none" w:sz="0" w:space="0" w:color="auto"/>
              </w:divBdr>
            </w:div>
            <w:div w:id="742609744">
              <w:marLeft w:val="0"/>
              <w:marRight w:val="0"/>
              <w:marTop w:val="0"/>
              <w:marBottom w:val="0"/>
              <w:divBdr>
                <w:top w:val="none" w:sz="0" w:space="0" w:color="auto"/>
                <w:left w:val="none" w:sz="0" w:space="0" w:color="auto"/>
                <w:bottom w:val="none" w:sz="0" w:space="0" w:color="auto"/>
                <w:right w:val="none" w:sz="0" w:space="0" w:color="auto"/>
              </w:divBdr>
            </w:div>
            <w:div w:id="801918802">
              <w:marLeft w:val="0"/>
              <w:marRight w:val="0"/>
              <w:marTop w:val="0"/>
              <w:marBottom w:val="0"/>
              <w:divBdr>
                <w:top w:val="none" w:sz="0" w:space="0" w:color="auto"/>
                <w:left w:val="none" w:sz="0" w:space="0" w:color="auto"/>
                <w:bottom w:val="none" w:sz="0" w:space="0" w:color="auto"/>
                <w:right w:val="none" w:sz="0" w:space="0" w:color="auto"/>
              </w:divBdr>
            </w:div>
            <w:div w:id="861287704">
              <w:marLeft w:val="0"/>
              <w:marRight w:val="0"/>
              <w:marTop w:val="0"/>
              <w:marBottom w:val="0"/>
              <w:divBdr>
                <w:top w:val="none" w:sz="0" w:space="0" w:color="auto"/>
                <w:left w:val="none" w:sz="0" w:space="0" w:color="auto"/>
                <w:bottom w:val="none" w:sz="0" w:space="0" w:color="auto"/>
                <w:right w:val="none" w:sz="0" w:space="0" w:color="auto"/>
              </w:divBdr>
            </w:div>
            <w:div w:id="1001662376">
              <w:marLeft w:val="0"/>
              <w:marRight w:val="0"/>
              <w:marTop w:val="0"/>
              <w:marBottom w:val="0"/>
              <w:divBdr>
                <w:top w:val="none" w:sz="0" w:space="0" w:color="auto"/>
                <w:left w:val="none" w:sz="0" w:space="0" w:color="auto"/>
                <w:bottom w:val="none" w:sz="0" w:space="0" w:color="auto"/>
                <w:right w:val="none" w:sz="0" w:space="0" w:color="auto"/>
              </w:divBdr>
            </w:div>
            <w:div w:id="1032194212">
              <w:marLeft w:val="0"/>
              <w:marRight w:val="0"/>
              <w:marTop w:val="0"/>
              <w:marBottom w:val="0"/>
              <w:divBdr>
                <w:top w:val="none" w:sz="0" w:space="0" w:color="auto"/>
                <w:left w:val="none" w:sz="0" w:space="0" w:color="auto"/>
                <w:bottom w:val="none" w:sz="0" w:space="0" w:color="auto"/>
                <w:right w:val="none" w:sz="0" w:space="0" w:color="auto"/>
              </w:divBdr>
            </w:div>
            <w:div w:id="1198012303">
              <w:marLeft w:val="0"/>
              <w:marRight w:val="0"/>
              <w:marTop w:val="0"/>
              <w:marBottom w:val="0"/>
              <w:divBdr>
                <w:top w:val="none" w:sz="0" w:space="0" w:color="auto"/>
                <w:left w:val="none" w:sz="0" w:space="0" w:color="auto"/>
                <w:bottom w:val="none" w:sz="0" w:space="0" w:color="auto"/>
                <w:right w:val="none" w:sz="0" w:space="0" w:color="auto"/>
              </w:divBdr>
            </w:div>
            <w:div w:id="1325402201">
              <w:marLeft w:val="0"/>
              <w:marRight w:val="0"/>
              <w:marTop w:val="0"/>
              <w:marBottom w:val="0"/>
              <w:divBdr>
                <w:top w:val="none" w:sz="0" w:space="0" w:color="auto"/>
                <w:left w:val="none" w:sz="0" w:space="0" w:color="auto"/>
                <w:bottom w:val="none" w:sz="0" w:space="0" w:color="auto"/>
                <w:right w:val="none" w:sz="0" w:space="0" w:color="auto"/>
              </w:divBdr>
            </w:div>
            <w:div w:id="1366369455">
              <w:marLeft w:val="0"/>
              <w:marRight w:val="0"/>
              <w:marTop w:val="0"/>
              <w:marBottom w:val="0"/>
              <w:divBdr>
                <w:top w:val="none" w:sz="0" w:space="0" w:color="auto"/>
                <w:left w:val="none" w:sz="0" w:space="0" w:color="auto"/>
                <w:bottom w:val="none" w:sz="0" w:space="0" w:color="auto"/>
                <w:right w:val="none" w:sz="0" w:space="0" w:color="auto"/>
              </w:divBdr>
            </w:div>
            <w:div w:id="1396783279">
              <w:marLeft w:val="0"/>
              <w:marRight w:val="0"/>
              <w:marTop w:val="0"/>
              <w:marBottom w:val="0"/>
              <w:divBdr>
                <w:top w:val="none" w:sz="0" w:space="0" w:color="auto"/>
                <w:left w:val="none" w:sz="0" w:space="0" w:color="auto"/>
                <w:bottom w:val="none" w:sz="0" w:space="0" w:color="auto"/>
                <w:right w:val="none" w:sz="0" w:space="0" w:color="auto"/>
              </w:divBdr>
            </w:div>
            <w:div w:id="1535577897">
              <w:marLeft w:val="0"/>
              <w:marRight w:val="0"/>
              <w:marTop w:val="0"/>
              <w:marBottom w:val="0"/>
              <w:divBdr>
                <w:top w:val="none" w:sz="0" w:space="0" w:color="auto"/>
                <w:left w:val="none" w:sz="0" w:space="0" w:color="auto"/>
                <w:bottom w:val="none" w:sz="0" w:space="0" w:color="auto"/>
                <w:right w:val="none" w:sz="0" w:space="0" w:color="auto"/>
              </w:divBdr>
            </w:div>
            <w:div w:id="1590235862">
              <w:marLeft w:val="0"/>
              <w:marRight w:val="0"/>
              <w:marTop w:val="0"/>
              <w:marBottom w:val="0"/>
              <w:divBdr>
                <w:top w:val="none" w:sz="0" w:space="0" w:color="auto"/>
                <w:left w:val="none" w:sz="0" w:space="0" w:color="auto"/>
                <w:bottom w:val="none" w:sz="0" w:space="0" w:color="auto"/>
                <w:right w:val="none" w:sz="0" w:space="0" w:color="auto"/>
              </w:divBdr>
            </w:div>
            <w:div w:id="1642617767">
              <w:marLeft w:val="0"/>
              <w:marRight w:val="0"/>
              <w:marTop w:val="0"/>
              <w:marBottom w:val="0"/>
              <w:divBdr>
                <w:top w:val="none" w:sz="0" w:space="0" w:color="auto"/>
                <w:left w:val="none" w:sz="0" w:space="0" w:color="auto"/>
                <w:bottom w:val="none" w:sz="0" w:space="0" w:color="auto"/>
                <w:right w:val="none" w:sz="0" w:space="0" w:color="auto"/>
              </w:divBdr>
            </w:div>
            <w:div w:id="1651515418">
              <w:marLeft w:val="0"/>
              <w:marRight w:val="0"/>
              <w:marTop w:val="0"/>
              <w:marBottom w:val="0"/>
              <w:divBdr>
                <w:top w:val="none" w:sz="0" w:space="0" w:color="auto"/>
                <w:left w:val="none" w:sz="0" w:space="0" w:color="auto"/>
                <w:bottom w:val="none" w:sz="0" w:space="0" w:color="auto"/>
                <w:right w:val="none" w:sz="0" w:space="0" w:color="auto"/>
              </w:divBdr>
            </w:div>
            <w:div w:id="1997220385">
              <w:marLeft w:val="0"/>
              <w:marRight w:val="0"/>
              <w:marTop w:val="0"/>
              <w:marBottom w:val="0"/>
              <w:divBdr>
                <w:top w:val="none" w:sz="0" w:space="0" w:color="auto"/>
                <w:left w:val="none" w:sz="0" w:space="0" w:color="auto"/>
                <w:bottom w:val="none" w:sz="0" w:space="0" w:color="auto"/>
                <w:right w:val="none" w:sz="0" w:space="0" w:color="auto"/>
              </w:divBdr>
            </w:div>
          </w:divsChild>
        </w:div>
        <w:div w:id="1937710621">
          <w:marLeft w:val="0"/>
          <w:marRight w:val="0"/>
          <w:marTop w:val="0"/>
          <w:marBottom w:val="0"/>
          <w:divBdr>
            <w:top w:val="none" w:sz="0" w:space="0" w:color="auto"/>
            <w:left w:val="none" w:sz="0" w:space="0" w:color="auto"/>
            <w:bottom w:val="none" w:sz="0" w:space="0" w:color="auto"/>
            <w:right w:val="none" w:sz="0" w:space="0" w:color="auto"/>
          </w:divBdr>
        </w:div>
        <w:div w:id="1941134256">
          <w:marLeft w:val="0"/>
          <w:marRight w:val="0"/>
          <w:marTop w:val="0"/>
          <w:marBottom w:val="0"/>
          <w:divBdr>
            <w:top w:val="none" w:sz="0" w:space="0" w:color="auto"/>
            <w:left w:val="none" w:sz="0" w:space="0" w:color="auto"/>
            <w:bottom w:val="none" w:sz="0" w:space="0" w:color="auto"/>
            <w:right w:val="none" w:sz="0" w:space="0" w:color="auto"/>
          </w:divBdr>
        </w:div>
        <w:div w:id="1956862880">
          <w:marLeft w:val="0"/>
          <w:marRight w:val="0"/>
          <w:marTop w:val="0"/>
          <w:marBottom w:val="0"/>
          <w:divBdr>
            <w:top w:val="none" w:sz="0" w:space="0" w:color="auto"/>
            <w:left w:val="none" w:sz="0" w:space="0" w:color="auto"/>
            <w:bottom w:val="none" w:sz="0" w:space="0" w:color="auto"/>
            <w:right w:val="none" w:sz="0" w:space="0" w:color="auto"/>
          </w:divBdr>
          <w:divsChild>
            <w:div w:id="82996640">
              <w:marLeft w:val="0"/>
              <w:marRight w:val="0"/>
              <w:marTop w:val="0"/>
              <w:marBottom w:val="0"/>
              <w:divBdr>
                <w:top w:val="none" w:sz="0" w:space="0" w:color="auto"/>
                <w:left w:val="none" w:sz="0" w:space="0" w:color="auto"/>
                <w:bottom w:val="none" w:sz="0" w:space="0" w:color="auto"/>
                <w:right w:val="none" w:sz="0" w:space="0" w:color="auto"/>
              </w:divBdr>
            </w:div>
            <w:div w:id="96946265">
              <w:marLeft w:val="0"/>
              <w:marRight w:val="0"/>
              <w:marTop w:val="0"/>
              <w:marBottom w:val="0"/>
              <w:divBdr>
                <w:top w:val="none" w:sz="0" w:space="0" w:color="auto"/>
                <w:left w:val="none" w:sz="0" w:space="0" w:color="auto"/>
                <w:bottom w:val="none" w:sz="0" w:space="0" w:color="auto"/>
                <w:right w:val="none" w:sz="0" w:space="0" w:color="auto"/>
              </w:divBdr>
            </w:div>
            <w:div w:id="173038675">
              <w:marLeft w:val="0"/>
              <w:marRight w:val="0"/>
              <w:marTop w:val="0"/>
              <w:marBottom w:val="0"/>
              <w:divBdr>
                <w:top w:val="none" w:sz="0" w:space="0" w:color="auto"/>
                <w:left w:val="none" w:sz="0" w:space="0" w:color="auto"/>
                <w:bottom w:val="none" w:sz="0" w:space="0" w:color="auto"/>
                <w:right w:val="none" w:sz="0" w:space="0" w:color="auto"/>
              </w:divBdr>
            </w:div>
            <w:div w:id="213464775">
              <w:marLeft w:val="0"/>
              <w:marRight w:val="0"/>
              <w:marTop w:val="0"/>
              <w:marBottom w:val="0"/>
              <w:divBdr>
                <w:top w:val="none" w:sz="0" w:space="0" w:color="auto"/>
                <w:left w:val="none" w:sz="0" w:space="0" w:color="auto"/>
                <w:bottom w:val="none" w:sz="0" w:space="0" w:color="auto"/>
                <w:right w:val="none" w:sz="0" w:space="0" w:color="auto"/>
              </w:divBdr>
            </w:div>
            <w:div w:id="362756504">
              <w:marLeft w:val="0"/>
              <w:marRight w:val="0"/>
              <w:marTop w:val="0"/>
              <w:marBottom w:val="0"/>
              <w:divBdr>
                <w:top w:val="none" w:sz="0" w:space="0" w:color="auto"/>
                <w:left w:val="none" w:sz="0" w:space="0" w:color="auto"/>
                <w:bottom w:val="none" w:sz="0" w:space="0" w:color="auto"/>
                <w:right w:val="none" w:sz="0" w:space="0" w:color="auto"/>
              </w:divBdr>
            </w:div>
            <w:div w:id="387343737">
              <w:marLeft w:val="0"/>
              <w:marRight w:val="0"/>
              <w:marTop w:val="0"/>
              <w:marBottom w:val="0"/>
              <w:divBdr>
                <w:top w:val="none" w:sz="0" w:space="0" w:color="auto"/>
                <w:left w:val="none" w:sz="0" w:space="0" w:color="auto"/>
                <w:bottom w:val="none" w:sz="0" w:space="0" w:color="auto"/>
                <w:right w:val="none" w:sz="0" w:space="0" w:color="auto"/>
              </w:divBdr>
            </w:div>
            <w:div w:id="577443397">
              <w:marLeft w:val="0"/>
              <w:marRight w:val="0"/>
              <w:marTop w:val="0"/>
              <w:marBottom w:val="0"/>
              <w:divBdr>
                <w:top w:val="none" w:sz="0" w:space="0" w:color="auto"/>
                <w:left w:val="none" w:sz="0" w:space="0" w:color="auto"/>
                <w:bottom w:val="none" w:sz="0" w:space="0" w:color="auto"/>
                <w:right w:val="none" w:sz="0" w:space="0" w:color="auto"/>
              </w:divBdr>
            </w:div>
            <w:div w:id="640965885">
              <w:marLeft w:val="0"/>
              <w:marRight w:val="0"/>
              <w:marTop w:val="0"/>
              <w:marBottom w:val="0"/>
              <w:divBdr>
                <w:top w:val="none" w:sz="0" w:space="0" w:color="auto"/>
                <w:left w:val="none" w:sz="0" w:space="0" w:color="auto"/>
                <w:bottom w:val="none" w:sz="0" w:space="0" w:color="auto"/>
                <w:right w:val="none" w:sz="0" w:space="0" w:color="auto"/>
              </w:divBdr>
            </w:div>
            <w:div w:id="673265845">
              <w:marLeft w:val="0"/>
              <w:marRight w:val="0"/>
              <w:marTop w:val="0"/>
              <w:marBottom w:val="0"/>
              <w:divBdr>
                <w:top w:val="none" w:sz="0" w:space="0" w:color="auto"/>
                <w:left w:val="none" w:sz="0" w:space="0" w:color="auto"/>
                <w:bottom w:val="none" w:sz="0" w:space="0" w:color="auto"/>
                <w:right w:val="none" w:sz="0" w:space="0" w:color="auto"/>
              </w:divBdr>
            </w:div>
            <w:div w:id="837187098">
              <w:marLeft w:val="0"/>
              <w:marRight w:val="0"/>
              <w:marTop w:val="0"/>
              <w:marBottom w:val="0"/>
              <w:divBdr>
                <w:top w:val="none" w:sz="0" w:space="0" w:color="auto"/>
                <w:left w:val="none" w:sz="0" w:space="0" w:color="auto"/>
                <w:bottom w:val="none" w:sz="0" w:space="0" w:color="auto"/>
                <w:right w:val="none" w:sz="0" w:space="0" w:color="auto"/>
              </w:divBdr>
            </w:div>
            <w:div w:id="902520254">
              <w:marLeft w:val="0"/>
              <w:marRight w:val="0"/>
              <w:marTop w:val="0"/>
              <w:marBottom w:val="0"/>
              <w:divBdr>
                <w:top w:val="none" w:sz="0" w:space="0" w:color="auto"/>
                <w:left w:val="none" w:sz="0" w:space="0" w:color="auto"/>
                <w:bottom w:val="none" w:sz="0" w:space="0" w:color="auto"/>
                <w:right w:val="none" w:sz="0" w:space="0" w:color="auto"/>
              </w:divBdr>
            </w:div>
            <w:div w:id="1058213794">
              <w:marLeft w:val="0"/>
              <w:marRight w:val="0"/>
              <w:marTop w:val="0"/>
              <w:marBottom w:val="0"/>
              <w:divBdr>
                <w:top w:val="none" w:sz="0" w:space="0" w:color="auto"/>
                <w:left w:val="none" w:sz="0" w:space="0" w:color="auto"/>
                <w:bottom w:val="none" w:sz="0" w:space="0" w:color="auto"/>
                <w:right w:val="none" w:sz="0" w:space="0" w:color="auto"/>
              </w:divBdr>
            </w:div>
            <w:div w:id="1189684938">
              <w:marLeft w:val="0"/>
              <w:marRight w:val="0"/>
              <w:marTop w:val="0"/>
              <w:marBottom w:val="0"/>
              <w:divBdr>
                <w:top w:val="none" w:sz="0" w:space="0" w:color="auto"/>
                <w:left w:val="none" w:sz="0" w:space="0" w:color="auto"/>
                <w:bottom w:val="none" w:sz="0" w:space="0" w:color="auto"/>
                <w:right w:val="none" w:sz="0" w:space="0" w:color="auto"/>
              </w:divBdr>
            </w:div>
            <w:div w:id="1314067628">
              <w:marLeft w:val="0"/>
              <w:marRight w:val="0"/>
              <w:marTop w:val="0"/>
              <w:marBottom w:val="0"/>
              <w:divBdr>
                <w:top w:val="none" w:sz="0" w:space="0" w:color="auto"/>
                <w:left w:val="none" w:sz="0" w:space="0" w:color="auto"/>
                <w:bottom w:val="none" w:sz="0" w:space="0" w:color="auto"/>
                <w:right w:val="none" w:sz="0" w:space="0" w:color="auto"/>
              </w:divBdr>
            </w:div>
            <w:div w:id="1754888644">
              <w:marLeft w:val="0"/>
              <w:marRight w:val="0"/>
              <w:marTop w:val="0"/>
              <w:marBottom w:val="0"/>
              <w:divBdr>
                <w:top w:val="none" w:sz="0" w:space="0" w:color="auto"/>
                <w:left w:val="none" w:sz="0" w:space="0" w:color="auto"/>
                <w:bottom w:val="none" w:sz="0" w:space="0" w:color="auto"/>
                <w:right w:val="none" w:sz="0" w:space="0" w:color="auto"/>
              </w:divBdr>
            </w:div>
            <w:div w:id="1757437062">
              <w:marLeft w:val="0"/>
              <w:marRight w:val="0"/>
              <w:marTop w:val="0"/>
              <w:marBottom w:val="0"/>
              <w:divBdr>
                <w:top w:val="none" w:sz="0" w:space="0" w:color="auto"/>
                <w:left w:val="none" w:sz="0" w:space="0" w:color="auto"/>
                <w:bottom w:val="none" w:sz="0" w:space="0" w:color="auto"/>
                <w:right w:val="none" w:sz="0" w:space="0" w:color="auto"/>
              </w:divBdr>
            </w:div>
            <w:div w:id="1829856944">
              <w:marLeft w:val="0"/>
              <w:marRight w:val="0"/>
              <w:marTop w:val="0"/>
              <w:marBottom w:val="0"/>
              <w:divBdr>
                <w:top w:val="none" w:sz="0" w:space="0" w:color="auto"/>
                <w:left w:val="none" w:sz="0" w:space="0" w:color="auto"/>
                <w:bottom w:val="none" w:sz="0" w:space="0" w:color="auto"/>
                <w:right w:val="none" w:sz="0" w:space="0" w:color="auto"/>
              </w:divBdr>
            </w:div>
            <w:div w:id="1853180824">
              <w:marLeft w:val="0"/>
              <w:marRight w:val="0"/>
              <w:marTop w:val="0"/>
              <w:marBottom w:val="0"/>
              <w:divBdr>
                <w:top w:val="none" w:sz="0" w:space="0" w:color="auto"/>
                <w:left w:val="none" w:sz="0" w:space="0" w:color="auto"/>
                <w:bottom w:val="none" w:sz="0" w:space="0" w:color="auto"/>
                <w:right w:val="none" w:sz="0" w:space="0" w:color="auto"/>
              </w:divBdr>
            </w:div>
            <w:div w:id="1872838380">
              <w:marLeft w:val="0"/>
              <w:marRight w:val="0"/>
              <w:marTop w:val="0"/>
              <w:marBottom w:val="0"/>
              <w:divBdr>
                <w:top w:val="none" w:sz="0" w:space="0" w:color="auto"/>
                <w:left w:val="none" w:sz="0" w:space="0" w:color="auto"/>
                <w:bottom w:val="none" w:sz="0" w:space="0" w:color="auto"/>
                <w:right w:val="none" w:sz="0" w:space="0" w:color="auto"/>
              </w:divBdr>
            </w:div>
            <w:div w:id="1976443531">
              <w:marLeft w:val="0"/>
              <w:marRight w:val="0"/>
              <w:marTop w:val="0"/>
              <w:marBottom w:val="0"/>
              <w:divBdr>
                <w:top w:val="none" w:sz="0" w:space="0" w:color="auto"/>
                <w:left w:val="none" w:sz="0" w:space="0" w:color="auto"/>
                <w:bottom w:val="none" w:sz="0" w:space="0" w:color="auto"/>
                <w:right w:val="none" w:sz="0" w:space="0" w:color="auto"/>
              </w:divBdr>
            </w:div>
          </w:divsChild>
        </w:div>
        <w:div w:id="1995183982">
          <w:marLeft w:val="0"/>
          <w:marRight w:val="0"/>
          <w:marTop w:val="0"/>
          <w:marBottom w:val="0"/>
          <w:divBdr>
            <w:top w:val="none" w:sz="0" w:space="0" w:color="auto"/>
            <w:left w:val="none" w:sz="0" w:space="0" w:color="auto"/>
            <w:bottom w:val="none" w:sz="0" w:space="0" w:color="auto"/>
            <w:right w:val="none" w:sz="0" w:space="0" w:color="auto"/>
          </w:divBdr>
          <w:divsChild>
            <w:div w:id="171260987">
              <w:marLeft w:val="0"/>
              <w:marRight w:val="0"/>
              <w:marTop w:val="0"/>
              <w:marBottom w:val="0"/>
              <w:divBdr>
                <w:top w:val="none" w:sz="0" w:space="0" w:color="auto"/>
                <w:left w:val="none" w:sz="0" w:space="0" w:color="auto"/>
                <w:bottom w:val="none" w:sz="0" w:space="0" w:color="auto"/>
                <w:right w:val="none" w:sz="0" w:space="0" w:color="auto"/>
              </w:divBdr>
            </w:div>
            <w:div w:id="331952042">
              <w:marLeft w:val="0"/>
              <w:marRight w:val="0"/>
              <w:marTop w:val="0"/>
              <w:marBottom w:val="0"/>
              <w:divBdr>
                <w:top w:val="none" w:sz="0" w:space="0" w:color="auto"/>
                <w:left w:val="none" w:sz="0" w:space="0" w:color="auto"/>
                <w:bottom w:val="none" w:sz="0" w:space="0" w:color="auto"/>
                <w:right w:val="none" w:sz="0" w:space="0" w:color="auto"/>
              </w:divBdr>
            </w:div>
            <w:div w:id="410781285">
              <w:marLeft w:val="0"/>
              <w:marRight w:val="0"/>
              <w:marTop w:val="0"/>
              <w:marBottom w:val="0"/>
              <w:divBdr>
                <w:top w:val="none" w:sz="0" w:space="0" w:color="auto"/>
                <w:left w:val="none" w:sz="0" w:space="0" w:color="auto"/>
                <w:bottom w:val="none" w:sz="0" w:space="0" w:color="auto"/>
                <w:right w:val="none" w:sz="0" w:space="0" w:color="auto"/>
              </w:divBdr>
            </w:div>
            <w:div w:id="420373143">
              <w:marLeft w:val="0"/>
              <w:marRight w:val="0"/>
              <w:marTop w:val="0"/>
              <w:marBottom w:val="0"/>
              <w:divBdr>
                <w:top w:val="none" w:sz="0" w:space="0" w:color="auto"/>
                <w:left w:val="none" w:sz="0" w:space="0" w:color="auto"/>
                <w:bottom w:val="none" w:sz="0" w:space="0" w:color="auto"/>
                <w:right w:val="none" w:sz="0" w:space="0" w:color="auto"/>
              </w:divBdr>
            </w:div>
            <w:div w:id="436370728">
              <w:marLeft w:val="0"/>
              <w:marRight w:val="0"/>
              <w:marTop w:val="0"/>
              <w:marBottom w:val="0"/>
              <w:divBdr>
                <w:top w:val="none" w:sz="0" w:space="0" w:color="auto"/>
                <w:left w:val="none" w:sz="0" w:space="0" w:color="auto"/>
                <w:bottom w:val="none" w:sz="0" w:space="0" w:color="auto"/>
                <w:right w:val="none" w:sz="0" w:space="0" w:color="auto"/>
              </w:divBdr>
            </w:div>
            <w:div w:id="532575648">
              <w:marLeft w:val="0"/>
              <w:marRight w:val="0"/>
              <w:marTop w:val="0"/>
              <w:marBottom w:val="0"/>
              <w:divBdr>
                <w:top w:val="none" w:sz="0" w:space="0" w:color="auto"/>
                <w:left w:val="none" w:sz="0" w:space="0" w:color="auto"/>
                <w:bottom w:val="none" w:sz="0" w:space="0" w:color="auto"/>
                <w:right w:val="none" w:sz="0" w:space="0" w:color="auto"/>
              </w:divBdr>
            </w:div>
            <w:div w:id="543373777">
              <w:marLeft w:val="0"/>
              <w:marRight w:val="0"/>
              <w:marTop w:val="0"/>
              <w:marBottom w:val="0"/>
              <w:divBdr>
                <w:top w:val="none" w:sz="0" w:space="0" w:color="auto"/>
                <w:left w:val="none" w:sz="0" w:space="0" w:color="auto"/>
                <w:bottom w:val="none" w:sz="0" w:space="0" w:color="auto"/>
                <w:right w:val="none" w:sz="0" w:space="0" w:color="auto"/>
              </w:divBdr>
            </w:div>
            <w:div w:id="678581873">
              <w:marLeft w:val="0"/>
              <w:marRight w:val="0"/>
              <w:marTop w:val="0"/>
              <w:marBottom w:val="0"/>
              <w:divBdr>
                <w:top w:val="none" w:sz="0" w:space="0" w:color="auto"/>
                <w:left w:val="none" w:sz="0" w:space="0" w:color="auto"/>
                <w:bottom w:val="none" w:sz="0" w:space="0" w:color="auto"/>
                <w:right w:val="none" w:sz="0" w:space="0" w:color="auto"/>
              </w:divBdr>
            </w:div>
            <w:div w:id="756171405">
              <w:marLeft w:val="0"/>
              <w:marRight w:val="0"/>
              <w:marTop w:val="0"/>
              <w:marBottom w:val="0"/>
              <w:divBdr>
                <w:top w:val="none" w:sz="0" w:space="0" w:color="auto"/>
                <w:left w:val="none" w:sz="0" w:space="0" w:color="auto"/>
                <w:bottom w:val="none" w:sz="0" w:space="0" w:color="auto"/>
                <w:right w:val="none" w:sz="0" w:space="0" w:color="auto"/>
              </w:divBdr>
            </w:div>
            <w:div w:id="897012248">
              <w:marLeft w:val="0"/>
              <w:marRight w:val="0"/>
              <w:marTop w:val="0"/>
              <w:marBottom w:val="0"/>
              <w:divBdr>
                <w:top w:val="none" w:sz="0" w:space="0" w:color="auto"/>
                <w:left w:val="none" w:sz="0" w:space="0" w:color="auto"/>
                <w:bottom w:val="none" w:sz="0" w:space="0" w:color="auto"/>
                <w:right w:val="none" w:sz="0" w:space="0" w:color="auto"/>
              </w:divBdr>
            </w:div>
            <w:div w:id="974917114">
              <w:marLeft w:val="0"/>
              <w:marRight w:val="0"/>
              <w:marTop w:val="0"/>
              <w:marBottom w:val="0"/>
              <w:divBdr>
                <w:top w:val="none" w:sz="0" w:space="0" w:color="auto"/>
                <w:left w:val="none" w:sz="0" w:space="0" w:color="auto"/>
                <w:bottom w:val="none" w:sz="0" w:space="0" w:color="auto"/>
                <w:right w:val="none" w:sz="0" w:space="0" w:color="auto"/>
              </w:divBdr>
            </w:div>
            <w:div w:id="985167468">
              <w:marLeft w:val="0"/>
              <w:marRight w:val="0"/>
              <w:marTop w:val="0"/>
              <w:marBottom w:val="0"/>
              <w:divBdr>
                <w:top w:val="none" w:sz="0" w:space="0" w:color="auto"/>
                <w:left w:val="none" w:sz="0" w:space="0" w:color="auto"/>
                <w:bottom w:val="none" w:sz="0" w:space="0" w:color="auto"/>
                <w:right w:val="none" w:sz="0" w:space="0" w:color="auto"/>
              </w:divBdr>
            </w:div>
            <w:div w:id="998190380">
              <w:marLeft w:val="0"/>
              <w:marRight w:val="0"/>
              <w:marTop w:val="0"/>
              <w:marBottom w:val="0"/>
              <w:divBdr>
                <w:top w:val="none" w:sz="0" w:space="0" w:color="auto"/>
                <w:left w:val="none" w:sz="0" w:space="0" w:color="auto"/>
                <w:bottom w:val="none" w:sz="0" w:space="0" w:color="auto"/>
                <w:right w:val="none" w:sz="0" w:space="0" w:color="auto"/>
              </w:divBdr>
            </w:div>
            <w:div w:id="1275403466">
              <w:marLeft w:val="0"/>
              <w:marRight w:val="0"/>
              <w:marTop w:val="0"/>
              <w:marBottom w:val="0"/>
              <w:divBdr>
                <w:top w:val="none" w:sz="0" w:space="0" w:color="auto"/>
                <w:left w:val="none" w:sz="0" w:space="0" w:color="auto"/>
                <w:bottom w:val="none" w:sz="0" w:space="0" w:color="auto"/>
                <w:right w:val="none" w:sz="0" w:space="0" w:color="auto"/>
              </w:divBdr>
            </w:div>
            <w:div w:id="1694259112">
              <w:marLeft w:val="0"/>
              <w:marRight w:val="0"/>
              <w:marTop w:val="0"/>
              <w:marBottom w:val="0"/>
              <w:divBdr>
                <w:top w:val="none" w:sz="0" w:space="0" w:color="auto"/>
                <w:left w:val="none" w:sz="0" w:space="0" w:color="auto"/>
                <w:bottom w:val="none" w:sz="0" w:space="0" w:color="auto"/>
                <w:right w:val="none" w:sz="0" w:space="0" w:color="auto"/>
              </w:divBdr>
            </w:div>
            <w:div w:id="1775591508">
              <w:marLeft w:val="0"/>
              <w:marRight w:val="0"/>
              <w:marTop w:val="0"/>
              <w:marBottom w:val="0"/>
              <w:divBdr>
                <w:top w:val="none" w:sz="0" w:space="0" w:color="auto"/>
                <w:left w:val="none" w:sz="0" w:space="0" w:color="auto"/>
                <w:bottom w:val="none" w:sz="0" w:space="0" w:color="auto"/>
                <w:right w:val="none" w:sz="0" w:space="0" w:color="auto"/>
              </w:divBdr>
            </w:div>
            <w:div w:id="1942716112">
              <w:marLeft w:val="0"/>
              <w:marRight w:val="0"/>
              <w:marTop w:val="0"/>
              <w:marBottom w:val="0"/>
              <w:divBdr>
                <w:top w:val="none" w:sz="0" w:space="0" w:color="auto"/>
                <w:left w:val="none" w:sz="0" w:space="0" w:color="auto"/>
                <w:bottom w:val="none" w:sz="0" w:space="0" w:color="auto"/>
                <w:right w:val="none" w:sz="0" w:space="0" w:color="auto"/>
              </w:divBdr>
            </w:div>
            <w:div w:id="1981182265">
              <w:marLeft w:val="0"/>
              <w:marRight w:val="0"/>
              <w:marTop w:val="0"/>
              <w:marBottom w:val="0"/>
              <w:divBdr>
                <w:top w:val="none" w:sz="0" w:space="0" w:color="auto"/>
                <w:left w:val="none" w:sz="0" w:space="0" w:color="auto"/>
                <w:bottom w:val="none" w:sz="0" w:space="0" w:color="auto"/>
                <w:right w:val="none" w:sz="0" w:space="0" w:color="auto"/>
              </w:divBdr>
            </w:div>
            <w:div w:id="2096047743">
              <w:marLeft w:val="0"/>
              <w:marRight w:val="0"/>
              <w:marTop w:val="0"/>
              <w:marBottom w:val="0"/>
              <w:divBdr>
                <w:top w:val="none" w:sz="0" w:space="0" w:color="auto"/>
                <w:left w:val="none" w:sz="0" w:space="0" w:color="auto"/>
                <w:bottom w:val="none" w:sz="0" w:space="0" w:color="auto"/>
                <w:right w:val="none" w:sz="0" w:space="0" w:color="auto"/>
              </w:divBdr>
            </w:div>
            <w:div w:id="2113629293">
              <w:marLeft w:val="0"/>
              <w:marRight w:val="0"/>
              <w:marTop w:val="0"/>
              <w:marBottom w:val="0"/>
              <w:divBdr>
                <w:top w:val="none" w:sz="0" w:space="0" w:color="auto"/>
                <w:left w:val="none" w:sz="0" w:space="0" w:color="auto"/>
                <w:bottom w:val="none" w:sz="0" w:space="0" w:color="auto"/>
                <w:right w:val="none" w:sz="0" w:space="0" w:color="auto"/>
              </w:divBdr>
            </w:div>
          </w:divsChild>
        </w:div>
        <w:div w:id="2001612626">
          <w:marLeft w:val="0"/>
          <w:marRight w:val="0"/>
          <w:marTop w:val="0"/>
          <w:marBottom w:val="0"/>
          <w:divBdr>
            <w:top w:val="none" w:sz="0" w:space="0" w:color="auto"/>
            <w:left w:val="none" w:sz="0" w:space="0" w:color="auto"/>
            <w:bottom w:val="none" w:sz="0" w:space="0" w:color="auto"/>
            <w:right w:val="none" w:sz="0" w:space="0" w:color="auto"/>
          </w:divBdr>
        </w:div>
        <w:div w:id="2002274518">
          <w:marLeft w:val="0"/>
          <w:marRight w:val="0"/>
          <w:marTop w:val="0"/>
          <w:marBottom w:val="0"/>
          <w:divBdr>
            <w:top w:val="none" w:sz="0" w:space="0" w:color="auto"/>
            <w:left w:val="none" w:sz="0" w:space="0" w:color="auto"/>
            <w:bottom w:val="none" w:sz="0" w:space="0" w:color="auto"/>
            <w:right w:val="none" w:sz="0" w:space="0" w:color="auto"/>
          </w:divBdr>
        </w:div>
        <w:div w:id="2007976484">
          <w:marLeft w:val="0"/>
          <w:marRight w:val="0"/>
          <w:marTop w:val="0"/>
          <w:marBottom w:val="0"/>
          <w:divBdr>
            <w:top w:val="none" w:sz="0" w:space="0" w:color="auto"/>
            <w:left w:val="none" w:sz="0" w:space="0" w:color="auto"/>
            <w:bottom w:val="none" w:sz="0" w:space="0" w:color="auto"/>
            <w:right w:val="none" w:sz="0" w:space="0" w:color="auto"/>
          </w:divBdr>
        </w:div>
        <w:div w:id="2024743564">
          <w:marLeft w:val="0"/>
          <w:marRight w:val="0"/>
          <w:marTop w:val="0"/>
          <w:marBottom w:val="0"/>
          <w:divBdr>
            <w:top w:val="none" w:sz="0" w:space="0" w:color="auto"/>
            <w:left w:val="none" w:sz="0" w:space="0" w:color="auto"/>
            <w:bottom w:val="none" w:sz="0" w:space="0" w:color="auto"/>
            <w:right w:val="none" w:sz="0" w:space="0" w:color="auto"/>
          </w:divBdr>
          <w:divsChild>
            <w:div w:id="1258252885">
              <w:marLeft w:val="-75"/>
              <w:marRight w:val="0"/>
              <w:marTop w:val="30"/>
              <w:marBottom w:val="30"/>
              <w:divBdr>
                <w:top w:val="none" w:sz="0" w:space="0" w:color="auto"/>
                <w:left w:val="none" w:sz="0" w:space="0" w:color="auto"/>
                <w:bottom w:val="none" w:sz="0" w:space="0" w:color="auto"/>
                <w:right w:val="none" w:sz="0" w:space="0" w:color="auto"/>
              </w:divBdr>
              <w:divsChild>
                <w:div w:id="253978127">
                  <w:marLeft w:val="0"/>
                  <w:marRight w:val="0"/>
                  <w:marTop w:val="0"/>
                  <w:marBottom w:val="0"/>
                  <w:divBdr>
                    <w:top w:val="none" w:sz="0" w:space="0" w:color="auto"/>
                    <w:left w:val="none" w:sz="0" w:space="0" w:color="auto"/>
                    <w:bottom w:val="none" w:sz="0" w:space="0" w:color="auto"/>
                    <w:right w:val="none" w:sz="0" w:space="0" w:color="auto"/>
                  </w:divBdr>
                  <w:divsChild>
                    <w:div w:id="1674139548">
                      <w:marLeft w:val="0"/>
                      <w:marRight w:val="0"/>
                      <w:marTop w:val="0"/>
                      <w:marBottom w:val="0"/>
                      <w:divBdr>
                        <w:top w:val="none" w:sz="0" w:space="0" w:color="auto"/>
                        <w:left w:val="none" w:sz="0" w:space="0" w:color="auto"/>
                        <w:bottom w:val="none" w:sz="0" w:space="0" w:color="auto"/>
                        <w:right w:val="none" w:sz="0" w:space="0" w:color="auto"/>
                      </w:divBdr>
                    </w:div>
                  </w:divsChild>
                </w:div>
                <w:div w:id="763036373">
                  <w:marLeft w:val="0"/>
                  <w:marRight w:val="0"/>
                  <w:marTop w:val="0"/>
                  <w:marBottom w:val="0"/>
                  <w:divBdr>
                    <w:top w:val="none" w:sz="0" w:space="0" w:color="auto"/>
                    <w:left w:val="none" w:sz="0" w:space="0" w:color="auto"/>
                    <w:bottom w:val="none" w:sz="0" w:space="0" w:color="auto"/>
                    <w:right w:val="none" w:sz="0" w:space="0" w:color="auto"/>
                  </w:divBdr>
                  <w:divsChild>
                    <w:div w:id="1074015583">
                      <w:marLeft w:val="0"/>
                      <w:marRight w:val="0"/>
                      <w:marTop w:val="0"/>
                      <w:marBottom w:val="0"/>
                      <w:divBdr>
                        <w:top w:val="none" w:sz="0" w:space="0" w:color="auto"/>
                        <w:left w:val="none" w:sz="0" w:space="0" w:color="auto"/>
                        <w:bottom w:val="none" w:sz="0" w:space="0" w:color="auto"/>
                        <w:right w:val="none" w:sz="0" w:space="0" w:color="auto"/>
                      </w:divBdr>
                    </w:div>
                  </w:divsChild>
                </w:div>
                <w:div w:id="953443694">
                  <w:marLeft w:val="0"/>
                  <w:marRight w:val="0"/>
                  <w:marTop w:val="0"/>
                  <w:marBottom w:val="0"/>
                  <w:divBdr>
                    <w:top w:val="none" w:sz="0" w:space="0" w:color="auto"/>
                    <w:left w:val="none" w:sz="0" w:space="0" w:color="auto"/>
                    <w:bottom w:val="none" w:sz="0" w:space="0" w:color="auto"/>
                    <w:right w:val="none" w:sz="0" w:space="0" w:color="auto"/>
                  </w:divBdr>
                  <w:divsChild>
                    <w:div w:id="314454548">
                      <w:marLeft w:val="0"/>
                      <w:marRight w:val="0"/>
                      <w:marTop w:val="0"/>
                      <w:marBottom w:val="0"/>
                      <w:divBdr>
                        <w:top w:val="none" w:sz="0" w:space="0" w:color="auto"/>
                        <w:left w:val="none" w:sz="0" w:space="0" w:color="auto"/>
                        <w:bottom w:val="none" w:sz="0" w:space="0" w:color="auto"/>
                        <w:right w:val="none" w:sz="0" w:space="0" w:color="auto"/>
                      </w:divBdr>
                    </w:div>
                  </w:divsChild>
                </w:div>
                <w:div w:id="977302138">
                  <w:marLeft w:val="0"/>
                  <w:marRight w:val="0"/>
                  <w:marTop w:val="0"/>
                  <w:marBottom w:val="0"/>
                  <w:divBdr>
                    <w:top w:val="none" w:sz="0" w:space="0" w:color="auto"/>
                    <w:left w:val="none" w:sz="0" w:space="0" w:color="auto"/>
                    <w:bottom w:val="none" w:sz="0" w:space="0" w:color="auto"/>
                    <w:right w:val="none" w:sz="0" w:space="0" w:color="auto"/>
                  </w:divBdr>
                  <w:divsChild>
                    <w:div w:id="126515884">
                      <w:marLeft w:val="0"/>
                      <w:marRight w:val="0"/>
                      <w:marTop w:val="0"/>
                      <w:marBottom w:val="0"/>
                      <w:divBdr>
                        <w:top w:val="none" w:sz="0" w:space="0" w:color="auto"/>
                        <w:left w:val="none" w:sz="0" w:space="0" w:color="auto"/>
                        <w:bottom w:val="none" w:sz="0" w:space="0" w:color="auto"/>
                        <w:right w:val="none" w:sz="0" w:space="0" w:color="auto"/>
                      </w:divBdr>
                    </w:div>
                  </w:divsChild>
                </w:div>
                <w:div w:id="995887731">
                  <w:marLeft w:val="0"/>
                  <w:marRight w:val="0"/>
                  <w:marTop w:val="0"/>
                  <w:marBottom w:val="0"/>
                  <w:divBdr>
                    <w:top w:val="none" w:sz="0" w:space="0" w:color="auto"/>
                    <w:left w:val="none" w:sz="0" w:space="0" w:color="auto"/>
                    <w:bottom w:val="none" w:sz="0" w:space="0" w:color="auto"/>
                    <w:right w:val="none" w:sz="0" w:space="0" w:color="auto"/>
                  </w:divBdr>
                  <w:divsChild>
                    <w:div w:id="598802764">
                      <w:marLeft w:val="0"/>
                      <w:marRight w:val="0"/>
                      <w:marTop w:val="0"/>
                      <w:marBottom w:val="0"/>
                      <w:divBdr>
                        <w:top w:val="none" w:sz="0" w:space="0" w:color="auto"/>
                        <w:left w:val="none" w:sz="0" w:space="0" w:color="auto"/>
                        <w:bottom w:val="none" w:sz="0" w:space="0" w:color="auto"/>
                        <w:right w:val="none" w:sz="0" w:space="0" w:color="auto"/>
                      </w:divBdr>
                    </w:div>
                  </w:divsChild>
                </w:div>
                <w:div w:id="1395198029">
                  <w:marLeft w:val="0"/>
                  <w:marRight w:val="0"/>
                  <w:marTop w:val="0"/>
                  <w:marBottom w:val="0"/>
                  <w:divBdr>
                    <w:top w:val="none" w:sz="0" w:space="0" w:color="auto"/>
                    <w:left w:val="none" w:sz="0" w:space="0" w:color="auto"/>
                    <w:bottom w:val="none" w:sz="0" w:space="0" w:color="auto"/>
                    <w:right w:val="none" w:sz="0" w:space="0" w:color="auto"/>
                  </w:divBdr>
                  <w:divsChild>
                    <w:div w:id="943683381">
                      <w:marLeft w:val="0"/>
                      <w:marRight w:val="0"/>
                      <w:marTop w:val="0"/>
                      <w:marBottom w:val="0"/>
                      <w:divBdr>
                        <w:top w:val="none" w:sz="0" w:space="0" w:color="auto"/>
                        <w:left w:val="none" w:sz="0" w:space="0" w:color="auto"/>
                        <w:bottom w:val="none" w:sz="0" w:space="0" w:color="auto"/>
                        <w:right w:val="none" w:sz="0" w:space="0" w:color="auto"/>
                      </w:divBdr>
                    </w:div>
                  </w:divsChild>
                </w:div>
                <w:div w:id="1456488250">
                  <w:marLeft w:val="0"/>
                  <w:marRight w:val="0"/>
                  <w:marTop w:val="0"/>
                  <w:marBottom w:val="0"/>
                  <w:divBdr>
                    <w:top w:val="none" w:sz="0" w:space="0" w:color="auto"/>
                    <w:left w:val="none" w:sz="0" w:space="0" w:color="auto"/>
                    <w:bottom w:val="none" w:sz="0" w:space="0" w:color="auto"/>
                    <w:right w:val="none" w:sz="0" w:space="0" w:color="auto"/>
                  </w:divBdr>
                  <w:divsChild>
                    <w:div w:id="584874251">
                      <w:marLeft w:val="0"/>
                      <w:marRight w:val="0"/>
                      <w:marTop w:val="0"/>
                      <w:marBottom w:val="0"/>
                      <w:divBdr>
                        <w:top w:val="none" w:sz="0" w:space="0" w:color="auto"/>
                        <w:left w:val="none" w:sz="0" w:space="0" w:color="auto"/>
                        <w:bottom w:val="none" w:sz="0" w:space="0" w:color="auto"/>
                        <w:right w:val="none" w:sz="0" w:space="0" w:color="auto"/>
                      </w:divBdr>
                    </w:div>
                  </w:divsChild>
                </w:div>
                <w:div w:id="1525830075">
                  <w:marLeft w:val="0"/>
                  <w:marRight w:val="0"/>
                  <w:marTop w:val="0"/>
                  <w:marBottom w:val="0"/>
                  <w:divBdr>
                    <w:top w:val="none" w:sz="0" w:space="0" w:color="auto"/>
                    <w:left w:val="none" w:sz="0" w:space="0" w:color="auto"/>
                    <w:bottom w:val="none" w:sz="0" w:space="0" w:color="auto"/>
                    <w:right w:val="none" w:sz="0" w:space="0" w:color="auto"/>
                  </w:divBdr>
                  <w:divsChild>
                    <w:div w:id="269355988">
                      <w:marLeft w:val="0"/>
                      <w:marRight w:val="0"/>
                      <w:marTop w:val="0"/>
                      <w:marBottom w:val="0"/>
                      <w:divBdr>
                        <w:top w:val="none" w:sz="0" w:space="0" w:color="auto"/>
                        <w:left w:val="none" w:sz="0" w:space="0" w:color="auto"/>
                        <w:bottom w:val="none" w:sz="0" w:space="0" w:color="auto"/>
                        <w:right w:val="none" w:sz="0" w:space="0" w:color="auto"/>
                      </w:divBdr>
                    </w:div>
                  </w:divsChild>
                </w:div>
                <w:div w:id="1885751594">
                  <w:marLeft w:val="0"/>
                  <w:marRight w:val="0"/>
                  <w:marTop w:val="0"/>
                  <w:marBottom w:val="0"/>
                  <w:divBdr>
                    <w:top w:val="none" w:sz="0" w:space="0" w:color="auto"/>
                    <w:left w:val="none" w:sz="0" w:space="0" w:color="auto"/>
                    <w:bottom w:val="none" w:sz="0" w:space="0" w:color="auto"/>
                    <w:right w:val="none" w:sz="0" w:space="0" w:color="auto"/>
                  </w:divBdr>
                  <w:divsChild>
                    <w:div w:id="1557160690">
                      <w:marLeft w:val="0"/>
                      <w:marRight w:val="0"/>
                      <w:marTop w:val="0"/>
                      <w:marBottom w:val="0"/>
                      <w:divBdr>
                        <w:top w:val="none" w:sz="0" w:space="0" w:color="auto"/>
                        <w:left w:val="none" w:sz="0" w:space="0" w:color="auto"/>
                        <w:bottom w:val="none" w:sz="0" w:space="0" w:color="auto"/>
                        <w:right w:val="none" w:sz="0" w:space="0" w:color="auto"/>
                      </w:divBdr>
                    </w:div>
                  </w:divsChild>
                </w:div>
                <w:div w:id="1914391571">
                  <w:marLeft w:val="0"/>
                  <w:marRight w:val="0"/>
                  <w:marTop w:val="0"/>
                  <w:marBottom w:val="0"/>
                  <w:divBdr>
                    <w:top w:val="none" w:sz="0" w:space="0" w:color="auto"/>
                    <w:left w:val="none" w:sz="0" w:space="0" w:color="auto"/>
                    <w:bottom w:val="none" w:sz="0" w:space="0" w:color="auto"/>
                    <w:right w:val="none" w:sz="0" w:space="0" w:color="auto"/>
                  </w:divBdr>
                  <w:divsChild>
                    <w:div w:id="1532258151">
                      <w:marLeft w:val="0"/>
                      <w:marRight w:val="0"/>
                      <w:marTop w:val="0"/>
                      <w:marBottom w:val="0"/>
                      <w:divBdr>
                        <w:top w:val="none" w:sz="0" w:space="0" w:color="auto"/>
                        <w:left w:val="none" w:sz="0" w:space="0" w:color="auto"/>
                        <w:bottom w:val="none" w:sz="0" w:space="0" w:color="auto"/>
                        <w:right w:val="none" w:sz="0" w:space="0" w:color="auto"/>
                      </w:divBdr>
                    </w:div>
                  </w:divsChild>
                </w:div>
                <w:div w:id="1979339045">
                  <w:marLeft w:val="0"/>
                  <w:marRight w:val="0"/>
                  <w:marTop w:val="0"/>
                  <w:marBottom w:val="0"/>
                  <w:divBdr>
                    <w:top w:val="none" w:sz="0" w:space="0" w:color="auto"/>
                    <w:left w:val="none" w:sz="0" w:space="0" w:color="auto"/>
                    <w:bottom w:val="none" w:sz="0" w:space="0" w:color="auto"/>
                    <w:right w:val="none" w:sz="0" w:space="0" w:color="auto"/>
                  </w:divBdr>
                  <w:divsChild>
                    <w:div w:id="197082893">
                      <w:marLeft w:val="0"/>
                      <w:marRight w:val="0"/>
                      <w:marTop w:val="0"/>
                      <w:marBottom w:val="0"/>
                      <w:divBdr>
                        <w:top w:val="none" w:sz="0" w:space="0" w:color="auto"/>
                        <w:left w:val="none" w:sz="0" w:space="0" w:color="auto"/>
                        <w:bottom w:val="none" w:sz="0" w:space="0" w:color="auto"/>
                        <w:right w:val="none" w:sz="0" w:space="0" w:color="auto"/>
                      </w:divBdr>
                    </w:div>
                  </w:divsChild>
                </w:div>
                <w:div w:id="2063941805">
                  <w:marLeft w:val="0"/>
                  <w:marRight w:val="0"/>
                  <w:marTop w:val="0"/>
                  <w:marBottom w:val="0"/>
                  <w:divBdr>
                    <w:top w:val="none" w:sz="0" w:space="0" w:color="auto"/>
                    <w:left w:val="none" w:sz="0" w:space="0" w:color="auto"/>
                    <w:bottom w:val="none" w:sz="0" w:space="0" w:color="auto"/>
                    <w:right w:val="none" w:sz="0" w:space="0" w:color="auto"/>
                  </w:divBdr>
                  <w:divsChild>
                    <w:div w:id="18126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48770">
          <w:marLeft w:val="0"/>
          <w:marRight w:val="0"/>
          <w:marTop w:val="0"/>
          <w:marBottom w:val="0"/>
          <w:divBdr>
            <w:top w:val="none" w:sz="0" w:space="0" w:color="auto"/>
            <w:left w:val="none" w:sz="0" w:space="0" w:color="auto"/>
            <w:bottom w:val="none" w:sz="0" w:space="0" w:color="auto"/>
            <w:right w:val="none" w:sz="0" w:space="0" w:color="auto"/>
          </w:divBdr>
        </w:div>
        <w:div w:id="2075665258">
          <w:marLeft w:val="0"/>
          <w:marRight w:val="0"/>
          <w:marTop w:val="0"/>
          <w:marBottom w:val="0"/>
          <w:divBdr>
            <w:top w:val="none" w:sz="0" w:space="0" w:color="auto"/>
            <w:left w:val="none" w:sz="0" w:space="0" w:color="auto"/>
            <w:bottom w:val="none" w:sz="0" w:space="0" w:color="auto"/>
            <w:right w:val="none" w:sz="0" w:space="0" w:color="auto"/>
          </w:divBdr>
        </w:div>
        <w:div w:id="2084062382">
          <w:marLeft w:val="0"/>
          <w:marRight w:val="0"/>
          <w:marTop w:val="0"/>
          <w:marBottom w:val="0"/>
          <w:divBdr>
            <w:top w:val="none" w:sz="0" w:space="0" w:color="auto"/>
            <w:left w:val="none" w:sz="0" w:space="0" w:color="auto"/>
            <w:bottom w:val="none" w:sz="0" w:space="0" w:color="auto"/>
            <w:right w:val="none" w:sz="0" w:space="0" w:color="auto"/>
          </w:divBdr>
        </w:div>
        <w:div w:id="2087218559">
          <w:marLeft w:val="0"/>
          <w:marRight w:val="0"/>
          <w:marTop w:val="0"/>
          <w:marBottom w:val="0"/>
          <w:divBdr>
            <w:top w:val="none" w:sz="0" w:space="0" w:color="auto"/>
            <w:left w:val="none" w:sz="0" w:space="0" w:color="auto"/>
            <w:bottom w:val="none" w:sz="0" w:space="0" w:color="auto"/>
            <w:right w:val="none" w:sz="0" w:space="0" w:color="auto"/>
          </w:divBdr>
          <w:divsChild>
            <w:div w:id="81147067">
              <w:marLeft w:val="0"/>
              <w:marRight w:val="0"/>
              <w:marTop w:val="0"/>
              <w:marBottom w:val="0"/>
              <w:divBdr>
                <w:top w:val="none" w:sz="0" w:space="0" w:color="auto"/>
                <w:left w:val="none" w:sz="0" w:space="0" w:color="auto"/>
                <w:bottom w:val="none" w:sz="0" w:space="0" w:color="auto"/>
                <w:right w:val="none" w:sz="0" w:space="0" w:color="auto"/>
              </w:divBdr>
            </w:div>
            <w:div w:id="146820022">
              <w:marLeft w:val="0"/>
              <w:marRight w:val="0"/>
              <w:marTop w:val="0"/>
              <w:marBottom w:val="0"/>
              <w:divBdr>
                <w:top w:val="none" w:sz="0" w:space="0" w:color="auto"/>
                <w:left w:val="none" w:sz="0" w:space="0" w:color="auto"/>
                <w:bottom w:val="none" w:sz="0" w:space="0" w:color="auto"/>
                <w:right w:val="none" w:sz="0" w:space="0" w:color="auto"/>
              </w:divBdr>
            </w:div>
            <w:div w:id="279649335">
              <w:marLeft w:val="0"/>
              <w:marRight w:val="0"/>
              <w:marTop w:val="0"/>
              <w:marBottom w:val="0"/>
              <w:divBdr>
                <w:top w:val="none" w:sz="0" w:space="0" w:color="auto"/>
                <w:left w:val="none" w:sz="0" w:space="0" w:color="auto"/>
                <w:bottom w:val="none" w:sz="0" w:space="0" w:color="auto"/>
                <w:right w:val="none" w:sz="0" w:space="0" w:color="auto"/>
              </w:divBdr>
            </w:div>
            <w:div w:id="308244883">
              <w:marLeft w:val="0"/>
              <w:marRight w:val="0"/>
              <w:marTop w:val="0"/>
              <w:marBottom w:val="0"/>
              <w:divBdr>
                <w:top w:val="none" w:sz="0" w:space="0" w:color="auto"/>
                <w:left w:val="none" w:sz="0" w:space="0" w:color="auto"/>
                <w:bottom w:val="none" w:sz="0" w:space="0" w:color="auto"/>
                <w:right w:val="none" w:sz="0" w:space="0" w:color="auto"/>
              </w:divBdr>
            </w:div>
            <w:div w:id="561840233">
              <w:marLeft w:val="0"/>
              <w:marRight w:val="0"/>
              <w:marTop w:val="0"/>
              <w:marBottom w:val="0"/>
              <w:divBdr>
                <w:top w:val="none" w:sz="0" w:space="0" w:color="auto"/>
                <w:left w:val="none" w:sz="0" w:space="0" w:color="auto"/>
                <w:bottom w:val="none" w:sz="0" w:space="0" w:color="auto"/>
                <w:right w:val="none" w:sz="0" w:space="0" w:color="auto"/>
              </w:divBdr>
            </w:div>
            <w:div w:id="605308725">
              <w:marLeft w:val="0"/>
              <w:marRight w:val="0"/>
              <w:marTop w:val="0"/>
              <w:marBottom w:val="0"/>
              <w:divBdr>
                <w:top w:val="none" w:sz="0" w:space="0" w:color="auto"/>
                <w:left w:val="none" w:sz="0" w:space="0" w:color="auto"/>
                <w:bottom w:val="none" w:sz="0" w:space="0" w:color="auto"/>
                <w:right w:val="none" w:sz="0" w:space="0" w:color="auto"/>
              </w:divBdr>
            </w:div>
            <w:div w:id="687220068">
              <w:marLeft w:val="0"/>
              <w:marRight w:val="0"/>
              <w:marTop w:val="0"/>
              <w:marBottom w:val="0"/>
              <w:divBdr>
                <w:top w:val="none" w:sz="0" w:space="0" w:color="auto"/>
                <w:left w:val="none" w:sz="0" w:space="0" w:color="auto"/>
                <w:bottom w:val="none" w:sz="0" w:space="0" w:color="auto"/>
                <w:right w:val="none" w:sz="0" w:space="0" w:color="auto"/>
              </w:divBdr>
            </w:div>
            <w:div w:id="708721768">
              <w:marLeft w:val="0"/>
              <w:marRight w:val="0"/>
              <w:marTop w:val="0"/>
              <w:marBottom w:val="0"/>
              <w:divBdr>
                <w:top w:val="none" w:sz="0" w:space="0" w:color="auto"/>
                <w:left w:val="none" w:sz="0" w:space="0" w:color="auto"/>
                <w:bottom w:val="none" w:sz="0" w:space="0" w:color="auto"/>
                <w:right w:val="none" w:sz="0" w:space="0" w:color="auto"/>
              </w:divBdr>
            </w:div>
            <w:div w:id="773600264">
              <w:marLeft w:val="0"/>
              <w:marRight w:val="0"/>
              <w:marTop w:val="0"/>
              <w:marBottom w:val="0"/>
              <w:divBdr>
                <w:top w:val="none" w:sz="0" w:space="0" w:color="auto"/>
                <w:left w:val="none" w:sz="0" w:space="0" w:color="auto"/>
                <w:bottom w:val="none" w:sz="0" w:space="0" w:color="auto"/>
                <w:right w:val="none" w:sz="0" w:space="0" w:color="auto"/>
              </w:divBdr>
            </w:div>
            <w:div w:id="786049855">
              <w:marLeft w:val="0"/>
              <w:marRight w:val="0"/>
              <w:marTop w:val="0"/>
              <w:marBottom w:val="0"/>
              <w:divBdr>
                <w:top w:val="none" w:sz="0" w:space="0" w:color="auto"/>
                <w:left w:val="none" w:sz="0" w:space="0" w:color="auto"/>
                <w:bottom w:val="none" w:sz="0" w:space="0" w:color="auto"/>
                <w:right w:val="none" w:sz="0" w:space="0" w:color="auto"/>
              </w:divBdr>
            </w:div>
            <w:div w:id="897017127">
              <w:marLeft w:val="0"/>
              <w:marRight w:val="0"/>
              <w:marTop w:val="0"/>
              <w:marBottom w:val="0"/>
              <w:divBdr>
                <w:top w:val="none" w:sz="0" w:space="0" w:color="auto"/>
                <w:left w:val="none" w:sz="0" w:space="0" w:color="auto"/>
                <w:bottom w:val="none" w:sz="0" w:space="0" w:color="auto"/>
                <w:right w:val="none" w:sz="0" w:space="0" w:color="auto"/>
              </w:divBdr>
            </w:div>
            <w:div w:id="977152404">
              <w:marLeft w:val="0"/>
              <w:marRight w:val="0"/>
              <w:marTop w:val="0"/>
              <w:marBottom w:val="0"/>
              <w:divBdr>
                <w:top w:val="none" w:sz="0" w:space="0" w:color="auto"/>
                <w:left w:val="none" w:sz="0" w:space="0" w:color="auto"/>
                <w:bottom w:val="none" w:sz="0" w:space="0" w:color="auto"/>
                <w:right w:val="none" w:sz="0" w:space="0" w:color="auto"/>
              </w:divBdr>
            </w:div>
            <w:div w:id="1104424350">
              <w:marLeft w:val="0"/>
              <w:marRight w:val="0"/>
              <w:marTop w:val="0"/>
              <w:marBottom w:val="0"/>
              <w:divBdr>
                <w:top w:val="none" w:sz="0" w:space="0" w:color="auto"/>
                <w:left w:val="none" w:sz="0" w:space="0" w:color="auto"/>
                <w:bottom w:val="none" w:sz="0" w:space="0" w:color="auto"/>
                <w:right w:val="none" w:sz="0" w:space="0" w:color="auto"/>
              </w:divBdr>
            </w:div>
            <w:div w:id="1193692823">
              <w:marLeft w:val="0"/>
              <w:marRight w:val="0"/>
              <w:marTop w:val="0"/>
              <w:marBottom w:val="0"/>
              <w:divBdr>
                <w:top w:val="none" w:sz="0" w:space="0" w:color="auto"/>
                <w:left w:val="none" w:sz="0" w:space="0" w:color="auto"/>
                <w:bottom w:val="none" w:sz="0" w:space="0" w:color="auto"/>
                <w:right w:val="none" w:sz="0" w:space="0" w:color="auto"/>
              </w:divBdr>
            </w:div>
            <w:div w:id="1649897843">
              <w:marLeft w:val="0"/>
              <w:marRight w:val="0"/>
              <w:marTop w:val="0"/>
              <w:marBottom w:val="0"/>
              <w:divBdr>
                <w:top w:val="none" w:sz="0" w:space="0" w:color="auto"/>
                <w:left w:val="none" w:sz="0" w:space="0" w:color="auto"/>
                <w:bottom w:val="none" w:sz="0" w:space="0" w:color="auto"/>
                <w:right w:val="none" w:sz="0" w:space="0" w:color="auto"/>
              </w:divBdr>
            </w:div>
            <w:div w:id="1760565988">
              <w:marLeft w:val="0"/>
              <w:marRight w:val="0"/>
              <w:marTop w:val="0"/>
              <w:marBottom w:val="0"/>
              <w:divBdr>
                <w:top w:val="none" w:sz="0" w:space="0" w:color="auto"/>
                <w:left w:val="none" w:sz="0" w:space="0" w:color="auto"/>
                <w:bottom w:val="none" w:sz="0" w:space="0" w:color="auto"/>
                <w:right w:val="none" w:sz="0" w:space="0" w:color="auto"/>
              </w:divBdr>
            </w:div>
            <w:div w:id="1841196492">
              <w:marLeft w:val="0"/>
              <w:marRight w:val="0"/>
              <w:marTop w:val="0"/>
              <w:marBottom w:val="0"/>
              <w:divBdr>
                <w:top w:val="none" w:sz="0" w:space="0" w:color="auto"/>
                <w:left w:val="none" w:sz="0" w:space="0" w:color="auto"/>
                <w:bottom w:val="none" w:sz="0" w:space="0" w:color="auto"/>
                <w:right w:val="none" w:sz="0" w:space="0" w:color="auto"/>
              </w:divBdr>
            </w:div>
            <w:div w:id="1845894915">
              <w:marLeft w:val="0"/>
              <w:marRight w:val="0"/>
              <w:marTop w:val="0"/>
              <w:marBottom w:val="0"/>
              <w:divBdr>
                <w:top w:val="none" w:sz="0" w:space="0" w:color="auto"/>
                <w:left w:val="none" w:sz="0" w:space="0" w:color="auto"/>
                <w:bottom w:val="none" w:sz="0" w:space="0" w:color="auto"/>
                <w:right w:val="none" w:sz="0" w:space="0" w:color="auto"/>
              </w:divBdr>
            </w:div>
            <w:div w:id="1977370331">
              <w:marLeft w:val="0"/>
              <w:marRight w:val="0"/>
              <w:marTop w:val="0"/>
              <w:marBottom w:val="0"/>
              <w:divBdr>
                <w:top w:val="none" w:sz="0" w:space="0" w:color="auto"/>
                <w:left w:val="none" w:sz="0" w:space="0" w:color="auto"/>
                <w:bottom w:val="none" w:sz="0" w:space="0" w:color="auto"/>
                <w:right w:val="none" w:sz="0" w:space="0" w:color="auto"/>
              </w:divBdr>
            </w:div>
            <w:div w:id="2012442045">
              <w:marLeft w:val="0"/>
              <w:marRight w:val="0"/>
              <w:marTop w:val="0"/>
              <w:marBottom w:val="0"/>
              <w:divBdr>
                <w:top w:val="none" w:sz="0" w:space="0" w:color="auto"/>
                <w:left w:val="none" w:sz="0" w:space="0" w:color="auto"/>
                <w:bottom w:val="none" w:sz="0" w:space="0" w:color="auto"/>
                <w:right w:val="none" w:sz="0" w:space="0" w:color="auto"/>
              </w:divBdr>
            </w:div>
          </w:divsChild>
        </w:div>
        <w:div w:id="2108690110">
          <w:marLeft w:val="0"/>
          <w:marRight w:val="0"/>
          <w:marTop w:val="0"/>
          <w:marBottom w:val="0"/>
          <w:divBdr>
            <w:top w:val="none" w:sz="0" w:space="0" w:color="auto"/>
            <w:left w:val="none" w:sz="0" w:space="0" w:color="auto"/>
            <w:bottom w:val="none" w:sz="0" w:space="0" w:color="auto"/>
            <w:right w:val="none" w:sz="0" w:space="0" w:color="auto"/>
          </w:divBdr>
        </w:div>
        <w:div w:id="2111899457">
          <w:marLeft w:val="0"/>
          <w:marRight w:val="0"/>
          <w:marTop w:val="0"/>
          <w:marBottom w:val="0"/>
          <w:divBdr>
            <w:top w:val="none" w:sz="0" w:space="0" w:color="auto"/>
            <w:left w:val="none" w:sz="0" w:space="0" w:color="auto"/>
            <w:bottom w:val="none" w:sz="0" w:space="0" w:color="auto"/>
            <w:right w:val="none" w:sz="0" w:space="0" w:color="auto"/>
          </w:divBdr>
        </w:div>
        <w:div w:id="2130512394">
          <w:marLeft w:val="0"/>
          <w:marRight w:val="0"/>
          <w:marTop w:val="0"/>
          <w:marBottom w:val="0"/>
          <w:divBdr>
            <w:top w:val="none" w:sz="0" w:space="0" w:color="auto"/>
            <w:left w:val="none" w:sz="0" w:space="0" w:color="auto"/>
            <w:bottom w:val="none" w:sz="0" w:space="0" w:color="auto"/>
            <w:right w:val="none" w:sz="0" w:space="0" w:color="auto"/>
          </w:divBdr>
        </w:div>
        <w:div w:id="2133984772">
          <w:marLeft w:val="0"/>
          <w:marRight w:val="0"/>
          <w:marTop w:val="0"/>
          <w:marBottom w:val="0"/>
          <w:divBdr>
            <w:top w:val="none" w:sz="0" w:space="0" w:color="auto"/>
            <w:left w:val="none" w:sz="0" w:space="0" w:color="auto"/>
            <w:bottom w:val="none" w:sz="0" w:space="0" w:color="auto"/>
            <w:right w:val="none" w:sz="0" w:space="0" w:color="auto"/>
          </w:divBdr>
        </w:div>
      </w:divsChild>
    </w:div>
    <w:div w:id="443425932">
      <w:bodyDiv w:val="1"/>
      <w:marLeft w:val="0"/>
      <w:marRight w:val="0"/>
      <w:marTop w:val="0"/>
      <w:marBottom w:val="0"/>
      <w:divBdr>
        <w:top w:val="none" w:sz="0" w:space="0" w:color="auto"/>
        <w:left w:val="none" w:sz="0" w:space="0" w:color="auto"/>
        <w:bottom w:val="none" w:sz="0" w:space="0" w:color="auto"/>
        <w:right w:val="none" w:sz="0" w:space="0" w:color="auto"/>
      </w:divBdr>
    </w:div>
    <w:div w:id="449978742">
      <w:bodyDiv w:val="1"/>
      <w:marLeft w:val="0"/>
      <w:marRight w:val="0"/>
      <w:marTop w:val="0"/>
      <w:marBottom w:val="0"/>
      <w:divBdr>
        <w:top w:val="none" w:sz="0" w:space="0" w:color="auto"/>
        <w:left w:val="none" w:sz="0" w:space="0" w:color="auto"/>
        <w:bottom w:val="none" w:sz="0" w:space="0" w:color="auto"/>
        <w:right w:val="none" w:sz="0" w:space="0" w:color="auto"/>
      </w:divBdr>
    </w:div>
    <w:div w:id="465051313">
      <w:bodyDiv w:val="1"/>
      <w:marLeft w:val="0"/>
      <w:marRight w:val="0"/>
      <w:marTop w:val="0"/>
      <w:marBottom w:val="0"/>
      <w:divBdr>
        <w:top w:val="none" w:sz="0" w:space="0" w:color="auto"/>
        <w:left w:val="none" w:sz="0" w:space="0" w:color="auto"/>
        <w:bottom w:val="none" w:sz="0" w:space="0" w:color="auto"/>
        <w:right w:val="none" w:sz="0" w:space="0" w:color="auto"/>
      </w:divBdr>
    </w:div>
    <w:div w:id="470904426">
      <w:bodyDiv w:val="1"/>
      <w:marLeft w:val="0"/>
      <w:marRight w:val="0"/>
      <w:marTop w:val="0"/>
      <w:marBottom w:val="0"/>
      <w:divBdr>
        <w:top w:val="none" w:sz="0" w:space="0" w:color="auto"/>
        <w:left w:val="none" w:sz="0" w:space="0" w:color="auto"/>
        <w:bottom w:val="none" w:sz="0" w:space="0" w:color="auto"/>
        <w:right w:val="none" w:sz="0" w:space="0" w:color="auto"/>
      </w:divBdr>
    </w:div>
    <w:div w:id="512493875">
      <w:bodyDiv w:val="1"/>
      <w:marLeft w:val="0"/>
      <w:marRight w:val="0"/>
      <w:marTop w:val="0"/>
      <w:marBottom w:val="0"/>
      <w:divBdr>
        <w:top w:val="none" w:sz="0" w:space="0" w:color="auto"/>
        <w:left w:val="none" w:sz="0" w:space="0" w:color="auto"/>
        <w:bottom w:val="none" w:sz="0" w:space="0" w:color="auto"/>
        <w:right w:val="none" w:sz="0" w:space="0" w:color="auto"/>
      </w:divBdr>
    </w:div>
    <w:div w:id="525482998">
      <w:bodyDiv w:val="1"/>
      <w:marLeft w:val="0"/>
      <w:marRight w:val="0"/>
      <w:marTop w:val="0"/>
      <w:marBottom w:val="0"/>
      <w:divBdr>
        <w:top w:val="none" w:sz="0" w:space="0" w:color="auto"/>
        <w:left w:val="none" w:sz="0" w:space="0" w:color="auto"/>
        <w:bottom w:val="none" w:sz="0" w:space="0" w:color="auto"/>
        <w:right w:val="none" w:sz="0" w:space="0" w:color="auto"/>
      </w:divBdr>
    </w:div>
    <w:div w:id="593322797">
      <w:bodyDiv w:val="1"/>
      <w:marLeft w:val="0"/>
      <w:marRight w:val="0"/>
      <w:marTop w:val="0"/>
      <w:marBottom w:val="0"/>
      <w:divBdr>
        <w:top w:val="none" w:sz="0" w:space="0" w:color="auto"/>
        <w:left w:val="none" w:sz="0" w:space="0" w:color="auto"/>
        <w:bottom w:val="none" w:sz="0" w:space="0" w:color="auto"/>
        <w:right w:val="none" w:sz="0" w:space="0" w:color="auto"/>
      </w:divBdr>
    </w:div>
    <w:div w:id="655838680">
      <w:bodyDiv w:val="1"/>
      <w:marLeft w:val="0"/>
      <w:marRight w:val="0"/>
      <w:marTop w:val="0"/>
      <w:marBottom w:val="0"/>
      <w:divBdr>
        <w:top w:val="none" w:sz="0" w:space="0" w:color="auto"/>
        <w:left w:val="none" w:sz="0" w:space="0" w:color="auto"/>
        <w:bottom w:val="none" w:sz="0" w:space="0" w:color="auto"/>
        <w:right w:val="none" w:sz="0" w:space="0" w:color="auto"/>
      </w:divBdr>
    </w:div>
    <w:div w:id="669482770">
      <w:bodyDiv w:val="1"/>
      <w:marLeft w:val="0"/>
      <w:marRight w:val="0"/>
      <w:marTop w:val="0"/>
      <w:marBottom w:val="0"/>
      <w:divBdr>
        <w:top w:val="none" w:sz="0" w:space="0" w:color="auto"/>
        <w:left w:val="none" w:sz="0" w:space="0" w:color="auto"/>
        <w:bottom w:val="none" w:sz="0" w:space="0" w:color="auto"/>
        <w:right w:val="none" w:sz="0" w:space="0" w:color="auto"/>
      </w:divBdr>
    </w:div>
    <w:div w:id="672414814">
      <w:bodyDiv w:val="1"/>
      <w:marLeft w:val="0"/>
      <w:marRight w:val="0"/>
      <w:marTop w:val="0"/>
      <w:marBottom w:val="0"/>
      <w:divBdr>
        <w:top w:val="none" w:sz="0" w:space="0" w:color="auto"/>
        <w:left w:val="none" w:sz="0" w:space="0" w:color="auto"/>
        <w:bottom w:val="none" w:sz="0" w:space="0" w:color="auto"/>
        <w:right w:val="none" w:sz="0" w:space="0" w:color="auto"/>
      </w:divBdr>
    </w:div>
    <w:div w:id="694581685">
      <w:bodyDiv w:val="1"/>
      <w:marLeft w:val="0"/>
      <w:marRight w:val="0"/>
      <w:marTop w:val="0"/>
      <w:marBottom w:val="0"/>
      <w:divBdr>
        <w:top w:val="none" w:sz="0" w:space="0" w:color="auto"/>
        <w:left w:val="none" w:sz="0" w:space="0" w:color="auto"/>
        <w:bottom w:val="none" w:sz="0" w:space="0" w:color="auto"/>
        <w:right w:val="none" w:sz="0" w:space="0" w:color="auto"/>
      </w:divBdr>
      <w:divsChild>
        <w:div w:id="776363123">
          <w:marLeft w:val="0"/>
          <w:marRight w:val="0"/>
          <w:marTop w:val="0"/>
          <w:marBottom w:val="0"/>
          <w:divBdr>
            <w:top w:val="none" w:sz="0" w:space="0" w:color="auto"/>
            <w:left w:val="none" w:sz="0" w:space="0" w:color="auto"/>
            <w:bottom w:val="none" w:sz="0" w:space="0" w:color="auto"/>
            <w:right w:val="none" w:sz="0" w:space="0" w:color="auto"/>
          </w:divBdr>
        </w:div>
        <w:div w:id="1344354572">
          <w:marLeft w:val="0"/>
          <w:marRight w:val="0"/>
          <w:marTop w:val="0"/>
          <w:marBottom w:val="0"/>
          <w:divBdr>
            <w:top w:val="none" w:sz="0" w:space="0" w:color="auto"/>
            <w:left w:val="none" w:sz="0" w:space="0" w:color="auto"/>
            <w:bottom w:val="none" w:sz="0" w:space="0" w:color="auto"/>
            <w:right w:val="none" w:sz="0" w:space="0" w:color="auto"/>
          </w:divBdr>
        </w:div>
      </w:divsChild>
    </w:div>
    <w:div w:id="711609833">
      <w:bodyDiv w:val="1"/>
      <w:marLeft w:val="0"/>
      <w:marRight w:val="0"/>
      <w:marTop w:val="0"/>
      <w:marBottom w:val="0"/>
      <w:divBdr>
        <w:top w:val="none" w:sz="0" w:space="0" w:color="auto"/>
        <w:left w:val="none" w:sz="0" w:space="0" w:color="auto"/>
        <w:bottom w:val="none" w:sz="0" w:space="0" w:color="auto"/>
        <w:right w:val="none" w:sz="0" w:space="0" w:color="auto"/>
      </w:divBdr>
    </w:div>
    <w:div w:id="735975654">
      <w:bodyDiv w:val="1"/>
      <w:marLeft w:val="0"/>
      <w:marRight w:val="0"/>
      <w:marTop w:val="0"/>
      <w:marBottom w:val="0"/>
      <w:divBdr>
        <w:top w:val="none" w:sz="0" w:space="0" w:color="auto"/>
        <w:left w:val="none" w:sz="0" w:space="0" w:color="auto"/>
        <w:bottom w:val="none" w:sz="0" w:space="0" w:color="auto"/>
        <w:right w:val="none" w:sz="0" w:space="0" w:color="auto"/>
      </w:divBdr>
    </w:div>
    <w:div w:id="847602835">
      <w:bodyDiv w:val="1"/>
      <w:marLeft w:val="0"/>
      <w:marRight w:val="0"/>
      <w:marTop w:val="0"/>
      <w:marBottom w:val="0"/>
      <w:divBdr>
        <w:top w:val="none" w:sz="0" w:space="0" w:color="auto"/>
        <w:left w:val="none" w:sz="0" w:space="0" w:color="auto"/>
        <w:bottom w:val="none" w:sz="0" w:space="0" w:color="auto"/>
        <w:right w:val="none" w:sz="0" w:space="0" w:color="auto"/>
      </w:divBdr>
    </w:div>
    <w:div w:id="862936956">
      <w:bodyDiv w:val="1"/>
      <w:marLeft w:val="0"/>
      <w:marRight w:val="0"/>
      <w:marTop w:val="0"/>
      <w:marBottom w:val="0"/>
      <w:divBdr>
        <w:top w:val="none" w:sz="0" w:space="0" w:color="auto"/>
        <w:left w:val="none" w:sz="0" w:space="0" w:color="auto"/>
        <w:bottom w:val="none" w:sz="0" w:space="0" w:color="auto"/>
        <w:right w:val="none" w:sz="0" w:space="0" w:color="auto"/>
      </w:divBdr>
    </w:div>
    <w:div w:id="892275949">
      <w:bodyDiv w:val="1"/>
      <w:marLeft w:val="0"/>
      <w:marRight w:val="0"/>
      <w:marTop w:val="0"/>
      <w:marBottom w:val="0"/>
      <w:divBdr>
        <w:top w:val="none" w:sz="0" w:space="0" w:color="auto"/>
        <w:left w:val="none" w:sz="0" w:space="0" w:color="auto"/>
        <w:bottom w:val="none" w:sz="0" w:space="0" w:color="auto"/>
        <w:right w:val="none" w:sz="0" w:space="0" w:color="auto"/>
      </w:divBdr>
      <w:divsChild>
        <w:div w:id="462381807">
          <w:marLeft w:val="0"/>
          <w:marRight w:val="0"/>
          <w:marTop w:val="0"/>
          <w:marBottom w:val="0"/>
          <w:divBdr>
            <w:top w:val="none" w:sz="0" w:space="0" w:color="auto"/>
            <w:left w:val="none" w:sz="0" w:space="0" w:color="auto"/>
            <w:bottom w:val="none" w:sz="0" w:space="0" w:color="auto"/>
            <w:right w:val="none" w:sz="0" w:space="0" w:color="auto"/>
          </w:divBdr>
        </w:div>
        <w:div w:id="533225660">
          <w:marLeft w:val="0"/>
          <w:marRight w:val="0"/>
          <w:marTop w:val="0"/>
          <w:marBottom w:val="0"/>
          <w:divBdr>
            <w:top w:val="none" w:sz="0" w:space="0" w:color="auto"/>
            <w:left w:val="none" w:sz="0" w:space="0" w:color="auto"/>
            <w:bottom w:val="none" w:sz="0" w:space="0" w:color="auto"/>
            <w:right w:val="none" w:sz="0" w:space="0" w:color="auto"/>
          </w:divBdr>
        </w:div>
      </w:divsChild>
    </w:div>
    <w:div w:id="910389515">
      <w:bodyDiv w:val="1"/>
      <w:marLeft w:val="0"/>
      <w:marRight w:val="0"/>
      <w:marTop w:val="0"/>
      <w:marBottom w:val="0"/>
      <w:divBdr>
        <w:top w:val="none" w:sz="0" w:space="0" w:color="auto"/>
        <w:left w:val="none" w:sz="0" w:space="0" w:color="auto"/>
        <w:bottom w:val="none" w:sz="0" w:space="0" w:color="auto"/>
        <w:right w:val="none" w:sz="0" w:space="0" w:color="auto"/>
      </w:divBdr>
    </w:div>
    <w:div w:id="932595315">
      <w:bodyDiv w:val="1"/>
      <w:marLeft w:val="0"/>
      <w:marRight w:val="0"/>
      <w:marTop w:val="0"/>
      <w:marBottom w:val="0"/>
      <w:divBdr>
        <w:top w:val="none" w:sz="0" w:space="0" w:color="auto"/>
        <w:left w:val="none" w:sz="0" w:space="0" w:color="auto"/>
        <w:bottom w:val="none" w:sz="0" w:space="0" w:color="auto"/>
        <w:right w:val="none" w:sz="0" w:space="0" w:color="auto"/>
      </w:divBdr>
    </w:div>
    <w:div w:id="938953998">
      <w:bodyDiv w:val="1"/>
      <w:marLeft w:val="0"/>
      <w:marRight w:val="0"/>
      <w:marTop w:val="0"/>
      <w:marBottom w:val="0"/>
      <w:divBdr>
        <w:top w:val="none" w:sz="0" w:space="0" w:color="auto"/>
        <w:left w:val="none" w:sz="0" w:space="0" w:color="auto"/>
        <w:bottom w:val="none" w:sz="0" w:space="0" w:color="auto"/>
        <w:right w:val="none" w:sz="0" w:space="0" w:color="auto"/>
      </w:divBdr>
    </w:div>
    <w:div w:id="970598076">
      <w:bodyDiv w:val="1"/>
      <w:marLeft w:val="0"/>
      <w:marRight w:val="0"/>
      <w:marTop w:val="0"/>
      <w:marBottom w:val="0"/>
      <w:divBdr>
        <w:top w:val="none" w:sz="0" w:space="0" w:color="auto"/>
        <w:left w:val="none" w:sz="0" w:space="0" w:color="auto"/>
        <w:bottom w:val="none" w:sz="0" w:space="0" w:color="auto"/>
        <w:right w:val="none" w:sz="0" w:space="0" w:color="auto"/>
      </w:divBdr>
    </w:div>
    <w:div w:id="1022510346">
      <w:bodyDiv w:val="1"/>
      <w:marLeft w:val="0"/>
      <w:marRight w:val="0"/>
      <w:marTop w:val="0"/>
      <w:marBottom w:val="0"/>
      <w:divBdr>
        <w:top w:val="none" w:sz="0" w:space="0" w:color="auto"/>
        <w:left w:val="none" w:sz="0" w:space="0" w:color="auto"/>
        <w:bottom w:val="none" w:sz="0" w:space="0" w:color="auto"/>
        <w:right w:val="none" w:sz="0" w:space="0" w:color="auto"/>
      </w:divBdr>
    </w:div>
    <w:div w:id="1113747865">
      <w:bodyDiv w:val="1"/>
      <w:marLeft w:val="0"/>
      <w:marRight w:val="0"/>
      <w:marTop w:val="0"/>
      <w:marBottom w:val="0"/>
      <w:divBdr>
        <w:top w:val="none" w:sz="0" w:space="0" w:color="auto"/>
        <w:left w:val="none" w:sz="0" w:space="0" w:color="auto"/>
        <w:bottom w:val="none" w:sz="0" w:space="0" w:color="auto"/>
        <w:right w:val="none" w:sz="0" w:space="0" w:color="auto"/>
      </w:divBdr>
    </w:div>
    <w:div w:id="1151210188">
      <w:bodyDiv w:val="1"/>
      <w:marLeft w:val="0"/>
      <w:marRight w:val="0"/>
      <w:marTop w:val="0"/>
      <w:marBottom w:val="0"/>
      <w:divBdr>
        <w:top w:val="none" w:sz="0" w:space="0" w:color="auto"/>
        <w:left w:val="none" w:sz="0" w:space="0" w:color="auto"/>
        <w:bottom w:val="none" w:sz="0" w:space="0" w:color="auto"/>
        <w:right w:val="none" w:sz="0" w:space="0" w:color="auto"/>
      </w:divBdr>
    </w:div>
    <w:div w:id="1169055687">
      <w:bodyDiv w:val="1"/>
      <w:marLeft w:val="0"/>
      <w:marRight w:val="0"/>
      <w:marTop w:val="0"/>
      <w:marBottom w:val="0"/>
      <w:divBdr>
        <w:top w:val="none" w:sz="0" w:space="0" w:color="auto"/>
        <w:left w:val="none" w:sz="0" w:space="0" w:color="auto"/>
        <w:bottom w:val="none" w:sz="0" w:space="0" w:color="auto"/>
        <w:right w:val="none" w:sz="0" w:space="0" w:color="auto"/>
      </w:divBdr>
    </w:div>
    <w:div w:id="1209148695">
      <w:bodyDiv w:val="1"/>
      <w:marLeft w:val="0"/>
      <w:marRight w:val="0"/>
      <w:marTop w:val="0"/>
      <w:marBottom w:val="0"/>
      <w:divBdr>
        <w:top w:val="none" w:sz="0" w:space="0" w:color="auto"/>
        <w:left w:val="none" w:sz="0" w:space="0" w:color="auto"/>
        <w:bottom w:val="none" w:sz="0" w:space="0" w:color="auto"/>
        <w:right w:val="none" w:sz="0" w:space="0" w:color="auto"/>
      </w:divBdr>
    </w:div>
    <w:div w:id="1248491890">
      <w:bodyDiv w:val="1"/>
      <w:marLeft w:val="0"/>
      <w:marRight w:val="0"/>
      <w:marTop w:val="0"/>
      <w:marBottom w:val="0"/>
      <w:divBdr>
        <w:top w:val="none" w:sz="0" w:space="0" w:color="auto"/>
        <w:left w:val="none" w:sz="0" w:space="0" w:color="auto"/>
        <w:bottom w:val="none" w:sz="0" w:space="0" w:color="auto"/>
        <w:right w:val="none" w:sz="0" w:space="0" w:color="auto"/>
      </w:divBdr>
    </w:div>
    <w:div w:id="1254704959">
      <w:bodyDiv w:val="1"/>
      <w:marLeft w:val="0"/>
      <w:marRight w:val="0"/>
      <w:marTop w:val="0"/>
      <w:marBottom w:val="0"/>
      <w:divBdr>
        <w:top w:val="none" w:sz="0" w:space="0" w:color="auto"/>
        <w:left w:val="none" w:sz="0" w:space="0" w:color="auto"/>
        <w:bottom w:val="none" w:sz="0" w:space="0" w:color="auto"/>
        <w:right w:val="none" w:sz="0" w:space="0" w:color="auto"/>
      </w:divBdr>
    </w:div>
    <w:div w:id="1264387342">
      <w:bodyDiv w:val="1"/>
      <w:marLeft w:val="0"/>
      <w:marRight w:val="0"/>
      <w:marTop w:val="0"/>
      <w:marBottom w:val="0"/>
      <w:divBdr>
        <w:top w:val="none" w:sz="0" w:space="0" w:color="auto"/>
        <w:left w:val="none" w:sz="0" w:space="0" w:color="auto"/>
        <w:bottom w:val="none" w:sz="0" w:space="0" w:color="auto"/>
        <w:right w:val="none" w:sz="0" w:space="0" w:color="auto"/>
      </w:divBdr>
    </w:div>
    <w:div w:id="1266157284">
      <w:bodyDiv w:val="1"/>
      <w:marLeft w:val="0"/>
      <w:marRight w:val="0"/>
      <w:marTop w:val="0"/>
      <w:marBottom w:val="0"/>
      <w:divBdr>
        <w:top w:val="none" w:sz="0" w:space="0" w:color="auto"/>
        <w:left w:val="none" w:sz="0" w:space="0" w:color="auto"/>
        <w:bottom w:val="none" w:sz="0" w:space="0" w:color="auto"/>
        <w:right w:val="none" w:sz="0" w:space="0" w:color="auto"/>
      </w:divBdr>
    </w:div>
    <w:div w:id="1315374362">
      <w:bodyDiv w:val="1"/>
      <w:marLeft w:val="0"/>
      <w:marRight w:val="0"/>
      <w:marTop w:val="0"/>
      <w:marBottom w:val="0"/>
      <w:divBdr>
        <w:top w:val="none" w:sz="0" w:space="0" w:color="auto"/>
        <w:left w:val="none" w:sz="0" w:space="0" w:color="auto"/>
        <w:bottom w:val="none" w:sz="0" w:space="0" w:color="auto"/>
        <w:right w:val="none" w:sz="0" w:space="0" w:color="auto"/>
      </w:divBdr>
    </w:div>
    <w:div w:id="1316832964">
      <w:bodyDiv w:val="1"/>
      <w:marLeft w:val="0"/>
      <w:marRight w:val="0"/>
      <w:marTop w:val="0"/>
      <w:marBottom w:val="0"/>
      <w:divBdr>
        <w:top w:val="none" w:sz="0" w:space="0" w:color="auto"/>
        <w:left w:val="none" w:sz="0" w:space="0" w:color="auto"/>
        <w:bottom w:val="none" w:sz="0" w:space="0" w:color="auto"/>
        <w:right w:val="none" w:sz="0" w:space="0" w:color="auto"/>
      </w:divBdr>
    </w:div>
    <w:div w:id="1342782757">
      <w:bodyDiv w:val="1"/>
      <w:marLeft w:val="0"/>
      <w:marRight w:val="0"/>
      <w:marTop w:val="0"/>
      <w:marBottom w:val="0"/>
      <w:divBdr>
        <w:top w:val="none" w:sz="0" w:space="0" w:color="auto"/>
        <w:left w:val="none" w:sz="0" w:space="0" w:color="auto"/>
        <w:bottom w:val="none" w:sz="0" w:space="0" w:color="auto"/>
        <w:right w:val="none" w:sz="0" w:space="0" w:color="auto"/>
      </w:divBdr>
    </w:div>
    <w:div w:id="1400901387">
      <w:bodyDiv w:val="1"/>
      <w:marLeft w:val="0"/>
      <w:marRight w:val="0"/>
      <w:marTop w:val="0"/>
      <w:marBottom w:val="0"/>
      <w:divBdr>
        <w:top w:val="none" w:sz="0" w:space="0" w:color="auto"/>
        <w:left w:val="none" w:sz="0" w:space="0" w:color="auto"/>
        <w:bottom w:val="none" w:sz="0" w:space="0" w:color="auto"/>
        <w:right w:val="none" w:sz="0" w:space="0" w:color="auto"/>
      </w:divBdr>
    </w:div>
    <w:div w:id="1420056961">
      <w:bodyDiv w:val="1"/>
      <w:marLeft w:val="0"/>
      <w:marRight w:val="0"/>
      <w:marTop w:val="0"/>
      <w:marBottom w:val="0"/>
      <w:divBdr>
        <w:top w:val="none" w:sz="0" w:space="0" w:color="auto"/>
        <w:left w:val="none" w:sz="0" w:space="0" w:color="auto"/>
        <w:bottom w:val="none" w:sz="0" w:space="0" w:color="auto"/>
        <w:right w:val="none" w:sz="0" w:space="0" w:color="auto"/>
      </w:divBdr>
      <w:divsChild>
        <w:div w:id="58596017">
          <w:marLeft w:val="0"/>
          <w:marRight w:val="0"/>
          <w:marTop w:val="0"/>
          <w:marBottom w:val="0"/>
          <w:divBdr>
            <w:top w:val="none" w:sz="0" w:space="0" w:color="auto"/>
            <w:left w:val="none" w:sz="0" w:space="0" w:color="auto"/>
            <w:bottom w:val="none" w:sz="0" w:space="0" w:color="auto"/>
            <w:right w:val="none" w:sz="0" w:space="0" w:color="auto"/>
          </w:divBdr>
        </w:div>
        <w:div w:id="59796158">
          <w:marLeft w:val="0"/>
          <w:marRight w:val="0"/>
          <w:marTop w:val="0"/>
          <w:marBottom w:val="0"/>
          <w:divBdr>
            <w:top w:val="none" w:sz="0" w:space="0" w:color="auto"/>
            <w:left w:val="none" w:sz="0" w:space="0" w:color="auto"/>
            <w:bottom w:val="none" w:sz="0" w:space="0" w:color="auto"/>
            <w:right w:val="none" w:sz="0" w:space="0" w:color="auto"/>
          </w:divBdr>
          <w:divsChild>
            <w:div w:id="171189455">
              <w:marLeft w:val="0"/>
              <w:marRight w:val="0"/>
              <w:marTop w:val="0"/>
              <w:marBottom w:val="0"/>
              <w:divBdr>
                <w:top w:val="none" w:sz="0" w:space="0" w:color="auto"/>
                <w:left w:val="none" w:sz="0" w:space="0" w:color="auto"/>
                <w:bottom w:val="none" w:sz="0" w:space="0" w:color="auto"/>
                <w:right w:val="none" w:sz="0" w:space="0" w:color="auto"/>
              </w:divBdr>
            </w:div>
            <w:div w:id="179246049">
              <w:marLeft w:val="0"/>
              <w:marRight w:val="0"/>
              <w:marTop w:val="0"/>
              <w:marBottom w:val="0"/>
              <w:divBdr>
                <w:top w:val="none" w:sz="0" w:space="0" w:color="auto"/>
                <w:left w:val="none" w:sz="0" w:space="0" w:color="auto"/>
                <w:bottom w:val="none" w:sz="0" w:space="0" w:color="auto"/>
                <w:right w:val="none" w:sz="0" w:space="0" w:color="auto"/>
              </w:divBdr>
            </w:div>
            <w:div w:id="473644442">
              <w:marLeft w:val="0"/>
              <w:marRight w:val="0"/>
              <w:marTop w:val="0"/>
              <w:marBottom w:val="0"/>
              <w:divBdr>
                <w:top w:val="none" w:sz="0" w:space="0" w:color="auto"/>
                <w:left w:val="none" w:sz="0" w:space="0" w:color="auto"/>
                <w:bottom w:val="none" w:sz="0" w:space="0" w:color="auto"/>
                <w:right w:val="none" w:sz="0" w:space="0" w:color="auto"/>
              </w:divBdr>
            </w:div>
            <w:div w:id="645817057">
              <w:marLeft w:val="0"/>
              <w:marRight w:val="0"/>
              <w:marTop w:val="0"/>
              <w:marBottom w:val="0"/>
              <w:divBdr>
                <w:top w:val="none" w:sz="0" w:space="0" w:color="auto"/>
                <w:left w:val="none" w:sz="0" w:space="0" w:color="auto"/>
                <w:bottom w:val="none" w:sz="0" w:space="0" w:color="auto"/>
                <w:right w:val="none" w:sz="0" w:space="0" w:color="auto"/>
              </w:divBdr>
            </w:div>
            <w:div w:id="758912300">
              <w:marLeft w:val="0"/>
              <w:marRight w:val="0"/>
              <w:marTop w:val="0"/>
              <w:marBottom w:val="0"/>
              <w:divBdr>
                <w:top w:val="none" w:sz="0" w:space="0" w:color="auto"/>
                <w:left w:val="none" w:sz="0" w:space="0" w:color="auto"/>
                <w:bottom w:val="none" w:sz="0" w:space="0" w:color="auto"/>
                <w:right w:val="none" w:sz="0" w:space="0" w:color="auto"/>
              </w:divBdr>
            </w:div>
            <w:div w:id="913735501">
              <w:marLeft w:val="0"/>
              <w:marRight w:val="0"/>
              <w:marTop w:val="0"/>
              <w:marBottom w:val="0"/>
              <w:divBdr>
                <w:top w:val="none" w:sz="0" w:space="0" w:color="auto"/>
                <w:left w:val="none" w:sz="0" w:space="0" w:color="auto"/>
                <w:bottom w:val="none" w:sz="0" w:space="0" w:color="auto"/>
                <w:right w:val="none" w:sz="0" w:space="0" w:color="auto"/>
              </w:divBdr>
            </w:div>
            <w:div w:id="947010316">
              <w:marLeft w:val="0"/>
              <w:marRight w:val="0"/>
              <w:marTop w:val="0"/>
              <w:marBottom w:val="0"/>
              <w:divBdr>
                <w:top w:val="none" w:sz="0" w:space="0" w:color="auto"/>
                <w:left w:val="none" w:sz="0" w:space="0" w:color="auto"/>
                <w:bottom w:val="none" w:sz="0" w:space="0" w:color="auto"/>
                <w:right w:val="none" w:sz="0" w:space="0" w:color="auto"/>
              </w:divBdr>
            </w:div>
            <w:div w:id="958873461">
              <w:marLeft w:val="0"/>
              <w:marRight w:val="0"/>
              <w:marTop w:val="0"/>
              <w:marBottom w:val="0"/>
              <w:divBdr>
                <w:top w:val="none" w:sz="0" w:space="0" w:color="auto"/>
                <w:left w:val="none" w:sz="0" w:space="0" w:color="auto"/>
                <w:bottom w:val="none" w:sz="0" w:space="0" w:color="auto"/>
                <w:right w:val="none" w:sz="0" w:space="0" w:color="auto"/>
              </w:divBdr>
            </w:div>
            <w:div w:id="1017930976">
              <w:marLeft w:val="0"/>
              <w:marRight w:val="0"/>
              <w:marTop w:val="0"/>
              <w:marBottom w:val="0"/>
              <w:divBdr>
                <w:top w:val="none" w:sz="0" w:space="0" w:color="auto"/>
                <w:left w:val="none" w:sz="0" w:space="0" w:color="auto"/>
                <w:bottom w:val="none" w:sz="0" w:space="0" w:color="auto"/>
                <w:right w:val="none" w:sz="0" w:space="0" w:color="auto"/>
              </w:divBdr>
            </w:div>
            <w:div w:id="1335917907">
              <w:marLeft w:val="0"/>
              <w:marRight w:val="0"/>
              <w:marTop w:val="0"/>
              <w:marBottom w:val="0"/>
              <w:divBdr>
                <w:top w:val="none" w:sz="0" w:space="0" w:color="auto"/>
                <w:left w:val="none" w:sz="0" w:space="0" w:color="auto"/>
                <w:bottom w:val="none" w:sz="0" w:space="0" w:color="auto"/>
                <w:right w:val="none" w:sz="0" w:space="0" w:color="auto"/>
              </w:divBdr>
            </w:div>
            <w:div w:id="1606185435">
              <w:marLeft w:val="0"/>
              <w:marRight w:val="0"/>
              <w:marTop w:val="0"/>
              <w:marBottom w:val="0"/>
              <w:divBdr>
                <w:top w:val="none" w:sz="0" w:space="0" w:color="auto"/>
                <w:left w:val="none" w:sz="0" w:space="0" w:color="auto"/>
                <w:bottom w:val="none" w:sz="0" w:space="0" w:color="auto"/>
                <w:right w:val="none" w:sz="0" w:space="0" w:color="auto"/>
              </w:divBdr>
            </w:div>
            <w:div w:id="1687514885">
              <w:marLeft w:val="0"/>
              <w:marRight w:val="0"/>
              <w:marTop w:val="0"/>
              <w:marBottom w:val="0"/>
              <w:divBdr>
                <w:top w:val="none" w:sz="0" w:space="0" w:color="auto"/>
                <w:left w:val="none" w:sz="0" w:space="0" w:color="auto"/>
                <w:bottom w:val="none" w:sz="0" w:space="0" w:color="auto"/>
                <w:right w:val="none" w:sz="0" w:space="0" w:color="auto"/>
              </w:divBdr>
            </w:div>
            <w:div w:id="1805780739">
              <w:marLeft w:val="0"/>
              <w:marRight w:val="0"/>
              <w:marTop w:val="0"/>
              <w:marBottom w:val="0"/>
              <w:divBdr>
                <w:top w:val="none" w:sz="0" w:space="0" w:color="auto"/>
                <w:left w:val="none" w:sz="0" w:space="0" w:color="auto"/>
                <w:bottom w:val="none" w:sz="0" w:space="0" w:color="auto"/>
                <w:right w:val="none" w:sz="0" w:space="0" w:color="auto"/>
              </w:divBdr>
            </w:div>
            <w:div w:id="1952202953">
              <w:marLeft w:val="0"/>
              <w:marRight w:val="0"/>
              <w:marTop w:val="0"/>
              <w:marBottom w:val="0"/>
              <w:divBdr>
                <w:top w:val="none" w:sz="0" w:space="0" w:color="auto"/>
                <w:left w:val="none" w:sz="0" w:space="0" w:color="auto"/>
                <w:bottom w:val="none" w:sz="0" w:space="0" w:color="auto"/>
                <w:right w:val="none" w:sz="0" w:space="0" w:color="auto"/>
              </w:divBdr>
            </w:div>
            <w:div w:id="1996060133">
              <w:marLeft w:val="0"/>
              <w:marRight w:val="0"/>
              <w:marTop w:val="0"/>
              <w:marBottom w:val="0"/>
              <w:divBdr>
                <w:top w:val="none" w:sz="0" w:space="0" w:color="auto"/>
                <w:left w:val="none" w:sz="0" w:space="0" w:color="auto"/>
                <w:bottom w:val="none" w:sz="0" w:space="0" w:color="auto"/>
                <w:right w:val="none" w:sz="0" w:space="0" w:color="auto"/>
              </w:divBdr>
            </w:div>
            <w:div w:id="2014454923">
              <w:marLeft w:val="0"/>
              <w:marRight w:val="0"/>
              <w:marTop w:val="0"/>
              <w:marBottom w:val="0"/>
              <w:divBdr>
                <w:top w:val="none" w:sz="0" w:space="0" w:color="auto"/>
                <w:left w:val="none" w:sz="0" w:space="0" w:color="auto"/>
                <w:bottom w:val="none" w:sz="0" w:space="0" w:color="auto"/>
                <w:right w:val="none" w:sz="0" w:space="0" w:color="auto"/>
              </w:divBdr>
            </w:div>
            <w:div w:id="2085642398">
              <w:marLeft w:val="0"/>
              <w:marRight w:val="0"/>
              <w:marTop w:val="0"/>
              <w:marBottom w:val="0"/>
              <w:divBdr>
                <w:top w:val="none" w:sz="0" w:space="0" w:color="auto"/>
                <w:left w:val="none" w:sz="0" w:space="0" w:color="auto"/>
                <w:bottom w:val="none" w:sz="0" w:space="0" w:color="auto"/>
                <w:right w:val="none" w:sz="0" w:space="0" w:color="auto"/>
              </w:divBdr>
            </w:div>
            <w:div w:id="2092239641">
              <w:marLeft w:val="0"/>
              <w:marRight w:val="0"/>
              <w:marTop w:val="0"/>
              <w:marBottom w:val="0"/>
              <w:divBdr>
                <w:top w:val="none" w:sz="0" w:space="0" w:color="auto"/>
                <w:left w:val="none" w:sz="0" w:space="0" w:color="auto"/>
                <w:bottom w:val="none" w:sz="0" w:space="0" w:color="auto"/>
                <w:right w:val="none" w:sz="0" w:space="0" w:color="auto"/>
              </w:divBdr>
            </w:div>
            <w:div w:id="2107386283">
              <w:marLeft w:val="0"/>
              <w:marRight w:val="0"/>
              <w:marTop w:val="0"/>
              <w:marBottom w:val="0"/>
              <w:divBdr>
                <w:top w:val="none" w:sz="0" w:space="0" w:color="auto"/>
                <w:left w:val="none" w:sz="0" w:space="0" w:color="auto"/>
                <w:bottom w:val="none" w:sz="0" w:space="0" w:color="auto"/>
                <w:right w:val="none" w:sz="0" w:space="0" w:color="auto"/>
              </w:divBdr>
            </w:div>
            <w:div w:id="2112579139">
              <w:marLeft w:val="0"/>
              <w:marRight w:val="0"/>
              <w:marTop w:val="0"/>
              <w:marBottom w:val="0"/>
              <w:divBdr>
                <w:top w:val="none" w:sz="0" w:space="0" w:color="auto"/>
                <w:left w:val="none" w:sz="0" w:space="0" w:color="auto"/>
                <w:bottom w:val="none" w:sz="0" w:space="0" w:color="auto"/>
                <w:right w:val="none" w:sz="0" w:space="0" w:color="auto"/>
              </w:divBdr>
            </w:div>
          </w:divsChild>
        </w:div>
        <w:div w:id="64690292">
          <w:marLeft w:val="0"/>
          <w:marRight w:val="0"/>
          <w:marTop w:val="0"/>
          <w:marBottom w:val="0"/>
          <w:divBdr>
            <w:top w:val="none" w:sz="0" w:space="0" w:color="auto"/>
            <w:left w:val="none" w:sz="0" w:space="0" w:color="auto"/>
            <w:bottom w:val="none" w:sz="0" w:space="0" w:color="auto"/>
            <w:right w:val="none" w:sz="0" w:space="0" w:color="auto"/>
          </w:divBdr>
        </w:div>
        <w:div w:id="74326980">
          <w:marLeft w:val="0"/>
          <w:marRight w:val="0"/>
          <w:marTop w:val="0"/>
          <w:marBottom w:val="0"/>
          <w:divBdr>
            <w:top w:val="none" w:sz="0" w:space="0" w:color="auto"/>
            <w:left w:val="none" w:sz="0" w:space="0" w:color="auto"/>
            <w:bottom w:val="none" w:sz="0" w:space="0" w:color="auto"/>
            <w:right w:val="none" w:sz="0" w:space="0" w:color="auto"/>
          </w:divBdr>
        </w:div>
        <w:div w:id="88357165">
          <w:marLeft w:val="0"/>
          <w:marRight w:val="0"/>
          <w:marTop w:val="0"/>
          <w:marBottom w:val="0"/>
          <w:divBdr>
            <w:top w:val="none" w:sz="0" w:space="0" w:color="auto"/>
            <w:left w:val="none" w:sz="0" w:space="0" w:color="auto"/>
            <w:bottom w:val="none" w:sz="0" w:space="0" w:color="auto"/>
            <w:right w:val="none" w:sz="0" w:space="0" w:color="auto"/>
          </w:divBdr>
        </w:div>
        <w:div w:id="93324975">
          <w:marLeft w:val="0"/>
          <w:marRight w:val="0"/>
          <w:marTop w:val="0"/>
          <w:marBottom w:val="0"/>
          <w:divBdr>
            <w:top w:val="none" w:sz="0" w:space="0" w:color="auto"/>
            <w:left w:val="none" w:sz="0" w:space="0" w:color="auto"/>
            <w:bottom w:val="none" w:sz="0" w:space="0" w:color="auto"/>
            <w:right w:val="none" w:sz="0" w:space="0" w:color="auto"/>
          </w:divBdr>
        </w:div>
        <w:div w:id="109587612">
          <w:marLeft w:val="0"/>
          <w:marRight w:val="0"/>
          <w:marTop w:val="0"/>
          <w:marBottom w:val="0"/>
          <w:divBdr>
            <w:top w:val="none" w:sz="0" w:space="0" w:color="auto"/>
            <w:left w:val="none" w:sz="0" w:space="0" w:color="auto"/>
            <w:bottom w:val="none" w:sz="0" w:space="0" w:color="auto"/>
            <w:right w:val="none" w:sz="0" w:space="0" w:color="auto"/>
          </w:divBdr>
        </w:div>
        <w:div w:id="113911864">
          <w:marLeft w:val="0"/>
          <w:marRight w:val="0"/>
          <w:marTop w:val="0"/>
          <w:marBottom w:val="0"/>
          <w:divBdr>
            <w:top w:val="none" w:sz="0" w:space="0" w:color="auto"/>
            <w:left w:val="none" w:sz="0" w:space="0" w:color="auto"/>
            <w:bottom w:val="none" w:sz="0" w:space="0" w:color="auto"/>
            <w:right w:val="none" w:sz="0" w:space="0" w:color="auto"/>
          </w:divBdr>
        </w:div>
        <w:div w:id="117380555">
          <w:marLeft w:val="0"/>
          <w:marRight w:val="0"/>
          <w:marTop w:val="0"/>
          <w:marBottom w:val="0"/>
          <w:divBdr>
            <w:top w:val="none" w:sz="0" w:space="0" w:color="auto"/>
            <w:left w:val="none" w:sz="0" w:space="0" w:color="auto"/>
            <w:bottom w:val="none" w:sz="0" w:space="0" w:color="auto"/>
            <w:right w:val="none" w:sz="0" w:space="0" w:color="auto"/>
          </w:divBdr>
        </w:div>
        <w:div w:id="138036499">
          <w:marLeft w:val="0"/>
          <w:marRight w:val="0"/>
          <w:marTop w:val="0"/>
          <w:marBottom w:val="0"/>
          <w:divBdr>
            <w:top w:val="none" w:sz="0" w:space="0" w:color="auto"/>
            <w:left w:val="none" w:sz="0" w:space="0" w:color="auto"/>
            <w:bottom w:val="none" w:sz="0" w:space="0" w:color="auto"/>
            <w:right w:val="none" w:sz="0" w:space="0" w:color="auto"/>
          </w:divBdr>
        </w:div>
        <w:div w:id="148400955">
          <w:marLeft w:val="0"/>
          <w:marRight w:val="0"/>
          <w:marTop w:val="0"/>
          <w:marBottom w:val="0"/>
          <w:divBdr>
            <w:top w:val="none" w:sz="0" w:space="0" w:color="auto"/>
            <w:left w:val="none" w:sz="0" w:space="0" w:color="auto"/>
            <w:bottom w:val="none" w:sz="0" w:space="0" w:color="auto"/>
            <w:right w:val="none" w:sz="0" w:space="0" w:color="auto"/>
          </w:divBdr>
        </w:div>
        <w:div w:id="161436418">
          <w:marLeft w:val="0"/>
          <w:marRight w:val="0"/>
          <w:marTop w:val="0"/>
          <w:marBottom w:val="0"/>
          <w:divBdr>
            <w:top w:val="none" w:sz="0" w:space="0" w:color="auto"/>
            <w:left w:val="none" w:sz="0" w:space="0" w:color="auto"/>
            <w:bottom w:val="none" w:sz="0" w:space="0" w:color="auto"/>
            <w:right w:val="none" w:sz="0" w:space="0" w:color="auto"/>
          </w:divBdr>
        </w:div>
        <w:div w:id="167642271">
          <w:marLeft w:val="0"/>
          <w:marRight w:val="0"/>
          <w:marTop w:val="0"/>
          <w:marBottom w:val="0"/>
          <w:divBdr>
            <w:top w:val="none" w:sz="0" w:space="0" w:color="auto"/>
            <w:left w:val="none" w:sz="0" w:space="0" w:color="auto"/>
            <w:bottom w:val="none" w:sz="0" w:space="0" w:color="auto"/>
            <w:right w:val="none" w:sz="0" w:space="0" w:color="auto"/>
          </w:divBdr>
        </w:div>
        <w:div w:id="176581440">
          <w:marLeft w:val="0"/>
          <w:marRight w:val="0"/>
          <w:marTop w:val="0"/>
          <w:marBottom w:val="0"/>
          <w:divBdr>
            <w:top w:val="none" w:sz="0" w:space="0" w:color="auto"/>
            <w:left w:val="none" w:sz="0" w:space="0" w:color="auto"/>
            <w:bottom w:val="none" w:sz="0" w:space="0" w:color="auto"/>
            <w:right w:val="none" w:sz="0" w:space="0" w:color="auto"/>
          </w:divBdr>
        </w:div>
        <w:div w:id="207684697">
          <w:marLeft w:val="0"/>
          <w:marRight w:val="0"/>
          <w:marTop w:val="0"/>
          <w:marBottom w:val="0"/>
          <w:divBdr>
            <w:top w:val="none" w:sz="0" w:space="0" w:color="auto"/>
            <w:left w:val="none" w:sz="0" w:space="0" w:color="auto"/>
            <w:bottom w:val="none" w:sz="0" w:space="0" w:color="auto"/>
            <w:right w:val="none" w:sz="0" w:space="0" w:color="auto"/>
          </w:divBdr>
          <w:divsChild>
            <w:div w:id="1495606411">
              <w:marLeft w:val="-75"/>
              <w:marRight w:val="0"/>
              <w:marTop w:val="30"/>
              <w:marBottom w:val="30"/>
              <w:divBdr>
                <w:top w:val="none" w:sz="0" w:space="0" w:color="auto"/>
                <w:left w:val="none" w:sz="0" w:space="0" w:color="auto"/>
                <w:bottom w:val="none" w:sz="0" w:space="0" w:color="auto"/>
                <w:right w:val="none" w:sz="0" w:space="0" w:color="auto"/>
              </w:divBdr>
              <w:divsChild>
                <w:div w:id="266819080">
                  <w:marLeft w:val="0"/>
                  <w:marRight w:val="0"/>
                  <w:marTop w:val="0"/>
                  <w:marBottom w:val="0"/>
                  <w:divBdr>
                    <w:top w:val="none" w:sz="0" w:space="0" w:color="auto"/>
                    <w:left w:val="none" w:sz="0" w:space="0" w:color="auto"/>
                    <w:bottom w:val="none" w:sz="0" w:space="0" w:color="auto"/>
                    <w:right w:val="none" w:sz="0" w:space="0" w:color="auto"/>
                  </w:divBdr>
                  <w:divsChild>
                    <w:div w:id="514537710">
                      <w:marLeft w:val="0"/>
                      <w:marRight w:val="0"/>
                      <w:marTop w:val="0"/>
                      <w:marBottom w:val="0"/>
                      <w:divBdr>
                        <w:top w:val="none" w:sz="0" w:space="0" w:color="auto"/>
                        <w:left w:val="none" w:sz="0" w:space="0" w:color="auto"/>
                        <w:bottom w:val="none" w:sz="0" w:space="0" w:color="auto"/>
                        <w:right w:val="none" w:sz="0" w:space="0" w:color="auto"/>
                      </w:divBdr>
                    </w:div>
                  </w:divsChild>
                </w:div>
                <w:div w:id="442266216">
                  <w:marLeft w:val="0"/>
                  <w:marRight w:val="0"/>
                  <w:marTop w:val="0"/>
                  <w:marBottom w:val="0"/>
                  <w:divBdr>
                    <w:top w:val="none" w:sz="0" w:space="0" w:color="auto"/>
                    <w:left w:val="none" w:sz="0" w:space="0" w:color="auto"/>
                    <w:bottom w:val="none" w:sz="0" w:space="0" w:color="auto"/>
                    <w:right w:val="none" w:sz="0" w:space="0" w:color="auto"/>
                  </w:divBdr>
                  <w:divsChild>
                    <w:div w:id="518353865">
                      <w:marLeft w:val="0"/>
                      <w:marRight w:val="0"/>
                      <w:marTop w:val="0"/>
                      <w:marBottom w:val="0"/>
                      <w:divBdr>
                        <w:top w:val="none" w:sz="0" w:space="0" w:color="auto"/>
                        <w:left w:val="none" w:sz="0" w:space="0" w:color="auto"/>
                        <w:bottom w:val="none" w:sz="0" w:space="0" w:color="auto"/>
                        <w:right w:val="none" w:sz="0" w:space="0" w:color="auto"/>
                      </w:divBdr>
                    </w:div>
                  </w:divsChild>
                </w:div>
                <w:div w:id="593170111">
                  <w:marLeft w:val="0"/>
                  <w:marRight w:val="0"/>
                  <w:marTop w:val="0"/>
                  <w:marBottom w:val="0"/>
                  <w:divBdr>
                    <w:top w:val="none" w:sz="0" w:space="0" w:color="auto"/>
                    <w:left w:val="none" w:sz="0" w:space="0" w:color="auto"/>
                    <w:bottom w:val="none" w:sz="0" w:space="0" w:color="auto"/>
                    <w:right w:val="none" w:sz="0" w:space="0" w:color="auto"/>
                  </w:divBdr>
                  <w:divsChild>
                    <w:div w:id="1952786406">
                      <w:marLeft w:val="0"/>
                      <w:marRight w:val="0"/>
                      <w:marTop w:val="0"/>
                      <w:marBottom w:val="0"/>
                      <w:divBdr>
                        <w:top w:val="none" w:sz="0" w:space="0" w:color="auto"/>
                        <w:left w:val="none" w:sz="0" w:space="0" w:color="auto"/>
                        <w:bottom w:val="none" w:sz="0" w:space="0" w:color="auto"/>
                        <w:right w:val="none" w:sz="0" w:space="0" w:color="auto"/>
                      </w:divBdr>
                    </w:div>
                  </w:divsChild>
                </w:div>
                <w:div w:id="683819794">
                  <w:marLeft w:val="0"/>
                  <w:marRight w:val="0"/>
                  <w:marTop w:val="0"/>
                  <w:marBottom w:val="0"/>
                  <w:divBdr>
                    <w:top w:val="none" w:sz="0" w:space="0" w:color="auto"/>
                    <w:left w:val="none" w:sz="0" w:space="0" w:color="auto"/>
                    <w:bottom w:val="none" w:sz="0" w:space="0" w:color="auto"/>
                    <w:right w:val="none" w:sz="0" w:space="0" w:color="auto"/>
                  </w:divBdr>
                  <w:divsChild>
                    <w:div w:id="579028194">
                      <w:marLeft w:val="0"/>
                      <w:marRight w:val="0"/>
                      <w:marTop w:val="0"/>
                      <w:marBottom w:val="0"/>
                      <w:divBdr>
                        <w:top w:val="none" w:sz="0" w:space="0" w:color="auto"/>
                        <w:left w:val="none" w:sz="0" w:space="0" w:color="auto"/>
                        <w:bottom w:val="none" w:sz="0" w:space="0" w:color="auto"/>
                        <w:right w:val="none" w:sz="0" w:space="0" w:color="auto"/>
                      </w:divBdr>
                    </w:div>
                  </w:divsChild>
                </w:div>
                <w:div w:id="1309701361">
                  <w:marLeft w:val="0"/>
                  <w:marRight w:val="0"/>
                  <w:marTop w:val="0"/>
                  <w:marBottom w:val="0"/>
                  <w:divBdr>
                    <w:top w:val="none" w:sz="0" w:space="0" w:color="auto"/>
                    <w:left w:val="none" w:sz="0" w:space="0" w:color="auto"/>
                    <w:bottom w:val="none" w:sz="0" w:space="0" w:color="auto"/>
                    <w:right w:val="none" w:sz="0" w:space="0" w:color="auto"/>
                  </w:divBdr>
                  <w:divsChild>
                    <w:div w:id="1632830686">
                      <w:marLeft w:val="0"/>
                      <w:marRight w:val="0"/>
                      <w:marTop w:val="0"/>
                      <w:marBottom w:val="0"/>
                      <w:divBdr>
                        <w:top w:val="none" w:sz="0" w:space="0" w:color="auto"/>
                        <w:left w:val="none" w:sz="0" w:space="0" w:color="auto"/>
                        <w:bottom w:val="none" w:sz="0" w:space="0" w:color="auto"/>
                        <w:right w:val="none" w:sz="0" w:space="0" w:color="auto"/>
                      </w:divBdr>
                    </w:div>
                  </w:divsChild>
                </w:div>
                <w:div w:id="1379086313">
                  <w:marLeft w:val="0"/>
                  <w:marRight w:val="0"/>
                  <w:marTop w:val="0"/>
                  <w:marBottom w:val="0"/>
                  <w:divBdr>
                    <w:top w:val="none" w:sz="0" w:space="0" w:color="auto"/>
                    <w:left w:val="none" w:sz="0" w:space="0" w:color="auto"/>
                    <w:bottom w:val="none" w:sz="0" w:space="0" w:color="auto"/>
                    <w:right w:val="none" w:sz="0" w:space="0" w:color="auto"/>
                  </w:divBdr>
                  <w:divsChild>
                    <w:div w:id="2086415602">
                      <w:marLeft w:val="0"/>
                      <w:marRight w:val="0"/>
                      <w:marTop w:val="0"/>
                      <w:marBottom w:val="0"/>
                      <w:divBdr>
                        <w:top w:val="none" w:sz="0" w:space="0" w:color="auto"/>
                        <w:left w:val="none" w:sz="0" w:space="0" w:color="auto"/>
                        <w:bottom w:val="none" w:sz="0" w:space="0" w:color="auto"/>
                        <w:right w:val="none" w:sz="0" w:space="0" w:color="auto"/>
                      </w:divBdr>
                    </w:div>
                  </w:divsChild>
                </w:div>
                <w:div w:id="1383945205">
                  <w:marLeft w:val="0"/>
                  <w:marRight w:val="0"/>
                  <w:marTop w:val="0"/>
                  <w:marBottom w:val="0"/>
                  <w:divBdr>
                    <w:top w:val="none" w:sz="0" w:space="0" w:color="auto"/>
                    <w:left w:val="none" w:sz="0" w:space="0" w:color="auto"/>
                    <w:bottom w:val="none" w:sz="0" w:space="0" w:color="auto"/>
                    <w:right w:val="none" w:sz="0" w:space="0" w:color="auto"/>
                  </w:divBdr>
                  <w:divsChild>
                    <w:div w:id="1890798493">
                      <w:marLeft w:val="0"/>
                      <w:marRight w:val="0"/>
                      <w:marTop w:val="0"/>
                      <w:marBottom w:val="0"/>
                      <w:divBdr>
                        <w:top w:val="none" w:sz="0" w:space="0" w:color="auto"/>
                        <w:left w:val="none" w:sz="0" w:space="0" w:color="auto"/>
                        <w:bottom w:val="none" w:sz="0" w:space="0" w:color="auto"/>
                        <w:right w:val="none" w:sz="0" w:space="0" w:color="auto"/>
                      </w:divBdr>
                    </w:div>
                  </w:divsChild>
                </w:div>
                <w:div w:id="1650010675">
                  <w:marLeft w:val="0"/>
                  <w:marRight w:val="0"/>
                  <w:marTop w:val="0"/>
                  <w:marBottom w:val="0"/>
                  <w:divBdr>
                    <w:top w:val="none" w:sz="0" w:space="0" w:color="auto"/>
                    <w:left w:val="none" w:sz="0" w:space="0" w:color="auto"/>
                    <w:bottom w:val="none" w:sz="0" w:space="0" w:color="auto"/>
                    <w:right w:val="none" w:sz="0" w:space="0" w:color="auto"/>
                  </w:divBdr>
                  <w:divsChild>
                    <w:div w:id="451901100">
                      <w:marLeft w:val="0"/>
                      <w:marRight w:val="0"/>
                      <w:marTop w:val="0"/>
                      <w:marBottom w:val="0"/>
                      <w:divBdr>
                        <w:top w:val="none" w:sz="0" w:space="0" w:color="auto"/>
                        <w:left w:val="none" w:sz="0" w:space="0" w:color="auto"/>
                        <w:bottom w:val="none" w:sz="0" w:space="0" w:color="auto"/>
                        <w:right w:val="none" w:sz="0" w:space="0" w:color="auto"/>
                      </w:divBdr>
                    </w:div>
                  </w:divsChild>
                </w:div>
                <w:div w:id="1709181403">
                  <w:marLeft w:val="0"/>
                  <w:marRight w:val="0"/>
                  <w:marTop w:val="0"/>
                  <w:marBottom w:val="0"/>
                  <w:divBdr>
                    <w:top w:val="none" w:sz="0" w:space="0" w:color="auto"/>
                    <w:left w:val="none" w:sz="0" w:space="0" w:color="auto"/>
                    <w:bottom w:val="none" w:sz="0" w:space="0" w:color="auto"/>
                    <w:right w:val="none" w:sz="0" w:space="0" w:color="auto"/>
                  </w:divBdr>
                  <w:divsChild>
                    <w:div w:id="1928266895">
                      <w:marLeft w:val="0"/>
                      <w:marRight w:val="0"/>
                      <w:marTop w:val="0"/>
                      <w:marBottom w:val="0"/>
                      <w:divBdr>
                        <w:top w:val="none" w:sz="0" w:space="0" w:color="auto"/>
                        <w:left w:val="none" w:sz="0" w:space="0" w:color="auto"/>
                        <w:bottom w:val="none" w:sz="0" w:space="0" w:color="auto"/>
                        <w:right w:val="none" w:sz="0" w:space="0" w:color="auto"/>
                      </w:divBdr>
                    </w:div>
                  </w:divsChild>
                </w:div>
                <w:div w:id="1741950800">
                  <w:marLeft w:val="0"/>
                  <w:marRight w:val="0"/>
                  <w:marTop w:val="0"/>
                  <w:marBottom w:val="0"/>
                  <w:divBdr>
                    <w:top w:val="none" w:sz="0" w:space="0" w:color="auto"/>
                    <w:left w:val="none" w:sz="0" w:space="0" w:color="auto"/>
                    <w:bottom w:val="none" w:sz="0" w:space="0" w:color="auto"/>
                    <w:right w:val="none" w:sz="0" w:space="0" w:color="auto"/>
                  </w:divBdr>
                  <w:divsChild>
                    <w:div w:id="940988942">
                      <w:marLeft w:val="0"/>
                      <w:marRight w:val="0"/>
                      <w:marTop w:val="0"/>
                      <w:marBottom w:val="0"/>
                      <w:divBdr>
                        <w:top w:val="none" w:sz="0" w:space="0" w:color="auto"/>
                        <w:left w:val="none" w:sz="0" w:space="0" w:color="auto"/>
                        <w:bottom w:val="none" w:sz="0" w:space="0" w:color="auto"/>
                        <w:right w:val="none" w:sz="0" w:space="0" w:color="auto"/>
                      </w:divBdr>
                    </w:div>
                  </w:divsChild>
                </w:div>
                <w:div w:id="1902515495">
                  <w:marLeft w:val="0"/>
                  <w:marRight w:val="0"/>
                  <w:marTop w:val="0"/>
                  <w:marBottom w:val="0"/>
                  <w:divBdr>
                    <w:top w:val="none" w:sz="0" w:space="0" w:color="auto"/>
                    <w:left w:val="none" w:sz="0" w:space="0" w:color="auto"/>
                    <w:bottom w:val="none" w:sz="0" w:space="0" w:color="auto"/>
                    <w:right w:val="none" w:sz="0" w:space="0" w:color="auto"/>
                  </w:divBdr>
                  <w:divsChild>
                    <w:div w:id="962076534">
                      <w:marLeft w:val="0"/>
                      <w:marRight w:val="0"/>
                      <w:marTop w:val="0"/>
                      <w:marBottom w:val="0"/>
                      <w:divBdr>
                        <w:top w:val="none" w:sz="0" w:space="0" w:color="auto"/>
                        <w:left w:val="none" w:sz="0" w:space="0" w:color="auto"/>
                        <w:bottom w:val="none" w:sz="0" w:space="0" w:color="auto"/>
                        <w:right w:val="none" w:sz="0" w:space="0" w:color="auto"/>
                      </w:divBdr>
                    </w:div>
                  </w:divsChild>
                </w:div>
                <w:div w:id="1936549364">
                  <w:marLeft w:val="0"/>
                  <w:marRight w:val="0"/>
                  <w:marTop w:val="0"/>
                  <w:marBottom w:val="0"/>
                  <w:divBdr>
                    <w:top w:val="none" w:sz="0" w:space="0" w:color="auto"/>
                    <w:left w:val="none" w:sz="0" w:space="0" w:color="auto"/>
                    <w:bottom w:val="none" w:sz="0" w:space="0" w:color="auto"/>
                    <w:right w:val="none" w:sz="0" w:space="0" w:color="auto"/>
                  </w:divBdr>
                  <w:divsChild>
                    <w:div w:id="42828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88177">
          <w:marLeft w:val="0"/>
          <w:marRight w:val="0"/>
          <w:marTop w:val="0"/>
          <w:marBottom w:val="0"/>
          <w:divBdr>
            <w:top w:val="none" w:sz="0" w:space="0" w:color="auto"/>
            <w:left w:val="none" w:sz="0" w:space="0" w:color="auto"/>
            <w:bottom w:val="none" w:sz="0" w:space="0" w:color="auto"/>
            <w:right w:val="none" w:sz="0" w:space="0" w:color="auto"/>
          </w:divBdr>
        </w:div>
        <w:div w:id="247931241">
          <w:marLeft w:val="0"/>
          <w:marRight w:val="0"/>
          <w:marTop w:val="0"/>
          <w:marBottom w:val="0"/>
          <w:divBdr>
            <w:top w:val="none" w:sz="0" w:space="0" w:color="auto"/>
            <w:left w:val="none" w:sz="0" w:space="0" w:color="auto"/>
            <w:bottom w:val="none" w:sz="0" w:space="0" w:color="auto"/>
            <w:right w:val="none" w:sz="0" w:space="0" w:color="auto"/>
          </w:divBdr>
        </w:div>
        <w:div w:id="255752474">
          <w:marLeft w:val="0"/>
          <w:marRight w:val="0"/>
          <w:marTop w:val="0"/>
          <w:marBottom w:val="0"/>
          <w:divBdr>
            <w:top w:val="none" w:sz="0" w:space="0" w:color="auto"/>
            <w:left w:val="none" w:sz="0" w:space="0" w:color="auto"/>
            <w:bottom w:val="none" w:sz="0" w:space="0" w:color="auto"/>
            <w:right w:val="none" w:sz="0" w:space="0" w:color="auto"/>
          </w:divBdr>
        </w:div>
        <w:div w:id="267665253">
          <w:marLeft w:val="0"/>
          <w:marRight w:val="0"/>
          <w:marTop w:val="0"/>
          <w:marBottom w:val="0"/>
          <w:divBdr>
            <w:top w:val="none" w:sz="0" w:space="0" w:color="auto"/>
            <w:left w:val="none" w:sz="0" w:space="0" w:color="auto"/>
            <w:bottom w:val="none" w:sz="0" w:space="0" w:color="auto"/>
            <w:right w:val="none" w:sz="0" w:space="0" w:color="auto"/>
          </w:divBdr>
        </w:div>
        <w:div w:id="294141304">
          <w:marLeft w:val="0"/>
          <w:marRight w:val="0"/>
          <w:marTop w:val="0"/>
          <w:marBottom w:val="0"/>
          <w:divBdr>
            <w:top w:val="none" w:sz="0" w:space="0" w:color="auto"/>
            <w:left w:val="none" w:sz="0" w:space="0" w:color="auto"/>
            <w:bottom w:val="none" w:sz="0" w:space="0" w:color="auto"/>
            <w:right w:val="none" w:sz="0" w:space="0" w:color="auto"/>
          </w:divBdr>
        </w:div>
        <w:div w:id="294337309">
          <w:marLeft w:val="0"/>
          <w:marRight w:val="0"/>
          <w:marTop w:val="0"/>
          <w:marBottom w:val="0"/>
          <w:divBdr>
            <w:top w:val="none" w:sz="0" w:space="0" w:color="auto"/>
            <w:left w:val="none" w:sz="0" w:space="0" w:color="auto"/>
            <w:bottom w:val="none" w:sz="0" w:space="0" w:color="auto"/>
            <w:right w:val="none" w:sz="0" w:space="0" w:color="auto"/>
          </w:divBdr>
        </w:div>
        <w:div w:id="329598332">
          <w:marLeft w:val="0"/>
          <w:marRight w:val="0"/>
          <w:marTop w:val="0"/>
          <w:marBottom w:val="0"/>
          <w:divBdr>
            <w:top w:val="none" w:sz="0" w:space="0" w:color="auto"/>
            <w:left w:val="none" w:sz="0" w:space="0" w:color="auto"/>
            <w:bottom w:val="none" w:sz="0" w:space="0" w:color="auto"/>
            <w:right w:val="none" w:sz="0" w:space="0" w:color="auto"/>
          </w:divBdr>
          <w:divsChild>
            <w:div w:id="238564120">
              <w:marLeft w:val="0"/>
              <w:marRight w:val="0"/>
              <w:marTop w:val="0"/>
              <w:marBottom w:val="0"/>
              <w:divBdr>
                <w:top w:val="none" w:sz="0" w:space="0" w:color="auto"/>
                <w:left w:val="none" w:sz="0" w:space="0" w:color="auto"/>
                <w:bottom w:val="none" w:sz="0" w:space="0" w:color="auto"/>
                <w:right w:val="none" w:sz="0" w:space="0" w:color="auto"/>
              </w:divBdr>
            </w:div>
            <w:div w:id="413744917">
              <w:marLeft w:val="0"/>
              <w:marRight w:val="0"/>
              <w:marTop w:val="0"/>
              <w:marBottom w:val="0"/>
              <w:divBdr>
                <w:top w:val="none" w:sz="0" w:space="0" w:color="auto"/>
                <w:left w:val="none" w:sz="0" w:space="0" w:color="auto"/>
                <w:bottom w:val="none" w:sz="0" w:space="0" w:color="auto"/>
                <w:right w:val="none" w:sz="0" w:space="0" w:color="auto"/>
              </w:divBdr>
            </w:div>
            <w:div w:id="489902524">
              <w:marLeft w:val="0"/>
              <w:marRight w:val="0"/>
              <w:marTop w:val="0"/>
              <w:marBottom w:val="0"/>
              <w:divBdr>
                <w:top w:val="none" w:sz="0" w:space="0" w:color="auto"/>
                <w:left w:val="none" w:sz="0" w:space="0" w:color="auto"/>
                <w:bottom w:val="none" w:sz="0" w:space="0" w:color="auto"/>
                <w:right w:val="none" w:sz="0" w:space="0" w:color="auto"/>
              </w:divBdr>
            </w:div>
            <w:div w:id="523135405">
              <w:marLeft w:val="0"/>
              <w:marRight w:val="0"/>
              <w:marTop w:val="0"/>
              <w:marBottom w:val="0"/>
              <w:divBdr>
                <w:top w:val="none" w:sz="0" w:space="0" w:color="auto"/>
                <w:left w:val="none" w:sz="0" w:space="0" w:color="auto"/>
                <w:bottom w:val="none" w:sz="0" w:space="0" w:color="auto"/>
                <w:right w:val="none" w:sz="0" w:space="0" w:color="auto"/>
              </w:divBdr>
            </w:div>
            <w:div w:id="692222745">
              <w:marLeft w:val="0"/>
              <w:marRight w:val="0"/>
              <w:marTop w:val="0"/>
              <w:marBottom w:val="0"/>
              <w:divBdr>
                <w:top w:val="none" w:sz="0" w:space="0" w:color="auto"/>
                <w:left w:val="none" w:sz="0" w:space="0" w:color="auto"/>
                <w:bottom w:val="none" w:sz="0" w:space="0" w:color="auto"/>
                <w:right w:val="none" w:sz="0" w:space="0" w:color="auto"/>
              </w:divBdr>
            </w:div>
            <w:div w:id="699280330">
              <w:marLeft w:val="0"/>
              <w:marRight w:val="0"/>
              <w:marTop w:val="0"/>
              <w:marBottom w:val="0"/>
              <w:divBdr>
                <w:top w:val="none" w:sz="0" w:space="0" w:color="auto"/>
                <w:left w:val="none" w:sz="0" w:space="0" w:color="auto"/>
                <w:bottom w:val="none" w:sz="0" w:space="0" w:color="auto"/>
                <w:right w:val="none" w:sz="0" w:space="0" w:color="auto"/>
              </w:divBdr>
            </w:div>
            <w:div w:id="726299949">
              <w:marLeft w:val="0"/>
              <w:marRight w:val="0"/>
              <w:marTop w:val="0"/>
              <w:marBottom w:val="0"/>
              <w:divBdr>
                <w:top w:val="none" w:sz="0" w:space="0" w:color="auto"/>
                <w:left w:val="none" w:sz="0" w:space="0" w:color="auto"/>
                <w:bottom w:val="none" w:sz="0" w:space="0" w:color="auto"/>
                <w:right w:val="none" w:sz="0" w:space="0" w:color="auto"/>
              </w:divBdr>
            </w:div>
            <w:div w:id="737939081">
              <w:marLeft w:val="0"/>
              <w:marRight w:val="0"/>
              <w:marTop w:val="0"/>
              <w:marBottom w:val="0"/>
              <w:divBdr>
                <w:top w:val="none" w:sz="0" w:space="0" w:color="auto"/>
                <w:left w:val="none" w:sz="0" w:space="0" w:color="auto"/>
                <w:bottom w:val="none" w:sz="0" w:space="0" w:color="auto"/>
                <w:right w:val="none" w:sz="0" w:space="0" w:color="auto"/>
              </w:divBdr>
            </w:div>
            <w:div w:id="805854791">
              <w:marLeft w:val="0"/>
              <w:marRight w:val="0"/>
              <w:marTop w:val="0"/>
              <w:marBottom w:val="0"/>
              <w:divBdr>
                <w:top w:val="none" w:sz="0" w:space="0" w:color="auto"/>
                <w:left w:val="none" w:sz="0" w:space="0" w:color="auto"/>
                <w:bottom w:val="none" w:sz="0" w:space="0" w:color="auto"/>
                <w:right w:val="none" w:sz="0" w:space="0" w:color="auto"/>
              </w:divBdr>
            </w:div>
            <w:div w:id="862135611">
              <w:marLeft w:val="0"/>
              <w:marRight w:val="0"/>
              <w:marTop w:val="0"/>
              <w:marBottom w:val="0"/>
              <w:divBdr>
                <w:top w:val="none" w:sz="0" w:space="0" w:color="auto"/>
                <w:left w:val="none" w:sz="0" w:space="0" w:color="auto"/>
                <w:bottom w:val="none" w:sz="0" w:space="0" w:color="auto"/>
                <w:right w:val="none" w:sz="0" w:space="0" w:color="auto"/>
              </w:divBdr>
            </w:div>
            <w:div w:id="871653929">
              <w:marLeft w:val="0"/>
              <w:marRight w:val="0"/>
              <w:marTop w:val="0"/>
              <w:marBottom w:val="0"/>
              <w:divBdr>
                <w:top w:val="none" w:sz="0" w:space="0" w:color="auto"/>
                <w:left w:val="none" w:sz="0" w:space="0" w:color="auto"/>
                <w:bottom w:val="none" w:sz="0" w:space="0" w:color="auto"/>
                <w:right w:val="none" w:sz="0" w:space="0" w:color="auto"/>
              </w:divBdr>
            </w:div>
            <w:div w:id="1054424452">
              <w:marLeft w:val="0"/>
              <w:marRight w:val="0"/>
              <w:marTop w:val="0"/>
              <w:marBottom w:val="0"/>
              <w:divBdr>
                <w:top w:val="none" w:sz="0" w:space="0" w:color="auto"/>
                <w:left w:val="none" w:sz="0" w:space="0" w:color="auto"/>
                <w:bottom w:val="none" w:sz="0" w:space="0" w:color="auto"/>
                <w:right w:val="none" w:sz="0" w:space="0" w:color="auto"/>
              </w:divBdr>
            </w:div>
            <w:div w:id="1138644829">
              <w:marLeft w:val="0"/>
              <w:marRight w:val="0"/>
              <w:marTop w:val="0"/>
              <w:marBottom w:val="0"/>
              <w:divBdr>
                <w:top w:val="none" w:sz="0" w:space="0" w:color="auto"/>
                <w:left w:val="none" w:sz="0" w:space="0" w:color="auto"/>
                <w:bottom w:val="none" w:sz="0" w:space="0" w:color="auto"/>
                <w:right w:val="none" w:sz="0" w:space="0" w:color="auto"/>
              </w:divBdr>
            </w:div>
            <w:div w:id="1349061797">
              <w:marLeft w:val="0"/>
              <w:marRight w:val="0"/>
              <w:marTop w:val="0"/>
              <w:marBottom w:val="0"/>
              <w:divBdr>
                <w:top w:val="none" w:sz="0" w:space="0" w:color="auto"/>
                <w:left w:val="none" w:sz="0" w:space="0" w:color="auto"/>
                <w:bottom w:val="none" w:sz="0" w:space="0" w:color="auto"/>
                <w:right w:val="none" w:sz="0" w:space="0" w:color="auto"/>
              </w:divBdr>
            </w:div>
            <w:div w:id="1620145362">
              <w:marLeft w:val="0"/>
              <w:marRight w:val="0"/>
              <w:marTop w:val="0"/>
              <w:marBottom w:val="0"/>
              <w:divBdr>
                <w:top w:val="none" w:sz="0" w:space="0" w:color="auto"/>
                <w:left w:val="none" w:sz="0" w:space="0" w:color="auto"/>
                <w:bottom w:val="none" w:sz="0" w:space="0" w:color="auto"/>
                <w:right w:val="none" w:sz="0" w:space="0" w:color="auto"/>
              </w:divBdr>
            </w:div>
            <w:div w:id="1706786698">
              <w:marLeft w:val="0"/>
              <w:marRight w:val="0"/>
              <w:marTop w:val="0"/>
              <w:marBottom w:val="0"/>
              <w:divBdr>
                <w:top w:val="none" w:sz="0" w:space="0" w:color="auto"/>
                <w:left w:val="none" w:sz="0" w:space="0" w:color="auto"/>
                <w:bottom w:val="none" w:sz="0" w:space="0" w:color="auto"/>
                <w:right w:val="none" w:sz="0" w:space="0" w:color="auto"/>
              </w:divBdr>
            </w:div>
            <w:div w:id="1728601309">
              <w:marLeft w:val="0"/>
              <w:marRight w:val="0"/>
              <w:marTop w:val="0"/>
              <w:marBottom w:val="0"/>
              <w:divBdr>
                <w:top w:val="none" w:sz="0" w:space="0" w:color="auto"/>
                <w:left w:val="none" w:sz="0" w:space="0" w:color="auto"/>
                <w:bottom w:val="none" w:sz="0" w:space="0" w:color="auto"/>
                <w:right w:val="none" w:sz="0" w:space="0" w:color="auto"/>
              </w:divBdr>
            </w:div>
            <w:div w:id="1764494418">
              <w:marLeft w:val="0"/>
              <w:marRight w:val="0"/>
              <w:marTop w:val="0"/>
              <w:marBottom w:val="0"/>
              <w:divBdr>
                <w:top w:val="none" w:sz="0" w:space="0" w:color="auto"/>
                <w:left w:val="none" w:sz="0" w:space="0" w:color="auto"/>
                <w:bottom w:val="none" w:sz="0" w:space="0" w:color="auto"/>
                <w:right w:val="none" w:sz="0" w:space="0" w:color="auto"/>
              </w:divBdr>
            </w:div>
            <w:div w:id="2022661652">
              <w:marLeft w:val="0"/>
              <w:marRight w:val="0"/>
              <w:marTop w:val="0"/>
              <w:marBottom w:val="0"/>
              <w:divBdr>
                <w:top w:val="none" w:sz="0" w:space="0" w:color="auto"/>
                <w:left w:val="none" w:sz="0" w:space="0" w:color="auto"/>
                <w:bottom w:val="none" w:sz="0" w:space="0" w:color="auto"/>
                <w:right w:val="none" w:sz="0" w:space="0" w:color="auto"/>
              </w:divBdr>
            </w:div>
            <w:div w:id="2058627472">
              <w:marLeft w:val="0"/>
              <w:marRight w:val="0"/>
              <w:marTop w:val="0"/>
              <w:marBottom w:val="0"/>
              <w:divBdr>
                <w:top w:val="none" w:sz="0" w:space="0" w:color="auto"/>
                <w:left w:val="none" w:sz="0" w:space="0" w:color="auto"/>
                <w:bottom w:val="none" w:sz="0" w:space="0" w:color="auto"/>
                <w:right w:val="none" w:sz="0" w:space="0" w:color="auto"/>
              </w:divBdr>
            </w:div>
          </w:divsChild>
        </w:div>
        <w:div w:id="334890738">
          <w:marLeft w:val="0"/>
          <w:marRight w:val="0"/>
          <w:marTop w:val="0"/>
          <w:marBottom w:val="0"/>
          <w:divBdr>
            <w:top w:val="none" w:sz="0" w:space="0" w:color="auto"/>
            <w:left w:val="none" w:sz="0" w:space="0" w:color="auto"/>
            <w:bottom w:val="none" w:sz="0" w:space="0" w:color="auto"/>
            <w:right w:val="none" w:sz="0" w:space="0" w:color="auto"/>
          </w:divBdr>
        </w:div>
        <w:div w:id="338847685">
          <w:marLeft w:val="0"/>
          <w:marRight w:val="0"/>
          <w:marTop w:val="0"/>
          <w:marBottom w:val="0"/>
          <w:divBdr>
            <w:top w:val="none" w:sz="0" w:space="0" w:color="auto"/>
            <w:left w:val="none" w:sz="0" w:space="0" w:color="auto"/>
            <w:bottom w:val="none" w:sz="0" w:space="0" w:color="auto"/>
            <w:right w:val="none" w:sz="0" w:space="0" w:color="auto"/>
          </w:divBdr>
        </w:div>
        <w:div w:id="365762169">
          <w:marLeft w:val="0"/>
          <w:marRight w:val="0"/>
          <w:marTop w:val="0"/>
          <w:marBottom w:val="0"/>
          <w:divBdr>
            <w:top w:val="none" w:sz="0" w:space="0" w:color="auto"/>
            <w:left w:val="none" w:sz="0" w:space="0" w:color="auto"/>
            <w:bottom w:val="none" w:sz="0" w:space="0" w:color="auto"/>
            <w:right w:val="none" w:sz="0" w:space="0" w:color="auto"/>
          </w:divBdr>
        </w:div>
        <w:div w:id="374625949">
          <w:marLeft w:val="0"/>
          <w:marRight w:val="0"/>
          <w:marTop w:val="0"/>
          <w:marBottom w:val="0"/>
          <w:divBdr>
            <w:top w:val="none" w:sz="0" w:space="0" w:color="auto"/>
            <w:left w:val="none" w:sz="0" w:space="0" w:color="auto"/>
            <w:bottom w:val="none" w:sz="0" w:space="0" w:color="auto"/>
            <w:right w:val="none" w:sz="0" w:space="0" w:color="auto"/>
          </w:divBdr>
        </w:div>
        <w:div w:id="377053045">
          <w:marLeft w:val="0"/>
          <w:marRight w:val="0"/>
          <w:marTop w:val="0"/>
          <w:marBottom w:val="0"/>
          <w:divBdr>
            <w:top w:val="none" w:sz="0" w:space="0" w:color="auto"/>
            <w:left w:val="none" w:sz="0" w:space="0" w:color="auto"/>
            <w:bottom w:val="none" w:sz="0" w:space="0" w:color="auto"/>
            <w:right w:val="none" w:sz="0" w:space="0" w:color="auto"/>
          </w:divBdr>
          <w:divsChild>
            <w:div w:id="71007156">
              <w:marLeft w:val="0"/>
              <w:marRight w:val="0"/>
              <w:marTop w:val="0"/>
              <w:marBottom w:val="0"/>
              <w:divBdr>
                <w:top w:val="none" w:sz="0" w:space="0" w:color="auto"/>
                <w:left w:val="none" w:sz="0" w:space="0" w:color="auto"/>
                <w:bottom w:val="none" w:sz="0" w:space="0" w:color="auto"/>
                <w:right w:val="none" w:sz="0" w:space="0" w:color="auto"/>
              </w:divBdr>
            </w:div>
            <w:div w:id="265887544">
              <w:marLeft w:val="0"/>
              <w:marRight w:val="0"/>
              <w:marTop w:val="0"/>
              <w:marBottom w:val="0"/>
              <w:divBdr>
                <w:top w:val="none" w:sz="0" w:space="0" w:color="auto"/>
                <w:left w:val="none" w:sz="0" w:space="0" w:color="auto"/>
                <w:bottom w:val="none" w:sz="0" w:space="0" w:color="auto"/>
                <w:right w:val="none" w:sz="0" w:space="0" w:color="auto"/>
              </w:divBdr>
            </w:div>
            <w:div w:id="385908280">
              <w:marLeft w:val="0"/>
              <w:marRight w:val="0"/>
              <w:marTop w:val="0"/>
              <w:marBottom w:val="0"/>
              <w:divBdr>
                <w:top w:val="none" w:sz="0" w:space="0" w:color="auto"/>
                <w:left w:val="none" w:sz="0" w:space="0" w:color="auto"/>
                <w:bottom w:val="none" w:sz="0" w:space="0" w:color="auto"/>
                <w:right w:val="none" w:sz="0" w:space="0" w:color="auto"/>
              </w:divBdr>
            </w:div>
            <w:div w:id="551163124">
              <w:marLeft w:val="0"/>
              <w:marRight w:val="0"/>
              <w:marTop w:val="0"/>
              <w:marBottom w:val="0"/>
              <w:divBdr>
                <w:top w:val="none" w:sz="0" w:space="0" w:color="auto"/>
                <w:left w:val="none" w:sz="0" w:space="0" w:color="auto"/>
                <w:bottom w:val="none" w:sz="0" w:space="0" w:color="auto"/>
                <w:right w:val="none" w:sz="0" w:space="0" w:color="auto"/>
              </w:divBdr>
            </w:div>
            <w:div w:id="584992814">
              <w:marLeft w:val="0"/>
              <w:marRight w:val="0"/>
              <w:marTop w:val="0"/>
              <w:marBottom w:val="0"/>
              <w:divBdr>
                <w:top w:val="none" w:sz="0" w:space="0" w:color="auto"/>
                <w:left w:val="none" w:sz="0" w:space="0" w:color="auto"/>
                <w:bottom w:val="none" w:sz="0" w:space="0" w:color="auto"/>
                <w:right w:val="none" w:sz="0" w:space="0" w:color="auto"/>
              </w:divBdr>
            </w:div>
            <w:div w:id="604701682">
              <w:marLeft w:val="0"/>
              <w:marRight w:val="0"/>
              <w:marTop w:val="0"/>
              <w:marBottom w:val="0"/>
              <w:divBdr>
                <w:top w:val="none" w:sz="0" w:space="0" w:color="auto"/>
                <w:left w:val="none" w:sz="0" w:space="0" w:color="auto"/>
                <w:bottom w:val="none" w:sz="0" w:space="0" w:color="auto"/>
                <w:right w:val="none" w:sz="0" w:space="0" w:color="auto"/>
              </w:divBdr>
            </w:div>
            <w:div w:id="686296604">
              <w:marLeft w:val="0"/>
              <w:marRight w:val="0"/>
              <w:marTop w:val="0"/>
              <w:marBottom w:val="0"/>
              <w:divBdr>
                <w:top w:val="none" w:sz="0" w:space="0" w:color="auto"/>
                <w:left w:val="none" w:sz="0" w:space="0" w:color="auto"/>
                <w:bottom w:val="none" w:sz="0" w:space="0" w:color="auto"/>
                <w:right w:val="none" w:sz="0" w:space="0" w:color="auto"/>
              </w:divBdr>
            </w:div>
            <w:div w:id="1167133097">
              <w:marLeft w:val="0"/>
              <w:marRight w:val="0"/>
              <w:marTop w:val="0"/>
              <w:marBottom w:val="0"/>
              <w:divBdr>
                <w:top w:val="none" w:sz="0" w:space="0" w:color="auto"/>
                <w:left w:val="none" w:sz="0" w:space="0" w:color="auto"/>
                <w:bottom w:val="none" w:sz="0" w:space="0" w:color="auto"/>
                <w:right w:val="none" w:sz="0" w:space="0" w:color="auto"/>
              </w:divBdr>
            </w:div>
            <w:div w:id="1286426753">
              <w:marLeft w:val="0"/>
              <w:marRight w:val="0"/>
              <w:marTop w:val="0"/>
              <w:marBottom w:val="0"/>
              <w:divBdr>
                <w:top w:val="none" w:sz="0" w:space="0" w:color="auto"/>
                <w:left w:val="none" w:sz="0" w:space="0" w:color="auto"/>
                <w:bottom w:val="none" w:sz="0" w:space="0" w:color="auto"/>
                <w:right w:val="none" w:sz="0" w:space="0" w:color="auto"/>
              </w:divBdr>
            </w:div>
            <w:div w:id="1323971021">
              <w:marLeft w:val="0"/>
              <w:marRight w:val="0"/>
              <w:marTop w:val="0"/>
              <w:marBottom w:val="0"/>
              <w:divBdr>
                <w:top w:val="none" w:sz="0" w:space="0" w:color="auto"/>
                <w:left w:val="none" w:sz="0" w:space="0" w:color="auto"/>
                <w:bottom w:val="none" w:sz="0" w:space="0" w:color="auto"/>
                <w:right w:val="none" w:sz="0" w:space="0" w:color="auto"/>
              </w:divBdr>
            </w:div>
            <w:div w:id="1348941566">
              <w:marLeft w:val="0"/>
              <w:marRight w:val="0"/>
              <w:marTop w:val="0"/>
              <w:marBottom w:val="0"/>
              <w:divBdr>
                <w:top w:val="none" w:sz="0" w:space="0" w:color="auto"/>
                <w:left w:val="none" w:sz="0" w:space="0" w:color="auto"/>
                <w:bottom w:val="none" w:sz="0" w:space="0" w:color="auto"/>
                <w:right w:val="none" w:sz="0" w:space="0" w:color="auto"/>
              </w:divBdr>
            </w:div>
            <w:div w:id="1359619699">
              <w:marLeft w:val="0"/>
              <w:marRight w:val="0"/>
              <w:marTop w:val="0"/>
              <w:marBottom w:val="0"/>
              <w:divBdr>
                <w:top w:val="none" w:sz="0" w:space="0" w:color="auto"/>
                <w:left w:val="none" w:sz="0" w:space="0" w:color="auto"/>
                <w:bottom w:val="none" w:sz="0" w:space="0" w:color="auto"/>
                <w:right w:val="none" w:sz="0" w:space="0" w:color="auto"/>
              </w:divBdr>
            </w:div>
            <w:div w:id="1397312696">
              <w:marLeft w:val="0"/>
              <w:marRight w:val="0"/>
              <w:marTop w:val="0"/>
              <w:marBottom w:val="0"/>
              <w:divBdr>
                <w:top w:val="none" w:sz="0" w:space="0" w:color="auto"/>
                <w:left w:val="none" w:sz="0" w:space="0" w:color="auto"/>
                <w:bottom w:val="none" w:sz="0" w:space="0" w:color="auto"/>
                <w:right w:val="none" w:sz="0" w:space="0" w:color="auto"/>
              </w:divBdr>
            </w:div>
            <w:div w:id="1452242150">
              <w:marLeft w:val="0"/>
              <w:marRight w:val="0"/>
              <w:marTop w:val="0"/>
              <w:marBottom w:val="0"/>
              <w:divBdr>
                <w:top w:val="none" w:sz="0" w:space="0" w:color="auto"/>
                <w:left w:val="none" w:sz="0" w:space="0" w:color="auto"/>
                <w:bottom w:val="none" w:sz="0" w:space="0" w:color="auto"/>
                <w:right w:val="none" w:sz="0" w:space="0" w:color="auto"/>
              </w:divBdr>
            </w:div>
            <w:div w:id="1535968129">
              <w:marLeft w:val="0"/>
              <w:marRight w:val="0"/>
              <w:marTop w:val="0"/>
              <w:marBottom w:val="0"/>
              <w:divBdr>
                <w:top w:val="none" w:sz="0" w:space="0" w:color="auto"/>
                <w:left w:val="none" w:sz="0" w:space="0" w:color="auto"/>
                <w:bottom w:val="none" w:sz="0" w:space="0" w:color="auto"/>
                <w:right w:val="none" w:sz="0" w:space="0" w:color="auto"/>
              </w:divBdr>
            </w:div>
            <w:div w:id="1544631336">
              <w:marLeft w:val="0"/>
              <w:marRight w:val="0"/>
              <w:marTop w:val="0"/>
              <w:marBottom w:val="0"/>
              <w:divBdr>
                <w:top w:val="none" w:sz="0" w:space="0" w:color="auto"/>
                <w:left w:val="none" w:sz="0" w:space="0" w:color="auto"/>
                <w:bottom w:val="none" w:sz="0" w:space="0" w:color="auto"/>
                <w:right w:val="none" w:sz="0" w:space="0" w:color="auto"/>
              </w:divBdr>
            </w:div>
            <w:div w:id="1704283671">
              <w:marLeft w:val="0"/>
              <w:marRight w:val="0"/>
              <w:marTop w:val="0"/>
              <w:marBottom w:val="0"/>
              <w:divBdr>
                <w:top w:val="none" w:sz="0" w:space="0" w:color="auto"/>
                <w:left w:val="none" w:sz="0" w:space="0" w:color="auto"/>
                <w:bottom w:val="none" w:sz="0" w:space="0" w:color="auto"/>
                <w:right w:val="none" w:sz="0" w:space="0" w:color="auto"/>
              </w:divBdr>
            </w:div>
            <w:div w:id="1763144701">
              <w:marLeft w:val="0"/>
              <w:marRight w:val="0"/>
              <w:marTop w:val="0"/>
              <w:marBottom w:val="0"/>
              <w:divBdr>
                <w:top w:val="none" w:sz="0" w:space="0" w:color="auto"/>
                <w:left w:val="none" w:sz="0" w:space="0" w:color="auto"/>
                <w:bottom w:val="none" w:sz="0" w:space="0" w:color="auto"/>
                <w:right w:val="none" w:sz="0" w:space="0" w:color="auto"/>
              </w:divBdr>
            </w:div>
            <w:div w:id="1888955480">
              <w:marLeft w:val="0"/>
              <w:marRight w:val="0"/>
              <w:marTop w:val="0"/>
              <w:marBottom w:val="0"/>
              <w:divBdr>
                <w:top w:val="none" w:sz="0" w:space="0" w:color="auto"/>
                <w:left w:val="none" w:sz="0" w:space="0" w:color="auto"/>
                <w:bottom w:val="none" w:sz="0" w:space="0" w:color="auto"/>
                <w:right w:val="none" w:sz="0" w:space="0" w:color="auto"/>
              </w:divBdr>
            </w:div>
            <w:div w:id="2022931001">
              <w:marLeft w:val="0"/>
              <w:marRight w:val="0"/>
              <w:marTop w:val="0"/>
              <w:marBottom w:val="0"/>
              <w:divBdr>
                <w:top w:val="none" w:sz="0" w:space="0" w:color="auto"/>
                <w:left w:val="none" w:sz="0" w:space="0" w:color="auto"/>
                <w:bottom w:val="none" w:sz="0" w:space="0" w:color="auto"/>
                <w:right w:val="none" w:sz="0" w:space="0" w:color="auto"/>
              </w:divBdr>
            </w:div>
          </w:divsChild>
        </w:div>
        <w:div w:id="390662742">
          <w:marLeft w:val="0"/>
          <w:marRight w:val="0"/>
          <w:marTop w:val="0"/>
          <w:marBottom w:val="0"/>
          <w:divBdr>
            <w:top w:val="none" w:sz="0" w:space="0" w:color="auto"/>
            <w:left w:val="none" w:sz="0" w:space="0" w:color="auto"/>
            <w:bottom w:val="none" w:sz="0" w:space="0" w:color="auto"/>
            <w:right w:val="none" w:sz="0" w:space="0" w:color="auto"/>
          </w:divBdr>
        </w:div>
        <w:div w:id="429354096">
          <w:marLeft w:val="0"/>
          <w:marRight w:val="0"/>
          <w:marTop w:val="0"/>
          <w:marBottom w:val="0"/>
          <w:divBdr>
            <w:top w:val="none" w:sz="0" w:space="0" w:color="auto"/>
            <w:left w:val="none" w:sz="0" w:space="0" w:color="auto"/>
            <w:bottom w:val="none" w:sz="0" w:space="0" w:color="auto"/>
            <w:right w:val="none" w:sz="0" w:space="0" w:color="auto"/>
          </w:divBdr>
        </w:div>
        <w:div w:id="445580882">
          <w:marLeft w:val="0"/>
          <w:marRight w:val="0"/>
          <w:marTop w:val="0"/>
          <w:marBottom w:val="0"/>
          <w:divBdr>
            <w:top w:val="none" w:sz="0" w:space="0" w:color="auto"/>
            <w:left w:val="none" w:sz="0" w:space="0" w:color="auto"/>
            <w:bottom w:val="none" w:sz="0" w:space="0" w:color="auto"/>
            <w:right w:val="none" w:sz="0" w:space="0" w:color="auto"/>
          </w:divBdr>
        </w:div>
        <w:div w:id="448084832">
          <w:marLeft w:val="0"/>
          <w:marRight w:val="0"/>
          <w:marTop w:val="0"/>
          <w:marBottom w:val="0"/>
          <w:divBdr>
            <w:top w:val="none" w:sz="0" w:space="0" w:color="auto"/>
            <w:left w:val="none" w:sz="0" w:space="0" w:color="auto"/>
            <w:bottom w:val="none" w:sz="0" w:space="0" w:color="auto"/>
            <w:right w:val="none" w:sz="0" w:space="0" w:color="auto"/>
          </w:divBdr>
        </w:div>
        <w:div w:id="452792361">
          <w:marLeft w:val="0"/>
          <w:marRight w:val="0"/>
          <w:marTop w:val="0"/>
          <w:marBottom w:val="0"/>
          <w:divBdr>
            <w:top w:val="none" w:sz="0" w:space="0" w:color="auto"/>
            <w:left w:val="none" w:sz="0" w:space="0" w:color="auto"/>
            <w:bottom w:val="none" w:sz="0" w:space="0" w:color="auto"/>
            <w:right w:val="none" w:sz="0" w:space="0" w:color="auto"/>
          </w:divBdr>
        </w:div>
        <w:div w:id="463274501">
          <w:marLeft w:val="0"/>
          <w:marRight w:val="0"/>
          <w:marTop w:val="0"/>
          <w:marBottom w:val="0"/>
          <w:divBdr>
            <w:top w:val="none" w:sz="0" w:space="0" w:color="auto"/>
            <w:left w:val="none" w:sz="0" w:space="0" w:color="auto"/>
            <w:bottom w:val="none" w:sz="0" w:space="0" w:color="auto"/>
            <w:right w:val="none" w:sz="0" w:space="0" w:color="auto"/>
          </w:divBdr>
          <w:divsChild>
            <w:div w:id="426006790">
              <w:marLeft w:val="0"/>
              <w:marRight w:val="0"/>
              <w:marTop w:val="0"/>
              <w:marBottom w:val="0"/>
              <w:divBdr>
                <w:top w:val="none" w:sz="0" w:space="0" w:color="auto"/>
                <w:left w:val="none" w:sz="0" w:space="0" w:color="auto"/>
                <w:bottom w:val="none" w:sz="0" w:space="0" w:color="auto"/>
                <w:right w:val="none" w:sz="0" w:space="0" w:color="auto"/>
              </w:divBdr>
            </w:div>
            <w:div w:id="474572336">
              <w:marLeft w:val="0"/>
              <w:marRight w:val="0"/>
              <w:marTop w:val="0"/>
              <w:marBottom w:val="0"/>
              <w:divBdr>
                <w:top w:val="none" w:sz="0" w:space="0" w:color="auto"/>
                <w:left w:val="none" w:sz="0" w:space="0" w:color="auto"/>
                <w:bottom w:val="none" w:sz="0" w:space="0" w:color="auto"/>
                <w:right w:val="none" w:sz="0" w:space="0" w:color="auto"/>
              </w:divBdr>
            </w:div>
            <w:div w:id="624581445">
              <w:marLeft w:val="0"/>
              <w:marRight w:val="0"/>
              <w:marTop w:val="0"/>
              <w:marBottom w:val="0"/>
              <w:divBdr>
                <w:top w:val="none" w:sz="0" w:space="0" w:color="auto"/>
                <w:left w:val="none" w:sz="0" w:space="0" w:color="auto"/>
                <w:bottom w:val="none" w:sz="0" w:space="0" w:color="auto"/>
                <w:right w:val="none" w:sz="0" w:space="0" w:color="auto"/>
              </w:divBdr>
            </w:div>
            <w:div w:id="665862226">
              <w:marLeft w:val="0"/>
              <w:marRight w:val="0"/>
              <w:marTop w:val="0"/>
              <w:marBottom w:val="0"/>
              <w:divBdr>
                <w:top w:val="none" w:sz="0" w:space="0" w:color="auto"/>
                <w:left w:val="none" w:sz="0" w:space="0" w:color="auto"/>
                <w:bottom w:val="none" w:sz="0" w:space="0" w:color="auto"/>
                <w:right w:val="none" w:sz="0" w:space="0" w:color="auto"/>
              </w:divBdr>
            </w:div>
            <w:div w:id="711733487">
              <w:marLeft w:val="0"/>
              <w:marRight w:val="0"/>
              <w:marTop w:val="0"/>
              <w:marBottom w:val="0"/>
              <w:divBdr>
                <w:top w:val="none" w:sz="0" w:space="0" w:color="auto"/>
                <w:left w:val="none" w:sz="0" w:space="0" w:color="auto"/>
                <w:bottom w:val="none" w:sz="0" w:space="0" w:color="auto"/>
                <w:right w:val="none" w:sz="0" w:space="0" w:color="auto"/>
              </w:divBdr>
            </w:div>
            <w:div w:id="802501868">
              <w:marLeft w:val="0"/>
              <w:marRight w:val="0"/>
              <w:marTop w:val="0"/>
              <w:marBottom w:val="0"/>
              <w:divBdr>
                <w:top w:val="none" w:sz="0" w:space="0" w:color="auto"/>
                <w:left w:val="none" w:sz="0" w:space="0" w:color="auto"/>
                <w:bottom w:val="none" w:sz="0" w:space="0" w:color="auto"/>
                <w:right w:val="none" w:sz="0" w:space="0" w:color="auto"/>
              </w:divBdr>
            </w:div>
            <w:div w:id="869605620">
              <w:marLeft w:val="0"/>
              <w:marRight w:val="0"/>
              <w:marTop w:val="0"/>
              <w:marBottom w:val="0"/>
              <w:divBdr>
                <w:top w:val="none" w:sz="0" w:space="0" w:color="auto"/>
                <w:left w:val="none" w:sz="0" w:space="0" w:color="auto"/>
                <w:bottom w:val="none" w:sz="0" w:space="0" w:color="auto"/>
                <w:right w:val="none" w:sz="0" w:space="0" w:color="auto"/>
              </w:divBdr>
            </w:div>
            <w:div w:id="1014258774">
              <w:marLeft w:val="0"/>
              <w:marRight w:val="0"/>
              <w:marTop w:val="0"/>
              <w:marBottom w:val="0"/>
              <w:divBdr>
                <w:top w:val="none" w:sz="0" w:space="0" w:color="auto"/>
                <w:left w:val="none" w:sz="0" w:space="0" w:color="auto"/>
                <w:bottom w:val="none" w:sz="0" w:space="0" w:color="auto"/>
                <w:right w:val="none" w:sz="0" w:space="0" w:color="auto"/>
              </w:divBdr>
            </w:div>
            <w:div w:id="1027877769">
              <w:marLeft w:val="0"/>
              <w:marRight w:val="0"/>
              <w:marTop w:val="0"/>
              <w:marBottom w:val="0"/>
              <w:divBdr>
                <w:top w:val="none" w:sz="0" w:space="0" w:color="auto"/>
                <w:left w:val="none" w:sz="0" w:space="0" w:color="auto"/>
                <w:bottom w:val="none" w:sz="0" w:space="0" w:color="auto"/>
                <w:right w:val="none" w:sz="0" w:space="0" w:color="auto"/>
              </w:divBdr>
            </w:div>
            <w:div w:id="1039286413">
              <w:marLeft w:val="0"/>
              <w:marRight w:val="0"/>
              <w:marTop w:val="0"/>
              <w:marBottom w:val="0"/>
              <w:divBdr>
                <w:top w:val="none" w:sz="0" w:space="0" w:color="auto"/>
                <w:left w:val="none" w:sz="0" w:space="0" w:color="auto"/>
                <w:bottom w:val="none" w:sz="0" w:space="0" w:color="auto"/>
                <w:right w:val="none" w:sz="0" w:space="0" w:color="auto"/>
              </w:divBdr>
            </w:div>
            <w:div w:id="1328558165">
              <w:marLeft w:val="0"/>
              <w:marRight w:val="0"/>
              <w:marTop w:val="0"/>
              <w:marBottom w:val="0"/>
              <w:divBdr>
                <w:top w:val="none" w:sz="0" w:space="0" w:color="auto"/>
                <w:left w:val="none" w:sz="0" w:space="0" w:color="auto"/>
                <w:bottom w:val="none" w:sz="0" w:space="0" w:color="auto"/>
                <w:right w:val="none" w:sz="0" w:space="0" w:color="auto"/>
              </w:divBdr>
            </w:div>
            <w:div w:id="1347244437">
              <w:marLeft w:val="0"/>
              <w:marRight w:val="0"/>
              <w:marTop w:val="0"/>
              <w:marBottom w:val="0"/>
              <w:divBdr>
                <w:top w:val="none" w:sz="0" w:space="0" w:color="auto"/>
                <w:left w:val="none" w:sz="0" w:space="0" w:color="auto"/>
                <w:bottom w:val="none" w:sz="0" w:space="0" w:color="auto"/>
                <w:right w:val="none" w:sz="0" w:space="0" w:color="auto"/>
              </w:divBdr>
            </w:div>
            <w:div w:id="1425225929">
              <w:marLeft w:val="0"/>
              <w:marRight w:val="0"/>
              <w:marTop w:val="0"/>
              <w:marBottom w:val="0"/>
              <w:divBdr>
                <w:top w:val="none" w:sz="0" w:space="0" w:color="auto"/>
                <w:left w:val="none" w:sz="0" w:space="0" w:color="auto"/>
                <w:bottom w:val="none" w:sz="0" w:space="0" w:color="auto"/>
                <w:right w:val="none" w:sz="0" w:space="0" w:color="auto"/>
              </w:divBdr>
            </w:div>
            <w:div w:id="1455752241">
              <w:marLeft w:val="0"/>
              <w:marRight w:val="0"/>
              <w:marTop w:val="0"/>
              <w:marBottom w:val="0"/>
              <w:divBdr>
                <w:top w:val="none" w:sz="0" w:space="0" w:color="auto"/>
                <w:left w:val="none" w:sz="0" w:space="0" w:color="auto"/>
                <w:bottom w:val="none" w:sz="0" w:space="0" w:color="auto"/>
                <w:right w:val="none" w:sz="0" w:space="0" w:color="auto"/>
              </w:divBdr>
            </w:div>
            <w:div w:id="1619991976">
              <w:marLeft w:val="0"/>
              <w:marRight w:val="0"/>
              <w:marTop w:val="0"/>
              <w:marBottom w:val="0"/>
              <w:divBdr>
                <w:top w:val="none" w:sz="0" w:space="0" w:color="auto"/>
                <w:left w:val="none" w:sz="0" w:space="0" w:color="auto"/>
                <w:bottom w:val="none" w:sz="0" w:space="0" w:color="auto"/>
                <w:right w:val="none" w:sz="0" w:space="0" w:color="auto"/>
              </w:divBdr>
            </w:div>
            <w:div w:id="1757551282">
              <w:marLeft w:val="0"/>
              <w:marRight w:val="0"/>
              <w:marTop w:val="0"/>
              <w:marBottom w:val="0"/>
              <w:divBdr>
                <w:top w:val="none" w:sz="0" w:space="0" w:color="auto"/>
                <w:left w:val="none" w:sz="0" w:space="0" w:color="auto"/>
                <w:bottom w:val="none" w:sz="0" w:space="0" w:color="auto"/>
                <w:right w:val="none" w:sz="0" w:space="0" w:color="auto"/>
              </w:divBdr>
            </w:div>
            <w:div w:id="1773470808">
              <w:marLeft w:val="0"/>
              <w:marRight w:val="0"/>
              <w:marTop w:val="0"/>
              <w:marBottom w:val="0"/>
              <w:divBdr>
                <w:top w:val="none" w:sz="0" w:space="0" w:color="auto"/>
                <w:left w:val="none" w:sz="0" w:space="0" w:color="auto"/>
                <w:bottom w:val="none" w:sz="0" w:space="0" w:color="auto"/>
                <w:right w:val="none" w:sz="0" w:space="0" w:color="auto"/>
              </w:divBdr>
            </w:div>
            <w:div w:id="1801603695">
              <w:marLeft w:val="0"/>
              <w:marRight w:val="0"/>
              <w:marTop w:val="0"/>
              <w:marBottom w:val="0"/>
              <w:divBdr>
                <w:top w:val="none" w:sz="0" w:space="0" w:color="auto"/>
                <w:left w:val="none" w:sz="0" w:space="0" w:color="auto"/>
                <w:bottom w:val="none" w:sz="0" w:space="0" w:color="auto"/>
                <w:right w:val="none" w:sz="0" w:space="0" w:color="auto"/>
              </w:divBdr>
            </w:div>
            <w:div w:id="1933079986">
              <w:marLeft w:val="0"/>
              <w:marRight w:val="0"/>
              <w:marTop w:val="0"/>
              <w:marBottom w:val="0"/>
              <w:divBdr>
                <w:top w:val="none" w:sz="0" w:space="0" w:color="auto"/>
                <w:left w:val="none" w:sz="0" w:space="0" w:color="auto"/>
                <w:bottom w:val="none" w:sz="0" w:space="0" w:color="auto"/>
                <w:right w:val="none" w:sz="0" w:space="0" w:color="auto"/>
              </w:divBdr>
            </w:div>
            <w:div w:id="1962684014">
              <w:marLeft w:val="0"/>
              <w:marRight w:val="0"/>
              <w:marTop w:val="0"/>
              <w:marBottom w:val="0"/>
              <w:divBdr>
                <w:top w:val="none" w:sz="0" w:space="0" w:color="auto"/>
                <w:left w:val="none" w:sz="0" w:space="0" w:color="auto"/>
                <w:bottom w:val="none" w:sz="0" w:space="0" w:color="auto"/>
                <w:right w:val="none" w:sz="0" w:space="0" w:color="auto"/>
              </w:divBdr>
            </w:div>
          </w:divsChild>
        </w:div>
        <w:div w:id="490145537">
          <w:marLeft w:val="0"/>
          <w:marRight w:val="0"/>
          <w:marTop w:val="0"/>
          <w:marBottom w:val="0"/>
          <w:divBdr>
            <w:top w:val="none" w:sz="0" w:space="0" w:color="auto"/>
            <w:left w:val="none" w:sz="0" w:space="0" w:color="auto"/>
            <w:bottom w:val="none" w:sz="0" w:space="0" w:color="auto"/>
            <w:right w:val="none" w:sz="0" w:space="0" w:color="auto"/>
          </w:divBdr>
        </w:div>
        <w:div w:id="504170572">
          <w:marLeft w:val="0"/>
          <w:marRight w:val="0"/>
          <w:marTop w:val="0"/>
          <w:marBottom w:val="0"/>
          <w:divBdr>
            <w:top w:val="none" w:sz="0" w:space="0" w:color="auto"/>
            <w:left w:val="none" w:sz="0" w:space="0" w:color="auto"/>
            <w:bottom w:val="none" w:sz="0" w:space="0" w:color="auto"/>
            <w:right w:val="none" w:sz="0" w:space="0" w:color="auto"/>
          </w:divBdr>
        </w:div>
        <w:div w:id="505942105">
          <w:marLeft w:val="0"/>
          <w:marRight w:val="0"/>
          <w:marTop w:val="0"/>
          <w:marBottom w:val="0"/>
          <w:divBdr>
            <w:top w:val="none" w:sz="0" w:space="0" w:color="auto"/>
            <w:left w:val="none" w:sz="0" w:space="0" w:color="auto"/>
            <w:bottom w:val="none" w:sz="0" w:space="0" w:color="auto"/>
            <w:right w:val="none" w:sz="0" w:space="0" w:color="auto"/>
          </w:divBdr>
        </w:div>
        <w:div w:id="516191445">
          <w:marLeft w:val="0"/>
          <w:marRight w:val="0"/>
          <w:marTop w:val="0"/>
          <w:marBottom w:val="0"/>
          <w:divBdr>
            <w:top w:val="none" w:sz="0" w:space="0" w:color="auto"/>
            <w:left w:val="none" w:sz="0" w:space="0" w:color="auto"/>
            <w:bottom w:val="none" w:sz="0" w:space="0" w:color="auto"/>
            <w:right w:val="none" w:sz="0" w:space="0" w:color="auto"/>
          </w:divBdr>
        </w:div>
        <w:div w:id="535390658">
          <w:marLeft w:val="0"/>
          <w:marRight w:val="0"/>
          <w:marTop w:val="0"/>
          <w:marBottom w:val="0"/>
          <w:divBdr>
            <w:top w:val="none" w:sz="0" w:space="0" w:color="auto"/>
            <w:left w:val="none" w:sz="0" w:space="0" w:color="auto"/>
            <w:bottom w:val="none" w:sz="0" w:space="0" w:color="auto"/>
            <w:right w:val="none" w:sz="0" w:space="0" w:color="auto"/>
          </w:divBdr>
        </w:div>
        <w:div w:id="539785446">
          <w:marLeft w:val="0"/>
          <w:marRight w:val="0"/>
          <w:marTop w:val="0"/>
          <w:marBottom w:val="0"/>
          <w:divBdr>
            <w:top w:val="none" w:sz="0" w:space="0" w:color="auto"/>
            <w:left w:val="none" w:sz="0" w:space="0" w:color="auto"/>
            <w:bottom w:val="none" w:sz="0" w:space="0" w:color="auto"/>
            <w:right w:val="none" w:sz="0" w:space="0" w:color="auto"/>
          </w:divBdr>
          <w:divsChild>
            <w:div w:id="118762448">
              <w:marLeft w:val="0"/>
              <w:marRight w:val="0"/>
              <w:marTop w:val="0"/>
              <w:marBottom w:val="0"/>
              <w:divBdr>
                <w:top w:val="none" w:sz="0" w:space="0" w:color="auto"/>
                <w:left w:val="none" w:sz="0" w:space="0" w:color="auto"/>
                <w:bottom w:val="none" w:sz="0" w:space="0" w:color="auto"/>
                <w:right w:val="none" w:sz="0" w:space="0" w:color="auto"/>
              </w:divBdr>
            </w:div>
            <w:div w:id="181821560">
              <w:marLeft w:val="0"/>
              <w:marRight w:val="0"/>
              <w:marTop w:val="0"/>
              <w:marBottom w:val="0"/>
              <w:divBdr>
                <w:top w:val="none" w:sz="0" w:space="0" w:color="auto"/>
                <w:left w:val="none" w:sz="0" w:space="0" w:color="auto"/>
                <w:bottom w:val="none" w:sz="0" w:space="0" w:color="auto"/>
                <w:right w:val="none" w:sz="0" w:space="0" w:color="auto"/>
              </w:divBdr>
            </w:div>
            <w:div w:id="296107398">
              <w:marLeft w:val="0"/>
              <w:marRight w:val="0"/>
              <w:marTop w:val="0"/>
              <w:marBottom w:val="0"/>
              <w:divBdr>
                <w:top w:val="none" w:sz="0" w:space="0" w:color="auto"/>
                <w:left w:val="none" w:sz="0" w:space="0" w:color="auto"/>
                <w:bottom w:val="none" w:sz="0" w:space="0" w:color="auto"/>
                <w:right w:val="none" w:sz="0" w:space="0" w:color="auto"/>
              </w:divBdr>
            </w:div>
            <w:div w:id="313527835">
              <w:marLeft w:val="0"/>
              <w:marRight w:val="0"/>
              <w:marTop w:val="0"/>
              <w:marBottom w:val="0"/>
              <w:divBdr>
                <w:top w:val="none" w:sz="0" w:space="0" w:color="auto"/>
                <w:left w:val="none" w:sz="0" w:space="0" w:color="auto"/>
                <w:bottom w:val="none" w:sz="0" w:space="0" w:color="auto"/>
                <w:right w:val="none" w:sz="0" w:space="0" w:color="auto"/>
              </w:divBdr>
            </w:div>
            <w:div w:id="736785675">
              <w:marLeft w:val="0"/>
              <w:marRight w:val="0"/>
              <w:marTop w:val="0"/>
              <w:marBottom w:val="0"/>
              <w:divBdr>
                <w:top w:val="none" w:sz="0" w:space="0" w:color="auto"/>
                <w:left w:val="none" w:sz="0" w:space="0" w:color="auto"/>
                <w:bottom w:val="none" w:sz="0" w:space="0" w:color="auto"/>
                <w:right w:val="none" w:sz="0" w:space="0" w:color="auto"/>
              </w:divBdr>
            </w:div>
            <w:div w:id="742026655">
              <w:marLeft w:val="0"/>
              <w:marRight w:val="0"/>
              <w:marTop w:val="0"/>
              <w:marBottom w:val="0"/>
              <w:divBdr>
                <w:top w:val="none" w:sz="0" w:space="0" w:color="auto"/>
                <w:left w:val="none" w:sz="0" w:space="0" w:color="auto"/>
                <w:bottom w:val="none" w:sz="0" w:space="0" w:color="auto"/>
                <w:right w:val="none" w:sz="0" w:space="0" w:color="auto"/>
              </w:divBdr>
            </w:div>
            <w:div w:id="774788922">
              <w:marLeft w:val="0"/>
              <w:marRight w:val="0"/>
              <w:marTop w:val="0"/>
              <w:marBottom w:val="0"/>
              <w:divBdr>
                <w:top w:val="none" w:sz="0" w:space="0" w:color="auto"/>
                <w:left w:val="none" w:sz="0" w:space="0" w:color="auto"/>
                <w:bottom w:val="none" w:sz="0" w:space="0" w:color="auto"/>
                <w:right w:val="none" w:sz="0" w:space="0" w:color="auto"/>
              </w:divBdr>
            </w:div>
            <w:div w:id="1018387035">
              <w:marLeft w:val="0"/>
              <w:marRight w:val="0"/>
              <w:marTop w:val="0"/>
              <w:marBottom w:val="0"/>
              <w:divBdr>
                <w:top w:val="none" w:sz="0" w:space="0" w:color="auto"/>
                <w:left w:val="none" w:sz="0" w:space="0" w:color="auto"/>
                <w:bottom w:val="none" w:sz="0" w:space="0" w:color="auto"/>
                <w:right w:val="none" w:sz="0" w:space="0" w:color="auto"/>
              </w:divBdr>
            </w:div>
            <w:div w:id="1153789650">
              <w:marLeft w:val="0"/>
              <w:marRight w:val="0"/>
              <w:marTop w:val="0"/>
              <w:marBottom w:val="0"/>
              <w:divBdr>
                <w:top w:val="none" w:sz="0" w:space="0" w:color="auto"/>
                <w:left w:val="none" w:sz="0" w:space="0" w:color="auto"/>
                <w:bottom w:val="none" w:sz="0" w:space="0" w:color="auto"/>
                <w:right w:val="none" w:sz="0" w:space="0" w:color="auto"/>
              </w:divBdr>
            </w:div>
            <w:div w:id="1304699603">
              <w:marLeft w:val="0"/>
              <w:marRight w:val="0"/>
              <w:marTop w:val="0"/>
              <w:marBottom w:val="0"/>
              <w:divBdr>
                <w:top w:val="none" w:sz="0" w:space="0" w:color="auto"/>
                <w:left w:val="none" w:sz="0" w:space="0" w:color="auto"/>
                <w:bottom w:val="none" w:sz="0" w:space="0" w:color="auto"/>
                <w:right w:val="none" w:sz="0" w:space="0" w:color="auto"/>
              </w:divBdr>
            </w:div>
            <w:div w:id="1403330487">
              <w:marLeft w:val="0"/>
              <w:marRight w:val="0"/>
              <w:marTop w:val="0"/>
              <w:marBottom w:val="0"/>
              <w:divBdr>
                <w:top w:val="none" w:sz="0" w:space="0" w:color="auto"/>
                <w:left w:val="none" w:sz="0" w:space="0" w:color="auto"/>
                <w:bottom w:val="none" w:sz="0" w:space="0" w:color="auto"/>
                <w:right w:val="none" w:sz="0" w:space="0" w:color="auto"/>
              </w:divBdr>
            </w:div>
            <w:div w:id="1414358901">
              <w:marLeft w:val="0"/>
              <w:marRight w:val="0"/>
              <w:marTop w:val="0"/>
              <w:marBottom w:val="0"/>
              <w:divBdr>
                <w:top w:val="none" w:sz="0" w:space="0" w:color="auto"/>
                <w:left w:val="none" w:sz="0" w:space="0" w:color="auto"/>
                <w:bottom w:val="none" w:sz="0" w:space="0" w:color="auto"/>
                <w:right w:val="none" w:sz="0" w:space="0" w:color="auto"/>
              </w:divBdr>
            </w:div>
            <w:div w:id="1454790230">
              <w:marLeft w:val="0"/>
              <w:marRight w:val="0"/>
              <w:marTop w:val="0"/>
              <w:marBottom w:val="0"/>
              <w:divBdr>
                <w:top w:val="none" w:sz="0" w:space="0" w:color="auto"/>
                <w:left w:val="none" w:sz="0" w:space="0" w:color="auto"/>
                <w:bottom w:val="none" w:sz="0" w:space="0" w:color="auto"/>
                <w:right w:val="none" w:sz="0" w:space="0" w:color="auto"/>
              </w:divBdr>
            </w:div>
            <w:div w:id="1489056149">
              <w:marLeft w:val="0"/>
              <w:marRight w:val="0"/>
              <w:marTop w:val="0"/>
              <w:marBottom w:val="0"/>
              <w:divBdr>
                <w:top w:val="none" w:sz="0" w:space="0" w:color="auto"/>
                <w:left w:val="none" w:sz="0" w:space="0" w:color="auto"/>
                <w:bottom w:val="none" w:sz="0" w:space="0" w:color="auto"/>
                <w:right w:val="none" w:sz="0" w:space="0" w:color="auto"/>
              </w:divBdr>
            </w:div>
            <w:div w:id="1501461510">
              <w:marLeft w:val="0"/>
              <w:marRight w:val="0"/>
              <w:marTop w:val="0"/>
              <w:marBottom w:val="0"/>
              <w:divBdr>
                <w:top w:val="none" w:sz="0" w:space="0" w:color="auto"/>
                <w:left w:val="none" w:sz="0" w:space="0" w:color="auto"/>
                <w:bottom w:val="none" w:sz="0" w:space="0" w:color="auto"/>
                <w:right w:val="none" w:sz="0" w:space="0" w:color="auto"/>
              </w:divBdr>
            </w:div>
            <w:div w:id="1561820766">
              <w:marLeft w:val="0"/>
              <w:marRight w:val="0"/>
              <w:marTop w:val="0"/>
              <w:marBottom w:val="0"/>
              <w:divBdr>
                <w:top w:val="none" w:sz="0" w:space="0" w:color="auto"/>
                <w:left w:val="none" w:sz="0" w:space="0" w:color="auto"/>
                <w:bottom w:val="none" w:sz="0" w:space="0" w:color="auto"/>
                <w:right w:val="none" w:sz="0" w:space="0" w:color="auto"/>
              </w:divBdr>
            </w:div>
            <w:div w:id="1610312074">
              <w:marLeft w:val="0"/>
              <w:marRight w:val="0"/>
              <w:marTop w:val="0"/>
              <w:marBottom w:val="0"/>
              <w:divBdr>
                <w:top w:val="none" w:sz="0" w:space="0" w:color="auto"/>
                <w:left w:val="none" w:sz="0" w:space="0" w:color="auto"/>
                <w:bottom w:val="none" w:sz="0" w:space="0" w:color="auto"/>
                <w:right w:val="none" w:sz="0" w:space="0" w:color="auto"/>
              </w:divBdr>
            </w:div>
            <w:div w:id="1785729474">
              <w:marLeft w:val="0"/>
              <w:marRight w:val="0"/>
              <w:marTop w:val="0"/>
              <w:marBottom w:val="0"/>
              <w:divBdr>
                <w:top w:val="none" w:sz="0" w:space="0" w:color="auto"/>
                <w:left w:val="none" w:sz="0" w:space="0" w:color="auto"/>
                <w:bottom w:val="none" w:sz="0" w:space="0" w:color="auto"/>
                <w:right w:val="none" w:sz="0" w:space="0" w:color="auto"/>
              </w:divBdr>
            </w:div>
            <w:div w:id="1788621716">
              <w:marLeft w:val="0"/>
              <w:marRight w:val="0"/>
              <w:marTop w:val="0"/>
              <w:marBottom w:val="0"/>
              <w:divBdr>
                <w:top w:val="none" w:sz="0" w:space="0" w:color="auto"/>
                <w:left w:val="none" w:sz="0" w:space="0" w:color="auto"/>
                <w:bottom w:val="none" w:sz="0" w:space="0" w:color="auto"/>
                <w:right w:val="none" w:sz="0" w:space="0" w:color="auto"/>
              </w:divBdr>
            </w:div>
            <w:div w:id="1899391804">
              <w:marLeft w:val="0"/>
              <w:marRight w:val="0"/>
              <w:marTop w:val="0"/>
              <w:marBottom w:val="0"/>
              <w:divBdr>
                <w:top w:val="none" w:sz="0" w:space="0" w:color="auto"/>
                <w:left w:val="none" w:sz="0" w:space="0" w:color="auto"/>
                <w:bottom w:val="none" w:sz="0" w:space="0" w:color="auto"/>
                <w:right w:val="none" w:sz="0" w:space="0" w:color="auto"/>
              </w:divBdr>
            </w:div>
          </w:divsChild>
        </w:div>
        <w:div w:id="577905587">
          <w:marLeft w:val="0"/>
          <w:marRight w:val="0"/>
          <w:marTop w:val="0"/>
          <w:marBottom w:val="0"/>
          <w:divBdr>
            <w:top w:val="none" w:sz="0" w:space="0" w:color="auto"/>
            <w:left w:val="none" w:sz="0" w:space="0" w:color="auto"/>
            <w:bottom w:val="none" w:sz="0" w:space="0" w:color="auto"/>
            <w:right w:val="none" w:sz="0" w:space="0" w:color="auto"/>
          </w:divBdr>
        </w:div>
        <w:div w:id="587007519">
          <w:marLeft w:val="0"/>
          <w:marRight w:val="0"/>
          <w:marTop w:val="0"/>
          <w:marBottom w:val="0"/>
          <w:divBdr>
            <w:top w:val="none" w:sz="0" w:space="0" w:color="auto"/>
            <w:left w:val="none" w:sz="0" w:space="0" w:color="auto"/>
            <w:bottom w:val="none" w:sz="0" w:space="0" w:color="auto"/>
            <w:right w:val="none" w:sz="0" w:space="0" w:color="auto"/>
          </w:divBdr>
        </w:div>
        <w:div w:id="591859166">
          <w:marLeft w:val="0"/>
          <w:marRight w:val="0"/>
          <w:marTop w:val="0"/>
          <w:marBottom w:val="0"/>
          <w:divBdr>
            <w:top w:val="none" w:sz="0" w:space="0" w:color="auto"/>
            <w:left w:val="none" w:sz="0" w:space="0" w:color="auto"/>
            <w:bottom w:val="none" w:sz="0" w:space="0" w:color="auto"/>
            <w:right w:val="none" w:sz="0" w:space="0" w:color="auto"/>
          </w:divBdr>
        </w:div>
        <w:div w:id="592249676">
          <w:marLeft w:val="0"/>
          <w:marRight w:val="0"/>
          <w:marTop w:val="0"/>
          <w:marBottom w:val="0"/>
          <w:divBdr>
            <w:top w:val="none" w:sz="0" w:space="0" w:color="auto"/>
            <w:left w:val="none" w:sz="0" w:space="0" w:color="auto"/>
            <w:bottom w:val="none" w:sz="0" w:space="0" w:color="auto"/>
            <w:right w:val="none" w:sz="0" w:space="0" w:color="auto"/>
          </w:divBdr>
        </w:div>
        <w:div w:id="612056919">
          <w:marLeft w:val="0"/>
          <w:marRight w:val="0"/>
          <w:marTop w:val="0"/>
          <w:marBottom w:val="0"/>
          <w:divBdr>
            <w:top w:val="none" w:sz="0" w:space="0" w:color="auto"/>
            <w:left w:val="none" w:sz="0" w:space="0" w:color="auto"/>
            <w:bottom w:val="none" w:sz="0" w:space="0" w:color="auto"/>
            <w:right w:val="none" w:sz="0" w:space="0" w:color="auto"/>
          </w:divBdr>
        </w:div>
        <w:div w:id="613437486">
          <w:marLeft w:val="0"/>
          <w:marRight w:val="0"/>
          <w:marTop w:val="0"/>
          <w:marBottom w:val="0"/>
          <w:divBdr>
            <w:top w:val="none" w:sz="0" w:space="0" w:color="auto"/>
            <w:left w:val="none" w:sz="0" w:space="0" w:color="auto"/>
            <w:bottom w:val="none" w:sz="0" w:space="0" w:color="auto"/>
            <w:right w:val="none" w:sz="0" w:space="0" w:color="auto"/>
          </w:divBdr>
        </w:div>
        <w:div w:id="622274602">
          <w:marLeft w:val="0"/>
          <w:marRight w:val="0"/>
          <w:marTop w:val="0"/>
          <w:marBottom w:val="0"/>
          <w:divBdr>
            <w:top w:val="none" w:sz="0" w:space="0" w:color="auto"/>
            <w:left w:val="none" w:sz="0" w:space="0" w:color="auto"/>
            <w:bottom w:val="none" w:sz="0" w:space="0" w:color="auto"/>
            <w:right w:val="none" w:sz="0" w:space="0" w:color="auto"/>
          </w:divBdr>
        </w:div>
        <w:div w:id="623079625">
          <w:marLeft w:val="0"/>
          <w:marRight w:val="0"/>
          <w:marTop w:val="0"/>
          <w:marBottom w:val="0"/>
          <w:divBdr>
            <w:top w:val="none" w:sz="0" w:space="0" w:color="auto"/>
            <w:left w:val="none" w:sz="0" w:space="0" w:color="auto"/>
            <w:bottom w:val="none" w:sz="0" w:space="0" w:color="auto"/>
            <w:right w:val="none" w:sz="0" w:space="0" w:color="auto"/>
          </w:divBdr>
          <w:divsChild>
            <w:div w:id="64381400">
              <w:marLeft w:val="0"/>
              <w:marRight w:val="0"/>
              <w:marTop w:val="0"/>
              <w:marBottom w:val="0"/>
              <w:divBdr>
                <w:top w:val="none" w:sz="0" w:space="0" w:color="auto"/>
                <w:left w:val="none" w:sz="0" w:space="0" w:color="auto"/>
                <w:bottom w:val="none" w:sz="0" w:space="0" w:color="auto"/>
                <w:right w:val="none" w:sz="0" w:space="0" w:color="auto"/>
              </w:divBdr>
            </w:div>
            <w:div w:id="142547195">
              <w:marLeft w:val="0"/>
              <w:marRight w:val="0"/>
              <w:marTop w:val="0"/>
              <w:marBottom w:val="0"/>
              <w:divBdr>
                <w:top w:val="none" w:sz="0" w:space="0" w:color="auto"/>
                <w:left w:val="none" w:sz="0" w:space="0" w:color="auto"/>
                <w:bottom w:val="none" w:sz="0" w:space="0" w:color="auto"/>
                <w:right w:val="none" w:sz="0" w:space="0" w:color="auto"/>
              </w:divBdr>
            </w:div>
            <w:div w:id="272903084">
              <w:marLeft w:val="0"/>
              <w:marRight w:val="0"/>
              <w:marTop w:val="0"/>
              <w:marBottom w:val="0"/>
              <w:divBdr>
                <w:top w:val="none" w:sz="0" w:space="0" w:color="auto"/>
                <w:left w:val="none" w:sz="0" w:space="0" w:color="auto"/>
                <w:bottom w:val="none" w:sz="0" w:space="0" w:color="auto"/>
                <w:right w:val="none" w:sz="0" w:space="0" w:color="auto"/>
              </w:divBdr>
            </w:div>
            <w:div w:id="302080106">
              <w:marLeft w:val="0"/>
              <w:marRight w:val="0"/>
              <w:marTop w:val="0"/>
              <w:marBottom w:val="0"/>
              <w:divBdr>
                <w:top w:val="none" w:sz="0" w:space="0" w:color="auto"/>
                <w:left w:val="none" w:sz="0" w:space="0" w:color="auto"/>
                <w:bottom w:val="none" w:sz="0" w:space="0" w:color="auto"/>
                <w:right w:val="none" w:sz="0" w:space="0" w:color="auto"/>
              </w:divBdr>
            </w:div>
            <w:div w:id="332030126">
              <w:marLeft w:val="0"/>
              <w:marRight w:val="0"/>
              <w:marTop w:val="0"/>
              <w:marBottom w:val="0"/>
              <w:divBdr>
                <w:top w:val="none" w:sz="0" w:space="0" w:color="auto"/>
                <w:left w:val="none" w:sz="0" w:space="0" w:color="auto"/>
                <w:bottom w:val="none" w:sz="0" w:space="0" w:color="auto"/>
                <w:right w:val="none" w:sz="0" w:space="0" w:color="auto"/>
              </w:divBdr>
            </w:div>
            <w:div w:id="356008718">
              <w:marLeft w:val="0"/>
              <w:marRight w:val="0"/>
              <w:marTop w:val="0"/>
              <w:marBottom w:val="0"/>
              <w:divBdr>
                <w:top w:val="none" w:sz="0" w:space="0" w:color="auto"/>
                <w:left w:val="none" w:sz="0" w:space="0" w:color="auto"/>
                <w:bottom w:val="none" w:sz="0" w:space="0" w:color="auto"/>
                <w:right w:val="none" w:sz="0" w:space="0" w:color="auto"/>
              </w:divBdr>
            </w:div>
            <w:div w:id="416486216">
              <w:marLeft w:val="0"/>
              <w:marRight w:val="0"/>
              <w:marTop w:val="0"/>
              <w:marBottom w:val="0"/>
              <w:divBdr>
                <w:top w:val="none" w:sz="0" w:space="0" w:color="auto"/>
                <w:left w:val="none" w:sz="0" w:space="0" w:color="auto"/>
                <w:bottom w:val="none" w:sz="0" w:space="0" w:color="auto"/>
                <w:right w:val="none" w:sz="0" w:space="0" w:color="auto"/>
              </w:divBdr>
            </w:div>
            <w:div w:id="514684769">
              <w:marLeft w:val="0"/>
              <w:marRight w:val="0"/>
              <w:marTop w:val="0"/>
              <w:marBottom w:val="0"/>
              <w:divBdr>
                <w:top w:val="none" w:sz="0" w:space="0" w:color="auto"/>
                <w:left w:val="none" w:sz="0" w:space="0" w:color="auto"/>
                <w:bottom w:val="none" w:sz="0" w:space="0" w:color="auto"/>
                <w:right w:val="none" w:sz="0" w:space="0" w:color="auto"/>
              </w:divBdr>
            </w:div>
            <w:div w:id="541289016">
              <w:marLeft w:val="0"/>
              <w:marRight w:val="0"/>
              <w:marTop w:val="0"/>
              <w:marBottom w:val="0"/>
              <w:divBdr>
                <w:top w:val="none" w:sz="0" w:space="0" w:color="auto"/>
                <w:left w:val="none" w:sz="0" w:space="0" w:color="auto"/>
                <w:bottom w:val="none" w:sz="0" w:space="0" w:color="auto"/>
                <w:right w:val="none" w:sz="0" w:space="0" w:color="auto"/>
              </w:divBdr>
            </w:div>
            <w:div w:id="561454093">
              <w:marLeft w:val="0"/>
              <w:marRight w:val="0"/>
              <w:marTop w:val="0"/>
              <w:marBottom w:val="0"/>
              <w:divBdr>
                <w:top w:val="none" w:sz="0" w:space="0" w:color="auto"/>
                <w:left w:val="none" w:sz="0" w:space="0" w:color="auto"/>
                <w:bottom w:val="none" w:sz="0" w:space="0" w:color="auto"/>
                <w:right w:val="none" w:sz="0" w:space="0" w:color="auto"/>
              </w:divBdr>
            </w:div>
            <w:div w:id="808671456">
              <w:marLeft w:val="0"/>
              <w:marRight w:val="0"/>
              <w:marTop w:val="0"/>
              <w:marBottom w:val="0"/>
              <w:divBdr>
                <w:top w:val="none" w:sz="0" w:space="0" w:color="auto"/>
                <w:left w:val="none" w:sz="0" w:space="0" w:color="auto"/>
                <w:bottom w:val="none" w:sz="0" w:space="0" w:color="auto"/>
                <w:right w:val="none" w:sz="0" w:space="0" w:color="auto"/>
              </w:divBdr>
            </w:div>
            <w:div w:id="899708606">
              <w:marLeft w:val="0"/>
              <w:marRight w:val="0"/>
              <w:marTop w:val="0"/>
              <w:marBottom w:val="0"/>
              <w:divBdr>
                <w:top w:val="none" w:sz="0" w:space="0" w:color="auto"/>
                <w:left w:val="none" w:sz="0" w:space="0" w:color="auto"/>
                <w:bottom w:val="none" w:sz="0" w:space="0" w:color="auto"/>
                <w:right w:val="none" w:sz="0" w:space="0" w:color="auto"/>
              </w:divBdr>
            </w:div>
            <w:div w:id="1023939396">
              <w:marLeft w:val="0"/>
              <w:marRight w:val="0"/>
              <w:marTop w:val="0"/>
              <w:marBottom w:val="0"/>
              <w:divBdr>
                <w:top w:val="none" w:sz="0" w:space="0" w:color="auto"/>
                <w:left w:val="none" w:sz="0" w:space="0" w:color="auto"/>
                <w:bottom w:val="none" w:sz="0" w:space="0" w:color="auto"/>
                <w:right w:val="none" w:sz="0" w:space="0" w:color="auto"/>
              </w:divBdr>
            </w:div>
            <w:div w:id="1176961536">
              <w:marLeft w:val="0"/>
              <w:marRight w:val="0"/>
              <w:marTop w:val="0"/>
              <w:marBottom w:val="0"/>
              <w:divBdr>
                <w:top w:val="none" w:sz="0" w:space="0" w:color="auto"/>
                <w:left w:val="none" w:sz="0" w:space="0" w:color="auto"/>
                <w:bottom w:val="none" w:sz="0" w:space="0" w:color="auto"/>
                <w:right w:val="none" w:sz="0" w:space="0" w:color="auto"/>
              </w:divBdr>
            </w:div>
            <w:div w:id="1244073459">
              <w:marLeft w:val="0"/>
              <w:marRight w:val="0"/>
              <w:marTop w:val="0"/>
              <w:marBottom w:val="0"/>
              <w:divBdr>
                <w:top w:val="none" w:sz="0" w:space="0" w:color="auto"/>
                <w:left w:val="none" w:sz="0" w:space="0" w:color="auto"/>
                <w:bottom w:val="none" w:sz="0" w:space="0" w:color="auto"/>
                <w:right w:val="none" w:sz="0" w:space="0" w:color="auto"/>
              </w:divBdr>
            </w:div>
            <w:div w:id="1565294150">
              <w:marLeft w:val="0"/>
              <w:marRight w:val="0"/>
              <w:marTop w:val="0"/>
              <w:marBottom w:val="0"/>
              <w:divBdr>
                <w:top w:val="none" w:sz="0" w:space="0" w:color="auto"/>
                <w:left w:val="none" w:sz="0" w:space="0" w:color="auto"/>
                <w:bottom w:val="none" w:sz="0" w:space="0" w:color="auto"/>
                <w:right w:val="none" w:sz="0" w:space="0" w:color="auto"/>
              </w:divBdr>
            </w:div>
            <w:div w:id="1566185791">
              <w:marLeft w:val="0"/>
              <w:marRight w:val="0"/>
              <w:marTop w:val="0"/>
              <w:marBottom w:val="0"/>
              <w:divBdr>
                <w:top w:val="none" w:sz="0" w:space="0" w:color="auto"/>
                <w:left w:val="none" w:sz="0" w:space="0" w:color="auto"/>
                <w:bottom w:val="none" w:sz="0" w:space="0" w:color="auto"/>
                <w:right w:val="none" w:sz="0" w:space="0" w:color="auto"/>
              </w:divBdr>
            </w:div>
            <w:div w:id="1623343732">
              <w:marLeft w:val="0"/>
              <w:marRight w:val="0"/>
              <w:marTop w:val="0"/>
              <w:marBottom w:val="0"/>
              <w:divBdr>
                <w:top w:val="none" w:sz="0" w:space="0" w:color="auto"/>
                <w:left w:val="none" w:sz="0" w:space="0" w:color="auto"/>
                <w:bottom w:val="none" w:sz="0" w:space="0" w:color="auto"/>
                <w:right w:val="none" w:sz="0" w:space="0" w:color="auto"/>
              </w:divBdr>
            </w:div>
            <w:div w:id="1696038567">
              <w:marLeft w:val="0"/>
              <w:marRight w:val="0"/>
              <w:marTop w:val="0"/>
              <w:marBottom w:val="0"/>
              <w:divBdr>
                <w:top w:val="none" w:sz="0" w:space="0" w:color="auto"/>
                <w:left w:val="none" w:sz="0" w:space="0" w:color="auto"/>
                <w:bottom w:val="none" w:sz="0" w:space="0" w:color="auto"/>
                <w:right w:val="none" w:sz="0" w:space="0" w:color="auto"/>
              </w:divBdr>
            </w:div>
            <w:div w:id="1792480449">
              <w:marLeft w:val="0"/>
              <w:marRight w:val="0"/>
              <w:marTop w:val="0"/>
              <w:marBottom w:val="0"/>
              <w:divBdr>
                <w:top w:val="none" w:sz="0" w:space="0" w:color="auto"/>
                <w:left w:val="none" w:sz="0" w:space="0" w:color="auto"/>
                <w:bottom w:val="none" w:sz="0" w:space="0" w:color="auto"/>
                <w:right w:val="none" w:sz="0" w:space="0" w:color="auto"/>
              </w:divBdr>
            </w:div>
            <w:div w:id="1894850646">
              <w:marLeft w:val="0"/>
              <w:marRight w:val="0"/>
              <w:marTop w:val="0"/>
              <w:marBottom w:val="0"/>
              <w:divBdr>
                <w:top w:val="none" w:sz="0" w:space="0" w:color="auto"/>
                <w:left w:val="none" w:sz="0" w:space="0" w:color="auto"/>
                <w:bottom w:val="none" w:sz="0" w:space="0" w:color="auto"/>
                <w:right w:val="none" w:sz="0" w:space="0" w:color="auto"/>
              </w:divBdr>
            </w:div>
            <w:div w:id="1991128879">
              <w:marLeft w:val="0"/>
              <w:marRight w:val="0"/>
              <w:marTop w:val="0"/>
              <w:marBottom w:val="0"/>
              <w:divBdr>
                <w:top w:val="none" w:sz="0" w:space="0" w:color="auto"/>
                <w:left w:val="none" w:sz="0" w:space="0" w:color="auto"/>
                <w:bottom w:val="none" w:sz="0" w:space="0" w:color="auto"/>
                <w:right w:val="none" w:sz="0" w:space="0" w:color="auto"/>
              </w:divBdr>
            </w:div>
            <w:div w:id="2038579132">
              <w:marLeft w:val="0"/>
              <w:marRight w:val="0"/>
              <w:marTop w:val="0"/>
              <w:marBottom w:val="0"/>
              <w:divBdr>
                <w:top w:val="none" w:sz="0" w:space="0" w:color="auto"/>
                <w:left w:val="none" w:sz="0" w:space="0" w:color="auto"/>
                <w:bottom w:val="none" w:sz="0" w:space="0" w:color="auto"/>
                <w:right w:val="none" w:sz="0" w:space="0" w:color="auto"/>
              </w:divBdr>
            </w:div>
            <w:div w:id="2093968971">
              <w:marLeft w:val="0"/>
              <w:marRight w:val="0"/>
              <w:marTop w:val="0"/>
              <w:marBottom w:val="0"/>
              <w:divBdr>
                <w:top w:val="none" w:sz="0" w:space="0" w:color="auto"/>
                <w:left w:val="none" w:sz="0" w:space="0" w:color="auto"/>
                <w:bottom w:val="none" w:sz="0" w:space="0" w:color="auto"/>
                <w:right w:val="none" w:sz="0" w:space="0" w:color="auto"/>
              </w:divBdr>
            </w:div>
          </w:divsChild>
        </w:div>
        <w:div w:id="644243854">
          <w:marLeft w:val="0"/>
          <w:marRight w:val="0"/>
          <w:marTop w:val="0"/>
          <w:marBottom w:val="0"/>
          <w:divBdr>
            <w:top w:val="none" w:sz="0" w:space="0" w:color="auto"/>
            <w:left w:val="none" w:sz="0" w:space="0" w:color="auto"/>
            <w:bottom w:val="none" w:sz="0" w:space="0" w:color="auto"/>
            <w:right w:val="none" w:sz="0" w:space="0" w:color="auto"/>
          </w:divBdr>
        </w:div>
        <w:div w:id="645863932">
          <w:marLeft w:val="0"/>
          <w:marRight w:val="0"/>
          <w:marTop w:val="0"/>
          <w:marBottom w:val="0"/>
          <w:divBdr>
            <w:top w:val="none" w:sz="0" w:space="0" w:color="auto"/>
            <w:left w:val="none" w:sz="0" w:space="0" w:color="auto"/>
            <w:bottom w:val="none" w:sz="0" w:space="0" w:color="auto"/>
            <w:right w:val="none" w:sz="0" w:space="0" w:color="auto"/>
          </w:divBdr>
          <w:divsChild>
            <w:div w:id="104230552">
              <w:marLeft w:val="0"/>
              <w:marRight w:val="0"/>
              <w:marTop w:val="0"/>
              <w:marBottom w:val="0"/>
              <w:divBdr>
                <w:top w:val="none" w:sz="0" w:space="0" w:color="auto"/>
                <w:left w:val="none" w:sz="0" w:space="0" w:color="auto"/>
                <w:bottom w:val="none" w:sz="0" w:space="0" w:color="auto"/>
                <w:right w:val="none" w:sz="0" w:space="0" w:color="auto"/>
              </w:divBdr>
            </w:div>
            <w:div w:id="113645380">
              <w:marLeft w:val="0"/>
              <w:marRight w:val="0"/>
              <w:marTop w:val="0"/>
              <w:marBottom w:val="0"/>
              <w:divBdr>
                <w:top w:val="none" w:sz="0" w:space="0" w:color="auto"/>
                <w:left w:val="none" w:sz="0" w:space="0" w:color="auto"/>
                <w:bottom w:val="none" w:sz="0" w:space="0" w:color="auto"/>
                <w:right w:val="none" w:sz="0" w:space="0" w:color="auto"/>
              </w:divBdr>
            </w:div>
            <w:div w:id="129515786">
              <w:marLeft w:val="0"/>
              <w:marRight w:val="0"/>
              <w:marTop w:val="0"/>
              <w:marBottom w:val="0"/>
              <w:divBdr>
                <w:top w:val="none" w:sz="0" w:space="0" w:color="auto"/>
                <w:left w:val="none" w:sz="0" w:space="0" w:color="auto"/>
                <w:bottom w:val="none" w:sz="0" w:space="0" w:color="auto"/>
                <w:right w:val="none" w:sz="0" w:space="0" w:color="auto"/>
              </w:divBdr>
            </w:div>
            <w:div w:id="217787993">
              <w:marLeft w:val="0"/>
              <w:marRight w:val="0"/>
              <w:marTop w:val="0"/>
              <w:marBottom w:val="0"/>
              <w:divBdr>
                <w:top w:val="none" w:sz="0" w:space="0" w:color="auto"/>
                <w:left w:val="none" w:sz="0" w:space="0" w:color="auto"/>
                <w:bottom w:val="none" w:sz="0" w:space="0" w:color="auto"/>
                <w:right w:val="none" w:sz="0" w:space="0" w:color="auto"/>
              </w:divBdr>
            </w:div>
            <w:div w:id="350184661">
              <w:marLeft w:val="0"/>
              <w:marRight w:val="0"/>
              <w:marTop w:val="0"/>
              <w:marBottom w:val="0"/>
              <w:divBdr>
                <w:top w:val="none" w:sz="0" w:space="0" w:color="auto"/>
                <w:left w:val="none" w:sz="0" w:space="0" w:color="auto"/>
                <w:bottom w:val="none" w:sz="0" w:space="0" w:color="auto"/>
                <w:right w:val="none" w:sz="0" w:space="0" w:color="auto"/>
              </w:divBdr>
            </w:div>
            <w:div w:id="527916164">
              <w:marLeft w:val="0"/>
              <w:marRight w:val="0"/>
              <w:marTop w:val="0"/>
              <w:marBottom w:val="0"/>
              <w:divBdr>
                <w:top w:val="none" w:sz="0" w:space="0" w:color="auto"/>
                <w:left w:val="none" w:sz="0" w:space="0" w:color="auto"/>
                <w:bottom w:val="none" w:sz="0" w:space="0" w:color="auto"/>
                <w:right w:val="none" w:sz="0" w:space="0" w:color="auto"/>
              </w:divBdr>
            </w:div>
            <w:div w:id="664017582">
              <w:marLeft w:val="0"/>
              <w:marRight w:val="0"/>
              <w:marTop w:val="0"/>
              <w:marBottom w:val="0"/>
              <w:divBdr>
                <w:top w:val="none" w:sz="0" w:space="0" w:color="auto"/>
                <w:left w:val="none" w:sz="0" w:space="0" w:color="auto"/>
                <w:bottom w:val="none" w:sz="0" w:space="0" w:color="auto"/>
                <w:right w:val="none" w:sz="0" w:space="0" w:color="auto"/>
              </w:divBdr>
            </w:div>
            <w:div w:id="676734809">
              <w:marLeft w:val="0"/>
              <w:marRight w:val="0"/>
              <w:marTop w:val="0"/>
              <w:marBottom w:val="0"/>
              <w:divBdr>
                <w:top w:val="none" w:sz="0" w:space="0" w:color="auto"/>
                <w:left w:val="none" w:sz="0" w:space="0" w:color="auto"/>
                <w:bottom w:val="none" w:sz="0" w:space="0" w:color="auto"/>
                <w:right w:val="none" w:sz="0" w:space="0" w:color="auto"/>
              </w:divBdr>
            </w:div>
            <w:div w:id="885600151">
              <w:marLeft w:val="0"/>
              <w:marRight w:val="0"/>
              <w:marTop w:val="0"/>
              <w:marBottom w:val="0"/>
              <w:divBdr>
                <w:top w:val="none" w:sz="0" w:space="0" w:color="auto"/>
                <w:left w:val="none" w:sz="0" w:space="0" w:color="auto"/>
                <w:bottom w:val="none" w:sz="0" w:space="0" w:color="auto"/>
                <w:right w:val="none" w:sz="0" w:space="0" w:color="auto"/>
              </w:divBdr>
            </w:div>
            <w:div w:id="1026517550">
              <w:marLeft w:val="0"/>
              <w:marRight w:val="0"/>
              <w:marTop w:val="0"/>
              <w:marBottom w:val="0"/>
              <w:divBdr>
                <w:top w:val="none" w:sz="0" w:space="0" w:color="auto"/>
                <w:left w:val="none" w:sz="0" w:space="0" w:color="auto"/>
                <w:bottom w:val="none" w:sz="0" w:space="0" w:color="auto"/>
                <w:right w:val="none" w:sz="0" w:space="0" w:color="auto"/>
              </w:divBdr>
            </w:div>
            <w:div w:id="1098214182">
              <w:marLeft w:val="0"/>
              <w:marRight w:val="0"/>
              <w:marTop w:val="0"/>
              <w:marBottom w:val="0"/>
              <w:divBdr>
                <w:top w:val="none" w:sz="0" w:space="0" w:color="auto"/>
                <w:left w:val="none" w:sz="0" w:space="0" w:color="auto"/>
                <w:bottom w:val="none" w:sz="0" w:space="0" w:color="auto"/>
                <w:right w:val="none" w:sz="0" w:space="0" w:color="auto"/>
              </w:divBdr>
            </w:div>
            <w:div w:id="1117799848">
              <w:marLeft w:val="0"/>
              <w:marRight w:val="0"/>
              <w:marTop w:val="0"/>
              <w:marBottom w:val="0"/>
              <w:divBdr>
                <w:top w:val="none" w:sz="0" w:space="0" w:color="auto"/>
                <w:left w:val="none" w:sz="0" w:space="0" w:color="auto"/>
                <w:bottom w:val="none" w:sz="0" w:space="0" w:color="auto"/>
                <w:right w:val="none" w:sz="0" w:space="0" w:color="auto"/>
              </w:divBdr>
            </w:div>
            <w:div w:id="1129011055">
              <w:marLeft w:val="0"/>
              <w:marRight w:val="0"/>
              <w:marTop w:val="0"/>
              <w:marBottom w:val="0"/>
              <w:divBdr>
                <w:top w:val="none" w:sz="0" w:space="0" w:color="auto"/>
                <w:left w:val="none" w:sz="0" w:space="0" w:color="auto"/>
                <w:bottom w:val="none" w:sz="0" w:space="0" w:color="auto"/>
                <w:right w:val="none" w:sz="0" w:space="0" w:color="auto"/>
              </w:divBdr>
            </w:div>
            <w:div w:id="1358847614">
              <w:marLeft w:val="0"/>
              <w:marRight w:val="0"/>
              <w:marTop w:val="0"/>
              <w:marBottom w:val="0"/>
              <w:divBdr>
                <w:top w:val="none" w:sz="0" w:space="0" w:color="auto"/>
                <w:left w:val="none" w:sz="0" w:space="0" w:color="auto"/>
                <w:bottom w:val="none" w:sz="0" w:space="0" w:color="auto"/>
                <w:right w:val="none" w:sz="0" w:space="0" w:color="auto"/>
              </w:divBdr>
            </w:div>
            <w:div w:id="1364359988">
              <w:marLeft w:val="0"/>
              <w:marRight w:val="0"/>
              <w:marTop w:val="0"/>
              <w:marBottom w:val="0"/>
              <w:divBdr>
                <w:top w:val="none" w:sz="0" w:space="0" w:color="auto"/>
                <w:left w:val="none" w:sz="0" w:space="0" w:color="auto"/>
                <w:bottom w:val="none" w:sz="0" w:space="0" w:color="auto"/>
                <w:right w:val="none" w:sz="0" w:space="0" w:color="auto"/>
              </w:divBdr>
            </w:div>
            <w:div w:id="1471708228">
              <w:marLeft w:val="0"/>
              <w:marRight w:val="0"/>
              <w:marTop w:val="0"/>
              <w:marBottom w:val="0"/>
              <w:divBdr>
                <w:top w:val="none" w:sz="0" w:space="0" w:color="auto"/>
                <w:left w:val="none" w:sz="0" w:space="0" w:color="auto"/>
                <w:bottom w:val="none" w:sz="0" w:space="0" w:color="auto"/>
                <w:right w:val="none" w:sz="0" w:space="0" w:color="auto"/>
              </w:divBdr>
            </w:div>
            <w:div w:id="1670716717">
              <w:marLeft w:val="0"/>
              <w:marRight w:val="0"/>
              <w:marTop w:val="0"/>
              <w:marBottom w:val="0"/>
              <w:divBdr>
                <w:top w:val="none" w:sz="0" w:space="0" w:color="auto"/>
                <w:left w:val="none" w:sz="0" w:space="0" w:color="auto"/>
                <w:bottom w:val="none" w:sz="0" w:space="0" w:color="auto"/>
                <w:right w:val="none" w:sz="0" w:space="0" w:color="auto"/>
              </w:divBdr>
            </w:div>
            <w:div w:id="1675306775">
              <w:marLeft w:val="0"/>
              <w:marRight w:val="0"/>
              <w:marTop w:val="0"/>
              <w:marBottom w:val="0"/>
              <w:divBdr>
                <w:top w:val="none" w:sz="0" w:space="0" w:color="auto"/>
                <w:left w:val="none" w:sz="0" w:space="0" w:color="auto"/>
                <w:bottom w:val="none" w:sz="0" w:space="0" w:color="auto"/>
                <w:right w:val="none" w:sz="0" w:space="0" w:color="auto"/>
              </w:divBdr>
            </w:div>
            <w:div w:id="1861896395">
              <w:marLeft w:val="0"/>
              <w:marRight w:val="0"/>
              <w:marTop w:val="0"/>
              <w:marBottom w:val="0"/>
              <w:divBdr>
                <w:top w:val="none" w:sz="0" w:space="0" w:color="auto"/>
                <w:left w:val="none" w:sz="0" w:space="0" w:color="auto"/>
                <w:bottom w:val="none" w:sz="0" w:space="0" w:color="auto"/>
                <w:right w:val="none" w:sz="0" w:space="0" w:color="auto"/>
              </w:divBdr>
            </w:div>
            <w:div w:id="1901596061">
              <w:marLeft w:val="0"/>
              <w:marRight w:val="0"/>
              <w:marTop w:val="0"/>
              <w:marBottom w:val="0"/>
              <w:divBdr>
                <w:top w:val="none" w:sz="0" w:space="0" w:color="auto"/>
                <w:left w:val="none" w:sz="0" w:space="0" w:color="auto"/>
                <w:bottom w:val="none" w:sz="0" w:space="0" w:color="auto"/>
                <w:right w:val="none" w:sz="0" w:space="0" w:color="auto"/>
              </w:divBdr>
            </w:div>
          </w:divsChild>
        </w:div>
        <w:div w:id="669452036">
          <w:marLeft w:val="0"/>
          <w:marRight w:val="0"/>
          <w:marTop w:val="0"/>
          <w:marBottom w:val="0"/>
          <w:divBdr>
            <w:top w:val="none" w:sz="0" w:space="0" w:color="auto"/>
            <w:left w:val="none" w:sz="0" w:space="0" w:color="auto"/>
            <w:bottom w:val="none" w:sz="0" w:space="0" w:color="auto"/>
            <w:right w:val="none" w:sz="0" w:space="0" w:color="auto"/>
          </w:divBdr>
        </w:div>
        <w:div w:id="686979773">
          <w:marLeft w:val="0"/>
          <w:marRight w:val="0"/>
          <w:marTop w:val="0"/>
          <w:marBottom w:val="0"/>
          <w:divBdr>
            <w:top w:val="none" w:sz="0" w:space="0" w:color="auto"/>
            <w:left w:val="none" w:sz="0" w:space="0" w:color="auto"/>
            <w:bottom w:val="none" w:sz="0" w:space="0" w:color="auto"/>
            <w:right w:val="none" w:sz="0" w:space="0" w:color="auto"/>
          </w:divBdr>
        </w:div>
        <w:div w:id="693116517">
          <w:marLeft w:val="0"/>
          <w:marRight w:val="0"/>
          <w:marTop w:val="0"/>
          <w:marBottom w:val="0"/>
          <w:divBdr>
            <w:top w:val="none" w:sz="0" w:space="0" w:color="auto"/>
            <w:left w:val="none" w:sz="0" w:space="0" w:color="auto"/>
            <w:bottom w:val="none" w:sz="0" w:space="0" w:color="auto"/>
            <w:right w:val="none" w:sz="0" w:space="0" w:color="auto"/>
          </w:divBdr>
        </w:div>
        <w:div w:id="693700173">
          <w:marLeft w:val="0"/>
          <w:marRight w:val="0"/>
          <w:marTop w:val="0"/>
          <w:marBottom w:val="0"/>
          <w:divBdr>
            <w:top w:val="none" w:sz="0" w:space="0" w:color="auto"/>
            <w:left w:val="none" w:sz="0" w:space="0" w:color="auto"/>
            <w:bottom w:val="none" w:sz="0" w:space="0" w:color="auto"/>
            <w:right w:val="none" w:sz="0" w:space="0" w:color="auto"/>
          </w:divBdr>
          <w:divsChild>
            <w:div w:id="177276960">
              <w:marLeft w:val="0"/>
              <w:marRight w:val="0"/>
              <w:marTop w:val="0"/>
              <w:marBottom w:val="0"/>
              <w:divBdr>
                <w:top w:val="none" w:sz="0" w:space="0" w:color="auto"/>
                <w:left w:val="none" w:sz="0" w:space="0" w:color="auto"/>
                <w:bottom w:val="none" w:sz="0" w:space="0" w:color="auto"/>
                <w:right w:val="none" w:sz="0" w:space="0" w:color="auto"/>
              </w:divBdr>
            </w:div>
            <w:div w:id="219445194">
              <w:marLeft w:val="0"/>
              <w:marRight w:val="0"/>
              <w:marTop w:val="0"/>
              <w:marBottom w:val="0"/>
              <w:divBdr>
                <w:top w:val="none" w:sz="0" w:space="0" w:color="auto"/>
                <w:left w:val="none" w:sz="0" w:space="0" w:color="auto"/>
                <w:bottom w:val="none" w:sz="0" w:space="0" w:color="auto"/>
                <w:right w:val="none" w:sz="0" w:space="0" w:color="auto"/>
              </w:divBdr>
            </w:div>
            <w:div w:id="229002688">
              <w:marLeft w:val="0"/>
              <w:marRight w:val="0"/>
              <w:marTop w:val="0"/>
              <w:marBottom w:val="0"/>
              <w:divBdr>
                <w:top w:val="none" w:sz="0" w:space="0" w:color="auto"/>
                <w:left w:val="none" w:sz="0" w:space="0" w:color="auto"/>
                <w:bottom w:val="none" w:sz="0" w:space="0" w:color="auto"/>
                <w:right w:val="none" w:sz="0" w:space="0" w:color="auto"/>
              </w:divBdr>
            </w:div>
            <w:div w:id="510725557">
              <w:marLeft w:val="0"/>
              <w:marRight w:val="0"/>
              <w:marTop w:val="0"/>
              <w:marBottom w:val="0"/>
              <w:divBdr>
                <w:top w:val="none" w:sz="0" w:space="0" w:color="auto"/>
                <w:left w:val="none" w:sz="0" w:space="0" w:color="auto"/>
                <w:bottom w:val="none" w:sz="0" w:space="0" w:color="auto"/>
                <w:right w:val="none" w:sz="0" w:space="0" w:color="auto"/>
              </w:divBdr>
            </w:div>
            <w:div w:id="608926490">
              <w:marLeft w:val="0"/>
              <w:marRight w:val="0"/>
              <w:marTop w:val="0"/>
              <w:marBottom w:val="0"/>
              <w:divBdr>
                <w:top w:val="none" w:sz="0" w:space="0" w:color="auto"/>
                <w:left w:val="none" w:sz="0" w:space="0" w:color="auto"/>
                <w:bottom w:val="none" w:sz="0" w:space="0" w:color="auto"/>
                <w:right w:val="none" w:sz="0" w:space="0" w:color="auto"/>
              </w:divBdr>
            </w:div>
            <w:div w:id="662271808">
              <w:marLeft w:val="0"/>
              <w:marRight w:val="0"/>
              <w:marTop w:val="0"/>
              <w:marBottom w:val="0"/>
              <w:divBdr>
                <w:top w:val="none" w:sz="0" w:space="0" w:color="auto"/>
                <w:left w:val="none" w:sz="0" w:space="0" w:color="auto"/>
                <w:bottom w:val="none" w:sz="0" w:space="0" w:color="auto"/>
                <w:right w:val="none" w:sz="0" w:space="0" w:color="auto"/>
              </w:divBdr>
            </w:div>
            <w:div w:id="685522699">
              <w:marLeft w:val="0"/>
              <w:marRight w:val="0"/>
              <w:marTop w:val="0"/>
              <w:marBottom w:val="0"/>
              <w:divBdr>
                <w:top w:val="none" w:sz="0" w:space="0" w:color="auto"/>
                <w:left w:val="none" w:sz="0" w:space="0" w:color="auto"/>
                <w:bottom w:val="none" w:sz="0" w:space="0" w:color="auto"/>
                <w:right w:val="none" w:sz="0" w:space="0" w:color="auto"/>
              </w:divBdr>
            </w:div>
            <w:div w:id="721711064">
              <w:marLeft w:val="0"/>
              <w:marRight w:val="0"/>
              <w:marTop w:val="0"/>
              <w:marBottom w:val="0"/>
              <w:divBdr>
                <w:top w:val="none" w:sz="0" w:space="0" w:color="auto"/>
                <w:left w:val="none" w:sz="0" w:space="0" w:color="auto"/>
                <w:bottom w:val="none" w:sz="0" w:space="0" w:color="auto"/>
                <w:right w:val="none" w:sz="0" w:space="0" w:color="auto"/>
              </w:divBdr>
            </w:div>
            <w:div w:id="725226175">
              <w:marLeft w:val="0"/>
              <w:marRight w:val="0"/>
              <w:marTop w:val="0"/>
              <w:marBottom w:val="0"/>
              <w:divBdr>
                <w:top w:val="none" w:sz="0" w:space="0" w:color="auto"/>
                <w:left w:val="none" w:sz="0" w:space="0" w:color="auto"/>
                <w:bottom w:val="none" w:sz="0" w:space="0" w:color="auto"/>
                <w:right w:val="none" w:sz="0" w:space="0" w:color="auto"/>
              </w:divBdr>
            </w:div>
            <w:div w:id="782381451">
              <w:marLeft w:val="0"/>
              <w:marRight w:val="0"/>
              <w:marTop w:val="0"/>
              <w:marBottom w:val="0"/>
              <w:divBdr>
                <w:top w:val="none" w:sz="0" w:space="0" w:color="auto"/>
                <w:left w:val="none" w:sz="0" w:space="0" w:color="auto"/>
                <w:bottom w:val="none" w:sz="0" w:space="0" w:color="auto"/>
                <w:right w:val="none" w:sz="0" w:space="0" w:color="auto"/>
              </w:divBdr>
            </w:div>
            <w:div w:id="853232263">
              <w:marLeft w:val="0"/>
              <w:marRight w:val="0"/>
              <w:marTop w:val="0"/>
              <w:marBottom w:val="0"/>
              <w:divBdr>
                <w:top w:val="none" w:sz="0" w:space="0" w:color="auto"/>
                <w:left w:val="none" w:sz="0" w:space="0" w:color="auto"/>
                <w:bottom w:val="none" w:sz="0" w:space="0" w:color="auto"/>
                <w:right w:val="none" w:sz="0" w:space="0" w:color="auto"/>
              </w:divBdr>
            </w:div>
            <w:div w:id="903880726">
              <w:marLeft w:val="0"/>
              <w:marRight w:val="0"/>
              <w:marTop w:val="0"/>
              <w:marBottom w:val="0"/>
              <w:divBdr>
                <w:top w:val="none" w:sz="0" w:space="0" w:color="auto"/>
                <w:left w:val="none" w:sz="0" w:space="0" w:color="auto"/>
                <w:bottom w:val="none" w:sz="0" w:space="0" w:color="auto"/>
                <w:right w:val="none" w:sz="0" w:space="0" w:color="auto"/>
              </w:divBdr>
            </w:div>
            <w:div w:id="927227052">
              <w:marLeft w:val="0"/>
              <w:marRight w:val="0"/>
              <w:marTop w:val="0"/>
              <w:marBottom w:val="0"/>
              <w:divBdr>
                <w:top w:val="none" w:sz="0" w:space="0" w:color="auto"/>
                <w:left w:val="none" w:sz="0" w:space="0" w:color="auto"/>
                <w:bottom w:val="none" w:sz="0" w:space="0" w:color="auto"/>
                <w:right w:val="none" w:sz="0" w:space="0" w:color="auto"/>
              </w:divBdr>
            </w:div>
            <w:div w:id="1148470738">
              <w:marLeft w:val="0"/>
              <w:marRight w:val="0"/>
              <w:marTop w:val="0"/>
              <w:marBottom w:val="0"/>
              <w:divBdr>
                <w:top w:val="none" w:sz="0" w:space="0" w:color="auto"/>
                <w:left w:val="none" w:sz="0" w:space="0" w:color="auto"/>
                <w:bottom w:val="none" w:sz="0" w:space="0" w:color="auto"/>
                <w:right w:val="none" w:sz="0" w:space="0" w:color="auto"/>
              </w:divBdr>
            </w:div>
            <w:div w:id="1164204553">
              <w:marLeft w:val="0"/>
              <w:marRight w:val="0"/>
              <w:marTop w:val="0"/>
              <w:marBottom w:val="0"/>
              <w:divBdr>
                <w:top w:val="none" w:sz="0" w:space="0" w:color="auto"/>
                <w:left w:val="none" w:sz="0" w:space="0" w:color="auto"/>
                <w:bottom w:val="none" w:sz="0" w:space="0" w:color="auto"/>
                <w:right w:val="none" w:sz="0" w:space="0" w:color="auto"/>
              </w:divBdr>
            </w:div>
            <w:div w:id="1186871117">
              <w:marLeft w:val="0"/>
              <w:marRight w:val="0"/>
              <w:marTop w:val="0"/>
              <w:marBottom w:val="0"/>
              <w:divBdr>
                <w:top w:val="none" w:sz="0" w:space="0" w:color="auto"/>
                <w:left w:val="none" w:sz="0" w:space="0" w:color="auto"/>
                <w:bottom w:val="none" w:sz="0" w:space="0" w:color="auto"/>
                <w:right w:val="none" w:sz="0" w:space="0" w:color="auto"/>
              </w:divBdr>
            </w:div>
            <w:div w:id="1414006861">
              <w:marLeft w:val="0"/>
              <w:marRight w:val="0"/>
              <w:marTop w:val="0"/>
              <w:marBottom w:val="0"/>
              <w:divBdr>
                <w:top w:val="none" w:sz="0" w:space="0" w:color="auto"/>
                <w:left w:val="none" w:sz="0" w:space="0" w:color="auto"/>
                <w:bottom w:val="none" w:sz="0" w:space="0" w:color="auto"/>
                <w:right w:val="none" w:sz="0" w:space="0" w:color="auto"/>
              </w:divBdr>
            </w:div>
            <w:div w:id="1465461303">
              <w:marLeft w:val="0"/>
              <w:marRight w:val="0"/>
              <w:marTop w:val="0"/>
              <w:marBottom w:val="0"/>
              <w:divBdr>
                <w:top w:val="none" w:sz="0" w:space="0" w:color="auto"/>
                <w:left w:val="none" w:sz="0" w:space="0" w:color="auto"/>
                <w:bottom w:val="none" w:sz="0" w:space="0" w:color="auto"/>
                <w:right w:val="none" w:sz="0" w:space="0" w:color="auto"/>
              </w:divBdr>
            </w:div>
            <w:div w:id="1887132928">
              <w:marLeft w:val="0"/>
              <w:marRight w:val="0"/>
              <w:marTop w:val="0"/>
              <w:marBottom w:val="0"/>
              <w:divBdr>
                <w:top w:val="none" w:sz="0" w:space="0" w:color="auto"/>
                <w:left w:val="none" w:sz="0" w:space="0" w:color="auto"/>
                <w:bottom w:val="none" w:sz="0" w:space="0" w:color="auto"/>
                <w:right w:val="none" w:sz="0" w:space="0" w:color="auto"/>
              </w:divBdr>
            </w:div>
            <w:div w:id="2045905446">
              <w:marLeft w:val="0"/>
              <w:marRight w:val="0"/>
              <w:marTop w:val="0"/>
              <w:marBottom w:val="0"/>
              <w:divBdr>
                <w:top w:val="none" w:sz="0" w:space="0" w:color="auto"/>
                <w:left w:val="none" w:sz="0" w:space="0" w:color="auto"/>
                <w:bottom w:val="none" w:sz="0" w:space="0" w:color="auto"/>
                <w:right w:val="none" w:sz="0" w:space="0" w:color="auto"/>
              </w:divBdr>
            </w:div>
          </w:divsChild>
        </w:div>
        <w:div w:id="705910129">
          <w:marLeft w:val="0"/>
          <w:marRight w:val="0"/>
          <w:marTop w:val="0"/>
          <w:marBottom w:val="0"/>
          <w:divBdr>
            <w:top w:val="none" w:sz="0" w:space="0" w:color="auto"/>
            <w:left w:val="none" w:sz="0" w:space="0" w:color="auto"/>
            <w:bottom w:val="none" w:sz="0" w:space="0" w:color="auto"/>
            <w:right w:val="none" w:sz="0" w:space="0" w:color="auto"/>
          </w:divBdr>
        </w:div>
        <w:div w:id="726223354">
          <w:marLeft w:val="0"/>
          <w:marRight w:val="0"/>
          <w:marTop w:val="0"/>
          <w:marBottom w:val="0"/>
          <w:divBdr>
            <w:top w:val="none" w:sz="0" w:space="0" w:color="auto"/>
            <w:left w:val="none" w:sz="0" w:space="0" w:color="auto"/>
            <w:bottom w:val="none" w:sz="0" w:space="0" w:color="auto"/>
            <w:right w:val="none" w:sz="0" w:space="0" w:color="auto"/>
          </w:divBdr>
          <w:divsChild>
            <w:div w:id="141505647">
              <w:marLeft w:val="0"/>
              <w:marRight w:val="0"/>
              <w:marTop w:val="0"/>
              <w:marBottom w:val="0"/>
              <w:divBdr>
                <w:top w:val="none" w:sz="0" w:space="0" w:color="auto"/>
                <w:left w:val="none" w:sz="0" w:space="0" w:color="auto"/>
                <w:bottom w:val="none" w:sz="0" w:space="0" w:color="auto"/>
                <w:right w:val="none" w:sz="0" w:space="0" w:color="auto"/>
              </w:divBdr>
            </w:div>
            <w:div w:id="244195798">
              <w:marLeft w:val="0"/>
              <w:marRight w:val="0"/>
              <w:marTop w:val="0"/>
              <w:marBottom w:val="0"/>
              <w:divBdr>
                <w:top w:val="none" w:sz="0" w:space="0" w:color="auto"/>
                <w:left w:val="none" w:sz="0" w:space="0" w:color="auto"/>
                <w:bottom w:val="none" w:sz="0" w:space="0" w:color="auto"/>
                <w:right w:val="none" w:sz="0" w:space="0" w:color="auto"/>
              </w:divBdr>
            </w:div>
            <w:div w:id="271059176">
              <w:marLeft w:val="0"/>
              <w:marRight w:val="0"/>
              <w:marTop w:val="0"/>
              <w:marBottom w:val="0"/>
              <w:divBdr>
                <w:top w:val="none" w:sz="0" w:space="0" w:color="auto"/>
                <w:left w:val="none" w:sz="0" w:space="0" w:color="auto"/>
                <w:bottom w:val="none" w:sz="0" w:space="0" w:color="auto"/>
                <w:right w:val="none" w:sz="0" w:space="0" w:color="auto"/>
              </w:divBdr>
            </w:div>
            <w:div w:id="295720308">
              <w:marLeft w:val="0"/>
              <w:marRight w:val="0"/>
              <w:marTop w:val="0"/>
              <w:marBottom w:val="0"/>
              <w:divBdr>
                <w:top w:val="none" w:sz="0" w:space="0" w:color="auto"/>
                <w:left w:val="none" w:sz="0" w:space="0" w:color="auto"/>
                <w:bottom w:val="none" w:sz="0" w:space="0" w:color="auto"/>
                <w:right w:val="none" w:sz="0" w:space="0" w:color="auto"/>
              </w:divBdr>
            </w:div>
            <w:div w:id="356662980">
              <w:marLeft w:val="0"/>
              <w:marRight w:val="0"/>
              <w:marTop w:val="0"/>
              <w:marBottom w:val="0"/>
              <w:divBdr>
                <w:top w:val="none" w:sz="0" w:space="0" w:color="auto"/>
                <w:left w:val="none" w:sz="0" w:space="0" w:color="auto"/>
                <w:bottom w:val="none" w:sz="0" w:space="0" w:color="auto"/>
                <w:right w:val="none" w:sz="0" w:space="0" w:color="auto"/>
              </w:divBdr>
            </w:div>
            <w:div w:id="365058043">
              <w:marLeft w:val="0"/>
              <w:marRight w:val="0"/>
              <w:marTop w:val="0"/>
              <w:marBottom w:val="0"/>
              <w:divBdr>
                <w:top w:val="none" w:sz="0" w:space="0" w:color="auto"/>
                <w:left w:val="none" w:sz="0" w:space="0" w:color="auto"/>
                <w:bottom w:val="none" w:sz="0" w:space="0" w:color="auto"/>
                <w:right w:val="none" w:sz="0" w:space="0" w:color="auto"/>
              </w:divBdr>
            </w:div>
            <w:div w:id="394473159">
              <w:marLeft w:val="0"/>
              <w:marRight w:val="0"/>
              <w:marTop w:val="0"/>
              <w:marBottom w:val="0"/>
              <w:divBdr>
                <w:top w:val="none" w:sz="0" w:space="0" w:color="auto"/>
                <w:left w:val="none" w:sz="0" w:space="0" w:color="auto"/>
                <w:bottom w:val="none" w:sz="0" w:space="0" w:color="auto"/>
                <w:right w:val="none" w:sz="0" w:space="0" w:color="auto"/>
              </w:divBdr>
            </w:div>
            <w:div w:id="537202811">
              <w:marLeft w:val="0"/>
              <w:marRight w:val="0"/>
              <w:marTop w:val="0"/>
              <w:marBottom w:val="0"/>
              <w:divBdr>
                <w:top w:val="none" w:sz="0" w:space="0" w:color="auto"/>
                <w:left w:val="none" w:sz="0" w:space="0" w:color="auto"/>
                <w:bottom w:val="none" w:sz="0" w:space="0" w:color="auto"/>
                <w:right w:val="none" w:sz="0" w:space="0" w:color="auto"/>
              </w:divBdr>
            </w:div>
            <w:div w:id="770777925">
              <w:marLeft w:val="0"/>
              <w:marRight w:val="0"/>
              <w:marTop w:val="0"/>
              <w:marBottom w:val="0"/>
              <w:divBdr>
                <w:top w:val="none" w:sz="0" w:space="0" w:color="auto"/>
                <w:left w:val="none" w:sz="0" w:space="0" w:color="auto"/>
                <w:bottom w:val="none" w:sz="0" w:space="0" w:color="auto"/>
                <w:right w:val="none" w:sz="0" w:space="0" w:color="auto"/>
              </w:divBdr>
            </w:div>
            <w:div w:id="837572098">
              <w:marLeft w:val="0"/>
              <w:marRight w:val="0"/>
              <w:marTop w:val="0"/>
              <w:marBottom w:val="0"/>
              <w:divBdr>
                <w:top w:val="none" w:sz="0" w:space="0" w:color="auto"/>
                <w:left w:val="none" w:sz="0" w:space="0" w:color="auto"/>
                <w:bottom w:val="none" w:sz="0" w:space="0" w:color="auto"/>
                <w:right w:val="none" w:sz="0" w:space="0" w:color="auto"/>
              </w:divBdr>
            </w:div>
            <w:div w:id="837699000">
              <w:marLeft w:val="0"/>
              <w:marRight w:val="0"/>
              <w:marTop w:val="0"/>
              <w:marBottom w:val="0"/>
              <w:divBdr>
                <w:top w:val="none" w:sz="0" w:space="0" w:color="auto"/>
                <w:left w:val="none" w:sz="0" w:space="0" w:color="auto"/>
                <w:bottom w:val="none" w:sz="0" w:space="0" w:color="auto"/>
                <w:right w:val="none" w:sz="0" w:space="0" w:color="auto"/>
              </w:divBdr>
            </w:div>
            <w:div w:id="876162770">
              <w:marLeft w:val="0"/>
              <w:marRight w:val="0"/>
              <w:marTop w:val="0"/>
              <w:marBottom w:val="0"/>
              <w:divBdr>
                <w:top w:val="none" w:sz="0" w:space="0" w:color="auto"/>
                <w:left w:val="none" w:sz="0" w:space="0" w:color="auto"/>
                <w:bottom w:val="none" w:sz="0" w:space="0" w:color="auto"/>
                <w:right w:val="none" w:sz="0" w:space="0" w:color="auto"/>
              </w:divBdr>
            </w:div>
            <w:div w:id="947272683">
              <w:marLeft w:val="0"/>
              <w:marRight w:val="0"/>
              <w:marTop w:val="0"/>
              <w:marBottom w:val="0"/>
              <w:divBdr>
                <w:top w:val="none" w:sz="0" w:space="0" w:color="auto"/>
                <w:left w:val="none" w:sz="0" w:space="0" w:color="auto"/>
                <w:bottom w:val="none" w:sz="0" w:space="0" w:color="auto"/>
                <w:right w:val="none" w:sz="0" w:space="0" w:color="auto"/>
              </w:divBdr>
            </w:div>
            <w:div w:id="1072850540">
              <w:marLeft w:val="0"/>
              <w:marRight w:val="0"/>
              <w:marTop w:val="0"/>
              <w:marBottom w:val="0"/>
              <w:divBdr>
                <w:top w:val="none" w:sz="0" w:space="0" w:color="auto"/>
                <w:left w:val="none" w:sz="0" w:space="0" w:color="auto"/>
                <w:bottom w:val="none" w:sz="0" w:space="0" w:color="auto"/>
                <w:right w:val="none" w:sz="0" w:space="0" w:color="auto"/>
              </w:divBdr>
            </w:div>
            <w:div w:id="1347173664">
              <w:marLeft w:val="0"/>
              <w:marRight w:val="0"/>
              <w:marTop w:val="0"/>
              <w:marBottom w:val="0"/>
              <w:divBdr>
                <w:top w:val="none" w:sz="0" w:space="0" w:color="auto"/>
                <w:left w:val="none" w:sz="0" w:space="0" w:color="auto"/>
                <w:bottom w:val="none" w:sz="0" w:space="0" w:color="auto"/>
                <w:right w:val="none" w:sz="0" w:space="0" w:color="auto"/>
              </w:divBdr>
            </w:div>
            <w:div w:id="1365011632">
              <w:marLeft w:val="0"/>
              <w:marRight w:val="0"/>
              <w:marTop w:val="0"/>
              <w:marBottom w:val="0"/>
              <w:divBdr>
                <w:top w:val="none" w:sz="0" w:space="0" w:color="auto"/>
                <w:left w:val="none" w:sz="0" w:space="0" w:color="auto"/>
                <w:bottom w:val="none" w:sz="0" w:space="0" w:color="auto"/>
                <w:right w:val="none" w:sz="0" w:space="0" w:color="auto"/>
              </w:divBdr>
            </w:div>
            <w:div w:id="1888181732">
              <w:marLeft w:val="0"/>
              <w:marRight w:val="0"/>
              <w:marTop w:val="0"/>
              <w:marBottom w:val="0"/>
              <w:divBdr>
                <w:top w:val="none" w:sz="0" w:space="0" w:color="auto"/>
                <w:left w:val="none" w:sz="0" w:space="0" w:color="auto"/>
                <w:bottom w:val="none" w:sz="0" w:space="0" w:color="auto"/>
                <w:right w:val="none" w:sz="0" w:space="0" w:color="auto"/>
              </w:divBdr>
            </w:div>
            <w:div w:id="1893227300">
              <w:marLeft w:val="0"/>
              <w:marRight w:val="0"/>
              <w:marTop w:val="0"/>
              <w:marBottom w:val="0"/>
              <w:divBdr>
                <w:top w:val="none" w:sz="0" w:space="0" w:color="auto"/>
                <w:left w:val="none" w:sz="0" w:space="0" w:color="auto"/>
                <w:bottom w:val="none" w:sz="0" w:space="0" w:color="auto"/>
                <w:right w:val="none" w:sz="0" w:space="0" w:color="auto"/>
              </w:divBdr>
            </w:div>
            <w:div w:id="2099593275">
              <w:marLeft w:val="0"/>
              <w:marRight w:val="0"/>
              <w:marTop w:val="0"/>
              <w:marBottom w:val="0"/>
              <w:divBdr>
                <w:top w:val="none" w:sz="0" w:space="0" w:color="auto"/>
                <w:left w:val="none" w:sz="0" w:space="0" w:color="auto"/>
                <w:bottom w:val="none" w:sz="0" w:space="0" w:color="auto"/>
                <w:right w:val="none" w:sz="0" w:space="0" w:color="auto"/>
              </w:divBdr>
            </w:div>
          </w:divsChild>
        </w:div>
        <w:div w:id="750276199">
          <w:marLeft w:val="0"/>
          <w:marRight w:val="0"/>
          <w:marTop w:val="0"/>
          <w:marBottom w:val="0"/>
          <w:divBdr>
            <w:top w:val="none" w:sz="0" w:space="0" w:color="auto"/>
            <w:left w:val="none" w:sz="0" w:space="0" w:color="auto"/>
            <w:bottom w:val="none" w:sz="0" w:space="0" w:color="auto"/>
            <w:right w:val="none" w:sz="0" w:space="0" w:color="auto"/>
          </w:divBdr>
        </w:div>
        <w:div w:id="765002800">
          <w:marLeft w:val="0"/>
          <w:marRight w:val="0"/>
          <w:marTop w:val="0"/>
          <w:marBottom w:val="0"/>
          <w:divBdr>
            <w:top w:val="none" w:sz="0" w:space="0" w:color="auto"/>
            <w:left w:val="none" w:sz="0" w:space="0" w:color="auto"/>
            <w:bottom w:val="none" w:sz="0" w:space="0" w:color="auto"/>
            <w:right w:val="none" w:sz="0" w:space="0" w:color="auto"/>
          </w:divBdr>
        </w:div>
        <w:div w:id="775709106">
          <w:marLeft w:val="0"/>
          <w:marRight w:val="0"/>
          <w:marTop w:val="0"/>
          <w:marBottom w:val="0"/>
          <w:divBdr>
            <w:top w:val="none" w:sz="0" w:space="0" w:color="auto"/>
            <w:left w:val="none" w:sz="0" w:space="0" w:color="auto"/>
            <w:bottom w:val="none" w:sz="0" w:space="0" w:color="auto"/>
            <w:right w:val="none" w:sz="0" w:space="0" w:color="auto"/>
          </w:divBdr>
        </w:div>
        <w:div w:id="780491975">
          <w:marLeft w:val="0"/>
          <w:marRight w:val="0"/>
          <w:marTop w:val="0"/>
          <w:marBottom w:val="0"/>
          <w:divBdr>
            <w:top w:val="none" w:sz="0" w:space="0" w:color="auto"/>
            <w:left w:val="none" w:sz="0" w:space="0" w:color="auto"/>
            <w:bottom w:val="none" w:sz="0" w:space="0" w:color="auto"/>
            <w:right w:val="none" w:sz="0" w:space="0" w:color="auto"/>
          </w:divBdr>
        </w:div>
        <w:div w:id="781850783">
          <w:marLeft w:val="0"/>
          <w:marRight w:val="0"/>
          <w:marTop w:val="0"/>
          <w:marBottom w:val="0"/>
          <w:divBdr>
            <w:top w:val="none" w:sz="0" w:space="0" w:color="auto"/>
            <w:left w:val="none" w:sz="0" w:space="0" w:color="auto"/>
            <w:bottom w:val="none" w:sz="0" w:space="0" w:color="auto"/>
            <w:right w:val="none" w:sz="0" w:space="0" w:color="auto"/>
          </w:divBdr>
        </w:div>
        <w:div w:id="809633200">
          <w:marLeft w:val="0"/>
          <w:marRight w:val="0"/>
          <w:marTop w:val="0"/>
          <w:marBottom w:val="0"/>
          <w:divBdr>
            <w:top w:val="none" w:sz="0" w:space="0" w:color="auto"/>
            <w:left w:val="none" w:sz="0" w:space="0" w:color="auto"/>
            <w:bottom w:val="none" w:sz="0" w:space="0" w:color="auto"/>
            <w:right w:val="none" w:sz="0" w:space="0" w:color="auto"/>
          </w:divBdr>
          <w:divsChild>
            <w:div w:id="68237961">
              <w:marLeft w:val="0"/>
              <w:marRight w:val="0"/>
              <w:marTop w:val="0"/>
              <w:marBottom w:val="0"/>
              <w:divBdr>
                <w:top w:val="none" w:sz="0" w:space="0" w:color="auto"/>
                <w:left w:val="none" w:sz="0" w:space="0" w:color="auto"/>
                <w:bottom w:val="none" w:sz="0" w:space="0" w:color="auto"/>
                <w:right w:val="none" w:sz="0" w:space="0" w:color="auto"/>
              </w:divBdr>
            </w:div>
            <w:div w:id="77823470">
              <w:marLeft w:val="0"/>
              <w:marRight w:val="0"/>
              <w:marTop w:val="0"/>
              <w:marBottom w:val="0"/>
              <w:divBdr>
                <w:top w:val="none" w:sz="0" w:space="0" w:color="auto"/>
                <w:left w:val="none" w:sz="0" w:space="0" w:color="auto"/>
                <w:bottom w:val="none" w:sz="0" w:space="0" w:color="auto"/>
                <w:right w:val="none" w:sz="0" w:space="0" w:color="auto"/>
              </w:divBdr>
            </w:div>
            <w:div w:id="89400933">
              <w:marLeft w:val="0"/>
              <w:marRight w:val="0"/>
              <w:marTop w:val="0"/>
              <w:marBottom w:val="0"/>
              <w:divBdr>
                <w:top w:val="none" w:sz="0" w:space="0" w:color="auto"/>
                <w:left w:val="none" w:sz="0" w:space="0" w:color="auto"/>
                <w:bottom w:val="none" w:sz="0" w:space="0" w:color="auto"/>
                <w:right w:val="none" w:sz="0" w:space="0" w:color="auto"/>
              </w:divBdr>
            </w:div>
            <w:div w:id="157355525">
              <w:marLeft w:val="0"/>
              <w:marRight w:val="0"/>
              <w:marTop w:val="0"/>
              <w:marBottom w:val="0"/>
              <w:divBdr>
                <w:top w:val="none" w:sz="0" w:space="0" w:color="auto"/>
                <w:left w:val="none" w:sz="0" w:space="0" w:color="auto"/>
                <w:bottom w:val="none" w:sz="0" w:space="0" w:color="auto"/>
                <w:right w:val="none" w:sz="0" w:space="0" w:color="auto"/>
              </w:divBdr>
            </w:div>
            <w:div w:id="248587467">
              <w:marLeft w:val="0"/>
              <w:marRight w:val="0"/>
              <w:marTop w:val="0"/>
              <w:marBottom w:val="0"/>
              <w:divBdr>
                <w:top w:val="none" w:sz="0" w:space="0" w:color="auto"/>
                <w:left w:val="none" w:sz="0" w:space="0" w:color="auto"/>
                <w:bottom w:val="none" w:sz="0" w:space="0" w:color="auto"/>
                <w:right w:val="none" w:sz="0" w:space="0" w:color="auto"/>
              </w:divBdr>
            </w:div>
            <w:div w:id="484856023">
              <w:marLeft w:val="0"/>
              <w:marRight w:val="0"/>
              <w:marTop w:val="0"/>
              <w:marBottom w:val="0"/>
              <w:divBdr>
                <w:top w:val="none" w:sz="0" w:space="0" w:color="auto"/>
                <w:left w:val="none" w:sz="0" w:space="0" w:color="auto"/>
                <w:bottom w:val="none" w:sz="0" w:space="0" w:color="auto"/>
                <w:right w:val="none" w:sz="0" w:space="0" w:color="auto"/>
              </w:divBdr>
            </w:div>
            <w:div w:id="634797689">
              <w:marLeft w:val="0"/>
              <w:marRight w:val="0"/>
              <w:marTop w:val="0"/>
              <w:marBottom w:val="0"/>
              <w:divBdr>
                <w:top w:val="none" w:sz="0" w:space="0" w:color="auto"/>
                <w:left w:val="none" w:sz="0" w:space="0" w:color="auto"/>
                <w:bottom w:val="none" w:sz="0" w:space="0" w:color="auto"/>
                <w:right w:val="none" w:sz="0" w:space="0" w:color="auto"/>
              </w:divBdr>
            </w:div>
            <w:div w:id="1035078653">
              <w:marLeft w:val="0"/>
              <w:marRight w:val="0"/>
              <w:marTop w:val="0"/>
              <w:marBottom w:val="0"/>
              <w:divBdr>
                <w:top w:val="none" w:sz="0" w:space="0" w:color="auto"/>
                <w:left w:val="none" w:sz="0" w:space="0" w:color="auto"/>
                <w:bottom w:val="none" w:sz="0" w:space="0" w:color="auto"/>
                <w:right w:val="none" w:sz="0" w:space="0" w:color="auto"/>
              </w:divBdr>
            </w:div>
            <w:div w:id="1109087757">
              <w:marLeft w:val="0"/>
              <w:marRight w:val="0"/>
              <w:marTop w:val="0"/>
              <w:marBottom w:val="0"/>
              <w:divBdr>
                <w:top w:val="none" w:sz="0" w:space="0" w:color="auto"/>
                <w:left w:val="none" w:sz="0" w:space="0" w:color="auto"/>
                <w:bottom w:val="none" w:sz="0" w:space="0" w:color="auto"/>
                <w:right w:val="none" w:sz="0" w:space="0" w:color="auto"/>
              </w:divBdr>
            </w:div>
            <w:div w:id="1144933463">
              <w:marLeft w:val="0"/>
              <w:marRight w:val="0"/>
              <w:marTop w:val="0"/>
              <w:marBottom w:val="0"/>
              <w:divBdr>
                <w:top w:val="none" w:sz="0" w:space="0" w:color="auto"/>
                <w:left w:val="none" w:sz="0" w:space="0" w:color="auto"/>
                <w:bottom w:val="none" w:sz="0" w:space="0" w:color="auto"/>
                <w:right w:val="none" w:sz="0" w:space="0" w:color="auto"/>
              </w:divBdr>
            </w:div>
            <w:div w:id="1172455508">
              <w:marLeft w:val="0"/>
              <w:marRight w:val="0"/>
              <w:marTop w:val="0"/>
              <w:marBottom w:val="0"/>
              <w:divBdr>
                <w:top w:val="none" w:sz="0" w:space="0" w:color="auto"/>
                <w:left w:val="none" w:sz="0" w:space="0" w:color="auto"/>
                <w:bottom w:val="none" w:sz="0" w:space="0" w:color="auto"/>
                <w:right w:val="none" w:sz="0" w:space="0" w:color="auto"/>
              </w:divBdr>
            </w:div>
            <w:div w:id="1353336403">
              <w:marLeft w:val="0"/>
              <w:marRight w:val="0"/>
              <w:marTop w:val="0"/>
              <w:marBottom w:val="0"/>
              <w:divBdr>
                <w:top w:val="none" w:sz="0" w:space="0" w:color="auto"/>
                <w:left w:val="none" w:sz="0" w:space="0" w:color="auto"/>
                <w:bottom w:val="none" w:sz="0" w:space="0" w:color="auto"/>
                <w:right w:val="none" w:sz="0" w:space="0" w:color="auto"/>
              </w:divBdr>
            </w:div>
            <w:div w:id="1395589855">
              <w:marLeft w:val="0"/>
              <w:marRight w:val="0"/>
              <w:marTop w:val="0"/>
              <w:marBottom w:val="0"/>
              <w:divBdr>
                <w:top w:val="none" w:sz="0" w:space="0" w:color="auto"/>
                <w:left w:val="none" w:sz="0" w:space="0" w:color="auto"/>
                <w:bottom w:val="none" w:sz="0" w:space="0" w:color="auto"/>
                <w:right w:val="none" w:sz="0" w:space="0" w:color="auto"/>
              </w:divBdr>
            </w:div>
            <w:div w:id="1713268279">
              <w:marLeft w:val="0"/>
              <w:marRight w:val="0"/>
              <w:marTop w:val="0"/>
              <w:marBottom w:val="0"/>
              <w:divBdr>
                <w:top w:val="none" w:sz="0" w:space="0" w:color="auto"/>
                <w:left w:val="none" w:sz="0" w:space="0" w:color="auto"/>
                <w:bottom w:val="none" w:sz="0" w:space="0" w:color="auto"/>
                <w:right w:val="none" w:sz="0" w:space="0" w:color="auto"/>
              </w:divBdr>
            </w:div>
            <w:div w:id="1773208952">
              <w:marLeft w:val="0"/>
              <w:marRight w:val="0"/>
              <w:marTop w:val="0"/>
              <w:marBottom w:val="0"/>
              <w:divBdr>
                <w:top w:val="none" w:sz="0" w:space="0" w:color="auto"/>
                <w:left w:val="none" w:sz="0" w:space="0" w:color="auto"/>
                <w:bottom w:val="none" w:sz="0" w:space="0" w:color="auto"/>
                <w:right w:val="none" w:sz="0" w:space="0" w:color="auto"/>
              </w:divBdr>
            </w:div>
            <w:div w:id="1773889531">
              <w:marLeft w:val="0"/>
              <w:marRight w:val="0"/>
              <w:marTop w:val="0"/>
              <w:marBottom w:val="0"/>
              <w:divBdr>
                <w:top w:val="none" w:sz="0" w:space="0" w:color="auto"/>
                <w:left w:val="none" w:sz="0" w:space="0" w:color="auto"/>
                <w:bottom w:val="none" w:sz="0" w:space="0" w:color="auto"/>
                <w:right w:val="none" w:sz="0" w:space="0" w:color="auto"/>
              </w:divBdr>
            </w:div>
            <w:div w:id="1799103617">
              <w:marLeft w:val="0"/>
              <w:marRight w:val="0"/>
              <w:marTop w:val="0"/>
              <w:marBottom w:val="0"/>
              <w:divBdr>
                <w:top w:val="none" w:sz="0" w:space="0" w:color="auto"/>
                <w:left w:val="none" w:sz="0" w:space="0" w:color="auto"/>
                <w:bottom w:val="none" w:sz="0" w:space="0" w:color="auto"/>
                <w:right w:val="none" w:sz="0" w:space="0" w:color="auto"/>
              </w:divBdr>
            </w:div>
            <w:div w:id="1922836535">
              <w:marLeft w:val="0"/>
              <w:marRight w:val="0"/>
              <w:marTop w:val="0"/>
              <w:marBottom w:val="0"/>
              <w:divBdr>
                <w:top w:val="none" w:sz="0" w:space="0" w:color="auto"/>
                <w:left w:val="none" w:sz="0" w:space="0" w:color="auto"/>
                <w:bottom w:val="none" w:sz="0" w:space="0" w:color="auto"/>
                <w:right w:val="none" w:sz="0" w:space="0" w:color="auto"/>
              </w:divBdr>
            </w:div>
            <w:div w:id="2000495769">
              <w:marLeft w:val="0"/>
              <w:marRight w:val="0"/>
              <w:marTop w:val="0"/>
              <w:marBottom w:val="0"/>
              <w:divBdr>
                <w:top w:val="none" w:sz="0" w:space="0" w:color="auto"/>
                <w:left w:val="none" w:sz="0" w:space="0" w:color="auto"/>
                <w:bottom w:val="none" w:sz="0" w:space="0" w:color="auto"/>
                <w:right w:val="none" w:sz="0" w:space="0" w:color="auto"/>
              </w:divBdr>
            </w:div>
            <w:div w:id="2056192285">
              <w:marLeft w:val="0"/>
              <w:marRight w:val="0"/>
              <w:marTop w:val="0"/>
              <w:marBottom w:val="0"/>
              <w:divBdr>
                <w:top w:val="none" w:sz="0" w:space="0" w:color="auto"/>
                <w:left w:val="none" w:sz="0" w:space="0" w:color="auto"/>
                <w:bottom w:val="none" w:sz="0" w:space="0" w:color="auto"/>
                <w:right w:val="none" w:sz="0" w:space="0" w:color="auto"/>
              </w:divBdr>
            </w:div>
          </w:divsChild>
        </w:div>
        <w:div w:id="873812026">
          <w:marLeft w:val="0"/>
          <w:marRight w:val="0"/>
          <w:marTop w:val="0"/>
          <w:marBottom w:val="0"/>
          <w:divBdr>
            <w:top w:val="none" w:sz="0" w:space="0" w:color="auto"/>
            <w:left w:val="none" w:sz="0" w:space="0" w:color="auto"/>
            <w:bottom w:val="none" w:sz="0" w:space="0" w:color="auto"/>
            <w:right w:val="none" w:sz="0" w:space="0" w:color="auto"/>
          </w:divBdr>
        </w:div>
        <w:div w:id="883172977">
          <w:marLeft w:val="0"/>
          <w:marRight w:val="0"/>
          <w:marTop w:val="0"/>
          <w:marBottom w:val="0"/>
          <w:divBdr>
            <w:top w:val="none" w:sz="0" w:space="0" w:color="auto"/>
            <w:left w:val="none" w:sz="0" w:space="0" w:color="auto"/>
            <w:bottom w:val="none" w:sz="0" w:space="0" w:color="auto"/>
            <w:right w:val="none" w:sz="0" w:space="0" w:color="auto"/>
          </w:divBdr>
        </w:div>
        <w:div w:id="887763823">
          <w:marLeft w:val="0"/>
          <w:marRight w:val="0"/>
          <w:marTop w:val="0"/>
          <w:marBottom w:val="0"/>
          <w:divBdr>
            <w:top w:val="none" w:sz="0" w:space="0" w:color="auto"/>
            <w:left w:val="none" w:sz="0" w:space="0" w:color="auto"/>
            <w:bottom w:val="none" w:sz="0" w:space="0" w:color="auto"/>
            <w:right w:val="none" w:sz="0" w:space="0" w:color="auto"/>
          </w:divBdr>
          <w:divsChild>
            <w:div w:id="16857321">
              <w:marLeft w:val="0"/>
              <w:marRight w:val="0"/>
              <w:marTop w:val="0"/>
              <w:marBottom w:val="0"/>
              <w:divBdr>
                <w:top w:val="none" w:sz="0" w:space="0" w:color="auto"/>
                <w:left w:val="none" w:sz="0" w:space="0" w:color="auto"/>
                <w:bottom w:val="none" w:sz="0" w:space="0" w:color="auto"/>
                <w:right w:val="none" w:sz="0" w:space="0" w:color="auto"/>
              </w:divBdr>
            </w:div>
            <w:div w:id="31200447">
              <w:marLeft w:val="0"/>
              <w:marRight w:val="0"/>
              <w:marTop w:val="0"/>
              <w:marBottom w:val="0"/>
              <w:divBdr>
                <w:top w:val="none" w:sz="0" w:space="0" w:color="auto"/>
                <w:left w:val="none" w:sz="0" w:space="0" w:color="auto"/>
                <w:bottom w:val="none" w:sz="0" w:space="0" w:color="auto"/>
                <w:right w:val="none" w:sz="0" w:space="0" w:color="auto"/>
              </w:divBdr>
            </w:div>
            <w:div w:id="44917467">
              <w:marLeft w:val="0"/>
              <w:marRight w:val="0"/>
              <w:marTop w:val="0"/>
              <w:marBottom w:val="0"/>
              <w:divBdr>
                <w:top w:val="none" w:sz="0" w:space="0" w:color="auto"/>
                <w:left w:val="none" w:sz="0" w:space="0" w:color="auto"/>
                <w:bottom w:val="none" w:sz="0" w:space="0" w:color="auto"/>
                <w:right w:val="none" w:sz="0" w:space="0" w:color="auto"/>
              </w:divBdr>
            </w:div>
            <w:div w:id="265967135">
              <w:marLeft w:val="0"/>
              <w:marRight w:val="0"/>
              <w:marTop w:val="0"/>
              <w:marBottom w:val="0"/>
              <w:divBdr>
                <w:top w:val="none" w:sz="0" w:space="0" w:color="auto"/>
                <w:left w:val="none" w:sz="0" w:space="0" w:color="auto"/>
                <w:bottom w:val="none" w:sz="0" w:space="0" w:color="auto"/>
                <w:right w:val="none" w:sz="0" w:space="0" w:color="auto"/>
              </w:divBdr>
            </w:div>
            <w:div w:id="390424619">
              <w:marLeft w:val="0"/>
              <w:marRight w:val="0"/>
              <w:marTop w:val="0"/>
              <w:marBottom w:val="0"/>
              <w:divBdr>
                <w:top w:val="none" w:sz="0" w:space="0" w:color="auto"/>
                <w:left w:val="none" w:sz="0" w:space="0" w:color="auto"/>
                <w:bottom w:val="none" w:sz="0" w:space="0" w:color="auto"/>
                <w:right w:val="none" w:sz="0" w:space="0" w:color="auto"/>
              </w:divBdr>
            </w:div>
            <w:div w:id="599147751">
              <w:marLeft w:val="0"/>
              <w:marRight w:val="0"/>
              <w:marTop w:val="0"/>
              <w:marBottom w:val="0"/>
              <w:divBdr>
                <w:top w:val="none" w:sz="0" w:space="0" w:color="auto"/>
                <w:left w:val="none" w:sz="0" w:space="0" w:color="auto"/>
                <w:bottom w:val="none" w:sz="0" w:space="0" w:color="auto"/>
                <w:right w:val="none" w:sz="0" w:space="0" w:color="auto"/>
              </w:divBdr>
            </w:div>
            <w:div w:id="911965010">
              <w:marLeft w:val="0"/>
              <w:marRight w:val="0"/>
              <w:marTop w:val="0"/>
              <w:marBottom w:val="0"/>
              <w:divBdr>
                <w:top w:val="none" w:sz="0" w:space="0" w:color="auto"/>
                <w:left w:val="none" w:sz="0" w:space="0" w:color="auto"/>
                <w:bottom w:val="none" w:sz="0" w:space="0" w:color="auto"/>
                <w:right w:val="none" w:sz="0" w:space="0" w:color="auto"/>
              </w:divBdr>
            </w:div>
            <w:div w:id="994145302">
              <w:marLeft w:val="0"/>
              <w:marRight w:val="0"/>
              <w:marTop w:val="0"/>
              <w:marBottom w:val="0"/>
              <w:divBdr>
                <w:top w:val="none" w:sz="0" w:space="0" w:color="auto"/>
                <w:left w:val="none" w:sz="0" w:space="0" w:color="auto"/>
                <w:bottom w:val="none" w:sz="0" w:space="0" w:color="auto"/>
                <w:right w:val="none" w:sz="0" w:space="0" w:color="auto"/>
              </w:divBdr>
            </w:div>
            <w:div w:id="1057974381">
              <w:marLeft w:val="0"/>
              <w:marRight w:val="0"/>
              <w:marTop w:val="0"/>
              <w:marBottom w:val="0"/>
              <w:divBdr>
                <w:top w:val="none" w:sz="0" w:space="0" w:color="auto"/>
                <w:left w:val="none" w:sz="0" w:space="0" w:color="auto"/>
                <w:bottom w:val="none" w:sz="0" w:space="0" w:color="auto"/>
                <w:right w:val="none" w:sz="0" w:space="0" w:color="auto"/>
              </w:divBdr>
            </w:div>
            <w:div w:id="1280063710">
              <w:marLeft w:val="0"/>
              <w:marRight w:val="0"/>
              <w:marTop w:val="0"/>
              <w:marBottom w:val="0"/>
              <w:divBdr>
                <w:top w:val="none" w:sz="0" w:space="0" w:color="auto"/>
                <w:left w:val="none" w:sz="0" w:space="0" w:color="auto"/>
                <w:bottom w:val="none" w:sz="0" w:space="0" w:color="auto"/>
                <w:right w:val="none" w:sz="0" w:space="0" w:color="auto"/>
              </w:divBdr>
            </w:div>
            <w:div w:id="1350064942">
              <w:marLeft w:val="0"/>
              <w:marRight w:val="0"/>
              <w:marTop w:val="0"/>
              <w:marBottom w:val="0"/>
              <w:divBdr>
                <w:top w:val="none" w:sz="0" w:space="0" w:color="auto"/>
                <w:left w:val="none" w:sz="0" w:space="0" w:color="auto"/>
                <w:bottom w:val="none" w:sz="0" w:space="0" w:color="auto"/>
                <w:right w:val="none" w:sz="0" w:space="0" w:color="auto"/>
              </w:divBdr>
            </w:div>
            <w:div w:id="1386829681">
              <w:marLeft w:val="0"/>
              <w:marRight w:val="0"/>
              <w:marTop w:val="0"/>
              <w:marBottom w:val="0"/>
              <w:divBdr>
                <w:top w:val="none" w:sz="0" w:space="0" w:color="auto"/>
                <w:left w:val="none" w:sz="0" w:space="0" w:color="auto"/>
                <w:bottom w:val="none" w:sz="0" w:space="0" w:color="auto"/>
                <w:right w:val="none" w:sz="0" w:space="0" w:color="auto"/>
              </w:divBdr>
            </w:div>
            <w:div w:id="1565870683">
              <w:marLeft w:val="0"/>
              <w:marRight w:val="0"/>
              <w:marTop w:val="0"/>
              <w:marBottom w:val="0"/>
              <w:divBdr>
                <w:top w:val="none" w:sz="0" w:space="0" w:color="auto"/>
                <w:left w:val="none" w:sz="0" w:space="0" w:color="auto"/>
                <w:bottom w:val="none" w:sz="0" w:space="0" w:color="auto"/>
                <w:right w:val="none" w:sz="0" w:space="0" w:color="auto"/>
              </w:divBdr>
            </w:div>
            <w:div w:id="1628508371">
              <w:marLeft w:val="0"/>
              <w:marRight w:val="0"/>
              <w:marTop w:val="0"/>
              <w:marBottom w:val="0"/>
              <w:divBdr>
                <w:top w:val="none" w:sz="0" w:space="0" w:color="auto"/>
                <w:left w:val="none" w:sz="0" w:space="0" w:color="auto"/>
                <w:bottom w:val="none" w:sz="0" w:space="0" w:color="auto"/>
                <w:right w:val="none" w:sz="0" w:space="0" w:color="auto"/>
              </w:divBdr>
            </w:div>
            <w:div w:id="1912999480">
              <w:marLeft w:val="0"/>
              <w:marRight w:val="0"/>
              <w:marTop w:val="0"/>
              <w:marBottom w:val="0"/>
              <w:divBdr>
                <w:top w:val="none" w:sz="0" w:space="0" w:color="auto"/>
                <w:left w:val="none" w:sz="0" w:space="0" w:color="auto"/>
                <w:bottom w:val="none" w:sz="0" w:space="0" w:color="auto"/>
                <w:right w:val="none" w:sz="0" w:space="0" w:color="auto"/>
              </w:divBdr>
            </w:div>
            <w:div w:id="1967926948">
              <w:marLeft w:val="0"/>
              <w:marRight w:val="0"/>
              <w:marTop w:val="0"/>
              <w:marBottom w:val="0"/>
              <w:divBdr>
                <w:top w:val="none" w:sz="0" w:space="0" w:color="auto"/>
                <w:left w:val="none" w:sz="0" w:space="0" w:color="auto"/>
                <w:bottom w:val="none" w:sz="0" w:space="0" w:color="auto"/>
                <w:right w:val="none" w:sz="0" w:space="0" w:color="auto"/>
              </w:divBdr>
            </w:div>
            <w:div w:id="2008627194">
              <w:marLeft w:val="0"/>
              <w:marRight w:val="0"/>
              <w:marTop w:val="0"/>
              <w:marBottom w:val="0"/>
              <w:divBdr>
                <w:top w:val="none" w:sz="0" w:space="0" w:color="auto"/>
                <w:left w:val="none" w:sz="0" w:space="0" w:color="auto"/>
                <w:bottom w:val="none" w:sz="0" w:space="0" w:color="auto"/>
                <w:right w:val="none" w:sz="0" w:space="0" w:color="auto"/>
              </w:divBdr>
            </w:div>
            <w:div w:id="2088572659">
              <w:marLeft w:val="0"/>
              <w:marRight w:val="0"/>
              <w:marTop w:val="0"/>
              <w:marBottom w:val="0"/>
              <w:divBdr>
                <w:top w:val="none" w:sz="0" w:space="0" w:color="auto"/>
                <w:left w:val="none" w:sz="0" w:space="0" w:color="auto"/>
                <w:bottom w:val="none" w:sz="0" w:space="0" w:color="auto"/>
                <w:right w:val="none" w:sz="0" w:space="0" w:color="auto"/>
              </w:divBdr>
            </w:div>
            <w:div w:id="2141414154">
              <w:marLeft w:val="0"/>
              <w:marRight w:val="0"/>
              <w:marTop w:val="0"/>
              <w:marBottom w:val="0"/>
              <w:divBdr>
                <w:top w:val="none" w:sz="0" w:space="0" w:color="auto"/>
                <w:left w:val="none" w:sz="0" w:space="0" w:color="auto"/>
                <w:bottom w:val="none" w:sz="0" w:space="0" w:color="auto"/>
                <w:right w:val="none" w:sz="0" w:space="0" w:color="auto"/>
              </w:divBdr>
            </w:div>
            <w:div w:id="2146459998">
              <w:marLeft w:val="0"/>
              <w:marRight w:val="0"/>
              <w:marTop w:val="0"/>
              <w:marBottom w:val="0"/>
              <w:divBdr>
                <w:top w:val="none" w:sz="0" w:space="0" w:color="auto"/>
                <w:left w:val="none" w:sz="0" w:space="0" w:color="auto"/>
                <w:bottom w:val="none" w:sz="0" w:space="0" w:color="auto"/>
                <w:right w:val="none" w:sz="0" w:space="0" w:color="auto"/>
              </w:divBdr>
            </w:div>
          </w:divsChild>
        </w:div>
        <w:div w:id="893468464">
          <w:marLeft w:val="0"/>
          <w:marRight w:val="0"/>
          <w:marTop w:val="0"/>
          <w:marBottom w:val="0"/>
          <w:divBdr>
            <w:top w:val="none" w:sz="0" w:space="0" w:color="auto"/>
            <w:left w:val="none" w:sz="0" w:space="0" w:color="auto"/>
            <w:bottom w:val="none" w:sz="0" w:space="0" w:color="auto"/>
            <w:right w:val="none" w:sz="0" w:space="0" w:color="auto"/>
          </w:divBdr>
        </w:div>
        <w:div w:id="896470911">
          <w:marLeft w:val="0"/>
          <w:marRight w:val="0"/>
          <w:marTop w:val="0"/>
          <w:marBottom w:val="0"/>
          <w:divBdr>
            <w:top w:val="none" w:sz="0" w:space="0" w:color="auto"/>
            <w:left w:val="none" w:sz="0" w:space="0" w:color="auto"/>
            <w:bottom w:val="none" w:sz="0" w:space="0" w:color="auto"/>
            <w:right w:val="none" w:sz="0" w:space="0" w:color="auto"/>
          </w:divBdr>
        </w:div>
        <w:div w:id="906957132">
          <w:marLeft w:val="0"/>
          <w:marRight w:val="0"/>
          <w:marTop w:val="0"/>
          <w:marBottom w:val="0"/>
          <w:divBdr>
            <w:top w:val="none" w:sz="0" w:space="0" w:color="auto"/>
            <w:left w:val="none" w:sz="0" w:space="0" w:color="auto"/>
            <w:bottom w:val="none" w:sz="0" w:space="0" w:color="auto"/>
            <w:right w:val="none" w:sz="0" w:space="0" w:color="auto"/>
          </w:divBdr>
        </w:div>
        <w:div w:id="948659733">
          <w:marLeft w:val="0"/>
          <w:marRight w:val="0"/>
          <w:marTop w:val="0"/>
          <w:marBottom w:val="0"/>
          <w:divBdr>
            <w:top w:val="none" w:sz="0" w:space="0" w:color="auto"/>
            <w:left w:val="none" w:sz="0" w:space="0" w:color="auto"/>
            <w:bottom w:val="none" w:sz="0" w:space="0" w:color="auto"/>
            <w:right w:val="none" w:sz="0" w:space="0" w:color="auto"/>
          </w:divBdr>
        </w:div>
        <w:div w:id="978267420">
          <w:marLeft w:val="0"/>
          <w:marRight w:val="0"/>
          <w:marTop w:val="0"/>
          <w:marBottom w:val="0"/>
          <w:divBdr>
            <w:top w:val="none" w:sz="0" w:space="0" w:color="auto"/>
            <w:left w:val="none" w:sz="0" w:space="0" w:color="auto"/>
            <w:bottom w:val="none" w:sz="0" w:space="0" w:color="auto"/>
            <w:right w:val="none" w:sz="0" w:space="0" w:color="auto"/>
          </w:divBdr>
        </w:div>
        <w:div w:id="981228740">
          <w:marLeft w:val="0"/>
          <w:marRight w:val="0"/>
          <w:marTop w:val="0"/>
          <w:marBottom w:val="0"/>
          <w:divBdr>
            <w:top w:val="none" w:sz="0" w:space="0" w:color="auto"/>
            <w:left w:val="none" w:sz="0" w:space="0" w:color="auto"/>
            <w:bottom w:val="none" w:sz="0" w:space="0" w:color="auto"/>
            <w:right w:val="none" w:sz="0" w:space="0" w:color="auto"/>
          </w:divBdr>
        </w:div>
        <w:div w:id="991298798">
          <w:marLeft w:val="0"/>
          <w:marRight w:val="0"/>
          <w:marTop w:val="0"/>
          <w:marBottom w:val="0"/>
          <w:divBdr>
            <w:top w:val="none" w:sz="0" w:space="0" w:color="auto"/>
            <w:left w:val="none" w:sz="0" w:space="0" w:color="auto"/>
            <w:bottom w:val="none" w:sz="0" w:space="0" w:color="auto"/>
            <w:right w:val="none" w:sz="0" w:space="0" w:color="auto"/>
          </w:divBdr>
        </w:div>
        <w:div w:id="1010639817">
          <w:marLeft w:val="0"/>
          <w:marRight w:val="0"/>
          <w:marTop w:val="0"/>
          <w:marBottom w:val="0"/>
          <w:divBdr>
            <w:top w:val="none" w:sz="0" w:space="0" w:color="auto"/>
            <w:left w:val="none" w:sz="0" w:space="0" w:color="auto"/>
            <w:bottom w:val="none" w:sz="0" w:space="0" w:color="auto"/>
            <w:right w:val="none" w:sz="0" w:space="0" w:color="auto"/>
          </w:divBdr>
        </w:div>
        <w:div w:id="1022589761">
          <w:marLeft w:val="0"/>
          <w:marRight w:val="0"/>
          <w:marTop w:val="0"/>
          <w:marBottom w:val="0"/>
          <w:divBdr>
            <w:top w:val="none" w:sz="0" w:space="0" w:color="auto"/>
            <w:left w:val="none" w:sz="0" w:space="0" w:color="auto"/>
            <w:bottom w:val="none" w:sz="0" w:space="0" w:color="auto"/>
            <w:right w:val="none" w:sz="0" w:space="0" w:color="auto"/>
          </w:divBdr>
        </w:div>
        <w:div w:id="1036126747">
          <w:marLeft w:val="0"/>
          <w:marRight w:val="0"/>
          <w:marTop w:val="0"/>
          <w:marBottom w:val="0"/>
          <w:divBdr>
            <w:top w:val="none" w:sz="0" w:space="0" w:color="auto"/>
            <w:left w:val="none" w:sz="0" w:space="0" w:color="auto"/>
            <w:bottom w:val="none" w:sz="0" w:space="0" w:color="auto"/>
            <w:right w:val="none" w:sz="0" w:space="0" w:color="auto"/>
          </w:divBdr>
        </w:div>
        <w:div w:id="1072197544">
          <w:marLeft w:val="0"/>
          <w:marRight w:val="0"/>
          <w:marTop w:val="0"/>
          <w:marBottom w:val="0"/>
          <w:divBdr>
            <w:top w:val="none" w:sz="0" w:space="0" w:color="auto"/>
            <w:left w:val="none" w:sz="0" w:space="0" w:color="auto"/>
            <w:bottom w:val="none" w:sz="0" w:space="0" w:color="auto"/>
            <w:right w:val="none" w:sz="0" w:space="0" w:color="auto"/>
          </w:divBdr>
        </w:div>
        <w:div w:id="1073550463">
          <w:marLeft w:val="0"/>
          <w:marRight w:val="0"/>
          <w:marTop w:val="0"/>
          <w:marBottom w:val="0"/>
          <w:divBdr>
            <w:top w:val="none" w:sz="0" w:space="0" w:color="auto"/>
            <w:left w:val="none" w:sz="0" w:space="0" w:color="auto"/>
            <w:bottom w:val="none" w:sz="0" w:space="0" w:color="auto"/>
            <w:right w:val="none" w:sz="0" w:space="0" w:color="auto"/>
          </w:divBdr>
        </w:div>
        <w:div w:id="1084298287">
          <w:marLeft w:val="0"/>
          <w:marRight w:val="0"/>
          <w:marTop w:val="0"/>
          <w:marBottom w:val="0"/>
          <w:divBdr>
            <w:top w:val="none" w:sz="0" w:space="0" w:color="auto"/>
            <w:left w:val="none" w:sz="0" w:space="0" w:color="auto"/>
            <w:bottom w:val="none" w:sz="0" w:space="0" w:color="auto"/>
            <w:right w:val="none" w:sz="0" w:space="0" w:color="auto"/>
          </w:divBdr>
          <w:divsChild>
            <w:div w:id="15087166">
              <w:marLeft w:val="0"/>
              <w:marRight w:val="0"/>
              <w:marTop w:val="0"/>
              <w:marBottom w:val="0"/>
              <w:divBdr>
                <w:top w:val="none" w:sz="0" w:space="0" w:color="auto"/>
                <w:left w:val="none" w:sz="0" w:space="0" w:color="auto"/>
                <w:bottom w:val="none" w:sz="0" w:space="0" w:color="auto"/>
                <w:right w:val="none" w:sz="0" w:space="0" w:color="auto"/>
              </w:divBdr>
            </w:div>
            <w:div w:id="63456883">
              <w:marLeft w:val="0"/>
              <w:marRight w:val="0"/>
              <w:marTop w:val="0"/>
              <w:marBottom w:val="0"/>
              <w:divBdr>
                <w:top w:val="none" w:sz="0" w:space="0" w:color="auto"/>
                <w:left w:val="none" w:sz="0" w:space="0" w:color="auto"/>
                <w:bottom w:val="none" w:sz="0" w:space="0" w:color="auto"/>
                <w:right w:val="none" w:sz="0" w:space="0" w:color="auto"/>
              </w:divBdr>
            </w:div>
            <w:div w:id="171455965">
              <w:marLeft w:val="0"/>
              <w:marRight w:val="0"/>
              <w:marTop w:val="0"/>
              <w:marBottom w:val="0"/>
              <w:divBdr>
                <w:top w:val="none" w:sz="0" w:space="0" w:color="auto"/>
                <w:left w:val="none" w:sz="0" w:space="0" w:color="auto"/>
                <w:bottom w:val="none" w:sz="0" w:space="0" w:color="auto"/>
                <w:right w:val="none" w:sz="0" w:space="0" w:color="auto"/>
              </w:divBdr>
            </w:div>
            <w:div w:id="186214950">
              <w:marLeft w:val="0"/>
              <w:marRight w:val="0"/>
              <w:marTop w:val="0"/>
              <w:marBottom w:val="0"/>
              <w:divBdr>
                <w:top w:val="none" w:sz="0" w:space="0" w:color="auto"/>
                <w:left w:val="none" w:sz="0" w:space="0" w:color="auto"/>
                <w:bottom w:val="none" w:sz="0" w:space="0" w:color="auto"/>
                <w:right w:val="none" w:sz="0" w:space="0" w:color="auto"/>
              </w:divBdr>
            </w:div>
            <w:div w:id="367486919">
              <w:marLeft w:val="0"/>
              <w:marRight w:val="0"/>
              <w:marTop w:val="0"/>
              <w:marBottom w:val="0"/>
              <w:divBdr>
                <w:top w:val="none" w:sz="0" w:space="0" w:color="auto"/>
                <w:left w:val="none" w:sz="0" w:space="0" w:color="auto"/>
                <w:bottom w:val="none" w:sz="0" w:space="0" w:color="auto"/>
                <w:right w:val="none" w:sz="0" w:space="0" w:color="auto"/>
              </w:divBdr>
            </w:div>
            <w:div w:id="602305174">
              <w:marLeft w:val="0"/>
              <w:marRight w:val="0"/>
              <w:marTop w:val="0"/>
              <w:marBottom w:val="0"/>
              <w:divBdr>
                <w:top w:val="none" w:sz="0" w:space="0" w:color="auto"/>
                <w:left w:val="none" w:sz="0" w:space="0" w:color="auto"/>
                <w:bottom w:val="none" w:sz="0" w:space="0" w:color="auto"/>
                <w:right w:val="none" w:sz="0" w:space="0" w:color="auto"/>
              </w:divBdr>
            </w:div>
            <w:div w:id="670909295">
              <w:marLeft w:val="0"/>
              <w:marRight w:val="0"/>
              <w:marTop w:val="0"/>
              <w:marBottom w:val="0"/>
              <w:divBdr>
                <w:top w:val="none" w:sz="0" w:space="0" w:color="auto"/>
                <w:left w:val="none" w:sz="0" w:space="0" w:color="auto"/>
                <w:bottom w:val="none" w:sz="0" w:space="0" w:color="auto"/>
                <w:right w:val="none" w:sz="0" w:space="0" w:color="auto"/>
              </w:divBdr>
            </w:div>
            <w:div w:id="742072451">
              <w:marLeft w:val="0"/>
              <w:marRight w:val="0"/>
              <w:marTop w:val="0"/>
              <w:marBottom w:val="0"/>
              <w:divBdr>
                <w:top w:val="none" w:sz="0" w:space="0" w:color="auto"/>
                <w:left w:val="none" w:sz="0" w:space="0" w:color="auto"/>
                <w:bottom w:val="none" w:sz="0" w:space="0" w:color="auto"/>
                <w:right w:val="none" w:sz="0" w:space="0" w:color="auto"/>
              </w:divBdr>
            </w:div>
            <w:div w:id="929318187">
              <w:marLeft w:val="0"/>
              <w:marRight w:val="0"/>
              <w:marTop w:val="0"/>
              <w:marBottom w:val="0"/>
              <w:divBdr>
                <w:top w:val="none" w:sz="0" w:space="0" w:color="auto"/>
                <w:left w:val="none" w:sz="0" w:space="0" w:color="auto"/>
                <w:bottom w:val="none" w:sz="0" w:space="0" w:color="auto"/>
                <w:right w:val="none" w:sz="0" w:space="0" w:color="auto"/>
              </w:divBdr>
            </w:div>
            <w:div w:id="941500009">
              <w:marLeft w:val="0"/>
              <w:marRight w:val="0"/>
              <w:marTop w:val="0"/>
              <w:marBottom w:val="0"/>
              <w:divBdr>
                <w:top w:val="none" w:sz="0" w:space="0" w:color="auto"/>
                <w:left w:val="none" w:sz="0" w:space="0" w:color="auto"/>
                <w:bottom w:val="none" w:sz="0" w:space="0" w:color="auto"/>
                <w:right w:val="none" w:sz="0" w:space="0" w:color="auto"/>
              </w:divBdr>
            </w:div>
            <w:div w:id="1044712971">
              <w:marLeft w:val="0"/>
              <w:marRight w:val="0"/>
              <w:marTop w:val="0"/>
              <w:marBottom w:val="0"/>
              <w:divBdr>
                <w:top w:val="none" w:sz="0" w:space="0" w:color="auto"/>
                <w:left w:val="none" w:sz="0" w:space="0" w:color="auto"/>
                <w:bottom w:val="none" w:sz="0" w:space="0" w:color="auto"/>
                <w:right w:val="none" w:sz="0" w:space="0" w:color="auto"/>
              </w:divBdr>
            </w:div>
            <w:div w:id="1063915100">
              <w:marLeft w:val="0"/>
              <w:marRight w:val="0"/>
              <w:marTop w:val="0"/>
              <w:marBottom w:val="0"/>
              <w:divBdr>
                <w:top w:val="none" w:sz="0" w:space="0" w:color="auto"/>
                <w:left w:val="none" w:sz="0" w:space="0" w:color="auto"/>
                <w:bottom w:val="none" w:sz="0" w:space="0" w:color="auto"/>
                <w:right w:val="none" w:sz="0" w:space="0" w:color="auto"/>
              </w:divBdr>
            </w:div>
            <w:div w:id="1432580758">
              <w:marLeft w:val="0"/>
              <w:marRight w:val="0"/>
              <w:marTop w:val="0"/>
              <w:marBottom w:val="0"/>
              <w:divBdr>
                <w:top w:val="none" w:sz="0" w:space="0" w:color="auto"/>
                <w:left w:val="none" w:sz="0" w:space="0" w:color="auto"/>
                <w:bottom w:val="none" w:sz="0" w:space="0" w:color="auto"/>
                <w:right w:val="none" w:sz="0" w:space="0" w:color="auto"/>
              </w:divBdr>
            </w:div>
            <w:div w:id="1454640547">
              <w:marLeft w:val="0"/>
              <w:marRight w:val="0"/>
              <w:marTop w:val="0"/>
              <w:marBottom w:val="0"/>
              <w:divBdr>
                <w:top w:val="none" w:sz="0" w:space="0" w:color="auto"/>
                <w:left w:val="none" w:sz="0" w:space="0" w:color="auto"/>
                <w:bottom w:val="none" w:sz="0" w:space="0" w:color="auto"/>
                <w:right w:val="none" w:sz="0" w:space="0" w:color="auto"/>
              </w:divBdr>
            </w:div>
            <w:div w:id="1458836087">
              <w:marLeft w:val="0"/>
              <w:marRight w:val="0"/>
              <w:marTop w:val="0"/>
              <w:marBottom w:val="0"/>
              <w:divBdr>
                <w:top w:val="none" w:sz="0" w:space="0" w:color="auto"/>
                <w:left w:val="none" w:sz="0" w:space="0" w:color="auto"/>
                <w:bottom w:val="none" w:sz="0" w:space="0" w:color="auto"/>
                <w:right w:val="none" w:sz="0" w:space="0" w:color="auto"/>
              </w:divBdr>
            </w:div>
            <w:div w:id="1615019786">
              <w:marLeft w:val="0"/>
              <w:marRight w:val="0"/>
              <w:marTop w:val="0"/>
              <w:marBottom w:val="0"/>
              <w:divBdr>
                <w:top w:val="none" w:sz="0" w:space="0" w:color="auto"/>
                <w:left w:val="none" w:sz="0" w:space="0" w:color="auto"/>
                <w:bottom w:val="none" w:sz="0" w:space="0" w:color="auto"/>
                <w:right w:val="none" w:sz="0" w:space="0" w:color="auto"/>
              </w:divBdr>
            </w:div>
            <w:div w:id="1835992676">
              <w:marLeft w:val="0"/>
              <w:marRight w:val="0"/>
              <w:marTop w:val="0"/>
              <w:marBottom w:val="0"/>
              <w:divBdr>
                <w:top w:val="none" w:sz="0" w:space="0" w:color="auto"/>
                <w:left w:val="none" w:sz="0" w:space="0" w:color="auto"/>
                <w:bottom w:val="none" w:sz="0" w:space="0" w:color="auto"/>
                <w:right w:val="none" w:sz="0" w:space="0" w:color="auto"/>
              </w:divBdr>
            </w:div>
            <w:div w:id="2002074249">
              <w:marLeft w:val="0"/>
              <w:marRight w:val="0"/>
              <w:marTop w:val="0"/>
              <w:marBottom w:val="0"/>
              <w:divBdr>
                <w:top w:val="none" w:sz="0" w:space="0" w:color="auto"/>
                <w:left w:val="none" w:sz="0" w:space="0" w:color="auto"/>
                <w:bottom w:val="none" w:sz="0" w:space="0" w:color="auto"/>
                <w:right w:val="none" w:sz="0" w:space="0" w:color="auto"/>
              </w:divBdr>
            </w:div>
            <w:div w:id="2013877824">
              <w:marLeft w:val="0"/>
              <w:marRight w:val="0"/>
              <w:marTop w:val="0"/>
              <w:marBottom w:val="0"/>
              <w:divBdr>
                <w:top w:val="none" w:sz="0" w:space="0" w:color="auto"/>
                <w:left w:val="none" w:sz="0" w:space="0" w:color="auto"/>
                <w:bottom w:val="none" w:sz="0" w:space="0" w:color="auto"/>
                <w:right w:val="none" w:sz="0" w:space="0" w:color="auto"/>
              </w:divBdr>
            </w:div>
            <w:div w:id="2122383661">
              <w:marLeft w:val="0"/>
              <w:marRight w:val="0"/>
              <w:marTop w:val="0"/>
              <w:marBottom w:val="0"/>
              <w:divBdr>
                <w:top w:val="none" w:sz="0" w:space="0" w:color="auto"/>
                <w:left w:val="none" w:sz="0" w:space="0" w:color="auto"/>
                <w:bottom w:val="none" w:sz="0" w:space="0" w:color="auto"/>
                <w:right w:val="none" w:sz="0" w:space="0" w:color="auto"/>
              </w:divBdr>
            </w:div>
          </w:divsChild>
        </w:div>
        <w:div w:id="1095201049">
          <w:marLeft w:val="0"/>
          <w:marRight w:val="0"/>
          <w:marTop w:val="0"/>
          <w:marBottom w:val="0"/>
          <w:divBdr>
            <w:top w:val="none" w:sz="0" w:space="0" w:color="auto"/>
            <w:left w:val="none" w:sz="0" w:space="0" w:color="auto"/>
            <w:bottom w:val="none" w:sz="0" w:space="0" w:color="auto"/>
            <w:right w:val="none" w:sz="0" w:space="0" w:color="auto"/>
          </w:divBdr>
        </w:div>
        <w:div w:id="1100955193">
          <w:marLeft w:val="0"/>
          <w:marRight w:val="0"/>
          <w:marTop w:val="0"/>
          <w:marBottom w:val="0"/>
          <w:divBdr>
            <w:top w:val="none" w:sz="0" w:space="0" w:color="auto"/>
            <w:left w:val="none" w:sz="0" w:space="0" w:color="auto"/>
            <w:bottom w:val="none" w:sz="0" w:space="0" w:color="auto"/>
            <w:right w:val="none" w:sz="0" w:space="0" w:color="auto"/>
          </w:divBdr>
          <w:divsChild>
            <w:div w:id="195242833">
              <w:marLeft w:val="0"/>
              <w:marRight w:val="0"/>
              <w:marTop w:val="0"/>
              <w:marBottom w:val="0"/>
              <w:divBdr>
                <w:top w:val="none" w:sz="0" w:space="0" w:color="auto"/>
                <w:left w:val="none" w:sz="0" w:space="0" w:color="auto"/>
                <w:bottom w:val="none" w:sz="0" w:space="0" w:color="auto"/>
                <w:right w:val="none" w:sz="0" w:space="0" w:color="auto"/>
              </w:divBdr>
            </w:div>
            <w:div w:id="263731556">
              <w:marLeft w:val="0"/>
              <w:marRight w:val="0"/>
              <w:marTop w:val="0"/>
              <w:marBottom w:val="0"/>
              <w:divBdr>
                <w:top w:val="none" w:sz="0" w:space="0" w:color="auto"/>
                <w:left w:val="none" w:sz="0" w:space="0" w:color="auto"/>
                <w:bottom w:val="none" w:sz="0" w:space="0" w:color="auto"/>
                <w:right w:val="none" w:sz="0" w:space="0" w:color="auto"/>
              </w:divBdr>
            </w:div>
            <w:div w:id="326711023">
              <w:marLeft w:val="0"/>
              <w:marRight w:val="0"/>
              <w:marTop w:val="0"/>
              <w:marBottom w:val="0"/>
              <w:divBdr>
                <w:top w:val="none" w:sz="0" w:space="0" w:color="auto"/>
                <w:left w:val="none" w:sz="0" w:space="0" w:color="auto"/>
                <w:bottom w:val="none" w:sz="0" w:space="0" w:color="auto"/>
                <w:right w:val="none" w:sz="0" w:space="0" w:color="auto"/>
              </w:divBdr>
            </w:div>
            <w:div w:id="496309297">
              <w:marLeft w:val="0"/>
              <w:marRight w:val="0"/>
              <w:marTop w:val="0"/>
              <w:marBottom w:val="0"/>
              <w:divBdr>
                <w:top w:val="none" w:sz="0" w:space="0" w:color="auto"/>
                <w:left w:val="none" w:sz="0" w:space="0" w:color="auto"/>
                <w:bottom w:val="none" w:sz="0" w:space="0" w:color="auto"/>
                <w:right w:val="none" w:sz="0" w:space="0" w:color="auto"/>
              </w:divBdr>
            </w:div>
            <w:div w:id="546986209">
              <w:marLeft w:val="0"/>
              <w:marRight w:val="0"/>
              <w:marTop w:val="0"/>
              <w:marBottom w:val="0"/>
              <w:divBdr>
                <w:top w:val="none" w:sz="0" w:space="0" w:color="auto"/>
                <w:left w:val="none" w:sz="0" w:space="0" w:color="auto"/>
                <w:bottom w:val="none" w:sz="0" w:space="0" w:color="auto"/>
                <w:right w:val="none" w:sz="0" w:space="0" w:color="auto"/>
              </w:divBdr>
            </w:div>
            <w:div w:id="557129803">
              <w:marLeft w:val="0"/>
              <w:marRight w:val="0"/>
              <w:marTop w:val="0"/>
              <w:marBottom w:val="0"/>
              <w:divBdr>
                <w:top w:val="none" w:sz="0" w:space="0" w:color="auto"/>
                <w:left w:val="none" w:sz="0" w:space="0" w:color="auto"/>
                <w:bottom w:val="none" w:sz="0" w:space="0" w:color="auto"/>
                <w:right w:val="none" w:sz="0" w:space="0" w:color="auto"/>
              </w:divBdr>
            </w:div>
            <w:div w:id="778724212">
              <w:marLeft w:val="0"/>
              <w:marRight w:val="0"/>
              <w:marTop w:val="0"/>
              <w:marBottom w:val="0"/>
              <w:divBdr>
                <w:top w:val="none" w:sz="0" w:space="0" w:color="auto"/>
                <w:left w:val="none" w:sz="0" w:space="0" w:color="auto"/>
                <w:bottom w:val="none" w:sz="0" w:space="0" w:color="auto"/>
                <w:right w:val="none" w:sz="0" w:space="0" w:color="auto"/>
              </w:divBdr>
            </w:div>
            <w:div w:id="868759398">
              <w:marLeft w:val="0"/>
              <w:marRight w:val="0"/>
              <w:marTop w:val="0"/>
              <w:marBottom w:val="0"/>
              <w:divBdr>
                <w:top w:val="none" w:sz="0" w:space="0" w:color="auto"/>
                <w:left w:val="none" w:sz="0" w:space="0" w:color="auto"/>
                <w:bottom w:val="none" w:sz="0" w:space="0" w:color="auto"/>
                <w:right w:val="none" w:sz="0" w:space="0" w:color="auto"/>
              </w:divBdr>
            </w:div>
            <w:div w:id="1075470358">
              <w:marLeft w:val="0"/>
              <w:marRight w:val="0"/>
              <w:marTop w:val="0"/>
              <w:marBottom w:val="0"/>
              <w:divBdr>
                <w:top w:val="none" w:sz="0" w:space="0" w:color="auto"/>
                <w:left w:val="none" w:sz="0" w:space="0" w:color="auto"/>
                <w:bottom w:val="none" w:sz="0" w:space="0" w:color="auto"/>
                <w:right w:val="none" w:sz="0" w:space="0" w:color="auto"/>
              </w:divBdr>
            </w:div>
            <w:div w:id="1197695789">
              <w:marLeft w:val="0"/>
              <w:marRight w:val="0"/>
              <w:marTop w:val="0"/>
              <w:marBottom w:val="0"/>
              <w:divBdr>
                <w:top w:val="none" w:sz="0" w:space="0" w:color="auto"/>
                <w:left w:val="none" w:sz="0" w:space="0" w:color="auto"/>
                <w:bottom w:val="none" w:sz="0" w:space="0" w:color="auto"/>
                <w:right w:val="none" w:sz="0" w:space="0" w:color="auto"/>
              </w:divBdr>
            </w:div>
            <w:div w:id="1240167471">
              <w:marLeft w:val="0"/>
              <w:marRight w:val="0"/>
              <w:marTop w:val="0"/>
              <w:marBottom w:val="0"/>
              <w:divBdr>
                <w:top w:val="none" w:sz="0" w:space="0" w:color="auto"/>
                <w:left w:val="none" w:sz="0" w:space="0" w:color="auto"/>
                <w:bottom w:val="none" w:sz="0" w:space="0" w:color="auto"/>
                <w:right w:val="none" w:sz="0" w:space="0" w:color="auto"/>
              </w:divBdr>
            </w:div>
            <w:div w:id="1264680416">
              <w:marLeft w:val="0"/>
              <w:marRight w:val="0"/>
              <w:marTop w:val="0"/>
              <w:marBottom w:val="0"/>
              <w:divBdr>
                <w:top w:val="none" w:sz="0" w:space="0" w:color="auto"/>
                <w:left w:val="none" w:sz="0" w:space="0" w:color="auto"/>
                <w:bottom w:val="none" w:sz="0" w:space="0" w:color="auto"/>
                <w:right w:val="none" w:sz="0" w:space="0" w:color="auto"/>
              </w:divBdr>
            </w:div>
            <w:div w:id="1416122331">
              <w:marLeft w:val="0"/>
              <w:marRight w:val="0"/>
              <w:marTop w:val="0"/>
              <w:marBottom w:val="0"/>
              <w:divBdr>
                <w:top w:val="none" w:sz="0" w:space="0" w:color="auto"/>
                <w:left w:val="none" w:sz="0" w:space="0" w:color="auto"/>
                <w:bottom w:val="none" w:sz="0" w:space="0" w:color="auto"/>
                <w:right w:val="none" w:sz="0" w:space="0" w:color="auto"/>
              </w:divBdr>
            </w:div>
            <w:div w:id="1510363232">
              <w:marLeft w:val="0"/>
              <w:marRight w:val="0"/>
              <w:marTop w:val="0"/>
              <w:marBottom w:val="0"/>
              <w:divBdr>
                <w:top w:val="none" w:sz="0" w:space="0" w:color="auto"/>
                <w:left w:val="none" w:sz="0" w:space="0" w:color="auto"/>
                <w:bottom w:val="none" w:sz="0" w:space="0" w:color="auto"/>
                <w:right w:val="none" w:sz="0" w:space="0" w:color="auto"/>
              </w:divBdr>
            </w:div>
            <w:div w:id="1530215132">
              <w:marLeft w:val="0"/>
              <w:marRight w:val="0"/>
              <w:marTop w:val="0"/>
              <w:marBottom w:val="0"/>
              <w:divBdr>
                <w:top w:val="none" w:sz="0" w:space="0" w:color="auto"/>
                <w:left w:val="none" w:sz="0" w:space="0" w:color="auto"/>
                <w:bottom w:val="none" w:sz="0" w:space="0" w:color="auto"/>
                <w:right w:val="none" w:sz="0" w:space="0" w:color="auto"/>
              </w:divBdr>
            </w:div>
            <w:div w:id="1730347105">
              <w:marLeft w:val="0"/>
              <w:marRight w:val="0"/>
              <w:marTop w:val="0"/>
              <w:marBottom w:val="0"/>
              <w:divBdr>
                <w:top w:val="none" w:sz="0" w:space="0" w:color="auto"/>
                <w:left w:val="none" w:sz="0" w:space="0" w:color="auto"/>
                <w:bottom w:val="none" w:sz="0" w:space="0" w:color="auto"/>
                <w:right w:val="none" w:sz="0" w:space="0" w:color="auto"/>
              </w:divBdr>
            </w:div>
            <w:div w:id="1740597392">
              <w:marLeft w:val="0"/>
              <w:marRight w:val="0"/>
              <w:marTop w:val="0"/>
              <w:marBottom w:val="0"/>
              <w:divBdr>
                <w:top w:val="none" w:sz="0" w:space="0" w:color="auto"/>
                <w:left w:val="none" w:sz="0" w:space="0" w:color="auto"/>
                <w:bottom w:val="none" w:sz="0" w:space="0" w:color="auto"/>
                <w:right w:val="none" w:sz="0" w:space="0" w:color="auto"/>
              </w:divBdr>
            </w:div>
            <w:div w:id="1828940862">
              <w:marLeft w:val="0"/>
              <w:marRight w:val="0"/>
              <w:marTop w:val="0"/>
              <w:marBottom w:val="0"/>
              <w:divBdr>
                <w:top w:val="none" w:sz="0" w:space="0" w:color="auto"/>
                <w:left w:val="none" w:sz="0" w:space="0" w:color="auto"/>
                <w:bottom w:val="none" w:sz="0" w:space="0" w:color="auto"/>
                <w:right w:val="none" w:sz="0" w:space="0" w:color="auto"/>
              </w:divBdr>
            </w:div>
            <w:div w:id="1883203071">
              <w:marLeft w:val="0"/>
              <w:marRight w:val="0"/>
              <w:marTop w:val="0"/>
              <w:marBottom w:val="0"/>
              <w:divBdr>
                <w:top w:val="none" w:sz="0" w:space="0" w:color="auto"/>
                <w:left w:val="none" w:sz="0" w:space="0" w:color="auto"/>
                <w:bottom w:val="none" w:sz="0" w:space="0" w:color="auto"/>
                <w:right w:val="none" w:sz="0" w:space="0" w:color="auto"/>
              </w:divBdr>
            </w:div>
            <w:div w:id="2005818259">
              <w:marLeft w:val="0"/>
              <w:marRight w:val="0"/>
              <w:marTop w:val="0"/>
              <w:marBottom w:val="0"/>
              <w:divBdr>
                <w:top w:val="none" w:sz="0" w:space="0" w:color="auto"/>
                <w:left w:val="none" w:sz="0" w:space="0" w:color="auto"/>
                <w:bottom w:val="none" w:sz="0" w:space="0" w:color="auto"/>
                <w:right w:val="none" w:sz="0" w:space="0" w:color="auto"/>
              </w:divBdr>
            </w:div>
          </w:divsChild>
        </w:div>
        <w:div w:id="1110125455">
          <w:marLeft w:val="0"/>
          <w:marRight w:val="0"/>
          <w:marTop w:val="0"/>
          <w:marBottom w:val="0"/>
          <w:divBdr>
            <w:top w:val="none" w:sz="0" w:space="0" w:color="auto"/>
            <w:left w:val="none" w:sz="0" w:space="0" w:color="auto"/>
            <w:bottom w:val="none" w:sz="0" w:space="0" w:color="auto"/>
            <w:right w:val="none" w:sz="0" w:space="0" w:color="auto"/>
          </w:divBdr>
        </w:div>
        <w:div w:id="1119839671">
          <w:marLeft w:val="0"/>
          <w:marRight w:val="0"/>
          <w:marTop w:val="0"/>
          <w:marBottom w:val="0"/>
          <w:divBdr>
            <w:top w:val="none" w:sz="0" w:space="0" w:color="auto"/>
            <w:left w:val="none" w:sz="0" w:space="0" w:color="auto"/>
            <w:bottom w:val="none" w:sz="0" w:space="0" w:color="auto"/>
            <w:right w:val="none" w:sz="0" w:space="0" w:color="auto"/>
          </w:divBdr>
        </w:div>
        <w:div w:id="1120034384">
          <w:marLeft w:val="0"/>
          <w:marRight w:val="0"/>
          <w:marTop w:val="0"/>
          <w:marBottom w:val="0"/>
          <w:divBdr>
            <w:top w:val="none" w:sz="0" w:space="0" w:color="auto"/>
            <w:left w:val="none" w:sz="0" w:space="0" w:color="auto"/>
            <w:bottom w:val="none" w:sz="0" w:space="0" w:color="auto"/>
            <w:right w:val="none" w:sz="0" w:space="0" w:color="auto"/>
          </w:divBdr>
          <w:divsChild>
            <w:div w:id="132450642">
              <w:marLeft w:val="0"/>
              <w:marRight w:val="0"/>
              <w:marTop w:val="0"/>
              <w:marBottom w:val="0"/>
              <w:divBdr>
                <w:top w:val="none" w:sz="0" w:space="0" w:color="auto"/>
                <w:left w:val="none" w:sz="0" w:space="0" w:color="auto"/>
                <w:bottom w:val="none" w:sz="0" w:space="0" w:color="auto"/>
                <w:right w:val="none" w:sz="0" w:space="0" w:color="auto"/>
              </w:divBdr>
            </w:div>
            <w:div w:id="491530758">
              <w:marLeft w:val="0"/>
              <w:marRight w:val="0"/>
              <w:marTop w:val="0"/>
              <w:marBottom w:val="0"/>
              <w:divBdr>
                <w:top w:val="none" w:sz="0" w:space="0" w:color="auto"/>
                <w:left w:val="none" w:sz="0" w:space="0" w:color="auto"/>
                <w:bottom w:val="none" w:sz="0" w:space="0" w:color="auto"/>
                <w:right w:val="none" w:sz="0" w:space="0" w:color="auto"/>
              </w:divBdr>
            </w:div>
            <w:div w:id="704017996">
              <w:marLeft w:val="0"/>
              <w:marRight w:val="0"/>
              <w:marTop w:val="0"/>
              <w:marBottom w:val="0"/>
              <w:divBdr>
                <w:top w:val="none" w:sz="0" w:space="0" w:color="auto"/>
                <w:left w:val="none" w:sz="0" w:space="0" w:color="auto"/>
                <w:bottom w:val="none" w:sz="0" w:space="0" w:color="auto"/>
                <w:right w:val="none" w:sz="0" w:space="0" w:color="auto"/>
              </w:divBdr>
            </w:div>
            <w:div w:id="724376086">
              <w:marLeft w:val="0"/>
              <w:marRight w:val="0"/>
              <w:marTop w:val="0"/>
              <w:marBottom w:val="0"/>
              <w:divBdr>
                <w:top w:val="none" w:sz="0" w:space="0" w:color="auto"/>
                <w:left w:val="none" w:sz="0" w:space="0" w:color="auto"/>
                <w:bottom w:val="none" w:sz="0" w:space="0" w:color="auto"/>
                <w:right w:val="none" w:sz="0" w:space="0" w:color="auto"/>
              </w:divBdr>
            </w:div>
            <w:div w:id="857473956">
              <w:marLeft w:val="0"/>
              <w:marRight w:val="0"/>
              <w:marTop w:val="0"/>
              <w:marBottom w:val="0"/>
              <w:divBdr>
                <w:top w:val="none" w:sz="0" w:space="0" w:color="auto"/>
                <w:left w:val="none" w:sz="0" w:space="0" w:color="auto"/>
                <w:bottom w:val="none" w:sz="0" w:space="0" w:color="auto"/>
                <w:right w:val="none" w:sz="0" w:space="0" w:color="auto"/>
              </w:divBdr>
            </w:div>
            <w:div w:id="869874791">
              <w:marLeft w:val="0"/>
              <w:marRight w:val="0"/>
              <w:marTop w:val="0"/>
              <w:marBottom w:val="0"/>
              <w:divBdr>
                <w:top w:val="none" w:sz="0" w:space="0" w:color="auto"/>
                <w:left w:val="none" w:sz="0" w:space="0" w:color="auto"/>
                <w:bottom w:val="none" w:sz="0" w:space="0" w:color="auto"/>
                <w:right w:val="none" w:sz="0" w:space="0" w:color="auto"/>
              </w:divBdr>
            </w:div>
            <w:div w:id="898440904">
              <w:marLeft w:val="0"/>
              <w:marRight w:val="0"/>
              <w:marTop w:val="0"/>
              <w:marBottom w:val="0"/>
              <w:divBdr>
                <w:top w:val="none" w:sz="0" w:space="0" w:color="auto"/>
                <w:left w:val="none" w:sz="0" w:space="0" w:color="auto"/>
                <w:bottom w:val="none" w:sz="0" w:space="0" w:color="auto"/>
                <w:right w:val="none" w:sz="0" w:space="0" w:color="auto"/>
              </w:divBdr>
            </w:div>
            <w:div w:id="1054742485">
              <w:marLeft w:val="0"/>
              <w:marRight w:val="0"/>
              <w:marTop w:val="0"/>
              <w:marBottom w:val="0"/>
              <w:divBdr>
                <w:top w:val="none" w:sz="0" w:space="0" w:color="auto"/>
                <w:left w:val="none" w:sz="0" w:space="0" w:color="auto"/>
                <w:bottom w:val="none" w:sz="0" w:space="0" w:color="auto"/>
                <w:right w:val="none" w:sz="0" w:space="0" w:color="auto"/>
              </w:divBdr>
            </w:div>
            <w:div w:id="1159687981">
              <w:marLeft w:val="0"/>
              <w:marRight w:val="0"/>
              <w:marTop w:val="0"/>
              <w:marBottom w:val="0"/>
              <w:divBdr>
                <w:top w:val="none" w:sz="0" w:space="0" w:color="auto"/>
                <w:left w:val="none" w:sz="0" w:space="0" w:color="auto"/>
                <w:bottom w:val="none" w:sz="0" w:space="0" w:color="auto"/>
                <w:right w:val="none" w:sz="0" w:space="0" w:color="auto"/>
              </w:divBdr>
            </w:div>
            <w:div w:id="1165777531">
              <w:marLeft w:val="0"/>
              <w:marRight w:val="0"/>
              <w:marTop w:val="0"/>
              <w:marBottom w:val="0"/>
              <w:divBdr>
                <w:top w:val="none" w:sz="0" w:space="0" w:color="auto"/>
                <w:left w:val="none" w:sz="0" w:space="0" w:color="auto"/>
                <w:bottom w:val="none" w:sz="0" w:space="0" w:color="auto"/>
                <w:right w:val="none" w:sz="0" w:space="0" w:color="auto"/>
              </w:divBdr>
            </w:div>
            <w:div w:id="1233589551">
              <w:marLeft w:val="0"/>
              <w:marRight w:val="0"/>
              <w:marTop w:val="0"/>
              <w:marBottom w:val="0"/>
              <w:divBdr>
                <w:top w:val="none" w:sz="0" w:space="0" w:color="auto"/>
                <w:left w:val="none" w:sz="0" w:space="0" w:color="auto"/>
                <w:bottom w:val="none" w:sz="0" w:space="0" w:color="auto"/>
                <w:right w:val="none" w:sz="0" w:space="0" w:color="auto"/>
              </w:divBdr>
            </w:div>
            <w:div w:id="1272472232">
              <w:marLeft w:val="0"/>
              <w:marRight w:val="0"/>
              <w:marTop w:val="0"/>
              <w:marBottom w:val="0"/>
              <w:divBdr>
                <w:top w:val="none" w:sz="0" w:space="0" w:color="auto"/>
                <w:left w:val="none" w:sz="0" w:space="0" w:color="auto"/>
                <w:bottom w:val="none" w:sz="0" w:space="0" w:color="auto"/>
                <w:right w:val="none" w:sz="0" w:space="0" w:color="auto"/>
              </w:divBdr>
            </w:div>
            <w:div w:id="1392582683">
              <w:marLeft w:val="0"/>
              <w:marRight w:val="0"/>
              <w:marTop w:val="0"/>
              <w:marBottom w:val="0"/>
              <w:divBdr>
                <w:top w:val="none" w:sz="0" w:space="0" w:color="auto"/>
                <w:left w:val="none" w:sz="0" w:space="0" w:color="auto"/>
                <w:bottom w:val="none" w:sz="0" w:space="0" w:color="auto"/>
                <w:right w:val="none" w:sz="0" w:space="0" w:color="auto"/>
              </w:divBdr>
            </w:div>
            <w:div w:id="1606422568">
              <w:marLeft w:val="0"/>
              <w:marRight w:val="0"/>
              <w:marTop w:val="0"/>
              <w:marBottom w:val="0"/>
              <w:divBdr>
                <w:top w:val="none" w:sz="0" w:space="0" w:color="auto"/>
                <w:left w:val="none" w:sz="0" w:space="0" w:color="auto"/>
                <w:bottom w:val="none" w:sz="0" w:space="0" w:color="auto"/>
                <w:right w:val="none" w:sz="0" w:space="0" w:color="auto"/>
              </w:divBdr>
            </w:div>
            <w:div w:id="1641576818">
              <w:marLeft w:val="0"/>
              <w:marRight w:val="0"/>
              <w:marTop w:val="0"/>
              <w:marBottom w:val="0"/>
              <w:divBdr>
                <w:top w:val="none" w:sz="0" w:space="0" w:color="auto"/>
                <w:left w:val="none" w:sz="0" w:space="0" w:color="auto"/>
                <w:bottom w:val="none" w:sz="0" w:space="0" w:color="auto"/>
                <w:right w:val="none" w:sz="0" w:space="0" w:color="auto"/>
              </w:divBdr>
            </w:div>
            <w:div w:id="1644580934">
              <w:marLeft w:val="0"/>
              <w:marRight w:val="0"/>
              <w:marTop w:val="0"/>
              <w:marBottom w:val="0"/>
              <w:divBdr>
                <w:top w:val="none" w:sz="0" w:space="0" w:color="auto"/>
                <w:left w:val="none" w:sz="0" w:space="0" w:color="auto"/>
                <w:bottom w:val="none" w:sz="0" w:space="0" w:color="auto"/>
                <w:right w:val="none" w:sz="0" w:space="0" w:color="auto"/>
              </w:divBdr>
            </w:div>
            <w:div w:id="1690907370">
              <w:marLeft w:val="0"/>
              <w:marRight w:val="0"/>
              <w:marTop w:val="0"/>
              <w:marBottom w:val="0"/>
              <w:divBdr>
                <w:top w:val="none" w:sz="0" w:space="0" w:color="auto"/>
                <w:left w:val="none" w:sz="0" w:space="0" w:color="auto"/>
                <w:bottom w:val="none" w:sz="0" w:space="0" w:color="auto"/>
                <w:right w:val="none" w:sz="0" w:space="0" w:color="auto"/>
              </w:divBdr>
            </w:div>
            <w:div w:id="1707828406">
              <w:marLeft w:val="0"/>
              <w:marRight w:val="0"/>
              <w:marTop w:val="0"/>
              <w:marBottom w:val="0"/>
              <w:divBdr>
                <w:top w:val="none" w:sz="0" w:space="0" w:color="auto"/>
                <w:left w:val="none" w:sz="0" w:space="0" w:color="auto"/>
                <w:bottom w:val="none" w:sz="0" w:space="0" w:color="auto"/>
                <w:right w:val="none" w:sz="0" w:space="0" w:color="auto"/>
              </w:divBdr>
            </w:div>
            <w:div w:id="1811635363">
              <w:marLeft w:val="0"/>
              <w:marRight w:val="0"/>
              <w:marTop w:val="0"/>
              <w:marBottom w:val="0"/>
              <w:divBdr>
                <w:top w:val="none" w:sz="0" w:space="0" w:color="auto"/>
                <w:left w:val="none" w:sz="0" w:space="0" w:color="auto"/>
                <w:bottom w:val="none" w:sz="0" w:space="0" w:color="auto"/>
                <w:right w:val="none" w:sz="0" w:space="0" w:color="auto"/>
              </w:divBdr>
            </w:div>
          </w:divsChild>
        </w:div>
        <w:div w:id="1135290701">
          <w:marLeft w:val="0"/>
          <w:marRight w:val="0"/>
          <w:marTop w:val="0"/>
          <w:marBottom w:val="0"/>
          <w:divBdr>
            <w:top w:val="none" w:sz="0" w:space="0" w:color="auto"/>
            <w:left w:val="none" w:sz="0" w:space="0" w:color="auto"/>
            <w:bottom w:val="none" w:sz="0" w:space="0" w:color="auto"/>
            <w:right w:val="none" w:sz="0" w:space="0" w:color="auto"/>
          </w:divBdr>
          <w:divsChild>
            <w:div w:id="248085003">
              <w:marLeft w:val="0"/>
              <w:marRight w:val="0"/>
              <w:marTop w:val="0"/>
              <w:marBottom w:val="0"/>
              <w:divBdr>
                <w:top w:val="none" w:sz="0" w:space="0" w:color="auto"/>
                <w:left w:val="none" w:sz="0" w:space="0" w:color="auto"/>
                <w:bottom w:val="none" w:sz="0" w:space="0" w:color="auto"/>
                <w:right w:val="none" w:sz="0" w:space="0" w:color="auto"/>
              </w:divBdr>
            </w:div>
            <w:div w:id="365722171">
              <w:marLeft w:val="0"/>
              <w:marRight w:val="0"/>
              <w:marTop w:val="0"/>
              <w:marBottom w:val="0"/>
              <w:divBdr>
                <w:top w:val="none" w:sz="0" w:space="0" w:color="auto"/>
                <w:left w:val="none" w:sz="0" w:space="0" w:color="auto"/>
                <w:bottom w:val="none" w:sz="0" w:space="0" w:color="auto"/>
                <w:right w:val="none" w:sz="0" w:space="0" w:color="auto"/>
              </w:divBdr>
            </w:div>
            <w:div w:id="374891176">
              <w:marLeft w:val="0"/>
              <w:marRight w:val="0"/>
              <w:marTop w:val="0"/>
              <w:marBottom w:val="0"/>
              <w:divBdr>
                <w:top w:val="none" w:sz="0" w:space="0" w:color="auto"/>
                <w:left w:val="none" w:sz="0" w:space="0" w:color="auto"/>
                <w:bottom w:val="none" w:sz="0" w:space="0" w:color="auto"/>
                <w:right w:val="none" w:sz="0" w:space="0" w:color="auto"/>
              </w:divBdr>
            </w:div>
            <w:div w:id="429398270">
              <w:marLeft w:val="0"/>
              <w:marRight w:val="0"/>
              <w:marTop w:val="0"/>
              <w:marBottom w:val="0"/>
              <w:divBdr>
                <w:top w:val="none" w:sz="0" w:space="0" w:color="auto"/>
                <w:left w:val="none" w:sz="0" w:space="0" w:color="auto"/>
                <w:bottom w:val="none" w:sz="0" w:space="0" w:color="auto"/>
                <w:right w:val="none" w:sz="0" w:space="0" w:color="auto"/>
              </w:divBdr>
            </w:div>
            <w:div w:id="507404436">
              <w:marLeft w:val="0"/>
              <w:marRight w:val="0"/>
              <w:marTop w:val="0"/>
              <w:marBottom w:val="0"/>
              <w:divBdr>
                <w:top w:val="none" w:sz="0" w:space="0" w:color="auto"/>
                <w:left w:val="none" w:sz="0" w:space="0" w:color="auto"/>
                <w:bottom w:val="none" w:sz="0" w:space="0" w:color="auto"/>
                <w:right w:val="none" w:sz="0" w:space="0" w:color="auto"/>
              </w:divBdr>
            </w:div>
            <w:div w:id="613829742">
              <w:marLeft w:val="0"/>
              <w:marRight w:val="0"/>
              <w:marTop w:val="0"/>
              <w:marBottom w:val="0"/>
              <w:divBdr>
                <w:top w:val="none" w:sz="0" w:space="0" w:color="auto"/>
                <w:left w:val="none" w:sz="0" w:space="0" w:color="auto"/>
                <w:bottom w:val="none" w:sz="0" w:space="0" w:color="auto"/>
                <w:right w:val="none" w:sz="0" w:space="0" w:color="auto"/>
              </w:divBdr>
            </w:div>
            <w:div w:id="920915351">
              <w:marLeft w:val="0"/>
              <w:marRight w:val="0"/>
              <w:marTop w:val="0"/>
              <w:marBottom w:val="0"/>
              <w:divBdr>
                <w:top w:val="none" w:sz="0" w:space="0" w:color="auto"/>
                <w:left w:val="none" w:sz="0" w:space="0" w:color="auto"/>
                <w:bottom w:val="none" w:sz="0" w:space="0" w:color="auto"/>
                <w:right w:val="none" w:sz="0" w:space="0" w:color="auto"/>
              </w:divBdr>
            </w:div>
            <w:div w:id="941110872">
              <w:marLeft w:val="0"/>
              <w:marRight w:val="0"/>
              <w:marTop w:val="0"/>
              <w:marBottom w:val="0"/>
              <w:divBdr>
                <w:top w:val="none" w:sz="0" w:space="0" w:color="auto"/>
                <w:left w:val="none" w:sz="0" w:space="0" w:color="auto"/>
                <w:bottom w:val="none" w:sz="0" w:space="0" w:color="auto"/>
                <w:right w:val="none" w:sz="0" w:space="0" w:color="auto"/>
              </w:divBdr>
            </w:div>
            <w:div w:id="1188058792">
              <w:marLeft w:val="0"/>
              <w:marRight w:val="0"/>
              <w:marTop w:val="0"/>
              <w:marBottom w:val="0"/>
              <w:divBdr>
                <w:top w:val="none" w:sz="0" w:space="0" w:color="auto"/>
                <w:left w:val="none" w:sz="0" w:space="0" w:color="auto"/>
                <w:bottom w:val="none" w:sz="0" w:space="0" w:color="auto"/>
                <w:right w:val="none" w:sz="0" w:space="0" w:color="auto"/>
              </w:divBdr>
            </w:div>
            <w:div w:id="1191718850">
              <w:marLeft w:val="0"/>
              <w:marRight w:val="0"/>
              <w:marTop w:val="0"/>
              <w:marBottom w:val="0"/>
              <w:divBdr>
                <w:top w:val="none" w:sz="0" w:space="0" w:color="auto"/>
                <w:left w:val="none" w:sz="0" w:space="0" w:color="auto"/>
                <w:bottom w:val="none" w:sz="0" w:space="0" w:color="auto"/>
                <w:right w:val="none" w:sz="0" w:space="0" w:color="auto"/>
              </w:divBdr>
            </w:div>
            <w:div w:id="1203133175">
              <w:marLeft w:val="0"/>
              <w:marRight w:val="0"/>
              <w:marTop w:val="0"/>
              <w:marBottom w:val="0"/>
              <w:divBdr>
                <w:top w:val="none" w:sz="0" w:space="0" w:color="auto"/>
                <w:left w:val="none" w:sz="0" w:space="0" w:color="auto"/>
                <w:bottom w:val="none" w:sz="0" w:space="0" w:color="auto"/>
                <w:right w:val="none" w:sz="0" w:space="0" w:color="auto"/>
              </w:divBdr>
            </w:div>
            <w:div w:id="1317340063">
              <w:marLeft w:val="0"/>
              <w:marRight w:val="0"/>
              <w:marTop w:val="0"/>
              <w:marBottom w:val="0"/>
              <w:divBdr>
                <w:top w:val="none" w:sz="0" w:space="0" w:color="auto"/>
                <w:left w:val="none" w:sz="0" w:space="0" w:color="auto"/>
                <w:bottom w:val="none" w:sz="0" w:space="0" w:color="auto"/>
                <w:right w:val="none" w:sz="0" w:space="0" w:color="auto"/>
              </w:divBdr>
            </w:div>
            <w:div w:id="1317563954">
              <w:marLeft w:val="0"/>
              <w:marRight w:val="0"/>
              <w:marTop w:val="0"/>
              <w:marBottom w:val="0"/>
              <w:divBdr>
                <w:top w:val="none" w:sz="0" w:space="0" w:color="auto"/>
                <w:left w:val="none" w:sz="0" w:space="0" w:color="auto"/>
                <w:bottom w:val="none" w:sz="0" w:space="0" w:color="auto"/>
                <w:right w:val="none" w:sz="0" w:space="0" w:color="auto"/>
              </w:divBdr>
            </w:div>
            <w:div w:id="1337459132">
              <w:marLeft w:val="0"/>
              <w:marRight w:val="0"/>
              <w:marTop w:val="0"/>
              <w:marBottom w:val="0"/>
              <w:divBdr>
                <w:top w:val="none" w:sz="0" w:space="0" w:color="auto"/>
                <w:left w:val="none" w:sz="0" w:space="0" w:color="auto"/>
                <w:bottom w:val="none" w:sz="0" w:space="0" w:color="auto"/>
                <w:right w:val="none" w:sz="0" w:space="0" w:color="auto"/>
              </w:divBdr>
            </w:div>
            <w:div w:id="1521049885">
              <w:marLeft w:val="0"/>
              <w:marRight w:val="0"/>
              <w:marTop w:val="0"/>
              <w:marBottom w:val="0"/>
              <w:divBdr>
                <w:top w:val="none" w:sz="0" w:space="0" w:color="auto"/>
                <w:left w:val="none" w:sz="0" w:space="0" w:color="auto"/>
                <w:bottom w:val="none" w:sz="0" w:space="0" w:color="auto"/>
                <w:right w:val="none" w:sz="0" w:space="0" w:color="auto"/>
              </w:divBdr>
            </w:div>
            <w:div w:id="1687175505">
              <w:marLeft w:val="0"/>
              <w:marRight w:val="0"/>
              <w:marTop w:val="0"/>
              <w:marBottom w:val="0"/>
              <w:divBdr>
                <w:top w:val="none" w:sz="0" w:space="0" w:color="auto"/>
                <w:left w:val="none" w:sz="0" w:space="0" w:color="auto"/>
                <w:bottom w:val="none" w:sz="0" w:space="0" w:color="auto"/>
                <w:right w:val="none" w:sz="0" w:space="0" w:color="auto"/>
              </w:divBdr>
            </w:div>
            <w:div w:id="1706902491">
              <w:marLeft w:val="0"/>
              <w:marRight w:val="0"/>
              <w:marTop w:val="0"/>
              <w:marBottom w:val="0"/>
              <w:divBdr>
                <w:top w:val="none" w:sz="0" w:space="0" w:color="auto"/>
                <w:left w:val="none" w:sz="0" w:space="0" w:color="auto"/>
                <w:bottom w:val="none" w:sz="0" w:space="0" w:color="auto"/>
                <w:right w:val="none" w:sz="0" w:space="0" w:color="auto"/>
              </w:divBdr>
            </w:div>
            <w:div w:id="1715232770">
              <w:marLeft w:val="0"/>
              <w:marRight w:val="0"/>
              <w:marTop w:val="0"/>
              <w:marBottom w:val="0"/>
              <w:divBdr>
                <w:top w:val="none" w:sz="0" w:space="0" w:color="auto"/>
                <w:left w:val="none" w:sz="0" w:space="0" w:color="auto"/>
                <w:bottom w:val="none" w:sz="0" w:space="0" w:color="auto"/>
                <w:right w:val="none" w:sz="0" w:space="0" w:color="auto"/>
              </w:divBdr>
            </w:div>
            <w:div w:id="1744336062">
              <w:marLeft w:val="0"/>
              <w:marRight w:val="0"/>
              <w:marTop w:val="0"/>
              <w:marBottom w:val="0"/>
              <w:divBdr>
                <w:top w:val="none" w:sz="0" w:space="0" w:color="auto"/>
                <w:left w:val="none" w:sz="0" w:space="0" w:color="auto"/>
                <w:bottom w:val="none" w:sz="0" w:space="0" w:color="auto"/>
                <w:right w:val="none" w:sz="0" w:space="0" w:color="auto"/>
              </w:divBdr>
            </w:div>
            <w:div w:id="2054034110">
              <w:marLeft w:val="0"/>
              <w:marRight w:val="0"/>
              <w:marTop w:val="0"/>
              <w:marBottom w:val="0"/>
              <w:divBdr>
                <w:top w:val="none" w:sz="0" w:space="0" w:color="auto"/>
                <w:left w:val="none" w:sz="0" w:space="0" w:color="auto"/>
                <w:bottom w:val="none" w:sz="0" w:space="0" w:color="auto"/>
                <w:right w:val="none" w:sz="0" w:space="0" w:color="auto"/>
              </w:divBdr>
            </w:div>
          </w:divsChild>
        </w:div>
        <w:div w:id="1171683038">
          <w:marLeft w:val="0"/>
          <w:marRight w:val="0"/>
          <w:marTop w:val="0"/>
          <w:marBottom w:val="0"/>
          <w:divBdr>
            <w:top w:val="none" w:sz="0" w:space="0" w:color="auto"/>
            <w:left w:val="none" w:sz="0" w:space="0" w:color="auto"/>
            <w:bottom w:val="none" w:sz="0" w:space="0" w:color="auto"/>
            <w:right w:val="none" w:sz="0" w:space="0" w:color="auto"/>
          </w:divBdr>
        </w:div>
        <w:div w:id="1177117012">
          <w:marLeft w:val="0"/>
          <w:marRight w:val="0"/>
          <w:marTop w:val="0"/>
          <w:marBottom w:val="0"/>
          <w:divBdr>
            <w:top w:val="none" w:sz="0" w:space="0" w:color="auto"/>
            <w:left w:val="none" w:sz="0" w:space="0" w:color="auto"/>
            <w:bottom w:val="none" w:sz="0" w:space="0" w:color="auto"/>
            <w:right w:val="none" w:sz="0" w:space="0" w:color="auto"/>
          </w:divBdr>
        </w:div>
        <w:div w:id="1179152983">
          <w:marLeft w:val="0"/>
          <w:marRight w:val="0"/>
          <w:marTop w:val="0"/>
          <w:marBottom w:val="0"/>
          <w:divBdr>
            <w:top w:val="none" w:sz="0" w:space="0" w:color="auto"/>
            <w:left w:val="none" w:sz="0" w:space="0" w:color="auto"/>
            <w:bottom w:val="none" w:sz="0" w:space="0" w:color="auto"/>
            <w:right w:val="none" w:sz="0" w:space="0" w:color="auto"/>
          </w:divBdr>
        </w:div>
        <w:div w:id="1179544797">
          <w:marLeft w:val="0"/>
          <w:marRight w:val="0"/>
          <w:marTop w:val="0"/>
          <w:marBottom w:val="0"/>
          <w:divBdr>
            <w:top w:val="none" w:sz="0" w:space="0" w:color="auto"/>
            <w:left w:val="none" w:sz="0" w:space="0" w:color="auto"/>
            <w:bottom w:val="none" w:sz="0" w:space="0" w:color="auto"/>
            <w:right w:val="none" w:sz="0" w:space="0" w:color="auto"/>
          </w:divBdr>
        </w:div>
        <w:div w:id="1195457701">
          <w:marLeft w:val="0"/>
          <w:marRight w:val="0"/>
          <w:marTop w:val="0"/>
          <w:marBottom w:val="0"/>
          <w:divBdr>
            <w:top w:val="none" w:sz="0" w:space="0" w:color="auto"/>
            <w:left w:val="none" w:sz="0" w:space="0" w:color="auto"/>
            <w:bottom w:val="none" w:sz="0" w:space="0" w:color="auto"/>
            <w:right w:val="none" w:sz="0" w:space="0" w:color="auto"/>
          </w:divBdr>
          <w:divsChild>
            <w:div w:id="251083398">
              <w:marLeft w:val="-75"/>
              <w:marRight w:val="0"/>
              <w:marTop w:val="30"/>
              <w:marBottom w:val="30"/>
              <w:divBdr>
                <w:top w:val="none" w:sz="0" w:space="0" w:color="auto"/>
                <w:left w:val="none" w:sz="0" w:space="0" w:color="auto"/>
                <w:bottom w:val="none" w:sz="0" w:space="0" w:color="auto"/>
                <w:right w:val="none" w:sz="0" w:space="0" w:color="auto"/>
              </w:divBdr>
              <w:divsChild>
                <w:div w:id="191260547">
                  <w:marLeft w:val="0"/>
                  <w:marRight w:val="0"/>
                  <w:marTop w:val="0"/>
                  <w:marBottom w:val="0"/>
                  <w:divBdr>
                    <w:top w:val="none" w:sz="0" w:space="0" w:color="auto"/>
                    <w:left w:val="none" w:sz="0" w:space="0" w:color="auto"/>
                    <w:bottom w:val="none" w:sz="0" w:space="0" w:color="auto"/>
                    <w:right w:val="none" w:sz="0" w:space="0" w:color="auto"/>
                  </w:divBdr>
                  <w:divsChild>
                    <w:div w:id="1404453688">
                      <w:marLeft w:val="0"/>
                      <w:marRight w:val="0"/>
                      <w:marTop w:val="0"/>
                      <w:marBottom w:val="0"/>
                      <w:divBdr>
                        <w:top w:val="none" w:sz="0" w:space="0" w:color="auto"/>
                        <w:left w:val="none" w:sz="0" w:space="0" w:color="auto"/>
                        <w:bottom w:val="none" w:sz="0" w:space="0" w:color="auto"/>
                        <w:right w:val="none" w:sz="0" w:space="0" w:color="auto"/>
                      </w:divBdr>
                    </w:div>
                    <w:div w:id="1636839187">
                      <w:marLeft w:val="0"/>
                      <w:marRight w:val="0"/>
                      <w:marTop w:val="0"/>
                      <w:marBottom w:val="0"/>
                      <w:divBdr>
                        <w:top w:val="none" w:sz="0" w:space="0" w:color="auto"/>
                        <w:left w:val="none" w:sz="0" w:space="0" w:color="auto"/>
                        <w:bottom w:val="none" w:sz="0" w:space="0" w:color="auto"/>
                        <w:right w:val="none" w:sz="0" w:space="0" w:color="auto"/>
                      </w:divBdr>
                    </w:div>
                  </w:divsChild>
                </w:div>
                <w:div w:id="481196496">
                  <w:marLeft w:val="0"/>
                  <w:marRight w:val="0"/>
                  <w:marTop w:val="0"/>
                  <w:marBottom w:val="0"/>
                  <w:divBdr>
                    <w:top w:val="none" w:sz="0" w:space="0" w:color="auto"/>
                    <w:left w:val="none" w:sz="0" w:space="0" w:color="auto"/>
                    <w:bottom w:val="none" w:sz="0" w:space="0" w:color="auto"/>
                    <w:right w:val="none" w:sz="0" w:space="0" w:color="auto"/>
                  </w:divBdr>
                  <w:divsChild>
                    <w:div w:id="1017002556">
                      <w:marLeft w:val="0"/>
                      <w:marRight w:val="0"/>
                      <w:marTop w:val="0"/>
                      <w:marBottom w:val="0"/>
                      <w:divBdr>
                        <w:top w:val="none" w:sz="0" w:space="0" w:color="auto"/>
                        <w:left w:val="none" w:sz="0" w:space="0" w:color="auto"/>
                        <w:bottom w:val="none" w:sz="0" w:space="0" w:color="auto"/>
                        <w:right w:val="none" w:sz="0" w:space="0" w:color="auto"/>
                      </w:divBdr>
                    </w:div>
                  </w:divsChild>
                </w:div>
                <w:div w:id="684794331">
                  <w:marLeft w:val="0"/>
                  <w:marRight w:val="0"/>
                  <w:marTop w:val="0"/>
                  <w:marBottom w:val="0"/>
                  <w:divBdr>
                    <w:top w:val="none" w:sz="0" w:space="0" w:color="auto"/>
                    <w:left w:val="none" w:sz="0" w:space="0" w:color="auto"/>
                    <w:bottom w:val="none" w:sz="0" w:space="0" w:color="auto"/>
                    <w:right w:val="none" w:sz="0" w:space="0" w:color="auto"/>
                  </w:divBdr>
                  <w:divsChild>
                    <w:div w:id="1531525972">
                      <w:marLeft w:val="0"/>
                      <w:marRight w:val="0"/>
                      <w:marTop w:val="0"/>
                      <w:marBottom w:val="0"/>
                      <w:divBdr>
                        <w:top w:val="none" w:sz="0" w:space="0" w:color="auto"/>
                        <w:left w:val="none" w:sz="0" w:space="0" w:color="auto"/>
                        <w:bottom w:val="none" w:sz="0" w:space="0" w:color="auto"/>
                        <w:right w:val="none" w:sz="0" w:space="0" w:color="auto"/>
                      </w:divBdr>
                    </w:div>
                    <w:div w:id="1963538748">
                      <w:marLeft w:val="0"/>
                      <w:marRight w:val="0"/>
                      <w:marTop w:val="0"/>
                      <w:marBottom w:val="0"/>
                      <w:divBdr>
                        <w:top w:val="none" w:sz="0" w:space="0" w:color="auto"/>
                        <w:left w:val="none" w:sz="0" w:space="0" w:color="auto"/>
                        <w:bottom w:val="none" w:sz="0" w:space="0" w:color="auto"/>
                        <w:right w:val="none" w:sz="0" w:space="0" w:color="auto"/>
                      </w:divBdr>
                    </w:div>
                  </w:divsChild>
                </w:div>
                <w:div w:id="770584808">
                  <w:marLeft w:val="0"/>
                  <w:marRight w:val="0"/>
                  <w:marTop w:val="0"/>
                  <w:marBottom w:val="0"/>
                  <w:divBdr>
                    <w:top w:val="none" w:sz="0" w:space="0" w:color="auto"/>
                    <w:left w:val="none" w:sz="0" w:space="0" w:color="auto"/>
                    <w:bottom w:val="none" w:sz="0" w:space="0" w:color="auto"/>
                    <w:right w:val="none" w:sz="0" w:space="0" w:color="auto"/>
                  </w:divBdr>
                  <w:divsChild>
                    <w:div w:id="1176767084">
                      <w:marLeft w:val="0"/>
                      <w:marRight w:val="0"/>
                      <w:marTop w:val="0"/>
                      <w:marBottom w:val="0"/>
                      <w:divBdr>
                        <w:top w:val="none" w:sz="0" w:space="0" w:color="auto"/>
                        <w:left w:val="none" w:sz="0" w:space="0" w:color="auto"/>
                        <w:bottom w:val="none" w:sz="0" w:space="0" w:color="auto"/>
                        <w:right w:val="none" w:sz="0" w:space="0" w:color="auto"/>
                      </w:divBdr>
                    </w:div>
                    <w:div w:id="1440755310">
                      <w:marLeft w:val="0"/>
                      <w:marRight w:val="0"/>
                      <w:marTop w:val="0"/>
                      <w:marBottom w:val="0"/>
                      <w:divBdr>
                        <w:top w:val="none" w:sz="0" w:space="0" w:color="auto"/>
                        <w:left w:val="none" w:sz="0" w:space="0" w:color="auto"/>
                        <w:bottom w:val="none" w:sz="0" w:space="0" w:color="auto"/>
                        <w:right w:val="none" w:sz="0" w:space="0" w:color="auto"/>
                      </w:divBdr>
                    </w:div>
                    <w:div w:id="1649821035">
                      <w:marLeft w:val="0"/>
                      <w:marRight w:val="0"/>
                      <w:marTop w:val="0"/>
                      <w:marBottom w:val="0"/>
                      <w:divBdr>
                        <w:top w:val="none" w:sz="0" w:space="0" w:color="auto"/>
                        <w:left w:val="none" w:sz="0" w:space="0" w:color="auto"/>
                        <w:bottom w:val="none" w:sz="0" w:space="0" w:color="auto"/>
                        <w:right w:val="none" w:sz="0" w:space="0" w:color="auto"/>
                      </w:divBdr>
                    </w:div>
                  </w:divsChild>
                </w:div>
                <w:div w:id="775101633">
                  <w:marLeft w:val="0"/>
                  <w:marRight w:val="0"/>
                  <w:marTop w:val="0"/>
                  <w:marBottom w:val="0"/>
                  <w:divBdr>
                    <w:top w:val="none" w:sz="0" w:space="0" w:color="auto"/>
                    <w:left w:val="none" w:sz="0" w:space="0" w:color="auto"/>
                    <w:bottom w:val="none" w:sz="0" w:space="0" w:color="auto"/>
                    <w:right w:val="none" w:sz="0" w:space="0" w:color="auto"/>
                  </w:divBdr>
                  <w:divsChild>
                    <w:div w:id="886142073">
                      <w:marLeft w:val="0"/>
                      <w:marRight w:val="0"/>
                      <w:marTop w:val="0"/>
                      <w:marBottom w:val="0"/>
                      <w:divBdr>
                        <w:top w:val="none" w:sz="0" w:space="0" w:color="auto"/>
                        <w:left w:val="none" w:sz="0" w:space="0" w:color="auto"/>
                        <w:bottom w:val="none" w:sz="0" w:space="0" w:color="auto"/>
                        <w:right w:val="none" w:sz="0" w:space="0" w:color="auto"/>
                      </w:divBdr>
                    </w:div>
                    <w:div w:id="1857886331">
                      <w:marLeft w:val="0"/>
                      <w:marRight w:val="0"/>
                      <w:marTop w:val="0"/>
                      <w:marBottom w:val="0"/>
                      <w:divBdr>
                        <w:top w:val="none" w:sz="0" w:space="0" w:color="auto"/>
                        <w:left w:val="none" w:sz="0" w:space="0" w:color="auto"/>
                        <w:bottom w:val="none" w:sz="0" w:space="0" w:color="auto"/>
                        <w:right w:val="none" w:sz="0" w:space="0" w:color="auto"/>
                      </w:divBdr>
                    </w:div>
                  </w:divsChild>
                </w:div>
                <w:div w:id="784273534">
                  <w:marLeft w:val="0"/>
                  <w:marRight w:val="0"/>
                  <w:marTop w:val="0"/>
                  <w:marBottom w:val="0"/>
                  <w:divBdr>
                    <w:top w:val="none" w:sz="0" w:space="0" w:color="auto"/>
                    <w:left w:val="none" w:sz="0" w:space="0" w:color="auto"/>
                    <w:bottom w:val="none" w:sz="0" w:space="0" w:color="auto"/>
                    <w:right w:val="none" w:sz="0" w:space="0" w:color="auto"/>
                  </w:divBdr>
                  <w:divsChild>
                    <w:div w:id="3440366">
                      <w:marLeft w:val="0"/>
                      <w:marRight w:val="0"/>
                      <w:marTop w:val="0"/>
                      <w:marBottom w:val="0"/>
                      <w:divBdr>
                        <w:top w:val="none" w:sz="0" w:space="0" w:color="auto"/>
                        <w:left w:val="none" w:sz="0" w:space="0" w:color="auto"/>
                        <w:bottom w:val="none" w:sz="0" w:space="0" w:color="auto"/>
                        <w:right w:val="none" w:sz="0" w:space="0" w:color="auto"/>
                      </w:divBdr>
                    </w:div>
                    <w:div w:id="1111778381">
                      <w:marLeft w:val="0"/>
                      <w:marRight w:val="0"/>
                      <w:marTop w:val="0"/>
                      <w:marBottom w:val="0"/>
                      <w:divBdr>
                        <w:top w:val="none" w:sz="0" w:space="0" w:color="auto"/>
                        <w:left w:val="none" w:sz="0" w:space="0" w:color="auto"/>
                        <w:bottom w:val="none" w:sz="0" w:space="0" w:color="auto"/>
                        <w:right w:val="none" w:sz="0" w:space="0" w:color="auto"/>
                      </w:divBdr>
                    </w:div>
                  </w:divsChild>
                </w:div>
                <w:div w:id="839469921">
                  <w:marLeft w:val="0"/>
                  <w:marRight w:val="0"/>
                  <w:marTop w:val="0"/>
                  <w:marBottom w:val="0"/>
                  <w:divBdr>
                    <w:top w:val="none" w:sz="0" w:space="0" w:color="auto"/>
                    <w:left w:val="none" w:sz="0" w:space="0" w:color="auto"/>
                    <w:bottom w:val="none" w:sz="0" w:space="0" w:color="auto"/>
                    <w:right w:val="none" w:sz="0" w:space="0" w:color="auto"/>
                  </w:divBdr>
                  <w:divsChild>
                    <w:div w:id="210383947">
                      <w:marLeft w:val="0"/>
                      <w:marRight w:val="0"/>
                      <w:marTop w:val="0"/>
                      <w:marBottom w:val="0"/>
                      <w:divBdr>
                        <w:top w:val="none" w:sz="0" w:space="0" w:color="auto"/>
                        <w:left w:val="none" w:sz="0" w:space="0" w:color="auto"/>
                        <w:bottom w:val="none" w:sz="0" w:space="0" w:color="auto"/>
                        <w:right w:val="none" w:sz="0" w:space="0" w:color="auto"/>
                      </w:divBdr>
                    </w:div>
                    <w:div w:id="253249394">
                      <w:marLeft w:val="0"/>
                      <w:marRight w:val="0"/>
                      <w:marTop w:val="0"/>
                      <w:marBottom w:val="0"/>
                      <w:divBdr>
                        <w:top w:val="none" w:sz="0" w:space="0" w:color="auto"/>
                        <w:left w:val="none" w:sz="0" w:space="0" w:color="auto"/>
                        <w:bottom w:val="none" w:sz="0" w:space="0" w:color="auto"/>
                        <w:right w:val="none" w:sz="0" w:space="0" w:color="auto"/>
                      </w:divBdr>
                    </w:div>
                  </w:divsChild>
                </w:div>
                <w:div w:id="1799377718">
                  <w:marLeft w:val="0"/>
                  <w:marRight w:val="0"/>
                  <w:marTop w:val="0"/>
                  <w:marBottom w:val="0"/>
                  <w:divBdr>
                    <w:top w:val="none" w:sz="0" w:space="0" w:color="auto"/>
                    <w:left w:val="none" w:sz="0" w:space="0" w:color="auto"/>
                    <w:bottom w:val="none" w:sz="0" w:space="0" w:color="auto"/>
                    <w:right w:val="none" w:sz="0" w:space="0" w:color="auto"/>
                  </w:divBdr>
                  <w:divsChild>
                    <w:div w:id="613054225">
                      <w:marLeft w:val="0"/>
                      <w:marRight w:val="0"/>
                      <w:marTop w:val="0"/>
                      <w:marBottom w:val="0"/>
                      <w:divBdr>
                        <w:top w:val="none" w:sz="0" w:space="0" w:color="auto"/>
                        <w:left w:val="none" w:sz="0" w:space="0" w:color="auto"/>
                        <w:bottom w:val="none" w:sz="0" w:space="0" w:color="auto"/>
                        <w:right w:val="none" w:sz="0" w:space="0" w:color="auto"/>
                      </w:divBdr>
                    </w:div>
                    <w:div w:id="2043438236">
                      <w:marLeft w:val="0"/>
                      <w:marRight w:val="0"/>
                      <w:marTop w:val="0"/>
                      <w:marBottom w:val="0"/>
                      <w:divBdr>
                        <w:top w:val="none" w:sz="0" w:space="0" w:color="auto"/>
                        <w:left w:val="none" w:sz="0" w:space="0" w:color="auto"/>
                        <w:bottom w:val="none" w:sz="0" w:space="0" w:color="auto"/>
                        <w:right w:val="none" w:sz="0" w:space="0" w:color="auto"/>
                      </w:divBdr>
                    </w:div>
                  </w:divsChild>
                </w:div>
                <w:div w:id="1827087380">
                  <w:marLeft w:val="0"/>
                  <w:marRight w:val="0"/>
                  <w:marTop w:val="0"/>
                  <w:marBottom w:val="0"/>
                  <w:divBdr>
                    <w:top w:val="none" w:sz="0" w:space="0" w:color="auto"/>
                    <w:left w:val="none" w:sz="0" w:space="0" w:color="auto"/>
                    <w:bottom w:val="none" w:sz="0" w:space="0" w:color="auto"/>
                    <w:right w:val="none" w:sz="0" w:space="0" w:color="auto"/>
                  </w:divBdr>
                  <w:divsChild>
                    <w:div w:id="511261199">
                      <w:marLeft w:val="0"/>
                      <w:marRight w:val="0"/>
                      <w:marTop w:val="0"/>
                      <w:marBottom w:val="0"/>
                      <w:divBdr>
                        <w:top w:val="none" w:sz="0" w:space="0" w:color="auto"/>
                        <w:left w:val="none" w:sz="0" w:space="0" w:color="auto"/>
                        <w:bottom w:val="none" w:sz="0" w:space="0" w:color="auto"/>
                        <w:right w:val="none" w:sz="0" w:space="0" w:color="auto"/>
                      </w:divBdr>
                    </w:div>
                    <w:div w:id="1820071894">
                      <w:marLeft w:val="0"/>
                      <w:marRight w:val="0"/>
                      <w:marTop w:val="0"/>
                      <w:marBottom w:val="0"/>
                      <w:divBdr>
                        <w:top w:val="none" w:sz="0" w:space="0" w:color="auto"/>
                        <w:left w:val="none" w:sz="0" w:space="0" w:color="auto"/>
                        <w:bottom w:val="none" w:sz="0" w:space="0" w:color="auto"/>
                        <w:right w:val="none" w:sz="0" w:space="0" w:color="auto"/>
                      </w:divBdr>
                    </w:div>
                  </w:divsChild>
                </w:div>
                <w:div w:id="1919051878">
                  <w:marLeft w:val="0"/>
                  <w:marRight w:val="0"/>
                  <w:marTop w:val="0"/>
                  <w:marBottom w:val="0"/>
                  <w:divBdr>
                    <w:top w:val="none" w:sz="0" w:space="0" w:color="auto"/>
                    <w:left w:val="none" w:sz="0" w:space="0" w:color="auto"/>
                    <w:bottom w:val="none" w:sz="0" w:space="0" w:color="auto"/>
                    <w:right w:val="none" w:sz="0" w:space="0" w:color="auto"/>
                  </w:divBdr>
                  <w:divsChild>
                    <w:div w:id="197398278">
                      <w:marLeft w:val="0"/>
                      <w:marRight w:val="0"/>
                      <w:marTop w:val="0"/>
                      <w:marBottom w:val="0"/>
                      <w:divBdr>
                        <w:top w:val="none" w:sz="0" w:space="0" w:color="auto"/>
                        <w:left w:val="none" w:sz="0" w:space="0" w:color="auto"/>
                        <w:bottom w:val="none" w:sz="0" w:space="0" w:color="auto"/>
                        <w:right w:val="none" w:sz="0" w:space="0" w:color="auto"/>
                      </w:divBdr>
                    </w:div>
                    <w:div w:id="892423267">
                      <w:marLeft w:val="0"/>
                      <w:marRight w:val="0"/>
                      <w:marTop w:val="0"/>
                      <w:marBottom w:val="0"/>
                      <w:divBdr>
                        <w:top w:val="none" w:sz="0" w:space="0" w:color="auto"/>
                        <w:left w:val="none" w:sz="0" w:space="0" w:color="auto"/>
                        <w:bottom w:val="none" w:sz="0" w:space="0" w:color="auto"/>
                        <w:right w:val="none" w:sz="0" w:space="0" w:color="auto"/>
                      </w:divBdr>
                    </w:div>
                  </w:divsChild>
                </w:div>
                <w:div w:id="1932473729">
                  <w:marLeft w:val="0"/>
                  <w:marRight w:val="0"/>
                  <w:marTop w:val="0"/>
                  <w:marBottom w:val="0"/>
                  <w:divBdr>
                    <w:top w:val="none" w:sz="0" w:space="0" w:color="auto"/>
                    <w:left w:val="none" w:sz="0" w:space="0" w:color="auto"/>
                    <w:bottom w:val="none" w:sz="0" w:space="0" w:color="auto"/>
                    <w:right w:val="none" w:sz="0" w:space="0" w:color="auto"/>
                  </w:divBdr>
                  <w:divsChild>
                    <w:div w:id="695010944">
                      <w:marLeft w:val="0"/>
                      <w:marRight w:val="0"/>
                      <w:marTop w:val="0"/>
                      <w:marBottom w:val="0"/>
                      <w:divBdr>
                        <w:top w:val="none" w:sz="0" w:space="0" w:color="auto"/>
                        <w:left w:val="none" w:sz="0" w:space="0" w:color="auto"/>
                        <w:bottom w:val="none" w:sz="0" w:space="0" w:color="auto"/>
                        <w:right w:val="none" w:sz="0" w:space="0" w:color="auto"/>
                      </w:divBdr>
                    </w:div>
                    <w:div w:id="1476799442">
                      <w:marLeft w:val="0"/>
                      <w:marRight w:val="0"/>
                      <w:marTop w:val="0"/>
                      <w:marBottom w:val="0"/>
                      <w:divBdr>
                        <w:top w:val="none" w:sz="0" w:space="0" w:color="auto"/>
                        <w:left w:val="none" w:sz="0" w:space="0" w:color="auto"/>
                        <w:bottom w:val="none" w:sz="0" w:space="0" w:color="auto"/>
                        <w:right w:val="none" w:sz="0" w:space="0" w:color="auto"/>
                      </w:divBdr>
                    </w:div>
                  </w:divsChild>
                </w:div>
                <w:div w:id="1986886431">
                  <w:marLeft w:val="0"/>
                  <w:marRight w:val="0"/>
                  <w:marTop w:val="0"/>
                  <w:marBottom w:val="0"/>
                  <w:divBdr>
                    <w:top w:val="none" w:sz="0" w:space="0" w:color="auto"/>
                    <w:left w:val="none" w:sz="0" w:space="0" w:color="auto"/>
                    <w:bottom w:val="none" w:sz="0" w:space="0" w:color="auto"/>
                    <w:right w:val="none" w:sz="0" w:space="0" w:color="auto"/>
                  </w:divBdr>
                  <w:divsChild>
                    <w:div w:id="123085616">
                      <w:marLeft w:val="0"/>
                      <w:marRight w:val="0"/>
                      <w:marTop w:val="0"/>
                      <w:marBottom w:val="0"/>
                      <w:divBdr>
                        <w:top w:val="none" w:sz="0" w:space="0" w:color="auto"/>
                        <w:left w:val="none" w:sz="0" w:space="0" w:color="auto"/>
                        <w:bottom w:val="none" w:sz="0" w:space="0" w:color="auto"/>
                        <w:right w:val="none" w:sz="0" w:space="0" w:color="auto"/>
                      </w:divBdr>
                    </w:div>
                    <w:div w:id="357589465">
                      <w:marLeft w:val="0"/>
                      <w:marRight w:val="0"/>
                      <w:marTop w:val="0"/>
                      <w:marBottom w:val="0"/>
                      <w:divBdr>
                        <w:top w:val="none" w:sz="0" w:space="0" w:color="auto"/>
                        <w:left w:val="none" w:sz="0" w:space="0" w:color="auto"/>
                        <w:bottom w:val="none" w:sz="0" w:space="0" w:color="auto"/>
                        <w:right w:val="none" w:sz="0" w:space="0" w:color="auto"/>
                      </w:divBdr>
                    </w:div>
                    <w:div w:id="733890168">
                      <w:marLeft w:val="0"/>
                      <w:marRight w:val="0"/>
                      <w:marTop w:val="0"/>
                      <w:marBottom w:val="0"/>
                      <w:divBdr>
                        <w:top w:val="none" w:sz="0" w:space="0" w:color="auto"/>
                        <w:left w:val="none" w:sz="0" w:space="0" w:color="auto"/>
                        <w:bottom w:val="none" w:sz="0" w:space="0" w:color="auto"/>
                        <w:right w:val="none" w:sz="0" w:space="0" w:color="auto"/>
                      </w:divBdr>
                    </w:div>
                    <w:div w:id="195632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99125">
          <w:marLeft w:val="0"/>
          <w:marRight w:val="0"/>
          <w:marTop w:val="0"/>
          <w:marBottom w:val="0"/>
          <w:divBdr>
            <w:top w:val="none" w:sz="0" w:space="0" w:color="auto"/>
            <w:left w:val="none" w:sz="0" w:space="0" w:color="auto"/>
            <w:bottom w:val="none" w:sz="0" w:space="0" w:color="auto"/>
            <w:right w:val="none" w:sz="0" w:space="0" w:color="auto"/>
          </w:divBdr>
        </w:div>
        <w:div w:id="1249652593">
          <w:marLeft w:val="0"/>
          <w:marRight w:val="0"/>
          <w:marTop w:val="0"/>
          <w:marBottom w:val="0"/>
          <w:divBdr>
            <w:top w:val="none" w:sz="0" w:space="0" w:color="auto"/>
            <w:left w:val="none" w:sz="0" w:space="0" w:color="auto"/>
            <w:bottom w:val="none" w:sz="0" w:space="0" w:color="auto"/>
            <w:right w:val="none" w:sz="0" w:space="0" w:color="auto"/>
          </w:divBdr>
          <w:divsChild>
            <w:div w:id="156388479">
              <w:marLeft w:val="0"/>
              <w:marRight w:val="0"/>
              <w:marTop w:val="0"/>
              <w:marBottom w:val="0"/>
              <w:divBdr>
                <w:top w:val="none" w:sz="0" w:space="0" w:color="auto"/>
                <w:left w:val="none" w:sz="0" w:space="0" w:color="auto"/>
                <w:bottom w:val="none" w:sz="0" w:space="0" w:color="auto"/>
                <w:right w:val="none" w:sz="0" w:space="0" w:color="auto"/>
              </w:divBdr>
            </w:div>
            <w:div w:id="163327907">
              <w:marLeft w:val="0"/>
              <w:marRight w:val="0"/>
              <w:marTop w:val="0"/>
              <w:marBottom w:val="0"/>
              <w:divBdr>
                <w:top w:val="none" w:sz="0" w:space="0" w:color="auto"/>
                <w:left w:val="none" w:sz="0" w:space="0" w:color="auto"/>
                <w:bottom w:val="none" w:sz="0" w:space="0" w:color="auto"/>
                <w:right w:val="none" w:sz="0" w:space="0" w:color="auto"/>
              </w:divBdr>
            </w:div>
            <w:div w:id="255213745">
              <w:marLeft w:val="0"/>
              <w:marRight w:val="0"/>
              <w:marTop w:val="0"/>
              <w:marBottom w:val="0"/>
              <w:divBdr>
                <w:top w:val="none" w:sz="0" w:space="0" w:color="auto"/>
                <w:left w:val="none" w:sz="0" w:space="0" w:color="auto"/>
                <w:bottom w:val="none" w:sz="0" w:space="0" w:color="auto"/>
                <w:right w:val="none" w:sz="0" w:space="0" w:color="auto"/>
              </w:divBdr>
            </w:div>
            <w:div w:id="277031638">
              <w:marLeft w:val="0"/>
              <w:marRight w:val="0"/>
              <w:marTop w:val="0"/>
              <w:marBottom w:val="0"/>
              <w:divBdr>
                <w:top w:val="none" w:sz="0" w:space="0" w:color="auto"/>
                <w:left w:val="none" w:sz="0" w:space="0" w:color="auto"/>
                <w:bottom w:val="none" w:sz="0" w:space="0" w:color="auto"/>
                <w:right w:val="none" w:sz="0" w:space="0" w:color="auto"/>
              </w:divBdr>
            </w:div>
            <w:div w:id="286661330">
              <w:marLeft w:val="0"/>
              <w:marRight w:val="0"/>
              <w:marTop w:val="0"/>
              <w:marBottom w:val="0"/>
              <w:divBdr>
                <w:top w:val="none" w:sz="0" w:space="0" w:color="auto"/>
                <w:left w:val="none" w:sz="0" w:space="0" w:color="auto"/>
                <w:bottom w:val="none" w:sz="0" w:space="0" w:color="auto"/>
                <w:right w:val="none" w:sz="0" w:space="0" w:color="auto"/>
              </w:divBdr>
            </w:div>
            <w:div w:id="366876149">
              <w:marLeft w:val="0"/>
              <w:marRight w:val="0"/>
              <w:marTop w:val="0"/>
              <w:marBottom w:val="0"/>
              <w:divBdr>
                <w:top w:val="none" w:sz="0" w:space="0" w:color="auto"/>
                <w:left w:val="none" w:sz="0" w:space="0" w:color="auto"/>
                <w:bottom w:val="none" w:sz="0" w:space="0" w:color="auto"/>
                <w:right w:val="none" w:sz="0" w:space="0" w:color="auto"/>
              </w:divBdr>
            </w:div>
            <w:div w:id="378866404">
              <w:marLeft w:val="0"/>
              <w:marRight w:val="0"/>
              <w:marTop w:val="0"/>
              <w:marBottom w:val="0"/>
              <w:divBdr>
                <w:top w:val="none" w:sz="0" w:space="0" w:color="auto"/>
                <w:left w:val="none" w:sz="0" w:space="0" w:color="auto"/>
                <w:bottom w:val="none" w:sz="0" w:space="0" w:color="auto"/>
                <w:right w:val="none" w:sz="0" w:space="0" w:color="auto"/>
              </w:divBdr>
            </w:div>
            <w:div w:id="451024691">
              <w:marLeft w:val="0"/>
              <w:marRight w:val="0"/>
              <w:marTop w:val="0"/>
              <w:marBottom w:val="0"/>
              <w:divBdr>
                <w:top w:val="none" w:sz="0" w:space="0" w:color="auto"/>
                <w:left w:val="none" w:sz="0" w:space="0" w:color="auto"/>
                <w:bottom w:val="none" w:sz="0" w:space="0" w:color="auto"/>
                <w:right w:val="none" w:sz="0" w:space="0" w:color="auto"/>
              </w:divBdr>
            </w:div>
            <w:div w:id="634338138">
              <w:marLeft w:val="0"/>
              <w:marRight w:val="0"/>
              <w:marTop w:val="0"/>
              <w:marBottom w:val="0"/>
              <w:divBdr>
                <w:top w:val="none" w:sz="0" w:space="0" w:color="auto"/>
                <w:left w:val="none" w:sz="0" w:space="0" w:color="auto"/>
                <w:bottom w:val="none" w:sz="0" w:space="0" w:color="auto"/>
                <w:right w:val="none" w:sz="0" w:space="0" w:color="auto"/>
              </w:divBdr>
            </w:div>
            <w:div w:id="748387818">
              <w:marLeft w:val="0"/>
              <w:marRight w:val="0"/>
              <w:marTop w:val="0"/>
              <w:marBottom w:val="0"/>
              <w:divBdr>
                <w:top w:val="none" w:sz="0" w:space="0" w:color="auto"/>
                <w:left w:val="none" w:sz="0" w:space="0" w:color="auto"/>
                <w:bottom w:val="none" w:sz="0" w:space="0" w:color="auto"/>
                <w:right w:val="none" w:sz="0" w:space="0" w:color="auto"/>
              </w:divBdr>
            </w:div>
            <w:div w:id="1009915252">
              <w:marLeft w:val="0"/>
              <w:marRight w:val="0"/>
              <w:marTop w:val="0"/>
              <w:marBottom w:val="0"/>
              <w:divBdr>
                <w:top w:val="none" w:sz="0" w:space="0" w:color="auto"/>
                <w:left w:val="none" w:sz="0" w:space="0" w:color="auto"/>
                <w:bottom w:val="none" w:sz="0" w:space="0" w:color="auto"/>
                <w:right w:val="none" w:sz="0" w:space="0" w:color="auto"/>
              </w:divBdr>
            </w:div>
            <w:div w:id="1130057467">
              <w:marLeft w:val="0"/>
              <w:marRight w:val="0"/>
              <w:marTop w:val="0"/>
              <w:marBottom w:val="0"/>
              <w:divBdr>
                <w:top w:val="none" w:sz="0" w:space="0" w:color="auto"/>
                <w:left w:val="none" w:sz="0" w:space="0" w:color="auto"/>
                <w:bottom w:val="none" w:sz="0" w:space="0" w:color="auto"/>
                <w:right w:val="none" w:sz="0" w:space="0" w:color="auto"/>
              </w:divBdr>
            </w:div>
            <w:div w:id="1267153131">
              <w:marLeft w:val="0"/>
              <w:marRight w:val="0"/>
              <w:marTop w:val="0"/>
              <w:marBottom w:val="0"/>
              <w:divBdr>
                <w:top w:val="none" w:sz="0" w:space="0" w:color="auto"/>
                <w:left w:val="none" w:sz="0" w:space="0" w:color="auto"/>
                <w:bottom w:val="none" w:sz="0" w:space="0" w:color="auto"/>
                <w:right w:val="none" w:sz="0" w:space="0" w:color="auto"/>
              </w:divBdr>
            </w:div>
            <w:div w:id="1398631751">
              <w:marLeft w:val="0"/>
              <w:marRight w:val="0"/>
              <w:marTop w:val="0"/>
              <w:marBottom w:val="0"/>
              <w:divBdr>
                <w:top w:val="none" w:sz="0" w:space="0" w:color="auto"/>
                <w:left w:val="none" w:sz="0" w:space="0" w:color="auto"/>
                <w:bottom w:val="none" w:sz="0" w:space="0" w:color="auto"/>
                <w:right w:val="none" w:sz="0" w:space="0" w:color="auto"/>
              </w:divBdr>
            </w:div>
            <w:div w:id="1547839125">
              <w:marLeft w:val="0"/>
              <w:marRight w:val="0"/>
              <w:marTop w:val="0"/>
              <w:marBottom w:val="0"/>
              <w:divBdr>
                <w:top w:val="none" w:sz="0" w:space="0" w:color="auto"/>
                <w:left w:val="none" w:sz="0" w:space="0" w:color="auto"/>
                <w:bottom w:val="none" w:sz="0" w:space="0" w:color="auto"/>
                <w:right w:val="none" w:sz="0" w:space="0" w:color="auto"/>
              </w:divBdr>
            </w:div>
            <w:div w:id="1584877219">
              <w:marLeft w:val="0"/>
              <w:marRight w:val="0"/>
              <w:marTop w:val="0"/>
              <w:marBottom w:val="0"/>
              <w:divBdr>
                <w:top w:val="none" w:sz="0" w:space="0" w:color="auto"/>
                <w:left w:val="none" w:sz="0" w:space="0" w:color="auto"/>
                <w:bottom w:val="none" w:sz="0" w:space="0" w:color="auto"/>
                <w:right w:val="none" w:sz="0" w:space="0" w:color="auto"/>
              </w:divBdr>
            </w:div>
            <w:div w:id="1659260009">
              <w:marLeft w:val="0"/>
              <w:marRight w:val="0"/>
              <w:marTop w:val="0"/>
              <w:marBottom w:val="0"/>
              <w:divBdr>
                <w:top w:val="none" w:sz="0" w:space="0" w:color="auto"/>
                <w:left w:val="none" w:sz="0" w:space="0" w:color="auto"/>
                <w:bottom w:val="none" w:sz="0" w:space="0" w:color="auto"/>
                <w:right w:val="none" w:sz="0" w:space="0" w:color="auto"/>
              </w:divBdr>
            </w:div>
            <w:div w:id="1700156726">
              <w:marLeft w:val="0"/>
              <w:marRight w:val="0"/>
              <w:marTop w:val="0"/>
              <w:marBottom w:val="0"/>
              <w:divBdr>
                <w:top w:val="none" w:sz="0" w:space="0" w:color="auto"/>
                <w:left w:val="none" w:sz="0" w:space="0" w:color="auto"/>
                <w:bottom w:val="none" w:sz="0" w:space="0" w:color="auto"/>
                <w:right w:val="none" w:sz="0" w:space="0" w:color="auto"/>
              </w:divBdr>
            </w:div>
            <w:div w:id="1752389433">
              <w:marLeft w:val="0"/>
              <w:marRight w:val="0"/>
              <w:marTop w:val="0"/>
              <w:marBottom w:val="0"/>
              <w:divBdr>
                <w:top w:val="none" w:sz="0" w:space="0" w:color="auto"/>
                <w:left w:val="none" w:sz="0" w:space="0" w:color="auto"/>
                <w:bottom w:val="none" w:sz="0" w:space="0" w:color="auto"/>
                <w:right w:val="none" w:sz="0" w:space="0" w:color="auto"/>
              </w:divBdr>
            </w:div>
            <w:div w:id="2141414623">
              <w:marLeft w:val="0"/>
              <w:marRight w:val="0"/>
              <w:marTop w:val="0"/>
              <w:marBottom w:val="0"/>
              <w:divBdr>
                <w:top w:val="none" w:sz="0" w:space="0" w:color="auto"/>
                <w:left w:val="none" w:sz="0" w:space="0" w:color="auto"/>
                <w:bottom w:val="none" w:sz="0" w:space="0" w:color="auto"/>
                <w:right w:val="none" w:sz="0" w:space="0" w:color="auto"/>
              </w:divBdr>
            </w:div>
          </w:divsChild>
        </w:div>
        <w:div w:id="1258516031">
          <w:marLeft w:val="0"/>
          <w:marRight w:val="0"/>
          <w:marTop w:val="0"/>
          <w:marBottom w:val="0"/>
          <w:divBdr>
            <w:top w:val="none" w:sz="0" w:space="0" w:color="auto"/>
            <w:left w:val="none" w:sz="0" w:space="0" w:color="auto"/>
            <w:bottom w:val="none" w:sz="0" w:space="0" w:color="auto"/>
            <w:right w:val="none" w:sz="0" w:space="0" w:color="auto"/>
          </w:divBdr>
          <w:divsChild>
            <w:div w:id="949357764">
              <w:marLeft w:val="-75"/>
              <w:marRight w:val="0"/>
              <w:marTop w:val="30"/>
              <w:marBottom w:val="30"/>
              <w:divBdr>
                <w:top w:val="none" w:sz="0" w:space="0" w:color="auto"/>
                <w:left w:val="none" w:sz="0" w:space="0" w:color="auto"/>
                <w:bottom w:val="none" w:sz="0" w:space="0" w:color="auto"/>
                <w:right w:val="none" w:sz="0" w:space="0" w:color="auto"/>
              </w:divBdr>
              <w:divsChild>
                <w:div w:id="488526280">
                  <w:marLeft w:val="0"/>
                  <w:marRight w:val="0"/>
                  <w:marTop w:val="0"/>
                  <w:marBottom w:val="0"/>
                  <w:divBdr>
                    <w:top w:val="none" w:sz="0" w:space="0" w:color="auto"/>
                    <w:left w:val="none" w:sz="0" w:space="0" w:color="auto"/>
                    <w:bottom w:val="none" w:sz="0" w:space="0" w:color="auto"/>
                    <w:right w:val="none" w:sz="0" w:space="0" w:color="auto"/>
                  </w:divBdr>
                  <w:divsChild>
                    <w:div w:id="1780948558">
                      <w:marLeft w:val="0"/>
                      <w:marRight w:val="0"/>
                      <w:marTop w:val="0"/>
                      <w:marBottom w:val="0"/>
                      <w:divBdr>
                        <w:top w:val="none" w:sz="0" w:space="0" w:color="auto"/>
                        <w:left w:val="none" w:sz="0" w:space="0" w:color="auto"/>
                        <w:bottom w:val="none" w:sz="0" w:space="0" w:color="auto"/>
                        <w:right w:val="none" w:sz="0" w:space="0" w:color="auto"/>
                      </w:divBdr>
                    </w:div>
                  </w:divsChild>
                </w:div>
                <w:div w:id="689797533">
                  <w:marLeft w:val="0"/>
                  <w:marRight w:val="0"/>
                  <w:marTop w:val="0"/>
                  <w:marBottom w:val="0"/>
                  <w:divBdr>
                    <w:top w:val="none" w:sz="0" w:space="0" w:color="auto"/>
                    <w:left w:val="none" w:sz="0" w:space="0" w:color="auto"/>
                    <w:bottom w:val="none" w:sz="0" w:space="0" w:color="auto"/>
                    <w:right w:val="none" w:sz="0" w:space="0" w:color="auto"/>
                  </w:divBdr>
                  <w:divsChild>
                    <w:div w:id="905262862">
                      <w:marLeft w:val="0"/>
                      <w:marRight w:val="0"/>
                      <w:marTop w:val="0"/>
                      <w:marBottom w:val="0"/>
                      <w:divBdr>
                        <w:top w:val="none" w:sz="0" w:space="0" w:color="auto"/>
                        <w:left w:val="none" w:sz="0" w:space="0" w:color="auto"/>
                        <w:bottom w:val="none" w:sz="0" w:space="0" w:color="auto"/>
                        <w:right w:val="none" w:sz="0" w:space="0" w:color="auto"/>
                      </w:divBdr>
                    </w:div>
                  </w:divsChild>
                </w:div>
                <w:div w:id="767777208">
                  <w:marLeft w:val="0"/>
                  <w:marRight w:val="0"/>
                  <w:marTop w:val="0"/>
                  <w:marBottom w:val="0"/>
                  <w:divBdr>
                    <w:top w:val="none" w:sz="0" w:space="0" w:color="auto"/>
                    <w:left w:val="none" w:sz="0" w:space="0" w:color="auto"/>
                    <w:bottom w:val="none" w:sz="0" w:space="0" w:color="auto"/>
                    <w:right w:val="none" w:sz="0" w:space="0" w:color="auto"/>
                  </w:divBdr>
                  <w:divsChild>
                    <w:div w:id="1666544649">
                      <w:marLeft w:val="0"/>
                      <w:marRight w:val="0"/>
                      <w:marTop w:val="0"/>
                      <w:marBottom w:val="0"/>
                      <w:divBdr>
                        <w:top w:val="none" w:sz="0" w:space="0" w:color="auto"/>
                        <w:left w:val="none" w:sz="0" w:space="0" w:color="auto"/>
                        <w:bottom w:val="none" w:sz="0" w:space="0" w:color="auto"/>
                        <w:right w:val="none" w:sz="0" w:space="0" w:color="auto"/>
                      </w:divBdr>
                    </w:div>
                  </w:divsChild>
                </w:div>
                <w:div w:id="912473038">
                  <w:marLeft w:val="0"/>
                  <w:marRight w:val="0"/>
                  <w:marTop w:val="0"/>
                  <w:marBottom w:val="0"/>
                  <w:divBdr>
                    <w:top w:val="none" w:sz="0" w:space="0" w:color="auto"/>
                    <w:left w:val="none" w:sz="0" w:space="0" w:color="auto"/>
                    <w:bottom w:val="none" w:sz="0" w:space="0" w:color="auto"/>
                    <w:right w:val="none" w:sz="0" w:space="0" w:color="auto"/>
                  </w:divBdr>
                  <w:divsChild>
                    <w:div w:id="98382326">
                      <w:marLeft w:val="0"/>
                      <w:marRight w:val="0"/>
                      <w:marTop w:val="0"/>
                      <w:marBottom w:val="0"/>
                      <w:divBdr>
                        <w:top w:val="none" w:sz="0" w:space="0" w:color="auto"/>
                        <w:left w:val="none" w:sz="0" w:space="0" w:color="auto"/>
                        <w:bottom w:val="none" w:sz="0" w:space="0" w:color="auto"/>
                        <w:right w:val="none" w:sz="0" w:space="0" w:color="auto"/>
                      </w:divBdr>
                    </w:div>
                  </w:divsChild>
                </w:div>
                <w:div w:id="1025598600">
                  <w:marLeft w:val="0"/>
                  <w:marRight w:val="0"/>
                  <w:marTop w:val="0"/>
                  <w:marBottom w:val="0"/>
                  <w:divBdr>
                    <w:top w:val="none" w:sz="0" w:space="0" w:color="auto"/>
                    <w:left w:val="none" w:sz="0" w:space="0" w:color="auto"/>
                    <w:bottom w:val="none" w:sz="0" w:space="0" w:color="auto"/>
                    <w:right w:val="none" w:sz="0" w:space="0" w:color="auto"/>
                  </w:divBdr>
                  <w:divsChild>
                    <w:div w:id="57284054">
                      <w:marLeft w:val="0"/>
                      <w:marRight w:val="0"/>
                      <w:marTop w:val="0"/>
                      <w:marBottom w:val="0"/>
                      <w:divBdr>
                        <w:top w:val="none" w:sz="0" w:space="0" w:color="auto"/>
                        <w:left w:val="none" w:sz="0" w:space="0" w:color="auto"/>
                        <w:bottom w:val="none" w:sz="0" w:space="0" w:color="auto"/>
                        <w:right w:val="none" w:sz="0" w:space="0" w:color="auto"/>
                      </w:divBdr>
                    </w:div>
                  </w:divsChild>
                </w:div>
                <w:div w:id="1065177901">
                  <w:marLeft w:val="0"/>
                  <w:marRight w:val="0"/>
                  <w:marTop w:val="0"/>
                  <w:marBottom w:val="0"/>
                  <w:divBdr>
                    <w:top w:val="none" w:sz="0" w:space="0" w:color="auto"/>
                    <w:left w:val="none" w:sz="0" w:space="0" w:color="auto"/>
                    <w:bottom w:val="none" w:sz="0" w:space="0" w:color="auto"/>
                    <w:right w:val="none" w:sz="0" w:space="0" w:color="auto"/>
                  </w:divBdr>
                  <w:divsChild>
                    <w:div w:id="490870066">
                      <w:marLeft w:val="0"/>
                      <w:marRight w:val="0"/>
                      <w:marTop w:val="0"/>
                      <w:marBottom w:val="0"/>
                      <w:divBdr>
                        <w:top w:val="none" w:sz="0" w:space="0" w:color="auto"/>
                        <w:left w:val="none" w:sz="0" w:space="0" w:color="auto"/>
                        <w:bottom w:val="none" w:sz="0" w:space="0" w:color="auto"/>
                        <w:right w:val="none" w:sz="0" w:space="0" w:color="auto"/>
                      </w:divBdr>
                    </w:div>
                  </w:divsChild>
                </w:div>
                <w:div w:id="1121998183">
                  <w:marLeft w:val="0"/>
                  <w:marRight w:val="0"/>
                  <w:marTop w:val="0"/>
                  <w:marBottom w:val="0"/>
                  <w:divBdr>
                    <w:top w:val="none" w:sz="0" w:space="0" w:color="auto"/>
                    <w:left w:val="none" w:sz="0" w:space="0" w:color="auto"/>
                    <w:bottom w:val="none" w:sz="0" w:space="0" w:color="auto"/>
                    <w:right w:val="none" w:sz="0" w:space="0" w:color="auto"/>
                  </w:divBdr>
                  <w:divsChild>
                    <w:div w:id="37438537">
                      <w:marLeft w:val="0"/>
                      <w:marRight w:val="0"/>
                      <w:marTop w:val="0"/>
                      <w:marBottom w:val="0"/>
                      <w:divBdr>
                        <w:top w:val="none" w:sz="0" w:space="0" w:color="auto"/>
                        <w:left w:val="none" w:sz="0" w:space="0" w:color="auto"/>
                        <w:bottom w:val="none" w:sz="0" w:space="0" w:color="auto"/>
                        <w:right w:val="none" w:sz="0" w:space="0" w:color="auto"/>
                      </w:divBdr>
                    </w:div>
                  </w:divsChild>
                </w:div>
                <w:div w:id="1206480107">
                  <w:marLeft w:val="0"/>
                  <w:marRight w:val="0"/>
                  <w:marTop w:val="0"/>
                  <w:marBottom w:val="0"/>
                  <w:divBdr>
                    <w:top w:val="none" w:sz="0" w:space="0" w:color="auto"/>
                    <w:left w:val="none" w:sz="0" w:space="0" w:color="auto"/>
                    <w:bottom w:val="none" w:sz="0" w:space="0" w:color="auto"/>
                    <w:right w:val="none" w:sz="0" w:space="0" w:color="auto"/>
                  </w:divBdr>
                  <w:divsChild>
                    <w:div w:id="378749154">
                      <w:marLeft w:val="0"/>
                      <w:marRight w:val="0"/>
                      <w:marTop w:val="0"/>
                      <w:marBottom w:val="0"/>
                      <w:divBdr>
                        <w:top w:val="none" w:sz="0" w:space="0" w:color="auto"/>
                        <w:left w:val="none" w:sz="0" w:space="0" w:color="auto"/>
                        <w:bottom w:val="none" w:sz="0" w:space="0" w:color="auto"/>
                        <w:right w:val="none" w:sz="0" w:space="0" w:color="auto"/>
                      </w:divBdr>
                    </w:div>
                  </w:divsChild>
                </w:div>
                <w:div w:id="1241720387">
                  <w:marLeft w:val="0"/>
                  <w:marRight w:val="0"/>
                  <w:marTop w:val="0"/>
                  <w:marBottom w:val="0"/>
                  <w:divBdr>
                    <w:top w:val="none" w:sz="0" w:space="0" w:color="auto"/>
                    <w:left w:val="none" w:sz="0" w:space="0" w:color="auto"/>
                    <w:bottom w:val="none" w:sz="0" w:space="0" w:color="auto"/>
                    <w:right w:val="none" w:sz="0" w:space="0" w:color="auto"/>
                  </w:divBdr>
                  <w:divsChild>
                    <w:div w:id="1584485470">
                      <w:marLeft w:val="0"/>
                      <w:marRight w:val="0"/>
                      <w:marTop w:val="0"/>
                      <w:marBottom w:val="0"/>
                      <w:divBdr>
                        <w:top w:val="none" w:sz="0" w:space="0" w:color="auto"/>
                        <w:left w:val="none" w:sz="0" w:space="0" w:color="auto"/>
                        <w:bottom w:val="none" w:sz="0" w:space="0" w:color="auto"/>
                        <w:right w:val="none" w:sz="0" w:space="0" w:color="auto"/>
                      </w:divBdr>
                    </w:div>
                  </w:divsChild>
                </w:div>
                <w:div w:id="1546912180">
                  <w:marLeft w:val="0"/>
                  <w:marRight w:val="0"/>
                  <w:marTop w:val="0"/>
                  <w:marBottom w:val="0"/>
                  <w:divBdr>
                    <w:top w:val="none" w:sz="0" w:space="0" w:color="auto"/>
                    <w:left w:val="none" w:sz="0" w:space="0" w:color="auto"/>
                    <w:bottom w:val="none" w:sz="0" w:space="0" w:color="auto"/>
                    <w:right w:val="none" w:sz="0" w:space="0" w:color="auto"/>
                  </w:divBdr>
                  <w:divsChild>
                    <w:div w:id="78913073">
                      <w:marLeft w:val="0"/>
                      <w:marRight w:val="0"/>
                      <w:marTop w:val="0"/>
                      <w:marBottom w:val="0"/>
                      <w:divBdr>
                        <w:top w:val="none" w:sz="0" w:space="0" w:color="auto"/>
                        <w:left w:val="none" w:sz="0" w:space="0" w:color="auto"/>
                        <w:bottom w:val="none" w:sz="0" w:space="0" w:color="auto"/>
                        <w:right w:val="none" w:sz="0" w:space="0" w:color="auto"/>
                      </w:divBdr>
                    </w:div>
                  </w:divsChild>
                </w:div>
                <w:div w:id="1891964062">
                  <w:marLeft w:val="0"/>
                  <w:marRight w:val="0"/>
                  <w:marTop w:val="0"/>
                  <w:marBottom w:val="0"/>
                  <w:divBdr>
                    <w:top w:val="none" w:sz="0" w:space="0" w:color="auto"/>
                    <w:left w:val="none" w:sz="0" w:space="0" w:color="auto"/>
                    <w:bottom w:val="none" w:sz="0" w:space="0" w:color="auto"/>
                    <w:right w:val="none" w:sz="0" w:space="0" w:color="auto"/>
                  </w:divBdr>
                  <w:divsChild>
                    <w:div w:id="343482039">
                      <w:marLeft w:val="0"/>
                      <w:marRight w:val="0"/>
                      <w:marTop w:val="0"/>
                      <w:marBottom w:val="0"/>
                      <w:divBdr>
                        <w:top w:val="none" w:sz="0" w:space="0" w:color="auto"/>
                        <w:left w:val="none" w:sz="0" w:space="0" w:color="auto"/>
                        <w:bottom w:val="none" w:sz="0" w:space="0" w:color="auto"/>
                        <w:right w:val="none" w:sz="0" w:space="0" w:color="auto"/>
                      </w:divBdr>
                    </w:div>
                  </w:divsChild>
                </w:div>
                <w:div w:id="1954094379">
                  <w:marLeft w:val="0"/>
                  <w:marRight w:val="0"/>
                  <w:marTop w:val="0"/>
                  <w:marBottom w:val="0"/>
                  <w:divBdr>
                    <w:top w:val="none" w:sz="0" w:space="0" w:color="auto"/>
                    <w:left w:val="none" w:sz="0" w:space="0" w:color="auto"/>
                    <w:bottom w:val="none" w:sz="0" w:space="0" w:color="auto"/>
                    <w:right w:val="none" w:sz="0" w:space="0" w:color="auto"/>
                  </w:divBdr>
                  <w:divsChild>
                    <w:div w:id="19840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8540">
          <w:marLeft w:val="0"/>
          <w:marRight w:val="0"/>
          <w:marTop w:val="0"/>
          <w:marBottom w:val="0"/>
          <w:divBdr>
            <w:top w:val="none" w:sz="0" w:space="0" w:color="auto"/>
            <w:left w:val="none" w:sz="0" w:space="0" w:color="auto"/>
            <w:bottom w:val="none" w:sz="0" w:space="0" w:color="auto"/>
            <w:right w:val="none" w:sz="0" w:space="0" w:color="auto"/>
          </w:divBdr>
        </w:div>
        <w:div w:id="1295329540">
          <w:marLeft w:val="0"/>
          <w:marRight w:val="0"/>
          <w:marTop w:val="0"/>
          <w:marBottom w:val="0"/>
          <w:divBdr>
            <w:top w:val="none" w:sz="0" w:space="0" w:color="auto"/>
            <w:left w:val="none" w:sz="0" w:space="0" w:color="auto"/>
            <w:bottom w:val="none" w:sz="0" w:space="0" w:color="auto"/>
            <w:right w:val="none" w:sz="0" w:space="0" w:color="auto"/>
          </w:divBdr>
        </w:div>
        <w:div w:id="1323580802">
          <w:marLeft w:val="0"/>
          <w:marRight w:val="0"/>
          <w:marTop w:val="0"/>
          <w:marBottom w:val="0"/>
          <w:divBdr>
            <w:top w:val="none" w:sz="0" w:space="0" w:color="auto"/>
            <w:left w:val="none" w:sz="0" w:space="0" w:color="auto"/>
            <w:bottom w:val="none" w:sz="0" w:space="0" w:color="auto"/>
            <w:right w:val="none" w:sz="0" w:space="0" w:color="auto"/>
          </w:divBdr>
        </w:div>
        <w:div w:id="1334837678">
          <w:marLeft w:val="0"/>
          <w:marRight w:val="0"/>
          <w:marTop w:val="0"/>
          <w:marBottom w:val="0"/>
          <w:divBdr>
            <w:top w:val="none" w:sz="0" w:space="0" w:color="auto"/>
            <w:left w:val="none" w:sz="0" w:space="0" w:color="auto"/>
            <w:bottom w:val="none" w:sz="0" w:space="0" w:color="auto"/>
            <w:right w:val="none" w:sz="0" w:space="0" w:color="auto"/>
          </w:divBdr>
        </w:div>
        <w:div w:id="1360735316">
          <w:marLeft w:val="0"/>
          <w:marRight w:val="0"/>
          <w:marTop w:val="0"/>
          <w:marBottom w:val="0"/>
          <w:divBdr>
            <w:top w:val="none" w:sz="0" w:space="0" w:color="auto"/>
            <w:left w:val="none" w:sz="0" w:space="0" w:color="auto"/>
            <w:bottom w:val="none" w:sz="0" w:space="0" w:color="auto"/>
            <w:right w:val="none" w:sz="0" w:space="0" w:color="auto"/>
          </w:divBdr>
        </w:div>
        <w:div w:id="1371107574">
          <w:marLeft w:val="0"/>
          <w:marRight w:val="0"/>
          <w:marTop w:val="0"/>
          <w:marBottom w:val="0"/>
          <w:divBdr>
            <w:top w:val="none" w:sz="0" w:space="0" w:color="auto"/>
            <w:left w:val="none" w:sz="0" w:space="0" w:color="auto"/>
            <w:bottom w:val="none" w:sz="0" w:space="0" w:color="auto"/>
            <w:right w:val="none" w:sz="0" w:space="0" w:color="auto"/>
          </w:divBdr>
        </w:div>
        <w:div w:id="1376395853">
          <w:marLeft w:val="0"/>
          <w:marRight w:val="0"/>
          <w:marTop w:val="0"/>
          <w:marBottom w:val="0"/>
          <w:divBdr>
            <w:top w:val="none" w:sz="0" w:space="0" w:color="auto"/>
            <w:left w:val="none" w:sz="0" w:space="0" w:color="auto"/>
            <w:bottom w:val="none" w:sz="0" w:space="0" w:color="auto"/>
            <w:right w:val="none" w:sz="0" w:space="0" w:color="auto"/>
          </w:divBdr>
        </w:div>
        <w:div w:id="1400598007">
          <w:marLeft w:val="0"/>
          <w:marRight w:val="0"/>
          <w:marTop w:val="0"/>
          <w:marBottom w:val="0"/>
          <w:divBdr>
            <w:top w:val="none" w:sz="0" w:space="0" w:color="auto"/>
            <w:left w:val="none" w:sz="0" w:space="0" w:color="auto"/>
            <w:bottom w:val="none" w:sz="0" w:space="0" w:color="auto"/>
            <w:right w:val="none" w:sz="0" w:space="0" w:color="auto"/>
          </w:divBdr>
        </w:div>
        <w:div w:id="1445616966">
          <w:marLeft w:val="0"/>
          <w:marRight w:val="0"/>
          <w:marTop w:val="0"/>
          <w:marBottom w:val="0"/>
          <w:divBdr>
            <w:top w:val="none" w:sz="0" w:space="0" w:color="auto"/>
            <w:left w:val="none" w:sz="0" w:space="0" w:color="auto"/>
            <w:bottom w:val="none" w:sz="0" w:space="0" w:color="auto"/>
            <w:right w:val="none" w:sz="0" w:space="0" w:color="auto"/>
          </w:divBdr>
        </w:div>
        <w:div w:id="1451582935">
          <w:marLeft w:val="0"/>
          <w:marRight w:val="0"/>
          <w:marTop w:val="0"/>
          <w:marBottom w:val="0"/>
          <w:divBdr>
            <w:top w:val="none" w:sz="0" w:space="0" w:color="auto"/>
            <w:left w:val="none" w:sz="0" w:space="0" w:color="auto"/>
            <w:bottom w:val="none" w:sz="0" w:space="0" w:color="auto"/>
            <w:right w:val="none" w:sz="0" w:space="0" w:color="auto"/>
          </w:divBdr>
          <w:divsChild>
            <w:div w:id="263001127">
              <w:marLeft w:val="0"/>
              <w:marRight w:val="0"/>
              <w:marTop w:val="0"/>
              <w:marBottom w:val="0"/>
              <w:divBdr>
                <w:top w:val="none" w:sz="0" w:space="0" w:color="auto"/>
                <w:left w:val="none" w:sz="0" w:space="0" w:color="auto"/>
                <w:bottom w:val="none" w:sz="0" w:space="0" w:color="auto"/>
                <w:right w:val="none" w:sz="0" w:space="0" w:color="auto"/>
              </w:divBdr>
            </w:div>
            <w:div w:id="367337597">
              <w:marLeft w:val="0"/>
              <w:marRight w:val="0"/>
              <w:marTop w:val="0"/>
              <w:marBottom w:val="0"/>
              <w:divBdr>
                <w:top w:val="none" w:sz="0" w:space="0" w:color="auto"/>
                <w:left w:val="none" w:sz="0" w:space="0" w:color="auto"/>
                <w:bottom w:val="none" w:sz="0" w:space="0" w:color="auto"/>
                <w:right w:val="none" w:sz="0" w:space="0" w:color="auto"/>
              </w:divBdr>
            </w:div>
            <w:div w:id="491484881">
              <w:marLeft w:val="0"/>
              <w:marRight w:val="0"/>
              <w:marTop w:val="0"/>
              <w:marBottom w:val="0"/>
              <w:divBdr>
                <w:top w:val="none" w:sz="0" w:space="0" w:color="auto"/>
                <w:left w:val="none" w:sz="0" w:space="0" w:color="auto"/>
                <w:bottom w:val="none" w:sz="0" w:space="0" w:color="auto"/>
                <w:right w:val="none" w:sz="0" w:space="0" w:color="auto"/>
              </w:divBdr>
            </w:div>
            <w:div w:id="598559871">
              <w:marLeft w:val="0"/>
              <w:marRight w:val="0"/>
              <w:marTop w:val="0"/>
              <w:marBottom w:val="0"/>
              <w:divBdr>
                <w:top w:val="none" w:sz="0" w:space="0" w:color="auto"/>
                <w:left w:val="none" w:sz="0" w:space="0" w:color="auto"/>
                <w:bottom w:val="none" w:sz="0" w:space="0" w:color="auto"/>
                <w:right w:val="none" w:sz="0" w:space="0" w:color="auto"/>
              </w:divBdr>
            </w:div>
            <w:div w:id="660234064">
              <w:marLeft w:val="0"/>
              <w:marRight w:val="0"/>
              <w:marTop w:val="0"/>
              <w:marBottom w:val="0"/>
              <w:divBdr>
                <w:top w:val="none" w:sz="0" w:space="0" w:color="auto"/>
                <w:left w:val="none" w:sz="0" w:space="0" w:color="auto"/>
                <w:bottom w:val="none" w:sz="0" w:space="0" w:color="auto"/>
                <w:right w:val="none" w:sz="0" w:space="0" w:color="auto"/>
              </w:divBdr>
            </w:div>
            <w:div w:id="680013248">
              <w:marLeft w:val="0"/>
              <w:marRight w:val="0"/>
              <w:marTop w:val="0"/>
              <w:marBottom w:val="0"/>
              <w:divBdr>
                <w:top w:val="none" w:sz="0" w:space="0" w:color="auto"/>
                <w:left w:val="none" w:sz="0" w:space="0" w:color="auto"/>
                <w:bottom w:val="none" w:sz="0" w:space="0" w:color="auto"/>
                <w:right w:val="none" w:sz="0" w:space="0" w:color="auto"/>
              </w:divBdr>
            </w:div>
            <w:div w:id="713847397">
              <w:marLeft w:val="0"/>
              <w:marRight w:val="0"/>
              <w:marTop w:val="0"/>
              <w:marBottom w:val="0"/>
              <w:divBdr>
                <w:top w:val="none" w:sz="0" w:space="0" w:color="auto"/>
                <w:left w:val="none" w:sz="0" w:space="0" w:color="auto"/>
                <w:bottom w:val="none" w:sz="0" w:space="0" w:color="auto"/>
                <w:right w:val="none" w:sz="0" w:space="0" w:color="auto"/>
              </w:divBdr>
            </w:div>
            <w:div w:id="823011989">
              <w:marLeft w:val="0"/>
              <w:marRight w:val="0"/>
              <w:marTop w:val="0"/>
              <w:marBottom w:val="0"/>
              <w:divBdr>
                <w:top w:val="none" w:sz="0" w:space="0" w:color="auto"/>
                <w:left w:val="none" w:sz="0" w:space="0" w:color="auto"/>
                <w:bottom w:val="none" w:sz="0" w:space="0" w:color="auto"/>
                <w:right w:val="none" w:sz="0" w:space="0" w:color="auto"/>
              </w:divBdr>
            </w:div>
            <w:div w:id="864370814">
              <w:marLeft w:val="0"/>
              <w:marRight w:val="0"/>
              <w:marTop w:val="0"/>
              <w:marBottom w:val="0"/>
              <w:divBdr>
                <w:top w:val="none" w:sz="0" w:space="0" w:color="auto"/>
                <w:left w:val="none" w:sz="0" w:space="0" w:color="auto"/>
                <w:bottom w:val="none" w:sz="0" w:space="0" w:color="auto"/>
                <w:right w:val="none" w:sz="0" w:space="0" w:color="auto"/>
              </w:divBdr>
            </w:div>
            <w:div w:id="903105290">
              <w:marLeft w:val="0"/>
              <w:marRight w:val="0"/>
              <w:marTop w:val="0"/>
              <w:marBottom w:val="0"/>
              <w:divBdr>
                <w:top w:val="none" w:sz="0" w:space="0" w:color="auto"/>
                <w:left w:val="none" w:sz="0" w:space="0" w:color="auto"/>
                <w:bottom w:val="none" w:sz="0" w:space="0" w:color="auto"/>
                <w:right w:val="none" w:sz="0" w:space="0" w:color="auto"/>
              </w:divBdr>
            </w:div>
            <w:div w:id="1006174586">
              <w:marLeft w:val="0"/>
              <w:marRight w:val="0"/>
              <w:marTop w:val="0"/>
              <w:marBottom w:val="0"/>
              <w:divBdr>
                <w:top w:val="none" w:sz="0" w:space="0" w:color="auto"/>
                <w:left w:val="none" w:sz="0" w:space="0" w:color="auto"/>
                <w:bottom w:val="none" w:sz="0" w:space="0" w:color="auto"/>
                <w:right w:val="none" w:sz="0" w:space="0" w:color="auto"/>
              </w:divBdr>
            </w:div>
            <w:div w:id="1073164378">
              <w:marLeft w:val="0"/>
              <w:marRight w:val="0"/>
              <w:marTop w:val="0"/>
              <w:marBottom w:val="0"/>
              <w:divBdr>
                <w:top w:val="none" w:sz="0" w:space="0" w:color="auto"/>
                <w:left w:val="none" w:sz="0" w:space="0" w:color="auto"/>
                <w:bottom w:val="none" w:sz="0" w:space="0" w:color="auto"/>
                <w:right w:val="none" w:sz="0" w:space="0" w:color="auto"/>
              </w:divBdr>
            </w:div>
            <w:div w:id="1268004183">
              <w:marLeft w:val="0"/>
              <w:marRight w:val="0"/>
              <w:marTop w:val="0"/>
              <w:marBottom w:val="0"/>
              <w:divBdr>
                <w:top w:val="none" w:sz="0" w:space="0" w:color="auto"/>
                <w:left w:val="none" w:sz="0" w:space="0" w:color="auto"/>
                <w:bottom w:val="none" w:sz="0" w:space="0" w:color="auto"/>
                <w:right w:val="none" w:sz="0" w:space="0" w:color="auto"/>
              </w:divBdr>
            </w:div>
            <w:div w:id="1379890474">
              <w:marLeft w:val="0"/>
              <w:marRight w:val="0"/>
              <w:marTop w:val="0"/>
              <w:marBottom w:val="0"/>
              <w:divBdr>
                <w:top w:val="none" w:sz="0" w:space="0" w:color="auto"/>
                <w:left w:val="none" w:sz="0" w:space="0" w:color="auto"/>
                <w:bottom w:val="none" w:sz="0" w:space="0" w:color="auto"/>
                <w:right w:val="none" w:sz="0" w:space="0" w:color="auto"/>
              </w:divBdr>
            </w:div>
            <w:div w:id="1499345921">
              <w:marLeft w:val="0"/>
              <w:marRight w:val="0"/>
              <w:marTop w:val="0"/>
              <w:marBottom w:val="0"/>
              <w:divBdr>
                <w:top w:val="none" w:sz="0" w:space="0" w:color="auto"/>
                <w:left w:val="none" w:sz="0" w:space="0" w:color="auto"/>
                <w:bottom w:val="none" w:sz="0" w:space="0" w:color="auto"/>
                <w:right w:val="none" w:sz="0" w:space="0" w:color="auto"/>
              </w:divBdr>
            </w:div>
            <w:div w:id="1524441254">
              <w:marLeft w:val="0"/>
              <w:marRight w:val="0"/>
              <w:marTop w:val="0"/>
              <w:marBottom w:val="0"/>
              <w:divBdr>
                <w:top w:val="none" w:sz="0" w:space="0" w:color="auto"/>
                <w:left w:val="none" w:sz="0" w:space="0" w:color="auto"/>
                <w:bottom w:val="none" w:sz="0" w:space="0" w:color="auto"/>
                <w:right w:val="none" w:sz="0" w:space="0" w:color="auto"/>
              </w:divBdr>
            </w:div>
            <w:div w:id="1558786281">
              <w:marLeft w:val="0"/>
              <w:marRight w:val="0"/>
              <w:marTop w:val="0"/>
              <w:marBottom w:val="0"/>
              <w:divBdr>
                <w:top w:val="none" w:sz="0" w:space="0" w:color="auto"/>
                <w:left w:val="none" w:sz="0" w:space="0" w:color="auto"/>
                <w:bottom w:val="none" w:sz="0" w:space="0" w:color="auto"/>
                <w:right w:val="none" w:sz="0" w:space="0" w:color="auto"/>
              </w:divBdr>
            </w:div>
            <w:div w:id="1713460954">
              <w:marLeft w:val="0"/>
              <w:marRight w:val="0"/>
              <w:marTop w:val="0"/>
              <w:marBottom w:val="0"/>
              <w:divBdr>
                <w:top w:val="none" w:sz="0" w:space="0" w:color="auto"/>
                <w:left w:val="none" w:sz="0" w:space="0" w:color="auto"/>
                <w:bottom w:val="none" w:sz="0" w:space="0" w:color="auto"/>
                <w:right w:val="none" w:sz="0" w:space="0" w:color="auto"/>
              </w:divBdr>
            </w:div>
            <w:div w:id="1795439669">
              <w:marLeft w:val="0"/>
              <w:marRight w:val="0"/>
              <w:marTop w:val="0"/>
              <w:marBottom w:val="0"/>
              <w:divBdr>
                <w:top w:val="none" w:sz="0" w:space="0" w:color="auto"/>
                <w:left w:val="none" w:sz="0" w:space="0" w:color="auto"/>
                <w:bottom w:val="none" w:sz="0" w:space="0" w:color="auto"/>
                <w:right w:val="none" w:sz="0" w:space="0" w:color="auto"/>
              </w:divBdr>
            </w:div>
            <w:div w:id="1889339951">
              <w:marLeft w:val="0"/>
              <w:marRight w:val="0"/>
              <w:marTop w:val="0"/>
              <w:marBottom w:val="0"/>
              <w:divBdr>
                <w:top w:val="none" w:sz="0" w:space="0" w:color="auto"/>
                <w:left w:val="none" w:sz="0" w:space="0" w:color="auto"/>
                <w:bottom w:val="none" w:sz="0" w:space="0" w:color="auto"/>
                <w:right w:val="none" w:sz="0" w:space="0" w:color="auto"/>
              </w:divBdr>
            </w:div>
          </w:divsChild>
        </w:div>
        <w:div w:id="1463813468">
          <w:marLeft w:val="0"/>
          <w:marRight w:val="0"/>
          <w:marTop w:val="0"/>
          <w:marBottom w:val="0"/>
          <w:divBdr>
            <w:top w:val="none" w:sz="0" w:space="0" w:color="auto"/>
            <w:left w:val="none" w:sz="0" w:space="0" w:color="auto"/>
            <w:bottom w:val="none" w:sz="0" w:space="0" w:color="auto"/>
            <w:right w:val="none" w:sz="0" w:space="0" w:color="auto"/>
          </w:divBdr>
        </w:div>
        <w:div w:id="1472019037">
          <w:marLeft w:val="0"/>
          <w:marRight w:val="0"/>
          <w:marTop w:val="0"/>
          <w:marBottom w:val="0"/>
          <w:divBdr>
            <w:top w:val="none" w:sz="0" w:space="0" w:color="auto"/>
            <w:left w:val="none" w:sz="0" w:space="0" w:color="auto"/>
            <w:bottom w:val="none" w:sz="0" w:space="0" w:color="auto"/>
            <w:right w:val="none" w:sz="0" w:space="0" w:color="auto"/>
          </w:divBdr>
        </w:div>
        <w:div w:id="1494487080">
          <w:marLeft w:val="0"/>
          <w:marRight w:val="0"/>
          <w:marTop w:val="0"/>
          <w:marBottom w:val="0"/>
          <w:divBdr>
            <w:top w:val="none" w:sz="0" w:space="0" w:color="auto"/>
            <w:left w:val="none" w:sz="0" w:space="0" w:color="auto"/>
            <w:bottom w:val="none" w:sz="0" w:space="0" w:color="auto"/>
            <w:right w:val="none" w:sz="0" w:space="0" w:color="auto"/>
          </w:divBdr>
        </w:div>
        <w:div w:id="1500149358">
          <w:marLeft w:val="0"/>
          <w:marRight w:val="0"/>
          <w:marTop w:val="0"/>
          <w:marBottom w:val="0"/>
          <w:divBdr>
            <w:top w:val="none" w:sz="0" w:space="0" w:color="auto"/>
            <w:left w:val="none" w:sz="0" w:space="0" w:color="auto"/>
            <w:bottom w:val="none" w:sz="0" w:space="0" w:color="auto"/>
            <w:right w:val="none" w:sz="0" w:space="0" w:color="auto"/>
          </w:divBdr>
        </w:div>
        <w:div w:id="1518158215">
          <w:marLeft w:val="0"/>
          <w:marRight w:val="0"/>
          <w:marTop w:val="0"/>
          <w:marBottom w:val="0"/>
          <w:divBdr>
            <w:top w:val="none" w:sz="0" w:space="0" w:color="auto"/>
            <w:left w:val="none" w:sz="0" w:space="0" w:color="auto"/>
            <w:bottom w:val="none" w:sz="0" w:space="0" w:color="auto"/>
            <w:right w:val="none" w:sz="0" w:space="0" w:color="auto"/>
          </w:divBdr>
        </w:div>
        <w:div w:id="1526598842">
          <w:marLeft w:val="0"/>
          <w:marRight w:val="0"/>
          <w:marTop w:val="0"/>
          <w:marBottom w:val="0"/>
          <w:divBdr>
            <w:top w:val="none" w:sz="0" w:space="0" w:color="auto"/>
            <w:left w:val="none" w:sz="0" w:space="0" w:color="auto"/>
            <w:bottom w:val="none" w:sz="0" w:space="0" w:color="auto"/>
            <w:right w:val="none" w:sz="0" w:space="0" w:color="auto"/>
          </w:divBdr>
        </w:div>
        <w:div w:id="1535583253">
          <w:marLeft w:val="0"/>
          <w:marRight w:val="0"/>
          <w:marTop w:val="0"/>
          <w:marBottom w:val="0"/>
          <w:divBdr>
            <w:top w:val="none" w:sz="0" w:space="0" w:color="auto"/>
            <w:left w:val="none" w:sz="0" w:space="0" w:color="auto"/>
            <w:bottom w:val="none" w:sz="0" w:space="0" w:color="auto"/>
            <w:right w:val="none" w:sz="0" w:space="0" w:color="auto"/>
          </w:divBdr>
        </w:div>
        <w:div w:id="1554463303">
          <w:marLeft w:val="0"/>
          <w:marRight w:val="0"/>
          <w:marTop w:val="0"/>
          <w:marBottom w:val="0"/>
          <w:divBdr>
            <w:top w:val="none" w:sz="0" w:space="0" w:color="auto"/>
            <w:left w:val="none" w:sz="0" w:space="0" w:color="auto"/>
            <w:bottom w:val="none" w:sz="0" w:space="0" w:color="auto"/>
            <w:right w:val="none" w:sz="0" w:space="0" w:color="auto"/>
          </w:divBdr>
        </w:div>
        <w:div w:id="1565797998">
          <w:marLeft w:val="0"/>
          <w:marRight w:val="0"/>
          <w:marTop w:val="0"/>
          <w:marBottom w:val="0"/>
          <w:divBdr>
            <w:top w:val="none" w:sz="0" w:space="0" w:color="auto"/>
            <w:left w:val="none" w:sz="0" w:space="0" w:color="auto"/>
            <w:bottom w:val="none" w:sz="0" w:space="0" w:color="auto"/>
            <w:right w:val="none" w:sz="0" w:space="0" w:color="auto"/>
          </w:divBdr>
        </w:div>
        <w:div w:id="1577980395">
          <w:marLeft w:val="0"/>
          <w:marRight w:val="0"/>
          <w:marTop w:val="0"/>
          <w:marBottom w:val="0"/>
          <w:divBdr>
            <w:top w:val="none" w:sz="0" w:space="0" w:color="auto"/>
            <w:left w:val="none" w:sz="0" w:space="0" w:color="auto"/>
            <w:bottom w:val="none" w:sz="0" w:space="0" w:color="auto"/>
            <w:right w:val="none" w:sz="0" w:space="0" w:color="auto"/>
          </w:divBdr>
        </w:div>
        <w:div w:id="1653636346">
          <w:marLeft w:val="0"/>
          <w:marRight w:val="0"/>
          <w:marTop w:val="0"/>
          <w:marBottom w:val="0"/>
          <w:divBdr>
            <w:top w:val="none" w:sz="0" w:space="0" w:color="auto"/>
            <w:left w:val="none" w:sz="0" w:space="0" w:color="auto"/>
            <w:bottom w:val="none" w:sz="0" w:space="0" w:color="auto"/>
            <w:right w:val="none" w:sz="0" w:space="0" w:color="auto"/>
          </w:divBdr>
        </w:div>
        <w:div w:id="1663199791">
          <w:marLeft w:val="0"/>
          <w:marRight w:val="0"/>
          <w:marTop w:val="0"/>
          <w:marBottom w:val="0"/>
          <w:divBdr>
            <w:top w:val="none" w:sz="0" w:space="0" w:color="auto"/>
            <w:left w:val="none" w:sz="0" w:space="0" w:color="auto"/>
            <w:bottom w:val="none" w:sz="0" w:space="0" w:color="auto"/>
            <w:right w:val="none" w:sz="0" w:space="0" w:color="auto"/>
          </w:divBdr>
          <w:divsChild>
            <w:div w:id="733237363">
              <w:marLeft w:val="-75"/>
              <w:marRight w:val="0"/>
              <w:marTop w:val="30"/>
              <w:marBottom w:val="30"/>
              <w:divBdr>
                <w:top w:val="none" w:sz="0" w:space="0" w:color="auto"/>
                <w:left w:val="none" w:sz="0" w:space="0" w:color="auto"/>
                <w:bottom w:val="none" w:sz="0" w:space="0" w:color="auto"/>
                <w:right w:val="none" w:sz="0" w:space="0" w:color="auto"/>
              </w:divBdr>
              <w:divsChild>
                <w:div w:id="119496202">
                  <w:marLeft w:val="0"/>
                  <w:marRight w:val="0"/>
                  <w:marTop w:val="0"/>
                  <w:marBottom w:val="0"/>
                  <w:divBdr>
                    <w:top w:val="none" w:sz="0" w:space="0" w:color="auto"/>
                    <w:left w:val="none" w:sz="0" w:space="0" w:color="auto"/>
                    <w:bottom w:val="none" w:sz="0" w:space="0" w:color="auto"/>
                    <w:right w:val="none" w:sz="0" w:space="0" w:color="auto"/>
                  </w:divBdr>
                  <w:divsChild>
                    <w:div w:id="2110539527">
                      <w:marLeft w:val="0"/>
                      <w:marRight w:val="0"/>
                      <w:marTop w:val="0"/>
                      <w:marBottom w:val="0"/>
                      <w:divBdr>
                        <w:top w:val="none" w:sz="0" w:space="0" w:color="auto"/>
                        <w:left w:val="none" w:sz="0" w:space="0" w:color="auto"/>
                        <w:bottom w:val="none" w:sz="0" w:space="0" w:color="auto"/>
                        <w:right w:val="none" w:sz="0" w:space="0" w:color="auto"/>
                      </w:divBdr>
                    </w:div>
                  </w:divsChild>
                </w:div>
                <w:div w:id="195850351">
                  <w:marLeft w:val="0"/>
                  <w:marRight w:val="0"/>
                  <w:marTop w:val="0"/>
                  <w:marBottom w:val="0"/>
                  <w:divBdr>
                    <w:top w:val="none" w:sz="0" w:space="0" w:color="auto"/>
                    <w:left w:val="none" w:sz="0" w:space="0" w:color="auto"/>
                    <w:bottom w:val="none" w:sz="0" w:space="0" w:color="auto"/>
                    <w:right w:val="none" w:sz="0" w:space="0" w:color="auto"/>
                  </w:divBdr>
                  <w:divsChild>
                    <w:div w:id="1855729878">
                      <w:marLeft w:val="0"/>
                      <w:marRight w:val="0"/>
                      <w:marTop w:val="0"/>
                      <w:marBottom w:val="0"/>
                      <w:divBdr>
                        <w:top w:val="none" w:sz="0" w:space="0" w:color="auto"/>
                        <w:left w:val="none" w:sz="0" w:space="0" w:color="auto"/>
                        <w:bottom w:val="none" w:sz="0" w:space="0" w:color="auto"/>
                        <w:right w:val="none" w:sz="0" w:space="0" w:color="auto"/>
                      </w:divBdr>
                    </w:div>
                  </w:divsChild>
                </w:div>
                <w:div w:id="322704470">
                  <w:marLeft w:val="0"/>
                  <w:marRight w:val="0"/>
                  <w:marTop w:val="0"/>
                  <w:marBottom w:val="0"/>
                  <w:divBdr>
                    <w:top w:val="none" w:sz="0" w:space="0" w:color="auto"/>
                    <w:left w:val="none" w:sz="0" w:space="0" w:color="auto"/>
                    <w:bottom w:val="none" w:sz="0" w:space="0" w:color="auto"/>
                    <w:right w:val="none" w:sz="0" w:space="0" w:color="auto"/>
                  </w:divBdr>
                  <w:divsChild>
                    <w:div w:id="572006456">
                      <w:marLeft w:val="0"/>
                      <w:marRight w:val="0"/>
                      <w:marTop w:val="0"/>
                      <w:marBottom w:val="0"/>
                      <w:divBdr>
                        <w:top w:val="none" w:sz="0" w:space="0" w:color="auto"/>
                        <w:left w:val="none" w:sz="0" w:space="0" w:color="auto"/>
                        <w:bottom w:val="none" w:sz="0" w:space="0" w:color="auto"/>
                        <w:right w:val="none" w:sz="0" w:space="0" w:color="auto"/>
                      </w:divBdr>
                    </w:div>
                  </w:divsChild>
                </w:div>
                <w:div w:id="396514560">
                  <w:marLeft w:val="0"/>
                  <w:marRight w:val="0"/>
                  <w:marTop w:val="0"/>
                  <w:marBottom w:val="0"/>
                  <w:divBdr>
                    <w:top w:val="none" w:sz="0" w:space="0" w:color="auto"/>
                    <w:left w:val="none" w:sz="0" w:space="0" w:color="auto"/>
                    <w:bottom w:val="none" w:sz="0" w:space="0" w:color="auto"/>
                    <w:right w:val="none" w:sz="0" w:space="0" w:color="auto"/>
                  </w:divBdr>
                  <w:divsChild>
                    <w:div w:id="2080054318">
                      <w:marLeft w:val="0"/>
                      <w:marRight w:val="0"/>
                      <w:marTop w:val="0"/>
                      <w:marBottom w:val="0"/>
                      <w:divBdr>
                        <w:top w:val="none" w:sz="0" w:space="0" w:color="auto"/>
                        <w:left w:val="none" w:sz="0" w:space="0" w:color="auto"/>
                        <w:bottom w:val="none" w:sz="0" w:space="0" w:color="auto"/>
                        <w:right w:val="none" w:sz="0" w:space="0" w:color="auto"/>
                      </w:divBdr>
                    </w:div>
                  </w:divsChild>
                </w:div>
                <w:div w:id="402727738">
                  <w:marLeft w:val="0"/>
                  <w:marRight w:val="0"/>
                  <w:marTop w:val="0"/>
                  <w:marBottom w:val="0"/>
                  <w:divBdr>
                    <w:top w:val="none" w:sz="0" w:space="0" w:color="auto"/>
                    <w:left w:val="none" w:sz="0" w:space="0" w:color="auto"/>
                    <w:bottom w:val="none" w:sz="0" w:space="0" w:color="auto"/>
                    <w:right w:val="none" w:sz="0" w:space="0" w:color="auto"/>
                  </w:divBdr>
                  <w:divsChild>
                    <w:div w:id="900823426">
                      <w:marLeft w:val="0"/>
                      <w:marRight w:val="0"/>
                      <w:marTop w:val="0"/>
                      <w:marBottom w:val="0"/>
                      <w:divBdr>
                        <w:top w:val="none" w:sz="0" w:space="0" w:color="auto"/>
                        <w:left w:val="none" w:sz="0" w:space="0" w:color="auto"/>
                        <w:bottom w:val="none" w:sz="0" w:space="0" w:color="auto"/>
                        <w:right w:val="none" w:sz="0" w:space="0" w:color="auto"/>
                      </w:divBdr>
                    </w:div>
                  </w:divsChild>
                </w:div>
                <w:div w:id="602034624">
                  <w:marLeft w:val="0"/>
                  <w:marRight w:val="0"/>
                  <w:marTop w:val="0"/>
                  <w:marBottom w:val="0"/>
                  <w:divBdr>
                    <w:top w:val="none" w:sz="0" w:space="0" w:color="auto"/>
                    <w:left w:val="none" w:sz="0" w:space="0" w:color="auto"/>
                    <w:bottom w:val="none" w:sz="0" w:space="0" w:color="auto"/>
                    <w:right w:val="none" w:sz="0" w:space="0" w:color="auto"/>
                  </w:divBdr>
                  <w:divsChild>
                    <w:div w:id="1150902363">
                      <w:marLeft w:val="0"/>
                      <w:marRight w:val="0"/>
                      <w:marTop w:val="0"/>
                      <w:marBottom w:val="0"/>
                      <w:divBdr>
                        <w:top w:val="none" w:sz="0" w:space="0" w:color="auto"/>
                        <w:left w:val="none" w:sz="0" w:space="0" w:color="auto"/>
                        <w:bottom w:val="none" w:sz="0" w:space="0" w:color="auto"/>
                        <w:right w:val="none" w:sz="0" w:space="0" w:color="auto"/>
                      </w:divBdr>
                    </w:div>
                  </w:divsChild>
                </w:div>
                <w:div w:id="748503716">
                  <w:marLeft w:val="0"/>
                  <w:marRight w:val="0"/>
                  <w:marTop w:val="0"/>
                  <w:marBottom w:val="0"/>
                  <w:divBdr>
                    <w:top w:val="none" w:sz="0" w:space="0" w:color="auto"/>
                    <w:left w:val="none" w:sz="0" w:space="0" w:color="auto"/>
                    <w:bottom w:val="none" w:sz="0" w:space="0" w:color="auto"/>
                    <w:right w:val="none" w:sz="0" w:space="0" w:color="auto"/>
                  </w:divBdr>
                  <w:divsChild>
                    <w:div w:id="848056874">
                      <w:marLeft w:val="0"/>
                      <w:marRight w:val="0"/>
                      <w:marTop w:val="0"/>
                      <w:marBottom w:val="0"/>
                      <w:divBdr>
                        <w:top w:val="none" w:sz="0" w:space="0" w:color="auto"/>
                        <w:left w:val="none" w:sz="0" w:space="0" w:color="auto"/>
                        <w:bottom w:val="none" w:sz="0" w:space="0" w:color="auto"/>
                        <w:right w:val="none" w:sz="0" w:space="0" w:color="auto"/>
                      </w:divBdr>
                    </w:div>
                  </w:divsChild>
                </w:div>
                <w:div w:id="772088400">
                  <w:marLeft w:val="0"/>
                  <w:marRight w:val="0"/>
                  <w:marTop w:val="0"/>
                  <w:marBottom w:val="0"/>
                  <w:divBdr>
                    <w:top w:val="none" w:sz="0" w:space="0" w:color="auto"/>
                    <w:left w:val="none" w:sz="0" w:space="0" w:color="auto"/>
                    <w:bottom w:val="none" w:sz="0" w:space="0" w:color="auto"/>
                    <w:right w:val="none" w:sz="0" w:space="0" w:color="auto"/>
                  </w:divBdr>
                  <w:divsChild>
                    <w:div w:id="1711538587">
                      <w:marLeft w:val="0"/>
                      <w:marRight w:val="0"/>
                      <w:marTop w:val="0"/>
                      <w:marBottom w:val="0"/>
                      <w:divBdr>
                        <w:top w:val="none" w:sz="0" w:space="0" w:color="auto"/>
                        <w:left w:val="none" w:sz="0" w:space="0" w:color="auto"/>
                        <w:bottom w:val="none" w:sz="0" w:space="0" w:color="auto"/>
                        <w:right w:val="none" w:sz="0" w:space="0" w:color="auto"/>
                      </w:divBdr>
                    </w:div>
                  </w:divsChild>
                </w:div>
                <w:div w:id="1168595532">
                  <w:marLeft w:val="0"/>
                  <w:marRight w:val="0"/>
                  <w:marTop w:val="0"/>
                  <w:marBottom w:val="0"/>
                  <w:divBdr>
                    <w:top w:val="none" w:sz="0" w:space="0" w:color="auto"/>
                    <w:left w:val="none" w:sz="0" w:space="0" w:color="auto"/>
                    <w:bottom w:val="none" w:sz="0" w:space="0" w:color="auto"/>
                    <w:right w:val="none" w:sz="0" w:space="0" w:color="auto"/>
                  </w:divBdr>
                  <w:divsChild>
                    <w:div w:id="768355620">
                      <w:marLeft w:val="0"/>
                      <w:marRight w:val="0"/>
                      <w:marTop w:val="0"/>
                      <w:marBottom w:val="0"/>
                      <w:divBdr>
                        <w:top w:val="none" w:sz="0" w:space="0" w:color="auto"/>
                        <w:left w:val="none" w:sz="0" w:space="0" w:color="auto"/>
                        <w:bottom w:val="none" w:sz="0" w:space="0" w:color="auto"/>
                        <w:right w:val="none" w:sz="0" w:space="0" w:color="auto"/>
                      </w:divBdr>
                    </w:div>
                  </w:divsChild>
                </w:div>
                <w:div w:id="1217471893">
                  <w:marLeft w:val="0"/>
                  <w:marRight w:val="0"/>
                  <w:marTop w:val="0"/>
                  <w:marBottom w:val="0"/>
                  <w:divBdr>
                    <w:top w:val="none" w:sz="0" w:space="0" w:color="auto"/>
                    <w:left w:val="none" w:sz="0" w:space="0" w:color="auto"/>
                    <w:bottom w:val="none" w:sz="0" w:space="0" w:color="auto"/>
                    <w:right w:val="none" w:sz="0" w:space="0" w:color="auto"/>
                  </w:divBdr>
                  <w:divsChild>
                    <w:div w:id="1668172457">
                      <w:marLeft w:val="0"/>
                      <w:marRight w:val="0"/>
                      <w:marTop w:val="0"/>
                      <w:marBottom w:val="0"/>
                      <w:divBdr>
                        <w:top w:val="none" w:sz="0" w:space="0" w:color="auto"/>
                        <w:left w:val="none" w:sz="0" w:space="0" w:color="auto"/>
                        <w:bottom w:val="none" w:sz="0" w:space="0" w:color="auto"/>
                        <w:right w:val="none" w:sz="0" w:space="0" w:color="auto"/>
                      </w:divBdr>
                    </w:div>
                  </w:divsChild>
                </w:div>
                <w:div w:id="1420522054">
                  <w:marLeft w:val="0"/>
                  <w:marRight w:val="0"/>
                  <w:marTop w:val="0"/>
                  <w:marBottom w:val="0"/>
                  <w:divBdr>
                    <w:top w:val="none" w:sz="0" w:space="0" w:color="auto"/>
                    <w:left w:val="none" w:sz="0" w:space="0" w:color="auto"/>
                    <w:bottom w:val="none" w:sz="0" w:space="0" w:color="auto"/>
                    <w:right w:val="none" w:sz="0" w:space="0" w:color="auto"/>
                  </w:divBdr>
                  <w:divsChild>
                    <w:div w:id="403113056">
                      <w:marLeft w:val="0"/>
                      <w:marRight w:val="0"/>
                      <w:marTop w:val="0"/>
                      <w:marBottom w:val="0"/>
                      <w:divBdr>
                        <w:top w:val="none" w:sz="0" w:space="0" w:color="auto"/>
                        <w:left w:val="none" w:sz="0" w:space="0" w:color="auto"/>
                        <w:bottom w:val="none" w:sz="0" w:space="0" w:color="auto"/>
                        <w:right w:val="none" w:sz="0" w:space="0" w:color="auto"/>
                      </w:divBdr>
                    </w:div>
                  </w:divsChild>
                </w:div>
                <w:div w:id="1434664519">
                  <w:marLeft w:val="0"/>
                  <w:marRight w:val="0"/>
                  <w:marTop w:val="0"/>
                  <w:marBottom w:val="0"/>
                  <w:divBdr>
                    <w:top w:val="none" w:sz="0" w:space="0" w:color="auto"/>
                    <w:left w:val="none" w:sz="0" w:space="0" w:color="auto"/>
                    <w:bottom w:val="none" w:sz="0" w:space="0" w:color="auto"/>
                    <w:right w:val="none" w:sz="0" w:space="0" w:color="auto"/>
                  </w:divBdr>
                  <w:divsChild>
                    <w:div w:id="1598171645">
                      <w:marLeft w:val="0"/>
                      <w:marRight w:val="0"/>
                      <w:marTop w:val="0"/>
                      <w:marBottom w:val="0"/>
                      <w:divBdr>
                        <w:top w:val="none" w:sz="0" w:space="0" w:color="auto"/>
                        <w:left w:val="none" w:sz="0" w:space="0" w:color="auto"/>
                        <w:bottom w:val="none" w:sz="0" w:space="0" w:color="auto"/>
                        <w:right w:val="none" w:sz="0" w:space="0" w:color="auto"/>
                      </w:divBdr>
                    </w:div>
                  </w:divsChild>
                </w:div>
                <w:div w:id="1461263696">
                  <w:marLeft w:val="0"/>
                  <w:marRight w:val="0"/>
                  <w:marTop w:val="0"/>
                  <w:marBottom w:val="0"/>
                  <w:divBdr>
                    <w:top w:val="none" w:sz="0" w:space="0" w:color="auto"/>
                    <w:left w:val="none" w:sz="0" w:space="0" w:color="auto"/>
                    <w:bottom w:val="none" w:sz="0" w:space="0" w:color="auto"/>
                    <w:right w:val="none" w:sz="0" w:space="0" w:color="auto"/>
                  </w:divBdr>
                  <w:divsChild>
                    <w:div w:id="375392819">
                      <w:marLeft w:val="0"/>
                      <w:marRight w:val="0"/>
                      <w:marTop w:val="0"/>
                      <w:marBottom w:val="0"/>
                      <w:divBdr>
                        <w:top w:val="none" w:sz="0" w:space="0" w:color="auto"/>
                        <w:left w:val="none" w:sz="0" w:space="0" w:color="auto"/>
                        <w:bottom w:val="none" w:sz="0" w:space="0" w:color="auto"/>
                        <w:right w:val="none" w:sz="0" w:space="0" w:color="auto"/>
                      </w:divBdr>
                    </w:div>
                  </w:divsChild>
                </w:div>
                <w:div w:id="1561556410">
                  <w:marLeft w:val="0"/>
                  <w:marRight w:val="0"/>
                  <w:marTop w:val="0"/>
                  <w:marBottom w:val="0"/>
                  <w:divBdr>
                    <w:top w:val="none" w:sz="0" w:space="0" w:color="auto"/>
                    <w:left w:val="none" w:sz="0" w:space="0" w:color="auto"/>
                    <w:bottom w:val="none" w:sz="0" w:space="0" w:color="auto"/>
                    <w:right w:val="none" w:sz="0" w:space="0" w:color="auto"/>
                  </w:divBdr>
                  <w:divsChild>
                    <w:div w:id="980157746">
                      <w:marLeft w:val="0"/>
                      <w:marRight w:val="0"/>
                      <w:marTop w:val="0"/>
                      <w:marBottom w:val="0"/>
                      <w:divBdr>
                        <w:top w:val="none" w:sz="0" w:space="0" w:color="auto"/>
                        <w:left w:val="none" w:sz="0" w:space="0" w:color="auto"/>
                        <w:bottom w:val="none" w:sz="0" w:space="0" w:color="auto"/>
                        <w:right w:val="none" w:sz="0" w:space="0" w:color="auto"/>
                      </w:divBdr>
                    </w:div>
                  </w:divsChild>
                </w:div>
                <w:div w:id="1685087963">
                  <w:marLeft w:val="0"/>
                  <w:marRight w:val="0"/>
                  <w:marTop w:val="0"/>
                  <w:marBottom w:val="0"/>
                  <w:divBdr>
                    <w:top w:val="none" w:sz="0" w:space="0" w:color="auto"/>
                    <w:left w:val="none" w:sz="0" w:space="0" w:color="auto"/>
                    <w:bottom w:val="none" w:sz="0" w:space="0" w:color="auto"/>
                    <w:right w:val="none" w:sz="0" w:space="0" w:color="auto"/>
                  </w:divBdr>
                  <w:divsChild>
                    <w:div w:id="1191336538">
                      <w:marLeft w:val="0"/>
                      <w:marRight w:val="0"/>
                      <w:marTop w:val="0"/>
                      <w:marBottom w:val="0"/>
                      <w:divBdr>
                        <w:top w:val="none" w:sz="0" w:space="0" w:color="auto"/>
                        <w:left w:val="none" w:sz="0" w:space="0" w:color="auto"/>
                        <w:bottom w:val="none" w:sz="0" w:space="0" w:color="auto"/>
                        <w:right w:val="none" w:sz="0" w:space="0" w:color="auto"/>
                      </w:divBdr>
                    </w:div>
                  </w:divsChild>
                </w:div>
                <w:div w:id="2033064727">
                  <w:marLeft w:val="0"/>
                  <w:marRight w:val="0"/>
                  <w:marTop w:val="0"/>
                  <w:marBottom w:val="0"/>
                  <w:divBdr>
                    <w:top w:val="none" w:sz="0" w:space="0" w:color="auto"/>
                    <w:left w:val="none" w:sz="0" w:space="0" w:color="auto"/>
                    <w:bottom w:val="none" w:sz="0" w:space="0" w:color="auto"/>
                    <w:right w:val="none" w:sz="0" w:space="0" w:color="auto"/>
                  </w:divBdr>
                  <w:divsChild>
                    <w:div w:id="1477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02306">
          <w:marLeft w:val="0"/>
          <w:marRight w:val="0"/>
          <w:marTop w:val="0"/>
          <w:marBottom w:val="0"/>
          <w:divBdr>
            <w:top w:val="none" w:sz="0" w:space="0" w:color="auto"/>
            <w:left w:val="none" w:sz="0" w:space="0" w:color="auto"/>
            <w:bottom w:val="none" w:sz="0" w:space="0" w:color="auto"/>
            <w:right w:val="none" w:sz="0" w:space="0" w:color="auto"/>
          </w:divBdr>
        </w:div>
        <w:div w:id="1674139620">
          <w:marLeft w:val="0"/>
          <w:marRight w:val="0"/>
          <w:marTop w:val="0"/>
          <w:marBottom w:val="0"/>
          <w:divBdr>
            <w:top w:val="none" w:sz="0" w:space="0" w:color="auto"/>
            <w:left w:val="none" w:sz="0" w:space="0" w:color="auto"/>
            <w:bottom w:val="none" w:sz="0" w:space="0" w:color="auto"/>
            <w:right w:val="none" w:sz="0" w:space="0" w:color="auto"/>
          </w:divBdr>
        </w:div>
        <w:div w:id="1684697908">
          <w:marLeft w:val="0"/>
          <w:marRight w:val="0"/>
          <w:marTop w:val="0"/>
          <w:marBottom w:val="0"/>
          <w:divBdr>
            <w:top w:val="none" w:sz="0" w:space="0" w:color="auto"/>
            <w:left w:val="none" w:sz="0" w:space="0" w:color="auto"/>
            <w:bottom w:val="none" w:sz="0" w:space="0" w:color="auto"/>
            <w:right w:val="none" w:sz="0" w:space="0" w:color="auto"/>
          </w:divBdr>
        </w:div>
        <w:div w:id="1684701057">
          <w:marLeft w:val="0"/>
          <w:marRight w:val="0"/>
          <w:marTop w:val="0"/>
          <w:marBottom w:val="0"/>
          <w:divBdr>
            <w:top w:val="none" w:sz="0" w:space="0" w:color="auto"/>
            <w:left w:val="none" w:sz="0" w:space="0" w:color="auto"/>
            <w:bottom w:val="none" w:sz="0" w:space="0" w:color="auto"/>
            <w:right w:val="none" w:sz="0" w:space="0" w:color="auto"/>
          </w:divBdr>
          <w:divsChild>
            <w:div w:id="2034718859">
              <w:marLeft w:val="-75"/>
              <w:marRight w:val="0"/>
              <w:marTop w:val="30"/>
              <w:marBottom w:val="30"/>
              <w:divBdr>
                <w:top w:val="none" w:sz="0" w:space="0" w:color="auto"/>
                <w:left w:val="none" w:sz="0" w:space="0" w:color="auto"/>
                <w:bottom w:val="none" w:sz="0" w:space="0" w:color="auto"/>
                <w:right w:val="none" w:sz="0" w:space="0" w:color="auto"/>
              </w:divBdr>
              <w:divsChild>
                <w:div w:id="55051577">
                  <w:marLeft w:val="0"/>
                  <w:marRight w:val="0"/>
                  <w:marTop w:val="0"/>
                  <w:marBottom w:val="0"/>
                  <w:divBdr>
                    <w:top w:val="none" w:sz="0" w:space="0" w:color="auto"/>
                    <w:left w:val="none" w:sz="0" w:space="0" w:color="auto"/>
                    <w:bottom w:val="none" w:sz="0" w:space="0" w:color="auto"/>
                    <w:right w:val="none" w:sz="0" w:space="0" w:color="auto"/>
                  </w:divBdr>
                  <w:divsChild>
                    <w:div w:id="2099398574">
                      <w:marLeft w:val="0"/>
                      <w:marRight w:val="0"/>
                      <w:marTop w:val="0"/>
                      <w:marBottom w:val="0"/>
                      <w:divBdr>
                        <w:top w:val="none" w:sz="0" w:space="0" w:color="auto"/>
                        <w:left w:val="none" w:sz="0" w:space="0" w:color="auto"/>
                        <w:bottom w:val="none" w:sz="0" w:space="0" w:color="auto"/>
                        <w:right w:val="none" w:sz="0" w:space="0" w:color="auto"/>
                      </w:divBdr>
                    </w:div>
                  </w:divsChild>
                </w:div>
                <w:div w:id="157841994">
                  <w:marLeft w:val="0"/>
                  <w:marRight w:val="0"/>
                  <w:marTop w:val="0"/>
                  <w:marBottom w:val="0"/>
                  <w:divBdr>
                    <w:top w:val="none" w:sz="0" w:space="0" w:color="auto"/>
                    <w:left w:val="none" w:sz="0" w:space="0" w:color="auto"/>
                    <w:bottom w:val="none" w:sz="0" w:space="0" w:color="auto"/>
                    <w:right w:val="none" w:sz="0" w:space="0" w:color="auto"/>
                  </w:divBdr>
                  <w:divsChild>
                    <w:div w:id="1297371909">
                      <w:marLeft w:val="0"/>
                      <w:marRight w:val="0"/>
                      <w:marTop w:val="0"/>
                      <w:marBottom w:val="0"/>
                      <w:divBdr>
                        <w:top w:val="none" w:sz="0" w:space="0" w:color="auto"/>
                        <w:left w:val="none" w:sz="0" w:space="0" w:color="auto"/>
                        <w:bottom w:val="none" w:sz="0" w:space="0" w:color="auto"/>
                        <w:right w:val="none" w:sz="0" w:space="0" w:color="auto"/>
                      </w:divBdr>
                    </w:div>
                  </w:divsChild>
                </w:div>
                <w:div w:id="280378721">
                  <w:marLeft w:val="0"/>
                  <w:marRight w:val="0"/>
                  <w:marTop w:val="0"/>
                  <w:marBottom w:val="0"/>
                  <w:divBdr>
                    <w:top w:val="none" w:sz="0" w:space="0" w:color="auto"/>
                    <w:left w:val="none" w:sz="0" w:space="0" w:color="auto"/>
                    <w:bottom w:val="none" w:sz="0" w:space="0" w:color="auto"/>
                    <w:right w:val="none" w:sz="0" w:space="0" w:color="auto"/>
                  </w:divBdr>
                  <w:divsChild>
                    <w:div w:id="1222331544">
                      <w:marLeft w:val="0"/>
                      <w:marRight w:val="0"/>
                      <w:marTop w:val="0"/>
                      <w:marBottom w:val="0"/>
                      <w:divBdr>
                        <w:top w:val="none" w:sz="0" w:space="0" w:color="auto"/>
                        <w:left w:val="none" w:sz="0" w:space="0" w:color="auto"/>
                        <w:bottom w:val="none" w:sz="0" w:space="0" w:color="auto"/>
                        <w:right w:val="none" w:sz="0" w:space="0" w:color="auto"/>
                      </w:divBdr>
                    </w:div>
                  </w:divsChild>
                </w:div>
                <w:div w:id="386338901">
                  <w:marLeft w:val="0"/>
                  <w:marRight w:val="0"/>
                  <w:marTop w:val="0"/>
                  <w:marBottom w:val="0"/>
                  <w:divBdr>
                    <w:top w:val="none" w:sz="0" w:space="0" w:color="auto"/>
                    <w:left w:val="none" w:sz="0" w:space="0" w:color="auto"/>
                    <w:bottom w:val="none" w:sz="0" w:space="0" w:color="auto"/>
                    <w:right w:val="none" w:sz="0" w:space="0" w:color="auto"/>
                  </w:divBdr>
                  <w:divsChild>
                    <w:div w:id="1149639189">
                      <w:marLeft w:val="0"/>
                      <w:marRight w:val="0"/>
                      <w:marTop w:val="0"/>
                      <w:marBottom w:val="0"/>
                      <w:divBdr>
                        <w:top w:val="none" w:sz="0" w:space="0" w:color="auto"/>
                        <w:left w:val="none" w:sz="0" w:space="0" w:color="auto"/>
                        <w:bottom w:val="none" w:sz="0" w:space="0" w:color="auto"/>
                        <w:right w:val="none" w:sz="0" w:space="0" w:color="auto"/>
                      </w:divBdr>
                    </w:div>
                  </w:divsChild>
                </w:div>
                <w:div w:id="399183579">
                  <w:marLeft w:val="0"/>
                  <w:marRight w:val="0"/>
                  <w:marTop w:val="0"/>
                  <w:marBottom w:val="0"/>
                  <w:divBdr>
                    <w:top w:val="none" w:sz="0" w:space="0" w:color="auto"/>
                    <w:left w:val="none" w:sz="0" w:space="0" w:color="auto"/>
                    <w:bottom w:val="none" w:sz="0" w:space="0" w:color="auto"/>
                    <w:right w:val="none" w:sz="0" w:space="0" w:color="auto"/>
                  </w:divBdr>
                  <w:divsChild>
                    <w:div w:id="1479224777">
                      <w:marLeft w:val="0"/>
                      <w:marRight w:val="0"/>
                      <w:marTop w:val="0"/>
                      <w:marBottom w:val="0"/>
                      <w:divBdr>
                        <w:top w:val="none" w:sz="0" w:space="0" w:color="auto"/>
                        <w:left w:val="none" w:sz="0" w:space="0" w:color="auto"/>
                        <w:bottom w:val="none" w:sz="0" w:space="0" w:color="auto"/>
                        <w:right w:val="none" w:sz="0" w:space="0" w:color="auto"/>
                      </w:divBdr>
                    </w:div>
                  </w:divsChild>
                </w:div>
                <w:div w:id="1007244256">
                  <w:marLeft w:val="0"/>
                  <w:marRight w:val="0"/>
                  <w:marTop w:val="0"/>
                  <w:marBottom w:val="0"/>
                  <w:divBdr>
                    <w:top w:val="none" w:sz="0" w:space="0" w:color="auto"/>
                    <w:left w:val="none" w:sz="0" w:space="0" w:color="auto"/>
                    <w:bottom w:val="none" w:sz="0" w:space="0" w:color="auto"/>
                    <w:right w:val="none" w:sz="0" w:space="0" w:color="auto"/>
                  </w:divBdr>
                  <w:divsChild>
                    <w:div w:id="749472216">
                      <w:marLeft w:val="0"/>
                      <w:marRight w:val="0"/>
                      <w:marTop w:val="0"/>
                      <w:marBottom w:val="0"/>
                      <w:divBdr>
                        <w:top w:val="none" w:sz="0" w:space="0" w:color="auto"/>
                        <w:left w:val="none" w:sz="0" w:space="0" w:color="auto"/>
                        <w:bottom w:val="none" w:sz="0" w:space="0" w:color="auto"/>
                        <w:right w:val="none" w:sz="0" w:space="0" w:color="auto"/>
                      </w:divBdr>
                    </w:div>
                    <w:div w:id="1689478819">
                      <w:marLeft w:val="0"/>
                      <w:marRight w:val="0"/>
                      <w:marTop w:val="0"/>
                      <w:marBottom w:val="0"/>
                      <w:divBdr>
                        <w:top w:val="none" w:sz="0" w:space="0" w:color="auto"/>
                        <w:left w:val="none" w:sz="0" w:space="0" w:color="auto"/>
                        <w:bottom w:val="none" w:sz="0" w:space="0" w:color="auto"/>
                        <w:right w:val="none" w:sz="0" w:space="0" w:color="auto"/>
                      </w:divBdr>
                    </w:div>
                  </w:divsChild>
                </w:div>
                <w:div w:id="1019233568">
                  <w:marLeft w:val="0"/>
                  <w:marRight w:val="0"/>
                  <w:marTop w:val="0"/>
                  <w:marBottom w:val="0"/>
                  <w:divBdr>
                    <w:top w:val="none" w:sz="0" w:space="0" w:color="auto"/>
                    <w:left w:val="none" w:sz="0" w:space="0" w:color="auto"/>
                    <w:bottom w:val="none" w:sz="0" w:space="0" w:color="auto"/>
                    <w:right w:val="none" w:sz="0" w:space="0" w:color="auto"/>
                  </w:divBdr>
                  <w:divsChild>
                    <w:div w:id="617955174">
                      <w:marLeft w:val="0"/>
                      <w:marRight w:val="0"/>
                      <w:marTop w:val="0"/>
                      <w:marBottom w:val="0"/>
                      <w:divBdr>
                        <w:top w:val="none" w:sz="0" w:space="0" w:color="auto"/>
                        <w:left w:val="none" w:sz="0" w:space="0" w:color="auto"/>
                        <w:bottom w:val="none" w:sz="0" w:space="0" w:color="auto"/>
                        <w:right w:val="none" w:sz="0" w:space="0" w:color="auto"/>
                      </w:divBdr>
                    </w:div>
                  </w:divsChild>
                </w:div>
                <w:div w:id="1105462920">
                  <w:marLeft w:val="0"/>
                  <w:marRight w:val="0"/>
                  <w:marTop w:val="0"/>
                  <w:marBottom w:val="0"/>
                  <w:divBdr>
                    <w:top w:val="none" w:sz="0" w:space="0" w:color="auto"/>
                    <w:left w:val="none" w:sz="0" w:space="0" w:color="auto"/>
                    <w:bottom w:val="none" w:sz="0" w:space="0" w:color="auto"/>
                    <w:right w:val="none" w:sz="0" w:space="0" w:color="auto"/>
                  </w:divBdr>
                  <w:divsChild>
                    <w:div w:id="760640168">
                      <w:marLeft w:val="0"/>
                      <w:marRight w:val="0"/>
                      <w:marTop w:val="0"/>
                      <w:marBottom w:val="0"/>
                      <w:divBdr>
                        <w:top w:val="none" w:sz="0" w:space="0" w:color="auto"/>
                        <w:left w:val="none" w:sz="0" w:space="0" w:color="auto"/>
                        <w:bottom w:val="none" w:sz="0" w:space="0" w:color="auto"/>
                        <w:right w:val="none" w:sz="0" w:space="0" w:color="auto"/>
                      </w:divBdr>
                    </w:div>
                  </w:divsChild>
                </w:div>
                <w:div w:id="1178153028">
                  <w:marLeft w:val="0"/>
                  <w:marRight w:val="0"/>
                  <w:marTop w:val="0"/>
                  <w:marBottom w:val="0"/>
                  <w:divBdr>
                    <w:top w:val="none" w:sz="0" w:space="0" w:color="auto"/>
                    <w:left w:val="none" w:sz="0" w:space="0" w:color="auto"/>
                    <w:bottom w:val="none" w:sz="0" w:space="0" w:color="auto"/>
                    <w:right w:val="none" w:sz="0" w:space="0" w:color="auto"/>
                  </w:divBdr>
                  <w:divsChild>
                    <w:div w:id="491020326">
                      <w:marLeft w:val="0"/>
                      <w:marRight w:val="0"/>
                      <w:marTop w:val="0"/>
                      <w:marBottom w:val="0"/>
                      <w:divBdr>
                        <w:top w:val="none" w:sz="0" w:space="0" w:color="auto"/>
                        <w:left w:val="none" w:sz="0" w:space="0" w:color="auto"/>
                        <w:bottom w:val="none" w:sz="0" w:space="0" w:color="auto"/>
                        <w:right w:val="none" w:sz="0" w:space="0" w:color="auto"/>
                      </w:divBdr>
                    </w:div>
                  </w:divsChild>
                </w:div>
                <w:div w:id="1457681831">
                  <w:marLeft w:val="0"/>
                  <w:marRight w:val="0"/>
                  <w:marTop w:val="0"/>
                  <w:marBottom w:val="0"/>
                  <w:divBdr>
                    <w:top w:val="none" w:sz="0" w:space="0" w:color="auto"/>
                    <w:left w:val="none" w:sz="0" w:space="0" w:color="auto"/>
                    <w:bottom w:val="none" w:sz="0" w:space="0" w:color="auto"/>
                    <w:right w:val="none" w:sz="0" w:space="0" w:color="auto"/>
                  </w:divBdr>
                  <w:divsChild>
                    <w:div w:id="140856851">
                      <w:marLeft w:val="0"/>
                      <w:marRight w:val="0"/>
                      <w:marTop w:val="0"/>
                      <w:marBottom w:val="0"/>
                      <w:divBdr>
                        <w:top w:val="none" w:sz="0" w:space="0" w:color="auto"/>
                        <w:left w:val="none" w:sz="0" w:space="0" w:color="auto"/>
                        <w:bottom w:val="none" w:sz="0" w:space="0" w:color="auto"/>
                        <w:right w:val="none" w:sz="0" w:space="0" w:color="auto"/>
                      </w:divBdr>
                    </w:div>
                  </w:divsChild>
                </w:div>
                <w:div w:id="1861620850">
                  <w:marLeft w:val="0"/>
                  <w:marRight w:val="0"/>
                  <w:marTop w:val="0"/>
                  <w:marBottom w:val="0"/>
                  <w:divBdr>
                    <w:top w:val="none" w:sz="0" w:space="0" w:color="auto"/>
                    <w:left w:val="none" w:sz="0" w:space="0" w:color="auto"/>
                    <w:bottom w:val="none" w:sz="0" w:space="0" w:color="auto"/>
                    <w:right w:val="none" w:sz="0" w:space="0" w:color="auto"/>
                  </w:divBdr>
                  <w:divsChild>
                    <w:div w:id="1145197059">
                      <w:marLeft w:val="0"/>
                      <w:marRight w:val="0"/>
                      <w:marTop w:val="0"/>
                      <w:marBottom w:val="0"/>
                      <w:divBdr>
                        <w:top w:val="none" w:sz="0" w:space="0" w:color="auto"/>
                        <w:left w:val="none" w:sz="0" w:space="0" w:color="auto"/>
                        <w:bottom w:val="none" w:sz="0" w:space="0" w:color="auto"/>
                        <w:right w:val="none" w:sz="0" w:space="0" w:color="auto"/>
                      </w:divBdr>
                    </w:div>
                  </w:divsChild>
                </w:div>
                <w:div w:id="2105103223">
                  <w:marLeft w:val="0"/>
                  <w:marRight w:val="0"/>
                  <w:marTop w:val="0"/>
                  <w:marBottom w:val="0"/>
                  <w:divBdr>
                    <w:top w:val="none" w:sz="0" w:space="0" w:color="auto"/>
                    <w:left w:val="none" w:sz="0" w:space="0" w:color="auto"/>
                    <w:bottom w:val="none" w:sz="0" w:space="0" w:color="auto"/>
                    <w:right w:val="none" w:sz="0" w:space="0" w:color="auto"/>
                  </w:divBdr>
                  <w:divsChild>
                    <w:div w:id="177100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18339">
          <w:marLeft w:val="0"/>
          <w:marRight w:val="0"/>
          <w:marTop w:val="0"/>
          <w:marBottom w:val="0"/>
          <w:divBdr>
            <w:top w:val="none" w:sz="0" w:space="0" w:color="auto"/>
            <w:left w:val="none" w:sz="0" w:space="0" w:color="auto"/>
            <w:bottom w:val="none" w:sz="0" w:space="0" w:color="auto"/>
            <w:right w:val="none" w:sz="0" w:space="0" w:color="auto"/>
          </w:divBdr>
        </w:div>
        <w:div w:id="1689988586">
          <w:marLeft w:val="0"/>
          <w:marRight w:val="0"/>
          <w:marTop w:val="0"/>
          <w:marBottom w:val="0"/>
          <w:divBdr>
            <w:top w:val="none" w:sz="0" w:space="0" w:color="auto"/>
            <w:left w:val="none" w:sz="0" w:space="0" w:color="auto"/>
            <w:bottom w:val="none" w:sz="0" w:space="0" w:color="auto"/>
            <w:right w:val="none" w:sz="0" w:space="0" w:color="auto"/>
          </w:divBdr>
          <w:divsChild>
            <w:div w:id="65342003">
              <w:marLeft w:val="0"/>
              <w:marRight w:val="0"/>
              <w:marTop w:val="0"/>
              <w:marBottom w:val="0"/>
              <w:divBdr>
                <w:top w:val="none" w:sz="0" w:space="0" w:color="auto"/>
                <w:left w:val="none" w:sz="0" w:space="0" w:color="auto"/>
                <w:bottom w:val="none" w:sz="0" w:space="0" w:color="auto"/>
                <w:right w:val="none" w:sz="0" w:space="0" w:color="auto"/>
              </w:divBdr>
            </w:div>
            <w:div w:id="281964721">
              <w:marLeft w:val="0"/>
              <w:marRight w:val="0"/>
              <w:marTop w:val="0"/>
              <w:marBottom w:val="0"/>
              <w:divBdr>
                <w:top w:val="none" w:sz="0" w:space="0" w:color="auto"/>
                <w:left w:val="none" w:sz="0" w:space="0" w:color="auto"/>
                <w:bottom w:val="none" w:sz="0" w:space="0" w:color="auto"/>
                <w:right w:val="none" w:sz="0" w:space="0" w:color="auto"/>
              </w:divBdr>
            </w:div>
            <w:div w:id="338850227">
              <w:marLeft w:val="0"/>
              <w:marRight w:val="0"/>
              <w:marTop w:val="0"/>
              <w:marBottom w:val="0"/>
              <w:divBdr>
                <w:top w:val="none" w:sz="0" w:space="0" w:color="auto"/>
                <w:left w:val="none" w:sz="0" w:space="0" w:color="auto"/>
                <w:bottom w:val="none" w:sz="0" w:space="0" w:color="auto"/>
                <w:right w:val="none" w:sz="0" w:space="0" w:color="auto"/>
              </w:divBdr>
            </w:div>
            <w:div w:id="376441491">
              <w:marLeft w:val="0"/>
              <w:marRight w:val="0"/>
              <w:marTop w:val="0"/>
              <w:marBottom w:val="0"/>
              <w:divBdr>
                <w:top w:val="none" w:sz="0" w:space="0" w:color="auto"/>
                <w:left w:val="none" w:sz="0" w:space="0" w:color="auto"/>
                <w:bottom w:val="none" w:sz="0" w:space="0" w:color="auto"/>
                <w:right w:val="none" w:sz="0" w:space="0" w:color="auto"/>
              </w:divBdr>
            </w:div>
            <w:div w:id="471018966">
              <w:marLeft w:val="0"/>
              <w:marRight w:val="0"/>
              <w:marTop w:val="0"/>
              <w:marBottom w:val="0"/>
              <w:divBdr>
                <w:top w:val="none" w:sz="0" w:space="0" w:color="auto"/>
                <w:left w:val="none" w:sz="0" w:space="0" w:color="auto"/>
                <w:bottom w:val="none" w:sz="0" w:space="0" w:color="auto"/>
                <w:right w:val="none" w:sz="0" w:space="0" w:color="auto"/>
              </w:divBdr>
            </w:div>
            <w:div w:id="688028073">
              <w:marLeft w:val="0"/>
              <w:marRight w:val="0"/>
              <w:marTop w:val="0"/>
              <w:marBottom w:val="0"/>
              <w:divBdr>
                <w:top w:val="none" w:sz="0" w:space="0" w:color="auto"/>
                <w:left w:val="none" w:sz="0" w:space="0" w:color="auto"/>
                <w:bottom w:val="none" w:sz="0" w:space="0" w:color="auto"/>
                <w:right w:val="none" w:sz="0" w:space="0" w:color="auto"/>
              </w:divBdr>
            </w:div>
            <w:div w:id="751707690">
              <w:marLeft w:val="0"/>
              <w:marRight w:val="0"/>
              <w:marTop w:val="0"/>
              <w:marBottom w:val="0"/>
              <w:divBdr>
                <w:top w:val="none" w:sz="0" w:space="0" w:color="auto"/>
                <w:left w:val="none" w:sz="0" w:space="0" w:color="auto"/>
                <w:bottom w:val="none" w:sz="0" w:space="0" w:color="auto"/>
                <w:right w:val="none" w:sz="0" w:space="0" w:color="auto"/>
              </w:divBdr>
            </w:div>
            <w:div w:id="828207663">
              <w:marLeft w:val="0"/>
              <w:marRight w:val="0"/>
              <w:marTop w:val="0"/>
              <w:marBottom w:val="0"/>
              <w:divBdr>
                <w:top w:val="none" w:sz="0" w:space="0" w:color="auto"/>
                <w:left w:val="none" w:sz="0" w:space="0" w:color="auto"/>
                <w:bottom w:val="none" w:sz="0" w:space="0" w:color="auto"/>
                <w:right w:val="none" w:sz="0" w:space="0" w:color="auto"/>
              </w:divBdr>
            </w:div>
            <w:div w:id="1154563926">
              <w:marLeft w:val="0"/>
              <w:marRight w:val="0"/>
              <w:marTop w:val="0"/>
              <w:marBottom w:val="0"/>
              <w:divBdr>
                <w:top w:val="none" w:sz="0" w:space="0" w:color="auto"/>
                <w:left w:val="none" w:sz="0" w:space="0" w:color="auto"/>
                <w:bottom w:val="none" w:sz="0" w:space="0" w:color="auto"/>
                <w:right w:val="none" w:sz="0" w:space="0" w:color="auto"/>
              </w:divBdr>
            </w:div>
            <w:div w:id="1207990117">
              <w:marLeft w:val="0"/>
              <w:marRight w:val="0"/>
              <w:marTop w:val="0"/>
              <w:marBottom w:val="0"/>
              <w:divBdr>
                <w:top w:val="none" w:sz="0" w:space="0" w:color="auto"/>
                <w:left w:val="none" w:sz="0" w:space="0" w:color="auto"/>
                <w:bottom w:val="none" w:sz="0" w:space="0" w:color="auto"/>
                <w:right w:val="none" w:sz="0" w:space="0" w:color="auto"/>
              </w:divBdr>
            </w:div>
            <w:div w:id="1343127025">
              <w:marLeft w:val="0"/>
              <w:marRight w:val="0"/>
              <w:marTop w:val="0"/>
              <w:marBottom w:val="0"/>
              <w:divBdr>
                <w:top w:val="none" w:sz="0" w:space="0" w:color="auto"/>
                <w:left w:val="none" w:sz="0" w:space="0" w:color="auto"/>
                <w:bottom w:val="none" w:sz="0" w:space="0" w:color="auto"/>
                <w:right w:val="none" w:sz="0" w:space="0" w:color="auto"/>
              </w:divBdr>
            </w:div>
            <w:div w:id="1434207217">
              <w:marLeft w:val="0"/>
              <w:marRight w:val="0"/>
              <w:marTop w:val="0"/>
              <w:marBottom w:val="0"/>
              <w:divBdr>
                <w:top w:val="none" w:sz="0" w:space="0" w:color="auto"/>
                <w:left w:val="none" w:sz="0" w:space="0" w:color="auto"/>
                <w:bottom w:val="none" w:sz="0" w:space="0" w:color="auto"/>
                <w:right w:val="none" w:sz="0" w:space="0" w:color="auto"/>
              </w:divBdr>
            </w:div>
            <w:div w:id="1699431099">
              <w:marLeft w:val="0"/>
              <w:marRight w:val="0"/>
              <w:marTop w:val="0"/>
              <w:marBottom w:val="0"/>
              <w:divBdr>
                <w:top w:val="none" w:sz="0" w:space="0" w:color="auto"/>
                <w:left w:val="none" w:sz="0" w:space="0" w:color="auto"/>
                <w:bottom w:val="none" w:sz="0" w:space="0" w:color="auto"/>
                <w:right w:val="none" w:sz="0" w:space="0" w:color="auto"/>
              </w:divBdr>
            </w:div>
            <w:div w:id="1725988025">
              <w:marLeft w:val="0"/>
              <w:marRight w:val="0"/>
              <w:marTop w:val="0"/>
              <w:marBottom w:val="0"/>
              <w:divBdr>
                <w:top w:val="none" w:sz="0" w:space="0" w:color="auto"/>
                <w:left w:val="none" w:sz="0" w:space="0" w:color="auto"/>
                <w:bottom w:val="none" w:sz="0" w:space="0" w:color="auto"/>
                <w:right w:val="none" w:sz="0" w:space="0" w:color="auto"/>
              </w:divBdr>
            </w:div>
            <w:div w:id="1806120478">
              <w:marLeft w:val="0"/>
              <w:marRight w:val="0"/>
              <w:marTop w:val="0"/>
              <w:marBottom w:val="0"/>
              <w:divBdr>
                <w:top w:val="none" w:sz="0" w:space="0" w:color="auto"/>
                <w:left w:val="none" w:sz="0" w:space="0" w:color="auto"/>
                <w:bottom w:val="none" w:sz="0" w:space="0" w:color="auto"/>
                <w:right w:val="none" w:sz="0" w:space="0" w:color="auto"/>
              </w:divBdr>
            </w:div>
            <w:div w:id="1870678465">
              <w:marLeft w:val="0"/>
              <w:marRight w:val="0"/>
              <w:marTop w:val="0"/>
              <w:marBottom w:val="0"/>
              <w:divBdr>
                <w:top w:val="none" w:sz="0" w:space="0" w:color="auto"/>
                <w:left w:val="none" w:sz="0" w:space="0" w:color="auto"/>
                <w:bottom w:val="none" w:sz="0" w:space="0" w:color="auto"/>
                <w:right w:val="none" w:sz="0" w:space="0" w:color="auto"/>
              </w:divBdr>
            </w:div>
            <w:div w:id="1974603118">
              <w:marLeft w:val="0"/>
              <w:marRight w:val="0"/>
              <w:marTop w:val="0"/>
              <w:marBottom w:val="0"/>
              <w:divBdr>
                <w:top w:val="none" w:sz="0" w:space="0" w:color="auto"/>
                <w:left w:val="none" w:sz="0" w:space="0" w:color="auto"/>
                <w:bottom w:val="none" w:sz="0" w:space="0" w:color="auto"/>
                <w:right w:val="none" w:sz="0" w:space="0" w:color="auto"/>
              </w:divBdr>
            </w:div>
            <w:div w:id="2037273271">
              <w:marLeft w:val="0"/>
              <w:marRight w:val="0"/>
              <w:marTop w:val="0"/>
              <w:marBottom w:val="0"/>
              <w:divBdr>
                <w:top w:val="none" w:sz="0" w:space="0" w:color="auto"/>
                <w:left w:val="none" w:sz="0" w:space="0" w:color="auto"/>
                <w:bottom w:val="none" w:sz="0" w:space="0" w:color="auto"/>
                <w:right w:val="none" w:sz="0" w:space="0" w:color="auto"/>
              </w:divBdr>
            </w:div>
            <w:div w:id="2085369871">
              <w:marLeft w:val="0"/>
              <w:marRight w:val="0"/>
              <w:marTop w:val="0"/>
              <w:marBottom w:val="0"/>
              <w:divBdr>
                <w:top w:val="none" w:sz="0" w:space="0" w:color="auto"/>
                <w:left w:val="none" w:sz="0" w:space="0" w:color="auto"/>
                <w:bottom w:val="none" w:sz="0" w:space="0" w:color="auto"/>
                <w:right w:val="none" w:sz="0" w:space="0" w:color="auto"/>
              </w:divBdr>
            </w:div>
            <w:div w:id="2093768984">
              <w:marLeft w:val="0"/>
              <w:marRight w:val="0"/>
              <w:marTop w:val="0"/>
              <w:marBottom w:val="0"/>
              <w:divBdr>
                <w:top w:val="none" w:sz="0" w:space="0" w:color="auto"/>
                <w:left w:val="none" w:sz="0" w:space="0" w:color="auto"/>
                <w:bottom w:val="none" w:sz="0" w:space="0" w:color="auto"/>
                <w:right w:val="none" w:sz="0" w:space="0" w:color="auto"/>
              </w:divBdr>
            </w:div>
          </w:divsChild>
        </w:div>
        <w:div w:id="1719040308">
          <w:marLeft w:val="0"/>
          <w:marRight w:val="0"/>
          <w:marTop w:val="0"/>
          <w:marBottom w:val="0"/>
          <w:divBdr>
            <w:top w:val="none" w:sz="0" w:space="0" w:color="auto"/>
            <w:left w:val="none" w:sz="0" w:space="0" w:color="auto"/>
            <w:bottom w:val="none" w:sz="0" w:space="0" w:color="auto"/>
            <w:right w:val="none" w:sz="0" w:space="0" w:color="auto"/>
          </w:divBdr>
        </w:div>
        <w:div w:id="1753894935">
          <w:marLeft w:val="0"/>
          <w:marRight w:val="0"/>
          <w:marTop w:val="0"/>
          <w:marBottom w:val="0"/>
          <w:divBdr>
            <w:top w:val="none" w:sz="0" w:space="0" w:color="auto"/>
            <w:left w:val="none" w:sz="0" w:space="0" w:color="auto"/>
            <w:bottom w:val="none" w:sz="0" w:space="0" w:color="auto"/>
            <w:right w:val="none" w:sz="0" w:space="0" w:color="auto"/>
          </w:divBdr>
        </w:div>
        <w:div w:id="1758743775">
          <w:marLeft w:val="0"/>
          <w:marRight w:val="0"/>
          <w:marTop w:val="0"/>
          <w:marBottom w:val="0"/>
          <w:divBdr>
            <w:top w:val="none" w:sz="0" w:space="0" w:color="auto"/>
            <w:left w:val="none" w:sz="0" w:space="0" w:color="auto"/>
            <w:bottom w:val="none" w:sz="0" w:space="0" w:color="auto"/>
            <w:right w:val="none" w:sz="0" w:space="0" w:color="auto"/>
          </w:divBdr>
        </w:div>
        <w:div w:id="1781954661">
          <w:marLeft w:val="0"/>
          <w:marRight w:val="0"/>
          <w:marTop w:val="0"/>
          <w:marBottom w:val="0"/>
          <w:divBdr>
            <w:top w:val="none" w:sz="0" w:space="0" w:color="auto"/>
            <w:left w:val="none" w:sz="0" w:space="0" w:color="auto"/>
            <w:bottom w:val="none" w:sz="0" w:space="0" w:color="auto"/>
            <w:right w:val="none" w:sz="0" w:space="0" w:color="auto"/>
          </w:divBdr>
        </w:div>
        <w:div w:id="1829859926">
          <w:marLeft w:val="0"/>
          <w:marRight w:val="0"/>
          <w:marTop w:val="0"/>
          <w:marBottom w:val="0"/>
          <w:divBdr>
            <w:top w:val="none" w:sz="0" w:space="0" w:color="auto"/>
            <w:left w:val="none" w:sz="0" w:space="0" w:color="auto"/>
            <w:bottom w:val="none" w:sz="0" w:space="0" w:color="auto"/>
            <w:right w:val="none" w:sz="0" w:space="0" w:color="auto"/>
          </w:divBdr>
        </w:div>
        <w:div w:id="1831947533">
          <w:marLeft w:val="0"/>
          <w:marRight w:val="0"/>
          <w:marTop w:val="0"/>
          <w:marBottom w:val="0"/>
          <w:divBdr>
            <w:top w:val="none" w:sz="0" w:space="0" w:color="auto"/>
            <w:left w:val="none" w:sz="0" w:space="0" w:color="auto"/>
            <w:bottom w:val="none" w:sz="0" w:space="0" w:color="auto"/>
            <w:right w:val="none" w:sz="0" w:space="0" w:color="auto"/>
          </w:divBdr>
        </w:div>
        <w:div w:id="1834030844">
          <w:marLeft w:val="0"/>
          <w:marRight w:val="0"/>
          <w:marTop w:val="0"/>
          <w:marBottom w:val="0"/>
          <w:divBdr>
            <w:top w:val="none" w:sz="0" w:space="0" w:color="auto"/>
            <w:left w:val="none" w:sz="0" w:space="0" w:color="auto"/>
            <w:bottom w:val="none" w:sz="0" w:space="0" w:color="auto"/>
            <w:right w:val="none" w:sz="0" w:space="0" w:color="auto"/>
          </w:divBdr>
        </w:div>
        <w:div w:id="1845589545">
          <w:marLeft w:val="0"/>
          <w:marRight w:val="0"/>
          <w:marTop w:val="0"/>
          <w:marBottom w:val="0"/>
          <w:divBdr>
            <w:top w:val="none" w:sz="0" w:space="0" w:color="auto"/>
            <w:left w:val="none" w:sz="0" w:space="0" w:color="auto"/>
            <w:bottom w:val="none" w:sz="0" w:space="0" w:color="auto"/>
            <w:right w:val="none" w:sz="0" w:space="0" w:color="auto"/>
          </w:divBdr>
          <w:divsChild>
            <w:div w:id="62070103">
              <w:marLeft w:val="0"/>
              <w:marRight w:val="0"/>
              <w:marTop w:val="0"/>
              <w:marBottom w:val="0"/>
              <w:divBdr>
                <w:top w:val="none" w:sz="0" w:space="0" w:color="auto"/>
                <w:left w:val="none" w:sz="0" w:space="0" w:color="auto"/>
                <w:bottom w:val="none" w:sz="0" w:space="0" w:color="auto"/>
                <w:right w:val="none" w:sz="0" w:space="0" w:color="auto"/>
              </w:divBdr>
            </w:div>
            <w:div w:id="75708007">
              <w:marLeft w:val="0"/>
              <w:marRight w:val="0"/>
              <w:marTop w:val="0"/>
              <w:marBottom w:val="0"/>
              <w:divBdr>
                <w:top w:val="none" w:sz="0" w:space="0" w:color="auto"/>
                <w:left w:val="none" w:sz="0" w:space="0" w:color="auto"/>
                <w:bottom w:val="none" w:sz="0" w:space="0" w:color="auto"/>
                <w:right w:val="none" w:sz="0" w:space="0" w:color="auto"/>
              </w:divBdr>
            </w:div>
            <w:div w:id="254241729">
              <w:marLeft w:val="0"/>
              <w:marRight w:val="0"/>
              <w:marTop w:val="0"/>
              <w:marBottom w:val="0"/>
              <w:divBdr>
                <w:top w:val="none" w:sz="0" w:space="0" w:color="auto"/>
                <w:left w:val="none" w:sz="0" w:space="0" w:color="auto"/>
                <w:bottom w:val="none" w:sz="0" w:space="0" w:color="auto"/>
                <w:right w:val="none" w:sz="0" w:space="0" w:color="auto"/>
              </w:divBdr>
            </w:div>
            <w:div w:id="349458461">
              <w:marLeft w:val="0"/>
              <w:marRight w:val="0"/>
              <w:marTop w:val="0"/>
              <w:marBottom w:val="0"/>
              <w:divBdr>
                <w:top w:val="none" w:sz="0" w:space="0" w:color="auto"/>
                <w:left w:val="none" w:sz="0" w:space="0" w:color="auto"/>
                <w:bottom w:val="none" w:sz="0" w:space="0" w:color="auto"/>
                <w:right w:val="none" w:sz="0" w:space="0" w:color="auto"/>
              </w:divBdr>
            </w:div>
            <w:div w:id="403575255">
              <w:marLeft w:val="0"/>
              <w:marRight w:val="0"/>
              <w:marTop w:val="0"/>
              <w:marBottom w:val="0"/>
              <w:divBdr>
                <w:top w:val="none" w:sz="0" w:space="0" w:color="auto"/>
                <w:left w:val="none" w:sz="0" w:space="0" w:color="auto"/>
                <w:bottom w:val="none" w:sz="0" w:space="0" w:color="auto"/>
                <w:right w:val="none" w:sz="0" w:space="0" w:color="auto"/>
              </w:divBdr>
            </w:div>
            <w:div w:id="428353769">
              <w:marLeft w:val="0"/>
              <w:marRight w:val="0"/>
              <w:marTop w:val="0"/>
              <w:marBottom w:val="0"/>
              <w:divBdr>
                <w:top w:val="none" w:sz="0" w:space="0" w:color="auto"/>
                <w:left w:val="none" w:sz="0" w:space="0" w:color="auto"/>
                <w:bottom w:val="none" w:sz="0" w:space="0" w:color="auto"/>
                <w:right w:val="none" w:sz="0" w:space="0" w:color="auto"/>
              </w:divBdr>
            </w:div>
            <w:div w:id="507527091">
              <w:marLeft w:val="0"/>
              <w:marRight w:val="0"/>
              <w:marTop w:val="0"/>
              <w:marBottom w:val="0"/>
              <w:divBdr>
                <w:top w:val="none" w:sz="0" w:space="0" w:color="auto"/>
                <w:left w:val="none" w:sz="0" w:space="0" w:color="auto"/>
                <w:bottom w:val="none" w:sz="0" w:space="0" w:color="auto"/>
                <w:right w:val="none" w:sz="0" w:space="0" w:color="auto"/>
              </w:divBdr>
            </w:div>
            <w:div w:id="546143712">
              <w:marLeft w:val="0"/>
              <w:marRight w:val="0"/>
              <w:marTop w:val="0"/>
              <w:marBottom w:val="0"/>
              <w:divBdr>
                <w:top w:val="none" w:sz="0" w:space="0" w:color="auto"/>
                <w:left w:val="none" w:sz="0" w:space="0" w:color="auto"/>
                <w:bottom w:val="none" w:sz="0" w:space="0" w:color="auto"/>
                <w:right w:val="none" w:sz="0" w:space="0" w:color="auto"/>
              </w:divBdr>
            </w:div>
            <w:div w:id="595136366">
              <w:marLeft w:val="0"/>
              <w:marRight w:val="0"/>
              <w:marTop w:val="0"/>
              <w:marBottom w:val="0"/>
              <w:divBdr>
                <w:top w:val="none" w:sz="0" w:space="0" w:color="auto"/>
                <w:left w:val="none" w:sz="0" w:space="0" w:color="auto"/>
                <w:bottom w:val="none" w:sz="0" w:space="0" w:color="auto"/>
                <w:right w:val="none" w:sz="0" w:space="0" w:color="auto"/>
              </w:divBdr>
            </w:div>
            <w:div w:id="937952662">
              <w:marLeft w:val="0"/>
              <w:marRight w:val="0"/>
              <w:marTop w:val="0"/>
              <w:marBottom w:val="0"/>
              <w:divBdr>
                <w:top w:val="none" w:sz="0" w:space="0" w:color="auto"/>
                <w:left w:val="none" w:sz="0" w:space="0" w:color="auto"/>
                <w:bottom w:val="none" w:sz="0" w:space="0" w:color="auto"/>
                <w:right w:val="none" w:sz="0" w:space="0" w:color="auto"/>
              </w:divBdr>
            </w:div>
            <w:div w:id="1142769622">
              <w:marLeft w:val="0"/>
              <w:marRight w:val="0"/>
              <w:marTop w:val="0"/>
              <w:marBottom w:val="0"/>
              <w:divBdr>
                <w:top w:val="none" w:sz="0" w:space="0" w:color="auto"/>
                <w:left w:val="none" w:sz="0" w:space="0" w:color="auto"/>
                <w:bottom w:val="none" w:sz="0" w:space="0" w:color="auto"/>
                <w:right w:val="none" w:sz="0" w:space="0" w:color="auto"/>
              </w:divBdr>
            </w:div>
            <w:div w:id="1178231712">
              <w:marLeft w:val="0"/>
              <w:marRight w:val="0"/>
              <w:marTop w:val="0"/>
              <w:marBottom w:val="0"/>
              <w:divBdr>
                <w:top w:val="none" w:sz="0" w:space="0" w:color="auto"/>
                <w:left w:val="none" w:sz="0" w:space="0" w:color="auto"/>
                <w:bottom w:val="none" w:sz="0" w:space="0" w:color="auto"/>
                <w:right w:val="none" w:sz="0" w:space="0" w:color="auto"/>
              </w:divBdr>
            </w:div>
            <w:div w:id="1285306614">
              <w:marLeft w:val="0"/>
              <w:marRight w:val="0"/>
              <w:marTop w:val="0"/>
              <w:marBottom w:val="0"/>
              <w:divBdr>
                <w:top w:val="none" w:sz="0" w:space="0" w:color="auto"/>
                <w:left w:val="none" w:sz="0" w:space="0" w:color="auto"/>
                <w:bottom w:val="none" w:sz="0" w:space="0" w:color="auto"/>
                <w:right w:val="none" w:sz="0" w:space="0" w:color="auto"/>
              </w:divBdr>
            </w:div>
            <w:div w:id="1345861460">
              <w:marLeft w:val="0"/>
              <w:marRight w:val="0"/>
              <w:marTop w:val="0"/>
              <w:marBottom w:val="0"/>
              <w:divBdr>
                <w:top w:val="none" w:sz="0" w:space="0" w:color="auto"/>
                <w:left w:val="none" w:sz="0" w:space="0" w:color="auto"/>
                <w:bottom w:val="none" w:sz="0" w:space="0" w:color="auto"/>
                <w:right w:val="none" w:sz="0" w:space="0" w:color="auto"/>
              </w:divBdr>
            </w:div>
            <w:div w:id="1459059912">
              <w:marLeft w:val="0"/>
              <w:marRight w:val="0"/>
              <w:marTop w:val="0"/>
              <w:marBottom w:val="0"/>
              <w:divBdr>
                <w:top w:val="none" w:sz="0" w:space="0" w:color="auto"/>
                <w:left w:val="none" w:sz="0" w:space="0" w:color="auto"/>
                <w:bottom w:val="none" w:sz="0" w:space="0" w:color="auto"/>
                <w:right w:val="none" w:sz="0" w:space="0" w:color="auto"/>
              </w:divBdr>
            </w:div>
            <w:div w:id="1556041537">
              <w:marLeft w:val="0"/>
              <w:marRight w:val="0"/>
              <w:marTop w:val="0"/>
              <w:marBottom w:val="0"/>
              <w:divBdr>
                <w:top w:val="none" w:sz="0" w:space="0" w:color="auto"/>
                <w:left w:val="none" w:sz="0" w:space="0" w:color="auto"/>
                <w:bottom w:val="none" w:sz="0" w:space="0" w:color="auto"/>
                <w:right w:val="none" w:sz="0" w:space="0" w:color="auto"/>
              </w:divBdr>
            </w:div>
            <w:div w:id="1794399750">
              <w:marLeft w:val="0"/>
              <w:marRight w:val="0"/>
              <w:marTop w:val="0"/>
              <w:marBottom w:val="0"/>
              <w:divBdr>
                <w:top w:val="none" w:sz="0" w:space="0" w:color="auto"/>
                <w:left w:val="none" w:sz="0" w:space="0" w:color="auto"/>
                <w:bottom w:val="none" w:sz="0" w:space="0" w:color="auto"/>
                <w:right w:val="none" w:sz="0" w:space="0" w:color="auto"/>
              </w:divBdr>
            </w:div>
            <w:div w:id="1837307334">
              <w:marLeft w:val="0"/>
              <w:marRight w:val="0"/>
              <w:marTop w:val="0"/>
              <w:marBottom w:val="0"/>
              <w:divBdr>
                <w:top w:val="none" w:sz="0" w:space="0" w:color="auto"/>
                <w:left w:val="none" w:sz="0" w:space="0" w:color="auto"/>
                <w:bottom w:val="none" w:sz="0" w:space="0" w:color="auto"/>
                <w:right w:val="none" w:sz="0" w:space="0" w:color="auto"/>
              </w:divBdr>
            </w:div>
            <w:div w:id="1903326545">
              <w:marLeft w:val="0"/>
              <w:marRight w:val="0"/>
              <w:marTop w:val="0"/>
              <w:marBottom w:val="0"/>
              <w:divBdr>
                <w:top w:val="none" w:sz="0" w:space="0" w:color="auto"/>
                <w:left w:val="none" w:sz="0" w:space="0" w:color="auto"/>
                <w:bottom w:val="none" w:sz="0" w:space="0" w:color="auto"/>
                <w:right w:val="none" w:sz="0" w:space="0" w:color="auto"/>
              </w:divBdr>
            </w:div>
            <w:div w:id="2124495874">
              <w:marLeft w:val="0"/>
              <w:marRight w:val="0"/>
              <w:marTop w:val="0"/>
              <w:marBottom w:val="0"/>
              <w:divBdr>
                <w:top w:val="none" w:sz="0" w:space="0" w:color="auto"/>
                <w:left w:val="none" w:sz="0" w:space="0" w:color="auto"/>
                <w:bottom w:val="none" w:sz="0" w:space="0" w:color="auto"/>
                <w:right w:val="none" w:sz="0" w:space="0" w:color="auto"/>
              </w:divBdr>
            </w:div>
          </w:divsChild>
        </w:div>
        <w:div w:id="1848128660">
          <w:marLeft w:val="0"/>
          <w:marRight w:val="0"/>
          <w:marTop w:val="0"/>
          <w:marBottom w:val="0"/>
          <w:divBdr>
            <w:top w:val="none" w:sz="0" w:space="0" w:color="auto"/>
            <w:left w:val="none" w:sz="0" w:space="0" w:color="auto"/>
            <w:bottom w:val="none" w:sz="0" w:space="0" w:color="auto"/>
            <w:right w:val="none" w:sz="0" w:space="0" w:color="auto"/>
          </w:divBdr>
          <w:divsChild>
            <w:div w:id="40786896">
              <w:marLeft w:val="0"/>
              <w:marRight w:val="0"/>
              <w:marTop w:val="0"/>
              <w:marBottom w:val="0"/>
              <w:divBdr>
                <w:top w:val="none" w:sz="0" w:space="0" w:color="auto"/>
                <w:left w:val="none" w:sz="0" w:space="0" w:color="auto"/>
                <w:bottom w:val="none" w:sz="0" w:space="0" w:color="auto"/>
                <w:right w:val="none" w:sz="0" w:space="0" w:color="auto"/>
              </w:divBdr>
            </w:div>
            <w:div w:id="166529071">
              <w:marLeft w:val="0"/>
              <w:marRight w:val="0"/>
              <w:marTop w:val="0"/>
              <w:marBottom w:val="0"/>
              <w:divBdr>
                <w:top w:val="none" w:sz="0" w:space="0" w:color="auto"/>
                <w:left w:val="none" w:sz="0" w:space="0" w:color="auto"/>
                <w:bottom w:val="none" w:sz="0" w:space="0" w:color="auto"/>
                <w:right w:val="none" w:sz="0" w:space="0" w:color="auto"/>
              </w:divBdr>
            </w:div>
            <w:div w:id="257180262">
              <w:marLeft w:val="0"/>
              <w:marRight w:val="0"/>
              <w:marTop w:val="0"/>
              <w:marBottom w:val="0"/>
              <w:divBdr>
                <w:top w:val="none" w:sz="0" w:space="0" w:color="auto"/>
                <w:left w:val="none" w:sz="0" w:space="0" w:color="auto"/>
                <w:bottom w:val="none" w:sz="0" w:space="0" w:color="auto"/>
                <w:right w:val="none" w:sz="0" w:space="0" w:color="auto"/>
              </w:divBdr>
            </w:div>
            <w:div w:id="336275109">
              <w:marLeft w:val="0"/>
              <w:marRight w:val="0"/>
              <w:marTop w:val="0"/>
              <w:marBottom w:val="0"/>
              <w:divBdr>
                <w:top w:val="none" w:sz="0" w:space="0" w:color="auto"/>
                <w:left w:val="none" w:sz="0" w:space="0" w:color="auto"/>
                <w:bottom w:val="none" w:sz="0" w:space="0" w:color="auto"/>
                <w:right w:val="none" w:sz="0" w:space="0" w:color="auto"/>
              </w:divBdr>
            </w:div>
            <w:div w:id="342630791">
              <w:marLeft w:val="0"/>
              <w:marRight w:val="0"/>
              <w:marTop w:val="0"/>
              <w:marBottom w:val="0"/>
              <w:divBdr>
                <w:top w:val="none" w:sz="0" w:space="0" w:color="auto"/>
                <w:left w:val="none" w:sz="0" w:space="0" w:color="auto"/>
                <w:bottom w:val="none" w:sz="0" w:space="0" w:color="auto"/>
                <w:right w:val="none" w:sz="0" w:space="0" w:color="auto"/>
              </w:divBdr>
            </w:div>
            <w:div w:id="427429352">
              <w:marLeft w:val="0"/>
              <w:marRight w:val="0"/>
              <w:marTop w:val="0"/>
              <w:marBottom w:val="0"/>
              <w:divBdr>
                <w:top w:val="none" w:sz="0" w:space="0" w:color="auto"/>
                <w:left w:val="none" w:sz="0" w:space="0" w:color="auto"/>
                <w:bottom w:val="none" w:sz="0" w:space="0" w:color="auto"/>
                <w:right w:val="none" w:sz="0" w:space="0" w:color="auto"/>
              </w:divBdr>
            </w:div>
            <w:div w:id="461770003">
              <w:marLeft w:val="0"/>
              <w:marRight w:val="0"/>
              <w:marTop w:val="0"/>
              <w:marBottom w:val="0"/>
              <w:divBdr>
                <w:top w:val="none" w:sz="0" w:space="0" w:color="auto"/>
                <w:left w:val="none" w:sz="0" w:space="0" w:color="auto"/>
                <w:bottom w:val="none" w:sz="0" w:space="0" w:color="auto"/>
                <w:right w:val="none" w:sz="0" w:space="0" w:color="auto"/>
              </w:divBdr>
            </w:div>
            <w:div w:id="636447895">
              <w:marLeft w:val="0"/>
              <w:marRight w:val="0"/>
              <w:marTop w:val="0"/>
              <w:marBottom w:val="0"/>
              <w:divBdr>
                <w:top w:val="none" w:sz="0" w:space="0" w:color="auto"/>
                <w:left w:val="none" w:sz="0" w:space="0" w:color="auto"/>
                <w:bottom w:val="none" w:sz="0" w:space="0" w:color="auto"/>
                <w:right w:val="none" w:sz="0" w:space="0" w:color="auto"/>
              </w:divBdr>
            </w:div>
            <w:div w:id="703870910">
              <w:marLeft w:val="0"/>
              <w:marRight w:val="0"/>
              <w:marTop w:val="0"/>
              <w:marBottom w:val="0"/>
              <w:divBdr>
                <w:top w:val="none" w:sz="0" w:space="0" w:color="auto"/>
                <w:left w:val="none" w:sz="0" w:space="0" w:color="auto"/>
                <w:bottom w:val="none" w:sz="0" w:space="0" w:color="auto"/>
                <w:right w:val="none" w:sz="0" w:space="0" w:color="auto"/>
              </w:divBdr>
            </w:div>
            <w:div w:id="829490022">
              <w:marLeft w:val="0"/>
              <w:marRight w:val="0"/>
              <w:marTop w:val="0"/>
              <w:marBottom w:val="0"/>
              <w:divBdr>
                <w:top w:val="none" w:sz="0" w:space="0" w:color="auto"/>
                <w:left w:val="none" w:sz="0" w:space="0" w:color="auto"/>
                <w:bottom w:val="none" w:sz="0" w:space="0" w:color="auto"/>
                <w:right w:val="none" w:sz="0" w:space="0" w:color="auto"/>
              </w:divBdr>
            </w:div>
            <w:div w:id="1212881907">
              <w:marLeft w:val="0"/>
              <w:marRight w:val="0"/>
              <w:marTop w:val="0"/>
              <w:marBottom w:val="0"/>
              <w:divBdr>
                <w:top w:val="none" w:sz="0" w:space="0" w:color="auto"/>
                <w:left w:val="none" w:sz="0" w:space="0" w:color="auto"/>
                <w:bottom w:val="none" w:sz="0" w:space="0" w:color="auto"/>
                <w:right w:val="none" w:sz="0" w:space="0" w:color="auto"/>
              </w:divBdr>
            </w:div>
            <w:div w:id="1214659247">
              <w:marLeft w:val="0"/>
              <w:marRight w:val="0"/>
              <w:marTop w:val="0"/>
              <w:marBottom w:val="0"/>
              <w:divBdr>
                <w:top w:val="none" w:sz="0" w:space="0" w:color="auto"/>
                <w:left w:val="none" w:sz="0" w:space="0" w:color="auto"/>
                <w:bottom w:val="none" w:sz="0" w:space="0" w:color="auto"/>
                <w:right w:val="none" w:sz="0" w:space="0" w:color="auto"/>
              </w:divBdr>
            </w:div>
            <w:div w:id="1251162230">
              <w:marLeft w:val="0"/>
              <w:marRight w:val="0"/>
              <w:marTop w:val="0"/>
              <w:marBottom w:val="0"/>
              <w:divBdr>
                <w:top w:val="none" w:sz="0" w:space="0" w:color="auto"/>
                <w:left w:val="none" w:sz="0" w:space="0" w:color="auto"/>
                <w:bottom w:val="none" w:sz="0" w:space="0" w:color="auto"/>
                <w:right w:val="none" w:sz="0" w:space="0" w:color="auto"/>
              </w:divBdr>
            </w:div>
            <w:div w:id="1269463798">
              <w:marLeft w:val="0"/>
              <w:marRight w:val="0"/>
              <w:marTop w:val="0"/>
              <w:marBottom w:val="0"/>
              <w:divBdr>
                <w:top w:val="none" w:sz="0" w:space="0" w:color="auto"/>
                <w:left w:val="none" w:sz="0" w:space="0" w:color="auto"/>
                <w:bottom w:val="none" w:sz="0" w:space="0" w:color="auto"/>
                <w:right w:val="none" w:sz="0" w:space="0" w:color="auto"/>
              </w:divBdr>
            </w:div>
            <w:div w:id="1299798636">
              <w:marLeft w:val="0"/>
              <w:marRight w:val="0"/>
              <w:marTop w:val="0"/>
              <w:marBottom w:val="0"/>
              <w:divBdr>
                <w:top w:val="none" w:sz="0" w:space="0" w:color="auto"/>
                <w:left w:val="none" w:sz="0" w:space="0" w:color="auto"/>
                <w:bottom w:val="none" w:sz="0" w:space="0" w:color="auto"/>
                <w:right w:val="none" w:sz="0" w:space="0" w:color="auto"/>
              </w:divBdr>
            </w:div>
            <w:div w:id="1548107869">
              <w:marLeft w:val="0"/>
              <w:marRight w:val="0"/>
              <w:marTop w:val="0"/>
              <w:marBottom w:val="0"/>
              <w:divBdr>
                <w:top w:val="none" w:sz="0" w:space="0" w:color="auto"/>
                <w:left w:val="none" w:sz="0" w:space="0" w:color="auto"/>
                <w:bottom w:val="none" w:sz="0" w:space="0" w:color="auto"/>
                <w:right w:val="none" w:sz="0" w:space="0" w:color="auto"/>
              </w:divBdr>
            </w:div>
            <w:div w:id="1697120707">
              <w:marLeft w:val="0"/>
              <w:marRight w:val="0"/>
              <w:marTop w:val="0"/>
              <w:marBottom w:val="0"/>
              <w:divBdr>
                <w:top w:val="none" w:sz="0" w:space="0" w:color="auto"/>
                <w:left w:val="none" w:sz="0" w:space="0" w:color="auto"/>
                <w:bottom w:val="none" w:sz="0" w:space="0" w:color="auto"/>
                <w:right w:val="none" w:sz="0" w:space="0" w:color="auto"/>
              </w:divBdr>
            </w:div>
            <w:div w:id="1826819553">
              <w:marLeft w:val="0"/>
              <w:marRight w:val="0"/>
              <w:marTop w:val="0"/>
              <w:marBottom w:val="0"/>
              <w:divBdr>
                <w:top w:val="none" w:sz="0" w:space="0" w:color="auto"/>
                <w:left w:val="none" w:sz="0" w:space="0" w:color="auto"/>
                <w:bottom w:val="none" w:sz="0" w:space="0" w:color="auto"/>
                <w:right w:val="none" w:sz="0" w:space="0" w:color="auto"/>
              </w:divBdr>
            </w:div>
            <w:div w:id="1928416990">
              <w:marLeft w:val="0"/>
              <w:marRight w:val="0"/>
              <w:marTop w:val="0"/>
              <w:marBottom w:val="0"/>
              <w:divBdr>
                <w:top w:val="none" w:sz="0" w:space="0" w:color="auto"/>
                <w:left w:val="none" w:sz="0" w:space="0" w:color="auto"/>
                <w:bottom w:val="none" w:sz="0" w:space="0" w:color="auto"/>
                <w:right w:val="none" w:sz="0" w:space="0" w:color="auto"/>
              </w:divBdr>
            </w:div>
            <w:div w:id="2025132024">
              <w:marLeft w:val="0"/>
              <w:marRight w:val="0"/>
              <w:marTop w:val="0"/>
              <w:marBottom w:val="0"/>
              <w:divBdr>
                <w:top w:val="none" w:sz="0" w:space="0" w:color="auto"/>
                <w:left w:val="none" w:sz="0" w:space="0" w:color="auto"/>
                <w:bottom w:val="none" w:sz="0" w:space="0" w:color="auto"/>
                <w:right w:val="none" w:sz="0" w:space="0" w:color="auto"/>
              </w:divBdr>
            </w:div>
          </w:divsChild>
        </w:div>
        <w:div w:id="1876893696">
          <w:marLeft w:val="0"/>
          <w:marRight w:val="0"/>
          <w:marTop w:val="0"/>
          <w:marBottom w:val="0"/>
          <w:divBdr>
            <w:top w:val="none" w:sz="0" w:space="0" w:color="auto"/>
            <w:left w:val="none" w:sz="0" w:space="0" w:color="auto"/>
            <w:bottom w:val="none" w:sz="0" w:space="0" w:color="auto"/>
            <w:right w:val="none" w:sz="0" w:space="0" w:color="auto"/>
          </w:divBdr>
        </w:div>
        <w:div w:id="1900047015">
          <w:marLeft w:val="0"/>
          <w:marRight w:val="0"/>
          <w:marTop w:val="0"/>
          <w:marBottom w:val="0"/>
          <w:divBdr>
            <w:top w:val="none" w:sz="0" w:space="0" w:color="auto"/>
            <w:left w:val="none" w:sz="0" w:space="0" w:color="auto"/>
            <w:bottom w:val="none" w:sz="0" w:space="0" w:color="auto"/>
            <w:right w:val="none" w:sz="0" w:space="0" w:color="auto"/>
          </w:divBdr>
        </w:div>
        <w:div w:id="1925994123">
          <w:marLeft w:val="0"/>
          <w:marRight w:val="0"/>
          <w:marTop w:val="0"/>
          <w:marBottom w:val="0"/>
          <w:divBdr>
            <w:top w:val="none" w:sz="0" w:space="0" w:color="auto"/>
            <w:left w:val="none" w:sz="0" w:space="0" w:color="auto"/>
            <w:bottom w:val="none" w:sz="0" w:space="0" w:color="auto"/>
            <w:right w:val="none" w:sz="0" w:space="0" w:color="auto"/>
          </w:divBdr>
          <w:divsChild>
            <w:div w:id="311105995">
              <w:marLeft w:val="0"/>
              <w:marRight w:val="0"/>
              <w:marTop w:val="0"/>
              <w:marBottom w:val="0"/>
              <w:divBdr>
                <w:top w:val="none" w:sz="0" w:space="0" w:color="auto"/>
                <w:left w:val="none" w:sz="0" w:space="0" w:color="auto"/>
                <w:bottom w:val="none" w:sz="0" w:space="0" w:color="auto"/>
                <w:right w:val="none" w:sz="0" w:space="0" w:color="auto"/>
              </w:divBdr>
            </w:div>
            <w:div w:id="314646937">
              <w:marLeft w:val="0"/>
              <w:marRight w:val="0"/>
              <w:marTop w:val="0"/>
              <w:marBottom w:val="0"/>
              <w:divBdr>
                <w:top w:val="none" w:sz="0" w:space="0" w:color="auto"/>
                <w:left w:val="none" w:sz="0" w:space="0" w:color="auto"/>
                <w:bottom w:val="none" w:sz="0" w:space="0" w:color="auto"/>
                <w:right w:val="none" w:sz="0" w:space="0" w:color="auto"/>
              </w:divBdr>
            </w:div>
            <w:div w:id="557133273">
              <w:marLeft w:val="0"/>
              <w:marRight w:val="0"/>
              <w:marTop w:val="0"/>
              <w:marBottom w:val="0"/>
              <w:divBdr>
                <w:top w:val="none" w:sz="0" w:space="0" w:color="auto"/>
                <w:left w:val="none" w:sz="0" w:space="0" w:color="auto"/>
                <w:bottom w:val="none" w:sz="0" w:space="0" w:color="auto"/>
                <w:right w:val="none" w:sz="0" w:space="0" w:color="auto"/>
              </w:divBdr>
            </w:div>
            <w:div w:id="589897286">
              <w:marLeft w:val="0"/>
              <w:marRight w:val="0"/>
              <w:marTop w:val="0"/>
              <w:marBottom w:val="0"/>
              <w:divBdr>
                <w:top w:val="none" w:sz="0" w:space="0" w:color="auto"/>
                <w:left w:val="none" w:sz="0" w:space="0" w:color="auto"/>
                <w:bottom w:val="none" w:sz="0" w:space="0" w:color="auto"/>
                <w:right w:val="none" w:sz="0" w:space="0" w:color="auto"/>
              </w:divBdr>
            </w:div>
            <w:div w:id="601839705">
              <w:marLeft w:val="0"/>
              <w:marRight w:val="0"/>
              <w:marTop w:val="0"/>
              <w:marBottom w:val="0"/>
              <w:divBdr>
                <w:top w:val="none" w:sz="0" w:space="0" w:color="auto"/>
                <w:left w:val="none" w:sz="0" w:space="0" w:color="auto"/>
                <w:bottom w:val="none" w:sz="0" w:space="0" w:color="auto"/>
                <w:right w:val="none" w:sz="0" w:space="0" w:color="auto"/>
              </w:divBdr>
            </w:div>
            <w:div w:id="631903670">
              <w:marLeft w:val="0"/>
              <w:marRight w:val="0"/>
              <w:marTop w:val="0"/>
              <w:marBottom w:val="0"/>
              <w:divBdr>
                <w:top w:val="none" w:sz="0" w:space="0" w:color="auto"/>
                <w:left w:val="none" w:sz="0" w:space="0" w:color="auto"/>
                <w:bottom w:val="none" w:sz="0" w:space="0" w:color="auto"/>
                <w:right w:val="none" w:sz="0" w:space="0" w:color="auto"/>
              </w:divBdr>
            </w:div>
            <w:div w:id="696929974">
              <w:marLeft w:val="0"/>
              <w:marRight w:val="0"/>
              <w:marTop w:val="0"/>
              <w:marBottom w:val="0"/>
              <w:divBdr>
                <w:top w:val="none" w:sz="0" w:space="0" w:color="auto"/>
                <w:left w:val="none" w:sz="0" w:space="0" w:color="auto"/>
                <w:bottom w:val="none" w:sz="0" w:space="0" w:color="auto"/>
                <w:right w:val="none" w:sz="0" w:space="0" w:color="auto"/>
              </w:divBdr>
            </w:div>
            <w:div w:id="1007899645">
              <w:marLeft w:val="0"/>
              <w:marRight w:val="0"/>
              <w:marTop w:val="0"/>
              <w:marBottom w:val="0"/>
              <w:divBdr>
                <w:top w:val="none" w:sz="0" w:space="0" w:color="auto"/>
                <w:left w:val="none" w:sz="0" w:space="0" w:color="auto"/>
                <w:bottom w:val="none" w:sz="0" w:space="0" w:color="auto"/>
                <w:right w:val="none" w:sz="0" w:space="0" w:color="auto"/>
              </w:divBdr>
            </w:div>
            <w:div w:id="1016998606">
              <w:marLeft w:val="0"/>
              <w:marRight w:val="0"/>
              <w:marTop w:val="0"/>
              <w:marBottom w:val="0"/>
              <w:divBdr>
                <w:top w:val="none" w:sz="0" w:space="0" w:color="auto"/>
                <w:left w:val="none" w:sz="0" w:space="0" w:color="auto"/>
                <w:bottom w:val="none" w:sz="0" w:space="0" w:color="auto"/>
                <w:right w:val="none" w:sz="0" w:space="0" w:color="auto"/>
              </w:divBdr>
            </w:div>
            <w:div w:id="1091388430">
              <w:marLeft w:val="0"/>
              <w:marRight w:val="0"/>
              <w:marTop w:val="0"/>
              <w:marBottom w:val="0"/>
              <w:divBdr>
                <w:top w:val="none" w:sz="0" w:space="0" w:color="auto"/>
                <w:left w:val="none" w:sz="0" w:space="0" w:color="auto"/>
                <w:bottom w:val="none" w:sz="0" w:space="0" w:color="auto"/>
                <w:right w:val="none" w:sz="0" w:space="0" w:color="auto"/>
              </w:divBdr>
            </w:div>
            <w:div w:id="1113745681">
              <w:marLeft w:val="0"/>
              <w:marRight w:val="0"/>
              <w:marTop w:val="0"/>
              <w:marBottom w:val="0"/>
              <w:divBdr>
                <w:top w:val="none" w:sz="0" w:space="0" w:color="auto"/>
                <w:left w:val="none" w:sz="0" w:space="0" w:color="auto"/>
                <w:bottom w:val="none" w:sz="0" w:space="0" w:color="auto"/>
                <w:right w:val="none" w:sz="0" w:space="0" w:color="auto"/>
              </w:divBdr>
            </w:div>
            <w:div w:id="1271281848">
              <w:marLeft w:val="0"/>
              <w:marRight w:val="0"/>
              <w:marTop w:val="0"/>
              <w:marBottom w:val="0"/>
              <w:divBdr>
                <w:top w:val="none" w:sz="0" w:space="0" w:color="auto"/>
                <w:left w:val="none" w:sz="0" w:space="0" w:color="auto"/>
                <w:bottom w:val="none" w:sz="0" w:space="0" w:color="auto"/>
                <w:right w:val="none" w:sz="0" w:space="0" w:color="auto"/>
              </w:divBdr>
            </w:div>
            <w:div w:id="1276870653">
              <w:marLeft w:val="0"/>
              <w:marRight w:val="0"/>
              <w:marTop w:val="0"/>
              <w:marBottom w:val="0"/>
              <w:divBdr>
                <w:top w:val="none" w:sz="0" w:space="0" w:color="auto"/>
                <w:left w:val="none" w:sz="0" w:space="0" w:color="auto"/>
                <w:bottom w:val="none" w:sz="0" w:space="0" w:color="auto"/>
                <w:right w:val="none" w:sz="0" w:space="0" w:color="auto"/>
              </w:divBdr>
            </w:div>
            <w:div w:id="1430151992">
              <w:marLeft w:val="0"/>
              <w:marRight w:val="0"/>
              <w:marTop w:val="0"/>
              <w:marBottom w:val="0"/>
              <w:divBdr>
                <w:top w:val="none" w:sz="0" w:space="0" w:color="auto"/>
                <w:left w:val="none" w:sz="0" w:space="0" w:color="auto"/>
                <w:bottom w:val="none" w:sz="0" w:space="0" w:color="auto"/>
                <w:right w:val="none" w:sz="0" w:space="0" w:color="auto"/>
              </w:divBdr>
            </w:div>
            <w:div w:id="1474713320">
              <w:marLeft w:val="0"/>
              <w:marRight w:val="0"/>
              <w:marTop w:val="0"/>
              <w:marBottom w:val="0"/>
              <w:divBdr>
                <w:top w:val="none" w:sz="0" w:space="0" w:color="auto"/>
                <w:left w:val="none" w:sz="0" w:space="0" w:color="auto"/>
                <w:bottom w:val="none" w:sz="0" w:space="0" w:color="auto"/>
                <w:right w:val="none" w:sz="0" w:space="0" w:color="auto"/>
              </w:divBdr>
            </w:div>
            <w:div w:id="1773865805">
              <w:marLeft w:val="0"/>
              <w:marRight w:val="0"/>
              <w:marTop w:val="0"/>
              <w:marBottom w:val="0"/>
              <w:divBdr>
                <w:top w:val="none" w:sz="0" w:space="0" w:color="auto"/>
                <w:left w:val="none" w:sz="0" w:space="0" w:color="auto"/>
                <w:bottom w:val="none" w:sz="0" w:space="0" w:color="auto"/>
                <w:right w:val="none" w:sz="0" w:space="0" w:color="auto"/>
              </w:divBdr>
            </w:div>
            <w:div w:id="1987471185">
              <w:marLeft w:val="0"/>
              <w:marRight w:val="0"/>
              <w:marTop w:val="0"/>
              <w:marBottom w:val="0"/>
              <w:divBdr>
                <w:top w:val="none" w:sz="0" w:space="0" w:color="auto"/>
                <w:left w:val="none" w:sz="0" w:space="0" w:color="auto"/>
                <w:bottom w:val="none" w:sz="0" w:space="0" w:color="auto"/>
                <w:right w:val="none" w:sz="0" w:space="0" w:color="auto"/>
              </w:divBdr>
            </w:div>
            <w:div w:id="2034527522">
              <w:marLeft w:val="0"/>
              <w:marRight w:val="0"/>
              <w:marTop w:val="0"/>
              <w:marBottom w:val="0"/>
              <w:divBdr>
                <w:top w:val="none" w:sz="0" w:space="0" w:color="auto"/>
                <w:left w:val="none" w:sz="0" w:space="0" w:color="auto"/>
                <w:bottom w:val="none" w:sz="0" w:space="0" w:color="auto"/>
                <w:right w:val="none" w:sz="0" w:space="0" w:color="auto"/>
              </w:divBdr>
            </w:div>
            <w:div w:id="2050183429">
              <w:marLeft w:val="0"/>
              <w:marRight w:val="0"/>
              <w:marTop w:val="0"/>
              <w:marBottom w:val="0"/>
              <w:divBdr>
                <w:top w:val="none" w:sz="0" w:space="0" w:color="auto"/>
                <w:left w:val="none" w:sz="0" w:space="0" w:color="auto"/>
                <w:bottom w:val="none" w:sz="0" w:space="0" w:color="auto"/>
                <w:right w:val="none" w:sz="0" w:space="0" w:color="auto"/>
              </w:divBdr>
            </w:div>
            <w:div w:id="2051418213">
              <w:marLeft w:val="0"/>
              <w:marRight w:val="0"/>
              <w:marTop w:val="0"/>
              <w:marBottom w:val="0"/>
              <w:divBdr>
                <w:top w:val="none" w:sz="0" w:space="0" w:color="auto"/>
                <w:left w:val="none" w:sz="0" w:space="0" w:color="auto"/>
                <w:bottom w:val="none" w:sz="0" w:space="0" w:color="auto"/>
                <w:right w:val="none" w:sz="0" w:space="0" w:color="auto"/>
              </w:divBdr>
            </w:div>
          </w:divsChild>
        </w:div>
        <w:div w:id="1993752851">
          <w:marLeft w:val="0"/>
          <w:marRight w:val="0"/>
          <w:marTop w:val="0"/>
          <w:marBottom w:val="0"/>
          <w:divBdr>
            <w:top w:val="none" w:sz="0" w:space="0" w:color="auto"/>
            <w:left w:val="none" w:sz="0" w:space="0" w:color="auto"/>
            <w:bottom w:val="none" w:sz="0" w:space="0" w:color="auto"/>
            <w:right w:val="none" w:sz="0" w:space="0" w:color="auto"/>
          </w:divBdr>
        </w:div>
        <w:div w:id="2025470790">
          <w:marLeft w:val="0"/>
          <w:marRight w:val="0"/>
          <w:marTop w:val="0"/>
          <w:marBottom w:val="0"/>
          <w:divBdr>
            <w:top w:val="none" w:sz="0" w:space="0" w:color="auto"/>
            <w:left w:val="none" w:sz="0" w:space="0" w:color="auto"/>
            <w:bottom w:val="none" w:sz="0" w:space="0" w:color="auto"/>
            <w:right w:val="none" w:sz="0" w:space="0" w:color="auto"/>
          </w:divBdr>
          <w:divsChild>
            <w:div w:id="219945130">
              <w:marLeft w:val="0"/>
              <w:marRight w:val="0"/>
              <w:marTop w:val="0"/>
              <w:marBottom w:val="0"/>
              <w:divBdr>
                <w:top w:val="none" w:sz="0" w:space="0" w:color="auto"/>
                <w:left w:val="none" w:sz="0" w:space="0" w:color="auto"/>
                <w:bottom w:val="none" w:sz="0" w:space="0" w:color="auto"/>
                <w:right w:val="none" w:sz="0" w:space="0" w:color="auto"/>
              </w:divBdr>
            </w:div>
            <w:div w:id="351732787">
              <w:marLeft w:val="0"/>
              <w:marRight w:val="0"/>
              <w:marTop w:val="0"/>
              <w:marBottom w:val="0"/>
              <w:divBdr>
                <w:top w:val="none" w:sz="0" w:space="0" w:color="auto"/>
                <w:left w:val="none" w:sz="0" w:space="0" w:color="auto"/>
                <w:bottom w:val="none" w:sz="0" w:space="0" w:color="auto"/>
                <w:right w:val="none" w:sz="0" w:space="0" w:color="auto"/>
              </w:divBdr>
            </w:div>
            <w:div w:id="448428031">
              <w:marLeft w:val="0"/>
              <w:marRight w:val="0"/>
              <w:marTop w:val="0"/>
              <w:marBottom w:val="0"/>
              <w:divBdr>
                <w:top w:val="none" w:sz="0" w:space="0" w:color="auto"/>
                <w:left w:val="none" w:sz="0" w:space="0" w:color="auto"/>
                <w:bottom w:val="none" w:sz="0" w:space="0" w:color="auto"/>
                <w:right w:val="none" w:sz="0" w:space="0" w:color="auto"/>
              </w:divBdr>
            </w:div>
            <w:div w:id="760874183">
              <w:marLeft w:val="0"/>
              <w:marRight w:val="0"/>
              <w:marTop w:val="0"/>
              <w:marBottom w:val="0"/>
              <w:divBdr>
                <w:top w:val="none" w:sz="0" w:space="0" w:color="auto"/>
                <w:left w:val="none" w:sz="0" w:space="0" w:color="auto"/>
                <w:bottom w:val="none" w:sz="0" w:space="0" w:color="auto"/>
                <w:right w:val="none" w:sz="0" w:space="0" w:color="auto"/>
              </w:divBdr>
            </w:div>
            <w:div w:id="878510806">
              <w:marLeft w:val="0"/>
              <w:marRight w:val="0"/>
              <w:marTop w:val="0"/>
              <w:marBottom w:val="0"/>
              <w:divBdr>
                <w:top w:val="none" w:sz="0" w:space="0" w:color="auto"/>
                <w:left w:val="none" w:sz="0" w:space="0" w:color="auto"/>
                <w:bottom w:val="none" w:sz="0" w:space="0" w:color="auto"/>
                <w:right w:val="none" w:sz="0" w:space="0" w:color="auto"/>
              </w:divBdr>
            </w:div>
            <w:div w:id="903687471">
              <w:marLeft w:val="0"/>
              <w:marRight w:val="0"/>
              <w:marTop w:val="0"/>
              <w:marBottom w:val="0"/>
              <w:divBdr>
                <w:top w:val="none" w:sz="0" w:space="0" w:color="auto"/>
                <w:left w:val="none" w:sz="0" w:space="0" w:color="auto"/>
                <w:bottom w:val="none" w:sz="0" w:space="0" w:color="auto"/>
                <w:right w:val="none" w:sz="0" w:space="0" w:color="auto"/>
              </w:divBdr>
            </w:div>
            <w:div w:id="943420135">
              <w:marLeft w:val="0"/>
              <w:marRight w:val="0"/>
              <w:marTop w:val="0"/>
              <w:marBottom w:val="0"/>
              <w:divBdr>
                <w:top w:val="none" w:sz="0" w:space="0" w:color="auto"/>
                <w:left w:val="none" w:sz="0" w:space="0" w:color="auto"/>
                <w:bottom w:val="none" w:sz="0" w:space="0" w:color="auto"/>
                <w:right w:val="none" w:sz="0" w:space="0" w:color="auto"/>
              </w:divBdr>
            </w:div>
            <w:div w:id="1059665453">
              <w:marLeft w:val="0"/>
              <w:marRight w:val="0"/>
              <w:marTop w:val="0"/>
              <w:marBottom w:val="0"/>
              <w:divBdr>
                <w:top w:val="none" w:sz="0" w:space="0" w:color="auto"/>
                <w:left w:val="none" w:sz="0" w:space="0" w:color="auto"/>
                <w:bottom w:val="none" w:sz="0" w:space="0" w:color="auto"/>
                <w:right w:val="none" w:sz="0" w:space="0" w:color="auto"/>
              </w:divBdr>
            </w:div>
            <w:div w:id="1199507199">
              <w:marLeft w:val="0"/>
              <w:marRight w:val="0"/>
              <w:marTop w:val="0"/>
              <w:marBottom w:val="0"/>
              <w:divBdr>
                <w:top w:val="none" w:sz="0" w:space="0" w:color="auto"/>
                <w:left w:val="none" w:sz="0" w:space="0" w:color="auto"/>
                <w:bottom w:val="none" w:sz="0" w:space="0" w:color="auto"/>
                <w:right w:val="none" w:sz="0" w:space="0" w:color="auto"/>
              </w:divBdr>
            </w:div>
            <w:div w:id="1286548693">
              <w:marLeft w:val="0"/>
              <w:marRight w:val="0"/>
              <w:marTop w:val="0"/>
              <w:marBottom w:val="0"/>
              <w:divBdr>
                <w:top w:val="none" w:sz="0" w:space="0" w:color="auto"/>
                <w:left w:val="none" w:sz="0" w:space="0" w:color="auto"/>
                <w:bottom w:val="none" w:sz="0" w:space="0" w:color="auto"/>
                <w:right w:val="none" w:sz="0" w:space="0" w:color="auto"/>
              </w:divBdr>
            </w:div>
            <w:div w:id="1396659276">
              <w:marLeft w:val="0"/>
              <w:marRight w:val="0"/>
              <w:marTop w:val="0"/>
              <w:marBottom w:val="0"/>
              <w:divBdr>
                <w:top w:val="none" w:sz="0" w:space="0" w:color="auto"/>
                <w:left w:val="none" w:sz="0" w:space="0" w:color="auto"/>
                <w:bottom w:val="none" w:sz="0" w:space="0" w:color="auto"/>
                <w:right w:val="none" w:sz="0" w:space="0" w:color="auto"/>
              </w:divBdr>
            </w:div>
            <w:div w:id="1428844187">
              <w:marLeft w:val="0"/>
              <w:marRight w:val="0"/>
              <w:marTop w:val="0"/>
              <w:marBottom w:val="0"/>
              <w:divBdr>
                <w:top w:val="none" w:sz="0" w:space="0" w:color="auto"/>
                <w:left w:val="none" w:sz="0" w:space="0" w:color="auto"/>
                <w:bottom w:val="none" w:sz="0" w:space="0" w:color="auto"/>
                <w:right w:val="none" w:sz="0" w:space="0" w:color="auto"/>
              </w:divBdr>
            </w:div>
            <w:div w:id="1529416713">
              <w:marLeft w:val="0"/>
              <w:marRight w:val="0"/>
              <w:marTop w:val="0"/>
              <w:marBottom w:val="0"/>
              <w:divBdr>
                <w:top w:val="none" w:sz="0" w:space="0" w:color="auto"/>
                <w:left w:val="none" w:sz="0" w:space="0" w:color="auto"/>
                <w:bottom w:val="none" w:sz="0" w:space="0" w:color="auto"/>
                <w:right w:val="none" w:sz="0" w:space="0" w:color="auto"/>
              </w:divBdr>
            </w:div>
            <w:div w:id="1563054518">
              <w:marLeft w:val="0"/>
              <w:marRight w:val="0"/>
              <w:marTop w:val="0"/>
              <w:marBottom w:val="0"/>
              <w:divBdr>
                <w:top w:val="none" w:sz="0" w:space="0" w:color="auto"/>
                <w:left w:val="none" w:sz="0" w:space="0" w:color="auto"/>
                <w:bottom w:val="none" w:sz="0" w:space="0" w:color="auto"/>
                <w:right w:val="none" w:sz="0" w:space="0" w:color="auto"/>
              </w:divBdr>
            </w:div>
            <w:div w:id="1636376356">
              <w:marLeft w:val="0"/>
              <w:marRight w:val="0"/>
              <w:marTop w:val="0"/>
              <w:marBottom w:val="0"/>
              <w:divBdr>
                <w:top w:val="none" w:sz="0" w:space="0" w:color="auto"/>
                <w:left w:val="none" w:sz="0" w:space="0" w:color="auto"/>
                <w:bottom w:val="none" w:sz="0" w:space="0" w:color="auto"/>
                <w:right w:val="none" w:sz="0" w:space="0" w:color="auto"/>
              </w:divBdr>
            </w:div>
            <w:div w:id="1677994422">
              <w:marLeft w:val="0"/>
              <w:marRight w:val="0"/>
              <w:marTop w:val="0"/>
              <w:marBottom w:val="0"/>
              <w:divBdr>
                <w:top w:val="none" w:sz="0" w:space="0" w:color="auto"/>
                <w:left w:val="none" w:sz="0" w:space="0" w:color="auto"/>
                <w:bottom w:val="none" w:sz="0" w:space="0" w:color="auto"/>
                <w:right w:val="none" w:sz="0" w:space="0" w:color="auto"/>
              </w:divBdr>
            </w:div>
            <w:div w:id="1953901391">
              <w:marLeft w:val="0"/>
              <w:marRight w:val="0"/>
              <w:marTop w:val="0"/>
              <w:marBottom w:val="0"/>
              <w:divBdr>
                <w:top w:val="none" w:sz="0" w:space="0" w:color="auto"/>
                <w:left w:val="none" w:sz="0" w:space="0" w:color="auto"/>
                <w:bottom w:val="none" w:sz="0" w:space="0" w:color="auto"/>
                <w:right w:val="none" w:sz="0" w:space="0" w:color="auto"/>
              </w:divBdr>
            </w:div>
            <w:div w:id="1981424977">
              <w:marLeft w:val="0"/>
              <w:marRight w:val="0"/>
              <w:marTop w:val="0"/>
              <w:marBottom w:val="0"/>
              <w:divBdr>
                <w:top w:val="none" w:sz="0" w:space="0" w:color="auto"/>
                <w:left w:val="none" w:sz="0" w:space="0" w:color="auto"/>
                <w:bottom w:val="none" w:sz="0" w:space="0" w:color="auto"/>
                <w:right w:val="none" w:sz="0" w:space="0" w:color="auto"/>
              </w:divBdr>
            </w:div>
            <w:div w:id="2087878083">
              <w:marLeft w:val="0"/>
              <w:marRight w:val="0"/>
              <w:marTop w:val="0"/>
              <w:marBottom w:val="0"/>
              <w:divBdr>
                <w:top w:val="none" w:sz="0" w:space="0" w:color="auto"/>
                <w:left w:val="none" w:sz="0" w:space="0" w:color="auto"/>
                <w:bottom w:val="none" w:sz="0" w:space="0" w:color="auto"/>
                <w:right w:val="none" w:sz="0" w:space="0" w:color="auto"/>
              </w:divBdr>
            </w:div>
          </w:divsChild>
        </w:div>
        <w:div w:id="2028676076">
          <w:marLeft w:val="0"/>
          <w:marRight w:val="0"/>
          <w:marTop w:val="0"/>
          <w:marBottom w:val="0"/>
          <w:divBdr>
            <w:top w:val="none" w:sz="0" w:space="0" w:color="auto"/>
            <w:left w:val="none" w:sz="0" w:space="0" w:color="auto"/>
            <w:bottom w:val="none" w:sz="0" w:space="0" w:color="auto"/>
            <w:right w:val="none" w:sz="0" w:space="0" w:color="auto"/>
          </w:divBdr>
        </w:div>
        <w:div w:id="2039742984">
          <w:marLeft w:val="0"/>
          <w:marRight w:val="0"/>
          <w:marTop w:val="0"/>
          <w:marBottom w:val="0"/>
          <w:divBdr>
            <w:top w:val="none" w:sz="0" w:space="0" w:color="auto"/>
            <w:left w:val="none" w:sz="0" w:space="0" w:color="auto"/>
            <w:bottom w:val="none" w:sz="0" w:space="0" w:color="auto"/>
            <w:right w:val="none" w:sz="0" w:space="0" w:color="auto"/>
          </w:divBdr>
        </w:div>
        <w:div w:id="2058580839">
          <w:marLeft w:val="0"/>
          <w:marRight w:val="0"/>
          <w:marTop w:val="0"/>
          <w:marBottom w:val="0"/>
          <w:divBdr>
            <w:top w:val="none" w:sz="0" w:space="0" w:color="auto"/>
            <w:left w:val="none" w:sz="0" w:space="0" w:color="auto"/>
            <w:bottom w:val="none" w:sz="0" w:space="0" w:color="auto"/>
            <w:right w:val="none" w:sz="0" w:space="0" w:color="auto"/>
          </w:divBdr>
        </w:div>
        <w:div w:id="2095278950">
          <w:marLeft w:val="0"/>
          <w:marRight w:val="0"/>
          <w:marTop w:val="0"/>
          <w:marBottom w:val="0"/>
          <w:divBdr>
            <w:top w:val="none" w:sz="0" w:space="0" w:color="auto"/>
            <w:left w:val="none" w:sz="0" w:space="0" w:color="auto"/>
            <w:bottom w:val="none" w:sz="0" w:space="0" w:color="auto"/>
            <w:right w:val="none" w:sz="0" w:space="0" w:color="auto"/>
          </w:divBdr>
        </w:div>
        <w:div w:id="2110275503">
          <w:marLeft w:val="0"/>
          <w:marRight w:val="0"/>
          <w:marTop w:val="0"/>
          <w:marBottom w:val="0"/>
          <w:divBdr>
            <w:top w:val="none" w:sz="0" w:space="0" w:color="auto"/>
            <w:left w:val="none" w:sz="0" w:space="0" w:color="auto"/>
            <w:bottom w:val="none" w:sz="0" w:space="0" w:color="auto"/>
            <w:right w:val="none" w:sz="0" w:space="0" w:color="auto"/>
          </w:divBdr>
          <w:divsChild>
            <w:div w:id="40710847">
              <w:marLeft w:val="0"/>
              <w:marRight w:val="0"/>
              <w:marTop w:val="0"/>
              <w:marBottom w:val="0"/>
              <w:divBdr>
                <w:top w:val="none" w:sz="0" w:space="0" w:color="auto"/>
                <w:left w:val="none" w:sz="0" w:space="0" w:color="auto"/>
                <w:bottom w:val="none" w:sz="0" w:space="0" w:color="auto"/>
                <w:right w:val="none" w:sz="0" w:space="0" w:color="auto"/>
              </w:divBdr>
            </w:div>
            <w:div w:id="88429560">
              <w:marLeft w:val="0"/>
              <w:marRight w:val="0"/>
              <w:marTop w:val="0"/>
              <w:marBottom w:val="0"/>
              <w:divBdr>
                <w:top w:val="none" w:sz="0" w:space="0" w:color="auto"/>
                <w:left w:val="none" w:sz="0" w:space="0" w:color="auto"/>
                <w:bottom w:val="none" w:sz="0" w:space="0" w:color="auto"/>
                <w:right w:val="none" w:sz="0" w:space="0" w:color="auto"/>
              </w:divBdr>
            </w:div>
            <w:div w:id="93526265">
              <w:marLeft w:val="0"/>
              <w:marRight w:val="0"/>
              <w:marTop w:val="0"/>
              <w:marBottom w:val="0"/>
              <w:divBdr>
                <w:top w:val="none" w:sz="0" w:space="0" w:color="auto"/>
                <w:left w:val="none" w:sz="0" w:space="0" w:color="auto"/>
                <w:bottom w:val="none" w:sz="0" w:space="0" w:color="auto"/>
                <w:right w:val="none" w:sz="0" w:space="0" w:color="auto"/>
              </w:divBdr>
            </w:div>
            <w:div w:id="115487808">
              <w:marLeft w:val="0"/>
              <w:marRight w:val="0"/>
              <w:marTop w:val="0"/>
              <w:marBottom w:val="0"/>
              <w:divBdr>
                <w:top w:val="none" w:sz="0" w:space="0" w:color="auto"/>
                <w:left w:val="none" w:sz="0" w:space="0" w:color="auto"/>
                <w:bottom w:val="none" w:sz="0" w:space="0" w:color="auto"/>
                <w:right w:val="none" w:sz="0" w:space="0" w:color="auto"/>
              </w:divBdr>
            </w:div>
            <w:div w:id="206188529">
              <w:marLeft w:val="0"/>
              <w:marRight w:val="0"/>
              <w:marTop w:val="0"/>
              <w:marBottom w:val="0"/>
              <w:divBdr>
                <w:top w:val="none" w:sz="0" w:space="0" w:color="auto"/>
                <w:left w:val="none" w:sz="0" w:space="0" w:color="auto"/>
                <w:bottom w:val="none" w:sz="0" w:space="0" w:color="auto"/>
                <w:right w:val="none" w:sz="0" w:space="0" w:color="auto"/>
              </w:divBdr>
            </w:div>
            <w:div w:id="348219979">
              <w:marLeft w:val="0"/>
              <w:marRight w:val="0"/>
              <w:marTop w:val="0"/>
              <w:marBottom w:val="0"/>
              <w:divBdr>
                <w:top w:val="none" w:sz="0" w:space="0" w:color="auto"/>
                <w:left w:val="none" w:sz="0" w:space="0" w:color="auto"/>
                <w:bottom w:val="none" w:sz="0" w:space="0" w:color="auto"/>
                <w:right w:val="none" w:sz="0" w:space="0" w:color="auto"/>
              </w:divBdr>
            </w:div>
            <w:div w:id="359353408">
              <w:marLeft w:val="0"/>
              <w:marRight w:val="0"/>
              <w:marTop w:val="0"/>
              <w:marBottom w:val="0"/>
              <w:divBdr>
                <w:top w:val="none" w:sz="0" w:space="0" w:color="auto"/>
                <w:left w:val="none" w:sz="0" w:space="0" w:color="auto"/>
                <w:bottom w:val="none" w:sz="0" w:space="0" w:color="auto"/>
                <w:right w:val="none" w:sz="0" w:space="0" w:color="auto"/>
              </w:divBdr>
            </w:div>
            <w:div w:id="812529552">
              <w:marLeft w:val="0"/>
              <w:marRight w:val="0"/>
              <w:marTop w:val="0"/>
              <w:marBottom w:val="0"/>
              <w:divBdr>
                <w:top w:val="none" w:sz="0" w:space="0" w:color="auto"/>
                <w:left w:val="none" w:sz="0" w:space="0" w:color="auto"/>
                <w:bottom w:val="none" w:sz="0" w:space="0" w:color="auto"/>
                <w:right w:val="none" w:sz="0" w:space="0" w:color="auto"/>
              </w:divBdr>
            </w:div>
            <w:div w:id="934095102">
              <w:marLeft w:val="0"/>
              <w:marRight w:val="0"/>
              <w:marTop w:val="0"/>
              <w:marBottom w:val="0"/>
              <w:divBdr>
                <w:top w:val="none" w:sz="0" w:space="0" w:color="auto"/>
                <w:left w:val="none" w:sz="0" w:space="0" w:color="auto"/>
                <w:bottom w:val="none" w:sz="0" w:space="0" w:color="auto"/>
                <w:right w:val="none" w:sz="0" w:space="0" w:color="auto"/>
              </w:divBdr>
            </w:div>
            <w:div w:id="975060860">
              <w:marLeft w:val="0"/>
              <w:marRight w:val="0"/>
              <w:marTop w:val="0"/>
              <w:marBottom w:val="0"/>
              <w:divBdr>
                <w:top w:val="none" w:sz="0" w:space="0" w:color="auto"/>
                <w:left w:val="none" w:sz="0" w:space="0" w:color="auto"/>
                <w:bottom w:val="none" w:sz="0" w:space="0" w:color="auto"/>
                <w:right w:val="none" w:sz="0" w:space="0" w:color="auto"/>
              </w:divBdr>
            </w:div>
            <w:div w:id="1274433495">
              <w:marLeft w:val="0"/>
              <w:marRight w:val="0"/>
              <w:marTop w:val="0"/>
              <w:marBottom w:val="0"/>
              <w:divBdr>
                <w:top w:val="none" w:sz="0" w:space="0" w:color="auto"/>
                <w:left w:val="none" w:sz="0" w:space="0" w:color="auto"/>
                <w:bottom w:val="none" w:sz="0" w:space="0" w:color="auto"/>
                <w:right w:val="none" w:sz="0" w:space="0" w:color="auto"/>
              </w:divBdr>
            </w:div>
            <w:div w:id="1553034503">
              <w:marLeft w:val="0"/>
              <w:marRight w:val="0"/>
              <w:marTop w:val="0"/>
              <w:marBottom w:val="0"/>
              <w:divBdr>
                <w:top w:val="none" w:sz="0" w:space="0" w:color="auto"/>
                <w:left w:val="none" w:sz="0" w:space="0" w:color="auto"/>
                <w:bottom w:val="none" w:sz="0" w:space="0" w:color="auto"/>
                <w:right w:val="none" w:sz="0" w:space="0" w:color="auto"/>
              </w:divBdr>
            </w:div>
            <w:div w:id="1640498736">
              <w:marLeft w:val="0"/>
              <w:marRight w:val="0"/>
              <w:marTop w:val="0"/>
              <w:marBottom w:val="0"/>
              <w:divBdr>
                <w:top w:val="none" w:sz="0" w:space="0" w:color="auto"/>
                <w:left w:val="none" w:sz="0" w:space="0" w:color="auto"/>
                <w:bottom w:val="none" w:sz="0" w:space="0" w:color="auto"/>
                <w:right w:val="none" w:sz="0" w:space="0" w:color="auto"/>
              </w:divBdr>
            </w:div>
            <w:div w:id="1680502691">
              <w:marLeft w:val="0"/>
              <w:marRight w:val="0"/>
              <w:marTop w:val="0"/>
              <w:marBottom w:val="0"/>
              <w:divBdr>
                <w:top w:val="none" w:sz="0" w:space="0" w:color="auto"/>
                <w:left w:val="none" w:sz="0" w:space="0" w:color="auto"/>
                <w:bottom w:val="none" w:sz="0" w:space="0" w:color="auto"/>
                <w:right w:val="none" w:sz="0" w:space="0" w:color="auto"/>
              </w:divBdr>
            </w:div>
            <w:div w:id="1685590255">
              <w:marLeft w:val="0"/>
              <w:marRight w:val="0"/>
              <w:marTop w:val="0"/>
              <w:marBottom w:val="0"/>
              <w:divBdr>
                <w:top w:val="none" w:sz="0" w:space="0" w:color="auto"/>
                <w:left w:val="none" w:sz="0" w:space="0" w:color="auto"/>
                <w:bottom w:val="none" w:sz="0" w:space="0" w:color="auto"/>
                <w:right w:val="none" w:sz="0" w:space="0" w:color="auto"/>
              </w:divBdr>
            </w:div>
            <w:div w:id="1837040278">
              <w:marLeft w:val="0"/>
              <w:marRight w:val="0"/>
              <w:marTop w:val="0"/>
              <w:marBottom w:val="0"/>
              <w:divBdr>
                <w:top w:val="none" w:sz="0" w:space="0" w:color="auto"/>
                <w:left w:val="none" w:sz="0" w:space="0" w:color="auto"/>
                <w:bottom w:val="none" w:sz="0" w:space="0" w:color="auto"/>
                <w:right w:val="none" w:sz="0" w:space="0" w:color="auto"/>
              </w:divBdr>
            </w:div>
            <w:div w:id="1860391118">
              <w:marLeft w:val="0"/>
              <w:marRight w:val="0"/>
              <w:marTop w:val="0"/>
              <w:marBottom w:val="0"/>
              <w:divBdr>
                <w:top w:val="none" w:sz="0" w:space="0" w:color="auto"/>
                <w:left w:val="none" w:sz="0" w:space="0" w:color="auto"/>
                <w:bottom w:val="none" w:sz="0" w:space="0" w:color="auto"/>
                <w:right w:val="none" w:sz="0" w:space="0" w:color="auto"/>
              </w:divBdr>
            </w:div>
            <w:div w:id="2010399195">
              <w:marLeft w:val="0"/>
              <w:marRight w:val="0"/>
              <w:marTop w:val="0"/>
              <w:marBottom w:val="0"/>
              <w:divBdr>
                <w:top w:val="none" w:sz="0" w:space="0" w:color="auto"/>
                <w:left w:val="none" w:sz="0" w:space="0" w:color="auto"/>
                <w:bottom w:val="none" w:sz="0" w:space="0" w:color="auto"/>
                <w:right w:val="none" w:sz="0" w:space="0" w:color="auto"/>
              </w:divBdr>
            </w:div>
            <w:div w:id="2031057421">
              <w:marLeft w:val="0"/>
              <w:marRight w:val="0"/>
              <w:marTop w:val="0"/>
              <w:marBottom w:val="0"/>
              <w:divBdr>
                <w:top w:val="none" w:sz="0" w:space="0" w:color="auto"/>
                <w:left w:val="none" w:sz="0" w:space="0" w:color="auto"/>
                <w:bottom w:val="none" w:sz="0" w:space="0" w:color="auto"/>
                <w:right w:val="none" w:sz="0" w:space="0" w:color="auto"/>
              </w:divBdr>
            </w:div>
            <w:div w:id="2132898122">
              <w:marLeft w:val="0"/>
              <w:marRight w:val="0"/>
              <w:marTop w:val="0"/>
              <w:marBottom w:val="0"/>
              <w:divBdr>
                <w:top w:val="none" w:sz="0" w:space="0" w:color="auto"/>
                <w:left w:val="none" w:sz="0" w:space="0" w:color="auto"/>
                <w:bottom w:val="none" w:sz="0" w:space="0" w:color="auto"/>
                <w:right w:val="none" w:sz="0" w:space="0" w:color="auto"/>
              </w:divBdr>
            </w:div>
          </w:divsChild>
        </w:div>
        <w:div w:id="2118016010">
          <w:marLeft w:val="0"/>
          <w:marRight w:val="0"/>
          <w:marTop w:val="0"/>
          <w:marBottom w:val="0"/>
          <w:divBdr>
            <w:top w:val="none" w:sz="0" w:space="0" w:color="auto"/>
            <w:left w:val="none" w:sz="0" w:space="0" w:color="auto"/>
            <w:bottom w:val="none" w:sz="0" w:space="0" w:color="auto"/>
            <w:right w:val="none" w:sz="0" w:space="0" w:color="auto"/>
          </w:divBdr>
        </w:div>
        <w:div w:id="2123570671">
          <w:marLeft w:val="0"/>
          <w:marRight w:val="0"/>
          <w:marTop w:val="0"/>
          <w:marBottom w:val="0"/>
          <w:divBdr>
            <w:top w:val="none" w:sz="0" w:space="0" w:color="auto"/>
            <w:left w:val="none" w:sz="0" w:space="0" w:color="auto"/>
            <w:bottom w:val="none" w:sz="0" w:space="0" w:color="auto"/>
            <w:right w:val="none" w:sz="0" w:space="0" w:color="auto"/>
          </w:divBdr>
        </w:div>
        <w:div w:id="2124568818">
          <w:marLeft w:val="0"/>
          <w:marRight w:val="0"/>
          <w:marTop w:val="0"/>
          <w:marBottom w:val="0"/>
          <w:divBdr>
            <w:top w:val="none" w:sz="0" w:space="0" w:color="auto"/>
            <w:left w:val="none" w:sz="0" w:space="0" w:color="auto"/>
            <w:bottom w:val="none" w:sz="0" w:space="0" w:color="auto"/>
            <w:right w:val="none" w:sz="0" w:space="0" w:color="auto"/>
          </w:divBdr>
        </w:div>
        <w:div w:id="2136024563">
          <w:marLeft w:val="0"/>
          <w:marRight w:val="0"/>
          <w:marTop w:val="0"/>
          <w:marBottom w:val="0"/>
          <w:divBdr>
            <w:top w:val="none" w:sz="0" w:space="0" w:color="auto"/>
            <w:left w:val="none" w:sz="0" w:space="0" w:color="auto"/>
            <w:bottom w:val="none" w:sz="0" w:space="0" w:color="auto"/>
            <w:right w:val="none" w:sz="0" w:space="0" w:color="auto"/>
          </w:divBdr>
          <w:divsChild>
            <w:div w:id="171267952">
              <w:marLeft w:val="0"/>
              <w:marRight w:val="0"/>
              <w:marTop w:val="0"/>
              <w:marBottom w:val="0"/>
              <w:divBdr>
                <w:top w:val="none" w:sz="0" w:space="0" w:color="auto"/>
                <w:left w:val="none" w:sz="0" w:space="0" w:color="auto"/>
                <w:bottom w:val="none" w:sz="0" w:space="0" w:color="auto"/>
                <w:right w:val="none" w:sz="0" w:space="0" w:color="auto"/>
              </w:divBdr>
            </w:div>
            <w:div w:id="315569887">
              <w:marLeft w:val="0"/>
              <w:marRight w:val="0"/>
              <w:marTop w:val="0"/>
              <w:marBottom w:val="0"/>
              <w:divBdr>
                <w:top w:val="none" w:sz="0" w:space="0" w:color="auto"/>
                <w:left w:val="none" w:sz="0" w:space="0" w:color="auto"/>
                <w:bottom w:val="none" w:sz="0" w:space="0" w:color="auto"/>
                <w:right w:val="none" w:sz="0" w:space="0" w:color="auto"/>
              </w:divBdr>
            </w:div>
            <w:div w:id="339549063">
              <w:marLeft w:val="0"/>
              <w:marRight w:val="0"/>
              <w:marTop w:val="0"/>
              <w:marBottom w:val="0"/>
              <w:divBdr>
                <w:top w:val="none" w:sz="0" w:space="0" w:color="auto"/>
                <w:left w:val="none" w:sz="0" w:space="0" w:color="auto"/>
                <w:bottom w:val="none" w:sz="0" w:space="0" w:color="auto"/>
                <w:right w:val="none" w:sz="0" w:space="0" w:color="auto"/>
              </w:divBdr>
            </w:div>
            <w:div w:id="606158502">
              <w:marLeft w:val="0"/>
              <w:marRight w:val="0"/>
              <w:marTop w:val="0"/>
              <w:marBottom w:val="0"/>
              <w:divBdr>
                <w:top w:val="none" w:sz="0" w:space="0" w:color="auto"/>
                <w:left w:val="none" w:sz="0" w:space="0" w:color="auto"/>
                <w:bottom w:val="none" w:sz="0" w:space="0" w:color="auto"/>
                <w:right w:val="none" w:sz="0" w:space="0" w:color="auto"/>
              </w:divBdr>
            </w:div>
            <w:div w:id="747580916">
              <w:marLeft w:val="0"/>
              <w:marRight w:val="0"/>
              <w:marTop w:val="0"/>
              <w:marBottom w:val="0"/>
              <w:divBdr>
                <w:top w:val="none" w:sz="0" w:space="0" w:color="auto"/>
                <w:left w:val="none" w:sz="0" w:space="0" w:color="auto"/>
                <w:bottom w:val="none" w:sz="0" w:space="0" w:color="auto"/>
                <w:right w:val="none" w:sz="0" w:space="0" w:color="auto"/>
              </w:divBdr>
            </w:div>
            <w:div w:id="849174412">
              <w:marLeft w:val="0"/>
              <w:marRight w:val="0"/>
              <w:marTop w:val="0"/>
              <w:marBottom w:val="0"/>
              <w:divBdr>
                <w:top w:val="none" w:sz="0" w:space="0" w:color="auto"/>
                <w:left w:val="none" w:sz="0" w:space="0" w:color="auto"/>
                <w:bottom w:val="none" w:sz="0" w:space="0" w:color="auto"/>
                <w:right w:val="none" w:sz="0" w:space="0" w:color="auto"/>
              </w:divBdr>
            </w:div>
            <w:div w:id="1077823954">
              <w:marLeft w:val="0"/>
              <w:marRight w:val="0"/>
              <w:marTop w:val="0"/>
              <w:marBottom w:val="0"/>
              <w:divBdr>
                <w:top w:val="none" w:sz="0" w:space="0" w:color="auto"/>
                <w:left w:val="none" w:sz="0" w:space="0" w:color="auto"/>
                <w:bottom w:val="none" w:sz="0" w:space="0" w:color="auto"/>
                <w:right w:val="none" w:sz="0" w:space="0" w:color="auto"/>
              </w:divBdr>
            </w:div>
            <w:div w:id="1248347188">
              <w:marLeft w:val="0"/>
              <w:marRight w:val="0"/>
              <w:marTop w:val="0"/>
              <w:marBottom w:val="0"/>
              <w:divBdr>
                <w:top w:val="none" w:sz="0" w:space="0" w:color="auto"/>
                <w:left w:val="none" w:sz="0" w:space="0" w:color="auto"/>
                <w:bottom w:val="none" w:sz="0" w:space="0" w:color="auto"/>
                <w:right w:val="none" w:sz="0" w:space="0" w:color="auto"/>
              </w:divBdr>
            </w:div>
            <w:div w:id="1334797418">
              <w:marLeft w:val="0"/>
              <w:marRight w:val="0"/>
              <w:marTop w:val="0"/>
              <w:marBottom w:val="0"/>
              <w:divBdr>
                <w:top w:val="none" w:sz="0" w:space="0" w:color="auto"/>
                <w:left w:val="none" w:sz="0" w:space="0" w:color="auto"/>
                <w:bottom w:val="none" w:sz="0" w:space="0" w:color="auto"/>
                <w:right w:val="none" w:sz="0" w:space="0" w:color="auto"/>
              </w:divBdr>
            </w:div>
            <w:div w:id="1359240465">
              <w:marLeft w:val="0"/>
              <w:marRight w:val="0"/>
              <w:marTop w:val="0"/>
              <w:marBottom w:val="0"/>
              <w:divBdr>
                <w:top w:val="none" w:sz="0" w:space="0" w:color="auto"/>
                <w:left w:val="none" w:sz="0" w:space="0" w:color="auto"/>
                <w:bottom w:val="none" w:sz="0" w:space="0" w:color="auto"/>
                <w:right w:val="none" w:sz="0" w:space="0" w:color="auto"/>
              </w:divBdr>
            </w:div>
            <w:div w:id="1368022976">
              <w:marLeft w:val="0"/>
              <w:marRight w:val="0"/>
              <w:marTop w:val="0"/>
              <w:marBottom w:val="0"/>
              <w:divBdr>
                <w:top w:val="none" w:sz="0" w:space="0" w:color="auto"/>
                <w:left w:val="none" w:sz="0" w:space="0" w:color="auto"/>
                <w:bottom w:val="none" w:sz="0" w:space="0" w:color="auto"/>
                <w:right w:val="none" w:sz="0" w:space="0" w:color="auto"/>
              </w:divBdr>
            </w:div>
            <w:div w:id="1451900828">
              <w:marLeft w:val="0"/>
              <w:marRight w:val="0"/>
              <w:marTop w:val="0"/>
              <w:marBottom w:val="0"/>
              <w:divBdr>
                <w:top w:val="none" w:sz="0" w:space="0" w:color="auto"/>
                <w:left w:val="none" w:sz="0" w:space="0" w:color="auto"/>
                <w:bottom w:val="none" w:sz="0" w:space="0" w:color="auto"/>
                <w:right w:val="none" w:sz="0" w:space="0" w:color="auto"/>
              </w:divBdr>
            </w:div>
            <w:div w:id="1603756784">
              <w:marLeft w:val="0"/>
              <w:marRight w:val="0"/>
              <w:marTop w:val="0"/>
              <w:marBottom w:val="0"/>
              <w:divBdr>
                <w:top w:val="none" w:sz="0" w:space="0" w:color="auto"/>
                <w:left w:val="none" w:sz="0" w:space="0" w:color="auto"/>
                <w:bottom w:val="none" w:sz="0" w:space="0" w:color="auto"/>
                <w:right w:val="none" w:sz="0" w:space="0" w:color="auto"/>
              </w:divBdr>
            </w:div>
            <w:div w:id="1685784208">
              <w:marLeft w:val="0"/>
              <w:marRight w:val="0"/>
              <w:marTop w:val="0"/>
              <w:marBottom w:val="0"/>
              <w:divBdr>
                <w:top w:val="none" w:sz="0" w:space="0" w:color="auto"/>
                <w:left w:val="none" w:sz="0" w:space="0" w:color="auto"/>
                <w:bottom w:val="none" w:sz="0" w:space="0" w:color="auto"/>
                <w:right w:val="none" w:sz="0" w:space="0" w:color="auto"/>
              </w:divBdr>
            </w:div>
            <w:div w:id="1739741867">
              <w:marLeft w:val="0"/>
              <w:marRight w:val="0"/>
              <w:marTop w:val="0"/>
              <w:marBottom w:val="0"/>
              <w:divBdr>
                <w:top w:val="none" w:sz="0" w:space="0" w:color="auto"/>
                <w:left w:val="none" w:sz="0" w:space="0" w:color="auto"/>
                <w:bottom w:val="none" w:sz="0" w:space="0" w:color="auto"/>
                <w:right w:val="none" w:sz="0" w:space="0" w:color="auto"/>
              </w:divBdr>
            </w:div>
            <w:div w:id="1955018299">
              <w:marLeft w:val="0"/>
              <w:marRight w:val="0"/>
              <w:marTop w:val="0"/>
              <w:marBottom w:val="0"/>
              <w:divBdr>
                <w:top w:val="none" w:sz="0" w:space="0" w:color="auto"/>
                <w:left w:val="none" w:sz="0" w:space="0" w:color="auto"/>
                <w:bottom w:val="none" w:sz="0" w:space="0" w:color="auto"/>
                <w:right w:val="none" w:sz="0" w:space="0" w:color="auto"/>
              </w:divBdr>
            </w:div>
            <w:div w:id="1982222364">
              <w:marLeft w:val="0"/>
              <w:marRight w:val="0"/>
              <w:marTop w:val="0"/>
              <w:marBottom w:val="0"/>
              <w:divBdr>
                <w:top w:val="none" w:sz="0" w:space="0" w:color="auto"/>
                <w:left w:val="none" w:sz="0" w:space="0" w:color="auto"/>
                <w:bottom w:val="none" w:sz="0" w:space="0" w:color="auto"/>
                <w:right w:val="none" w:sz="0" w:space="0" w:color="auto"/>
              </w:divBdr>
            </w:div>
            <w:div w:id="2065177088">
              <w:marLeft w:val="0"/>
              <w:marRight w:val="0"/>
              <w:marTop w:val="0"/>
              <w:marBottom w:val="0"/>
              <w:divBdr>
                <w:top w:val="none" w:sz="0" w:space="0" w:color="auto"/>
                <w:left w:val="none" w:sz="0" w:space="0" w:color="auto"/>
                <w:bottom w:val="none" w:sz="0" w:space="0" w:color="auto"/>
                <w:right w:val="none" w:sz="0" w:space="0" w:color="auto"/>
              </w:divBdr>
            </w:div>
            <w:div w:id="2077244126">
              <w:marLeft w:val="0"/>
              <w:marRight w:val="0"/>
              <w:marTop w:val="0"/>
              <w:marBottom w:val="0"/>
              <w:divBdr>
                <w:top w:val="none" w:sz="0" w:space="0" w:color="auto"/>
                <w:left w:val="none" w:sz="0" w:space="0" w:color="auto"/>
                <w:bottom w:val="none" w:sz="0" w:space="0" w:color="auto"/>
                <w:right w:val="none" w:sz="0" w:space="0" w:color="auto"/>
              </w:divBdr>
            </w:div>
            <w:div w:id="2088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264883">
      <w:bodyDiv w:val="1"/>
      <w:marLeft w:val="0"/>
      <w:marRight w:val="0"/>
      <w:marTop w:val="0"/>
      <w:marBottom w:val="0"/>
      <w:divBdr>
        <w:top w:val="none" w:sz="0" w:space="0" w:color="auto"/>
        <w:left w:val="none" w:sz="0" w:space="0" w:color="auto"/>
        <w:bottom w:val="none" w:sz="0" w:space="0" w:color="auto"/>
        <w:right w:val="none" w:sz="0" w:space="0" w:color="auto"/>
      </w:divBdr>
    </w:div>
    <w:div w:id="1489444751">
      <w:bodyDiv w:val="1"/>
      <w:marLeft w:val="0"/>
      <w:marRight w:val="0"/>
      <w:marTop w:val="0"/>
      <w:marBottom w:val="0"/>
      <w:divBdr>
        <w:top w:val="none" w:sz="0" w:space="0" w:color="auto"/>
        <w:left w:val="none" w:sz="0" w:space="0" w:color="auto"/>
        <w:bottom w:val="none" w:sz="0" w:space="0" w:color="auto"/>
        <w:right w:val="none" w:sz="0" w:space="0" w:color="auto"/>
      </w:divBdr>
    </w:div>
    <w:div w:id="1583877107">
      <w:bodyDiv w:val="1"/>
      <w:marLeft w:val="0"/>
      <w:marRight w:val="0"/>
      <w:marTop w:val="0"/>
      <w:marBottom w:val="0"/>
      <w:divBdr>
        <w:top w:val="none" w:sz="0" w:space="0" w:color="auto"/>
        <w:left w:val="none" w:sz="0" w:space="0" w:color="auto"/>
        <w:bottom w:val="none" w:sz="0" w:space="0" w:color="auto"/>
        <w:right w:val="none" w:sz="0" w:space="0" w:color="auto"/>
      </w:divBdr>
      <w:divsChild>
        <w:div w:id="1206331921">
          <w:marLeft w:val="0"/>
          <w:marRight w:val="0"/>
          <w:marTop w:val="0"/>
          <w:marBottom w:val="0"/>
          <w:divBdr>
            <w:top w:val="none" w:sz="0" w:space="0" w:color="auto"/>
            <w:left w:val="none" w:sz="0" w:space="0" w:color="auto"/>
            <w:bottom w:val="none" w:sz="0" w:space="0" w:color="auto"/>
            <w:right w:val="none" w:sz="0" w:space="0" w:color="auto"/>
          </w:divBdr>
          <w:divsChild>
            <w:div w:id="168436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600144">
      <w:bodyDiv w:val="1"/>
      <w:marLeft w:val="0"/>
      <w:marRight w:val="0"/>
      <w:marTop w:val="0"/>
      <w:marBottom w:val="0"/>
      <w:divBdr>
        <w:top w:val="none" w:sz="0" w:space="0" w:color="auto"/>
        <w:left w:val="none" w:sz="0" w:space="0" w:color="auto"/>
        <w:bottom w:val="none" w:sz="0" w:space="0" w:color="auto"/>
        <w:right w:val="none" w:sz="0" w:space="0" w:color="auto"/>
      </w:divBdr>
    </w:div>
    <w:div w:id="1629167155">
      <w:bodyDiv w:val="1"/>
      <w:marLeft w:val="0"/>
      <w:marRight w:val="0"/>
      <w:marTop w:val="0"/>
      <w:marBottom w:val="0"/>
      <w:divBdr>
        <w:top w:val="none" w:sz="0" w:space="0" w:color="auto"/>
        <w:left w:val="none" w:sz="0" w:space="0" w:color="auto"/>
        <w:bottom w:val="none" w:sz="0" w:space="0" w:color="auto"/>
        <w:right w:val="none" w:sz="0" w:space="0" w:color="auto"/>
      </w:divBdr>
    </w:div>
    <w:div w:id="1713113781">
      <w:bodyDiv w:val="1"/>
      <w:marLeft w:val="0"/>
      <w:marRight w:val="0"/>
      <w:marTop w:val="0"/>
      <w:marBottom w:val="0"/>
      <w:divBdr>
        <w:top w:val="none" w:sz="0" w:space="0" w:color="auto"/>
        <w:left w:val="none" w:sz="0" w:space="0" w:color="auto"/>
        <w:bottom w:val="none" w:sz="0" w:space="0" w:color="auto"/>
        <w:right w:val="none" w:sz="0" w:space="0" w:color="auto"/>
      </w:divBdr>
    </w:div>
    <w:div w:id="1758207336">
      <w:bodyDiv w:val="1"/>
      <w:marLeft w:val="0"/>
      <w:marRight w:val="0"/>
      <w:marTop w:val="0"/>
      <w:marBottom w:val="0"/>
      <w:divBdr>
        <w:top w:val="none" w:sz="0" w:space="0" w:color="auto"/>
        <w:left w:val="none" w:sz="0" w:space="0" w:color="auto"/>
        <w:bottom w:val="none" w:sz="0" w:space="0" w:color="auto"/>
        <w:right w:val="none" w:sz="0" w:space="0" w:color="auto"/>
      </w:divBdr>
    </w:div>
    <w:div w:id="1773743501">
      <w:bodyDiv w:val="1"/>
      <w:marLeft w:val="0"/>
      <w:marRight w:val="0"/>
      <w:marTop w:val="0"/>
      <w:marBottom w:val="0"/>
      <w:divBdr>
        <w:top w:val="none" w:sz="0" w:space="0" w:color="auto"/>
        <w:left w:val="none" w:sz="0" w:space="0" w:color="auto"/>
        <w:bottom w:val="none" w:sz="0" w:space="0" w:color="auto"/>
        <w:right w:val="none" w:sz="0" w:space="0" w:color="auto"/>
      </w:divBdr>
    </w:div>
    <w:div w:id="1794669710">
      <w:bodyDiv w:val="1"/>
      <w:marLeft w:val="0"/>
      <w:marRight w:val="0"/>
      <w:marTop w:val="0"/>
      <w:marBottom w:val="0"/>
      <w:divBdr>
        <w:top w:val="none" w:sz="0" w:space="0" w:color="auto"/>
        <w:left w:val="none" w:sz="0" w:space="0" w:color="auto"/>
        <w:bottom w:val="none" w:sz="0" w:space="0" w:color="auto"/>
        <w:right w:val="none" w:sz="0" w:space="0" w:color="auto"/>
      </w:divBdr>
    </w:div>
    <w:div w:id="1818112127">
      <w:bodyDiv w:val="1"/>
      <w:marLeft w:val="0"/>
      <w:marRight w:val="0"/>
      <w:marTop w:val="0"/>
      <w:marBottom w:val="0"/>
      <w:divBdr>
        <w:top w:val="none" w:sz="0" w:space="0" w:color="auto"/>
        <w:left w:val="none" w:sz="0" w:space="0" w:color="auto"/>
        <w:bottom w:val="none" w:sz="0" w:space="0" w:color="auto"/>
        <w:right w:val="none" w:sz="0" w:space="0" w:color="auto"/>
      </w:divBdr>
    </w:div>
    <w:div w:id="1849521857">
      <w:bodyDiv w:val="1"/>
      <w:marLeft w:val="0"/>
      <w:marRight w:val="0"/>
      <w:marTop w:val="0"/>
      <w:marBottom w:val="0"/>
      <w:divBdr>
        <w:top w:val="none" w:sz="0" w:space="0" w:color="auto"/>
        <w:left w:val="none" w:sz="0" w:space="0" w:color="auto"/>
        <w:bottom w:val="none" w:sz="0" w:space="0" w:color="auto"/>
        <w:right w:val="none" w:sz="0" w:space="0" w:color="auto"/>
      </w:divBdr>
    </w:div>
    <w:div w:id="1850212972">
      <w:bodyDiv w:val="1"/>
      <w:marLeft w:val="0"/>
      <w:marRight w:val="0"/>
      <w:marTop w:val="0"/>
      <w:marBottom w:val="0"/>
      <w:divBdr>
        <w:top w:val="none" w:sz="0" w:space="0" w:color="auto"/>
        <w:left w:val="none" w:sz="0" w:space="0" w:color="auto"/>
        <w:bottom w:val="none" w:sz="0" w:space="0" w:color="auto"/>
        <w:right w:val="none" w:sz="0" w:space="0" w:color="auto"/>
      </w:divBdr>
    </w:div>
    <w:div w:id="1945649383">
      <w:bodyDiv w:val="1"/>
      <w:marLeft w:val="0"/>
      <w:marRight w:val="0"/>
      <w:marTop w:val="0"/>
      <w:marBottom w:val="0"/>
      <w:divBdr>
        <w:top w:val="none" w:sz="0" w:space="0" w:color="auto"/>
        <w:left w:val="none" w:sz="0" w:space="0" w:color="auto"/>
        <w:bottom w:val="none" w:sz="0" w:space="0" w:color="auto"/>
        <w:right w:val="none" w:sz="0" w:space="0" w:color="auto"/>
      </w:divBdr>
    </w:div>
    <w:div w:id="1987124614">
      <w:bodyDiv w:val="1"/>
      <w:marLeft w:val="0"/>
      <w:marRight w:val="0"/>
      <w:marTop w:val="0"/>
      <w:marBottom w:val="0"/>
      <w:divBdr>
        <w:top w:val="none" w:sz="0" w:space="0" w:color="auto"/>
        <w:left w:val="none" w:sz="0" w:space="0" w:color="auto"/>
        <w:bottom w:val="none" w:sz="0" w:space="0" w:color="auto"/>
        <w:right w:val="none" w:sz="0" w:space="0" w:color="auto"/>
      </w:divBdr>
      <w:divsChild>
        <w:div w:id="9916901">
          <w:marLeft w:val="0"/>
          <w:marRight w:val="0"/>
          <w:marTop w:val="0"/>
          <w:marBottom w:val="0"/>
          <w:divBdr>
            <w:top w:val="none" w:sz="0" w:space="0" w:color="auto"/>
            <w:left w:val="none" w:sz="0" w:space="0" w:color="auto"/>
            <w:bottom w:val="none" w:sz="0" w:space="0" w:color="auto"/>
            <w:right w:val="none" w:sz="0" w:space="0" w:color="auto"/>
          </w:divBdr>
          <w:divsChild>
            <w:div w:id="33501826">
              <w:marLeft w:val="0"/>
              <w:marRight w:val="0"/>
              <w:marTop w:val="0"/>
              <w:marBottom w:val="0"/>
              <w:divBdr>
                <w:top w:val="none" w:sz="0" w:space="0" w:color="auto"/>
                <w:left w:val="none" w:sz="0" w:space="0" w:color="auto"/>
                <w:bottom w:val="none" w:sz="0" w:space="0" w:color="auto"/>
                <w:right w:val="none" w:sz="0" w:space="0" w:color="auto"/>
              </w:divBdr>
            </w:div>
            <w:div w:id="68815188">
              <w:marLeft w:val="0"/>
              <w:marRight w:val="0"/>
              <w:marTop w:val="0"/>
              <w:marBottom w:val="0"/>
              <w:divBdr>
                <w:top w:val="none" w:sz="0" w:space="0" w:color="auto"/>
                <w:left w:val="none" w:sz="0" w:space="0" w:color="auto"/>
                <w:bottom w:val="none" w:sz="0" w:space="0" w:color="auto"/>
                <w:right w:val="none" w:sz="0" w:space="0" w:color="auto"/>
              </w:divBdr>
            </w:div>
            <w:div w:id="110437581">
              <w:marLeft w:val="0"/>
              <w:marRight w:val="0"/>
              <w:marTop w:val="0"/>
              <w:marBottom w:val="0"/>
              <w:divBdr>
                <w:top w:val="none" w:sz="0" w:space="0" w:color="auto"/>
                <w:left w:val="none" w:sz="0" w:space="0" w:color="auto"/>
                <w:bottom w:val="none" w:sz="0" w:space="0" w:color="auto"/>
                <w:right w:val="none" w:sz="0" w:space="0" w:color="auto"/>
              </w:divBdr>
            </w:div>
            <w:div w:id="145438894">
              <w:marLeft w:val="0"/>
              <w:marRight w:val="0"/>
              <w:marTop w:val="0"/>
              <w:marBottom w:val="0"/>
              <w:divBdr>
                <w:top w:val="none" w:sz="0" w:space="0" w:color="auto"/>
                <w:left w:val="none" w:sz="0" w:space="0" w:color="auto"/>
                <w:bottom w:val="none" w:sz="0" w:space="0" w:color="auto"/>
                <w:right w:val="none" w:sz="0" w:space="0" w:color="auto"/>
              </w:divBdr>
            </w:div>
            <w:div w:id="208105476">
              <w:marLeft w:val="0"/>
              <w:marRight w:val="0"/>
              <w:marTop w:val="0"/>
              <w:marBottom w:val="0"/>
              <w:divBdr>
                <w:top w:val="none" w:sz="0" w:space="0" w:color="auto"/>
                <w:left w:val="none" w:sz="0" w:space="0" w:color="auto"/>
                <w:bottom w:val="none" w:sz="0" w:space="0" w:color="auto"/>
                <w:right w:val="none" w:sz="0" w:space="0" w:color="auto"/>
              </w:divBdr>
            </w:div>
            <w:div w:id="393629849">
              <w:marLeft w:val="0"/>
              <w:marRight w:val="0"/>
              <w:marTop w:val="0"/>
              <w:marBottom w:val="0"/>
              <w:divBdr>
                <w:top w:val="none" w:sz="0" w:space="0" w:color="auto"/>
                <w:left w:val="none" w:sz="0" w:space="0" w:color="auto"/>
                <w:bottom w:val="none" w:sz="0" w:space="0" w:color="auto"/>
                <w:right w:val="none" w:sz="0" w:space="0" w:color="auto"/>
              </w:divBdr>
            </w:div>
            <w:div w:id="624123723">
              <w:marLeft w:val="0"/>
              <w:marRight w:val="0"/>
              <w:marTop w:val="0"/>
              <w:marBottom w:val="0"/>
              <w:divBdr>
                <w:top w:val="none" w:sz="0" w:space="0" w:color="auto"/>
                <w:left w:val="none" w:sz="0" w:space="0" w:color="auto"/>
                <w:bottom w:val="none" w:sz="0" w:space="0" w:color="auto"/>
                <w:right w:val="none" w:sz="0" w:space="0" w:color="auto"/>
              </w:divBdr>
            </w:div>
            <w:div w:id="864248412">
              <w:marLeft w:val="0"/>
              <w:marRight w:val="0"/>
              <w:marTop w:val="0"/>
              <w:marBottom w:val="0"/>
              <w:divBdr>
                <w:top w:val="none" w:sz="0" w:space="0" w:color="auto"/>
                <w:left w:val="none" w:sz="0" w:space="0" w:color="auto"/>
                <w:bottom w:val="none" w:sz="0" w:space="0" w:color="auto"/>
                <w:right w:val="none" w:sz="0" w:space="0" w:color="auto"/>
              </w:divBdr>
            </w:div>
            <w:div w:id="969945804">
              <w:marLeft w:val="0"/>
              <w:marRight w:val="0"/>
              <w:marTop w:val="0"/>
              <w:marBottom w:val="0"/>
              <w:divBdr>
                <w:top w:val="none" w:sz="0" w:space="0" w:color="auto"/>
                <w:left w:val="none" w:sz="0" w:space="0" w:color="auto"/>
                <w:bottom w:val="none" w:sz="0" w:space="0" w:color="auto"/>
                <w:right w:val="none" w:sz="0" w:space="0" w:color="auto"/>
              </w:divBdr>
            </w:div>
            <w:div w:id="999578564">
              <w:marLeft w:val="0"/>
              <w:marRight w:val="0"/>
              <w:marTop w:val="0"/>
              <w:marBottom w:val="0"/>
              <w:divBdr>
                <w:top w:val="none" w:sz="0" w:space="0" w:color="auto"/>
                <w:left w:val="none" w:sz="0" w:space="0" w:color="auto"/>
                <w:bottom w:val="none" w:sz="0" w:space="0" w:color="auto"/>
                <w:right w:val="none" w:sz="0" w:space="0" w:color="auto"/>
              </w:divBdr>
            </w:div>
            <w:div w:id="1064139292">
              <w:marLeft w:val="0"/>
              <w:marRight w:val="0"/>
              <w:marTop w:val="0"/>
              <w:marBottom w:val="0"/>
              <w:divBdr>
                <w:top w:val="none" w:sz="0" w:space="0" w:color="auto"/>
                <w:left w:val="none" w:sz="0" w:space="0" w:color="auto"/>
                <w:bottom w:val="none" w:sz="0" w:space="0" w:color="auto"/>
                <w:right w:val="none" w:sz="0" w:space="0" w:color="auto"/>
              </w:divBdr>
            </w:div>
            <w:div w:id="1441097535">
              <w:marLeft w:val="0"/>
              <w:marRight w:val="0"/>
              <w:marTop w:val="0"/>
              <w:marBottom w:val="0"/>
              <w:divBdr>
                <w:top w:val="none" w:sz="0" w:space="0" w:color="auto"/>
                <w:left w:val="none" w:sz="0" w:space="0" w:color="auto"/>
                <w:bottom w:val="none" w:sz="0" w:space="0" w:color="auto"/>
                <w:right w:val="none" w:sz="0" w:space="0" w:color="auto"/>
              </w:divBdr>
            </w:div>
            <w:div w:id="1462109238">
              <w:marLeft w:val="0"/>
              <w:marRight w:val="0"/>
              <w:marTop w:val="0"/>
              <w:marBottom w:val="0"/>
              <w:divBdr>
                <w:top w:val="none" w:sz="0" w:space="0" w:color="auto"/>
                <w:left w:val="none" w:sz="0" w:space="0" w:color="auto"/>
                <w:bottom w:val="none" w:sz="0" w:space="0" w:color="auto"/>
                <w:right w:val="none" w:sz="0" w:space="0" w:color="auto"/>
              </w:divBdr>
            </w:div>
            <w:div w:id="1469787787">
              <w:marLeft w:val="0"/>
              <w:marRight w:val="0"/>
              <w:marTop w:val="0"/>
              <w:marBottom w:val="0"/>
              <w:divBdr>
                <w:top w:val="none" w:sz="0" w:space="0" w:color="auto"/>
                <w:left w:val="none" w:sz="0" w:space="0" w:color="auto"/>
                <w:bottom w:val="none" w:sz="0" w:space="0" w:color="auto"/>
                <w:right w:val="none" w:sz="0" w:space="0" w:color="auto"/>
              </w:divBdr>
            </w:div>
            <w:div w:id="1672676819">
              <w:marLeft w:val="0"/>
              <w:marRight w:val="0"/>
              <w:marTop w:val="0"/>
              <w:marBottom w:val="0"/>
              <w:divBdr>
                <w:top w:val="none" w:sz="0" w:space="0" w:color="auto"/>
                <w:left w:val="none" w:sz="0" w:space="0" w:color="auto"/>
                <w:bottom w:val="none" w:sz="0" w:space="0" w:color="auto"/>
                <w:right w:val="none" w:sz="0" w:space="0" w:color="auto"/>
              </w:divBdr>
            </w:div>
            <w:div w:id="1700666540">
              <w:marLeft w:val="0"/>
              <w:marRight w:val="0"/>
              <w:marTop w:val="0"/>
              <w:marBottom w:val="0"/>
              <w:divBdr>
                <w:top w:val="none" w:sz="0" w:space="0" w:color="auto"/>
                <w:left w:val="none" w:sz="0" w:space="0" w:color="auto"/>
                <w:bottom w:val="none" w:sz="0" w:space="0" w:color="auto"/>
                <w:right w:val="none" w:sz="0" w:space="0" w:color="auto"/>
              </w:divBdr>
            </w:div>
            <w:div w:id="1756629786">
              <w:marLeft w:val="0"/>
              <w:marRight w:val="0"/>
              <w:marTop w:val="0"/>
              <w:marBottom w:val="0"/>
              <w:divBdr>
                <w:top w:val="none" w:sz="0" w:space="0" w:color="auto"/>
                <w:left w:val="none" w:sz="0" w:space="0" w:color="auto"/>
                <w:bottom w:val="none" w:sz="0" w:space="0" w:color="auto"/>
                <w:right w:val="none" w:sz="0" w:space="0" w:color="auto"/>
              </w:divBdr>
            </w:div>
            <w:div w:id="2006198511">
              <w:marLeft w:val="0"/>
              <w:marRight w:val="0"/>
              <w:marTop w:val="0"/>
              <w:marBottom w:val="0"/>
              <w:divBdr>
                <w:top w:val="none" w:sz="0" w:space="0" w:color="auto"/>
                <w:left w:val="none" w:sz="0" w:space="0" w:color="auto"/>
                <w:bottom w:val="none" w:sz="0" w:space="0" w:color="auto"/>
                <w:right w:val="none" w:sz="0" w:space="0" w:color="auto"/>
              </w:divBdr>
            </w:div>
            <w:div w:id="2078358192">
              <w:marLeft w:val="0"/>
              <w:marRight w:val="0"/>
              <w:marTop w:val="0"/>
              <w:marBottom w:val="0"/>
              <w:divBdr>
                <w:top w:val="none" w:sz="0" w:space="0" w:color="auto"/>
                <w:left w:val="none" w:sz="0" w:space="0" w:color="auto"/>
                <w:bottom w:val="none" w:sz="0" w:space="0" w:color="auto"/>
                <w:right w:val="none" w:sz="0" w:space="0" w:color="auto"/>
              </w:divBdr>
            </w:div>
            <w:div w:id="2096241014">
              <w:marLeft w:val="0"/>
              <w:marRight w:val="0"/>
              <w:marTop w:val="0"/>
              <w:marBottom w:val="0"/>
              <w:divBdr>
                <w:top w:val="none" w:sz="0" w:space="0" w:color="auto"/>
                <w:left w:val="none" w:sz="0" w:space="0" w:color="auto"/>
                <w:bottom w:val="none" w:sz="0" w:space="0" w:color="auto"/>
                <w:right w:val="none" w:sz="0" w:space="0" w:color="auto"/>
              </w:divBdr>
            </w:div>
          </w:divsChild>
        </w:div>
        <w:div w:id="15430195">
          <w:marLeft w:val="0"/>
          <w:marRight w:val="0"/>
          <w:marTop w:val="0"/>
          <w:marBottom w:val="0"/>
          <w:divBdr>
            <w:top w:val="none" w:sz="0" w:space="0" w:color="auto"/>
            <w:left w:val="none" w:sz="0" w:space="0" w:color="auto"/>
            <w:bottom w:val="none" w:sz="0" w:space="0" w:color="auto"/>
            <w:right w:val="none" w:sz="0" w:space="0" w:color="auto"/>
          </w:divBdr>
        </w:div>
        <w:div w:id="98722945">
          <w:marLeft w:val="0"/>
          <w:marRight w:val="0"/>
          <w:marTop w:val="0"/>
          <w:marBottom w:val="0"/>
          <w:divBdr>
            <w:top w:val="none" w:sz="0" w:space="0" w:color="auto"/>
            <w:left w:val="none" w:sz="0" w:space="0" w:color="auto"/>
            <w:bottom w:val="none" w:sz="0" w:space="0" w:color="auto"/>
            <w:right w:val="none" w:sz="0" w:space="0" w:color="auto"/>
          </w:divBdr>
        </w:div>
        <w:div w:id="130287953">
          <w:marLeft w:val="0"/>
          <w:marRight w:val="0"/>
          <w:marTop w:val="0"/>
          <w:marBottom w:val="0"/>
          <w:divBdr>
            <w:top w:val="none" w:sz="0" w:space="0" w:color="auto"/>
            <w:left w:val="none" w:sz="0" w:space="0" w:color="auto"/>
            <w:bottom w:val="none" w:sz="0" w:space="0" w:color="auto"/>
            <w:right w:val="none" w:sz="0" w:space="0" w:color="auto"/>
          </w:divBdr>
        </w:div>
        <w:div w:id="145897767">
          <w:marLeft w:val="0"/>
          <w:marRight w:val="0"/>
          <w:marTop w:val="0"/>
          <w:marBottom w:val="0"/>
          <w:divBdr>
            <w:top w:val="none" w:sz="0" w:space="0" w:color="auto"/>
            <w:left w:val="none" w:sz="0" w:space="0" w:color="auto"/>
            <w:bottom w:val="none" w:sz="0" w:space="0" w:color="auto"/>
            <w:right w:val="none" w:sz="0" w:space="0" w:color="auto"/>
          </w:divBdr>
        </w:div>
        <w:div w:id="177086746">
          <w:marLeft w:val="0"/>
          <w:marRight w:val="0"/>
          <w:marTop w:val="0"/>
          <w:marBottom w:val="0"/>
          <w:divBdr>
            <w:top w:val="none" w:sz="0" w:space="0" w:color="auto"/>
            <w:left w:val="none" w:sz="0" w:space="0" w:color="auto"/>
            <w:bottom w:val="none" w:sz="0" w:space="0" w:color="auto"/>
            <w:right w:val="none" w:sz="0" w:space="0" w:color="auto"/>
          </w:divBdr>
          <w:divsChild>
            <w:div w:id="138573799">
              <w:marLeft w:val="0"/>
              <w:marRight w:val="0"/>
              <w:marTop w:val="0"/>
              <w:marBottom w:val="0"/>
              <w:divBdr>
                <w:top w:val="none" w:sz="0" w:space="0" w:color="auto"/>
                <w:left w:val="none" w:sz="0" w:space="0" w:color="auto"/>
                <w:bottom w:val="none" w:sz="0" w:space="0" w:color="auto"/>
                <w:right w:val="none" w:sz="0" w:space="0" w:color="auto"/>
              </w:divBdr>
            </w:div>
            <w:div w:id="342899596">
              <w:marLeft w:val="0"/>
              <w:marRight w:val="0"/>
              <w:marTop w:val="0"/>
              <w:marBottom w:val="0"/>
              <w:divBdr>
                <w:top w:val="none" w:sz="0" w:space="0" w:color="auto"/>
                <w:left w:val="none" w:sz="0" w:space="0" w:color="auto"/>
                <w:bottom w:val="none" w:sz="0" w:space="0" w:color="auto"/>
                <w:right w:val="none" w:sz="0" w:space="0" w:color="auto"/>
              </w:divBdr>
            </w:div>
            <w:div w:id="418983382">
              <w:marLeft w:val="0"/>
              <w:marRight w:val="0"/>
              <w:marTop w:val="0"/>
              <w:marBottom w:val="0"/>
              <w:divBdr>
                <w:top w:val="none" w:sz="0" w:space="0" w:color="auto"/>
                <w:left w:val="none" w:sz="0" w:space="0" w:color="auto"/>
                <w:bottom w:val="none" w:sz="0" w:space="0" w:color="auto"/>
                <w:right w:val="none" w:sz="0" w:space="0" w:color="auto"/>
              </w:divBdr>
            </w:div>
            <w:div w:id="466511636">
              <w:marLeft w:val="0"/>
              <w:marRight w:val="0"/>
              <w:marTop w:val="0"/>
              <w:marBottom w:val="0"/>
              <w:divBdr>
                <w:top w:val="none" w:sz="0" w:space="0" w:color="auto"/>
                <w:left w:val="none" w:sz="0" w:space="0" w:color="auto"/>
                <w:bottom w:val="none" w:sz="0" w:space="0" w:color="auto"/>
                <w:right w:val="none" w:sz="0" w:space="0" w:color="auto"/>
              </w:divBdr>
            </w:div>
            <w:div w:id="531385888">
              <w:marLeft w:val="0"/>
              <w:marRight w:val="0"/>
              <w:marTop w:val="0"/>
              <w:marBottom w:val="0"/>
              <w:divBdr>
                <w:top w:val="none" w:sz="0" w:space="0" w:color="auto"/>
                <w:left w:val="none" w:sz="0" w:space="0" w:color="auto"/>
                <w:bottom w:val="none" w:sz="0" w:space="0" w:color="auto"/>
                <w:right w:val="none" w:sz="0" w:space="0" w:color="auto"/>
              </w:divBdr>
            </w:div>
            <w:div w:id="762535164">
              <w:marLeft w:val="0"/>
              <w:marRight w:val="0"/>
              <w:marTop w:val="0"/>
              <w:marBottom w:val="0"/>
              <w:divBdr>
                <w:top w:val="none" w:sz="0" w:space="0" w:color="auto"/>
                <w:left w:val="none" w:sz="0" w:space="0" w:color="auto"/>
                <w:bottom w:val="none" w:sz="0" w:space="0" w:color="auto"/>
                <w:right w:val="none" w:sz="0" w:space="0" w:color="auto"/>
              </w:divBdr>
            </w:div>
            <w:div w:id="806431899">
              <w:marLeft w:val="0"/>
              <w:marRight w:val="0"/>
              <w:marTop w:val="0"/>
              <w:marBottom w:val="0"/>
              <w:divBdr>
                <w:top w:val="none" w:sz="0" w:space="0" w:color="auto"/>
                <w:left w:val="none" w:sz="0" w:space="0" w:color="auto"/>
                <w:bottom w:val="none" w:sz="0" w:space="0" w:color="auto"/>
                <w:right w:val="none" w:sz="0" w:space="0" w:color="auto"/>
              </w:divBdr>
            </w:div>
            <w:div w:id="830369233">
              <w:marLeft w:val="0"/>
              <w:marRight w:val="0"/>
              <w:marTop w:val="0"/>
              <w:marBottom w:val="0"/>
              <w:divBdr>
                <w:top w:val="none" w:sz="0" w:space="0" w:color="auto"/>
                <w:left w:val="none" w:sz="0" w:space="0" w:color="auto"/>
                <w:bottom w:val="none" w:sz="0" w:space="0" w:color="auto"/>
                <w:right w:val="none" w:sz="0" w:space="0" w:color="auto"/>
              </w:divBdr>
            </w:div>
            <w:div w:id="880827728">
              <w:marLeft w:val="0"/>
              <w:marRight w:val="0"/>
              <w:marTop w:val="0"/>
              <w:marBottom w:val="0"/>
              <w:divBdr>
                <w:top w:val="none" w:sz="0" w:space="0" w:color="auto"/>
                <w:left w:val="none" w:sz="0" w:space="0" w:color="auto"/>
                <w:bottom w:val="none" w:sz="0" w:space="0" w:color="auto"/>
                <w:right w:val="none" w:sz="0" w:space="0" w:color="auto"/>
              </w:divBdr>
            </w:div>
            <w:div w:id="958337019">
              <w:marLeft w:val="0"/>
              <w:marRight w:val="0"/>
              <w:marTop w:val="0"/>
              <w:marBottom w:val="0"/>
              <w:divBdr>
                <w:top w:val="none" w:sz="0" w:space="0" w:color="auto"/>
                <w:left w:val="none" w:sz="0" w:space="0" w:color="auto"/>
                <w:bottom w:val="none" w:sz="0" w:space="0" w:color="auto"/>
                <w:right w:val="none" w:sz="0" w:space="0" w:color="auto"/>
              </w:divBdr>
            </w:div>
            <w:div w:id="967127480">
              <w:marLeft w:val="0"/>
              <w:marRight w:val="0"/>
              <w:marTop w:val="0"/>
              <w:marBottom w:val="0"/>
              <w:divBdr>
                <w:top w:val="none" w:sz="0" w:space="0" w:color="auto"/>
                <w:left w:val="none" w:sz="0" w:space="0" w:color="auto"/>
                <w:bottom w:val="none" w:sz="0" w:space="0" w:color="auto"/>
                <w:right w:val="none" w:sz="0" w:space="0" w:color="auto"/>
              </w:divBdr>
            </w:div>
            <w:div w:id="1000700615">
              <w:marLeft w:val="0"/>
              <w:marRight w:val="0"/>
              <w:marTop w:val="0"/>
              <w:marBottom w:val="0"/>
              <w:divBdr>
                <w:top w:val="none" w:sz="0" w:space="0" w:color="auto"/>
                <w:left w:val="none" w:sz="0" w:space="0" w:color="auto"/>
                <w:bottom w:val="none" w:sz="0" w:space="0" w:color="auto"/>
                <w:right w:val="none" w:sz="0" w:space="0" w:color="auto"/>
              </w:divBdr>
            </w:div>
            <w:div w:id="1183858229">
              <w:marLeft w:val="0"/>
              <w:marRight w:val="0"/>
              <w:marTop w:val="0"/>
              <w:marBottom w:val="0"/>
              <w:divBdr>
                <w:top w:val="none" w:sz="0" w:space="0" w:color="auto"/>
                <w:left w:val="none" w:sz="0" w:space="0" w:color="auto"/>
                <w:bottom w:val="none" w:sz="0" w:space="0" w:color="auto"/>
                <w:right w:val="none" w:sz="0" w:space="0" w:color="auto"/>
              </w:divBdr>
            </w:div>
            <w:div w:id="1254241532">
              <w:marLeft w:val="0"/>
              <w:marRight w:val="0"/>
              <w:marTop w:val="0"/>
              <w:marBottom w:val="0"/>
              <w:divBdr>
                <w:top w:val="none" w:sz="0" w:space="0" w:color="auto"/>
                <w:left w:val="none" w:sz="0" w:space="0" w:color="auto"/>
                <w:bottom w:val="none" w:sz="0" w:space="0" w:color="auto"/>
                <w:right w:val="none" w:sz="0" w:space="0" w:color="auto"/>
              </w:divBdr>
            </w:div>
            <w:div w:id="1307660314">
              <w:marLeft w:val="0"/>
              <w:marRight w:val="0"/>
              <w:marTop w:val="0"/>
              <w:marBottom w:val="0"/>
              <w:divBdr>
                <w:top w:val="none" w:sz="0" w:space="0" w:color="auto"/>
                <w:left w:val="none" w:sz="0" w:space="0" w:color="auto"/>
                <w:bottom w:val="none" w:sz="0" w:space="0" w:color="auto"/>
                <w:right w:val="none" w:sz="0" w:space="0" w:color="auto"/>
              </w:divBdr>
            </w:div>
            <w:div w:id="1509058420">
              <w:marLeft w:val="0"/>
              <w:marRight w:val="0"/>
              <w:marTop w:val="0"/>
              <w:marBottom w:val="0"/>
              <w:divBdr>
                <w:top w:val="none" w:sz="0" w:space="0" w:color="auto"/>
                <w:left w:val="none" w:sz="0" w:space="0" w:color="auto"/>
                <w:bottom w:val="none" w:sz="0" w:space="0" w:color="auto"/>
                <w:right w:val="none" w:sz="0" w:space="0" w:color="auto"/>
              </w:divBdr>
            </w:div>
            <w:div w:id="1522087936">
              <w:marLeft w:val="0"/>
              <w:marRight w:val="0"/>
              <w:marTop w:val="0"/>
              <w:marBottom w:val="0"/>
              <w:divBdr>
                <w:top w:val="none" w:sz="0" w:space="0" w:color="auto"/>
                <w:left w:val="none" w:sz="0" w:space="0" w:color="auto"/>
                <w:bottom w:val="none" w:sz="0" w:space="0" w:color="auto"/>
                <w:right w:val="none" w:sz="0" w:space="0" w:color="auto"/>
              </w:divBdr>
            </w:div>
            <w:div w:id="1786190153">
              <w:marLeft w:val="0"/>
              <w:marRight w:val="0"/>
              <w:marTop w:val="0"/>
              <w:marBottom w:val="0"/>
              <w:divBdr>
                <w:top w:val="none" w:sz="0" w:space="0" w:color="auto"/>
                <w:left w:val="none" w:sz="0" w:space="0" w:color="auto"/>
                <w:bottom w:val="none" w:sz="0" w:space="0" w:color="auto"/>
                <w:right w:val="none" w:sz="0" w:space="0" w:color="auto"/>
              </w:divBdr>
            </w:div>
            <w:div w:id="1874683636">
              <w:marLeft w:val="0"/>
              <w:marRight w:val="0"/>
              <w:marTop w:val="0"/>
              <w:marBottom w:val="0"/>
              <w:divBdr>
                <w:top w:val="none" w:sz="0" w:space="0" w:color="auto"/>
                <w:left w:val="none" w:sz="0" w:space="0" w:color="auto"/>
                <w:bottom w:val="none" w:sz="0" w:space="0" w:color="auto"/>
                <w:right w:val="none" w:sz="0" w:space="0" w:color="auto"/>
              </w:divBdr>
            </w:div>
            <w:div w:id="2006123739">
              <w:marLeft w:val="0"/>
              <w:marRight w:val="0"/>
              <w:marTop w:val="0"/>
              <w:marBottom w:val="0"/>
              <w:divBdr>
                <w:top w:val="none" w:sz="0" w:space="0" w:color="auto"/>
                <w:left w:val="none" w:sz="0" w:space="0" w:color="auto"/>
                <w:bottom w:val="none" w:sz="0" w:space="0" w:color="auto"/>
                <w:right w:val="none" w:sz="0" w:space="0" w:color="auto"/>
              </w:divBdr>
            </w:div>
          </w:divsChild>
        </w:div>
        <w:div w:id="192036789">
          <w:marLeft w:val="0"/>
          <w:marRight w:val="0"/>
          <w:marTop w:val="0"/>
          <w:marBottom w:val="0"/>
          <w:divBdr>
            <w:top w:val="none" w:sz="0" w:space="0" w:color="auto"/>
            <w:left w:val="none" w:sz="0" w:space="0" w:color="auto"/>
            <w:bottom w:val="none" w:sz="0" w:space="0" w:color="auto"/>
            <w:right w:val="none" w:sz="0" w:space="0" w:color="auto"/>
          </w:divBdr>
        </w:div>
        <w:div w:id="204298484">
          <w:marLeft w:val="0"/>
          <w:marRight w:val="0"/>
          <w:marTop w:val="0"/>
          <w:marBottom w:val="0"/>
          <w:divBdr>
            <w:top w:val="none" w:sz="0" w:space="0" w:color="auto"/>
            <w:left w:val="none" w:sz="0" w:space="0" w:color="auto"/>
            <w:bottom w:val="none" w:sz="0" w:space="0" w:color="auto"/>
            <w:right w:val="none" w:sz="0" w:space="0" w:color="auto"/>
          </w:divBdr>
        </w:div>
        <w:div w:id="225651386">
          <w:marLeft w:val="0"/>
          <w:marRight w:val="0"/>
          <w:marTop w:val="0"/>
          <w:marBottom w:val="0"/>
          <w:divBdr>
            <w:top w:val="none" w:sz="0" w:space="0" w:color="auto"/>
            <w:left w:val="none" w:sz="0" w:space="0" w:color="auto"/>
            <w:bottom w:val="none" w:sz="0" w:space="0" w:color="auto"/>
            <w:right w:val="none" w:sz="0" w:space="0" w:color="auto"/>
          </w:divBdr>
        </w:div>
        <w:div w:id="241766729">
          <w:marLeft w:val="0"/>
          <w:marRight w:val="0"/>
          <w:marTop w:val="0"/>
          <w:marBottom w:val="0"/>
          <w:divBdr>
            <w:top w:val="none" w:sz="0" w:space="0" w:color="auto"/>
            <w:left w:val="none" w:sz="0" w:space="0" w:color="auto"/>
            <w:bottom w:val="none" w:sz="0" w:space="0" w:color="auto"/>
            <w:right w:val="none" w:sz="0" w:space="0" w:color="auto"/>
          </w:divBdr>
        </w:div>
        <w:div w:id="250356938">
          <w:marLeft w:val="0"/>
          <w:marRight w:val="0"/>
          <w:marTop w:val="0"/>
          <w:marBottom w:val="0"/>
          <w:divBdr>
            <w:top w:val="none" w:sz="0" w:space="0" w:color="auto"/>
            <w:left w:val="none" w:sz="0" w:space="0" w:color="auto"/>
            <w:bottom w:val="none" w:sz="0" w:space="0" w:color="auto"/>
            <w:right w:val="none" w:sz="0" w:space="0" w:color="auto"/>
          </w:divBdr>
          <w:divsChild>
            <w:div w:id="898440431">
              <w:marLeft w:val="-75"/>
              <w:marRight w:val="0"/>
              <w:marTop w:val="30"/>
              <w:marBottom w:val="30"/>
              <w:divBdr>
                <w:top w:val="none" w:sz="0" w:space="0" w:color="auto"/>
                <w:left w:val="none" w:sz="0" w:space="0" w:color="auto"/>
                <w:bottom w:val="none" w:sz="0" w:space="0" w:color="auto"/>
                <w:right w:val="none" w:sz="0" w:space="0" w:color="auto"/>
              </w:divBdr>
              <w:divsChild>
                <w:div w:id="84883332">
                  <w:marLeft w:val="0"/>
                  <w:marRight w:val="0"/>
                  <w:marTop w:val="0"/>
                  <w:marBottom w:val="0"/>
                  <w:divBdr>
                    <w:top w:val="none" w:sz="0" w:space="0" w:color="auto"/>
                    <w:left w:val="none" w:sz="0" w:space="0" w:color="auto"/>
                    <w:bottom w:val="none" w:sz="0" w:space="0" w:color="auto"/>
                    <w:right w:val="none" w:sz="0" w:space="0" w:color="auto"/>
                  </w:divBdr>
                  <w:divsChild>
                    <w:div w:id="784806869">
                      <w:marLeft w:val="0"/>
                      <w:marRight w:val="0"/>
                      <w:marTop w:val="0"/>
                      <w:marBottom w:val="0"/>
                      <w:divBdr>
                        <w:top w:val="none" w:sz="0" w:space="0" w:color="auto"/>
                        <w:left w:val="none" w:sz="0" w:space="0" w:color="auto"/>
                        <w:bottom w:val="none" w:sz="0" w:space="0" w:color="auto"/>
                        <w:right w:val="none" w:sz="0" w:space="0" w:color="auto"/>
                      </w:divBdr>
                    </w:div>
                  </w:divsChild>
                </w:div>
                <w:div w:id="269823422">
                  <w:marLeft w:val="0"/>
                  <w:marRight w:val="0"/>
                  <w:marTop w:val="0"/>
                  <w:marBottom w:val="0"/>
                  <w:divBdr>
                    <w:top w:val="none" w:sz="0" w:space="0" w:color="auto"/>
                    <w:left w:val="none" w:sz="0" w:space="0" w:color="auto"/>
                    <w:bottom w:val="none" w:sz="0" w:space="0" w:color="auto"/>
                    <w:right w:val="none" w:sz="0" w:space="0" w:color="auto"/>
                  </w:divBdr>
                  <w:divsChild>
                    <w:div w:id="48261878">
                      <w:marLeft w:val="0"/>
                      <w:marRight w:val="0"/>
                      <w:marTop w:val="0"/>
                      <w:marBottom w:val="0"/>
                      <w:divBdr>
                        <w:top w:val="none" w:sz="0" w:space="0" w:color="auto"/>
                        <w:left w:val="none" w:sz="0" w:space="0" w:color="auto"/>
                        <w:bottom w:val="none" w:sz="0" w:space="0" w:color="auto"/>
                        <w:right w:val="none" w:sz="0" w:space="0" w:color="auto"/>
                      </w:divBdr>
                    </w:div>
                  </w:divsChild>
                </w:div>
                <w:div w:id="282661036">
                  <w:marLeft w:val="0"/>
                  <w:marRight w:val="0"/>
                  <w:marTop w:val="0"/>
                  <w:marBottom w:val="0"/>
                  <w:divBdr>
                    <w:top w:val="none" w:sz="0" w:space="0" w:color="auto"/>
                    <w:left w:val="none" w:sz="0" w:space="0" w:color="auto"/>
                    <w:bottom w:val="none" w:sz="0" w:space="0" w:color="auto"/>
                    <w:right w:val="none" w:sz="0" w:space="0" w:color="auto"/>
                  </w:divBdr>
                  <w:divsChild>
                    <w:div w:id="1223323016">
                      <w:marLeft w:val="0"/>
                      <w:marRight w:val="0"/>
                      <w:marTop w:val="0"/>
                      <w:marBottom w:val="0"/>
                      <w:divBdr>
                        <w:top w:val="none" w:sz="0" w:space="0" w:color="auto"/>
                        <w:left w:val="none" w:sz="0" w:space="0" w:color="auto"/>
                        <w:bottom w:val="none" w:sz="0" w:space="0" w:color="auto"/>
                        <w:right w:val="none" w:sz="0" w:space="0" w:color="auto"/>
                      </w:divBdr>
                    </w:div>
                  </w:divsChild>
                </w:div>
                <w:div w:id="361172680">
                  <w:marLeft w:val="0"/>
                  <w:marRight w:val="0"/>
                  <w:marTop w:val="0"/>
                  <w:marBottom w:val="0"/>
                  <w:divBdr>
                    <w:top w:val="none" w:sz="0" w:space="0" w:color="auto"/>
                    <w:left w:val="none" w:sz="0" w:space="0" w:color="auto"/>
                    <w:bottom w:val="none" w:sz="0" w:space="0" w:color="auto"/>
                    <w:right w:val="none" w:sz="0" w:space="0" w:color="auto"/>
                  </w:divBdr>
                  <w:divsChild>
                    <w:div w:id="1693068181">
                      <w:marLeft w:val="0"/>
                      <w:marRight w:val="0"/>
                      <w:marTop w:val="0"/>
                      <w:marBottom w:val="0"/>
                      <w:divBdr>
                        <w:top w:val="none" w:sz="0" w:space="0" w:color="auto"/>
                        <w:left w:val="none" w:sz="0" w:space="0" w:color="auto"/>
                        <w:bottom w:val="none" w:sz="0" w:space="0" w:color="auto"/>
                        <w:right w:val="none" w:sz="0" w:space="0" w:color="auto"/>
                      </w:divBdr>
                    </w:div>
                  </w:divsChild>
                </w:div>
                <w:div w:id="470287472">
                  <w:marLeft w:val="0"/>
                  <w:marRight w:val="0"/>
                  <w:marTop w:val="0"/>
                  <w:marBottom w:val="0"/>
                  <w:divBdr>
                    <w:top w:val="none" w:sz="0" w:space="0" w:color="auto"/>
                    <w:left w:val="none" w:sz="0" w:space="0" w:color="auto"/>
                    <w:bottom w:val="none" w:sz="0" w:space="0" w:color="auto"/>
                    <w:right w:val="none" w:sz="0" w:space="0" w:color="auto"/>
                  </w:divBdr>
                  <w:divsChild>
                    <w:div w:id="1572736302">
                      <w:marLeft w:val="0"/>
                      <w:marRight w:val="0"/>
                      <w:marTop w:val="0"/>
                      <w:marBottom w:val="0"/>
                      <w:divBdr>
                        <w:top w:val="none" w:sz="0" w:space="0" w:color="auto"/>
                        <w:left w:val="none" w:sz="0" w:space="0" w:color="auto"/>
                        <w:bottom w:val="none" w:sz="0" w:space="0" w:color="auto"/>
                        <w:right w:val="none" w:sz="0" w:space="0" w:color="auto"/>
                      </w:divBdr>
                    </w:div>
                  </w:divsChild>
                </w:div>
                <w:div w:id="518201175">
                  <w:marLeft w:val="0"/>
                  <w:marRight w:val="0"/>
                  <w:marTop w:val="0"/>
                  <w:marBottom w:val="0"/>
                  <w:divBdr>
                    <w:top w:val="none" w:sz="0" w:space="0" w:color="auto"/>
                    <w:left w:val="none" w:sz="0" w:space="0" w:color="auto"/>
                    <w:bottom w:val="none" w:sz="0" w:space="0" w:color="auto"/>
                    <w:right w:val="none" w:sz="0" w:space="0" w:color="auto"/>
                  </w:divBdr>
                  <w:divsChild>
                    <w:div w:id="923493540">
                      <w:marLeft w:val="0"/>
                      <w:marRight w:val="0"/>
                      <w:marTop w:val="0"/>
                      <w:marBottom w:val="0"/>
                      <w:divBdr>
                        <w:top w:val="none" w:sz="0" w:space="0" w:color="auto"/>
                        <w:left w:val="none" w:sz="0" w:space="0" w:color="auto"/>
                        <w:bottom w:val="none" w:sz="0" w:space="0" w:color="auto"/>
                        <w:right w:val="none" w:sz="0" w:space="0" w:color="auto"/>
                      </w:divBdr>
                    </w:div>
                  </w:divsChild>
                </w:div>
                <w:div w:id="554582677">
                  <w:marLeft w:val="0"/>
                  <w:marRight w:val="0"/>
                  <w:marTop w:val="0"/>
                  <w:marBottom w:val="0"/>
                  <w:divBdr>
                    <w:top w:val="none" w:sz="0" w:space="0" w:color="auto"/>
                    <w:left w:val="none" w:sz="0" w:space="0" w:color="auto"/>
                    <w:bottom w:val="none" w:sz="0" w:space="0" w:color="auto"/>
                    <w:right w:val="none" w:sz="0" w:space="0" w:color="auto"/>
                  </w:divBdr>
                  <w:divsChild>
                    <w:div w:id="1940522772">
                      <w:marLeft w:val="0"/>
                      <w:marRight w:val="0"/>
                      <w:marTop w:val="0"/>
                      <w:marBottom w:val="0"/>
                      <w:divBdr>
                        <w:top w:val="none" w:sz="0" w:space="0" w:color="auto"/>
                        <w:left w:val="none" w:sz="0" w:space="0" w:color="auto"/>
                        <w:bottom w:val="none" w:sz="0" w:space="0" w:color="auto"/>
                        <w:right w:val="none" w:sz="0" w:space="0" w:color="auto"/>
                      </w:divBdr>
                    </w:div>
                  </w:divsChild>
                </w:div>
                <w:div w:id="696587247">
                  <w:marLeft w:val="0"/>
                  <w:marRight w:val="0"/>
                  <w:marTop w:val="0"/>
                  <w:marBottom w:val="0"/>
                  <w:divBdr>
                    <w:top w:val="none" w:sz="0" w:space="0" w:color="auto"/>
                    <w:left w:val="none" w:sz="0" w:space="0" w:color="auto"/>
                    <w:bottom w:val="none" w:sz="0" w:space="0" w:color="auto"/>
                    <w:right w:val="none" w:sz="0" w:space="0" w:color="auto"/>
                  </w:divBdr>
                  <w:divsChild>
                    <w:div w:id="20671597">
                      <w:marLeft w:val="0"/>
                      <w:marRight w:val="0"/>
                      <w:marTop w:val="0"/>
                      <w:marBottom w:val="0"/>
                      <w:divBdr>
                        <w:top w:val="none" w:sz="0" w:space="0" w:color="auto"/>
                        <w:left w:val="none" w:sz="0" w:space="0" w:color="auto"/>
                        <w:bottom w:val="none" w:sz="0" w:space="0" w:color="auto"/>
                        <w:right w:val="none" w:sz="0" w:space="0" w:color="auto"/>
                      </w:divBdr>
                    </w:div>
                  </w:divsChild>
                </w:div>
                <w:div w:id="748233805">
                  <w:marLeft w:val="0"/>
                  <w:marRight w:val="0"/>
                  <w:marTop w:val="0"/>
                  <w:marBottom w:val="0"/>
                  <w:divBdr>
                    <w:top w:val="none" w:sz="0" w:space="0" w:color="auto"/>
                    <w:left w:val="none" w:sz="0" w:space="0" w:color="auto"/>
                    <w:bottom w:val="none" w:sz="0" w:space="0" w:color="auto"/>
                    <w:right w:val="none" w:sz="0" w:space="0" w:color="auto"/>
                  </w:divBdr>
                  <w:divsChild>
                    <w:div w:id="1547838845">
                      <w:marLeft w:val="0"/>
                      <w:marRight w:val="0"/>
                      <w:marTop w:val="0"/>
                      <w:marBottom w:val="0"/>
                      <w:divBdr>
                        <w:top w:val="none" w:sz="0" w:space="0" w:color="auto"/>
                        <w:left w:val="none" w:sz="0" w:space="0" w:color="auto"/>
                        <w:bottom w:val="none" w:sz="0" w:space="0" w:color="auto"/>
                        <w:right w:val="none" w:sz="0" w:space="0" w:color="auto"/>
                      </w:divBdr>
                    </w:div>
                  </w:divsChild>
                </w:div>
                <w:div w:id="812140394">
                  <w:marLeft w:val="0"/>
                  <w:marRight w:val="0"/>
                  <w:marTop w:val="0"/>
                  <w:marBottom w:val="0"/>
                  <w:divBdr>
                    <w:top w:val="none" w:sz="0" w:space="0" w:color="auto"/>
                    <w:left w:val="none" w:sz="0" w:space="0" w:color="auto"/>
                    <w:bottom w:val="none" w:sz="0" w:space="0" w:color="auto"/>
                    <w:right w:val="none" w:sz="0" w:space="0" w:color="auto"/>
                  </w:divBdr>
                  <w:divsChild>
                    <w:div w:id="393625769">
                      <w:marLeft w:val="0"/>
                      <w:marRight w:val="0"/>
                      <w:marTop w:val="0"/>
                      <w:marBottom w:val="0"/>
                      <w:divBdr>
                        <w:top w:val="none" w:sz="0" w:space="0" w:color="auto"/>
                        <w:left w:val="none" w:sz="0" w:space="0" w:color="auto"/>
                        <w:bottom w:val="none" w:sz="0" w:space="0" w:color="auto"/>
                        <w:right w:val="none" w:sz="0" w:space="0" w:color="auto"/>
                      </w:divBdr>
                    </w:div>
                  </w:divsChild>
                </w:div>
                <w:div w:id="1062366853">
                  <w:marLeft w:val="0"/>
                  <w:marRight w:val="0"/>
                  <w:marTop w:val="0"/>
                  <w:marBottom w:val="0"/>
                  <w:divBdr>
                    <w:top w:val="none" w:sz="0" w:space="0" w:color="auto"/>
                    <w:left w:val="none" w:sz="0" w:space="0" w:color="auto"/>
                    <w:bottom w:val="none" w:sz="0" w:space="0" w:color="auto"/>
                    <w:right w:val="none" w:sz="0" w:space="0" w:color="auto"/>
                  </w:divBdr>
                  <w:divsChild>
                    <w:div w:id="1482192802">
                      <w:marLeft w:val="0"/>
                      <w:marRight w:val="0"/>
                      <w:marTop w:val="0"/>
                      <w:marBottom w:val="0"/>
                      <w:divBdr>
                        <w:top w:val="none" w:sz="0" w:space="0" w:color="auto"/>
                        <w:left w:val="none" w:sz="0" w:space="0" w:color="auto"/>
                        <w:bottom w:val="none" w:sz="0" w:space="0" w:color="auto"/>
                        <w:right w:val="none" w:sz="0" w:space="0" w:color="auto"/>
                      </w:divBdr>
                    </w:div>
                  </w:divsChild>
                </w:div>
                <w:div w:id="1446583334">
                  <w:marLeft w:val="0"/>
                  <w:marRight w:val="0"/>
                  <w:marTop w:val="0"/>
                  <w:marBottom w:val="0"/>
                  <w:divBdr>
                    <w:top w:val="none" w:sz="0" w:space="0" w:color="auto"/>
                    <w:left w:val="none" w:sz="0" w:space="0" w:color="auto"/>
                    <w:bottom w:val="none" w:sz="0" w:space="0" w:color="auto"/>
                    <w:right w:val="none" w:sz="0" w:space="0" w:color="auto"/>
                  </w:divBdr>
                  <w:divsChild>
                    <w:div w:id="1604993154">
                      <w:marLeft w:val="0"/>
                      <w:marRight w:val="0"/>
                      <w:marTop w:val="0"/>
                      <w:marBottom w:val="0"/>
                      <w:divBdr>
                        <w:top w:val="none" w:sz="0" w:space="0" w:color="auto"/>
                        <w:left w:val="none" w:sz="0" w:space="0" w:color="auto"/>
                        <w:bottom w:val="none" w:sz="0" w:space="0" w:color="auto"/>
                        <w:right w:val="none" w:sz="0" w:space="0" w:color="auto"/>
                      </w:divBdr>
                    </w:div>
                  </w:divsChild>
                </w:div>
                <w:div w:id="1740668838">
                  <w:marLeft w:val="0"/>
                  <w:marRight w:val="0"/>
                  <w:marTop w:val="0"/>
                  <w:marBottom w:val="0"/>
                  <w:divBdr>
                    <w:top w:val="none" w:sz="0" w:space="0" w:color="auto"/>
                    <w:left w:val="none" w:sz="0" w:space="0" w:color="auto"/>
                    <w:bottom w:val="none" w:sz="0" w:space="0" w:color="auto"/>
                    <w:right w:val="none" w:sz="0" w:space="0" w:color="auto"/>
                  </w:divBdr>
                  <w:divsChild>
                    <w:div w:id="629676417">
                      <w:marLeft w:val="0"/>
                      <w:marRight w:val="0"/>
                      <w:marTop w:val="0"/>
                      <w:marBottom w:val="0"/>
                      <w:divBdr>
                        <w:top w:val="none" w:sz="0" w:space="0" w:color="auto"/>
                        <w:left w:val="none" w:sz="0" w:space="0" w:color="auto"/>
                        <w:bottom w:val="none" w:sz="0" w:space="0" w:color="auto"/>
                        <w:right w:val="none" w:sz="0" w:space="0" w:color="auto"/>
                      </w:divBdr>
                    </w:div>
                  </w:divsChild>
                </w:div>
                <w:div w:id="1846244482">
                  <w:marLeft w:val="0"/>
                  <w:marRight w:val="0"/>
                  <w:marTop w:val="0"/>
                  <w:marBottom w:val="0"/>
                  <w:divBdr>
                    <w:top w:val="none" w:sz="0" w:space="0" w:color="auto"/>
                    <w:left w:val="none" w:sz="0" w:space="0" w:color="auto"/>
                    <w:bottom w:val="none" w:sz="0" w:space="0" w:color="auto"/>
                    <w:right w:val="none" w:sz="0" w:space="0" w:color="auto"/>
                  </w:divBdr>
                  <w:divsChild>
                    <w:div w:id="1125663294">
                      <w:marLeft w:val="0"/>
                      <w:marRight w:val="0"/>
                      <w:marTop w:val="0"/>
                      <w:marBottom w:val="0"/>
                      <w:divBdr>
                        <w:top w:val="none" w:sz="0" w:space="0" w:color="auto"/>
                        <w:left w:val="none" w:sz="0" w:space="0" w:color="auto"/>
                        <w:bottom w:val="none" w:sz="0" w:space="0" w:color="auto"/>
                        <w:right w:val="none" w:sz="0" w:space="0" w:color="auto"/>
                      </w:divBdr>
                    </w:div>
                  </w:divsChild>
                </w:div>
                <w:div w:id="1895383389">
                  <w:marLeft w:val="0"/>
                  <w:marRight w:val="0"/>
                  <w:marTop w:val="0"/>
                  <w:marBottom w:val="0"/>
                  <w:divBdr>
                    <w:top w:val="none" w:sz="0" w:space="0" w:color="auto"/>
                    <w:left w:val="none" w:sz="0" w:space="0" w:color="auto"/>
                    <w:bottom w:val="none" w:sz="0" w:space="0" w:color="auto"/>
                    <w:right w:val="none" w:sz="0" w:space="0" w:color="auto"/>
                  </w:divBdr>
                  <w:divsChild>
                    <w:div w:id="1111708574">
                      <w:marLeft w:val="0"/>
                      <w:marRight w:val="0"/>
                      <w:marTop w:val="0"/>
                      <w:marBottom w:val="0"/>
                      <w:divBdr>
                        <w:top w:val="none" w:sz="0" w:space="0" w:color="auto"/>
                        <w:left w:val="none" w:sz="0" w:space="0" w:color="auto"/>
                        <w:bottom w:val="none" w:sz="0" w:space="0" w:color="auto"/>
                        <w:right w:val="none" w:sz="0" w:space="0" w:color="auto"/>
                      </w:divBdr>
                    </w:div>
                  </w:divsChild>
                </w:div>
                <w:div w:id="2080667059">
                  <w:marLeft w:val="0"/>
                  <w:marRight w:val="0"/>
                  <w:marTop w:val="0"/>
                  <w:marBottom w:val="0"/>
                  <w:divBdr>
                    <w:top w:val="none" w:sz="0" w:space="0" w:color="auto"/>
                    <w:left w:val="none" w:sz="0" w:space="0" w:color="auto"/>
                    <w:bottom w:val="none" w:sz="0" w:space="0" w:color="auto"/>
                    <w:right w:val="none" w:sz="0" w:space="0" w:color="auto"/>
                  </w:divBdr>
                  <w:divsChild>
                    <w:div w:id="17412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321059">
          <w:marLeft w:val="0"/>
          <w:marRight w:val="0"/>
          <w:marTop w:val="0"/>
          <w:marBottom w:val="0"/>
          <w:divBdr>
            <w:top w:val="none" w:sz="0" w:space="0" w:color="auto"/>
            <w:left w:val="none" w:sz="0" w:space="0" w:color="auto"/>
            <w:bottom w:val="none" w:sz="0" w:space="0" w:color="auto"/>
            <w:right w:val="none" w:sz="0" w:space="0" w:color="auto"/>
          </w:divBdr>
        </w:div>
        <w:div w:id="266012450">
          <w:marLeft w:val="0"/>
          <w:marRight w:val="0"/>
          <w:marTop w:val="0"/>
          <w:marBottom w:val="0"/>
          <w:divBdr>
            <w:top w:val="none" w:sz="0" w:space="0" w:color="auto"/>
            <w:left w:val="none" w:sz="0" w:space="0" w:color="auto"/>
            <w:bottom w:val="none" w:sz="0" w:space="0" w:color="auto"/>
            <w:right w:val="none" w:sz="0" w:space="0" w:color="auto"/>
          </w:divBdr>
        </w:div>
        <w:div w:id="269512516">
          <w:marLeft w:val="0"/>
          <w:marRight w:val="0"/>
          <w:marTop w:val="0"/>
          <w:marBottom w:val="0"/>
          <w:divBdr>
            <w:top w:val="none" w:sz="0" w:space="0" w:color="auto"/>
            <w:left w:val="none" w:sz="0" w:space="0" w:color="auto"/>
            <w:bottom w:val="none" w:sz="0" w:space="0" w:color="auto"/>
            <w:right w:val="none" w:sz="0" w:space="0" w:color="auto"/>
          </w:divBdr>
        </w:div>
        <w:div w:id="271978532">
          <w:marLeft w:val="0"/>
          <w:marRight w:val="0"/>
          <w:marTop w:val="0"/>
          <w:marBottom w:val="0"/>
          <w:divBdr>
            <w:top w:val="none" w:sz="0" w:space="0" w:color="auto"/>
            <w:left w:val="none" w:sz="0" w:space="0" w:color="auto"/>
            <w:bottom w:val="none" w:sz="0" w:space="0" w:color="auto"/>
            <w:right w:val="none" w:sz="0" w:space="0" w:color="auto"/>
          </w:divBdr>
        </w:div>
        <w:div w:id="275409804">
          <w:marLeft w:val="0"/>
          <w:marRight w:val="0"/>
          <w:marTop w:val="0"/>
          <w:marBottom w:val="0"/>
          <w:divBdr>
            <w:top w:val="none" w:sz="0" w:space="0" w:color="auto"/>
            <w:left w:val="none" w:sz="0" w:space="0" w:color="auto"/>
            <w:bottom w:val="none" w:sz="0" w:space="0" w:color="auto"/>
            <w:right w:val="none" w:sz="0" w:space="0" w:color="auto"/>
          </w:divBdr>
        </w:div>
        <w:div w:id="294146166">
          <w:marLeft w:val="0"/>
          <w:marRight w:val="0"/>
          <w:marTop w:val="0"/>
          <w:marBottom w:val="0"/>
          <w:divBdr>
            <w:top w:val="none" w:sz="0" w:space="0" w:color="auto"/>
            <w:left w:val="none" w:sz="0" w:space="0" w:color="auto"/>
            <w:bottom w:val="none" w:sz="0" w:space="0" w:color="auto"/>
            <w:right w:val="none" w:sz="0" w:space="0" w:color="auto"/>
          </w:divBdr>
        </w:div>
        <w:div w:id="300037838">
          <w:marLeft w:val="0"/>
          <w:marRight w:val="0"/>
          <w:marTop w:val="0"/>
          <w:marBottom w:val="0"/>
          <w:divBdr>
            <w:top w:val="none" w:sz="0" w:space="0" w:color="auto"/>
            <w:left w:val="none" w:sz="0" w:space="0" w:color="auto"/>
            <w:bottom w:val="none" w:sz="0" w:space="0" w:color="auto"/>
            <w:right w:val="none" w:sz="0" w:space="0" w:color="auto"/>
          </w:divBdr>
        </w:div>
        <w:div w:id="302465942">
          <w:marLeft w:val="0"/>
          <w:marRight w:val="0"/>
          <w:marTop w:val="0"/>
          <w:marBottom w:val="0"/>
          <w:divBdr>
            <w:top w:val="none" w:sz="0" w:space="0" w:color="auto"/>
            <w:left w:val="none" w:sz="0" w:space="0" w:color="auto"/>
            <w:bottom w:val="none" w:sz="0" w:space="0" w:color="auto"/>
            <w:right w:val="none" w:sz="0" w:space="0" w:color="auto"/>
          </w:divBdr>
        </w:div>
        <w:div w:id="319889721">
          <w:marLeft w:val="0"/>
          <w:marRight w:val="0"/>
          <w:marTop w:val="0"/>
          <w:marBottom w:val="0"/>
          <w:divBdr>
            <w:top w:val="none" w:sz="0" w:space="0" w:color="auto"/>
            <w:left w:val="none" w:sz="0" w:space="0" w:color="auto"/>
            <w:bottom w:val="none" w:sz="0" w:space="0" w:color="auto"/>
            <w:right w:val="none" w:sz="0" w:space="0" w:color="auto"/>
          </w:divBdr>
        </w:div>
        <w:div w:id="344282535">
          <w:marLeft w:val="0"/>
          <w:marRight w:val="0"/>
          <w:marTop w:val="0"/>
          <w:marBottom w:val="0"/>
          <w:divBdr>
            <w:top w:val="none" w:sz="0" w:space="0" w:color="auto"/>
            <w:left w:val="none" w:sz="0" w:space="0" w:color="auto"/>
            <w:bottom w:val="none" w:sz="0" w:space="0" w:color="auto"/>
            <w:right w:val="none" w:sz="0" w:space="0" w:color="auto"/>
          </w:divBdr>
          <w:divsChild>
            <w:div w:id="34159141">
              <w:marLeft w:val="0"/>
              <w:marRight w:val="0"/>
              <w:marTop w:val="0"/>
              <w:marBottom w:val="0"/>
              <w:divBdr>
                <w:top w:val="none" w:sz="0" w:space="0" w:color="auto"/>
                <w:left w:val="none" w:sz="0" w:space="0" w:color="auto"/>
                <w:bottom w:val="none" w:sz="0" w:space="0" w:color="auto"/>
                <w:right w:val="none" w:sz="0" w:space="0" w:color="auto"/>
              </w:divBdr>
            </w:div>
            <w:div w:id="105933335">
              <w:marLeft w:val="0"/>
              <w:marRight w:val="0"/>
              <w:marTop w:val="0"/>
              <w:marBottom w:val="0"/>
              <w:divBdr>
                <w:top w:val="none" w:sz="0" w:space="0" w:color="auto"/>
                <w:left w:val="none" w:sz="0" w:space="0" w:color="auto"/>
                <w:bottom w:val="none" w:sz="0" w:space="0" w:color="auto"/>
                <w:right w:val="none" w:sz="0" w:space="0" w:color="auto"/>
              </w:divBdr>
            </w:div>
            <w:div w:id="193076381">
              <w:marLeft w:val="0"/>
              <w:marRight w:val="0"/>
              <w:marTop w:val="0"/>
              <w:marBottom w:val="0"/>
              <w:divBdr>
                <w:top w:val="none" w:sz="0" w:space="0" w:color="auto"/>
                <w:left w:val="none" w:sz="0" w:space="0" w:color="auto"/>
                <w:bottom w:val="none" w:sz="0" w:space="0" w:color="auto"/>
                <w:right w:val="none" w:sz="0" w:space="0" w:color="auto"/>
              </w:divBdr>
            </w:div>
            <w:div w:id="288626867">
              <w:marLeft w:val="0"/>
              <w:marRight w:val="0"/>
              <w:marTop w:val="0"/>
              <w:marBottom w:val="0"/>
              <w:divBdr>
                <w:top w:val="none" w:sz="0" w:space="0" w:color="auto"/>
                <w:left w:val="none" w:sz="0" w:space="0" w:color="auto"/>
                <w:bottom w:val="none" w:sz="0" w:space="0" w:color="auto"/>
                <w:right w:val="none" w:sz="0" w:space="0" w:color="auto"/>
              </w:divBdr>
            </w:div>
            <w:div w:id="323778658">
              <w:marLeft w:val="0"/>
              <w:marRight w:val="0"/>
              <w:marTop w:val="0"/>
              <w:marBottom w:val="0"/>
              <w:divBdr>
                <w:top w:val="none" w:sz="0" w:space="0" w:color="auto"/>
                <w:left w:val="none" w:sz="0" w:space="0" w:color="auto"/>
                <w:bottom w:val="none" w:sz="0" w:space="0" w:color="auto"/>
                <w:right w:val="none" w:sz="0" w:space="0" w:color="auto"/>
              </w:divBdr>
            </w:div>
            <w:div w:id="449739048">
              <w:marLeft w:val="0"/>
              <w:marRight w:val="0"/>
              <w:marTop w:val="0"/>
              <w:marBottom w:val="0"/>
              <w:divBdr>
                <w:top w:val="none" w:sz="0" w:space="0" w:color="auto"/>
                <w:left w:val="none" w:sz="0" w:space="0" w:color="auto"/>
                <w:bottom w:val="none" w:sz="0" w:space="0" w:color="auto"/>
                <w:right w:val="none" w:sz="0" w:space="0" w:color="auto"/>
              </w:divBdr>
            </w:div>
            <w:div w:id="579603318">
              <w:marLeft w:val="0"/>
              <w:marRight w:val="0"/>
              <w:marTop w:val="0"/>
              <w:marBottom w:val="0"/>
              <w:divBdr>
                <w:top w:val="none" w:sz="0" w:space="0" w:color="auto"/>
                <w:left w:val="none" w:sz="0" w:space="0" w:color="auto"/>
                <w:bottom w:val="none" w:sz="0" w:space="0" w:color="auto"/>
                <w:right w:val="none" w:sz="0" w:space="0" w:color="auto"/>
              </w:divBdr>
            </w:div>
            <w:div w:id="841090879">
              <w:marLeft w:val="0"/>
              <w:marRight w:val="0"/>
              <w:marTop w:val="0"/>
              <w:marBottom w:val="0"/>
              <w:divBdr>
                <w:top w:val="none" w:sz="0" w:space="0" w:color="auto"/>
                <w:left w:val="none" w:sz="0" w:space="0" w:color="auto"/>
                <w:bottom w:val="none" w:sz="0" w:space="0" w:color="auto"/>
                <w:right w:val="none" w:sz="0" w:space="0" w:color="auto"/>
              </w:divBdr>
            </w:div>
            <w:div w:id="894128031">
              <w:marLeft w:val="0"/>
              <w:marRight w:val="0"/>
              <w:marTop w:val="0"/>
              <w:marBottom w:val="0"/>
              <w:divBdr>
                <w:top w:val="none" w:sz="0" w:space="0" w:color="auto"/>
                <w:left w:val="none" w:sz="0" w:space="0" w:color="auto"/>
                <w:bottom w:val="none" w:sz="0" w:space="0" w:color="auto"/>
                <w:right w:val="none" w:sz="0" w:space="0" w:color="auto"/>
              </w:divBdr>
            </w:div>
            <w:div w:id="931478102">
              <w:marLeft w:val="0"/>
              <w:marRight w:val="0"/>
              <w:marTop w:val="0"/>
              <w:marBottom w:val="0"/>
              <w:divBdr>
                <w:top w:val="none" w:sz="0" w:space="0" w:color="auto"/>
                <w:left w:val="none" w:sz="0" w:space="0" w:color="auto"/>
                <w:bottom w:val="none" w:sz="0" w:space="0" w:color="auto"/>
                <w:right w:val="none" w:sz="0" w:space="0" w:color="auto"/>
              </w:divBdr>
            </w:div>
            <w:div w:id="957682528">
              <w:marLeft w:val="0"/>
              <w:marRight w:val="0"/>
              <w:marTop w:val="0"/>
              <w:marBottom w:val="0"/>
              <w:divBdr>
                <w:top w:val="none" w:sz="0" w:space="0" w:color="auto"/>
                <w:left w:val="none" w:sz="0" w:space="0" w:color="auto"/>
                <w:bottom w:val="none" w:sz="0" w:space="0" w:color="auto"/>
                <w:right w:val="none" w:sz="0" w:space="0" w:color="auto"/>
              </w:divBdr>
            </w:div>
            <w:div w:id="1070617411">
              <w:marLeft w:val="0"/>
              <w:marRight w:val="0"/>
              <w:marTop w:val="0"/>
              <w:marBottom w:val="0"/>
              <w:divBdr>
                <w:top w:val="none" w:sz="0" w:space="0" w:color="auto"/>
                <w:left w:val="none" w:sz="0" w:space="0" w:color="auto"/>
                <w:bottom w:val="none" w:sz="0" w:space="0" w:color="auto"/>
                <w:right w:val="none" w:sz="0" w:space="0" w:color="auto"/>
              </w:divBdr>
            </w:div>
            <w:div w:id="1167284064">
              <w:marLeft w:val="0"/>
              <w:marRight w:val="0"/>
              <w:marTop w:val="0"/>
              <w:marBottom w:val="0"/>
              <w:divBdr>
                <w:top w:val="none" w:sz="0" w:space="0" w:color="auto"/>
                <w:left w:val="none" w:sz="0" w:space="0" w:color="auto"/>
                <w:bottom w:val="none" w:sz="0" w:space="0" w:color="auto"/>
                <w:right w:val="none" w:sz="0" w:space="0" w:color="auto"/>
              </w:divBdr>
            </w:div>
            <w:div w:id="1225218981">
              <w:marLeft w:val="0"/>
              <w:marRight w:val="0"/>
              <w:marTop w:val="0"/>
              <w:marBottom w:val="0"/>
              <w:divBdr>
                <w:top w:val="none" w:sz="0" w:space="0" w:color="auto"/>
                <w:left w:val="none" w:sz="0" w:space="0" w:color="auto"/>
                <w:bottom w:val="none" w:sz="0" w:space="0" w:color="auto"/>
                <w:right w:val="none" w:sz="0" w:space="0" w:color="auto"/>
              </w:divBdr>
            </w:div>
            <w:div w:id="1328823227">
              <w:marLeft w:val="0"/>
              <w:marRight w:val="0"/>
              <w:marTop w:val="0"/>
              <w:marBottom w:val="0"/>
              <w:divBdr>
                <w:top w:val="none" w:sz="0" w:space="0" w:color="auto"/>
                <w:left w:val="none" w:sz="0" w:space="0" w:color="auto"/>
                <w:bottom w:val="none" w:sz="0" w:space="0" w:color="auto"/>
                <w:right w:val="none" w:sz="0" w:space="0" w:color="auto"/>
              </w:divBdr>
            </w:div>
            <w:div w:id="1507674214">
              <w:marLeft w:val="0"/>
              <w:marRight w:val="0"/>
              <w:marTop w:val="0"/>
              <w:marBottom w:val="0"/>
              <w:divBdr>
                <w:top w:val="none" w:sz="0" w:space="0" w:color="auto"/>
                <w:left w:val="none" w:sz="0" w:space="0" w:color="auto"/>
                <w:bottom w:val="none" w:sz="0" w:space="0" w:color="auto"/>
                <w:right w:val="none" w:sz="0" w:space="0" w:color="auto"/>
              </w:divBdr>
            </w:div>
            <w:div w:id="1539587426">
              <w:marLeft w:val="0"/>
              <w:marRight w:val="0"/>
              <w:marTop w:val="0"/>
              <w:marBottom w:val="0"/>
              <w:divBdr>
                <w:top w:val="none" w:sz="0" w:space="0" w:color="auto"/>
                <w:left w:val="none" w:sz="0" w:space="0" w:color="auto"/>
                <w:bottom w:val="none" w:sz="0" w:space="0" w:color="auto"/>
                <w:right w:val="none" w:sz="0" w:space="0" w:color="auto"/>
              </w:divBdr>
            </w:div>
            <w:div w:id="1712682546">
              <w:marLeft w:val="0"/>
              <w:marRight w:val="0"/>
              <w:marTop w:val="0"/>
              <w:marBottom w:val="0"/>
              <w:divBdr>
                <w:top w:val="none" w:sz="0" w:space="0" w:color="auto"/>
                <w:left w:val="none" w:sz="0" w:space="0" w:color="auto"/>
                <w:bottom w:val="none" w:sz="0" w:space="0" w:color="auto"/>
                <w:right w:val="none" w:sz="0" w:space="0" w:color="auto"/>
              </w:divBdr>
            </w:div>
            <w:div w:id="2083137035">
              <w:marLeft w:val="0"/>
              <w:marRight w:val="0"/>
              <w:marTop w:val="0"/>
              <w:marBottom w:val="0"/>
              <w:divBdr>
                <w:top w:val="none" w:sz="0" w:space="0" w:color="auto"/>
                <w:left w:val="none" w:sz="0" w:space="0" w:color="auto"/>
                <w:bottom w:val="none" w:sz="0" w:space="0" w:color="auto"/>
                <w:right w:val="none" w:sz="0" w:space="0" w:color="auto"/>
              </w:divBdr>
            </w:div>
            <w:div w:id="2115125316">
              <w:marLeft w:val="0"/>
              <w:marRight w:val="0"/>
              <w:marTop w:val="0"/>
              <w:marBottom w:val="0"/>
              <w:divBdr>
                <w:top w:val="none" w:sz="0" w:space="0" w:color="auto"/>
                <w:left w:val="none" w:sz="0" w:space="0" w:color="auto"/>
                <w:bottom w:val="none" w:sz="0" w:space="0" w:color="auto"/>
                <w:right w:val="none" w:sz="0" w:space="0" w:color="auto"/>
              </w:divBdr>
            </w:div>
          </w:divsChild>
        </w:div>
        <w:div w:id="351617099">
          <w:marLeft w:val="0"/>
          <w:marRight w:val="0"/>
          <w:marTop w:val="0"/>
          <w:marBottom w:val="0"/>
          <w:divBdr>
            <w:top w:val="none" w:sz="0" w:space="0" w:color="auto"/>
            <w:left w:val="none" w:sz="0" w:space="0" w:color="auto"/>
            <w:bottom w:val="none" w:sz="0" w:space="0" w:color="auto"/>
            <w:right w:val="none" w:sz="0" w:space="0" w:color="auto"/>
          </w:divBdr>
          <w:divsChild>
            <w:div w:id="42826317">
              <w:marLeft w:val="0"/>
              <w:marRight w:val="0"/>
              <w:marTop w:val="0"/>
              <w:marBottom w:val="0"/>
              <w:divBdr>
                <w:top w:val="none" w:sz="0" w:space="0" w:color="auto"/>
                <w:left w:val="none" w:sz="0" w:space="0" w:color="auto"/>
                <w:bottom w:val="none" w:sz="0" w:space="0" w:color="auto"/>
                <w:right w:val="none" w:sz="0" w:space="0" w:color="auto"/>
              </w:divBdr>
            </w:div>
            <w:div w:id="130562949">
              <w:marLeft w:val="0"/>
              <w:marRight w:val="0"/>
              <w:marTop w:val="0"/>
              <w:marBottom w:val="0"/>
              <w:divBdr>
                <w:top w:val="none" w:sz="0" w:space="0" w:color="auto"/>
                <w:left w:val="none" w:sz="0" w:space="0" w:color="auto"/>
                <w:bottom w:val="none" w:sz="0" w:space="0" w:color="auto"/>
                <w:right w:val="none" w:sz="0" w:space="0" w:color="auto"/>
              </w:divBdr>
            </w:div>
            <w:div w:id="171651068">
              <w:marLeft w:val="0"/>
              <w:marRight w:val="0"/>
              <w:marTop w:val="0"/>
              <w:marBottom w:val="0"/>
              <w:divBdr>
                <w:top w:val="none" w:sz="0" w:space="0" w:color="auto"/>
                <w:left w:val="none" w:sz="0" w:space="0" w:color="auto"/>
                <w:bottom w:val="none" w:sz="0" w:space="0" w:color="auto"/>
                <w:right w:val="none" w:sz="0" w:space="0" w:color="auto"/>
              </w:divBdr>
            </w:div>
            <w:div w:id="175583341">
              <w:marLeft w:val="0"/>
              <w:marRight w:val="0"/>
              <w:marTop w:val="0"/>
              <w:marBottom w:val="0"/>
              <w:divBdr>
                <w:top w:val="none" w:sz="0" w:space="0" w:color="auto"/>
                <w:left w:val="none" w:sz="0" w:space="0" w:color="auto"/>
                <w:bottom w:val="none" w:sz="0" w:space="0" w:color="auto"/>
                <w:right w:val="none" w:sz="0" w:space="0" w:color="auto"/>
              </w:divBdr>
            </w:div>
            <w:div w:id="466514666">
              <w:marLeft w:val="0"/>
              <w:marRight w:val="0"/>
              <w:marTop w:val="0"/>
              <w:marBottom w:val="0"/>
              <w:divBdr>
                <w:top w:val="none" w:sz="0" w:space="0" w:color="auto"/>
                <w:left w:val="none" w:sz="0" w:space="0" w:color="auto"/>
                <w:bottom w:val="none" w:sz="0" w:space="0" w:color="auto"/>
                <w:right w:val="none" w:sz="0" w:space="0" w:color="auto"/>
              </w:divBdr>
            </w:div>
            <w:div w:id="573272430">
              <w:marLeft w:val="0"/>
              <w:marRight w:val="0"/>
              <w:marTop w:val="0"/>
              <w:marBottom w:val="0"/>
              <w:divBdr>
                <w:top w:val="none" w:sz="0" w:space="0" w:color="auto"/>
                <w:left w:val="none" w:sz="0" w:space="0" w:color="auto"/>
                <w:bottom w:val="none" w:sz="0" w:space="0" w:color="auto"/>
                <w:right w:val="none" w:sz="0" w:space="0" w:color="auto"/>
              </w:divBdr>
            </w:div>
            <w:div w:id="642462837">
              <w:marLeft w:val="0"/>
              <w:marRight w:val="0"/>
              <w:marTop w:val="0"/>
              <w:marBottom w:val="0"/>
              <w:divBdr>
                <w:top w:val="none" w:sz="0" w:space="0" w:color="auto"/>
                <w:left w:val="none" w:sz="0" w:space="0" w:color="auto"/>
                <w:bottom w:val="none" w:sz="0" w:space="0" w:color="auto"/>
                <w:right w:val="none" w:sz="0" w:space="0" w:color="auto"/>
              </w:divBdr>
            </w:div>
            <w:div w:id="705835096">
              <w:marLeft w:val="0"/>
              <w:marRight w:val="0"/>
              <w:marTop w:val="0"/>
              <w:marBottom w:val="0"/>
              <w:divBdr>
                <w:top w:val="none" w:sz="0" w:space="0" w:color="auto"/>
                <w:left w:val="none" w:sz="0" w:space="0" w:color="auto"/>
                <w:bottom w:val="none" w:sz="0" w:space="0" w:color="auto"/>
                <w:right w:val="none" w:sz="0" w:space="0" w:color="auto"/>
              </w:divBdr>
            </w:div>
            <w:div w:id="745539226">
              <w:marLeft w:val="0"/>
              <w:marRight w:val="0"/>
              <w:marTop w:val="0"/>
              <w:marBottom w:val="0"/>
              <w:divBdr>
                <w:top w:val="none" w:sz="0" w:space="0" w:color="auto"/>
                <w:left w:val="none" w:sz="0" w:space="0" w:color="auto"/>
                <w:bottom w:val="none" w:sz="0" w:space="0" w:color="auto"/>
                <w:right w:val="none" w:sz="0" w:space="0" w:color="auto"/>
              </w:divBdr>
            </w:div>
            <w:div w:id="1058938782">
              <w:marLeft w:val="0"/>
              <w:marRight w:val="0"/>
              <w:marTop w:val="0"/>
              <w:marBottom w:val="0"/>
              <w:divBdr>
                <w:top w:val="none" w:sz="0" w:space="0" w:color="auto"/>
                <w:left w:val="none" w:sz="0" w:space="0" w:color="auto"/>
                <w:bottom w:val="none" w:sz="0" w:space="0" w:color="auto"/>
                <w:right w:val="none" w:sz="0" w:space="0" w:color="auto"/>
              </w:divBdr>
            </w:div>
            <w:div w:id="1064522855">
              <w:marLeft w:val="0"/>
              <w:marRight w:val="0"/>
              <w:marTop w:val="0"/>
              <w:marBottom w:val="0"/>
              <w:divBdr>
                <w:top w:val="none" w:sz="0" w:space="0" w:color="auto"/>
                <w:left w:val="none" w:sz="0" w:space="0" w:color="auto"/>
                <w:bottom w:val="none" w:sz="0" w:space="0" w:color="auto"/>
                <w:right w:val="none" w:sz="0" w:space="0" w:color="auto"/>
              </w:divBdr>
            </w:div>
            <w:div w:id="1177385041">
              <w:marLeft w:val="0"/>
              <w:marRight w:val="0"/>
              <w:marTop w:val="0"/>
              <w:marBottom w:val="0"/>
              <w:divBdr>
                <w:top w:val="none" w:sz="0" w:space="0" w:color="auto"/>
                <w:left w:val="none" w:sz="0" w:space="0" w:color="auto"/>
                <w:bottom w:val="none" w:sz="0" w:space="0" w:color="auto"/>
                <w:right w:val="none" w:sz="0" w:space="0" w:color="auto"/>
              </w:divBdr>
            </w:div>
            <w:div w:id="1481190090">
              <w:marLeft w:val="0"/>
              <w:marRight w:val="0"/>
              <w:marTop w:val="0"/>
              <w:marBottom w:val="0"/>
              <w:divBdr>
                <w:top w:val="none" w:sz="0" w:space="0" w:color="auto"/>
                <w:left w:val="none" w:sz="0" w:space="0" w:color="auto"/>
                <w:bottom w:val="none" w:sz="0" w:space="0" w:color="auto"/>
                <w:right w:val="none" w:sz="0" w:space="0" w:color="auto"/>
              </w:divBdr>
            </w:div>
            <w:div w:id="1538161277">
              <w:marLeft w:val="0"/>
              <w:marRight w:val="0"/>
              <w:marTop w:val="0"/>
              <w:marBottom w:val="0"/>
              <w:divBdr>
                <w:top w:val="none" w:sz="0" w:space="0" w:color="auto"/>
                <w:left w:val="none" w:sz="0" w:space="0" w:color="auto"/>
                <w:bottom w:val="none" w:sz="0" w:space="0" w:color="auto"/>
                <w:right w:val="none" w:sz="0" w:space="0" w:color="auto"/>
              </w:divBdr>
            </w:div>
            <w:div w:id="1552185919">
              <w:marLeft w:val="0"/>
              <w:marRight w:val="0"/>
              <w:marTop w:val="0"/>
              <w:marBottom w:val="0"/>
              <w:divBdr>
                <w:top w:val="none" w:sz="0" w:space="0" w:color="auto"/>
                <w:left w:val="none" w:sz="0" w:space="0" w:color="auto"/>
                <w:bottom w:val="none" w:sz="0" w:space="0" w:color="auto"/>
                <w:right w:val="none" w:sz="0" w:space="0" w:color="auto"/>
              </w:divBdr>
            </w:div>
            <w:div w:id="1566598935">
              <w:marLeft w:val="0"/>
              <w:marRight w:val="0"/>
              <w:marTop w:val="0"/>
              <w:marBottom w:val="0"/>
              <w:divBdr>
                <w:top w:val="none" w:sz="0" w:space="0" w:color="auto"/>
                <w:left w:val="none" w:sz="0" w:space="0" w:color="auto"/>
                <w:bottom w:val="none" w:sz="0" w:space="0" w:color="auto"/>
                <w:right w:val="none" w:sz="0" w:space="0" w:color="auto"/>
              </w:divBdr>
            </w:div>
            <w:div w:id="1595094773">
              <w:marLeft w:val="0"/>
              <w:marRight w:val="0"/>
              <w:marTop w:val="0"/>
              <w:marBottom w:val="0"/>
              <w:divBdr>
                <w:top w:val="none" w:sz="0" w:space="0" w:color="auto"/>
                <w:left w:val="none" w:sz="0" w:space="0" w:color="auto"/>
                <w:bottom w:val="none" w:sz="0" w:space="0" w:color="auto"/>
                <w:right w:val="none" w:sz="0" w:space="0" w:color="auto"/>
              </w:divBdr>
            </w:div>
            <w:div w:id="1655067846">
              <w:marLeft w:val="0"/>
              <w:marRight w:val="0"/>
              <w:marTop w:val="0"/>
              <w:marBottom w:val="0"/>
              <w:divBdr>
                <w:top w:val="none" w:sz="0" w:space="0" w:color="auto"/>
                <w:left w:val="none" w:sz="0" w:space="0" w:color="auto"/>
                <w:bottom w:val="none" w:sz="0" w:space="0" w:color="auto"/>
                <w:right w:val="none" w:sz="0" w:space="0" w:color="auto"/>
              </w:divBdr>
            </w:div>
            <w:div w:id="2033265541">
              <w:marLeft w:val="0"/>
              <w:marRight w:val="0"/>
              <w:marTop w:val="0"/>
              <w:marBottom w:val="0"/>
              <w:divBdr>
                <w:top w:val="none" w:sz="0" w:space="0" w:color="auto"/>
                <w:left w:val="none" w:sz="0" w:space="0" w:color="auto"/>
                <w:bottom w:val="none" w:sz="0" w:space="0" w:color="auto"/>
                <w:right w:val="none" w:sz="0" w:space="0" w:color="auto"/>
              </w:divBdr>
            </w:div>
          </w:divsChild>
        </w:div>
        <w:div w:id="375930013">
          <w:marLeft w:val="0"/>
          <w:marRight w:val="0"/>
          <w:marTop w:val="0"/>
          <w:marBottom w:val="0"/>
          <w:divBdr>
            <w:top w:val="none" w:sz="0" w:space="0" w:color="auto"/>
            <w:left w:val="none" w:sz="0" w:space="0" w:color="auto"/>
            <w:bottom w:val="none" w:sz="0" w:space="0" w:color="auto"/>
            <w:right w:val="none" w:sz="0" w:space="0" w:color="auto"/>
          </w:divBdr>
        </w:div>
        <w:div w:id="378432994">
          <w:marLeft w:val="0"/>
          <w:marRight w:val="0"/>
          <w:marTop w:val="0"/>
          <w:marBottom w:val="0"/>
          <w:divBdr>
            <w:top w:val="none" w:sz="0" w:space="0" w:color="auto"/>
            <w:left w:val="none" w:sz="0" w:space="0" w:color="auto"/>
            <w:bottom w:val="none" w:sz="0" w:space="0" w:color="auto"/>
            <w:right w:val="none" w:sz="0" w:space="0" w:color="auto"/>
          </w:divBdr>
        </w:div>
        <w:div w:id="380639687">
          <w:marLeft w:val="0"/>
          <w:marRight w:val="0"/>
          <w:marTop w:val="0"/>
          <w:marBottom w:val="0"/>
          <w:divBdr>
            <w:top w:val="none" w:sz="0" w:space="0" w:color="auto"/>
            <w:left w:val="none" w:sz="0" w:space="0" w:color="auto"/>
            <w:bottom w:val="none" w:sz="0" w:space="0" w:color="auto"/>
            <w:right w:val="none" w:sz="0" w:space="0" w:color="auto"/>
          </w:divBdr>
        </w:div>
        <w:div w:id="395710469">
          <w:marLeft w:val="0"/>
          <w:marRight w:val="0"/>
          <w:marTop w:val="0"/>
          <w:marBottom w:val="0"/>
          <w:divBdr>
            <w:top w:val="none" w:sz="0" w:space="0" w:color="auto"/>
            <w:left w:val="none" w:sz="0" w:space="0" w:color="auto"/>
            <w:bottom w:val="none" w:sz="0" w:space="0" w:color="auto"/>
            <w:right w:val="none" w:sz="0" w:space="0" w:color="auto"/>
          </w:divBdr>
        </w:div>
        <w:div w:id="407120612">
          <w:marLeft w:val="0"/>
          <w:marRight w:val="0"/>
          <w:marTop w:val="0"/>
          <w:marBottom w:val="0"/>
          <w:divBdr>
            <w:top w:val="none" w:sz="0" w:space="0" w:color="auto"/>
            <w:left w:val="none" w:sz="0" w:space="0" w:color="auto"/>
            <w:bottom w:val="none" w:sz="0" w:space="0" w:color="auto"/>
            <w:right w:val="none" w:sz="0" w:space="0" w:color="auto"/>
          </w:divBdr>
          <w:divsChild>
            <w:div w:id="1691683735">
              <w:marLeft w:val="-75"/>
              <w:marRight w:val="0"/>
              <w:marTop w:val="30"/>
              <w:marBottom w:val="30"/>
              <w:divBdr>
                <w:top w:val="none" w:sz="0" w:space="0" w:color="auto"/>
                <w:left w:val="none" w:sz="0" w:space="0" w:color="auto"/>
                <w:bottom w:val="none" w:sz="0" w:space="0" w:color="auto"/>
                <w:right w:val="none" w:sz="0" w:space="0" w:color="auto"/>
              </w:divBdr>
              <w:divsChild>
                <w:div w:id="121852268">
                  <w:marLeft w:val="0"/>
                  <w:marRight w:val="0"/>
                  <w:marTop w:val="0"/>
                  <w:marBottom w:val="0"/>
                  <w:divBdr>
                    <w:top w:val="none" w:sz="0" w:space="0" w:color="auto"/>
                    <w:left w:val="none" w:sz="0" w:space="0" w:color="auto"/>
                    <w:bottom w:val="none" w:sz="0" w:space="0" w:color="auto"/>
                    <w:right w:val="none" w:sz="0" w:space="0" w:color="auto"/>
                  </w:divBdr>
                  <w:divsChild>
                    <w:div w:id="2050494448">
                      <w:marLeft w:val="0"/>
                      <w:marRight w:val="0"/>
                      <w:marTop w:val="0"/>
                      <w:marBottom w:val="0"/>
                      <w:divBdr>
                        <w:top w:val="none" w:sz="0" w:space="0" w:color="auto"/>
                        <w:left w:val="none" w:sz="0" w:space="0" w:color="auto"/>
                        <w:bottom w:val="none" w:sz="0" w:space="0" w:color="auto"/>
                        <w:right w:val="none" w:sz="0" w:space="0" w:color="auto"/>
                      </w:divBdr>
                    </w:div>
                  </w:divsChild>
                </w:div>
                <w:div w:id="367686660">
                  <w:marLeft w:val="0"/>
                  <w:marRight w:val="0"/>
                  <w:marTop w:val="0"/>
                  <w:marBottom w:val="0"/>
                  <w:divBdr>
                    <w:top w:val="none" w:sz="0" w:space="0" w:color="auto"/>
                    <w:left w:val="none" w:sz="0" w:space="0" w:color="auto"/>
                    <w:bottom w:val="none" w:sz="0" w:space="0" w:color="auto"/>
                    <w:right w:val="none" w:sz="0" w:space="0" w:color="auto"/>
                  </w:divBdr>
                  <w:divsChild>
                    <w:div w:id="2060979798">
                      <w:marLeft w:val="0"/>
                      <w:marRight w:val="0"/>
                      <w:marTop w:val="0"/>
                      <w:marBottom w:val="0"/>
                      <w:divBdr>
                        <w:top w:val="none" w:sz="0" w:space="0" w:color="auto"/>
                        <w:left w:val="none" w:sz="0" w:space="0" w:color="auto"/>
                        <w:bottom w:val="none" w:sz="0" w:space="0" w:color="auto"/>
                        <w:right w:val="none" w:sz="0" w:space="0" w:color="auto"/>
                      </w:divBdr>
                    </w:div>
                  </w:divsChild>
                </w:div>
                <w:div w:id="490948294">
                  <w:marLeft w:val="0"/>
                  <w:marRight w:val="0"/>
                  <w:marTop w:val="0"/>
                  <w:marBottom w:val="0"/>
                  <w:divBdr>
                    <w:top w:val="none" w:sz="0" w:space="0" w:color="auto"/>
                    <w:left w:val="none" w:sz="0" w:space="0" w:color="auto"/>
                    <w:bottom w:val="none" w:sz="0" w:space="0" w:color="auto"/>
                    <w:right w:val="none" w:sz="0" w:space="0" w:color="auto"/>
                  </w:divBdr>
                  <w:divsChild>
                    <w:div w:id="1788812761">
                      <w:marLeft w:val="0"/>
                      <w:marRight w:val="0"/>
                      <w:marTop w:val="0"/>
                      <w:marBottom w:val="0"/>
                      <w:divBdr>
                        <w:top w:val="none" w:sz="0" w:space="0" w:color="auto"/>
                        <w:left w:val="none" w:sz="0" w:space="0" w:color="auto"/>
                        <w:bottom w:val="none" w:sz="0" w:space="0" w:color="auto"/>
                        <w:right w:val="none" w:sz="0" w:space="0" w:color="auto"/>
                      </w:divBdr>
                    </w:div>
                  </w:divsChild>
                </w:div>
                <w:div w:id="492649791">
                  <w:marLeft w:val="0"/>
                  <w:marRight w:val="0"/>
                  <w:marTop w:val="0"/>
                  <w:marBottom w:val="0"/>
                  <w:divBdr>
                    <w:top w:val="none" w:sz="0" w:space="0" w:color="auto"/>
                    <w:left w:val="none" w:sz="0" w:space="0" w:color="auto"/>
                    <w:bottom w:val="none" w:sz="0" w:space="0" w:color="auto"/>
                    <w:right w:val="none" w:sz="0" w:space="0" w:color="auto"/>
                  </w:divBdr>
                  <w:divsChild>
                    <w:div w:id="1289511914">
                      <w:marLeft w:val="0"/>
                      <w:marRight w:val="0"/>
                      <w:marTop w:val="0"/>
                      <w:marBottom w:val="0"/>
                      <w:divBdr>
                        <w:top w:val="none" w:sz="0" w:space="0" w:color="auto"/>
                        <w:left w:val="none" w:sz="0" w:space="0" w:color="auto"/>
                        <w:bottom w:val="none" w:sz="0" w:space="0" w:color="auto"/>
                        <w:right w:val="none" w:sz="0" w:space="0" w:color="auto"/>
                      </w:divBdr>
                    </w:div>
                  </w:divsChild>
                </w:div>
                <w:div w:id="934287087">
                  <w:marLeft w:val="0"/>
                  <w:marRight w:val="0"/>
                  <w:marTop w:val="0"/>
                  <w:marBottom w:val="0"/>
                  <w:divBdr>
                    <w:top w:val="none" w:sz="0" w:space="0" w:color="auto"/>
                    <w:left w:val="none" w:sz="0" w:space="0" w:color="auto"/>
                    <w:bottom w:val="none" w:sz="0" w:space="0" w:color="auto"/>
                    <w:right w:val="none" w:sz="0" w:space="0" w:color="auto"/>
                  </w:divBdr>
                  <w:divsChild>
                    <w:div w:id="2092581317">
                      <w:marLeft w:val="0"/>
                      <w:marRight w:val="0"/>
                      <w:marTop w:val="0"/>
                      <w:marBottom w:val="0"/>
                      <w:divBdr>
                        <w:top w:val="none" w:sz="0" w:space="0" w:color="auto"/>
                        <w:left w:val="none" w:sz="0" w:space="0" w:color="auto"/>
                        <w:bottom w:val="none" w:sz="0" w:space="0" w:color="auto"/>
                        <w:right w:val="none" w:sz="0" w:space="0" w:color="auto"/>
                      </w:divBdr>
                    </w:div>
                  </w:divsChild>
                </w:div>
                <w:div w:id="967315823">
                  <w:marLeft w:val="0"/>
                  <w:marRight w:val="0"/>
                  <w:marTop w:val="0"/>
                  <w:marBottom w:val="0"/>
                  <w:divBdr>
                    <w:top w:val="none" w:sz="0" w:space="0" w:color="auto"/>
                    <w:left w:val="none" w:sz="0" w:space="0" w:color="auto"/>
                    <w:bottom w:val="none" w:sz="0" w:space="0" w:color="auto"/>
                    <w:right w:val="none" w:sz="0" w:space="0" w:color="auto"/>
                  </w:divBdr>
                  <w:divsChild>
                    <w:div w:id="805977204">
                      <w:marLeft w:val="0"/>
                      <w:marRight w:val="0"/>
                      <w:marTop w:val="0"/>
                      <w:marBottom w:val="0"/>
                      <w:divBdr>
                        <w:top w:val="none" w:sz="0" w:space="0" w:color="auto"/>
                        <w:left w:val="none" w:sz="0" w:space="0" w:color="auto"/>
                        <w:bottom w:val="none" w:sz="0" w:space="0" w:color="auto"/>
                        <w:right w:val="none" w:sz="0" w:space="0" w:color="auto"/>
                      </w:divBdr>
                    </w:div>
                  </w:divsChild>
                </w:div>
                <w:div w:id="1303148925">
                  <w:marLeft w:val="0"/>
                  <w:marRight w:val="0"/>
                  <w:marTop w:val="0"/>
                  <w:marBottom w:val="0"/>
                  <w:divBdr>
                    <w:top w:val="none" w:sz="0" w:space="0" w:color="auto"/>
                    <w:left w:val="none" w:sz="0" w:space="0" w:color="auto"/>
                    <w:bottom w:val="none" w:sz="0" w:space="0" w:color="auto"/>
                    <w:right w:val="none" w:sz="0" w:space="0" w:color="auto"/>
                  </w:divBdr>
                  <w:divsChild>
                    <w:div w:id="126968707">
                      <w:marLeft w:val="0"/>
                      <w:marRight w:val="0"/>
                      <w:marTop w:val="0"/>
                      <w:marBottom w:val="0"/>
                      <w:divBdr>
                        <w:top w:val="none" w:sz="0" w:space="0" w:color="auto"/>
                        <w:left w:val="none" w:sz="0" w:space="0" w:color="auto"/>
                        <w:bottom w:val="none" w:sz="0" w:space="0" w:color="auto"/>
                        <w:right w:val="none" w:sz="0" w:space="0" w:color="auto"/>
                      </w:divBdr>
                    </w:div>
                  </w:divsChild>
                </w:div>
                <w:div w:id="1418361534">
                  <w:marLeft w:val="0"/>
                  <w:marRight w:val="0"/>
                  <w:marTop w:val="0"/>
                  <w:marBottom w:val="0"/>
                  <w:divBdr>
                    <w:top w:val="none" w:sz="0" w:space="0" w:color="auto"/>
                    <w:left w:val="none" w:sz="0" w:space="0" w:color="auto"/>
                    <w:bottom w:val="none" w:sz="0" w:space="0" w:color="auto"/>
                    <w:right w:val="none" w:sz="0" w:space="0" w:color="auto"/>
                  </w:divBdr>
                  <w:divsChild>
                    <w:div w:id="1100758316">
                      <w:marLeft w:val="0"/>
                      <w:marRight w:val="0"/>
                      <w:marTop w:val="0"/>
                      <w:marBottom w:val="0"/>
                      <w:divBdr>
                        <w:top w:val="none" w:sz="0" w:space="0" w:color="auto"/>
                        <w:left w:val="none" w:sz="0" w:space="0" w:color="auto"/>
                        <w:bottom w:val="none" w:sz="0" w:space="0" w:color="auto"/>
                        <w:right w:val="none" w:sz="0" w:space="0" w:color="auto"/>
                      </w:divBdr>
                    </w:div>
                    <w:div w:id="1531185965">
                      <w:marLeft w:val="0"/>
                      <w:marRight w:val="0"/>
                      <w:marTop w:val="0"/>
                      <w:marBottom w:val="0"/>
                      <w:divBdr>
                        <w:top w:val="none" w:sz="0" w:space="0" w:color="auto"/>
                        <w:left w:val="none" w:sz="0" w:space="0" w:color="auto"/>
                        <w:bottom w:val="none" w:sz="0" w:space="0" w:color="auto"/>
                        <w:right w:val="none" w:sz="0" w:space="0" w:color="auto"/>
                      </w:divBdr>
                    </w:div>
                  </w:divsChild>
                </w:div>
                <w:div w:id="1811941126">
                  <w:marLeft w:val="0"/>
                  <w:marRight w:val="0"/>
                  <w:marTop w:val="0"/>
                  <w:marBottom w:val="0"/>
                  <w:divBdr>
                    <w:top w:val="none" w:sz="0" w:space="0" w:color="auto"/>
                    <w:left w:val="none" w:sz="0" w:space="0" w:color="auto"/>
                    <w:bottom w:val="none" w:sz="0" w:space="0" w:color="auto"/>
                    <w:right w:val="none" w:sz="0" w:space="0" w:color="auto"/>
                  </w:divBdr>
                  <w:divsChild>
                    <w:div w:id="1195733490">
                      <w:marLeft w:val="0"/>
                      <w:marRight w:val="0"/>
                      <w:marTop w:val="0"/>
                      <w:marBottom w:val="0"/>
                      <w:divBdr>
                        <w:top w:val="none" w:sz="0" w:space="0" w:color="auto"/>
                        <w:left w:val="none" w:sz="0" w:space="0" w:color="auto"/>
                        <w:bottom w:val="none" w:sz="0" w:space="0" w:color="auto"/>
                        <w:right w:val="none" w:sz="0" w:space="0" w:color="auto"/>
                      </w:divBdr>
                    </w:div>
                  </w:divsChild>
                </w:div>
                <w:div w:id="2065642556">
                  <w:marLeft w:val="0"/>
                  <w:marRight w:val="0"/>
                  <w:marTop w:val="0"/>
                  <w:marBottom w:val="0"/>
                  <w:divBdr>
                    <w:top w:val="none" w:sz="0" w:space="0" w:color="auto"/>
                    <w:left w:val="none" w:sz="0" w:space="0" w:color="auto"/>
                    <w:bottom w:val="none" w:sz="0" w:space="0" w:color="auto"/>
                    <w:right w:val="none" w:sz="0" w:space="0" w:color="auto"/>
                  </w:divBdr>
                  <w:divsChild>
                    <w:div w:id="1577742260">
                      <w:marLeft w:val="0"/>
                      <w:marRight w:val="0"/>
                      <w:marTop w:val="0"/>
                      <w:marBottom w:val="0"/>
                      <w:divBdr>
                        <w:top w:val="none" w:sz="0" w:space="0" w:color="auto"/>
                        <w:left w:val="none" w:sz="0" w:space="0" w:color="auto"/>
                        <w:bottom w:val="none" w:sz="0" w:space="0" w:color="auto"/>
                        <w:right w:val="none" w:sz="0" w:space="0" w:color="auto"/>
                      </w:divBdr>
                    </w:div>
                  </w:divsChild>
                </w:div>
                <w:div w:id="2101827178">
                  <w:marLeft w:val="0"/>
                  <w:marRight w:val="0"/>
                  <w:marTop w:val="0"/>
                  <w:marBottom w:val="0"/>
                  <w:divBdr>
                    <w:top w:val="none" w:sz="0" w:space="0" w:color="auto"/>
                    <w:left w:val="none" w:sz="0" w:space="0" w:color="auto"/>
                    <w:bottom w:val="none" w:sz="0" w:space="0" w:color="auto"/>
                    <w:right w:val="none" w:sz="0" w:space="0" w:color="auto"/>
                  </w:divBdr>
                  <w:divsChild>
                    <w:div w:id="888761021">
                      <w:marLeft w:val="0"/>
                      <w:marRight w:val="0"/>
                      <w:marTop w:val="0"/>
                      <w:marBottom w:val="0"/>
                      <w:divBdr>
                        <w:top w:val="none" w:sz="0" w:space="0" w:color="auto"/>
                        <w:left w:val="none" w:sz="0" w:space="0" w:color="auto"/>
                        <w:bottom w:val="none" w:sz="0" w:space="0" w:color="auto"/>
                        <w:right w:val="none" w:sz="0" w:space="0" w:color="auto"/>
                      </w:divBdr>
                    </w:div>
                  </w:divsChild>
                </w:div>
                <w:div w:id="2135128803">
                  <w:marLeft w:val="0"/>
                  <w:marRight w:val="0"/>
                  <w:marTop w:val="0"/>
                  <w:marBottom w:val="0"/>
                  <w:divBdr>
                    <w:top w:val="none" w:sz="0" w:space="0" w:color="auto"/>
                    <w:left w:val="none" w:sz="0" w:space="0" w:color="auto"/>
                    <w:bottom w:val="none" w:sz="0" w:space="0" w:color="auto"/>
                    <w:right w:val="none" w:sz="0" w:space="0" w:color="auto"/>
                  </w:divBdr>
                  <w:divsChild>
                    <w:div w:id="12475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431543">
          <w:marLeft w:val="0"/>
          <w:marRight w:val="0"/>
          <w:marTop w:val="0"/>
          <w:marBottom w:val="0"/>
          <w:divBdr>
            <w:top w:val="none" w:sz="0" w:space="0" w:color="auto"/>
            <w:left w:val="none" w:sz="0" w:space="0" w:color="auto"/>
            <w:bottom w:val="none" w:sz="0" w:space="0" w:color="auto"/>
            <w:right w:val="none" w:sz="0" w:space="0" w:color="auto"/>
          </w:divBdr>
        </w:div>
        <w:div w:id="417753197">
          <w:marLeft w:val="0"/>
          <w:marRight w:val="0"/>
          <w:marTop w:val="0"/>
          <w:marBottom w:val="0"/>
          <w:divBdr>
            <w:top w:val="none" w:sz="0" w:space="0" w:color="auto"/>
            <w:left w:val="none" w:sz="0" w:space="0" w:color="auto"/>
            <w:bottom w:val="none" w:sz="0" w:space="0" w:color="auto"/>
            <w:right w:val="none" w:sz="0" w:space="0" w:color="auto"/>
          </w:divBdr>
        </w:div>
        <w:div w:id="423116505">
          <w:marLeft w:val="0"/>
          <w:marRight w:val="0"/>
          <w:marTop w:val="0"/>
          <w:marBottom w:val="0"/>
          <w:divBdr>
            <w:top w:val="none" w:sz="0" w:space="0" w:color="auto"/>
            <w:left w:val="none" w:sz="0" w:space="0" w:color="auto"/>
            <w:bottom w:val="none" w:sz="0" w:space="0" w:color="auto"/>
            <w:right w:val="none" w:sz="0" w:space="0" w:color="auto"/>
          </w:divBdr>
        </w:div>
        <w:div w:id="436104619">
          <w:marLeft w:val="0"/>
          <w:marRight w:val="0"/>
          <w:marTop w:val="0"/>
          <w:marBottom w:val="0"/>
          <w:divBdr>
            <w:top w:val="none" w:sz="0" w:space="0" w:color="auto"/>
            <w:left w:val="none" w:sz="0" w:space="0" w:color="auto"/>
            <w:bottom w:val="none" w:sz="0" w:space="0" w:color="auto"/>
            <w:right w:val="none" w:sz="0" w:space="0" w:color="auto"/>
          </w:divBdr>
        </w:div>
        <w:div w:id="436411858">
          <w:marLeft w:val="0"/>
          <w:marRight w:val="0"/>
          <w:marTop w:val="0"/>
          <w:marBottom w:val="0"/>
          <w:divBdr>
            <w:top w:val="none" w:sz="0" w:space="0" w:color="auto"/>
            <w:left w:val="none" w:sz="0" w:space="0" w:color="auto"/>
            <w:bottom w:val="none" w:sz="0" w:space="0" w:color="auto"/>
            <w:right w:val="none" w:sz="0" w:space="0" w:color="auto"/>
          </w:divBdr>
          <w:divsChild>
            <w:div w:id="257755474">
              <w:marLeft w:val="-75"/>
              <w:marRight w:val="0"/>
              <w:marTop w:val="30"/>
              <w:marBottom w:val="30"/>
              <w:divBdr>
                <w:top w:val="none" w:sz="0" w:space="0" w:color="auto"/>
                <w:left w:val="none" w:sz="0" w:space="0" w:color="auto"/>
                <w:bottom w:val="none" w:sz="0" w:space="0" w:color="auto"/>
                <w:right w:val="none" w:sz="0" w:space="0" w:color="auto"/>
              </w:divBdr>
              <w:divsChild>
                <w:div w:id="60754140">
                  <w:marLeft w:val="0"/>
                  <w:marRight w:val="0"/>
                  <w:marTop w:val="0"/>
                  <w:marBottom w:val="0"/>
                  <w:divBdr>
                    <w:top w:val="none" w:sz="0" w:space="0" w:color="auto"/>
                    <w:left w:val="none" w:sz="0" w:space="0" w:color="auto"/>
                    <w:bottom w:val="none" w:sz="0" w:space="0" w:color="auto"/>
                    <w:right w:val="none" w:sz="0" w:space="0" w:color="auto"/>
                  </w:divBdr>
                  <w:divsChild>
                    <w:div w:id="1353188516">
                      <w:marLeft w:val="0"/>
                      <w:marRight w:val="0"/>
                      <w:marTop w:val="0"/>
                      <w:marBottom w:val="0"/>
                      <w:divBdr>
                        <w:top w:val="none" w:sz="0" w:space="0" w:color="auto"/>
                        <w:left w:val="none" w:sz="0" w:space="0" w:color="auto"/>
                        <w:bottom w:val="none" w:sz="0" w:space="0" w:color="auto"/>
                        <w:right w:val="none" w:sz="0" w:space="0" w:color="auto"/>
                      </w:divBdr>
                    </w:div>
                  </w:divsChild>
                </w:div>
                <w:div w:id="432362860">
                  <w:marLeft w:val="0"/>
                  <w:marRight w:val="0"/>
                  <w:marTop w:val="0"/>
                  <w:marBottom w:val="0"/>
                  <w:divBdr>
                    <w:top w:val="none" w:sz="0" w:space="0" w:color="auto"/>
                    <w:left w:val="none" w:sz="0" w:space="0" w:color="auto"/>
                    <w:bottom w:val="none" w:sz="0" w:space="0" w:color="auto"/>
                    <w:right w:val="none" w:sz="0" w:space="0" w:color="auto"/>
                  </w:divBdr>
                  <w:divsChild>
                    <w:div w:id="2039424854">
                      <w:marLeft w:val="0"/>
                      <w:marRight w:val="0"/>
                      <w:marTop w:val="0"/>
                      <w:marBottom w:val="0"/>
                      <w:divBdr>
                        <w:top w:val="none" w:sz="0" w:space="0" w:color="auto"/>
                        <w:left w:val="none" w:sz="0" w:space="0" w:color="auto"/>
                        <w:bottom w:val="none" w:sz="0" w:space="0" w:color="auto"/>
                        <w:right w:val="none" w:sz="0" w:space="0" w:color="auto"/>
                      </w:divBdr>
                    </w:div>
                  </w:divsChild>
                </w:div>
                <w:div w:id="623773636">
                  <w:marLeft w:val="0"/>
                  <w:marRight w:val="0"/>
                  <w:marTop w:val="0"/>
                  <w:marBottom w:val="0"/>
                  <w:divBdr>
                    <w:top w:val="none" w:sz="0" w:space="0" w:color="auto"/>
                    <w:left w:val="none" w:sz="0" w:space="0" w:color="auto"/>
                    <w:bottom w:val="none" w:sz="0" w:space="0" w:color="auto"/>
                    <w:right w:val="none" w:sz="0" w:space="0" w:color="auto"/>
                  </w:divBdr>
                  <w:divsChild>
                    <w:div w:id="932201684">
                      <w:marLeft w:val="0"/>
                      <w:marRight w:val="0"/>
                      <w:marTop w:val="0"/>
                      <w:marBottom w:val="0"/>
                      <w:divBdr>
                        <w:top w:val="none" w:sz="0" w:space="0" w:color="auto"/>
                        <w:left w:val="none" w:sz="0" w:space="0" w:color="auto"/>
                        <w:bottom w:val="none" w:sz="0" w:space="0" w:color="auto"/>
                        <w:right w:val="none" w:sz="0" w:space="0" w:color="auto"/>
                      </w:divBdr>
                    </w:div>
                  </w:divsChild>
                </w:div>
                <w:div w:id="813722046">
                  <w:marLeft w:val="0"/>
                  <w:marRight w:val="0"/>
                  <w:marTop w:val="0"/>
                  <w:marBottom w:val="0"/>
                  <w:divBdr>
                    <w:top w:val="none" w:sz="0" w:space="0" w:color="auto"/>
                    <w:left w:val="none" w:sz="0" w:space="0" w:color="auto"/>
                    <w:bottom w:val="none" w:sz="0" w:space="0" w:color="auto"/>
                    <w:right w:val="none" w:sz="0" w:space="0" w:color="auto"/>
                  </w:divBdr>
                  <w:divsChild>
                    <w:div w:id="1317958442">
                      <w:marLeft w:val="0"/>
                      <w:marRight w:val="0"/>
                      <w:marTop w:val="0"/>
                      <w:marBottom w:val="0"/>
                      <w:divBdr>
                        <w:top w:val="none" w:sz="0" w:space="0" w:color="auto"/>
                        <w:left w:val="none" w:sz="0" w:space="0" w:color="auto"/>
                        <w:bottom w:val="none" w:sz="0" w:space="0" w:color="auto"/>
                        <w:right w:val="none" w:sz="0" w:space="0" w:color="auto"/>
                      </w:divBdr>
                    </w:div>
                  </w:divsChild>
                </w:div>
                <w:div w:id="860970423">
                  <w:marLeft w:val="0"/>
                  <w:marRight w:val="0"/>
                  <w:marTop w:val="0"/>
                  <w:marBottom w:val="0"/>
                  <w:divBdr>
                    <w:top w:val="none" w:sz="0" w:space="0" w:color="auto"/>
                    <w:left w:val="none" w:sz="0" w:space="0" w:color="auto"/>
                    <w:bottom w:val="none" w:sz="0" w:space="0" w:color="auto"/>
                    <w:right w:val="none" w:sz="0" w:space="0" w:color="auto"/>
                  </w:divBdr>
                  <w:divsChild>
                    <w:div w:id="1908953035">
                      <w:marLeft w:val="0"/>
                      <w:marRight w:val="0"/>
                      <w:marTop w:val="0"/>
                      <w:marBottom w:val="0"/>
                      <w:divBdr>
                        <w:top w:val="none" w:sz="0" w:space="0" w:color="auto"/>
                        <w:left w:val="none" w:sz="0" w:space="0" w:color="auto"/>
                        <w:bottom w:val="none" w:sz="0" w:space="0" w:color="auto"/>
                        <w:right w:val="none" w:sz="0" w:space="0" w:color="auto"/>
                      </w:divBdr>
                    </w:div>
                  </w:divsChild>
                </w:div>
                <w:div w:id="947395667">
                  <w:marLeft w:val="0"/>
                  <w:marRight w:val="0"/>
                  <w:marTop w:val="0"/>
                  <w:marBottom w:val="0"/>
                  <w:divBdr>
                    <w:top w:val="none" w:sz="0" w:space="0" w:color="auto"/>
                    <w:left w:val="none" w:sz="0" w:space="0" w:color="auto"/>
                    <w:bottom w:val="none" w:sz="0" w:space="0" w:color="auto"/>
                    <w:right w:val="none" w:sz="0" w:space="0" w:color="auto"/>
                  </w:divBdr>
                  <w:divsChild>
                    <w:div w:id="1476684419">
                      <w:marLeft w:val="0"/>
                      <w:marRight w:val="0"/>
                      <w:marTop w:val="0"/>
                      <w:marBottom w:val="0"/>
                      <w:divBdr>
                        <w:top w:val="none" w:sz="0" w:space="0" w:color="auto"/>
                        <w:left w:val="none" w:sz="0" w:space="0" w:color="auto"/>
                        <w:bottom w:val="none" w:sz="0" w:space="0" w:color="auto"/>
                        <w:right w:val="none" w:sz="0" w:space="0" w:color="auto"/>
                      </w:divBdr>
                    </w:div>
                  </w:divsChild>
                </w:div>
                <w:div w:id="1432359735">
                  <w:marLeft w:val="0"/>
                  <w:marRight w:val="0"/>
                  <w:marTop w:val="0"/>
                  <w:marBottom w:val="0"/>
                  <w:divBdr>
                    <w:top w:val="none" w:sz="0" w:space="0" w:color="auto"/>
                    <w:left w:val="none" w:sz="0" w:space="0" w:color="auto"/>
                    <w:bottom w:val="none" w:sz="0" w:space="0" w:color="auto"/>
                    <w:right w:val="none" w:sz="0" w:space="0" w:color="auto"/>
                  </w:divBdr>
                  <w:divsChild>
                    <w:div w:id="589317631">
                      <w:marLeft w:val="0"/>
                      <w:marRight w:val="0"/>
                      <w:marTop w:val="0"/>
                      <w:marBottom w:val="0"/>
                      <w:divBdr>
                        <w:top w:val="none" w:sz="0" w:space="0" w:color="auto"/>
                        <w:left w:val="none" w:sz="0" w:space="0" w:color="auto"/>
                        <w:bottom w:val="none" w:sz="0" w:space="0" w:color="auto"/>
                        <w:right w:val="none" w:sz="0" w:space="0" w:color="auto"/>
                      </w:divBdr>
                    </w:div>
                  </w:divsChild>
                </w:div>
                <w:div w:id="1482893663">
                  <w:marLeft w:val="0"/>
                  <w:marRight w:val="0"/>
                  <w:marTop w:val="0"/>
                  <w:marBottom w:val="0"/>
                  <w:divBdr>
                    <w:top w:val="none" w:sz="0" w:space="0" w:color="auto"/>
                    <w:left w:val="none" w:sz="0" w:space="0" w:color="auto"/>
                    <w:bottom w:val="none" w:sz="0" w:space="0" w:color="auto"/>
                    <w:right w:val="none" w:sz="0" w:space="0" w:color="auto"/>
                  </w:divBdr>
                  <w:divsChild>
                    <w:div w:id="562449869">
                      <w:marLeft w:val="0"/>
                      <w:marRight w:val="0"/>
                      <w:marTop w:val="0"/>
                      <w:marBottom w:val="0"/>
                      <w:divBdr>
                        <w:top w:val="none" w:sz="0" w:space="0" w:color="auto"/>
                        <w:left w:val="none" w:sz="0" w:space="0" w:color="auto"/>
                        <w:bottom w:val="none" w:sz="0" w:space="0" w:color="auto"/>
                        <w:right w:val="none" w:sz="0" w:space="0" w:color="auto"/>
                      </w:divBdr>
                    </w:div>
                  </w:divsChild>
                </w:div>
                <w:div w:id="1489206828">
                  <w:marLeft w:val="0"/>
                  <w:marRight w:val="0"/>
                  <w:marTop w:val="0"/>
                  <w:marBottom w:val="0"/>
                  <w:divBdr>
                    <w:top w:val="none" w:sz="0" w:space="0" w:color="auto"/>
                    <w:left w:val="none" w:sz="0" w:space="0" w:color="auto"/>
                    <w:bottom w:val="none" w:sz="0" w:space="0" w:color="auto"/>
                    <w:right w:val="none" w:sz="0" w:space="0" w:color="auto"/>
                  </w:divBdr>
                  <w:divsChild>
                    <w:div w:id="1774549453">
                      <w:marLeft w:val="0"/>
                      <w:marRight w:val="0"/>
                      <w:marTop w:val="0"/>
                      <w:marBottom w:val="0"/>
                      <w:divBdr>
                        <w:top w:val="none" w:sz="0" w:space="0" w:color="auto"/>
                        <w:left w:val="none" w:sz="0" w:space="0" w:color="auto"/>
                        <w:bottom w:val="none" w:sz="0" w:space="0" w:color="auto"/>
                        <w:right w:val="none" w:sz="0" w:space="0" w:color="auto"/>
                      </w:divBdr>
                    </w:div>
                  </w:divsChild>
                </w:div>
                <w:div w:id="1733120360">
                  <w:marLeft w:val="0"/>
                  <w:marRight w:val="0"/>
                  <w:marTop w:val="0"/>
                  <w:marBottom w:val="0"/>
                  <w:divBdr>
                    <w:top w:val="none" w:sz="0" w:space="0" w:color="auto"/>
                    <w:left w:val="none" w:sz="0" w:space="0" w:color="auto"/>
                    <w:bottom w:val="none" w:sz="0" w:space="0" w:color="auto"/>
                    <w:right w:val="none" w:sz="0" w:space="0" w:color="auto"/>
                  </w:divBdr>
                  <w:divsChild>
                    <w:div w:id="721831670">
                      <w:marLeft w:val="0"/>
                      <w:marRight w:val="0"/>
                      <w:marTop w:val="0"/>
                      <w:marBottom w:val="0"/>
                      <w:divBdr>
                        <w:top w:val="none" w:sz="0" w:space="0" w:color="auto"/>
                        <w:left w:val="none" w:sz="0" w:space="0" w:color="auto"/>
                        <w:bottom w:val="none" w:sz="0" w:space="0" w:color="auto"/>
                        <w:right w:val="none" w:sz="0" w:space="0" w:color="auto"/>
                      </w:divBdr>
                    </w:div>
                  </w:divsChild>
                </w:div>
                <w:div w:id="1981113325">
                  <w:marLeft w:val="0"/>
                  <w:marRight w:val="0"/>
                  <w:marTop w:val="0"/>
                  <w:marBottom w:val="0"/>
                  <w:divBdr>
                    <w:top w:val="none" w:sz="0" w:space="0" w:color="auto"/>
                    <w:left w:val="none" w:sz="0" w:space="0" w:color="auto"/>
                    <w:bottom w:val="none" w:sz="0" w:space="0" w:color="auto"/>
                    <w:right w:val="none" w:sz="0" w:space="0" w:color="auto"/>
                  </w:divBdr>
                  <w:divsChild>
                    <w:div w:id="1629166900">
                      <w:marLeft w:val="0"/>
                      <w:marRight w:val="0"/>
                      <w:marTop w:val="0"/>
                      <w:marBottom w:val="0"/>
                      <w:divBdr>
                        <w:top w:val="none" w:sz="0" w:space="0" w:color="auto"/>
                        <w:left w:val="none" w:sz="0" w:space="0" w:color="auto"/>
                        <w:bottom w:val="none" w:sz="0" w:space="0" w:color="auto"/>
                        <w:right w:val="none" w:sz="0" w:space="0" w:color="auto"/>
                      </w:divBdr>
                    </w:div>
                  </w:divsChild>
                </w:div>
                <w:div w:id="2017415910">
                  <w:marLeft w:val="0"/>
                  <w:marRight w:val="0"/>
                  <w:marTop w:val="0"/>
                  <w:marBottom w:val="0"/>
                  <w:divBdr>
                    <w:top w:val="none" w:sz="0" w:space="0" w:color="auto"/>
                    <w:left w:val="none" w:sz="0" w:space="0" w:color="auto"/>
                    <w:bottom w:val="none" w:sz="0" w:space="0" w:color="auto"/>
                    <w:right w:val="none" w:sz="0" w:space="0" w:color="auto"/>
                  </w:divBdr>
                  <w:divsChild>
                    <w:div w:id="92951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22405">
          <w:marLeft w:val="0"/>
          <w:marRight w:val="0"/>
          <w:marTop w:val="0"/>
          <w:marBottom w:val="0"/>
          <w:divBdr>
            <w:top w:val="none" w:sz="0" w:space="0" w:color="auto"/>
            <w:left w:val="none" w:sz="0" w:space="0" w:color="auto"/>
            <w:bottom w:val="none" w:sz="0" w:space="0" w:color="auto"/>
            <w:right w:val="none" w:sz="0" w:space="0" w:color="auto"/>
          </w:divBdr>
        </w:div>
        <w:div w:id="458577042">
          <w:marLeft w:val="0"/>
          <w:marRight w:val="0"/>
          <w:marTop w:val="0"/>
          <w:marBottom w:val="0"/>
          <w:divBdr>
            <w:top w:val="none" w:sz="0" w:space="0" w:color="auto"/>
            <w:left w:val="none" w:sz="0" w:space="0" w:color="auto"/>
            <w:bottom w:val="none" w:sz="0" w:space="0" w:color="auto"/>
            <w:right w:val="none" w:sz="0" w:space="0" w:color="auto"/>
          </w:divBdr>
        </w:div>
        <w:div w:id="465515016">
          <w:marLeft w:val="0"/>
          <w:marRight w:val="0"/>
          <w:marTop w:val="0"/>
          <w:marBottom w:val="0"/>
          <w:divBdr>
            <w:top w:val="none" w:sz="0" w:space="0" w:color="auto"/>
            <w:left w:val="none" w:sz="0" w:space="0" w:color="auto"/>
            <w:bottom w:val="none" w:sz="0" w:space="0" w:color="auto"/>
            <w:right w:val="none" w:sz="0" w:space="0" w:color="auto"/>
          </w:divBdr>
        </w:div>
        <w:div w:id="500315459">
          <w:marLeft w:val="0"/>
          <w:marRight w:val="0"/>
          <w:marTop w:val="0"/>
          <w:marBottom w:val="0"/>
          <w:divBdr>
            <w:top w:val="none" w:sz="0" w:space="0" w:color="auto"/>
            <w:left w:val="none" w:sz="0" w:space="0" w:color="auto"/>
            <w:bottom w:val="none" w:sz="0" w:space="0" w:color="auto"/>
            <w:right w:val="none" w:sz="0" w:space="0" w:color="auto"/>
          </w:divBdr>
        </w:div>
        <w:div w:id="507719554">
          <w:marLeft w:val="0"/>
          <w:marRight w:val="0"/>
          <w:marTop w:val="0"/>
          <w:marBottom w:val="0"/>
          <w:divBdr>
            <w:top w:val="none" w:sz="0" w:space="0" w:color="auto"/>
            <w:left w:val="none" w:sz="0" w:space="0" w:color="auto"/>
            <w:bottom w:val="none" w:sz="0" w:space="0" w:color="auto"/>
            <w:right w:val="none" w:sz="0" w:space="0" w:color="auto"/>
          </w:divBdr>
        </w:div>
        <w:div w:id="526601033">
          <w:marLeft w:val="0"/>
          <w:marRight w:val="0"/>
          <w:marTop w:val="0"/>
          <w:marBottom w:val="0"/>
          <w:divBdr>
            <w:top w:val="none" w:sz="0" w:space="0" w:color="auto"/>
            <w:left w:val="none" w:sz="0" w:space="0" w:color="auto"/>
            <w:bottom w:val="none" w:sz="0" w:space="0" w:color="auto"/>
            <w:right w:val="none" w:sz="0" w:space="0" w:color="auto"/>
          </w:divBdr>
          <w:divsChild>
            <w:div w:id="37290185">
              <w:marLeft w:val="0"/>
              <w:marRight w:val="0"/>
              <w:marTop w:val="0"/>
              <w:marBottom w:val="0"/>
              <w:divBdr>
                <w:top w:val="none" w:sz="0" w:space="0" w:color="auto"/>
                <w:left w:val="none" w:sz="0" w:space="0" w:color="auto"/>
                <w:bottom w:val="none" w:sz="0" w:space="0" w:color="auto"/>
                <w:right w:val="none" w:sz="0" w:space="0" w:color="auto"/>
              </w:divBdr>
            </w:div>
            <w:div w:id="138310594">
              <w:marLeft w:val="0"/>
              <w:marRight w:val="0"/>
              <w:marTop w:val="0"/>
              <w:marBottom w:val="0"/>
              <w:divBdr>
                <w:top w:val="none" w:sz="0" w:space="0" w:color="auto"/>
                <w:left w:val="none" w:sz="0" w:space="0" w:color="auto"/>
                <w:bottom w:val="none" w:sz="0" w:space="0" w:color="auto"/>
                <w:right w:val="none" w:sz="0" w:space="0" w:color="auto"/>
              </w:divBdr>
            </w:div>
            <w:div w:id="285703406">
              <w:marLeft w:val="0"/>
              <w:marRight w:val="0"/>
              <w:marTop w:val="0"/>
              <w:marBottom w:val="0"/>
              <w:divBdr>
                <w:top w:val="none" w:sz="0" w:space="0" w:color="auto"/>
                <w:left w:val="none" w:sz="0" w:space="0" w:color="auto"/>
                <w:bottom w:val="none" w:sz="0" w:space="0" w:color="auto"/>
                <w:right w:val="none" w:sz="0" w:space="0" w:color="auto"/>
              </w:divBdr>
            </w:div>
            <w:div w:id="484786038">
              <w:marLeft w:val="0"/>
              <w:marRight w:val="0"/>
              <w:marTop w:val="0"/>
              <w:marBottom w:val="0"/>
              <w:divBdr>
                <w:top w:val="none" w:sz="0" w:space="0" w:color="auto"/>
                <w:left w:val="none" w:sz="0" w:space="0" w:color="auto"/>
                <w:bottom w:val="none" w:sz="0" w:space="0" w:color="auto"/>
                <w:right w:val="none" w:sz="0" w:space="0" w:color="auto"/>
              </w:divBdr>
            </w:div>
            <w:div w:id="497961337">
              <w:marLeft w:val="0"/>
              <w:marRight w:val="0"/>
              <w:marTop w:val="0"/>
              <w:marBottom w:val="0"/>
              <w:divBdr>
                <w:top w:val="none" w:sz="0" w:space="0" w:color="auto"/>
                <w:left w:val="none" w:sz="0" w:space="0" w:color="auto"/>
                <w:bottom w:val="none" w:sz="0" w:space="0" w:color="auto"/>
                <w:right w:val="none" w:sz="0" w:space="0" w:color="auto"/>
              </w:divBdr>
            </w:div>
            <w:div w:id="573391161">
              <w:marLeft w:val="0"/>
              <w:marRight w:val="0"/>
              <w:marTop w:val="0"/>
              <w:marBottom w:val="0"/>
              <w:divBdr>
                <w:top w:val="none" w:sz="0" w:space="0" w:color="auto"/>
                <w:left w:val="none" w:sz="0" w:space="0" w:color="auto"/>
                <w:bottom w:val="none" w:sz="0" w:space="0" w:color="auto"/>
                <w:right w:val="none" w:sz="0" w:space="0" w:color="auto"/>
              </w:divBdr>
            </w:div>
            <w:div w:id="643773294">
              <w:marLeft w:val="0"/>
              <w:marRight w:val="0"/>
              <w:marTop w:val="0"/>
              <w:marBottom w:val="0"/>
              <w:divBdr>
                <w:top w:val="none" w:sz="0" w:space="0" w:color="auto"/>
                <w:left w:val="none" w:sz="0" w:space="0" w:color="auto"/>
                <w:bottom w:val="none" w:sz="0" w:space="0" w:color="auto"/>
                <w:right w:val="none" w:sz="0" w:space="0" w:color="auto"/>
              </w:divBdr>
            </w:div>
            <w:div w:id="761879061">
              <w:marLeft w:val="0"/>
              <w:marRight w:val="0"/>
              <w:marTop w:val="0"/>
              <w:marBottom w:val="0"/>
              <w:divBdr>
                <w:top w:val="none" w:sz="0" w:space="0" w:color="auto"/>
                <w:left w:val="none" w:sz="0" w:space="0" w:color="auto"/>
                <w:bottom w:val="none" w:sz="0" w:space="0" w:color="auto"/>
                <w:right w:val="none" w:sz="0" w:space="0" w:color="auto"/>
              </w:divBdr>
            </w:div>
            <w:div w:id="790053372">
              <w:marLeft w:val="0"/>
              <w:marRight w:val="0"/>
              <w:marTop w:val="0"/>
              <w:marBottom w:val="0"/>
              <w:divBdr>
                <w:top w:val="none" w:sz="0" w:space="0" w:color="auto"/>
                <w:left w:val="none" w:sz="0" w:space="0" w:color="auto"/>
                <w:bottom w:val="none" w:sz="0" w:space="0" w:color="auto"/>
                <w:right w:val="none" w:sz="0" w:space="0" w:color="auto"/>
              </w:divBdr>
            </w:div>
            <w:div w:id="793907269">
              <w:marLeft w:val="0"/>
              <w:marRight w:val="0"/>
              <w:marTop w:val="0"/>
              <w:marBottom w:val="0"/>
              <w:divBdr>
                <w:top w:val="none" w:sz="0" w:space="0" w:color="auto"/>
                <w:left w:val="none" w:sz="0" w:space="0" w:color="auto"/>
                <w:bottom w:val="none" w:sz="0" w:space="0" w:color="auto"/>
                <w:right w:val="none" w:sz="0" w:space="0" w:color="auto"/>
              </w:divBdr>
            </w:div>
            <w:div w:id="810828687">
              <w:marLeft w:val="0"/>
              <w:marRight w:val="0"/>
              <w:marTop w:val="0"/>
              <w:marBottom w:val="0"/>
              <w:divBdr>
                <w:top w:val="none" w:sz="0" w:space="0" w:color="auto"/>
                <w:left w:val="none" w:sz="0" w:space="0" w:color="auto"/>
                <w:bottom w:val="none" w:sz="0" w:space="0" w:color="auto"/>
                <w:right w:val="none" w:sz="0" w:space="0" w:color="auto"/>
              </w:divBdr>
            </w:div>
            <w:div w:id="916325045">
              <w:marLeft w:val="0"/>
              <w:marRight w:val="0"/>
              <w:marTop w:val="0"/>
              <w:marBottom w:val="0"/>
              <w:divBdr>
                <w:top w:val="none" w:sz="0" w:space="0" w:color="auto"/>
                <w:left w:val="none" w:sz="0" w:space="0" w:color="auto"/>
                <w:bottom w:val="none" w:sz="0" w:space="0" w:color="auto"/>
                <w:right w:val="none" w:sz="0" w:space="0" w:color="auto"/>
              </w:divBdr>
            </w:div>
            <w:div w:id="1088502992">
              <w:marLeft w:val="0"/>
              <w:marRight w:val="0"/>
              <w:marTop w:val="0"/>
              <w:marBottom w:val="0"/>
              <w:divBdr>
                <w:top w:val="none" w:sz="0" w:space="0" w:color="auto"/>
                <w:left w:val="none" w:sz="0" w:space="0" w:color="auto"/>
                <w:bottom w:val="none" w:sz="0" w:space="0" w:color="auto"/>
                <w:right w:val="none" w:sz="0" w:space="0" w:color="auto"/>
              </w:divBdr>
            </w:div>
            <w:div w:id="1375931157">
              <w:marLeft w:val="0"/>
              <w:marRight w:val="0"/>
              <w:marTop w:val="0"/>
              <w:marBottom w:val="0"/>
              <w:divBdr>
                <w:top w:val="none" w:sz="0" w:space="0" w:color="auto"/>
                <w:left w:val="none" w:sz="0" w:space="0" w:color="auto"/>
                <w:bottom w:val="none" w:sz="0" w:space="0" w:color="auto"/>
                <w:right w:val="none" w:sz="0" w:space="0" w:color="auto"/>
              </w:divBdr>
            </w:div>
            <w:div w:id="1427380260">
              <w:marLeft w:val="0"/>
              <w:marRight w:val="0"/>
              <w:marTop w:val="0"/>
              <w:marBottom w:val="0"/>
              <w:divBdr>
                <w:top w:val="none" w:sz="0" w:space="0" w:color="auto"/>
                <w:left w:val="none" w:sz="0" w:space="0" w:color="auto"/>
                <w:bottom w:val="none" w:sz="0" w:space="0" w:color="auto"/>
                <w:right w:val="none" w:sz="0" w:space="0" w:color="auto"/>
              </w:divBdr>
            </w:div>
            <w:div w:id="1713111217">
              <w:marLeft w:val="0"/>
              <w:marRight w:val="0"/>
              <w:marTop w:val="0"/>
              <w:marBottom w:val="0"/>
              <w:divBdr>
                <w:top w:val="none" w:sz="0" w:space="0" w:color="auto"/>
                <w:left w:val="none" w:sz="0" w:space="0" w:color="auto"/>
                <w:bottom w:val="none" w:sz="0" w:space="0" w:color="auto"/>
                <w:right w:val="none" w:sz="0" w:space="0" w:color="auto"/>
              </w:divBdr>
            </w:div>
            <w:div w:id="1719889422">
              <w:marLeft w:val="0"/>
              <w:marRight w:val="0"/>
              <w:marTop w:val="0"/>
              <w:marBottom w:val="0"/>
              <w:divBdr>
                <w:top w:val="none" w:sz="0" w:space="0" w:color="auto"/>
                <w:left w:val="none" w:sz="0" w:space="0" w:color="auto"/>
                <w:bottom w:val="none" w:sz="0" w:space="0" w:color="auto"/>
                <w:right w:val="none" w:sz="0" w:space="0" w:color="auto"/>
              </w:divBdr>
            </w:div>
            <w:div w:id="1789078192">
              <w:marLeft w:val="0"/>
              <w:marRight w:val="0"/>
              <w:marTop w:val="0"/>
              <w:marBottom w:val="0"/>
              <w:divBdr>
                <w:top w:val="none" w:sz="0" w:space="0" w:color="auto"/>
                <w:left w:val="none" w:sz="0" w:space="0" w:color="auto"/>
                <w:bottom w:val="none" w:sz="0" w:space="0" w:color="auto"/>
                <w:right w:val="none" w:sz="0" w:space="0" w:color="auto"/>
              </w:divBdr>
            </w:div>
            <w:div w:id="1823036866">
              <w:marLeft w:val="0"/>
              <w:marRight w:val="0"/>
              <w:marTop w:val="0"/>
              <w:marBottom w:val="0"/>
              <w:divBdr>
                <w:top w:val="none" w:sz="0" w:space="0" w:color="auto"/>
                <w:left w:val="none" w:sz="0" w:space="0" w:color="auto"/>
                <w:bottom w:val="none" w:sz="0" w:space="0" w:color="auto"/>
                <w:right w:val="none" w:sz="0" w:space="0" w:color="auto"/>
              </w:divBdr>
            </w:div>
            <w:div w:id="2095125903">
              <w:marLeft w:val="0"/>
              <w:marRight w:val="0"/>
              <w:marTop w:val="0"/>
              <w:marBottom w:val="0"/>
              <w:divBdr>
                <w:top w:val="none" w:sz="0" w:space="0" w:color="auto"/>
                <w:left w:val="none" w:sz="0" w:space="0" w:color="auto"/>
                <w:bottom w:val="none" w:sz="0" w:space="0" w:color="auto"/>
                <w:right w:val="none" w:sz="0" w:space="0" w:color="auto"/>
              </w:divBdr>
            </w:div>
          </w:divsChild>
        </w:div>
        <w:div w:id="535699146">
          <w:marLeft w:val="0"/>
          <w:marRight w:val="0"/>
          <w:marTop w:val="0"/>
          <w:marBottom w:val="0"/>
          <w:divBdr>
            <w:top w:val="none" w:sz="0" w:space="0" w:color="auto"/>
            <w:left w:val="none" w:sz="0" w:space="0" w:color="auto"/>
            <w:bottom w:val="none" w:sz="0" w:space="0" w:color="auto"/>
            <w:right w:val="none" w:sz="0" w:space="0" w:color="auto"/>
          </w:divBdr>
          <w:divsChild>
            <w:div w:id="185217440">
              <w:marLeft w:val="0"/>
              <w:marRight w:val="0"/>
              <w:marTop w:val="0"/>
              <w:marBottom w:val="0"/>
              <w:divBdr>
                <w:top w:val="none" w:sz="0" w:space="0" w:color="auto"/>
                <w:left w:val="none" w:sz="0" w:space="0" w:color="auto"/>
                <w:bottom w:val="none" w:sz="0" w:space="0" w:color="auto"/>
                <w:right w:val="none" w:sz="0" w:space="0" w:color="auto"/>
              </w:divBdr>
            </w:div>
            <w:div w:id="331378935">
              <w:marLeft w:val="0"/>
              <w:marRight w:val="0"/>
              <w:marTop w:val="0"/>
              <w:marBottom w:val="0"/>
              <w:divBdr>
                <w:top w:val="none" w:sz="0" w:space="0" w:color="auto"/>
                <w:left w:val="none" w:sz="0" w:space="0" w:color="auto"/>
                <w:bottom w:val="none" w:sz="0" w:space="0" w:color="auto"/>
                <w:right w:val="none" w:sz="0" w:space="0" w:color="auto"/>
              </w:divBdr>
            </w:div>
            <w:div w:id="565149464">
              <w:marLeft w:val="0"/>
              <w:marRight w:val="0"/>
              <w:marTop w:val="0"/>
              <w:marBottom w:val="0"/>
              <w:divBdr>
                <w:top w:val="none" w:sz="0" w:space="0" w:color="auto"/>
                <w:left w:val="none" w:sz="0" w:space="0" w:color="auto"/>
                <w:bottom w:val="none" w:sz="0" w:space="0" w:color="auto"/>
                <w:right w:val="none" w:sz="0" w:space="0" w:color="auto"/>
              </w:divBdr>
            </w:div>
            <w:div w:id="625552660">
              <w:marLeft w:val="0"/>
              <w:marRight w:val="0"/>
              <w:marTop w:val="0"/>
              <w:marBottom w:val="0"/>
              <w:divBdr>
                <w:top w:val="none" w:sz="0" w:space="0" w:color="auto"/>
                <w:left w:val="none" w:sz="0" w:space="0" w:color="auto"/>
                <w:bottom w:val="none" w:sz="0" w:space="0" w:color="auto"/>
                <w:right w:val="none" w:sz="0" w:space="0" w:color="auto"/>
              </w:divBdr>
            </w:div>
            <w:div w:id="650672992">
              <w:marLeft w:val="0"/>
              <w:marRight w:val="0"/>
              <w:marTop w:val="0"/>
              <w:marBottom w:val="0"/>
              <w:divBdr>
                <w:top w:val="none" w:sz="0" w:space="0" w:color="auto"/>
                <w:left w:val="none" w:sz="0" w:space="0" w:color="auto"/>
                <w:bottom w:val="none" w:sz="0" w:space="0" w:color="auto"/>
                <w:right w:val="none" w:sz="0" w:space="0" w:color="auto"/>
              </w:divBdr>
            </w:div>
            <w:div w:id="751850845">
              <w:marLeft w:val="0"/>
              <w:marRight w:val="0"/>
              <w:marTop w:val="0"/>
              <w:marBottom w:val="0"/>
              <w:divBdr>
                <w:top w:val="none" w:sz="0" w:space="0" w:color="auto"/>
                <w:left w:val="none" w:sz="0" w:space="0" w:color="auto"/>
                <w:bottom w:val="none" w:sz="0" w:space="0" w:color="auto"/>
                <w:right w:val="none" w:sz="0" w:space="0" w:color="auto"/>
              </w:divBdr>
            </w:div>
            <w:div w:id="756941799">
              <w:marLeft w:val="0"/>
              <w:marRight w:val="0"/>
              <w:marTop w:val="0"/>
              <w:marBottom w:val="0"/>
              <w:divBdr>
                <w:top w:val="none" w:sz="0" w:space="0" w:color="auto"/>
                <w:left w:val="none" w:sz="0" w:space="0" w:color="auto"/>
                <w:bottom w:val="none" w:sz="0" w:space="0" w:color="auto"/>
                <w:right w:val="none" w:sz="0" w:space="0" w:color="auto"/>
              </w:divBdr>
            </w:div>
            <w:div w:id="777528640">
              <w:marLeft w:val="0"/>
              <w:marRight w:val="0"/>
              <w:marTop w:val="0"/>
              <w:marBottom w:val="0"/>
              <w:divBdr>
                <w:top w:val="none" w:sz="0" w:space="0" w:color="auto"/>
                <w:left w:val="none" w:sz="0" w:space="0" w:color="auto"/>
                <w:bottom w:val="none" w:sz="0" w:space="0" w:color="auto"/>
                <w:right w:val="none" w:sz="0" w:space="0" w:color="auto"/>
              </w:divBdr>
            </w:div>
            <w:div w:id="973291390">
              <w:marLeft w:val="0"/>
              <w:marRight w:val="0"/>
              <w:marTop w:val="0"/>
              <w:marBottom w:val="0"/>
              <w:divBdr>
                <w:top w:val="none" w:sz="0" w:space="0" w:color="auto"/>
                <w:left w:val="none" w:sz="0" w:space="0" w:color="auto"/>
                <w:bottom w:val="none" w:sz="0" w:space="0" w:color="auto"/>
                <w:right w:val="none" w:sz="0" w:space="0" w:color="auto"/>
              </w:divBdr>
            </w:div>
            <w:div w:id="1183864158">
              <w:marLeft w:val="0"/>
              <w:marRight w:val="0"/>
              <w:marTop w:val="0"/>
              <w:marBottom w:val="0"/>
              <w:divBdr>
                <w:top w:val="none" w:sz="0" w:space="0" w:color="auto"/>
                <w:left w:val="none" w:sz="0" w:space="0" w:color="auto"/>
                <w:bottom w:val="none" w:sz="0" w:space="0" w:color="auto"/>
                <w:right w:val="none" w:sz="0" w:space="0" w:color="auto"/>
              </w:divBdr>
            </w:div>
            <w:div w:id="1432125161">
              <w:marLeft w:val="0"/>
              <w:marRight w:val="0"/>
              <w:marTop w:val="0"/>
              <w:marBottom w:val="0"/>
              <w:divBdr>
                <w:top w:val="none" w:sz="0" w:space="0" w:color="auto"/>
                <w:left w:val="none" w:sz="0" w:space="0" w:color="auto"/>
                <w:bottom w:val="none" w:sz="0" w:space="0" w:color="auto"/>
                <w:right w:val="none" w:sz="0" w:space="0" w:color="auto"/>
              </w:divBdr>
            </w:div>
            <w:div w:id="1506935979">
              <w:marLeft w:val="0"/>
              <w:marRight w:val="0"/>
              <w:marTop w:val="0"/>
              <w:marBottom w:val="0"/>
              <w:divBdr>
                <w:top w:val="none" w:sz="0" w:space="0" w:color="auto"/>
                <w:left w:val="none" w:sz="0" w:space="0" w:color="auto"/>
                <w:bottom w:val="none" w:sz="0" w:space="0" w:color="auto"/>
                <w:right w:val="none" w:sz="0" w:space="0" w:color="auto"/>
              </w:divBdr>
            </w:div>
            <w:div w:id="1734425661">
              <w:marLeft w:val="0"/>
              <w:marRight w:val="0"/>
              <w:marTop w:val="0"/>
              <w:marBottom w:val="0"/>
              <w:divBdr>
                <w:top w:val="none" w:sz="0" w:space="0" w:color="auto"/>
                <w:left w:val="none" w:sz="0" w:space="0" w:color="auto"/>
                <w:bottom w:val="none" w:sz="0" w:space="0" w:color="auto"/>
                <w:right w:val="none" w:sz="0" w:space="0" w:color="auto"/>
              </w:divBdr>
            </w:div>
            <w:div w:id="1813596746">
              <w:marLeft w:val="0"/>
              <w:marRight w:val="0"/>
              <w:marTop w:val="0"/>
              <w:marBottom w:val="0"/>
              <w:divBdr>
                <w:top w:val="none" w:sz="0" w:space="0" w:color="auto"/>
                <w:left w:val="none" w:sz="0" w:space="0" w:color="auto"/>
                <w:bottom w:val="none" w:sz="0" w:space="0" w:color="auto"/>
                <w:right w:val="none" w:sz="0" w:space="0" w:color="auto"/>
              </w:divBdr>
            </w:div>
            <w:div w:id="1819685742">
              <w:marLeft w:val="0"/>
              <w:marRight w:val="0"/>
              <w:marTop w:val="0"/>
              <w:marBottom w:val="0"/>
              <w:divBdr>
                <w:top w:val="none" w:sz="0" w:space="0" w:color="auto"/>
                <w:left w:val="none" w:sz="0" w:space="0" w:color="auto"/>
                <w:bottom w:val="none" w:sz="0" w:space="0" w:color="auto"/>
                <w:right w:val="none" w:sz="0" w:space="0" w:color="auto"/>
              </w:divBdr>
            </w:div>
            <w:div w:id="1830517927">
              <w:marLeft w:val="0"/>
              <w:marRight w:val="0"/>
              <w:marTop w:val="0"/>
              <w:marBottom w:val="0"/>
              <w:divBdr>
                <w:top w:val="none" w:sz="0" w:space="0" w:color="auto"/>
                <w:left w:val="none" w:sz="0" w:space="0" w:color="auto"/>
                <w:bottom w:val="none" w:sz="0" w:space="0" w:color="auto"/>
                <w:right w:val="none" w:sz="0" w:space="0" w:color="auto"/>
              </w:divBdr>
            </w:div>
            <w:div w:id="1908302983">
              <w:marLeft w:val="0"/>
              <w:marRight w:val="0"/>
              <w:marTop w:val="0"/>
              <w:marBottom w:val="0"/>
              <w:divBdr>
                <w:top w:val="none" w:sz="0" w:space="0" w:color="auto"/>
                <w:left w:val="none" w:sz="0" w:space="0" w:color="auto"/>
                <w:bottom w:val="none" w:sz="0" w:space="0" w:color="auto"/>
                <w:right w:val="none" w:sz="0" w:space="0" w:color="auto"/>
              </w:divBdr>
            </w:div>
            <w:div w:id="1938169008">
              <w:marLeft w:val="0"/>
              <w:marRight w:val="0"/>
              <w:marTop w:val="0"/>
              <w:marBottom w:val="0"/>
              <w:divBdr>
                <w:top w:val="none" w:sz="0" w:space="0" w:color="auto"/>
                <w:left w:val="none" w:sz="0" w:space="0" w:color="auto"/>
                <w:bottom w:val="none" w:sz="0" w:space="0" w:color="auto"/>
                <w:right w:val="none" w:sz="0" w:space="0" w:color="auto"/>
              </w:divBdr>
            </w:div>
            <w:div w:id="1980063556">
              <w:marLeft w:val="0"/>
              <w:marRight w:val="0"/>
              <w:marTop w:val="0"/>
              <w:marBottom w:val="0"/>
              <w:divBdr>
                <w:top w:val="none" w:sz="0" w:space="0" w:color="auto"/>
                <w:left w:val="none" w:sz="0" w:space="0" w:color="auto"/>
                <w:bottom w:val="none" w:sz="0" w:space="0" w:color="auto"/>
                <w:right w:val="none" w:sz="0" w:space="0" w:color="auto"/>
              </w:divBdr>
            </w:div>
            <w:div w:id="2046983663">
              <w:marLeft w:val="0"/>
              <w:marRight w:val="0"/>
              <w:marTop w:val="0"/>
              <w:marBottom w:val="0"/>
              <w:divBdr>
                <w:top w:val="none" w:sz="0" w:space="0" w:color="auto"/>
                <w:left w:val="none" w:sz="0" w:space="0" w:color="auto"/>
                <w:bottom w:val="none" w:sz="0" w:space="0" w:color="auto"/>
                <w:right w:val="none" w:sz="0" w:space="0" w:color="auto"/>
              </w:divBdr>
            </w:div>
          </w:divsChild>
        </w:div>
        <w:div w:id="576476637">
          <w:marLeft w:val="0"/>
          <w:marRight w:val="0"/>
          <w:marTop w:val="0"/>
          <w:marBottom w:val="0"/>
          <w:divBdr>
            <w:top w:val="none" w:sz="0" w:space="0" w:color="auto"/>
            <w:left w:val="none" w:sz="0" w:space="0" w:color="auto"/>
            <w:bottom w:val="none" w:sz="0" w:space="0" w:color="auto"/>
            <w:right w:val="none" w:sz="0" w:space="0" w:color="auto"/>
          </w:divBdr>
          <w:divsChild>
            <w:div w:id="167066704">
              <w:marLeft w:val="0"/>
              <w:marRight w:val="0"/>
              <w:marTop w:val="0"/>
              <w:marBottom w:val="0"/>
              <w:divBdr>
                <w:top w:val="none" w:sz="0" w:space="0" w:color="auto"/>
                <w:left w:val="none" w:sz="0" w:space="0" w:color="auto"/>
                <w:bottom w:val="none" w:sz="0" w:space="0" w:color="auto"/>
                <w:right w:val="none" w:sz="0" w:space="0" w:color="auto"/>
              </w:divBdr>
            </w:div>
            <w:div w:id="191114889">
              <w:marLeft w:val="0"/>
              <w:marRight w:val="0"/>
              <w:marTop w:val="0"/>
              <w:marBottom w:val="0"/>
              <w:divBdr>
                <w:top w:val="none" w:sz="0" w:space="0" w:color="auto"/>
                <w:left w:val="none" w:sz="0" w:space="0" w:color="auto"/>
                <w:bottom w:val="none" w:sz="0" w:space="0" w:color="auto"/>
                <w:right w:val="none" w:sz="0" w:space="0" w:color="auto"/>
              </w:divBdr>
            </w:div>
            <w:div w:id="239146489">
              <w:marLeft w:val="0"/>
              <w:marRight w:val="0"/>
              <w:marTop w:val="0"/>
              <w:marBottom w:val="0"/>
              <w:divBdr>
                <w:top w:val="none" w:sz="0" w:space="0" w:color="auto"/>
                <w:left w:val="none" w:sz="0" w:space="0" w:color="auto"/>
                <w:bottom w:val="none" w:sz="0" w:space="0" w:color="auto"/>
                <w:right w:val="none" w:sz="0" w:space="0" w:color="auto"/>
              </w:divBdr>
            </w:div>
            <w:div w:id="379091562">
              <w:marLeft w:val="0"/>
              <w:marRight w:val="0"/>
              <w:marTop w:val="0"/>
              <w:marBottom w:val="0"/>
              <w:divBdr>
                <w:top w:val="none" w:sz="0" w:space="0" w:color="auto"/>
                <w:left w:val="none" w:sz="0" w:space="0" w:color="auto"/>
                <w:bottom w:val="none" w:sz="0" w:space="0" w:color="auto"/>
                <w:right w:val="none" w:sz="0" w:space="0" w:color="auto"/>
              </w:divBdr>
            </w:div>
            <w:div w:id="493106552">
              <w:marLeft w:val="0"/>
              <w:marRight w:val="0"/>
              <w:marTop w:val="0"/>
              <w:marBottom w:val="0"/>
              <w:divBdr>
                <w:top w:val="none" w:sz="0" w:space="0" w:color="auto"/>
                <w:left w:val="none" w:sz="0" w:space="0" w:color="auto"/>
                <w:bottom w:val="none" w:sz="0" w:space="0" w:color="auto"/>
                <w:right w:val="none" w:sz="0" w:space="0" w:color="auto"/>
              </w:divBdr>
            </w:div>
            <w:div w:id="671180281">
              <w:marLeft w:val="0"/>
              <w:marRight w:val="0"/>
              <w:marTop w:val="0"/>
              <w:marBottom w:val="0"/>
              <w:divBdr>
                <w:top w:val="none" w:sz="0" w:space="0" w:color="auto"/>
                <w:left w:val="none" w:sz="0" w:space="0" w:color="auto"/>
                <w:bottom w:val="none" w:sz="0" w:space="0" w:color="auto"/>
                <w:right w:val="none" w:sz="0" w:space="0" w:color="auto"/>
              </w:divBdr>
            </w:div>
            <w:div w:id="688408567">
              <w:marLeft w:val="0"/>
              <w:marRight w:val="0"/>
              <w:marTop w:val="0"/>
              <w:marBottom w:val="0"/>
              <w:divBdr>
                <w:top w:val="none" w:sz="0" w:space="0" w:color="auto"/>
                <w:left w:val="none" w:sz="0" w:space="0" w:color="auto"/>
                <w:bottom w:val="none" w:sz="0" w:space="0" w:color="auto"/>
                <w:right w:val="none" w:sz="0" w:space="0" w:color="auto"/>
              </w:divBdr>
            </w:div>
            <w:div w:id="801654016">
              <w:marLeft w:val="0"/>
              <w:marRight w:val="0"/>
              <w:marTop w:val="0"/>
              <w:marBottom w:val="0"/>
              <w:divBdr>
                <w:top w:val="none" w:sz="0" w:space="0" w:color="auto"/>
                <w:left w:val="none" w:sz="0" w:space="0" w:color="auto"/>
                <w:bottom w:val="none" w:sz="0" w:space="0" w:color="auto"/>
                <w:right w:val="none" w:sz="0" w:space="0" w:color="auto"/>
              </w:divBdr>
            </w:div>
            <w:div w:id="894780207">
              <w:marLeft w:val="0"/>
              <w:marRight w:val="0"/>
              <w:marTop w:val="0"/>
              <w:marBottom w:val="0"/>
              <w:divBdr>
                <w:top w:val="none" w:sz="0" w:space="0" w:color="auto"/>
                <w:left w:val="none" w:sz="0" w:space="0" w:color="auto"/>
                <w:bottom w:val="none" w:sz="0" w:space="0" w:color="auto"/>
                <w:right w:val="none" w:sz="0" w:space="0" w:color="auto"/>
              </w:divBdr>
            </w:div>
            <w:div w:id="949901167">
              <w:marLeft w:val="0"/>
              <w:marRight w:val="0"/>
              <w:marTop w:val="0"/>
              <w:marBottom w:val="0"/>
              <w:divBdr>
                <w:top w:val="none" w:sz="0" w:space="0" w:color="auto"/>
                <w:left w:val="none" w:sz="0" w:space="0" w:color="auto"/>
                <w:bottom w:val="none" w:sz="0" w:space="0" w:color="auto"/>
                <w:right w:val="none" w:sz="0" w:space="0" w:color="auto"/>
              </w:divBdr>
            </w:div>
            <w:div w:id="955409619">
              <w:marLeft w:val="0"/>
              <w:marRight w:val="0"/>
              <w:marTop w:val="0"/>
              <w:marBottom w:val="0"/>
              <w:divBdr>
                <w:top w:val="none" w:sz="0" w:space="0" w:color="auto"/>
                <w:left w:val="none" w:sz="0" w:space="0" w:color="auto"/>
                <w:bottom w:val="none" w:sz="0" w:space="0" w:color="auto"/>
                <w:right w:val="none" w:sz="0" w:space="0" w:color="auto"/>
              </w:divBdr>
            </w:div>
            <w:div w:id="1210921861">
              <w:marLeft w:val="0"/>
              <w:marRight w:val="0"/>
              <w:marTop w:val="0"/>
              <w:marBottom w:val="0"/>
              <w:divBdr>
                <w:top w:val="none" w:sz="0" w:space="0" w:color="auto"/>
                <w:left w:val="none" w:sz="0" w:space="0" w:color="auto"/>
                <w:bottom w:val="none" w:sz="0" w:space="0" w:color="auto"/>
                <w:right w:val="none" w:sz="0" w:space="0" w:color="auto"/>
              </w:divBdr>
            </w:div>
            <w:div w:id="1256741805">
              <w:marLeft w:val="0"/>
              <w:marRight w:val="0"/>
              <w:marTop w:val="0"/>
              <w:marBottom w:val="0"/>
              <w:divBdr>
                <w:top w:val="none" w:sz="0" w:space="0" w:color="auto"/>
                <w:left w:val="none" w:sz="0" w:space="0" w:color="auto"/>
                <w:bottom w:val="none" w:sz="0" w:space="0" w:color="auto"/>
                <w:right w:val="none" w:sz="0" w:space="0" w:color="auto"/>
              </w:divBdr>
            </w:div>
            <w:div w:id="1324434074">
              <w:marLeft w:val="0"/>
              <w:marRight w:val="0"/>
              <w:marTop w:val="0"/>
              <w:marBottom w:val="0"/>
              <w:divBdr>
                <w:top w:val="none" w:sz="0" w:space="0" w:color="auto"/>
                <w:left w:val="none" w:sz="0" w:space="0" w:color="auto"/>
                <w:bottom w:val="none" w:sz="0" w:space="0" w:color="auto"/>
                <w:right w:val="none" w:sz="0" w:space="0" w:color="auto"/>
              </w:divBdr>
            </w:div>
            <w:div w:id="1418558096">
              <w:marLeft w:val="0"/>
              <w:marRight w:val="0"/>
              <w:marTop w:val="0"/>
              <w:marBottom w:val="0"/>
              <w:divBdr>
                <w:top w:val="none" w:sz="0" w:space="0" w:color="auto"/>
                <w:left w:val="none" w:sz="0" w:space="0" w:color="auto"/>
                <w:bottom w:val="none" w:sz="0" w:space="0" w:color="auto"/>
                <w:right w:val="none" w:sz="0" w:space="0" w:color="auto"/>
              </w:divBdr>
            </w:div>
            <w:div w:id="1495487466">
              <w:marLeft w:val="0"/>
              <w:marRight w:val="0"/>
              <w:marTop w:val="0"/>
              <w:marBottom w:val="0"/>
              <w:divBdr>
                <w:top w:val="none" w:sz="0" w:space="0" w:color="auto"/>
                <w:left w:val="none" w:sz="0" w:space="0" w:color="auto"/>
                <w:bottom w:val="none" w:sz="0" w:space="0" w:color="auto"/>
                <w:right w:val="none" w:sz="0" w:space="0" w:color="auto"/>
              </w:divBdr>
            </w:div>
            <w:div w:id="1713505801">
              <w:marLeft w:val="0"/>
              <w:marRight w:val="0"/>
              <w:marTop w:val="0"/>
              <w:marBottom w:val="0"/>
              <w:divBdr>
                <w:top w:val="none" w:sz="0" w:space="0" w:color="auto"/>
                <w:left w:val="none" w:sz="0" w:space="0" w:color="auto"/>
                <w:bottom w:val="none" w:sz="0" w:space="0" w:color="auto"/>
                <w:right w:val="none" w:sz="0" w:space="0" w:color="auto"/>
              </w:divBdr>
            </w:div>
            <w:div w:id="1775783123">
              <w:marLeft w:val="0"/>
              <w:marRight w:val="0"/>
              <w:marTop w:val="0"/>
              <w:marBottom w:val="0"/>
              <w:divBdr>
                <w:top w:val="none" w:sz="0" w:space="0" w:color="auto"/>
                <w:left w:val="none" w:sz="0" w:space="0" w:color="auto"/>
                <w:bottom w:val="none" w:sz="0" w:space="0" w:color="auto"/>
                <w:right w:val="none" w:sz="0" w:space="0" w:color="auto"/>
              </w:divBdr>
            </w:div>
            <w:div w:id="1784422256">
              <w:marLeft w:val="0"/>
              <w:marRight w:val="0"/>
              <w:marTop w:val="0"/>
              <w:marBottom w:val="0"/>
              <w:divBdr>
                <w:top w:val="none" w:sz="0" w:space="0" w:color="auto"/>
                <w:left w:val="none" w:sz="0" w:space="0" w:color="auto"/>
                <w:bottom w:val="none" w:sz="0" w:space="0" w:color="auto"/>
                <w:right w:val="none" w:sz="0" w:space="0" w:color="auto"/>
              </w:divBdr>
            </w:div>
            <w:div w:id="2040692242">
              <w:marLeft w:val="0"/>
              <w:marRight w:val="0"/>
              <w:marTop w:val="0"/>
              <w:marBottom w:val="0"/>
              <w:divBdr>
                <w:top w:val="none" w:sz="0" w:space="0" w:color="auto"/>
                <w:left w:val="none" w:sz="0" w:space="0" w:color="auto"/>
                <w:bottom w:val="none" w:sz="0" w:space="0" w:color="auto"/>
                <w:right w:val="none" w:sz="0" w:space="0" w:color="auto"/>
              </w:divBdr>
            </w:div>
          </w:divsChild>
        </w:div>
        <w:div w:id="590508612">
          <w:marLeft w:val="0"/>
          <w:marRight w:val="0"/>
          <w:marTop w:val="0"/>
          <w:marBottom w:val="0"/>
          <w:divBdr>
            <w:top w:val="none" w:sz="0" w:space="0" w:color="auto"/>
            <w:left w:val="none" w:sz="0" w:space="0" w:color="auto"/>
            <w:bottom w:val="none" w:sz="0" w:space="0" w:color="auto"/>
            <w:right w:val="none" w:sz="0" w:space="0" w:color="auto"/>
          </w:divBdr>
        </w:div>
        <w:div w:id="592713173">
          <w:marLeft w:val="0"/>
          <w:marRight w:val="0"/>
          <w:marTop w:val="0"/>
          <w:marBottom w:val="0"/>
          <w:divBdr>
            <w:top w:val="none" w:sz="0" w:space="0" w:color="auto"/>
            <w:left w:val="none" w:sz="0" w:space="0" w:color="auto"/>
            <w:bottom w:val="none" w:sz="0" w:space="0" w:color="auto"/>
            <w:right w:val="none" w:sz="0" w:space="0" w:color="auto"/>
          </w:divBdr>
        </w:div>
        <w:div w:id="620461159">
          <w:marLeft w:val="0"/>
          <w:marRight w:val="0"/>
          <w:marTop w:val="0"/>
          <w:marBottom w:val="0"/>
          <w:divBdr>
            <w:top w:val="none" w:sz="0" w:space="0" w:color="auto"/>
            <w:left w:val="none" w:sz="0" w:space="0" w:color="auto"/>
            <w:bottom w:val="none" w:sz="0" w:space="0" w:color="auto"/>
            <w:right w:val="none" w:sz="0" w:space="0" w:color="auto"/>
          </w:divBdr>
        </w:div>
        <w:div w:id="626355014">
          <w:marLeft w:val="0"/>
          <w:marRight w:val="0"/>
          <w:marTop w:val="0"/>
          <w:marBottom w:val="0"/>
          <w:divBdr>
            <w:top w:val="none" w:sz="0" w:space="0" w:color="auto"/>
            <w:left w:val="none" w:sz="0" w:space="0" w:color="auto"/>
            <w:bottom w:val="none" w:sz="0" w:space="0" w:color="auto"/>
            <w:right w:val="none" w:sz="0" w:space="0" w:color="auto"/>
          </w:divBdr>
        </w:div>
        <w:div w:id="667906414">
          <w:marLeft w:val="0"/>
          <w:marRight w:val="0"/>
          <w:marTop w:val="0"/>
          <w:marBottom w:val="0"/>
          <w:divBdr>
            <w:top w:val="none" w:sz="0" w:space="0" w:color="auto"/>
            <w:left w:val="none" w:sz="0" w:space="0" w:color="auto"/>
            <w:bottom w:val="none" w:sz="0" w:space="0" w:color="auto"/>
            <w:right w:val="none" w:sz="0" w:space="0" w:color="auto"/>
          </w:divBdr>
        </w:div>
        <w:div w:id="669066979">
          <w:marLeft w:val="0"/>
          <w:marRight w:val="0"/>
          <w:marTop w:val="0"/>
          <w:marBottom w:val="0"/>
          <w:divBdr>
            <w:top w:val="none" w:sz="0" w:space="0" w:color="auto"/>
            <w:left w:val="none" w:sz="0" w:space="0" w:color="auto"/>
            <w:bottom w:val="none" w:sz="0" w:space="0" w:color="auto"/>
            <w:right w:val="none" w:sz="0" w:space="0" w:color="auto"/>
          </w:divBdr>
        </w:div>
        <w:div w:id="727875125">
          <w:marLeft w:val="0"/>
          <w:marRight w:val="0"/>
          <w:marTop w:val="0"/>
          <w:marBottom w:val="0"/>
          <w:divBdr>
            <w:top w:val="none" w:sz="0" w:space="0" w:color="auto"/>
            <w:left w:val="none" w:sz="0" w:space="0" w:color="auto"/>
            <w:bottom w:val="none" w:sz="0" w:space="0" w:color="auto"/>
            <w:right w:val="none" w:sz="0" w:space="0" w:color="auto"/>
          </w:divBdr>
        </w:div>
        <w:div w:id="741415960">
          <w:marLeft w:val="0"/>
          <w:marRight w:val="0"/>
          <w:marTop w:val="0"/>
          <w:marBottom w:val="0"/>
          <w:divBdr>
            <w:top w:val="none" w:sz="0" w:space="0" w:color="auto"/>
            <w:left w:val="none" w:sz="0" w:space="0" w:color="auto"/>
            <w:bottom w:val="none" w:sz="0" w:space="0" w:color="auto"/>
            <w:right w:val="none" w:sz="0" w:space="0" w:color="auto"/>
          </w:divBdr>
        </w:div>
        <w:div w:id="741490896">
          <w:marLeft w:val="0"/>
          <w:marRight w:val="0"/>
          <w:marTop w:val="0"/>
          <w:marBottom w:val="0"/>
          <w:divBdr>
            <w:top w:val="none" w:sz="0" w:space="0" w:color="auto"/>
            <w:left w:val="none" w:sz="0" w:space="0" w:color="auto"/>
            <w:bottom w:val="none" w:sz="0" w:space="0" w:color="auto"/>
            <w:right w:val="none" w:sz="0" w:space="0" w:color="auto"/>
          </w:divBdr>
        </w:div>
        <w:div w:id="782848977">
          <w:marLeft w:val="0"/>
          <w:marRight w:val="0"/>
          <w:marTop w:val="0"/>
          <w:marBottom w:val="0"/>
          <w:divBdr>
            <w:top w:val="none" w:sz="0" w:space="0" w:color="auto"/>
            <w:left w:val="none" w:sz="0" w:space="0" w:color="auto"/>
            <w:bottom w:val="none" w:sz="0" w:space="0" w:color="auto"/>
            <w:right w:val="none" w:sz="0" w:space="0" w:color="auto"/>
          </w:divBdr>
        </w:div>
        <w:div w:id="796920955">
          <w:marLeft w:val="0"/>
          <w:marRight w:val="0"/>
          <w:marTop w:val="0"/>
          <w:marBottom w:val="0"/>
          <w:divBdr>
            <w:top w:val="none" w:sz="0" w:space="0" w:color="auto"/>
            <w:left w:val="none" w:sz="0" w:space="0" w:color="auto"/>
            <w:bottom w:val="none" w:sz="0" w:space="0" w:color="auto"/>
            <w:right w:val="none" w:sz="0" w:space="0" w:color="auto"/>
          </w:divBdr>
        </w:div>
        <w:div w:id="796947584">
          <w:marLeft w:val="0"/>
          <w:marRight w:val="0"/>
          <w:marTop w:val="0"/>
          <w:marBottom w:val="0"/>
          <w:divBdr>
            <w:top w:val="none" w:sz="0" w:space="0" w:color="auto"/>
            <w:left w:val="none" w:sz="0" w:space="0" w:color="auto"/>
            <w:bottom w:val="none" w:sz="0" w:space="0" w:color="auto"/>
            <w:right w:val="none" w:sz="0" w:space="0" w:color="auto"/>
          </w:divBdr>
        </w:div>
        <w:div w:id="812603941">
          <w:marLeft w:val="0"/>
          <w:marRight w:val="0"/>
          <w:marTop w:val="0"/>
          <w:marBottom w:val="0"/>
          <w:divBdr>
            <w:top w:val="none" w:sz="0" w:space="0" w:color="auto"/>
            <w:left w:val="none" w:sz="0" w:space="0" w:color="auto"/>
            <w:bottom w:val="none" w:sz="0" w:space="0" w:color="auto"/>
            <w:right w:val="none" w:sz="0" w:space="0" w:color="auto"/>
          </w:divBdr>
        </w:div>
        <w:div w:id="817066602">
          <w:marLeft w:val="0"/>
          <w:marRight w:val="0"/>
          <w:marTop w:val="0"/>
          <w:marBottom w:val="0"/>
          <w:divBdr>
            <w:top w:val="none" w:sz="0" w:space="0" w:color="auto"/>
            <w:left w:val="none" w:sz="0" w:space="0" w:color="auto"/>
            <w:bottom w:val="none" w:sz="0" w:space="0" w:color="auto"/>
            <w:right w:val="none" w:sz="0" w:space="0" w:color="auto"/>
          </w:divBdr>
          <w:divsChild>
            <w:div w:id="66419680">
              <w:marLeft w:val="0"/>
              <w:marRight w:val="0"/>
              <w:marTop w:val="0"/>
              <w:marBottom w:val="0"/>
              <w:divBdr>
                <w:top w:val="none" w:sz="0" w:space="0" w:color="auto"/>
                <w:left w:val="none" w:sz="0" w:space="0" w:color="auto"/>
                <w:bottom w:val="none" w:sz="0" w:space="0" w:color="auto"/>
                <w:right w:val="none" w:sz="0" w:space="0" w:color="auto"/>
              </w:divBdr>
            </w:div>
            <w:div w:id="109132387">
              <w:marLeft w:val="0"/>
              <w:marRight w:val="0"/>
              <w:marTop w:val="0"/>
              <w:marBottom w:val="0"/>
              <w:divBdr>
                <w:top w:val="none" w:sz="0" w:space="0" w:color="auto"/>
                <w:left w:val="none" w:sz="0" w:space="0" w:color="auto"/>
                <w:bottom w:val="none" w:sz="0" w:space="0" w:color="auto"/>
                <w:right w:val="none" w:sz="0" w:space="0" w:color="auto"/>
              </w:divBdr>
            </w:div>
            <w:div w:id="113989586">
              <w:marLeft w:val="0"/>
              <w:marRight w:val="0"/>
              <w:marTop w:val="0"/>
              <w:marBottom w:val="0"/>
              <w:divBdr>
                <w:top w:val="none" w:sz="0" w:space="0" w:color="auto"/>
                <w:left w:val="none" w:sz="0" w:space="0" w:color="auto"/>
                <w:bottom w:val="none" w:sz="0" w:space="0" w:color="auto"/>
                <w:right w:val="none" w:sz="0" w:space="0" w:color="auto"/>
              </w:divBdr>
            </w:div>
            <w:div w:id="259460599">
              <w:marLeft w:val="0"/>
              <w:marRight w:val="0"/>
              <w:marTop w:val="0"/>
              <w:marBottom w:val="0"/>
              <w:divBdr>
                <w:top w:val="none" w:sz="0" w:space="0" w:color="auto"/>
                <w:left w:val="none" w:sz="0" w:space="0" w:color="auto"/>
                <w:bottom w:val="none" w:sz="0" w:space="0" w:color="auto"/>
                <w:right w:val="none" w:sz="0" w:space="0" w:color="auto"/>
              </w:divBdr>
            </w:div>
            <w:div w:id="445076429">
              <w:marLeft w:val="0"/>
              <w:marRight w:val="0"/>
              <w:marTop w:val="0"/>
              <w:marBottom w:val="0"/>
              <w:divBdr>
                <w:top w:val="none" w:sz="0" w:space="0" w:color="auto"/>
                <w:left w:val="none" w:sz="0" w:space="0" w:color="auto"/>
                <w:bottom w:val="none" w:sz="0" w:space="0" w:color="auto"/>
                <w:right w:val="none" w:sz="0" w:space="0" w:color="auto"/>
              </w:divBdr>
            </w:div>
            <w:div w:id="456291535">
              <w:marLeft w:val="0"/>
              <w:marRight w:val="0"/>
              <w:marTop w:val="0"/>
              <w:marBottom w:val="0"/>
              <w:divBdr>
                <w:top w:val="none" w:sz="0" w:space="0" w:color="auto"/>
                <w:left w:val="none" w:sz="0" w:space="0" w:color="auto"/>
                <w:bottom w:val="none" w:sz="0" w:space="0" w:color="auto"/>
                <w:right w:val="none" w:sz="0" w:space="0" w:color="auto"/>
              </w:divBdr>
            </w:div>
            <w:div w:id="652639981">
              <w:marLeft w:val="0"/>
              <w:marRight w:val="0"/>
              <w:marTop w:val="0"/>
              <w:marBottom w:val="0"/>
              <w:divBdr>
                <w:top w:val="none" w:sz="0" w:space="0" w:color="auto"/>
                <w:left w:val="none" w:sz="0" w:space="0" w:color="auto"/>
                <w:bottom w:val="none" w:sz="0" w:space="0" w:color="auto"/>
                <w:right w:val="none" w:sz="0" w:space="0" w:color="auto"/>
              </w:divBdr>
            </w:div>
            <w:div w:id="696809153">
              <w:marLeft w:val="0"/>
              <w:marRight w:val="0"/>
              <w:marTop w:val="0"/>
              <w:marBottom w:val="0"/>
              <w:divBdr>
                <w:top w:val="none" w:sz="0" w:space="0" w:color="auto"/>
                <w:left w:val="none" w:sz="0" w:space="0" w:color="auto"/>
                <w:bottom w:val="none" w:sz="0" w:space="0" w:color="auto"/>
                <w:right w:val="none" w:sz="0" w:space="0" w:color="auto"/>
              </w:divBdr>
            </w:div>
            <w:div w:id="698118728">
              <w:marLeft w:val="0"/>
              <w:marRight w:val="0"/>
              <w:marTop w:val="0"/>
              <w:marBottom w:val="0"/>
              <w:divBdr>
                <w:top w:val="none" w:sz="0" w:space="0" w:color="auto"/>
                <w:left w:val="none" w:sz="0" w:space="0" w:color="auto"/>
                <w:bottom w:val="none" w:sz="0" w:space="0" w:color="auto"/>
                <w:right w:val="none" w:sz="0" w:space="0" w:color="auto"/>
              </w:divBdr>
            </w:div>
            <w:div w:id="992179943">
              <w:marLeft w:val="0"/>
              <w:marRight w:val="0"/>
              <w:marTop w:val="0"/>
              <w:marBottom w:val="0"/>
              <w:divBdr>
                <w:top w:val="none" w:sz="0" w:space="0" w:color="auto"/>
                <w:left w:val="none" w:sz="0" w:space="0" w:color="auto"/>
                <w:bottom w:val="none" w:sz="0" w:space="0" w:color="auto"/>
                <w:right w:val="none" w:sz="0" w:space="0" w:color="auto"/>
              </w:divBdr>
            </w:div>
            <w:div w:id="1155150927">
              <w:marLeft w:val="0"/>
              <w:marRight w:val="0"/>
              <w:marTop w:val="0"/>
              <w:marBottom w:val="0"/>
              <w:divBdr>
                <w:top w:val="none" w:sz="0" w:space="0" w:color="auto"/>
                <w:left w:val="none" w:sz="0" w:space="0" w:color="auto"/>
                <w:bottom w:val="none" w:sz="0" w:space="0" w:color="auto"/>
                <w:right w:val="none" w:sz="0" w:space="0" w:color="auto"/>
              </w:divBdr>
            </w:div>
            <w:div w:id="1183662905">
              <w:marLeft w:val="0"/>
              <w:marRight w:val="0"/>
              <w:marTop w:val="0"/>
              <w:marBottom w:val="0"/>
              <w:divBdr>
                <w:top w:val="none" w:sz="0" w:space="0" w:color="auto"/>
                <w:left w:val="none" w:sz="0" w:space="0" w:color="auto"/>
                <w:bottom w:val="none" w:sz="0" w:space="0" w:color="auto"/>
                <w:right w:val="none" w:sz="0" w:space="0" w:color="auto"/>
              </w:divBdr>
            </w:div>
            <w:div w:id="1309171225">
              <w:marLeft w:val="0"/>
              <w:marRight w:val="0"/>
              <w:marTop w:val="0"/>
              <w:marBottom w:val="0"/>
              <w:divBdr>
                <w:top w:val="none" w:sz="0" w:space="0" w:color="auto"/>
                <w:left w:val="none" w:sz="0" w:space="0" w:color="auto"/>
                <w:bottom w:val="none" w:sz="0" w:space="0" w:color="auto"/>
                <w:right w:val="none" w:sz="0" w:space="0" w:color="auto"/>
              </w:divBdr>
            </w:div>
            <w:div w:id="1416978983">
              <w:marLeft w:val="0"/>
              <w:marRight w:val="0"/>
              <w:marTop w:val="0"/>
              <w:marBottom w:val="0"/>
              <w:divBdr>
                <w:top w:val="none" w:sz="0" w:space="0" w:color="auto"/>
                <w:left w:val="none" w:sz="0" w:space="0" w:color="auto"/>
                <w:bottom w:val="none" w:sz="0" w:space="0" w:color="auto"/>
                <w:right w:val="none" w:sz="0" w:space="0" w:color="auto"/>
              </w:divBdr>
            </w:div>
            <w:div w:id="1594124283">
              <w:marLeft w:val="0"/>
              <w:marRight w:val="0"/>
              <w:marTop w:val="0"/>
              <w:marBottom w:val="0"/>
              <w:divBdr>
                <w:top w:val="none" w:sz="0" w:space="0" w:color="auto"/>
                <w:left w:val="none" w:sz="0" w:space="0" w:color="auto"/>
                <w:bottom w:val="none" w:sz="0" w:space="0" w:color="auto"/>
                <w:right w:val="none" w:sz="0" w:space="0" w:color="auto"/>
              </w:divBdr>
            </w:div>
            <w:div w:id="1684282404">
              <w:marLeft w:val="0"/>
              <w:marRight w:val="0"/>
              <w:marTop w:val="0"/>
              <w:marBottom w:val="0"/>
              <w:divBdr>
                <w:top w:val="none" w:sz="0" w:space="0" w:color="auto"/>
                <w:left w:val="none" w:sz="0" w:space="0" w:color="auto"/>
                <w:bottom w:val="none" w:sz="0" w:space="0" w:color="auto"/>
                <w:right w:val="none" w:sz="0" w:space="0" w:color="auto"/>
              </w:divBdr>
            </w:div>
            <w:div w:id="1947998239">
              <w:marLeft w:val="0"/>
              <w:marRight w:val="0"/>
              <w:marTop w:val="0"/>
              <w:marBottom w:val="0"/>
              <w:divBdr>
                <w:top w:val="none" w:sz="0" w:space="0" w:color="auto"/>
                <w:left w:val="none" w:sz="0" w:space="0" w:color="auto"/>
                <w:bottom w:val="none" w:sz="0" w:space="0" w:color="auto"/>
                <w:right w:val="none" w:sz="0" w:space="0" w:color="auto"/>
              </w:divBdr>
            </w:div>
            <w:div w:id="2089032291">
              <w:marLeft w:val="0"/>
              <w:marRight w:val="0"/>
              <w:marTop w:val="0"/>
              <w:marBottom w:val="0"/>
              <w:divBdr>
                <w:top w:val="none" w:sz="0" w:space="0" w:color="auto"/>
                <w:left w:val="none" w:sz="0" w:space="0" w:color="auto"/>
                <w:bottom w:val="none" w:sz="0" w:space="0" w:color="auto"/>
                <w:right w:val="none" w:sz="0" w:space="0" w:color="auto"/>
              </w:divBdr>
            </w:div>
            <w:div w:id="2110273129">
              <w:marLeft w:val="0"/>
              <w:marRight w:val="0"/>
              <w:marTop w:val="0"/>
              <w:marBottom w:val="0"/>
              <w:divBdr>
                <w:top w:val="none" w:sz="0" w:space="0" w:color="auto"/>
                <w:left w:val="none" w:sz="0" w:space="0" w:color="auto"/>
                <w:bottom w:val="none" w:sz="0" w:space="0" w:color="auto"/>
                <w:right w:val="none" w:sz="0" w:space="0" w:color="auto"/>
              </w:divBdr>
            </w:div>
            <w:div w:id="2131513683">
              <w:marLeft w:val="0"/>
              <w:marRight w:val="0"/>
              <w:marTop w:val="0"/>
              <w:marBottom w:val="0"/>
              <w:divBdr>
                <w:top w:val="none" w:sz="0" w:space="0" w:color="auto"/>
                <w:left w:val="none" w:sz="0" w:space="0" w:color="auto"/>
                <w:bottom w:val="none" w:sz="0" w:space="0" w:color="auto"/>
                <w:right w:val="none" w:sz="0" w:space="0" w:color="auto"/>
              </w:divBdr>
            </w:div>
          </w:divsChild>
        </w:div>
        <w:div w:id="837037785">
          <w:marLeft w:val="0"/>
          <w:marRight w:val="0"/>
          <w:marTop w:val="0"/>
          <w:marBottom w:val="0"/>
          <w:divBdr>
            <w:top w:val="none" w:sz="0" w:space="0" w:color="auto"/>
            <w:left w:val="none" w:sz="0" w:space="0" w:color="auto"/>
            <w:bottom w:val="none" w:sz="0" w:space="0" w:color="auto"/>
            <w:right w:val="none" w:sz="0" w:space="0" w:color="auto"/>
          </w:divBdr>
        </w:div>
        <w:div w:id="847138330">
          <w:marLeft w:val="0"/>
          <w:marRight w:val="0"/>
          <w:marTop w:val="0"/>
          <w:marBottom w:val="0"/>
          <w:divBdr>
            <w:top w:val="none" w:sz="0" w:space="0" w:color="auto"/>
            <w:left w:val="none" w:sz="0" w:space="0" w:color="auto"/>
            <w:bottom w:val="none" w:sz="0" w:space="0" w:color="auto"/>
            <w:right w:val="none" w:sz="0" w:space="0" w:color="auto"/>
          </w:divBdr>
        </w:div>
        <w:div w:id="847671012">
          <w:marLeft w:val="0"/>
          <w:marRight w:val="0"/>
          <w:marTop w:val="0"/>
          <w:marBottom w:val="0"/>
          <w:divBdr>
            <w:top w:val="none" w:sz="0" w:space="0" w:color="auto"/>
            <w:left w:val="none" w:sz="0" w:space="0" w:color="auto"/>
            <w:bottom w:val="none" w:sz="0" w:space="0" w:color="auto"/>
            <w:right w:val="none" w:sz="0" w:space="0" w:color="auto"/>
          </w:divBdr>
        </w:div>
        <w:div w:id="848637560">
          <w:marLeft w:val="0"/>
          <w:marRight w:val="0"/>
          <w:marTop w:val="0"/>
          <w:marBottom w:val="0"/>
          <w:divBdr>
            <w:top w:val="none" w:sz="0" w:space="0" w:color="auto"/>
            <w:left w:val="none" w:sz="0" w:space="0" w:color="auto"/>
            <w:bottom w:val="none" w:sz="0" w:space="0" w:color="auto"/>
            <w:right w:val="none" w:sz="0" w:space="0" w:color="auto"/>
          </w:divBdr>
          <w:divsChild>
            <w:div w:id="249047491">
              <w:marLeft w:val="0"/>
              <w:marRight w:val="0"/>
              <w:marTop w:val="0"/>
              <w:marBottom w:val="0"/>
              <w:divBdr>
                <w:top w:val="none" w:sz="0" w:space="0" w:color="auto"/>
                <w:left w:val="none" w:sz="0" w:space="0" w:color="auto"/>
                <w:bottom w:val="none" w:sz="0" w:space="0" w:color="auto"/>
                <w:right w:val="none" w:sz="0" w:space="0" w:color="auto"/>
              </w:divBdr>
            </w:div>
            <w:div w:id="274480065">
              <w:marLeft w:val="0"/>
              <w:marRight w:val="0"/>
              <w:marTop w:val="0"/>
              <w:marBottom w:val="0"/>
              <w:divBdr>
                <w:top w:val="none" w:sz="0" w:space="0" w:color="auto"/>
                <w:left w:val="none" w:sz="0" w:space="0" w:color="auto"/>
                <w:bottom w:val="none" w:sz="0" w:space="0" w:color="auto"/>
                <w:right w:val="none" w:sz="0" w:space="0" w:color="auto"/>
              </w:divBdr>
            </w:div>
            <w:div w:id="288896107">
              <w:marLeft w:val="0"/>
              <w:marRight w:val="0"/>
              <w:marTop w:val="0"/>
              <w:marBottom w:val="0"/>
              <w:divBdr>
                <w:top w:val="none" w:sz="0" w:space="0" w:color="auto"/>
                <w:left w:val="none" w:sz="0" w:space="0" w:color="auto"/>
                <w:bottom w:val="none" w:sz="0" w:space="0" w:color="auto"/>
                <w:right w:val="none" w:sz="0" w:space="0" w:color="auto"/>
              </w:divBdr>
            </w:div>
            <w:div w:id="543636826">
              <w:marLeft w:val="0"/>
              <w:marRight w:val="0"/>
              <w:marTop w:val="0"/>
              <w:marBottom w:val="0"/>
              <w:divBdr>
                <w:top w:val="none" w:sz="0" w:space="0" w:color="auto"/>
                <w:left w:val="none" w:sz="0" w:space="0" w:color="auto"/>
                <w:bottom w:val="none" w:sz="0" w:space="0" w:color="auto"/>
                <w:right w:val="none" w:sz="0" w:space="0" w:color="auto"/>
              </w:divBdr>
            </w:div>
            <w:div w:id="561403758">
              <w:marLeft w:val="0"/>
              <w:marRight w:val="0"/>
              <w:marTop w:val="0"/>
              <w:marBottom w:val="0"/>
              <w:divBdr>
                <w:top w:val="none" w:sz="0" w:space="0" w:color="auto"/>
                <w:left w:val="none" w:sz="0" w:space="0" w:color="auto"/>
                <w:bottom w:val="none" w:sz="0" w:space="0" w:color="auto"/>
                <w:right w:val="none" w:sz="0" w:space="0" w:color="auto"/>
              </w:divBdr>
            </w:div>
            <w:div w:id="593052402">
              <w:marLeft w:val="0"/>
              <w:marRight w:val="0"/>
              <w:marTop w:val="0"/>
              <w:marBottom w:val="0"/>
              <w:divBdr>
                <w:top w:val="none" w:sz="0" w:space="0" w:color="auto"/>
                <w:left w:val="none" w:sz="0" w:space="0" w:color="auto"/>
                <w:bottom w:val="none" w:sz="0" w:space="0" w:color="auto"/>
                <w:right w:val="none" w:sz="0" w:space="0" w:color="auto"/>
              </w:divBdr>
            </w:div>
            <w:div w:id="820267247">
              <w:marLeft w:val="0"/>
              <w:marRight w:val="0"/>
              <w:marTop w:val="0"/>
              <w:marBottom w:val="0"/>
              <w:divBdr>
                <w:top w:val="none" w:sz="0" w:space="0" w:color="auto"/>
                <w:left w:val="none" w:sz="0" w:space="0" w:color="auto"/>
                <w:bottom w:val="none" w:sz="0" w:space="0" w:color="auto"/>
                <w:right w:val="none" w:sz="0" w:space="0" w:color="auto"/>
              </w:divBdr>
            </w:div>
            <w:div w:id="887496967">
              <w:marLeft w:val="0"/>
              <w:marRight w:val="0"/>
              <w:marTop w:val="0"/>
              <w:marBottom w:val="0"/>
              <w:divBdr>
                <w:top w:val="none" w:sz="0" w:space="0" w:color="auto"/>
                <w:left w:val="none" w:sz="0" w:space="0" w:color="auto"/>
                <w:bottom w:val="none" w:sz="0" w:space="0" w:color="auto"/>
                <w:right w:val="none" w:sz="0" w:space="0" w:color="auto"/>
              </w:divBdr>
            </w:div>
            <w:div w:id="946541692">
              <w:marLeft w:val="0"/>
              <w:marRight w:val="0"/>
              <w:marTop w:val="0"/>
              <w:marBottom w:val="0"/>
              <w:divBdr>
                <w:top w:val="none" w:sz="0" w:space="0" w:color="auto"/>
                <w:left w:val="none" w:sz="0" w:space="0" w:color="auto"/>
                <w:bottom w:val="none" w:sz="0" w:space="0" w:color="auto"/>
                <w:right w:val="none" w:sz="0" w:space="0" w:color="auto"/>
              </w:divBdr>
            </w:div>
            <w:div w:id="1254051613">
              <w:marLeft w:val="0"/>
              <w:marRight w:val="0"/>
              <w:marTop w:val="0"/>
              <w:marBottom w:val="0"/>
              <w:divBdr>
                <w:top w:val="none" w:sz="0" w:space="0" w:color="auto"/>
                <w:left w:val="none" w:sz="0" w:space="0" w:color="auto"/>
                <w:bottom w:val="none" w:sz="0" w:space="0" w:color="auto"/>
                <w:right w:val="none" w:sz="0" w:space="0" w:color="auto"/>
              </w:divBdr>
            </w:div>
            <w:div w:id="1331565544">
              <w:marLeft w:val="0"/>
              <w:marRight w:val="0"/>
              <w:marTop w:val="0"/>
              <w:marBottom w:val="0"/>
              <w:divBdr>
                <w:top w:val="none" w:sz="0" w:space="0" w:color="auto"/>
                <w:left w:val="none" w:sz="0" w:space="0" w:color="auto"/>
                <w:bottom w:val="none" w:sz="0" w:space="0" w:color="auto"/>
                <w:right w:val="none" w:sz="0" w:space="0" w:color="auto"/>
              </w:divBdr>
            </w:div>
            <w:div w:id="1409107409">
              <w:marLeft w:val="0"/>
              <w:marRight w:val="0"/>
              <w:marTop w:val="0"/>
              <w:marBottom w:val="0"/>
              <w:divBdr>
                <w:top w:val="none" w:sz="0" w:space="0" w:color="auto"/>
                <w:left w:val="none" w:sz="0" w:space="0" w:color="auto"/>
                <w:bottom w:val="none" w:sz="0" w:space="0" w:color="auto"/>
                <w:right w:val="none" w:sz="0" w:space="0" w:color="auto"/>
              </w:divBdr>
            </w:div>
            <w:div w:id="1553037735">
              <w:marLeft w:val="0"/>
              <w:marRight w:val="0"/>
              <w:marTop w:val="0"/>
              <w:marBottom w:val="0"/>
              <w:divBdr>
                <w:top w:val="none" w:sz="0" w:space="0" w:color="auto"/>
                <w:left w:val="none" w:sz="0" w:space="0" w:color="auto"/>
                <w:bottom w:val="none" w:sz="0" w:space="0" w:color="auto"/>
                <w:right w:val="none" w:sz="0" w:space="0" w:color="auto"/>
              </w:divBdr>
            </w:div>
            <w:div w:id="1653829944">
              <w:marLeft w:val="0"/>
              <w:marRight w:val="0"/>
              <w:marTop w:val="0"/>
              <w:marBottom w:val="0"/>
              <w:divBdr>
                <w:top w:val="none" w:sz="0" w:space="0" w:color="auto"/>
                <w:left w:val="none" w:sz="0" w:space="0" w:color="auto"/>
                <w:bottom w:val="none" w:sz="0" w:space="0" w:color="auto"/>
                <w:right w:val="none" w:sz="0" w:space="0" w:color="auto"/>
              </w:divBdr>
            </w:div>
            <w:div w:id="1669669308">
              <w:marLeft w:val="0"/>
              <w:marRight w:val="0"/>
              <w:marTop w:val="0"/>
              <w:marBottom w:val="0"/>
              <w:divBdr>
                <w:top w:val="none" w:sz="0" w:space="0" w:color="auto"/>
                <w:left w:val="none" w:sz="0" w:space="0" w:color="auto"/>
                <w:bottom w:val="none" w:sz="0" w:space="0" w:color="auto"/>
                <w:right w:val="none" w:sz="0" w:space="0" w:color="auto"/>
              </w:divBdr>
            </w:div>
            <w:div w:id="1677148904">
              <w:marLeft w:val="0"/>
              <w:marRight w:val="0"/>
              <w:marTop w:val="0"/>
              <w:marBottom w:val="0"/>
              <w:divBdr>
                <w:top w:val="none" w:sz="0" w:space="0" w:color="auto"/>
                <w:left w:val="none" w:sz="0" w:space="0" w:color="auto"/>
                <w:bottom w:val="none" w:sz="0" w:space="0" w:color="auto"/>
                <w:right w:val="none" w:sz="0" w:space="0" w:color="auto"/>
              </w:divBdr>
            </w:div>
            <w:div w:id="1802962591">
              <w:marLeft w:val="0"/>
              <w:marRight w:val="0"/>
              <w:marTop w:val="0"/>
              <w:marBottom w:val="0"/>
              <w:divBdr>
                <w:top w:val="none" w:sz="0" w:space="0" w:color="auto"/>
                <w:left w:val="none" w:sz="0" w:space="0" w:color="auto"/>
                <w:bottom w:val="none" w:sz="0" w:space="0" w:color="auto"/>
                <w:right w:val="none" w:sz="0" w:space="0" w:color="auto"/>
              </w:divBdr>
            </w:div>
            <w:div w:id="1897887150">
              <w:marLeft w:val="0"/>
              <w:marRight w:val="0"/>
              <w:marTop w:val="0"/>
              <w:marBottom w:val="0"/>
              <w:divBdr>
                <w:top w:val="none" w:sz="0" w:space="0" w:color="auto"/>
                <w:left w:val="none" w:sz="0" w:space="0" w:color="auto"/>
                <w:bottom w:val="none" w:sz="0" w:space="0" w:color="auto"/>
                <w:right w:val="none" w:sz="0" w:space="0" w:color="auto"/>
              </w:divBdr>
            </w:div>
            <w:div w:id="2044398149">
              <w:marLeft w:val="0"/>
              <w:marRight w:val="0"/>
              <w:marTop w:val="0"/>
              <w:marBottom w:val="0"/>
              <w:divBdr>
                <w:top w:val="none" w:sz="0" w:space="0" w:color="auto"/>
                <w:left w:val="none" w:sz="0" w:space="0" w:color="auto"/>
                <w:bottom w:val="none" w:sz="0" w:space="0" w:color="auto"/>
                <w:right w:val="none" w:sz="0" w:space="0" w:color="auto"/>
              </w:divBdr>
            </w:div>
            <w:div w:id="2123333016">
              <w:marLeft w:val="0"/>
              <w:marRight w:val="0"/>
              <w:marTop w:val="0"/>
              <w:marBottom w:val="0"/>
              <w:divBdr>
                <w:top w:val="none" w:sz="0" w:space="0" w:color="auto"/>
                <w:left w:val="none" w:sz="0" w:space="0" w:color="auto"/>
                <w:bottom w:val="none" w:sz="0" w:space="0" w:color="auto"/>
                <w:right w:val="none" w:sz="0" w:space="0" w:color="auto"/>
              </w:divBdr>
            </w:div>
          </w:divsChild>
        </w:div>
        <w:div w:id="861894752">
          <w:marLeft w:val="0"/>
          <w:marRight w:val="0"/>
          <w:marTop w:val="0"/>
          <w:marBottom w:val="0"/>
          <w:divBdr>
            <w:top w:val="none" w:sz="0" w:space="0" w:color="auto"/>
            <w:left w:val="none" w:sz="0" w:space="0" w:color="auto"/>
            <w:bottom w:val="none" w:sz="0" w:space="0" w:color="auto"/>
            <w:right w:val="none" w:sz="0" w:space="0" w:color="auto"/>
          </w:divBdr>
          <w:divsChild>
            <w:div w:id="130758162">
              <w:marLeft w:val="0"/>
              <w:marRight w:val="0"/>
              <w:marTop w:val="0"/>
              <w:marBottom w:val="0"/>
              <w:divBdr>
                <w:top w:val="none" w:sz="0" w:space="0" w:color="auto"/>
                <w:left w:val="none" w:sz="0" w:space="0" w:color="auto"/>
                <w:bottom w:val="none" w:sz="0" w:space="0" w:color="auto"/>
                <w:right w:val="none" w:sz="0" w:space="0" w:color="auto"/>
              </w:divBdr>
            </w:div>
            <w:div w:id="137772207">
              <w:marLeft w:val="0"/>
              <w:marRight w:val="0"/>
              <w:marTop w:val="0"/>
              <w:marBottom w:val="0"/>
              <w:divBdr>
                <w:top w:val="none" w:sz="0" w:space="0" w:color="auto"/>
                <w:left w:val="none" w:sz="0" w:space="0" w:color="auto"/>
                <w:bottom w:val="none" w:sz="0" w:space="0" w:color="auto"/>
                <w:right w:val="none" w:sz="0" w:space="0" w:color="auto"/>
              </w:divBdr>
            </w:div>
            <w:div w:id="321473100">
              <w:marLeft w:val="0"/>
              <w:marRight w:val="0"/>
              <w:marTop w:val="0"/>
              <w:marBottom w:val="0"/>
              <w:divBdr>
                <w:top w:val="none" w:sz="0" w:space="0" w:color="auto"/>
                <w:left w:val="none" w:sz="0" w:space="0" w:color="auto"/>
                <w:bottom w:val="none" w:sz="0" w:space="0" w:color="auto"/>
                <w:right w:val="none" w:sz="0" w:space="0" w:color="auto"/>
              </w:divBdr>
            </w:div>
            <w:div w:id="491340646">
              <w:marLeft w:val="0"/>
              <w:marRight w:val="0"/>
              <w:marTop w:val="0"/>
              <w:marBottom w:val="0"/>
              <w:divBdr>
                <w:top w:val="none" w:sz="0" w:space="0" w:color="auto"/>
                <w:left w:val="none" w:sz="0" w:space="0" w:color="auto"/>
                <w:bottom w:val="none" w:sz="0" w:space="0" w:color="auto"/>
                <w:right w:val="none" w:sz="0" w:space="0" w:color="auto"/>
              </w:divBdr>
            </w:div>
            <w:div w:id="629557363">
              <w:marLeft w:val="0"/>
              <w:marRight w:val="0"/>
              <w:marTop w:val="0"/>
              <w:marBottom w:val="0"/>
              <w:divBdr>
                <w:top w:val="none" w:sz="0" w:space="0" w:color="auto"/>
                <w:left w:val="none" w:sz="0" w:space="0" w:color="auto"/>
                <w:bottom w:val="none" w:sz="0" w:space="0" w:color="auto"/>
                <w:right w:val="none" w:sz="0" w:space="0" w:color="auto"/>
              </w:divBdr>
            </w:div>
            <w:div w:id="784160232">
              <w:marLeft w:val="0"/>
              <w:marRight w:val="0"/>
              <w:marTop w:val="0"/>
              <w:marBottom w:val="0"/>
              <w:divBdr>
                <w:top w:val="none" w:sz="0" w:space="0" w:color="auto"/>
                <w:left w:val="none" w:sz="0" w:space="0" w:color="auto"/>
                <w:bottom w:val="none" w:sz="0" w:space="0" w:color="auto"/>
                <w:right w:val="none" w:sz="0" w:space="0" w:color="auto"/>
              </w:divBdr>
            </w:div>
            <w:div w:id="809905028">
              <w:marLeft w:val="0"/>
              <w:marRight w:val="0"/>
              <w:marTop w:val="0"/>
              <w:marBottom w:val="0"/>
              <w:divBdr>
                <w:top w:val="none" w:sz="0" w:space="0" w:color="auto"/>
                <w:left w:val="none" w:sz="0" w:space="0" w:color="auto"/>
                <w:bottom w:val="none" w:sz="0" w:space="0" w:color="auto"/>
                <w:right w:val="none" w:sz="0" w:space="0" w:color="auto"/>
              </w:divBdr>
            </w:div>
            <w:div w:id="842862911">
              <w:marLeft w:val="0"/>
              <w:marRight w:val="0"/>
              <w:marTop w:val="0"/>
              <w:marBottom w:val="0"/>
              <w:divBdr>
                <w:top w:val="none" w:sz="0" w:space="0" w:color="auto"/>
                <w:left w:val="none" w:sz="0" w:space="0" w:color="auto"/>
                <w:bottom w:val="none" w:sz="0" w:space="0" w:color="auto"/>
                <w:right w:val="none" w:sz="0" w:space="0" w:color="auto"/>
              </w:divBdr>
            </w:div>
            <w:div w:id="1041055454">
              <w:marLeft w:val="0"/>
              <w:marRight w:val="0"/>
              <w:marTop w:val="0"/>
              <w:marBottom w:val="0"/>
              <w:divBdr>
                <w:top w:val="none" w:sz="0" w:space="0" w:color="auto"/>
                <w:left w:val="none" w:sz="0" w:space="0" w:color="auto"/>
                <w:bottom w:val="none" w:sz="0" w:space="0" w:color="auto"/>
                <w:right w:val="none" w:sz="0" w:space="0" w:color="auto"/>
              </w:divBdr>
            </w:div>
            <w:div w:id="1055852920">
              <w:marLeft w:val="0"/>
              <w:marRight w:val="0"/>
              <w:marTop w:val="0"/>
              <w:marBottom w:val="0"/>
              <w:divBdr>
                <w:top w:val="none" w:sz="0" w:space="0" w:color="auto"/>
                <w:left w:val="none" w:sz="0" w:space="0" w:color="auto"/>
                <w:bottom w:val="none" w:sz="0" w:space="0" w:color="auto"/>
                <w:right w:val="none" w:sz="0" w:space="0" w:color="auto"/>
              </w:divBdr>
            </w:div>
            <w:div w:id="1058624987">
              <w:marLeft w:val="0"/>
              <w:marRight w:val="0"/>
              <w:marTop w:val="0"/>
              <w:marBottom w:val="0"/>
              <w:divBdr>
                <w:top w:val="none" w:sz="0" w:space="0" w:color="auto"/>
                <w:left w:val="none" w:sz="0" w:space="0" w:color="auto"/>
                <w:bottom w:val="none" w:sz="0" w:space="0" w:color="auto"/>
                <w:right w:val="none" w:sz="0" w:space="0" w:color="auto"/>
              </w:divBdr>
            </w:div>
            <w:div w:id="1160191458">
              <w:marLeft w:val="0"/>
              <w:marRight w:val="0"/>
              <w:marTop w:val="0"/>
              <w:marBottom w:val="0"/>
              <w:divBdr>
                <w:top w:val="none" w:sz="0" w:space="0" w:color="auto"/>
                <w:left w:val="none" w:sz="0" w:space="0" w:color="auto"/>
                <w:bottom w:val="none" w:sz="0" w:space="0" w:color="auto"/>
                <w:right w:val="none" w:sz="0" w:space="0" w:color="auto"/>
              </w:divBdr>
            </w:div>
            <w:div w:id="1693843637">
              <w:marLeft w:val="0"/>
              <w:marRight w:val="0"/>
              <w:marTop w:val="0"/>
              <w:marBottom w:val="0"/>
              <w:divBdr>
                <w:top w:val="none" w:sz="0" w:space="0" w:color="auto"/>
                <w:left w:val="none" w:sz="0" w:space="0" w:color="auto"/>
                <w:bottom w:val="none" w:sz="0" w:space="0" w:color="auto"/>
                <w:right w:val="none" w:sz="0" w:space="0" w:color="auto"/>
              </w:divBdr>
            </w:div>
            <w:div w:id="1776753577">
              <w:marLeft w:val="0"/>
              <w:marRight w:val="0"/>
              <w:marTop w:val="0"/>
              <w:marBottom w:val="0"/>
              <w:divBdr>
                <w:top w:val="none" w:sz="0" w:space="0" w:color="auto"/>
                <w:left w:val="none" w:sz="0" w:space="0" w:color="auto"/>
                <w:bottom w:val="none" w:sz="0" w:space="0" w:color="auto"/>
                <w:right w:val="none" w:sz="0" w:space="0" w:color="auto"/>
              </w:divBdr>
            </w:div>
            <w:div w:id="1882208591">
              <w:marLeft w:val="0"/>
              <w:marRight w:val="0"/>
              <w:marTop w:val="0"/>
              <w:marBottom w:val="0"/>
              <w:divBdr>
                <w:top w:val="none" w:sz="0" w:space="0" w:color="auto"/>
                <w:left w:val="none" w:sz="0" w:space="0" w:color="auto"/>
                <w:bottom w:val="none" w:sz="0" w:space="0" w:color="auto"/>
                <w:right w:val="none" w:sz="0" w:space="0" w:color="auto"/>
              </w:divBdr>
            </w:div>
            <w:div w:id="1944917402">
              <w:marLeft w:val="0"/>
              <w:marRight w:val="0"/>
              <w:marTop w:val="0"/>
              <w:marBottom w:val="0"/>
              <w:divBdr>
                <w:top w:val="none" w:sz="0" w:space="0" w:color="auto"/>
                <w:left w:val="none" w:sz="0" w:space="0" w:color="auto"/>
                <w:bottom w:val="none" w:sz="0" w:space="0" w:color="auto"/>
                <w:right w:val="none" w:sz="0" w:space="0" w:color="auto"/>
              </w:divBdr>
            </w:div>
            <w:div w:id="1947536638">
              <w:marLeft w:val="0"/>
              <w:marRight w:val="0"/>
              <w:marTop w:val="0"/>
              <w:marBottom w:val="0"/>
              <w:divBdr>
                <w:top w:val="none" w:sz="0" w:space="0" w:color="auto"/>
                <w:left w:val="none" w:sz="0" w:space="0" w:color="auto"/>
                <w:bottom w:val="none" w:sz="0" w:space="0" w:color="auto"/>
                <w:right w:val="none" w:sz="0" w:space="0" w:color="auto"/>
              </w:divBdr>
            </w:div>
            <w:div w:id="2002543330">
              <w:marLeft w:val="0"/>
              <w:marRight w:val="0"/>
              <w:marTop w:val="0"/>
              <w:marBottom w:val="0"/>
              <w:divBdr>
                <w:top w:val="none" w:sz="0" w:space="0" w:color="auto"/>
                <w:left w:val="none" w:sz="0" w:space="0" w:color="auto"/>
                <w:bottom w:val="none" w:sz="0" w:space="0" w:color="auto"/>
                <w:right w:val="none" w:sz="0" w:space="0" w:color="auto"/>
              </w:divBdr>
            </w:div>
            <w:div w:id="2130854483">
              <w:marLeft w:val="0"/>
              <w:marRight w:val="0"/>
              <w:marTop w:val="0"/>
              <w:marBottom w:val="0"/>
              <w:divBdr>
                <w:top w:val="none" w:sz="0" w:space="0" w:color="auto"/>
                <w:left w:val="none" w:sz="0" w:space="0" w:color="auto"/>
                <w:bottom w:val="none" w:sz="0" w:space="0" w:color="auto"/>
                <w:right w:val="none" w:sz="0" w:space="0" w:color="auto"/>
              </w:divBdr>
            </w:div>
            <w:div w:id="2145653041">
              <w:marLeft w:val="0"/>
              <w:marRight w:val="0"/>
              <w:marTop w:val="0"/>
              <w:marBottom w:val="0"/>
              <w:divBdr>
                <w:top w:val="none" w:sz="0" w:space="0" w:color="auto"/>
                <w:left w:val="none" w:sz="0" w:space="0" w:color="auto"/>
                <w:bottom w:val="none" w:sz="0" w:space="0" w:color="auto"/>
                <w:right w:val="none" w:sz="0" w:space="0" w:color="auto"/>
              </w:divBdr>
            </w:div>
          </w:divsChild>
        </w:div>
        <w:div w:id="868762733">
          <w:marLeft w:val="0"/>
          <w:marRight w:val="0"/>
          <w:marTop w:val="0"/>
          <w:marBottom w:val="0"/>
          <w:divBdr>
            <w:top w:val="none" w:sz="0" w:space="0" w:color="auto"/>
            <w:left w:val="none" w:sz="0" w:space="0" w:color="auto"/>
            <w:bottom w:val="none" w:sz="0" w:space="0" w:color="auto"/>
            <w:right w:val="none" w:sz="0" w:space="0" w:color="auto"/>
          </w:divBdr>
        </w:div>
        <w:div w:id="878013042">
          <w:marLeft w:val="0"/>
          <w:marRight w:val="0"/>
          <w:marTop w:val="0"/>
          <w:marBottom w:val="0"/>
          <w:divBdr>
            <w:top w:val="none" w:sz="0" w:space="0" w:color="auto"/>
            <w:left w:val="none" w:sz="0" w:space="0" w:color="auto"/>
            <w:bottom w:val="none" w:sz="0" w:space="0" w:color="auto"/>
            <w:right w:val="none" w:sz="0" w:space="0" w:color="auto"/>
          </w:divBdr>
        </w:div>
        <w:div w:id="882907712">
          <w:marLeft w:val="0"/>
          <w:marRight w:val="0"/>
          <w:marTop w:val="0"/>
          <w:marBottom w:val="0"/>
          <w:divBdr>
            <w:top w:val="none" w:sz="0" w:space="0" w:color="auto"/>
            <w:left w:val="none" w:sz="0" w:space="0" w:color="auto"/>
            <w:bottom w:val="none" w:sz="0" w:space="0" w:color="auto"/>
            <w:right w:val="none" w:sz="0" w:space="0" w:color="auto"/>
          </w:divBdr>
        </w:div>
        <w:div w:id="884173000">
          <w:marLeft w:val="0"/>
          <w:marRight w:val="0"/>
          <w:marTop w:val="0"/>
          <w:marBottom w:val="0"/>
          <w:divBdr>
            <w:top w:val="none" w:sz="0" w:space="0" w:color="auto"/>
            <w:left w:val="none" w:sz="0" w:space="0" w:color="auto"/>
            <w:bottom w:val="none" w:sz="0" w:space="0" w:color="auto"/>
            <w:right w:val="none" w:sz="0" w:space="0" w:color="auto"/>
          </w:divBdr>
          <w:divsChild>
            <w:div w:id="1039936139">
              <w:marLeft w:val="-75"/>
              <w:marRight w:val="0"/>
              <w:marTop w:val="30"/>
              <w:marBottom w:val="30"/>
              <w:divBdr>
                <w:top w:val="none" w:sz="0" w:space="0" w:color="auto"/>
                <w:left w:val="none" w:sz="0" w:space="0" w:color="auto"/>
                <w:bottom w:val="none" w:sz="0" w:space="0" w:color="auto"/>
                <w:right w:val="none" w:sz="0" w:space="0" w:color="auto"/>
              </w:divBdr>
              <w:divsChild>
                <w:div w:id="272565603">
                  <w:marLeft w:val="0"/>
                  <w:marRight w:val="0"/>
                  <w:marTop w:val="0"/>
                  <w:marBottom w:val="0"/>
                  <w:divBdr>
                    <w:top w:val="none" w:sz="0" w:space="0" w:color="auto"/>
                    <w:left w:val="none" w:sz="0" w:space="0" w:color="auto"/>
                    <w:bottom w:val="none" w:sz="0" w:space="0" w:color="auto"/>
                    <w:right w:val="none" w:sz="0" w:space="0" w:color="auto"/>
                  </w:divBdr>
                  <w:divsChild>
                    <w:div w:id="1738555574">
                      <w:marLeft w:val="0"/>
                      <w:marRight w:val="0"/>
                      <w:marTop w:val="0"/>
                      <w:marBottom w:val="0"/>
                      <w:divBdr>
                        <w:top w:val="none" w:sz="0" w:space="0" w:color="auto"/>
                        <w:left w:val="none" w:sz="0" w:space="0" w:color="auto"/>
                        <w:bottom w:val="none" w:sz="0" w:space="0" w:color="auto"/>
                        <w:right w:val="none" w:sz="0" w:space="0" w:color="auto"/>
                      </w:divBdr>
                    </w:div>
                  </w:divsChild>
                </w:div>
                <w:div w:id="317423095">
                  <w:marLeft w:val="0"/>
                  <w:marRight w:val="0"/>
                  <w:marTop w:val="0"/>
                  <w:marBottom w:val="0"/>
                  <w:divBdr>
                    <w:top w:val="none" w:sz="0" w:space="0" w:color="auto"/>
                    <w:left w:val="none" w:sz="0" w:space="0" w:color="auto"/>
                    <w:bottom w:val="none" w:sz="0" w:space="0" w:color="auto"/>
                    <w:right w:val="none" w:sz="0" w:space="0" w:color="auto"/>
                  </w:divBdr>
                  <w:divsChild>
                    <w:div w:id="1429737517">
                      <w:marLeft w:val="0"/>
                      <w:marRight w:val="0"/>
                      <w:marTop w:val="0"/>
                      <w:marBottom w:val="0"/>
                      <w:divBdr>
                        <w:top w:val="none" w:sz="0" w:space="0" w:color="auto"/>
                        <w:left w:val="none" w:sz="0" w:space="0" w:color="auto"/>
                        <w:bottom w:val="none" w:sz="0" w:space="0" w:color="auto"/>
                        <w:right w:val="none" w:sz="0" w:space="0" w:color="auto"/>
                      </w:divBdr>
                    </w:div>
                  </w:divsChild>
                </w:div>
                <w:div w:id="319046837">
                  <w:marLeft w:val="0"/>
                  <w:marRight w:val="0"/>
                  <w:marTop w:val="0"/>
                  <w:marBottom w:val="0"/>
                  <w:divBdr>
                    <w:top w:val="none" w:sz="0" w:space="0" w:color="auto"/>
                    <w:left w:val="none" w:sz="0" w:space="0" w:color="auto"/>
                    <w:bottom w:val="none" w:sz="0" w:space="0" w:color="auto"/>
                    <w:right w:val="none" w:sz="0" w:space="0" w:color="auto"/>
                  </w:divBdr>
                  <w:divsChild>
                    <w:div w:id="422337796">
                      <w:marLeft w:val="0"/>
                      <w:marRight w:val="0"/>
                      <w:marTop w:val="0"/>
                      <w:marBottom w:val="0"/>
                      <w:divBdr>
                        <w:top w:val="none" w:sz="0" w:space="0" w:color="auto"/>
                        <w:left w:val="none" w:sz="0" w:space="0" w:color="auto"/>
                        <w:bottom w:val="none" w:sz="0" w:space="0" w:color="auto"/>
                        <w:right w:val="none" w:sz="0" w:space="0" w:color="auto"/>
                      </w:divBdr>
                    </w:div>
                  </w:divsChild>
                </w:div>
                <w:div w:id="582838229">
                  <w:marLeft w:val="0"/>
                  <w:marRight w:val="0"/>
                  <w:marTop w:val="0"/>
                  <w:marBottom w:val="0"/>
                  <w:divBdr>
                    <w:top w:val="none" w:sz="0" w:space="0" w:color="auto"/>
                    <w:left w:val="none" w:sz="0" w:space="0" w:color="auto"/>
                    <w:bottom w:val="none" w:sz="0" w:space="0" w:color="auto"/>
                    <w:right w:val="none" w:sz="0" w:space="0" w:color="auto"/>
                  </w:divBdr>
                  <w:divsChild>
                    <w:div w:id="642929621">
                      <w:marLeft w:val="0"/>
                      <w:marRight w:val="0"/>
                      <w:marTop w:val="0"/>
                      <w:marBottom w:val="0"/>
                      <w:divBdr>
                        <w:top w:val="none" w:sz="0" w:space="0" w:color="auto"/>
                        <w:left w:val="none" w:sz="0" w:space="0" w:color="auto"/>
                        <w:bottom w:val="none" w:sz="0" w:space="0" w:color="auto"/>
                        <w:right w:val="none" w:sz="0" w:space="0" w:color="auto"/>
                      </w:divBdr>
                    </w:div>
                  </w:divsChild>
                </w:div>
                <w:div w:id="852259808">
                  <w:marLeft w:val="0"/>
                  <w:marRight w:val="0"/>
                  <w:marTop w:val="0"/>
                  <w:marBottom w:val="0"/>
                  <w:divBdr>
                    <w:top w:val="none" w:sz="0" w:space="0" w:color="auto"/>
                    <w:left w:val="none" w:sz="0" w:space="0" w:color="auto"/>
                    <w:bottom w:val="none" w:sz="0" w:space="0" w:color="auto"/>
                    <w:right w:val="none" w:sz="0" w:space="0" w:color="auto"/>
                  </w:divBdr>
                  <w:divsChild>
                    <w:div w:id="2122990952">
                      <w:marLeft w:val="0"/>
                      <w:marRight w:val="0"/>
                      <w:marTop w:val="0"/>
                      <w:marBottom w:val="0"/>
                      <w:divBdr>
                        <w:top w:val="none" w:sz="0" w:space="0" w:color="auto"/>
                        <w:left w:val="none" w:sz="0" w:space="0" w:color="auto"/>
                        <w:bottom w:val="none" w:sz="0" w:space="0" w:color="auto"/>
                        <w:right w:val="none" w:sz="0" w:space="0" w:color="auto"/>
                      </w:divBdr>
                    </w:div>
                  </w:divsChild>
                </w:div>
                <w:div w:id="994720562">
                  <w:marLeft w:val="0"/>
                  <w:marRight w:val="0"/>
                  <w:marTop w:val="0"/>
                  <w:marBottom w:val="0"/>
                  <w:divBdr>
                    <w:top w:val="none" w:sz="0" w:space="0" w:color="auto"/>
                    <w:left w:val="none" w:sz="0" w:space="0" w:color="auto"/>
                    <w:bottom w:val="none" w:sz="0" w:space="0" w:color="auto"/>
                    <w:right w:val="none" w:sz="0" w:space="0" w:color="auto"/>
                  </w:divBdr>
                  <w:divsChild>
                    <w:div w:id="1909070514">
                      <w:marLeft w:val="0"/>
                      <w:marRight w:val="0"/>
                      <w:marTop w:val="0"/>
                      <w:marBottom w:val="0"/>
                      <w:divBdr>
                        <w:top w:val="none" w:sz="0" w:space="0" w:color="auto"/>
                        <w:left w:val="none" w:sz="0" w:space="0" w:color="auto"/>
                        <w:bottom w:val="none" w:sz="0" w:space="0" w:color="auto"/>
                        <w:right w:val="none" w:sz="0" w:space="0" w:color="auto"/>
                      </w:divBdr>
                    </w:div>
                  </w:divsChild>
                </w:div>
                <w:div w:id="1124037110">
                  <w:marLeft w:val="0"/>
                  <w:marRight w:val="0"/>
                  <w:marTop w:val="0"/>
                  <w:marBottom w:val="0"/>
                  <w:divBdr>
                    <w:top w:val="none" w:sz="0" w:space="0" w:color="auto"/>
                    <w:left w:val="none" w:sz="0" w:space="0" w:color="auto"/>
                    <w:bottom w:val="none" w:sz="0" w:space="0" w:color="auto"/>
                    <w:right w:val="none" w:sz="0" w:space="0" w:color="auto"/>
                  </w:divBdr>
                  <w:divsChild>
                    <w:div w:id="952905723">
                      <w:marLeft w:val="0"/>
                      <w:marRight w:val="0"/>
                      <w:marTop w:val="0"/>
                      <w:marBottom w:val="0"/>
                      <w:divBdr>
                        <w:top w:val="none" w:sz="0" w:space="0" w:color="auto"/>
                        <w:left w:val="none" w:sz="0" w:space="0" w:color="auto"/>
                        <w:bottom w:val="none" w:sz="0" w:space="0" w:color="auto"/>
                        <w:right w:val="none" w:sz="0" w:space="0" w:color="auto"/>
                      </w:divBdr>
                    </w:div>
                  </w:divsChild>
                </w:div>
                <w:div w:id="1180702607">
                  <w:marLeft w:val="0"/>
                  <w:marRight w:val="0"/>
                  <w:marTop w:val="0"/>
                  <w:marBottom w:val="0"/>
                  <w:divBdr>
                    <w:top w:val="none" w:sz="0" w:space="0" w:color="auto"/>
                    <w:left w:val="none" w:sz="0" w:space="0" w:color="auto"/>
                    <w:bottom w:val="none" w:sz="0" w:space="0" w:color="auto"/>
                    <w:right w:val="none" w:sz="0" w:space="0" w:color="auto"/>
                  </w:divBdr>
                  <w:divsChild>
                    <w:div w:id="1916668830">
                      <w:marLeft w:val="0"/>
                      <w:marRight w:val="0"/>
                      <w:marTop w:val="0"/>
                      <w:marBottom w:val="0"/>
                      <w:divBdr>
                        <w:top w:val="none" w:sz="0" w:space="0" w:color="auto"/>
                        <w:left w:val="none" w:sz="0" w:space="0" w:color="auto"/>
                        <w:bottom w:val="none" w:sz="0" w:space="0" w:color="auto"/>
                        <w:right w:val="none" w:sz="0" w:space="0" w:color="auto"/>
                      </w:divBdr>
                    </w:div>
                  </w:divsChild>
                </w:div>
                <w:div w:id="1773474174">
                  <w:marLeft w:val="0"/>
                  <w:marRight w:val="0"/>
                  <w:marTop w:val="0"/>
                  <w:marBottom w:val="0"/>
                  <w:divBdr>
                    <w:top w:val="none" w:sz="0" w:space="0" w:color="auto"/>
                    <w:left w:val="none" w:sz="0" w:space="0" w:color="auto"/>
                    <w:bottom w:val="none" w:sz="0" w:space="0" w:color="auto"/>
                    <w:right w:val="none" w:sz="0" w:space="0" w:color="auto"/>
                  </w:divBdr>
                  <w:divsChild>
                    <w:div w:id="409470689">
                      <w:marLeft w:val="0"/>
                      <w:marRight w:val="0"/>
                      <w:marTop w:val="0"/>
                      <w:marBottom w:val="0"/>
                      <w:divBdr>
                        <w:top w:val="none" w:sz="0" w:space="0" w:color="auto"/>
                        <w:left w:val="none" w:sz="0" w:space="0" w:color="auto"/>
                        <w:bottom w:val="none" w:sz="0" w:space="0" w:color="auto"/>
                        <w:right w:val="none" w:sz="0" w:space="0" w:color="auto"/>
                      </w:divBdr>
                    </w:div>
                  </w:divsChild>
                </w:div>
                <w:div w:id="1896969912">
                  <w:marLeft w:val="0"/>
                  <w:marRight w:val="0"/>
                  <w:marTop w:val="0"/>
                  <w:marBottom w:val="0"/>
                  <w:divBdr>
                    <w:top w:val="none" w:sz="0" w:space="0" w:color="auto"/>
                    <w:left w:val="none" w:sz="0" w:space="0" w:color="auto"/>
                    <w:bottom w:val="none" w:sz="0" w:space="0" w:color="auto"/>
                    <w:right w:val="none" w:sz="0" w:space="0" w:color="auto"/>
                  </w:divBdr>
                  <w:divsChild>
                    <w:div w:id="2031182177">
                      <w:marLeft w:val="0"/>
                      <w:marRight w:val="0"/>
                      <w:marTop w:val="0"/>
                      <w:marBottom w:val="0"/>
                      <w:divBdr>
                        <w:top w:val="none" w:sz="0" w:space="0" w:color="auto"/>
                        <w:left w:val="none" w:sz="0" w:space="0" w:color="auto"/>
                        <w:bottom w:val="none" w:sz="0" w:space="0" w:color="auto"/>
                        <w:right w:val="none" w:sz="0" w:space="0" w:color="auto"/>
                      </w:divBdr>
                    </w:div>
                  </w:divsChild>
                </w:div>
                <w:div w:id="1910143474">
                  <w:marLeft w:val="0"/>
                  <w:marRight w:val="0"/>
                  <w:marTop w:val="0"/>
                  <w:marBottom w:val="0"/>
                  <w:divBdr>
                    <w:top w:val="none" w:sz="0" w:space="0" w:color="auto"/>
                    <w:left w:val="none" w:sz="0" w:space="0" w:color="auto"/>
                    <w:bottom w:val="none" w:sz="0" w:space="0" w:color="auto"/>
                    <w:right w:val="none" w:sz="0" w:space="0" w:color="auto"/>
                  </w:divBdr>
                  <w:divsChild>
                    <w:div w:id="746196475">
                      <w:marLeft w:val="0"/>
                      <w:marRight w:val="0"/>
                      <w:marTop w:val="0"/>
                      <w:marBottom w:val="0"/>
                      <w:divBdr>
                        <w:top w:val="none" w:sz="0" w:space="0" w:color="auto"/>
                        <w:left w:val="none" w:sz="0" w:space="0" w:color="auto"/>
                        <w:bottom w:val="none" w:sz="0" w:space="0" w:color="auto"/>
                        <w:right w:val="none" w:sz="0" w:space="0" w:color="auto"/>
                      </w:divBdr>
                    </w:div>
                  </w:divsChild>
                </w:div>
                <w:div w:id="2090928668">
                  <w:marLeft w:val="0"/>
                  <w:marRight w:val="0"/>
                  <w:marTop w:val="0"/>
                  <w:marBottom w:val="0"/>
                  <w:divBdr>
                    <w:top w:val="none" w:sz="0" w:space="0" w:color="auto"/>
                    <w:left w:val="none" w:sz="0" w:space="0" w:color="auto"/>
                    <w:bottom w:val="none" w:sz="0" w:space="0" w:color="auto"/>
                    <w:right w:val="none" w:sz="0" w:space="0" w:color="auto"/>
                  </w:divBdr>
                  <w:divsChild>
                    <w:div w:id="20503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976536">
          <w:marLeft w:val="0"/>
          <w:marRight w:val="0"/>
          <w:marTop w:val="0"/>
          <w:marBottom w:val="0"/>
          <w:divBdr>
            <w:top w:val="none" w:sz="0" w:space="0" w:color="auto"/>
            <w:left w:val="none" w:sz="0" w:space="0" w:color="auto"/>
            <w:bottom w:val="none" w:sz="0" w:space="0" w:color="auto"/>
            <w:right w:val="none" w:sz="0" w:space="0" w:color="auto"/>
          </w:divBdr>
        </w:div>
        <w:div w:id="903956872">
          <w:marLeft w:val="0"/>
          <w:marRight w:val="0"/>
          <w:marTop w:val="0"/>
          <w:marBottom w:val="0"/>
          <w:divBdr>
            <w:top w:val="none" w:sz="0" w:space="0" w:color="auto"/>
            <w:left w:val="none" w:sz="0" w:space="0" w:color="auto"/>
            <w:bottom w:val="none" w:sz="0" w:space="0" w:color="auto"/>
            <w:right w:val="none" w:sz="0" w:space="0" w:color="auto"/>
          </w:divBdr>
        </w:div>
        <w:div w:id="927426562">
          <w:marLeft w:val="0"/>
          <w:marRight w:val="0"/>
          <w:marTop w:val="0"/>
          <w:marBottom w:val="0"/>
          <w:divBdr>
            <w:top w:val="none" w:sz="0" w:space="0" w:color="auto"/>
            <w:left w:val="none" w:sz="0" w:space="0" w:color="auto"/>
            <w:bottom w:val="none" w:sz="0" w:space="0" w:color="auto"/>
            <w:right w:val="none" w:sz="0" w:space="0" w:color="auto"/>
          </w:divBdr>
        </w:div>
        <w:div w:id="930545804">
          <w:marLeft w:val="0"/>
          <w:marRight w:val="0"/>
          <w:marTop w:val="0"/>
          <w:marBottom w:val="0"/>
          <w:divBdr>
            <w:top w:val="none" w:sz="0" w:space="0" w:color="auto"/>
            <w:left w:val="none" w:sz="0" w:space="0" w:color="auto"/>
            <w:bottom w:val="none" w:sz="0" w:space="0" w:color="auto"/>
            <w:right w:val="none" w:sz="0" w:space="0" w:color="auto"/>
          </w:divBdr>
        </w:div>
        <w:div w:id="971053977">
          <w:marLeft w:val="0"/>
          <w:marRight w:val="0"/>
          <w:marTop w:val="0"/>
          <w:marBottom w:val="0"/>
          <w:divBdr>
            <w:top w:val="none" w:sz="0" w:space="0" w:color="auto"/>
            <w:left w:val="none" w:sz="0" w:space="0" w:color="auto"/>
            <w:bottom w:val="none" w:sz="0" w:space="0" w:color="auto"/>
            <w:right w:val="none" w:sz="0" w:space="0" w:color="auto"/>
          </w:divBdr>
          <w:divsChild>
            <w:div w:id="41637529">
              <w:marLeft w:val="0"/>
              <w:marRight w:val="0"/>
              <w:marTop w:val="0"/>
              <w:marBottom w:val="0"/>
              <w:divBdr>
                <w:top w:val="none" w:sz="0" w:space="0" w:color="auto"/>
                <w:left w:val="none" w:sz="0" w:space="0" w:color="auto"/>
                <w:bottom w:val="none" w:sz="0" w:space="0" w:color="auto"/>
                <w:right w:val="none" w:sz="0" w:space="0" w:color="auto"/>
              </w:divBdr>
            </w:div>
            <w:div w:id="162821280">
              <w:marLeft w:val="0"/>
              <w:marRight w:val="0"/>
              <w:marTop w:val="0"/>
              <w:marBottom w:val="0"/>
              <w:divBdr>
                <w:top w:val="none" w:sz="0" w:space="0" w:color="auto"/>
                <w:left w:val="none" w:sz="0" w:space="0" w:color="auto"/>
                <w:bottom w:val="none" w:sz="0" w:space="0" w:color="auto"/>
                <w:right w:val="none" w:sz="0" w:space="0" w:color="auto"/>
              </w:divBdr>
            </w:div>
            <w:div w:id="303975181">
              <w:marLeft w:val="0"/>
              <w:marRight w:val="0"/>
              <w:marTop w:val="0"/>
              <w:marBottom w:val="0"/>
              <w:divBdr>
                <w:top w:val="none" w:sz="0" w:space="0" w:color="auto"/>
                <w:left w:val="none" w:sz="0" w:space="0" w:color="auto"/>
                <w:bottom w:val="none" w:sz="0" w:space="0" w:color="auto"/>
                <w:right w:val="none" w:sz="0" w:space="0" w:color="auto"/>
              </w:divBdr>
            </w:div>
            <w:div w:id="607468336">
              <w:marLeft w:val="0"/>
              <w:marRight w:val="0"/>
              <w:marTop w:val="0"/>
              <w:marBottom w:val="0"/>
              <w:divBdr>
                <w:top w:val="none" w:sz="0" w:space="0" w:color="auto"/>
                <w:left w:val="none" w:sz="0" w:space="0" w:color="auto"/>
                <w:bottom w:val="none" w:sz="0" w:space="0" w:color="auto"/>
                <w:right w:val="none" w:sz="0" w:space="0" w:color="auto"/>
              </w:divBdr>
            </w:div>
            <w:div w:id="608511413">
              <w:marLeft w:val="0"/>
              <w:marRight w:val="0"/>
              <w:marTop w:val="0"/>
              <w:marBottom w:val="0"/>
              <w:divBdr>
                <w:top w:val="none" w:sz="0" w:space="0" w:color="auto"/>
                <w:left w:val="none" w:sz="0" w:space="0" w:color="auto"/>
                <w:bottom w:val="none" w:sz="0" w:space="0" w:color="auto"/>
                <w:right w:val="none" w:sz="0" w:space="0" w:color="auto"/>
              </w:divBdr>
            </w:div>
            <w:div w:id="741219409">
              <w:marLeft w:val="0"/>
              <w:marRight w:val="0"/>
              <w:marTop w:val="0"/>
              <w:marBottom w:val="0"/>
              <w:divBdr>
                <w:top w:val="none" w:sz="0" w:space="0" w:color="auto"/>
                <w:left w:val="none" w:sz="0" w:space="0" w:color="auto"/>
                <w:bottom w:val="none" w:sz="0" w:space="0" w:color="auto"/>
                <w:right w:val="none" w:sz="0" w:space="0" w:color="auto"/>
              </w:divBdr>
            </w:div>
            <w:div w:id="921331541">
              <w:marLeft w:val="0"/>
              <w:marRight w:val="0"/>
              <w:marTop w:val="0"/>
              <w:marBottom w:val="0"/>
              <w:divBdr>
                <w:top w:val="none" w:sz="0" w:space="0" w:color="auto"/>
                <w:left w:val="none" w:sz="0" w:space="0" w:color="auto"/>
                <w:bottom w:val="none" w:sz="0" w:space="0" w:color="auto"/>
                <w:right w:val="none" w:sz="0" w:space="0" w:color="auto"/>
              </w:divBdr>
            </w:div>
            <w:div w:id="1006588999">
              <w:marLeft w:val="0"/>
              <w:marRight w:val="0"/>
              <w:marTop w:val="0"/>
              <w:marBottom w:val="0"/>
              <w:divBdr>
                <w:top w:val="none" w:sz="0" w:space="0" w:color="auto"/>
                <w:left w:val="none" w:sz="0" w:space="0" w:color="auto"/>
                <w:bottom w:val="none" w:sz="0" w:space="0" w:color="auto"/>
                <w:right w:val="none" w:sz="0" w:space="0" w:color="auto"/>
              </w:divBdr>
            </w:div>
            <w:div w:id="1126389355">
              <w:marLeft w:val="0"/>
              <w:marRight w:val="0"/>
              <w:marTop w:val="0"/>
              <w:marBottom w:val="0"/>
              <w:divBdr>
                <w:top w:val="none" w:sz="0" w:space="0" w:color="auto"/>
                <w:left w:val="none" w:sz="0" w:space="0" w:color="auto"/>
                <w:bottom w:val="none" w:sz="0" w:space="0" w:color="auto"/>
                <w:right w:val="none" w:sz="0" w:space="0" w:color="auto"/>
              </w:divBdr>
            </w:div>
            <w:div w:id="1166048463">
              <w:marLeft w:val="0"/>
              <w:marRight w:val="0"/>
              <w:marTop w:val="0"/>
              <w:marBottom w:val="0"/>
              <w:divBdr>
                <w:top w:val="none" w:sz="0" w:space="0" w:color="auto"/>
                <w:left w:val="none" w:sz="0" w:space="0" w:color="auto"/>
                <w:bottom w:val="none" w:sz="0" w:space="0" w:color="auto"/>
                <w:right w:val="none" w:sz="0" w:space="0" w:color="auto"/>
              </w:divBdr>
            </w:div>
            <w:div w:id="1277710370">
              <w:marLeft w:val="0"/>
              <w:marRight w:val="0"/>
              <w:marTop w:val="0"/>
              <w:marBottom w:val="0"/>
              <w:divBdr>
                <w:top w:val="none" w:sz="0" w:space="0" w:color="auto"/>
                <w:left w:val="none" w:sz="0" w:space="0" w:color="auto"/>
                <w:bottom w:val="none" w:sz="0" w:space="0" w:color="auto"/>
                <w:right w:val="none" w:sz="0" w:space="0" w:color="auto"/>
              </w:divBdr>
            </w:div>
            <w:div w:id="1425103324">
              <w:marLeft w:val="0"/>
              <w:marRight w:val="0"/>
              <w:marTop w:val="0"/>
              <w:marBottom w:val="0"/>
              <w:divBdr>
                <w:top w:val="none" w:sz="0" w:space="0" w:color="auto"/>
                <w:left w:val="none" w:sz="0" w:space="0" w:color="auto"/>
                <w:bottom w:val="none" w:sz="0" w:space="0" w:color="auto"/>
                <w:right w:val="none" w:sz="0" w:space="0" w:color="auto"/>
              </w:divBdr>
            </w:div>
            <w:div w:id="1514564052">
              <w:marLeft w:val="0"/>
              <w:marRight w:val="0"/>
              <w:marTop w:val="0"/>
              <w:marBottom w:val="0"/>
              <w:divBdr>
                <w:top w:val="none" w:sz="0" w:space="0" w:color="auto"/>
                <w:left w:val="none" w:sz="0" w:space="0" w:color="auto"/>
                <w:bottom w:val="none" w:sz="0" w:space="0" w:color="auto"/>
                <w:right w:val="none" w:sz="0" w:space="0" w:color="auto"/>
              </w:divBdr>
            </w:div>
            <w:div w:id="1594052875">
              <w:marLeft w:val="0"/>
              <w:marRight w:val="0"/>
              <w:marTop w:val="0"/>
              <w:marBottom w:val="0"/>
              <w:divBdr>
                <w:top w:val="none" w:sz="0" w:space="0" w:color="auto"/>
                <w:left w:val="none" w:sz="0" w:space="0" w:color="auto"/>
                <w:bottom w:val="none" w:sz="0" w:space="0" w:color="auto"/>
                <w:right w:val="none" w:sz="0" w:space="0" w:color="auto"/>
              </w:divBdr>
            </w:div>
            <w:div w:id="1609006028">
              <w:marLeft w:val="0"/>
              <w:marRight w:val="0"/>
              <w:marTop w:val="0"/>
              <w:marBottom w:val="0"/>
              <w:divBdr>
                <w:top w:val="none" w:sz="0" w:space="0" w:color="auto"/>
                <w:left w:val="none" w:sz="0" w:space="0" w:color="auto"/>
                <w:bottom w:val="none" w:sz="0" w:space="0" w:color="auto"/>
                <w:right w:val="none" w:sz="0" w:space="0" w:color="auto"/>
              </w:divBdr>
            </w:div>
            <w:div w:id="1625652040">
              <w:marLeft w:val="0"/>
              <w:marRight w:val="0"/>
              <w:marTop w:val="0"/>
              <w:marBottom w:val="0"/>
              <w:divBdr>
                <w:top w:val="none" w:sz="0" w:space="0" w:color="auto"/>
                <w:left w:val="none" w:sz="0" w:space="0" w:color="auto"/>
                <w:bottom w:val="none" w:sz="0" w:space="0" w:color="auto"/>
                <w:right w:val="none" w:sz="0" w:space="0" w:color="auto"/>
              </w:divBdr>
            </w:div>
            <w:div w:id="1816675287">
              <w:marLeft w:val="0"/>
              <w:marRight w:val="0"/>
              <w:marTop w:val="0"/>
              <w:marBottom w:val="0"/>
              <w:divBdr>
                <w:top w:val="none" w:sz="0" w:space="0" w:color="auto"/>
                <w:left w:val="none" w:sz="0" w:space="0" w:color="auto"/>
                <w:bottom w:val="none" w:sz="0" w:space="0" w:color="auto"/>
                <w:right w:val="none" w:sz="0" w:space="0" w:color="auto"/>
              </w:divBdr>
            </w:div>
            <w:div w:id="1844202449">
              <w:marLeft w:val="0"/>
              <w:marRight w:val="0"/>
              <w:marTop w:val="0"/>
              <w:marBottom w:val="0"/>
              <w:divBdr>
                <w:top w:val="none" w:sz="0" w:space="0" w:color="auto"/>
                <w:left w:val="none" w:sz="0" w:space="0" w:color="auto"/>
                <w:bottom w:val="none" w:sz="0" w:space="0" w:color="auto"/>
                <w:right w:val="none" w:sz="0" w:space="0" w:color="auto"/>
              </w:divBdr>
            </w:div>
            <w:div w:id="1958444224">
              <w:marLeft w:val="0"/>
              <w:marRight w:val="0"/>
              <w:marTop w:val="0"/>
              <w:marBottom w:val="0"/>
              <w:divBdr>
                <w:top w:val="none" w:sz="0" w:space="0" w:color="auto"/>
                <w:left w:val="none" w:sz="0" w:space="0" w:color="auto"/>
                <w:bottom w:val="none" w:sz="0" w:space="0" w:color="auto"/>
                <w:right w:val="none" w:sz="0" w:space="0" w:color="auto"/>
              </w:divBdr>
            </w:div>
            <w:div w:id="2055884610">
              <w:marLeft w:val="0"/>
              <w:marRight w:val="0"/>
              <w:marTop w:val="0"/>
              <w:marBottom w:val="0"/>
              <w:divBdr>
                <w:top w:val="none" w:sz="0" w:space="0" w:color="auto"/>
                <w:left w:val="none" w:sz="0" w:space="0" w:color="auto"/>
                <w:bottom w:val="none" w:sz="0" w:space="0" w:color="auto"/>
                <w:right w:val="none" w:sz="0" w:space="0" w:color="auto"/>
              </w:divBdr>
            </w:div>
          </w:divsChild>
        </w:div>
        <w:div w:id="984428062">
          <w:marLeft w:val="0"/>
          <w:marRight w:val="0"/>
          <w:marTop w:val="0"/>
          <w:marBottom w:val="0"/>
          <w:divBdr>
            <w:top w:val="none" w:sz="0" w:space="0" w:color="auto"/>
            <w:left w:val="none" w:sz="0" w:space="0" w:color="auto"/>
            <w:bottom w:val="none" w:sz="0" w:space="0" w:color="auto"/>
            <w:right w:val="none" w:sz="0" w:space="0" w:color="auto"/>
          </w:divBdr>
          <w:divsChild>
            <w:div w:id="130444714">
              <w:marLeft w:val="0"/>
              <w:marRight w:val="0"/>
              <w:marTop w:val="0"/>
              <w:marBottom w:val="0"/>
              <w:divBdr>
                <w:top w:val="none" w:sz="0" w:space="0" w:color="auto"/>
                <w:left w:val="none" w:sz="0" w:space="0" w:color="auto"/>
                <w:bottom w:val="none" w:sz="0" w:space="0" w:color="auto"/>
                <w:right w:val="none" w:sz="0" w:space="0" w:color="auto"/>
              </w:divBdr>
            </w:div>
            <w:div w:id="419645889">
              <w:marLeft w:val="0"/>
              <w:marRight w:val="0"/>
              <w:marTop w:val="0"/>
              <w:marBottom w:val="0"/>
              <w:divBdr>
                <w:top w:val="none" w:sz="0" w:space="0" w:color="auto"/>
                <w:left w:val="none" w:sz="0" w:space="0" w:color="auto"/>
                <w:bottom w:val="none" w:sz="0" w:space="0" w:color="auto"/>
                <w:right w:val="none" w:sz="0" w:space="0" w:color="auto"/>
              </w:divBdr>
            </w:div>
            <w:div w:id="482241164">
              <w:marLeft w:val="0"/>
              <w:marRight w:val="0"/>
              <w:marTop w:val="0"/>
              <w:marBottom w:val="0"/>
              <w:divBdr>
                <w:top w:val="none" w:sz="0" w:space="0" w:color="auto"/>
                <w:left w:val="none" w:sz="0" w:space="0" w:color="auto"/>
                <w:bottom w:val="none" w:sz="0" w:space="0" w:color="auto"/>
                <w:right w:val="none" w:sz="0" w:space="0" w:color="auto"/>
              </w:divBdr>
            </w:div>
            <w:div w:id="563485919">
              <w:marLeft w:val="0"/>
              <w:marRight w:val="0"/>
              <w:marTop w:val="0"/>
              <w:marBottom w:val="0"/>
              <w:divBdr>
                <w:top w:val="none" w:sz="0" w:space="0" w:color="auto"/>
                <w:left w:val="none" w:sz="0" w:space="0" w:color="auto"/>
                <w:bottom w:val="none" w:sz="0" w:space="0" w:color="auto"/>
                <w:right w:val="none" w:sz="0" w:space="0" w:color="auto"/>
              </w:divBdr>
            </w:div>
            <w:div w:id="586767839">
              <w:marLeft w:val="0"/>
              <w:marRight w:val="0"/>
              <w:marTop w:val="0"/>
              <w:marBottom w:val="0"/>
              <w:divBdr>
                <w:top w:val="none" w:sz="0" w:space="0" w:color="auto"/>
                <w:left w:val="none" w:sz="0" w:space="0" w:color="auto"/>
                <w:bottom w:val="none" w:sz="0" w:space="0" w:color="auto"/>
                <w:right w:val="none" w:sz="0" w:space="0" w:color="auto"/>
              </w:divBdr>
            </w:div>
            <w:div w:id="599485444">
              <w:marLeft w:val="0"/>
              <w:marRight w:val="0"/>
              <w:marTop w:val="0"/>
              <w:marBottom w:val="0"/>
              <w:divBdr>
                <w:top w:val="none" w:sz="0" w:space="0" w:color="auto"/>
                <w:left w:val="none" w:sz="0" w:space="0" w:color="auto"/>
                <w:bottom w:val="none" w:sz="0" w:space="0" w:color="auto"/>
                <w:right w:val="none" w:sz="0" w:space="0" w:color="auto"/>
              </w:divBdr>
            </w:div>
            <w:div w:id="624700366">
              <w:marLeft w:val="0"/>
              <w:marRight w:val="0"/>
              <w:marTop w:val="0"/>
              <w:marBottom w:val="0"/>
              <w:divBdr>
                <w:top w:val="none" w:sz="0" w:space="0" w:color="auto"/>
                <w:left w:val="none" w:sz="0" w:space="0" w:color="auto"/>
                <w:bottom w:val="none" w:sz="0" w:space="0" w:color="auto"/>
                <w:right w:val="none" w:sz="0" w:space="0" w:color="auto"/>
              </w:divBdr>
            </w:div>
            <w:div w:id="651837989">
              <w:marLeft w:val="0"/>
              <w:marRight w:val="0"/>
              <w:marTop w:val="0"/>
              <w:marBottom w:val="0"/>
              <w:divBdr>
                <w:top w:val="none" w:sz="0" w:space="0" w:color="auto"/>
                <w:left w:val="none" w:sz="0" w:space="0" w:color="auto"/>
                <w:bottom w:val="none" w:sz="0" w:space="0" w:color="auto"/>
                <w:right w:val="none" w:sz="0" w:space="0" w:color="auto"/>
              </w:divBdr>
            </w:div>
            <w:div w:id="676157287">
              <w:marLeft w:val="0"/>
              <w:marRight w:val="0"/>
              <w:marTop w:val="0"/>
              <w:marBottom w:val="0"/>
              <w:divBdr>
                <w:top w:val="none" w:sz="0" w:space="0" w:color="auto"/>
                <w:left w:val="none" w:sz="0" w:space="0" w:color="auto"/>
                <w:bottom w:val="none" w:sz="0" w:space="0" w:color="auto"/>
                <w:right w:val="none" w:sz="0" w:space="0" w:color="auto"/>
              </w:divBdr>
            </w:div>
            <w:div w:id="695232421">
              <w:marLeft w:val="0"/>
              <w:marRight w:val="0"/>
              <w:marTop w:val="0"/>
              <w:marBottom w:val="0"/>
              <w:divBdr>
                <w:top w:val="none" w:sz="0" w:space="0" w:color="auto"/>
                <w:left w:val="none" w:sz="0" w:space="0" w:color="auto"/>
                <w:bottom w:val="none" w:sz="0" w:space="0" w:color="auto"/>
                <w:right w:val="none" w:sz="0" w:space="0" w:color="auto"/>
              </w:divBdr>
            </w:div>
            <w:div w:id="831724139">
              <w:marLeft w:val="0"/>
              <w:marRight w:val="0"/>
              <w:marTop w:val="0"/>
              <w:marBottom w:val="0"/>
              <w:divBdr>
                <w:top w:val="none" w:sz="0" w:space="0" w:color="auto"/>
                <w:left w:val="none" w:sz="0" w:space="0" w:color="auto"/>
                <w:bottom w:val="none" w:sz="0" w:space="0" w:color="auto"/>
                <w:right w:val="none" w:sz="0" w:space="0" w:color="auto"/>
              </w:divBdr>
            </w:div>
            <w:div w:id="903221725">
              <w:marLeft w:val="0"/>
              <w:marRight w:val="0"/>
              <w:marTop w:val="0"/>
              <w:marBottom w:val="0"/>
              <w:divBdr>
                <w:top w:val="none" w:sz="0" w:space="0" w:color="auto"/>
                <w:left w:val="none" w:sz="0" w:space="0" w:color="auto"/>
                <w:bottom w:val="none" w:sz="0" w:space="0" w:color="auto"/>
                <w:right w:val="none" w:sz="0" w:space="0" w:color="auto"/>
              </w:divBdr>
            </w:div>
            <w:div w:id="1089037254">
              <w:marLeft w:val="0"/>
              <w:marRight w:val="0"/>
              <w:marTop w:val="0"/>
              <w:marBottom w:val="0"/>
              <w:divBdr>
                <w:top w:val="none" w:sz="0" w:space="0" w:color="auto"/>
                <w:left w:val="none" w:sz="0" w:space="0" w:color="auto"/>
                <w:bottom w:val="none" w:sz="0" w:space="0" w:color="auto"/>
                <w:right w:val="none" w:sz="0" w:space="0" w:color="auto"/>
              </w:divBdr>
            </w:div>
            <w:div w:id="1349987350">
              <w:marLeft w:val="0"/>
              <w:marRight w:val="0"/>
              <w:marTop w:val="0"/>
              <w:marBottom w:val="0"/>
              <w:divBdr>
                <w:top w:val="none" w:sz="0" w:space="0" w:color="auto"/>
                <w:left w:val="none" w:sz="0" w:space="0" w:color="auto"/>
                <w:bottom w:val="none" w:sz="0" w:space="0" w:color="auto"/>
                <w:right w:val="none" w:sz="0" w:space="0" w:color="auto"/>
              </w:divBdr>
            </w:div>
            <w:div w:id="1356231542">
              <w:marLeft w:val="0"/>
              <w:marRight w:val="0"/>
              <w:marTop w:val="0"/>
              <w:marBottom w:val="0"/>
              <w:divBdr>
                <w:top w:val="none" w:sz="0" w:space="0" w:color="auto"/>
                <w:left w:val="none" w:sz="0" w:space="0" w:color="auto"/>
                <w:bottom w:val="none" w:sz="0" w:space="0" w:color="auto"/>
                <w:right w:val="none" w:sz="0" w:space="0" w:color="auto"/>
              </w:divBdr>
            </w:div>
            <w:div w:id="1507014799">
              <w:marLeft w:val="0"/>
              <w:marRight w:val="0"/>
              <w:marTop w:val="0"/>
              <w:marBottom w:val="0"/>
              <w:divBdr>
                <w:top w:val="none" w:sz="0" w:space="0" w:color="auto"/>
                <w:left w:val="none" w:sz="0" w:space="0" w:color="auto"/>
                <w:bottom w:val="none" w:sz="0" w:space="0" w:color="auto"/>
                <w:right w:val="none" w:sz="0" w:space="0" w:color="auto"/>
              </w:divBdr>
            </w:div>
            <w:div w:id="1678389716">
              <w:marLeft w:val="0"/>
              <w:marRight w:val="0"/>
              <w:marTop w:val="0"/>
              <w:marBottom w:val="0"/>
              <w:divBdr>
                <w:top w:val="none" w:sz="0" w:space="0" w:color="auto"/>
                <w:left w:val="none" w:sz="0" w:space="0" w:color="auto"/>
                <w:bottom w:val="none" w:sz="0" w:space="0" w:color="auto"/>
                <w:right w:val="none" w:sz="0" w:space="0" w:color="auto"/>
              </w:divBdr>
            </w:div>
            <w:div w:id="1830635446">
              <w:marLeft w:val="0"/>
              <w:marRight w:val="0"/>
              <w:marTop w:val="0"/>
              <w:marBottom w:val="0"/>
              <w:divBdr>
                <w:top w:val="none" w:sz="0" w:space="0" w:color="auto"/>
                <w:left w:val="none" w:sz="0" w:space="0" w:color="auto"/>
                <w:bottom w:val="none" w:sz="0" w:space="0" w:color="auto"/>
                <w:right w:val="none" w:sz="0" w:space="0" w:color="auto"/>
              </w:divBdr>
            </w:div>
            <w:div w:id="1878808390">
              <w:marLeft w:val="0"/>
              <w:marRight w:val="0"/>
              <w:marTop w:val="0"/>
              <w:marBottom w:val="0"/>
              <w:divBdr>
                <w:top w:val="none" w:sz="0" w:space="0" w:color="auto"/>
                <w:left w:val="none" w:sz="0" w:space="0" w:color="auto"/>
                <w:bottom w:val="none" w:sz="0" w:space="0" w:color="auto"/>
                <w:right w:val="none" w:sz="0" w:space="0" w:color="auto"/>
              </w:divBdr>
            </w:div>
            <w:div w:id="2077822886">
              <w:marLeft w:val="0"/>
              <w:marRight w:val="0"/>
              <w:marTop w:val="0"/>
              <w:marBottom w:val="0"/>
              <w:divBdr>
                <w:top w:val="none" w:sz="0" w:space="0" w:color="auto"/>
                <w:left w:val="none" w:sz="0" w:space="0" w:color="auto"/>
                <w:bottom w:val="none" w:sz="0" w:space="0" w:color="auto"/>
                <w:right w:val="none" w:sz="0" w:space="0" w:color="auto"/>
              </w:divBdr>
            </w:div>
          </w:divsChild>
        </w:div>
        <w:div w:id="991643341">
          <w:marLeft w:val="0"/>
          <w:marRight w:val="0"/>
          <w:marTop w:val="0"/>
          <w:marBottom w:val="0"/>
          <w:divBdr>
            <w:top w:val="none" w:sz="0" w:space="0" w:color="auto"/>
            <w:left w:val="none" w:sz="0" w:space="0" w:color="auto"/>
            <w:bottom w:val="none" w:sz="0" w:space="0" w:color="auto"/>
            <w:right w:val="none" w:sz="0" w:space="0" w:color="auto"/>
          </w:divBdr>
        </w:div>
        <w:div w:id="995449858">
          <w:marLeft w:val="0"/>
          <w:marRight w:val="0"/>
          <w:marTop w:val="0"/>
          <w:marBottom w:val="0"/>
          <w:divBdr>
            <w:top w:val="none" w:sz="0" w:space="0" w:color="auto"/>
            <w:left w:val="none" w:sz="0" w:space="0" w:color="auto"/>
            <w:bottom w:val="none" w:sz="0" w:space="0" w:color="auto"/>
            <w:right w:val="none" w:sz="0" w:space="0" w:color="auto"/>
          </w:divBdr>
        </w:div>
        <w:div w:id="1005397597">
          <w:marLeft w:val="0"/>
          <w:marRight w:val="0"/>
          <w:marTop w:val="0"/>
          <w:marBottom w:val="0"/>
          <w:divBdr>
            <w:top w:val="none" w:sz="0" w:space="0" w:color="auto"/>
            <w:left w:val="none" w:sz="0" w:space="0" w:color="auto"/>
            <w:bottom w:val="none" w:sz="0" w:space="0" w:color="auto"/>
            <w:right w:val="none" w:sz="0" w:space="0" w:color="auto"/>
          </w:divBdr>
          <w:divsChild>
            <w:div w:id="78869163">
              <w:marLeft w:val="0"/>
              <w:marRight w:val="0"/>
              <w:marTop w:val="0"/>
              <w:marBottom w:val="0"/>
              <w:divBdr>
                <w:top w:val="none" w:sz="0" w:space="0" w:color="auto"/>
                <w:left w:val="none" w:sz="0" w:space="0" w:color="auto"/>
                <w:bottom w:val="none" w:sz="0" w:space="0" w:color="auto"/>
                <w:right w:val="none" w:sz="0" w:space="0" w:color="auto"/>
              </w:divBdr>
            </w:div>
            <w:div w:id="357779556">
              <w:marLeft w:val="0"/>
              <w:marRight w:val="0"/>
              <w:marTop w:val="0"/>
              <w:marBottom w:val="0"/>
              <w:divBdr>
                <w:top w:val="none" w:sz="0" w:space="0" w:color="auto"/>
                <w:left w:val="none" w:sz="0" w:space="0" w:color="auto"/>
                <w:bottom w:val="none" w:sz="0" w:space="0" w:color="auto"/>
                <w:right w:val="none" w:sz="0" w:space="0" w:color="auto"/>
              </w:divBdr>
            </w:div>
            <w:div w:id="561645727">
              <w:marLeft w:val="0"/>
              <w:marRight w:val="0"/>
              <w:marTop w:val="0"/>
              <w:marBottom w:val="0"/>
              <w:divBdr>
                <w:top w:val="none" w:sz="0" w:space="0" w:color="auto"/>
                <w:left w:val="none" w:sz="0" w:space="0" w:color="auto"/>
                <w:bottom w:val="none" w:sz="0" w:space="0" w:color="auto"/>
                <w:right w:val="none" w:sz="0" w:space="0" w:color="auto"/>
              </w:divBdr>
            </w:div>
            <w:div w:id="585923215">
              <w:marLeft w:val="0"/>
              <w:marRight w:val="0"/>
              <w:marTop w:val="0"/>
              <w:marBottom w:val="0"/>
              <w:divBdr>
                <w:top w:val="none" w:sz="0" w:space="0" w:color="auto"/>
                <w:left w:val="none" w:sz="0" w:space="0" w:color="auto"/>
                <w:bottom w:val="none" w:sz="0" w:space="0" w:color="auto"/>
                <w:right w:val="none" w:sz="0" w:space="0" w:color="auto"/>
              </w:divBdr>
            </w:div>
            <w:div w:id="736514360">
              <w:marLeft w:val="0"/>
              <w:marRight w:val="0"/>
              <w:marTop w:val="0"/>
              <w:marBottom w:val="0"/>
              <w:divBdr>
                <w:top w:val="none" w:sz="0" w:space="0" w:color="auto"/>
                <w:left w:val="none" w:sz="0" w:space="0" w:color="auto"/>
                <w:bottom w:val="none" w:sz="0" w:space="0" w:color="auto"/>
                <w:right w:val="none" w:sz="0" w:space="0" w:color="auto"/>
              </w:divBdr>
            </w:div>
            <w:div w:id="999305759">
              <w:marLeft w:val="0"/>
              <w:marRight w:val="0"/>
              <w:marTop w:val="0"/>
              <w:marBottom w:val="0"/>
              <w:divBdr>
                <w:top w:val="none" w:sz="0" w:space="0" w:color="auto"/>
                <w:left w:val="none" w:sz="0" w:space="0" w:color="auto"/>
                <w:bottom w:val="none" w:sz="0" w:space="0" w:color="auto"/>
                <w:right w:val="none" w:sz="0" w:space="0" w:color="auto"/>
              </w:divBdr>
            </w:div>
            <w:div w:id="1031027967">
              <w:marLeft w:val="0"/>
              <w:marRight w:val="0"/>
              <w:marTop w:val="0"/>
              <w:marBottom w:val="0"/>
              <w:divBdr>
                <w:top w:val="none" w:sz="0" w:space="0" w:color="auto"/>
                <w:left w:val="none" w:sz="0" w:space="0" w:color="auto"/>
                <w:bottom w:val="none" w:sz="0" w:space="0" w:color="auto"/>
                <w:right w:val="none" w:sz="0" w:space="0" w:color="auto"/>
              </w:divBdr>
            </w:div>
            <w:div w:id="1191919706">
              <w:marLeft w:val="0"/>
              <w:marRight w:val="0"/>
              <w:marTop w:val="0"/>
              <w:marBottom w:val="0"/>
              <w:divBdr>
                <w:top w:val="none" w:sz="0" w:space="0" w:color="auto"/>
                <w:left w:val="none" w:sz="0" w:space="0" w:color="auto"/>
                <w:bottom w:val="none" w:sz="0" w:space="0" w:color="auto"/>
                <w:right w:val="none" w:sz="0" w:space="0" w:color="auto"/>
              </w:divBdr>
            </w:div>
            <w:div w:id="1401362712">
              <w:marLeft w:val="0"/>
              <w:marRight w:val="0"/>
              <w:marTop w:val="0"/>
              <w:marBottom w:val="0"/>
              <w:divBdr>
                <w:top w:val="none" w:sz="0" w:space="0" w:color="auto"/>
                <w:left w:val="none" w:sz="0" w:space="0" w:color="auto"/>
                <w:bottom w:val="none" w:sz="0" w:space="0" w:color="auto"/>
                <w:right w:val="none" w:sz="0" w:space="0" w:color="auto"/>
              </w:divBdr>
            </w:div>
            <w:div w:id="1584147708">
              <w:marLeft w:val="0"/>
              <w:marRight w:val="0"/>
              <w:marTop w:val="0"/>
              <w:marBottom w:val="0"/>
              <w:divBdr>
                <w:top w:val="none" w:sz="0" w:space="0" w:color="auto"/>
                <w:left w:val="none" w:sz="0" w:space="0" w:color="auto"/>
                <w:bottom w:val="none" w:sz="0" w:space="0" w:color="auto"/>
                <w:right w:val="none" w:sz="0" w:space="0" w:color="auto"/>
              </w:divBdr>
            </w:div>
            <w:div w:id="1640039510">
              <w:marLeft w:val="0"/>
              <w:marRight w:val="0"/>
              <w:marTop w:val="0"/>
              <w:marBottom w:val="0"/>
              <w:divBdr>
                <w:top w:val="none" w:sz="0" w:space="0" w:color="auto"/>
                <w:left w:val="none" w:sz="0" w:space="0" w:color="auto"/>
                <w:bottom w:val="none" w:sz="0" w:space="0" w:color="auto"/>
                <w:right w:val="none" w:sz="0" w:space="0" w:color="auto"/>
              </w:divBdr>
            </w:div>
            <w:div w:id="1778593873">
              <w:marLeft w:val="0"/>
              <w:marRight w:val="0"/>
              <w:marTop w:val="0"/>
              <w:marBottom w:val="0"/>
              <w:divBdr>
                <w:top w:val="none" w:sz="0" w:space="0" w:color="auto"/>
                <w:left w:val="none" w:sz="0" w:space="0" w:color="auto"/>
                <w:bottom w:val="none" w:sz="0" w:space="0" w:color="auto"/>
                <w:right w:val="none" w:sz="0" w:space="0" w:color="auto"/>
              </w:divBdr>
            </w:div>
            <w:div w:id="1816481880">
              <w:marLeft w:val="0"/>
              <w:marRight w:val="0"/>
              <w:marTop w:val="0"/>
              <w:marBottom w:val="0"/>
              <w:divBdr>
                <w:top w:val="none" w:sz="0" w:space="0" w:color="auto"/>
                <w:left w:val="none" w:sz="0" w:space="0" w:color="auto"/>
                <w:bottom w:val="none" w:sz="0" w:space="0" w:color="auto"/>
                <w:right w:val="none" w:sz="0" w:space="0" w:color="auto"/>
              </w:divBdr>
            </w:div>
            <w:div w:id="1833913771">
              <w:marLeft w:val="0"/>
              <w:marRight w:val="0"/>
              <w:marTop w:val="0"/>
              <w:marBottom w:val="0"/>
              <w:divBdr>
                <w:top w:val="none" w:sz="0" w:space="0" w:color="auto"/>
                <w:left w:val="none" w:sz="0" w:space="0" w:color="auto"/>
                <w:bottom w:val="none" w:sz="0" w:space="0" w:color="auto"/>
                <w:right w:val="none" w:sz="0" w:space="0" w:color="auto"/>
              </w:divBdr>
            </w:div>
            <w:div w:id="1857959192">
              <w:marLeft w:val="0"/>
              <w:marRight w:val="0"/>
              <w:marTop w:val="0"/>
              <w:marBottom w:val="0"/>
              <w:divBdr>
                <w:top w:val="none" w:sz="0" w:space="0" w:color="auto"/>
                <w:left w:val="none" w:sz="0" w:space="0" w:color="auto"/>
                <w:bottom w:val="none" w:sz="0" w:space="0" w:color="auto"/>
                <w:right w:val="none" w:sz="0" w:space="0" w:color="auto"/>
              </w:divBdr>
            </w:div>
            <w:div w:id="1870680326">
              <w:marLeft w:val="0"/>
              <w:marRight w:val="0"/>
              <w:marTop w:val="0"/>
              <w:marBottom w:val="0"/>
              <w:divBdr>
                <w:top w:val="none" w:sz="0" w:space="0" w:color="auto"/>
                <w:left w:val="none" w:sz="0" w:space="0" w:color="auto"/>
                <w:bottom w:val="none" w:sz="0" w:space="0" w:color="auto"/>
                <w:right w:val="none" w:sz="0" w:space="0" w:color="auto"/>
              </w:divBdr>
            </w:div>
            <w:div w:id="1958484766">
              <w:marLeft w:val="0"/>
              <w:marRight w:val="0"/>
              <w:marTop w:val="0"/>
              <w:marBottom w:val="0"/>
              <w:divBdr>
                <w:top w:val="none" w:sz="0" w:space="0" w:color="auto"/>
                <w:left w:val="none" w:sz="0" w:space="0" w:color="auto"/>
                <w:bottom w:val="none" w:sz="0" w:space="0" w:color="auto"/>
                <w:right w:val="none" w:sz="0" w:space="0" w:color="auto"/>
              </w:divBdr>
            </w:div>
            <w:div w:id="1986274498">
              <w:marLeft w:val="0"/>
              <w:marRight w:val="0"/>
              <w:marTop w:val="0"/>
              <w:marBottom w:val="0"/>
              <w:divBdr>
                <w:top w:val="none" w:sz="0" w:space="0" w:color="auto"/>
                <w:left w:val="none" w:sz="0" w:space="0" w:color="auto"/>
                <w:bottom w:val="none" w:sz="0" w:space="0" w:color="auto"/>
                <w:right w:val="none" w:sz="0" w:space="0" w:color="auto"/>
              </w:divBdr>
            </w:div>
            <w:div w:id="2007396222">
              <w:marLeft w:val="0"/>
              <w:marRight w:val="0"/>
              <w:marTop w:val="0"/>
              <w:marBottom w:val="0"/>
              <w:divBdr>
                <w:top w:val="none" w:sz="0" w:space="0" w:color="auto"/>
                <w:left w:val="none" w:sz="0" w:space="0" w:color="auto"/>
                <w:bottom w:val="none" w:sz="0" w:space="0" w:color="auto"/>
                <w:right w:val="none" w:sz="0" w:space="0" w:color="auto"/>
              </w:divBdr>
            </w:div>
            <w:div w:id="2108383395">
              <w:marLeft w:val="0"/>
              <w:marRight w:val="0"/>
              <w:marTop w:val="0"/>
              <w:marBottom w:val="0"/>
              <w:divBdr>
                <w:top w:val="none" w:sz="0" w:space="0" w:color="auto"/>
                <w:left w:val="none" w:sz="0" w:space="0" w:color="auto"/>
                <w:bottom w:val="none" w:sz="0" w:space="0" w:color="auto"/>
                <w:right w:val="none" w:sz="0" w:space="0" w:color="auto"/>
              </w:divBdr>
            </w:div>
          </w:divsChild>
        </w:div>
        <w:div w:id="1032418134">
          <w:marLeft w:val="0"/>
          <w:marRight w:val="0"/>
          <w:marTop w:val="0"/>
          <w:marBottom w:val="0"/>
          <w:divBdr>
            <w:top w:val="none" w:sz="0" w:space="0" w:color="auto"/>
            <w:left w:val="none" w:sz="0" w:space="0" w:color="auto"/>
            <w:bottom w:val="none" w:sz="0" w:space="0" w:color="auto"/>
            <w:right w:val="none" w:sz="0" w:space="0" w:color="auto"/>
          </w:divBdr>
          <w:divsChild>
            <w:div w:id="291327354">
              <w:marLeft w:val="0"/>
              <w:marRight w:val="0"/>
              <w:marTop w:val="0"/>
              <w:marBottom w:val="0"/>
              <w:divBdr>
                <w:top w:val="none" w:sz="0" w:space="0" w:color="auto"/>
                <w:left w:val="none" w:sz="0" w:space="0" w:color="auto"/>
                <w:bottom w:val="none" w:sz="0" w:space="0" w:color="auto"/>
                <w:right w:val="none" w:sz="0" w:space="0" w:color="auto"/>
              </w:divBdr>
            </w:div>
            <w:div w:id="327757206">
              <w:marLeft w:val="0"/>
              <w:marRight w:val="0"/>
              <w:marTop w:val="0"/>
              <w:marBottom w:val="0"/>
              <w:divBdr>
                <w:top w:val="none" w:sz="0" w:space="0" w:color="auto"/>
                <w:left w:val="none" w:sz="0" w:space="0" w:color="auto"/>
                <w:bottom w:val="none" w:sz="0" w:space="0" w:color="auto"/>
                <w:right w:val="none" w:sz="0" w:space="0" w:color="auto"/>
              </w:divBdr>
            </w:div>
            <w:div w:id="470754017">
              <w:marLeft w:val="0"/>
              <w:marRight w:val="0"/>
              <w:marTop w:val="0"/>
              <w:marBottom w:val="0"/>
              <w:divBdr>
                <w:top w:val="none" w:sz="0" w:space="0" w:color="auto"/>
                <w:left w:val="none" w:sz="0" w:space="0" w:color="auto"/>
                <w:bottom w:val="none" w:sz="0" w:space="0" w:color="auto"/>
                <w:right w:val="none" w:sz="0" w:space="0" w:color="auto"/>
              </w:divBdr>
            </w:div>
            <w:div w:id="615066434">
              <w:marLeft w:val="0"/>
              <w:marRight w:val="0"/>
              <w:marTop w:val="0"/>
              <w:marBottom w:val="0"/>
              <w:divBdr>
                <w:top w:val="none" w:sz="0" w:space="0" w:color="auto"/>
                <w:left w:val="none" w:sz="0" w:space="0" w:color="auto"/>
                <w:bottom w:val="none" w:sz="0" w:space="0" w:color="auto"/>
                <w:right w:val="none" w:sz="0" w:space="0" w:color="auto"/>
              </w:divBdr>
            </w:div>
            <w:div w:id="618879261">
              <w:marLeft w:val="0"/>
              <w:marRight w:val="0"/>
              <w:marTop w:val="0"/>
              <w:marBottom w:val="0"/>
              <w:divBdr>
                <w:top w:val="none" w:sz="0" w:space="0" w:color="auto"/>
                <w:left w:val="none" w:sz="0" w:space="0" w:color="auto"/>
                <w:bottom w:val="none" w:sz="0" w:space="0" w:color="auto"/>
                <w:right w:val="none" w:sz="0" w:space="0" w:color="auto"/>
              </w:divBdr>
            </w:div>
            <w:div w:id="644047437">
              <w:marLeft w:val="0"/>
              <w:marRight w:val="0"/>
              <w:marTop w:val="0"/>
              <w:marBottom w:val="0"/>
              <w:divBdr>
                <w:top w:val="none" w:sz="0" w:space="0" w:color="auto"/>
                <w:left w:val="none" w:sz="0" w:space="0" w:color="auto"/>
                <w:bottom w:val="none" w:sz="0" w:space="0" w:color="auto"/>
                <w:right w:val="none" w:sz="0" w:space="0" w:color="auto"/>
              </w:divBdr>
            </w:div>
            <w:div w:id="1128937313">
              <w:marLeft w:val="0"/>
              <w:marRight w:val="0"/>
              <w:marTop w:val="0"/>
              <w:marBottom w:val="0"/>
              <w:divBdr>
                <w:top w:val="none" w:sz="0" w:space="0" w:color="auto"/>
                <w:left w:val="none" w:sz="0" w:space="0" w:color="auto"/>
                <w:bottom w:val="none" w:sz="0" w:space="0" w:color="auto"/>
                <w:right w:val="none" w:sz="0" w:space="0" w:color="auto"/>
              </w:divBdr>
            </w:div>
            <w:div w:id="1250040167">
              <w:marLeft w:val="0"/>
              <w:marRight w:val="0"/>
              <w:marTop w:val="0"/>
              <w:marBottom w:val="0"/>
              <w:divBdr>
                <w:top w:val="none" w:sz="0" w:space="0" w:color="auto"/>
                <w:left w:val="none" w:sz="0" w:space="0" w:color="auto"/>
                <w:bottom w:val="none" w:sz="0" w:space="0" w:color="auto"/>
                <w:right w:val="none" w:sz="0" w:space="0" w:color="auto"/>
              </w:divBdr>
            </w:div>
            <w:div w:id="1265074024">
              <w:marLeft w:val="0"/>
              <w:marRight w:val="0"/>
              <w:marTop w:val="0"/>
              <w:marBottom w:val="0"/>
              <w:divBdr>
                <w:top w:val="none" w:sz="0" w:space="0" w:color="auto"/>
                <w:left w:val="none" w:sz="0" w:space="0" w:color="auto"/>
                <w:bottom w:val="none" w:sz="0" w:space="0" w:color="auto"/>
                <w:right w:val="none" w:sz="0" w:space="0" w:color="auto"/>
              </w:divBdr>
            </w:div>
            <w:div w:id="1335108900">
              <w:marLeft w:val="0"/>
              <w:marRight w:val="0"/>
              <w:marTop w:val="0"/>
              <w:marBottom w:val="0"/>
              <w:divBdr>
                <w:top w:val="none" w:sz="0" w:space="0" w:color="auto"/>
                <w:left w:val="none" w:sz="0" w:space="0" w:color="auto"/>
                <w:bottom w:val="none" w:sz="0" w:space="0" w:color="auto"/>
                <w:right w:val="none" w:sz="0" w:space="0" w:color="auto"/>
              </w:divBdr>
            </w:div>
            <w:div w:id="1425299522">
              <w:marLeft w:val="0"/>
              <w:marRight w:val="0"/>
              <w:marTop w:val="0"/>
              <w:marBottom w:val="0"/>
              <w:divBdr>
                <w:top w:val="none" w:sz="0" w:space="0" w:color="auto"/>
                <w:left w:val="none" w:sz="0" w:space="0" w:color="auto"/>
                <w:bottom w:val="none" w:sz="0" w:space="0" w:color="auto"/>
                <w:right w:val="none" w:sz="0" w:space="0" w:color="auto"/>
              </w:divBdr>
            </w:div>
            <w:div w:id="1633051521">
              <w:marLeft w:val="0"/>
              <w:marRight w:val="0"/>
              <w:marTop w:val="0"/>
              <w:marBottom w:val="0"/>
              <w:divBdr>
                <w:top w:val="none" w:sz="0" w:space="0" w:color="auto"/>
                <w:left w:val="none" w:sz="0" w:space="0" w:color="auto"/>
                <w:bottom w:val="none" w:sz="0" w:space="0" w:color="auto"/>
                <w:right w:val="none" w:sz="0" w:space="0" w:color="auto"/>
              </w:divBdr>
            </w:div>
            <w:div w:id="1683625770">
              <w:marLeft w:val="0"/>
              <w:marRight w:val="0"/>
              <w:marTop w:val="0"/>
              <w:marBottom w:val="0"/>
              <w:divBdr>
                <w:top w:val="none" w:sz="0" w:space="0" w:color="auto"/>
                <w:left w:val="none" w:sz="0" w:space="0" w:color="auto"/>
                <w:bottom w:val="none" w:sz="0" w:space="0" w:color="auto"/>
                <w:right w:val="none" w:sz="0" w:space="0" w:color="auto"/>
              </w:divBdr>
            </w:div>
            <w:div w:id="1724020897">
              <w:marLeft w:val="0"/>
              <w:marRight w:val="0"/>
              <w:marTop w:val="0"/>
              <w:marBottom w:val="0"/>
              <w:divBdr>
                <w:top w:val="none" w:sz="0" w:space="0" w:color="auto"/>
                <w:left w:val="none" w:sz="0" w:space="0" w:color="auto"/>
                <w:bottom w:val="none" w:sz="0" w:space="0" w:color="auto"/>
                <w:right w:val="none" w:sz="0" w:space="0" w:color="auto"/>
              </w:divBdr>
            </w:div>
            <w:div w:id="1740053258">
              <w:marLeft w:val="0"/>
              <w:marRight w:val="0"/>
              <w:marTop w:val="0"/>
              <w:marBottom w:val="0"/>
              <w:divBdr>
                <w:top w:val="none" w:sz="0" w:space="0" w:color="auto"/>
                <w:left w:val="none" w:sz="0" w:space="0" w:color="auto"/>
                <w:bottom w:val="none" w:sz="0" w:space="0" w:color="auto"/>
                <w:right w:val="none" w:sz="0" w:space="0" w:color="auto"/>
              </w:divBdr>
            </w:div>
            <w:div w:id="1748116404">
              <w:marLeft w:val="0"/>
              <w:marRight w:val="0"/>
              <w:marTop w:val="0"/>
              <w:marBottom w:val="0"/>
              <w:divBdr>
                <w:top w:val="none" w:sz="0" w:space="0" w:color="auto"/>
                <w:left w:val="none" w:sz="0" w:space="0" w:color="auto"/>
                <w:bottom w:val="none" w:sz="0" w:space="0" w:color="auto"/>
                <w:right w:val="none" w:sz="0" w:space="0" w:color="auto"/>
              </w:divBdr>
            </w:div>
            <w:div w:id="1805659962">
              <w:marLeft w:val="0"/>
              <w:marRight w:val="0"/>
              <w:marTop w:val="0"/>
              <w:marBottom w:val="0"/>
              <w:divBdr>
                <w:top w:val="none" w:sz="0" w:space="0" w:color="auto"/>
                <w:left w:val="none" w:sz="0" w:space="0" w:color="auto"/>
                <w:bottom w:val="none" w:sz="0" w:space="0" w:color="auto"/>
                <w:right w:val="none" w:sz="0" w:space="0" w:color="auto"/>
              </w:divBdr>
            </w:div>
            <w:div w:id="1939947668">
              <w:marLeft w:val="0"/>
              <w:marRight w:val="0"/>
              <w:marTop w:val="0"/>
              <w:marBottom w:val="0"/>
              <w:divBdr>
                <w:top w:val="none" w:sz="0" w:space="0" w:color="auto"/>
                <w:left w:val="none" w:sz="0" w:space="0" w:color="auto"/>
                <w:bottom w:val="none" w:sz="0" w:space="0" w:color="auto"/>
                <w:right w:val="none" w:sz="0" w:space="0" w:color="auto"/>
              </w:divBdr>
            </w:div>
            <w:div w:id="1991514435">
              <w:marLeft w:val="0"/>
              <w:marRight w:val="0"/>
              <w:marTop w:val="0"/>
              <w:marBottom w:val="0"/>
              <w:divBdr>
                <w:top w:val="none" w:sz="0" w:space="0" w:color="auto"/>
                <w:left w:val="none" w:sz="0" w:space="0" w:color="auto"/>
                <w:bottom w:val="none" w:sz="0" w:space="0" w:color="auto"/>
                <w:right w:val="none" w:sz="0" w:space="0" w:color="auto"/>
              </w:divBdr>
            </w:div>
            <w:div w:id="2049454017">
              <w:marLeft w:val="0"/>
              <w:marRight w:val="0"/>
              <w:marTop w:val="0"/>
              <w:marBottom w:val="0"/>
              <w:divBdr>
                <w:top w:val="none" w:sz="0" w:space="0" w:color="auto"/>
                <w:left w:val="none" w:sz="0" w:space="0" w:color="auto"/>
                <w:bottom w:val="none" w:sz="0" w:space="0" w:color="auto"/>
                <w:right w:val="none" w:sz="0" w:space="0" w:color="auto"/>
              </w:divBdr>
            </w:div>
          </w:divsChild>
        </w:div>
        <w:div w:id="1041514476">
          <w:marLeft w:val="0"/>
          <w:marRight w:val="0"/>
          <w:marTop w:val="0"/>
          <w:marBottom w:val="0"/>
          <w:divBdr>
            <w:top w:val="none" w:sz="0" w:space="0" w:color="auto"/>
            <w:left w:val="none" w:sz="0" w:space="0" w:color="auto"/>
            <w:bottom w:val="none" w:sz="0" w:space="0" w:color="auto"/>
            <w:right w:val="none" w:sz="0" w:space="0" w:color="auto"/>
          </w:divBdr>
        </w:div>
        <w:div w:id="1058482391">
          <w:marLeft w:val="0"/>
          <w:marRight w:val="0"/>
          <w:marTop w:val="0"/>
          <w:marBottom w:val="0"/>
          <w:divBdr>
            <w:top w:val="none" w:sz="0" w:space="0" w:color="auto"/>
            <w:left w:val="none" w:sz="0" w:space="0" w:color="auto"/>
            <w:bottom w:val="none" w:sz="0" w:space="0" w:color="auto"/>
            <w:right w:val="none" w:sz="0" w:space="0" w:color="auto"/>
          </w:divBdr>
          <w:divsChild>
            <w:div w:id="86387869">
              <w:marLeft w:val="0"/>
              <w:marRight w:val="0"/>
              <w:marTop w:val="0"/>
              <w:marBottom w:val="0"/>
              <w:divBdr>
                <w:top w:val="none" w:sz="0" w:space="0" w:color="auto"/>
                <w:left w:val="none" w:sz="0" w:space="0" w:color="auto"/>
                <w:bottom w:val="none" w:sz="0" w:space="0" w:color="auto"/>
                <w:right w:val="none" w:sz="0" w:space="0" w:color="auto"/>
              </w:divBdr>
            </w:div>
            <w:div w:id="93092562">
              <w:marLeft w:val="0"/>
              <w:marRight w:val="0"/>
              <w:marTop w:val="0"/>
              <w:marBottom w:val="0"/>
              <w:divBdr>
                <w:top w:val="none" w:sz="0" w:space="0" w:color="auto"/>
                <w:left w:val="none" w:sz="0" w:space="0" w:color="auto"/>
                <w:bottom w:val="none" w:sz="0" w:space="0" w:color="auto"/>
                <w:right w:val="none" w:sz="0" w:space="0" w:color="auto"/>
              </w:divBdr>
            </w:div>
            <w:div w:id="138423403">
              <w:marLeft w:val="0"/>
              <w:marRight w:val="0"/>
              <w:marTop w:val="0"/>
              <w:marBottom w:val="0"/>
              <w:divBdr>
                <w:top w:val="none" w:sz="0" w:space="0" w:color="auto"/>
                <w:left w:val="none" w:sz="0" w:space="0" w:color="auto"/>
                <w:bottom w:val="none" w:sz="0" w:space="0" w:color="auto"/>
                <w:right w:val="none" w:sz="0" w:space="0" w:color="auto"/>
              </w:divBdr>
            </w:div>
            <w:div w:id="482159487">
              <w:marLeft w:val="0"/>
              <w:marRight w:val="0"/>
              <w:marTop w:val="0"/>
              <w:marBottom w:val="0"/>
              <w:divBdr>
                <w:top w:val="none" w:sz="0" w:space="0" w:color="auto"/>
                <w:left w:val="none" w:sz="0" w:space="0" w:color="auto"/>
                <w:bottom w:val="none" w:sz="0" w:space="0" w:color="auto"/>
                <w:right w:val="none" w:sz="0" w:space="0" w:color="auto"/>
              </w:divBdr>
            </w:div>
            <w:div w:id="489947358">
              <w:marLeft w:val="0"/>
              <w:marRight w:val="0"/>
              <w:marTop w:val="0"/>
              <w:marBottom w:val="0"/>
              <w:divBdr>
                <w:top w:val="none" w:sz="0" w:space="0" w:color="auto"/>
                <w:left w:val="none" w:sz="0" w:space="0" w:color="auto"/>
                <w:bottom w:val="none" w:sz="0" w:space="0" w:color="auto"/>
                <w:right w:val="none" w:sz="0" w:space="0" w:color="auto"/>
              </w:divBdr>
            </w:div>
            <w:div w:id="502357426">
              <w:marLeft w:val="0"/>
              <w:marRight w:val="0"/>
              <w:marTop w:val="0"/>
              <w:marBottom w:val="0"/>
              <w:divBdr>
                <w:top w:val="none" w:sz="0" w:space="0" w:color="auto"/>
                <w:left w:val="none" w:sz="0" w:space="0" w:color="auto"/>
                <w:bottom w:val="none" w:sz="0" w:space="0" w:color="auto"/>
                <w:right w:val="none" w:sz="0" w:space="0" w:color="auto"/>
              </w:divBdr>
            </w:div>
            <w:div w:id="545996409">
              <w:marLeft w:val="0"/>
              <w:marRight w:val="0"/>
              <w:marTop w:val="0"/>
              <w:marBottom w:val="0"/>
              <w:divBdr>
                <w:top w:val="none" w:sz="0" w:space="0" w:color="auto"/>
                <w:left w:val="none" w:sz="0" w:space="0" w:color="auto"/>
                <w:bottom w:val="none" w:sz="0" w:space="0" w:color="auto"/>
                <w:right w:val="none" w:sz="0" w:space="0" w:color="auto"/>
              </w:divBdr>
            </w:div>
            <w:div w:id="836379200">
              <w:marLeft w:val="0"/>
              <w:marRight w:val="0"/>
              <w:marTop w:val="0"/>
              <w:marBottom w:val="0"/>
              <w:divBdr>
                <w:top w:val="none" w:sz="0" w:space="0" w:color="auto"/>
                <w:left w:val="none" w:sz="0" w:space="0" w:color="auto"/>
                <w:bottom w:val="none" w:sz="0" w:space="0" w:color="auto"/>
                <w:right w:val="none" w:sz="0" w:space="0" w:color="auto"/>
              </w:divBdr>
            </w:div>
            <w:div w:id="1022784321">
              <w:marLeft w:val="0"/>
              <w:marRight w:val="0"/>
              <w:marTop w:val="0"/>
              <w:marBottom w:val="0"/>
              <w:divBdr>
                <w:top w:val="none" w:sz="0" w:space="0" w:color="auto"/>
                <w:left w:val="none" w:sz="0" w:space="0" w:color="auto"/>
                <w:bottom w:val="none" w:sz="0" w:space="0" w:color="auto"/>
                <w:right w:val="none" w:sz="0" w:space="0" w:color="auto"/>
              </w:divBdr>
            </w:div>
            <w:div w:id="1063135622">
              <w:marLeft w:val="0"/>
              <w:marRight w:val="0"/>
              <w:marTop w:val="0"/>
              <w:marBottom w:val="0"/>
              <w:divBdr>
                <w:top w:val="none" w:sz="0" w:space="0" w:color="auto"/>
                <w:left w:val="none" w:sz="0" w:space="0" w:color="auto"/>
                <w:bottom w:val="none" w:sz="0" w:space="0" w:color="auto"/>
                <w:right w:val="none" w:sz="0" w:space="0" w:color="auto"/>
              </w:divBdr>
            </w:div>
            <w:div w:id="1141456332">
              <w:marLeft w:val="0"/>
              <w:marRight w:val="0"/>
              <w:marTop w:val="0"/>
              <w:marBottom w:val="0"/>
              <w:divBdr>
                <w:top w:val="none" w:sz="0" w:space="0" w:color="auto"/>
                <w:left w:val="none" w:sz="0" w:space="0" w:color="auto"/>
                <w:bottom w:val="none" w:sz="0" w:space="0" w:color="auto"/>
                <w:right w:val="none" w:sz="0" w:space="0" w:color="auto"/>
              </w:divBdr>
            </w:div>
            <w:div w:id="1255431661">
              <w:marLeft w:val="0"/>
              <w:marRight w:val="0"/>
              <w:marTop w:val="0"/>
              <w:marBottom w:val="0"/>
              <w:divBdr>
                <w:top w:val="none" w:sz="0" w:space="0" w:color="auto"/>
                <w:left w:val="none" w:sz="0" w:space="0" w:color="auto"/>
                <w:bottom w:val="none" w:sz="0" w:space="0" w:color="auto"/>
                <w:right w:val="none" w:sz="0" w:space="0" w:color="auto"/>
              </w:divBdr>
            </w:div>
            <w:div w:id="1377047522">
              <w:marLeft w:val="0"/>
              <w:marRight w:val="0"/>
              <w:marTop w:val="0"/>
              <w:marBottom w:val="0"/>
              <w:divBdr>
                <w:top w:val="none" w:sz="0" w:space="0" w:color="auto"/>
                <w:left w:val="none" w:sz="0" w:space="0" w:color="auto"/>
                <w:bottom w:val="none" w:sz="0" w:space="0" w:color="auto"/>
                <w:right w:val="none" w:sz="0" w:space="0" w:color="auto"/>
              </w:divBdr>
            </w:div>
            <w:div w:id="1437359890">
              <w:marLeft w:val="0"/>
              <w:marRight w:val="0"/>
              <w:marTop w:val="0"/>
              <w:marBottom w:val="0"/>
              <w:divBdr>
                <w:top w:val="none" w:sz="0" w:space="0" w:color="auto"/>
                <w:left w:val="none" w:sz="0" w:space="0" w:color="auto"/>
                <w:bottom w:val="none" w:sz="0" w:space="0" w:color="auto"/>
                <w:right w:val="none" w:sz="0" w:space="0" w:color="auto"/>
              </w:divBdr>
            </w:div>
            <w:div w:id="1569488134">
              <w:marLeft w:val="0"/>
              <w:marRight w:val="0"/>
              <w:marTop w:val="0"/>
              <w:marBottom w:val="0"/>
              <w:divBdr>
                <w:top w:val="none" w:sz="0" w:space="0" w:color="auto"/>
                <w:left w:val="none" w:sz="0" w:space="0" w:color="auto"/>
                <w:bottom w:val="none" w:sz="0" w:space="0" w:color="auto"/>
                <w:right w:val="none" w:sz="0" w:space="0" w:color="auto"/>
              </w:divBdr>
            </w:div>
            <w:div w:id="1580552972">
              <w:marLeft w:val="0"/>
              <w:marRight w:val="0"/>
              <w:marTop w:val="0"/>
              <w:marBottom w:val="0"/>
              <w:divBdr>
                <w:top w:val="none" w:sz="0" w:space="0" w:color="auto"/>
                <w:left w:val="none" w:sz="0" w:space="0" w:color="auto"/>
                <w:bottom w:val="none" w:sz="0" w:space="0" w:color="auto"/>
                <w:right w:val="none" w:sz="0" w:space="0" w:color="auto"/>
              </w:divBdr>
            </w:div>
            <w:div w:id="1647978627">
              <w:marLeft w:val="0"/>
              <w:marRight w:val="0"/>
              <w:marTop w:val="0"/>
              <w:marBottom w:val="0"/>
              <w:divBdr>
                <w:top w:val="none" w:sz="0" w:space="0" w:color="auto"/>
                <w:left w:val="none" w:sz="0" w:space="0" w:color="auto"/>
                <w:bottom w:val="none" w:sz="0" w:space="0" w:color="auto"/>
                <w:right w:val="none" w:sz="0" w:space="0" w:color="auto"/>
              </w:divBdr>
            </w:div>
            <w:div w:id="1706514841">
              <w:marLeft w:val="0"/>
              <w:marRight w:val="0"/>
              <w:marTop w:val="0"/>
              <w:marBottom w:val="0"/>
              <w:divBdr>
                <w:top w:val="none" w:sz="0" w:space="0" w:color="auto"/>
                <w:left w:val="none" w:sz="0" w:space="0" w:color="auto"/>
                <w:bottom w:val="none" w:sz="0" w:space="0" w:color="auto"/>
                <w:right w:val="none" w:sz="0" w:space="0" w:color="auto"/>
              </w:divBdr>
            </w:div>
            <w:div w:id="2039892720">
              <w:marLeft w:val="0"/>
              <w:marRight w:val="0"/>
              <w:marTop w:val="0"/>
              <w:marBottom w:val="0"/>
              <w:divBdr>
                <w:top w:val="none" w:sz="0" w:space="0" w:color="auto"/>
                <w:left w:val="none" w:sz="0" w:space="0" w:color="auto"/>
                <w:bottom w:val="none" w:sz="0" w:space="0" w:color="auto"/>
                <w:right w:val="none" w:sz="0" w:space="0" w:color="auto"/>
              </w:divBdr>
            </w:div>
            <w:div w:id="2129078140">
              <w:marLeft w:val="0"/>
              <w:marRight w:val="0"/>
              <w:marTop w:val="0"/>
              <w:marBottom w:val="0"/>
              <w:divBdr>
                <w:top w:val="none" w:sz="0" w:space="0" w:color="auto"/>
                <w:left w:val="none" w:sz="0" w:space="0" w:color="auto"/>
                <w:bottom w:val="none" w:sz="0" w:space="0" w:color="auto"/>
                <w:right w:val="none" w:sz="0" w:space="0" w:color="auto"/>
              </w:divBdr>
            </w:div>
          </w:divsChild>
        </w:div>
        <w:div w:id="1105265864">
          <w:marLeft w:val="0"/>
          <w:marRight w:val="0"/>
          <w:marTop w:val="0"/>
          <w:marBottom w:val="0"/>
          <w:divBdr>
            <w:top w:val="none" w:sz="0" w:space="0" w:color="auto"/>
            <w:left w:val="none" w:sz="0" w:space="0" w:color="auto"/>
            <w:bottom w:val="none" w:sz="0" w:space="0" w:color="auto"/>
            <w:right w:val="none" w:sz="0" w:space="0" w:color="auto"/>
          </w:divBdr>
          <w:divsChild>
            <w:div w:id="7412337">
              <w:marLeft w:val="0"/>
              <w:marRight w:val="0"/>
              <w:marTop w:val="0"/>
              <w:marBottom w:val="0"/>
              <w:divBdr>
                <w:top w:val="none" w:sz="0" w:space="0" w:color="auto"/>
                <w:left w:val="none" w:sz="0" w:space="0" w:color="auto"/>
                <w:bottom w:val="none" w:sz="0" w:space="0" w:color="auto"/>
                <w:right w:val="none" w:sz="0" w:space="0" w:color="auto"/>
              </w:divBdr>
            </w:div>
            <w:div w:id="36439315">
              <w:marLeft w:val="0"/>
              <w:marRight w:val="0"/>
              <w:marTop w:val="0"/>
              <w:marBottom w:val="0"/>
              <w:divBdr>
                <w:top w:val="none" w:sz="0" w:space="0" w:color="auto"/>
                <w:left w:val="none" w:sz="0" w:space="0" w:color="auto"/>
                <w:bottom w:val="none" w:sz="0" w:space="0" w:color="auto"/>
                <w:right w:val="none" w:sz="0" w:space="0" w:color="auto"/>
              </w:divBdr>
            </w:div>
            <w:div w:id="247427307">
              <w:marLeft w:val="0"/>
              <w:marRight w:val="0"/>
              <w:marTop w:val="0"/>
              <w:marBottom w:val="0"/>
              <w:divBdr>
                <w:top w:val="none" w:sz="0" w:space="0" w:color="auto"/>
                <w:left w:val="none" w:sz="0" w:space="0" w:color="auto"/>
                <w:bottom w:val="none" w:sz="0" w:space="0" w:color="auto"/>
                <w:right w:val="none" w:sz="0" w:space="0" w:color="auto"/>
              </w:divBdr>
            </w:div>
            <w:div w:id="349724788">
              <w:marLeft w:val="0"/>
              <w:marRight w:val="0"/>
              <w:marTop w:val="0"/>
              <w:marBottom w:val="0"/>
              <w:divBdr>
                <w:top w:val="none" w:sz="0" w:space="0" w:color="auto"/>
                <w:left w:val="none" w:sz="0" w:space="0" w:color="auto"/>
                <w:bottom w:val="none" w:sz="0" w:space="0" w:color="auto"/>
                <w:right w:val="none" w:sz="0" w:space="0" w:color="auto"/>
              </w:divBdr>
            </w:div>
            <w:div w:id="508982699">
              <w:marLeft w:val="0"/>
              <w:marRight w:val="0"/>
              <w:marTop w:val="0"/>
              <w:marBottom w:val="0"/>
              <w:divBdr>
                <w:top w:val="none" w:sz="0" w:space="0" w:color="auto"/>
                <w:left w:val="none" w:sz="0" w:space="0" w:color="auto"/>
                <w:bottom w:val="none" w:sz="0" w:space="0" w:color="auto"/>
                <w:right w:val="none" w:sz="0" w:space="0" w:color="auto"/>
              </w:divBdr>
            </w:div>
            <w:div w:id="591355280">
              <w:marLeft w:val="0"/>
              <w:marRight w:val="0"/>
              <w:marTop w:val="0"/>
              <w:marBottom w:val="0"/>
              <w:divBdr>
                <w:top w:val="none" w:sz="0" w:space="0" w:color="auto"/>
                <w:left w:val="none" w:sz="0" w:space="0" w:color="auto"/>
                <w:bottom w:val="none" w:sz="0" w:space="0" w:color="auto"/>
                <w:right w:val="none" w:sz="0" w:space="0" w:color="auto"/>
              </w:divBdr>
            </w:div>
            <w:div w:id="705715158">
              <w:marLeft w:val="0"/>
              <w:marRight w:val="0"/>
              <w:marTop w:val="0"/>
              <w:marBottom w:val="0"/>
              <w:divBdr>
                <w:top w:val="none" w:sz="0" w:space="0" w:color="auto"/>
                <w:left w:val="none" w:sz="0" w:space="0" w:color="auto"/>
                <w:bottom w:val="none" w:sz="0" w:space="0" w:color="auto"/>
                <w:right w:val="none" w:sz="0" w:space="0" w:color="auto"/>
              </w:divBdr>
            </w:div>
            <w:div w:id="734470434">
              <w:marLeft w:val="0"/>
              <w:marRight w:val="0"/>
              <w:marTop w:val="0"/>
              <w:marBottom w:val="0"/>
              <w:divBdr>
                <w:top w:val="none" w:sz="0" w:space="0" w:color="auto"/>
                <w:left w:val="none" w:sz="0" w:space="0" w:color="auto"/>
                <w:bottom w:val="none" w:sz="0" w:space="0" w:color="auto"/>
                <w:right w:val="none" w:sz="0" w:space="0" w:color="auto"/>
              </w:divBdr>
            </w:div>
            <w:div w:id="770590948">
              <w:marLeft w:val="0"/>
              <w:marRight w:val="0"/>
              <w:marTop w:val="0"/>
              <w:marBottom w:val="0"/>
              <w:divBdr>
                <w:top w:val="none" w:sz="0" w:space="0" w:color="auto"/>
                <w:left w:val="none" w:sz="0" w:space="0" w:color="auto"/>
                <w:bottom w:val="none" w:sz="0" w:space="0" w:color="auto"/>
                <w:right w:val="none" w:sz="0" w:space="0" w:color="auto"/>
              </w:divBdr>
            </w:div>
            <w:div w:id="852888011">
              <w:marLeft w:val="0"/>
              <w:marRight w:val="0"/>
              <w:marTop w:val="0"/>
              <w:marBottom w:val="0"/>
              <w:divBdr>
                <w:top w:val="none" w:sz="0" w:space="0" w:color="auto"/>
                <w:left w:val="none" w:sz="0" w:space="0" w:color="auto"/>
                <w:bottom w:val="none" w:sz="0" w:space="0" w:color="auto"/>
                <w:right w:val="none" w:sz="0" w:space="0" w:color="auto"/>
              </w:divBdr>
            </w:div>
            <w:div w:id="941837856">
              <w:marLeft w:val="0"/>
              <w:marRight w:val="0"/>
              <w:marTop w:val="0"/>
              <w:marBottom w:val="0"/>
              <w:divBdr>
                <w:top w:val="none" w:sz="0" w:space="0" w:color="auto"/>
                <w:left w:val="none" w:sz="0" w:space="0" w:color="auto"/>
                <w:bottom w:val="none" w:sz="0" w:space="0" w:color="auto"/>
                <w:right w:val="none" w:sz="0" w:space="0" w:color="auto"/>
              </w:divBdr>
            </w:div>
            <w:div w:id="1067147704">
              <w:marLeft w:val="0"/>
              <w:marRight w:val="0"/>
              <w:marTop w:val="0"/>
              <w:marBottom w:val="0"/>
              <w:divBdr>
                <w:top w:val="none" w:sz="0" w:space="0" w:color="auto"/>
                <w:left w:val="none" w:sz="0" w:space="0" w:color="auto"/>
                <w:bottom w:val="none" w:sz="0" w:space="0" w:color="auto"/>
                <w:right w:val="none" w:sz="0" w:space="0" w:color="auto"/>
              </w:divBdr>
            </w:div>
            <w:div w:id="1076366503">
              <w:marLeft w:val="0"/>
              <w:marRight w:val="0"/>
              <w:marTop w:val="0"/>
              <w:marBottom w:val="0"/>
              <w:divBdr>
                <w:top w:val="none" w:sz="0" w:space="0" w:color="auto"/>
                <w:left w:val="none" w:sz="0" w:space="0" w:color="auto"/>
                <w:bottom w:val="none" w:sz="0" w:space="0" w:color="auto"/>
                <w:right w:val="none" w:sz="0" w:space="0" w:color="auto"/>
              </w:divBdr>
            </w:div>
            <w:div w:id="1094981731">
              <w:marLeft w:val="0"/>
              <w:marRight w:val="0"/>
              <w:marTop w:val="0"/>
              <w:marBottom w:val="0"/>
              <w:divBdr>
                <w:top w:val="none" w:sz="0" w:space="0" w:color="auto"/>
                <w:left w:val="none" w:sz="0" w:space="0" w:color="auto"/>
                <w:bottom w:val="none" w:sz="0" w:space="0" w:color="auto"/>
                <w:right w:val="none" w:sz="0" w:space="0" w:color="auto"/>
              </w:divBdr>
            </w:div>
            <w:div w:id="1723483722">
              <w:marLeft w:val="0"/>
              <w:marRight w:val="0"/>
              <w:marTop w:val="0"/>
              <w:marBottom w:val="0"/>
              <w:divBdr>
                <w:top w:val="none" w:sz="0" w:space="0" w:color="auto"/>
                <w:left w:val="none" w:sz="0" w:space="0" w:color="auto"/>
                <w:bottom w:val="none" w:sz="0" w:space="0" w:color="auto"/>
                <w:right w:val="none" w:sz="0" w:space="0" w:color="auto"/>
              </w:divBdr>
            </w:div>
            <w:div w:id="1732969706">
              <w:marLeft w:val="0"/>
              <w:marRight w:val="0"/>
              <w:marTop w:val="0"/>
              <w:marBottom w:val="0"/>
              <w:divBdr>
                <w:top w:val="none" w:sz="0" w:space="0" w:color="auto"/>
                <w:left w:val="none" w:sz="0" w:space="0" w:color="auto"/>
                <w:bottom w:val="none" w:sz="0" w:space="0" w:color="auto"/>
                <w:right w:val="none" w:sz="0" w:space="0" w:color="auto"/>
              </w:divBdr>
            </w:div>
            <w:div w:id="2021465001">
              <w:marLeft w:val="0"/>
              <w:marRight w:val="0"/>
              <w:marTop w:val="0"/>
              <w:marBottom w:val="0"/>
              <w:divBdr>
                <w:top w:val="none" w:sz="0" w:space="0" w:color="auto"/>
                <w:left w:val="none" w:sz="0" w:space="0" w:color="auto"/>
                <w:bottom w:val="none" w:sz="0" w:space="0" w:color="auto"/>
                <w:right w:val="none" w:sz="0" w:space="0" w:color="auto"/>
              </w:divBdr>
            </w:div>
            <w:div w:id="2043289052">
              <w:marLeft w:val="0"/>
              <w:marRight w:val="0"/>
              <w:marTop w:val="0"/>
              <w:marBottom w:val="0"/>
              <w:divBdr>
                <w:top w:val="none" w:sz="0" w:space="0" w:color="auto"/>
                <w:left w:val="none" w:sz="0" w:space="0" w:color="auto"/>
                <w:bottom w:val="none" w:sz="0" w:space="0" w:color="auto"/>
                <w:right w:val="none" w:sz="0" w:space="0" w:color="auto"/>
              </w:divBdr>
            </w:div>
            <w:div w:id="2141458310">
              <w:marLeft w:val="0"/>
              <w:marRight w:val="0"/>
              <w:marTop w:val="0"/>
              <w:marBottom w:val="0"/>
              <w:divBdr>
                <w:top w:val="none" w:sz="0" w:space="0" w:color="auto"/>
                <w:left w:val="none" w:sz="0" w:space="0" w:color="auto"/>
                <w:bottom w:val="none" w:sz="0" w:space="0" w:color="auto"/>
                <w:right w:val="none" w:sz="0" w:space="0" w:color="auto"/>
              </w:divBdr>
            </w:div>
          </w:divsChild>
        </w:div>
        <w:div w:id="1111364728">
          <w:marLeft w:val="0"/>
          <w:marRight w:val="0"/>
          <w:marTop w:val="0"/>
          <w:marBottom w:val="0"/>
          <w:divBdr>
            <w:top w:val="none" w:sz="0" w:space="0" w:color="auto"/>
            <w:left w:val="none" w:sz="0" w:space="0" w:color="auto"/>
            <w:bottom w:val="none" w:sz="0" w:space="0" w:color="auto"/>
            <w:right w:val="none" w:sz="0" w:space="0" w:color="auto"/>
          </w:divBdr>
          <w:divsChild>
            <w:div w:id="392046233">
              <w:marLeft w:val="-75"/>
              <w:marRight w:val="0"/>
              <w:marTop w:val="30"/>
              <w:marBottom w:val="30"/>
              <w:divBdr>
                <w:top w:val="none" w:sz="0" w:space="0" w:color="auto"/>
                <w:left w:val="none" w:sz="0" w:space="0" w:color="auto"/>
                <w:bottom w:val="none" w:sz="0" w:space="0" w:color="auto"/>
                <w:right w:val="none" w:sz="0" w:space="0" w:color="auto"/>
              </w:divBdr>
              <w:divsChild>
                <w:div w:id="85853077">
                  <w:marLeft w:val="0"/>
                  <w:marRight w:val="0"/>
                  <w:marTop w:val="0"/>
                  <w:marBottom w:val="0"/>
                  <w:divBdr>
                    <w:top w:val="none" w:sz="0" w:space="0" w:color="auto"/>
                    <w:left w:val="none" w:sz="0" w:space="0" w:color="auto"/>
                    <w:bottom w:val="none" w:sz="0" w:space="0" w:color="auto"/>
                    <w:right w:val="none" w:sz="0" w:space="0" w:color="auto"/>
                  </w:divBdr>
                  <w:divsChild>
                    <w:div w:id="686561755">
                      <w:marLeft w:val="0"/>
                      <w:marRight w:val="0"/>
                      <w:marTop w:val="0"/>
                      <w:marBottom w:val="0"/>
                      <w:divBdr>
                        <w:top w:val="none" w:sz="0" w:space="0" w:color="auto"/>
                        <w:left w:val="none" w:sz="0" w:space="0" w:color="auto"/>
                        <w:bottom w:val="none" w:sz="0" w:space="0" w:color="auto"/>
                        <w:right w:val="none" w:sz="0" w:space="0" w:color="auto"/>
                      </w:divBdr>
                    </w:div>
                    <w:div w:id="970594532">
                      <w:marLeft w:val="0"/>
                      <w:marRight w:val="0"/>
                      <w:marTop w:val="0"/>
                      <w:marBottom w:val="0"/>
                      <w:divBdr>
                        <w:top w:val="none" w:sz="0" w:space="0" w:color="auto"/>
                        <w:left w:val="none" w:sz="0" w:space="0" w:color="auto"/>
                        <w:bottom w:val="none" w:sz="0" w:space="0" w:color="auto"/>
                        <w:right w:val="none" w:sz="0" w:space="0" w:color="auto"/>
                      </w:divBdr>
                    </w:div>
                  </w:divsChild>
                </w:div>
                <w:div w:id="280571286">
                  <w:marLeft w:val="0"/>
                  <w:marRight w:val="0"/>
                  <w:marTop w:val="0"/>
                  <w:marBottom w:val="0"/>
                  <w:divBdr>
                    <w:top w:val="none" w:sz="0" w:space="0" w:color="auto"/>
                    <w:left w:val="none" w:sz="0" w:space="0" w:color="auto"/>
                    <w:bottom w:val="none" w:sz="0" w:space="0" w:color="auto"/>
                    <w:right w:val="none" w:sz="0" w:space="0" w:color="auto"/>
                  </w:divBdr>
                  <w:divsChild>
                    <w:div w:id="692151320">
                      <w:marLeft w:val="0"/>
                      <w:marRight w:val="0"/>
                      <w:marTop w:val="0"/>
                      <w:marBottom w:val="0"/>
                      <w:divBdr>
                        <w:top w:val="none" w:sz="0" w:space="0" w:color="auto"/>
                        <w:left w:val="none" w:sz="0" w:space="0" w:color="auto"/>
                        <w:bottom w:val="none" w:sz="0" w:space="0" w:color="auto"/>
                        <w:right w:val="none" w:sz="0" w:space="0" w:color="auto"/>
                      </w:divBdr>
                    </w:div>
                    <w:div w:id="1983996302">
                      <w:marLeft w:val="0"/>
                      <w:marRight w:val="0"/>
                      <w:marTop w:val="0"/>
                      <w:marBottom w:val="0"/>
                      <w:divBdr>
                        <w:top w:val="none" w:sz="0" w:space="0" w:color="auto"/>
                        <w:left w:val="none" w:sz="0" w:space="0" w:color="auto"/>
                        <w:bottom w:val="none" w:sz="0" w:space="0" w:color="auto"/>
                        <w:right w:val="none" w:sz="0" w:space="0" w:color="auto"/>
                      </w:divBdr>
                    </w:div>
                  </w:divsChild>
                </w:div>
                <w:div w:id="1505708566">
                  <w:marLeft w:val="0"/>
                  <w:marRight w:val="0"/>
                  <w:marTop w:val="0"/>
                  <w:marBottom w:val="0"/>
                  <w:divBdr>
                    <w:top w:val="none" w:sz="0" w:space="0" w:color="auto"/>
                    <w:left w:val="none" w:sz="0" w:space="0" w:color="auto"/>
                    <w:bottom w:val="none" w:sz="0" w:space="0" w:color="auto"/>
                    <w:right w:val="none" w:sz="0" w:space="0" w:color="auto"/>
                  </w:divBdr>
                  <w:divsChild>
                    <w:div w:id="1669138749">
                      <w:marLeft w:val="0"/>
                      <w:marRight w:val="0"/>
                      <w:marTop w:val="0"/>
                      <w:marBottom w:val="0"/>
                      <w:divBdr>
                        <w:top w:val="none" w:sz="0" w:space="0" w:color="auto"/>
                        <w:left w:val="none" w:sz="0" w:space="0" w:color="auto"/>
                        <w:bottom w:val="none" w:sz="0" w:space="0" w:color="auto"/>
                        <w:right w:val="none" w:sz="0" w:space="0" w:color="auto"/>
                      </w:divBdr>
                    </w:div>
                    <w:div w:id="2050907925">
                      <w:marLeft w:val="0"/>
                      <w:marRight w:val="0"/>
                      <w:marTop w:val="0"/>
                      <w:marBottom w:val="0"/>
                      <w:divBdr>
                        <w:top w:val="none" w:sz="0" w:space="0" w:color="auto"/>
                        <w:left w:val="none" w:sz="0" w:space="0" w:color="auto"/>
                        <w:bottom w:val="none" w:sz="0" w:space="0" w:color="auto"/>
                        <w:right w:val="none" w:sz="0" w:space="0" w:color="auto"/>
                      </w:divBdr>
                    </w:div>
                  </w:divsChild>
                </w:div>
                <w:div w:id="1594971122">
                  <w:marLeft w:val="0"/>
                  <w:marRight w:val="0"/>
                  <w:marTop w:val="0"/>
                  <w:marBottom w:val="0"/>
                  <w:divBdr>
                    <w:top w:val="none" w:sz="0" w:space="0" w:color="auto"/>
                    <w:left w:val="none" w:sz="0" w:space="0" w:color="auto"/>
                    <w:bottom w:val="none" w:sz="0" w:space="0" w:color="auto"/>
                    <w:right w:val="none" w:sz="0" w:space="0" w:color="auto"/>
                  </w:divBdr>
                  <w:divsChild>
                    <w:div w:id="324627112">
                      <w:marLeft w:val="0"/>
                      <w:marRight w:val="0"/>
                      <w:marTop w:val="0"/>
                      <w:marBottom w:val="0"/>
                      <w:divBdr>
                        <w:top w:val="none" w:sz="0" w:space="0" w:color="auto"/>
                        <w:left w:val="none" w:sz="0" w:space="0" w:color="auto"/>
                        <w:bottom w:val="none" w:sz="0" w:space="0" w:color="auto"/>
                        <w:right w:val="none" w:sz="0" w:space="0" w:color="auto"/>
                      </w:divBdr>
                    </w:div>
                    <w:div w:id="1807620962">
                      <w:marLeft w:val="0"/>
                      <w:marRight w:val="0"/>
                      <w:marTop w:val="0"/>
                      <w:marBottom w:val="0"/>
                      <w:divBdr>
                        <w:top w:val="none" w:sz="0" w:space="0" w:color="auto"/>
                        <w:left w:val="none" w:sz="0" w:space="0" w:color="auto"/>
                        <w:bottom w:val="none" w:sz="0" w:space="0" w:color="auto"/>
                        <w:right w:val="none" w:sz="0" w:space="0" w:color="auto"/>
                      </w:divBdr>
                    </w:div>
                  </w:divsChild>
                </w:div>
                <w:div w:id="1649675335">
                  <w:marLeft w:val="0"/>
                  <w:marRight w:val="0"/>
                  <w:marTop w:val="0"/>
                  <w:marBottom w:val="0"/>
                  <w:divBdr>
                    <w:top w:val="none" w:sz="0" w:space="0" w:color="auto"/>
                    <w:left w:val="none" w:sz="0" w:space="0" w:color="auto"/>
                    <w:bottom w:val="none" w:sz="0" w:space="0" w:color="auto"/>
                    <w:right w:val="none" w:sz="0" w:space="0" w:color="auto"/>
                  </w:divBdr>
                  <w:divsChild>
                    <w:div w:id="77792417">
                      <w:marLeft w:val="0"/>
                      <w:marRight w:val="0"/>
                      <w:marTop w:val="0"/>
                      <w:marBottom w:val="0"/>
                      <w:divBdr>
                        <w:top w:val="none" w:sz="0" w:space="0" w:color="auto"/>
                        <w:left w:val="none" w:sz="0" w:space="0" w:color="auto"/>
                        <w:bottom w:val="none" w:sz="0" w:space="0" w:color="auto"/>
                        <w:right w:val="none" w:sz="0" w:space="0" w:color="auto"/>
                      </w:divBdr>
                    </w:div>
                    <w:div w:id="689069972">
                      <w:marLeft w:val="0"/>
                      <w:marRight w:val="0"/>
                      <w:marTop w:val="0"/>
                      <w:marBottom w:val="0"/>
                      <w:divBdr>
                        <w:top w:val="none" w:sz="0" w:space="0" w:color="auto"/>
                        <w:left w:val="none" w:sz="0" w:space="0" w:color="auto"/>
                        <w:bottom w:val="none" w:sz="0" w:space="0" w:color="auto"/>
                        <w:right w:val="none" w:sz="0" w:space="0" w:color="auto"/>
                      </w:divBdr>
                    </w:div>
                  </w:divsChild>
                </w:div>
                <w:div w:id="1689256144">
                  <w:marLeft w:val="0"/>
                  <w:marRight w:val="0"/>
                  <w:marTop w:val="0"/>
                  <w:marBottom w:val="0"/>
                  <w:divBdr>
                    <w:top w:val="none" w:sz="0" w:space="0" w:color="auto"/>
                    <w:left w:val="none" w:sz="0" w:space="0" w:color="auto"/>
                    <w:bottom w:val="none" w:sz="0" w:space="0" w:color="auto"/>
                    <w:right w:val="none" w:sz="0" w:space="0" w:color="auto"/>
                  </w:divBdr>
                  <w:divsChild>
                    <w:div w:id="42411102">
                      <w:marLeft w:val="0"/>
                      <w:marRight w:val="0"/>
                      <w:marTop w:val="0"/>
                      <w:marBottom w:val="0"/>
                      <w:divBdr>
                        <w:top w:val="none" w:sz="0" w:space="0" w:color="auto"/>
                        <w:left w:val="none" w:sz="0" w:space="0" w:color="auto"/>
                        <w:bottom w:val="none" w:sz="0" w:space="0" w:color="auto"/>
                        <w:right w:val="none" w:sz="0" w:space="0" w:color="auto"/>
                      </w:divBdr>
                    </w:div>
                    <w:div w:id="1051617443">
                      <w:marLeft w:val="0"/>
                      <w:marRight w:val="0"/>
                      <w:marTop w:val="0"/>
                      <w:marBottom w:val="0"/>
                      <w:divBdr>
                        <w:top w:val="none" w:sz="0" w:space="0" w:color="auto"/>
                        <w:left w:val="none" w:sz="0" w:space="0" w:color="auto"/>
                        <w:bottom w:val="none" w:sz="0" w:space="0" w:color="auto"/>
                        <w:right w:val="none" w:sz="0" w:space="0" w:color="auto"/>
                      </w:divBdr>
                    </w:div>
                    <w:div w:id="1696157028">
                      <w:marLeft w:val="0"/>
                      <w:marRight w:val="0"/>
                      <w:marTop w:val="0"/>
                      <w:marBottom w:val="0"/>
                      <w:divBdr>
                        <w:top w:val="none" w:sz="0" w:space="0" w:color="auto"/>
                        <w:left w:val="none" w:sz="0" w:space="0" w:color="auto"/>
                        <w:bottom w:val="none" w:sz="0" w:space="0" w:color="auto"/>
                        <w:right w:val="none" w:sz="0" w:space="0" w:color="auto"/>
                      </w:divBdr>
                    </w:div>
                  </w:divsChild>
                </w:div>
                <w:div w:id="1718430309">
                  <w:marLeft w:val="0"/>
                  <w:marRight w:val="0"/>
                  <w:marTop w:val="0"/>
                  <w:marBottom w:val="0"/>
                  <w:divBdr>
                    <w:top w:val="none" w:sz="0" w:space="0" w:color="auto"/>
                    <w:left w:val="none" w:sz="0" w:space="0" w:color="auto"/>
                    <w:bottom w:val="none" w:sz="0" w:space="0" w:color="auto"/>
                    <w:right w:val="none" w:sz="0" w:space="0" w:color="auto"/>
                  </w:divBdr>
                  <w:divsChild>
                    <w:div w:id="290944284">
                      <w:marLeft w:val="0"/>
                      <w:marRight w:val="0"/>
                      <w:marTop w:val="0"/>
                      <w:marBottom w:val="0"/>
                      <w:divBdr>
                        <w:top w:val="none" w:sz="0" w:space="0" w:color="auto"/>
                        <w:left w:val="none" w:sz="0" w:space="0" w:color="auto"/>
                        <w:bottom w:val="none" w:sz="0" w:space="0" w:color="auto"/>
                        <w:right w:val="none" w:sz="0" w:space="0" w:color="auto"/>
                      </w:divBdr>
                    </w:div>
                    <w:div w:id="1438259269">
                      <w:marLeft w:val="0"/>
                      <w:marRight w:val="0"/>
                      <w:marTop w:val="0"/>
                      <w:marBottom w:val="0"/>
                      <w:divBdr>
                        <w:top w:val="none" w:sz="0" w:space="0" w:color="auto"/>
                        <w:left w:val="none" w:sz="0" w:space="0" w:color="auto"/>
                        <w:bottom w:val="none" w:sz="0" w:space="0" w:color="auto"/>
                        <w:right w:val="none" w:sz="0" w:space="0" w:color="auto"/>
                      </w:divBdr>
                    </w:div>
                  </w:divsChild>
                </w:div>
                <w:div w:id="1965312300">
                  <w:marLeft w:val="0"/>
                  <w:marRight w:val="0"/>
                  <w:marTop w:val="0"/>
                  <w:marBottom w:val="0"/>
                  <w:divBdr>
                    <w:top w:val="none" w:sz="0" w:space="0" w:color="auto"/>
                    <w:left w:val="none" w:sz="0" w:space="0" w:color="auto"/>
                    <w:bottom w:val="none" w:sz="0" w:space="0" w:color="auto"/>
                    <w:right w:val="none" w:sz="0" w:space="0" w:color="auto"/>
                  </w:divBdr>
                  <w:divsChild>
                    <w:div w:id="382602986">
                      <w:marLeft w:val="0"/>
                      <w:marRight w:val="0"/>
                      <w:marTop w:val="0"/>
                      <w:marBottom w:val="0"/>
                      <w:divBdr>
                        <w:top w:val="none" w:sz="0" w:space="0" w:color="auto"/>
                        <w:left w:val="none" w:sz="0" w:space="0" w:color="auto"/>
                        <w:bottom w:val="none" w:sz="0" w:space="0" w:color="auto"/>
                        <w:right w:val="none" w:sz="0" w:space="0" w:color="auto"/>
                      </w:divBdr>
                    </w:div>
                    <w:div w:id="664867834">
                      <w:marLeft w:val="0"/>
                      <w:marRight w:val="0"/>
                      <w:marTop w:val="0"/>
                      <w:marBottom w:val="0"/>
                      <w:divBdr>
                        <w:top w:val="none" w:sz="0" w:space="0" w:color="auto"/>
                        <w:left w:val="none" w:sz="0" w:space="0" w:color="auto"/>
                        <w:bottom w:val="none" w:sz="0" w:space="0" w:color="auto"/>
                        <w:right w:val="none" w:sz="0" w:space="0" w:color="auto"/>
                      </w:divBdr>
                    </w:div>
                  </w:divsChild>
                </w:div>
                <w:div w:id="1997150009">
                  <w:marLeft w:val="0"/>
                  <w:marRight w:val="0"/>
                  <w:marTop w:val="0"/>
                  <w:marBottom w:val="0"/>
                  <w:divBdr>
                    <w:top w:val="none" w:sz="0" w:space="0" w:color="auto"/>
                    <w:left w:val="none" w:sz="0" w:space="0" w:color="auto"/>
                    <w:bottom w:val="none" w:sz="0" w:space="0" w:color="auto"/>
                    <w:right w:val="none" w:sz="0" w:space="0" w:color="auto"/>
                  </w:divBdr>
                  <w:divsChild>
                    <w:div w:id="478419916">
                      <w:marLeft w:val="0"/>
                      <w:marRight w:val="0"/>
                      <w:marTop w:val="0"/>
                      <w:marBottom w:val="0"/>
                      <w:divBdr>
                        <w:top w:val="none" w:sz="0" w:space="0" w:color="auto"/>
                        <w:left w:val="none" w:sz="0" w:space="0" w:color="auto"/>
                        <w:bottom w:val="none" w:sz="0" w:space="0" w:color="auto"/>
                        <w:right w:val="none" w:sz="0" w:space="0" w:color="auto"/>
                      </w:divBdr>
                    </w:div>
                    <w:div w:id="1110507933">
                      <w:marLeft w:val="0"/>
                      <w:marRight w:val="0"/>
                      <w:marTop w:val="0"/>
                      <w:marBottom w:val="0"/>
                      <w:divBdr>
                        <w:top w:val="none" w:sz="0" w:space="0" w:color="auto"/>
                        <w:left w:val="none" w:sz="0" w:space="0" w:color="auto"/>
                        <w:bottom w:val="none" w:sz="0" w:space="0" w:color="auto"/>
                        <w:right w:val="none" w:sz="0" w:space="0" w:color="auto"/>
                      </w:divBdr>
                    </w:div>
                    <w:div w:id="1741520045">
                      <w:marLeft w:val="0"/>
                      <w:marRight w:val="0"/>
                      <w:marTop w:val="0"/>
                      <w:marBottom w:val="0"/>
                      <w:divBdr>
                        <w:top w:val="none" w:sz="0" w:space="0" w:color="auto"/>
                        <w:left w:val="none" w:sz="0" w:space="0" w:color="auto"/>
                        <w:bottom w:val="none" w:sz="0" w:space="0" w:color="auto"/>
                        <w:right w:val="none" w:sz="0" w:space="0" w:color="auto"/>
                      </w:divBdr>
                    </w:div>
                    <w:div w:id="2141217610">
                      <w:marLeft w:val="0"/>
                      <w:marRight w:val="0"/>
                      <w:marTop w:val="0"/>
                      <w:marBottom w:val="0"/>
                      <w:divBdr>
                        <w:top w:val="none" w:sz="0" w:space="0" w:color="auto"/>
                        <w:left w:val="none" w:sz="0" w:space="0" w:color="auto"/>
                        <w:bottom w:val="none" w:sz="0" w:space="0" w:color="auto"/>
                        <w:right w:val="none" w:sz="0" w:space="0" w:color="auto"/>
                      </w:divBdr>
                    </w:div>
                  </w:divsChild>
                </w:div>
                <w:div w:id="2079938956">
                  <w:marLeft w:val="0"/>
                  <w:marRight w:val="0"/>
                  <w:marTop w:val="0"/>
                  <w:marBottom w:val="0"/>
                  <w:divBdr>
                    <w:top w:val="none" w:sz="0" w:space="0" w:color="auto"/>
                    <w:left w:val="none" w:sz="0" w:space="0" w:color="auto"/>
                    <w:bottom w:val="none" w:sz="0" w:space="0" w:color="auto"/>
                    <w:right w:val="none" w:sz="0" w:space="0" w:color="auto"/>
                  </w:divBdr>
                  <w:divsChild>
                    <w:div w:id="745154746">
                      <w:marLeft w:val="0"/>
                      <w:marRight w:val="0"/>
                      <w:marTop w:val="0"/>
                      <w:marBottom w:val="0"/>
                      <w:divBdr>
                        <w:top w:val="none" w:sz="0" w:space="0" w:color="auto"/>
                        <w:left w:val="none" w:sz="0" w:space="0" w:color="auto"/>
                        <w:bottom w:val="none" w:sz="0" w:space="0" w:color="auto"/>
                        <w:right w:val="none" w:sz="0" w:space="0" w:color="auto"/>
                      </w:divBdr>
                    </w:div>
                  </w:divsChild>
                </w:div>
                <w:div w:id="2106264129">
                  <w:marLeft w:val="0"/>
                  <w:marRight w:val="0"/>
                  <w:marTop w:val="0"/>
                  <w:marBottom w:val="0"/>
                  <w:divBdr>
                    <w:top w:val="none" w:sz="0" w:space="0" w:color="auto"/>
                    <w:left w:val="none" w:sz="0" w:space="0" w:color="auto"/>
                    <w:bottom w:val="none" w:sz="0" w:space="0" w:color="auto"/>
                    <w:right w:val="none" w:sz="0" w:space="0" w:color="auto"/>
                  </w:divBdr>
                  <w:divsChild>
                    <w:div w:id="1435633290">
                      <w:marLeft w:val="0"/>
                      <w:marRight w:val="0"/>
                      <w:marTop w:val="0"/>
                      <w:marBottom w:val="0"/>
                      <w:divBdr>
                        <w:top w:val="none" w:sz="0" w:space="0" w:color="auto"/>
                        <w:left w:val="none" w:sz="0" w:space="0" w:color="auto"/>
                        <w:bottom w:val="none" w:sz="0" w:space="0" w:color="auto"/>
                        <w:right w:val="none" w:sz="0" w:space="0" w:color="auto"/>
                      </w:divBdr>
                    </w:div>
                    <w:div w:id="1826433957">
                      <w:marLeft w:val="0"/>
                      <w:marRight w:val="0"/>
                      <w:marTop w:val="0"/>
                      <w:marBottom w:val="0"/>
                      <w:divBdr>
                        <w:top w:val="none" w:sz="0" w:space="0" w:color="auto"/>
                        <w:left w:val="none" w:sz="0" w:space="0" w:color="auto"/>
                        <w:bottom w:val="none" w:sz="0" w:space="0" w:color="auto"/>
                        <w:right w:val="none" w:sz="0" w:space="0" w:color="auto"/>
                      </w:divBdr>
                    </w:div>
                  </w:divsChild>
                </w:div>
                <w:div w:id="2144228180">
                  <w:marLeft w:val="0"/>
                  <w:marRight w:val="0"/>
                  <w:marTop w:val="0"/>
                  <w:marBottom w:val="0"/>
                  <w:divBdr>
                    <w:top w:val="none" w:sz="0" w:space="0" w:color="auto"/>
                    <w:left w:val="none" w:sz="0" w:space="0" w:color="auto"/>
                    <w:bottom w:val="none" w:sz="0" w:space="0" w:color="auto"/>
                    <w:right w:val="none" w:sz="0" w:space="0" w:color="auto"/>
                  </w:divBdr>
                  <w:divsChild>
                    <w:div w:id="578249014">
                      <w:marLeft w:val="0"/>
                      <w:marRight w:val="0"/>
                      <w:marTop w:val="0"/>
                      <w:marBottom w:val="0"/>
                      <w:divBdr>
                        <w:top w:val="none" w:sz="0" w:space="0" w:color="auto"/>
                        <w:left w:val="none" w:sz="0" w:space="0" w:color="auto"/>
                        <w:bottom w:val="none" w:sz="0" w:space="0" w:color="auto"/>
                        <w:right w:val="none" w:sz="0" w:space="0" w:color="auto"/>
                      </w:divBdr>
                    </w:div>
                    <w:div w:id="18827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855520">
          <w:marLeft w:val="0"/>
          <w:marRight w:val="0"/>
          <w:marTop w:val="0"/>
          <w:marBottom w:val="0"/>
          <w:divBdr>
            <w:top w:val="none" w:sz="0" w:space="0" w:color="auto"/>
            <w:left w:val="none" w:sz="0" w:space="0" w:color="auto"/>
            <w:bottom w:val="none" w:sz="0" w:space="0" w:color="auto"/>
            <w:right w:val="none" w:sz="0" w:space="0" w:color="auto"/>
          </w:divBdr>
        </w:div>
        <w:div w:id="1132871190">
          <w:marLeft w:val="0"/>
          <w:marRight w:val="0"/>
          <w:marTop w:val="0"/>
          <w:marBottom w:val="0"/>
          <w:divBdr>
            <w:top w:val="none" w:sz="0" w:space="0" w:color="auto"/>
            <w:left w:val="none" w:sz="0" w:space="0" w:color="auto"/>
            <w:bottom w:val="none" w:sz="0" w:space="0" w:color="auto"/>
            <w:right w:val="none" w:sz="0" w:space="0" w:color="auto"/>
          </w:divBdr>
        </w:div>
        <w:div w:id="1164005153">
          <w:marLeft w:val="0"/>
          <w:marRight w:val="0"/>
          <w:marTop w:val="0"/>
          <w:marBottom w:val="0"/>
          <w:divBdr>
            <w:top w:val="none" w:sz="0" w:space="0" w:color="auto"/>
            <w:left w:val="none" w:sz="0" w:space="0" w:color="auto"/>
            <w:bottom w:val="none" w:sz="0" w:space="0" w:color="auto"/>
            <w:right w:val="none" w:sz="0" w:space="0" w:color="auto"/>
          </w:divBdr>
          <w:divsChild>
            <w:div w:id="96219341">
              <w:marLeft w:val="0"/>
              <w:marRight w:val="0"/>
              <w:marTop w:val="0"/>
              <w:marBottom w:val="0"/>
              <w:divBdr>
                <w:top w:val="none" w:sz="0" w:space="0" w:color="auto"/>
                <w:left w:val="none" w:sz="0" w:space="0" w:color="auto"/>
                <w:bottom w:val="none" w:sz="0" w:space="0" w:color="auto"/>
                <w:right w:val="none" w:sz="0" w:space="0" w:color="auto"/>
              </w:divBdr>
            </w:div>
            <w:div w:id="246350284">
              <w:marLeft w:val="0"/>
              <w:marRight w:val="0"/>
              <w:marTop w:val="0"/>
              <w:marBottom w:val="0"/>
              <w:divBdr>
                <w:top w:val="none" w:sz="0" w:space="0" w:color="auto"/>
                <w:left w:val="none" w:sz="0" w:space="0" w:color="auto"/>
                <w:bottom w:val="none" w:sz="0" w:space="0" w:color="auto"/>
                <w:right w:val="none" w:sz="0" w:space="0" w:color="auto"/>
              </w:divBdr>
            </w:div>
            <w:div w:id="401755902">
              <w:marLeft w:val="0"/>
              <w:marRight w:val="0"/>
              <w:marTop w:val="0"/>
              <w:marBottom w:val="0"/>
              <w:divBdr>
                <w:top w:val="none" w:sz="0" w:space="0" w:color="auto"/>
                <w:left w:val="none" w:sz="0" w:space="0" w:color="auto"/>
                <w:bottom w:val="none" w:sz="0" w:space="0" w:color="auto"/>
                <w:right w:val="none" w:sz="0" w:space="0" w:color="auto"/>
              </w:divBdr>
            </w:div>
            <w:div w:id="470051403">
              <w:marLeft w:val="0"/>
              <w:marRight w:val="0"/>
              <w:marTop w:val="0"/>
              <w:marBottom w:val="0"/>
              <w:divBdr>
                <w:top w:val="none" w:sz="0" w:space="0" w:color="auto"/>
                <w:left w:val="none" w:sz="0" w:space="0" w:color="auto"/>
                <w:bottom w:val="none" w:sz="0" w:space="0" w:color="auto"/>
                <w:right w:val="none" w:sz="0" w:space="0" w:color="auto"/>
              </w:divBdr>
            </w:div>
            <w:div w:id="524056000">
              <w:marLeft w:val="0"/>
              <w:marRight w:val="0"/>
              <w:marTop w:val="0"/>
              <w:marBottom w:val="0"/>
              <w:divBdr>
                <w:top w:val="none" w:sz="0" w:space="0" w:color="auto"/>
                <w:left w:val="none" w:sz="0" w:space="0" w:color="auto"/>
                <w:bottom w:val="none" w:sz="0" w:space="0" w:color="auto"/>
                <w:right w:val="none" w:sz="0" w:space="0" w:color="auto"/>
              </w:divBdr>
            </w:div>
            <w:div w:id="662700701">
              <w:marLeft w:val="0"/>
              <w:marRight w:val="0"/>
              <w:marTop w:val="0"/>
              <w:marBottom w:val="0"/>
              <w:divBdr>
                <w:top w:val="none" w:sz="0" w:space="0" w:color="auto"/>
                <w:left w:val="none" w:sz="0" w:space="0" w:color="auto"/>
                <w:bottom w:val="none" w:sz="0" w:space="0" w:color="auto"/>
                <w:right w:val="none" w:sz="0" w:space="0" w:color="auto"/>
              </w:divBdr>
            </w:div>
            <w:div w:id="828179275">
              <w:marLeft w:val="0"/>
              <w:marRight w:val="0"/>
              <w:marTop w:val="0"/>
              <w:marBottom w:val="0"/>
              <w:divBdr>
                <w:top w:val="none" w:sz="0" w:space="0" w:color="auto"/>
                <w:left w:val="none" w:sz="0" w:space="0" w:color="auto"/>
                <w:bottom w:val="none" w:sz="0" w:space="0" w:color="auto"/>
                <w:right w:val="none" w:sz="0" w:space="0" w:color="auto"/>
              </w:divBdr>
            </w:div>
            <w:div w:id="896668823">
              <w:marLeft w:val="0"/>
              <w:marRight w:val="0"/>
              <w:marTop w:val="0"/>
              <w:marBottom w:val="0"/>
              <w:divBdr>
                <w:top w:val="none" w:sz="0" w:space="0" w:color="auto"/>
                <w:left w:val="none" w:sz="0" w:space="0" w:color="auto"/>
                <w:bottom w:val="none" w:sz="0" w:space="0" w:color="auto"/>
                <w:right w:val="none" w:sz="0" w:space="0" w:color="auto"/>
              </w:divBdr>
            </w:div>
            <w:div w:id="1002048162">
              <w:marLeft w:val="0"/>
              <w:marRight w:val="0"/>
              <w:marTop w:val="0"/>
              <w:marBottom w:val="0"/>
              <w:divBdr>
                <w:top w:val="none" w:sz="0" w:space="0" w:color="auto"/>
                <w:left w:val="none" w:sz="0" w:space="0" w:color="auto"/>
                <w:bottom w:val="none" w:sz="0" w:space="0" w:color="auto"/>
                <w:right w:val="none" w:sz="0" w:space="0" w:color="auto"/>
              </w:divBdr>
            </w:div>
            <w:div w:id="1128931067">
              <w:marLeft w:val="0"/>
              <w:marRight w:val="0"/>
              <w:marTop w:val="0"/>
              <w:marBottom w:val="0"/>
              <w:divBdr>
                <w:top w:val="none" w:sz="0" w:space="0" w:color="auto"/>
                <w:left w:val="none" w:sz="0" w:space="0" w:color="auto"/>
                <w:bottom w:val="none" w:sz="0" w:space="0" w:color="auto"/>
                <w:right w:val="none" w:sz="0" w:space="0" w:color="auto"/>
              </w:divBdr>
            </w:div>
            <w:div w:id="1283922003">
              <w:marLeft w:val="0"/>
              <w:marRight w:val="0"/>
              <w:marTop w:val="0"/>
              <w:marBottom w:val="0"/>
              <w:divBdr>
                <w:top w:val="none" w:sz="0" w:space="0" w:color="auto"/>
                <w:left w:val="none" w:sz="0" w:space="0" w:color="auto"/>
                <w:bottom w:val="none" w:sz="0" w:space="0" w:color="auto"/>
                <w:right w:val="none" w:sz="0" w:space="0" w:color="auto"/>
              </w:divBdr>
            </w:div>
            <w:div w:id="1376740182">
              <w:marLeft w:val="0"/>
              <w:marRight w:val="0"/>
              <w:marTop w:val="0"/>
              <w:marBottom w:val="0"/>
              <w:divBdr>
                <w:top w:val="none" w:sz="0" w:space="0" w:color="auto"/>
                <w:left w:val="none" w:sz="0" w:space="0" w:color="auto"/>
                <w:bottom w:val="none" w:sz="0" w:space="0" w:color="auto"/>
                <w:right w:val="none" w:sz="0" w:space="0" w:color="auto"/>
              </w:divBdr>
            </w:div>
            <w:div w:id="1533031790">
              <w:marLeft w:val="0"/>
              <w:marRight w:val="0"/>
              <w:marTop w:val="0"/>
              <w:marBottom w:val="0"/>
              <w:divBdr>
                <w:top w:val="none" w:sz="0" w:space="0" w:color="auto"/>
                <w:left w:val="none" w:sz="0" w:space="0" w:color="auto"/>
                <w:bottom w:val="none" w:sz="0" w:space="0" w:color="auto"/>
                <w:right w:val="none" w:sz="0" w:space="0" w:color="auto"/>
              </w:divBdr>
            </w:div>
            <w:div w:id="1594587878">
              <w:marLeft w:val="0"/>
              <w:marRight w:val="0"/>
              <w:marTop w:val="0"/>
              <w:marBottom w:val="0"/>
              <w:divBdr>
                <w:top w:val="none" w:sz="0" w:space="0" w:color="auto"/>
                <w:left w:val="none" w:sz="0" w:space="0" w:color="auto"/>
                <w:bottom w:val="none" w:sz="0" w:space="0" w:color="auto"/>
                <w:right w:val="none" w:sz="0" w:space="0" w:color="auto"/>
              </w:divBdr>
            </w:div>
            <w:div w:id="1757825230">
              <w:marLeft w:val="0"/>
              <w:marRight w:val="0"/>
              <w:marTop w:val="0"/>
              <w:marBottom w:val="0"/>
              <w:divBdr>
                <w:top w:val="none" w:sz="0" w:space="0" w:color="auto"/>
                <w:left w:val="none" w:sz="0" w:space="0" w:color="auto"/>
                <w:bottom w:val="none" w:sz="0" w:space="0" w:color="auto"/>
                <w:right w:val="none" w:sz="0" w:space="0" w:color="auto"/>
              </w:divBdr>
            </w:div>
            <w:div w:id="1861312844">
              <w:marLeft w:val="0"/>
              <w:marRight w:val="0"/>
              <w:marTop w:val="0"/>
              <w:marBottom w:val="0"/>
              <w:divBdr>
                <w:top w:val="none" w:sz="0" w:space="0" w:color="auto"/>
                <w:left w:val="none" w:sz="0" w:space="0" w:color="auto"/>
                <w:bottom w:val="none" w:sz="0" w:space="0" w:color="auto"/>
                <w:right w:val="none" w:sz="0" w:space="0" w:color="auto"/>
              </w:divBdr>
            </w:div>
            <w:div w:id="1896820646">
              <w:marLeft w:val="0"/>
              <w:marRight w:val="0"/>
              <w:marTop w:val="0"/>
              <w:marBottom w:val="0"/>
              <w:divBdr>
                <w:top w:val="none" w:sz="0" w:space="0" w:color="auto"/>
                <w:left w:val="none" w:sz="0" w:space="0" w:color="auto"/>
                <w:bottom w:val="none" w:sz="0" w:space="0" w:color="auto"/>
                <w:right w:val="none" w:sz="0" w:space="0" w:color="auto"/>
              </w:divBdr>
            </w:div>
            <w:div w:id="1942297849">
              <w:marLeft w:val="0"/>
              <w:marRight w:val="0"/>
              <w:marTop w:val="0"/>
              <w:marBottom w:val="0"/>
              <w:divBdr>
                <w:top w:val="none" w:sz="0" w:space="0" w:color="auto"/>
                <w:left w:val="none" w:sz="0" w:space="0" w:color="auto"/>
                <w:bottom w:val="none" w:sz="0" w:space="0" w:color="auto"/>
                <w:right w:val="none" w:sz="0" w:space="0" w:color="auto"/>
              </w:divBdr>
            </w:div>
            <w:div w:id="2048676552">
              <w:marLeft w:val="0"/>
              <w:marRight w:val="0"/>
              <w:marTop w:val="0"/>
              <w:marBottom w:val="0"/>
              <w:divBdr>
                <w:top w:val="none" w:sz="0" w:space="0" w:color="auto"/>
                <w:left w:val="none" w:sz="0" w:space="0" w:color="auto"/>
                <w:bottom w:val="none" w:sz="0" w:space="0" w:color="auto"/>
                <w:right w:val="none" w:sz="0" w:space="0" w:color="auto"/>
              </w:divBdr>
            </w:div>
            <w:div w:id="2066684789">
              <w:marLeft w:val="0"/>
              <w:marRight w:val="0"/>
              <w:marTop w:val="0"/>
              <w:marBottom w:val="0"/>
              <w:divBdr>
                <w:top w:val="none" w:sz="0" w:space="0" w:color="auto"/>
                <w:left w:val="none" w:sz="0" w:space="0" w:color="auto"/>
                <w:bottom w:val="none" w:sz="0" w:space="0" w:color="auto"/>
                <w:right w:val="none" w:sz="0" w:space="0" w:color="auto"/>
              </w:divBdr>
            </w:div>
          </w:divsChild>
        </w:div>
        <w:div w:id="1174415800">
          <w:marLeft w:val="0"/>
          <w:marRight w:val="0"/>
          <w:marTop w:val="0"/>
          <w:marBottom w:val="0"/>
          <w:divBdr>
            <w:top w:val="none" w:sz="0" w:space="0" w:color="auto"/>
            <w:left w:val="none" w:sz="0" w:space="0" w:color="auto"/>
            <w:bottom w:val="none" w:sz="0" w:space="0" w:color="auto"/>
            <w:right w:val="none" w:sz="0" w:space="0" w:color="auto"/>
          </w:divBdr>
        </w:div>
        <w:div w:id="1183785124">
          <w:marLeft w:val="0"/>
          <w:marRight w:val="0"/>
          <w:marTop w:val="0"/>
          <w:marBottom w:val="0"/>
          <w:divBdr>
            <w:top w:val="none" w:sz="0" w:space="0" w:color="auto"/>
            <w:left w:val="none" w:sz="0" w:space="0" w:color="auto"/>
            <w:bottom w:val="none" w:sz="0" w:space="0" w:color="auto"/>
            <w:right w:val="none" w:sz="0" w:space="0" w:color="auto"/>
          </w:divBdr>
        </w:div>
        <w:div w:id="1188715433">
          <w:marLeft w:val="0"/>
          <w:marRight w:val="0"/>
          <w:marTop w:val="0"/>
          <w:marBottom w:val="0"/>
          <w:divBdr>
            <w:top w:val="none" w:sz="0" w:space="0" w:color="auto"/>
            <w:left w:val="none" w:sz="0" w:space="0" w:color="auto"/>
            <w:bottom w:val="none" w:sz="0" w:space="0" w:color="auto"/>
            <w:right w:val="none" w:sz="0" w:space="0" w:color="auto"/>
          </w:divBdr>
        </w:div>
        <w:div w:id="1234075196">
          <w:marLeft w:val="0"/>
          <w:marRight w:val="0"/>
          <w:marTop w:val="0"/>
          <w:marBottom w:val="0"/>
          <w:divBdr>
            <w:top w:val="none" w:sz="0" w:space="0" w:color="auto"/>
            <w:left w:val="none" w:sz="0" w:space="0" w:color="auto"/>
            <w:bottom w:val="none" w:sz="0" w:space="0" w:color="auto"/>
            <w:right w:val="none" w:sz="0" w:space="0" w:color="auto"/>
          </w:divBdr>
        </w:div>
        <w:div w:id="1235704209">
          <w:marLeft w:val="0"/>
          <w:marRight w:val="0"/>
          <w:marTop w:val="0"/>
          <w:marBottom w:val="0"/>
          <w:divBdr>
            <w:top w:val="none" w:sz="0" w:space="0" w:color="auto"/>
            <w:left w:val="none" w:sz="0" w:space="0" w:color="auto"/>
            <w:bottom w:val="none" w:sz="0" w:space="0" w:color="auto"/>
            <w:right w:val="none" w:sz="0" w:space="0" w:color="auto"/>
          </w:divBdr>
          <w:divsChild>
            <w:div w:id="56977252">
              <w:marLeft w:val="0"/>
              <w:marRight w:val="0"/>
              <w:marTop w:val="0"/>
              <w:marBottom w:val="0"/>
              <w:divBdr>
                <w:top w:val="none" w:sz="0" w:space="0" w:color="auto"/>
                <w:left w:val="none" w:sz="0" w:space="0" w:color="auto"/>
                <w:bottom w:val="none" w:sz="0" w:space="0" w:color="auto"/>
                <w:right w:val="none" w:sz="0" w:space="0" w:color="auto"/>
              </w:divBdr>
            </w:div>
            <w:div w:id="166554490">
              <w:marLeft w:val="0"/>
              <w:marRight w:val="0"/>
              <w:marTop w:val="0"/>
              <w:marBottom w:val="0"/>
              <w:divBdr>
                <w:top w:val="none" w:sz="0" w:space="0" w:color="auto"/>
                <w:left w:val="none" w:sz="0" w:space="0" w:color="auto"/>
                <w:bottom w:val="none" w:sz="0" w:space="0" w:color="auto"/>
                <w:right w:val="none" w:sz="0" w:space="0" w:color="auto"/>
              </w:divBdr>
            </w:div>
            <w:div w:id="254672972">
              <w:marLeft w:val="0"/>
              <w:marRight w:val="0"/>
              <w:marTop w:val="0"/>
              <w:marBottom w:val="0"/>
              <w:divBdr>
                <w:top w:val="none" w:sz="0" w:space="0" w:color="auto"/>
                <w:left w:val="none" w:sz="0" w:space="0" w:color="auto"/>
                <w:bottom w:val="none" w:sz="0" w:space="0" w:color="auto"/>
                <w:right w:val="none" w:sz="0" w:space="0" w:color="auto"/>
              </w:divBdr>
            </w:div>
            <w:div w:id="289867923">
              <w:marLeft w:val="0"/>
              <w:marRight w:val="0"/>
              <w:marTop w:val="0"/>
              <w:marBottom w:val="0"/>
              <w:divBdr>
                <w:top w:val="none" w:sz="0" w:space="0" w:color="auto"/>
                <w:left w:val="none" w:sz="0" w:space="0" w:color="auto"/>
                <w:bottom w:val="none" w:sz="0" w:space="0" w:color="auto"/>
                <w:right w:val="none" w:sz="0" w:space="0" w:color="auto"/>
              </w:divBdr>
            </w:div>
            <w:div w:id="398986421">
              <w:marLeft w:val="0"/>
              <w:marRight w:val="0"/>
              <w:marTop w:val="0"/>
              <w:marBottom w:val="0"/>
              <w:divBdr>
                <w:top w:val="none" w:sz="0" w:space="0" w:color="auto"/>
                <w:left w:val="none" w:sz="0" w:space="0" w:color="auto"/>
                <w:bottom w:val="none" w:sz="0" w:space="0" w:color="auto"/>
                <w:right w:val="none" w:sz="0" w:space="0" w:color="auto"/>
              </w:divBdr>
            </w:div>
            <w:div w:id="422534853">
              <w:marLeft w:val="0"/>
              <w:marRight w:val="0"/>
              <w:marTop w:val="0"/>
              <w:marBottom w:val="0"/>
              <w:divBdr>
                <w:top w:val="none" w:sz="0" w:space="0" w:color="auto"/>
                <w:left w:val="none" w:sz="0" w:space="0" w:color="auto"/>
                <w:bottom w:val="none" w:sz="0" w:space="0" w:color="auto"/>
                <w:right w:val="none" w:sz="0" w:space="0" w:color="auto"/>
              </w:divBdr>
            </w:div>
            <w:div w:id="454367591">
              <w:marLeft w:val="0"/>
              <w:marRight w:val="0"/>
              <w:marTop w:val="0"/>
              <w:marBottom w:val="0"/>
              <w:divBdr>
                <w:top w:val="none" w:sz="0" w:space="0" w:color="auto"/>
                <w:left w:val="none" w:sz="0" w:space="0" w:color="auto"/>
                <w:bottom w:val="none" w:sz="0" w:space="0" w:color="auto"/>
                <w:right w:val="none" w:sz="0" w:space="0" w:color="auto"/>
              </w:divBdr>
            </w:div>
            <w:div w:id="520895852">
              <w:marLeft w:val="0"/>
              <w:marRight w:val="0"/>
              <w:marTop w:val="0"/>
              <w:marBottom w:val="0"/>
              <w:divBdr>
                <w:top w:val="none" w:sz="0" w:space="0" w:color="auto"/>
                <w:left w:val="none" w:sz="0" w:space="0" w:color="auto"/>
                <w:bottom w:val="none" w:sz="0" w:space="0" w:color="auto"/>
                <w:right w:val="none" w:sz="0" w:space="0" w:color="auto"/>
              </w:divBdr>
            </w:div>
            <w:div w:id="761487842">
              <w:marLeft w:val="0"/>
              <w:marRight w:val="0"/>
              <w:marTop w:val="0"/>
              <w:marBottom w:val="0"/>
              <w:divBdr>
                <w:top w:val="none" w:sz="0" w:space="0" w:color="auto"/>
                <w:left w:val="none" w:sz="0" w:space="0" w:color="auto"/>
                <w:bottom w:val="none" w:sz="0" w:space="0" w:color="auto"/>
                <w:right w:val="none" w:sz="0" w:space="0" w:color="auto"/>
              </w:divBdr>
            </w:div>
            <w:div w:id="992223252">
              <w:marLeft w:val="0"/>
              <w:marRight w:val="0"/>
              <w:marTop w:val="0"/>
              <w:marBottom w:val="0"/>
              <w:divBdr>
                <w:top w:val="none" w:sz="0" w:space="0" w:color="auto"/>
                <w:left w:val="none" w:sz="0" w:space="0" w:color="auto"/>
                <w:bottom w:val="none" w:sz="0" w:space="0" w:color="auto"/>
                <w:right w:val="none" w:sz="0" w:space="0" w:color="auto"/>
              </w:divBdr>
            </w:div>
            <w:div w:id="1029910320">
              <w:marLeft w:val="0"/>
              <w:marRight w:val="0"/>
              <w:marTop w:val="0"/>
              <w:marBottom w:val="0"/>
              <w:divBdr>
                <w:top w:val="none" w:sz="0" w:space="0" w:color="auto"/>
                <w:left w:val="none" w:sz="0" w:space="0" w:color="auto"/>
                <w:bottom w:val="none" w:sz="0" w:space="0" w:color="auto"/>
                <w:right w:val="none" w:sz="0" w:space="0" w:color="auto"/>
              </w:divBdr>
            </w:div>
            <w:div w:id="1108506359">
              <w:marLeft w:val="0"/>
              <w:marRight w:val="0"/>
              <w:marTop w:val="0"/>
              <w:marBottom w:val="0"/>
              <w:divBdr>
                <w:top w:val="none" w:sz="0" w:space="0" w:color="auto"/>
                <w:left w:val="none" w:sz="0" w:space="0" w:color="auto"/>
                <w:bottom w:val="none" w:sz="0" w:space="0" w:color="auto"/>
                <w:right w:val="none" w:sz="0" w:space="0" w:color="auto"/>
              </w:divBdr>
            </w:div>
            <w:div w:id="1221288662">
              <w:marLeft w:val="0"/>
              <w:marRight w:val="0"/>
              <w:marTop w:val="0"/>
              <w:marBottom w:val="0"/>
              <w:divBdr>
                <w:top w:val="none" w:sz="0" w:space="0" w:color="auto"/>
                <w:left w:val="none" w:sz="0" w:space="0" w:color="auto"/>
                <w:bottom w:val="none" w:sz="0" w:space="0" w:color="auto"/>
                <w:right w:val="none" w:sz="0" w:space="0" w:color="auto"/>
              </w:divBdr>
            </w:div>
            <w:div w:id="1284001317">
              <w:marLeft w:val="0"/>
              <w:marRight w:val="0"/>
              <w:marTop w:val="0"/>
              <w:marBottom w:val="0"/>
              <w:divBdr>
                <w:top w:val="none" w:sz="0" w:space="0" w:color="auto"/>
                <w:left w:val="none" w:sz="0" w:space="0" w:color="auto"/>
                <w:bottom w:val="none" w:sz="0" w:space="0" w:color="auto"/>
                <w:right w:val="none" w:sz="0" w:space="0" w:color="auto"/>
              </w:divBdr>
            </w:div>
            <w:div w:id="1419903961">
              <w:marLeft w:val="0"/>
              <w:marRight w:val="0"/>
              <w:marTop w:val="0"/>
              <w:marBottom w:val="0"/>
              <w:divBdr>
                <w:top w:val="none" w:sz="0" w:space="0" w:color="auto"/>
                <w:left w:val="none" w:sz="0" w:space="0" w:color="auto"/>
                <w:bottom w:val="none" w:sz="0" w:space="0" w:color="auto"/>
                <w:right w:val="none" w:sz="0" w:space="0" w:color="auto"/>
              </w:divBdr>
            </w:div>
            <w:div w:id="1897473812">
              <w:marLeft w:val="0"/>
              <w:marRight w:val="0"/>
              <w:marTop w:val="0"/>
              <w:marBottom w:val="0"/>
              <w:divBdr>
                <w:top w:val="none" w:sz="0" w:space="0" w:color="auto"/>
                <w:left w:val="none" w:sz="0" w:space="0" w:color="auto"/>
                <w:bottom w:val="none" w:sz="0" w:space="0" w:color="auto"/>
                <w:right w:val="none" w:sz="0" w:space="0" w:color="auto"/>
              </w:divBdr>
            </w:div>
            <w:div w:id="1900089723">
              <w:marLeft w:val="0"/>
              <w:marRight w:val="0"/>
              <w:marTop w:val="0"/>
              <w:marBottom w:val="0"/>
              <w:divBdr>
                <w:top w:val="none" w:sz="0" w:space="0" w:color="auto"/>
                <w:left w:val="none" w:sz="0" w:space="0" w:color="auto"/>
                <w:bottom w:val="none" w:sz="0" w:space="0" w:color="auto"/>
                <w:right w:val="none" w:sz="0" w:space="0" w:color="auto"/>
              </w:divBdr>
            </w:div>
            <w:div w:id="1908568035">
              <w:marLeft w:val="0"/>
              <w:marRight w:val="0"/>
              <w:marTop w:val="0"/>
              <w:marBottom w:val="0"/>
              <w:divBdr>
                <w:top w:val="none" w:sz="0" w:space="0" w:color="auto"/>
                <w:left w:val="none" w:sz="0" w:space="0" w:color="auto"/>
                <w:bottom w:val="none" w:sz="0" w:space="0" w:color="auto"/>
                <w:right w:val="none" w:sz="0" w:space="0" w:color="auto"/>
              </w:divBdr>
            </w:div>
            <w:div w:id="2140687287">
              <w:marLeft w:val="0"/>
              <w:marRight w:val="0"/>
              <w:marTop w:val="0"/>
              <w:marBottom w:val="0"/>
              <w:divBdr>
                <w:top w:val="none" w:sz="0" w:space="0" w:color="auto"/>
                <w:left w:val="none" w:sz="0" w:space="0" w:color="auto"/>
                <w:bottom w:val="none" w:sz="0" w:space="0" w:color="auto"/>
                <w:right w:val="none" w:sz="0" w:space="0" w:color="auto"/>
              </w:divBdr>
            </w:div>
          </w:divsChild>
        </w:div>
        <w:div w:id="1239024700">
          <w:marLeft w:val="0"/>
          <w:marRight w:val="0"/>
          <w:marTop w:val="0"/>
          <w:marBottom w:val="0"/>
          <w:divBdr>
            <w:top w:val="none" w:sz="0" w:space="0" w:color="auto"/>
            <w:left w:val="none" w:sz="0" w:space="0" w:color="auto"/>
            <w:bottom w:val="none" w:sz="0" w:space="0" w:color="auto"/>
            <w:right w:val="none" w:sz="0" w:space="0" w:color="auto"/>
          </w:divBdr>
          <w:divsChild>
            <w:div w:id="31734617">
              <w:marLeft w:val="0"/>
              <w:marRight w:val="0"/>
              <w:marTop w:val="0"/>
              <w:marBottom w:val="0"/>
              <w:divBdr>
                <w:top w:val="none" w:sz="0" w:space="0" w:color="auto"/>
                <w:left w:val="none" w:sz="0" w:space="0" w:color="auto"/>
                <w:bottom w:val="none" w:sz="0" w:space="0" w:color="auto"/>
                <w:right w:val="none" w:sz="0" w:space="0" w:color="auto"/>
              </w:divBdr>
            </w:div>
            <w:div w:id="151874176">
              <w:marLeft w:val="0"/>
              <w:marRight w:val="0"/>
              <w:marTop w:val="0"/>
              <w:marBottom w:val="0"/>
              <w:divBdr>
                <w:top w:val="none" w:sz="0" w:space="0" w:color="auto"/>
                <w:left w:val="none" w:sz="0" w:space="0" w:color="auto"/>
                <w:bottom w:val="none" w:sz="0" w:space="0" w:color="auto"/>
                <w:right w:val="none" w:sz="0" w:space="0" w:color="auto"/>
              </w:divBdr>
            </w:div>
            <w:div w:id="282462798">
              <w:marLeft w:val="0"/>
              <w:marRight w:val="0"/>
              <w:marTop w:val="0"/>
              <w:marBottom w:val="0"/>
              <w:divBdr>
                <w:top w:val="none" w:sz="0" w:space="0" w:color="auto"/>
                <w:left w:val="none" w:sz="0" w:space="0" w:color="auto"/>
                <w:bottom w:val="none" w:sz="0" w:space="0" w:color="auto"/>
                <w:right w:val="none" w:sz="0" w:space="0" w:color="auto"/>
              </w:divBdr>
            </w:div>
            <w:div w:id="500892017">
              <w:marLeft w:val="0"/>
              <w:marRight w:val="0"/>
              <w:marTop w:val="0"/>
              <w:marBottom w:val="0"/>
              <w:divBdr>
                <w:top w:val="none" w:sz="0" w:space="0" w:color="auto"/>
                <w:left w:val="none" w:sz="0" w:space="0" w:color="auto"/>
                <w:bottom w:val="none" w:sz="0" w:space="0" w:color="auto"/>
                <w:right w:val="none" w:sz="0" w:space="0" w:color="auto"/>
              </w:divBdr>
            </w:div>
            <w:div w:id="610010255">
              <w:marLeft w:val="0"/>
              <w:marRight w:val="0"/>
              <w:marTop w:val="0"/>
              <w:marBottom w:val="0"/>
              <w:divBdr>
                <w:top w:val="none" w:sz="0" w:space="0" w:color="auto"/>
                <w:left w:val="none" w:sz="0" w:space="0" w:color="auto"/>
                <w:bottom w:val="none" w:sz="0" w:space="0" w:color="auto"/>
                <w:right w:val="none" w:sz="0" w:space="0" w:color="auto"/>
              </w:divBdr>
            </w:div>
            <w:div w:id="886144334">
              <w:marLeft w:val="0"/>
              <w:marRight w:val="0"/>
              <w:marTop w:val="0"/>
              <w:marBottom w:val="0"/>
              <w:divBdr>
                <w:top w:val="none" w:sz="0" w:space="0" w:color="auto"/>
                <w:left w:val="none" w:sz="0" w:space="0" w:color="auto"/>
                <w:bottom w:val="none" w:sz="0" w:space="0" w:color="auto"/>
                <w:right w:val="none" w:sz="0" w:space="0" w:color="auto"/>
              </w:divBdr>
            </w:div>
            <w:div w:id="980884507">
              <w:marLeft w:val="0"/>
              <w:marRight w:val="0"/>
              <w:marTop w:val="0"/>
              <w:marBottom w:val="0"/>
              <w:divBdr>
                <w:top w:val="none" w:sz="0" w:space="0" w:color="auto"/>
                <w:left w:val="none" w:sz="0" w:space="0" w:color="auto"/>
                <w:bottom w:val="none" w:sz="0" w:space="0" w:color="auto"/>
                <w:right w:val="none" w:sz="0" w:space="0" w:color="auto"/>
              </w:divBdr>
            </w:div>
            <w:div w:id="994069571">
              <w:marLeft w:val="0"/>
              <w:marRight w:val="0"/>
              <w:marTop w:val="0"/>
              <w:marBottom w:val="0"/>
              <w:divBdr>
                <w:top w:val="none" w:sz="0" w:space="0" w:color="auto"/>
                <w:left w:val="none" w:sz="0" w:space="0" w:color="auto"/>
                <w:bottom w:val="none" w:sz="0" w:space="0" w:color="auto"/>
                <w:right w:val="none" w:sz="0" w:space="0" w:color="auto"/>
              </w:divBdr>
            </w:div>
            <w:div w:id="1128665805">
              <w:marLeft w:val="0"/>
              <w:marRight w:val="0"/>
              <w:marTop w:val="0"/>
              <w:marBottom w:val="0"/>
              <w:divBdr>
                <w:top w:val="none" w:sz="0" w:space="0" w:color="auto"/>
                <w:left w:val="none" w:sz="0" w:space="0" w:color="auto"/>
                <w:bottom w:val="none" w:sz="0" w:space="0" w:color="auto"/>
                <w:right w:val="none" w:sz="0" w:space="0" w:color="auto"/>
              </w:divBdr>
            </w:div>
            <w:div w:id="1218317111">
              <w:marLeft w:val="0"/>
              <w:marRight w:val="0"/>
              <w:marTop w:val="0"/>
              <w:marBottom w:val="0"/>
              <w:divBdr>
                <w:top w:val="none" w:sz="0" w:space="0" w:color="auto"/>
                <w:left w:val="none" w:sz="0" w:space="0" w:color="auto"/>
                <w:bottom w:val="none" w:sz="0" w:space="0" w:color="auto"/>
                <w:right w:val="none" w:sz="0" w:space="0" w:color="auto"/>
              </w:divBdr>
            </w:div>
            <w:div w:id="1415393587">
              <w:marLeft w:val="0"/>
              <w:marRight w:val="0"/>
              <w:marTop w:val="0"/>
              <w:marBottom w:val="0"/>
              <w:divBdr>
                <w:top w:val="none" w:sz="0" w:space="0" w:color="auto"/>
                <w:left w:val="none" w:sz="0" w:space="0" w:color="auto"/>
                <w:bottom w:val="none" w:sz="0" w:space="0" w:color="auto"/>
                <w:right w:val="none" w:sz="0" w:space="0" w:color="auto"/>
              </w:divBdr>
            </w:div>
            <w:div w:id="1477062325">
              <w:marLeft w:val="0"/>
              <w:marRight w:val="0"/>
              <w:marTop w:val="0"/>
              <w:marBottom w:val="0"/>
              <w:divBdr>
                <w:top w:val="none" w:sz="0" w:space="0" w:color="auto"/>
                <w:left w:val="none" w:sz="0" w:space="0" w:color="auto"/>
                <w:bottom w:val="none" w:sz="0" w:space="0" w:color="auto"/>
                <w:right w:val="none" w:sz="0" w:space="0" w:color="auto"/>
              </w:divBdr>
            </w:div>
            <w:div w:id="1495798359">
              <w:marLeft w:val="0"/>
              <w:marRight w:val="0"/>
              <w:marTop w:val="0"/>
              <w:marBottom w:val="0"/>
              <w:divBdr>
                <w:top w:val="none" w:sz="0" w:space="0" w:color="auto"/>
                <w:left w:val="none" w:sz="0" w:space="0" w:color="auto"/>
                <w:bottom w:val="none" w:sz="0" w:space="0" w:color="auto"/>
                <w:right w:val="none" w:sz="0" w:space="0" w:color="auto"/>
              </w:divBdr>
            </w:div>
            <w:div w:id="1659110205">
              <w:marLeft w:val="0"/>
              <w:marRight w:val="0"/>
              <w:marTop w:val="0"/>
              <w:marBottom w:val="0"/>
              <w:divBdr>
                <w:top w:val="none" w:sz="0" w:space="0" w:color="auto"/>
                <w:left w:val="none" w:sz="0" w:space="0" w:color="auto"/>
                <w:bottom w:val="none" w:sz="0" w:space="0" w:color="auto"/>
                <w:right w:val="none" w:sz="0" w:space="0" w:color="auto"/>
              </w:divBdr>
            </w:div>
            <w:div w:id="1671761267">
              <w:marLeft w:val="0"/>
              <w:marRight w:val="0"/>
              <w:marTop w:val="0"/>
              <w:marBottom w:val="0"/>
              <w:divBdr>
                <w:top w:val="none" w:sz="0" w:space="0" w:color="auto"/>
                <w:left w:val="none" w:sz="0" w:space="0" w:color="auto"/>
                <w:bottom w:val="none" w:sz="0" w:space="0" w:color="auto"/>
                <w:right w:val="none" w:sz="0" w:space="0" w:color="auto"/>
              </w:divBdr>
            </w:div>
            <w:div w:id="1715933030">
              <w:marLeft w:val="0"/>
              <w:marRight w:val="0"/>
              <w:marTop w:val="0"/>
              <w:marBottom w:val="0"/>
              <w:divBdr>
                <w:top w:val="none" w:sz="0" w:space="0" w:color="auto"/>
                <w:left w:val="none" w:sz="0" w:space="0" w:color="auto"/>
                <w:bottom w:val="none" w:sz="0" w:space="0" w:color="auto"/>
                <w:right w:val="none" w:sz="0" w:space="0" w:color="auto"/>
              </w:divBdr>
            </w:div>
            <w:div w:id="1722437240">
              <w:marLeft w:val="0"/>
              <w:marRight w:val="0"/>
              <w:marTop w:val="0"/>
              <w:marBottom w:val="0"/>
              <w:divBdr>
                <w:top w:val="none" w:sz="0" w:space="0" w:color="auto"/>
                <w:left w:val="none" w:sz="0" w:space="0" w:color="auto"/>
                <w:bottom w:val="none" w:sz="0" w:space="0" w:color="auto"/>
                <w:right w:val="none" w:sz="0" w:space="0" w:color="auto"/>
              </w:divBdr>
            </w:div>
            <w:div w:id="1993095536">
              <w:marLeft w:val="0"/>
              <w:marRight w:val="0"/>
              <w:marTop w:val="0"/>
              <w:marBottom w:val="0"/>
              <w:divBdr>
                <w:top w:val="none" w:sz="0" w:space="0" w:color="auto"/>
                <w:left w:val="none" w:sz="0" w:space="0" w:color="auto"/>
                <w:bottom w:val="none" w:sz="0" w:space="0" w:color="auto"/>
                <w:right w:val="none" w:sz="0" w:space="0" w:color="auto"/>
              </w:divBdr>
            </w:div>
            <w:div w:id="1997492198">
              <w:marLeft w:val="0"/>
              <w:marRight w:val="0"/>
              <w:marTop w:val="0"/>
              <w:marBottom w:val="0"/>
              <w:divBdr>
                <w:top w:val="none" w:sz="0" w:space="0" w:color="auto"/>
                <w:left w:val="none" w:sz="0" w:space="0" w:color="auto"/>
                <w:bottom w:val="none" w:sz="0" w:space="0" w:color="auto"/>
                <w:right w:val="none" w:sz="0" w:space="0" w:color="auto"/>
              </w:divBdr>
            </w:div>
            <w:div w:id="2124492033">
              <w:marLeft w:val="0"/>
              <w:marRight w:val="0"/>
              <w:marTop w:val="0"/>
              <w:marBottom w:val="0"/>
              <w:divBdr>
                <w:top w:val="none" w:sz="0" w:space="0" w:color="auto"/>
                <w:left w:val="none" w:sz="0" w:space="0" w:color="auto"/>
                <w:bottom w:val="none" w:sz="0" w:space="0" w:color="auto"/>
                <w:right w:val="none" w:sz="0" w:space="0" w:color="auto"/>
              </w:divBdr>
            </w:div>
          </w:divsChild>
        </w:div>
        <w:div w:id="1253127998">
          <w:marLeft w:val="0"/>
          <w:marRight w:val="0"/>
          <w:marTop w:val="0"/>
          <w:marBottom w:val="0"/>
          <w:divBdr>
            <w:top w:val="none" w:sz="0" w:space="0" w:color="auto"/>
            <w:left w:val="none" w:sz="0" w:space="0" w:color="auto"/>
            <w:bottom w:val="none" w:sz="0" w:space="0" w:color="auto"/>
            <w:right w:val="none" w:sz="0" w:space="0" w:color="auto"/>
          </w:divBdr>
        </w:div>
        <w:div w:id="1259100884">
          <w:marLeft w:val="0"/>
          <w:marRight w:val="0"/>
          <w:marTop w:val="0"/>
          <w:marBottom w:val="0"/>
          <w:divBdr>
            <w:top w:val="none" w:sz="0" w:space="0" w:color="auto"/>
            <w:left w:val="none" w:sz="0" w:space="0" w:color="auto"/>
            <w:bottom w:val="none" w:sz="0" w:space="0" w:color="auto"/>
            <w:right w:val="none" w:sz="0" w:space="0" w:color="auto"/>
          </w:divBdr>
        </w:div>
        <w:div w:id="1260604542">
          <w:marLeft w:val="0"/>
          <w:marRight w:val="0"/>
          <w:marTop w:val="0"/>
          <w:marBottom w:val="0"/>
          <w:divBdr>
            <w:top w:val="none" w:sz="0" w:space="0" w:color="auto"/>
            <w:left w:val="none" w:sz="0" w:space="0" w:color="auto"/>
            <w:bottom w:val="none" w:sz="0" w:space="0" w:color="auto"/>
            <w:right w:val="none" w:sz="0" w:space="0" w:color="auto"/>
          </w:divBdr>
        </w:div>
        <w:div w:id="1262641236">
          <w:marLeft w:val="0"/>
          <w:marRight w:val="0"/>
          <w:marTop w:val="0"/>
          <w:marBottom w:val="0"/>
          <w:divBdr>
            <w:top w:val="none" w:sz="0" w:space="0" w:color="auto"/>
            <w:left w:val="none" w:sz="0" w:space="0" w:color="auto"/>
            <w:bottom w:val="none" w:sz="0" w:space="0" w:color="auto"/>
            <w:right w:val="none" w:sz="0" w:space="0" w:color="auto"/>
          </w:divBdr>
        </w:div>
        <w:div w:id="1273054067">
          <w:marLeft w:val="0"/>
          <w:marRight w:val="0"/>
          <w:marTop w:val="0"/>
          <w:marBottom w:val="0"/>
          <w:divBdr>
            <w:top w:val="none" w:sz="0" w:space="0" w:color="auto"/>
            <w:left w:val="none" w:sz="0" w:space="0" w:color="auto"/>
            <w:bottom w:val="none" w:sz="0" w:space="0" w:color="auto"/>
            <w:right w:val="none" w:sz="0" w:space="0" w:color="auto"/>
          </w:divBdr>
        </w:div>
        <w:div w:id="1278566310">
          <w:marLeft w:val="0"/>
          <w:marRight w:val="0"/>
          <w:marTop w:val="0"/>
          <w:marBottom w:val="0"/>
          <w:divBdr>
            <w:top w:val="none" w:sz="0" w:space="0" w:color="auto"/>
            <w:left w:val="none" w:sz="0" w:space="0" w:color="auto"/>
            <w:bottom w:val="none" w:sz="0" w:space="0" w:color="auto"/>
            <w:right w:val="none" w:sz="0" w:space="0" w:color="auto"/>
          </w:divBdr>
        </w:div>
        <w:div w:id="1293052265">
          <w:marLeft w:val="0"/>
          <w:marRight w:val="0"/>
          <w:marTop w:val="0"/>
          <w:marBottom w:val="0"/>
          <w:divBdr>
            <w:top w:val="none" w:sz="0" w:space="0" w:color="auto"/>
            <w:left w:val="none" w:sz="0" w:space="0" w:color="auto"/>
            <w:bottom w:val="none" w:sz="0" w:space="0" w:color="auto"/>
            <w:right w:val="none" w:sz="0" w:space="0" w:color="auto"/>
          </w:divBdr>
        </w:div>
        <w:div w:id="1313291222">
          <w:marLeft w:val="0"/>
          <w:marRight w:val="0"/>
          <w:marTop w:val="0"/>
          <w:marBottom w:val="0"/>
          <w:divBdr>
            <w:top w:val="none" w:sz="0" w:space="0" w:color="auto"/>
            <w:left w:val="none" w:sz="0" w:space="0" w:color="auto"/>
            <w:bottom w:val="none" w:sz="0" w:space="0" w:color="auto"/>
            <w:right w:val="none" w:sz="0" w:space="0" w:color="auto"/>
          </w:divBdr>
        </w:div>
        <w:div w:id="1313757924">
          <w:marLeft w:val="0"/>
          <w:marRight w:val="0"/>
          <w:marTop w:val="0"/>
          <w:marBottom w:val="0"/>
          <w:divBdr>
            <w:top w:val="none" w:sz="0" w:space="0" w:color="auto"/>
            <w:left w:val="none" w:sz="0" w:space="0" w:color="auto"/>
            <w:bottom w:val="none" w:sz="0" w:space="0" w:color="auto"/>
            <w:right w:val="none" w:sz="0" w:space="0" w:color="auto"/>
          </w:divBdr>
        </w:div>
        <w:div w:id="1359044674">
          <w:marLeft w:val="0"/>
          <w:marRight w:val="0"/>
          <w:marTop w:val="0"/>
          <w:marBottom w:val="0"/>
          <w:divBdr>
            <w:top w:val="none" w:sz="0" w:space="0" w:color="auto"/>
            <w:left w:val="none" w:sz="0" w:space="0" w:color="auto"/>
            <w:bottom w:val="none" w:sz="0" w:space="0" w:color="auto"/>
            <w:right w:val="none" w:sz="0" w:space="0" w:color="auto"/>
          </w:divBdr>
        </w:div>
        <w:div w:id="1381779558">
          <w:marLeft w:val="0"/>
          <w:marRight w:val="0"/>
          <w:marTop w:val="0"/>
          <w:marBottom w:val="0"/>
          <w:divBdr>
            <w:top w:val="none" w:sz="0" w:space="0" w:color="auto"/>
            <w:left w:val="none" w:sz="0" w:space="0" w:color="auto"/>
            <w:bottom w:val="none" w:sz="0" w:space="0" w:color="auto"/>
            <w:right w:val="none" w:sz="0" w:space="0" w:color="auto"/>
          </w:divBdr>
        </w:div>
        <w:div w:id="1388871143">
          <w:marLeft w:val="0"/>
          <w:marRight w:val="0"/>
          <w:marTop w:val="0"/>
          <w:marBottom w:val="0"/>
          <w:divBdr>
            <w:top w:val="none" w:sz="0" w:space="0" w:color="auto"/>
            <w:left w:val="none" w:sz="0" w:space="0" w:color="auto"/>
            <w:bottom w:val="none" w:sz="0" w:space="0" w:color="auto"/>
            <w:right w:val="none" w:sz="0" w:space="0" w:color="auto"/>
          </w:divBdr>
        </w:div>
        <w:div w:id="1407797342">
          <w:marLeft w:val="0"/>
          <w:marRight w:val="0"/>
          <w:marTop w:val="0"/>
          <w:marBottom w:val="0"/>
          <w:divBdr>
            <w:top w:val="none" w:sz="0" w:space="0" w:color="auto"/>
            <w:left w:val="none" w:sz="0" w:space="0" w:color="auto"/>
            <w:bottom w:val="none" w:sz="0" w:space="0" w:color="auto"/>
            <w:right w:val="none" w:sz="0" w:space="0" w:color="auto"/>
          </w:divBdr>
        </w:div>
        <w:div w:id="1425571190">
          <w:marLeft w:val="0"/>
          <w:marRight w:val="0"/>
          <w:marTop w:val="0"/>
          <w:marBottom w:val="0"/>
          <w:divBdr>
            <w:top w:val="none" w:sz="0" w:space="0" w:color="auto"/>
            <w:left w:val="none" w:sz="0" w:space="0" w:color="auto"/>
            <w:bottom w:val="none" w:sz="0" w:space="0" w:color="auto"/>
            <w:right w:val="none" w:sz="0" w:space="0" w:color="auto"/>
          </w:divBdr>
        </w:div>
        <w:div w:id="1439136468">
          <w:marLeft w:val="0"/>
          <w:marRight w:val="0"/>
          <w:marTop w:val="0"/>
          <w:marBottom w:val="0"/>
          <w:divBdr>
            <w:top w:val="none" w:sz="0" w:space="0" w:color="auto"/>
            <w:left w:val="none" w:sz="0" w:space="0" w:color="auto"/>
            <w:bottom w:val="none" w:sz="0" w:space="0" w:color="auto"/>
            <w:right w:val="none" w:sz="0" w:space="0" w:color="auto"/>
          </w:divBdr>
        </w:div>
        <w:div w:id="1442413242">
          <w:marLeft w:val="0"/>
          <w:marRight w:val="0"/>
          <w:marTop w:val="0"/>
          <w:marBottom w:val="0"/>
          <w:divBdr>
            <w:top w:val="none" w:sz="0" w:space="0" w:color="auto"/>
            <w:left w:val="none" w:sz="0" w:space="0" w:color="auto"/>
            <w:bottom w:val="none" w:sz="0" w:space="0" w:color="auto"/>
            <w:right w:val="none" w:sz="0" w:space="0" w:color="auto"/>
          </w:divBdr>
        </w:div>
        <w:div w:id="1483041388">
          <w:marLeft w:val="0"/>
          <w:marRight w:val="0"/>
          <w:marTop w:val="0"/>
          <w:marBottom w:val="0"/>
          <w:divBdr>
            <w:top w:val="none" w:sz="0" w:space="0" w:color="auto"/>
            <w:left w:val="none" w:sz="0" w:space="0" w:color="auto"/>
            <w:bottom w:val="none" w:sz="0" w:space="0" w:color="auto"/>
            <w:right w:val="none" w:sz="0" w:space="0" w:color="auto"/>
          </w:divBdr>
        </w:div>
        <w:div w:id="1490558940">
          <w:marLeft w:val="0"/>
          <w:marRight w:val="0"/>
          <w:marTop w:val="0"/>
          <w:marBottom w:val="0"/>
          <w:divBdr>
            <w:top w:val="none" w:sz="0" w:space="0" w:color="auto"/>
            <w:left w:val="none" w:sz="0" w:space="0" w:color="auto"/>
            <w:bottom w:val="none" w:sz="0" w:space="0" w:color="auto"/>
            <w:right w:val="none" w:sz="0" w:space="0" w:color="auto"/>
          </w:divBdr>
        </w:div>
        <w:div w:id="1491600354">
          <w:marLeft w:val="0"/>
          <w:marRight w:val="0"/>
          <w:marTop w:val="0"/>
          <w:marBottom w:val="0"/>
          <w:divBdr>
            <w:top w:val="none" w:sz="0" w:space="0" w:color="auto"/>
            <w:left w:val="none" w:sz="0" w:space="0" w:color="auto"/>
            <w:bottom w:val="none" w:sz="0" w:space="0" w:color="auto"/>
            <w:right w:val="none" w:sz="0" w:space="0" w:color="auto"/>
          </w:divBdr>
        </w:div>
        <w:div w:id="1502575563">
          <w:marLeft w:val="0"/>
          <w:marRight w:val="0"/>
          <w:marTop w:val="0"/>
          <w:marBottom w:val="0"/>
          <w:divBdr>
            <w:top w:val="none" w:sz="0" w:space="0" w:color="auto"/>
            <w:left w:val="none" w:sz="0" w:space="0" w:color="auto"/>
            <w:bottom w:val="none" w:sz="0" w:space="0" w:color="auto"/>
            <w:right w:val="none" w:sz="0" w:space="0" w:color="auto"/>
          </w:divBdr>
        </w:div>
        <w:div w:id="1520511629">
          <w:marLeft w:val="0"/>
          <w:marRight w:val="0"/>
          <w:marTop w:val="0"/>
          <w:marBottom w:val="0"/>
          <w:divBdr>
            <w:top w:val="none" w:sz="0" w:space="0" w:color="auto"/>
            <w:left w:val="none" w:sz="0" w:space="0" w:color="auto"/>
            <w:bottom w:val="none" w:sz="0" w:space="0" w:color="auto"/>
            <w:right w:val="none" w:sz="0" w:space="0" w:color="auto"/>
          </w:divBdr>
          <w:divsChild>
            <w:div w:id="77214239">
              <w:marLeft w:val="0"/>
              <w:marRight w:val="0"/>
              <w:marTop w:val="0"/>
              <w:marBottom w:val="0"/>
              <w:divBdr>
                <w:top w:val="none" w:sz="0" w:space="0" w:color="auto"/>
                <w:left w:val="none" w:sz="0" w:space="0" w:color="auto"/>
                <w:bottom w:val="none" w:sz="0" w:space="0" w:color="auto"/>
                <w:right w:val="none" w:sz="0" w:space="0" w:color="auto"/>
              </w:divBdr>
            </w:div>
            <w:div w:id="186796623">
              <w:marLeft w:val="0"/>
              <w:marRight w:val="0"/>
              <w:marTop w:val="0"/>
              <w:marBottom w:val="0"/>
              <w:divBdr>
                <w:top w:val="none" w:sz="0" w:space="0" w:color="auto"/>
                <w:left w:val="none" w:sz="0" w:space="0" w:color="auto"/>
                <w:bottom w:val="none" w:sz="0" w:space="0" w:color="auto"/>
                <w:right w:val="none" w:sz="0" w:space="0" w:color="auto"/>
              </w:divBdr>
            </w:div>
            <w:div w:id="396131809">
              <w:marLeft w:val="0"/>
              <w:marRight w:val="0"/>
              <w:marTop w:val="0"/>
              <w:marBottom w:val="0"/>
              <w:divBdr>
                <w:top w:val="none" w:sz="0" w:space="0" w:color="auto"/>
                <w:left w:val="none" w:sz="0" w:space="0" w:color="auto"/>
                <w:bottom w:val="none" w:sz="0" w:space="0" w:color="auto"/>
                <w:right w:val="none" w:sz="0" w:space="0" w:color="auto"/>
              </w:divBdr>
            </w:div>
            <w:div w:id="468666654">
              <w:marLeft w:val="0"/>
              <w:marRight w:val="0"/>
              <w:marTop w:val="0"/>
              <w:marBottom w:val="0"/>
              <w:divBdr>
                <w:top w:val="none" w:sz="0" w:space="0" w:color="auto"/>
                <w:left w:val="none" w:sz="0" w:space="0" w:color="auto"/>
                <w:bottom w:val="none" w:sz="0" w:space="0" w:color="auto"/>
                <w:right w:val="none" w:sz="0" w:space="0" w:color="auto"/>
              </w:divBdr>
            </w:div>
            <w:div w:id="538394033">
              <w:marLeft w:val="0"/>
              <w:marRight w:val="0"/>
              <w:marTop w:val="0"/>
              <w:marBottom w:val="0"/>
              <w:divBdr>
                <w:top w:val="none" w:sz="0" w:space="0" w:color="auto"/>
                <w:left w:val="none" w:sz="0" w:space="0" w:color="auto"/>
                <w:bottom w:val="none" w:sz="0" w:space="0" w:color="auto"/>
                <w:right w:val="none" w:sz="0" w:space="0" w:color="auto"/>
              </w:divBdr>
            </w:div>
            <w:div w:id="801189236">
              <w:marLeft w:val="0"/>
              <w:marRight w:val="0"/>
              <w:marTop w:val="0"/>
              <w:marBottom w:val="0"/>
              <w:divBdr>
                <w:top w:val="none" w:sz="0" w:space="0" w:color="auto"/>
                <w:left w:val="none" w:sz="0" w:space="0" w:color="auto"/>
                <w:bottom w:val="none" w:sz="0" w:space="0" w:color="auto"/>
                <w:right w:val="none" w:sz="0" w:space="0" w:color="auto"/>
              </w:divBdr>
            </w:div>
            <w:div w:id="1111511012">
              <w:marLeft w:val="0"/>
              <w:marRight w:val="0"/>
              <w:marTop w:val="0"/>
              <w:marBottom w:val="0"/>
              <w:divBdr>
                <w:top w:val="none" w:sz="0" w:space="0" w:color="auto"/>
                <w:left w:val="none" w:sz="0" w:space="0" w:color="auto"/>
                <w:bottom w:val="none" w:sz="0" w:space="0" w:color="auto"/>
                <w:right w:val="none" w:sz="0" w:space="0" w:color="auto"/>
              </w:divBdr>
            </w:div>
            <w:div w:id="1158962165">
              <w:marLeft w:val="0"/>
              <w:marRight w:val="0"/>
              <w:marTop w:val="0"/>
              <w:marBottom w:val="0"/>
              <w:divBdr>
                <w:top w:val="none" w:sz="0" w:space="0" w:color="auto"/>
                <w:left w:val="none" w:sz="0" w:space="0" w:color="auto"/>
                <w:bottom w:val="none" w:sz="0" w:space="0" w:color="auto"/>
                <w:right w:val="none" w:sz="0" w:space="0" w:color="auto"/>
              </w:divBdr>
            </w:div>
            <w:div w:id="1295017280">
              <w:marLeft w:val="0"/>
              <w:marRight w:val="0"/>
              <w:marTop w:val="0"/>
              <w:marBottom w:val="0"/>
              <w:divBdr>
                <w:top w:val="none" w:sz="0" w:space="0" w:color="auto"/>
                <w:left w:val="none" w:sz="0" w:space="0" w:color="auto"/>
                <w:bottom w:val="none" w:sz="0" w:space="0" w:color="auto"/>
                <w:right w:val="none" w:sz="0" w:space="0" w:color="auto"/>
              </w:divBdr>
            </w:div>
            <w:div w:id="1401445966">
              <w:marLeft w:val="0"/>
              <w:marRight w:val="0"/>
              <w:marTop w:val="0"/>
              <w:marBottom w:val="0"/>
              <w:divBdr>
                <w:top w:val="none" w:sz="0" w:space="0" w:color="auto"/>
                <w:left w:val="none" w:sz="0" w:space="0" w:color="auto"/>
                <w:bottom w:val="none" w:sz="0" w:space="0" w:color="auto"/>
                <w:right w:val="none" w:sz="0" w:space="0" w:color="auto"/>
              </w:divBdr>
            </w:div>
            <w:div w:id="1615331685">
              <w:marLeft w:val="0"/>
              <w:marRight w:val="0"/>
              <w:marTop w:val="0"/>
              <w:marBottom w:val="0"/>
              <w:divBdr>
                <w:top w:val="none" w:sz="0" w:space="0" w:color="auto"/>
                <w:left w:val="none" w:sz="0" w:space="0" w:color="auto"/>
                <w:bottom w:val="none" w:sz="0" w:space="0" w:color="auto"/>
                <w:right w:val="none" w:sz="0" w:space="0" w:color="auto"/>
              </w:divBdr>
            </w:div>
            <w:div w:id="1677531840">
              <w:marLeft w:val="0"/>
              <w:marRight w:val="0"/>
              <w:marTop w:val="0"/>
              <w:marBottom w:val="0"/>
              <w:divBdr>
                <w:top w:val="none" w:sz="0" w:space="0" w:color="auto"/>
                <w:left w:val="none" w:sz="0" w:space="0" w:color="auto"/>
                <w:bottom w:val="none" w:sz="0" w:space="0" w:color="auto"/>
                <w:right w:val="none" w:sz="0" w:space="0" w:color="auto"/>
              </w:divBdr>
            </w:div>
            <w:div w:id="1701852511">
              <w:marLeft w:val="0"/>
              <w:marRight w:val="0"/>
              <w:marTop w:val="0"/>
              <w:marBottom w:val="0"/>
              <w:divBdr>
                <w:top w:val="none" w:sz="0" w:space="0" w:color="auto"/>
                <w:left w:val="none" w:sz="0" w:space="0" w:color="auto"/>
                <w:bottom w:val="none" w:sz="0" w:space="0" w:color="auto"/>
                <w:right w:val="none" w:sz="0" w:space="0" w:color="auto"/>
              </w:divBdr>
            </w:div>
            <w:div w:id="1730957981">
              <w:marLeft w:val="0"/>
              <w:marRight w:val="0"/>
              <w:marTop w:val="0"/>
              <w:marBottom w:val="0"/>
              <w:divBdr>
                <w:top w:val="none" w:sz="0" w:space="0" w:color="auto"/>
                <w:left w:val="none" w:sz="0" w:space="0" w:color="auto"/>
                <w:bottom w:val="none" w:sz="0" w:space="0" w:color="auto"/>
                <w:right w:val="none" w:sz="0" w:space="0" w:color="auto"/>
              </w:divBdr>
            </w:div>
            <w:div w:id="1920360871">
              <w:marLeft w:val="0"/>
              <w:marRight w:val="0"/>
              <w:marTop w:val="0"/>
              <w:marBottom w:val="0"/>
              <w:divBdr>
                <w:top w:val="none" w:sz="0" w:space="0" w:color="auto"/>
                <w:left w:val="none" w:sz="0" w:space="0" w:color="auto"/>
                <w:bottom w:val="none" w:sz="0" w:space="0" w:color="auto"/>
                <w:right w:val="none" w:sz="0" w:space="0" w:color="auto"/>
              </w:divBdr>
            </w:div>
            <w:div w:id="1963535642">
              <w:marLeft w:val="0"/>
              <w:marRight w:val="0"/>
              <w:marTop w:val="0"/>
              <w:marBottom w:val="0"/>
              <w:divBdr>
                <w:top w:val="none" w:sz="0" w:space="0" w:color="auto"/>
                <w:left w:val="none" w:sz="0" w:space="0" w:color="auto"/>
                <w:bottom w:val="none" w:sz="0" w:space="0" w:color="auto"/>
                <w:right w:val="none" w:sz="0" w:space="0" w:color="auto"/>
              </w:divBdr>
            </w:div>
            <w:div w:id="1988240178">
              <w:marLeft w:val="0"/>
              <w:marRight w:val="0"/>
              <w:marTop w:val="0"/>
              <w:marBottom w:val="0"/>
              <w:divBdr>
                <w:top w:val="none" w:sz="0" w:space="0" w:color="auto"/>
                <w:left w:val="none" w:sz="0" w:space="0" w:color="auto"/>
                <w:bottom w:val="none" w:sz="0" w:space="0" w:color="auto"/>
                <w:right w:val="none" w:sz="0" w:space="0" w:color="auto"/>
              </w:divBdr>
            </w:div>
            <w:div w:id="2054957696">
              <w:marLeft w:val="0"/>
              <w:marRight w:val="0"/>
              <w:marTop w:val="0"/>
              <w:marBottom w:val="0"/>
              <w:divBdr>
                <w:top w:val="none" w:sz="0" w:space="0" w:color="auto"/>
                <w:left w:val="none" w:sz="0" w:space="0" w:color="auto"/>
                <w:bottom w:val="none" w:sz="0" w:space="0" w:color="auto"/>
                <w:right w:val="none" w:sz="0" w:space="0" w:color="auto"/>
              </w:divBdr>
            </w:div>
            <w:div w:id="2074304973">
              <w:marLeft w:val="0"/>
              <w:marRight w:val="0"/>
              <w:marTop w:val="0"/>
              <w:marBottom w:val="0"/>
              <w:divBdr>
                <w:top w:val="none" w:sz="0" w:space="0" w:color="auto"/>
                <w:left w:val="none" w:sz="0" w:space="0" w:color="auto"/>
                <w:bottom w:val="none" w:sz="0" w:space="0" w:color="auto"/>
                <w:right w:val="none" w:sz="0" w:space="0" w:color="auto"/>
              </w:divBdr>
            </w:div>
            <w:div w:id="2077780969">
              <w:marLeft w:val="0"/>
              <w:marRight w:val="0"/>
              <w:marTop w:val="0"/>
              <w:marBottom w:val="0"/>
              <w:divBdr>
                <w:top w:val="none" w:sz="0" w:space="0" w:color="auto"/>
                <w:left w:val="none" w:sz="0" w:space="0" w:color="auto"/>
                <w:bottom w:val="none" w:sz="0" w:space="0" w:color="auto"/>
                <w:right w:val="none" w:sz="0" w:space="0" w:color="auto"/>
              </w:divBdr>
            </w:div>
          </w:divsChild>
        </w:div>
        <w:div w:id="1522891346">
          <w:marLeft w:val="0"/>
          <w:marRight w:val="0"/>
          <w:marTop w:val="0"/>
          <w:marBottom w:val="0"/>
          <w:divBdr>
            <w:top w:val="none" w:sz="0" w:space="0" w:color="auto"/>
            <w:left w:val="none" w:sz="0" w:space="0" w:color="auto"/>
            <w:bottom w:val="none" w:sz="0" w:space="0" w:color="auto"/>
            <w:right w:val="none" w:sz="0" w:space="0" w:color="auto"/>
          </w:divBdr>
        </w:div>
        <w:div w:id="1531913885">
          <w:marLeft w:val="0"/>
          <w:marRight w:val="0"/>
          <w:marTop w:val="0"/>
          <w:marBottom w:val="0"/>
          <w:divBdr>
            <w:top w:val="none" w:sz="0" w:space="0" w:color="auto"/>
            <w:left w:val="none" w:sz="0" w:space="0" w:color="auto"/>
            <w:bottom w:val="none" w:sz="0" w:space="0" w:color="auto"/>
            <w:right w:val="none" w:sz="0" w:space="0" w:color="auto"/>
          </w:divBdr>
        </w:div>
        <w:div w:id="1610164385">
          <w:marLeft w:val="0"/>
          <w:marRight w:val="0"/>
          <w:marTop w:val="0"/>
          <w:marBottom w:val="0"/>
          <w:divBdr>
            <w:top w:val="none" w:sz="0" w:space="0" w:color="auto"/>
            <w:left w:val="none" w:sz="0" w:space="0" w:color="auto"/>
            <w:bottom w:val="none" w:sz="0" w:space="0" w:color="auto"/>
            <w:right w:val="none" w:sz="0" w:space="0" w:color="auto"/>
          </w:divBdr>
        </w:div>
        <w:div w:id="1634946250">
          <w:marLeft w:val="0"/>
          <w:marRight w:val="0"/>
          <w:marTop w:val="0"/>
          <w:marBottom w:val="0"/>
          <w:divBdr>
            <w:top w:val="none" w:sz="0" w:space="0" w:color="auto"/>
            <w:left w:val="none" w:sz="0" w:space="0" w:color="auto"/>
            <w:bottom w:val="none" w:sz="0" w:space="0" w:color="auto"/>
            <w:right w:val="none" w:sz="0" w:space="0" w:color="auto"/>
          </w:divBdr>
        </w:div>
        <w:div w:id="1635677762">
          <w:marLeft w:val="0"/>
          <w:marRight w:val="0"/>
          <w:marTop w:val="0"/>
          <w:marBottom w:val="0"/>
          <w:divBdr>
            <w:top w:val="none" w:sz="0" w:space="0" w:color="auto"/>
            <w:left w:val="none" w:sz="0" w:space="0" w:color="auto"/>
            <w:bottom w:val="none" w:sz="0" w:space="0" w:color="auto"/>
            <w:right w:val="none" w:sz="0" w:space="0" w:color="auto"/>
          </w:divBdr>
        </w:div>
        <w:div w:id="1637907405">
          <w:marLeft w:val="0"/>
          <w:marRight w:val="0"/>
          <w:marTop w:val="0"/>
          <w:marBottom w:val="0"/>
          <w:divBdr>
            <w:top w:val="none" w:sz="0" w:space="0" w:color="auto"/>
            <w:left w:val="none" w:sz="0" w:space="0" w:color="auto"/>
            <w:bottom w:val="none" w:sz="0" w:space="0" w:color="auto"/>
            <w:right w:val="none" w:sz="0" w:space="0" w:color="auto"/>
          </w:divBdr>
        </w:div>
        <w:div w:id="1644114568">
          <w:marLeft w:val="0"/>
          <w:marRight w:val="0"/>
          <w:marTop w:val="0"/>
          <w:marBottom w:val="0"/>
          <w:divBdr>
            <w:top w:val="none" w:sz="0" w:space="0" w:color="auto"/>
            <w:left w:val="none" w:sz="0" w:space="0" w:color="auto"/>
            <w:bottom w:val="none" w:sz="0" w:space="0" w:color="auto"/>
            <w:right w:val="none" w:sz="0" w:space="0" w:color="auto"/>
          </w:divBdr>
        </w:div>
        <w:div w:id="1654606980">
          <w:marLeft w:val="0"/>
          <w:marRight w:val="0"/>
          <w:marTop w:val="0"/>
          <w:marBottom w:val="0"/>
          <w:divBdr>
            <w:top w:val="none" w:sz="0" w:space="0" w:color="auto"/>
            <w:left w:val="none" w:sz="0" w:space="0" w:color="auto"/>
            <w:bottom w:val="none" w:sz="0" w:space="0" w:color="auto"/>
            <w:right w:val="none" w:sz="0" w:space="0" w:color="auto"/>
          </w:divBdr>
          <w:divsChild>
            <w:div w:id="3823857">
              <w:marLeft w:val="0"/>
              <w:marRight w:val="0"/>
              <w:marTop w:val="0"/>
              <w:marBottom w:val="0"/>
              <w:divBdr>
                <w:top w:val="none" w:sz="0" w:space="0" w:color="auto"/>
                <w:left w:val="none" w:sz="0" w:space="0" w:color="auto"/>
                <w:bottom w:val="none" w:sz="0" w:space="0" w:color="auto"/>
                <w:right w:val="none" w:sz="0" w:space="0" w:color="auto"/>
              </w:divBdr>
            </w:div>
            <w:div w:id="369379471">
              <w:marLeft w:val="0"/>
              <w:marRight w:val="0"/>
              <w:marTop w:val="0"/>
              <w:marBottom w:val="0"/>
              <w:divBdr>
                <w:top w:val="none" w:sz="0" w:space="0" w:color="auto"/>
                <w:left w:val="none" w:sz="0" w:space="0" w:color="auto"/>
                <w:bottom w:val="none" w:sz="0" w:space="0" w:color="auto"/>
                <w:right w:val="none" w:sz="0" w:space="0" w:color="auto"/>
              </w:divBdr>
            </w:div>
            <w:div w:id="511646369">
              <w:marLeft w:val="0"/>
              <w:marRight w:val="0"/>
              <w:marTop w:val="0"/>
              <w:marBottom w:val="0"/>
              <w:divBdr>
                <w:top w:val="none" w:sz="0" w:space="0" w:color="auto"/>
                <w:left w:val="none" w:sz="0" w:space="0" w:color="auto"/>
                <w:bottom w:val="none" w:sz="0" w:space="0" w:color="auto"/>
                <w:right w:val="none" w:sz="0" w:space="0" w:color="auto"/>
              </w:divBdr>
            </w:div>
            <w:div w:id="637956283">
              <w:marLeft w:val="0"/>
              <w:marRight w:val="0"/>
              <w:marTop w:val="0"/>
              <w:marBottom w:val="0"/>
              <w:divBdr>
                <w:top w:val="none" w:sz="0" w:space="0" w:color="auto"/>
                <w:left w:val="none" w:sz="0" w:space="0" w:color="auto"/>
                <w:bottom w:val="none" w:sz="0" w:space="0" w:color="auto"/>
                <w:right w:val="none" w:sz="0" w:space="0" w:color="auto"/>
              </w:divBdr>
            </w:div>
            <w:div w:id="822425272">
              <w:marLeft w:val="0"/>
              <w:marRight w:val="0"/>
              <w:marTop w:val="0"/>
              <w:marBottom w:val="0"/>
              <w:divBdr>
                <w:top w:val="none" w:sz="0" w:space="0" w:color="auto"/>
                <w:left w:val="none" w:sz="0" w:space="0" w:color="auto"/>
                <w:bottom w:val="none" w:sz="0" w:space="0" w:color="auto"/>
                <w:right w:val="none" w:sz="0" w:space="0" w:color="auto"/>
              </w:divBdr>
            </w:div>
            <w:div w:id="1023215656">
              <w:marLeft w:val="0"/>
              <w:marRight w:val="0"/>
              <w:marTop w:val="0"/>
              <w:marBottom w:val="0"/>
              <w:divBdr>
                <w:top w:val="none" w:sz="0" w:space="0" w:color="auto"/>
                <w:left w:val="none" w:sz="0" w:space="0" w:color="auto"/>
                <w:bottom w:val="none" w:sz="0" w:space="0" w:color="auto"/>
                <w:right w:val="none" w:sz="0" w:space="0" w:color="auto"/>
              </w:divBdr>
            </w:div>
            <w:div w:id="1035276724">
              <w:marLeft w:val="0"/>
              <w:marRight w:val="0"/>
              <w:marTop w:val="0"/>
              <w:marBottom w:val="0"/>
              <w:divBdr>
                <w:top w:val="none" w:sz="0" w:space="0" w:color="auto"/>
                <w:left w:val="none" w:sz="0" w:space="0" w:color="auto"/>
                <w:bottom w:val="none" w:sz="0" w:space="0" w:color="auto"/>
                <w:right w:val="none" w:sz="0" w:space="0" w:color="auto"/>
              </w:divBdr>
            </w:div>
            <w:div w:id="1086655860">
              <w:marLeft w:val="0"/>
              <w:marRight w:val="0"/>
              <w:marTop w:val="0"/>
              <w:marBottom w:val="0"/>
              <w:divBdr>
                <w:top w:val="none" w:sz="0" w:space="0" w:color="auto"/>
                <w:left w:val="none" w:sz="0" w:space="0" w:color="auto"/>
                <w:bottom w:val="none" w:sz="0" w:space="0" w:color="auto"/>
                <w:right w:val="none" w:sz="0" w:space="0" w:color="auto"/>
              </w:divBdr>
            </w:div>
            <w:div w:id="1184857056">
              <w:marLeft w:val="0"/>
              <w:marRight w:val="0"/>
              <w:marTop w:val="0"/>
              <w:marBottom w:val="0"/>
              <w:divBdr>
                <w:top w:val="none" w:sz="0" w:space="0" w:color="auto"/>
                <w:left w:val="none" w:sz="0" w:space="0" w:color="auto"/>
                <w:bottom w:val="none" w:sz="0" w:space="0" w:color="auto"/>
                <w:right w:val="none" w:sz="0" w:space="0" w:color="auto"/>
              </w:divBdr>
            </w:div>
            <w:div w:id="1214849085">
              <w:marLeft w:val="0"/>
              <w:marRight w:val="0"/>
              <w:marTop w:val="0"/>
              <w:marBottom w:val="0"/>
              <w:divBdr>
                <w:top w:val="none" w:sz="0" w:space="0" w:color="auto"/>
                <w:left w:val="none" w:sz="0" w:space="0" w:color="auto"/>
                <w:bottom w:val="none" w:sz="0" w:space="0" w:color="auto"/>
                <w:right w:val="none" w:sz="0" w:space="0" w:color="auto"/>
              </w:divBdr>
            </w:div>
            <w:div w:id="1406996751">
              <w:marLeft w:val="0"/>
              <w:marRight w:val="0"/>
              <w:marTop w:val="0"/>
              <w:marBottom w:val="0"/>
              <w:divBdr>
                <w:top w:val="none" w:sz="0" w:space="0" w:color="auto"/>
                <w:left w:val="none" w:sz="0" w:space="0" w:color="auto"/>
                <w:bottom w:val="none" w:sz="0" w:space="0" w:color="auto"/>
                <w:right w:val="none" w:sz="0" w:space="0" w:color="auto"/>
              </w:divBdr>
            </w:div>
            <w:div w:id="1412115174">
              <w:marLeft w:val="0"/>
              <w:marRight w:val="0"/>
              <w:marTop w:val="0"/>
              <w:marBottom w:val="0"/>
              <w:divBdr>
                <w:top w:val="none" w:sz="0" w:space="0" w:color="auto"/>
                <w:left w:val="none" w:sz="0" w:space="0" w:color="auto"/>
                <w:bottom w:val="none" w:sz="0" w:space="0" w:color="auto"/>
                <w:right w:val="none" w:sz="0" w:space="0" w:color="auto"/>
              </w:divBdr>
            </w:div>
            <w:div w:id="1454517040">
              <w:marLeft w:val="0"/>
              <w:marRight w:val="0"/>
              <w:marTop w:val="0"/>
              <w:marBottom w:val="0"/>
              <w:divBdr>
                <w:top w:val="none" w:sz="0" w:space="0" w:color="auto"/>
                <w:left w:val="none" w:sz="0" w:space="0" w:color="auto"/>
                <w:bottom w:val="none" w:sz="0" w:space="0" w:color="auto"/>
                <w:right w:val="none" w:sz="0" w:space="0" w:color="auto"/>
              </w:divBdr>
            </w:div>
            <w:div w:id="1500148745">
              <w:marLeft w:val="0"/>
              <w:marRight w:val="0"/>
              <w:marTop w:val="0"/>
              <w:marBottom w:val="0"/>
              <w:divBdr>
                <w:top w:val="none" w:sz="0" w:space="0" w:color="auto"/>
                <w:left w:val="none" w:sz="0" w:space="0" w:color="auto"/>
                <w:bottom w:val="none" w:sz="0" w:space="0" w:color="auto"/>
                <w:right w:val="none" w:sz="0" w:space="0" w:color="auto"/>
              </w:divBdr>
            </w:div>
            <w:div w:id="1533181712">
              <w:marLeft w:val="0"/>
              <w:marRight w:val="0"/>
              <w:marTop w:val="0"/>
              <w:marBottom w:val="0"/>
              <w:divBdr>
                <w:top w:val="none" w:sz="0" w:space="0" w:color="auto"/>
                <w:left w:val="none" w:sz="0" w:space="0" w:color="auto"/>
                <w:bottom w:val="none" w:sz="0" w:space="0" w:color="auto"/>
                <w:right w:val="none" w:sz="0" w:space="0" w:color="auto"/>
              </w:divBdr>
            </w:div>
            <w:div w:id="1764569831">
              <w:marLeft w:val="0"/>
              <w:marRight w:val="0"/>
              <w:marTop w:val="0"/>
              <w:marBottom w:val="0"/>
              <w:divBdr>
                <w:top w:val="none" w:sz="0" w:space="0" w:color="auto"/>
                <w:left w:val="none" w:sz="0" w:space="0" w:color="auto"/>
                <w:bottom w:val="none" w:sz="0" w:space="0" w:color="auto"/>
                <w:right w:val="none" w:sz="0" w:space="0" w:color="auto"/>
              </w:divBdr>
            </w:div>
            <w:div w:id="1788348597">
              <w:marLeft w:val="0"/>
              <w:marRight w:val="0"/>
              <w:marTop w:val="0"/>
              <w:marBottom w:val="0"/>
              <w:divBdr>
                <w:top w:val="none" w:sz="0" w:space="0" w:color="auto"/>
                <w:left w:val="none" w:sz="0" w:space="0" w:color="auto"/>
                <w:bottom w:val="none" w:sz="0" w:space="0" w:color="auto"/>
                <w:right w:val="none" w:sz="0" w:space="0" w:color="auto"/>
              </w:divBdr>
            </w:div>
            <w:div w:id="1800493208">
              <w:marLeft w:val="0"/>
              <w:marRight w:val="0"/>
              <w:marTop w:val="0"/>
              <w:marBottom w:val="0"/>
              <w:divBdr>
                <w:top w:val="none" w:sz="0" w:space="0" w:color="auto"/>
                <w:left w:val="none" w:sz="0" w:space="0" w:color="auto"/>
                <w:bottom w:val="none" w:sz="0" w:space="0" w:color="auto"/>
                <w:right w:val="none" w:sz="0" w:space="0" w:color="auto"/>
              </w:divBdr>
            </w:div>
            <w:div w:id="1846968057">
              <w:marLeft w:val="0"/>
              <w:marRight w:val="0"/>
              <w:marTop w:val="0"/>
              <w:marBottom w:val="0"/>
              <w:divBdr>
                <w:top w:val="none" w:sz="0" w:space="0" w:color="auto"/>
                <w:left w:val="none" w:sz="0" w:space="0" w:color="auto"/>
                <w:bottom w:val="none" w:sz="0" w:space="0" w:color="auto"/>
                <w:right w:val="none" w:sz="0" w:space="0" w:color="auto"/>
              </w:divBdr>
            </w:div>
            <w:div w:id="1884901047">
              <w:marLeft w:val="0"/>
              <w:marRight w:val="0"/>
              <w:marTop w:val="0"/>
              <w:marBottom w:val="0"/>
              <w:divBdr>
                <w:top w:val="none" w:sz="0" w:space="0" w:color="auto"/>
                <w:left w:val="none" w:sz="0" w:space="0" w:color="auto"/>
                <w:bottom w:val="none" w:sz="0" w:space="0" w:color="auto"/>
                <w:right w:val="none" w:sz="0" w:space="0" w:color="auto"/>
              </w:divBdr>
            </w:div>
            <w:div w:id="1922636575">
              <w:marLeft w:val="0"/>
              <w:marRight w:val="0"/>
              <w:marTop w:val="0"/>
              <w:marBottom w:val="0"/>
              <w:divBdr>
                <w:top w:val="none" w:sz="0" w:space="0" w:color="auto"/>
                <w:left w:val="none" w:sz="0" w:space="0" w:color="auto"/>
                <w:bottom w:val="none" w:sz="0" w:space="0" w:color="auto"/>
                <w:right w:val="none" w:sz="0" w:space="0" w:color="auto"/>
              </w:divBdr>
            </w:div>
            <w:div w:id="1940404989">
              <w:marLeft w:val="0"/>
              <w:marRight w:val="0"/>
              <w:marTop w:val="0"/>
              <w:marBottom w:val="0"/>
              <w:divBdr>
                <w:top w:val="none" w:sz="0" w:space="0" w:color="auto"/>
                <w:left w:val="none" w:sz="0" w:space="0" w:color="auto"/>
                <w:bottom w:val="none" w:sz="0" w:space="0" w:color="auto"/>
                <w:right w:val="none" w:sz="0" w:space="0" w:color="auto"/>
              </w:divBdr>
            </w:div>
            <w:div w:id="2051420803">
              <w:marLeft w:val="0"/>
              <w:marRight w:val="0"/>
              <w:marTop w:val="0"/>
              <w:marBottom w:val="0"/>
              <w:divBdr>
                <w:top w:val="none" w:sz="0" w:space="0" w:color="auto"/>
                <w:left w:val="none" w:sz="0" w:space="0" w:color="auto"/>
                <w:bottom w:val="none" w:sz="0" w:space="0" w:color="auto"/>
                <w:right w:val="none" w:sz="0" w:space="0" w:color="auto"/>
              </w:divBdr>
            </w:div>
            <w:div w:id="2109884872">
              <w:marLeft w:val="0"/>
              <w:marRight w:val="0"/>
              <w:marTop w:val="0"/>
              <w:marBottom w:val="0"/>
              <w:divBdr>
                <w:top w:val="none" w:sz="0" w:space="0" w:color="auto"/>
                <w:left w:val="none" w:sz="0" w:space="0" w:color="auto"/>
                <w:bottom w:val="none" w:sz="0" w:space="0" w:color="auto"/>
                <w:right w:val="none" w:sz="0" w:space="0" w:color="auto"/>
              </w:divBdr>
            </w:div>
          </w:divsChild>
        </w:div>
        <w:div w:id="1675642627">
          <w:marLeft w:val="0"/>
          <w:marRight w:val="0"/>
          <w:marTop w:val="0"/>
          <w:marBottom w:val="0"/>
          <w:divBdr>
            <w:top w:val="none" w:sz="0" w:space="0" w:color="auto"/>
            <w:left w:val="none" w:sz="0" w:space="0" w:color="auto"/>
            <w:bottom w:val="none" w:sz="0" w:space="0" w:color="auto"/>
            <w:right w:val="none" w:sz="0" w:space="0" w:color="auto"/>
          </w:divBdr>
        </w:div>
        <w:div w:id="1683238284">
          <w:marLeft w:val="0"/>
          <w:marRight w:val="0"/>
          <w:marTop w:val="0"/>
          <w:marBottom w:val="0"/>
          <w:divBdr>
            <w:top w:val="none" w:sz="0" w:space="0" w:color="auto"/>
            <w:left w:val="none" w:sz="0" w:space="0" w:color="auto"/>
            <w:bottom w:val="none" w:sz="0" w:space="0" w:color="auto"/>
            <w:right w:val="none" w:sz="0" w:space="0" w:color="auto"/>
          </w:divBdr>
        </w:div>
        <w:div w:id="1707363924">
          <w:marLeft w:val="0"/>
          <w:marRight w:val="0"/>
          <w:marTop w:val="0"/>
          <w:marBottom w:val="0"/>
          <w:divBdr>
            <w:top w:val="none" w:sz="0" w:space="0" w:color="auto"/>
            <w:left w:val="none" w:sz="0" w:space="0" w:color="auto"/>
            <w:bottom w:val="none" w:sz="0" w:space="0" w:color="auto"/>
            <w:right w:val="none" w:sz="0" w:space="0" w:color="auto"/>
          </w:divBdr>
        </w:div>
        <w:div w:id="1760713197">
          <w:marLeft w:val="0"/>
          <w:marRight w:val="0"/>
          <w:marTop w:val="0"/>
          <w:marBottom w:val="0"/>
          <w:divBdr>
            <w:top w:val="none" w:sz="0" w:space="0" w:color="auto"/>
            <w:left w:val="none" w:sz="0" w:space="0" w:color="auto"/>
            <w:bottom w:val="none" w:sz="0" w:space="0" w:color="auto"/>
            <w:right w:val="none" w:sz="0" w:space="0" w:color="auto"/>
          </w:divBdr>
        </w:div>
        <w:div w:id="1802530654">
          <w:marLeft w:val="0"/>
          <w:marRight w:val="0"/>
          <w:marTop w:val="0"/>
          <w:marBottom w:val="0"/>
          <w:divBdr>
            <w:top w:val="none" w:sz="0" w:space="0" w:color="auto"/>
            <w:left w:val="none" w:sz="0" w:space="0" w:color="auto"/>
            <w:bottom w:val="none" w:sz="0" w:space="0" w:color="auto"/>
            <w:right w:val="none" w:sz="0" w:space="0" w:color="auto"/>
          </w:divBdr>
        </w:div>
        <w:div w:id="1808669977">
          <w:marLeft w:val="0"/>
          <w:marRight w:val="0"/>
          <w:marTop w:val="0"/>
          <w:marBottom w:val="0"/>
          <w:divBdr>
            <w:top w:val="none" w:sz="0" w:space="0" w:color="auto"/>
            <w:left w:val="none" w:sz="0" w:space="0" w:color="auto"/>
            <w:bottom w:val="none" w:sz="0" w:space="0" w:color="auto"/>
            <w:right w:val="none" w:sz="0" w:space="0" w:color="auto"/>
          </w:divBdr>
        </w:div>
        <w:div w:id="1831096273">
          <w:marLeft w:val="0"/>
          <w:marRight w:val="0"/>
          <w:marTop w:val="0"/>
          <w:marBottom w:val="0"/>
          <w:divBdr>
            <w:top w:val="none" w:sz="0" w:space="0" w:color="auto"/>
            <w:left w:val="none" w:sz="0" w:space="0" w:color="auto"/>
            <w:bottom w:val="none" w:sz="0" w:space="0" w:color="auto"/>
            <w:right w:val="none" w:sz="0" w:space="0" w:color="auto"/>
          </w:divBdr>
        </w:div>
        <w:div w:id="1833178766">
          <w:marLeft w:val="0"/>
          <w:marRight w:val="0"/>
          <w:marTop w:val="0"/>
          <w:marBottom w:val="0"/>
          <w:divBdr>
            <w:top w:val="none" w:sz="0" w:space="0" w:color="auto"/>
            <w:left w:val="none" w:sz="0" w:space="0" w:color="auto"/>
            <w:bottom w:val="none" w:sz="0" w:space="0" w:color="auto"/>
            <w:right w:val="none" w:sz="0" w:space="0" w:color="auto"/>
          </w:divBdr>
        </w:div>
        <w:div w:id="1864589518">
          <w:marLeft w:val="0"/>
          <w:marRight w:val="0"/>
          <w:marTop w:val="0"/>
          <w:marBottom w:val="0"/>
          <w:divBdr>
            <w:top w:val="none" w:sz="0" w:space="0" w:color="auto"/>
            <w:left w:val="none" w:sz="0" w:space="0" w:color="auto"/>
            <w:bottom w:val="none" w:sz="0" w:space="0" w:color="auto"/>
            <w:right w:val="none" w:sz="0" w:space="0" w:color="auto"/>
          </w:divBdr>
        </w:div>
        <w:div w:id="1870952588">
          <w:marLeft w:val="0"/>
          <w:marRight w:val="0"/>
          <w:marTop w:val="0"/>
          <w:marBottom w:val="0"/>
          <w:divBdr>
            <w:top w:val="none" w:sz="0" w:space="0" w:color="auto"/>
            <w:left w:val="none" w:sz="0" w:space="0" w:color="auto"/>
            <w:bottom w:val="none" w:sz="0" w:space="0" w:color="auto"/>
            <w:right w:val="none" w:sz="0" w:space="0" w:color="auto"/>
          </w:divBdr>
        </w:div>
        <w:div w:id="1871063073">
          <w:marLeft w:val="0"/>
          <w:marRight w:val="0"/>
          <w:marTop w:val="0"/>
          <w:marBottom w:val="0"/>
          <w:divBdr>
            <w:top w:val="none" w:sz="0" w:space="0" w:color="auto"/>
            <w:left w:val="none" w:sz="0" w:space="0" w:color="auto"/>
            <w:bottom w:val="none" w:sz="0" w:space="0" w:color="auto"/>
            <w:right w:val="none" w:sz="0" w:space="0" w:color="auto"/>
          </w:divBdr>
          <w:divsChild>
            <w:div w:id="2364310">
              <w:marLeft w:val="0"/>
              <w:marRight w:val="0"/>
              <w:marTop w:val="0"/>
              <w:marBottom w:val="0"/>
              <w:divBdr>
                <w:top w:val="none" w:sz="0" w:space="0" w:color="auto"/>
                <w:left w:val="none" w:sz="0" w:space="0" w:color="auto"/>
                <w:bottom w:val="none" w:sz="0" w:space="0" w:color="auto"/>
                <w:right w:val="none" w:sz="0" w:space="0" w:color="auto"/>
              </w:divBdr>
            </w:div>
            <w:div w:id="35934035">
              <w:marLeft w:val="0"/>
              <w:marRight w:val="0"/>
              <w:marTop w:val="0"/>
              <w:marBottom w:val="0"/>
              <w:divBdr>
                <w:top w:val="none" w:sz="0" w:space="0" w:color="auto"/>
                <w:left w:val="none" w:sz="0" w:space="0" w:color="auto"/>
                <w:bottom w:val="none" w:sz="0" w:space="0" w:color="auto"/>
                <w:right w:val="none" w:sz="0" w:space="0" w:color="auto"/>
              </w:divBdr>
            </w:div>
            <w:div w:id="213196019">
              <w:marLeft w:val="0"/>
              <w:marRight w:val="0"/>
              <w:marTop w:val="0"/>
              <w:marBottom w:val="0"/>
              <w:divBdr>
                <w:top w:val="none" w:sz="0" w:space="0" w:color="auto"/>
                <w:left w:val="none" w:sz="0" w:space="0" w:color="auto"/>
                <w:bottom w:val="none" w:sz="0" w:space="0" w:color="auto"/>
                <w:right w:val="none" w:sz="0" w:space="0" w:color="auto"/>
              </w:divBdr>
            </w:div>
            <w:div w:id="476386901">
              <w:marLeft w:val="0"/>
              <w:marRight w:val="0"/>
              <w:marTop w:val="0"/>
              <w:marBottom w:val="0"/>
              <w:divBdr>
                <w:top w:val="none" w:sz="0" w:space="0" w:color="auto"/>
                <w:left w:val="none" w:sz="0" w:space="0" w:color="auto"/>
                <w:bottom w:val="none" w:sz="0" w:space="0" w:color="auto"/>
                <w:right w:val="none" w:sz="0" w:space="0" w:color="auto"/>
              </w:divBdr>
            </w:div>
            <w:div w:id="685209621">
              <w:marLeft w:val="0"/>
              <w:marRight w:val="0"/>
              <w:marTop w:val="0"/>
              <w:marBottom w:val="0"/>
              <w:divBdr>
                <w:top w:val="none" w:sz="0" w:space="0" w:color="auto"/>
                <w:left w:val="none" w:sz="0" w:space="0" w:color="auto"/>
                <w:bottom w:val="none" w:sz="0" w:space="0" w:color="auto"/>
                <w:right w:val="none" w:sz="0" w:space="0" w:color="auto"/>
              </w:divBdr>
            </w:div>
            <w:div w:id="851378365">
              <w:marLeft w:val="0"/>
              <w:marRight w:val="0"/>
              <w:marTop w:val="0"/>
              <w:marBottom w:val="0"/>
              <w:divBdr>
                <w:top w:val="none" w:sz="0" w:space="0" w:color="auto"/>
                <w:left w:val="none" w:sz="0" w:space="0" w:color="auto"/>
                <w:bottom w:val="none" w:sz="0" w:space="0" w:color="auto"/>
                <w:right w:val="none" w:sz="0" w:space="0" w:color="auto"/>
              </w:divBdr>
            </w:div>
            <w:div w:id="901478757">
              <w:marLeft w:val="0"/>
              <w:marRight w:val="0"/>
              <w:marTop w:val="0"/>
              <w:marBottom w:val="0"/>
              <w:divBdr>
                <w:top w:val="none" w:sz="0" w:space="0" w:color="auto"/>
                <w:left w:val="none" w:sz="0" w:space="0" w:color="auto"/>
                <w:bottom w:val="none" w:sz="0" w:space="0" w:color="auto"/>
                <w:right w:val="none" w:sz="0" w:space="0" w:color="auto"/>
              </w:divBdr>
            </w:div>
            <w:div w:id="905605810">
              <w:marLeft w:val="0"/>
              <w:marRight w:val="0"/>
              <w:marTop w:val="0"/>
              <w:marBottom w:val="0"/>
              <w:divBdr>
                <w:top w:val="none" w:sz="0" w:space="0" w:color="auto"/>
                <w:left w:val="none" w:sz="0" w:space="0" w:color="auto"/>
                <w:bottom w:val="none" w:sz="0" w:space="0" w:color="auto"/>
                <w:right w:val="none" w:sz="0" w:space="0" w:color="auto"/>
              </w:divBdr>
            </w:div>
            <w:div w:id="1221751832">
              <w:marLeft w:val="0"/>
              <w:marRight w:val="0"/>
              <w:marTop w:val="0"/>
              <w:marBottom w:val="0"/>
              <w:divBdr>
                <w:top w:val="none" w:sz="0" w:space="0" w:color="auto"/>
                <w:left w:val="none" w:sz="0" w:space="0" w:color="auto"/>
                <w:bottom w:val="none" w:sz="0" w:space="0" w:color="auto"/>
                <w:right w:val="none" w:sz="0" w:space="0" w:color="auto"/>
              </w:divBdr>
            </w:div>
            <w:div w:id="1451511079">
              <w:marLeft w:val="0"/>
              <w:marRight w:val="0"/>
              <w:marTop w:val="0"/>
              <w:marBottom w:val="0"/>
              <w:divBdr>
                <w:top w:val="none" w:sz="0" w:space="0" w:color="auto"/>
                <w:left w:val="none" w:sz="0" w:space="0" w:color="auto"/>
                <w:bottom w:val="none" w:sz="0" w:space="0" w:color="auto"/>
                <w:right w:val="none" w:sz="0" w:space="0" w:color="auto"/>
              </w:divBdr>
            </w:div>
            <w:div w:id="1505046450">
              <w:marLeft w:val="0"/>
              <w:marRight w:val="0"/>
              <w:marTop w:val="0"/>
              <w:marBottom w:val="0"/>
              <w:divBdr>
                <w:top w:val="none" w:sz="0" w:space="0" w:color="auto"/>
                <w:left w:val="none" w:sz="0" w:space="0" w:color="auto"/>
                <w:bottom w:val="none" w:sz="0" w:space="0" w:color="auto"/>
                <w:right w:val="none" w:sz="0" w:space="0" w:color="auto"/>
              </w:divBdr>
            </w:div>
            <w:div w:id="1542590972">
              <w:marLeft w:val="0"/>
              <w:marRight w:val="0"/>
              <w:marTop w:val="0"/>
              <w:marBottom w:val="0"/>
              <w:divBdr>
                <w:top w:val="none" w:sz="0" w:space="0" w:color="auto"/>
                <w:left w:val="none" w:sz="0" w:space="0" w:color="auto"/>
                <w:bottom w:val="none" w:sz="0" w:space="0" w:color="auto"/>
                <w:right w:val="none" w:sz="0" w:space="0" w:color="auto"/>
              </w:divBdr>
            </w:div>
            <w:div w:id="1555002689">
              <w:marLeft w:val="0"/>
              <w:marRight w:val="0"/>
              <w:marTop w:val="0"/>
              <w:marBottom w:val="0"/>
              <w:divBdr>
                <w:top w:val="none" w:sz="0" w:space="0" w:color="auto"/>
                <w:left w:val="none" w:sz="0" w:space="0" w:color="auto"/>
                <w:bottom w:val="none" w:sz="0" w:space="0" w:color="auto"/>
                <w:right w:val="none" w:sz="0" w:space="0" w:color="auto"/>
              </w:divBdr>
            </w:div>
            <w:div w:id="1664241482">
              <w:marLeft w:val="0"/>
              <w:marRight w:val="0"/>
              <w:marTop w:val="0"/>
              <w:marBottom w:val="0"/>
              <w:divBdr>
                <w:top w:val="none" w:sz="0" w:space="0" w:color="auto"/>
                <w:left w:val="none" w:sz="0" w:space="0" w:color="auto"/>
                <w:bottom w:val="none" w:sz="0" w:space="0" w:color="auto"/>
                <w:right w:val="none" w:sz="0" w:space="0" w:color="auto"/>
              </w:divBdr>
            </w:div>
            <w:div w:id="1725714969">
              <w:marLeft w:val="0"/>
              <w:marRight w:val="0"/>
              <w:marTop w:val="0"/>
              <w:marBottom w:val="0"/>
              <w:divBdr>
                <w:top w:val="none" w:sz="0" w:space="0" w:color="auto"/>
                <w:left w:val="none" w:sz="0" w:space="0" w:color="auto"/>
                <w:bottom w:val="none" w:sz="0" w:space="0" w:color="auto"/>
                <w:right w:val="none" w:sz="0" w:space="0" w:color="auto"/>
              </w:divBdr>
            </w:div>
            <w:div w:id="1730304353">
              <w:marLeft w:val="0"/>
              <w:marRight w:val="0"/>
              <w:marTop w:val="0"/>
              <w:marBottom w:val="0"/>
              <w:divBdr>
                <w:top w:val="none" w:sz="0" w:space="0" w:color="auto"/>
                <w:left w:val="none" w:sz="0" w:space="0" w:color="auto"/>
                <w:bottom w:val="none" w:sz="0" w:space="0" w:color="auto"/>
                <w:right w:val="none" w:sz="0" w:space="0" w:color="auto"/>
              </w:divBdr>
            </w:div>
            <w:div w:id="1892695068">
              <w:marLeft w:val="0"/>
              <w:marRight w:val="0"/>
              <w:marTop w:val="0"/>
              <w:marBottom w:val="0"/>
              <w:divBdr>
                <w:top w:val="none" w:sz="0" w:space="0" w:color="auto"/>
                <w:left w:val="none" w:sz="0" w:space="0" w:color="auto"/>
                <w:bottom w:val="none" w:sz="0" w:space="0" w:color="auto"/>
                <w:right w:val="none" w:sz="0" w:space="0" w:color="auto"/>
              </w:divBdr>
            </w:div>
            <w:div w:id="1930036431">
              <w:marLeft w:val="0"/>
              <w:marRight w:val="0"/>
              <w:marTop w:val="0"/>
              <w:marBottom w:val="0"/>
              <w:divBdr>
                <w:top w:val="none" w:sz="0" w:space="0" w:color="auto"/>
                <w:left w:val="none" w:sz="0" w:space="0" w:color="auto"/>
                <w:bottom w:val="none" w:sz="0" w:space="0" w:color="auto"/>
                <w:right w:val="none" w:sz="0" w:space="0" w:color="auto"/>
              </w:divBdr>
            </w:div>
            <w:div w:id="2028822548">
              <w:marLeft w:val="0"/>
              <w:marRight w:val="0"/>
              <w:marTop w:val="0"/>
              <w:marBottom w:val="0"/>
              <w:divBdr>
                <w:top w:val="none" w:sz="0" w:space="0" w:color="auto"/>
                <w:left w:val="none" w:sz="0" w:space="0" w:color="auto"/>
                <w:bottom w:val="none" w:sz="0" w:space="0" w:color="auto"/>
                <w:right w:val="none" w:sz="0" w:space="0" w:color="auto"/>
              </w:divBdr>
            </w:div>
            <w:div w:id="2056151173">
              <w:marLeft w:val="0"/>
              <w:marRight w:val="0"/>
              <w:marTop w:val="0"/>
              <w:marBottom w:val="0"/>
              <w:divBdr>
                <w:top w:val="none" w:sz="0" w:space="0" w:color="auto"/>
                <w:left w:val="none" w:sz="0" w:space="0" w:color="auto"/>
                <w:bottom w:val="none" w:sz="0" w:space="0" w:color="auto"/>
                <w:right w:val="none" w:sz="0" w:space="0" w:color="auto"/>
              </w:divBdr>
            </w:div>
          </w:divsChild>
        </w:div>
        <w:div w:id="1878227698">
          <w:marLeft w:val="0"/>
          <w:marRight w:val="0"/>
          <w:marTop w:val="0"/>
          <w:marBottom w:val="0"/>
          <w:divBdr>
            <w:top w:val="none" w:sz="0" w:space="0" w:color="auto"/>
            <w:left w:val="none" w:sz="0" w:space="0" w:color="auto"/>
            <w:bottom w:val="none" w:sz="0" w:space="0" w:color="auto"/>
            <w:right w:val="none" w:sz="0" w:space="0" w:color="auto"/>
          </w:divBdr>
        </w:div>
        <w:div w:id="1905488144">
          <w:marLeft w:val="0"/>
          <w:marRight w:val="0"/>
          <w:marTop w:val="0"/>
          <w:marBottom w:val="0"/>
          <w:divBdr>
            <w:top w:val="none" w:sz="0" w:space="0" w:color="auto"/>
            <w:left w:val="none" w:sz="0" w:space="0" w:color="auto"/>
            <w:bottom w:val="none" w:sz="0" w:space="0" w:color="auto"/>
            <w:right w:val="none" w:sz="0" w:space="0" w:color="auto"/>
          </w:divBdr>
          <w:divsChild>
            <w:div w:id="114757414">
              <w:marLeft w:val="0"/>
              <w:marRight w:val="0"/>
              <w:marTop w:val="0"/>
              <w:marBottom w:val="0"/>
              <w:divBdr>
                <w:top w:val="none" w:sz="0" w:space="0" w:color="auto"/>
                <w:left w:val="none" w:sz="0" w:space="0" w:color="auto"/>
                <w:bottom w:val="none" w:sz="0" w:space="0" w:color="auto"/>
                <w:right w:val="none" w:sz="0" w:space="0" w:color="auto"/>
              </w:divBdr>
            </w:div>
            <w:div w:id="357894693">
              <w:marLeft w:val="0"/>
              <w:marRight w:val="0"/>
              <w:marTop w:val="0"/>
              <w:marBottom w:val="0"/>
              <w:divBdr>
                <w:top w:val="none" w:sz="0" w:space="0" w:color="auto"/>
                <w:left w:val="none" w:sz="0" w:space="0" w:color="auto"/>
                <w:bottom w:val="none" w:sz="0" w:space="0" w:color="auto"/>
                <w:right w:val="none" w:sz="0" w:space="0" w:color="auto"/>
              </w:divBdr>
            </w:div>
            <w:div w:id="462961385">
              <w:marLeft w:val="0"/>
              <w:marRight w:val="0"/>
              <w:marTop w:val="0"/>
              <w:marBottom w:val="0"/>
              <w:divBdr>
                <w:top w:val="none" w:sz="0" w:space="0" w:color="auto"/>
                <w:left w:val="none" w:sz="0" w:space="0" w:color="auto"/>
                <w:bottom w:val="none" w:sz="0" w:space="0" w:color="auto"/>
                <w:right w:val="none" w:sz="0" w:space="0" w:color="auto"/>
              </w:divBdr>
            </w:div>
            <w:div w:id="995913811">
              <w:marLeft w:val="0"/>
              <w:marRight w:val="0"/>
              <w:marTop w:val="0"/>
              <w:marBottom w:val="0"/>
              <w:divBdr>
                <w:top w:val="none" w:sz="0" w:space="0" w:color="auto"/>
                <w:left w:val="none" w:sz="0" w:space="0" w:color="auto"/>
                <w:bottom w:val="none" w:sz="0" w:space="0" w:color="auto"/>
                <w:right w:val="none" w:sz="0" w:space="0" w:color="auto"/>
              </w:divBdr>
            </w:div>
            <w:div w:id="1037314910">
              <w:marLeft w:val="0"/>
              <w:marRight w:val="0"/>
              <w:marTop w:val="0"/>
              <w:marBottom w:val="0"/>
              <w:divBdr>
                <w:top w:val="none" w:sz="0" w:space="0" w:color="auto"/>
                <w:left w:val="none" w:sz="0" w:space="0" w:color="auto"/>
                <w:bottom w:val="none" w:sz="0" w:space="0" w:color="auto"/>
                <w:right w:val="none" w:sz="0" w:space="0" w:color="auto"/>
              </w:divBdr>
            </w:div>
            <w:div w:id="1089421552">
              <w:marLeft w:val="0"/>
              <w:marRight w:val="0"/>
              <w:marTop w:val="0"/>
              <w:marBottom w:val="0"/>
              <w:divBdr>
                <w:top w:val="none" w:sz="0" w:space="0" w:color="auto"/>
                <w:left w:val="none" w:sz="0" w:space="0" w:color="auto"/>
                <w:bottom w:val="none" w:sz="0" w:space="0" w:color="auto"/>
                <w:right w:val="none" w:sz="0" w:space="0" w:color="auto"/>
              </w:divBdr>
            </w:div>
            <w:div w:id="1184323068">
              <w:marLeft w:val="0"/>
              <w:marRight w:val="0"/>
              <w:marTop w:val="0"/>
              <w:marBottom w:val="0"/>
              <w:divBdr>
                <w:top w:val="none" w:sz="0" w:space="0" w:color="auto"/>
                <w:left w:val="none" w:sz="0" w:space="0" w:color="auto"/>
                <w:bottom w:val="none" w:sz="0" w:space="0" w:color="auto"/>
                <w:right w:val="none" w:sz="0" w:space="0" w:color="auto"/>
              </w:divBdr>
            </w:div>
            <w:div w:id="1213927381">
              <w:marLeft w:val="0"/>
              <w:marRight w:val="0"/>
              <w:marTop w:val="0"/>
              <w:marBottom w:val="0"/>
              <w:divBdr>
                <w:top w:val="none" w:sz="0" w:space="0" w:color="auto"/>
                <w:left w:val="none" w:sz="0" w:space="0" w:color="auto"/>
                <w:bottom w:val="none" w:sz="0" w:space="0" w:color="auto"/>
                <w:right w:val="none" w:sz="0" w:space="0" w:color="auto"/>
              </w:divBdr>
            </w:div>
            <w:div w:id="1336112191">
              <w:marLeft w:val="0"/>
              <w:marRight w:val="0"/>
              <w:marTop w:val="0"/>
              <w:marBottom w:val="0"/>
              <w:divBdr>
                <w:top w:val="none" w:sz="0" w:space="0" w:color="auto"/>
                <w:left w:val="none" w:sz="0" w:space="0" w:color="auto"/>
                <w:bottom w:val="none" w:sz="0" w:space="0" w:color="auto"/>
                <w:right w:val="none" w:sz="0" w:space="0" w:color="auto"/>
              </w:divBdr>
            </w:div>
            <w:div w:id="1341859761">
              <w:marLeft w:val="0"/>
              <w:marRight w:val="0"/>
              <w:marTop w:val="0"/>
              <w:marBottom w:val="0"/>
              <w:divBdr>
                <w:top w:val="none" w:sz="0" w:space="0" w:color="auto"/>
                <w:left w:val="none" w:sz="0" w:space="0" w:color="auto"/>
                <w:bottom w:val="none" w:sz="0" w:space="0" w:color="auto"/>
                <w:right w:val="none" w:sz="0" w:space="0" w:color="auto"/>
              </w:divBdr>
            </w:div>
            <w:div w:id="1361081568">
              <w:marLeft w:val="0"/>
              <w:marRight w:val="0"/>
              <w:marTop w:val="0"/>
              <w:marBottom w:val="0"/>
              <w:divBdr>
                <w:top w:val="none" w:sz="0" w:space="0" w:color="auto"/>
                <w:left w:val="none" w:sz="0" w:space="0" w:color="auto"/>
                <w:bottom w:val="none" w:sz="0" w:space="0" w:color="auto"/>
                <w:right w:val="none" w:sz="0" w:space="0" w:color="auto"/>
              </w:divBdr>
            </w:div>
            <w:div w:id="1381439231">
              <w:marLeft w:val="0"/>
              <w:marRight w:val="0"/>
              <w:marTop w:val="0"/>
              <w:marBottom w:val="0"/>
              <w:divBdr>
                <w:top w:val="none" w:sz="0" w:space="0" w:color="auto"/>
                <w:left w:val="none" w:sz="0" w:space="0" w:color="auto"/>
                <w:bottom w:val="none" w:sz="0" w:space="0" w:color="auto"/>
                <w:right w:val="none" w:sz="0" w:space="0" w:color="auto"/>
              </w:divBdr>
            </w:div>
            <w:div w:id="1382751533">
              <w:marLeft w:val="0"/>
              <w:marRight w:val="0"/>
              <w:marTop w:val="0"/>
              <w:marBottom w:val="0"/>
              <w:divBdr>
                <w:top w:val="none" w:sz="0" w:space="0" w:color="auto"/>
                <w:left w:val="none" w:sz="0" w:space="0" w:color="auto"/>
                <w:bottom w:val="none" w:sz="0" w:space="0" w:color="auto"/>
                <w:right w:val="none" w:sz="0" w:space="0" w:color="auto"/>
              </w:divBdr>
            </w:div>
            <w:div w:id="1386759897">
              <w:marLeft w:val="0"/>
              <w:marRight w:val="0"/>
              <w:marTop w:val="0"/>
              <w:marBottom w:val="0"/>
              <w:divBdr>
                <w:top w:val="none" w:sz="0" w:space="0" w:color="auto"/>
                <w:left w:val="none" w:sz="0" w:space="0" w:color="auto"/>
                <w:bottom w:val="none" w:sz="0" w:space="0" w:color="auto"/>
                <w:right w:val="none" w:sz="0" w:space="0" w:color="auto"/>
              </w:divBdr>
            </w:div>
            <w:div w:id="1535776424">
              <w:marLeft w:val="0"/>
              <w:marRight w:val="0"/>
              <w:marTop w:val="0"/>
              <w:marBottom w:val="0"/>
              <w:divBdr>
                <w:top w:val="none" w:sz="0" w:space="0" w:color="auto"/>
                <w:left w:val="none" w:sz="0" w:space="0" w:color="auto"/>
                <w:bottom w:val="none" w:sz="0" w:space="0" w:color="auto"/>
                <w:right w:val="none" w:sz="0" w:space="0" w:color="auto"/>
              </w:divBdr>
            </w:div>
            <w:div w:id="1647053213">
              <w:marLeft w:val="0"/>
              <w:marRight w:val="0"/>
              <w:marTop w:val="0"/>
              <w:marBottom w:val="0"/>
              <w:divBdr>
                <w:top w:val="none" w:sz="0" w:space="0" w:color="auto"/>
                <w:left w:val="none" w:sz="0" w:space="0" w:color="auto"/>
                <w:bottom w:val="none" w:sz="0" w:space="0" w:color="auto"/>
                <w:right w:val="none" w:sz="0" w:space="0" w:color="auto"/>
              </w:divBdr>
            </w:div>
            <w:div w:id="1830753581">
              <w:marLeft w:val="0"/>
              <w:marRight w:val="0"/>
              <w:marTop w:val="0"/>
              <w:marBottom w:val="0"/>
              <w:divBdr>
                <w:top w:val="none" w:sz="0" w:space="0" w:color="auto"/>
                <w:left w:val="none" w:sz="0" w:space="0" w:color="auto"/>
                <w:bottom w:val="none" w:sz="0" w:space="0" w:color="auto"/>
                <w:right w:val="none" w:sz="0" w:space="0" w:color="auto"/>
              </w:divBdr>
            </w:div>
            <w:div w:id="1885827783">
              <w:marLeft w:val="0"/>
              <w:marRight w:val="0"/>
              <w:marTop w:val="0"/>
              <w:marBottom w:val="0"/>
              <w:divBdr>
                <w:top w:val="none" w:sz="0" w:space="0" w:color="auto"/>
                <w:left w:val="none" w:sz="0" w:space="0" w:color="auto"/>
                <w:bottom w:val="none" w:sz="0" w:space="0" w:color="auto"/>
                <w:right w:val="none" w:sz="0" w:space="0" w:color="auto"/>
              </w:divBdr>
            </w:div>
            <w:div w:id="1992828754">
              <w:marLeft w:val="0"/>
              <w:marRight w:val="0"/>
              <w:marTop w:val="0"/>
              <w:marBottom w:val="0"/>
              <w:divBdr>
                <w:top w:val="none" w:sz="0" w:space="0" w:color="auto"/>
                <w:left w:val="none" w:sz="0" w:space="0" w:color="auto"/>
                <w:bottom w:val="none" w:sz="0" w:space="0" w:color="auto"/>
                <w:right w:val="none" w:sz="0" w:space="0" w:color="auto"/>
              </w:divBdr>
            </w:div>
            <w:div w:id="2073657116">
              <w:marLeft w:val="0"/>
              <w:marRight w:val="0"/>
              <w:marTop w:val="0"/>
              <w:marBottom w:val="0"/>
              <w:divBdr>
                <w:top w:val="none" w:sz="0" w:space="0" w:color="auto"/>
                <w:left w:val="none" w:sz="0" w:space="0" w:color="auto"/>
                <w:bottom w:val="none" w:sz="0" w:space="0" w:color="auto"/>
                <w:right w:val="none" w:sz="0" w:space="0" w:color="auto"/>
              </w:divBdr>
            </w:div>
          </w:divsChild>
        </w:div>
        <w:div w:id="1934164963">
          <w:marLeft w:val="0"/>
          <w:marRight w:val="0"/>
          <w:marTop w:val="0"/>
          <w:marBottom w:val="0"/>
          <w:divBdr>
            <w:top w:val="none" w:sz="0" w:space="0" w:color="auto"/>
            <w:left w:val="none" w:sz="0" w:space="0" w:color="auto"/>
            <w:bottom w:val="none" w:sz="0" w:space="0" w:color="auto"/>
            <w:right w:val="none" w:sz="0" w:space="0" w:color="auto"/>
          </w:divBdr>
        </w:div>
        <w:div w:id="1936857870">
          <w:marLeft w:val="0"/>
          <w:marRight w:val="0"/>
          <w:marTop w:val="0"/>
          <w:marBottom w:val="0"/>
          <w:divBdr>
            <w:top w:val="none" w:sz="0" w:space="0" w:color="auto"/>
            <w:left w:val="none" w:sz="0" w:space="0" w:color="auto"/>
            <w:bottom w:val="none" w:sz="0" w:space="0" w:color="auto"/>
            <w:right w:val="none" w:sz="0" w:space="0" w:color="auto"/>
          </w:divBdr>
        </w:div>
        <w:div w:id="1952739162">
          <w:marLeft w:val="0"/>
          <w:marRight w:val="0"/>
          <w:marTop w:val="0"/>
          <w:marBottom w:val="0"/>
          <w:divBdr>
            <w:top w:val="none" w:sz="0" w:space="0" w:color="auto"/>
            <w:left w:val="none" w:sz="0" w:space="0" w:color="auto"/>
            <w:bottom w:val="none" w:sz="0" w:space="0" w:color="auto"/>
            <w:right w:val="none" w:sz="0" w:space="0" w:color="auto"/>
          </w:divBdr>
        </w:div>
        <w:div w:id="1958483965">
          <w:marLeft w:val="0"/>
          <w:marRight w:val="0"/>
          <w:marTop w:val="0"/>
          <w:marBottom w:val="0"/>
          <w:divBdr>
            <w:top w:val="none" w:sz="0" w:space="0" w:color="auto"/>
            <w:left w:val="none" w:sz="0" w:space="0" w:color="auto"/>
            <w:bottom w:val="none" w:sz="0" w:space="0" w:color="auto"/>
            <w:right w:val="none" w:sz="0" w:space="0" w:color="auto"/>
          </w:divBdr>
        </w:div>
        <w:div w:id="2021392823">
          <w:marLeft w:val="0"/>
          <w:marRight w:val="0"/>
          <w:marTop w:val="0"/>
          <w:marBottom w:val="0"/>
          <w:divBdr>
            <w:top w:val="none" w:sz="0" w:space="0" w:color="auto"/>
            <w:left w:val="none" w:sz="0" w:space="0" w:color="auto"/>
            <w:bottom w:val="none" w:sz="0" w:space="0" w:color="auto"/>
            <w:right w:val="none" w:sz="0" w:space="0" w:color="auto"/>
          </w:divBdr>
        </w:div>
        <w:div w:id="2021851756">
          <w:marLeft w:val="0"/>
          <w:marRight w:val="0"/>
          <w:marTop w:val="0"/>
          <w:marBottom w:val="0"/>
          <w:divBdr>
            <w:top w:val="none" w:sz="0" w:space="0" w:color="auto"/>
            <w:left w:val="none" w:sz="0" w:space="0" w:color="auto"/>
            <w:bottom w:val="none" w:sz="0" w:space="0" w:color="auto"/>
            <w:right w:val="none" w:sz="0" w:space="0" w:color="auto"/>
          </w:divBdr>
        </w:div>
        <w:div w:id="2047951464">
          <w:marLeft w:val="0"/>
          <w:marRight w:val="0"/>
          <w:marTop w:val="0"/>
          <w:marBottom w:val="0"/>
          <w:divBdr>
            <w:top w:val="none" w:sz="0" w:space="0" w:color="auto"/>
            <w:left w:val="none" w:sz="0" w:space="0" w:color="auto"/>
            <w:bottom w:val="none" w:sz="0" w:space="0" w:color="auto"/>
            <w:right w:val="none" w:sz="0" w:space="0" w:color="auto"/>
          </w:divBdr>
        </w:div>
        <w:div w:id="2065055690">
          <w:marLeft w:val="0"/>
          <w:marRight w:val="0"/>
          <w:marTop w:val="0"/>
          <w:marBottom w:val="0"/>
          <w:divBdr>
            <w:top w:val="none" w:sz="0" w:space="0" w:color="auto"/>
            <w:left w:val="none" w:sz="0" w:space="0" w:color="auto"/>
            <w:bottom w:val="none" w:sz="0" w:space="0" w:color="auto"/>
            <w:right w:val="none" w:sz="0" w:space="0" w:color="auto"/>
          </w:divBdr>
        </w:div>
        <w:div w:id="2079866708">
          <w:marLeft w:val="0"/>
          <w:marRight w:val="0"/>
          <w:marTop w:val="0"/>
          <w:marBottom w:val="0"/>
          <w:divBdr>
            <w:top w:val="none" w:sz="0" w:space="0" w:color="auto"/>
            <w:left w:val="none" w:sz="0" w:space="0" w:color="auto"/>
            <w:bottom w:val="none" w:sz="0" w:space="0" w:color="auto"/>
            <w:right w:val="none" w:sz="0" w:space="0" w:color="auto"/>
          </w:divBdr>
        </w:div>
        <w:div w:id="2087609418">
          <w:marLeft w:val="0"/>
          <w:marRight w:val="0"/>
          <w:marTop w:val="0"/>
          <w:marBottom w:val="0"/>
          <w:divBdr>
            <w:top w:val="none" w:sz="0" w:space="0" w:color="auto"/>
            <w:left w:val="none" w:sz="0" w:space="0" w:color="auto"/>
            <w:bottom w:val="none" w:sz="0" w:space="0" w:color="auto"/>
            <w:right w:val="none" w:sz="0" w:space="0" w:color="auto"/>
          </w:divBdr>
        </w:div>
        <w:div w:id="2092072076">
          <w:marLeft w:val="0"/>
          <w:marRight w:val="0"/>
          <w:marTop w:val="0"/>
          <w:marBottom w:val="0"/>
          <w:divBdr>
            <w:top w:val="none" w:sz="0" w:space="0" w:color="auto"/>
            <w:left w:val="none" w:sz="0" w:space="0" w:color="auto"/>
            <w:bottom w:val="none" w:sz="0" w:space="0" w:color="auto"/>
            <w:right w:val="none" w:sz="0" w:space="0" w:color="auto"/>
          </w:divBdr>
        </w:div>
        <w:div w:id="2115518409">
          <w:marLeft w:val="0"/>
          <w:marRight w:val="0"/>
          <w:marTop w:val="0"/>
          <w:marBottom w:val="0"/>
          <w:divBdr>
            <w:top w:val="none" w:sz="0" w:space="0" w:color="auto"/>
            <w:left w:val="none" w:sz="0" w:space="0" w:color="auto"/>
            <w:bottom w:val="none" w:sz="0" w:space="0" w:color="auto"/>
            <w:right w:val="none" w:sz="0" w:space="0" w:color="auto"/>
          </w:divBdr>
          <w:divsChild>
            <w:div w:id="31197695">
              <w:marLeft w:val="0"/>
              <w:marRight w:val="0"/>
              <w:marTop w:val="0"/>
              <w:marBottom w:val="0"/>
              <w:divBdr>
                <w:top w:val="none" w:sz="0" w:space="0" w:color="auto"/>
                <w:left w:val="none" w:sz="0" w:space="0" w:color="auto"/>
                <w:bottom w:val="none" w:sz="0" w:space="0" w:color="auto"/>
                <w:right w:val="none" w:sz="0" w:space="0" w:color="auto"/>
              </w:divBdr>
            </w:div>
            <w:div w:id="154223101">
              <w:marLeft w:val="0"/>
              <w:marRight w:val="0"/>
              <w:marTop w:val="0"/>
              <w:marBottom w:val="0"/>
              <w:divBdr>
                <w:top w:val="none" w:sz="0" w:space="0" w:color="auto"/>
                <w:left w:val="none" w:sz="0" w:space="0" w:color="auto"/>
                <w:bottom w:val="none" w:sz="0" w:space="0" w:color="auto"/>
                <w:right w:val="none" w:sz="0" w:space="0" w:color="auto"/>
              </w:divBdr>
            </w:div>
            <w:div w:id="446511270">
              <w:marLeft w:val="0"/>
              <w:marRight w:val="0"/>
              <w:marTop w:val="0"/>
              <w:marBottom w:val="0"/>
              <w:divBdr>
                <w:top w:val="none" w:sz="0" w:space="0" w:color="auto"/>
                <w:left w:val="none" w:sz="0" w:space="0" w:color="auto"/>
                <w:bottom w:val="none" w:sz="0" w:space="0" w:color="auto"/>
                <w:right w:val="none" w:sz="0" w:space="0" w:color="auto"/>
              </w:divBdr>
            </w:div>
            <w:div w:id="493378448">
              <w:marLeft w:val="0"/>
              <w:marRight w:val="0"/>
              <w:marTop w:val="0"/>
              <w:marBottom w:val="0"/>
              <w:divBdr>
                <w:top w:val="none" w:sz="0" w:space="0" w:color="auto"/>
                <w:left w:val="none" w:sz="0" w:space="0" w:color="auto"/>
                <w:bottom w:val="none" w:sz="0" w:space="0" w:color="auto"/>
                <w:right w:val="none" w:sz="0" w:space="0" w:color="auto"/>
              </w:divBdr>
            </w:div>
            <w:div w:id="735708982">
              <w:marLeft w:val="0"/>
              <w:marRight w:val="0"/>
              <w:marTop w:val="0"/>
              <w:marBottom w:val="0"/>
              <w:divBdr>
                <w:top w:val="none" w:sz="0" w:space="0" w:color="auto"/>
                <w:left w:val="none" w:sz="0" w:space="0" w:color="auto"/>
                <w:bottom w:val="none" w:sz="0" w:space="0" w:color="auto"/>
                <w:right w:val="none" w:sz="0" w:space="0" w:color="auto"/>
              </w:divBdr>
            </w:div>
            <w:div w:id="769545690">
              <w:marLeft w:val="0"/>
              <w:marRight w:val="0"/>
              <w:marTop w:val="0"/>
              <w:marBottom w:val="0"/>
              <w:divBdr>
                <w:top w:val="none" w:sz="0" w:space="0" w:color="auto"/>
                <w:left w:val="none" w:sz="0" w:space="0" w:color="auto"/>
                <w:bottom w:val="none" w:sz="0" w:space="0" w:color="auto"/>
                <w:right w:val="none" w:sz="0" w:space="0" w:color="auto"/>
              </w:divBdr>
            </w:div>
            <w:div w:id="948509321">
              <w:marLeft w:val="0"/>
              <w:marRight w:val="0"/>
              <w:marTop w:val="0"/>
              <w:marBottom w:val="0"/>
              <w:divBdr>
                <w:top w:val="none" w:sz="0" w:space="0" w:color="auto"/>
                <w:left w:val="none" w:sz="0" w:space="0" w:color="auto"/>
                <w:bottom w:val="none" w:sz="0" w:space="0" w:color="auto"/>
                <w:right w:val="none" w:sz="0" w:space="0" w:color="auto"/>
              </w:divBdr>
            </w:div>
            <w:div w:id="973801386">
              <w:marLeft w:val="0"/>
              <w:marRight w:val="0"/>
              <w:marTop w:val="0"/>
              <w:marBottom w:val="0"/>
              <w:divBdr>
                <w:top w:val="none" w:sz="0" w:space="0" w:color="auto"/>
                <w:left w:val="none" w:sz="0" w:space="0" w:color="auto"/>
                <w:bottom w:val="none" w:sz="0" w:space="0" w:color="auto"/>
                <w:right w:val="none" w:sz="0" w:space="0" w:color="auto"/>
              </w:divBdr>
            </w:div>
            <w:div w:id="1045636814">
              <w:marLeft w:val="0"/>
              <w:marRight w:val="0"/>
              <w:marTop w:val="0"/>
              <w:marBottom w:val="0"/>
              <w:divBdr>
                <w:top w:val="none" w:sz="0" w:space="0" w:color="auto"/>
                <w:left w:val="none" w:sz="0" w:space="0" w:color="auto"/>
                <w:bottom w:val="none" w:sz="0" w:space="0" w:color="auto"/>
                <w:right w:val="none" w:sz="0" w:space="0" w:color="auto"/>
              </w:divBdr>
            </w:div>
            <w:div w:id="1134837776">
              <w:marLeft w:val="0"/>
              <w:marRight w:val="0"/>
              <w:marTop w:val="0"/>
              <w:marBottom w:val="0"/>
              <w:divBdr>
                <w:top w:val="none" w:sz="0" w:space="0" w:color="auto"/>
                <w:left w:val="none" w:sz="0" w:space="0" w:color="auto"/>
                <w:bottom w:val="none" w:sz="0" w:space="0" w:color="auto"/>
                <w:right w:val="none" w:sz="0" w:space="0" w:color="auto"/>
              </w:divBdr>
            </w:div>
            <w:div w:id="1154880795">
              <w:marLeft w:val="0"/>
              <w:marRight w:val="0"/>
              <w:marTop w:val="0"/>
              <w:marBottom w:val="0"/>
              <w:divBdr>
                <w:top w:val="none" w:sz="0" w:space="0" w:color="auto"/>
                <w:left w:val="none" w:sz="0" w:space="0" w:color="auto"/>
                <w:bottom w:val="none" w:sz="0" w:space="0" w:color="auto"/>
                <w:right w:val="none" w:sz="0" w:space="0" w:color="auto"/>
              </w:divBdr>
            </w:div>
            <w:div w:id="1293366419">
              <w:marLeft w:val="0"/>
              <w:marRight w:val="0"/>
              <w:marTop w:val="0"/>
              <w:marBottom w:val="0"/>
              <w:divBdr>
                <w:top w:val="none" w:sz="0" w:space="0" w:color="auto"/>
                <w:left w:val="none" w:sz="0" w:space="0" w:color="auto"/>
                <w:bottom w:val="none" w:sz="0" w:space="0" w:color="auto"/>
                <w:right w:val="none" w:sz="0" w:space="0" w:color="auto"/>
              </w:divBdr>
            </w:div>
            <w:div w:id="1297836523">
              <w:marLeft w:val="0"/>
              <w:marRight w:val="0"/>
              <w:marTop w:val="0"/>
              <w:marBottom w:val="0"/>
              <w:divBdr>
                <w:top w:val="none" w:sz="0" w:space="0" w:color="auto"/>
                <w:left w:val="none" w:sz="0" w:space="0" w:color="auto"/>
                <w:bottom w:val="none" w:sz="0" w:space="0" w:color="auto"/>
                <w:right w:val="none" w:sz="0" w:space="0" w:color="auto"/>
              </w:divBdr>
            </w:div>
            <w:div w:id="1310866517">
              <w:marLeft w:val="0"/>
              <w:marRight w:val="0"/>
              <w:marTop w:val="0"/>
              <w:marBottom w:val="0"/>
              <w:divBdr>
                <w:top w:val="none" w:sz="0" w:space="0" w:color="auto"/>
                <w:left w:val="none" w:sz="0" w:space="0" w:color="auto"/>
                <w:bottom w:val="none" w:sz="0" w:space="0" w:color="auto"/>
                <w:right w:val="none" w:sz="0" w:space="0" w:color="auto"/>
              </w:divBdr>
            </w:div>
            <w:div w:id="1424492626">
              <w:marLeft w:val="0"/>
              <w:marRight w:val="0"/>
              <w:marTop w:val="0"/>
              <w:marBottom w:val="0"/>
              <w:divBdr>
                <w:top w:val="none" w:sz="0" w:space="0" w:color="auto"/>
                <w:left w:val="none" w:sz="0" w:space="0" w:color="auto"/>
                <w:bottom w:val="none" w:sz="0" w:space="0" w:color="auto"/>
                <w:right w:val="none" w:sz="0" w:space="0" w:color="auto"/>
              </w:divBdr>
            </w:div>
            <w:div w:id="1453280147">
              <w:marLeft w:val="0"/>
              <w:marRight w:val="0"/>
              <w:marTop w:val="0"/>
              <w:marBottom w:val="0"/>
              <w:divBdr>
                <w:top w:val="none" w:sz="0" w:space="0" w:color="auto"/>
                <w:left w:val="none" w:sz="0" w:space="0" w:color="auto"/>
                <w:bottom w:val="none" w:sz="0" w:space="0" w:color="auto"/>
                <w:right w:val="none" w:sz="0" w:space="0" w:color="auto"/>
              </w:divBdr>
            </w:div>
            <w:div w:id="1498227844">
              <w:marLeft w:val="0"/>
              <w:marRight w:val="0"/>
              <w:marTop w:val="0"/>
              <w:marBottom w:val="0"/>
              <w:divBdr>
                <w:top w:val="none" w:sz="0" w:space="0" w:color="auto"/>
                <w:left w:val="none" w:sz="0" w:space="0" w:color="auto"/>
                <w:bottom w:val="none" w:sz="0" w:space="0" w:color="auto"/>
                <w:right w:val="none" w:sz="0" w:space="0" w:color="auto"/>
              </w:divBdr>
            </w:div>
            <w:div w:id="1924753066">
              <w:marLeft w:val="0"/>
              <w:marRight w:val="0"/>
              <w:marTop w:val="0"/>
              <w:marBottom w:val="0"/>
              <w:divBdr>
                <w:top w:val="none" w:sz="0" w:space="0" w:color="auto"/>
                <w:left w:val="none" w:sz="0" w:space="0" w:color="auto"/>
                <w:bottom w:val="none" w:sz="0" w:space="0" w:color="auto"/>
                <w:right w:val="none" w:sz="0" w:space="0" w:color="auto"/>
              </w:divBdr>
            </w:div>
            <w:div w:id="1985230474">
              <w:marLeft w:val="0"/>
              <w:marRight w:val="0"/>
              <w:marTop w:val="0"/>
              <w:marBottom w:val="0"/>
              <w:divBdr>
                <w:top w:val="none" w:sz="0" w:space="0" w:color="auto"/>
                <w:left w:val="none" w:sz="0" w:space="0" w:color="auto"/>
                <w:bottom w:val="none" w:sz="0" w:space="0" w:color="auto"/>
                <w:right w:val="none" w:sz="0" w:space="0" w:color="auto"/>
              </w:divBdr>
            </w:div>
            <w:div w:id="2036416338">
              <w:marLeft w:val="0"/>
              <w:marRight w:val="0"/>
              <w:marTop w:val="0"/>
              <w:marBottom w:val="0"/>
              <w:divBdr>
                <w:top w:val="none" w:sz="0" w:space="0" w:color="auto"/>
                <w:left w:val="none" w:sz="0" w:space="0" w:color="auto"/>
                <w:bottom w:val="none" w:sz="0" w:space="0" w:color="auto"/>
                <w:right w:val="none" w:sz="0" w:space="0" w:color="auto"/>
              </w:divBdr>
            </w:div>
          </w:divsChild>
        </w:div>
        <w:div w:id="2122215796">
          <w:marLeft w:val="0"/>
          <w:marRight w:val="0"/>
          <w:marTop w:val="0"/>
          <w:marBottom w:val="0"/>
          <w:divBdr>
            <w:top w:val="none" w:sz="0" w:space="0" w:color="auto"/>
            <w:left w:val="none" w:sz="0" w:space="0" w:color="auto"/>
            <w:bottom w:val="none" w:sz="0" w:space="0" w:color="auto"/>
            <w:right w:val="none" w:sz="0" w:space="0" w:color="auto"/>
          </w:divBdr>
        </w:div>
        <w:div w:id="2124424523">
          <w:marLeft w:val="0"/>
          <w:marRight w:val="0"/>
          <w:marTop w:val="0"/>
          <w:marBottom w:val="0"/>
          <w:divBdr>
            <w:top w:val="none" w:sz="0" w:space="0" w:color="auto"/>
            <w:left w:val="none" w:sz="0" w:space="0" w:color="auto"/>
            <w:bottom w:val="none" w:sz="0" w:space="0" w:color="auto"/>
            <w:right w:val="none" w:sz="0" w:space="0" w:color="auto"/>
          </w:divBdr>
        </w:div>
      </w:divsChild>
    </w:div>
    <w:div w:id="2001617875">
      <w:bodyDiv w:val="1"/>
      <w:marLeft w:val="0"/>
      <w:marRight w:val="0"/>
      <w:marTop w:val="0"/>
      <w:marBottom w:val="0"/>
      <w:divBdr>
        <w:top w:val="none" w:sz="0" w:space="0" w:color="auto"/>
        <w:left w:val="none" w:sz="0" w:space="0" w:color="auto"/>
        <w:bottom w:val="none" w:sz="0" w:space="0" w:color="auto"/>
        <w:right w:val="none" w:sz="0" w:space="0" w:color="auto"/>
      </w:divBdr>
    </w:div>
    <w:div w:id="2027517780">
      <w:bodyDiv w:val="1"/>
      <w:marLeft w:val="0"/>
      <w:marRight w:val="0"/>
      <w:marTop w:val="0"/>
      <w:marBottom w:val="0"/>
      <w:divBdr>
        <w:top w:val="none" w:sz="0" w:space="0" w:color="auto"/>
        <w:left w:val="none" w:sz="0" w:space="0" w:color="auto"/>
        <w:bottom w:val="none" w:sz="0" w:space="0" w:color="auto"/>
        <w:right w:val="none" w:sz="0" w:space="0" w:color="auto"/>
      </w:divBdr>
      <w:divsChild>
        <w:div w:id="695427295">
          <w:marLeft w:val="0"/>
          <w:marRight w:val="0"/>
          <w:marTop w:val="0"/>
          <w:marBottom w:val="0"/>
          <w:divBdr>
            <w:top w:val="none" w:sz="0" w:space="0" w:color="auto"/>
            <w:left w:val="none" w:sz="0" w:space="0" w:color="auto"/>
            <w:bottom w:val="none" w:sz="0" w:space="0" w:color="auto"/>
            <w:right w:val="none" w:sz="0" w:space="0" w:color="auto"/>
          </w:divBdr>
          <w:divsChild>
            <w:div w:id="205989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3773">
      <w:bodyDiv w:val="1"/>
      <w:marLeft w:val="0"/>
      <w:marRight w:val="0"/>
      <w:marTop w:val="0"/>
      <w:marBottom w:val="0"/>
      <w:divBdr>
        <w:top w:val="none" w:sz="0" w:space="0" w:color="auto"/>
        <w:left w:val="none" w:sz="0" w:space="0" w:color="auto"/>
        <w:bottom w:val="none" w:sz="0" w:space="0" w:color="auto"/>
        <w:right w:val="none" w:sz="0" w:space="0" w:color="auto"/>
      </w:divBdr>
    </w:div>
    <w:div w:id="2094083774">
      <w:bodyDiv w:val="1"/>
      <w:marLeft w:val="0"/>
      <w:marRight w:val="0"/>
      <w:marTop w:val="0"/>
      <w:marBottom w:val="0"/>
      <w:divBdr>
        <w:top w:val="none" w:sz="0" w:space="0" w:color="auto"/>
        <w:left w:val="none" w:sz="0" w:space="0" w:color="auto"/>
        <w:bottom w:val="none" w:sz="0" w:space="0" w:color="auto"/>
        <w:right w:val="none" w:sz="0" w:space="0" w:color="auto"/>
      </w:divBdr>
    </w:div>
    <w:div w:id="210857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yperlink" Target="https://sitoumus2050.fi/fi_FI/tyokone" TargetMode="External"/><Relationship Id="rId21" Type="http://schemas.openxmlformats.org/officeDocument/2006/relationships/header" Target="header4.xml"/><Relationship Id="rId42" Type="http://schemas.openxmlformats.org/officeDocument/2006/relationships/chart" Target="charts/chart8.xml"/><Relationship Id="rId47" Type="http://schemas.openxmlformats.org/officeDocument/2006/relationships/chart" Target="charts/chart10.xml"/><Relationship Id="rId63" Type="http://schemas.openxmlformats.org/officeDocument/2006/relationships/hyperlink" Target="https://eur-lex.europa.eu/legal-content/fi/TXT/?uri=CELEX%3A32023R0839" TargetMode="External"/><Relationship Id="rId68" Type="http://schemas.openxmlformats.org/officeDocument/2006/relationships/hyperlink" Target="https://www.globalmethanepledge.org/" TargetMode="External"/><Relationship Id="rId84" Type="http://schemas.openxmlformats.org/officeDocument/2006/relationships/hyperlink" Target="https://www.finlex.fi/fi/laki/alkup/2019/20190418" TargetMode="External"/><Relationship Id="rId89" Type="http://schemas.openxmlformats.org/officeDocument/2006/relationships/hyperlink" Target="https://eur-lex.europa.eu/legal-content/FI/TXT/?uri=CELEX:32023R0857" TargetMode="External"/><Relationship Id="rId112" Type="http://schemas.openxmlformats.org/officeDocument/2006/relationships/hyperlink" Target="https://pub.norden.org/temanord2024-545/8-discussion-and-conclusion.html" TargetMode="External"/><Relationship Id="rId133" Type="http://schemas.openxmlformats.org/officeDocument/2006/relationships/hyperlink" Target="https://eur-lex.europa.eu/legal-content/FI/TXT/?uri=CELEX:02023R0955-20240630" TargetMode="External"/><Relationship Id="rId138" Type="http://schemas.openxmlformats.org/officeDocument/2006/relationships/hyperlink" Target="https://ilmastopaneeli.fi/hallinta/wp-content/uploads/2023/05/finnish-climate-change-panel-report-3-2023-evaluation-of-justice-in-climate-policy.pdf" TargetMode="External"/><Relationship Id="rId154" Type="http://schemas.openxmlformats.org/officeDocument/2006/relationships/hyperlink" Target="https://thl.fi/-/uusi-toimintamalli-edistaa-terveellista-ja-kestavaa-ruokailua-varhaiskasvatuksessa-hyvia-tuloksia-kuntakokeiluista" TargetMode="External"/><Relationship Id="rId159" Type="http://schemas.openxmlformats.org/officeDocument/2006/relationships/hyperlink" Target="https://tieto.traficom.fi/fi/tilastot/liikennejarjestelman-ymparistollinen-kestavyys" TargetMode="External"/><Relationship Id="rId170"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hyperlink" Target="https://julkaisut.valtioneuvosto.fi/handle/10024/165717" TargetMode="External"/><Relationship Id="rId11" Type="http://schemas.openxmlformats.org/officeDocument/2006/relationships/header" Target="header1.xml"/><Relationship Id="rId32" Type="http://schemas.openxmlformats.org/officeDocument/2006/relationships/footer" Target="footer9.xml"/><Relationship Id="rId37" Type="http://schemas.openxmlformats.org/officeDocument/2006/relationships/chart" Target="charts/chart5.xml"/><Relationship Id="rId53" Type="http://schemas.openxmlformats.org/officeDocument/2006/relationships/chart" Target="charts/chart15.xml"/><Relationship Id="rId58" Type="http://schemas.openxmlformats.org/officeDocument/2006/relationships/image" Target="media/image12.png"/><Relationship Id="rId74" Type="http://schemas.openxmlformats.org/officeDocument/2006/relationships/hyperlink" Target="https://www.finlex.fi/fi/laki/ajantasa/2022/20220423" TargetMode="External"/><Relationship Id="rId79" Type="http://schemas.openxmlformats.org/officeDocument/2006/relationships/hyperlink" Target="https://julkaisut.valtioneuvosto.fi/handle/10024/164186" TargetMode="External"/><Relationship Id="rId102" Type="http://schemas.openxmlformats.org/officeDocument/2006/relationships/hyperlink" Target="https://www.eduskunta.fi/FI/vaski/KasittelytiedotValtiopaivaasia/Sivut/HE_297+2022.aspx" TargetMode="External"/><Relationship Id="rId123" Type="http://schemas.openxmlformats.org/officeDocument/2006/relationships/hyperlink" Target="https://pxdata.stat.fi/PXWeb/pxweb/fi/StatFin/StatFin__khki/statfin_khki_pxt_13qm.px" TargetMode="External"/><Relationship Id="rId128" Type="http://schemas.openxmlformats.org/officeDocument/2006/relationships/hyperlink" Target="https://julkaisut.valtioneuvosto.fi/handle/10024/162418" TargetMode="External"/><Relationship Id="rId144" Type="http://schemas.openxmlformats.org/officeDocument/2006/relationships/hyperlink" Target="https://www.tandfonline.com/doi/full/10.1080/14693062.2019.1596873" TargetMode="External"/><Relationship Id="rId149" Type="http://schemas.openxmlformats.org/officeDocument/2006/relationships/hyperlink" Target="https://onlinelibrary.wiley.com/doi/10.1002/puh2.163" TargetMode="External"/><Relationship Id="rId5" Type="http://schemas.openxmlformats.org/officeDocument/2006/relationships/numbering" Target="numbering.xml"/><Relationship Id="rId90" Type="http://schemas.openxmlformats.org/officeDocument/2006/relationships/hyperlink" Target="https://eur-lex.europa.eu/legal-content/FI/TXT/?uri=CELEX:32019R2023" TargetMode="External"/><Relationship Id="rId95" Type="http://schemas.openxmlformats.org/officeDocument/2006/relationships/hyperlink" Target="https://energiavirasto.fi/documents/11120570/103079467/Jakeluvelvoiteohje.pdf/7316f5d4-d6bc-643d-d07c-8729a30f57f7/Jakeluvelvoiteohje.pdf?t=1706688223601" TargetMode="External"/><Relationship Id="rId160" Type="http://schemas.openxmlformats.org/officeDocument/2006/relationships/hyperlink" Target="https://sites.utu.fi/kansalaiskokous/" TargetMode="External"/><Relationship Id="rId165" Type="http://schemas.openxmlformats.org/officeDocument/2006/relationships/hyperlink" Target="https://lapsiasia.fi/documents/25250457/38754461/CRC_CGC_26_FI+(1).pdf/5debbccd-6f69-4fe0-67bb-429c046ed015/CRC_CGC_26_FI+(1).pdf?t=1698407903491" TargetMode="External"/><Relationship Id="rId22" Type="http://schemas.openxmlformats.org/officeDocument/2006/relationships/footer" Target="footer5.xml"/><Relationship Id="rId27" Type="http://schemas.openxmlformats.org/officeDocument/2006/relationships/footer" Target="footer6.xml"/><Relationship Id="rId43" Type="http://schemas.openxmlformats.org/officeDocument/2006/relationships/hyperlink" Target="https://julkaisut.valtioneuvosto.fi/bitstream/handle/10024/165717/VNTEAS_2024_26.pdf?sequence=1&amp;isAllowed=y" TargetMode="External"/><Relationship Id="rId48" Type="http://schemas.openxmlformats.org/officeDocument/2006/relationships/image" Target="media/image7.png"/><Relationship Id="rId64" Type="http://schemas.openxmlformats.org/officeDocument/2006/relationships/hyperlink" Target="https://www.consilium.europa.eu/fi/policies/green-deal/fit-for-55-the-eu-plan-for-a-green-transition/" TargetMode="External"/><Relationship Id="rId69" Type="http://schemas.openxmlformats.org/officeDocument/2006/relationships/hyperlink" Target="https://www.ccacoalition.org/content/climate-and-clean-air-coalition" TargetMode="External"/><Relationship Id="rId113" Type="http://schemas.openxmlformats.org/officeDocument/2006/relationships/hyperlink" Target="https://helda.helsinki.fi/server/api/core/bitstreams/422f436f-78cb-44bb-9496-d394ccb5580f/content" TargetMode="External"/><Relationship Id="rId118" Type="http://schemas.openxmlformats.org/officeDocument/2006/relationships/hyperlink" Target="https://www.sttinfo.fi/tiedote/70117442/kiertotalous-vahvistaa-suomen-vihrean-siirtyman-mahdollisuuksia?publisherId=69819243&amp;lang=fi" TargetMode="External"/><Relationship Id="rId134" Type="http://schemas.openxmlformats.org/officeDocument/2006/relationships/hyperlink" Target="https://gaia.fi/fi/uutiset/uusi-selvitys-avaa-nakyman-energiakoyhyyden-ehkaisemiseen-suomessa/" TargetMode="External"/><Relationship Id="rId139" Type="http://schemas.openxmlformats.org/officeDocument/2006/relationships/hyperlink" Target="https://sorsafoundation.fi/wp-content/uploads/oikeudenmukainen-siirtyma-suomessa-2025-raportti.pdf" TargetMode="External"/><Relationship Id="rId80" Type="http://schemas.openxmlformats.org/officeDocument/2006/relationships/hyperlink" Target="https://www.finlex.fi/fi/laki/alkup/2014/20141429" TargetMode="External"/><Relationship Id="rId85" Type="http://schemas.openxmlformats.org/officeDocument/2006/relationships/hyperlink" Target="https://www.finlex.fi/fi/laki/alkup/1994/19941472" TargetMode="External"/><Relationship Id="rId150" Type="http://schemas.openxmlformats.org/officeDocument/2006/relationships/hyperlink" Target="https://ilmastopaneeli.fi/ilmastopolitiikan-oikeudenmukaisuus/" TargetMode="External"/><Relationship Id="rId155" Type="http://schemas.openxmlformats.org/officeDocument/2006/relationships/hyperlink" Target="https://www.julkari.fi/bitstream/handle/10024/147230/URN_ISBN_978-952-408-141-2.pdf?sequence=1&amp;isAllowed=y" TargetMode="External"/><Relationship Id="rId171" Type="http://schemas.openxmlformats.org/officeDocument/2006/relationships/glossaryDocument" Target="glossary/document.xml"/><Relationship Id="rId12" Type="http://schemas.openxmlformats.org/officeDocument/2006/relationships/header" Target="header2.xml"/><Relationship Id="rId17" Type="http://schemas.openxmlformats.org/officeDocument/2006/relationships/hyperlink" Target="https://julkaisut.valtioneuvosto.fi/" TargetMode="External"/><Relationship Id="rId33" Type="http://schemas.openxmlformats.org/officeDocument/2006/relationships/chart" Target="charts/chart1.xml"/><Relationship Id="rId38" Type="http://schemas.openxmlformats.org/officeDocument/2006/relationships/chart" Target="charts/chart6.xml"/><Relationship Id="rId59" Type="http://schemas.openxmlformats.org/officeDocument/2006/relationships/chart" Target="charts/chart16.xml"/><Relationship Id="rId103" Type="http://schemas.openxmlformats.org/officeDocument/2006/relationships/hyperlink" Target="https://vm.fi/hankinta-suomi" TargetMode="External"/><Relationship Id="rId108" Type="http://schemas.openxmlformats.org/officeDocument/2006/relationships/hyperlink" Target="https://finlex.fi/fi/lainsaadanto/2019/418" TargetMode="External"/><Relationship Id="rId124" Type="http://schemas.openxmlformats.org/officeDocument/2006/relationships/hyperlink" Target="http://urn.fi/URN:ISBN:978-952-327-829-5" TargetMode="External"/><Relationship Id="rId129" Type="http://schemas.openxmlformats.org/officeDocument/2006/relationships/hyperlink" Target="https://vm.fi/eu-n-rahoituskehys" TargetMode="External"/><Relationship Id="rId54" Type="http://schemas.openxmlformats.org/officeDocument/2006/relationships/image" Target="media/image8.png"/><Relationship Id="rId70" Type="http://schemas.openxmlformats.org/officeDocument/2006/relationships/hyperlink" Target="https://eur-lex.europa.eu/legal-content/FI/TXT/HTML/?uri=CELEX:02020D2126-20230719" TargetMode="External"/><Relationship Id="rId75" Type="http://schemas.openxmlformats.org/officeDocument/2006/relationships/hyperlink" Target="https://mmm.fi/documents/1410837/5120838/Kansallinen+ilmastonmuutokseen+sopeutumissuunnitelma+2022.pdf/1716aa76-8005-4626-bae0-b91f3b0c6396?t=1501159291000" TargetMode="External"/><Relationship Id="rId91" Type="http://schemas.openxmlformats.org/officeDocument/2006/relationships/hyperlink" Target="https://eur-lex.europa.eu/legal-content/FI/ALL/?uri=CELEX:32023D1319" TargetMode="External"/><Relationship Id="rId96" Type="http://schemas.openxmlformats.org/officeDocument/2006/relationships/hyperlink" Target="https://agriculture.ec.europa.eu/common-agricultural-policy/cap-overview/cap-2023-27/key-policy-objectives-cap-2023-27_fi" TargetMode="External"/><Relationship Id="rId140" Type="http://schemas.openxmlformats.org/officeDocument/2006/relationships/hyperlink" Target="https://www.sciencedirect.com/science/article/pii/S2214790X24001886" TargetMode="External"/><Relationship Id="rId145" Type="http://schemas.openxmlformats.org/officeDocument/2006/relationships/hyperlink" Target="https://www.sciencedirect.com/science/article/pii/S0378778824001981" TargetMode="External"/><Relationship Id="rId161" Type="http://schemas.openxmlformats.org/officeDocument/2006/relationships/hyperlink" Target="https://julkaisut.valtioneuvosto.fi/bitstream/handle/10024/163440/TEM_2021_52.pdf" TargetMode="External"/><Relationship Id="rId166" Type="http://schemas.openxmlformats.org/officeDocument/2006/relationships/hyperlink" Target="https://ym.fi/documents/1410903/40810204/P%C3%A4ivitetty+nykytilan+arvio+2021.pdf/5e7f7c08-e630-d49b-da58-3a198d1ed1d8/P%C3%A4ivitetty+nykytilan+arvio+2021.pdf?t=163126213091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finto.fi/juho/fi/" TargetMode="External"/><Relationship Id="rId28" Type="http://schemas.openxmlformats.org/officeDocument/2006/relationships/footer" Target="footer7.xml"/><Relationship Id="rId36" Type="http://schemas.openxmlformats.org/officeDocument/2006/relationships/chart" Target="charts/chart4.xml"/><Relationship Id="rId49" Type="http://schemas.openxmlformats.org/officeDocument/2006/relationships/chart" Target="charts/chart11.xml"/><Relationship Id="rId57" Type="http://schemas.openxmlformats.org/officeDocument/2006/relationships/image" Target="media/image11.png"/><Relationship Id="rId106" Type="http://schemas.openxmlformats.org/officeDocument/2006/relationships/hyperlink" Target="https://www.sciencedirect.com/science/article/pii/S0959378021000042" TargetMode="External"/><Relationship Id="rId114" Type="http://schemas.openxmlformats.org/officeDocument/2006/relationships/hyperlink" Target="https://tietokayttoon.fi/julkaisut/raportti?pubid=URN:ISBN:978-952-383-424-8" TargetMode="External"/><Relationship Id="rId119" Type="http://schemas.openxmlformats.org/officeDocument/2006/relationships/hyperlink" Target="https://hiilineutraalisuomi.syke.fi/paastotieto/paastotiedot-ja-indikaattorit/kuntien-ja-alueiden-kulutusperaiset-paastot/" TargetMode="External"/><Relationship Id="rId127" Type="http://schemas.openxmlformats.org/officeDocument/2006/relationships/hyperlink" Target="https://tietokayttoon.fi/-/hiilineutraali-suomi-2035-ilmasto-ja-energiapolitiikan-toimet-ja-vaikutukset-hiisi-" TargetMode="Externa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image" Target="media/image5.png"/><Relationship Id="rId52" Type="http://schemas.openxmlformats.org/officeDocument/2006/relationships/chart" Target="charts/chart14.xml"/><Relationship Id="rId60" Type="http://schemas.openxmlformats.org/officeDocument/2006/relationships/chart" Target="charts/chart17.xml"/><Relationship Id="rId65" Type="http://schemas.openxmlformats.org/officeDocument/2006/relationships/hyperlink" Target="https://www.ipcc.ch/report/ar6/syr/downloads/report/IPCC_AR6_SYR_LongerReport.pdf" TargetMode="External"/><Relationship Id="rId73" Type="http://schemas.openxmlformats.org/officeDocument/2006/relationships/hyperlink" Target="https://eur-lex.europa.eu/legal-content/FI/TXT/?uri=CELEX:32003L0087" TargetMode="External"/><Relationship Id="rId78" Type="http://schemas.openxmlformats.org/officeDocument/2006/relationships/hyperlink" Target="https://julkaisut.valtioneuvosto.fi/handle/10024/164186" TargetMode="External"/><Relationship Id="rId81" Type="http://schemas.openxmlformats.org/officeDocument/2006/relationships/hyperlink" Target="https://eur-lex.europa.eu/legal-content/FI/ALL/?uri=celex:32013R0525" TargetMode="External"/><Relationship Id="rId86" Type="http://schemas.openxmlformats.org/officeDocument/2006/relationships/hyperlink" Target="https://www.finlex.fi/fi/laki/alkup/2019/20190419" TargetMode="External"/><Relationship Id="rId94" Type="http://schemas.openxmlformats.org/officeDocument/2006/relationships/hyperlink" Target="https://www.finlex.fi/fi/lainsaadanto/2014/1429" TargetMode="External"/><Relationship Id="rId99" Type="http://schemas.openxmlformats.org/officeDocument/2006/relationships/hyperlink" Target="https://eur-lex.europa.eu/legal-content/FI/ALL/?uri=CELEX%3A32024R0573" TargetMode="External"/><Relationship Id="rId101" Type="http://schemas.openxmlformats.org/officeDocument/2006/relationships/hyperlink" Target="https://eur-lex.europa.eu/legal-content/FI/TXT/HTML/?uri=OJ:L_202401799" TargetMode="External"/><Relationship Id="rId122" Type="http://schemas.openxmlformats.org/officeDocument/2006/relationships/hyperlink" Target="https://www.ymparisto.fi/fi/luvat-ja-velvoitteet/jatteiden-kansainvaliset-siirrot/vienti-ja-tuontimaarat" TargetMode="External"/><Relationship Id="rId130" Type="http://schemas.openxmlformats.org/officeDocument/2006/relationships/hyperlink" Target="https://ym.fi/kiertotalouden-green-deal" TargetMode="External"/><Relationship Id="rId135" Type="http://schemas.openxmlformats.org/officeDocument/2006/relationships/hyperlink" Target="https://www.aka.fi/globalassets/3-stn/1-strateginen-tutkimus/strateginen-tutkimus-pahkinankuoressa/ohjelmat-ja-hankkeet/food-ratkaisuja-suomen-ruokastrategiaan-2023.pdf" TargetMode="External"/><Relationship Id="rId143" Type="http://schemas.openxmlformats.org/officeDocument/2006/relationships/hyperlink" Target="https://jukuri.luke.fi/bitstream/handle/10024/551924/luke-luobio_48_2022.pdf?sequence=1&amp;isAllowed=y" TargetMode="External"/><Relationship Id="rId148" Type="http://schemas.openxmlformats.org/officeDocument/2006/relationships/hyperlink" Target="https://samediggi.fi/tietoa-meista/" TargetMode="External"/><Relationship Id="rId151" Type="http://schemas.openxmlformats.org/officeDocument/2006/relationships/hyperlink" Target="https://www.syke.fi/fi/tietoa-meista/uutiset/teollisuuden-puhdasta-siirtymaa-kannattaa-vauhdittaa-tyokonealan-politiikkatoimilla" TargetMode="External"/><Relationship Id="rId156" Type="http://schemas.openxmlformats.org/officeDocument/2006/relationships/hyperlink" Target="https://thl.fi/aiheet/hyvinvoinnin-ja-terveyden-edistamisen-johtaminen/hyvinvointijohtaminen/paatosten-vaikutusten-ennakkoarviointi" TargetMode="External"/><Relationship Id="rId164" Type="http://schemas.openxmlformats.org/officeDocument/2006/relationships/hyperlink" Target="https://www.unicef.fi/tyomme/lapsen-oikeudet/lapsen-oikeuksien-sopimus/lapsen-oikeuksien-sopimuksen-koko-teksti/" TargetMode="External"/><Relationship Id="rId169"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image" Target="media/image1.png"/><Relationship Id="rId39" Type="http://schemas.openxmlformats.org/officeDocument/2006/relationships/image" Target="media/image3.png"/><Relationship Id="rId109" Type="http://schemas.openxmlformats.org/officeDocument/2006/relationships/hyperlink" Target="https://www.luke.fi/fi/projektit/irma" TargetMode="External"/><Relationship Id="rId34" Type="http://schemas.openxmlformats.org/officeDocument/2006/relationships/chart" Target="charts/chart2.xml"/><Relationship Id="rId50" Type="http://schemas.openxmlformats.org/officeDocument/2006/relationships/chart" Target="charts/chart12.xml"/><Relationship Id="rId55" Type="http://schemas.openxmlformats.org/officeDocument/2006/relationships/image" Target="media/image9.png"/><Relationship Id="rId76" Type="http://schemas.openxmlformats.org/officeDocument/2006/relationships/hyperlink" Target="https://tem.fi/documents/1410877/2132096/Suomen+pitk%C3%A4n+aikav%C3%A4lin+strategia+kasvihuonekaasujen+v%C3%A4hent%C3%A4miseksi+1.4.2020/8cd55d4d-6de7-657f-a86f-bc79497d4756/Suomen+pitk%C3%A4n+aikav%C3%A4lin+strategia+kasvihuonekaasujen+v%C3%A4hent%C3%A4miseksi+1.4.2020.pdf?t=1692094955051" TargetMode="External"/><Relationship Id="rId97" Type="http://schemas.openxmlformats.org/officeDocument/2006/relationships/hyperlink" Target="https://agriculture.ec.europa.eu/cap-my-country/cap-strategic-plans/finland_fi" TargetMode="External"/><Relationship Id="rId104" Type="http://schemas.openxmlformats.org/officeDocument/2006/relationships/hyperlink" Target="https://ilmastopaneeli.fi/hae-julkaisuja/kuluttajanakokulma-ilmastopolitiikkaan/" TargetMode="External"/><Relationship Id="rId120" Type="http://schemas.openxmlformats.org/officeDocument/2006/relationships/hyperlink" Target="https://hiilineutraalisuomi.syke.fi/kuntien-kulutusperaiset-paastot-kaukana-kestavasta-tasosta/" TargetMode="External"/><Relationship Id="rId125" Type="http://schemas.openxmlformats.org/officeDocument/2006/relationships/hyperlink" Target="https://julkaisut.valtioneuvosto.fi/handle/10024/163176" TargetMode="External"/><Relationship Id="rId141" Type="http://schemas.openxmlformats.org/officeDocument/2006/relationships/hyperlink" Target="https://energiavirasto.fi/documents/11120570/209788025/Energy+Poverty+in+Finland_report_2024.pdf/abe48e9a-f847-63b9-c6fa-4acae25fa88a/Energy+Poverty+in+Finland_report_2024.pdf?t=1714373079979" TargetMode="External"/><Relationship Id="rId146" Type="http://schemas.openxmlformats.org/officeDocument/2006/relationships/hyperlink" Target="https://ilmastopaneeli.fi/hallinta/wp-content/uploads/2024/03/ilmastopaneelin-julkaisuja-3-2023-ilmastopolitiikan-oikeudenmukaisuus-alkuperaiskansa-saamelaisten-kannalta.pdf" TargetMode="External"/><Relationship Id="rId167" Type="http://schemas.openxmlformats.org/officeDocument/2006/relationships/hyperlink" Target="https://julkaisut.valtioneuvosto.fi/bitstream/handle/10024/164186/YM_2022_12.pdf?sequence=4&amp;isAllowed=y" TargetMode="External"/><Relationship Id="rId7" Type="http://schemas.openxmlformats.org/officeDocument/2006/relationships/settings" Target="settings.xml"/><Relationship Id="rId71" Type="http://schemas.openxmlformats.org/officeDocument/2006/relationships/hyperlink" Target="https://eur-lex.europa.eu/legal-content/FI/AUTO/?uri=celex:32023R0955" TargetMode="External"/><Relationship Id="rId92" Type="http://schemas.openxmlformats.org/officeDocument/2006/relationships/hyperlink" Target="https://valtioneuvosto.fi/documents/1410877/196402993/Jakeluvelvoiteselvitys_HO_REDIII_12022024_AFRY.pdf" TargetMode="External"/><Relationship Id="rId162" Type="http://schemas.openxmlformats.org/officeDocument/2006/relationships/hyperlink" Target="https://ilmastopaneeli.fi/hae-julkaisuja/kansalaisten-kokemukset-suomen-ilmastopolitiikan-oikeudenmukaisuudesta/" TargetMode="Externa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yperlink" Target="https://finto.fi/juho/fi/" TargetMode="External"/><Relationship Id="rId40" Type="http://schemas.openxmlformats.org/officeDocument/2006/relationships/chart" Target="charts/chart7.xml"/><Relationship Id="rId45" Type="http://schemas.openxmlformats.org/officeDocument/2006/relationships/chart" Target="charts/chart9.xml"/><Relationship Id="rId66" Type="http://schemas.openxmlformats.org/officeDocument/2006/relationships/hyperlink" Target="https://unfccc.int/sites/default/files/resource/cma2021_10_add1_adv.pdf" TargetMode="External"/><Relationship Id="rId87" Type="http://schemas.openxmlformats.org/officeDocument/2006/relationships/hyperlink" Target="https://www.edilex.fi/smur/20230751" TargetMode="External"/><Relationship Id="rId110" Type="http://schemas.openxmlformats.org/officeDocument/2006/relationships/hyperlink" Target="https://www.luke.fi/fi/projektit/tptiekartta" TargetMode="External"/><Relationship Id="rId115" Type="http://schemas.openxmlformats.org/officeDocument/2006/relationships/hyperlink" Target="https://julkaisut.valtioneuvosto.fi/handle/10024/165490" TargetMode="External"/><Relationship Id="rId131" Type="http://schemas.openxmlformats.org/officeDocument/2006/relationships/hyperlink" Target="http://urn.fi/URN:ISBN:978-952-11-5745-5" TargetMode="External"/><Relationship Id="rId136" Type="http://schemas.openxmlformats.org/officeDocument/2006/relationships/hyperlink" Target="https://www.finlex.fi/fi/lainsaadanto/2022/423" TargetMode="External"/><Relationship Id="rId157" Type="http://schemas.openxmlformats.org/officeDocument/2006/relationships/hyperlink" Target="https://research.tuni.fi/app/uploads/2020/03/807f5072-verne_tutkimusraportti94.pdf" TargetMode="External"/><Relationship Id="rId61" Type="http://schemas.openxmlformats.org/officeDocument/2006/relationships/hyperlink" Target="https://eur-lex.europa.eu/legal-content/fi/TXT/?uri=CELEX%3A32018R0841" TargetMode="External"/><Relationship Id="rId82" Type="http://schemas.openxmlformats.org/officeDocument/2006/relationships/hyperlink" Target="https://www.finlex.fi/fi/laki/ajantasa/2022/20220423" TargetMode="External"/><Relationship Id="rId152" Type="http://schemas.openxmlformats.org/officeDocument/2006/relationships/hyperlink" Target="https://helda.helsinki.fi/items/299a4a70-313b-451c-a71c-a1989a77eb11" TargetMode="External"/><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footer" Target="footer8.xml"/><Relationship Id="rId35" Type="http://schemas.openxmlformats.org/officeDocument/2006/relationships/chart" Target="charts/chart3.xml"/><Relationship Id="rId56" Type="http://schemas.openxmlformats.org/officeDocument/2006/relationships/image" Target="media/image10.png"/><Relationship Id="rId77" Type="http://schemas.openxmlformats.org/officeDocument/2006/relationships/hyperlink" Target="https://julkaisut.valtioneuvosto.fi/handle/10024/164321" TargetMode="External"/><Relationship Id="rId100" Type="http://schemas.openxmlformats.org/officeDocument/2006/relationships/hyperlink" Target="https://eur-lex.europa.eu/legal-content/FI/TXT/?uri=CELEX:32024R0573" TargetMode="External"/><Relationship Id="rId105" Type="http://schemas.openxmlformats.org/officeDocument/2006/relationships/hyperlink" Target="https://ilmastopaneeli.fi/hae-julkaisuja/kuluttajien-mahdollisuudet-suomen-paastovahennysten-vauhdittamiseksi/" TargetMode="External"/><Relationship Id="rId126" Type="http://schemas.openxmlformats.org/officeDocument/2006/relationships/hyperlink" Target="https://valtioneuvosto.fi/paatokset/paatos?decisionId=0900908f807239ad" TargetMode="External"/><Relationship Id="rId147" Type="http://schemas.openxmlformats.org/officeDocument/2006/relationships/hyperlink" Target="https://www.finlex.fi/fi/lainsaadanto/1999/731" TargetMode="External"/><Relationship Id="rId16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chart" Target="charts/chart13.xml"/><Relationship Id="rId72" Type="http://schemas.openxmlformats.org/officeDocument/2006/relationships/hyperlink" Target="https://eur-lex.europa.eu/legal-content/FI/TXT/HTML/?uri=CELEX:02023R0955-20240630" TargetMode="External"/><Relationship Id="rId93" Type="http://schemas.openxmlformats.org/officeDocument/2006/relationships/hyperlink" Target="https://jukuri.luke.fi/handle/10024/551924" TargetMode="External"/><Relationship Id="rId98" Type="http://schemas.openxmlformats.org/officeDocument/2006/relationships/hyperlink" Target="https://eur-lex.europa.eu/eli/reg/2024/1781/oj?locale=fi" TargetMode="External"/><Relationship Id="rId121" Type="http://schemas.openxmlformats.org/officeDocument/2006/relationships/hyperlink" Target="https://www.ymparisto.fi/fi/luvat-ja-velvoitteet/jatteiden-kansainvaliset-siirrot/vienti-ja-tuontimaarathttps://www.ymparisto.fi/fi/luvat-ja-velvoitteet/jatteiden-kansainvaliset-siirrot/vienti-ja-tuontimaarat" TargetMode="External"/><Relationship Id="rId142" Type="http://schemas.openxmlformats.org/officeDocument/2006/relationships/hyperlink" Target="https://helda.helsinki.fi/server/api/core/bitstreams/d9a9b4a3-ef90-40d4-9a65-5c954a42ad1a/content" TargetMode="External"/><Relationship Id="rId163" Type="http://schemas.openxmlformats.org/officeDocument/2006/relationships/hyperlink" Target="https://publications.vtt.fi/julkaisut/muut/2025/VTT-R-00103-25.pdf" TargetMode="External"/><Relationship Id="rId3" Type="http://schemas.openxmlformats.org/officeDocument/2006/relationships/customXml" Target="../customXml/item3.xml"/><Relationship Id="rId25" Type="http://schemas.openxmlformats.org/officeDocument/2006/relationships/hyperlink" Target="https://finto.fi/juho/fi/" TargetMode="External"/><Relationship Id="rId46" Type="http://schemas.openxmlformats.org/officeDocument/2006/relationships/image" Target="media/image6.png"/><Relationship Id="rId67" Type="http://schemas.openxmlformats.org/officeDocument/2006/relationships/hyperlink" Target="https://unfccc.int/sites/default/files/english_paris_agreement.pdf" TargetMode="External"/><Relationship Id="rId116" Type="http://schemas.openxmlformats.org/officeDocument/2006/relationships/hyperlink" Target="https://julkaisut.valtioneuvosto.fi/handle/10024/165124" TargetMode="External"/><Relationship Id="rId137" Type="http://schemas.openxmlformats.org/officeDocument/2006/relationships/hyperlink" Target="https://www.justfood.fi/fi-FI/Julkaisut" TargetMode="External"/><Relationship Id="rId158" Type="http://schemas.openxmlformats.org/officeDocument/2006/relationships/hyperlink" Target="https://www.sciencedirect.com/science/article/pii/S1462901124000704?dgcid=rss_sd_all" TargetMode="External"/><Relationship Id="rId20" Type="http://schemas.openxmlformats.org/officeDocument/2006/relationships/footer" Target="footer4.xml"/><Relationship Id="rId41" Type="http://schemas.openxmlformats.org/officeDocument/2006/relationships/image" Target="media/image4.png"/><Relationship Id="rId62" Type="http://schemas.openxmlformats.org/officeDocument/2006/relationships/hyperlink" Target="https://eur-lex.europa.eu/legal-content/FI/TXT/?uri=CELEX%3A32021R1119" TargetMode="External"/><Relationship Id="rId83" Type="http://schemas.openxmlformats.org/officeDocument/2006/relationships/hyperlink" Target="https://www.finlex.fi/fi/laki/alkup/2011/20110646" TargetMode="External"/><Relationship Id="rId88" Type="http://schemas.openxmlformats.org/officeDocument/2006/relationships/hyperlink" Target="https://eur-lex.europa.eu/legal-content/FI/TXT/?uri=CELEX:32018R0842" TargetMode="External"/><Relationship Id="rId111" Type="http://schemas.openxmlformats.org/officeDocument/2006/relationships/hyperlink" Target="https://www.kuntaliitto.fi/julkaisut/2024/2263-kuntien-ja-maakuntien-ilmastotyon-tilanne-2023" TargetMode="External"/><Relationship Id="rId132" Type="http://schemas.openxmlformats.org/officeDocument/2006/relationships/hyperlink" Target="https://energiavirasto.fi/-/uusi-selvitys-avaa-nakyman-energiakoyhyyden-ehkaisemiseen-suomessa" TargetMode="External"/><Relationship Id="rId153" Type="http://schemas.openxmlformats.org/officeDocument/2006/relationships/hyperlink" Target="https://www.julkari.fi/bitstream/handle/10024/151529/URN_ISBN_978-952-408-511-3.pdf?sequence=1&amp;isAllowed=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082047\Desktop\Word%20taittopohja%20suomi%20ruotsi%203.9.2019.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govfi.sharepoint.com/sites/YMKAISU3/Shared%20Documents/General/Vain%20YM%20ilmasto/KAISU-kuvat,%20kuvaajat,%20data/KAISU%203%20kuvia.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govfi.sharepoint.com/sites/YMIlmastovuosikertomus-Ilmastovuosikertomus2025YM/Shared%20Documents/Ilmastovuosikertomus%202025%20YM/Data,%20taulukot,%20kuvat%20ja%20alt-tekstit/Kuvat%20ja%20taulukot%202025.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govfi.sharepoint.com/sites/YMIlmastovuosikertomus-Ilmastovuosikertomus2025YM/Shared%20Documents/Ilmastovuosikertomus%202025%20YM/Data,%20taulukot,%20kuvat%20ja%20alt-tekstit/Kuvat%20ja%20taulukot%202025.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govfi.sharepoint.com/sites/YMIlmastovuosikertomus-Ilmastovuosikertomus2025YM/Shared%20Documents/Ilmastovuosikertomus%202025%20YM/Data,%20taulukot,%20kuvat%20ja%20alt-tekstit/Kuvat%20ja%20taulukot%202025.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https://govfi.sharepoint.com/sites/YMIlmastovuosikertomus-Ilmastovuosikertomus2025YM/Shared%20Documents/Ilmastovuosikertomus%202025%20YM/Data,%20taulukot,%20kuvat%20ja%20alt-tekstit/Kuvat%20ja%20taulukot%20202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govfi.sharepoint.com/sites/YMIlmastovuosikertomus-Ilmastovuosikertomus2025YM/Shared%20Documents/Ilmastovuosikertomus%202025%20YM/Data,%20taulukot,%20kuvat%20ja%20alt-tekstit/Kuvat%20ja%20taulukot%202025.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https://govfi.sharepoint.com/sites/YMKAISU3/Shared%20Documents/General/Vain%20YM%20ilmasto/KAISU-kuvat,%20kuvaajat,%20data/KAISU%203%20kuvi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govfi.sharepoint.com/sites/YMKAISU3/Shared%20Documents/General/Vain%20YM%20ilmasto/KAISU-kuvat,%20kuvaajat,%20data/KAISU%203%20kuvi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govfi.sharepoint.com/sites/YMKAISU3/Shared%20Documents/General/Vain%20YM%20ilmasto/KAISU-kuvat,%20kuvaajat,%20data/KAISU%203%20kuvia.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govfi.sharepoint.com/sites/YMKAISU3/Shared%20Documents/General/Vain%20YM%20ilmasto/KAISU-kuvat,%20kuvaajat,%20data/KAISU%203%20kuvi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govfi.sharepoint.com/sites/YMIlmastovuosikertomus-Ilmastovuosikertomus2025YM/Shared%20Documents/Ilmastovuosikertomus%202025%20YM/Data,%20taulukot,%20kuvat%20ja%20alt-tekstit/IVK%20Kuvat%20ja%20taulukot%202025.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s://govfi.sharepoint.com/sites/YMKAISU3/Shared%20Documents/General/Vain%20YM%20ilmasto/KAISU-kuvat,%20kuvaajat,%20data/KAISU%203%20kuvi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govfi.sharepoint.com/sites/YMKAISU3/Shared%20Documents/General/Vain%20YM%20ilmasto/KAISU-kuvat,%20kuvaajat,%20data/KAISU%203%20kuvi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govfi.sharepoint.com/sites/YMKAISU3/Shared%20Documents/General/Vain%20YM%20ilmasto/KAISU-kuvat,%20kuvaajat,%20data/KAISU%203%20kuvia.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govfi.sharepoint.com/sites/YMIlmastovuosikertomus-Ilmastovuosikertomus2025YM/Shared%20Documents/Ilmastovuosikertomus%202025%20YM/Data,%20taulukot,%20kuvat%20ja%20alt-tekstit/Kuvat%20ja%20taulukot%202025.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govfi.sharepoint.com/sites/YMIlmastovuosikertomus-Ilmastovuosikertomus2025YM/Shared%20Documents/Ilmastovuosikertomus%202025%20YM/Data,%20taulukot,%20kuvat%20ja%20alt-tekstit/Kuvat%20ja%20taulukot%202025.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govfi.sharepoint.com/sites/YMIlmastovuosikertomus-Ilmastovuosikertomus2025YM/Shared%20Documents/Ilmastovuosikertomus%202025%20YM/Data,%20taulukot,%20kuvat%20ja%20alt-tekstit/IVK%20Kuvat%20ja%20taulukot%20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5"/>
          <c:order val="2"/>
          <c:tx>
            <c:strRef>
              <c:f>'k 1'!$A$12</c:f>
              <c:strCache>
                <c:ptCount val="1"/>
                <c:pt idx="0">
                  <c:v>Taakanjakosektori, nykytoimet (KEITO WEM)</c:v>
                </c:pt>
              </c:strCache>
            </c:strRef>
          </c:tx>
          <c:spPr>
            <a:pattFill prst="dkDnDiag">
              <a:fgClr>
                <a:srgbClr val="002F6C"/>
              </a:fgClr>
              <a:bgClr>
                <a:srgbClr val="FFFFFF"/>
              </a:bgClr>
            </a:pattFill>
            <a:ln>
              <a:noFill/>
            </a:ln>
            <a:effectLst/>
          </c:spPr>
          <c:invertIfNegative val="0"/>
          <c:cat>
            <c:multiLvlStrRef>
              <c:f>'k 1'!$B$5:$AZ$6</c:f>
              <c:multiLvlStrCache>
                <c:ptCount val="51"/>
                <c:lvl>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lvl>
                <c:lvl>
                  <c:pt idx="0">
                    <c:v>Tilasto</c:v>
                  </c:pt>
                  <c:pt idx="35">
                    <c:v>Skenaario</c:v>
                  </c:pt>
                </c:lvl>
              </c:multiLvlStrCache>
            </c:multiLvlStrRef>
          </c:cat>
          <c:val>
            <c:numRef>
              <c:f>'k 1'!$B$12:$AZ$12</c:f>
              <c:numCache>
                <c:formatCode>General</c:formatCode>
                <c:ptCount val="51"/>
                <c:pt idx="35" formatCode="0">
                  <c:v>23.17</c:v>
                </c:pt>
                <c:pt idx="40" formatCode="0">
                  <c:v>18.93</c:v>
                </c:pt>
                <c:pt idx="45" formatCode="0">
                  <c:v>15.41</c:v>
                </c:pt>
                <c:pt idx="50" formatCode="0">
                  <c:v>13.36</c:v>
                </c:pt>
              </c:numCache>
            </c:numRef>
          </c:val>
          <c:extLst>
            <c:ext xmlns:c16="http://schemas.microsoft.com/office/drawing/2014/chart" uri="{C3380CC4-5D6E-409C-BE32-E72D297353CC}">
              <c16:uniqueId val="{00000000-5833-47C9-A5CA-CEBF825898E3}"/>
            </c:ext>
          </c:extLst>
        </c:ser>
        <c:ser>
          <c:idx val="1"/>
          <c:order val="3"/>
          <c:tx>
            <c:strRef>
              <c:f>'k 1'!$A$8</c:f>
              <c:strCache>
                <c:ptCount val="1"/>
                <c:pt idx="0">
                  <c:v>Taakanjakosektori</c:v>
                </c:pt>
              </c:strCache>
            </c:strRef>
          </c:tx>
          <c:spPr>
            <a:solidFill>
              <a:srgbClr val="002F6C"/>
            </a:solidFill>
            <a:ln>
              <a:noFill/>
            </a:ln>
            <a:effectLst/>
          </c:spPr>
          <c:invertIfNegative val="0"/>
          <c:cat>
            <c:multiLvlStrRef>
              <c:f>'k 1'!$B$5:$AZ$6</c:f>
              <c:multiLvlStrCache>
                <c:ptCount val="51"/>
                <c:lvl>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lvl>
                <c:lvl>
                  <c:pt idx="0">
                    <c:v>Tilasto</c:v>
                  </c:pt>
                  <c:pt idx="35">
                    <c:v>Skenaario</c:v>
                  </c:pt>
                </c:lvl>
              </c:multiLvlStrCache>
            </c:multiLvlStrRef>
          </c:cat>
          <c:val>
            <c:numRef>
              <c:f>'k 1'!$B$8:$AZ$8</c:f>
              <c:numCache>
                <c:formatCode>General</c:formatCode>
                <c:ptCount val="51"/>
                <c:pt idx="15" formatCode="0">
                  <c:v>34.291088249000012</c:v>
                </c:pt>
                <c:pt idx="16" formatCode="0">
                  <c:v>34.371652946999994</c:v>
                </c:pt>
                <c:pt idx="17" formatCode="0">
                  <c:v>34.721613407</c:v>
                </c:pt>
                <c:pt idx="18" formatCode="0">
                  <c:v>33.27305294100001</c:v>
                </c:pt>
                <c:pt idx="19" formatCode="0">
                  <c:v>32.122917767000004</c:v>
                </c:pt>
                <c:pt idx="20" formatCode="0">
                  <c:v>33.625722682999999</c:v>
                </c:pt>
                <c:pt idx="21" formatCode="0">
                  <c:v>32.065172819000004</c:v>
                </c:pt>
                <c:pt idx="22" formatCode="0">
                  <c:v>32.073397673000002</c:v>
                </c:pt>
                <c:pt idx="23" formatCode="0">
                  <c:v>31.293020704000003</c:v>
                </c:pt>
                <c:pt idx="24" formatCode="0">
                  <c:v>29.838685873000003</c:v>
                </c:pt>
                <c:pt idx="25" formatCode="0">
                  <c:v>29.551391721999995</c:v>
                </c:pt>
                <c:pt idx="26" formatCode="0">
                  <c:v>30.646646076</c:v>
                </c:pt>
                <c:pt idx="27" formatCode="0">
                  <c:v>29.837627551000001</c:v>
                </c:pt>
                <c:pt idx="28" formatCode="0">
                  <c:v>29.734282703999998</c:v>
                </c:pt>
                <c:pt idx="29" formatCode="0">
                  <c:v>29.275697745999999</c:v>
                </c:pt>
                <c:pt idx="30" formatCode="0">
                  <c:v>28.100586788999998</c:v>
                </c:pt>
                <c:pt idx="31" formatCode="0">
                  <c:v>27.410065314999997</c:v>
                </c:pt>
                <c:pt idx="32" formatCode="0">
                  <c:v>26.539581927999997</c:v>
                </c:pt>
                <c:pt idx="33" formatCode="0">
                  <c:v>25.606502384999999</c:v>
                </c:pt>
                <c:pt idx="34" formatCode="0">
                  <c:v>25.408209164390026</c:v>
                </c:pt>
              </c:numCache>
            </c:numRef>
          </c:val>
          <c:extLst>
            <c:ext xmlns:c16="http://schemas.microsoft.com/office/drawing/2014/chart" uri="{C3380CC4-5D6E-409C-BE32-E72D297353CC}">
              <c16:uniqueId val="{00000001-5833-47C9-A5CA-CEBF825898E3}"/>
            </c:ext>
          </c:extLst>
        </c:ser>
        <c:ser>
          <c:idx val="6"/>
          <c:order val="4"/>
          <c:tx>
            <c:strRef>
              <c:f>'k 1'!$A$13</c:f>
              <c:strCache>
                <c:ptCount val="1"/>
                <c:pt idx="0">
                  <c:v>Päästökauppasektori ja kotimaan lentoliikenne, nykytoimet (KEITO WEM)</c:v>
                </c:pt>
              </c:strCache>
            </c:strRef>
          </c:tx>
          <c:spPr>
            <a:pattFill prst="dkDnDiag">
              <a:fgClr>
                <a:srgbClr val="365ABD">
                  <a:lumMod val="40000"/>
                  <a:lumOff val="60000"/>
                </a:srgbClr>
              </a:fgClr>
              <a:bgClr>
                <a:srgbClr val="FFFFFF"/>
              </a:bgClr>
            </a:pattFill>
            <a:ln>
              <a:noFill/>
            </a:ln>
            <a:effectLst/>
          </c:spPr>
          <c:invertIfNegative val="0"/>
          <c:cat>
            <c:multiLvlStrRef>
              <c:f>'k 1'!$B$5:$AZ$6</c:f>
              <c:multiLvlStrCache>
                <c:ptCount val="51"/>
                <c:lvl>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lvl>
                <c:lvl>
                  <c:pt idx="0">
                    <c:v>Tilasto</c:v>
                  </c:pt>
                  <c:pt idx="35">
                    <c:v>Skenaario</c:v>
                  </c:pt>
                </c:lvl>
              </c:multiLvlStrCache>
            </c:multiLvlStrRef>
          </c:cat>
          <c:val>
            <c:numRef>
              <c:f>'k 1'!$B$13:$AZ$13</c:f>
              <c:numCache>
                <c:formatCode>General</c:formatCode>
                <c:ptCount val="51"/>
                <c:pt idx="35" formatCode="0">
                  <c:v>13.83</c:v>
                </c:pt>
                <c:pt idx="40" formatCode="0">
                  <c:v>10.5</c:v>
                </c:pt>
                <c:pt idx="45" formatCode="0">
                  <c:v>6.47</c:v>
                </c:pt>
                <c:pt idx="50" formatCode="0">
                  <c:v>3.92</c:v>
                </c:pt>
              </c:numCache>
            </c:numRef>
          </c:val>
          <c:extLst>
            <c:ext xmlns:c16="http://schemas.microsoft.com/office/drawing/2014/chart" uri="{C3380CC4-5D6E-409C-BE32-E72D297353CC}">
              <c16:uniqueId val="{00000002-5833-47C9-A5CA-CEBF825898E3}"/>
            </c:ext>
          </c:extLst>
        </c:ser>
        <c:ser>
          <c:idx val="2"/>
          <c:order val="5"/>
          <c:tx>
            <c:strRef>
              <c:f>'k 1'!$A$9</c:f>
              <c:strCache>
                <c:ptCount val="1"/>
                <c:pt idx="0">
                  <c:v>Päästökauppasektori ja kotimaan lentoliikenne</c:v>
                </c:pt>
              </c:strCache>
            </c:strRef>
          </c:tx>
          <c:spPr>
            <a:solidFill>
              <a:srgbClr val="4293FF">
                <a:lumMod val="60000"/>
                <a:lumOff val="40000"/>
              </a:srgbClr>
            </a:solidFill>
            <a:ln>
              <a:noFill/>
              <a:prstDash val="sysDash"/>
            </a:ln>
            <a:effectLst/>
          </c:spPr>
          <c:invertIfNegative val="0"/>
          <c:cat>
            <c:multiLvlStrRef>
              <c:f>'k 1'!$B$5:$AZ$6</c:f>
              <c:multiLvlStrCache>
                <c:ptCount val="51"/>
                <c:lvl>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lvl>
                <c:lvl>
                  <c:pt idx="0">
                    <c:v>Tilasto</c:v>
                  </c:pt>
                  <c:pt idx="35">
                    <c:v>Skenaario</c:v>
                  </c:pt>
                </c:lvl>
              </c:multiLvlStrCache>
            </c:multiLvlStrRef>
          </c:cat>
          <c:val>
            <c:numRef>
              <c:f>'k 1'!$B$9:$AZ$9</c:f>
              <c:numCache>
                <c:formatCode>General</c:formatCode>
                <c:ptCount val="51"/>
                <c:pt idx="15" formatCode="0">
                  <c:v>35.599175429999995</c:v>
                </c:pt>
                <c:pt idx="16" formatCode="0">
                  <c:v>46.917069017000003</c:v>
                </c:pt>
                <c:pt idx="17" formatCode="0">
                  <c:v>44.855582836999993</c:v>
                </c:pt>
                <c:pt idx="18" formatCode="0">
                  <c:v>38.159950980000005</c:v>
                </c:pt>
                <c:pt idx="19" formatCode="0">
                  <c:v>35.617280801</c:v>
                </c:pt>
                <c:pt idx="20" formatCode="0">
                  <c:v>42.080073192</c:v>
                </c:pt>
                <c:pt idx="21" formatCode="0">
                  <c:v>35.874464717999992</c:v>
                </c:pt>
                <c:pt idx="22" formatCode="0">
                  <c:v>30.237308768999998</c:v>
                </c:pt>
                <c:pt idx="23" formatCode="0">
                  <c:v>31.524593939999999</c:v>
                </c:pt>
                <c:pt idx="24" formatCode="0">
                  <c:v>28.812429120000001</c:v>
                </c:pt>
                <c:pt idx="25" formatCode="0">
                  <c:v>25.524326300000002</c:v>
                </c:pt>
                <c:pt idx="26" formatCode="0">
                  <c:v>27.30300008</c:v>
                </c:pt>
                <c:pt idx="27" formatCode="0">
                  <c:v>25.236108000000002</c:v>
                </c:pt>
                <c:pt idx="28" formatCode="0">
                  <c:v>26.387021099999998</c:v>
                </c:pt>
                <c:pt idx="29" formatCode="0">
                  <c:v>23.45284354</c:v>
                </c:pt>
                <c:pt idx="30" formatCode="0">
                  <c:v>19.66899222</c:v>
                </c:pt>
                <c:pt idx="31" formatCode="0">
                  <c:v>20.393347919999997</c:v>
                </c:pt>
                <c:pt idx="32" formatCode="0">
                  <c:v>19.157795159999999</c:v>
                </c:pt>
                <c:pt idx="33" formatCode="0">
                  <c:v>15.49698311</c:v>
                </c:pt>
                <c:pt idx="34" formatCode="0">
                  <c:v>13.406617862451204</c:v>
                </c:pt>
              </c:numCache>
            </c:numRef>
          </c:val>
          <c:extLst>
            <c:ext xmlns:c16="http://schemas.microsoft.com/office/drawing/2014/chart" uri="{C3380CC4-5D6E-409C-BE32-E72D297353CC}">
              <c16:uniqueId val="{00000003-5833-47C9-A5CA-CEBF825898E3}"/>
            </c:ext>
          </c:extLst>
        </c:ser>
        <c:ser>
          <c:idx val="7"/>
          <c:order val="6"/>
          <c:tx>
            <c:strRef>
              <c:f>'k 1'!$A$14</c:f>
              <c:strCache>
                <c:ptCount val="1"/>
                <c:pt idx="0">
                  <c:v>Maankäyttösektorin nettonielu/päästö, nykytoimet (KEITO WEM)</c:v>
                </c:pt>
              </c:strCache>
            </c:strRef>
          </c:tx>
          <c:spPr>
            <a:pattFill prst="dkDnDiag">
              <a:fgClr>
                <a:srgbClr val="9B9183"/>
              </a:fgClr>
              <a:bgClr>
                <a:srgbClr val="FFFFFF"/>
              </a:bgClr>
            </a:pattFill>
            <a:ln>
              <a:noFill/>
            </a:ln>
            <a:effectLst/>
          </c:spPr>
          <c:invertIfNegative val="0"/>
          <c:cat>
            <c:multiLvlStrRef>
              <c:f>'k 1'!$B$5:$AZ$6</c:f>
              <c:multiLvlStrCache>
                <c:ptCount val="51"/>
                <c:lvl>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lvl>
                <c:lvl>
                  <c:pt idx="0">
                    <c:v>Tilasto</c:v>
                  </c:pt>
                  <c:pt idx="35">
                    <c:v>Skenaario</c:v>
                  </c:pt>
                </c:lvl>
              </c:multiLvlStrCache>
            </c:multiLvlStrRef>
          </c:cat>
          <c:val>
            <c:numRef>
              <c:f>'k 1'!$B$14:$AZ$14</c:f>
              <c:numCache>
                <c:formatCode>General</c:formatCode>
                <c:ptCount val="51"/>
                <c:pt idx="35" formatCode="0">
                  <c:v>12.996178045165856</c:v>
                </c:pt>
                <c:pt idx="40" formatCode="0">
                  <c:v>13.998401165999168</c:v>
                </c:pt>
                <c:pt idx="45" formatCode="0">
                  <c:v>15.802401710491385</c:v>
                </c:pt>
                <c:pt idx="50" formatCode="0">
                  <c:v>13.739647601220668</c:v>
                </c:pt>
              </c:numCache>
            </c:numRef>
          </c:val>
          <c:extLst>
            <c:ext xmlns:c16="http://schemas.microsoft.com/office/drawing/2014/chart" uri="{C3380CC4-5D6E-409C-BE32-E72D297353CC}">
              <c16:uniqueId val="{00000004-5833-47C9-A5CA-CEBF825898E3}"/>
            </c:ext>
          </c:extLst>
        </c:ser>
        <c:ser>
          <c:idx val="3"/>
          <c:order val="7"/>
          <c:tx>
            <c:strRef>
              <c:f>'k 1'!$A$10</c:f>
              <c:strCache>
                <c:ptCount val="1"/>
                <c:pt idx="0">
                  <c:v>Maankäyttösektorin nettonielu/päästö</c:v>
                </c:pt>
              </c:strCache>
            </c:strRef>
          </c:tx>
          <c:spPr>
            <a:solidFill>
              <a:srgbClr val="9B9183"/>
            </a:solidFill>
            <a:ln>
              <a:noFill/>
            </a:ln>
            <a:effectLst/>
          </c:spPr>
          <c:invertIfNegative val="0"/>
          <c:cat>
            <c:multiLvlStrRef>
              <c:f>'k 1'!$B$5:$AZ$6</c:f>
              <c:multiLvlStrCache>
                <c:ptCount val="51"/>
                <c:lvl>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lvl>
                <c:lvl>
                  <c:pt idx="0">
                    <c:v>Tilasto</c:v>
                  </c:pt>
                  <c:pt idx="35">
                    <c:v>Skenaario</c:v>
                  </c:pt>
                </c:lvl>
              </c:multiLvlStrCache>
            </c:multiLvlStrRef>
          </c:cat>
          <c:val>
            <c:numRef>
              <c:f>'k 1'!$B$10:$AZ$10</c:f>
              <c:numCache>
                <c:formatCode>0</c:formatCode>
                <c:ptCount val="51"/>
                <c:pt idx="0">
                  <c:v>-22.436</c:v>
                </c:pt>
                <c:pt idx="1">
                  <c:v>-34.850999999999999</c:v>
                </c:pt>
                <c:pt idx="2">
                  <c:v>-28.856999999999999</c:v>
                </c:pt>
                <c:pt idx="3">
                  <c:v>-29.533000000000001</c:v>
                </c:pt>
                <c:pt idx="4">
                  <c:v>-22.773</c:v>
                </c:pt>
                <c:pt idx="5">
                  <c:v>-21.469000000000001</c:v>
                </c:pt>
                <c:pt idx="6">
                  <c:v>-27.802</c:v>
                </c:pt>
                <c:pt idx="7">
                  <c:v>-23.177</c:v>
                </c:pt>
                <c:pt idx="8">
                  <c:v>-21.117000000000001</c:v>
                </c:pt>
                <c:pt idx="9">
                  <c:v>-21.276</c:v>
                </c:pt>
                <c:pt idx="10">
                  <c:v>-20.771999999999998</c:v>
                </c:pt>
                <c:pt idx="11">
                  <c:v>-21.378</c:v>
                </c:pt>
                <c:pt idx="12">
                  <c:v>-22.407</c:v>
                </c:pt>
                <c:pt idx="13">
                  <c:v>-22.817</c:v>
                </c:pt>
                <c:pt idx="14">
                  <c:v>-24.204000000000001</c:v>
                </c:pt>
                <c:pt idx="15">
                  <c:v>-24.241</c:v>
                </c:pt>
                <c:pt idx="16">
                  <c:v>-28.154</c:v>
                </c:pt>
                <c:pt idx="17">
                  <c:v>-18.655000000000001</c:v>
                </c:pt>
                <c:pt idx="18">
                  <c:v>-21.289000000000001</c:v>
                </c:pt>
                <c:pt idx="19">
                  <c:v>-32.524000000000001</c:v>
                </c:pt>
                <c:pt idx="20">
                  <c:v>-21.039000000000001</c:v>
                </c:pt>
                <c:pt idx="21">
                  <c:v>-20.553000000000001</c:v>
                </c:pt>
                <c:pt idx="22">
                  <c:v>-22.356000000000002</c:v>
                </c:pt>
                <c:pt idx="23">
                  <c:v>-15.603999999999999</c:v>
                </c:pt>
                <c:pt idx="24">
                  <c:v>-16.475000000000001</c:v>
                </c:pt>
                <c:pt idx="25">
                  <c:v>-11.321</c:v>
                </c:pt>
                <c:pt idx="26">
                  <c:v>-6.681</c:v>
                </c:pt>
                <c:pt idx="27">
                  <c:v>-3.11</c:v>
                </c:pt>
                <c:pt idx="28">
                  <c:v>7.1840000000000002</c:v>
                </c:pt>
                <c:pt idx="29">
                  <c:v>3.34</c:v>
                </c:pt>
                <c:pt idx="30">
                  <c:v>1.8129999999999999</c:v>
                </c:pt>
                <c:pt idx="31">
                  <c:v>11.358000000000001</c:v>
                </c:pt>
                <c:pt idx="32">
                  <c:v>12.066000000000001</c:v>
                </c:pt>
                <c:pt idx="33">
                  <c:v>11.997999999999999</c:v>
                </c:pt>
                <c:pt idx="34">
                  <c:v>13.531000000000001</c:v>
                </c:pt>
              </c:numCache>
            </c:numRef>
          </c:val>
          <c:extLst>
            <c:ext xmlns:c16="http://schemas.microsoft.com/office/drawing/2014/chart" uri="{C3380CC4-5D6E-409C-BE32-E72D297353CC}">
              <c16:uniqueId val="{00000005-5833-47C9-A5CA-CEBF825898E3}"/>
            </c:ext>
          </c:extLst>
        </c:ser>
        <c:ser>
          <c:idx val="0"/>
          <c:order val="8"/>
          <c:tx>
            <c:strRef>
              <c:f>'k 1'!$A$7</c:f>
              <c:strCache>
                <c:ptCount val="1"/>
                <c:pt idx="0">
                  <c:v>Päästöt yhteensä pl. LULUCF</c:v>
                </c:pt>
              </c:strCache>
            </c:strRef>
          </c:tx>
          <c:spPr>
            <a:solidFill>
              <a:srgbClr val="00A59D"/>
            </a:solidFill>
            <a:ln>
              <a:noFill/>
            </a:ln>
            <a:effectLst/>
          </c:spPr>
          <c:invertIfNegative val="0"/>
          <c:cat>
            <c:multiLvlStrRef>
              <c:f>'k 1'!$B$5:$AZ$6</c:f>
              <c:multiLvlStrCache>
                <c:ptCount val="51"/>
                <c:lvl>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lvl>
                <c:lvl>
                  <c:pt idx="0">
                    <c:v>Tilasto</c:v>
                  </c:pt>
                  <c:pt idx="35">
                    <c:v>Skenaario</c:v>
                  </c:pt>
                </c:lvl>
              </c:multiLvlStrCache>
            </c:multiLvlStrRef>
          </c:cat>
          <c:val>
            <c:numRef>
              <c:f>'k 1'!$B$7:$AZ$7</c:f>
              <c:numCache>
                <c:formatCode>0</c:formatCode>
                <c:ptCount val="51"/>
                <c:pt idx="0">
                  <c:v>71.811999999999998</c:v>
                </c:pt>
                <c:pt idx="1">
                  <c:v>69.63</c:v>
                </c:pt>
                <c:pt idx="2">
                  <c:v>68.153000000000006</c:v>
                </c:pt>
                <c:pt idx="3">
                  <c:v>70.328999999999994</c:v>
                </c:pt>
                <c:pt idx="4">
                  <c:v>75.930000000000007</c:v>
                </c:pt>
                <c:pt idx="5">
                  <c:v>72.274000000000001</c:v>
                </c:pt>
                <c:pt idx="6">
                  <c:v>78.155000000000001</c:v>
                </c:pt>
                <c:pt idx="7">
                  <c:v>76.825000000000003</c:v>
                </c:pt>
                <c:pt idx="8">
                  <c:v>73.11</c:v>
                </c:pt>
                <c:pt idx="9">
                  <c:v>72.430999999999997</c:v>
                </c:pt>
                <c:pt idx="10">
                  <c:v>70.462000000000003</c:v>
                </c:pt>
                <c:pt idx="11">
                  <c:v>75.805000000000007</c:v>
                </c:pt>
                <c:pt idx="12">
                  <c:v>78.186999999999998</c:v>
                </c:pt>
                <c:pt idx="13">
                  <c:v>85.766000000000005</c:v>
                </c:pt>
                <c:pt idx="14">
                  <c:v>81.930999999999997</c:v>
                </c:pt>
              </c:numCache>
            </c:numRef>
          </c:val>
          <c:extLst>
            <c:ext xmlns:c16="http://schemas.microsoft.com/office/drawing/2014/chart" uri="{C3380CC4-5D6E-409C-BE32-E72D297353CC}">
              <c16:uniqueId val="{00000006-5833-47C9-A5CA-CEBF825898E3}"/>
            </c:ext>
          </c:extLst>
        </c:ser>
        <c:dLbls>
          <c:showLegendKey val="0"/>
          <c:showVal val="0"/>
          <c:showCatName val="0"/>
          <c:showSerName val="0"/>
          <c:showPercent val="0"/>
          <c:showBubbleSize val="0"/>
        </c:dLbls>
        <c:gapWidth val="30"/>
        <c:overlap val="100"/>
        <c:axId val="2143614160"/>
        <c:axId val="2143614880"/>
      </c:barChart>
      <c:lineChart>
        <c:grouping val="standard"/>
        <c:varyColors val="0"/>
        <c:ser>
          <c:idx val="4"/>
          <c:order val="0"/>
          <c:tx>
            <c:strRef>
              <c:f>'k 1'!$A$11</c:f>
              <c:strCache>
                <c:ptCount val="1"/>
                <c:pt idx="0">
                  <c:v>Nettopäästöt</c:v>
                </c:pt>
              </c:strCache>
            </c:strRef>
          </c:tx>
          <c:spPr>
            <a:ln w="19050" cap="rnd">
              <a:solidFill>
                <a:srgbClr val="000000"/>
              </a:solidFill>
              <a:prstDash val="solid"/>
              <a:round/>
            </a:ln>
            <a:effectLst/>
          </c:spPr>
          <c:marker>
            <c:symbol val="none"/>
          </c:marker>
          <c:cat>
            <c:multiLvlStrRef>
              <c:f>'k 1'!$B$5:$AZ$6</c:f>
              <c:multiLvlStrCache>
                <c:ptCount val="51"/>
                <c:lvl>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lvl>
                <c:lvl>
                  <c:pt idx="0">
                    <c:v>Tilasto</c:v>
                  </c:pt>
                  <c:pt idx="35">
                    <c:v>Skenaario</c:v>
                  </c:pt>
                </c:lvl>
              </c:multiLvlStrCache>
            </c:multiLvlStrRef>
          </c:cat>
          <c:val>
            <c:numRef>
              <c:f>'k 1'!$B$11:$AZ$11</c:f>
              <c:numCache>
                <c:formatCode>0</c:formatCode>
                <c:ptCount val="51"/>
                <c:pt idx="0">
                  <c:v>49.375999999999998</c:v>
                </c:pt>
                <c:pt idx="1">
                  <c:v>34.778999999999996</c:v>
                </c:pt>
                <c:pt idx="2">
                  <c:v>39.296000000000006</c:v>
                </c:pt>
                <c:pt idx="3">
                  <c:v>40.795999999999992</c:v>
                </c:pt>
                <c:pt idx="4">
                  <c:v>53.157000000000011</c:v>
                </c:pt>
                <c:pt idx="5">
                  <c:v>50.805</c:v>
                </c:pt>
                <c:pt idx="6">
                  <c:v>50.353000000000002</c:v>
                </c:pt>
                <c:pt idx="7">
                  <c:v>53.648000000000003</c:v>
                </c:pt>
                <c:pt idx="8">
                  <c:v>51.992999999999995</c:v>
                </c:pt>
                <c:pt idx="9">
                  <c:v>51.155000000000001</c:v>
                </c:pt>
                <c:pt idx="10">
                  <c:v>49.690000000000005</c:v>
                </c:pt>
                <c:pt idx="11">
                  <c:v>54.427000000000007</c:v>
                </c:pt>
                <c:pt idx="12">
                  <c:v>55.78</c:v>
                </c:pt>
                <c:pt idx="13">
                  <c:v>62.949000000000005</c:v>
                </c:pt>
                <c:pt idx="14">
                  <c:v>57.726999999999997</c:v>
                </c:pt>
                <c:pt idx="15">
                  <c:v>45.649263679000015</c:v>
                </c:pt>
                <c:pt idx="16">
                  <c:v>53.134721963999993</c:v>
                </c:pt>
                <c:pt idx="17">
                  <c:v>60.922196243999991</c:v>
                </c:pt>
                <c:pt idx="18">
                  <c:v>50.144003921000021</c:v>
                </c:pt>
                <c:pt idx="19">
                  <c:v>35.21619856800001</c:v>
                </c:pt>
                <c:pt idx="20">
                  <c:v>54.666795875000005</c:v>
                </c:pt>
                <c:pt idx="21">
                  <c:v>47.386637536999999</c:v>
                </c:pt>
                <c:pt idx="22">
                  <c:v>39.954706441999996</c:v>
                </c:pt>
                <c:pt idx="23">
                  <c:v>47.213614644000003</c:v>
                </c:pt>
                <c:pt idx="24">
                  <c:v>42.176114993000006</c:v>
                </c:pt>
                <c:pt idx="25">
                  <c:v>43.754718021999999</c:v>
                </c:pt>
                <c:pt idx="26">
                  <c:v>51.268646156000003</c:v>
                </c:pt>
                <c:pt idx="27">
                  <c:v>51.963735550999999</c:v>
                </c:pt>
                <c:pt idx="28">
                  <c:v>63.30530380399999</c:v>
                </c:pt>
                <c:pt idx="29">
                  <c:v>56.068541285999999</c:v>
                </c:pt>
                <c:pt idx="30">
                  <c:v>49.582579009</c:v>
                </c:pt>
                <c:pt idx="31">
                  <c:v>59.161413234999998</c:v>
                </c:pt>
                <c:pt idx="32">
                  <c:v>57.763377087999999</c:v>
                </c:pt>
                <c:pt idx="33">
                  <c:v>53.101485494999999</c:v>
                </c:pt>
                <c:pt idx="34">
                  <c:v>52.345827026841228</c:v>
                </c:pt>
              </c:numCache>
            </c:numRef>
          </c:val>
          <c:smooth val="0"/>
          <c:extLst>
            <c:ext xmlns:c16="http://schemas.microsoft.com/office/drawing/2014/chart" uri="{C3380CC4-5D6E-409C-BE32-E72D297353CC}">
              <c16:uniqueId val="{00000007-5833-47C9-A5CA-CEBF825898E3}"/>
            </c:ext>
          </c:extLst>
        </c:ser>
        <c:ser>
          <c:idx val="8"/>
          <c:order val="1"/>
          <c:tx>
            <c:strRef>
              <c:f>'k 1'!$A$15</c:f>
              <c:strCache>
                <c:ptCount val="1"/>
                <c:pt idx="0">
                  <c:v>WEM nettopäästöt</c:v>
                </c:pt>
              </c:strCache>
            </c:strRef>
          </c:tx>
          <c:spPr>
            <a:ln w="19050" cap="rnd">
              <a:solidFill>
                <a:srgbClr val="000000"/>
              </a:solidFill>
              <a:prstDash val="sysDash"/>
              <a:round/>
            </a:ln>
            <a:effectLst/>
          </c:spPr>
          <c:marker>
            <c:symbol val="diamond"/>
            <c:size val="4"/>
            <c:spPr>
              <a:solidFill>
                <a:schemeClr val="accent3">
                  <a:lumMod val="60000"/>
                </a:schemeClr>
              </a:solidFill>
              <a:ln w="19050">
                <a:solidFill>
                  <a:srgbClr val="000000"/>
                </a:solidFill>
                <a:prstDash val="sysDash"/>
              </a:ln>
              <a:effectLst/>
            </c:spPr>
          </c:marker>
          <c:cat>
            <c:multiLvlStrRef>
              <c:f>'k 1'!$B$5:$AZ$6</c:f>
              <c:multiLvlStrCache>
                <c:ptCount val="51"/>
                <c:lvl>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lvl>
                <c:lvl>
                  <c:pt idx="0">
                    <c:v>Tilasto</c:v>
                  </c:pt>
                  <c:pt idx="35">
                    <c:v>Skenaario</c:v>
                  </c:pt>
                </c:lvl>
              </c:multiLvlStrCache>
            </c:multiLvlStrRef>
          </c:cat>
          <c:val>
            <c:numRef>
              <c:f>'k 1'!$B$15:$AZ$15</c:f>
              <c:numCache>
                <c:formatCode>General</c:formatCode>
                <c:ptCount val="51"/>
                <c:pt idx="35" formatCode="0">
                  <c:v>49.996178045165856</c:v>
                </c:pt>
                <c:pt idx="40" formatCode="0">
                  <c:v>43.428401165999169</c:v>
                </c:pt>
                <c:pt idx="45" formatCode="0">
                  <c:v>37.682401710491384</c:v>
                </c:pt>
                <c:pt idx="50" formatCode="0">
                  <c:v>31.019647601220669</c:v>
                </c:pt>
              </c:numCache>
            </c:numRef>
          </c:val>
          <c:smooth val="0"/>
          <c:extLst>
            <c:ext xmlns:c16="http://schemas.microsoft.com/office/drawing/2014/chart" uri="{C3380CC4-5D6E-409C-BE32-E72D297353CC}">
              <c16:uniqueId val="{00000008-5833-47C9-A5CA-CEBF825898E3}"/>
            </c:ext>
          </c:extLst>
        </c:ser>
        <c:dLbls>
          <c:showLegendKey val="0"/>
          <c:showVal val="0"/>
          <c:showCatName val="0"/>
          <c:showSerName val="0"/>
          <c:showPercent val="0"/>
          <c:showBubbleSize val="0"/>
        </c:dLbls>
        <c:marker val="1"/>
        <c:smooth val="0"/>
        <c:axId val="2143614160"/>
        <c:axId val="2143614880"/>
      </c:lineChart>
      <c:catAx>
        <c:axId val="2143614160"/>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143614880"/>
        <c:crosses val="autoZero"/>
        <c:auto val="1"/>
        <c:lblAlgn val="ctr"/>
        <c:lblOffset val="100"/>
        <c:tickLblSkip val="5"/>
        <c:noMultiLvlLbl val="0"/>
      </c:catAx>
      <c:valAx>
        <c:axId val="2143614880"/>
        <c:scaling>
          <c:orientation val="minMax"/>
          <c:max val="9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i-FI"/>
                  <a:t>Mt CO</a:t>
                </a:r>
                <a:r>
                  <a:rPr lang="fi-FI" baseline="-25000"/>
                  <a:t>2</a:t>
                </a:r>
                <a:r>
                  <a:rPr lang="fi-FI"/>
                  <a:t>-ekv.</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143614160"/>
        <c:crosses val="autoZero"/>
        <c:crossBetween val="between"/>
        <c:maj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span"/>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fi-FI"/>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'k17 työk'!$B$7</c:f>
              <c:strCache>
                <c:ptCount val="1"/>
                <c:pt idx="0">
                  <c:v>Päästöt</c:v>
                </c:pt>
              </c:strCache>
            </c:strRef>
          </c:tx>
          <c:spPr>
            <a:solidFill>
              <a:schemeClr val="accent1"/>
            </a:solidFill>
            <a:ln>
              <a:noFill/>
            </a:ln>
            <a:effectLst/>
          </c:spPr>
          <c:invertIfNegative val="0"/>
          <c:cat>
            <c:multiLvlStrRef>
              <c:f>'k17 työk'!$C$5:$AL$6</c:f>
              <c:multiLvlStrCache>
                <c:ptCount val="3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lvl>
                <c:lvl>
                  <c:pt idx="0">
                    <c:v>Tilasto</c:v>
                  </c:pt>
                  <c:pt idx="19">
                    <c:v>KEITO WEM</c:v>
                  </c:pt>
                </c:lvl>
              </c:multiLvlStrCache>
            </c:multiLvlStrRef>
          </c:cat>
          <c:val>
            <c:numRef>
              <c:f>'k17 työk'!$C$7:$AL$7</c:f>
              <c:numCache>
                <c:formatCode>0.0</c:formatCode>
                <c:ptCount val="36"/>
                <c:pt idx="0">
                  <c:v>2.599012697</c:v>
                </c:pt>
                <c:pt idx="1">
                  <c:v>2.5997445809999999</c:v>
                </c:pt>
                <c:pt idx="2">
                  <c:v>2.6565852629999998</c:v>
                </c:pt>
                <c:pt idx="3">
                  <c:v>2.7149080319999999</c:v>
                </c:pt>
                <c:pt idx="4">
                  <c:v>2.578293001</c:v>
                </c:pt>
                <c:pt idx="5">
                  <c:v>2.5646212429999999</c:v>
                </c:pt>
                <c:pt idx="6">
                  <c:v>2.4582522720000002</c:v>
                </c:pt>
                <c:pt idx="7">
                  <c:v>2.620551743</c:v>
                </c:pt>
                <c:pt idx="8">
                  <c:v>2.574808236</c:v>
                </c:pt>
                <c:pt idx="9">
                  <c:v>2.520732808</c:v>
                </c:pt>
                <c:pt idx="10">
                  <c:v>2.5472646759999997</c:v>
                </c:pt>
                <c:pt idx="11">
                  <c:v>2.4703526610000002</c:v>
                </c:pt>
                <c:pt idx="12">
                  <c:v>2.6182967779999995</c:v>
                </c:pt>
                <c:pt idx="13">
                  <c:v>2.5840406210000002</c:v>
                </c:pt>
                <c:pt idx="14">
                  <c:v>2.6805417059999996</c:v>
                </c:pt>
                <c:pt idx="15">
                  <c:v>2.6990236669999996</c:v>
                </c:pt>
                <c:pt idx="16">
                  <c:v>2.4795646470000001</c:v>
                </c:pt>
                <c:pt idx="17">
                  <c:v>2.4669010480000004</c:v>
                </c:pt>
                <c:pt idx="18">
                  <c:v>2.3821899659999999</c:v>
                </c:pt>
              </c:numCache>
            </c:numRef>
          </c:val>
          <c:extLst>
            <c:ext xmlns:c16="http://schemas.microsoft.com/office/drawing/2014/chart" uri="{C3380CC4-5D6E-409C-BE32-E72D297353CC}">
              <c16:uniqueId val="{00000000-9C9F-4CC2-B3BA-A937A6116271}"/>
            </c:ext>
          </c:extLst>
        </c:ser>
        <c:ser>
          <c:idx val="1"/>
          <c:order val="1"/>
          <c:tx>
            <c:strRef>
              <c:f>'k17 työk'!$B$8</c:f>
              <c:strCache>
                <c:ptCount val="1"/>
                <c:pt idx="0">
                  <c:v>Pikaennakko 2024</c:v>
                </c:pt>
              </c:strCache>
            </c:strRef>
          </c:tx>
          <c:spPr>
            <a:solidFill>
              <a:schemeClr val="accent2"/>
            </a:solidFill>
            <a:ln>
              <a:noFill/>
            </a:ln>
            <a:effectLst/>
          </c:spPr>
          <c:invertIfNegative val="0"/>
          <c:cat>
            <c:multiLvlStrRef>
              <c:f>'k17 työk'!$C$5:$AL$6</c:f>
              <c:multiLvlStrCache>
                <c:ptCount val="3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lvl>
                <c:lvl>
                  <c:pt idx="0">
                    <c:v>Tilasto</c:v>
                  </c:pt>
                  <c:pt idx="19">
                    <c:v>KEITO WEM</c:v>
                  </c:pt>
                </c:lvl>
              </c:multiLvlStrCache>
            </c:multiLvlStrRef>
          </c:cat>
          <c:val>
            <c:numRef>
              <c:f>'k17 työk'!$C$8:$AL$8</c:f>
              <c:numCache>
                <c:formatCode>General</c:formatCode>
                <c:ptCount val="36"/>
              </c:numCache>
            </c:numRef>
          </c:val>
          <c:extLst>
            <c:ext xmlns:c16="http://schemas.microsoft.com/office/drawing/2014/chart" uri="{C3380CC4-5D6E-409C-BE32-E72D297353CC}">
              <c16:uniqueId val="{00000001-9C9F-4CC2-B3BA-A937A6116271}"/>
            </c:ext>
          </c:extLst>
        </c:ser>
        <c:dLbls>
          <c:showLegendKey val="0"/>
          <c:showVal val="0"/>
          <c:showCatName val="0"/>
          <c:showSerName val="0"/>
          <c:showPercent val="0"/>
          <c:showBubbleSize val="0"/>
        </c:dLbls>
        <c:gapWidth val="50"/>
        <c:overlap val="100"/>
        <c:axId val="2143614160"/>
        <c:axId val="2143614880"/>
      </c:barChart>
      <c:lineChart>
        <c:grouping val="standard"/>
        <c:varyColors val="0"/>
        <c:ser>
          <c:idx val="2"/>
          <c:order val="2"/>
          <c:tx>
            <c:strRef>
              <c:f>'k17 työk'!$B$9</c:f>
              <c:strCache>
                <c:ptCount val="1"/>
                <c:pt idx="0">
                  <c:v>KEITO WEM</c:v>
                </c:pt>
              </c:strCache>
            </c:strRef>
          </c:tx>
          <c:spPr>
            <a:ln w="28575" cap="rnd">
              <a:solidFill>
                <a:schemeClr val="accent3"/>
              </a:solidFill>
              <a:prstDash val="sysDash"/>
              <a:round/>
            </a:ln>
            <a:effectLst/>
          </c:spPr>
          <c:marker>
            <c:symbol val="diamond"/>
            <c:size val="9"/>
            <c:spPr>
              <a:solidFill>
                <a:schemeClr val="accent3"/>
              </a:solidFill>
              <a:ln w="9525">
                <a:noFill/>
              </a:ln>
              <a:effectLst/>
            </c:spPr>
          </c:marker>
          <c:cat>
            <c:multiLvlStrRef>
              <c:f>'k17 työk'!$C$5:$AL$6</c:f>
              <c:multiLvlStrCache>
                <c:ptCount val="3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lvl>
                <c:lvl>
                  <c:pt idx="0">
                    <c:v>Tilasto</c:v>
                  </c:pt>
                  <c:pt idx="19">
                    <c:v>KEITO WEM</c:v>
                  </c:pt>
                </c:lvl>
              </c:multiLvlStrCache>
            </c:multiLvlStrRef>
          </c:cat>
          <c:val>
            <c:numRef>
              <c:f>'k17 työk'!$C$9:$AL$9</c:f>
              <c:numCache>
                <c:formatCode>General</c:formatCode>
                <c:ptCount val="36"/>
                <c:pt idx="20" formatCode="0.0">
                  <c:v>2.44</c:v>
                </c:pt>
                <c:pt idx="25" formatCode="0.0">
                  <c:v>2.2599999999999998</c:v>
                </c:pt>
                <c:pt idx="30" formatCode="0.0">
                  <c:v>1.88</c:v>
                </c:pt>
                <c:pt idx="35" formatCode="0.0">
                  <c:v>1.65</c:v>
                </c:pt>
              </c:numCache>
            </c:numRef>
          </c:val>
          <c:smooth val="0"/>
          <c:extLst>
            <c:ext xmlns:c16="http://schemas.microsoft.com/office/drawing/2014/chart" uri="{C3380CC4-5D6E-409C-BE32-E72D297353CC}">
              <c16:uniqueId val="{00000002-9C9F-4CC2-B3BA-A937A6116271}"/>
            </c:ext>
          </c:extLst>
        </c:ser>
        <c:dLbls>
          <c:showLegendKey val="0"/>
          <c:showVal val="0"/>
          <c:showCatName val="0"/>
          <c:showSerName val="0"/>
          <c:showPercent val="0"/>
          <c:showBubbleSize val="0"/>
        </c:dLbls>
        <c:marker val="1"/>
        <c:smooth val="0"/>
        <c:axId val="2143614160"/>
        <c:axId val="2143614880"/>
      </c:lineChart>
      <c:catAx>
        <c:axId val="21436141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143614880"/>
        <c:crosses val="autoZero"/>
        <c:auto val="1"/>
        <c:lblAlgn val="ctr"/>
        <c:lblOffset val="100"/>
        <c:noMultiLvlLbl val="0"/>
      </c:catAx>
      <c:valAx>
        <c:axId val="2143614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i-FI"/>
                  <a:t>Mt</a:t>
                </a:r>
                <a:r>
                  <a:rPr lang="fi-FI" baseline="0"/>
                  <a:t> CO2-ekv.</a:t>
                </a:r>
                <a:endParaRPr lang="fi-FI"/>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143614160"/>
        <c:crosses val="autoZero"/>
        <c:crossBetween val="between"/>
        <c:majorUnit val="1"/>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span"/>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fi-FI"/>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'k19 jäte'!$B$5</c:f>
              <c:strCache>
                <c:ptCount val="1"/>
                <c:pt idx="0">
                  <c:v>Päästöt</c:v>
                </c:pt>
              </c:strCache>
            </c:strRef>
          </c:tx>
          <c:spPr>
            <a:solidFill>
              <a:schemeClr val="accent1"/>
            </a:solidFill>
            <a:ln>
              <a:noFill/>
            </a:ln>
            <a:effectLst/>
          </c:spPr>
          <c:invertIfNegative val="0"/>
          <c:cat>
            <c:multiLvlStrRef>
              <c:f>'k19 jäte'!$C$3:$AL$4</c:f>
              <c:multiLvlStrCache>
                <c:ptCount val="3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lvl>
                <c:lvl>
                  <c:pt idx="0">
                    <c:v>Tilasto</c:v>
                  </c:pt>
                  <c:pt idx="20">
                    <c:v>KEITO WEM</c:v>
                  </c:pt>
                </c:lvl>
              </c:multiLvlStrCache>
            </c:multiLvlStrRef>
          </c:cat>
          <c:val>
            <c:numRef>
              <c:f>'k19 jäte'!$C$5:$AL$5</c:f>
              <c:numCache>
                <c:formatCode>0.0</c:formatCode>
                <c:ptCount val="36"/>
                <c:pt idx="0">
                  <c:v>3.1188189889999998</c:v>
                </c:pt>
                <c:pt idx="1">
                  <c:v>3.2023777879999997</c:v>
                </c:pt>
                <c:pt idx="2">
                  <c:v>3.0862471239999998</c:v>
                </c:pt>
                <c:pt idx="3">
                  <c:v>2.9502700329999998</c:v>
                </c:pt>
                <c:pt idx="4">
                  <c:v>2.8367570289999997</c:v>
                </c:pt>
                <c:pt idx="5">
                  <c:v>2.8369738180000001</c:v>
                </c:pt>
                <c:pt idx="6">
                  <c:v>2.7379201609999999</c:v>
                </c:pt>
                <c:pt idx="7">
                  <c:v>2.6743979100000002</c:v>
                </c:pt>
                <c:pt idx="8">
                  <c:v>2.5358558339999999</c:v>
                </c:pt>
                <c:pt idx="9">
                  <c:v>2.3853096659999999</c:v>
                </c:pt>
                <c:pt idx="10">
                  <c:v>2.3097728820000003</c:v>
                </c:pt>
                <c:pt idx="11">
                  <c:v>2.1590419289999998</c:v>
                </c:pt>
                <c:pt idx="12">
                  <c:v>2.0500137460000003</c:v>
                </c:pt>
                <c:pt idx="13">
                  <c:v>2.0074599769999999</c:v>
                </c:pt>
                <c:pt idx="14">
                  <c:v>1.9771948540000002</c:v>
                </c:pt>
                <c:pt idx="15">
                  <c:v>1.9143290560000001</c:v>
                </c:pt>
                <c:pt idx="16">
                  <c:v>1.8179630340000001</c:v>
                </c:pt>
                <c:pt idx="17">
                  <c:v>1.7265642590000001</c:v>
                </c:pt>
                <c:pt idx="18">
                  <c:v>1.6474228960000001</c:v>
                </c:pt>
              </c:numCache>
            </c:numRef>
          </c:val>
          <c:extLst>
            <c:ext xmlns:c16="http://schemas.microsoft.com/office/drawing/2014/chart" uri="{C3380CC4-5D6E-409C-BE32-E72D297353CC}">
              <c16:uniqueId val="{00000000-7F11-4574-9F8C-F33EF1F6B6E8}"/>
            </c:ext>
          </c:extLst>
        </c:ser>
        <c:ser>
          <c:idx val="1"/>
          <c:order val="1"/>
          <c:tx>
            <c:strRef>
              <c:f>'k19 jäte'!$B$6</c:f>
              <c:strCache>
                <c:ptCount val="1"/>
                <c:pt idx="0">
                  <c:v>Pikaennakko 2024</c:v>
                </c:pt>
              </c:strCache>
            </c:strRef>
          </c:tx>
          <c:spPr>
            <a:solidFill>
              <a:schemeClr val="accent2"/>
            </a:solidFill>
            <a:ln>
              <a:noFill/>
            </a:ln>
            <a:effectLst/>
          </c:spPr>
          <c:invertIfNegative val="0"/>
          <c:cat>
            <c:multiLvlStrRef>
              <c:f>'k19 jäte'!$C$3:$AL$4</c:f>
              <c:multiLvlStrCache>
                <c:ptCount val="3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lvl>
                <c:lvl>
                  <c:pt idx="0">
                    <c:v>Tilasto</c:v>
                  </c:pt>
                  <c:pt idx="20">
                    <c:v>KEITO WEM</c:v>
                  </c:pt>
                </c:lvl>
              </c:multiLvlStrCache>
            </c:multiLvlStrRef>
          </c:cat>
          <c:val>
            <c:numRef>
              <c:f>'k19 jäte'!$C$6:$AL$6</c:f>
              <c:numCache>
                <c:formatCode>General</c:formatCode>
                <c:ptCount val="36"/>
                <c:pt idx="19" formatCode="0.0">
                  <c:v>1.5428169427010001</c:v>
                </c:pt>
              </c:numCache>
            </c:numRef>
          </c:val>
          <c:extLst>
            <c:ext xmlns:c16="http://schemas.microsoft.com/office/drawing/2014/chart" uri="{C3380CC4-5D6E-409C-BE32-E72D297353CC}">
              <c16:uniqueId val="{00000001-7F11-4574-9F8C-F33EF1F6B6E8}"/>
            </c:ext>
          </c:extLst>
        </c:ser>
        <c:dLbls>
          <c:showLegendKey val="0"/>
          <c:showVal val="0"/>
          <c:showCatName val="0"/>
          <c:showSerName val="0"/>
          <c:showPercent val="0"/>
          <c:showBubbleSize val="0"/>
        </c:dLbls>
        <c:gapWidth val="50"/>
        <c:overlap val="100"/>
        <c:axId val="2143614160"/>
        <c:axId val="2143614880"/>
      </c:barChart>
      <c:lineChart>
        <c:grouping val="standard"/>
        <c:varyColors val="0"/>
        <c:ser>
          <c:idx val="2"/>
          <c:order val="2"/>
          <c:tx>
            <c:strRef>
              <c:f>'k19 jäte'!$B$7</c:f>
              <c:strCache>
                <c:ptCount val="1"/>
                <c:pt idx="0">
                  <c:v>KEITO WEM</c:v>
                </c:pt>
              </c:strCache>
            </c:strRef>
          </c:tx>
          <c:spPr>
            <a:ln w="28575" cap="rnd">
              <a:solidFill>
                <a:schemeClr val="accent3"/>
              </a:solidFill>
              <a:prstDash val="sysDash"/>
              <a:round/>
            </a:ln>
            <a:effectLst/>
          </c:spPr>
          <c:marker>
            <c:symbol val="diamond"/>
            <c:size val="9"/>
            <c:spPr>
              <a:solidFill>
                <a:schemeClr val="accent3"/>
              </a:solidFill>
              <a:ln w="9525">
                <a:noFill/>
              </a:ln>
              <a:effectLst/>
            </c:spPr>
          </c:marker>
          <c:cat>
            <c:multiLvlStrRef>
              <c:f>'k19 jäte'!$C$3:$AL$4</c:f>
              <c:multiLvlStrCache>
                <c:ptCount val="3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lvl>
                <c:lvl>
                  <c:pt idx="0">
                    <c:v>Tilasto</c:v>
                  </c:pt>
                  <c:pt idx="20">
                    <c:v>KEITO WEM</c:v>
                  </c:pt>
                </c:lvl>
              </c:multiLvlStrCache>
            </c:multiLvlStrRef>
          </c:cat>
          <c:val>
            <c:numRef>
              <c:f>'k19 jäte'!$C$7:$AL$7</c:f>
              <c:numCache>
                <c:formatCode>General</c:formatCode>
                <c:ptCount val="36"/>
                <c:pt idx="20" formatCode="0.0">
                  <c:v>1.5</c:v>
                </c:pt>
                <c:pt idx="25" formatCode="0.0">
                  <c:v>1.25</c:v>
                </c:pt>
                <c:pt idx="30" formatCode="0.0">
                  <c:v>1.05</c:v>
                </c:pt>
                <c:pt idx="35" formatCode="0.0">
                  <c:v>0.91</c:v>
                </c:pt>
              </c:numCache>
            </c:numRef>
          </c:val>
          <c:smooth val="0"/>
          <c:extLst>
            <c:ext xmlns:c16="http://schemas.microsoft.com/office/drawing/2014/chart" uri="{C3380CC4-5D6E-409C-BE32-E72D297353CC}">
              <c16:uniqueId val="{00000002-7F11-4574-9F8C-F33EF1F6B6E8}"/>
            </c:ext>
          </c:extLst>
        </c:ser>
        <c:dLbls>
          <c:showLegendKey val="0"/>
          <c:showVal val="0"/>
          <c:showCatName val="0"/>
          <c:showSerName val="0"/>
          <c:showPercent val="0"/>
          <c:showBubbleSize val="0"/>
        </c:dLbls>
        <c:marker val="1"/>
        <c:smooth val="0"/>
        <c:axId val="2143614160"/>
        <c:axId val="2143614880"/>
      </c:lineChart>
      <c:catAx>
        <c:axId val="21436141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143614880"/>
        <c:crosses val="autoZero"/>
        <c:auto val="1"/>
        <c:lblAlgn val="ctr"/>
        <c:lblOffset val="100"/>
        <c:noMultiLvlLbl val="0"/>
      </c:catAx>
      <c:valAx>
        <c:axId val="2143614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i-FI"/>
                  <a:t>Mt CO</a:t>
                </a:r>
                <a:r>
                  <a:rPr lang="fi-FI" baseline="-25000"/>
                  <a:t>2</a:t>
                </a:r>
                <a:r>
                  <a:rPr lang="fi-FI"/>
                  <a:t>-ekv.</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14361416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span"/>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fi-FI"/>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'k20 j pol'!$B$5</c:f>
              <c:strCache>
                <c:ptCount val="1"/>
                <c:pt idx="0">
                  <c:v>Jätteenpolton päästöt taakanjakosektorilla</c:v>
                </c:pt>
              </c:strCache>
            </c:strRef>
          </c:tx>
          <c:spPr>
            <a:solidFill>
              <a:schemeClr val="accent1"/>
            </a:solidFill>
            <a:ln>
              <a:noFill/>
            </a:ln>
            <a:effectLst/>
          </c:spPr>
          <c:invertIfNegative val="0"/>
          <c:cat>
            <c:numRef>
              <c:f>'k20 j pol'!$C$4:$U$4</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'k20 j pol'!$C$5:$U$5</c:f>
              <c:numCache>
                <c:formatCode>0.0</c:formatCode>
                <c:ptCount val="19"/>
                <c:pt idx="0">
                  <c:v>1.5051928999999999E-2</c:v>
                </c:pt>
                <c:pt idx="1">
                  <c:v>1.5551347E-2</c:v>
                </c:pt>
                <c:pt idx="2">
                  <c:v>2.7018489E-2</c:v>
                </c:pt>
                <c:pt idx="3">
                  <c:v>6.3762471000000001E-2</c:v>
                </c:pt>
                <c:pt idx="4">
                  <c:v>0.102552432</c:v>
                </c:pt>
                <c:pt idx="5">
                  <c:v>0.11006332200000001</c:v>
                </c:pt>
                <c:pt idx="6">
                  <c:v>9.924106399999999E-2</c:v>
                </c:pt>
                <c:pt idx="7">
                  <c:v>0.24441117199999998</c:v>
                </c:pt>
                <c:pt idx="8">
                  <c:v>0.33932087700000002</c:v>
                </c:pt>
                <c:pt idx="9">
                  <c:v>0.43889958600000001</c:v>
                </c:pt>
                <c:pt idx="10">
                  <c:v>0.47969662600000001</c:v>
                </c:pt>
                <c:pt idx="11">
                  <c:v>0.57355811400000001</c:v>
                </c:pt>
                <c:pt idx="12">
                  <c:v>0.625534115</c:v>
                </c:pt>
                <c:pt idx="13">
                  <c:v>0.63594331599999998</c:v>
                </c:pt>
                <c:pt idx="14">
                  <c:v>0.66642550500000008</c:v>
                </c:pt>
                <c:pt idx="15">
                  <c:v>0.65654476500000003</c:v>
                </c:pt>
                <c:pt idx="16">
                  <c:v>0.695149817</c:v>
                </c:pt>
                <c:pt idx="17">
                  <c:v>0.70373228800000009</c:v>
                </c:pt>
                <c:pt idx="18">
                  <c:v>0.72988328300000005</c:v>
                </c:pt>
              </c:numCache>
            </c:numRef>
          </c:val>
          <c:extLst>
            <c:ext xmlns:c16="http://schemas.microsoft.com/office/drawing/2014/chart" uri="{C3380CC4-5D6E-409C-BE32-E72D297353CC}">
              <c16:uniqueId val="{00000000-DFFF-45D4-B41B-9ADA157D9853}"/>
            </c:ext>
          </c:extLst>
        </c:ser>
        <c:dLbls>
          <c:showLegendKey val="0"/>
          <c:showVal val="0"/>
          <c:showCatName val="0"/>
          <c:showSerName val="0"/>
          <c:showPercent val="0"/>
          <c:showBubbleSize val="0"/>
        </c:dLbls>
        <c:gapWidth val="50"/>
        <c:overlap val="100"/>
        <c:axId val="2143614160"/>
        <c:axId val="2143614880"/>
      </c:barChart>
      <c:catAx>
        <c:axId val="21436141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143614880"/>
        <c:crosses val="autoZero"/>
        <c:auto val="1"/>
        <c:lblAlgn val="ctr"/>
        <c:lblOffset val="100"/>
        <c:noMultiLvlLbl val="0"/>
      </c:catAx>
      <c:valAx>
        <c:axId val="2143614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i-FI"/>
                  <a:t>Mt CO2-ekv.</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143614160"/>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span"/>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fi-FI"/>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025-460A-ABE3-0F0741CDBBB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25-460A-ABE3-0F0741CDBBB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025-460A-ABE3-0F0741CDBBB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025-460A-ABE3-0F0741CDBBB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025-460A-ABE3-0F0741CDBBB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025-460A-ABE3-0F0741CDBBB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025-460A-ABE3-0F0741CDBBBF}"/>
              </c:ext>
            </c:extLst>
          </c:dPt>
          <c:dLbls>
            <c:dLbl>
              <c:idx val="0"/>
              <c:layout>
                <c:manualLayout>
                  <c:x val="-0.19950124688279303"/>
                  <c:y val="0.1667824878387769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25-460A-ABE3-0F0741CDBBBF}"/>
                </c:ext>
              </c:extLst>
            </c:dLbl>
            <c:dLbl>
              <c:idx val="1"/>
              <c:layout>
                <c:manualLayout>
                  <c:x val="-0.20227209753394293"/>
                  <c:y val="-0.1528839471855455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25-460A-ABE3-0F0741CDBBBF}"/>
                </c:ext>
              </c:extLst>
            </c:dLbl>
            <c:dLbl>
              <c:idx val="2"/>
              <c:layout>
                <c:manualLayout>
                  <c:x val="0.24362038909724804"/>
                  <c:y val="-4.159603399123407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25-460A-ABE3-0F0741CDBBBF}"/>
                </c:ext>
              </c:extLst>
            </c:dLbl>
            <c:dLbl>
              <c:idx val="3"/>
              <c:layout>
                <c:manualLayout>
                  <c:x val="0.21639617145235124"/>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25-460A-ABE3-0F0741CDBBBF}"/>
                </c:ext>
              </c:extLst>
            </c:dLbl>
            <c:dLbl>
              <c:idx val="4"/>
              <c:layout>
                <c:manualLayout>
                  <c:x val="0.11499041111132929"/>
                  <c:y val="0.15751679406995581"/>
                </c:manualLayout>
              </c:layout>
              <c:showLegendKey val="0"/>
              <c:showVal val="1"/>
              <c:showCatName val="1"/>
              <c:showSerName val="0"/>
              <c:showPercent val="0"/>
              <c:showBubbleSize val="0"/>
              <c:extLst>
                <c:ext xmlns:c15="http://schemas.microsoft.com/office/drawing/2012/chart" uri="{CE6537A1-D6FC-4f65-9D91-7224C49458BB}">
                  <c15:layout>
                    <c:manualLayout>
                      <c:w val="0.38247447872008511"/>
                      <c:h val="0.10975214269168404"/>
                    </c:manualLayout>
                  </c15:layout>
                </c:ext>
                <c:ext xmlns:c16="http://schemas.microsoft.com/office/drawing/2014/chart" uri="{C3380CC4-5D6E-409C-BE32-E72D297353CC}">
                  <c16:uniqueId val="{00000009-0025-460A-ABE3-0F0741CDBBBF}"/>
                </c:ext>
              </c:extLst>
            </c:dLbl>
            <c:dLbl>
              <c:idx val="5"/>
              <c:layout>
                <c:manualLayout>
                  <c:x val="-0.18287960886386084"/>
                  <c:y val="0.16678242889541711"/>
                </c:manualLayout>
              </c:layout>
              <c:showLegendKey val="0"/>
              <c:showVal val="1"/>
              <c:showCatName val="1"/>
              <c:showSerName val="0"/>
              <c:showPercent val="0"/>
              <c:showBubbleSize val="0"/>
              <c:extLst>
                <c:ext xmlns:c15="http://schemas.microsoft.com/office/drawing/2012/chart" uri="{CE6537A1-D6FC-4f65-9D91-7224C49458BB}">
                  <c15:layout>
                    <c:manualLayout>
                      <c:w val="0.27172568085953908"/>
                      <c:h val="0.2051779935275081"/>
                    </c:manualLayout>
                  </c15:layout>
                </c:ext>
                <c:ext xmlns:c16="http://schemas.microsoft.com/office/drawing/2014/chart" uri="{C3380CC4-5D6E-409C-BE32-E72D297353CC}">
                  <c16:uniqueId val="{0000000B-0025-460A-ABE3-0F0741CDBBBF}"/>
                </c:ext>
              </c:extLst>
            </c:dLbl>
            <c:dLbl>
              <c:idx val="6"/>
              <c:layout>
                <c:manualLayout>
                  <c:x val="-0.223356170921714"/>
                  <c:y val="-1.3888888888888888E-2"/>
                </c:manualLayout>
              </c:layout>
              <c:showLegendKey val="0"/>
              <c:showVal val="1"/>
              <c:showCatName val="1"/>
              <c:showSerName val="0"/>
              <c:showPercent val="0"/>
              <c:showBubbleSize val="0"/>
              <c:extLst>
                <c:ext xmlns:c15="http://schemas.microsoft.com/office/drawing/2012/chart" uri="{CE6537A1-D6FC-4f65-9D91-7224C49458BB}">
                  <c15:layout>
                    <c:manualLayout>
                      <c:w val="0.25646569646569645"/>
                      <c:h val="0.2051779935275081"/>
                    </c:manualLayout>
                  </c15:layout>
                </c:ext>
                <c:ext xmlns:c16="http://schemas.microsoft.com/office/drawing/2014/chart" uri="{C3380CC4-5D6E-409C-BE32-E72D297353CC}">
                  <c16:uniqueId val="{0000000D-0025-460A-ABE3-0F0741CDBB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showLegendKey val="0"/>
            <c:showVal val="1"/>
            <c:showCatName val="1"/>
            <c:showSerName val="0"/>
            <c:showPercent val="0"/>
            <c:showBubbleSize val="0"/>
            <c:showLeaderLines val="0"/>
            <c:extLst>
              <c:ext xmlns:c15="http://schemas.microsoft.com/office/drawing/2012/chart" uri="{CE6537A1-D6FC-4f65-9D91-7224C49458BB}"/>
            </c:extLst>
          </c:dLbls>
          <c:cat>
            <c:strRef>
              <c:f>'f KAISU'!$A$17:$A$23</c:f>
              <c:strCache>
                <c:ptCount val="7"/>
                <c:pt idx="0">
                  <c:v>Solumuovit</c:v>
                </c:pt>
                <c:pt idx="1">
                  <c:v>Aerosolit</c:v>
                </c:pt>
                <c:pt idx="2">
                  <c:v>Kaupallinen jäähdytys</c:v>
                </c:pt>
                <c:pt idx="3">
                  <c:v>Ajoneuvojen ja työkoneiden ilmastointijärjestelmät</c:v>
                </c:pt>
                <c:pt idx="4">
                  <c:v>Teollisuuden kylmä</c:v>
                </c:pt>
                <c:pt idx="5">
                  <c:v>Kiinteät ilmastoinnin jäähdytysjärjestelmät</c:v>
                </c:pt>
                <c:pt idx="6">
                  <c:v>Kotitalouksien kylmälaitteet ja kylmäkuljetuslaitteet</c:v>
                </c:pt>
              </c:strCache>
            </c:strRef>
          </c:cat>
          <c:val>
            <c:numRef>
              <c:f>'f KAISU'!$B$17:$B$23</c:f>
              <c:numCache>
                <c:formatCode>0%</c:formatCode>
                <c:ptCount val="7"/>
                <c:pt idx="0">
                  <c:v>8.1433224755700327E-3</c:v>
                </c:pt>
                <c:pt idx="1">
                  <c:v>2.7687296416938109E-2</c:v>
                </c:pt>
                <c:pt idx="2">
                  <c:v>0.49348534201954397</c:v>
                </c:pt>
                <c:pt idx="3">
                  <c:v>0.16286644951140064</c:v>
                </c:pt>
                <c:pt idx="4">
                  <c:v>7.8175895765472306E-2</c:v>
                </c:pt>
                <c:pt idx="5">
                  <c:v>0.21824104234527689</c:v>
                </c:pt>
                <c:pt idx="6">
                  <c:v>1.1400651465798045E-2</c:v>
                </c:pt>
              </c:numCache>
            </c:numRef>
          </c:val>
          <c:extLst>
            <c:ext xmlns:c16="http://schemas.microsoft.com/office/drawing/2014/chart" uri="{C3380CC4-5D6E-409C-BE32-E72D297353CC}">
              <c16:uniqueId val="{0000000E-0025-460A-ABE3-0F0741CDBBBF}"/>
            </c:ext>
          </c:extLst>
        </c:ser>
        <c:dLbls>
          <c:showLegendKey val="0"/>
          <c:showVal val="0"/>
          <c:showCatName val="0"/>
          <c:showSerName val="0"/>
          <c:showPercent val="0"/>
          <c:showBubbleSize val="0"/>
          <c:showLeaderLines val="0"/>
        </c:dLbls>
        <c:firstSliceAng val="280"/>
        <c:holeSize val="3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fi-F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'k21 F'!$B$4</c:f>
              <c:strCache>
                <c:ptCount val="1"/>
                <c:pt idx="0">
                  <c:v>Päästöt</c:v>
                </c:pt>
              </c:strCache>
            </c:strRef>
          </c:tx>
          <c:spPr>
            <a:solidFill>
              <a:schemeClr val="accent1"/>
            </a:solidFill>
            <a:ln>
              <a:noFill/>
            </a:ln>
            <a:effectLst/>
          </c:spPr>
          <c:invertIfNegative val="0"/>
          <c:cat>
            <c:multiLvlStrRef>
              <c:f>'k21 F'!$C$2:$AL$3</c:f>
              <c:multiLvlStrCache>
                <c:ptCount val="3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lvl>
                <c:lvl>
                  <c:pt idx="0">
                    <c:v>Tilasto</c:v>
                  </c:pt>
                  <c:pt idx="20">
                    <c:v>KEITO WEM</c:v>
                  </c:pt>
                </c:lvl>
              </c:multiLvlStrCache>
            </c:multiLvlStrRef>
          </c:cat>
          <c:val>
            <c:numRef>
              <c:f>'k21 F'!$C$4:$AL$4</c:f>
              <c:numCache>
                <c:formatCode>0.0</c:formatCode>
                <c:ptCount val="36"/>
                <c:pt idx="0">
                  <c:v>1.1496333870000002</c:v>
                </c:pt>
                <c:pt idx="1">
                  <c:v>1.3065048019999999</c:v>
                </c:pt>
                <c:pt idx="2">
                  <c:v>1.3283051249999998</c:v>
                </c:pt>
                <c:pt idx="3">
                  <c:v>1.370093794</c:v>
                </c:pt>
                <c:pt idx="4">
                  <c:v>1.3678128339999998</c:v>
                </c:pt>
                <c:pt idx="5">
                  <c:v>1.345793282</c:v>
                </c:pt>
                <c:pt idx="6">
                  <c:v>1.3293121979999998</c:v>
                </c:pt>
                <c:pt idx="7">
                  <c:v>1.336817693</c:v>
                </c:pt>
                <c:pt idx="8">
                  <c:v>1.3272432750000001</c:v>
                </c:pt>
                <c:pt idx="9">
                  <c:v>1.2975227790000001</c:v>
                </c:pt>
                <c:pt idx="10">
                  <c:v>1.2174167200000001</c:v>
                </c:pt>
                <c:pt idx="11">
                  <c:v>1.1673431840000001</c:v>
                </c:pt>
                <c:pt idx="12">
                  <c:v>1.0935148909999999</c:v>
                </c:pt>
                <c:pt idx="13">
                  <c:v>1.040674809</c:v>
                </c:pt>
                <c:pt idx="14">
                  <c:v>0.99510745899999997</c:v>
                </c:pt>
                <c:pt idx="15">
                  <c:v>0.93160420699999991</c:v>
                </c:pt>
                <c:pt idx="16">
                  <c:v>0.86283804000000008</c:v>
                </c:pt>
                <c:pt idx="17">
                  <c:v>0.79262234099999995</c:v>
                </c:pt>
                <c:pt idx="18">
                  <c:v>0.72897746500000005</c:v>
                </c:pt>
              </c:numCache>
            </c:numRef>
          </c:val>
          <c:extLst>
            <c:ext xmlns:c16="http://schemas.microsoft.com/office/drawing/2014/chart" uri="{C3380CC4-5D6E-409C-BE32-E72D297353CC}">
              <c16:uniqueId val="{00000000-3FDC-49BF-A436-50E2171A9431}"/>
            </c:ext>
          </c:extLst>
        </c:ser>
        <c:ser>
          <c:idx val="1"/>
          <c:order val="1"/>
          <c:tx>
            <c:strRef>
              <c:f>'k21 F'!$B$5</c:f>
              <c:strCache>
                <c:ptCount val="1"/>
                <c:pt idx="0">
                  <c:v>Pikaennakko 2024</c:v>
                </c:pt>
              </c:strCache>
            </c:strRef>
          </c:tx>
          <c:spPr>
            <a:solidFill>
              <a:schemeClr val="accent2"/>
            </a:solidFill>
            <a:ln>
              <a:noFill/>
            </a:ln>
            <a:effectLst/>
          </c:spPr>
          <c:invertIfNegative val="0"/>
          <c:cat>
            <c:multiLvlStrRef>
              <c:f>'k21 F'!$C$2:$AL$3</c:f>
              <c:multiLvlStrCache>
                <c:ptCount val="3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lvl>
                <c:lvl>
                  <c:pt idx="0">
                    <c:v>Tilasto</c:v>
                  </c:pt>
                  <c:pt idx="20">
                    <c:v>KEITO WEM</c:v>
                  </c:pt>
                </c:lvl>
              </c:multiLvlStrCache>
            </c:multiLvlStrRef>
          </c:cat>
          <c:val>
            <c:numRef>
              <c:f>'k21 F'!$C$5:$AL$5</c:f>
              <c:numCache>
                <c:formatCode>General</c:formatCode>
                <c:ptCount val="36"/>
                <c:pt idx="19" formatCode="0.0">
                  <c:v>0.64782384389704806</c:v>
                </c:pt>
              </c:numCache>
            </c:numRef>
          </c:val>
          <c:extLst>
            <c:ext xmlns:c16="http://schemas.microsoft.com/office/drawing/2014/chart" uri="{C3380CC4-5D6E-409C-BE32-E72D297353CC}">
              <c16:uniqueId val="{00000001-3FDC-49BF-A436-50E2171A9431}"/>
            </c:ext>
          </c:extLst>
        </c:ser>
        <c:dLbls>
          <c:showLegendKey val="0"/>
          <c:showVal val="0"/>
          <c:showCatName val="0"/>
          <c:showSerName val="0"/>
          <c:showPercent val="0"/>
          <c:showBubbleSize val="0"/>
        </c:dLbls>
        <c:gapWidth val="50"/>
        <c:overlap val="100"/>
        <c:axId val="2143614160"/>
        <c:axId val="2143614880"/>
      </c:barChart>
      <c:lineChart>
        <c:grouping val="standard"/>
        <c:varyColors val="0"/>
        <c:ser>
          <c:idx val="2"/>
          <c:order val="2"/>
          <c:tx>
            <c:strRef>
              <c:f>'k21 F'!$B$6</c:f>
              <c:strCache>
                <c:ptCount val="1"/>
                <c:pt idx="0">
                  <c:v>KEITO WEM</c:v>
                </c:pt>
              </c:strCache>
            </c:strRef>
          </c:tx>
          <c:spPr>
            <a:ln w="28575" cap="rnd">
              <a:solidFill>
                <a:schemeClr val="accent3"/>
              </a:solidFill>
              <a:prstDash val="sysDash"/>
              <a:round/>
            </a:ln>
            <a:effectLst/>
          </c:spPr>
          <c:marker>
            <c:symbol val="diamond"/>
            <c:size val="9"/>
            <c:spPr>
              <a:solidFill>
                <a:schemeClr val="accent3"/>
              </a:solidFill>
              <a:ln w="9525">
                <a:noFill/>
              </a:ln>
              <a:effectLst/>
            </c:spPr>
          </c:marker>
          <c:cat>
            <c:multiLvlStrRef>
              <c:f>'k21 F'!$C$2:$AL$3</c:f>
              <c:multiLvlStrCache>
                <c:ptCount val="3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lvl>
                <c:lvl>
                  <c:pt idx="0">
                    <c:v>Tilasto</c:v>
                  </c:pt>
                  <c:pt idx="20">
                    <c:v>KEITO WEM</c:v>
                  </c:pt>
                </c:lvl>
              </c:multiLvlStrCache>
            </c:multiLvlStrRef>
          </c:cat>
          <c:val>
            <c:numRef>
              <c:f>'k21 F'!$C$6:$AL$6</c:f>
              <c:numCache>
                <c:formatCode>General</c:formatCode>
                <c:ptCount val="36"/>
                <c:pt idx="20" formatCode="0.0">
                  <c:v>0.56999999999999995</c:v>
                </c:pt>
                <c:pt idx="25" formatCode="0.0">
                  <c:v>0.33</c:v>
                </c:pt>
                <c:pt idx="30" formatCode="0.0">
                  <c:v>0.23</c:v>
                </c:pt>
                <c:pt idx="35" formatCode="0.0">
                  <c:v>0.16</c:v>
                </c:pt>
              </c:numCache>
            </c:numRef>
          </c:val>
          <c:smooth val="0"/>
          <c:extLst>
            <c:ext xmlns:c16="http://schemas.microsoft.com/office/drawing/2014/chart" uri="{C3380CC4-5D6E-409C-BE32-E72D297353CC}">
              <c16:uniqueId val="{00000002-3FDC-49BF-A436-50E2171A9431}"/>
            </c:ext>
          </c:extLst>
        </c:ser>
        <c:dLbls>
          <c:showLegendKey val="0"/>
          <c:showVal val="0"/>
          <c:showCatName val="0"/>
          <c:showSerName val="0"/>
          <c:showPercent val="0"/>
          <c:showBubbleSize val="0"/>
        </c:dLbls>
        <c:marker val="1"/>
        <c:smooth val="0"/>
        <c:axId val="2143614160"/>
        <c:axId val="2143614880"/>
      </c:lineChart>
      <c:catAx>
        <c:axId val="21436141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143614880"/>
        <c:crosses val="autoZero"/>
        <c:auto val="1"/>
        <c:lblAlgn val="ctr"/>
        <c:lblOffset val="100"/>
        <c:noMultiLvlLbl val="0"/>
      </c:catAx>
      <c:valAx>
        <c:axId val="2143614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i-FI"/>
                  <a:t>Mt CO2.ekv,</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143614160"/>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span"/>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fi-FI"/>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'k21 teol'!$A$2</c:f>
              <c:strCache>
                <c:ptCount val="1"/>
                <c:pt idx="0">
                  <c:v>Teollisuuden energiakäyttö</c:v>
                </c:pt>
              </c:strCache>
            </c:strRef>
          </c:tx>
          <c:spPr>
            <a:solidFill>
              <a:schemeClr val="accent1"/>
            </a:solidFill>
            <a:ln>
              <a:noFill/>
            </a:ln>
            <a:effectLst/>
          </c:spPr>
          <c:invertIfNegative val="0"/>
          <c:cat>
            <c:numRef>
              <c:f>'k21 teol'!$B$1:$T$1</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'k21 teol'!$B$2:$T$2</c:f>
              <c:numCache>
                <c:formatCode>0</c:formatCode>
                <c:ptCount val="19"/>
                <c:pt idx="0">
                  <c:v>1.2888425829999999</c:v>
                </c:pt>
                <c:pt idx="1">
                  <c:v>1.2950286879999995</c:v>
                </c:pt>
                <c:pt idx="2">
                  <c:v>1.2731566979999998</c:v>
                </c:pt>
                <c:pt idx="3">
                  <c:v>1.1751696320000002</c:v>
                </c:pt>
                <c:pt idx="4">
                  <c:v>1.0200189570000002</c:v>
                </c:pt>
                <c:pt idx="5">
                  <c:v>1.1283646849999998</c:v>
                </c:pt>
                <c:pt idx="6">
                  <c:v>1.0965197950000005</c:v>
                </c:pt>
                <c:pt idx="7">
                  <c:v>1.019379169</c:v>
                </c:pt>
                <c:pt idx="8">
                  <c:v>0.92908130300000025</c:v>
                </c:pt>
                <c:pt idx="9">
                  <c:v>0.91956805699999977</c:v>
                </c:pt>
                <c:pt idx="10">
                  <c:v>0.89441235000000008</c:v>
                </c:pt>
                <c:pt idx="11">
                  <c:v>0.88222709799999999</c:v>
                </c:pt>
                <c:pt idx="12">
                  <c:v>0.83567421300000011</c:v>
                </c:pt>
                <c:pt idx="13">
                  <c:v>0.84470560299999953</c:v>
                </c:pt>
                <c:pt idx="14">
                  <c:v>0.82300040099999983</c:v>
                </c:pt>
                <c:pt idx="15">
                  <c:v>0.82944209000000013</c:v>
                </c:pt>
                <c:pt idx="16">
                  <c:v>0.89574589199999965</c:v>
                </c:pt>
                <c:pt idx="17">
                  <c:v>0.88792129500000017</c:v>
                </c:pt>
                <c:pt idx="18">
                  <c:v>0.84195154799999994</c:v>
                </c:pt>
              </c:numCache>
            </c:numRef>
          </c:val>
          <c:extLst>
            <c:ext xmlns:c16="http://schemas.microsoft.com/office/drawing/2014/chart" uri="{C3380CC4-5D6E-409C-BE32-E72D297353CC}">
              <c16:uniqueId val="{00000000-E63E-4260-B077-6A6CC98C1ACA}"/>
            </c:ext>
          </c:extLst>
        </c:ser>
        <c:ser>
          <c:idx val="1"/>
          <c:order val="1"/>
          <c:tx>
            <c:strRef>
              <c:f>'k21 teol'!$A$3</c:f>
              <c:strCache>
                <c:ptCount val="1"/>
                <c:pt idx="0">
                  <c:v>Teollisuusprosessit</c:v>
                </c:pt>
              </c:strCache>
            </c:strRef>
          </c:tx>
          <c:spPr>
            <a:solidFill>
              <a:schemeClr val="accent2"/>
            </a:solidFill>
            <a:ln>
              <a:noFill/>
            </a:ln>
            <a:effectLst/>
          </c:spPr>
          <c:invertIfNegative val="0"/>
          <c:cat>
            <c:numRef>
              <c:f>'k21 teol'!$B$1:$T$1</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'k21 teol'!$B$3:$T$3</c:f>
              <c:numCache>
                <c:formatCode>0</c:formatCode>
                <c:ptCount val="19"/>
                <c:pt idx="0">
                  <c:v>0.53289624599999996</c:v>
                </c:pt>
                <c:pt idx="1">
                  <c:v>0.53832472200000003</c:v>
                </c:pt>
                <c:pt idx="2">
                  <c:v>0.60753237400000004</c:v>
                </c:pt>
                <c:pt idx="3">
                  <c:v>0.51626643400000005</c:v>
                </c:pt>
                <c:pt idx="4">
                  <c:v>0.46546878799999991</c:v>
                </c:pt>
                <c:pt idx="5">
                  <c:v>0.56753047099999998</c:v>
                </c:pt>
                <c:pt idx="6">
                  <c:v>0.60285316100000008</c:v>
                </c:pt>
                <c:pt idx="7">
                  <c:v>0.56784709200000005</c:v>
                </c:pt>
                <c:pt idx="8">
                  <c:v>0.47508768200000007</c:v>
                </c:pt>
                <c:pt idx="9">
                  <c:v>0.48509271900000006</c:v>
                </c:pt>
                <c:pt idx="10">
                  <c:v>0.54495417800000001</c:v>
                </c:pt>
                <c:pt idx="11">
                  <c:v>0.51792653900000007</c:v>
                </c:pt>
                <c:pt idx="12">
                  <c:v>0.56203805499999993</c:v>
                </c:pt>
                <c:pt idx="13">
                  <c:v>0.61765953500000004</c:v>
                </c:pt>
                <c:pt idx="14">
                  <c:v>0.58263977599999994</c:v>
                </c:pt>
                <c:pt idx="15">
                  <c:v>0.56938277900000012</c:v>
                </c:pt>
                <c:pt idx="16">
                  <c:v>0.55801770699999997</c:v>
                </c:pt>
                <c:pt idx="17">
                  <c:v>0.49666992300000001</c:v>
                </c:pt>
                <c:pt idx="18">
                  <c:v>0.49394045400000008</c:v>
                </c:pt>
              </c:numCache>
            </c:numRef>
          </c:val>
          <c:extLst>
            <c:ext xmlns:c16="http://schemas.microsoft.com/office/drawing/2014/chart" uri="{C3380CC4-5D6E-409C-BE32-E72D297353CC}">
              <c16:uniqueId val="{00000001-E63E-4260-B077-6A6CC98C1ACA}"/>
            </c:ext>
          </c:extLst>
        </c:ser>
        <c:dLbls>
          <c:showLegendKey val="0"/>
          <c:showVal val="0"/>
          <c:showCatName val="0"/>
          <c:showSerName val="0"/>
          <c:showPercent val="0"/>
          <c:showBubbleSize val="0"/>
        </c:dLbls>
        <c:gapWidth val="150"/>
        <c:overlap val="100"/>
        <c:axId val="1252904240"/>
        <c:axId val="1252901720"/>
      </c:barChart>
      <c:catAx>
        <c:axId val="12529042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1252901720"/>
        <c:crosses val="autoZero"/>
        <c:auto val="1"/>
        <c:lblAlgn val="ctr"/>
        <c:lblOffset val="100"/>
        <c:noMultiLvlLbl val="0"/>
      </c:catAx>
      <c:valAx>
        <c:axId val="1252901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i-FI"/>
                  <a:t>Mt CO2-ekv.</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1252904240"/>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fi-F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0"/>
          <c:tx>
            <c:strRef>
              <c:f>'kuva kumulatiivinen'!$D$18</c:f>
              <c:strCache>
                <c:ptCount val="1"/>
                <c:pt idx="0">
                  <c:v>Päästökiintiöt</c:v>
                </c:pt>
              </c:strCache>
            </c:strRef>
          </c:tx>
          <c:spPr>
            <a:solidFill>
              <a:schemeClr val="accent3"/>
            </a:solidFill>
            <a:ln>
              <a:noFill/>
            </a:ln>
            <a:effectLst/>
          </c:spPr>
          <c:invertIfNegative val="0"/>
          <c:cat>
            <c:strRef>
              <c:f>'kuva kumulatiivinen'!$E$13:$F$13</c:f>
              <c:strCache>
                <c:ptCount val="2"/>
                <c:pt idx="0">
                  <c:v>Toteutuneet päästöt 2021-2024* ja YM arvio 2025-2030</c:v>
                </c:pt>
                <c:pt idx="1">
                  <c:v>Päästökiintiöt + täysimääräinen ETS-jousto</c:v>
                </c:pt>
              </c:strCache>
            </c:strRef>
          </c:cat>
          <c:val>
            <c:numRef>
              <c:f>'kuva kumulatiivinen'!$E$18:$F$18</c:f>
              <c:numCache>
                <c:formatCode>0" Mt"</c:formatCode>
                <c:ptCount val="2"/>
                <c:pt idx="1">
                  <c:v>233.37929986706666</c:v>
                </c:pt>
              </c:numCache>
            </c:numRef>
          </c:val>
          <c:extLst>
            <c:ext xmlns:c16="http://schemas.microsoft.com/office/drawing/2014/chart" uri="{C3380CC4-5D6E-409C-BE32-E72D297353CC}">
              <c16:uniqueId val="{00000000-29FD-4AEF-BEDF-9E4A6C32AF48}"/>
            </c:ext>
          </c:extLst>
        </c:ser>
        <c:ser>
          <c:idx val="3"/>
          <c:order val="1"/>
          <c:tx>
            <c:strRef>
              <c:f>'kuva kumulatiivinen'!$D$17</c:f>
              <c:strCache>
                <c:ptCount val="1"/>
                <c:pt idx="0">
                  <c:v>ETS-jousto</c:v>
                </c:pt>
              </c:strCache>
            </c:strRef>
          </c:tx>
          <c:spPr>
            <a:solidFill>
              <a:schemeClr val="accent4"/>
            </a:solidFill>
            <a:ln>
              <a:noFill/>
            </a:ln>
            <a:effectLst/>
          </c:spPr>
          <c:invertIfNegative val="0"/>
          <c:cat>
            <c:strRef>
              <c:f>'kuva kumulatiivinen'!$E$13:$F$13</c:f>
              <c:strCache>
                <c:ptCount val="2"/>
                <c:pt idx="0">
                  <c:v>Toteutuneet päästöt 2021-2024* ja YM arvio 2025-2030</c:v>
                </c:pt>
                <c:pt idx="1">
                  <c:v>Päästökiintiöt + täysimääräinen ETS-jousto</c:v>
                </c:pt>
              </c:strCache>
            </c:strRef>
          </c:cat>
          <c:val>
            <c:numRef>
              <c:f>'kuva kumulatiivinen'!$E$17:$F$17</c:f>
              <c:numCache>
                <c:formatCode>0" Mt"</c:formatCode>
                <c:ptCount val="2"/>
                <c:pt idx="1">
                  <c:v>6.858217649800002</c:v>
                </c:pt>
              </c:numCache>
            </c:numRef>
          </c:val>
          <c:extLst>
            <c:ext xmlns:c16="http://schemas.microsoft.com/office/drawing/2014/chart" uri="{C3380CC4-5D6E-409C-BE32-E72D297353CC}">
              <c16:uniqueId val="{00000001-29FD-4AEF-BEDF-9E4A6C32AF48}"/>
            </c:ext>
          </c:extLst>
        </c:ser>
        <c:ser>
          <c:idx val="0"/>
          <c:order val="2"/>
          <c:tx>
            <c:strRef>
              <c:f>'kuva kumulatiivinen'!$D$14</c:f>
              <c:strCache>
                <c:ptCount val="1"/>
                <c:pt idx="0">
                  <c:v>Toteutuneet päästöt 2021-2024*</c:v>
                </c:pt>
              </c:strCache>
            </c:strRef>
          </c:tx>
          <c:spPr>
            <a:solidFill>
              <a:schemeClr val="accent1"/>
            </a:solidFill>
            <a:ln>
              <a:noFill/>
            </a:ln>
            <a:effectLst/>
          </c:spPr>
          <c:invertIfNegative val="0"/>
          <c:cat>
            <c:strRef>
              <c:f>'kuva kumulatiivinen'!$E$13:$F$13</c:f>
              <c:strCache>
                <c:ptCount val="2"/>
                <c:pt idx="0">
                  <c:v>Toteutuneet päästöt 2021-2024* ja YM arvio 2025-2030</c:v>
                </c:pt>
                <c:pt idx="1">
                  <c:v>Päästökiintiöt + täysimääräinen ETS-jousto</c:v>
                </c:pt>
              </c:strCache>
            </c:strRef>
          </c:cat>
          <c:val>
            <c:numRef>
              <c:f>'kuva kumulatiivinen'!$E$14:$F$14</c:f>
              <c:numCache>
                <c:formatCode>General</c:formatCode>
                <c:ptCount val="2"/>
                <c:pt idx="0" formatCode="0&quot; Mt&quot;">
                  <c:v>104.96435879239002</c:v>
                </c:pt>
              </c:numCache>
            </c:numRef>
          </c:val>
          <c:extLst>
            <c:ext xmlns:c16="http://schemas.microsoft.com/office/drawing/2014/chart" uri="{C3380CC4-5D6E-409C-BE32-E72D297353CC}">
              <c16:uniqueId val="{00000002-29FD-4AEF-BEDF-9E4A6C32AF48}"/>
            </c:ext>
          </c:extLst>
        </c:ser>
        <c:ser>
          <c:idx val="1"/>
          <c:order val="3"/>
          <c:tx>
            <c:strRef>
              <c:f>'kuva kumulatiivinen'!$D$15</c:f>
              <c:strCache>
                <c:ptCount val="1"/>
                <c:pt idx="0">
                  <c:v>YM arvio toimenpideohjelmalla saavutettavasta päästötasosta 2025-2030</c:v>
                </c:pt>
              </c:strCache>
            </c:strRef>
          </c:tx>
          <c:spPr>
            <a:solidFill>
              <a:schemeClr val="accent2"/>
            </a:solidFill>
            <a:ln>
              <a:noFill/>
            </a:ln>
            <a:effectLst/>
          </c:spPr>
          <c:invertIfNegative val="0"/>
          <c:cat>
            <c:strRef>
              <c:f>'kuva kumulatiivinen'!$E$13:$F$13</c:f>
              <c:strCache>
                <c:ptCount val="2"/>
                <c:pt idx="0">
                  <c:v>Toteutuneet päästöt 2021-2024* ja YM arvio 2025-2030</c:v>
                </c:pt>
                <c:pt idx="1">
                  <c:v>Päästökiintiöt + täysimääräinen ETS-jousto</c:v>
                </c:pt>
              </c:strCache>
            </c:strRef>
          </c:cat>
          <c:val>
            <c:numRef>
              <c:f>'kuva kumulatiivinen'!$E$15:$F$15</c:f>
              <c:numCache>
                <c:formatCode>General</c:formatCode>
                <c:ptCount val="2"/>
                <c:pt idx="0" formatCode="0&quot; Mt&quot;">
                  <c:v>128.83699999999999</c:v>
                </c:pt>
              </c:numCache>
            </c:numRef>
          </c:val>
          <c:extLst>
            <c:ext xmlns:c16="http://schemas.microsoft.com/office/drawing/2014/chart" uri="{C3380CC4-5D6E-409C-BE32-E72D297353CC}">
              <c16:uniqueId val="{00000003-29FD-4AEF-BEDF-9E4A6C32AF48}"/>
            </c:ext>
          </c:extLst>
        </c:ser>
        <c:dLbls>
          <c:showLegendKey val="0"/>
          <c:showVal val="0"/>
          <c:showCatName val="0"/>
          <c:showSerName val="0"/>
          <c:showPercent val="0"/>
          <c:showBubbleSize val="0"/>
        </c:dLbls>
        <c:gapWidth val="50"/>
        <c:overlap val="100"/>
        <c:axId val="679881696"/>
        <c:axId val="679882056"/>
      </c:barChart>
      <c:lineChart>
        <c:grouping val="standard"/>
        <c:varyColors val="0"/>
        <c:ser>
          <c:idx val="5"/>
          <c:order val="4"/>
          <c:tx>
            <c:strRef>
              <c:f>'kuva kumulatiivinen'!$D$19</c:f>
              <c:strCache>
                <c:ptCount val="1"/>
                <c:pt idx="0">
                  <c:v>yhteensä</c:v>
                </c:pt>
              </c:strCache>
            </c:strRef>
          </c:tx>
          <c:spPr>
            <a:ln w="28575" cap="rnd">
              <a:noFill/>
              <a:round/>
            </a:ln>
            <a:effectLst/>
          </c:spPr>
          <c:marker>
            <c:symbol val="none"/>
          </c:marker>
          <c:cat>
            <c:strRef>
              <c:f>'kuva kumulatiivinen'!$E$13:$F$13</c:f>
              <c:strCache>
                <c:ptCount val="2"/>
                <c:pt idx="0">
                  <c:v>Toteutuneet päästöt 2021-2024* ja YM arvio 2025-2030</c:v>
                </c:pt>
                <c:pt idx="1">
                  <c:v>Päästökiintiöt + täysimääräinen ETS-jousto</c:v>
                </c:pt>
              </c:strCache>
            </c:strRef>
          </c:cat>
          <c:val>
            <c:numRef>
              <c:f>'kuva kumulatiivinen'!$E$19:$F$19</c:f>
              <c:numCache>
                <c:formatCode>0" Mt"</c:formatCode>
                <c:ptCount val="2"/>
                <c:pt idx="0">
                  <c:v>233.80135879239</c:v>
                </c:pt>
                <c:pt idx="1">
                  <c:v>240.23751751686666</c:v>
                </c:pt>
              </c:numCache>
            </c:numRef>
          </c:val>
          <c:smooth val="0"/>
          <c:extLst>
            <c:ext xmlns:c16="http://schemas.microsoft.com/office/drawing/2014/chart" uri="{C3380CC4-5D6E-409C-BE32-E72D297353CC}">
              <c16:uniqueId val="{00000004-29FD-4AEF-BEDF-9E4A6C32AF48}"/>
            </c:ext>
          </c:extLst>
        </c:ser>
        <c:dLbls>
          <c:showLegendKey val="0"/>
          <c:showVal val="0"/>
          <c:showCatName val="0"/>
          <c:showSerName val="0"/>
          <c:showPercent val="0"/>
          <c:showBubbleSize val="0"/>
        </c:dLbls>
        <c:marker val="1"/>
        <c:smooth val="0"/>
        <c:axId val="679881696"/>
        <c:axId val="679882056"/>
      </c:lineChart>
      <c:catAx>
        <c:axId val="6798816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i-FI"/>
          </a:p>
        </c:txPr>
        <c:crossAx val="679882056"/>
        <c:crosses val="autoZero"/>
        <c:auto val="1"/>
        <c:lblAlgn val="ctr"/>
        <c:lblOffset val="100"/>
        <c:noMultiLvlLbl val="0"/>
      </c:catAx>
      <c:valAx>
        <c:axId val="679882056"/>
        <c:scaling>
          <c:orientation val="minMax"/>
          <c:max val="250"/>
        </c:scaling>
        <c:delete val="0"/>
        <c:axPos val="l"/>
        <c:majorGridlines>
          <c:spPr>
            <a:ln w="9525" cap="flat" cmpd="sng" algn="ctr">
              <a:solidFill>
                <a:schemeClr val="tx1">
                  <a:lumMod val="15000"/>
                  <a:lumOff val="85000"/>
                </a:schemeClr>
              </a:solidFill>
              <a:round/>
            </a:ln>
            <a:effectLst/>
          </c:spPr>
        </c:majorGridlines>
        <c:numFmt formatCode="0&quot; Mt&quot;"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i-FI"/>
          </a:p>
        </c:txPr>
        <c:crossAx val="679881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fi-FI"/>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fi-F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2"/>
          <c:order val="2"/>
          <c:tx>
            <c:strRef>
              <c:f>'kuva kohti 2035'!$A$6</c:f>
              <c:strCache>
                <c:ptCount val="1"/>
                <c:pt idx="0">
                  <c:v>KEITO WAM päästötasot</c:v>
                </c:pt>
              </c:strCache>
            </c:strRef>
          </c:tx>
          <c:spPr>
            <a:solidFill>
              <a:schemeClr val="accent3"/>
            </a:solidFill>
            <a:ln>
              <a:noFill/>
              <a:prstDash val="sysDash"/>
            </a:ln>
            <a:effectLst/>
          </c:spPr>
          <c:invertIfNegative val="0"/>
          <c:cat>
            <c:numRef>
              <c:f>'kuva kohti 2035'!$L$3:$U$3</c:f>
              <c:numCache>
                <c:formatCode>General</c:formatCode>
                <c:ptCount val="10"/>
                <c:pt idx="0">
                  <c:v>2031</c:v>
                </c:pt>
                <c:pt idx="1">
                  <c:v>2032</c:v>
                </c:pt>
                <c:pt idx="2">
                  <c:v>2033</c:v>
                </c:pt>
                <c:pt idx="3">
                  <c:v>2034</c:v>
                </c:pt>
                <c:pt idx="4">
                  <c:v>2035</c:v>
                </c:pt>
                <c:pt idx="5">
                  <c:v>2036</c:v>
                </c:pt>
                <c:pt idx="6">
                  <c:v>2037</c:v>
                </c:pt>
                <c:pt idx="7">
                  <c:v>2038</c:v>
                </c:pt>
                <c:pt idx="8">
                  <c:v>2039</c:v>
                </c:pt>
                <c:pt idx="9">
                  <c:v>2040</c:v>
                </c:pt>
              </c:numCache>
            </c:numRef>
          </c:cat>
          <c:val>
            <c:numRef>
              <c:f>'kuva kohti 2035'!$L$6:$U$6</c:f>
              <c:numCache>
                <c:formatCode>General</c:formatCode>
                <c:ptCount val="10"/>
                <c:pt idx="4">
                  <c:v>14.5</c:v>
                </c:pt>
                <c:pt idx="9">
                  <c:v>12.5</c:v>
                </c:pt>
              </c:numCache>
            </c:numRef>
          </c:val>
          <c:extLst>
            <c:ext xmlns:c16="http://schemas.microsoft.com/office/drawing/2014/chart" uri="{C3380CC4-5D6E-409C-BE32-E72D297353CC}">
              <c16:uniqueId val="{00000000-5D83-47D1-896E-9A5031CF227C}"/>
            </c:ext>
          </c:extLst>
        </c:ser>
        <c:dLbls>
          <c:showLegendKey val="0"/>
          <c:showVal val="0"/>
          <c:showCatName val="0"/>
          <c:showSerName val="0"/>
          <c:showPercent val="0"/>
          <c:showBubbleSize val="0"/>
        </c:dLbls>
        <c:gapWidth val="50"/>
        <c:overlap val="100"/>
        <c:axId val="2143614160"/>
        <c:axId val="2143614880"/>
      </c:barChart>
      <c:lineChart>
        <c:grouping val="standard"/>
        <c:varyColors val="0"/>
        <c:ser>
          <c:idx val="0"/>
          <c:order val="0"/>
          <c:tx>
            <c:strRef>
              <c:f>'kuva kohti 2035'!$A$4</c:f>
              <c:strCache>
                <c:ptCount val="1"/>
                <c:pt idx="0">
                  <c:v>2026-2030 kiintiöt</c:v>
                </c:pt>
              </c:strCache>
            </c:strRef>
          </c:tx>
          <c:spPr>
            <a:ln w="28575" cap="rnd">
              <a:solidFill>
                <a:srgbClr val="000000"/>
              </a:solidFill>
              <a:round/>
            </a:ln>
            <a:effectLst/>
          </c:spPr>
          <c:marker>
            <c:symbol val="none"/>
          </c:marker>
          <c:cat>
            <c:numRef>
              <c:f>'kuva kohti 2035'!$L$3:$U$3</c:f>
              <c:numCache>
                <c:formatCode>General</c:formatCode>
                <c:ptCount val="10"/>
                <c:pt idx="0">
                  <c:v>2031</c:v>
                </c:pt>
                <c:pt idx="1">
                  <c:v>2032</c:v>
                </c:pt>
                <c:pt idx="2">
                  <c:v>2033</c:v>
                </c:pt>
                <c:pt idx="3">
                  <c:v>2034</c:v>
                </c:pt>
                <c:pt idx="4">
                  <c:v>2035</c:v>
                </c:pt>
                <c:pt idx="5">
                  <c:v>2036</c:v>
                </c:pt>
                <c:pt idx="6">
                  <c:v>2037</c:v>
                </c:pt>
                <c:pt idx="7">
                  <c:v>2038</c:v>
                </c:pt>
                <c:pt idx="8">
                  <c:v>2039</c:v>
                </c:pt>
                <c:pt idx="9">
                  <c:v>2040</c:v>
                </c:pt>
              </c:numCache>
            </c:numRef>
          </c:cat>
          <c:val>
            <c:numRef>
              <c:f>'kuva kohti 2035'!$L$4:$U$4</c:f>
              <c:numCache>
                <c:formatCode>General</c:formatCode>
                <c:ptCount val="10"/>
              </c:numCache>
            </c:numRef>
          </c:val>
          <c:smooth val="0"/>
          <c:extLst>
            <c:ext xmlns:c16="http://schemas.microsoft.com/office/drawing/2014/chart" uri="{C3380CC4-5D6E-409C-BE32-E72D297353CC}">
              <c16:uniqueId val="{00000001-5D83-47D1-896E-9A5031CF227C}"/>
            </c:ext>
          </c:extLst>
        </c:ser>
        <c:ser>
          <c:idx val="1"/>
          <c:order val="1"/>
          <c:tx>
            <c:strRef>
              <c:f>'kuva kohti 2035'!$A$5</c:f>
              <c:strCache>
                <c:ptCount val="1"/>
                <c:pt idx="0">
                  <c:v>Havainnollistus 2030-2040 tavoitepolulle, 1,5 Mt vähennys per vuosi </c:v>
                </c:pt>
              </c:strCache>
            </c:strRef>
          </c:tx>
          <c:spPr>
            <a:ln w="28575" cap="rnd">
              <a:solidFill>
                <a:srgbClr val="000000"/>
              </a:solidFill>
              <a:prstDash val="sysDash"/>
              <a:round/>
            </a:ln>
            <a:effectLst/>
          </c:spPr>
          <c:marker>
            <c:symbol val="none"/>
          </c:marker>
          <c:cat>
            <c:numRef>
              <c:f>'kuva kohti 2035'!$L$3:$U$3</c:f>
              <c:numCache>
                <c:formatCode>General</c:formatCode>
                <c:ptCount val="10"/>
                <c:pt idx="0">
                  <c:v>2031</c:v>
                </c:pt>
                <c:pt idx="1">
                  <c:v>2032</c:v>
                </c:pt>
                <c:pt idx="2">
                  <c:v>2033</c:v>
                </c:pt>
                <c:pt idx="3">
                  <c:v>2034</c:v>
                </c:pt>
                <c:pt idx="4">
                  <c:v>2035</c:v>
                </c:pt>
                <c:pt idx="5">
                  <c:v>2036</c:v>
                </c:pt>
                <c:pt idx="6">
                  <c:v>2037</c:v>
                </c:pt>
                <c:pt idx="7">
                  <c:v>2038</c:v>
                </c:pt>
                <c:pt idx="8">
                  <c:v>2039</c:v>
                </c:pt>
                <c:pt idx="9">
                  <c:v>2040</c:v>
                </c:pt>
              </c:numCache>
            </c:numRef>
          </c:cat>
          <c:val>
            <c:numRef>
              <c:f>'kuva kohti 2035'!$L$5:$U$5</c:f>
              <c:numCache>
                <c:formatCode>0.0</c:formatCode>
                <c:ptCount val="10"/>
                <c:pt idx="0">
                  <c:v>15.645544124500006</c:v>
                </c:pt>
                <c:pt idx="1">
                  <c:v>14.145544124500006</c:v>
                </c:pt>
                <c:pt idx="2">
                  <c:v>12.645544124500006</c:v>
                </c:pt>
                <c:pt idx="3">
                  <c:v>11.145544124500006</c:v>
                </c:pt>
                <c:pt idx="4">
                  <c:v>9.645544124500006</c:v>
                </c:pt>
                <c:pt idx="5">
                  <c:v>8.145544124500006</c:v>
                </c:pt>
                <c:pt idx="6">
                  <c:v>6.645544124500006</c:v>
                </c:pt>
                <c:pt idx="7">
                  <c:v>5.145544124500006</c:v>
                </c:pt>
                <c:pt idx="8">
                  <c:v>3.645544124500006</c:v>
                </c:pt>
                <c:pt idx="9">
                  <c:v>2.145544124500006</c:v>
                </c:pt>
              </c:numCache>
            </c:numRef>
          </c:val>
          <c:smooth val="0"/>
          <c:extLst>
            <c:ext xmlns:c16="http://schemas.microsoft.com/office/drawing/2014/chart" uri="{C3380CC4-5D6E-409C-BE32-E72D297353CC}">
              <c16:uniqueId val="{00000002-5D83-47D1-896E-9A5031CF227C}"/>
            </c:ext>
          </c:extLst>
        </c:ser>
        <c:dLbls>
          <c:showLegendKey val="0"/>
          <c:showVal val="0"/>
          <c:showCatName val="0"/>
          <c:showSerName val="0"/>
          <c:showPercent val="0"/>
          <c:showBubbleSize val="0"/>
        </c:dLbls>
        <c:marker val="1"/>
        <c:smooth val="0"/>
        <c:axId val="2143614160"/>
        <c:axId val="2143614880"/>
      </c:lineChart>
      <c:catAx>
        <c:axId val="21436141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143614880"/>
        <c:crosses val="autoZero"/>
        <c:auto val="1"/>
        <c:lblAlgn val="ctr"/>
        <c:lblOffset val="100"/>
        <c:noMultiLvlLbl val="0"/>
      </c:catAx>
      <c:valAx>
        <c:axId val="2143614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i-FI"/>
                  <a:t>Mt CO2-ekv.</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143614160"/>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span"/>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fi-F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61720036279397"/>
          <c:y val="0.18982072864234145"/>
          <c:w val="0.54704733074910039"/>
          <c:h val="0.65926216782583891"/>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904-4F4F-8FF0-A48F9847BF5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904-4F4F-8FF0-A48F9847BF5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904-4F4F-8FF0-A48F9847BF5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904-4F4F-8FF0-A48F9847BF5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904-4F4F-8FF0-A48F9847BF5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904-4F4F-8FF0-A48F9847BF5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904-4F4F-8FF0-A48F9847BF5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904-4F4F-8FF0-A48F9847BF5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904-4F4F-8FF0-A48F9847BF5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904-4F4F-8FF0-A48F9847BF5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904-4F4F-8FF0-A48F9847BF5A}"/>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0904-4F4F-8FF0-A48F9847BF5A}"/>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0904-4F4F-8FF0-A48F9847BF5A}"/>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0904-4F4F-8FF0-A48F9847BF5A}"/>
              </c:ext>
            </c:extLst>
          </c:dPt>
          <c:dLbls>
            <c:dLbl>
              <c:idx val="0"/>
              <c:layout>
                <c:manualLayout>
                  <c:x val="0.13324080499653018"/>
                  <c:y val="-0.1483198146002317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904-4F4F-8FF0-A48F9847BF5A}"/>
                </c:ext>
              </c:extLst>
            </c:dLbl>
            <c:dLbl>
              <c:idx val="1"/>
              <c:layout>
                <c:manualLayout>
                  <c:x val="0.16655100624566282"/>
                  <c:y val="-4.634994206257327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904-4F4F-8FF0-A48F9847BF5A}"/>
                </c:ext>
              </c:extLst>
            </c:dLbl>
            <c:dLbl>
              <c:idx val="2"/>
              <c:layout>
                <c:manualLayout>
                  <c:x val="0.17987833692468547"/>
                  <c:y val="0.1025847100677402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904-4F4F-8FF0-A48F9847BF5A}"/>
                </c:ext>
              </c:extLst>
            </c:dLbl>
            <c:dLbl>
              <c:idx val="3"/>
              <c:layout>
                <c:manualLayout>
                  <c:x val="0.1144534115920762"/>
                  <c:y val="0.1343943412908928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904-4F4F-8FF0-A48F9847BF5A}"/>
                </c:ext>
              </c:extLst>
            </c:dLbl>
            <c:dLbl>
              <c:idx val="4"/>
              <c:layout>
                <c:manualLayout>
                  <c:x val="5.5759354365370509E-2"/>
                  <c:y val="0.1839080459770116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904-4F4F-8FF0-A48F9847BF5A}"/>
                </c:ext>
              </c:extLst>
            </c:dLbl>
            <c:dLbl>
              <c:idx val="5"/>
              <c:layout>
                <c:manualLayout>
                  <c:x val="-0.18135298955893989"/>
                  <c:y val="0.19451803818640317"/>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2806890156694485"/>
                      <c:h val="8.3784232853246279E-2"/>
                    </c:manualLayout>
                  </c15:layout>
                </c:ext>
                <c:ext xmlns:c16="http://schemas.microsoft.com/office/drawing/2014/chart" uri="{C3380CC4-5D6E-409C-BE32-E72D297353CC}">
                  <c16:uniqueId val="{0000000B-0904-4F4F-8FF0-A48F9847BF5A}"/>
                </c:ext>
              </c:extLst>
            </c:dLbl>
            <c:dLbl>
              <c:idx val="6"/>
              <c:layout>
                <c:manualLayout>
                  <c:x val="-0.13206174429957077"/>
                  <c:y val="0.1432360742705570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fi-FI"/>
                </a:p>
              </c:txPr>
              <c:showLegendKey val="0"/>
              <c:showVal val="1"/>
              <c:showCatName val="1"/>
              <c:showSerName val="0"/>
              <c:showPercent val="0"/>
              <c:showBubbleSize val="0"/>
              <c:separator> </c:separator>
              <c:extLst>
                <c:ext xmlns:c15="http://schemas.microsoft.com/office/drawing/2012/chart" uri="{CE6537A1-D6FC-4f65-9D91-7224C49458BB}">
                  <c15:layout>
                    <c:manualLayout>
                      <c:w val="0.37571544936193313"/>
                      <c:h val="0.13342188990301942"/>
                    </c:manualLayout>
                  </c15:layout>
                </c:ext>
                <c:ext xmlns:c16="http://schemas.microsoft.com/office/drawing/2014/chart" uri="{C3380CC4-5D6E-409C-BE32-E72D297353CC}">
                  <c16:uniqueId val="{0000000D-0904-4F4F-8FF0-A48F9847BF5A}"/>
                </c:ext>
              </c:extLst>
            </c:dLbl>
            <c:dLbl>
              <c:idx val="7"/>
              <c:layout>
                <c:manualLayout>
                  <c:x val="-0.18195157740278797"/>
                  <c:y val="8.488063660477440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0904-4F4F-8FF0-A48F9847BF5A}"/>
                </c:ext>
              </c:extLst>
            </c:dLbl>
            <c:dLbl>
              <c:idx val="8"/>
              <c:layout>
                <c:manualLayout>
                  <c:x val="-0.21716801173881148"/>
                  <c:y val="1.414677276746242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0904-4F4F-8FF0-A48F9847BF5A}"/>
                </c:ext>
              </c:extLst>
            </c:dLbl>
            <c:dLbl>
              <c:idx val="9"/>
              <c:layout>
                <c:manualLayout>
                  <c:x val="-0.20542920029347028"/>
                  <c:y val="-6.4838626162860438E-1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0904-4F4F-8FF0-A48F9847BF5A}"/>
                </c:ext>
              </c:extLst>
            </c:dLbl>
            <c:dLbl>
              <c:idx val="10"/>
              <c:layout>
                <c:manualLayout>
                  <c:x val="-0.1922230374174615"/>
                  <c:y val="-6.366047745358097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0848129126925896"/>
                      <c:h val="8.3784261715296196E-2"/>
                    </c:manualLayout>
                  </c15:layout>
                </c:ext>
                <c:ext xmlns:c16="http://schemas.microsoft.com/office/drawing/2014/chart" uri="{C3380CC4-5D6E-409C-BE32-E72D297353CC}">
                  <c16:uniqueId val="{00000015-0904-4F4F-8FF0-A48F9847BF5A}"/>
                </c:ext>
              </c:extLst>
            </c:dLbl>
            <c:dLbl>
              <c:idx val="11"/>
              <c:layout>
                <c:manualLayout>
                  <c:x val="-0.17608217168011739"/>
                  <c:y val="-0.1131741821396994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191500915650398"/>
                      <c:h val="0.12037149202503532"/>
                    </c:manualLayout>
                  </c15:layout>
                </c:ext>
                <c:ext xmlns:c16="http://schemas.microsoft.com/office/drawing/2014/chart" uri="{C3380CC4-5D6E-409C-BE32-E72D297353CC}">
                  <c16:uniqueId val="{00000017-0904-4F4F-8FF0-A48F9847BF5A}"/>
                </c:ext>
              </c:extLst>
            </c:dLbl>
            <c:dLbl>
              <c:idx val="12"/>
              <c:layout>
                <c:manualLayout>
                  <c:x val="-0.24358033749082905"/>
                  <c:y val="-0.18390790673712204"/>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5228173147468816"/>
                      <c:h val="0.12037149202503532"/>
                    </c:manualLayout>
                  </c15:layout>
                </c:ext>
                <c:ext xmlns:c16="http://schemas.microsoft.com/office/drawing/2014/chart" uri="{C3380CC4-5D6E-409C-BE32-E72D297353CC}">
                  <c16:uniqueId val="{00000019-0904-4F4F-8FF0-A48F9847BF5A}"/>
                </c:ext>
              </c:extLst>
            </c:dLbl>
            <c:dLbl>
              <c:idx val="13"/>
              <c:layout>
                <c:manualLayout>
                  <c:x val="-4.4020542920029148E-3"/>
                  <c:y val="-0.17329796640141468"/>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7176815847395455"/>
                      <c:h val="8.3784261715296196E-2"/>
                    </c:manualLayout>
                  </c15:layout>
                </c:ext>
                <c:ext xmlns:c16="http://schemas.microsoft.com/office/drawing/2014/chart" uri="{C3380CC4-5D6E-409C-BE32-E72D297353CC}">
                  <c16:uniqueId val="{0000001B-0904-4F4F-8FF0-A48F9847BF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 luku 4 tjs jakauma'!$B$4:$B$17</c:f>
              <c:strCache>
                <c:ptCount val="14"/>
                <c:pt idx="0">
                  <c:v>Erillislämmitys</c:v>
                </c:pt>
                <c:pt idx="1">
                  <c:v>Tieliikenne</c:v>
                </c:pt>
                <c:pt idx="2">
                  <c:v>Muu liikenne</c:v>
                </c:pt>
                <c:pt idx="3">
                  <c:v>F-kaasut</c:v>
                </c:pt>
                <c:pt idx="4">
                  <c:v>Jätteiden käsittely</c:v>
                </c:pt>
                <c:pt idx="5">
                  <c:v>Jätteen poltto</c:v>
                </c:pt>
                <c:pt idx="6">
                  <c:v>Teollisuusprosessit ja polttoaineet</c:v>
                </c:pt>
                <c:pt idx="7">
                  <c:v>Kauko- ja aluelämpö</c:v>
                </c:pt>
                <c:pt idx="8">
                  <c:v>Työkoneet</c:v>
                </c:pt>
                <c:pt idx="9">
                  <c:v>Kotieläinten ruoansulatus</c:v>
                </c:pt>
                <c:pt idx="10">
                  <c:v>Lannankäsittely</c:v>
                </c:pt>
                <c:pt idx="11">
                  <c:v>Maatalousmaiden maaperä</c:v>
                </c:pt>
                <c:pt idx="12">
                  <c:v>Kasvintähteiden poltto pellolla ja kalkitus</c:v>
                </c:pt>
                <c:pt idx="13">
                  <c:v>Muut päästöt</c:v>
                </c:pt>
              </c:strCache>
            </c:strRef>
          </c:cat>
          <c:val>
            <c:numRef>
              <c:f>'k luku 4 tjs jakauma'!$C$4:$C$17</c:f>
              <c:numCache>
                <c:formatCode>0%</c:formatCode>
                <c:ptCount val="14"/>
                <c:pt idx="0">
                  <c:v>6.2811833799768652E-2</c:v>
                </c:pt>
                <c:pt idx="1">
                  <c:v>0.34868245896129246</c:v>
                </c:pt>
                <c:pt idx="2">
                  <c:v>1.4770160770631155E-2</c:v>
                </c:pt>
                <c:pt idx="3">
                  <c:v>2.8468451256624054E-2</c:v>
                </c:pt>
                <c:pt idx="4">
                  <c:v>6.4336115539349953E-2</c:v>
                </c:pt>
                <c:pt idx="5">
                  <c:v>2.8503825787139031E-2</c:v>
                </c:pt>
                <c:pt idx="6">
                  <c:v>5.2170030171029939E-2</c:v>
                </c:pt>
                <c:pt idx="7">
                  <c:v>2.1875115061716775E-2</c:v>
                </c:pt>
                <c:pt idx="8">
                  <c:v>9.3030665812268834E-2</c:v>
                </c:pt>
                <c:pt idx="9">
                  <c:v>8.229893490781795E-2</c:v>
                </c:pt>
                <c:pt idx="10">
                  <c:v>3.109830495501309E-2</c:v>
                </c:pt>
                <c:pt idx="11">
                  <c:v>0.12122025977348252</c:v>
                </c:pt>
                <c:pt idx="12">
                  <c:v>6.8660023284941108E-3</c:v>
                </c:pt>
                <c:pt idx="13">
                  <c:v>4.3867840875371614E-2</c:v>
                </c:pt>
              </c:numCache>
            </c:numRef>
          </c:val>
          <c:extLst>
            <c:ext xmlns:c16="http://schemas.microsoft.com/office/drawing/2014/chart" uri="{C3380CC4-5D6E-409C-BE32-E72D297353CC}">
              <c16:uniqueId val="{0000001C-0904-4F4F-8FF0-A48F9847BF5A}"/>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'k12'!$B$6</c:f>
              <c:strCache>
                <c:ptCount val="1"/>
                <c:pt idx="0">
                  <c:v>Liikenne</c:v>
                </c:pt>
              </c:strCache>
            </c:strRef>
          </c:tx>
          <c:spPr>
            <a:solidFill>
              <a:schemeClr val="accent1"/>
            </a:solidFill>
            <a:ln>
              <a:noFill/>
            </a:ln>
            <a:effectLst/>
          </c:spPr>
          <c:invertIfNegative val="0"/>
          <c:cat>
            <c:strRef>
              <c:f>'k12'!$C$5:$V$5</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extLst/>
            </c:strRef>
          </c:cat>
          <c:val>
            <c:numRef>
              <c:f>'k12'!$C$6:$V$6</c:f>
              <c:numCache>
                <c:formatCode>0.0</c:formatCode>
                <c:ptCount val="20"/>
                <c:pt idx="0">
                  <c:v>12.567715372999999</c:v>
                </c:pt>
                <c:pt idx="1">
                  <c:v>12.750445735</c:v>
                </c:pt>
                <c:pt idx="2">
                  <c:v>13.123108484999999</c:v>
                </c:pt>
                <c:pt idx="3">
                  <c:v>12.487104475000001</c:v>
                </c:pt>
                <c:pt idx="4">
                  <c:v>11.937301428000001</c:v>
                </c:pt>
                <c:pt idx="5">
                  <c:v>12.440505386000002</c:v>
                </c:pt>
                <c:pt idx="6">
                  <c:v>12.236602576999999</c:v>
                </c:pt>
                <c:pt idx="7">
                  <c:v>11.971730536999999</c:v>
                </c:pt>
                <c:pt idx="8">
                  <c:v>11.781373557</c:v>
                </c:pt>
                <c:pt idx="9">
                  <c:v>10.658483846999999</c:v>
                </c:pt>
                <c:pt idx="10">
                  <c:v>10.671109416999998</c:v>
                </c:pt>
                <c:pt idx="11">
                  <c:v>11.879149499999999</c:v>
                </c:pt>
                <c:pt idx="12">
                  <c:v>11.270943559999999</c:v>
                </c:pt>
                <c:pt idx="13">
                  <c:v>11.448832167999999</c:v>
                </c:pt>
                <c:pt idx="14">
                  <c:v>11.047863718</c:v>
                </c:pt>
                <c:pt idx="15">
                  <c:v>10.362300540999998</c:v>
                </c:pt>
                <c:pt idx="16">
                  <c:v>9.9122989060000002</c:v>
                </c:pt>
                <c:pt idx="17">
                  <c:v>9.6847496749999991</c:v>
                </c:pt>
                <c:pt idx="18">
                  <c:v>9.3067503739999999</c:v>
                </c:pt>
              </c:numCache>
              <c:extLst/>
            </c:numRef>
          </c:val>
          <c:extLst>
            <c:ext xmlns:c16="http://schemas.microsoft.com/office/drawing/2014/chart" uri="{C3380CC4-5D6E-409C-BE32-E72D297353CC}">
              <c16:uniqueId val="{00000000-811D-4C48-894F-F9BB505003D6}"/>
            </c:ext>
          </c:extLst>
        </c:ser>
        <c:ser>
          <c:idx val="1"/>
          <c:order val="1"/>
          <c:tx>
            <c:strRef>
              <c:f>'k12'!$B$7</c:f>
              <c:strCache>
                <c:ptCount val="1"/>
                <c:pt idx="0">
                  <c:v>Maatalous</c:v>
                </c:pt>
              </c:strCache>
            </c:strRef>
          </c:tx>
          <c:spPr>
            <a:solidFill>
              <a:schemeClr val="accent2"/>
            </a:solidFill>
            <a:ln>
              <a:noFill/>
            </a:ln>
            <a:effectLst/>
          </c:spPr>
          <c:invertIfNegative val="0"/>
          <c:cat>
            <c:strRef>
              <c:f>'k12'!$C$5:$V$5</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extLst/>
            </c:strRef>
          </c:cat>
          <c:val>
            <c:numRef>
              <c:f>'k12'!$C$7:$V$7</c:f>
              <c:numCache>
                <c:formatCode>0.0</c:formatCode>
                <c:ptCount val="20"/>
                <c:pt idx="0">
                  <c:v>6.3942814559999999</c:v>
                </c:pt>
                <c:pt idx="1">
                  <c:v>6.4031427160000005</c:v>
                </c:pt>
                <c:pt idx="2">
                  <c:v>6.3290534319999994</c:v>
                </c:pt>
                <c:pt idx="3">
                  <c:v>6.4431218399999999</c:v>
                </c:pt>
                <c:pt idx="4">
                  <c:v>6.303786584</c:v>
                </c:pt>
                <c:pt idx="5">
                  <c:v>6.493179789</c:v>
                </c:pt>
                <c:pt idx="6">
                  <c:v>6.3256965169999999</c:v>
                </c:pt>
                <c:pt idx="7">
                  <c:v>6.225142441</c:v>
                </c:pt>
                <c:pt idx="8">
                  <c:v>6.4043413300000003</c:v>
                </c:pt>
                <c:pt idx="9">
                  <c:v>6.4812038339999996</c:v>
                </c:pt>
                <c:pt idx="10">
                  <c:v>6.3960516409999997</c:v>
                </c:pt>
                <c:pt idx="11">
                  <c:v>6.4938816939999997</c:v>
                </c:pt>
                <c:pt idx="12">
                  <c:v>6.3270556869999997</c:v>
                </c:pt>
                <c:pt idx="13">
                  <c:v>6.404341692</c:v>
                </c:pt>
                <c:pt idx="14">
                  <c:v>6.3982248080000002</c:v>
                </c:pt>
                <c:pt idx="15">
                  <c:v>6.3711567870000003</c:v>
                </c:pt>
                <c:pt idx="16">
                  <c:v>6.3762793589999998</c:v>
                </c:pt>
                <c:pt idx="17">
                  <c:v>6.068424126</c:v>
                </c:pt>
                <c:pt idx="18">
                  <c:v>6.1954542250000006</c:v>
                </c:pt>
              </c:numCache>
              <c:extLst/>
            </c:numRef>
          </c:val>
          <c:extLst>
            <c:ext xmlns:c16="http://schemas.microsoft.com/office/drawing/2014/chart" uri="{C3380CC4-5D6E-409C-BE32-E72D297353CC}">
              <c16:uniqueId val="{00000001-811D-4C48-894F-F9BB505003D6}"/>
            </c:ext>
          </c:extLst>
        </c:ser>
        <c:ser>
          <c:idx val="2"/>
          <c:order val="2"/>
          <c:tx>
            <c:strRef>
              <c:f>'k12'!$B$8</c:f>
              <c:strCache>
                <c:ptCount val="1"/>
                <c:pt idx="0">
                  <c:v>Rakennusten erillislämmitys</c:v>
                </c:pt>
              </c:strCache>
            </c:strRef>
          </c:tx>
          <c:spPr>
            <a:solidFill>
              <a:schemeClr val="accent3"/>
            </a:solidFill>
            <a:ln>
              <a:noFill/>
            </a:ln>
            <a:effectLst/>
          </c:spPr>
          <c:invertIfNegative val="0"/>
          <c:cat>
            <c:strRef>
              <c:f>'k12'!$C$5:$V$5</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extLst/>
            </c:strRef>
          </c:cat>
          <c:val>
            <c:numRef>
              <c:f>'k12'!$C$8:$V$8</c:f>
              <c:numCache>
                <c:formatCode>0.0</c:formatCode>
                <c:ptCount val="20"/>
                <c:pt idx="0">
                  <c:v>3.9284207220000003</c:v>
                </c:pt>
                <c:pt idx="1">
                  <c:v>4.0055341999999996</c:v>
                </c:pt>
                <c:pt idx="2">
                  <c:v>3.7988184829999998</c:v>
                </c:pt>
                <c:pt idx="3">
                  <c:v>3.3029011629999996</c:v>
                </c:pt>
                <c:pt idx="4">
                  <c:v>3.448213634</c:v>
                </c:pt>
                <c:pt idx="5">
                  <c:v>3.8230685079999995</c:v>
                </c:pt>
                <c:pt idx="6">
                  <c:v>2.9466987060000003</c:v>
                </c:pt>
                <c:pt idx="7">
                  <c:v>3.23323041</c:v>
                </c:pt>
                <c:pt idx="8">
                  <c:v>2.772270894</c:v>
                </c:pt>
                <c:pt idx="9">
                  <c:v>2.7560674189999999</c:v>
                </c:pt>
                <c:pt idx="10">
                  <c:v>2.5698965609999997</c:v>
                </c:pt>
                <c:pt idx="11">
                  <c:v>2.7695190830000005</c:v>
                </c:pt>
                <c:pt idx="12">
                  <c:v>2.5965943419999995</c:v>
                </c:pt>
                <c:pt idx="13">
                  <c:v>2.5448437939999997</c:v>
                </c:pt>
                <c:pt idx="14">
                  <c:v>2.370523312</c:v>
                </c:pt>
                <c:pt idx="15">
                  <c:v>2.1134807569999996</c:v>
                </c:pt>
                <c:pt idx="16">
                  <c:v>2.1962179100000001</c:v>
                </c:pt>
                <c:pt idx="17">
                  <c:v>1.9447433250000001</c:v>
                </c:pt>
                <c:pt idx="18">
                  <c:v>1.6457867379999995</c:v>
                </c:pt>
              </c:numCache>
              <c:extLst/>
            </c:numRef>
          </c:val>
          <c:extLst>
            <c:ext xmlns:c16="http://schemas.microsoft.com/office/drawing/2014/chart" uri="{C3380CC4-5D6E-409C-BE32-E72D297353CC}">
              <c16:uniqueId val="{00000002-811D-4C48-894F-F9BB505003D6}"/>
            </c:ext>
          </c:extLst>
        </c:ser>
        <c:ser>
          <c:idx val="3"/>
          <c:order val="3"/>
          <c:tx>
            <c:strRef>
              <c:f>'k12'!$B$9</c:f>
              <c:strCache>
                <c:ptCount val="1"/>
                <c:pt idx="0">
                  <c:v>Työkoneet</c:v>
                </c:pt>
              </c:strCache>
            </c:strRef>
          </c:tx>
          <c:spPr>
            <a:solidFill>
              <a:schemeClr val="accent4"/>
            </a:solidFill>
            <a:ln>
              <a:noFill/>
            </a:ln>
            <a:effectLst/>
          </c:spPr>
          <c:invertIfNegative val="0"/>
          <c:cat>
            <c:strRef>
              <c:f>'k12'!$C$5:$V$5</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extLst/>
            </c:strRef>
          </c:cat>
          <c:val>
            <c:numRef>
              <c:f>'k12'!$C$9:$V$9</c:f>
              <c:numCache>
                <c:formatCode>0.0</c:formatCode>
                <c:ptCount val="20"/>
                <c:pt idx="0">
                  <c:v>2.599012697</c:v>
                </c:pt>
                <c:pt idx="1">
                  <c:v>2.5997445809999999</c:v>
                </c:pt>
                <c:pt idx="2">
                  <c:v>2.6565852629999998</c:v>
                </c:pt>
                <c:pt idx="3">
                  <c:v>2.7149080319999999</c:v>
                </c:pt>
                <c:pt idx="4">
                  <c:v>2.578293001</c:v>
                </c:pt>
                <c:pt idx="5">
                  <c:v>2.5646212429999999</c:v>
                </c:pt>
                <c:pt idx="6">
                  <c:v>2.4582522720000002</c:v>
                </c:pt>
                <c:pt idx="7">
                  <c:v>2.620551743</c:v>
                </c:pt>
                <c:pt idx="8">
                  <c:v>2.574808236</c:v>
                </c:pt>
                <c:pt idx="9">
                  <c:v>2.520732808</c:v>
                </c:pt>
                <c:pt idx="10">
                  <c:v>2.5472646759999997</c:v>
                </c:pt>
                <c:pt idx="11">
                  <c:v>2.4703526610000002</c:v>
                </c:pt>
                <c:pt idx="12">
                  <c:v>2.6182967779999995</c:v>
                </c:pt>
                <c:pt idx="13">
                  <c:v>2.5840406210000002</c:v>
                </c:pt>
                <c:pt idx="14">
                  <c:v>2.6805417059999996</c:v>
                </c:pt>
                <c:pt idx="15">
                  <c:v>2.6990236669999996</c:v>
                </c:pt>
                <c:pt idx="16">
                  <c:v>2.4795646470000001</c:v>
                </c:pt>
                <c:pt idx="17">
                  <c:v>2.4669010480000004</c:v>
                </c:pt>
                <c:pt idx="18">
                  <c:v>2.3821899659999999</c:v>
                </c:pt>
              </c:numCache>
              <c:extLst/>
            </c:numRef>
          </c:val>
          <c:extLst>
            <c:ext xmlns:c16="http://schemas.microsoft.com/office/drawing/2014/chart" uri="{C3380CC4-5D6E-409C-BE32-E72D297353CC}">
              <c16:uniqueId val="{00000003-811D-4C48-894F-F9BB505003D6}"/>
            </c:ext>
          </c:extLst>
        </c:ser>
        <c:ser>
          <c:idx val="6"/>
          <c:order val="4"/>
          <c:tx>
            <c:strRef>
              <c:f>'k12'!$B$10</c:f>
              <c:strCache>
                <c:ptCount val="1"/>
                <c:pt idx="0">
                  <c:v>Jätteiden käsittely</c:v>
                </c:pt>
              </c:strCache>
            </c:strRef>
          </c:tx>
          <c:spPr>
            <a:solidFill>
              <a:schemeClr val="accent1">
                <a:lumMod val="60000"/>
              </a:schemeClr>
            </a:solidFill>
            <a:ln>
              <a:noFill/>
            </a:ln>
            <a:effectLst/>
          </c:spPr>
          <c:invertIfNegative val="0"/>
          <c:cat>
            <c:strRef>
              <c:f>'k12'!$C$5:$V$5</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extLst/>
            </c:strRef>
          </c:cat>
          <c:val>
            <c:numRef>
              <c:f>'k12'!$C$10:$V$10</c:f>
              <c:numCache>
                <c:formatCode>0.0</c:formatCode>
                <c:ptCount val="20"/>
                <c:pt idx="0">
                  <c:v>3.1188189889999998</c:v>
                </c:pt>
                <c:pt idx="1">
                  <c:v>3.2023777879999997</c:v>
                </c:pt>
                <c:pt idx="2">
                  <c:v>3.0862471239999998</c:v>
                </c:pt>
                <c:pt idx="3">
                  <c:v>2.9502700329999998</c:v>
                </c:pt>
                <c:pt idx="4">
                  <c:v>2.8367570289999997</c:v>
                </c:pt>
                <c:pt idx="5">
                  <c:v>2.8369738180000001</c:v>
                </c:pt>
                <c:pt idx="6">
                  <c:v>2.7379201609999999</c:v>
                </c:pt>
                <c:pt idx="7">
                  <c:v>2.6743979100000002</c:v>
                </c:pt>
                <c:pt idx="8">
                  <c:v>2.5358558339999999</c:v>
                </c:pt>
                <c:pt idx="9">
                  <c:v>2.3853096659999999</c:v>
                </c:pt>
                <c:pt idx="10">
                  <c:v>2.3097728820000003</c:v>
                </c:pt>
                <c:pt idx="11">
                  <c:v>2.1590419289999998</c:v>
                </c:pt>
                <c:pt idx="12">
                  <c:v>2.0500137460000003</c:v>
                </c:pt>
                <c:pt idx="13">
                  <c:v>2.0074599769999999</c:v>
                </c:pt>
                <c:pt idx="14">
                  <c:v>1.9771948540000002</c:v>
                </c:pt>
                <c:pt idx="15">
                  <c:v>1.9143290560000001</c:v>
                </c:pt>
                <c:pt idx="16">
                  <c:v>1.8179630340000001</c:v>
                </c:pt>
                <c:pt idx="17">
                  <c:v>1.7265642590000001</c:v>
                </c:pt>
                <c:pt idx="18">
                  <c:v>1.6474228960000001</c:v>
                </c:pt>
              </c:numCache>
              <c:extLst/>
            </c:numRef>
          </c:val>
          <c:extLst>
            <c:ext xmlns:c16="http://schemas.microsoft.com/office/drawing/2014/chart" uri="{C3380CC4-5D6E-409C-BE32-E72D297353CC}">
              <c16:uniqueId val="{00000004-811D-4C48-894F-F9BB505003D6}"/>
            </c:ext>
          </c:extLst>
        </c:ser>
        <c:ser>
          <c:idx val="4"/>
          <c:order val="5"/>
          <c:tx>
            <c:strRef>
              <c:f>'k12'!$B$11</c:f>
              <c:strCache>
                <c:ptCount val="1"/>
                <c:pt idx="0">
                  <c:v>F-kaasut</c:v>
                </c:pt>
              </c:strCache>
            </c:strRef>
          </c:tx>
          <c:spPr>
            <a:solidFill>
              <a:schemeClr val="accent5"/>
            </a:solidFill>
            <a:ln>
              <a:noFill/>
            </a:ln>
            <a:effectLst/>
          </c:spPr>
          <c:invertIfNegative val="0"/>
          <c:cat>
            <c:strRef>
              <c:f>'k12'!$C$5:$V$5</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extLst/>
            </c:strRef>
          </c:cat>
          <c:val>
            <c:numRef>
              <c:f>'k12'!$C$11:$V$11</c:f>
              <c:numCache>
                <c:formatCode>0.0</c:formatCode>
                <c:ptCount val="20"/>
                <c:pt idx="0">
                  <c:v>1.1496333870000002</c:v>
                </c:pt>
                <c:pt idx="1">
                  <c:v>1.3065048019999999</c:v>
                </c:pt>
                <c:pt idx="2">
                  <c:v>1.3283051249999998</c:v>
                </c:pt>
                <c:pt idx="3">
                  <c:v>1.370093794</c:v>
                </c:pt>
                <c:pt idx="4">
                  <c:v>1.3678128339999998</c:v>
                </c:pt>
                <c:pt idx="5">
                  <c:v>1.345793282</c:v>
                </c:pt>
                <c:pt idx="6">
                  <c:v>1.3293121979999998</c:v>
                </c:pt>
                <c:pt idx="7">
                  <c:v>1.336817693</c:v>
                </c:pt>
                <c:pt idx="8">
                  <c:v>1.3272432750000001</c:v>
                </c:pt>
                <c:pt idx="9">
                  <c:v>1.2975227790000001</c:v>
                </c:pt>
                <c:pt idx="10">
                  <c:v>1.2174167200000001</c:v>
                </c:pt>
                <c:pt idx="11">
                  <c:v>1.1673431840000001</c:v>
                </c:pt>
                <c:pt idx="12">
                  <c:v>1.0935148909999999</c:v>
                </c:pt>
                <c:pt idx="13">
                  <c:v>1.040674809</c:v>
                </c:pt>
                <c:pt idx="14">
                  <c:v>0.99510745899999997</c:v>
                </c:pt>
                <c:pt idx="15">
                  <c:v>0.93160420699999991</c:v>
                </c:pt>
                <c:pt idx="16">
                  <c:v>0.86283804000000008</c:v>
                </c:pt>
                <c:pt idx="17">
                  <c:v>0.79262234099999995</c:v>
                </c:pt>
                <c:pt idx="18">
                  <c:v>0.72897746500000005</c:v>
                </c:pt>
              </c:numCache>
              <c:extLst/>
            </c:numRef>
          </c:val>
          <c:extLst>
            <c:ext xmlns:c16="http://schemas.microsoft.com/office/drawing/2014/chart" uri="{C3380CC4-5D6E-409C-BE32-E72D297353CC}">
              <c16:uniqueId val="{00000005-811D-4C48-894F-F9BB505003D6}"/>
            </c:ext>
          </c:extLst>
        </c:ser>
        <c:ser>
          <c:idx val="5"/>
          <c:order val="6"/>
          <c:tx>
            <c:strRef>
              <c:f>'k12'!$B$12</c:f>
              <c:strCache>
                <c:ptCount val="1"/>
                <c:pt idx="0">
                  <c:v>Teollisuus</c:v>
                </c:pt>
              </c:strCache>
            </c:strRef>
          </c:tx>
          <c:spPr>
            <a:solidFill>
              <a:schemeClr val="accent6"/>
            </a:solidFill>
            <a:ln>
              <a:noFill/>
            </a:ln>
            <a:effectLst/>
          </c:spPr>
          <c:invertIfNegative val="0"/>
          <c:cat>
            <c:strRef>
              <c:f>'k12'!$C$5:$V$5</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extLst/>
            </c:strRef>
          </c:cat>
          <c:val>
            <c:numRef>
              <c:f>'k12'!$C$12:$V$12</c:f>
              <c:numCache>
                <c:formatCode>0.0</c:formatCode>
                <c:ptCount val="20"/>
                <c:pt idx="0">
                  <c:v>0.53289624599999996</c:v>
                </c:pt>
                <c:pt idx="1">
                  <c:v>0.53832472200000003</c:v>
                </c:pt>
                <c:pt idx="2">
                  <c:v>0.60753237400000004</c:v>
                </c:pt>
                <c:pt idx="3">
                  <c:v>0.51626643400000005</c:v>
                </c:pt>
                <c:pt idx="4">
                  <c:v>0.46546878799999991</c:v>
                </c:pt>
                <c:pt idx="5">
                  <c:v>0.56753047099999998</c:v>
                </c:pt>
                <c:pt idx="6">
                  <c:v>0.60285316100000008</c:v>
                </c:pt>
                <c:pt idx="7">
                  <c:v>0.56784709200000005</c:v>
                </c:pt>
                <c:pt idx="8">
                  <c:v>0.47508768200000007</c:v>
                </c:pt>
                <c:pt idx="9">
                  <c:v>0.48509271900000006</c:v>
                </c:pt>
                <c:pt idx="10">
                  <c:v>0.54495417800000001</c:v>
                </c:pt>
                <c:pt idx="11">
                  <c:v>0.51792653900000007</c:v>
                </c:pt>
                <c:pt idx="12">
                  <c:v>0.56203805499999993</c:v>
                </c:pt>
                <c:pt idx="13">
                  <c:v>0.61765953500000004</c:v>
                </c:pt>
                <c:pt idx="14">
                  <c:v>0.58263977599999994</c:v>
                </c:pt>
                <c:pt idx="15">
                  <c:v>0.56938277900000012</c:v>
                </c:pt>
                <c:pt idx="16">
                  <c:v>0.55801770699999997</c:v>
                </c:pt>
                <c:pt idx="17">
                  <c:v>0.49666992300000001</c:v>
                </c:pt>
                <c:pt idx="18">
                  <c:v>0.49394045400000008</c:v>
                </c:pt>
              </c:numCache>
              <c:extLst/>
            </c:numRef>
          </c:val>
          <c:extLst>
            <c:ext xmlns:c16="http://schemas.microsoft.com/office/drawing/2014/chart" uri="{C3380CC4-5D6E-409C-BE32-E72D297353CC}">
              <c16:uniqueId val="{00000006-811D-4C48-894F-F9BB505003D6}"/>
            </c:ext>
          </c:extLst>
        </c:ser>
        <c:ser>
          <c:idx val="7"/>
          <c:order val="7"/>
          <c:tx>
            <c:strRef>
              <c:f>'k12'!$B$13</c:f>
              <c:strCache>
                <c:ptCount val="1"/>
                <c:pt idx="0">
                  <c:v>Muut päästöt</c:v>
                </c:pt>
              </c:strCache>
            </c:strRef>
          </c:tx>
          <c:spPr>
            <a:solidFill>
              <a:schemeClr val="accent2">
                <a:lumMod val="60000"/>
              </a:schemeClr>
            </a:solidFill>
            <a:ln>
              <a:noFill/>
            </a:ln>
            <a:effectLst/>
          </c:spPr>
          <c:invertIfNegative val="0"/>
          <c:cat>
            <c:strRef>
              <c:f>'k12'!$C$5:$V$5</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extLst/>
            </c:strRef>
          </c:cat>
          <c:val>
            <c:numRef>
              <c:f>'k12'!$C$13:$V$13</c:f>
              <c:numCache>
                <c:formatCode>0.0</c:formatCode>
                <c:ptCount val="20"/>
                <c:pt idx="0">
                  <c:v>4.0003093790000115</c:v>
                </c:pt>
                <c:pt idx="1">
                  <c:v>3.5655784029999964</c:v>
                </c:pt>
                <c:pt idx="2">
                  <c:v>3.791963121000002</c:v>
                </c:pt>
                <c:pt idx="3">
                  <c:v>3.4883871700000135</c:v>
                </c:pt>
                <c:pt idx="4">
                  <c:v>3.1852844690000026</c:v>
                </c:pt>
                <c:pt idx="5">
                  <c:v>3.5540501859999978</c:v>
                </c:pt>
                <c:pt idx="6">
                  <c:v>3.4278372270000084</c:v>
                </c:pt>
                <c:pt idx="7">
                  <c:v>3.4436798470000021</c:v>
                </c:pt>
                <c:pt idx="8">
                  <c:v>3.4220398960000047</c:v>
                </c:pt>
                <c:pt idx="9">
                  <c:v>3.254272800999999</c:v>
                </c:pt>
                <c:pt idx="10">
                  <c:v>3.2949256469999959</c:v>
                </c:pt>
                <c:pt idx="11">
                  <c:v>3.1894314860000001</c:v>
                </c:pt>
                <c:pt idx="12">
                  <c:v>3.3191704920000049</c:v>
                </c:pt>
                <c:pt idx="13">
                  <c:v>3.0864301080000018</c:v>
                </c:pt>
                <c:pt idx="14">
                  <c:v>3.2236021129999983</c:v>
                </c:pt>
                <c:pt idx="15">
                  <c:v>3.1393089950000004</c:v>
                </c:pt>
                <c:pt idx="16">
                  <c:v>3.2068857119999947</c:v>
                </c:pt>
                <c:pt idx="17">
                  <c:v>3.3589072309999963</c:v>
                </c:pt>
                <c:pt idx="18">
                  <c:v>3.2059802669999975</c:v>
                </c:pt>
              </c:numCache>
              <c:extLst/>
            </c:numRef>
          </c:val>
          <c:extLst>
            <c:ext xmlns:c16="http://schemas.microsoft.com/office/drawing/2014/chart" uri="{C3380CC4-5D6E-409C-BE32-E72D297353CC}">
              <c16:uniqueId val="{00000007-811D-4C48-894F-F9BB505003D6}"/>
            </c:ext>
          </c:extLst>
        </c:ser>
        <c:ser>
          <c:idx val="8"/>
          <c:order val="8"/>
          <c:tx>
            <c:strRef>
              <c:f>'k12'!$B$14</c:f>
              <c:strCache>
                <c:ptCount val="1"/>
                <c:pt idx="0">
                  <c:v>2024 pikaennakko yhteensä</c:v>
                </c:pt>
              </c:strCache>
            </c:strRef>
          </c:tx>
          <c:spPr>
            <a:solidFill>
              <a:srgbClr val="9B9183"/>
            </a:solidFill>
            <a:ln>
              <a:noFill/>
            </a:ln>
            <a:effectLst/>
          </c:spPr>
          <c:invertIfNegative val="0"/>
          <c:cat>
            <c:strRef>
              <c:f>'k12'!$C$5:$V$5</c:f>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extLst/>
            </c:strRef>
          </c:cat>
          <c:val>
            <c:numRef>
              <c:f>'k12'!$C$14:$V$14</c:f>
              <c:numCache>
                <c:formatCode>General</c:formatCode>
                <c:ptCount val="20"/>
                <c:pt idx="19" formatCode="0.0">
                  <c:v>25.408209164390026</c:v>
                </c:pt>
              </c:numCache>
              <c:extLst/>
            </c:numRef>
          </c:val>
          <c:extLst>
            <c:ext xmlns:c16="http://schemas.microsoft.com/office/drawing/2014/chart" uri="{C3380CC4-5D6E-409C-BE32-E72D297353CC}">
              <c16:uniqueId val="{00000008-811D-4C48-894F-F9BB505003D6}"/>
            </c:ext>
          </c:extLst>
        </c:ser>
        <c:dLbls>
          <c:showLegendKey val="0"/>
          <c:showVal val="0"/>
          <c:showCatName val="0"/>
          <c:showSerName val="0"/>
          <c:showPercent val="0"/>
          <c:showBubbleSize val="0"/>
        </c:dLbls>
        <c:gapWidth val="50"/>
        <c:overlap val="100"/>
        <c:axId val="1112632688"/>
        <c:axId val="1112631968"/>
      </c:barChart>
      <c:lineChart>
        <c:grouping val="standard"/>
        <c:varyColors val="0"/>
        <c:dLbls>
          <c:showLegendKey val="0"/>
          <c:showVal val="0"/>
          <c:showCatName val="0"/>
          <c:showSerName val="0"/>
          <c:showPercent val="0"/>
          <c:showBubbleSize val="0"/>
        </c:dLbls>
        <c:marker val="1"/>
        <c:smooth val="0"/>
        <c:axId val="1112632688"/>
        <c:axId val="1112631968"/>
        <c:extLst>
          <c:ext xmlns:c15="http://schemas.microsoft.com/office/drawing/2012/chart" uri="{02D57815-91ED-43cb-92C2-25804820EDAC}">
            <c15:filteredLineSeries>
              <c15:ser>
                <c:idx val="10"/>
                <c:order val="9"/>
                <c:tx>
                  <c:strRef>
                    <c:extLst>
                      <c:ext uri="{02D57815-91ED-43cb-92C2-25804820EDAC}">
                        <c15:formulaRef>
                          <c15:sqref>'k12'!$B$16</c15:sqref>
                        </c15:formulaRef>
                      </c:ext>
                    </c:extLst>
                    <c:strCache>
                      <c:ptCount val="1"/>
                      <c:pt idx="0">
                        <c:v>Taakanjakosektorin vuosittaiset päästökiintiöt</c:v>
                      </c:pt>
                    </c:strCache>
                  </c:strRef>
                </c:tx>
                <c:spPr>
                  <a:ln w="28575" cap="rnd">
                    <a:solidFill>
                      <a:schemeClr val="accent5">
                        <a:lumMod val="60000"/>
                      </a:schemeClr>
                    </a:solidFill>
                    <a:round/>
                  </a:ln>
                  <a:effectLst/>
                </c:spPr>
                <c:marker>
                  <c:symbol val="none"/>
                </c:marker>
                <c:cat>
                  <c:strRef>
                    <c:extLst>
                      <c:ext uri="{02D57815-91ED-43cb-92C2-25804820EDAC}">
                        <c15:formulaRef>
                          <c15:sqref>'k12'!$C$5:$V$5</c15:sqref>
                        </c15:formulaRef>
                      </c:ext>
                    </c:extLst>
                    <c:strCach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strCache>
                  </c:strRef>
                </c:cat>
                <c:val>
                  <c:numRef>
                    <c:extLst>
                      <c:ext uri="{02D57815-91ED-43cb-92C2-25804820EDAC}">
                        <c15:formulaRef>
                          <c15:sqref>'k12'!$C$16:$V$16</c15:sqref>
                        </c15:formulaRef>
                      </c:ext>
                    </c:extLst>
                    <c:numCache>
                      <c:formatCode>General</c:formatCode>
                      <c:ptCount val="20"/>
                      <c:pt idx="16" formatCode="0.0">
                        <c:v>28.840335</c:v>
                      </c:pt>
                      <c:pt idx="17" formatCode="0.0">
                        <c:v>27.970109999999998</c:v>
                      </c:pt>
                      <c:pt idx="18" formatCode="0.0">
                        <c:v>26.6170392655625</c:v>
                      </c:pt>
                      <c:pt idx="19" formatCode="0.0">
                        <c:v>25.263968531125002</c:v>
                      </c:pt>
                    </c:numCache>
                  </c:numRef>
                </c:val>
                <c:smooth val="0"/>
                <c:extLst>
                  <c:ext xmlns:c16="http://schemas.microsoft.com/office/drawing/2014/chart" uri="{C3380CC4-5D6E-409C-BE32-E72D297353CC}">
                    <c16:uniqueId val="{00000009-811D-4C48-894F-F9BB505003D6}"/>
                  </c:ext>
                </c:extLst>
              </c15:ser>
            </c15:filteredLineSeries>
          </c:ext>
        </c:extLst>
      </c:lineChart>
      <c:catAx>
        <c:axId val="11126326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1112631968"/>
        <c:crosses val="autoZero"/>
        <c:auto val="1"/>
        <c:lblAlgn val="ctr"/>
        <c:lblOffset val="100"/>
        <c:noMultiLvlLbl val="0"/>
      </c:catAx>
      <c:valAx>
        <c:axId val="1112631968"/>
        <c:scaling>
          <c:orientation val="minMax"/>
          <c:max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i-FI"/>
                  <a:t>Mt CO2.ekv.</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11126326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fi-F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2"/>
          <c:tx>
            <c:strRef>
              <c:f>'k5 ja 6 TJS WEM'!$A$17</c:f>
              <c:strCache>
                <c:ptCount val="1"/>
                <c:pt idx="0">
                  <c:v>Päästökiintiöt</c:v>
                </c:pt>
              </c:strCache>
            </c:strRef>
          </c:tx>
          <c:spPr>
            <a:solidFill>
              <a:schemeClr val="accent3"/>
            </a:solidFill>
            <a:ln>
              <a:noFill/>
            </a:ln>
            <a:effectLst/>
          </c:spPr>
          <c:invertIfNegative val="0"/>
          <c:dPt>
            <c:idx val="5"/>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1-E37D-4ECA-83FC-34C3D2AF0636}"/>
              </c:ext>
            </c:extLst>
          </c:dPt>
          <c:dPt>
            <c:idx val="6"/>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3-E37D-4ECA-83FC-34C3D2AF0636}"/>
              </c:ext>
            </c:extLst>
          </c:dPt>
          <c:dPt>
            <c:idx val="7"/>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5-E37D-4ECA-83FC-34C3D2AF0636}"/>
              </c:ext>
            </c:extLst>
          </c:dPt>
          <c:dPt>
            <c:idx val="8"/>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7-E37D-4ECA-83FC-34C3D2AF0636}"/>
              </c:ext>
            </c:extLst>
          </c:dPt>
          <c:dPt>
            <c:idx val="9"/>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9-E37D-4ECA-83FC-34C3D2AF0636}"/>
              </c:ext>
            </c:extLst>
          </c:dPt>
          <c:cat>
            <c:multiLvlStrRef>
              <c:f>'k5 ja 6 TJS WEM'!$B$13:$K$14</c:f>
              <c:multiLvlStrCache>
                <c:ptCount val="10"/>
                <c:lvl>
                  <c:pt idx="0">
                    <c:v>2021</c:v>
                  </c:pt>
                  <c:pt idx="1">
                    <c:v>2022</c:v>
                  </c:pt>
                  <c:pt idx="2">
                    <c:v>2023</c:v>
                  </c:pt>
                  <c:pt idx="3">
                    <c:v>2024*</c:v>
                  </c:pt>
                  <c:pt idx="4">
                    <c:v>2025</c:v>
                  </c:pt>
                  <c:pt idx="5">
                    <c:v>2026</c:v>
                  </c:pt>
                  <c:pt idx="6">
                    <c:v>2027</c:v>
                  </c:pt>
                  <c:pt idx="7">
                    <c:v>2028</c:v>
                  </c:pt>
                  <c:pt idx="8">
                    <c:v>2029</c:v>
                  </c:pt>
                  <c:pt idx="9">
                    <c:v>2030</c:v>
                  </c:pt>
                </c:lvl>
                <c:lvl>
                  <c:pt idx="0">
                    <c:v>Päästökiintiöt</c:v>
                  </c:pt>
                  <c:pt idx="5">
                    <c:v>Arvio päästökiintiöistä</c:v>
                  </c:pt>
                </c:lvl>
              </c:multiLvlStrCache>
            </c:multiLvlStrRef>
          </c:cat>
          <c:val>
            <c:numRef>
              <c:f>'k5 ja 6 TJS WEM'!$B$17:$K$17</c:f>
              <c:numCache>
                <c:formatCode>General</c:formatCode>
                <c:ptCount val="10"/>
                <c:pt idx="0">
                  <c:v>28.840335</c:v>
                </c:pt>
                <c:pt idx="1">
                  <c:v>27.970109999999998</c:v>
                </c:pt>
                <c:pt idx="2">
                  <c:v>26.6170392655625</c:v>
                </c:pt>
                <c:pt idx="3">
                  <c:v>25.263968531125002</c:v>
                </c:pt>
                <c:pt idx="4">
                  <c:v>23.910897796687504</c:v>
                </c:pt>
                <c:pt idx="5">
                  <c:v>23.144374472126664</c:v>
                </c:pt>
                <c:pt idx="6">
                  <c:v>21.644666885219998</c:v>
                </c:pt>
                <c:pt idx="7">
                  <c:v>20.144959298313331</c:v>
                </c:pt>
                <c:pt idx="8">
                  <c:v>18.645251711406665</c:v>
                </c:pt>
                <c:pt idx="9">
                  <c:v>17.145544124500006</c:v>
                </c:pt>
              </c:numCache>
            </c:numRef>
          </c:val>
          <c:extLst>
            <c:ext xmlns:c16="http://schemas.microsoft.com/office/drawing/2014/chart" uri="{C3380CC4-5D6E-409C-BE32-E72D297353CC}">
              <c16:uniqueId val="{0000000A-E37D-4ECA-83FC-34C3D2AF0636}"/>
            </c:ext>
          </c:extLst>
        </c:ser>
        <c:dLbls>
          <c:showLegendKey val="0"/>
          <c:showVal val="0"/>
          <c:showCatName val="0"/>
          <c:showSerName val="0"/>
          <c:showPercent val="0"/>
          <c:showBubbleSize val="0"/>
        </c:dLbls>
        <c:gapWidth val="219"/>
        <c:overlap val="100"/>
        <c:axId val="561992832"/>
        <c:axId val="561991752"/>
      </c:barChart>
      <c:lineChart>
        <c:grouping val="standard"/>
        <c:varyColors val="0"/>
        <c:ser>
          <c:idx val="0"/>
          <c:order val="0"/>
          <c:tx>
            <c:strRef>
              <c:f>'k5 ja 6 TJS WEM'!$A$15</c:f>
              <c:strCache>
                <c:ptCount val="1"/>
                <c:pt idx="0">
                  <c:v>Taakanjakosektorin päästöt 2021-2024</c:v>
                </c:pt>
              </c:strCache>
            </c:strRef>
          </c:tx>
          <c:spPr>
            <a:ln w="28575" cap="rnd">
              <a:solidFill>
                <a:schemeClr val="tx1"/>
              </a:solidFill>
              <a:round/>
            </a:ln>
            <a:effectLst/>
          </c:spPr>
          <c:marker>
            <c:symbol val="none"/>
          </c:marker>
          <c:cat>
            <c:multiLvlStrRef>
              <c:f>'k5 ja 6 TJS WEM'!$B$13:$K$14</c:f>
              <c:multiLvlStrCache>
                <c:ptCount val="10"/>
                <c:lvl>
                  <c:pt idx="0">
                    <c:v>2021</c:v>
                  </c:pt>
                  <c:pt idx="1">
                    <c:v>2022</c:v>
                  </c:pt>
                  <c:pt idx="2">
                    <c:v>2023</c:v>
                  </c:pt>
                  <c:pt idx="3">
                    <c:v>2024*</c:v>
                  </c:pt>
                  <c:pt idx="4">
                    <c:v>2025</c:v>
                  </c:pt>
                  <c:pt idx="5">
                    <c:v>2026</c:v>
                  </c:pt>
                  <c:pt idx="6">
                    <c:v>2027</c:v>
                  </c:pt>
                  <c:pt idx="7">
                    <c:v>2028</c:v>
                  </c:pt>
                  <c:pt idx="8">
                    <c:v>2029</c:v>
                  </c:pt>
                  <c:pt idx="9">
                    <c:v>2030</c:v>
                  </c:pt>
                </c:lvl>
                <c:lvl>
                  <c:pt idx="0">
                    <c:v>Päästökiintiöt</c:v>
                  </c:pt>
                  <c:pt idx="5">
                    <c:v>Arvio päästökiintiöistä</c:v>
                  </c:pt>
                </c:lvl>
              </c:multiLvlStrCache>
            </c:multiLvlStrRef>
          </c:cat>
          <c:val>
            <c:numRef>
              <c:f>'k5 ja 6 TJS WEM'!$B$15:$K$15</c:f>
              <c:numCache>
                <c:formatCode>0.0</c:formatCode>
                <c:ptCount val="10"/>
                <c:pt idx="0">
                  <c:v>27.410065314999997</c:v>
                </c:pt>
                <c:pt idx="1">
                  <c:v>26.539581927999997</c:v>
                </c:pt>
                <c:pt idx="2">
                  <c:v>25.606502384999999</c:v>
                </c:pt>
                <c:pt idx="3" formatCode="General">
                  <c:v>25.4</c:v>
                </c:pt>
              </c:numCache>
            </c:numRef>
          </c:val>
          <c:smooth val="0"/>
          <c:extLst>
            <c:ext xmlns:c16="http://schemas.microsoft.com/office/drawing/2014/chart" uri="{C3380CC4-5D6E-409C-BE32-E72D297353CC}">
              <c16:uniqueId val="{0000000B-E37D-4ECA-83FC-34C3D2AF0636}"/>
            </c:ext>
          </c:extLst>
        </c:ser>
        <c:ser>
          <c:idx val="1"/>
          <c:order val="1"/>
          <c:tx>
            <c:strRef>
              <c:f>'k5 ja 6 TJS WEM'!$A$16</c:f>
              <c:strCache>
                <c:ptCount val="1"/>
              </c:strCache>
            </c:strRef>
          </c:tx>
          <c:spPr>
            <a:ln w="28575" cap="rnd">
              <a:solidFill>
                <a:schemeClr val="accent2"/>
              </a:solidFill>
              <a:round/>
            </a:ln>
            <a:effectLst/>
          </c:spPr>
          <c:marker>
            <c:symbol val="none"/>
          </c:marker>
          <c:cat>
            <c:multiLvlStrRef>
              <c:f>'k5 ja 6 TJS WEM'!$B$13:$K$14</c:f>
              <c:multiLvlStrCache>
                <c:ptCount val="10"/>
                <c:lvl>
                  <c:pt idx="0">
                    <c:v>2021</c:v>
                  </c:pt>
                  <c:pt idx="1">
                    <c:v>2022</c:v>
                  </c:pt>
                  <c:pt idx="2">
                    <c:v>2023</c:v>
                  </c:pt>
                  <c:pt idx="3">
                    <c:v>2024*</c:v>
                  </c:pt>
                  <c:pt idx="4">
                    <c:v>2025</c:v>
                  </c:pt>
                  <c:pt idx="5">
                    <c:v>2026</c:v>
                  </c:pt>
                  <c:pt idx="6">
                    <c:v>2027</c:v>
                  </c:pt>
                  <c:pt idx="7">
                    <c:v>2028</c:v>
                  </c:pt>
                  <c:pt idx="8">
                    <c:v>2029</c:v>
                  </c:pt>
                  <c:pt idx="9">
                    <c:v>2030</c:v>
                  </c:pt>
                </c:lvl>
                <c:lvl>
                  <c:pt idx="0">
                    <c:v>Päästökiintiöt</c:v>
                  </c:pt>
                  <c:pt idx="5">
                    <c:v>Arvio päästökiintiöistä</c:v>
                  </c:pt>
                </c:lvl>
              </c:multiLvlStrCache>
            </c:multiLvlStrRef>
          </c:cat>
          <c:val>
            <c:numRef>
              <c:f>'k5 ja 6 TJS WEM'!$B$16:$K$16</c:f>
              <c:numCache>
                <c:formatCode>General</c:formatCode>
                <c:ptCount val="10"/>
              </c:numCache>
            </c:numRef>
          </c:val>
          <c:smooth val="0"/>
          <c:extLst>
            <c:ext xmlns:c16="http://schemas.microsoft.com/office/drawing/2014/chart" uri="{C3380CC4-5D6E-409C-BE32-E72D297353CC}">
              <c16:uniqueId val="{0000000C-E37D-4ECA-83FC-34C3D2AF0636}"/>
            </c:ext>
          </c:extLst>
        </c:ser>
        <c:dLbls>
          <c:showLegendKey val="0"/>
          <c:showVal val="0"/>
          <c:showCatName val="0"/>
          <c:showSerName val="0"/>
          <c:showPercent val="0"/>
          <c:showBubbleSize val="0"/>
        </c:dLbls>
        <c:marker val="1"/>
        <c:smooth val="0"/>
        <c:axId val="561992832"/>
        <c:axId val="561991752"/>
      </c:lineChart>
      <c:catAx>
        <c:axId val="56199283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i-FI"/>
          </a:p>
        </c:txPr>
        <c:crossAx val="561991752"/>
        <c:crosses val="autoZero"/>
        <c:auto val="1"/>
        <c:lblAlgn val="ctr"/>
        <c:lblOffset val="100"/>
        <c:noMultiLvlLbl val="0"/>
      </c:catAx>
      <c:valAx>
        <c:axId val="561991752"/>
        <c:scaling>
          <c:orientation val="minMax"/>
          <c:max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i-FI"/>
                  <a:t>Mt CO2-ekv.</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561992832"/>
        <c:crosses val="autoZero"/>
        <c:crossBetween val="between"/>
      </c:valAx>
      <c:spPr>
        <a:noFill/>
        <a:ln>
          <a:noFill/>
        </a:ln>
        <a:effectLst/>
      </c:spPr>
    </c:plotArea>
    <c:legend>
      <c:legendPos val="b"/>
      <c:legendEntry>
        <c:idx val="0"/>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fi-F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2"/>
          <c:tx>
            <c:strRef>
              <c:f>'k5 ja 6 TJS WEM'!$A$17</c:f>
              <c:strCache>
                <c:ptCount val="1"/>
                <c:pt idx="0">
                  <c:v>Päästökiintiöt</c:v>
                </c:pt>
              </c:strCache>
            </c:strRef>
          </c:tx>
          <c:spPr>
            <a:solidFill>
              <a:schemeClr val="accent3"/>
            </a:solidFill>
            <a:ln>
              <a:noFill/>
            </a:ln>
            <a:effectLst/>
          </c:spPr>
          <c:invertIfNegative val="0"/>
          <c:dPt>
            <c:idx val="5"/>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1-77A8-4EBC-AFC4-DE00343F41E0}"/>
              </c:ext>
            </c:extLst>
          </c:dPt>
          <c:dPt>
            <c:idx val="6"/>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3-77A8-4EBC-AFC4-DE00343F41E0}"/>
              </c:ext>
            </c:extLst>
          </c:dPt>
          <c:dPt>
            <c:idx val="7"/>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5-77A8-4EBC-AFC4-DE00343F41E0}"/>
              </c:ext>
            </c:extLst>
          </c:dPt>
          <c:dPt>
            <c:idx val="8"/>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7-77A8-4EBC-AFC4-DE00343F41E0}"/>
              </c:ext>
            </c:extLst>
          </c:dPt>
          <c:dPt>
            <c:idx val="9"/>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9-77A8-4EBC-AFC4-DE00343F41E0}"/>
              </c:ext>
            </c:extLst>
          </c:dPt>
          <c:cat>
            <c:multiLvlStrRef>
              <c:f>'k5 ja 6 TJS WEM'!$B$13:$K$14</c:f>
              <c:multiLvlStrCache>
                <c:ptCount val="10"/>
                <c:lvl>
                  <c:pt idx="0">
                    <c:v>2021</c:v>
                  </c:pt>
                  <c:pt idx="1">
                    <c:v>2022</c:v>
                  </c:pt>
                  <c:pt idx="2">
                    <c:v>2023</c:v>
                  </c:pt>
                  <c:pt idx="3">
                    <c:v>2024*</c:v>
                  </c:pt>
                  <c:pt idx="4">
                    <c:v>2025</c:v>
                  </c:pt>
                  <c:pt idx="5">
                    <c:v>2026</c:v>
                  </c:pt>
                  <c:pt idx="6">
                    <c:v>2027</c:v>
                  </c:pt>
                  <c:pt idx="7">
                    <c:v>2028</c:v>
                  </c:pt>
                  <c:pt idx="8">
                    <c:v>2029</c:v>
                  </c:pt>
                  <c:pt idx="9">
                    <c:v>2030</c:v>
                  </c:pt>
                </c:lvl>
                <c:lvl>
                  <c:pt idx="0">
                    <c:v>Päästökiintiöt</c:v>
                  </c:pt>
                  <c:pt idx="5">
                    <c:v>Arvio päästökiintiöistä</c:v>
                  </c:pt>
                </c:lvl>
              </c:multiLvlStrCache>
            </c:multiLvlStrRef>
          </c:cat>
          <c:val>
            <c:numRef>
              <c:f>'k5 ja 6 TJS WEM'!$B$17:$K$17</c:f>
              <c:numCache>
                <c:formatCode>General</c:formatCode>
                <c:ptCount val="10"/>
                <c:pt idx="0">
                  <c:v>28.840335</c:v>
                </c:pt>
                <c:pt idx="1">
                  <c:v>27.970109999999998</c:v>
                </c:pt>
                <c:pt idx="2">
                  <c:v>26.6170392655625</c:v>
                </c:pt>
                <c:pt idx="3">
                  <c:v>25.263968531125002</c:v>
                </c:pt>
                <c:pt idx="4">
                  <c:v>23.910897796687504</c:v>
                </c:pt>
                <c:pt idx="5">
                  <c:v>23.144374472126664</c:v>
                </c:pt>
                <c:pt idx="6">
                  <c:v>21.644666885219998</c:v>
                </c:pt>
                <c:pt idx="7">
                  <c:v>20.144959298313331</c:v>
                </c:pt>
                <c:pt idx="8">
                  <c:v>18.645251711406665</c:v>
                </c:pt>
                <c:pt idx="9">
                  <c:v>17.145544124500006</c:v>
                </c:pt>
              </c:numCache>
            </c:numRef>
          </c:val>
          <c:extLst>
            <c:ext xmlns:c16="http://schemas.microsoft.com/office/drawing/2014/chart" uri="{C3380CC4-5D6E-409C-BE32-E72D297353CC}">
              <c16:uniqueId val="{0000000A-77A8-4EBC-AFC4-DE00343F41E0}"/>
            </c:ext>
          </c:extLst>
        </c:ser>
        <c:dLbls>
          <c:showLegendKey val="0"/>
          <c:showVal val="0"/>
          <c:showCatName val="0"/>
          <c:showSerName val="0"/>
          <c:showPercent val="0"/>
          <c:showBubbleSize val="0"/>
        </c:dLbls>
        <c:gapWidth val="219"/>
        <c:overlap val="100"/>
        <c:axId val="561992832"/>
        <c:axId val="561991752"/>
      </c:barChart>
      <c:lineChart>
        <c:grouping val="standard"/>
        <c:varyColors val="0"/>
        <c:ser>
          <c:idx val="0"/>
          <c:order val="0"/>
          <c:tx>
            <c:strRef>
              <c:f>'k5 ja 6 TJS WEM'!$A$15</c:f>
              <c:strCache>
                <c:ptCount val="1"/>
                <c:pt idx="0">
                  <c:v>Taakanjakosektorin päästöt 2021-2024</c:v>
                </c:pt>
              </c:strCache>
            </c:strRef>
          </c:tx>
          <c:spPr>
            <a:ln w="28575" cap="rnd">
              <a:solidFill>
                <a:schemeClr val="tx1"/>
              </a:solidFill>
              <a:round/>
            </a:ln>
            <a:effectLst/>
          </c:spPr>
          <c:marker>
            <c:symbol val="none"/>
          </c:marker>
          <c:cat>
            <c:multiLvlStrRef>
              <c:f>'k5 ja 6 TJS WEM'!$B$13:$K$14</c:f>
              <c:multiLvlStrCache>
                <c:ptCount val="10"/>
                <c:lvl>
                  <c:pt idx="0">
                    <c:v>2021</c:v>
                  </c:pt>
                  <c:pt idx="1">
                    <c:v>2022</c:v>
                  </c:pt>
                  <c:pt idx="2">
                    <c:v>2023</c:v>
                  </c:pt>
                  <c:pt idx="3">
                    <c:v>2024*</c:v>
                  </c:pt>
                  <c:pt idx="4">
                    <c:v>2025</c:v>
                  </c:pt>
                  <c:pt idx="5">
                    <c:v>2026</c:v>
                  </c:pt>
                  <c:pt idx="6">
                    <c:v>2027</c:v>
                  </c:pt>
                  <c:pt idx="7">
                    <c:v>2028</c:v>
                  </c:pt>
                  <c:pt idx="8">
                    <c:v>2029</c:v>
                  </c:pt>
                  <c:pt idx="9">
                    <c:v>2030</c:v>
                  </c:pt>
                </c:lvl>
                <c:lvl>
                  <c:pt idx="0">
                    <c:v>Päästökiintiöt</c:v>
                  </c:pt>
                  <c:pt idx="5">
                    <c:v>Arvio päästökiintiöistä</c:v>
                  </c:pt>
                </c:lvl>
              </c:multiLvlStrCache>
            </c:multiLvlStrRef>
          </c:cat>
          <c:val>
            <c:numRef>
              <c:f>'k5 ja 6 TJS WEM'!$B$15:$K$15</c:f>
              <c:numCache>
                <c:formatCode>0.0</c:formatCode>
                <c:ptCount val="10"/>
                <c:pt idx="0">
                  <c:v>27.410065314999997</c:v>
                </c:pt>
                <c:pt idx="1">
                  <c:v>26.539581927999997</c:v>
                </c:pt>
                <c:pt idx="2">
                  <c:v>25.606502384999999</c:v>
                </c:pt>
                <c:pt idx="3" formatCode="General">
                  <c:v>25.4</c:v>
                </c:pt>
              </c:numCache>
            </c:numRef>
          </c:val>
          <c:smooth val="0"/>
          <c:extLst>
            <c:ext xmlns:c16="http://schemas.microsoft.com/office/drawing/2014/chart" uri="{C3380CC4-5D6E-409C-BE32-E72D297353CC}">
              <c16:uniqueId val="{0000000B-77A8-4EBC-AFC4-DE00343F41E0}"/>
            </c:ext>
          </c:extLst>
        </c:ser>
        <c:ser>
          <c:idx val="1"/>
          <c:order val="1"/>
          <c:tx>
            <c:strRef>
              <c:f>'k5 ja 6 TJS WEM'!$A$16</c:f>
              <c:strCache>
                <c:ptCount val="1"/>
              </c:strCache>
            </c:strRef>
          </c:tx>
          <c:spPr>
            <a:ln w="28575" cap="rnd">
              <a:solidFill>
                <a:schemeClr val="accent2"/>
              </a:solidFill>
              <a:round/>
            </a:ln>
            <a:effectLst/>
          </c:spPr>
          <c:marker>
            <c:symbol val="none"/>
          </c:marker>
          <c:cat>
            <c:multiLvlStrRef>
              <c:f>'k5 ja 6 TJS WEM'!$B$13:$K$14</c:f>
              <c:multiLvlStrCache>
                <c:ptCount val="10"/>
                <c:lvl>
                  <c:pt idx="0">
                    <c:v>2021</c:v>
                  </c:pt>
                  <c:pt idx="1">
                    <c:v>2022</c:v>
                  </c:pt>
                  <c:pt idx="2">
                    <c:v>2023</c:v>
                  </c:pt>
                  <c:pt idx="3">
                    <c:v>2024*</c:v>
                  </c:pt>
                  <c:pt idx="4">
                    <c:v>2025</c:v>
                  </c:pt>
                  <c:pt idx="5">
                    <c:v>2026</c:v>
                  </c:pt>
                  <c:pt idx="6">
                    <c:v>2027</c:v>
                  </c:pt>
                  <c:pt idx="7">
                    <c:v>2028</c:v>
                  </c:pt>
                  <c:pt idx="8">
                    <c:v>2029</c:v>
                  </c:pt>
                  <c:pt idx="9">
                    <c:v>2030</c:v>
                  </c:pt>
                </c:lvl>
                <c:lvl>
                  <c:pt idx="0">
                    <c:v>Päästökiintiöt</c:v>
                  </c:pt>
                  <c:pt idx="5">
                    <c:v>Arvio päästökiintiöistä</c:v>
                  </c:pt>
                </c:lvl>
              </c:multiLvlStrCache>
            </c:multiLvlStrRef>
          </c:cat>
          <c:val>
            <c:numRef>
              <c:f>'k5 ja 6 TJS WEM'!$B$16:$K$16</c:f>
              <c:numCache>
                <c:formatCode>General</c:formatCode>
                <c:ptCount val="10"/>
              </c:numCache>
            </c:numRef>
          </c:val>
          <c:smooth val="0"/>
          <c:extLst>
            <c:ext xmlns:c16="http://schemas.microsoft.com/office/drawing/2014/chart" uri="{C3380CC4-5D6E-409C-BE32-E72D297353CC}">
              <c16:uniqueId val="{0000000C-77A8-4EBC-AFC4-DE00343F41E0}"/>
            </c:ext>
          </c:extLst>
        </c:ser>
        <c:ser>
          <c:idx val="3"/>
          <c:order val="3"/>
          <c:tx>
            <c:strRef>
              <c:f>'k5 ja 6 TJS WEM'!$A$7</c:f>
              <c:strCache>
                <c:ptCount val="1"/>
                <c:pt idx="0">
                  <c:v>KEITO WEM, lineaarinen polku viisivuotisvälein</c:v>
                </c:pt>
              </c:strCache>
            </c:strRef>
          </c:tx>
          <c:spPr>
            <a:ln w="28575" cap="rnd">
              <a:solidFill>
                <a:schemeClr val="accent4"/>
              </a:solidFill>
              <a:round/>
            </a:ln>
            <a:effectLst/>
          </c:spPr>
          <c:marker>
            <c:symbol val="diamond"/>
            <c:size val="9"/>
            <c:spPr>
              <a:solidFill>
                <a:schemeClr val="accent4"/>
              </a:solidFill>
              <a:ln w="9525">
                <a:solidFill>
                  <a:schemeClr val="accent4"/>
                </a:solidFill>
              </a:ln>
              <a:effectLst/>
            </c:spPr>
          </c:marker>
          <c:val>
            <c:numRef>
              <c:f>'k5 ja 6 TJS WEM'!$R$7:$AA$7</c:f>
              <c:numCache>
                <c:formatCode>General</c:formatCode>
                <c:ptCount val="10"/>
                <c:pt idx="4" formatCode="0.0">
                  <c:v>23.17</c:v>
                </c:pt>
                <c:pt idx="9" formatCode="0.0">
                  <c:v>18.93</c:v>
                </c:pt>
              </c:numCache>
            </c:numRef>
          </c:val>
          <c:smooth val="0"/>
          <c:extLst>
            <c:ext xmlns:c16="http://schemas.microsoft.com/office/drawing/2014/chart" uri="{C3380CC4-5D6E-409C-BE32-E72D297353CC}">
              <c16:uniqueId val="{0000000D-77A8-4EBC-AFC4-DE00343F41E0}"/>
            </c:ext>
          </c:extLst>
        </c:ser>
        <c:dLbls>
          <c:showLegendKey val="0"/>
          <c:showVal val="0"/>
          <c:showCatName val="0"/>
          <c:showSerName val="0"/>
          <c:showPercent val="0"/>
          <c:showBubbleSize val="0"/>
        </c:dLbls>
        <c:marker val="1"/>
        <c:smooth val="0"/>
        <c:axId val="561992832"/>
        <c:axId val="561991752"/>
      </c:lineChart>
      <c:catAx>
        <c:axId val="56199283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i-FI"/>
          </a:p>
        </c:txPr>
        <c:crossAx val="561991752"/>
        <c:crosses val="autoZero"/>
        <c:auto val="1"/>
        <c:lblAlgn val="ctr"/>
        <c:lblOffset val="100"/>
        <c:noMultiLvlLbl val="0"/>
      </c:catAx>
      <c:valAx>
        <c:axId val="561991752"/>
        <c:scaling>
          <c:orientation val="minMax"/>
          <c:max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i-FI"/>
                  <a:t>Mt CO2-ekv.</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561992832"/>
        <c:crosses val="autoZero"/>
        <c:crossBetween val="between"/>
      </c:valAx>
      <c:spPr>
        <a:noFill/>
        <a:ln>
          <a:noFill/>
        </a:ln>
        <a:effectLst/>
      </c:spPr>
    </c:plotArea>
    <c:legend>
      <c:legendPos val="b"/>
      <c:legendEntry>
        <c:idx val="0"/>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fi-F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'k7 tjs kuilu'!$B$4</c:f>
              <c:strCache>
                <c:ptCount val="1"/>
                <c:pt idx="0">
                  <c:v>Päästötavoite 2030</c:v>
                </c:pt>
              </c:strCache>
            </c:strRef>
          </c:tx>
          <c:spPr>
            <a:solidFill>
              <a:schemeClr val="accent1"/>
            </a:solidFill>
            <a:ln>
              <a:noFill/>
            </a:ln>
            <a:effectLst/>
          </c:spPr>
          <c:invertIfNegative val="0"/>
          <c:dLbls>
            <c:dLbl>
              <c:idx val="1"/>
              <c:layout>
                <c:manualLayout>
                  <c:x val="0.28346834563967443"/>
                  <c:y val="7.688891946489142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fi-FI"/>
                </a:p>
              </c:txPr>
              <c:dLblPos val="ctr"/>
              <c:showLegendKey val="0"/>
              <c:showVal val="1"/>
              <c:showCatName val="0"/>
              <c:showSerName val="1"/>
              <c:showPercent val="0"/>
              <c:showBubbleSize val="0"/>
              <c:extLst>
                <c:ext xmlns:c15="http://schemas.microsoft.com/office/drawing/2012/chart" uri="{CE6537A1-D6FC-4f65-9D91-7224C49458BB}">
                  <c15:layout>
                    <c:manualLayout>
                      <c:w val="0.26047486838711631"/>
                      <c:h val="0.12957455539296525"/>
                    </c:manualLayout>
                  </c15:layout>
                </c:ext>
                <c:ext xmlns:c16="http://schemas.microsoft.com/office/drawing/2014/chart" uri="{C3380CC4-5D6E-409C-BE32-E72D297353CC}">
                  <c16:uniqueId val="{00000000-694B-42B4-BE20-4A8CFDB3BA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numRef>
              <c:f>'k7 tjs kuilu'!$C$3:$E$3</c:f>
              <c:numCache>
                <c:formatCode>General</c:formatCode>
                <c:ptCount val="3"/>
                <c:pt idx="1">
                  <c:v>2030</c:v>
                </c:pt>
              </c:numCache>
            </c:numRef>
          </c:cat>
          <c:val>
            <c:numRef>
              <c:f>'k7 tjs kuilu'!$C$4:$E$4</c:f>
              <c:numCache>
                <c:formatCode>0.0" Mt"</c:formatCode>
                <c:ptCount val="3"/>
                <c:pt idx="1">
                  <c:v>17.145544124500006</c:v>
                </c:pt>
              </c:numCache>
            </c:numRef>
          </c:val>
          <c:extLst>
            <c:ext xmlns:c16="http://schemas.microsoft.com/office/drawing/2014/chart" uri="{C3380CC4-5D6E-409C-BE32-E72D297353CC}">
              <c16:uniqueId val="{00000001-694B-42B4-BE20-4A8CFDB3BA71}"/>
            </c:ext>
          </c:extLst>
        </c:ser>
        <c:ser>
          <c:idx val="2"/>
          <c:order val="1"/>
          <c:tx>
            <c:strRef>
              <c:f>'k7 tjs kuilu'!$B$6</c:f>
              <c:strCache>
                <c:ptCount val="1"/>
                <c:pt idx="0">
                  <c:v>Lisäpäästö- vähennys- tarve</c:v>
                </c:pt>
              </c:strCache>
            </c:strRef>
          </c:tx>
          <c:spPr>
            <a:solidFill>
              <a:schemeClr val="accent3"/>
            </a:solidFill>
            <a:ln>
              <a:noFill/>
            </a:ln>
            <a:effectLst/>
          </c:spPr>
          <c:invertIfNegative val="0"/>
          <c:dLbls>
            <c:dLbl>
              <c:idx val="1"/>
              <c:layout>
                <c:manualLayout>
                  <c:x val="0.26600601381733946"/>
                  <c:y val="4.502125851451949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fi-FI"/>
                </a:p>
              </c:txPr>
              <c:dLblPos val="ctr"/>
              <c:showLegendKey val="0"/>
              <c:showVal val="1"/>
              <c:showCatName val="0"/>
              <c:showSerName val="1"/>
              <c:showPercent val="0"/>
              <c:showBubbleSize val="0"/>
              <c:extLst>
                <c:ext xmlns:c15="http://schemas.microsoft.com/office/drawing/2012/chart" uri="{CE6537A1-D6FC-4f65-9D91-7224C49458BB}">
                  <c15:layout>
                    <c:manualLayout>
                      <c:w val="0.18381543347543983"/>
                      <c:h val="0.1828735124923544"/>
                    </c:manualLayout>
                  </c15:layout>
                </c:ext>
                <c:ext xmlns:c16="http://schemas.microsoft.com/office/drawing/2014/chart" uri="{C3380CC4-5D6E-409C-BE32-E72D297353CC}">
                  <c16:uniqueId val="{00000002-694B-42B4-BE20-4A8CFDB3BA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numRef>
              <c:f>'k7 tjs kuilu'!$C$3:$E$3</c:f>
              <c:numCache>
                <c:formatCode>General</c:formatCode>
                <c:ptCount val="3"/>
                <c:pt idx="1">
                  <c:v>2030</c:v>
                </c:pt>
              </c:numCache>
            </c:numRef>
          </c:cat>
          <c:val>
            <c:numRef>
              <c:f>'k7 tjs kuilu'!$C$6:$E$6</c:f>
              <c:numCache>
                <c:formatCode>0.0" Mt"</c:formatCode>
                <c:ptCount val="3"/>
                <c:pt idx="1">
                  <c:v>1.7844558754999937</c:v>
                </c:pt>
              </c:numCache>
            </c:numRef>
          </c:val>
          <c:extLst>
            <c:ext xmlns:c16="http://schemas.microsoft.com/office/drawing/2014/chart" uri="{C3380CC4-5D6E-409C-BE32-E72D297353CC}">
              <c16:uniqueId val="{00000003-694B-42B4-BE20-4A8CFDB3BA71}"/>
            </c:ext>
          </c:extLst>
        </c:ser>
        <c:ser>
          <c:idx val="1"/>
          <c:order val="2"/>
          <c:tx>
            <c:strRef>
              <c:f>'k7 tjs kuilu'!$B$5</c:f>
              <c:strCache>
                <c:ptCount val="1"/>
                <c:pt idx="0">
                  <c:v>Nykykehitys</c:v>
                </c:pt>
              </c:strCache>
            </c:strRef>
          </c:tx>
          <c:spPr>
            <a:solidFill>
              <a:schemeClr val="accent2"/>
            </a:solidFill>
            <a:ln>
              <a:noFill/>
            </a:ln>
            <a:effectLst/>
          </c:spPr>
          <c:invertIfNegative val="0"/>
          <c:dLbls>
            <c:dLbl>
              <c:idx val="1"/>
              <c:layout>
                <c:manualLayout>
                  <c:x val="0.25544900272679916"/>
                  <c:y val="-4.037950379316167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fi-FI"/>
                </a:p>
              </c:txPr>
              <c:dLblPos val="ctr"/>
              <c:showLegendKey val="0"/>
              <c:showVal val="1"/>
              <c:showCatName val="0"/>
              <c:showSerName val="1"/>
              <c:showPercent val="0"/>
              <c:showBubbleSize val="0"/>
              <c:extLst>
                <c:ext xmlns:c15="http://schemas.microsoft.com/office/drawing/2012/chart" uri="{CE6537A1-D6FC-4f65-9D91-7224C49458BB}">
                  <c15:layout>
                    <c:manualLayout>
                      <c:w val="0.18917593472022223"/>
                      <c:h val="0.18451839667777831"/>
                    </c:manualLayout>
                  </c15:layout>
                </c:ext>
                <c:ext xmlns:c16="http://schemas.microsoft.com/office/drawing/2014/chart" uri="{C3380CC4-5D6E-409C-BE32-E72D297353CC}">
                  <c16:uniqueId val="{00000004-694B-42B4-BE20-4A8CFDB3BA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i-FI"/>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numRef>
              <c:f>'k7 tjs kuilu'!$C$3:$E$3</c:f>
              <c:numCache>
                <c:formatCode>General</c:formatCode>
                <c:ptCount val="3"/>
                <c:pt idx="1">
                  <c:v>2030</c:v>
                </c:pt>
              </c:numCache>
            </c:numRef>
          </c:cat>
          <c:val>
            <c:numRef>
              <c:f>'k7 tjs kuilu'!$C$5:$E$5</c:f>
              <c:numCache>
                <c:formatCode>0.0" Mt"</c:formatCode>
                <c:ptCount val="3"/>
                <c:pt idx="1">
                  <c:v>6.4782091643900266</c:v>
                </c:pt>
              </c:numCache>
            </c:numRef>
          </c:val>
          <c:extLst>
            <c:ext xmlns:c16="http://schemas.microsoft.com/office/drawing/2014/chart" uri="{C3380CC4-5D6E-409C-BE32-E72D297353CC}">
              <c16:uniqueId val="{00000005-694B-42B4-BE20-4A8CFDB3BA71}"/>
            </c:ext>
          </c:extLst>
        </c:ser>
        <c:dLbls>
          <c:showLegendKey val="0"/>
          <c:showVal val="0"/>
          <c:showCatName val="0"/>
          <c:showSerName val="0"/>
          <c:showPercent val="0"/>
          <c:showBubbleSize val="0"/>
        </c:dLbls>
        <c:gapWidth val="0"/>
        <c:overlap val="100"/>
        <c:axId val="1427450432"/>
        <c:axId val="1427450792"/>
      </c:barChart>
      <c:catAx>
        <c:axId val="1427450432"/>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fi-FI"/>
          </a:p>
        </c:txPr>
        <c:crossAx val="1427450792"/>
        <c:crosses val="autoZero"/>
        <c:auto val="1"/>
        <c:lblAlgn val="ctr"/>
        <c:lblOffset val="100"/>
        <c:noMultiLvlLbl val="0"/>
      </c:catAx>
      <c:valAx>
        <c:axId val="1427450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i-FI"/>
                  <a:t>Mt Co2-ekv.</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title>
        <c:numFmt formatCode="0.0&quot; Mt&quot;"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1427450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fi-FI"/>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'k13 liik'!$B$5</c:f>
              <c:strCache>
                <c:ptCount val="1"/>
                <c:pt idx="0">
                  <c:v>Päästöt</c:v>
                </c:pt>
              </c:strCache>
            </c:strRef>
          </c:tx>
          <c:spPr>
            <a:solidFill>
              <a:schemeClr val="accent1"/>
            </a:solidFill>
            <a:ln>
              <a:noFill/>
            </a:ln>
            <a:effectLst/>
          </c:spPr>
          <c:invertIfNegative val="0"/>
          <c:cat>
            <c:multiLvlStrRef>
              <c:f>'k13 liik'!$C$3:$AL$4</c:f>
              <c:multiLvlStrCache>
                <c:ptCount val="3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lvl>
                <c:lvl>
                  <c:pt idx="0">
                    <c:v>Tilasto</c:v>
                  </c:pt>
                  <c:pt idx="20">
                    <c:v>Skenaario</c:v>
                  </c:pt>
                </c:lvl>
              </c:multiLvlStrCache>
            </c:multiLvlStrRef>
          </c:cat>
          <c:val>
            <c:numRef>
              <c:f>'k13 liik'!$C$5:$AL$5</c:f>
              <c:numCache>
                <c:formatCode>0.0</c:formatCode>
                <c:ptCount val="36"/>
                <c:pt idx="0">
                  <c:v>12.567715372999999</c:v>
                </c:pt>
                <c:pt idx="1">
                  <c:v>12.750445735</c:v>
                </c:pt>
                <c:pt idx="2">
                  <c:v>13.123108484999999</c:v>
                </c:pt>
                <c:pt idx="3">
                  <c:v>12.487104475000001</c:v>
                </c:pt>
                <c:pt idx="4">
                  <c:v>11.937301428000001</c:v>
                </c:pt>
                <c:pt idx="5">
                  <c:v>12.440505386000002</c:v>
                </c:pt>
                <c:pt idx="6">
                  <c:v>12.236602576999999</c:v>
                </c:pt>
                <c:pt idx="7">
                  <c:v>11.971730536999999</c:v>
                </c:pt>
                <c:pt idx="8">
                  <c:v>11.781373557</c:v>
                </c:pt>
                <c:pt idx="9">
                  <c:v>10.658483846999999</c:v>
                </c:pt>
                <c:pt idx="10">
                  <c:v>10.671109416999998</c:v>
                </c:pt>
                <c:pt idx="11">
                  <c:v>11.879149499999999</c:v>
                </c:pt>
                <c:pt idx="12">
                  <c:v>11.270943559999999</c:v>
                </c:pt>
                <c:pt idx="13">
                  <c:v>11.448832167999999</c:v>
                </c:pt>
                <c:pt idx="14">
                  <c:v>11.047863718</c:v>
                </c:pt>
                <c:pt idx="15">
                  <c:v>10.362300540999998</c:v>
                </c:pt>
                <c:pt idx="16">
                  <c:v>9.9122989060000002</c:v>
                </c:pt>
                <c:pt idx="17">
                  <c:v>9.6847496749999991</c:v>
                </c:pt>
                <c:pt idx="18">
                  <c:v>9.3067503739999999</c:v>
                </c:pt>
              </c:numCache>
            </c:numRef>
          </c:val>
          <c:extLst>
            <c:ext xmlns:c16="http://schemas.microsoft.com/office/drawing/2014/chart" uri="{C3380CC4-5D6E-409C-BE32-E72D297353CC}">
              <c16:uniqueId val="{00000000-C7CD-4230-BA4F-BCFF658181BB}"/>
            </c:ext>
          </c:extLst>
        </c:ser>
        <c:ser>
          <c:idx val="1"/>
          <c:order val="1"/>
          <c:tx>
            <c:strRef>
              <c:f>'k13 liik'!$B$6</c:f>
              <c:strCache>
                <c:ptCount val="1"/>
                <c:pt idx="0">
                  <c:v>Pikaennakko 2024</c:v>
                </c:pt>
              </c:strCache>
            </c:strRef>
          </c:tx>
          <c:spPr>
            <a:solidFill>
              <a:schemeClr val="accent2"/>
            </a:solidFill>
            <a:ln>
              <a:noFill/>
            </a:ln>
            <a:effectLst/>
          </c:spPr>
          <c:invertIfNegative val="0"/>
          <c:cat>
            <c:multiLvlStrRef>
              <c:f>'k13 liik'!$C$3:$AL$4</c:f>
              <c:multiLvlStrCache>
                <c:ptCount val="3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lvl>
                <c:lvl>
                  <c:pt idx="0">
                    <c:v>Tilasto</c:v>
                  </c:pt>
                  <c:pt idx="20">
                    <c:v>Skenaario</c:v>
                  </c:pt>
                </c:lvl>
              </c:multiLvlStrCache>
            </c:multiLvlStrRef>
          </c:cat>
          <c:val>
            <c:numRef>
              <c:f>'k13 liik'!$C$6:$AL$6</c:f>
              <c:numCache>
                <c:formatCode>General</c:formatCode>
                <c:ptCount val="36"/>
                <c:pt idx="19" formatCode="0.0">
                  <c:v>9.6620431375487961</c:v>
                </c:pt>
              </c:numCache>
            </c:numRef>
          </c:val>
          <c:extLst>
            <c:ext xmlns:c16="http://schemas.microsoft.com/office/drawing/2014/chart" uri="{C3380CC4-5D6E-409C-BE32-E72D297353CC}">
              <c16:uniqueId val="{00000001-C7CD-4230-BA4F-BCFF658181BB}"/>
            </c:ext>
          </c:extLst>
        </c:ser>
        <c:dLbls>
          <c:showLegendKey val="0"/>
          <c:showVal val="0"/>
          <c:showCatName val="0"/>
          <c:showSerName val="0"/>
          <c:showPercent val="0"/>
          <c:showBubbleSize val="0"/>
        </c:dLbls>
        <c:gapWidth val="50"/>
        <c:overlap val="100"/>
        <c:axId val="2143614160"/>
        <c:axId val="2143614880"/>
      </c:barChart>
      <c:lineChart>
        <c:grouping val="standard"/>
        <c:varyColors val="0"/>
        <c:ser>
          <c:idx val="2"/>
          <c:order val="2"/>
          <c:tx>
            <c:strRef>
              <c:f>'k13 liik'!$B$7</c:f>
              <c:strCache>
                <c:ptCount val="1"/>
                <c:pt idx="0">
                  <c:v>KEITO WEM</c:v>
                </c:pt>
              </c:strCache>
            </c:strRef>
          </c:tx>
          <c:spPr>
            <a:ln w="28575" cap="rnd">
              <a:solidFill>
                <a:srgbClr val="365ABD"/>
              </a:solidFill>
              <a:prstDash val="sysDash"/>
              <a:round/>
            </a:ln>
            <a:effectLst/>
          </c:spPr>
          <c:marker>
            <c:symbol val="diamond"/>
            <c:size val="5"/>
            <c:spPr>
              <a:solidFill>
                <a:schemeClr val="accent3"/>
              </a:solidFill>
              <a:ln w="9525">
                <a:solidFill>
                  <a:srgbClr val="000000"/>
                </a:solidFill>
                <a:prstDash val="sysDash"/>
              </a:ln>
              <a:effectLst/>
            </c:spPr>
          </c:marker>
          <c:dPt>
            <c:idx val="25"/>
            <c:marker>
              <c:symbol val="diamond"/>
              <c:size val="5"/>
              <c:spPr>
                <a:solidFill>
                  <a:schemeClr val="accent3"/>
                </a:solidFill>
                <a:ln w="9525">
                  <a:solidFill>
                    <a:srgbClr val="000000"/>
                  </a:solidFill>
                  <a:prstDash val="sysDash"/>
                </a:ln>
                <a:effectLst/>
              </c:spPr>
            </c:marker>
            <c:bubble3D val="0"/>
            <c:extLst>
              <c:ext xmlns:c16="http://schemas.microsoft.com/office/drawing/2014/chart" uri="{C3380CC4-5D6E-409C-BE32-E72D297353CC}">
                <c16:uniqueId val="{00000002-C7CD-4230-BA4F-BCFF658181BB}"/>
              </c:ext>
            </c:extLst>
          </c:dPt>
          <c:cat>
            <c:multiLvlStrRef>
              <c:f>'k13 liik'!$C$3:$AL$4</c:f>
              <c:multiLvlStrCache>
                <c:ptCount val="3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lvl>
                <c:lvl>
                  <c:pt idx="0">
                    <c:v>Tilasto</c:v>
                  </c:pt>
                  <c:pt idx="20">
                    <c:v>Skenaario</c:v>
                  </c:pt>
                </c:lvl>
              </c:multiLvlStrCache>
            </c:multiLvlStrRef>
          </c:cat>
          <c:val>
            <c:numRef>
              <c:f>'k13 liik'!$C$7:$AL$7</c:f>
              <c:numCache>
                <c:formatCode>General</c:formatCode>
                <c:ptCount val="36"/>
                <c:pt idx="20" formatCode="0.0">
                  <c:v>8.35</c:v>
                </c:pt>
                <c:pt idx="25" formatCode="0.00">
                  <c:v>6.21</c:v>
                </c:pt>
              </c:numCache>
            </c:numRef>
          </c:val>
          <c:smooth val="0"/>
          <c:extLst>
            <c:ext xmlns:c16="http://schemas.microsoft.com/office/drawing/2014/chart" uri="{C3380CC4-5D6E-409C-BE32-E72D297353CC}">
              <c16:uniqueId val="{00000003-C7CD-4230-BA4F-BCFF658181BB}"/>
            </c:ext>
          </c:extLst>
        </c:ser>
        <c:ser>
          <c:idx val="3"/>
          <c:order val="3"/>
          <c:tx>
            <c:strRef>
              <c:f>'k13 liik'!$B$8</c:f>
              <c:strCache>
                <c:ptCount val="1"/>
                <c:pt idx="0">
                  <c:v>x</c:v>
                </c:pt>
              </c:strCache>
            </c:strRef>
          </c:tx>
          <c:spPr>
            <a:ln w="28575" cap="rnd">
              <a:solidFill>
                <a:srgbClr val="365ABD">
                  <a:lumMod val="40000"/>
                  <a:lumOff val="60000"/>
                </a:srgbClr>
              </a:solidFill>
              <a:prstDash val="sysDash"/>
              <a:round/>
            </a:ln>
            <a:effectLst/>
          </c:spPr>
          <c:marker>
            <c:symbol val="none"/>
          </c:marker>
          <c:dPt>
            <c:idx val="25"/>
            <c:marker>
              <c:symbol val="diamond"/>
              <c:size val="5"/>
              <c:spPr>
                <a:solidFill>
                  <a:srgbClr val="365ABD"/>
                </a:solidFill>
                <a:ln w="9525">
                  <a:noFill/>
                </a:ln>
                <a:effectLst/>
              </c:spPr>
            </c:marker>
            <c:bubble3D val="0"/>
            <c:extLst>
              <c:ext xmlns:c16="http://schemas.microsoft.com/office/drawing/2014/chart" uri="{C3380CC4-5D6E-409C-BE32-E72D297353CC}">
                <c16:uniqueId val="{00000004-C7CD-4230-BA4F-BCFF658181BB}"/>
              </c:ext>
            </c:extLst>
          </c:dPt>
          <c:dPt>
            <c:idx val="30"/>
            <c:marker>
              <c:symbol val="diamond"/>
              <c:size val="5"/>
              <c:spPr>
                <a:solidFill>
                  <a:srgbClr val="365ABD"/>
                </a:solidFill>
                <a:ln w="9525">
                  <a:noFill/>
                </a:ln>
                <a:effectLst/>
              </c:spPr>
            </c:marker>
            <c:bubble3D val="0"/>
            <c:spPr>
              <a:ln w="28575" cap="rnd">
                <a:solidFill>
                  <a:srgbClr val="365ABD"/>
                </a:solidFill>
                <a:prstDash val="sysDash"/>
                <a:round/>
              </a:ln>
              <a:effectLst/>
            </c:spPr>
            <c:extLst>
              <c:ext xmlns:c16="http://schemas.microsoft.com/office/drawing/2014/chart" uri="{C3380CC4-5D6E-409C-BE32-E72D297353CC}">
                <c16:uniqueId val="{00000006-C7CD-4230-BA4F-BCFF658181BB}"/>
              </c:ext>
            </c:extLst>
          </c:dPt>
          <c:cat>
            <c:multiLvlStrRef>
              <c:f>'k13 liik'!$C$3:$AL$4</c:f>
              <c:multiLvlStrCache>
                <c:ptCount val="3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lvl>
                <c:lvl>
                  <c:pt idx="0">
                    <c:v>Tilasto</c:v>
                  </c:pt>
                  <c:pt idx="20">
                    <c:v>Skenaario</c:v>
                  </c:pt>
                </c:lvl>
              </c:multiLvlStrCache>
            </c:multiLvlStrRef>
          </c:cat>
          <c:val>
            <c:numRef>
              <c:f>'k13 liik'!$C$8:$AL$8</c:f>
              <c:numCache>
                <c:formatCode>General</c:formatCode>
                <c:ptCount val="36"/>
                <c:pt idx="25" formatCode="0.00">
                  <c:v>6.21</c:v>
                </c:pt>
                <c:pt idx="30" formatCode="0.00">
                  <c:v>4.32</c:v>
                </c:pt>
              </c:numCache>
            </c:numRef>
          </c:val>
          <c:smooth val="0"/>
          <c:extLst>
            <c:ext xmlns:c16="http://schemas.microsoft.com/office/drawing/2014/chart" uri="{C3380CC4-5D6E-409C-BE32-E72D297353CC}">
              <c16:uniqueId val="{00000007-C7CD-4230-BA4F-BCFF658181BB}"/>
            </c:ext>
          </c:extLst>
        </c:ser>
        <c:ser>
          <c:idx val="4"/>
          <c:order val="4"/>
          <c:tx>
            <c:strRef>
              <c:f>'k13 liik'!$B$9</c:f>
              <c:strCache>
                <c:ptCount val="1"/>
                <c:pt idx="0">
                  <c:v>y</c:v>
                </c:pt>
              </c:strCache>
            </c:strRef>
          </c:tx>
          <c:spPr>
            <a:ln w="28575" cap="rnd">
              <a:solidFill>
                <a:srgbClr val="365ABD"/>
              </a:solidFill>
              <a:prstDash val="sysDot"/>
              <a:round/>
            </a:ln>
            <a:effectLst/>
          </c:spPr>
          <c:marker>
            <c:symbol val="none"/>
          </c:marker>
          <c:dPt>
            <c:idx val="30"/>
            <c:marker>
              <c:symbol val="none"/>
            </c:marker>
            <c:bubble3D val="0"/>
            <c:extLst>
              <c:ext xmlns:c16="http://schemas.microsoft.com/office/drawing/2014/chart" uri="{C3380CC4-5D6E-409C-BE32-E72D297353CC}">
                <c16:uniqueId val="{00000008-C7CD-4230-BA4F-BCFF658181BB}"/>
              </c:ext>
            </c:extLst>
          </c:dPt>
          <c:dPt>
            <c:idx val="35"/>
            <c:marker>
              <c:symbol val="diamond"/>
              <c:size val="5"/>
              <c:spPr>
                <a:solidFill>
                  <a:srgbClr val="365ABD"/>
                </a:solidFill>
                <a:ln w="9525">
                  <a:solidFill>
                    <a:srgbClr val="000000"/>
                  </a:solidFill>
                  <a:prstDash val="sysDash"/>
                </a:ln>
                <a:effectLst/>
              </c:spPr>
            </c:marker>
            <c:bubble3D val="0"/>
            <c:spPr>
              <a:ln w="28575" cap="rnd">
                <a:solidFill>
                  <a:srgbClr val="365ABD"/>
                </a:solidFill>
                <a:prstDash val="sysDash"/>
                <a:round/>
              </a:ln>
              <a:effectLst/>
            </c:spPr>
            <c:extLst>
              <c:ext xmlns:c16="http://schemas.microsoft.com/office/drawing/2014/chart" uri="{C3380CC4-5D6E-409C-BE32-E72D297353CC}">
                <c16:uniqueId val="{0000000A-C7CD-4230-BA4F-BCFF658181BB}"/>
              </c:ext>
            </c:extLst>
          </c:dPt>
          <c:cat>
            <c:multiLvlStrRef>
              <c:f>'k13 liik'!$C$3:$AL$4</c:f>
              <c:multiLvlStrCache>
                <c:ptCount val="3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lvl>
                <c:lvl>
                  <c:pt idx="0">
                    <c:v>Tilasto</c:v>
                  </c:pt>
                  <c:pt idx="20">
                    <c:v>Skenaario</c:v>
                  </c:pt>
                </c:lvl>
              </c:multiLvlStrCache>
            </c:multiLvlStrRef>
          </c:cat>
          <c:val>
            <c:numRef>
              <c:f>'k13 liik'!$C$9:$AL$9</c:f>
              <c:numCache>
                <c:formatCode>General</c:formatCode>
                <c:ptCount val="36"/>
                <c:pt idx="30" formatCode="0.00">
                  <c:v>4.32</c:v>
                </c:pt>
                <c:pt idx="35" formatCode="0.00">
                  <c:v>3.06</c:v>
                </c:pt>
              </c:numCache>
            </c:numRef>
          </c:val>
          <c:smooth val="0"/>
          <c:extLst>
            <c:ext xmlns:c16="http://schemas.microsoft.com/office/drawing/2014/chart" uri="{C3380CC4-5D6E-409C-BE32-E72D297353CC}">
              <c16:uniqueId val="{0000000B-C7CD-4230-BA4F-BCFF658181BB}"/>
            </c:ext>
          </c:extLst>
        </c:ser>
        <c:dLbls>
          <c:showLegendKey val="0"/>
          <c:showVal val="0"/>
          <c:showCatName val="0"/>
          <c:showSerName val="0"/>
          <c:showPercent val="0"/>
          <c:showBubbleSize val="0"/>
        </c:dLbls>
        <c:marker val="1"/>
        <c:smooth val="0"/>
        <c:axId val="2143614160"/>
        <c:axId val="2143614880"/>
      </c:lineChart>
      <c:catAx>
        <c:axId val="21436141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143614880"/>
        <c:crosses val="autoZero"/>
        <c:auto val="1"/>
        <c:lblAlgn val="ctr"/>
        <c:lblOffset val="100"/>
        <c:noMultiLvlLbl val="0"/>
      </c:catAx>
      <c:valAx>
        <c:axId val="2143614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i-FI"/>
                  <a:t>Mt CO2-ekv.</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143614160"/>
        <c:crosses val="autoZero"/>
        <c:crossBetween val="between"/>
      </c:valAx>
      <c:spPr>
        <a:noFill/>
        <a:ln>
          <a:noFill/>
        </a:ln>
        <a:effectLst/>
      </c:spPr>
    </c:plotArea>
    <c:legend>
      <c:legendPos val="b"/>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span"/>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fi-FI"/>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'k14 maat'!$B$5</c:f>
              <c:strCache>
                <c:ptCount val="1"/>
                <c:pt idx="0">
                  <c:v>Päästöt</c:v>
                </c:pt>
              </c:strCache>
            </c:strRef>
          </c:tx>
          <c:spPr>
            <a:solidFill>
              <a:schemeClr val="accent1"/>
            </a:solidFill>
            <a:ln>
              <a:noFill/>
            </a:ln>
            <a:effectLst/>
          </c:spPr>
          <c:invertIfNegative val="0"/>
          <c:cat>
            <c:multiLvlStrRef>
              <c:f>'k14 maat'!$C$3:$AL$4</c:f>
              <c:multiLvlStrCache>
                <c:ptCount val="3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lvl>
                <c:lvl>
                  <c:pt idx="0">
                    <c:v>Tilasto</c:v>
                  </c:pt>
                  <c:pt idx="20">
                    <c:v>KEITO WEM</c:v>
                  </c:pt>
                </c:lvl>
              </c:multiLvlStrCache>
            </c:multiLvlStrRef>
          </c:cat>
          <c:val>
            <c:numRef>
              <c:f>'k14 maat'!$C$5:$AL$5</c:f>
              <c:numCache>
                <c:formatCode>0.0</c:formatCode>
                <c:ptCount val="36"/>
                <c:pt idx="0">
                  <c:v>6.3942814559999999</c:v>
                </c:pt>
                <c:pt idx="1">
                  <c:v>6.4031427160000005</c:v>
                </c:pt>
                <c:pt idx="2">
                  <c:v>6.3290534319999994</c:v>
                </c:pt>
                <c:pt idx="3">
                  <c:v>6.4431218399999999</c:v>
                </c:pt>
                <c:pt idx="4">
                  <c:v>6.303786584</c:v>
                </c:pt>
                <c:pt idx="5">
                  <c:v>6.493179789</c:v>
                </c:pt>
                <c:pt idx="6">
                  <c:v>6.3256965169999999</c:v>
                </c:pt>
                <c:pt idx="7">
                  <c:v>6.225142441</c:v>
                </c:pt>
                <c:pt idx="8">
                  <c:v>6.4043413300000003</c:v>
                </c:pt>
                <c:pt idx="9">
                  <c:v>6.4812038339999996</c:v>
                </c:pt>
                <c:pt idx="10">
                  <c:v>6.3960516409999997</c:v>
                </c:pt>
                <c:pt idx="11">
                  <c:v>6.4938816939999997</c:v>
                </c:pt>
                <c:pt idx="12">
                  <c:v>6.3270556869999997</c:v>
                </c:pt>
                <c:pt idx="13">
                  <c:v>6.404341692</c:v>
                </c:pt>
                <c:pt idx="14">
                  <c:v>6.3982248080000002</c:v>
                </c:pt>
                <c:pt idx="15">
                  <c:v>6.3711567870000003</c:v>
                </c:pt>
                <c:pt idx="16">
                  <c:v>6.3762793589999998</c:v>
                </c:pt>
                <c:pt idx="17">
                  <c:v>6.068424126</c:v>
                </c:pt>
                <c:pt idx="18">
                  <c:v>6.1954542250000006</c:v>
                </c:pt>
              </c:numCache>
            </c:numRef>
          </c:val>
          <c:extLst>
            <c:ext xmlns:c16="http://schemas.microsoft.com/office/drawing/2014/chart" uri="{C3380CC4-5D6E-409C-BE32-E72D297353CC}">
              <c16:uniqueId val="{00000000-4163-4524-9CD9-609436B814C3}"/>
            </c:ext>
          </c:extLst>
        </c:ser>
        <c:ser>
          <c:idx val="1"/>
          <c:order val="1"/>
          <c:tx>
            <c:strRef>
              <c:f>'k14 maat'!$B$6</c:f>
              <c:strCache>
                <c:ptCount val="1"/>
                <c:pt idx="0">
                  <c:v>Pikaennakko 2024</c:v>
                </c:pt>
              </c:strCache>
            </c:strRef>
          </c:tx>
          <c:spPr>
            <a:solidFill>
              <a:schemeClr val="accent2"/>
            </a:solidFill>
            <a:ln>
              <a:noFill/>
            </a:ln>
            <a:effectLst/>
          </c:spPr>
          <c:invertIfNegative val="0"/>
          <c:cat>
            <c:multiLvlStrRef>
              <c:f>'k14 maat'!$C$3:$AL$4</c:f>
              <c:multiLvlStrCache>
                <c:ptCount val="3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lvl>
                <c:lvl>
                  <c:pt idx="0">
                    <c:v>Tilasto</c:v>
                  </c:pt>
                  <c:pt idx="20">
                    <c:v>KEITO WEM</c:v>
                  </c:pt>
                </c:lvl>
              </c:multiLvlStrCache>
            </c:multiLvlStrRef>
          </c:cat>
          <c:val>
            <c:numRef>
              <c:f>'k14 maat'!$C$6:$AL$6</c:f>
              <c:numCache>
                <c:formatCode>General</c:formatCode>
                <c:ptCount val="36"/>
                <c:pt idx="19" formatCode="0.0">
                  <c:v>6.1457100973143479</c:v>
                </c:pt>
              </c:numCache>
            </c:numRef>
          </c:val>
          <c:extLst>
            <c:ext xmlns:c16="http://schemas.microsoft.com/office/drawing/2014/chart" uri="{C3380CC4-5D6E-409C-BE32-E72D297353CC}">
              <c16:uniqueId val="{00000001-4163-4524-9CD9-609436B814C3}"/>
            </c:ext>
          </c:extLst>
        </c:ser>
        <c:dLbls>
          <c:showLegendKey val="0"/>
          <c:showVal val="0"/>
          <c:showCatName val="0"/>
          <c:showSerName val="0"/>
          <c:showPercent val="0"/>
          <c:showBubbleSize val="0"/>
        </c:dLbls>
        <c:gapWidth val="50"/>
        <c:overlap val="100"/>
        <c:axId val="2143614160"/>
        <c:axId val="2143614880"/>
      </c:barChart>
      <c:lineChart>
        <c:grouping val="standard"/>
        <c:varyColors val="0"/>
        <c:ser>
          <c:idx val="2"/>
          <c:order val="2"/>
          <c:tx>
            <c:strRef>
              <c:f>'k14 maat'!$B$7</c:f>
              <c:strCache>
                <c:ptCount val="1"/>
                <c:pt idx="0">
                  <c:v>KEITO WEM</c:v>
                </c:pt>
              </c:strCache>
            </c:strRef>
          </c:tx>
          <c:spPr>
            <a:ln w="28575" cap="rnd">
              <a:solidFill>
                <a:schemeClr val="accent3"/>
              </a:solidFill>
              <a:prstDash val="sysDash"/>
              <a:round/>
            </a:ln>
            <a:effectLst/>
          </c:spPr>
          <c:marker>
            <c:symbol val="diamond"/>
            <c:size val="7"/>
            <c:spPr>
              <a:solidFill>
                <a:schemeClr val="accent3"/>
              </a:solidFill>
              <a:ln w="9525">
                <a:solidFill>
                  <a:schemeClr val="accent3"/>
                </a:solidFill>
              </a:ln>
              <a:effectLst/>
            </c:spPr>
          </c:marker>
          <c:cat>
            <c:strRef>
              <c:f>'k14 maat'!$C$4:$AL$4</c:f>
              <c:strCache>
                <c:ptCount val="3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strCache>
            </c:strRef>
          </c:cat>
          <c:val>
            <c:numRef>
              <c:f>'k14 maat'!$C$7:$AL$7</c:f>
              <c:numCache>
                <c:formatCode>General</c:formatCode>
                <c:ptCount val="36"/>
                <c:pt idx="20" formatCode="0.0">
                  <c:v>5.86</c:v>
                </c:pt>
                <c:pt idx="25" formatCode="0.00">
                  <c:v>5.61</c:v>
                </c:pt>
                <c:pt idx="30" formatCode="0.00">
                  <c:v>5.46</c:v>
                </c:pt>
                <c:pt idx="35" formatCode="0.00">
                  <c:v>5.51</c:v>
                </c:pt>
              </c:numCache>
            </c:numRef>
          </c:val>
          <c:smooth val="0"/>
          <c:extLst>
            <c:ext xmlns:c16="http://schemas.microsoft.com/office/drawing/2014/chart" uri="{C3380CC4-5D6E-409C-BE32-E72D297353CC}">
              <c16:uniqueId val="{00000002-4163-4524-9CD9-609436B814C3}"/>
            </c:ext>
          </c:extLst>
        </c:ser>
        <c:dLbls>
          <c:showLegendKey val="0"/>
          <c:showVal val="0"/>
          <c:showCatName val="0"/>
          <c:showSerName val="0"/>
          <c:showPercent val="0"/>
          <c:showBubbleSize val="0"/>
        </c:dLbls>
        <c:marker val="1"/>
        <c:smooth val="0"/>
        <c:axId val="2143614160"/>
        <c:axId val="2143614880"/>
      </c:lineChart>
      <c:catAx>
        <c:axId val="21436141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143614880"/>
        <c:crosses val="autoZero"/>
        <c:auto val="1"/>
        <c:lblAlgn val="ctr"/>
        <c:lblOffset val="100"/>
        <c:noMultiLvlLbl val="0"/>
      </c:catAx>
      <c:valAx>
        <c:axId val="2143614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i-FI"/>
                  <a:t>Mt CO2-ekv.</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14361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span"/>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fi-FI"/>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'k15 eril'!$B$5</c:f>
              <c:strCache>
                <c:ptCount val="1"/>
                <c:pt idx="0">
                  <c:v>Päästöt</c:v>
                </c:pt>
              </c:strCache>
            </c:strRef>
          </c:tx>
          <c:spPr>
            <a:solidFill>
              <a:schemeClr val="accent1"/>
            </a:solidFill>
            <a:ln>
              <a:noFill/>
            </a:ln>
            <a:effectLst/>
          </c:spPr>
          <c:invertIfNegative val="0"/>
          <c:cat>
            <c:multiLvlStrRef>
              <c:f>'k15 eril'!$C$3:$AL$4</c:f>
              <c:multiLvlStrCache>
                <c:ptCount val="3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lvl>
                <c:lvl>
                  <c:pt idx="0">
                    <c:v>Tilasto</c:v>
                  </c:pt>
                  <c:pt idx="19">
                    <c:v>KEITO WEM</c:v>
                  </c:pt>
                </c:lvl>
              </c:multiLvlStrCache>
            </c:multiLvlStrRef>
          </c:cat>
          <c:val>
            <c:numRef>
              <c:f>'k15 eril'!$C$5:$AL$5</c:f>
              <c:numCache>
                <c:formatCode>0.0</c:formatCode>
                <c:ptCount val="36"/>
                <c:pt idx="0">
                  <c:v>4.0578702660000001</c:v>
                </c:pt>
                <c:pt idx="1">
                  <c:v>3.957637063</c:v>
                </c:pt>
                <c:pt idx="2">
                  <c:v>3.8128753559999997</c:v>
                </c:pt>
                <c:pt idx="3">
                  <c:v>3.353267217</c:v>
                </c:pt>
                <c:pt idx="4">
                  <c:v>3.3958172869999999</c:v>
                </c:pt>
                <c:pt idx="5">
                  <c:v>3.6998265679999998</c:v>
                </c:pt>
                <c:pt idx="6">
                  <c:v>3.0350574520000002</c:v>
                </c:pt>
                <c:pt idx="7">
                  <c:v>3.2497781519999998</c:v>
                </c:pt>
                <c:pt idx="8">
                  <c:v>2.8743063319999997</c:v>
                </c:pt>
                <c:pt idx="9">
                  <c:v>2.785761387</c:v>
                </c:pt>
                <c:pt idx="10">
                  <c:v>2.5830913029999998</c:v>
                </c:pt>
                <c:pt idx="11">
                  <c:v>2.7394385110000004</c:v>
                </c:pt>
                <c:pt idx="12">
                  <c:v>2.6351178239999995</c:v>
                </c:pt>
                <c:pt idx="13">
                  <c:v>2.4832837049999998</c:v>
                </c:pt>
                <c:pt idx="14">
                  <c:v>2.3918083749999997</c:v>
                </c:pt>
                <c:pt idx="15">
                  <c:v>2.154080649</c:v>
                </c:pt>
                <c:pt idx="16">
                  <c:v>2.174453331</c:v>
                </c:pt>
                <c:pt idx="17">
                  <c:v>1.932930904</c:v>
                </c:pt>
                <c:pt idx="18">
                  <c:v>1.6083913719999998</c:v>
                </c:pt>
              </c:numCache>
            </c:numRef>
          </c:val>
          <c:extLst>
            <c:ext xmlns:c16="http://schemas.microsoft.com/office/drawing/2014/chart" uri="{C3380CC4-5D6E-409C-BE32-E72D297353CC}">
              <c16:uniqueId val="{00000000-7DBC-40CA-8C60-5F9FC3845778}"/>
            </c:ext>
          </c:extLst>
        </c:ser>
        <c:ser>
          <c:idx val="1"/>
          <c:order val="1"/>
          <c:tx>
            <c:strRef>
              <c:f>'k15 eril'!$B$6</c:f>
              <c:strCache>
                <c:ptCount val="1"/>
                <c:pt idx="0">
                  <c:v>Pikaennakko 2024</c:v>
                </c:pt>
              </c:strCache>
            </c:strRef>
          </c:tx>
          <c:spPr>
            <a:solidFill>
              <a:schemeClr val="accent2"/>
            </a:solidFill>
            <a:ln>
              <a:noFill/>
            </a:ln>
            <a:effectLst/>
          </c:spPr>
          <c:invertIfNegative val="0"/>
          <c:cat>
            <c:multiLvlStrRef>
              <c:f>'k15 eril'!$C$3:$AL$4</c:f>
              <c:multiLvlStrCache>
                <c:ptCount val="3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lvl>
                <c:lvl>
                  <c:pt idx="0">
                    <c:v>Tilasto</c:v>
                  </c:pt>
                  <c:pt idx="19">
                    <c:v>KEITO WEM</c:v>
                  </c:pt>
                </c:lvl>
              </c:multiLvlStrCache>
            </c:multiLvlStrRef>
          </c:cat>
          <c:val>
            <c:numRef>
              <c:f>'k15 eril'!$C$6:$AL$6</c:f>
              <c:numCache>
                <c:formatCode>General</c:formatCode>
                <c:ptCount val="36"/>
              </c:numCache>
            </c:numRef>
          </c:val>
          <c:extLst>
            <c:ext xmlns:c16="http://schemas.microsoft.com/office/drawing/2014/chart" uri="{C3380CC4-5D6E-409C-BE32-E72D297353CC}">
              <c16:uniqueId val="{00000001-7DBC-40CA-8C60-5F9FC3845778}"/>
            </c:ext>
          </c:extLst>
        </c:ser>
        <c:dLbls>
          <c:showLegendKey val="0"/>
          <c:showVal val="0"/>
          <c:showCatName val="0"/>
          <c:showSerName val="0"/>
          <c:showPercent val="0"/>
          <c:showBubbleSize val="0"/>
        </c:dLbls>
        <c:gapWidth val="50"/>
        <c:overlap val="100"/>
        <c:axId val="2143614160"/>
        <c:axId val="2143614880"/>
      </c:barChart>
      <c:lineChart>
        <c:grouping val="standard"/>
        <c:varyColors val="0"/>
        <c:ser>
          <c:idx val="2"/>
          <c:order val="2"/>
          <c:tx>
            <c:strRef>
              <c:f>'k15 eril'!$B$7</c:f>
              <c:strCache>
                <c:ptCount val="1"/>
                <c:pt idx="0">
                  <c:v>KEITO WEM</c:v>
                </c:pt>
              </c:strCache>
            </c:strRef>
          </c:tx>
          <c:spPr>
            <a:ln w="28575" cap="rnd">
              <a:solidFill>
                <a:schemeClr val="accent3"/>
              </a:solidFill>
              <a:prstDash val="sysDash"/>
              <a:round/>
            </a:ln>
            <a:effectLst/>
          </c:spPr>
          <c:marker>
            <c:symbol val="diamond"/>
            <c:size val="7"/>
            <c:spPr>
              <a:solidFill>
                <a:schemeClr val="accent3"/>
              </a:solidFill>
              <a:ln w="9525">
                <a:solidFill>
                  <a:schemeClr val="accent3"/>
                </a:solidFill>
              </a:ln>
              <a:effectLst/>
            </c:spPr>
          </c:marker>
          <c:cat>
            <c:multiLvlStrRef>
              <c:f>'k15 eril'!$C$3:$AL$4</c:f>
              <c:multiLvlStrCache>
                <c:ptCount val="36"/>
                <c:lvl>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lvl>
                <c:lvl>
                  <c:pt idx="0">
                    <c:v>Tilasto</c:v>
                  </c:pt>
                  <c:pt idx="19">
                    <c:v>KEITO WEM</c:v>
                  </c:pt>
                </c:lvl>
              </c:multiLvlStrCache>
            </c:multiLvlStrRef>
          </c:cat>
          <c:val>
            <c:numRef>
              <c:f>'k15 eril'!$C$7:$AL$7</c:f>
              <c:numCache>
                <c:formatCode>General</c:formatCode>
                <c:ptCount val="36"/>
                <c:pt idx="20" formatCode="0.00">
                  <c:v>1.46</c:v>
                </c:pt>
                <c:pt idx="25" formatCode="0.00">
                  <c:v>0.73</c:v>
                </c:pt>
                <c:pt idx="30" formatCode="0.00">
                  <c:v>0.49</c:v>
                </c:pt>
                <c:pt idx="35" formatCode="0.00">
                  <c:v>0.33</c:v>
                </c:pt>
              </c:numCache>
            </c:numRef>
          </c:val>
          <c:smooth val="0"/>
          <c:extLst>
            <c:ext xmlns:c16="http://schemas.microsoft.com/office/drawing/2014/chart" uri="{C3380CC4-5D6E-409C-BE32-E72D297353CC}">
              <c16:uniqueId val="{00000002-7DBC-40CA-8C60-5F9FC3845778}"/>
            </c:ext>
          </c:extLst>
        </c:ser>
        <c:dLbls>
          <c:showLegendKey val="0"/>
          <c:showVal val="0"/>
          <c:showCatName val="0"/>
          <c:showSerName val="0"/>
          <c:showPercent val="0"/>
          <c:showBubbleSize val="0"/>
        </c:dLbls>
        <c:marker val="1"/>
        <c:smooth val="0"/>
        <c:axId val="2143614160"/>
        <c:axId val="2143614880"/>
      </c:lineChart>
      <c:catAx>
        <c:axId val="21436141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143614880"/>
        <c:crosses val="autoZero"/>
        <c:auto val="1"/>
        <c:lblAlgn val="ctr"/>
        <c:lblOffset val="100"/>
        <c:noMultiLvlLbl val="0"/>
      </c:catAx>
      <c:valAx>
        <c:axId val="2143614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i-FI"/>
                  <a:t>Mt CO</a:t>
                </a:r>
                <a:r>
                  <a:rPr lang="fi-FI" baseline="-25000"/>
                  <a:t>2</a:t>
                </a:r>
                <a:r>
                  <a:rPr lang="fi-FI"/>
                  <a:t>-ekv.</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2143614160"/>
        <c:crosses val="autoZero"/>
        <c:crossBetween val="between"/>
        <c:majorUnit val="1"/>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legend>
    <c:plotVisOnly val="1"/>
    <c:dispBlanksAs val="span"/>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fi-F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0.27075</cdr:x>
      <cdr:y>0.17654</cdr:y>
    </cdr:from>
    <cdr:to>
      <cdr:x>0.38329</cdr:x>
      <cdr:y>0.87342</cdr:y>
    </cdr:to>
    <cdr:sp macro="" textlink="">
      <cdr:nvSpPr>
        <cdr:cNvPr id="2" name="Left Brace 1">
          <a:extLst xmlns:a="http://schemas.openxmlformats.org/drawingml/2006/main">
            <a:ext uri="{FF2B5EF4-FFF2-40B4-BE49-F238E27FC236}">
              <a16:creationId xmlns:a16="http://schemas.microsoft.com/office/drawing/2014/main" id="{07A4A985-15B7-4621-2904-F44A81C44A86}"/>
            </a:ext>
          </a:extLst>
        </cdr:cNvPr>
        <cdr:cNvSpPr/>
      </cdr:nvSpPr>
      <cdr:spPr>
        <a:xfrm xmlns:a="http://schemas.openxmlformats.org/drawingml/2006/main">
          <a:off x="1325557" y="564543"/>
          <a:ext cx="550951" cy="2228545"/>
        </a:xfrm>
        <a:prstGeom xmlns:a="http://schemas.openxmlformats.org/drawingml/2006/main" prst="leftBrac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fi-FI"/>
        </a:p>
      </cdr:txBody>
    </cdr:sp>
  </cdr:relSizeAnchor>
  <cdr:relSizeAnchor xmlns:cdr="http://schemas.openxmlformats.org/drawingml/2006/chartDrawing">
    <cdr:from>
      <cdr:x>0.13854</cdr:x>
      <cdr:y>0.41251</cdr:y>
    </cdr:from>
    <cdr:to>
      <cdr:x>0.36416</cdr:x>
      <cdr:y>0.54867</cdr:y>
    </cdr:to>
    <cdr:sp macro="" textlink="">
      <cdr:nvSpPr>
        <cdr:cNvPr id="3" name="TextBox 2">
          <a:extLst xmlns:a="http://schemas.openxmlformats.org/drawingml/2006/main">
            <a:ext uri="{FF2B5EF4-FFF2-40B4-BE49-F238E27FC236}">
              <a16:creationId xmlns:a16="http://schemas.microsoft.com/office/drawing/2014/main" id="{33545981-19EC-40FC-AA39-D01987436A22}"/>
            </a:ext>
          </a:extLst>
        </cdr:cNvPr>
        <cdr:cNvSpPr txBox="1"/>
      </cdr:nvSpPr>
      <cdr:spPr>
        <a:xfrm xmlns:a="http://schemas.openxmlformats.org/drawingml/2006/main">
          <a:off x="684877" y="1331986"/>
          <a:ext cx="1115347" cy="4396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900"/>
            <a:t>Päästöt 2024: 25,4 Mt</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9"/>
        <w:category>
          <w:name w:val="Yleiset"/>
          <w:gallery w:val="placeholder"/>
        </w:category>
        <w:types>
          <w:type w:val="bbPlcHdr"/>
        </w:types>
        <w:behaviors>
          <w:behavior w:val="content"/>
        </w:behaviors>
        <w:guid w:val="{701EACC6-0B63-4960-84AA-C797D0B7B74C}"/>
      </w:docPartPr>
      <w:docPartBody>
        <w:p w:rsidR="00AA7350" w:rsidRDefault="00E32748">
          <w:r w:rsidRPr="008D065D">
            <w:rPr>
              <w:rStyle w:val="Paikkamerkkiteksti"/>
            </w:rPr>
            <w:t>Valitse kohde.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Light">
    <w:altName w:val="Segoe UI Light"/>
    <w:panose1 w:val="00000000000000000000"/>
    <w:charset w:val="00"/>
    <w:family w:val="swiss"/>
    <w:notTrueType/>
    <w:pitch w:val="variable"/>
    <w:sig w:usb0="00000001" w:usb1="00000001" w:usb2="00000000" w:usb3="00000000" w:csb0="0000019F" w:csb1="00000000"/>
  </w:font>
  <w:font w:name="Myriad Pro Cond">
    <w:altName w:val="Segoe UI"/>
    <w:panose1 w:val="00000000000000000000"/>
    <w:charset w:val="00"/>
    <w:family w:val="swiss"/>
    <w:notTrueType/>
    <w:pitch w:val="variable"/>
    <w:sig w:usb0="00000001" w:usb1="00000001" w:usb2="00000000" w:usb3="00000000" w:csb0="0000019F" w:csb1="00000000"/>
  </w:font>
  <w:font w:name="Myriad Pro Light Cond">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748"/>
    <w:rsid w:val="00030C34"/>
    <w:rsid w:val="00060CFD"/>
    <w:rsid w:val="000624FB"/>
    <w:rsid w:val="00064FB6"/>
    <w:rsid w:val="00075ACC"/>
    <w:rsid w:val="00093142"/>
    <w:rsid w:val="00095038"/>
    <w:rsid w:val="000A7540"/>
    <w:rsid w:val="000D736E"/>
    <w:rsid w:val="000F47F9"/>
    <w:rsid w:val="00100C54"/>
    <w:rsid w:val="00103D03"/>
    <w:rsid w:val="001123EF"/>
    <w:rsid w:val="00112B11"/>
    <w:rsid w:val="00116E89"/>
    <w:rsid w:val="00125604"/>
    <w:rsid w:val="00152240"/>
    <w:rsid w:val="00154BAA"/>
    <w:rsid w:val="001668FD"/>
    <w:rsid w:val="001735D0"/>
    <w:rsid w:val="00174B74"/>
    <w:rsid w:val="00176B91"/>
    <w:rsid w:val="001A2905"/>
    <w:rsid w:val="001A3E0F"/>
    <w:rsid w:val="001A702C"/>
    <w:rsid w:val="001B60B9"/>
    <w:rsid w:val="001B719E"/>
    <w:rsid w:val="001C4E80"/>
    <w:rsid w:val="001C69EC"/>
    <w:rsid w:val="001D46CC"/>
    <w:rsid w:val="001E557B"/>
    <w:rsid w:val="00204C98"/>
    <w:rsid w:val="002110D1"/>
    <w:rsid w:val="00224DB4"/>
    <w:rsid w:val="002315F7"/>
    <w:rsid w:val="00234646"/>
    <w:rsid w:val="002431F6"/>
    <w:rsid w:val="0025165A"/>
    <w:rsid w:val="00265973"/>
    <w:rsid w:val="00267E2B"/>
    <w:rsid w:val="002955A1"/>
    <w:rsid w:val="002A63E2"/>
    <w:rsid w:val="002B58D9"/>
    <w:rsid w:val="002B64EA"/>
    <w:rsid w:val="002E485D"/>
    <w:rsid w:val="002F2DBE"/>
    <w:rsid w:val="002F2F80"/>
    <w:rsid w:val="00304ABE"/>
    <w:rsid w:val="00313225"/>
    <w:rsid w:val="00320740"/>
    <w:rsid w:val="00343423"/>
    <w:rsid w:val="003600BF"/>
    <w:rsid w:val="003622B0"/>
    <w:rsid w:val="00366677"/>
    <w:rsid w:val="0037425C"/>
    <w:rsid w:val="003805A3"/>
    <w:rsid w:val="003926F0"/>
    <w:rsid w:val="00394254"/>
    <w:rsid w:val="003A1E80"/>
    <w:rsid w:val="003B6C52"/>
    <w:rsid w:val="003C4ACE"/>
    <w:rsid w:val="003D2D55"/>
    <w:rsid w:val="003D2EEE"/>
    <w:rsid w:val="003E6270"/>
    <w:rsid w:val="003F53C1"/>
    <w:rsid w:val="003F7CED"/>
    <w:rsid w:val="004030F2"/>
    <w:rsid w:val="00416D4C"/>
    <w:rsid w:val="00420BDB"/>
    <w:rsid w:val="004343C8"/>
    <w:rsid w:val="004411FE"/>
    <w:rsid w:val="00443DDE"/>
    <w:rsid w:val="00443F2A"/>
    <w:rsid w:val="00476F53"/>
    <w:rsid w:val="00486C26"/>
    <w:rsid w:val="00487366"/>
    <w:rsid w:val="004954BC"/>
    <w:rsid w:val="004A3A5B"/>
    <w:rsid w:val="004D481A"/>
    <w:rsid w:val="0050226C"/>
    <w:rsid w:val="0052657C"/>
    <w:rsid w:val="00572FBC"/>
    <w:rsid w:val="00583C7D"/>
    <w:rsid w:val="005A7AC3"/>
    <w:rsid w:val="005C3306"/>
    <w:rsid w:val="005D0086"/>
    <w:rsid w:val="005D107B"/>
    <w:rsid w:val="005D1E4A"/>
    <w:rsid w:val="005D22C9"/>
    <w:rsid w:val="005D273D"/>
    <w:rsid w:val="005D41B7"/>
    <w:rsid w:val="005E2816"/>
    <w:rsid w:val="00605987"/>
    <w:rsid w:val="006133A5"/>
    <w:rsid w:val="00633381"/>
    <w:rsid w:val="0065122C"/>
    <w:rsid w:val="00657733"/>
    <w:rsid w:val="006656C0"/>
    <w:rsid w:val="00690B16"/>
    <w:rsid w:val="006B64F1"/>
    <w:rsid w:val="006B66E6"/>
    <w:rsid w:val="006D4F43"/>
    <w:rsid w:val="006E0FA3"/>
    <w:rsid w:val="006E218A"/>
    <w:rsid w:val="006E6492"/>
    <w:rsid w:val="006E7EC5"/>
    <w:rsid w:val="007071DF"/>
    <w:rsid w:val="007073DE"/>
    <w:rsid w:val="007200B3"/>
    <w:rsid w:val="00721A73"/>
    <w:rsid w:val="00721AF9"/>
    <w:rsid w:val="00735F57"/>
    <w:rsid w:val="00767841"/>
    <w:rsid w:val="00793F1C"/>
    <w:rsid w:val="00797507"/>
    <w:rsid w:val="007A7BD8"/>
    <w:rsid w:val="007A7C23"/>
    <w:rsid w:val="007C0C9A"/>
    <w:rsid w:val="007C1362"/>
    <w:rsid w:val="007C4FA7"/>
    <w:rsid w:val="007D0B3B"/>
    <w:rsid w:val="007D69D5"/>
    <w:rsid w:val="00811465"/>
    <w:rsid w:val="00823313"/>
    <w:rsid w:val="00825DD3"/>
    <w:rsid w:val="00825F7E"/>
    <w:rsid w:val="00827F74"/>
    <w:rsid w:val="008344C8"/>
    <w:rsid w:val="00840B3E"/>
    <w:rsid w:val="008449D4"/>
    <w:rsid w:val="00847D72"/>
    <w:rsid w:val="00872E28"/>
    <w:rsid w:val="00877C9A"/>
    <w:rsid w:val="008834C6"/>
    <w:rsid w:val="008C11B9"/>
    <w:rsid w:val="008D6CD8"/>
    <w:rsid w:val="008E650F"/>
    <w:rsid w:val="008F6EFD"/>
    <w:rsid w:val="00910EE1"/>
    <w:rsid w:val="009449B3"/>
    <w:rsid w:val="00945DAC"/>
    <w:rsid w:val="009503CE"/>
    <w:rsid w:val="00950A39"/>
    <w:rsid w:val="009519A0"/>
    <w:rsid w:val="009569EC"/>
    <w:rsid w:val="00956F72"/>
    <w:rsid w:val="009929C9"/>
    <w:rsid w:val="009A4366"/>
    <w:rsid w:val="009C33BB"/>
    <w:rsid w:val="00A01BFF"/>
    <w:rsid w:val="00A172EB"/>
    <w:rsid w:val="00A23012"/>
    <w:rsid w:val="00A5087C"/>
    <w:rsid w:val="00A72DB3"/>
    <w:rsid w:val="00A74FA3"/>
    <w:rsid w:val="00A87666"/>
    <w:rsid w:val="00AA7350"/>
    <w:rsid w:val="00AB1165"/>
    <w:rsid w:val="00AB73AC"/>
    <w:rsid w:val="00AC2549"/>
    <w:rsid w:val="00AD5B68"/>
    <w:rsid w:val="00AF7AE7"/>
    <w:rsid w:val="00B025C5"/>
    <w:rsid w:val="00B11006"/>
    <w:rsid w:val="00B23DC2"/>
    <w:rsid w:val="00B44889"/>
    <w:rsid w:val="00B470EC"/>
    <w:rsid w:val="00B5708C"/>
    <w:rsid w:val="00B729DC"/>
    <w:rsid w:val="00B8241C"/>
    <w:rsid w:val="00B90EC1"/>
    <w:rsid w:val="00B91FB6"/>
    <w:rsid w:val="00BB09E6"/>
    <w:rsid w:val="00BC0E3C"/>
    <w:rsid w:val="00BD52E4"/>
    <w:rsid w:val="00BE183F"/>
    <w:rsid w:val="00BE37DD"/>
    <w:rsid w:val="00C2728B"/>
    <w:rsid w:val="00C40E20"/>
    <w:rsid w:val="00C568DF"/>
    <w:rsid w:val="00C610E3"/>
    <w:rsid w:val="00C7647B"/>
    <w:rsid w:val="00C8230D"/>
    <w:rsid w:val="00C828EB"/>
    <w:rsid w:val="00C94416"/>
    <w:rsid w:val="00CB1444"/>
    <w:rsid w:val="00CB225A"/>
    <w:rsid w:val="00CC2EFE"/>
    <w:rsid w:val="00D24345"/>
    <w:rsid w:val="00D54205"/>
    <w:rsid w:val="00D92A2D"/>
    <w:rsid w:val="00D97C10"/>
    <w:rsid w:val="00DA403E"/>
    <w:rsid w:val="00DB4499"/>
    <w:rsid w:val="00DD092C"/>
    <w:rsid w:val="00DD2E85"/>
    <w:rsid w:val="00DF0AF0"/>
    <w:rsid w:val="00DF75CA"/>
    <w:rsid w:val="00E323C6"/>
    <w:rsid w:val="00E32748"/>
    <w:rsid w:val="00E44D0F"/>
    <w:rsid w:val="00E469FF"/>
    <w:rsid w:val="00E537E4"/>
    <w:rsid w:val="00E77016"/>
    <w:rsid w:val="00E84C57"/>
    <w:rsid w:val="00E85DEB"/>
    <w:rsid w:val="00E85FCB"/>
    <w:rsid w:val="00E92271"/>
    <w:rsid w:val="00E93653"/>
    <w:rsid w:val="00E94CF4"/>
    <w:rsid w:val="00EA1D65"/>
    <w:rsid w:val="00EC3A06"/>
    <w:rsid w:val="00EE7A68"/>
    <w:rsid w:val="00EF02BC"/>
    <w:rsid w:val="00F12F6B"/>
    <w:rsid w:val="00F143E2"/>
    <w:rsid w:val="00F23C18"/>
    <w:rsid w:val="00F3481A"/>
    <w:rsid w:val="00F451DE"/>
    <w:rsid w:val="00F56C50"/>
    <w:rsid w:val="00F61E47"/>
    <w:rsid w:val="00F702F3"/>
    <w:rsid w:val="00F873D9"/>
    <w:rsid w:val="00F87C84"/>
    <w:rsid w:val="00FB2B81"/>
    <w:rsid w:val="00FB5F6D"/>
    <w:rsid w:val="00FD5527"/>
    <w:rsid w:val="00FF154A"/>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E3274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NK_v2">
  <a:themeElements>
    <a:clrScheme name="VNK_kuviovarit_laadullinen">
      <a:dk1>
        <a:srgbClr val="000000"/>
      </a:dk1>
      <a:lt1>
        <a:srgbClr val="FFFFFF"/>
      </a:lt1>
      <a:dk2>
        <a:srgbClr val="365ABD"/>
      </a:dk2>
      <a:lt2>
        <a:srgbClr val="9B9183"/>
      </a:lt2>
      <a:accent1>
        <a:srgbClr val="002F6C"/>
      </a:accent1>
      <a:accent2>
        <a:srgbClr val="4293FF"/>
      </a:accent2>
      <a:accent3>
        <a:srgbClr val="365ABD"/>
      </a:accent3>
      <a:accent4>
        <a:srgbClr val="22A055"/>
      </a:accent4>
      <a:accent5>
        <a:srgbClr val="007070"/>
      </a:accent5>
      <a:accent6>
        <a:srgbClr val="00A59D"/>
      </a:accent6>
      <a:hlink>
        <a:srgbClr val="00A9E0"/>
      </a:hlink>
      <a:folHlink>
        <a:srgbClr val="002F6C"/>
      </a:folHlink>
    </a:clrScheme>
    <a:fontScheme name="VNK">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Julkaisutuotanto_sarjoittain_2020.potx" id="{ED24070D-202B-4B66-861B-2F702DAA4613}" vid="{1EB6B08C-C4FF-4139-A80C-6127A03AAA5F}"/>
    </a:ext>
  </a:extLst>
</a:theme>
</file>

<file path=word/theme/themeOverride1.xml><?xml version="1.0" encoding="utf-8"?>
<a:themeOverride xmlns:a="http://schemas.openxmlformats.org/drawingml/2006/main">
  <a:clrScheme name="VNK_kuviovarit_laadullinen">
    <a:dk1>
      <a:srgbClr val="000000"/>
    </a:dk1>
    <a:lt1>
      <a:srgbClr val="FFFFFF"/>
    </a:lt1>
    <a:dk2>
      <a:srgbClr val="365ABD"/>
    </a:dk2>
    <a:lt2>
      <a:srgbClr val="9B9183"/>
    </a:lt2>
    <a:accent1>
      <a:srgbClr val="002F6C"/>
    </a:accent1>
    <a:accent2>
      <a:srgbClr val="4293FF"/>
    </a:accent2>
    <a:accent3>
      <a:srgbClr val="365ABD"/>
    </a:accent3>
    <a:accent4>
      <a:srgbClr val="22A055"/>
    </a:accent4>
    <a:accent5>
      <a:srgbClr val="007070"/>
    </a:accent5>
    <a:accent6>
      <a:srgbClr val="00A59D"/>
    </a:accent6>
    <a:hlink>
      <a:srgbClr val="00A9E0"/>
    </a:hlink>
    <a:folHlink>
      <a:srgbClr val="002F6C"/>
    </a:folHlink>
  </a:clrScheme>
  <a:fontScheme name="VNK">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VNK_kuviovarit_laadullinen">
    <a:dk1>
      <a:srgbClr val="000000"/>
    </a:dk1>
    <a:lt1>
      <a:srgbClr val="FFFFFF"/>
    </a:lt1>
    <a:dk2>
      <a:srgbClr val="365ABD"/>
    </a:dk2>
    <a:lt2>
      <a:srgbClr val="9B9183"/>
    </a:lt2>
    <a:accent1>
      <a:srgbClr val="002F6C"/>
    </a:accent1>
    <a:accent2>
      <a:srgbClr val="4293FF"/>
    </a:accent2>
    <a:accent3>
      <a:srgbClr val="365ABD"/>
    </a:accent3>
    <a:accent4>
      <a:srgbClr val="22A055"/>
    </a:accent4>
    <a:accent5>
      <a:srgbClr val="007070"/>
    </a:accent5>
    <a:accent6>
      <a:srgbClr val="00A59D"/>
    </a:accent6>
    <a:hlink>
      <a:srgbClr val="00A9E0"/>
    </a:hlink>
    <a:folHlink>
      <a:srgbClr val="002F6C"/>
    </a:folHlink>
  </a:clrScheme>
  <a:fontScheme name="VNK">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VNK_kuviovarit_laadullinen">
    <a:dk1>
      <a:srgbClr val="000000"/>
    </a:dk1>
    <a:lt1>
      <a:srgbClr val="FFFFFF"/>
    </a:lt1>
    <a:dk2>
      <a:srgbClr val="365ABD"/>
    </a:dk2>
    <a:lt2>
      <a:srgbClr val="9B9183"/>
    </a:lt2>
    <a:accent1>
      <a:srgbClr val="002F6C"/>
    </a:accent1>
    <a:accent2>
      <a:srgbClr val="4293FF"/>
    </a:accent2>
    <a:accent3>
      <a:srgbClr val="365ABD"/>
    </a:accent3>
    <a:accent4>
      <a:srgbClr val="22A055"/>
    </a:accent4>
    <a:accent5>
      <a:srgbClr val="007070"/>
    </a:accent5>
    <a:accent6>
      <a:srgbClr val="00A59D"/>
    </a:accent6>
    <a:hlink>
      <a:srgbClr val="00A9E0"/>
    </a:hlink>
    <a:folHlink>
      <a:srgbClr val="002F6C"/>
    </a:folHlink>
  </a:clrScheme>
  <a:fontScheme name="VNK">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VNK_kuviovarit_laadullinen">
    <a:dk1>
      <a:srgbClr val="000000"/>
    </a:dk1>
    <a:lt1>
      <a:srgbClr val="FFFFFF"/>
    </a:lt1>
    <a:dk2>
      <a:srgbClr val="365ABD"/>
    </a:dk2>
    <a:lt2>
      <a:srgbClr val="9B9183"/>
    </a:lt2>
    <a:accent1>
      <a:srgbClr val="002F6C"/>
    </a:accent1>
    <a:accent2>
      <a:srgbClr val="4293FF"/>
    </a:accent2>
    <a:accent3>
      <a:srgbClr val="365ABD"/>
    </a:accent3>
    <a:accent4>
      <a:srgbClr val="22A055"/>
    </a:accent4>
    <a:accent5>
      <a:srgbClr val="007070"/>
    </a:accent5>
    <a:accent6>
      <a:srgbClr val="00A59D"/>
    </a:accent6>
    <a:hlink>
      <a:srgbClr val="00A9E0"/>
    </a:hlink>
    <a:folHlink>
      <a:srgbClr val="002F6C"/>
    </a:folHlink>
  </a:clrScheme>
  <a:fontScheme name="VNK">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VNK_kuviovarit_laadullinen">
    <a:dk1>
      <a:srgbClr val="000000"/>
    </a:dk1>
    <a:lt1>
      <a:srgbClr val="FFFFFF"/>
    </a:lt1>
    <a:dk2>
      <a:srgbClr val="365ABD"/>
    </a:dk2>
    <a:lt2>
      <a:srgbClr val="9B9183"/>
    </a:lt2>
    <a:accent1>
      <a:srgbClr val="002F6C"/>
    </a:accent1>
    <a:accent2>
      <a:srgbClr val="4293FF"/>
    </a:accent2>
    <a:accent3>
      <a:srgbClr val="365ABD"/>
    </a:accent3>
    <a:accent4>
      <a:srgbClr val="22A055"/>
    </a:accent4>
    <a:accent5>
      <a:srgbClr val="007070"/>
    </a:accent5>
    <a:accent6>
      <a:srgbClr val="00A59D"/>
    </a:accent6>
    <a:hlink>
      <a:srgbClr val="00A9E0"/>
    </a:hlink>
    <a:folHlink>
      <a:srgbClr val="002F6C"/>
    </a:folHlink>
  </a:clrScheme>
  <a:fontScheme name="VNK">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VNK_kuviovarit_laadullinen">
    <a:dk1>
      <a:srgbClr val="000000"/>
    </a:dk1>
    <a:lt1>
      <a:srgbClr val="FFFFFF"/>
    </a:lt1>
    <a:dk2>
      <a:srgbClr val="365ABD"/>
    </a:dk2>
    <a:lt2>
      <a:srgbClr val="9B9183"/>
    </a:lt2>
    <a:accent1>
      <a:srgbClr val="002F6C"/>
    </a:accent1>
    <a:accent2>
      <a:srgbClr val="4293FF"/>
    </a:accent2>
    <a:accent3>
      <a:srgbClr val="365ABD"/>
    </a:accent3>
    <a:accent4>
      <a:srgbClr val="22A055"/>
    </a:accent4>
    <a:accent5>
      <a:srgbClr val="007070"/>
    </a:accent5>
    <a:accent6>
      <a:srgbClr val="00A59D"/>
    </a:accent6>
    <a:hlink>
      <a:srgbClr val="00A9E0"/>
    </a:hlink>
    <a:folHlink>
      <a:srgbClr val="002F6C"/>
    </a:folHlink>
  </a:clrScheme>
  <a:fontScheme name="VNK">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VNK_kuviovarit_laadullinen">
    <a:dk1>
      <a:srgbClr val="000000"/>
    </a:dk1>
    <a:lt1>
      <a:srgbClr val="FFFFFF"/>
    </a:lt1>
    <a:dk2>
      <a:srgbClr val="365ABD"/>
    </a:dk2>
    <a:lt2>
      <a:srgbClr val="9B9183"/>
    </a:lt2>
    <a:accent1>
      <a:srgbClr val="002F6C"/>
    </a:accent1>
    <a:accent2>
      <a:srgbClr val="4293FF"/>
    </a:accent2>
    <a:accent3>
      <a:srgbClr val="365ABD"/>
    </a:accent3>
    <a:accent4>
      <a:srgbClr val="22A055"/>
    </a:accent4>
    <a:accent5>
      <a:srgbClr val="007070"/>
    </a:accent5>
    <a:accent6>
      <a:srgbClr val="00A59D"/>
    </a:accent6>
    <a:hlink>
      <a:srgbClr val="00A9E0"/>
    </a:hlink>
    <a:folHlink>
      <a:srgbClr val="002F6C"/>
    </a:folHlink>
  </a:clrScheme>
  <a:fontScheme name="VNK">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VNK_kuviovarit_laadullinen">
    <a:dk1>
      <a:srgbClr val="000000"/>
    </a:dk1>
    <a:lt1>
      <a:srgbClr val="FFFFFF"/>
    </a:lt1>
    <a:dk2>
      <a:srgbClr val="365ABD"/>
    </a:dk2>
    <a:lt2>
      <a:srgbClr val="9B9183"/>
    </a:lt2>
    <a:accent1>
      <a:srgbClr val="002F6C"/>
    </a:accent1>
    <a:accent2>
      <a:srgbClr val="4293FF"/>
    </a:accent2>
    <a:accent3>
      <a:srgbClr val="365ABD"/>
    </a:accent3>
    <a:accent4>
      <a:srgbClr val="22A055"/>
    </a:accent4>
    <a:accent5>
      <a:srgbClr val="007070"/>
    </a:accent5>
    <a:accent6>
      <a:srgbClr val="00A59D"/>
    </a:accent6>
    <a:hlink>
      <a:srgbClr val="00A9E0"/>
    </a:hlink>
    <a:folHlink>
      <a:srgbClr val="002F6C"/>
    </a:folHlink>
  </a:clrScheme>
  <a:fontScheme name="VNK">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VNK_kuviovarit_laadullinen">
    <a:dk1>
      <a:srgbClr val="000000"/>
    </a:dk1>
    <a:lt1>
      <a:srgbClr val="FFFFFF"/>
    </a:lt1>
    <a:dk2>
      <a:srgbClr val="365ABD"/>
    </a:dk2>
    <a:lt2>
      <a:srgbClr val="9B9183"/>
    </a:lt2>
    <a:accent1>
      <a:srgbClr val="002F6C"/>
    </a:accent1>
    <a:accent2>
      <a:srgbClr val="4293FF"/>
    </a:accent2>
    <a:accent3>
      <a:srgbClr val="365ABD"/>
    </a:accent3>
    <a:accent4>
      <a:srgbClr val="22A055"/>
    </a:accent4>
    <a:accent5>
      <a:srgbClr val="007070"/>
    </a:accent5>
    <a:accent6>
      <a:srgbClr val="00A59D"/>
    </a:accent6>
    <a:hlink>
      <a:srgbClr val="00A9E0"/>
    </a:hlink>
    <a:folHlink>
      <a:srgbClr val="002F6C"/>
    </a:folHlink>
  </a:clrScheme>
  <a:fontScheme name="VNK">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VNK_kuviovarit_laadullinen">
    <a:dk1>
      <a:srgbClr val="000000"/>
    </a:dk1>
    <a:lt1>
      <a:srgbClr val="FFFFFF"/>
    </a:lt1>
    <a:dk2>
      <a:srgbClr val="365ABD"/>
    </a:dk2>
    <a:lt2>
      <a:srgbClr val="9B9183"/>
    </a:lt2>
    <a:accent1>
      <a:srgbClr val="002F6C"/>
    </a:accent1>
    <a:accent2>
      <a:srgbClr val="4293FF"/>
    </a:accent2>
    <a:accent3>
      <a:srgbClr val="365ABD"/>
    </a:accent3>
    <a:accent4>
      <a:srgbClr val="22A055"/>
    </a:accent4>
    <a:accent5>
      <a:srgbClr val="007070"/>
    </a:accent5>
    <a:accent6>
      <a:srgbClr val="00A59D"/>
    </a:accent6>
    <a:hlink>
      <a:srgbClr val="00A9E0"/>
    </a:hlink>
    <a:folHlink>
      <a:srgbClr val="002F6C"/>
    </a:folHlink>
  </a:clrScheme>
  <a:fontScheme name="VNK">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6D994548067A41BE042318E63AFD1A" ma:contentTypeVersion="7" ma:contentTypeDescription="Create a new document." ma:contentTypeScope="" ma:versionID="f5dbc0b48e6b0d561dd01d0a1f082540">
  <xsd:schema xmlns:xsd="http://www.w3.org/2001/XMLSchema" xmlns:xs="http://www.w3.org/2001/XMLSchema" xmlns:p="http://schemas.microsoft.com/office/2006/metadata/properties" xmlns:ns2="d5230286-f004-404d-9ac7-dda86c91e488" targetNamespace="http://schemas.microsoft.com/office/2006/metadata/properties" ma:root="true" ma:fieldsID="d68328569e79366bfa9e1d91db8d7573" ns2:_="">
    <xsd:import namespace="d5230286-f004-404d-9ac7-dda86c91e488"/>
    <xsd:element name="properties">
      <xsd:complexType>
        <xsd:sequence>
          <xsd:element name="documentManagement">
            <xsd:complexType>
              <xsd:all>
                <xsd:element ref="ns2:Tila" minOccurs="0"/>
                <xsd:element ref="ns2:ViedaanVahvaan" minOccurs="0"/>
                <xsd:element ref="ns2:LinkkiVahvaan"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30286-f004-404d-9ac7-dda86c91e488" elementFormDefault="qualified">
    <xsd:import namespace="http://schemas.microsoft.com/office/2006/documentManagement/types"/>
    <xsd:import namespace="http://schemas.microsoft.com/office/infopath/2007/PartnerControls"/>
    <xsd:element name="Tila" ma:index="8" nillable="true" ma:displayName="Tila" ma:format="Dropdown" ma:internalName="Tila">
      <xsd:simpleType>
        <xsd:restriction base="dms:Choice">
          <xsd:enumeration value="Luonnos"/>
          <xsd:enumeration value="Valmis"/>
        </xsd:restriction>
      </xsd:simpleType>
    </xsd:element>
    <xsd:element name="ViedaanVahvaan" ma:index="9" nillable="true" ma:displayName="Viedään Vahvaan" ma:format="Dropdown" ma:internalName="ViedaanVahvaan">
      <xsd:simpleType>
        <xsd:restriction base="dms:Choice">
          <xsd:enumeration value="Ei"/>
          <xsd:enumeration value="Kyllä"/>
          <xsd:enumeration value="EOS"/>
          <xsd:enumeration value="Viety"/>
        </xsd:restriction>
      </xsd:simpleType>
    </xsd:element>
    <xsd:element name="LinkkiVahvaan" ma:index="10" nillable="true" ma:displayName="Linkki Vahvaan" ma:format="Hyperlink" ma:internalName="LinkkiVahvaan">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ila xmlns="d5230286-f004-404d-9ac7-dda86c91e488" xsi:nil="true"/>
    <LinkkiVahvaan xmlns="d5230286-f004-404d-9ac7-dda86c91e488">
      <Url xsi:nil="true"/>
      <Description xsi:nil="true"/>
    </LinkkiVahvaan>
    <ViedaanVahvaan xmlns="d5230286-f004-404d-9ac7-dda86c91e488" xsi:nil="true"/>
  </documentManagement>
</p:properties>
</file>

<file path=customXml/itemProps1.xml><?xml version="1.0" encoding="utf-8"?>
<ds:datastoreItem xmlns:ds="http://schemas.openxmlformats.org/officeDocument/2006/customXml" ds:itemID="{71075C77-DAA8-48AC-A919-B37F76C95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30286-f004-404d-9ac7-dda86c91e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448A9-5332-4746-B08E-C575D054AFBE}">
  <ds:schemaRefs>
    <ds:schemaRef ds:uri="http://schemas.microsoft.com/sharepoint/v3/contenttype/forms"/>
  </ds:schemaRefs>
</ds:datastoreItem>
</file>

<file path=customXml/itemProps3.xml><?xml version="1.0" encoding="utf-8"?>
<ds:datastoreItem xmlns:ds="http://schemas.openxmlformats.org/officeDocument/2006/customXml" ds:itemID="{B96A6C7A-4532-464F-8696-B506AE11FAFA}">
  <ds:schemaRefs>
    <ds:schemaRef ds:uri="http://schemas.openxmlformats.org/officeDocument/2006/bibliography"/>
  </ds:schemaRefs>
</ds:datastoreItem>
</file>

<file path=customXml/itemProps4.xml><?xml version="1.0" encoding="utf-8"?>
<ds:datastoreItem xmlns:ds="http://schemas.openxmlformats.org/officeDocument/2006/customXml" ds:itemID="{631011A9-A7A3-4047-841C-03B1AC650946}">
  <ds:schemaRefs>
    <ds:schemaRef ds:uri="http://schemas.microsoft.com/office/2006/metadata/properties"/>
    <ds:schemaRef ds:uri="http://schemas.microsoft.com/office/infopath/2007/PartnerControls"/>
    <ds:schemaRef ds:uri="d5230286-f004-404d-9ac7-dda86c91e488"/>
  </ds:schemaRefs>
</ds:datastoreItem>
</file>

<file path=docProps/app.xml><?xml version="1.0" encoding="utf-8"?>
<Properties xmlns="http://schemas.openxmlformats.org/officeDocument/2006/extended-properties" xmlns:vt="http://schemas.openxmlformats.org/officeDocument/2006/docPropsVTypes">
  <Template>Word taittopohja suomi ruotsi 3.9.2019.dotx</Template>
  <TotalTime>0</TotalTime>
  <Pages>53</Pages>
  <Words>44405</Words>
  <Characters>359681</Characters>
  <Application>Microsoft Office Word</Application>
  <DocSecurity>0</DocSecurity>
  <Lines>2997</Lines>
  <Paragraphs>806</Paragraphs>
  <ScaleCrop>false</ScaleCrop>
  <Manager/>
  <Company/>
  <LinksUpToDate>false</LinksUpToDate>
  <CharactersWithSpaces>403280</CharactersWithSpaces>
  <SharedDoc>false</SharedDoc>
  <HyperlinkBase/>
  <HLinks>
    <vt:vector size="1140" baseType="variant">
      <vt:variant>
        <vt:i4>4259871</vt:i4>
      </vt:variant>
      <vt:variant>
        <vt:i4>1121</vt:i4>
      </vt:variant>
      <vt:variant>
        <vt:i4>0</vt:i4>
      </vt:variant>
      <vt:variant>
        <vt:i4>5</vt:i4>
      </vt:variant>
      <vt:variant>
        <vt:lpwstr>https://julkaisut.valtioneuvosto.fi/bitstream/handle/10024/164186/YM_2022_12.pdf?sequence=4&amp;isAllowed=y</vt:lpwstr>
      </vt:variant>
      <vt:variant>
        <vt:lpwstr/>
      </vt:variant>
      <vt:variant>
        <vt:i4>7864447</vt:i4>
      </vt:variant>
      <vt:variant>
        <vt:i4>1118</vt:i4>
      </vt:variant>
      <vt:variant>
        <vt:i4>0</vt:i4>
      </vt:variant>
      <vt:variant>
        <vt:i4>5</vt:i4>
      </vt:variant>
      <vt:variant>
        <vt:lpwstr>https://ym.fi/documents/1410903/40810204/P%C3%A4ivitetty+nykytilan+arvio+2021.pdf/5e7f7c08-e630-d49b-da58-3a198d1ed1d8/P%C3%A4ivitetty+nykytilan+arvio+2021.pdf?t=1631262130915</vt:lpwstr>
      </vt:variant>
      <vt:variant>
        <vt:lpwstr/>
      </vt:variant>
      <vt:variant>
        <vt:i4>7012404</vt:i4>
      </vt:variant>
      <vt:variant>
        <vt:i4>1115</vt:i4>
      </vt:variant>
      <vt:variant>
        <vt:i4>0</vt:i4>
      </vt:variant>
      <vt:variant>
        <vt:i4>5</vt:i4>
      </vt:variant>
      <vt:variant>
        <vt:lpwstr>https://lapsiasia.fi/documents/25250457/38754461/CRC_CGC_26_FI+(1).pdf/5debbccd-6f69-4fe0-67bb-429c046ed015/CRC_CGC_26_FI+(1).pdf?t=1698407903491</vt:lpwstr>
      </vt:variant>
      <vt:variant>
        <vt:lpwstr/>
      </vt:variant>
      <vt:variant>
        <vt:i4>4653056</vt:i4>
      </vt:variant>
      <vt:variant>
        <vt:i4>1112</vt:i4>
      </vt:variant>
      <vt:variant>
        <vt:i4>0</vt:i4>
      </vt:variant>
      <vt:variant>
        <vt:i4>5</vt:i4>
      </vt:variant>
      <vt:variant>
        <vt:lpwstr>https://www.unicef.fi/tyomme/lapsen-oikeudet/lapsen-oikeuksien-sopimus/lapsen-oikeuksien-sopimuksen-koko-teksti/</vt:lpwstr>
      </vt:variant>
      <vt:variant>
        <vt:lpwstr/>
      </vt:variant>
      <vt:variant>
        <vt:i4>3211304</vt:i4>
      </vt:variant>
      <vt:variant>
        <vt:i4>1109</vt:i4>
      </vt:variant>
      <vt:variant>
        <vt:i4>0</vt:i4>
      </vt:variant>
      <vt:variant>
        <vt:i4>5</vt:i4>
      </vt:variant>
      <vt:variant>
        <vt:lpwstr>https://publications.vtt.fi/julkaisut/muut/2025/VTT-R-00103-25.pdf</vt:lpwstr>
      </vt:variant>
      <vt:variant>
        <vt:lpwstr/>
      </vt:variant>
      <vt:variant>
        <vt:i4>1048596</vt:i4>
      </vt:variant>
      <vt:variant>
        <vt:i4>1106</vt:i4>
      </vt:variant>
      <vt:variant>
        <vt:i4>0</vt:i4>
      </vt:variant>
      <vt:variant>
        <vt:i4>5</vt:i4>
      </vt:variant>
      <vt:variant>
        <vt:lpwstr>https://ilmastopaneeli.fi/hae-julkaisuja/kansalaisten-kokemukset-suomen-ilmastopolitiikan-oikeudenmukaisuudesta/</vt:lpwstr>
      </vt:variant>
      <vt:variant>
        <vt:lpwstr/>
      </vt:variant>
      <vt:variant>
        <vt:i4>3080224</vt:i4>
      </vt:variant>
      <vt:variant>
        <vt:i4>1103</vt:i4>
      </vt:variant>
      <vt:variant>
        <vt:i4>0</vt:i4>
      </vt:variant>
      <vt:variant>
        <vt:i4>5</vt:i4>
      </vt:variant>
      <vt:variant>
        <vt:lpwstr>https://julkaisut.valtioneuvosto.fi/bitstream/handle/10024/163440/TEM_2021_52.pdf</vt:lpwstr>
      </vt:variant>
      <vt:variant>
        <vt:lpwstr/>
      </vt:variant>
      <vt:variant>
        <vt:i4>327711</vt:i4>
      </vt:variant>
      <vt:variant>
        <vt:i4>1100</vt:i4>
      </vt:variant>
      <vt:variant>
        <vt:i4>0</vt:i4>
      </vt:variant>
      <vt:variant>
        <vt:i4>5</vt:i4>
      </vt:variant>
      <vt:variant>
        <vt:lpwstr>https://sites.utu.fi/kansalaiskokous/</vt:lpwstr>
      </vt:variant>
      <vt:variant>
        <vt:lpwstr/>
      </vt:variant>
      <vt:variant>
        <vt:i4>6029390</vt:i4>
      </vt:variant>
      <vt:variant>
        <vt:i4>1097</vt:i4>
      </vt:variant>
      <vt:variant>
        <vt:i4>0</vt:i4>
      </vt:variant>
      <vt:variant>
        <vt:i4>5</vt:i4>
      </vt:variant>
      <vt:variant>
        <vt:lpwstr>https://tieto.traficom.fi/fi/tilastot/liikennejarjestelman-ymparistollinen-kestavyys</vt:lpwstr>
      </vt:variant>
      <vt:variant>
        <vt:lpwstr/>
      </vt:variant>
      <vt:variant>
        <vt:i4>2490477</vt:i4>
      </vt:variant>
      <vt:variant>
        <vt:i4>1094</vt:i4>
      </vt:variant>
      <vt:variant>
        <vt:i4>0</vt:i4>
      </vt:variant>
      <vt:variant>
        <vt:i4>5</vt:i4>
      </vt:variant>
      <vt:variant>
        <vt:lpwstr>https://www.sciencedirect.com/science/article/pii/S1462901124000704?dgcid=rss_sd_all</vt:lpwstr>
      </vt:variant>
      <vt:variant>
        <vt:lpwstr/>
      </vt:variant>
      <vt:variant>
        <vt:i4>1376370</vt:i4>
      </vt:variant>
      <vt:variant>
        <vt:i4>1091</vt:i4>
      </vt:variant>
      <vt:variant>
        <vt:i4>0</vt:i4>
      </vt:variant>
      <vt:variant>
        <vt:i4>5</vt:i4>
      </vt:variant>
      <vt:variant>
        <vt:lpwstr>https://research.tuni.fi/app/uploads/2020/03/807f5072-verne_tutkimusraportti94.pdf</vt:lpwstr>
      </vt:variant>
      <vt:variant>
        <vt:lpwstr/>
      </vt:variant>
      <vt:variant>
        <vt:i4>3145790</vt:i4>
      </vt:variant>
      <vt:variant>
        <vt:i4>1088</vt:i4>
      </vt:variant>
      <vt:variant>
        <vt:i4>0</vt:i4>
      </vt:variant>
      <vt:variant>
        <vt:i4>5</vt:i4>
      </vt:variant>
      <vt:variant>
        <vt:lpwstr>https://thl.fi/aiheet/hyvinvoinnin-ja-terveyden-edistamisen-johtaminen/hyvinvointijohtaminen/paatosten-vaikutusten-ennakkoarviointi</vt:lpwstr>
      </vt:variant>
      <vt:variant>
        <vt:lpwstr/>
      </vt:variant>
      <vt:variant>
        <vt:i4>5177419</vt:i4>
      </vt:variant>
      <vt:variant>
        <vt:i4>1085</vt:i4>
      </vt:variant>
      <vt:variant>
        <vt:i4>0</vt:i4>
      </vt:variant>
      <vt:variant>
        <vt:i4>5</vt:i4>
      </vt:variant>
      <vt:variant>
        <vt:lpwstr>https://www.julkari.fi/bitstream/handle/10024/147230/URN_ISBN_978-952-408-141-2.pdf?sequence=1&amp;isAllowed=y</vt:lpwstr>
      </vt:variant>
      <vt:variant>
        <vt:lpwstr/>
      </vt:variant>
      <vt:variant>
        <vt:i4>7929916</vt:i4>
      </vt:variant>
      <vt:variant>
        <vt:i4>1082</vt:i4>
      </vt:variant>
      <vt:variant>
        <vt:i4>0</vt:i4>
      </vt:variant>
      <vt:variant>
        <vt:i4>5</vt:i4>
      </vt:variant>
      <vt:variant>
        <vt:lpwstr>https://thl.fi/-/uusi-toimintamalli-edistaa-terveellista-ja-kestavaa-ruokailua-varhaiskasvatuksessa-hyvia-tuloksia-kuntakokeiluista</vt:lpwstr>
      </vt:variant>
      <vt:variant>
        <vt:lpwstr/>
      </vt:variant>
      <vt:variant>
        <vt:i4>4522057</vt:i4>
      </vt:variant>
      <vt:variant>
        <vt:i4>1079</vt:i4>
      </vt:variant>
      <vt:variant>
        <vt:i4>0</vt:i4>
      </vt:variant>
      <vt:variant>
        <vt:i4>5</vt:i4>
      </vt:variant>
      <vt:variant>
        <vt:lpwstr>https://www.julkari.fi/bitstream/handle/10024/151529/URN_ISBN_978-952-408-511-3.pdf?sequence=1&amp;isAllowed=y</vt:lpwstr>
      </vt:variant>
      <vt:variant>
        <vt:lpwstr/>
      </vt:variant>
      <vt:variant>
        <vt:i4>5439507</vt:i4>
      </vt:variant>
      <vt:variant>
        <vt:i4>1076</vt:i4>
      </vt:variant>
      <vt:variant>
        <vt:i4>0</vt:i4>
      </vt:variant>
      <vt:variant>
        <vt:i4>5</vt:i4>
      </vt:variant>
      <vt:variant>
        <vt:lpwstr>https://helda.helsinki.fi/items/299a4a70-313b-451c-a71c-a1989a77eb11</vt:lpwstr>
      </vt:variant>
      <vt:variant>
        <vt:lpwstr/>
      </vt:variant>
      <vt:variant>
        <vt:i4>1769489</vt:i4>
      </vt:variant>
      <vt:variant>
        <vt:i4>1073</vt:i4>
      </vt:variant>
      <vt:variant>
        <vt:i4>0</vt:i4>
      </vt:variant>
      <vt:variant>
        <vt:i4>5</vt:i4>
      </vt:variant>
      <vt:variant>
        <vt:lpwstr>https://www.syke.fi/fi/tietoa-meista/uutiset/teollisuuden-puhdasta-siirtymaa-kannattaa-vauhdittaa-tyokonealan-politiikkatoimilla</vt:lpwstr>
      </vt:variant>
      <vt:variant>
        <vt:lpwstr/>
      </vt:variant>
      <vt:variant>
        <vt:i4>3932280</vt:i4>
      </vt:variant>
      <vt:variant>
        <vt:i4>1070</vt:i4>
      </vt:variant>
      <vt:variant>
        <vt:i4>0</vt:i4>
      </vt:variant>
      <vt:variant>
        <vt:i4>5</vt:i4>
      </vt:variant>
      <vt:variant>
        <vt:lpwstr>https://ilmastopaneeli.fi/ilmastopolitiikan-oikeudenmukaisuus/</vt:lpwstr>
      </vt:variant>
      <vt:variant>
        <vt:lpwstr/>
      </vt:variant>
      <vt:variant>
        <vt:i4>5046343</vt:i4>
      </vt:variant>
      <vt:variant>
        <vt:i4>1067</vt:i4>
      </vt:variant>
      <vt:variant>
        <vt:i4>0</vt:i4>
      </vt:variant>
      <vt:variant>
        <vt:i4>5</vt:i4>
      </vt:variant>
      <vt:variant>
        <vt:lpwstr>https://onlinelibrary.wiley.com/doi/10.1002/puh2.163</vt:lpwstr>
      </vt:variant>
      <vt:variant>
        <vt:lpwstr/>
      </vt:variant>
      <vt:variant>
        <vt:i4>7864433</vt:i4>
      </vt:variant>
      <vt:variant>
        <vt:i4>1064</vt:i4>
      </vt:variant>
      <vt:variant>
        <vt:i4>0</vt:i4>
      </vt:variant>
      <vt:variant>
        <vt:i4>5</vt:i4>
      </vt:variant>
      <vt:variant>
        <vt:lpwstr>https://samediggi.fi/tietoa-meista/</vt:lpwstr>
      </vt:variant>
      <vt:variant>
        <vt:lpwstr/>
      </vt:variant>
      <vt:variant>
        <vt:i4>4063292</vt:i4>
      </vt:variant>
      <vt:variant>
        <vt:i4>1061</vt:i4>
      </vt:variant>
      <vt:variant>
        <vt:i4>0</vt:i4>
      </vt:variant>
      <vt:variant>
        <vt:i4>5</vt:i4>
      </vt:variant>
      <vt:variant>
        <vt:lpwstr>https://www.finlex.fi/fi/lainsaadanto/1999/731</vt:lpwstr>
      </vt:variant>
      <vt:variant>
        <vt:lpwstr/>
      </vt:variant>
      <vt:variant>
        <vt:i4>5242892</vt:i4>
      </vt:variant>
      <vt:variant>
        <vt:i4>1058</vt:i4>
      </vt:variant>
      <vt:variant>
        <vt:i4>0</vt:i4>
      </vt:variant>
      <vt:variant>
        <vt:i4>5</vt:i4>
      </vt:variant>
      <vt:variant>
        <vt:lpwstr>https://ilmastopaneeli.fi/hallinta/wp-content/uploads/2024/03/ilmastopaneelin-julkaisuja-3-2023-ilmastopolitiikan-oikeudenmukaisuus-alkuperaiskansa-saamelaisten-kannalta.pdf</vt:lpwstr>
      </vt:variant>
      <vt:variant>
        <vt:lpwstr/>
      </vt:variant>
      <vt:variant>
        <vt:i4>6357110</vt:i4>
      </vt:variant>
      <vt:variant>
        <vt:i4>1055</vt:i4>
      </vt:variant>
      <vt:variant>
        <vt:i4>0</vt:i4>
      </vt:variant>
      <vt:variant>
        <vt:i4>5</vt:i4>
      </vt:variant>
      <vt:variant>
        <vt:lpwstr>https://www.sciencedirect.com/science/article/pii/S0378778824001981</vt:lpwstr>
      </vt:variant>
      <vt:variant>
        <vt:lpwstr/>
      </vt:variant>
      <vt:variant>
        <vt:i4>1572940</vt:i4>
      </vt:variant>
      <vt:variant>
        <vt:i4>1052</vt:i4>
      </vt:variant>
      <vt:variant>
        <vt:i4>0</vt:i4>
      </vt:variant>
      <vt:variant>
        <vt:i4>5</vt:i4>
      </vt:variant>
      <vt:variant>
        <vt:lpwstr>https://www.tandfonline.com/doi/full/10.1080/14693062.2019.1596873</vt:lpwstr>
      </vt:variant>
      <vt:variant>
        <vt:lpwstr>d1e255</vt:lpwstr>
      </vt:variant>
      <vt:variant>
        <vt:i4>1572891</vt:i4>
      </vt:variant>
      <vt:variant>
        <vt:i4>1049</vt:i4>
      </vt:variant>
      <vt:variant>
        <vt:i4>0</vt:i4>
      </vt:variant>
      <vt:variant>
        <vt:i4>5</vt:i4>
      </vt:variant>
      <vt:variant>
        <vt:lpwstr>https://jukuri.luke.fi/bitstream/handle/10024/551924/luke-luobio_48_2022.pdf?sequence=1&amp;isAllowed=y</vt:lpwstr>
      </vt:variant>
      <vt:variant>
        <vt:lpwstr/>
      </vt:variant>
      <vt:variant>
        <vt:i4>1638407</vt:i4>
      </vt:variant>
      <vt:variant>
        <vt:i4>1046</vt:i4>
      </vt:variant>
      <vt:variant>
        <vt:i4>0</vt:i4>
      </vt:variant>
      <vt:variant>
        <vt:i4>5</vt:i4>
      </vt:variant>
      <vt:variant>
        <vt:lpwstr>https://helda.helsinki.fi/server/api/core/bitstreams/d9a9b4a3-ef90-40d4-9a65-5c954a42ad1a/content</vt:lpwstr>
      </vt:variant>
      <vt:variant>
        <vt:lpwstr/>
      </vt:variant>
      <vt:variant>
        <vt:i4>3932218</vt:i4>
      </vt:variant>
      <vt:variant>
        <vt:i4>1043</vt:i4>
      </vt:variant>
      <vt:variant>
        <vt:i4>0</vt:i4>
      </vt:variant>
      <vt:variant>
        <vt:i4>5</vt:i4>
      </vt:variant>
      <vt:variant>
        <vt:lpwstr>https://energiavirasto.fi/documents/11120570/209788025/Energy+Poverty+in+Finland_report_2024.pdf/abe48e9a-f847-63b9-c6fa-4acae25fa88a/Energy+Poverty+in+Finland_report_2024.pdf?t=1714373079979</vt:lpwstr>
      </vt:variant>
      <vt:variant>
        <vt:lpwstr/>
      </vt:variant>
      <vt:variant>
        <vt:i4>7143476</vt:i4>
      </vt:variant>
      <vt:variant>
        <vt:i4>1040</vt:i4>
      </vt:variant>
      <vt:variant>
        <vt:i4>0</vt:i4>
      </vt:variant>
      <vt:variant>
        <vt:i4>5</vt:i4>
      </vt:variant>
      <vt:variant>
        <vt:lpwstr>https://www.sciencedirect.com/science/article/pii/S2214790X24001886</vt:lpwstr>
      </vt:variant>
      <vt:variant>
        <vt:lpwstr/>
      </vt:variant>
      <vt:variant>
        <vt:i4>7077941</vt:i4>
      </vt:variant>
      <vt:variant>
        <vt:i4>1037</vt:i4>
      </vt:variant>
      <vt:variant>
        <vt:i4>0</vt:i4>
      </vt:variant>
      <vt:variant>
        <vt:i4>5</vt:i4>
      </vt:variant>
      <vt:variant>
        <vt:lpwstr>https://sorsafoundation.fi/wp-content/uploads/oikeudenmukainen-siirtyma-suomessa-2025-raportti.pdf</vt:lpwstr>
      </vt:variant>
      <vt:variant>
        <vt:lpwstr/>
      </vt:variant>
      <vt:variant>
        <vt:i4>5963806</vt:i4>
      </vt:variant>
      <vt:variant>
        <vt:i4>1034</vt:i4>
      </vt:variant>
      <vt:variant>
        <vt:i4>0</vt:i4>
      </vt:variant>
      <vt:variant>
        <vt:i4>5</vt:i4>
      </vt:variant>
      <vt:variant>
        <vt:lpwstr>https://ilmastopaneeli.fi/hallinta/wp-content/uploads/2023/05/finnish-climate-change-panel-report-3-2023-evaluation-of-justice-in-climate-policy.pdf</vt:lpwstr>
      </vt:variant>
      <vt:variant>
        <vt:lpwstr/>
      </vt:variant>
      <vt:variant>
        <vt:i4>2687009</vt:i4>
      </vt:variant>
      <vt:variant>
        <vt:i4>1031</vt:i4>
      </vt:variant>
      <vt:variant>
        <vt:i4>0</vt:i4>
      </vt:variant>
      <vt:variant>
        <vt:i4>5</vt:i4>
      </vt:variant>
      <vt:variant>
        <vt:lpwstr>https://www.justfood.fi/fi-FI/Julkaisut</vt:lpwstr>
      </vt:variant>
      <vt:variant>
        <vt:lpwstr/>
      </vt:variant>
      <vt:variant>
        <vt:i4>3997749</vt:i4>
      </vt:variant>
      <vt:variant>
        <vt:i4>1028</vt:i4>
      </vt:variant>
      <vt:variant>
        <vt:i4>0</vt:i4>
      </vt:variant>
      <vt:variant>
        <vt:i4>5</vt:i4>
      </vt:variant>
      <vt:variant>
        <vt:lpwstr>https://www.finlex.fi/fi/lainsaadanto/2022/423</vt:lpwstr>
      </vt:variant>
      <vt:variant>
        <vt:lpwstr/>
      </vt:variant>
      <vt:variant>
        <vt:i4>196682</vt:i4>
      </vt:variant>
      <vt:variant>
        <vt:i4>1025</vt:i4>
      </vt:variant>
      <vt:variant>
        <vt:i4>0</vt:i4>
      </vt:variant>
      <vt:variant>
        <vt:i4>5</vt:i4>
      </vt:variant>
      <vt:variant>
        <vt:lpwstr>https://www.aka.fi/globalassets/3-stn/1-strateginen-tutkimus/strateginen-tutkimus-pahkinankuoressa/ohjelmat-ja-hankkeet/food-ratkaisuja-suomen-ruokastrategiaan-2023.pdf</vt:lpwstr>
      </vt:variant>
      <vt:variant>
        <vt:lpwstr/>
      </vt:variant>
      <vt:variant>
        <vt:i4>2097199</vt:i4>
      </vt:variant>
      <vt:variant>
        <vt:i4>1022</vt:i4>
      </vt:variant>
      <vt:variant>
        <vt:i4>0</vt:i4>
      </vt:variant>
      <vt:variant>
        <vt:i4>5</vt:i4>
      </vt:variant>
      <vt:variant>
        <vt:lpwstr>https://gaia.fi/fi/uutiset/uusi-selvitys-avaa-nakyman-energiakoyhyyden-ehkaisemiseen-suomessa/</vt:lpwstr>
      </vt:variant>
      <vt:variant>
        <vt:lpwstr/>
      </vt:variant>
      <vt:variant>
        <vt:i4>1966168</vt:i4>
      </vt:variant>
      <vt:variant>
        <vt:i4>1019</vt:i4>
      </vt:variant>
      <vt:variant>
        <vt:i4>0</vt:i4>
      </vt:variant>
      <vt:variant>
        <vt:i4>5</vt:i4>
      </vt:variant>
      <vt:variant>
        <vt:lpwstr>https://eur-lex.europa.eu/legal-content/FI/TXT/?uri=CELEX:02023R0955-20240630</vt:lpwstr>
      </vt:variant>
      <vt:variant>
        <vt:lpwstr/>
      </vt:variant>
      <vt:variant>
        <vt:i4>2293864</vt:i4>
      </vt:variant>
      <vt:variant>
        <vt:i4>1016</vt:i4>
      </vt:variant>
      <vt:variant>
        <vt:i4>0</vt:i4>
      </vt:variant>
      <vt:variant>
        <vt:i4>5</vt:i4>
      </vt:variant>
      <vt:variant>
        <vt:lpwstr>https://energiavirasto.fi/-/uusi-selvitys-avaa-nakyman-energiakoyhyyden-ehkaisemiseen-suomessa</vt:lpwstr>
      </vt:variant>
      <vt:variant>
        <vt:lpwstr/>
      </vt:variant>
      <vt:variant>
        <vt:i4>851977</vt:i4>
      </vt:variant>
      <vt:variant>
        <vt:i4>1013</vt:i4>
      </vt:variant>
      <vt:variant>
        <vt:i4>0</vt:i4>
      </vt:variant>
      <vt:variant>
        <vt:i4>5</vt:i4>
      </vt:variant>
      <vt:variant>
        <vt:lpwstr>http://urn.fi/URN:ISBN:978-952-11-5745-5</vt:lpwstr>
      </vt:variant>
      <vt:variant>
        <vt:lpwstr/>
      </vt:variant>
      <vt:variant>
        <vt:i4>2883710</vt:i4>
      </vt:variant>
      <vt:variant>
        <vt:i4>1010</vt:i4>
      </vt:variant>
      <vt:variant>
        <vt:i4>0</vt:i4>
      </vt:variant>
      <vt:variant>
        <vt:i4>5</vt:i4>
      </vt:variant>
      <vt:variant>
        <vt:lpwstr>https://ym.fi/kiertotalouden-green-deal</vt:lpwstr>
      </vt:variant>
      <vt:variant>
        <vt:lpwstr/>
      </vt:variant>
      <vt:variant>
        <vt:i4>5767169</vt:i4>
      </vt:variant>
      <vt:variant>
        <vt:i4>1007</vt:i4>
      </vt:variant>
      <vt:variant>
        <vt:i4>0</vt:i4>
      </vt:variant>
      <vt:variant>
        <vt:i4>5</vt:i4>
      </vt:variant>
      <vt:variant>
        <vt:lpwstr>https://vm.fi/eu-n-rahoituskehys</vt:lpwstr>
      </vt:variant>
      <vt:variant>
        <vt:lpwstr/>
      </vt:variant>
      <vt:variant>
        <vt:i4>6684798</vt:i4>
      </vt:variant>
      <vt:variant>
        <vt:i4>1004</vt:i4>
      </vt:variant>
      <vt:variant>
        <vt:i4>0</vt:i4>
      </vt:variant>
      <vt:variant>
        <vt:i4>5</vt:i4>
      </vt:variant>
      <vt:variant>
        <vt:lpwstr>https://julkaisut.valtioneuvosto.fi/handle/10024/162418</vt:lpwstr>
      </vt:variant>
      <vt:variant>
        <vt:lpwstr/>
      </vt:variant>
      <vt:variant>
        <vt:i4>3801196</vt:i4>
      </vt:variant>
      <vt:variant>
        <vt:i4>1001</vt:i4>
      </vt:variant>
      <vt:variant>
        <vt:i4>0</vt:i4>
      </vt:variant>
      <vt:variant>
        <vt:i4>5</vt:i4>
      </vt:variant>
      <vt:variant>
        <vt:lpwstr>https://tietokayttoon.fi/-/hiilineutraali-suomi-2035-ilmasto-ja-energiapolitiikan-toimet-ja-vaikutukset-hiisi-</vt:lpwstr>
      </vt:variant>
      <vt:variant>
        <vt:lpwstr/>
      </vt:variant>
      <vt:variant>
        <vt:i4>3145855</vt:i4>
      </vt:variant>
      <vt:variant>
        <vt:i4>998</vt:i4>
      </vt:variant>
      <vt:variant>
        <vt:i4>0</vt:i4>
      </vt:variant>
      <vt:variant>
        <vt:i4>5</vt:i4>
      </vt:variant>
      <vt:variant>
        <vt:lpwstr>https://valtioneuvosto.fi/paatokset/paatos?decisionId=0900908f807239ad</vt:lpwstr>
      </vt:variant>
      <vt:variant>
        <vt:lpwstr/>
      </vt:variant>
      <vt:variant>
        <vt:i4>6357115</vt:i4>
      </vt:variant>
      <vt:variant>
        <vt:i4>995</vt:i4>
      </vt:variant>
      <vt:variant>
        <vt:i4>0</vt:i4>
      </vt:variant>
      <vt:variant>
        <vt:i4>5</vt:i4>
      </vt:variant>
      <vt:variant>
        <vt:lpwstr>https://julkaisut.valtioneuvosto.fi/handle/10024/163176</vt:lpwstr>
      </vt:variant>
      <vt:variant>
        <vt:lpwstr/>
      </vt:variant>
      <vt:variant>
        <vt:i4>1441812</vt:i4>
      </vt:variant>
      <vt:variant>
        <vt:i4>992</vt:i4>
      </vt:variant>
      <vt:variant>
        <vt:i4>0</vt:i4>
      </vt:variant>
      <vt:variant>
        <vt:i4>5</vt:i4>
      </vt:variant>
      <vt:variant>
        <vt:lpwstr>http://urn.fi/URN:ISBN:978-952-327-829-5</vt:lpwstr>
      </vt:variant>
      <vt:variant>
        <vt:lpwstr/>
      </vt:variant>
      <vt:variant>
        <vt:i4>983100</vt:i4>
      </vt:variant>
      <vt:variant>
        <vt:i4>989</vt:i4>
      </vt:variant>
      <vt:variant>
        <vt:i4>0</vt:i4>
      </vt:variant>
      <vt:variant>
        <vt:i4>5</vt:i4>
      </vt:variant>
      <vt:variant>
        <vt:lpwstr>https://pxdata.stat.fi/PXWeb/pxweb/fi/StatFin/StatFin__khki/statfin_khki_pxt_13qm.px</vt:lpwstr>
      </vt:variant>
      <vt:variant>
        <vt:lpwstr/>
      </vt:variant>
      <vt:variant>
        <vt:i4>4390925</vt:i4>
      </vt:variant>
      <vt:variant>
        <vt:i4>986</vt:i4>
      </vt:variant>
      <vt:variant>
        <vt:i4>0</vt:i4>
      </vt:variant>
      <vt:variant>
        <vt:i4>5</vt:i4>
      </vt:variant>
      <vt:variant>
        <vt:lpwstr>https://www.ymparisto.fi/fi/luvat-ja-velvoitteet/jatteiden-kansainvaliset-siirrot/vienti-ja-tuontimaarat</vt:lpwstr>
      </vt:variant>
      <vt:variant>
        <vt:lpwstr/>
      </vt:variant>
      <vt:variant>
        <vt:i4>0</vt:i4>
      </vt:variant>
      <vt:variant>
        <vt:i4>983</vt:i4>
      </vt:variant>
      <vt:variant>
        <vt:i4>0</vt:i4>
      </vt:variant>
      <vt:variant>
        <vt:i4>5</vt:i4>
      </vt:variant>
      <vt:variant>
        <vt:lpwstr>https://www.ymparisto.fi/fi/luvat-ja-velvoitteet/jatteiden-kansainvaliset-siirrot/vienti-ja-tuontimaarathttps://www.ymparisto.fi/fi/luvat-ja-velvoitteet/jatteiden-kansainvaliset-siirrot/vienti-ja-tuontimaarat</vt:lpwstr>
      </vt:variant>
      <vt:variant>
        <vt:lpwstr/>
      </vt:variant>
      <vt:variant>
        <vt:i4>7340075</vt:i4>
      </vt:variant>
      <vt:variant>
        <vt:i4>980</vt:i4>
      </vt:variant>
      <vt:variant>
        <vt:i4>0</vt:i4>
      </vt:variant>
      <vt:variant>
        <vt:i4>5</vt:i4>
      </vt:variant>
      <vt:variant>
        <vt:lpwstr>https://hiilineutraalisuomi.syke.fi/kuntien-kulutusperaiset-paastot-kaukana-kestavasta-tasosta/</vt:lpwstr>
      </vt:variant>
      <vt:variant>
        <vt:lpwstr/>
      </vt:variant>
      <vt:variant>
        <vt:i4>3670131</vt:i4>
      </vt:variant>
      <vt:variant>
        <vt:i4>977</vt:i4>
      </vt:variant>
      <vt:variant>
        <vt:i4>0</vt:i4>
      </vt:variant>
      <vt:variant>
        <vt:i4>5</vt:i4>
      </vt:variant>
      <vt:variant>
        <vt:lpwstr>https://hiilineutraalisuomi.syke.fi/paastotieto/paastotiedot-ja-indikaattorit/kuntien-ja-alueiden-kulutusperaiset-paastot/</vt:lpwstr>
      </vt:variant>
      <vt:variant>
        <vt:lpwstr/>
      </vt:variant>
      <vt:variant>
        <vt:i4>5177360</vt:i4>
      </vt:variant>
      <vt:variant>
        <vt:i4>974</vt:i4>
      </vt:variant>
      <vt:variant>
        <vt:i4>0</vt:i4>
      </vt:variant>
      <vt:variant>
        <vt:i4>5</vt:i4>
      </vt:variant>
      <vt:variant>
        <vt:lpwstr>https://www.sttinfo.fi/tiedote/70117442/kiertotalous-vahvistaa-suomen-vihrean-siirtyman-mahdollisuuksia?publisherId=69819243&amp;lang=fi</vt:lpwstr>
      </vt:variant>
      <vt:variant>
        <vt:lpwstr/>
      </vt:variant>
      <vt:variant>
        <vt:i4>1835020</vt:i4>
      </vt:variant>
      <vt:variant>
        <vt:i4>971</vt:i4>
      </vt:variant>
      <vt:variant>
        <vt:i4>0</vt:i4>
      </vt:variant>
      <vt:variant>
        <vt:i4>5</vt:i4>
      </vt:variant>
      <vt:variant>
        <vt:lpwstr>https://sitoumus2050.fi/fi_FI/tyokone</vt:lpwstr>
      </vt:variant>
      <vt:variant>
        <vt:lpwstr>/</vt:lpwstr>
      </vt:variant>
      <vt:variant>
        <vt:i4>6422651</vt:i4>
      </vt:variant>
      <vt:variant>
        <vt:i4>968</vt:i4>
      </vt:variant>
      <vt:variant>
        <vt:i4>0</vt:i4>
      </vt:variant>
      <vt:variant>
        <vt:i4>5</vt:i4>
      </vt:variant>
      <vt:variant>
        <vt:lpwstr>https://julkaisut.valtioneuvosto.fi/handle/10024/165124</vt:lpwstr>
      </vt:variant>
      <vt:variant>
        <vt:lpwstr/>
      </vt:variant>
      <vt:variant>
        <vt:i4>6881406</vt:i4>
      </vt:variant>
      <vt:variant>
        <vt:i4>965</vt:i4>
      </vt:variant>
      <vt:variant>
        <vt:i4>0</vt:i4>
      </vt:variant>
      <vt:variant>
        <vt:i4>5</vt:i4>
      </vt:variant>
      <vt:variant>
        <vt:lpwstr>https://julkaisut.valtioneuvosto.fi/handle/10024/165490</vt:lpwstr>
      </vt:variant>
      <vt:variant>
        <vt:lpwstr/>
      </vt:variant>
      <vt:variant>
        <vt:i4>6225929</vt:i4>
      </vt:variant>
      <vt:variant>
        <vt:i4>962</vt:i4>
      </vt:variant>
      <vt:variant>
        <vt:i4>0</vt:i4>
      </vt:variant>
      <vt:variant>
        <vt:i4>5</vt:i4>
      </vt:variant>
      <vt:variant>
        <vt:lpwstr>https://tietokayttoon.fi/julkaisut/raportti?pubid=URN:ISBN:978-952-383-424-8</vt:lpwstr>
      </vt:variant>
      <vt:variant>
        <vt:lpwstr/>
      </vt:variant>
      <vt:variant>
        <vt:i4>4325467</vt:i4>
      </vt:variant>
      <vt:variant>
        <vt:i4>959</vt:i4>
      </vt:variant>
      <vt:variant>
        <vt:i4>0</vt:i4>
      </vt:variant>
      <vt:variant>
        <vt:i4>5</vt:i4>
      </vt:variant>
      <vt:variant>
        <vt:lpwstr>https://helda.helsinki.fi/server/api/core/bitstreams/422f436f-78cb-44bb-9496-d394ccb5580f/content</vt:lpwstr>
      </vt:variant>
      <vt:variant>
        <vt:lpwstr/>
      </vt:variant>
      <vt:variant>
        <vt:i4>589824</vt:i4>
      </vt:variant>
      <vt:variant>
        <vt:i4>956</vt:i4>
      </vt:variant>
      <vt:variant>
        <vt:i4>0</vt:i4>
      </vt:variant>
      <vt:variant>
        <vt:i4>5</vt:i4>
      </vt:variant>
      <vt:variant>
        <vt:lpwstr>https://pub.norden.org/temanord2024-545/8-discussion-and-conclusion.html</vt:lpwstr>
      </vt:variant>
      <vt:variant>
        <vt:lpwstr/>
      </vt:variant>
      <vt:variant>
        <vt:i4>720966</vt:i4>
      </vt:variant>
      <vt:variant>
        <vt:i4>953</vt:i4>
      </vt:variant>
      <vt:variant>
        <vt:i4>0</vt:i4>
      </vt:variant>
      <vt:variant>
        <vt:i4>5</vt:i4>
      </vt:variant>
      <vt:variant>
        <vt:lpwstr>https://www.kuntaliitto.fi/julkaisut/2024/2263-kuntien-ja-maakuntien-ilmastotyon-tilanne-2023</vt:lpwstr>
      </vt:variant>
      <vt:variant>
        <vt:lpwstr/>
      </vt:variant>
      <vt:variant>
        <vt:i4>1245192</vt:i4>
      </vt:variant>
      <vt:variant>
        <vt:i4>950</vt:i4>
      </vt:variant>
      <vt:variant>
        <vt:i4>0</vt:i4>
      </vt:variant>
      <vt:variant>
        <vt:i4>5</vt:i4>
      </vt:variant>
      <vt:variant>
        <vt:lpwstr>https://www.luke.fi/fi/projektit/tptiekartta</vt:lpwstr>
      </vt:variant>
      <vt:variant>
        <vt:lpwstr/>
      </vt:variant>
      <vt:variant>
        <vt:i4>393230</vt:i4>
      </vt:variant>
      <vt:variant>
        <vt:i4>947</vt:i4>
      </vt:variant>
      <vt:variant>
        <vt:i4>0</vt:i4>
      </vt:variant>
      <vt:variant>
        <vt:i4>5</vt:i4>
      </vt:variant>
      <vt:variant>
        <vt:lpwstr>https://www.luke.fi/fi/projektit/irma</vt:lpwstr>
      </vt:variant>
      <vt:variant>
        <vt:lpwstr/>
      </vt:variant>
      <vt:variant>
        <vt:i4>6553653</vt:i4>
      </vt:variant>
      <vt:variant>
        <vt:i4>944</vt:i4>
      </vt:variant>
      <vt:variant>
        <vt:i4>0</vt:i4>
      </vt:variant>
      <vt:variant>
        <vt:i4>5</vt:i4>
      </vt:variant>
      <vt:variant>
        <vt:lpwstr>https://finlex.fi/fi/lainsaadanto/2019/418</vt:lpwstr>
      </vt:variant>
      <vt:variant>
        <vt:lpwstr/>
      </vt:variant>
      <vt:variant>
        <vt:i4>6357117</vt:i4>
      </vt:variant>
      <vt:variant>
        <vt:i4>941</vt:i4>
      </vt:variant>
      <vt:variant>
        <vt:i4>0</vt:i4>
      </vt:variant>
      <vt:variant>
        <vt:i4>5</vt:i4>
      </vt:variant>
      <vt:variant>
        <vt:lpwstr>https://julkaisut.valtioneuvosto.fi/handle/10024/165717</vt:lpwstr>
      </vt:variant>
      <vt:variant>
        <vt:lpwstr/>
      </vt:variant>
      <vt:variant>
        <vt:i4>6946937</vt:i4>
      </vt:variant>
      <vt:variant>
        <vt:i4>938</vt:i4>
      </vt:variant>
      <vt:variant>
        <vt:i4>0</vt:i4>
      </vt:variant>
      <vt:variant>
        <vt:i4>5</vt:i4>
      </vt:variant>
      <vt:variant>
        <vt:lpwstr>https://www.sciencedirect.com/science/article/pii/S0959378021000042</vt:lpwstr>
      </vt:variant>
      <vt:variant>
        <vt:lpwstr/>
      </vt:variant>
      <vt:variant>
        <vt:i4>6488168</vt:i4>
      </vt:variant>
      <vt:variant>
        <vt:i4>935</vt:i4>
      </vt:variant>
      <vt:variant>
        <vt:i4>0</vt:i4>
      </vt:variant>
      <vt:variant>
        <vt:i4>5</vt:i4>
      </vt:variant>
      <vt:variant>
        <vt:lpwstr>https://ilmastopaneeli.fi/hae-julkaisuja/kuluttajien-mahdollisuudet-suomen-paastovahennysten-vauhdittamiseksi/</vt:lpwstr>
      </vt:variant>
      <vt:variant>
        <vt:lpwstr/>
      </vt:variant>
      <vt:variant>
        <vt:i4>589893</vt:i4>
      </vt:variant>
      <vt:variant>
        <vt:i4>932</vt:i4>
      </vt:variant>
      <vt:variant>
        <vt:i4>0</vt:i4>
      </vt:variant>
      <vt:variant>
        <vt:i4>5</vt:i4>
      </vt:variant>
      <vt:variant>
        <vt:lpwstr>https://ilmastopaneeli.fi/hae-julkaisuja/kuluttajanakokulma-ilmastopolitiikkaan/</vt:lpwstr>
      </vt:variant>
      <vt:variant>
        <vt:lpwstr/>
      </vt:variant>
      <vt:variant>
        <vt:i4>4522079</vt:i4>
      </vt:variant>
      <vt:variant>
        <vt:i4>929</vt:i4>
      </vt:variant>
      <vt:variant>
        <vt:i4>0</vt:i4>
      </vt:variant>
      <vt:variant>
        <vt:i4>5</vt:i4>
      </vt:variant>
      <vt:variant>
        <vt:lpwstr>https://vm.fi/hankinta-suomi</vt:lpwstr>
      </vt:variant>
      <vt:variant>
        <vt:lpwstr/>
      </vt:variant>
      <vt:variant>
        <vt:i4>4522037</vt:i4>
      </vt:variant>
      <vt:variant>
        <vt:i4>926</vt:i4>
      </vt:variant>
      <vt:variant>
        <vt:i4>0</vt:i4>
      </vt:variant>
      <vt:variant>
        <vt:i4>5</vt:i4>
      </vt:variant>
      <vt:variant>
        <vt:lpwstr>https://www.eduskunta.fi/FI/vaski/KasittelytiedotValtiopaivaasia/Sivut/HE_297+2022.aspx</vt:lpwstr>
      </vt:variant>
      <vt:variant>
        <vt:lpwstr/>
      </vt:variant>
      <vt:variant>
        <vt:i4>1638515</vt:i4>
      </vt:variant>
      <vt:variant>
        <vt:i4>923</vt:i4>
      </vt:variant>
      <vt:variant>
        <vt:i4>0</vt:i4>
      </vt:variant>
      <vt:variant>
        <vt:i4>5</vt:i4>
      </vt:variant>
      <vt:variant>
        <vt:lpwstr>https://eur-lex.europa.eu/legal-content/FI/TXT/HTML/?uri=OJ:L_202401799</vt:lpwstr>
      </vt:variant>
      <vt:variant>
        <vt:lpwstr/>
      </vt:variant>
      <vt:variant>
        <vt:i4>1507393</vt:i4>
      </vt:variant>
      <vt:variant>
        <vt:i4>920</vt:i4>
      </vt:variant>
      <vt:variant>
        <vt:i4>0</vt:i4>
      </vt:variant>
      <vt:variant>
        <vt:i4>5</vt:i4>
      </vt:variant>
      <vt:variant>
        <vt:lpwstr>https://eur-lex.europa.eu/legal-content/FI/TXT/?uri=CELEX:32024R0573</vt:lpwstr>
      </vt:variant>
      <vt:variant>
        <vt:lpwstr/>
      </vt:variant>
      <vt:variant>
        <vt:i4>6553702</vt:i4>
      </vt:variant>
      <vt:variant>
        <vt:i4>917</vt:i4>
      </vt:variant>
      <vt:variant>
        <vt:i4>0</vt:i4>
      </vt:variant>
      <vt:variant>
        <vt:i4>5</vt:i4>
      </vt:variant>
      <vt:variant>
        <vt:lpwstr>https://eur-lex.europa.eu/legal-content/FI/ALL/?uri=CELEX%3A32024R0573</vt:lpwstr>
      </vt:variant>
      <vt:variant>
        <vt:lpwstr/>
      </vt:variant>
      <vt:variant>
        <vt:i4>4522002</vt:i4>
      </vt:variant>
      <vt:variant>
        <vt:i4>914</vt:i4>
      </vt:variant>
      <vt:variant>
        <vt:i4>0</vt:i4>
      </vt:variant>
      <vt:variant>
        <vt:i4>5</vt:i4>
      </vt:variant>
      <vt:variant>
        <vt:lpwstr>https://eur-lex.europa.eu/eli/reg/2024/1781/oj?locale=fi</vt:lpwstr>
      </vt:variant>
      <vt:variant>
        <vt:lpwstr/>
      </vt:variant>
      <vt:variant>
        <vt:i4>1704051</vt:i4>
      </vt:variant>
      <vt:variant>
        <vt:i4>911</vt:i4>
      </vt:variant>
      <vt:variant>
        <vt:i4>0</vt:i4>
      </vt:variant>
      <vt:variant>
        <vt:i4>5</vt:i4>
      </vt:variant>
      <vt:variant>
        <vt:lpwstr>https://agriculture.ec.europa.eu/cap-my-country/cap-strategic-plans/finland_fi</vt:lpwstr>
      </vt:variant>
      <vt:variant>
        <vt:lpwstr/>
      </vt:variant>
      <vt:variant>
        <vt:i4>1441829</vt:i4>
      </vt:variant>
      <vt:variant>
        <vt:i4>908</vt:i4>
      </vt:variant>
      <vt:variant>
        <vt:i4>0</vt:i4>
      </vt:variant>
      <vt:variant>
        <vt:i4>5</vt:i4>
      </vt:variant>
      <vt:variant>
        <vt:lpwstr>https://agriculture.ec.europa.eu/common-agricultural-policy/cap-overview/cap-2023-27/key-policy-objectives-cap-2023-27_fi</vt:lpwstr>
      </vt:variant>
      <vt:variant>
        <vt:lpwstr/>
      </vt:variant>
      <vt:variant>
        <vt:i4>6160477</vt:i4>
      </vt:variant>
      <vt:variant>
        <vt:i4>905</vt:i4>
      </vt:variant>
      <vt:variant>
        <vt:i4>0</vt:i4>
      </vt:variant>
      <vt:variant>
        <vt:i4>5</vt:i4>
      </vt:variant>
      <vt:variant>
        <vt:lpwstr>https://energiavirasto.fi/documents/11120570/103079467/Jakeluvelvoiteohje.pdf/7316f5d4-d6bc-643d-d07c-8729a30f57f7/Jakeluvelvoiteohje.pdf?t=1706688223601</vt:lpwstr>
      </vt:variant>
      <vt:variant>
        <vt:lpwstr/>
      </vt:variant>
      <vt:variant>
        <vt:i4>4128816</vt:i4>
      </vt:variant>
      <vt:variant>
        <vt:i4>902</vt:i4>
      </vt:variant>
      <vt:variant>
        <vt:i4>0</vt:i4>
      </vt:variant>
      <vt:variant>
        <vt:i4>5</vt:i4>
      </vt:variant>
      <vt:variant>
        <vt:lpwstr>https://www.finlex.fi/fi/lainsaadanto/2014/1429</vt:lpwstr>
      </vt:variant>
      <vt:variant>
        <vt:lpwstr/>
      </vt:variant>
      <vt:variant>
        <vt:i4>6815783</vt:i4>
      </vt:variant>
      <vt:variant>
        <vt:i4>899</vt:i4>
      </vt:variant>
      <vt:variant>
        <vt:i4>0</vt:i4>
      </vt:variant>
      <vt:variant>
        <vt:i4>5</vt:i4>
      </vt:variant>
      <vt:variant>
        <vt:lpwstr>https://jukuri.luke.fi/handle/10024/551924</vt:lpwstr>
      </vt:variant>
      <vt:variant>
        <vt:lpwstr/>
      </vt:variant>
      <vt:variant>
        <vt:i4>4390943</vt:i4>
      </vt:variant>
      <vt:variant>
        <vt:i4>896</vt:i4>
      </vt:variant>
      <vt:variant>
        <vt:i4>0</vt:i4>
      </vt:variant>
      <vt:variant>
        <vt:i4>5</vt:i4>
      </vt:variant>
      <vt:variant>
        <vt:lpwstr>https://valtioneuvosto.fi/documents/1410877/196402993/Jakeluvelvoiteselvitys_HO_REDIII_12022024_AFRY.pdf</vt:lpwstr>
      </vt:variant>
      <vt:variant>
        <vt:lpwstr/>
      </vt:variant>
      <vt:variant>
        <vt:i4>85</vt:i4>
      </vt:variant>
      <vt:variant>
        <vt:i4>893</vt:i4>
      </vt:variant>
      <vt:variant>
        <vt:i4>0</vt:i4>
      </vt:variant>
      <vt:variant>
        <vt:i4>5</vt:i4>
      </vt:variant>
      <vt:variant>
        <vt:lpwstr>https://eur-lex.europa.eu/legal-content/FI/ALL/?uri=CELEX:32023D1319</vt:lpwstr>
      </vt:variant>
      <vt:variant>
        <vt:lpwstr/>
      </vt:variant>
      <vt:variant>
        <vt:i4>1114187</vt:i4>
      </vt:variant>
      <vt:variant>
        <vt:i4>890</vt:i4>
      </vt:variant>
      <vt:variant>
        <vt:i4>0</vt:i4>
      </vt:variant>
      <vt:variant>
        <vt:i4>5</vt:i4>
      </vt:variant>
      <vt:variant>
        <vt:lpwstr>https://eur-lex.europa.eu/legal-content/FI/TXT/?uri=CELEX:32019R2023</vt:lpwstr>
      </vt:variant>
      <vt:variant>
        <vt:lpwstr/>
      </vt:variant>
      <vt:variant>
        <vt:i4>1966148</vt:i4>
      </vt:variant>
      <vt:variant>
        <vt:i4>887</vt:i4>
      </vt:variant>
      <vt:variant>
        <vt:i4>0</vt:i4>
      </vt:variant>
      <vt:variant>
        <vt:i4>5</vt:i4>
      </vt:variant>
      <vt:variant>
        <vt:lpwstr>https://eur-lex.europa.eu/legal-content/FI/TXT/?uri=CELEX:32023R0857</vt:lpwstr>
      </vt:variant>
      <vt:variant>
        <vt:lpwstr/>
      </vt:variant>
      <vt:variant>
        <vt:i4>1572942</vt:i4>
      </vt:variant>
      <vt:variant>
        <vt:i4>884</vt:i4>
      </vt:variant>
      <vt:variant>
        <vt:i4>0</vt:i4>
      </vt:variant>
      <vt:variant>
        <vt:i4>5</vt:i4>
      </vt:variant>
      <vt:variant>
        <vt:lpwstr>https://eur-lex.europa.eu/legal-content/FI/TXT/?uri=CELEX:32018R0842</vt:lpwstr>
      </vt:variant>
      <vt:variant>
        <vt:lpwstr/>
      </vt:variant>
      <vt:variant>
        <vt:i4>7012467</vt:i4>
      </vt:variant>
      <vt:variant>
        <vt:i4>881</vt:i4>
      </vt:variant>
      <vt:variant>
        <vt:i4>0</vt:i4>
      </vt:variant>
      <vt:variant>
        <vt:i4>5</vt:i4>
      </vt:variant>
      <vt:variant>
        <vt:lpwstr>https://www.edilex.fi/smur/20230751</vt:lpwstr>
      </vt:variant>
      <vt:variant>
        <vt:lpwstr/>
      </vt:variant>
      <vt:variant>
        <vt:i4>64</vt:i4>
      </vt:variant>
      <vt:variant>
        <vt:i4>878</vt:i4>
      </vt:variant>
      <vt:variant>
        <vt:i4>0</vt:i4>
      </vt:variant>
      <vt:variant>
        <vt:i4>5</vt:i4>
      </vt:variant>
      <vt:variant>
        <vt:lpwstr>https://www.finlex.fi/fi/laki/alkup/2019/20190419</vt:lpwstr>
      </vt:variant>
      <vt:variant>
        <vt:lpwstr/>
      </vt:variant>
      <vt:variant>
        <vt:i4>524367</vt:i4>
      </vt:variant>
      <vt:variant>
        <vt:i4>875</vt:i4>
      </vt:variant>
      <vt:variant>
        <vt:i4>0</vt:i4>
      </vt:variant>
      <vt:variant>
        <vt:i4>5</vt:i4>
      </vt:variant>
      <vt:variant>
        <vt:lpwstr>https://www.finlex.fi/fi/laki/alkup/1994/19941472</vt:lpwstr>
      </vt:variant>
      <vt:variant>
        <vt:lpwstr/>
      </vt:variant>
      <vt:variant>
        <vt:i4>64</vt:i4>
      </vt:variant>
      <vt:variant>
        <vt:i4>872</vt:i4>
      </vt:variant>
      <vt:variant>
        <vt:i4>0</vt:i4>
      </vt:variant>
      <vt:variant>
        <vt:i4>5</vt:i4>
      </vt:variant>
      <vt:variant>
        <vt:lpwstr>https://www.finlex.fi/fi/laki/alkup/2019/20190418</vt:lpwstr>
      </vt:variant>
      <vt:variant>
        <vt:lpwstr/>
      </vt:variant>
      <vt:variant>
        <vt:i4>852042</vt:i4>
      </vt:variant>
      <vt:variant>
        <vt:i4>869</vt:i4>
      </vt:variant>
      <vt:variant>
        <vt:i4>0</vt:i4>
      </vt:variant>
      <vt:variant>
        <vt:i4>5</vt:i4>
      </vt:variant>
      <vt:variant>
        <vt:lpwstr>https://www.finlex.fi/fi/laki/alkup/2011/20110646</vt:lpwstr>
      </vt:variant>
      <vt:variant>
        <vt:lpwstr/>
      </vt:variant>
      <vt:variant>
        <vt:i4>1245187</vt:i4>
      </vt:variant>
      <vt:variant>
        <vt:i4>866</vt:i4>
      </vt:variant>
      <vt:variant>
        <vt:i4>0</vt:i4>
      </vt:variant>
      <vt:variant>
        <vt:i4>5</vt:i4>
      </vt:variant>
      <vt:variant>
        <vt:lpwstr>https://www.finlex.fi/fi/laki/ajantasa/2022/20220423</vt:lpwstr>
      </vt:variant>
      <vt:variant>
        <vt:lpwstr/>
      </vt:variant>
      <vt:variant>
        <vt:i4>2031703</vt:i4>
      </vt:variant>
      <vt:variant>
        <vt:i4>863</vt:i4>
      </vt:variant>
      <vt:variant>
        <vt:i4>0</vt:i4>
      </vt:variant>
      <vt:variant>
        <vt:i4>5</vt:i4>
      </vt:variant>
      <vt:variant>
        <vt:lpwstr>https://eur-lex.europa.eu/legal-content/FI/ALL/?uri=celex:32013R0525</vt:lpwstr>
      </vt:variant>
      <vt:variant>
        <vt:lpwstr/>
      </vt:variant>
      <vt:variant>
        <vt:i4>983117</vt:i4>
      </vt:variant>
      <vt:variant>
        <vt:i4>860</vt:i4>
      </vt:variant>
      <vt:variant>
        <vt:i4>0</vt:i4>
      </vt:variant>
      <vt:variant>
        <vt:i4>5</vt:i4>
      </vt:variant>
      <vt:variant>
        <vt:lpwstr>https://www.finlex.fi/fi/laki/alkup/2014/20141429</vt:lpwstr>
      </vt:variant>
      <vt:variant>
        <vt:lpwstr/>
      </vt:variant>
      <vt:variant>
        <vt:i4>6881403</vt:i4>
      </vt:variant>
      <vt:variant>
        <vt:i4>856</vt:i4>
      </vt:variant>
      <vt:variant>
        <vt:i4>0</vt:i4>
      </vt:variant>
      <vt:variant>
        <vt:i4>5</vt:i4>
      </vt:variant>
      <vt:variant>
        <vt:lpwstr>https://julkaisut.valtioneuvosto.fi/handle/10024/164186</vt:lpwstr>
      </vt:variant>
      <vt:variant>
        <vt:lpwstr/>
      </vt:variant>
      <vt:variant>
        <vt:i4>6881403</vt:i4>
      </vt:variant>
      <vt:variant>
        <vt:i4>854</vt:i4>
      </vt:variant>
      <vt:variant>
        <vt:i4>0</vt:i4>
      </vt:variant>
      <vt:variant>
        <vt:i4>5</vt:i4>
      </vt:variant>
      <vt:variant>
        <vt:lpwstr>https://julkaisut.valtioneuvosto.fi/handle/10024/164186</vt:lpwstr>
      </vt:variant>
      <vt:variant>
        <vt:lpwstr/>
      </vt:variant>
      <vt:variant>
        <vt:i4>6488185</vt:i4>
      </vt:variant>
      <vt:variant>
        <vt:i4>851</vt:i4>
      </vt:variant>
      <vt:variant>
        <vt:i4>0</vt:i4>
      </vt:variant>
      <vt:variant>
        <vt:i4>5</vt:i4>
      </vt:variant>
      <vt:variant>
        <vt:lpwstr>https://julkaisut.valtioneuvosto.fi/handle/10024/164321</vt:lpwstr>
      </vt:variant>
      <vt:variant>
        <vt:lpwstr/>
      </vt:variant>
      <vt:variant>
        <vt:i4>8192116</vt:i4>
      </vt:variant>
      <vt:variant>
        <vt:i4>848</vt:i4>
      </vt:variant>
      <vt:variant>
        <vt:i4>0</vt:i4>
      </vt:variant>
      <vt:variant>
        <vt:i4>5</vt:i4>
      </vt:variant>
      <vt:variant>
        <vt:lpwstr>https://tem.fi/documents/1410877/2132096/Suomen+pitk%C3%A4n+aikav%C3%A4lin+strategia+kasvihuonekaasujen+v%C3%A4hent%C3%A4miseksi+1.4.2020/8cd55d4d-6de7-657f-a86f-bc79497d4756/Suomen+pitk%C3%A4n+aikav%C3%A4lin+strategia+kasvihuonekaasujen+v%C3%A4hent%C3%A4miseksi+1.4.2020.pdf?t=1692094955051</vt:lpwstr>
      </vt:variant>
      <vt:variant>
        <vt:lpwstr/>
      </vt:variant>
      <vt:variant>
        <vt:i4>6291567</vt:i4>
      </vt:variant>
      <vt:variant>
        <vt:i4>845</vt:i4>
      </vt:variant>
      <vt:variant>
        <vt:i4>0</vt:i4>
      </vt:variant>
      <vt:variant>
        <vt:i4>5</vt:i4>
      </vt:variant>
      <vt:variant>
        <vt:lpwstr>https://mmm.fi/documents/1410837/5120838/Kansallinen+ilmastonmuutokseen+sopeutumissuunnitelma+2022.pdf/1716aa76-8005-4626-bae0-b91f3b0c6396?t=1501159291000</vt:lpwstr>
      </vt:variant>
      <vt:variant>
        <vt:lpwstr/>
      </vt:variant>
      <vt:variant>
        <vt:i4>1245187</vt:i4>
      </vt:variant>
      <vt:variant>
        <vt:i4>842</vt:i4>
      </vt:variant>
      <vt:variant>
        <vt:i4>0</vt:i4>
      </vt:variant>
      <vt:variant>
        <vt:i4>5</vt:i4>
      </vt:variant>
      <vt:variant>
        <vt:lpwstr>https://www.finlex.fi/fi/laki/ajantasa/2022/20220423</vt:lpwstr>
      </vt:variant>
      <vt:variant>
        <vt:lpwstr/>
      </vt:variant>
      <vt:variant>
        <vt:i4>655433</vt:i4>
      </vt:variant>
      <vt:variant>
        <vt:i4>839</vt:i4>
      </vt:variant>
      <vt:variant>
        <vt:i4>0</vt:i4>
      </vt:variant>
      <vt:variant>
        <vt:i4>5</vt:i4>
      </vt:variant>
      <vt:variant>
        <vt:lpwstr>https://eur-lex.europa.eu/legal-content/FI/TXT/?uri=CELEX:32003L0087</vt:lpwstr>
      </vt:variant>
      <vt:variant>
        <vt:lpwstr/>
      </vt:variant>
      <vt:variant>
        <vt:i4>7405621</vt:i4>
      </vt:variant>
      <vt:variant>
        <vt:i4>836</vt:i4>
      </vt:variant>
      <vt:variant>
        <vt:i4>0</vt:i4>
      </vt:variant>
      <vt:variant>
        <vt:i4>5</vt:i4>
      </vt:variant>
      <vt:variant>
        <vt:lpwstr>https://eur-lex.europa.eu/legal-content/FI/TXT/HTML/?uri=CELEX:02023R0955-20240630</vt:lpwstr>
      </vt:variant>
      <vt:variant>
        <vt:lpwstr/>
      </vt:variant>
      <vt:variant>
        <vt:i4>5046358</vt:i4>
      </vt:variant>
      <vt:variant>
        <vt:i4>833</vt:i4>
      </vt:variant>
      <vt:variant>
        <vt:i4>0</vt:i4>
      </vt:variant>
      <vt:variant>
        <vt:i4>5</vt:i4>
      </vt:variant>
      <vt:variant>
        <vt:lpwstr>https://eur-lex.europa.eu/legal-content/FI/AUTO/?uri=celex:32023R0955</vt:lpwstr>
      </vt:variant>
      <vt:variant>
        <vt:lpwstr/>
      </vt:variant>
      <vt:variant>
        <vt:i4>7864362</vt:i4>
      </vt:variant>
      <vt:variant>
        <vt:i4>830</vt:i4>
      </vt:variant>
      <vt:variant>
        <vt:i4>0</vt:i4>
      </vt:variant>
      <vt:variant>
        <vt:i4>5</vt:i4>
      </vt:variant>
      <vt:variant>
        <vt:lpwstr>https://eur-lex.europa.eu/legal-content/FI/TXT/HTML/?uri=CELEX:02020D2126-20230719</vt:lpwstr>
      </vt:variant>
      <vt:variant>
        <vt:lpwstr/>
      </vt:variant>
      <vt:variant>
        <vt:i4>5177364</vt:i4>
      </vt:variant>
      <vt:variant>
        <vt:i4>827</vt:i4>
      </vt:variant>
      <vt:variant>
        <vt:i4>0</vt:i4>
      </vt:variant>
      <vt:variant>
        <vt:i4>5</vt:i4>
      </vt:variant>
      <vt:variant>
        <vt:lpwstr>https://www.ccacoalition.org/content/climate-and-clean-air-coalition</vt:lpwstr>
      </vt:variant>
      <vt:variant>
        <vt:lpwstr/>
      </vt:variant>
      <vt:variant>
        <vt:i4>4718673</vt:i4>
      </vt:variant>
      <vt:variant>
        <vt:i4>824</vt:i4>
      </vt:variant>
      <vt:variant>
        <vt:i4>0</vt:i4>
      </vt:variant>
      <vt:variant>
        <vt:i4>5</vt:i4>
      </vt:variant>
      <vt:variant>
        <vt:lpwstr>https://www.globalmethanepledge.org/</vt:lpwstr>
      </vt:variant>
      <vt:variant>
        <vt:lpwstr/>
      </vt:variant>
      <vt:variant>
        <vt:i4>7274538</vt:i4>
      </vt:variant>
      <vt:variant>
        <vt:i4>821</vt:i4>
      </vt:variant>
      <vt:variant>
        <vt:i4>0</vt:i4>
      </vt:variant>
      <vt:variant>
        <vt:i4>5</vt:i4>
      </vt:variant>
      <vt:variant>
        <vt:lpwstr>https://unfccc.int/sites/default/files/english_paris_agreement.pdf</vt:lpwstr>
      </vt:variant>
      <vt:variant>
        <vt:lpwstr/>
      </vt:variant>
      <vt:variant>
        <vt:i4>2228314</vt:i4>
      </vt:variant>
      <vt:variant>
        <vt:i4>818</vt:i4>
      </vt:variant>
      <vt:variant>
        <vt:i4>0</vt:i4>
      </vt:variant>
      <vt:variant>
        <vt:i4>5</vt:i4>
      </vt:variant>
      <vt:variant>
        <vt:lpwstr>https://unfccc.int/sites/default/files/resource/cma2021_10_add1_adv.pdf</vt:lpwstr>
      </vt:variant>
      <vt:variant>
        <vt:lpwstr/>
      </vt:variant>
      <vt:variant>
        <vt:i4>1376297</vt:i4>
      </vt:variant>
      <vt:variant>
        <vt:i4>815</vt:i4>
      </vt:variant>
      <vt:variant>
        <vt:i4>0</vt:i4>
      </vt:variant>
      <vt:variant>
        <vt:i4>5</vt:i4>
      </vt:variant>
      <vt:variant>
        <vt:lpwstr>https://www.ipcc.ch/report/ar6/syr/downloads/report/IPCC_AR6_SYR_LongerReport.pdf</vt:lpwstr>
      </vt:variant>
      <vt:variant>
        <vt:lpwstr/>
      </vt:variant>
      <vt:variant>
        <vt:i4>524291</vt:i4>
      </vt:variant>
      <vt:variant>
        <vt:i4>812</vt:i4>
      </vt:variant>
      <vt:variant>
        <vt:i4>0</vt:i4>
      </vt:variant>
      <vt:variant>
        <vt:i4>5</vt:i4>
      </vt:variant>
      <vt:variant>
        <vt:lpwstr>https://www.consilium.europa.eu/fi/policies/green-deal/fit-for-55-the-eu-plan-for-a-green-transition/</vt:lpwstr>
      </vt:variant>
      <vt:variant>
        <vt:lpwstr/>
      </vt:variant>
      <vt:variant>
        <vt:i4>7209073</vt:i4>
      </vt:variant>
      <vt:variant>
        <vt:i4>809</vt:i4>
      </vt:variant>
      <vt:variant>
        <vt:i4>0</vt:i4>
      </vt:variant>
      <vt:variant>
        <vt:i4>5</vt:i4>
      </vt:variant>
      <vt:variant>
        <vt:lpwstr>https://eur-lex.europa.eu/legal-content/fi/TXT/?uri=CELEX%3A32023R0839</vt:lpwstr>
      </vt:variant>
      <vt:variant>
        <vt:lpwstr/>
      </vt:variant>
      <vt:variant>
        <vt:i4>6750320</vt:i4>
      </vt:variant>
      <vt:variant>
        <vt:i4>806</vt:i4>
      </vt:variant>
      <vt:variant>
        <vt:i4>0</vt:i4>
      </vt:variant>
      <vt:variant>
        <vt:i4>5</vt:i4>
      </vt:variant>
      <vt:variant>
        <vt:lpwstr>https://eur-lex.europa.eu/legal-content/FI/TXT/?uri=CELEX%3A32021R1119</vt:lpwstr>
      </vt:variant>
      <vt:variant>
        <vt:lpwstr/>
      </vt:variant>
      <vt:variant>
        <vt:i4>6619261</vt:i4>
      </vt:variant>
      <vt:variant>
        <vt:i4>803</vt:i4>
      </vt:variant>
      <vt:variant>
        <vt:i4>0</vt:i4>
      </vt:variant>
      <vt:variant>
        <vt:i4>5</vt:i4>
      </vt:variant>
      <vt:variant>
        <vt:lpwstr>https://eur-lex.europa.eu/legal-content/fi/TXT/?uri=CELEX%3A32018R0841</vt:lpwstr>
      </vt:variant>
      <vt:variant>
        <vt:lpwstr/>
      </vt:variant>
      <vt:variant>
        <vt:i4>5767170</vt:i4>
      </vt:variant>
      <vt:variant>
        <vt:i4>692</vt:i4>
      </vt:variant>
      <vt:variant>
        <vt:i4>0</vt:i4>
      </vt:variant>
      <vt:variant>
        <vt:i4>5</vt:i4>
      </vt:variant>
      <vt:variant>
        <vt:lpwstr>https://julkaisut.valtioneuvosto.fi/bitstream/handle/10024/165717/VNTEAS_2024_26.pdf?sequence=1&amp;isAllowed=y</vt:lpwstr>
      </vt:variant>
      <vt:variant>
        <vt:lpwstr/>
      </vt:variant>
      <vt:variant>
        <vt:i4>1900598</vt:i4>
      </vt:variant>
      <vt:variant>
        <vt:i4>605</vt:i4>
      </vt:variant>
      <vt:variant>
        <vt:i4>0</vt:i4>
      </vt:variant>
      <vt:variant>
        <vt:i4>5</vt:i4>
      </vt:variant>
      <vt:variant>
        <vt:lpwstr/>
      </vt:variant>
      <vt:variant>
        <vt:lpwstr>_Toc202260089</vt:lpwstr>
      </vt:variant>
      <vt:variant>
        <vt:i4>1900598</vt:i4>
      </vt:variant>
      <vt:variant>
        <vt:i4>599</vt:i4>
      </vt:variant>
      <vt:variant>
        <vt:i4>0</vt:i4>
      </vt:variant>
      <vt:variant>
        <vt:i4>5</vt:i4>
      </vt:variant>
      <vt:variant>
        <vt:lpwstr/>
      </vt:variant>
      <vt:variant>
        <vt:lpwstr>_Toc202260088</vt:lpwstr>
      </vt:variant>
      <vt:variant>
        <vt:i4>1900598</vt:i4>
      </vt:variant>
      <vt:variant>
        <vt:i4>593</vt:i4>
      </vt:variant>
      <vt:variant>
        <vt:i4>0</vt:i4>
      </vt:variant>
      <vt:variant>
        <vt:i4>5</vt:i4>
      </vt:variant>
      <vt:variant>
        <vt:lpwstr/>
      </vt:variant>
      <vt:variant>
        <vt:lpwstr>_Toc202260087</vt:lpwstr>
      </vt:variant>
      <vt:variant>
        <vt:i4>1900598</vt:i4>
      </vt:variant>
      <vt:variant>
        <vt:i4>587</vt:i4>
      </vt:variant>
      <vt:variant>
        <vt:i4>0</vt:i4>
      </vt:variant>
      <vt:variant>
        <vt:i4>5</vt:i4>
      </vt:variant>
      <vt:variant>
        <vt:lpwstr/>
      </vt:variant>
      <vt:variant>
        <vt:lpwstr>_Toc202260086</vt:lpwstr>
      </vt:variant>
      <vt:variant>
        <vt:i4>1900598</vt:i4>
      </vt:variant>
      <vt:variant>
        <vt:i4>581</vt:i4>
      </vt:variant>
      <vt:variant>
        <vt:i4>0</vt:i4>
      </vt:variant>
      <vt:variant>
        <vt:i4>5</vt:i4>
      </vt:variant>
      <vt:variant>
        <vt:lpwstr/>
      </vt:variant>
      <vt:variant>
        <vt:lpwstr>_Toc202260085</vt:lpwstr>
      </vt:variant>
      <vt:variant>
        <vt:i4>1900598</vt:i4>
      </vt:variant>
      <vt:variant>
        <vt:i4>575</vt:i4>
      </vt:variant>
      <vt:variant>
        <vt:i4>0</vt:i4>
      </vt:variant>
      <vt:variant>
        <vt:i4>5</vt:i4>
      </vt:variant>
      <vt:variant>
        <vt:lpwstr/>
      </vt:variant>
      <vt:variant>
        <vt:lpwstr>_Toc202260084</vt:lpwstr>
      </vt:variant>
      <vt:variant>
        <vt:i4>1900598</vt:i4>
      </vt:variant>
      <vt:variant>
        <vt:i4>569</vt:i4>
      </vt:variant>
      <vt:variant>
        <vt:i4>0</vt:i4>
      </vt:variant>
      <vt:variant>
        <vt:i4>5</vt:i4>
      </vt:variant>
      <vt:variant>
        <vt:lpwstr/>
      </vt:variant>
      <vt:variant>
        <vt:lpwstr>_Toc202260083</vt:lpwstr>
      </vt:variant>
      <vt:variant>
        <vt:i4>1900598</vt:i4>
      </vt:variant>
      <vt:variant>
        <vt:i4>563</vt:i4>
      </vt:variant>
      <vt:variant>
        <vt:i4>0</vt:i4>
      </vt:variant>
      <vt:variant>
        <vt:i4>5</vt:i4>
      </vt:variant>
      <vt:variant>
        <vt:lpwstr/>
      </vt:variant>
      <vt:variant>
        <vt:lpwstr>_Toc202260082</vt:lpwstr>
      </vt:variant>
      <vt:variant>
        <vt:i4>1900598</vt:i4>
      </vt:variant>
      <vt:variant>
        <vt:i4>557</vt:i4>
      </vt:variant>
      <vt:variant>
        <vt:i4>0</vt:i4>
      </vt:variant>
      <vt:variant>
        <vt:i4>5</vt:i4>
      </vt:variant>
      <vt:variant>
        <vt:lpwstr/>
      </vt:variant>
      <vt:variant>
        <vt:lpwstr>_Toc202260081</vt:lpwstr>
      </vt:variant>
      <vt:variant>
        <vt:i4>1900598</vt:i4>
      </vt:variant>
      <vt:variant>
        <vt:i4>551</vt:i4>
      </vt:variant>
      <vt:variant>
        <vt:i4>0</vt:i4>
      </vt:variant>
      <vt:variant>
        <vt:i4>5</vt:i4>
      </vt:variant>
      <vt:variant>
        <vt:lpwstr/>
      </vt:variant>
      <vt:variant>
        <vt:lpwstr>_Toc202260080</vt:lpwstr>
      </vt:variant>
      <vt:variant>
        <vt:i4>1179702</vt:i4>
      </vt:variant>
      <vt:variant>
        <vt:i4>545</vt:i4>
      </vt:variant>
      <vt:variant>
        <vt:i4>0</vt:i4>
      </vt:variant>
      <vt:variant>
        <vt:i4>5</vt:i4>
      </vt:variant>
      <vt:variant>
        <vt:lpwstr/>
      </vt:variant>
      <vt:variant>
        <vt:lpwstr>_Toc202260079</vt:lpwstr>
      </vt:variant>
      <vt:variant>
        <vt:i4>1179702</vt:i4>
      </vt:variant>
      <vt:variant>
        <vt:i4>539</vt:i4>
      </vt:variant>
      <vt:variant>
        <vt:i4>0</vt:i4>
      </vt:variant>
      <vt:variant>
        <vt:i4>5</vt:i4>
      </vt:variant>
      <vt:variant>
        <vt:lpwstr/>
      </vt:variant>
      <vt:variant>
        <vt:lpwstr>_Toc202260078</vt:lpwstr>
      </vt:variant>
      <vt:variant>
        <vt:i4>1179702</vt:i4>
      </vt:variant>
      <vt:variant>
        <vt:i4>533</vt:i4>
      </vt:variant>
      <vt:variant>
        <vt:i4>0</vt:i4>
      </vt:variant>
      <vt:variant>
        <vt:i4>5</vt:i4>
      </vt:variant>
      <vt:variant>
        <vt:lpwstr/>
      </vt:variant>
      <vt:variant>
        <vt:lpwstr>_Toc202260077</vt:lpwstr>
      </vt:variant>
      <vt:variant>
        <vt:i4>1179702</vt:i4>
      </vt:variant>
      <vt:variant>
        <vt:i4>527</vt:i4>
      </vt:variant>
      <vt:variant>
        <vt:i4>0</vt:i4>
      </vt:variant>
      <vt:variant>
        <vt:i4>5</vt:i4>
      </vt:variant>
      <vt:variant>
        <vt:lpwstr/>
      </vt:variant>
      <vt:variant>
        <vt:lpwstr>_Toc202260076</vt:lpwstr>
      </vt:variant>
      <vt:variant>
        <vt:i4>1179702</vt:i4>
      </vt:variant>
      <vt:variant>
        <vt:i4>521</vt:i4>
      </vt:variant>
      <vt:variant>
        <vt:i4>0</vt:i4>
      </vt:variant>
      <vt:variant>
        <vt:i4>5</vt:i4>
      </vt:variant>
      <vt:variant>
        <vt:lpwstr/>
      </vt:variant>
      <vt:variant>
        <vt:lpwstr>_Toc202260075</vt:lpwstr>
      </vt:variant>
      <vt:variant>
        <vt:i4>1179702</vt:i4>
      </vt:variant>
      <vt:variant>
        <vt:i4>515</vt:i4>
      </vt:variant>
      <vt:variant>
        <vt:i4>0</vt:i4>
      </vt:variant>
      <vt:variant>
        <vt:i4>5</vt:i4>
      </vt:variant>
      <vt:variant>
        <vt:lpwstr/>
      </vt:variant>
      <vt:variant>
        <vt:lpwstr>_Toc202260074</vt:lpwstr>
      </vt:variant>
      <vt:variant>
        <vt:i4>1179702</vt:i4>
      </vt:variant>
      <vt:variant>
        <vt:i4>509</vt:i4>
      </vt:variant>
      <vt:variant>
        <vt:i4>0</vt:i4>
      </vt:variant>
      <vt:variant>
        <vt:i4>5</vt:i4>
      </vt:variant>
      <vt:variant>
        <vt:lpwstr/>
      </vt:variant>
      <vt:variant>
        <vt:lpwstr>_Toc202260073</vt:lpwstr>
      </vt:variant>
      <vt:variant>
        <vt:i4>1179702</vt:i4>
      </vt:variant>
      <vt:variant>
        <vt:i4>503</vt:i4>
      </vt:variant>
      <vt:variant>
        <vt:i4>0</vt:i4>
      </vt:variant>
      <vt:variant>
        <vt:i4>5</vt:i4>
      </vt:variant>
      <vt:variant>
        <vt:lpwstr/>
      </vt:variant>
      <vt:variant>
        <vt:lpwstr>_Toc202260072</vt:lpwstr>
      </vt:variant>
      <vt:variant>
        <vt:i4>1179702</vt:i4>
      </vt:variant>
      <vt:variant>
        <vt:i4>497</vt:i4>
      </vt:variant>
      <vt:variant>
        <vt:i4>0</vt:i4>
      </vt:variant>
      <vt:variant>
        <vt:i4>5</vt:i4>
      </vt:variant>
      <vt:variant>
        <vt:lpwstr/>
      </vt:variant>
      <vt:variant>
        <vt:lpwstr>_Toc202260071</vt:lpwstr>
      </vt:variant>
      <vt:variant>
        <vt:i4>1179702</vt:i4>
      </vt:variant>
      <vt:variant>
        <vt:i4>491</vt:i4>
      </vt:variant>
      <vt:variant>
        <vt:i4>0</vt:i4>
      </vt:variant>
      <vt:variant>
        <vt:i4>5</vt:i4>
      </vt:variant>
      <vt:variant>
        <vt:lpwstr/>
      </vt:variant>
      <vt:variant>
        <vt:lpwstr>_Toc202260070</vt:lpwstr>
      </vt:variant>
      <vt:variant>
        <vt:i4>1245238</vt:i4>
      </vt:variant>
      <vt:variant>
        <vt:i4>485</vt:i4>
      </vt:variant>
      <vt:variant>
        <vt:i4>0</vt:i4>
      </vt:variant>
      <vt:variant>
        <vt:i4>5</vt:i4>
      </vt:variant>
      <vt:variant>
        <vt:lpwstr/>
      </vt:variant>
      <vt:variant>
        <vt:lpwstr>_Toc202260069</vt:lpwstr>
      </vt:variant>
      <vt:variant>
        <vt:i4>1245238</vt:i4>
      </vt:variant>
      <vt:variant>
        <vt:i4>479</vt:i4>
      </vt:variant>
      <vt:variant>
        <vt:i4>0</vt:i4>
      </vt:variant>
      <vt:variant>
        <vt:i4>5</vt:i4>
      </vt:variant>
      <vt:variant>
        <vt:lpwstr/>
      </vt:variant>
      <vt:variant>
        <vt:lpwstr>_Toc202260068</vt:lpwstr>
      </vt:variant>
      <vt:variant>
        <vt:i4>1245238</vt:i4>
      </vt:variant>
      <vt:variant>
        <vt:i4>473</vt:i4>
      </vt:variant>
      <vt:variant>
        <vt:i4>0</vt:i4>
      </vt:variant>
      <vt:variant>
        <vt:i4>5</vt:i4>
      </vt:variant>
      <vt:variant>
        <vt:lpwstr/>
      </vt:variant>
      <vt:variant>
        <vt:lpwstr>_Toc202260067</vt:lpwstr>
      </vt:variant>
      <vt:variant>
        <vt:i4>1245238</vt:i4>
      </vt:variant>
      <vt:variant>
        <vt:i4>467</vt:i4>
      </vt:variant>
      <vt:variant>
        <vt:i4>0</vt:i4>
      </vt:variant>
      <vt:variant>
        <vt:i4>5</vt:i4>
      </vt:variant>
      <vt:variant>
        <vt:lpwstr/>
      </vt:variant>
      <vt:variant>
        <vt:lpwstr>_Toc202260066</vt:lpwstr>
      </vt:variant>
      <vt:variant>
        <vt:i4>1245238</vt:i4>
      </vt:variant>
      <vt:variant>
        <vt:i4>461</vt:i4>
      </vt:variant>
      <vt:variant>
        <vt:i4>0</vt:i4>
      </vt:variant>
      <vt:variant>
        <vt:i4>5</vt:i4>
      </vt:variant>
      <vt:variant>
        <vt:lpwstr/>
      </vt:variant>
      <vt:variant>
        <vt:lpwstr>_Toc202260065</vt:lpwstr>
      </vt:variant>
      <vt:variant>
        <vt:i4>1245238</vt:i4>
      </vt:variant>
      <vt:variant>
        <vt:i4>455</vt:i4>
      </vt:variant>
      <vt:variant>
        <vt:i4>0</vt:i4>
      </vt:variant>
      <vt:variant>
        <vt:i4>5</vt:i4>
      </vt:variant>
      <vt:variant>
        <vt:lpwstr/>
      </vt:variant>
      <vt:variant>
        <vt:lpwstr>_Toc202260064</vt:lpwstr>
      </vt:variant>
      <vt:variant>
        <vt:i4>1245238</vt:i4>
      </vt:variant>
      <vt:variant>
        <vt:i4>449</vt:i4>
      </vt:variant>
      <vt:variant>
        <vt:i4>0</vt:i4>
      </vt:variant>
      <vt:variant>
        <vt:i4>5</vt:i4>
      </vt:variant>
      <vt:variant>
        <vt:lpwstr/>
      </vt:variant>
      <vt:variant>
        <vt:lpwstr>_Toc202260063</vt:lpwstr>
      </vt:variant>
      <vt:variant>
        <vt:i4>1245238</vt:i4>
      </vt:variant>
      <vt:variant>
        <vt:i4>443</vt:i4>
      </vt:variant>
      <vt:variant>
        <vt:i4>0</vt:i4>
      </vt:variant>
      <vt:variant>
        <vt:i4>5</vt:i4>
      </vt:variant>
      <vt:variant>
        <vt:lpwstr/>
      </vt:variant>
      <vt:variant>
        <vt:lpwstr>_Toc202260062</vt:lpwstr>
      </vt:variant>
      <vt:variant>
        <vt:i4>1245238</vt:i4>
      </vt:variant>
      <vt:variant>
        <vt:i4>437</vt:i4>
      </vt:variant>
      <vt:variant>
        <vt:i4>0</vt:i4>
      </vt:variant>
      <vt:variant>
        <vt:i4>5</vt:i4>
      </vt:variant>
      <vt:variant>
        <vt:lpwstr/>
      </vt:variant>
      <vt:variant>
        <vt:lpwstr>_Toc202260061</vt:lpwstr>
      </vt:variant>
      <vt:variant>
        <vt:i4>1245238</vt:i4>
      </vt:variant>
      <vt:variant>
        <vt:i4>431</vt:i4>
      </vt:variant>
      <vt:variant>
        <vt:i4>0</vt:i4>
      </vt:variant>
      <vt:variant>
        <vt:i4>5</vt:i4>
      </vt:variant>
      <vt:variant>
        <vt:lpwstr/>
      </vt:variant>
      <vt:variant>
        <vt:lpwstr>_Toc202260060</vt:lpwstr>
      </vt:variant>
      <vt:variant>
        <vt:i4>1048630</vt:i4>
      </vt:variant>
      <vt:variant>
        <vt:i4>425</vt:i4>
      </vt:variant>
      <vt:variant>
        <vt:i4>0</vt:i4>
      </vt:variant>
      <vt:variant>
        <vt:i4>5</vt:i4>
      </vt:variant>
      <vt:variant>
        <vt:lpwstr/>
      </vt:variant>
      <vt:variant>
        <vt:lpwstr>_Toc202260059</vt:lpwstr>
      </vt:variant>
      <vt:variant>
        <vt:i4>1048630</vt:i4>
      </vt:variant>
      <vt:variant>
        <vt:i4>419</vt:i4>
      </vt:variant>
      <vt:variant>
        <vt:i4>0</vt:i4>
      </vt:variant>
      <vt:variant>
        <vt:i4>5</vt:i4>
      </vt:variant>
      <vt:variant>
        <vt:lpwstr/>
      </vt:variant>
      <vt:variant>
        <vt:lpwstr>_Toc202260058</vt:lpwstr>
      </vt:variant>
      <vt:variant>
        <vt:i4>1048630</vt:i4>
      </vt:variant>
      <vt:variant>
        <vt:i4>413</vt:i4>
      </vt:variant>
      <vt:variant>
        <vt:i4>0</vt:i4>
      </vt:variant>
      <vt:variant>
        <vt:i4>5</vt:i4>
      </vt:variant>
      <vt:variant>
        <vt:lpwstr/>
      </vt:variant>
      <vt:variant>
        <vt:lpwstr>_Toc202260057</vt:lpwstr>
      </vt:variant>
      <vt:variant>
        <vt:i4>1048630</vt:i4>
      </vt:variant>
      <vt:variant>
        <vt:i4>407</vt:i4>
      </vt:variant>
      <vt:variant>
        <vt:i4>0</vt:i4>
      </vt:variant>
      <vt:variant>
        <vt:i4>5</vt:i4>
      </vt:variant>
      <vt:variant>
        <vt:lpwstr/>
      </vt:variant>
      <vt:variant>
        <vt:lpwstr>_Toc202260056</vt:lpwstr>
      </vt:variant>
      <vt:variant>
        <vt:i4>1048630</vt:i4>
      </vt:variant>
      <vt:variant>
        <vt:i4>401</vt:i4>
      </vt:variant>
      <vt:variant>
        <vt:i4>0</vt:i4>
      </vt:variant>
      <vt:variant>
        <vt:i4>5</vt:i4>
      </vt:variant>
      <vt:variant>
        <vt:lpwstr/>
      </vt:variant>
      <vt:variant>
        <vt:lpwstr>_Toc202260055</vt:lpwstr>
      </vt:variant>
      <vt:variant>
        <vt:i4>1048630</vt:i4>
      </vt:variant>
      <vt:variant>
        <vt:i4>395</vt:i4>
      </vt:variant>
      <vt:variant>
        <vt:i4>0</vt:i4>
      </vt:variant>
      <vt:variant>
        <vt:i4>5</vt:i4>
      </vt:variant>
      <vt:variant>
        <vt:lpwstr/>
      </vt:variant>
      <vt:variant>
        <vt:lpwstr>_Toc202260054</vt:lpwstr>
      </vt:variant>
      <vt:variant>
        <vt:i4>1048630</vt:i4>
      </vt:variant>
      <vt:variant>
        <vt:i4>389</vt:i4>
      </vt:variant>
      <vt:variant>
        <vt:i4>0</vt:i4>
      </vt:variant>
      <vt:variant>
        <vt:i4>5</vt:i4>
      </vt:variant>
      <vt:variant>
        <vt:lpwstr/>
      </vt:variant>
      <vt:variant>
        <vt:lpwstr>_Toc202260053</vt:lpwstr>
      </vt:variant>
      <vt:variant>
        <vt:i4>1048630</vt:i4>
      </vt:variant>
      <vt:variant>
        <vt:i4>383</vt:i4>
      </vt:variant>
      <vt:variant>
        <vt:i4>0</vt:i4>
      </vt:variant>
      <vt:variant>
        <vt:i4>5</vt:i4>
      </vt:variant>
      <vt:variant>
        <vt:lpwstr/>
      </vt:variant>
      <vt:variant>
        <vt:lpwstr>_Toc202260052</vt:lpwstr>
      </vt:variant>
      <vt:variant>
        <vt:i4>1048630</vt:i4>
      </vt:variant>
      <vt:variant>
        <vt:i4>377</vt:i4>
      </vt:variant>
      <vt:variant>
        <vt:i4>0</vt:i4>
      </vt:variant>
      <vt:variant>
        <vt:i4>5</vt:i4>
      </vt:variant>
      <vt:variant>
        <vt:lpwstr/>
      </vt:variant>
      <vt:variant>
        <vt:lpwstr>_Toc202260051</vt:lpwstr>
      </vt:variant>
      <vt:variant>
        <vt:i4>1048630</vt:i4>
      </vt:variant>
      <vt:variant>
        <vt:i4>371</vt:i4>
      </vt:variant>
      <vt:variant>
        <vt:i4>0</vt:i4>
      </vt:variant>
      <vt:variant>
        <vt:i4>5</vt:i4>
      </vt:variant>
      <vt:variant>
        <vt:lpwstr/>
      </vt:variant>
      <vt:variant>
        <vt:lpwstr>_Toc202260050</vt:lpwstr>
      </vt:variant>
      <vt:variant>
        <vt:i4>1114166</vt:i4>
      </vt:variant>
      <vt:variant>
        <vt:i4>365</vt:i4>
      </vt:variant>
      <vt:variant>
        <vt:i4>0</vt:i4>
      </vt:variant>
      <vt:variant>
        <vt:i4>5</vt:i4>
      </vt:variant>
      <vt:variant>
        <vt:lpwstr/>
      </vt:variant>
      <vt:variant>
        <vt:lpwstr>_Toc202260049</vt:lpwstr>
      </vt:variant>
      <vt:variant>
        <vt:i4>1114166</vt:i4>
      </vt:variant>
      <vt:variant>
        <vt:i4>359</vt:i4>
      </vt:variant>
      <vt:variant>
        <vt:i4>0</vt:i4>
      </vt:variant>
      <vt:variant>
        <vt:i4>5</vt:i4>
      </vt:variant>
      <vt:variant>
        <vt:lpwstr/>
      </vt:variant>
      <vt:variant>
        <vt:lpwstr>_Toc202260048</vt:lpwstr>
      </vt:variant>
      <vt:variant>
        <vt:i4>1114166</vt:i4>
      </vt:variant>
      <vt:variant>
        <vt:i4>353</vt:i4>
      </vt:variant>
      <vt:variant>
        <vt:i4>0</vt:i4>
      </vt:variant>
      <vt:variant>
        <vt:i4>5</vt:i4>
      </vt:variant>
      <vt:variant>
        <vt:lpwstr/>
      </vt:variant>
      <vt:variant>
        <vt:lpwstr>_Toc202260047</vt:lpwstr>
      </vt:variant>
      <vt:variant>
        <vt:i4>1114166</vt:i4>
      </vt:variant>
      <vt:variant>
        <vt:i4>347</vt:i4>
      </vt:variant>
      <vt:variant>
        <vt:i4>0</vt:i4>
      </vt:variant>
      <vt:variant>
        <vt:i4>5</vt:i4>
      </vt:variant>
      <vt:variant>
        <vt:lpwstr/>
      </vt:variant>
      <vt:variant>
        <vt:lpwstr>_Toc202260046</vt:lpwstr>
      </vt:variant>
      <vt:variant>
        <vt:i4>1114166</vt:i4>
      </vt:variant>
      <vt:variant>
        <vt:i4>341</vt:i4>
      </vt:variant>
      <vt:variant>
        <vt:i4>0</vt:i4>
      </vt:variant>
      <vt:variant>
        <vt:i4>5</vt:i4>
      </vt:variant>
      <vt:variant>
        <vt:lpwstr/>
      </vt:variant>
      <vt:variant>
        <vt:lpwstr>_Toc202260045</vt:lpwstr>
      </vt:variant>
      <vt:variant>
        <vt:i4>1114166</vt:i4>
      </vt:variant>
      <vt:variant>
        <vt:i4>335</vt:i4>
      </vt:variant>
      <vt:variant>
        <vt:i4>0</vt:i4>
      </vt:variant>
      <vt:variant>
        <vt:i4>5</vt:i4>
      </vt:variant>
      <vt:variant>
        <vt:lpwstr/>
      </vt:variant>
      <vt:variant>
        <vt:lpwstr>_Toc202260044</vt:lpwstr>
      </vt:variant>
      <vt:variant>
        <vt:i4>1114166</vt:i4>
      </vt:variant>
      <vt:variant>
        <vt:i4>329</vt:i4>
      </vt:variant>
      <vt:variant>
        <vt:i4>0</vt:i4>
      </vt:variant>
      <vt:variant>
        <vt:i4>5</vt:i4>
      </vt:variant>
      <vt:variant>
        <vt:lpwstr/>
      </vt:variant>
      <vt:variant>
        <vt:lpwstr>_Toc202260043</vt:lpwstr>
      </vt:variant>
      <vt:variant>
        <vt:i4>1114166</vt:i4>
      </vt:variant>
      <vt:variant>
        <vt:i4>323</vt:i4>
      </vt:variant>
      <vt:variant>
        <vt:i4>0</vt:i4>
      </vt:variant>
      <vt:variant>
        <vt:i4>5</vt:i4>
      </vt:variant>
      <vt:variant>
        <vt:lpwstr/>
      </vt:variant>
      <vt:variant>
        <vt:lpwstr>_Toc202260042</vt:lpwstr>
      </vt:variant>
      <vt:variant>
        <vt:i4>1114166</vt:i4>
      </vt:variant>
      <vt:variant>
        <vt:i4>317</vt:i4>
      </vt:variant>
      <vt:variant>
        <vt:i4>0</vt:i4>
      </vt:variant>
      <vt:variant>
        <vt:i4>5</vt:i4>
      </vt:variant>
      <vt:variant>
        <vt:lpwstr/>
      </vt:variant>
      <vt:variant>
        <vt:lpwstr>_Toc202260041</vt:lpwstr>
      </vt:variant>
      <vt:variant>
        <vt:i4>1114166</vt:i4>
      </vt:variant>
      <vt:variant>
        <vt:i4>311</vt:i4>
      </vt:variant>
      <vt:variant>
        <vt:i4>0</vt:i4>
      </vt:variant>
      <vt:variant>
        <vt:i4>5</vt:i4>
      </vt:variant>
      <vt:variant>
        <vt:lpwstr/>
      </vt:variant>
      <vt:variant>
        <vt:lpwstr>_Toc202260040</vt:lpwstr>
      </vt:variant>
      <vt:variant>
        <vt:i4>1441846</vt:i4>
      </vt:variant>
      <vt:variant>
        <vt:i4>305</vt:i4>
      </vt:variant>
      <vt:variant>
        <vt:i4>0</vt:i4>
      </vt:variant>
      <vt:variant>
        <vt:i4>5</vt:i4>
      </vt:variant>
      <vt:variant>
        <vt:lpwstr/>
      </vt:variant>
      <vt:variant>
        <vt:lpwstr>_Toc202260039</vt:lpwstr>
      </vt:variant>
      <vt:variant>
        <vt:i4>1441846</vt:i4>
      </vt:variant>
      <vt:variant>
        <vt:i4>299</vt:i4>
      </vt:variant>
      <vt:variant>
        <vt:i4>0</vt:i4>
      </vt:variant>
      <vt:variant>
        <vt:i4>5</vt:i4>
      </vt:variant>
      <vt:variant>
        <vt:lpwstr/>
      </vt:variant>
      <vt:variant>
        <vt:lpwstr>_Toc202260038</vt:lpwstr>
      </vt:variant>
      <vt:variant>
        <vt:i4>1441846</vt:i4>
      </vt:variant>
      <vt:variant>
        <vt:i4>293</vt:i4>
      </vt:variant>
      <vt:variant>
        <vt:i4>0</vt:i4>
      </vt:variant>
      <vt:variant>
        <vt:i4>5</vt:i4>
      </vt:variant>
      <vt:variant>
        <vt:lpwstr/>
      </vt:variant>
      <vt:variant>
        <vt:lpwstr>_Toc202260037</vt:lpwstr>
      </vt:variant>
      <vt:variant>
        <vt:i4>1441846</vt:i4>
      </vt:variant>
      <vt:variant>
        <vt:i4>287</vt:i4>
      </vt:variant>
      <vt:variant>
        <vt:i4>0</vt:i4>
      </vt:variant>
      <vt:variant>
        <vt:i4>5</vt:i4>
      </vt:variant>
      <vt:variant>
        <vt:lpwstr/>
      </vt:variant>
      <vt:variant>
        <vt:lpwstr>_Toc202260036</vt:lpwstr>
      </vt:variant>
      <vt:variant>
        <vt:i4>1441846</vt:i4>
      </vt:variant>
      <vt:variant>
        <vt:i4>281</vt:i4>
      </vt:variant>
      <vt:variant>
        <vt:i4>0</vt:i4>
      </vt:variant>
      <vt:variant>
        <vt:i4>5</vt:i4>
      </vt:variant>
      <vt:variant>
        <vt:lpwstr/>
      </vt:variant>
      <vt:variant>
        <vt:lpwstr>_Toc202260035</vt:lpwstr>
      </vt:variant>
      <vt:variant>
        <vt:i4>1441846</vt:i4>
      </vt:variant>
      <vt:variant>
        <vt:i4>275</vt:i4>
      </vt:variant>
      <vt:variant>
        <vt:i4>0</vt:i4>
      </vt:variant>
      <vt:variant>
        <vt:i4>5</vt:i4>
      </vt:variant>
      <vt:variant>
        <vt:lpwstr/>
      </vt:variant>
      <vt:variant>
        <vt:lpwstr>_Toc202260034</vt:lpwstr>
      </vt:variant>
      <vt:variant>
        <vt:i4>1441846</vt:i4>
      </vt:variant>
      <vt:variant>
        <vt:i4>269</vt:i4>
      </vt:variant>
      <vt:variant>
        <vt:i4>0</vt:i4>
      </vt:variant>
      <vt:variant>
        <vt:i4>5</vt:i4>
      </vt:variant>
      <vt:variant>
        <vt:lpwstr/>
      </vt:variant>
      <vt:variant>
        <vt:lpwstr>_Toc202260033</vt:lpwstr>
      </vt:variant>
      <vt:variant>
        <vt:i4>1441846</vt:i4>
      </vt:variant>
      <vt:variant>
        <vt:i4>263</vt:i4>
      </vt:variant>
      <vt:variant>
        <vt:i4>0</vt:i4>
      </vt:variant>
      <vt:variant>
        <vt:i4>5</vt:i4>
      </vt:variant>
      <vt:variant>
        <vt:lpwstr/>
      </vt:variant>
      <vt:variant>
        <vt:lpwstr>_Toc202260032</vt:lpwstr>
      </vt:variant>
      <vt:variant>
        <vt:i4>1441846</vt:i4>
      </vt:variant>
      <vt:variant>
        <vt:i4>257</vt:i4>
      </vt:variant>
      <vt:variant>
        <vt:i4>0</vt:i4>
      </vt:variant>
      <vt:variant>
        <vt:i4>5</vt:i4>
      </vt:variant>
      <vt:variant>
        <vt:lpwstr/>
      </vt:variant>
      <vt:variant>
        <vt:lpwstr>_Toc202260031</vt:lpwstr>
      </vt:variant>
      <vt:variant>
        <vt:i4>1441846</vt:i4>
      </vt:variant>
      <vt:variant>
        <vt:i4>251</vt:i4>
      </vt:variant>
      <vt:variant>
        <vt:i4>0</vt:i4>
      </vt:variant>
      <vt:variant>
        <vt:i4>5</vt:i4>
      </vt:variant>
      <vt:variant>
        <vt:lpwstr/>
      </vt:variant>
      <vt:variant>
        <vt:lpwstr>_Toc202260030</vt:lpwstr>
      </vt:variant>
      <vt:variant>
        <vt:i4>1507382</vt:i4>
      </vt:variant>
      <vt:variant>
        <vt:i4>245</vt:i4>
      </vt:variant>
      <vt:variant>
        <vt:i4>0</vt:i4>
      </vt:variant>
      <vt:variant>
        <vt:i4>5</vt:i4>
      </vt:variant>
      <vt:variant>
        <vt:lpwstr/>
      </vt:variant>
      <vt:variant>
        <vt:lpwstr>_Toc202260029</vt:lpwstr>
      </vt:variant>
      <vt:variant>
        <vt:i4>1507382</vt:i4>
      </vt:variant>
      <vt:variant>
        <vt:i4>239</vt:i4>
      </vt:variant>
      <vt:variant>
        <vt:i4>0</vt:i4>
      </vt:variant>
      <vt:variant>
        <vt:i4>5</vt:i4>
      </vt:variant>
      <vt:variant>
        <vt:lpwstr/>
      </vt:variant>
      <vt:variant>
        <vt:lpwstr>_Toc202260028</vt:lpwstr>
      </vt:variant>
      <vt:variant>
        <vt:i4>1507382</vt:i4>
      </vt:variant>
      <vt:variant>
        <vt:i4>233</vt:i4>
      </vt:variant>
      <vt:variant>
        <vt:i4>0</vt:i4>
      </vt:variant>
      <vt:variant>
        <vt:i4>5</vt:i4>
      </vt:variant>
      <vt:variant>
        <vt:lpwstr/>
      </vt:variant>
      <vt:variant>
        <vt:lpwstr>_Toc202260027</vt:lpwstr>
      </vt:variant>
      <vt:variant>
        <vt:i4>1507382</vt:i4>
      </vt:variant>
      <vt:variant>
        <vt:i4>227</vt:i4>
      </vt:variant>
      <vt:variant>
        <vt:i4>0</vt:i4>
      </vt:variant>
      <vt:variant>
        <vt:i4>5</vt:i4>
      </vt:variant>
      <vt:variant>
        <vt:lpwstr/>
      </vt:variant>
      <vt:variant>
        <vt:lpwstr>_Toc202260026</vt:lpwstr>
      </vt:variant>
      <vt:variant>
        <vt:i4>1507382</vt:i4>
      </vt:variant>
      <vt:variant>
        <vt:i4>221</vt:i4>
      </vt:variant>
      <vt:variant>
        <vt:i4>0</vt:i4>
      </vt:variant>
      <vt:variant>
        <vt:i4>5</vt:i4>
      </vt:variant>
      <vt:variant>
        <vt:lpwstr/>
      </vt:variant>
      <vt:variant>
        <vt:lpwstr>_Toc202260025</vt:lpwstr>
      </vt:variant>
      <vt:variant>
        <vt:i4>1507382</vt:i4>
      </vt:variant>
      <vt:variant>
        <vt:i4>215</vt:i4>
      </vt:variant>
      <vt:variant>
        <vt:i4>0</vt:i4>
      </vt:variant>
      <vt:variant>
        <vt:i4>5</vt:i4>
      </vt:variant>
      <vt:variant>
        <vt:lpwstr/>
      </vt:variant>
      <vt:variant>
        <vt:lpwstr>_Toc202260024</vt:lpwstr>
      </vt:variant>
      <vt:variant>
        <vt:i4>1507382</vt:i4>
      </vt:variant>
      <vt:variant>
        <vt:i4>209</vt:i4>
      </vt:variant>
      <vt:variant>
        <vt:i4>0</vt:i4>
      </vt:variant>
      <vt:variant>
        <vt:i4>5</vt:i4>
      </vt:variant>
      <vt:variant>
        <vt:lpwstr/>
      </vt:variant>
      <vt:variant>
        <vt:lpwstr>_Toc202260023</vt:lpwstr>
      </vt:variant>
      <vt:variant>
        <vt:i4>1507382</vt:i4>
      </vt:variant>
      <vt:variant>
        <vt:i4>203</vt:i4>
      </vt:variant>
      <vt:variant>
        <vt:i4>0</vt:i4>
      </vt:variant>
      <vt:variant>
        <vt:i4>5</vt:i4>
      </vt:variant>
      <vt:variant>
        <vt:lpwstr/>
      </vt:variant>
      <vt:variant>
        <vt:lpwstr>_Toc202260022</vt:lpwstr>
      </vt:variant>
      <vt:variant>
        <vt:i4>1507382</vt:i4>
      </vt:variant>
      <vt:variant>
        <vt:i4>197</vt:i4>
      </vt:variant>
      <vt:variant>
        <vt:i4>0</vt:i4>
      </vt:variant>
      <vt:variant>
        <vt:i4>5</vt:i4>
      </vt:variant>
      <vt:variant>
        <vt:lpwstr/>
      </vt:variant>
      <vt:variant>
        <vt:lpwstr>_Toc202260021</vt:lpwstr>
      </vt:variant>
      <vt:variant>
        <vt:i4>1507382</vt:i4>
      </vt:variant>
      <vt:variant>
        <vt:i4>191</vt:i4>
      </vt:variant>
      <vt:variant>
        <vt:i4>0</vt:i4>
      </vt:variant>
      <vt:variant>
        <vt:i4>5</vt:i4>
      </vt:variant>
      <vt:variant>
        <vt:lpwstr/>
      </vt:variant>
      <vt:variant>
        <vt:lpwstr>_Toc202260020</vt:lpwstr>
      </vt:variant>
      <vt:variant>
        <vt:i4>1310774</vt:i4>
      </vt:variant>
      <vt:variant>
        <vt:i4>185</vt:i4>
      </vt:variant>
      <vt:variant>
        <vt:i4>0</vt:i4>
      </vt:variant>
      <vt:variant>
        <vt:i4>5</vt:i4>
      </vt:variant>
      <vt:variant>
        <vt:lpwstr/>
      </vt:variant>
      <vt:variant>
        <vt:lpwstr>_Toc202260019</vt:lpwstr>
      </vt:variant>
      <vt:variant>
        <vt:i4>1310774</vt:i4>
      </vt:variant>
      <vt:variant>
        <vt:i4>179</vt:i4>
      </vt:variant>
      <vt:variant>
        <vt:i4>0</vt:i4>
      </vt:variant>
      <vt:variant>
        <vt:i4>5</vt:i4>
      </vt:variant>
      <vt:variant>
        <vt:lpwstr/>
      </vt:variant>
      <vt:variant>
        <vt:lpwstr>_Toc202260018</vt:lpwstr>
      </vt:variant>
      <vt:variant>
        <vt:i4>1310774</vt:i4>
      </vt:variant>
      <vt:variant>
        <vt:i4>173</vt:i4>
      </vt:variant>
      <vt:variant>
        <vt:i4>0</vt:i4>
      </vt:variant>
      <vt:variant>
        <vt:i4>5</vt:i4>
      </vt:variant>
      <vt:variant>
        <vt:lpwstr/>
      </vt:variant>
      <vt:variant>
        <vt:lpwstr>_Toc202260017</vt:lpwstr>
      </vt:variant>
      <vt:variant>
        <vt:i4>1310774</vt:i4>
      </vt:variant>
      <vt:variant>
        <vt:i4>167</vt:i4>
      </vt:variant>
      <vt:variant>
        <vt:i4>0</vt:i4>
      </vt:variant>
      <vt:variant>
        <vt:i4>5</vt:i4>
      </vt:variant>
      <vt:variant>
        <vt:lpwstr/>
      </vt:variant>
      <vt:variant>
        <vt:lpwstr>_Toc202260016</vt:lpwstr>
      </vt:variant>
      <vt:variant>
        <vt:i4>1310774</vt:i4>
      </vt:variant>
      <vt:variant>
        <vt:i4>161</vt:i4>
      </vt:variant>
      <vt:variant>
        <vt:i4>0</vt:i4>
      </vt:variant>
      <vt:variant>
        <vt:i4>5</vt:i4>
      </vt:variant>
      <vt:variant>
        <vt:lpwstr/>
      </vt:variant>
      <vt:variant>
        <vt:lpwstr>_Toc202260015</vt:lpwstr>
      </vt:variant>
      <vt:variant>
        <vt:i4>1310774</vt:i4>
      </vt:variant>
      <vt:variant>
        <vt:i4>155</vt:i4>
      </vt:variant>
      <vt:variant>
        <vt:i4>0</vt:i4>
      </vt:variant>
      <vt:variant>
        <vt:i4>5</vt:i4>
      </vt:variant>
      <vt:variant>
        <vt:lpwstr/>
      </vt:variant>
      <vt:variant>
        <vt:lpwstr>_Toc202260014</vt:lpwstr>
      </vt:variant>
      <vt:variant>
        <vt:i4>1310774</vt:i4>
      </vt:variant>
      <vt:variant>
        <vt:i4>149</vt:i4>
      </vt:variant>
      <vt:variant>
        <vt:i4>0</vt:i4>
      </vt:variant>
      <vt:variant>
        <vt:i4>5</vt:i4>
      </vt:variant>
      <vt:variant>
        <vt:lpwstr/>
      </vt:variant>
      <vt:variant>
        <vt:lpwstr>_Toc202260013</vt:lpwstr>
      </vt:variant>
      <vt:variant>
        <vt:i4>1310774</vt:i4>
      </vt:variant>
      <vt:variant>
        <vt:i4>143</vt:i4>
      </vt:variant>
      <vt:variant>
        <vt:i4>0</vt:i4>
      </vt:variant>
      <vt:variant>
        <vt:i4>5</vt:i4>
      </vt:variant>
      <vt:variant>
        <vt:lpwstr/>
      </vt:variant>
      <vt:variant>
        <vt:lpwstr>_Toc202260012</vt:lpwstr>
      </vt:variant>
      <vt:variant>
        <vt:i4>1310774</vt:i4>
      </vt:variant>
      <vt:variant>
        <vt:i4>137</vt:i4>
      </vt:variant>
      <vt:variant>
        <vt:i4>0</vt:i4>
      </vt:variant>
      <vt:variant>
        <vt:i4>5</vt:i4>
      </vt:variant>
      <vt:variant>
        <vt:lpwstr/>
      </vt:variant>
      <vt:variant>
        <vt:lpwstr>_Toc202260011</vt:lpwstr>
      </vt:variant>
      <vt:variant>
        <vt:i4>983058</vt:i4>
      </vt:variant>
      <vt:variant>
        <vt:i4>118</vt:i4>
      </vt:variant>
      <vt:variant>
        <vt:i4>0</vt:i4>
      </vt:variant>
      <vt:variant>
        <vt:i4>5</vt:i4>
      </vt:variant>
      <vt:variant>
        <vt:lpwstr>https://finto.fi/juho/fi/</vt:lpwstr>
      </vt:variant>
      <vt:variant>
        <vt:lpwstr/>
      </vt:variant>
      <vt:variant>
        <vt:i4>983058</vt:i4>
      </vt:variant>
      <vt:variant>
        <vt:i4>77</vt:i4>
      </vt:variant>
      <vt:variant>
        <vt:i4>0</vt:i4>
      </vt:variant>
      <vt:variant>
        <vt:i4>5</vt:i4>
      </vt:variant>
      <vt:variant>
        <vt:lpwstr>https://finto.fi/juho/fi/</vt:lpwstr>
      </vt:variant>
      <vt:variant>
        <vt:lpwstr/>
      </vt:variant>
      <vt:variant>
        <vt:i4>983058</vt:i4>
      </vt:variant>
      <vt:variant>
        <vt:i4>36</vt:i4>
      </vt:variant>
      <vt:variant>
        <vt:i4>0</vt:i4>
      </vt:variant>
      <vt:variant>
        <vt:i4>5</vt:i4>
      </vt:variant>
      <vt:variant>
        <vt:lpwstr>https://finto.fi/juho/fi/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taittopohja 8.8.2023</dc:title>
  <dc:subject/>
  <dc:creator/>
  <cp:keywords/>
  <dc:description/>
  <cp:lastModifiedBy/>
  <cp:revision>1</cp:revision>
  <dcterms:created xsi:type="dcterms:W3CDTF">2025-07-02T14:25:00Z</dcterms:created>
  <dcterms:modified xsi:type="dcterms:W3CDTF">2025-07-02T14:25:00Z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0x010100856D994548067A41BE042318E63AFD1A</vt:lpwstr>
  </property>
  <property fmtid="{D5CDD505-2E9C-101B-9397-08002B2CF9AE}" pid="3" name="KampusOrganization">
    <vt:lpwstr>1;#Yhteiset|453f324a-78ac-4696-9c3d-5dd5d1608438</vt:lpwstr>
  </property>
  <property fmtid="{D5CDD505-2E9C-101B-9397-08002B2CF9AE}" pid="4" name="KampusKeywords">
    <vt:lpwstr>652;#Julkaisupohjat|d1c4902e-89f0-487f-a936-8e9744bf9527;#3;#Julkaisut|a24c50dd-3759-42c6-90af-9e8413366b04</vt:lpwstr>
  </property>
</Properties>
</file>