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A2" w:rsidRDefault="002E3DAF"/>
    <w:p w:rsidR="002A6CD5" w:rsidRDefault="002E3DAF"/>
    <w:p w:rsidR="002A6CD5" w:rsidRDefault="002E3DAF" w:rsidP="0035265B">
      <w:pPr>
        <w:pStyle w:val="Vastaanottajatiedot"/>
      </w:pPr>
      <w:r>
        <w:t>Työ- ja elinkeinoministeriö</w:t>
      </w:r>
    </w:p>
    <w:p w:rsidR="002A6CD5" w:rsidRDefault="002E3DAF" w:rsidP="0035265B">
      <w:pPr>
        <w:pStyle w:val="Vastaanottajatiedot"/>
      </w:pPr>
    </w:p>
    <w:p w:rsidR="008C5E06" w:rsidRDefault="002E3DAF"/>
    <w:p w:rsidR="002A6CD5" w:rsidRDefault="002E3DAF" w:rsidP="0035265B">
      <w:pPr>
        <w:pStyle w:val="Vastaanottajatiedot"/>
      </w:pPr>
      <w:r>
        <w:t>PL 32</w:t>
      </w:r>
    </w:p>
    <w:p w:rsidR="002A6CD5" w:rsidRDefault="002E3DAF" w:rsidP="0035265B">
      <w:pPr>
        <w:pStyle w:val="Vastaanottajatiedot"/>
      </w:pPr>
      <w:r>
        <w:t>00023 Valtioneuvosto</w:t>
      </w:r>
      <w:r>
        <w:t xml:space="preserve"> </w:t>
      </w:r>
    </w:p>
    <w:p w:rsidR="002A6CD5" w:rsidRDefault="002E3DAF"/>
    <w:p w:rsidR="00F874C0" w:rsidRDefault="002E3DAF"/>
    <w:p w:rsidR="002A6CD5" w:rsidRDefault="002E3DAF">
      <w:r>
        <w:t>TEM/1022/03.01.01/2014</w:t>
      </w:r>
    </w:p>
    <w:p w:rsidR="002A6CD5" w:rsidRDefault="002E3DAF"/>
    <w:p w:rsidR="002A6CD5" w:rsidRDefault="00A36AF2" w:rsidP="002A6CD5">
      <w:pPr>
        <w:pStyle w:val="Otsikko"/>
      </w:pPr>
      <w:r>
        <w:fldChar w:fldCharType="begin"/>
      </w:r>
      <w:r w:rsidR="002E3DAF">
        <w:instrText xml:space="preserve"> DOCPROPERTY  sm_otsikko  \* MERGEFORMAT </w:instrText>
      </w:r>
      <w:r>
        <w:fldChar w:fldCharType="separate"/>
      </w:r>
      <w:proofErr w:type="gramStart"/>
      <w:r w:rsidR="008858F9">
        <w:t>Ehdotus hallituksen esitykseksi Eduskunnalle laiksi vaarallisten kemikaalien ja räjähteiden käsittelyn turvallisuudesta annetun lain muuttamisesta</w:t>
      </w:r>
      <w:r>
        <w:fldChar w:fldCharType="end"/>
      </w:r>
      <w:proofErr w:type="gramEnd"/>
    </w:p>
    <w:p w:rsidR="00E6435A" w:rsidRDefault="002E3DAF" w:rsidP="00E6435A">
      <w:pPr>
        <w:ind w:left="2608"/>
      </w:pPr>
      <w:r>
        <w:t>Työ- ja elinkeinoministeriö on pyytänyt lausuntoa ehdotuksesta hallituksen esitykseksi Eduskunnalle</w:t>
      </w:r>
      <w:r w:rsidRPr="00D22D85">
        <w:t xml:space="preserve"> laiksi vaarallisten kemikaalien ja räjähteiden käsittelyn turvallisuudesta annetun lain muuttamisesta. Lakiin tehtävät muutokset johtu</w:t>
      </w:r>
      <w:r w:rsidRPr="00D22D85">
        <w:t>vat Seveso III-direktiivin säännösten saattamisesta kansalliseen lainsäädäntöön. Lisäksi esityksessä on ehdotettu tarkennettavaksi räjähteitä koskevia säännöksiä ja valvontaviranomaisten keskinäistä työnjakoa räjähteiden osalta.</w:t>
      </w:r>
    </w:p>
    <w:p w:rsidR="00E6435A" w:rsidRPr="00D22D85" w:rsidRDefault="002E3DAF" w:rsidP="00E6435A">
      <w:pPr>
        <w:ind w:left="2608"/>
      </w:pPr>
    </w:p>
    <w:p w:rsidR="00E6435A" w:rsidRDefault="002E3DAF" w:rsidP="00E6435A">
      <w:pPr>
        <w:ind w:left="2608"/>
      </w:pPr>
      <w:r w:rsidRPr="00D22D85">
        <w:t>Sisäministeriön pelastusos</w:t>
      </w:r>
      <w:r w:rsidRPr="00D22D85">
        <w:t xml:space="preserve">asto on ollut </w:t>
      </w:r>
      <w:r>
        <w:t>valmistelemassa</w:t>
      </w:r>
      <w:r w:rsidRPr="00D22D85">
        <w:t xml:space="preserve"> ehdotusta Seveso III-direktiivin osalta. Direktiivin uudet vaatimukset on otettu </w:t>
      </w:r>
      <w:r>
        <w:t>pää</w:t>
      </w:r>
      <w:r>
        <w:t>osin</w:t>
      </w:r>
      <w:r w:rsidRPr="00D22D85">
        <w:t xml:space="preserve"> huomioon ja ne säädettäisiin joko ko. lain muutoksella tai lain antamin edellytyksin annettavi</w:t>
      </w:r>
      <w:r>
        <w:t xml:space="preserve">lla </w:t>
      </w:r>
      <w:r w:rsidRPr="00D22D85">
        <w:t>asetuksi</w:t>
      </w:r>
      <w:r>
        <w:t>lla</w:t>
      </w:r>
      <w:r w:rsidRPr="00D22D85">
        <w:t>.</w:t>
      </w:r>
    </w:p>
    <w:p w:rsidR="00E6435A" w:rsidRPr="00D22D85" w:rsidRDefault="002E3DAF" w:rsidP="00E6435A">
      <w:pPr>
        <w:ind w:left="2608"/>
      </w:pPr>
    </w:p>
    <w:p w:rsidR="00E6435A" w:rsidRDefault="002E3DAF" w:rsidP="00E6435A">
      <w:pPr>
        <w:ind w:left="2608"/>
      </w:pPr>
      <w:r w:rsidRPr="00D22D85">
        <w:t>Pelastusosasto haluaa kii</w:t>
      </w:r>
      <w:r w:rsidRPr="00D22D85">
        <w:t>nnittää huomion vielä seuraaviin seikkoihin:</w:t>
      </w:r>
    </w:p>
    <w:p w:rsidR="00E6435A" w:rsidRPr="00D22D85" w:rsidRDefault="002E3DAF" w:rsidP="00E6435A">
      <w:pPr>
        <w:ind w:left="2608"/>
      </w:pPr>
    </w:p>
    <w:p w:rsidR="00E6435A" w:rsidRDefault="002E3DAF" w:rsidP="00E6435A">
      <w:pPr>
        <w:ind w:left="2608"/>
      </w:pPr>
      <w:r w:rsidRPr="00D22D85">
        <w:t xml:space="preserve">Lain 390/2005 4 §:n </w:t>
      </w:r>
      <w:r w:rsidRPr="00E6435A">
        <w:rPr>
          <w:rStyle w:val="LLLihavointi"/>
          <w:b w:val="0"/>
          <w:i/>
          <w:sz w:val="20"/>
        </w:rPr>
        <w:t>Soveltamisalan rajauksia</w:t>
      </w:r>
      <w:r w:rsidRPr="00D22D85">
        <w:t xml:space="preserve"> kohta 2, jonka mukaan lakia ei sovelleta räjähteiden valmistukseen, käyttöön ja varastointiin kaivoksessa, siltä osin kuin siitä säädetään kaivoslaissa (503/1965), j</w:t>
      </w:r>
      <w:r w:rsidRPr="00D22D85">
        <w:t xml:space="preserve">ätettäisiin  pois. Syynä poisjättöön lienee se, että kaivoslaissa ei säädetä ko. asiasta, joten räjähteiden valmistukseen, käyttöön ja varastointiin kaivoksessa  sovellettaisiin  aina </w:t>
      </w:r>
      <w:r>
        <w:t>kemikaaliturvallisuuslakia</w:t>
      </w:r>
      <w:r w:rsidRPr="00D22D85">
        <w:t>.  Tätä koskeva perustelu olisi hyvä tuoda esi</w:t>
      </w:r>
      <w:r w:rsidRPr="00D22D85">
        <w:t>lle ehdotuksessa.</w:t>
      </w:r>
    </w:p>
    <w:p w:rsidR="00E6435A" w:rsidRPr="00D22D85" w:rsidRDefault="002E3DAF" w:rsidP="00E6435A">
      <w:pPr>
        <w:ind w:left="2608"/>
      </w:pPr>
    </w:p>
    <w:p w:rsidR="00E6435A" w:rsidRDefault="002E3DAF" w:rsidP="00E6435A">
      <w:pPr>
        <w:ind w:left="2608"/>
        <w:rPr>
          <w:rStyle w:val="LLLihavointi"/>
          <w:b w:val="0"/>
          <w:sz w:val="20"/>
        </w:rPr>
      </w:pPr>
      <w:r w:rsidRPr="00E6435A">
        <w:rPr>
          <w:rStyle w:val="LLLihavointi"/>
          <w:b w:val="0"/>
          <w:sz w:val="20"/>
        </w:rPr>
        <w:t xml:space="preserve">4 §. </w:t>
      </w:r>
      <w:r w:rsidRPr="00E6435A">
        <w:rPr>
          <w:rStyle w:val="LLLihavointi"/>
          <w:b w:val="0"/>
          <w:i/>
          <w:sz w:val="20"/>
        </w:rPr>
        <w:t xml:space="preserve">Soveltamisalan rajauksia </w:t>
      </w:r>
      <w:r w:rsidRPr="00E6435A">
        <w:rPr>
          <w:rStyle w:val="LLLihavointi"/>
          <w:b w:val="0"/>
          <w:sz w:val="20"/>
        </w:rPr>
        <w:t>kohta 1, jonka mukaan lakia ei ole tarkoitus soveltaa tuotantolaitoksen alueen ulkopuolella tapahtuvaan, vaarallisten aineiden kuljetuksesta annetussa laissa (719/1994) tarkoitettuun kuljetukseen eikä kuljet</w:t>
      </w:r>
      <w:r w:rsidRPr="00E6435A">
        <w:rPr>
          <w:rStyle w:val="LLLihavointi"/>
          <w:b w:val="0"/>
          <w:sz w:val="20"/>
        </w:rPr>
        <w:t>ustapahtumaan suoraan liittyvään tilapäiseen varastointiin. Perustelussa on sanottu, että tässä vaarallisten aineiden kuljetusta koskevassa rajauksessa nykyisin voimassa olevassa laissa sanan ”suoraan” tilalla on sana ”kiinteästi" Seveso III-direktiivin mu</w:t>
      </w:r>
      <w:r w:rsidRPr="00E6435A">
        <w:rPr>
          <w:rStyle w:val="LLLihavointi"/>
          <w:b w:val="0"/>
          <w:sz w:val="20"/>
        </w:rPr>
        <w:t>kaisesti.  Perusteluihin olisi hyvä saada vielä tarkennus siitä, mitä suoraan liittyvällä tilapäisellä varastoinnilla tarkoitetaan, koska tilapäisen varastoinnin ja suunnitelmallisen varastoinnin esim. logistiikkakeskuksissa välillä on harmaa-alue, jonka v</w:t>
      </w:r>
      <w:r w:rsidRPr="00E6435A">
        <w:rPr>
          <w:rStyle w:val="LLLihavointi"/>
          <w:b w:val="0"/>
          <w:sz w:val="20"/>
        </w:rPr>
        <w:t>alvonta ei nykyisen lainsäädännön mukaan kuulu minkään lainsäädännön piiriin ja joka siten on turvallisuuden kannalta riskitekijä.</w:t>
      </w:r>
    </w:p>
    <w:p w:rsidR="00E6435A" w:rsidRPr="00E6435A" w:rsidRDefault="002E3DAF" w:rsidP="00E6435A">
      <w:pPr>
        <w:ind w:left="2608"/>
        <w:rPr>
          <w:rStyle w:val="LLLihavointi"/>
          <w:b w:val="0"/>
          <w:sz w:val="20"/>
        </w:rPr>
      </w:pPr>
    </w:p>
    <w:p w:rsidR="00E6435A" w:rsidRDefault="002E3DAF" w:rsidP="00E6435A">
      <w:pPr>
        <w:ind w:left="2608"/>
      </w:pPr>
      <w:r w:rsidRPr="002851CE">
        <w:t>6 §. Määritelmät kohta 22, jonka mukaan yleisöllä, jota asia koskee tarkoitetaan yleisöä, johon onnettomuus vaikuttaa tai to</w:t>
      </w:r>
      <w:r w:rsidRPr="002851CE">
        <w:t xml:space="preserve">dennäköisesti vaikuttaa tai yleisöä, jonka etua asiaa koskeva päätös koskee. Määritelmä ei tarkkaan ota huomioon Seveso III-direktiivin vastaavan määritelmän tarkoitusta, jonka mukaan esim. ympäristöalan kansalaisjärjestöt pitäisi ottaa huomioon. Komissio </w:t>
      </w:r>
      <w:r w:rsidRPr="002851CE">
        <w:t>on huomauttanut asiasta Suomelle perustellussa lausunnossaan v. 2013 koskien kaivannaisteollisuuden jätehuoltoa koskevien direktiivien kansallista säätelyä. Huomautuksessaan komissio painottaa sitä, että määritelmässä täytyy ottaa huomioon ympäristöalan ka</w:t>
      </w:r>
      <w:r w:rsidRPr="002851CE">
        <w:t>nsalaisjärjestöt.  Määritelmä kohta 22 noudattaisi paremmin Seveso III-direktiivin vastaavan määritelmän tarkoitusta esim. seuraavasti: yleisöllä, jota asia koskee yleisöä johon</w:t>
      </w:r>
      <w:r w:rsidRPr="00D22D85">
        <w:t xml:space="preserve"> </w:t>
      </w:r>
      <w:r w:rsidRPr="00D22D85">
        <w:lastRenderedPageBreak/>
        <w:t>onnettomuus vaikuttaa tai todennäköisesti vaikuttaa, tai yleisöä tai rekisterö</w:t>
      </w:r>
      <w:r w:rsidRPr="00D22D85">
        <w:t>ityä yhdistystä tai säätiötä, jonka etua asia koskee. Tällöin tul</w:t>
      </w:r>
      <w:r>
        <w:t>isi</w:t>
      </w:r>
      <w:r w:rsidRPr="00D22D85">
        <w:t xml:space="preserve"> kansalaisjärjestöt huom</w:t>
      </w:r>
      <w:r>
        <w:t>ioitua, mutta määritelmää ei olisi</w:t>
      </w:r>
      <w:r w:rsidRPr="00D22D85">
        <w:t xml:space="preserve"> yksipuolisesti kohdistettu vain ympäristöalaan.</w:t>
      </w:r>
    </w:p>
    <w:p w:rsidR="00E6435A" w:rsidRPr="00D22D85" w:rsidRDefault="002E3DAF" w:rsidP="00E6435A">
      <w:pPr>
        <w:ind w:left="2608"/>
      </w:pPr>
    </w:p>
    <w:p w:rsidR="00E6435A" w:rsidRDefault="002E3DAF" w:rsidP="00E6435A">
      <w:pPr>
        <w:ind w:left="2608"/>
      </w:pPr>
      <w:r w:rsidRPr="00D22D85">
        <w:t>Pykälien numeroinnissa (26 a- 27 a) olisi loogisempaa laittaa kaikki tarkastusta</w:t>
      </w:r>
      <w:r w:rsidRPr="00D22D85">
        <w:t xml:space="preserve"> ja valvontaa koskevat pykälät seuraavasti: 27 § Tuotantolaitosten valvonta ja tarkastus, 27 a § Tuotantolaitosten tarkastussuunnitelma ja -ohjelma, 27 b § Vähäisen teollisen käsittelyn ja varastoinnin valvonta ja tarkastus.</w:t>
      </w:r>
    </w:p>
    <w:p w:rsidR="00E6435A" w:rsidRDefault="002E3DAF" w:rsidP="00E6435A">
      <w:pPr>
        <w:ind w:left="2608"/>
      </w:pPr>
    </w:p>
    <w:p w:rsidR="00E6435A" w:rsidRPr="00D22D85" w:rsidRDefault="002E3DAF" w:rsidP="00357807">
      <w:pPr>
        <w:pStyle w:val="Eivli"/>
        <w:rPr>
          <w:sz w:val="20"/>
          <w:szCs w:val="20"/>
        </w:rPr>
      </w:pPr>
      <w:r>
        <w:rPr>
          <w:sz w:val="20"/>
          <w:szCs w:val="20"/>
        </w:rPr>
        <w:t>E</w:t>
      </w:r>
      <w:r w:rsidRPr="00D22D85">
        <w:rPr>
          <w:sz w:val="20"/>
          <w:szCs w:val="20"/>
        </w:rPr>
        <w:t>hdotetussa uudessa 27 a §:ssä ja vastaavasti 64 §:ssä on jäntevöitetty pelastusviranomaisen valvontavelvollisuutta, mikä on turvallisuuden näkökulmasta hyvä asia. Kytkentä pelastuslakiin on ehdotetussa muodossaan kuitenkin ongelmallinen. Pelastusviranomais</w:t>
      </w:r>
      <w:r w:rsidRPr="00D22D85">
        <w:rPr>
          <w:sz w:val="20"/>
          <w:szCs w:val="20"/>
        </w:rPr>
        <w:t>en kemikaaliturvallisuuslaissa säädettyä valvontatehtävää ei pidä kytkeä suoraan pelastuslakiin, vaan valvonnasta pitää säätää riittävällä tavalla kemikaaliturvallisuuslaissa ja tarvittaessa tarkentaa kemikaaliturvallisuuslain nojalla annettavalla valtione</w:t>
      </w:r>
      <w:r w:rsidRPr="00D22D85">
        <w:rPr>
          <w:sz w:val="20"/>
          <w:szCs w:val="20"/>
        </w:rPr>
        <w:t>uvoston asetuksella ja Tukesin ohjauksella. Ilmaisun "tarkastukset määritellään pelastuslain 79 §:n mukaisessa valvontasuunnitelmassa" voisi korvata esim. seuraavasti: "tarkastukset ja kuvaus valvonnan järjestämisestä sisällytetään pelastuslain 79 §:n muka</w:t>
      </w:r>
      <w:r w:rsidRPr="00D22D85">
        <w:rPr>
          <w:sz w:val="20"/>
          <w:szCs w:val="20"/>
        </w:rPr>
        <w:t>iseen valvontasuunnitelmaan".  Samalla  27 a §:n ja 64 §:n asetuksenantomomenttien valtuuksien riittävyyttä tulisi  tarkentaa, jotta asetuksella voitaisiin säätää riittävästi valvonnasta.</w:t>
      </w:r>
    </w:p>
    <w:p w:rsidR="00E6435A" w:rsidRPr="00D22D85" w:rsidRDefault="002E3DAF" w:rsidP="00357807">
      <w:pPr>
        <w:pStyle w:val="Eivli"/>
        <w:rPr>
          <w:sz w:val="20"/>
          <w:szCs w:val="20"/>
        </w:rPr>
      </w:pPr>
      <w:r w:rsidRPr="00D22D85">
        <w:rPr>
          <w:sz w:val="20"/>
          <w:szCs w:val="20"/>
        </w:rPr>
        <w:t>Viranomaisvaikutusten arvioinnissa kohdassa 4.2 on todettu, että tar</w:t>
      </w:r>
      <w:r w:rsidRPr="00D22D85">
        <w:rPr>
          <w:sz w:val="20"/>
          <w:szCs w:val="20"/>
        </w:rPr>
        <w:t>kastusten määritteleminen pelastuslain mukaisessa valvontasuunnitelmassa edesauttaisi yhdistämään pelastuslain ja kemikaaliturvallisuuslain mukaisia valvontatoimenpiteitä tehtäväksi samanaikaisesti. Se, tehdäänkö valvontatoimenpiteet samanaikaisesti, riipp</w:t>
      </w:r>
      <w:r w:rsidRPr="00D22D85">
        <w:rPr>
          <w:sz w:val="20"/>
          <w:szCs w:val="20"/>
        </w:rPr>
        <w:t xml:space="preserve">uu valvontatarpeista, valvonnassa tarvittavasta asiantuntemuksesta yms., joten valvontasuunnitelmaan kytkeminen ei sinänsä vaikuta asiaan. </w:t>
      </w:r>
    </w:p>
    <w:p w:rsidR="00E6435A" w:rsidRPr="00D22D85" w:rsidRDefault="002E3DAF" w:rsidP="00357807">
      <w:pPr>
        <w:pStyle w:val="Eivli"/>
        <w:rPr>
          <w:sz w:val="20"/>
          <w:szCs w:val="20"/>
        </w:rPr>
      </w:pPr>
    </w:p>
    <w:p w:rsidR="00E6435A" w:rsidRPr="00D22D85" w:rsidRDefault="002E3DAF" w:rsidP="00357807">
      <w:pPr>
        <w:pStyle w:val="Eivli"/>
        <w:rPr>
          <w:sz w:val="20"/>
          <w:szCs w:val="20"/>
        </w:rPr>
      </w:pPr>
      <w:r w:rsidRPr="00D22D85">
        <w:rPr>
          <w:sz w:val="20"/>
          <w:szCs w:val="20"/>
        </w:rPr>
        <w:t>31 §:ään olisi hyvä lisätä, että tiedote tulee tehdä yhteistyössä pelastuslaitoksen kanssa, jotta tiedotteeseen tul</w:t>
      </w:r>
      <w:r w:rsidRPr="00D22D85">
        <w:rPr>
          <w:sz w:val="20"/>
          <w:szCs w:val="20"/>
        </w:rPr>
        <w:t>isi  lisätyksi myös ulkoisesta pelastussuunnitelmasta tiedottaminen (pelastuslaki 48 § Pelastuslaitoksen ja toiminnanharjoittajan on huolehdittava yhteistyössä suunnitelmasta tiedottamisesta… ja SM:n asetus 504/2011 6 § Suunnitelmasta tiedottaminen ja suun</w:t>
      </w:r>
      <w:r w:rsidRPr="00D22D85">
        <w:rPr>
          <w:sz w:val="20"/>
          <w:szCs w:val="20"/>
        </w:rPr>
        <w:t xml:space="preserve">nitelmien tarkistaminen 1 momentissa sanotaan Pelastuslaitoksen ja toiminnanharjoittajan on huolehdittava yhteistyössä suunnitelmasta tiedottamisesta). </w:t>
      </w:r>
    </w:p>
    <w:p w:rsidR="00E6435A" w:rsidRPr="00D22D85" w:rsidRDefault="002E3DAF" w:rsidP="00357807">
      <w:pPr>
        <w:pStyle w:val="Eivli"/>
        <w:rPr>
          <w:sz w:val="20"/>
          <w:szCs w:val="20"/>
        </w:rPr>
      </w:pPr>
    </w:p>
    <w:p w:rsidR="00E6435A" w:rsidRDefault="002E3DAF" w:rsidP="00357807">
      <w:r>
        <w:tab/>
      </w:r>
      <w:r>
        <w:tab/>
      </w:r>
      <w:r w:rsidRPr="00D22D85">
        <w:t xml:space="preserve">Räjähteitä koskevien säännösten ja  valvontaviranomaisten keskinäisen työnjaon </w:t>
      </w:r>
      <w:r>
        <w:tab/>
      </w:r>
      <w:r>
        <w:tab/>
      </w:r>
      <w:r w:rsidRPr="00D22D85">
        <w:t>osalta pelastusosas</w:t>
      </w:r>
      <w:r w:rsidRPr="00D22D85">
        <w:t>to toteaa seuraavaa:</w:t>
      </w:r>
    </w:p>
    <w:p w:rsidR="00357807" w:rsidRPr="00D22D85" w:rsidRDefault="002E3DAF" w:rsidP="00357807"/>
    <w:p w:rsidR="00E6435A" w:rsidRPr="00D22D85" w:rsidRDefault="002E3DAF" w:rsidP="00357807">
      <w:pPr>
        <w:pStyle w:val="Eivli"/>
        <w:rPr>
          <w:sz w:val="20"/>
          <w:szCs w:val="20"/>
        </w:rPr>
      </w:pPr>
      <w:r w:rsidRPr="00D22D85">
        <w:rPr>
          <w:sz w:val="20"/>
          <w:szCs w:val="20"/>
        </w:rPr>
        <w:t>Esitysluonnokseen sisältyvät ehdotukset, joilla muutettaisiin valvontaviranomaisten keskinäistä tehtäväjakoa, ovat ongelmallisia pelastusviranomaisille säädettävien tehtävien osalta. Hallitus on sitoutunut vähentämään kuntien järjestä</w:t>
      </w:r>
      <w:r w:rsidRPr="00D22D85">
        <w:rPr>
          <w:sz w:val="20"/>
          <w:szCs w:val="20"/>
        </w:rPr>
        <w:t>misvastuulla olevia lakisääteisiä tehtäviä, joten jos tehtäviä halutaan lisätä, pitäisi sille olla erityiset perusteet etenkin kun ehdotuksessa olisi kyse tehtävien siirrosta valtiolta kuntien vastuulle. Pelastustoimessa on käynnissä rakenneuudistus, jossa</w:t>
      </w:r>
      <w:r w:rsidRPr="00D22D85">
        <w:rPr>
          <w:sz w:val="20"/>
          <w:szCs w:val="20"/>
        </w:rPr>
        <w:t xml:space="preserve"> pelastuslaitosten tehtäviä ja toimintoja uudelleen tarkastelemalla sekä lisäämällä kuntien harkintavaltaa palvelujen toteuttamisessa on tarkoitus saada aikaan pysyviä kustannussäästöjä. </w:t>
      </w:r>
    </w:p>
    <w:p w:rsidR="00E6435A" w:rsidRPr="00D22D85" w:rsidRDefault="002E3DAF" w:rsidP="00357807">
      <w:pPr>
        <w:pStyle w:val="Eivli"/>
        <w:rPr>
          <w:sz w:val="20"/>
          <w:szCs w:val="20"/>
        </w:rPr>
      </w:pPr>
    </w:p>
    <w:p w:rsidR="00E6435A" w:rsidRPr="00D22D85" w:rsidRDefault="002E3DAF" w:rsidP="00357807">
      <w:pPr>
        <w:pStyle w:val="Eivli"/>
        <w:rPr>
          <w:sz w:val="20"/>
          <w:szCs w:val="20"/>
        </w:rPr>
      </w:pPr>
      <w:r w:rsidRPr="00D22D85">
        <w:rPr>
          <w:sz w:val="20"/>
          <w:szCs w:val="20"/>
        </w:rPr>
        <w:t>Esitetyt tehtäväsiirrot ovat perusteltavissa ainoastaan, jos valvon</w:t>
      </w:r>
      <w:r w:rsidRPr="00D22D85">
        <w:rPr>
          <w:sz w:val="20"/>
          <w:szCs w:val="20"/>
        </w:rPr>
        <w:t xml:space="preserve">ta tulee tällä tavalla paremmin hoidetuksi nimenomaan turvallisuuden näkökulmasta. Viranomaistoiminnan tehostaminen ei tässä tapauksessa käy perusteluksi, koska kyseessä olisi pelastusviranomaisille uudet tehtävät, joiden ei voi olettaa tulevan hoidetuksi </w:t>
      </w:r>
      <w:r w:rsidRPr="00D22D85">
        <w:rPr>
          <w:sz w:val="20"/>
          <w:szCs w:val="20"/>
        </w:rPr>
        <w:t>nykyisten tehtävien oheistoimena. Kyse ei ole myöskään valvonnan keskittämisestä kun tosiasiassa yhdellä viranomaistaholla eli Tukesilla olevat tehtävät siirrettäisiin 22 itsenäiselle pelastuslaitokselle, joiden toimintaa Tukes ohjaisi.</w:t>
      </w:r>
    </w:p>
    <w:p w:rsidR="00E6435A" w:rsidRPr="00D22D85" w:rsidRDefault="002E3DAF" w:rsidP="00357807">
      <w:pPr>
        <w:pStyle w:val="Eivli"/>
        <w:rPr>
          <w:sz w:val="20"/>
          <w:szCs w:val="20"/>
        </w:rPr>
      </w:pPr>
    </w:p>
    <w:p w:rsidR="00E6435A" w:rsidRPr="00D22D85" w:rsidRDefault="002E3DAF" w:rsidP="00357807">
      <w:pPr>
        <w:pStyle w:val="Eivli"/>
        <w:rPr>
          <w:sz w:val="20"/>
          <w:szCs w:val="20"/>
        </w:rPr>
      </w:pPr>
      <w:r w:rsidRPr="00D22D85">
        <w:rPr>
          <w:sz w:val="20"/>
          <w:szCs w:val="20"/>
        </w:rPr>
        <w:t>Esityksessä pelast</w:t>
      </w:r>
      <w:r w:rsidRPr="00D22D85">
        <w:rPr>
          <w:sz w:val="20"/>
          <w:szCs w:val="20"/>
        </w:rPr>
        <w:t>usviranomaisten tehtäviä ehdotetaan laajennettavaksi keskittämällä pelastusviranomaisille kaupan yhteydessä tapahtuvaa räjähteiden valvontaa siltä osin kuin se nykyisin on Tukesin tehtävänä (63 §).  Viranomaisvaikutusten arvioinnissa kohdassa 4.2 on kerrot</w:t>
      </w:r>
      <w:r w:rsidRPr="00D22D85">
        <w:rPr>
          <w:sz w:val="20"/>
          <w:szCs w:val="20"/>
        </w:rPr>
        <w:t xml:space="preserve">tu, että Tukes on myöntänyt kaupan yhteydessä tapahtuvaan pyroteknisten tuotteiden ja hätärakettien varastointiin noin kymmenkunta lupaa. Koska hätärakettien myyntipaikkoja kuitenkin </w:t>
      </w:r>
      <w:r w:rsidRPr="00D22D85">
        <w:rPr>
          <w:sz w:val="20"/>
          <w:szCs w:val="20"/>
        </w:rPr>
        <w:lastRenderedPageBreak/>
        <w:t xml:space="preserve">on huomattavasti enemmän, ei lupien määrä kerro valvontakohteiden määrää </w:t>
      </w:r>
      <w:r w:rsidRPr="00D22D85">
        <w:rPr>
          <w:sz w:val="20"/>
          <w:szCs w:val="20"/>
        </w:rPr>
        <w:t>eikä anna käsitystä valvontatehtävän suuruudesta sen paremmin viranomaisvoimavarojen kuin valvontatarpeidenkaan näkökulmasta. Esityksessä on todettu, että laajennuksen merkitystä pelastusviranomaisten työmäärässä on vaikea arvioida.</w:t>
      </w:r>
    </w:p>
    <w:p w:rsidR="00E6435A" w:rsidRPr="00D22D85" w:rsidRDefault="002E3DAF" w:rsidP="00357807">
      <w:pPr>
        <w:pStyle w:val="Eivli"/>
        <w:rPr>
          <w:sz w:val="20"/>
          <w:szCs w:val="20"/>
        </w:rPr>
      </w:pPr>
    </w:p>
    <w:p w:rsidR="00E6435A" w:rsidRPr="00D22D85" w:rsidRDefault="002E3DAF" w:rsidP="00357807">
      <w:pPr>
        <w:pStyle w:val="Eivli"/>
        <w:rPr>
          <w:sz w:val="20"/>
          <w:szCs w:val="20"/>
        </w:rPr>
      </w:pPr>
      <w:r w:rsidRPr="00D22D85">
        <w:rPr>
          <w:sz w:val="20"/>
          <w:szCs w:val="20"/>
        </w:rPr>
        <w:t>Esityksen taloudellisi</w:t>
      </w:r>
      <w:r w:rsidRPr="00D22D85">
        <w:rPr>
          <w:sz w:val="20"/>
          <w:szCs w:val="20"/>
        </w:rPr>
        <w:t>ssa vaikutuksissa kohdassa 4.1 todetaan, että kaupan yhteydessä tapahtuvan räjähteiden varastoinnin valvontaa koskevien viranomaistehtävien siirtäminen Tukesilta pelastusviranomaisille säästäisi valvonnasta kaupalle aiheutuvia kustannuksia. Koska ilmoitust</w:t>
      </w:r>
      <w:r w:rsidRPr="00D22D85">
        <w:rPr>
          <w:sz w:val="20"/>
          <w:szCs w:val="20"/>
        </w:rPr>
        <w:t>en käsittelyt ja valvontakäynnit ovat yrityksille maksullisia myös pelastusviranomaisen tekemänä, ei tehtävien siirrosta voi olettaa seuraavan esitettyjä kustannussäästöjä. Nykyisellään pelastusviranomaisten valvontamaksut ovat monelta osin alhaisempia kui</w:t>
      </w:r>
      <w:r w:rsidRPr="00D22D85">
        <w:rPr>
          <w:sz w:val="20"/>
          <w:szCs w:val="20"/>
        </w:rPr>
        <w:t>n Tukesin vastaavat maksut, mutta on syytä olettaa, että jatkossa pelastuslaitokset tarkistavat maksutaksojansa todellisten kustannusten mukaisiksi. Lähtökohtana ei voi olla myöskään, että valvontakäynnit tehtäisiin samaan kohteeseen muusta syystä tehtävie</w:t>
      </w:r>
      <w:r w:rsidRPr="00D22D85">
        <w:rPr>
          <w:sz w:val="20"/>
          <w:szCs w:val="20"/>
        </w:rPr>
        <w:t>n valvontakäyntien yhteydessä ja että sen seurauksena valvontakäynnistä ei perittäisi erillistä maksua.</w:t>
      </w:r>
    </w:p>
    <w:p w:rsidR="00E6435A" w:rsidRPr="00D22D85" w:rsidRDefault="002E3DAF" w:rsidP="00357807">
      <w:pPr>
        <w:pStyle w:val="Eivli"/>
        <w:rPr>
          <w:sz w:val="20"/>
          <w:szCs w:val="20"/>
        </w:rPr>
      </w:pPr>
    </w:p>
    <w:p w:rsidR="00E6435A" w:rsidRPr="00D22D85" w:rsidRDefault="002E3DAF" w:rsidP="00357807">
      <w:pPr>
        <w:pStyle w:val="Eivli"/>
        <w:rPr>
          <w:sz w:val="20"/>
          <w:szCs w:val="20"/>
        </w:rPr>
      </w:pPr>
      <w:r w:rsidRPr="00D22D85">
        <w:rPr>
          <w:sz w:val="20"/>
          <w:szCs w:val="20"/>
        </w:rPr>
        <w:t>Pelastusviranomaisten tehtävänä olevasta Ilotulitteiden myynnin ja varastoinnin valvonnasta hätärakettien valvonta eroaa paitsi siinä, että kauppojen k</w:t>
      </w:r>
      <w:r w:rsidRPr="00D22D85">
        <w:rPr>
          <w:sz w:val="20"/>
          <w:szCs w:val="20"/>
        </w:rPr>
        <w:t>irjo on erilainen, niin myös siinä että myynti- ja varastointiaika on ympärivuotinen. Kauppoihin tehtävät palotarkastukset pelastuslaitos suunnittelee riskiperusteisesti. Nykyisin käytössä olevan valvontasuunnitelmaohjeen mukaisesti myymälöiden palotarkast</w:t>
      </w:r>
      <w:r w:rsidRPr="00D22D85">
        <w:rPr>
          <w:sz w:val="20"/>
          <w:szCs w:val="20"/>
        </w:rPr>
        <w:t>usten ohjeellinen väli vaihtelee kuudesta kuukaudesta 10 vuoteen. Kohteesta riippuen voisi kaupan yhteydessä tapahtuvan hätärakettien varastoinnin valvonta merkitä tarvetta tehdä kohteeseen erillinen valvontakäynti tai se voisi lyhentää palotarkastusväliä.</w:t>
      </w:r>
      <w:r w:rsidRPr="00D22D85">
        <w:rPr>
          <w:sz w:val="20"/>
          <w:szCs w:val="20"/>
        </w:rPr>
        <w:t xml:space="preserve"> Lisäksi koska oletuksena on, että kaikilla kohteilla ei nykyisin ole niiltä edellytettyä lupaa, siirtymäaikana tarvittavan valvontatyön määrä olisi suurempi, kun kohteita kartoitetaan, annetaan ohjausta, käsitellään ilmoitukset, arvioidaan turvallisuusjär</w:t>
      </w:r>
      <w:r w:rsidRPr="00D22D85">
        <w:rPr>
          <w:sz w:val="20"/>
          <w:szCs w:val="20"/>
        </w:rPr>
        <w:t>jestelyt, määrätään korjaustoimenpiteitä, jne.</w:t>
      </w:r>
    </w:p>
    <w:p w:rsidR="00E6435A" w:rsidRPr="00D22D85" w:rsidRDefault="002E3DAF" w:rsidP="00357807">
      <w:pPr>
        <w:pStyle w:val="Eivli"/>
        <w:rPr>
          <w:sz w:val="20"/>
          <w:szCs w:val="20"/>
        </w:rPr>
      </w:pPr>
    </w:p>
    <w:p w:rsidR="00E6435A" w:rsidRPr="00D22D85" w:rsidRDefault="002E3DAF" w:rsidP="00357807">
      <w:pPr>
        <w:pStyle w:val="Eivli"/>
        <w:rPr>
          <w:sz w:val="20"/>
          <w:szCs w:val="20"/>
        </w:rPr>
      </w:pPr>
      <w:r w:rsidRPr="00D22D85">
        <w:rPr>
          <w:sz w:val="20"/>
          <w:szCs w:val="20"/>
        </w:rPr>
        <w:t>Viranomaisvaikutusten arvioinnissa kohdassa 4.2 sekä yksityiskohtaisissa perusteluissa todetaan, että kaupan yhteydessä tapahtuvan hätärakettien varastoinnin valvonnan siirtäminen pelastusviranomaisen tehtävä</w:t>
      </w:r>
      <w:r w:rsidRPr="00D22D85">
        <w:rPr>
          <w:sz w:val="20"/>
          <w:szCs w:val="20"/>
        </w:rPr>
        <w:t>ksi voisi tuoda myös muita synergiaetuja, koska hätärakettien käyttö liittyy suoranaisesti pelastusviranomaisten toimintaan. Veneilyn turvallisuuden valvonta ja ohjaus tai veneiden turvavarusteet ja muut vastaavat asiat eivät kuitenkaan kuulu pelastusviran</w:t>
      </w:r>
      <w:r w:rsidRPr="00D22D85">
        <w:rPr>
          <w:sz w:val="20"/>
          <w:szCs w:val="20"/>
        </w:rPr>
        <w:t>omaisten tehtäviin, joten tästä näkökulmasta ei ole saavutettavissa mitään synergiaetuja.</w:t>
      </w:r>
    </w:p>
    <w:p w:rsidR="00E6435A" w:rsidRPr="00D22D85" w:rsidRDefault="002E3DAF" w:rsidP="00357807">
      <w:pPr>
        <w:pStyle w:val="Eivli"/>
        <w:rPr>
          <w:sz w:val="20"/>
          <w:szCs w:val="20"/>
        </w:rPr>
      </w:pPr>
    </w:p>
    <w:p w:rsidR="00E6435A" w:rsidRPr="00D22D85" w:rsidRDefault="002E3DAF" w:rsidP="00357807">
      <w:pPr>
        <w:pStyle w:val="Eivli"/>
        <w:rPr>
          <w:sz w:val="20"/>
          <w:szCs w:val="20"/>
        </w:rPr>
      </w:pPr>
      <w:r w:rsidRPr="00D22D85">
        <w:rPr>
          <w:sz w:val="20"/>
          <w:szCs w:val="20"/>
        </w:rPr>
        <w:t>Kun 63 § ja 115 §:ssä on otettu käyttöön uusi käsite pelastautumisvälineissä käytettävät räjähteet, myös lain 390/2005 83 § olisi muutettava selkeyden vuoksi. Muuten</w:t>
      </w:r>
      <w:r w:rsidRPr="00D22D85">
        <w:rPr>
          <w:sz w:val="20"/>
          <w:szCs w:val="20"/>
        </w:rPr>
        <w:t xml:space="preserve"> jää epäselväksi tarkoittavatko eri käsitteet samoja asioita ja mitkä säännökset koskevat 83 §:ssä tarkoitettuja räjähteitä.</w:t>
      </w:r>
    </w:p>
    <w:p w:rsidR="00E6435A" w:rsidRPr="00D22D85" w:rsidRDefault="002E3DAF" w:rsidP="00357807">
      <w:pPr>
        <w:pStyle w:val="Eivli"/>
        <w:rPr>
          <w:sz w:val="20"/>
          <w:szCs w:val="20"/>
        </w:rPr>
      </w:pPr>
    </w:p>
    <w:p w:rsidR="00E6435A" w:rsidRPr="00D22D85" w:rsidRDefault="002E3DAF" w:rsidP="00357807">
      <w:pPr>
        <w:pStyle w:val="Eivli"/>
        <w:rPr>
          <w:sz w:val="20"/>
          <w:szCs w:val="20"/>
        </w:rPr>
      </w:pPr>
      <w:r w:rsidRPr="00D22D85">
        <w:rPr>
          <w:sz w:val="20"/>
          <w:szCs w:val="20"/>
        </w:rPr>
        <w:t>Esityksessä ehdotetaan, että räjähteiden tilapäisen varastoinnin lupapäätöksen käsittelyssä Tukes voisi hyväksyä käyttöönottotarka</w:t>
      </w:r>
      <w:r w:rsidRPr="00D22D85">
        <w:rPr>
          <w:sz w:val="20"/>
          <w:szCs w:val="20"/>
        </w:rPr>
        <w:t>stuksen korvattavaksi pelastusviranomaisen tekemällä tarkastuksella (59 a § 4 mom.). Viranomaisvaikutusten arvioinnissa kohdassa 4.2 kerrotaan tällaisia lupahakemuksia tulevan noin kymmenen vuodessa ja että siksi ei olisi kyse määrällisesti kovin merkittäv</w:t>
      </w:r>
      <w:r w:rsidRPr="00D22D85">
        <w:rPr>
          <w:sz w:val="20"/>
          <w:szCs w:val="20"/>
        </w:rPr>
        <w:t>ästä tehtävästä. Yksityiskohtaisten perustelujen mukaan käyttöönottotarkastus on varsin yksinkertainen toimenpide, joka tehtäisiin Tukesin laatiman ohjeen mukaisesti. Tehtävän todetaan paremmin sopivan tehtäväksi paikallistasolla kuin Tukesin tehtävänä, ku</w:t>
      </w:r>
      <w:r w:rsidRPr="00D22D85">
        <w:rPr>
          <w:sz w:val="20"/>
          <w:szCs w:val="20"/>
        </w:rPr>
        <w:t>n lisäksi pelastusviranomaiset ovat jo nykyisin osallistuneet Tukesin tekemiin tarkastuksiin.</w:t>
      </w:r>
    </w:p>
    <w:p w:rsidR="00E6435A" w:rsidRPr="00D22D85" w:rsidRDefault="002E3DAF" w:rsidP="00357807">
      <w:pPr>
        <w:pStyle w:val="Eivli"/>
        <w:rPr>
          <w:sz w:val="20"/>
          <w:szCs w:val="20"/>
        </w:rPr>
      </w:pPr>
    </w:p>
    <w:p w:rsidR="00E6435A" w:rsidRPr="00D22D85" w:rsidRDefault="002E3DAF" w:rsidP="00357807">
      <w:pPr>
        <w:pStyle w:val="Eivli"/>
        <w:rPr>
          <w:sz w:val="20"/>
          <w:szCs w:val="20"/>
        </w:rPr>
      </w:pPr>
      <w:r w:rsidRPr="00D22D85">
        <w:rPr>
          <w:sz w:val="20"/>
          <w:szCs w:val="20"/>
        </w:rPr>
        <w:t>Lupahakemusten vähäinen määrä ja se että ne ilmeisesti jakautuvat eri puolille maata merkitsisi, että pelastusviranomaisille ei kokemuksen myötä syntyisi asiantu</w:t>
      </w:r>
      <w:r w:rsidRPr="00D22D85">
        <w:rPr>
          <w:sz w:val="20"/>
          <w:szCs w:val="20"/>
        </w:rPr>
        <w:t>ntemusta käyttöönottotarkastuksen tekemiseen, mistä syystä tarkastukset olisi perustellumpaa pitää keskitettynä yhdelle taholle eli Tukesille. Se että käyttöönottotarkastuksen tekeminen ei ole vaativa tehtävä, ei ole riittävä peruste siirtää tehtävä pelast</w:t>
      </w:r>
      <w:r w:rsidRPr="00D22D85">
        <w:rPr>
          <w:sz w:val="20"/>
          <w:szCs w:val="20"/>
        </w:rPr>
        <w:t xml:space="preserve">usviranomaisille. Koska valvontatehtävä on muutoin säädetty Tukesille, eivät nämä ole pelastusviranomaisen valvontakohteita, joten käyttöönottotarkastuksen </w:t>
      </w:r>
      <w:r w:rsidRPr="00D22D85">
        <w:rPr>
          <w:sz w:val="20"/>
          <w:szCs w:val="20"/>
        </w:rPr>
        <w:lastRenderedPageBreak/>
        <w:t>tekeminen olisi pelastusviranomaiselle ylimääräinen tehtävä joka ei yhdistyisi muuhun valvontatoimin</w:t>
      </w:r>
      <w:r w:rsidRPr="00D22D85">
        <w:rPr>
          <w:sz w:val="20"/>
          <w:szCs w:val="20"/>
        </w:rPr>
        <w:t>taan. Esityksen taloudellisissa vaikutuksissa kohdassa 4.1 todetaan, että ehdotettu mahdollisuus korvata räjähteiden tilapäisen varastoinnin käyttöönottotarkastus pelastusviranomaisen tarkastuksella vähentäisi yritysten kustannuksia. Koska tarkastukset oli</w:t>
      </w:r>
      <w:r w:rsidRPr="00D22D85">
        <w:rPr>
          <w:sz w:val="20"/>
          <w:szCs w:val="20"/>
        </w:rPr>
        <w:t>sivat yrityksille maksullisia myös pelastusviranomaisen tekemänä, ei tehtävän siirrosta voi olettaa seuraavan yrityksille kustannussäästöjä.  Ongelmallista ehdotetussa sääntelyssä on lisäksi se, että asia riippuisi täysin Tukesin omasta harkinnasta.  Harki</w:t>
      </w:r>
      <w:r w:rsidRPr="00D22D85">
        <w:rPr>
          <w:sz w:val="20"/>
          <w:szCs w:val="20"/>
        </w:rPr>
        <w:t>nnalle ei säädettäisi mitään edellytyksiä eikä siinä edes edellyttäisi, että pelastusviranomainen suostuisi tekemään käyttöönottotarkastuksen. Jos käyttöönottotarkastus on sisällöltään ja tarkoitukseltaan tekninen toimenpide, jonka tekeminen ei edellytä vi</w:t>
      </w:r>
      <w:r w:rsidRPr="00D22D85">
        <w:rPr>
          <w:sz w:val="20"/>
          <w:szCs w:val="20"/>
        </w:rPr>
        <w:t>ranomaisharkinnan käyttämistä, ei ole tarkoituksenmukaista siirtää tehtävää pelastusviranomaiselle.</w:t>
      </w:r>
    </w:p>
    <w:p w:rsidR="00E6435A" w:rsidRPr="00D22D85" w:rsidRDefault="002E3DAF" w:rsidP="00357807">
      <w:pPr>
        <w:pStyle w:val="Eivli"/>
        <w:rPr>
          <w:sz w:val="20"/>
          <w:szCs w:val="20"/>
        </w:rPr>
      </w:pPr>
    </w:p>
    <w:p w:rsidR="00E6435A" w:rsidRPr="00D22D85" w:rsidRDefault="002E3DAF" w:rsidP="00357807">
      <w:pPr>
        <w:pStyle w:val="Eivli"/>
        <w:rPr>
          <w:sz w:val="20"/>
          <w:szCs w:val="20"/>
        </w:rPr>
      </w:pPr>
      <w:r w:rsidRPr="00D22D85">
        <w:rPr>
          <w:sz w:val="20"/>
          <w:szCs w:val="20"/>
        </w:rPr>
        <w:t>Erikoistehosteiden käytöstä yleisötilaisuuksissa olisi edelleen tehtävä ilmoitus pelastusviranomaiselle. Ilmoitus olisi 81 §:n 1 momentin mukaan tehtävä hy</w:t>
      </w:r>
      <w:r w:rsidRPr="00D22D85">
        <w:rPr>
          <w:sz w:val="20"/>
          <w:szCs w:val="20"/>
        </w:rPr>
        <w:t>vissä ajoin ennen tilaisuuden järjestämistä. Koska asiaan liittyy myös pelastuslaki, tulisi ilmoituksen tekemiselle säätää sama määräaika kuin on pelastuslaissa. Valtioneuvoston asetus pelastustoimesta edellyttää pelastuslaissa tarkoitetun yleisötilaisuude</w:t>
      </w:r>
      <w:r w:rsidRPr="00D22D85">
        <w:rPr>
          <w:sz w:val="20"/>
          <w:szCs w:val="20"/>
        </w:rPr>
        <w:t>n pelastussuunnitelman laatimista, jos tapahtumassa käytetään avotulta, ilotulitteita tai muita pyroteknisiä tuotteita taikka erikoistehosteina palo- ja räjähdysvaarallisia kemikaaleja (407/2011, 3 § 1 mom. 2 k). Pelastuslain mukaan yleisötilaisuuden pelas</w:t>
      </w:r>
      <w:r w:rsidRPr="00D22D85">
        <w:rPr>
          <w:sz w:val="20"/>
          <w:szCs w:val="20"/>
        </w:rPr>
        <w:t>tussuunnitelma on toimitettava viimeistään 14 vuorokautta ennen tilaisuuden alkamista tiedoksi alueen pelastusviranomaiselle (379/2011, 16 § 3 mom.).</w:t>
      </w:r>
    </w:p>
    <w:p w:rsidR="00E6435A" w:rsidRPr="00D22D85" w:rsidRDefault="002E3DAF" w:rsidP="00357807">
      <w:pPr>
        <w:pStyle w:val="Eivli"/>
        <w:rPr>
          <w:sz w:val="20"/>
          <w:szCs w:val="20"/>
        </w:rPr>
      </w:pPr>
    </w:p>
    <w:p w:rsidR="00E6435A" w:rsidRPr="00D22D85" w:rsidRDefault="002E3DAF" w:rsidP="00357807">
      <w:pPr>
        <w:pStyle w:val="Eivli"/>
        <w:rPr>
          <w:sz w:val="20"/>
          <w:szCs w:val="20"/>
        </w:rPr>
      </w:pPr>
      <w:r w:rsidRPr="00D22D85">
        <w:rPr>
          <w:sz w:val="20"/>
          <w:szCs w:val="20"/>
        </w:rPr>
        <w:t>Esityksessä ehdotetaan tarkennusta 81 § 2 momenttiin. Ilmoituksen käsittelyä koskevaan 4 momenttiin pitäi</w:t>
      </w:r>
      <w:r w:rsidRPr="00D22D85">
        <w:rPr>
          <w:sz w:val="20"/>
          <w:szCs w:val="20"/>
        </w:rPr>
        <w:t xml:space="preserve">si lisätä se, että pelastusviranomainen voi kieltää aiotun käytön, jos vastuuhenkilöä ei ole nimetty tai vastuuhenkilöllä ei ole vaadittua pätevyyttä. </w:t>
      </w:r>
    </w:p>
    <w:p w:rsidR="00E6435A" w:rsidRPr="00D22D85" w:rsidRDefault="002E3DAF" w:rsidP="00357807">
      <w:pPr>
        <w:pStyle w:val="Eivli"/>
        <w:rPr>
          <w:sz w:val="20"/>
          <w:szCs w:val="20"/>
        </w:rPr>
      </w:pPr>
    </w:p>
    <w:p w:rsidR="00E6435A" w:rsidRPr="00D22D85" w:rsidRDefault="002E3DAF" w:rsidP="00357807">
      <w:pPr>
        <w:pStyle w:val="Eivli"/>
        <w:rPr>
          <w:sz w:val="20"/>
          <w:szCs w:val="20"/>
        </w:rPr>
      </w:pPr>
      <w:r w:rsidRPr="00D22D85">
        <w:rPr>
          <w:sz w:val="20"/>
          <w:szCs w:val="20"/>
        </w:rPr>
        <w:t>Ehdotetussa uudessa 91 § 4 momentin asetuksenantovaltuudessa suojalasien käyttötarve tulisi sitoa ainoastaan silmävammojen vaaraan. Pelastusosasto ei kuitenkaan jaa näkemystä, että suojalasien käyttöpakko rajoittaisi ilotulitteiden vapaata liikkuvuutta, ku</w:t>
      </w:r>
      <w:r w:rsidRPr="00D22D85">
        <w:rPr>
          <w:sz w:val="20"/>
          <w:szCs w:val="20"/>
        </w:rPr>
        <w:t xml:space="preserve">ten yksityiskohtaisissa perusteluissa on esitetty. </w:t>
      </w:r>
    </w:p>
    <w:p w:rsidR="002A6CD5" w:rsidRDefault="002E3DAF" w:rsidP="00357807">
      <w:pPr>
        <w:pStyle w:val="Leipteksti"/>
        <w:ind w:left="0"/>
      </w:pPr>
    </w:p>
    <w:p w:rsidR="00CF11FD" w:rsidRDefault="002E3DAF" w:rsidP="002A6CD5">
      <w:pPr>
        <w:pStyle w:val="Leipteksti"/>
      </w:pPr>
      <w:bookmarkStart w:id="0" w:name="_GoBack"/>
      <w:bookmarkEnd w:id="0"/>
    </w:p>
    <w:p w:rsidR="00FF7F61" w:rsidRDefault="002E3DAF" w:rsidP="002A6CD5">
      <w:pPr>
        <w:pStyle w:val="Leipteksti"/>
      </w:pPr>
      <w:r>
        <w:t>Pelastusylijohtajan sijaisena</w:t>
      </w:r>
    </w:p>
    <w:p w:rsidR="00CF11FD" w:rsidRDefault="002E3DAF" w:rsidP="002A6CD5">
      <w:pPr>
        <w:pStyle w:val="Leipteksti"/>
      </w:pPr>
      <w:r>
        <w:t>Valmiusjohtaja</w:t>
      </w:r>
      <w:r>
        <w:tab/>
      </w:r>
      <w:r>
        <w:tab/>
      </w:r>
      <w:r>
        <w:tab/>
      </w:r>
      <w:r>
        <w:t>Janne Koivukoski</w:t>
      </w:r>
      <w:r>
        <w:tab/>
      </w:r>
    </w:p>
    <w:p w:rsidR="00CF11FD" w:rsidRDefault="002E3DAF" w:rsidP="00CF11FD">
      <w:pPr>
        <w:pStyle w:val="Leipteksti"/>
      </w:pPr>
    </w:p>
    <w:p w:rsidR="00CF11FD" w:rsidRDefault="002E3DAF" w:rsidP="00CF11FD">
      <w:pPr>
        <w:pStyle w:val="Leipteksti"/>
      </w:pPr>
      <w:r>
        <w:t>Yli-insinööri</w:t>
      </w:r>
      <w:r>
        <w:tab/>
      </w:r>
      <w:r>
        <w:tab/>
      </w:r>
      <w:r>
        <w:tab/>
      </w:r>
      <w:r>
        <w:t>Kristine Jousimaa</w:t>
      </w:r>
    </w:p>
    <w:p w:rsidR="008C5E06" w:rsidRDefault="002E3DAF" w:rsidP="00CF11FD">
      <w:pPr>
        <w:pStyle w:val="Leipteksti"/>
      </w:pPr>
    </w:p>
    <w:p w:rsidR="00CF11FD" w:rsidRDefault="00A36AF2" w:rsidP="00CF11FD">
      <w:pPr>
        <w:pStyle w:val="Leipteksti"/>
      </w:pPr>
      <w:r>
        <w:fldChar w:fldCharType="begin"/>
      </w:r>
      <w:r w:rsidR="002E3DAF">
        <w:instrText xml:space="preserve"> DOCPROPERTY  sm_allekirjoitusfraasi  \* MERGEFORMAT </w:instrText>
      </w:r>
      <w:r>
        <w:fldChar w:fldCharType="separate"/>
      </w:r>
      <w:r w:rsidR="008858F9">
        <w:t xml:space="preserve">Asiakirja on sähköisesti allekirjoitettu asianhallintajärjestelmässä. Sisäministeriö SM </w:t>
      </w:r>
      <w:proofErr w:type="gramStart"/>
      <w:r w:rsidR="008858F9">
        <w:t>11.07.2014</w:t>
      </w:r>
      <w:proofErr w:type="gramEnd"/>
      <w:r w:rsidR="008858F9">
        <w:t xml:space="preserve"> klo 09:43. Allekirjoituksen oikeellisuuden voi todentaa kirjaamosta.</w:t>
      </w:r>
      <w:r>
        <w:fldChar w:fldCharType="end"/>
      </w:r>
    </w:p>
    <w:tbl>
      <w:tblPr>
        <w:tblStyle w:val="Eireunaviivaa"/>
        <w:tblW w:w="0" w:type="auto"/>
        <w:tblLayout w:type="fixed"/>
        <w:tblLook w:val="04A0"/>
      </w:tblPr>
      <w:tblGrid>
        <w:gridCol w:w="2608"/>
        <w:gridCol w:w="7761"/>
      </w:tblGrid>
      <w:tr w:rsidR="00A36AF2" w:rsidTr="00CF11FD">
        <w:trPr>
          <w:trHeight w:val="556"/>
        </w:trPr>
        <w:tc>
          <w:tcPr>
            <w:tcW w:w="2608" w:type="dxa"/>
          </w:tcPr>
          <w:p w:rsidR="00CF11FD" w:rsidRPr="00242B73" w:rsidRDefault="002E3DAF" w:rsidP="00CF11FD">
            <w:pPr>
              <w:rPr>
                <w:sz w:val="20"/>
                <w:szCs w:val="20"/>
              </w:rPr>
            </w:pPr>
          </w:p>
        </w:tc>
        <w:tc>
          <w:tcPr>
            <w:tcW w:w="7761" w:type="dxa"/>
          </w:tcPr>
          <w:p w:rsidR="00CF11FD" w:rsidRPr="00242B73" w:rsidRDefault="002E3DAF" w:rsidP="00CF11FD">
            <w:pPr>
              <w:rPr>
                <w:sz w:val="20"/>
                <w:szCs w:val="20"/>
              </w:rPr>
            </w:pPr>
          </w:p>
        </w:tc>
      </w:tr>
      <w:tr w:rsidR="00A36AF2" w:rsidTr="00CF11FD">
        <w:trPr>
          <w:trHeight w:val="556"/>
        </w:trPr>
        <w:tc>
          <w:tcPr>
            <w:tcW w:w="2608" w:type="dxa"/>
          </w:tcPr>
          <w:p w:rsidR="00CF11FD" w:rsidRPr="00242B73" w:rsidRDefault="002E3DAF" w:rsidP="00CF11FD">
            <w:pPr>
              <w:rPr>
                <w:sz w:val="20"/>
                <w:szCs w:val="20"/>
              </w:rPr>
            </w:pPr>
          </w:p>
        </w:tc>
        <w:tc>
          <w:tcPr>
            <w:tcW w:w="7761" w:type="dxa"/>
          </w:tcPr>
          <w:p w:rsidR="00CF11FD" w:rsidRPr="00242B73" w:rsidRDefault="002E3DAF" w:rsidP="00CF11FD">
            <w:pPr>
              <w:rPr>
                <w:sz w:val="20"/>
                <w:szCs w:val="20"/>
              </w:rPr>
            </w:pPr>
          </w:p>
        </w:tc>
      </w:tr>
      <w:tr w:rsidR="00A36AF2" w:rsidTr="00CF11FD">
        <w:trPr>
          <w:trHeight w:val="556"/>
        </w:trPr>
        <w:tc>
          <w:tcPr>
            <w:tcW w:w="2608" w:type="dxa"/>
          </w:tcPr>
          <w:p w:rsidR="00CF11FD" w:rsidRPr="00242B73" w:rsidRDefault="002E3DAF" w:rsidP="00CF11FD">
            <w:pPr>
              <w:rPr>
                <w:sz w:val="20"/>
                <w:szCs w:val="20"/>
              </w:rPr>
            </w:pPr>
          </w:p>
        </w:tc>
        <w:tc>
          <w:tcPr>
            <w:tcW w:w="7761" w:type="dxa"/>
          </w:tcPr>
          <w:p w:rsidR="00CF11FD" w:rsidRPr="00242B73" w:rsidRDefault="002E3DAF" w:rsidP="00CF11FD">
            <w:pPr>
              <w:rPr>
                <w:sz w:val="20"/>
                <w:szCs w:val="20"/>
              </w:rPr>
            </w:pPr>
          </w:p>
        </w:tc>
      </w:tr>
    </w:tbl>
    <w:p w:rsidR="00162585" w:rsidRDefault="002E3DAF" w:rsidP="00162585"/>
    <w:p w:rsidR="00D76923" w:rsidRDefault="002E3DAF"/>
    <w:p w:rsidR="0035265B" w:rsidRDefault="002E3DAF"/>
    <w:p w:rsidR="008C5E06" w:rsidRPr="00162585" w:rsidRDefault="002E3DAF" w:rsidP="00D76923"/>
    <w:sectPr w:rsidR="008C5E06" w:rsidRPr="00162585" w:rsidSect="00220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567" w:bottom="51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DAF" w:rsidRDefault="002E3DAF" w:rsidP="00A36AF2">
      <w:r>
        <w:separator/>
      </w:r>
    </w:p>
  </w:endnote>
  <w:endnote w:type="continuationSeparator" w:id="0">
    <w:p w:rsidR="002E3DAF" w:rsidRDefault="002E3DAF" w:rsidP="00A36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F9" w:rsidRDefault="008858F9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F9" w:rsidRDefault="008858F9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275" w:type="dxa"/>
      <w:tblLayout w:type="fixed"/>
      <w:tblCellMar>
        <w:right w:w="0" w:type="dxa"/>
      </w:tblCellMar>
      <w:tblLook w:val="04A0"/>
    </w:tblPr>
    <w:tblGrid>
      <w:gridCol w:w="2586"/>
      <w:gridCol w:w="1809"/>
      <w:gridCol w:w="2126"/>
      <w:gridCol w:w="1843"/>
      <w:gridCol w:w="1911"/>
    </w:tblGrid>
    <w:tr w:rsidR="00A36AF2" w:rsidTr="001811CD">
      <w:tc>
        <w:tcPr>
          <w:tcW w:w="2586" w:type="dxa"/>
          <w:tcBorders>
            <w:bottom w:val="single" w:sz="6" w:space="0" w:color="59B5A4"/>
          </w:tcBorders>
        </w:tcPr>
        <w:p w:rsidR="00C32D98" w:rsidRPr="00EF222F" w:rsidRDefault="002E3DAF" w:rsidP="001811CD">
          <w:pPr>
            <w:pStyle w:val="Alatunniste"/>
          </w:pPr>
        </w:p>
      </w:tc>
      <w:tc>
        <w:tcPr>
          <w:tcW w:w="1809" w:type="dxa"/>
          <w:tcBorders>
            <w:bottom w:val="single" w:sz="6" w:space="0" w:color="59B5A4"/>
          </w:tcBorders>
        </w:tcPr>
        <w:p w:rsidR="00C32D98" w:rsidRPr="00EF222F" w:rsidRDefault="002E3DAF" w:rsidP="001811CD">
          <w:pPr>
            <w:pStyle w:val="Alatunniste"/>
          </w:pPr>
        </w:p>
      </w:tc>
      <w:tc>
        <w:tcPr>
          <w:tcW w:w="2126" w:type="dxa"/>
          <w:tcBorders>
            <w:bottom w:val="single" w:sz="6" w:space="0" w:color="59B5A4"/>
          </w:tcBorders>
        </w:tcPr>
        <w:p w:rsidR="00C32D98" w:rsidRPr="00EF222F" w:rsidRDefault="002E3DAF" w:rsidP="001811CD">
          <w:pPr>
            <w:pStyle w:val="Alatunniste"/>
          </w:pPr>
        </w:p>
      </w:tc>
      <w:tc>
        <w:tcPr>
          <w:tcW w:w="1843" w:type="dxa"/>
          <w:tcBorders>
            <w:bottom w:val="single" w:sz="6" w:space="0" w:color="59B5A4"/>
          </w:tcBorders>
        </w:tcPr>
        <w:p w:rsidR="00C32D98" w:rsidRDefault="002E3DAF" w:rsidP="001811CD">
          <w:pPr>
            <w:pStyle w:val="Alatunniste"/>
          </w:pPr>
        </w:p>
      </w:tc>
      <w:tc>
        <w:tcPr>
          <w:tcW w:w="1911" w:type="dxa"/>
          <w:tcBorders>
            <w:bottom w:val="single" w:sz="6" w:space="0" w:color="59B5A4"/>
          </w:tcBorders>
        </w:tcPr>
        <w:p w:rsidR="00C32D98" w:rsidRDefault="002E3DAF" w:rsidP="001811CD">
          <w:pPr>
            <w:pStyle w:val="Alatunniste"/>
          </w:pPr>
        </w:p>
      </w:tc>
    </w:tr>
    <w:tr w:rsidR="00A36AF2" w:rsidTr="001811CD">
      <w:tc>
        <w:tcPr>
          <w:tcW w:w="2586" w:type="dxa"/>
          <w:tcBorders>
            <w:top w:val="single" w:sz="6" w:space="0" w:color="59B5A4"/>
          </w:tcBorders>
        </w:tcPr>
        <w:p w:rsidR="00C32D98" w:rsidRPr="00EF222F" w:rsidRDefault="002E3DAF" w:rsidP="001811CD">
          <w:pPr>
            <w:pStyle w:val="Alatunniste"/>
          </w:pPr>
        </w:p>
      </w:tc>
      <w:tc>
        <w:tcPr>
          <w:tcW w:w="1809" w:type="dxa"/>
          <w:tcBorders>
            <w:top w:val="single" w:sz="6" w:space="0" w:color="59B5A4"/>
          </w:tcBorders>
        </w:tcPr>
        <w:p w:rsidR="00C32D98" w:rsidRPr="00EF222F" w:rsidRDefault="002E3DAF" w:rsidP="001811CD">
          <w:pPr>
            <w:pStyle w:val="Alatunniste"/>
          </w:pPr>
        </w:p>
      </w:tc>
      <w:tc>
        <w:tcPr>
          <w:tcW w:w="2126" w:type="dxa"/>
          <w:tcBorders>
            <w:top w:val="single" w:sz="6" w:space="0" w:color="59B5A4"/>
          </w:tcBorders>
        </w:tcPr>
        <w:p w:rsidR="00C32D98" w:rsidRPr="00EF222F" w:rsidRDefault="002E3DAF" w:rsidP="001811CD">
          <w:pPr>
            <w:pStyle w:val="Alatunniste"/>
          </w:pPr>
        </w:p>
      </w:tc>
      <w:tc>
        <w:tcPr>
          <w:tcW w:w="1843" w:type="dxa"/>
          <w:tcBorders>
            <w:top w:val="single" w:sz="6" w:space="0" w:color="59B5A4"/>
          </w:tcBorders>
        </w:tcPr>
        <w:p w:rsidR="00C32D98" w:rsidRPr="00EF222F" w:rsidRDefault="002E3DAF" w:rsidP="001811CD">
          <w:pPr>
            <w:pStyle w:val="Alatunniste"/>
          </w:pPr>
        </w:p>
      </w:tc>
      <w:tc>
        <w:tcPr>
          <w:tcW w:w="1911" w:type="dxa"/>
          <w:tcBorders>
            <w:top w:val="single" w:sz="6" w:space="0" w:color="59B5A4"/>
          </w:tcBorders>
        </w:tcPr>
        <w:p w:rsidR="00C32D98" w:rsidRPr="00EF222F" w:rsidRDefault="002E3DAF" w:rsidP="001811CD">
          <w:pPr>
            <w:pStyle w:val="Alatunniste"/>
          </w:pPr>
        </w:p>
      </w:tc>
    </w:tr>
    <w:tr w:rsidR="00A36AF2" w:rsidTr="001811CD">
      <w:tc>
        <w:tcPr>
          <w:tcW w:w="2586" w:type="dxa"/>
        </w:tcPr>
        <w:p w:rsidR="00C32D98" w:rsidRPr="00EF222F" w:rsidRDefault="002E3DAF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2E3DAF" w:rsidP="001811CD">
          <w:pPr>
            <w:pStyle w:val="Alatunniste"/>
          </w:pPr>
          <w:r w:rsidRPr="00755304">
            <w:rPr>
              <w:color w:val="59B5A4"/>
            </w:rPr>
            <w:t>Postiosoite:</w:t>
          </w:r>
        </w:p>
      </w:tc>
      <w:tc>
        <w:tcPr>
          <w:tcW w:w="2126" w:type="dxa"/>
        </w:tcPr>
        <w:p w:rsidR="00C32D98" w:rsidRPr="00EF222F" w:rsidRDefault="002E3DAF" w:rsidP="001811CD">
          <w:pPr>
            <w:pStyle w:val="Alatunniste"/>
          </w:pPr>
          <w:r w:rsidRPr="00755304">
            <w:rPr>
              <w:color w:val="59B5A4"/>
            </w:rPr>
            <w:t>Käyntiosoitteet:</w:t>
          </w:r>
        </w:p>
      </w:tc>
      <w:tc>
        <w:tcPr>
          <w:tcW w:w="1843" w:type="dxa"/>
        </w:tcPr>
        <w:p w:rsidR="00C32D98" w:rsidRPr="00EF222F" w:rsidRDefault="002E3DAF" w:rsidP="001811CD">
          <w:pPr>
            <w:pStyle w:val="Alatunniste"/>
          </w:pPr>
          <w:r w:rsidRPr="00755304">
            <w:rPr>
              <w:color w:val="59B5A4"/>
            </w:rPr>
            <w:t>Puhelin:</w:t>
          </w:r>
        </w:p>
      </w:tc>
      <w:tc>
        <w:tcPr>
          <w:tcW w:w="1911" w:type="dxa"/>
        </w:tcPr>
        <w:p w:rsidR="00C32D98" w:rsidRDefault="002E3DAF" w:rsidP="001811CD">
          <w:pPr>
            <w:pStyle w:val="Alatunniste"/>
          </w:pPr>
          <w:r w:rsidRPr="00755304">
            <w:rPr>
              <w:color w:val="59B5A4"/>
            </w:rPr>
            <w:t>Virkasähköpostiosoite:</w:t>
          </w:r>
        </w:p>
      </w:tc>
    </w:tr>
    <w:tr w:rsidR="00A36AF2" w:rsidTr="001811CD">
      <w:tc>
        <w:tcPr>
          <w:tcW w:w="2586" w:type="dxa"/>
        </w:tcPr>
        <w:p w:rsidR="00C32D98" w:rsidRPr="00EF222F" w:rsidRDefault="002E3DAF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2E3DAF" w:rsidP="001811CD">
          <w:pPr>
            <w:pStyle w:val="Alatunniste"/>
          </w:pPr>
          <w:r>
            <w:t>Sisäministeriö</w:t>
          </w:r>
        </w:p>
      </w:tc>
      <w:tc>
        <w:tcPr>
          <w:tcW w:w="2126" w:type="dxa"/>
        </w:tcPr>
        <w:p w:rsidR="00C32D98" w:rsidRPr="00EF222F" w:rsidRDefault="002E3DAF" w:rsidP="001811CD">
          <w:pPr>
            <w:pStyle w:val="Alatunniste"/>
          </w:pPr>
          <w:r>
            <w:t>Kirkkokatu 12, Helsinki</w:t>
          </w:r>
        </w:p>
      </w:tc>
      <w:tc>
        <w:tcPr>
          <w:tcW w:w="1843" w:type="dxa"/>
        </w:tcPr>
        <w:p w:rsidR="00C32D98" w:rsidRPr="00EF222F" w:rsidRDefault="002E3DAF" w:rsidP="001811CD">
          <w:pPr>
            <w:pStyle w:val="Alatunniste"/>
          </w:pPr>
          <w:r>
            <w:t xml:space="preserve">Vaihde </w:t>
          </w:r>
        </w:p>
      </w:tc>
      <w:tc>
        <w:tcPr>
          <w:tcW w:w="1911" w:type="dxa"/>
        </w:tcPr>
        <w:p w:rsidR="00C32D98" w:rsidRDefault="002E3DAF" w:rsidP="001811CD">
          <w:pPr>
            <w:pStyle w:val="Alatunniste"/>
          </w:pPr>
          <w:r>
            <w:t>kirjaamo@intermin.fi</w:t>
          </w:r>
        </w:p>
      </w:tc>
    </w:tr>
    <w:tr w:rsidR="00A36AF2" w:rsidTr="001811CD">
      <w:tc>
        <w:tcPr>
          <w:tcW w:w="2586" w:type="dxa"/>
        </w:tcPr>
        <w:p w:rsidR="00C32D98" w:rsidRPr="00EF222F" w:rsidRDefault="002E3DAF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2E3DAF" w:rsidP="001811CD">
          <w:pPr>
            <w:pStyle w:val="Alatunniste"/>
          </w:pPr>
          <w:r>
            <w:t>PL 26</w:t>
          </w:r>
        </w:p>
      </w:tc>
      <w:tc>
        <w:tcPr>
          <w:tcW w:w="2126" w:type="dxa"/>
        </w:tcPr>
        <w:p w:rsidR="00C32D98" w:rsidRPr="00EF222F" w:rsidRDefault="002E3DAF" w:rsidP="001811CD">
          <w:pPr>
            <w:pStyle w:val="Alatunniste"/>
          </w:pPr>
          <w:r>
            <w:t>Vuorikatu 20, Helsinki</w:t>
          </w:r>
        </w:p>
      </w:tc>
      <w:tc>
        <w:tcPr>
          <w:tcW w:w="1843" w:type="dxa"/>
        </w:tcPr>
        <w:p w:rsidR="00C32D98" w:rsidRPr="00EF222F" w:rsidRDefault="002E3DAF" w:rsidP="001811CD">
          <w:pPr>
            <w:pStyle w:val="Alatunniste"/>
          </w:pPr>
          <w:r w:rsidRPr="006536B0">
            <w:t>0295 480 171</w:t>
          </w:r>
        </w:p>
      </w:tc>
      <w:tc>
        <w:tcPr>
          <w:tcW w:w="1911" w:type="dxa"/>
        </w:tcPr>
        <w:p w:rsidR="00C32D98" w:rsidRDefault="002E3DAF" w:rsidP="001811CD">
          <w:pPr>
            <w:pStyle w:val="Alatunniste"/>
          </w:pPr>
          <w:r>
            <w:t>www.intermin.fi</w:t>
          </w:r>
        </w:p>
      </w:tc>
    </w:tr>
    <w:tr w:rsidR="00A36AF2" w:rsidTr="001811CD">
      <w:tc>
        <w:tcPr>
          <w:tcW w:w="2586" w:type="dxa"/>
        </w:tcPr>
        <w:p w:rsidR="00C32D98" w:rsidRPr="00EF222F" w:rsidRDefault="002E3DAF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2E3DAF" w:rsidP="001811CD">
          <w:pPr>
            <w:pStyle w:val="Alatunniste"/>
          </w:pPr>
          <w:r>
            <w:t>00023 Valtioneuvosto</w:t>
          </w:r>
        </w:p>
      </w:tc>
      <w:tc>
        <w:tcPr>
          <w:tcW w:w="2126" w:type="dxa"/>
        </w:tcPr>
        <w:p w:rsidR="00C32D98" w:rsidRPr="00EF222F" w:rsidRDefault="002E3DAF" w:rsidP="001811CD">
          <w:pPr>
            <w:pStyle w:val="Alatunniste"/>
          </w:pPr>
        </w:p>
      </w:tc>
      <w:tc>
        <w:tcPr>
          <w:tcW w:w="1843" w:type="dxa"/>
        </w:tcPr>
        <w:p w:rsidR="00C32D98" w:rsidRPr="00EF222F" w:rsidRDefault="002E3DAF" w:rsidP="001811CD">
          <w:pPr>
            <w:pStyle w:val="Alatunniste"/>
          </w:pPr>
          <w:r>
            <w:rPr>
              <w:color w:val="59B5A4"/>
            </w:rPr>
            <w:t>Faksi:</w:t>
          </w:r>
        </w:p>
      </w:tc>
      <w:tc>
        <w:tcPr>
          <w:tcW w:w="1911" w:type="dxa"/>
        </w:tcPr>
        <w:p w:rsidR="00C32D98" w:rsidRDefault="002E3DAF" w:rsidP="001811CD">
          <w:pPr>
            <w:pStyle w:val="Alatunniste"/>
          </w:pPr>
        </w:p>
      </w:tc>
    </w:tr>
    <w:tr w:rsidR="00A36AF2" w:rsidTr="001811CD">
      <w:tc>
        <w:tcPr>
          <w:tcW w:w="2586" w:type="dxa"/>
        </w:tcPr>
        <w:p w:rsidR="00C32D98" w:rsidRPr="00EF222F" w:rsidRDefault="002E3DAF" w:rsidP="001811CD">
          <w:pPr>
            <w:pStyle w:val="Alatunniste"/>
          </w:pPr>
        </w:p>
      </w:tc>
      <w:tc>
        <w:tcPr>
          <w:tcW w:w="1809" w:type="dxa"/>
        </w:tcPr>
        <w:p w:rsidR="00C32D98" w:rsidRDefault="002E3DAF" w:rsidP="001811CD">
          <w:pPr>
            <w:pStyle w:val="Alatunniste"/>
          </w:pPr>
        </w:p>
      </w:tc>
      <w:tc>
        <w:tcPr>
          <w:tcW w:w="2126" w:type="dxa"/>
        </w:tcPr>
        <w:p w:rsidR="00C32D98" w:rsidRPr="00EF222F" w:rsidRDefault="002E3DAF" w:rsidP="001811CD">
          <w:pPr>
            <w:pStyle w:val="Alatunniste"/>
          </w:pPr>
        </w:p>
      </w:tc>
      <w:tc>
        <w:tcPr>
          <w:tcW w:w="1843" w:type="dxa"/>
        </w:tcPr>
        <w:p w:rsidR="00C32D98" w:rsidRDefault="002E3DAF" w:rsidP="002752F1">
          <w:pPr>
            <w:pStyle w:val="Alatunniste"/>
          </w:pPr>
          <w:r>
            <w:t xml:space="preserve">09 1604 </w:t>
          </w:r>
          <w:r w:rsidRPr="00703C49">
            <w:rPr>
              <w:szCs w:val="16"/>
            </w:rPr>
            <w:t>4635</w:t>
          </w:r>
        </w:p>
      </w:tc>
      <w:tc>
        <w:tcPr>
          <w:tcW w:w="1911" w:type="dxa"/>
        </w:tcPr>
        <w:p w:rsidR="00C32D98" w:rsidRDefault="002E3DAF" w:rsidP="001811CD">
          <w:pPr>
            <w:pStyle w:val="Alatunniste"/>
          </w:pPr>
        </w:p>
      </w:tc>
    </w:tr>
  </w:tbl>
  <w:p w:rsidR="00EF222F" w:rsidRDefault="002E3DAF" w:rsidP="00EF222F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DAF" w:rsidRDefault="002E3DAF" w:rsidP="00A36AF2">
      <w:r>
        <w:separator/>
      </w:r>
    </w:p>
  </w:footnote>
  <w:footnote w:type="continuationSeparator" w:id="0">
    <w:p w:rsidR="002E3DAF" w:rsidRDefault="002E3DAF" w:rsidP="00A36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F9" w:rsidRDefault="008858F9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347" w:type="dxa"/>
      <w:tblLayout w:type="fixed"/>
      <w:tblLook w:val="04A0"/>
    </w:tblPr>
    <w:tblGrid>
      <w:gridCol w:w="5222"/>
      <w:gridCol w:w="2608"/>
      <w:gridCol w:w="1463"/>
      <w:gridCol w:w="1054"/>
    </w:tblGrid>
    <w:tr w:rsidR="00A36AF2" w:rsidTr="005E4795">
      <w:tc>
        <w:tcPr>
          <w:tcW w:w="5222" w:type="dxa"/>
        </w:tcPr>
        <w:p w:rsidR="0035265B" w:rsidRPr="00770045" w:rsidRDefault="002E3DAF" w:rsidP="005E4795">
          <w:pPr>
            <w:pStyle w:val="Yltunniste"/>
            <w:rPr>
              <w:b/>
              <w:szCs w:val="20"/>
            </w:rPr>
          </w:pPr>
          <w:r w:rsidRPr="00770045">
            <w:rPr>
              <w:b/>
              <w:szCs w:val="20"/>
            </w:rPr>
            <w:t>Sisäministeriö</w:t>
          </w:r>
        </w:p>
      </w:tc>
      <w:tc>
        <w:tcPr>
          <w:tcW w:w="2608" w:type="dxa"/>
        </w:tcPr>
        <w:p w:rsidR="0035265B" w:rsidRPr="00770045" w:rsidRDefault="00A36AF2" w:rsidP="005E4795">
          <w:pPr>
            <w:pStyle w:val="Yltunniste"/>
            <w:rPr>
              <w:b/>
            </w:rPr>
          </w:pPr>
          <w:fldSimple w:instr=" DOCPROPERTY  sm_asiakirjatyyppi  \* MERGEFORMAT ">
            <w:r w:rsidR="008858F9">
              <w:rPr>
                <w:b/>
              </w:rPr>
              <w:t>lausunto</w:t>
            </w:r>
          </w:fldSimple>
        </w:p>
      </w:tc>
      <w:tc>
        <w:tcPr>
          <w:tcW w:w="1463" w:type="dxa"/>
        </w:tcPr>
        <w:p w:rsidR="0035265B" w:rsidRDefault="002E3DAF" w:rsidP="005E4795">
          <w:pPr>
            <w:pStyle w:val="Yltunniste"/>
          </w:pPr>
        </w:p>
      </w:tc>
      <w:tc>
        <w:tcPr>
          <w:tcW w:w="1054" w:type="dxa"/>
        </w:tcPr>
        <w:p w:rsidR="0035265B" w:rsidRDefault="00A36AF2" w:rsidP="005E4795">
          <w:pPr>
            <w:pStyle w:val="Yltunniste"/>
            <w:jc w:val="center"/>
          </w:pPr>
          <w:r>
            <w:fldChar w:fldCharType="begin"/>
          </w:r>
          <w:r w:rsidR="002E3DAF">
            <w:instrText xml:space="preserve"> PAGE   \* MERGEFORMAT </w:instrText>
          </w:r>
          <w:r>
            <w:fldChar w:fldCharType="separate"/>
          </w:r>
          <w:r w:rsidR="008858F9">
            <w:t>4</w:t>
          </w:r>
          <w:r>
            <w:fldChar w:fldCharType="end"/>
          </w:r>
          <w:r w:rsidR="002E3DAF">
            <w:t xml:space="preserve"> (</w:t>
          </w:r>
          <w:fldSimple w:instr=" NUMPAGES   \* MERGEFORMAT ">
            <w:r w:rsidR="008858F9">
              <w:t>4</w:t>
            </w:r>
          </w:fldSimple>
          <w:r w:rsidR="002E3DAF">
            <w:t>)</w:t>
          </w:r>
        </w:p>
      </w:tc>
    </w:tr>
    <w:tr w:rsidR="00A36AF2" w:rsidTr="005E4795">
      <w:trPr>
        <w:trHeight w:val="272"/>
      </w:trPr>
      <w:tc>
        <w:tcPr>
          <w:tcW w:w="5222" w:type="dxa"/>
        </w:tcPr>
        <w:p w:rsidR="0035265B" w:rsidRPr="002A6CD5" w:rsidRDefault="002E3DAF" w:rsidP="005E4795">
          <w:pPr>
            <w:pStyle w:val="Yltunniste"/>
            <w:rPr>
              <w:sz w:val="24"/>
            </w:rPr>
          </w:pPr>
        </w:p>
      </w:tc>
      <w:tc>
        <w:tcPr>
          <w:tcW w:w="2608" w:type="dxa"/>
        </w:tcPr>
        <w:p w:rsidR="0035265B" w:rsidRDefault="002E3DAF" w:rsidP="005E4795">
          <w:pPr>
            <w:pStyle w:val="Yltunniste"/>
          </w:pPr>
        </w:p>
      </w:tc>
      <w:tc>
        <w:tcPr>
          <w:tcW w:w="2517" w:type="dxa"/>
          <w:gridSpan w:val="2"/>
        </w:tcPr>
        <w:p w:rsidR="0035265B" w:rsidRDefault="002E3DAF" w:rsidP="005E4795">
          <w:pPr>
            <w:pStyle w:val="Yltunniste"/>
          </w:pPr>
        </w:p>
      </w:tc>
    </w:tr>
    <w:tr w:rsidR="00A36AF2" w:rsidTr="005E4795">
      <w:trPr>
        <w:trHeight w:val="272"/>
      </w:trPr>
      <w:tc>
        <w:tcPr>
          <w:tcW w:w="5222" w:type="dxa"/>
        </w:tcPr>
        <w:p w:rsidR="0035265B" w:rsidRDefault="002E3DAF" w:rsidP="005E4795">
          <w:pPr>
            <w:pStyle w:val="Yltunniste"/>
          </w:pPr>
        </w:p>
      </w:tc>
      <w:tc>
        <w:tcPr>
          <w:tcW w:w="2608" w:type="dxa"/>
        </w:tcPr>
        <w:p w:rsidR="0035265B" w:rsidRDefault="002E3DAF" w:rsidP="005E4795">
          <w:pPr>
            <w:pStyle w:val="Yltunniste"/>
          </w:pPr>
        </w:p>
      </w:tc>
      <w:tc>
        <w:tcPr>
          <w:tcW w:w="2517" w:type="dxa"/>
          <w:gridSpan w:val="2"/>
        </w:tcPr>
        <w:p w:rsidR="0035265B" w:rsidRDefault="002E3DAF" w:rsidP="005E4795">
          <w:pPr>
            <w:pStyle w:val="Yltunniste"/>
          </w:pPr>
        </w:p>
      </w:tc>
    </w:tr>
    <w:tr w:rsidR="00A36AF2" w:rsidTr="005E4795">
      <w:trPr>
        <w:trHeight w:val="272"/>
      </w:trPr>
      <w:tc>
        <w:tcPr>
          <w:tcW w:w="5222" w:type="dxa"/>
        </w:tcPr>
        <w:p w:rsidR="0035265B" w:rsidRDefault="002E3DAF" w:rsidP="005E4795">
          <w:pPr>
            <w:pStyle w:val="Yltunniste"/>
          </w:pPr>
        </w:p>
      </w:tc>
      <w:tc>
        <w:tcPr>
          <w:tcW w:w="2608" w:type="dxa"/>
        </w:tcPr>
        <w:p w:rsidR="0035265B" w:rsidRDefault="00A36AF2" w:rsidP="005E4795">
          <w:pPr>
            <w:pStyle w:val="Yltunniste"/>
          </w:pPr>
          <w:fldSimple w:instr=" DOCPROPERTY  sm_pvm &quot;d.M.yyyy&quot; \* MERGEFORMAT ">
            <w:r w:rsidR="008858F9">
              <w:t>11.07.2014</w:t>
            </w:r>
          </w:fldSimple>
        </w:p>
      </w:tc>
      <w:tc>
        <w:tcPr>
          <w:tcW w:w="2517" w:type="dxa"/>
          <w:gridSpan w:val="2"/>
        </w:tcPr>
        <w:p w:rsidR="0035265B" w:rsidRDefault="002E3DAF" w:rsidP="005E4795">
          <w:pPr>
            <w:pStyle w:val="Yltunniste"/>
          </w:pPr>
        </w:p>
      </w:tc>
    </w:tr>
  </w:tbl>
  <w:p w:rsidR="00D64AB2" w:rsidRDefault="002E3DAF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948" w:type="dxa"/>
      <w:tblInd w:w="-567" w:type="dxa"/>
      <w:tblLayout w:type="fixed"/>
      <w:tblLook w:val="04A0"/>
    </w:tblPr>
    <w:tblGrid>
      <w:gridCol w:w="5823"/>
      <w:gridCol w:w="2608"/>
      <w:gridCol w:w="1463"/>
      <w:gridCol w:w="1054"/>
    </w:tblGrid>
    <w:tr w:rsidR="00A36AF2" w:rsidTr="005E4795">
      <w:tc>
        <w:tcPr>
          <w:tcW w:w="5823" w:type="dxa"/>
          <w:vMerge w:val="restart"/>
          <w:tcMar>
            <w:left w:w="0" w:type="dxa"/>
          </w:tcMar>
        </w:tcPr>
        <w:p w:rsidR="0035265B" w:rsidRPr="00F063F8" w:rsidRDefault="002E3DAF" w:rsidP="005E4795">
          <w:pPr>
            <w:pStyle w:val="Yltunniste"/>
            <w:rPr>
              <w:szCs w:val="20"/>
              <w:lang w:eastAsia="fi-FI"/>
            </w:rPr>
          </w:pPr>
          <w:r>
            <w:rPr>
              <w:lang w:eastAsia="fi-FI"/>
            </w:rPr>
            <w:drawing>
              <wp:inline distT="0" distB="0" distL="0" distR="0">
                <wp:extent cx="1760672" cy="542925"/>
                <wp:effectExtent l="0" t="0" r="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672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tcMar>
            <w:left w:w="0" w:type="dxa"/>
          </w:tcMar>
        </w:tcPr>
        <w:p w:rsidR="0035265B" w:rsidRPr="00770045" w:rsidRDefault="002E3DAF" w:rsidP="005E4795">
          <w:pPr>
            <w:pStyle w:val="Yltunniste"/>
            <w:rPr>
              <w:b/>
            </w:rPr>
          </w:pPr>
        </w:p>
      </w:tc>
      <w:tc>
        <w:tcPr>
          <w:tcW w:w="1463" w:type="dxa"/>
          <w:tcMar>
            <w:left w:w="0" w:type="dxa"/>
          </w:tcMar>
        </w:tcPr>
        <w:p w:rsidR="0035265B" w:rsidRDefault="002E3DAF" w:rsidP="005E4795">
          <w:pPr>
            <w:pStyle w:val="Yltunniste"/>
          </w:pPr>
        </w:p>
      </w:tc>
      <w:tc>
        <w:tcPr>
          <w:tcW w:w="1054" w:type="dxa"/>
          <w:tcMar>
            <w:left w:w="0" w:type="dxa"/>
          </w:tcMar>
        </w:tcPr>
        <w:p w:rsidR="0035265B" w:rsidRDefault="002E3DAF" w:rsidP="005E4795">
          <w:pPr>
            <w:pStyle w:val="Yltunniste"/>
            <w:jc w:val="center"/>
          </w:pPr>
        </w:p>
      </w:tc>
    </w:tr>
    <w:tr w:rsidR="00A36AF2" w:rsidTr="005E4795">
      <w:tc>
        <w:tcPr>
          <w:tcW w:w="5823" w:type="dxa"/>
          <w:vMerge/>
          <w:tcMar>
            <w:left w:w="0" w:type="dxa"/>
          </w:tcMar>
        </w:tcPr>
        <w:p w:rsidR="0035265B" w:rsidRPr="009779D7" w:rsidRDefault="002E3DAF" w:rsidP="005E4795">
          <w:pPr>
            <w:pStyle w:val="Yltunniste"/>
            <w:rPr>
              <w:sz w:val="28"/>
              <w:szCs w:val="28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RPr="00770045" w:rsidRDefault="00A36AF2" w:rsidP="005E4795">
          <w:pPr>
            <w:pStyle w:val="Yltunniste"/>
            <w:rPr>
              <w:b/>
            </w:rPr>
          </w:pPr>
          <w:fldSimple w:instr=" DOCPROPERTY  sm_asiakirjatyyppi  \* MERGEFORMAT ">
            <w:r w:rsidR="008858F9">
              <w:rPr>
                <w:b/>
              </w:rPr>
              <w:t>lausunto</w:t>
            </w:r>
          </w:fldSimple>
        </w:p>
      </w:tc>
      <w:tc>
        <w:tcPr>
          <w:tcW w:w="1463" w:type="dxa"/>
          <w:tcMar>
            <w:left w:w="0" w:type="dxa"/>
          </w:tcMar>
        </w:tcPr>
        <w:p w:rsidR="0035265B" w:rsidRDefault="00A36AF2" w:rsidP="005E4795">
          <w:pPr>
            <w:pStyle w:val="Yltunniste"/>
          </w:pPr>
          <w:fldSimple w:instr=" DOCPROPERTY  sm_id  \* MERGEFORMAT ">
            <w:r w:rsidR="008858F9">
              <w:t>SM145544</w:t>
            </w:r>
          </w:fldSimple>
        </w:p>
      </w:tc>
      <w:tc>
        <w:tcPr>
          <w:tcW w:w="1054" w:type="dxa"/>
          <w:tcMar>
            <w:left w:w="0" w:type="dxa"/>
          </w:tcMar>
        </w:tcPr>
        <w:p w:rsidR="0035265B" w:rsidRDefault="00A36AF2" w:rsidP="005E4795">
          <w:pPr>
            <w:pStyle w:val="Yltunniste"/>
            <w:jc w:val="center"/>
          </w:pPr>
          <w:r>
            <w:fldChar w:fldCharType="begin"/>
          </w:r>
          <w:r w:rsidR="002E3DAF">
            <w:instrText xml:space="preserve"> PAGE   \* MERGEFORMAT </w:instrText>
          </w:r>
          <w:r>
            <w:fldChar w:fldCharType="separate"/>
          </w:r>
          <w:r w:rsidR="008858F9">
            <w:t>1</w:t>
          </w:r>
          <w:r>
            <w:fldChar w:fldCharType="end"/>
          </w:r>
          <w:r w:rsidR="002E3DAF">
            <w:t xml:space="preserve"> (</w:t>
          </w:r>
          <w:fldSimple w:instr=" NUMPAGES   \* MERGEFORMAT ">
            <w:r w:rsidR="008858F9">
              <w:t>4</w:t>
            </w:r>
          </w:fldSimple>
          <w:r w:rsidR="002E3DAF">
            <w:t>)</w:t>
          </w:r>
        </w:p>
      </w:tc>
    </w:tr>
    <w:tr w:rsidR="00A36AF2" w:rsidTr="005E4795">
      <w:tc>
        <w:tcPr>
          <w:tcW w:w="5823" w:type="dxa"/>
          <w:vMerge/>
          <w:tcMar>
            <w:left w:w="0" w:type="dxa"/>
          </w:tcMar>
        </w:tcPr>
        <w:p w:rsidR="0035265B" w:rsidRPr="002A6CD5" w:rsidRDefault="002E3DAF" w:rsidP="005E4795">
          <w:pPr>
            <w:pStyle w:val="Yltunniste"/>
            <w:rPr>
              <w:sz w:val="24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RDefault="002E3DAF" w:rsidP="005E4795">
          <w:pPr>
            <w:pStyle w:val="Yltunniste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RDefault="00A36AF2" w:rsidP="005E4795">
          <w:pPr>
            <w:pStyle w:val="Yltunniste"/>
          </w:pPr>
          <w:fldSimple w:instr=" DOCPROPERTY  sm_asiaryhmä  \* MERGEFORMAT ">
            <w:r w:rsidR="008858F9">
              <w:t>00.02.04</w:t>
            </w:r>
          </w:fldSimple>
        </w:p>
      </w:tc>
    </w:tr>
    <w:tr w:rsidR="00A36AF2" w:rsidTr="005E4795">
      <w:tc>
        <w:tcPr>
          <w:tcW w:w="5823" w:type="dxa"/>
          <w:vMerge/>
          <w:tcMar>
            <w:left w:w="0" w:type="dxa"/>
          </w:tcMar>
        </w:tcPr>
        <w:p w:rsidR="0035265B" w:rsidRDefault="002E3DAF" w:rsidP="005E4795">
          <w:pPr>
            <w:pStyle w:val="Yltunniste"/>
          </w:pPr>
        </w:p>
      </w:tc>
      <w:tc>
        <w:tcPr>
          <w:tcW w:w="2608" w:type="dxa"/>
          <w:tcMar>
            <w:left w:w="0" w:type="dxa"/>
          </w:tcMar>
        </w:tcPr>
        <w:p w:rsidR="0035265B" w:rsidRDefault="002E3DAF" w:rsidP="005E4795">
          <w:pPr>
            <w:pStyle w:val="Yltunniste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RDefault="00A36AF2" w:rsidP="005E4795">
          <w:pPr>
            <w:pStyle w:val="Yltunniste"/>
          </w:pPr>
          <w:fldSimple w:instr=" DOCPROPERTY  sm_diaarinro  \* MERGEFORMAT ">
            <w:r w:rsidR="008858F9">
              <w:t>SMDno-2014-1157</w:t>
            </w:r>
          </w:fldSimple>
        </w:p>
      </w:tc>
    </w:tr>
    <w:tr w:rsidR="00A36AF2" w:rsidTr="005E4795">
      <w:tc>
        <w:tcPr>
          <w:tcW w:w="5823" w:type="dxa"/>
          <w:tcMar>
            <w:left w:w="0" w:type="dxa"/>
          </w:tcMar>
        </w:tcPr>
        <w:p w:rsidR="0035265B" w:rsidRDefault="002E3DAF" w:rsidP="005E4795">
          <w:pPr>
            <w:pStyle w:val="Yltunniste"/>
          </w:pPr>
        </w:p>
      </w:tc>
      <w:tc>
        <w:tcPr>
          <w:tcW w:w="2608" w:type="dxa"/>
          <w:tcMar>
            <w:left w:w="0" w:type="dxa"/>
          </w:tcMar>
        </w:tcPr>
        <w:p w:rsidR="0035265B" w:rsidRDefault="00A36AF2" w:rsidP="005E4795">
          <w:pPr>
            <w:pStyle w:val="Yltunniste"/>
          </w:pPr>
          <w:fldSimple w:instr=" DOCPROPERTY  sm_pvm &quot;d.M.yyyy&quot; \* MERGEFORMAT ">
            <w:r w:rsidR="008858F9">
              <w:t>11.07.2014</w:t>
            </w:r>
          </w:fldSimple>
        </w:p>
      </w:tc>
      <w:tc>
        <w:tcPr>
          <w:tcW w:w="2517" w:type="dxa"/>
          <w:gridSpan w:val="2"/>
          <w:tcMar>
            <w:left w:w="0" w:type="dxa"/>
          </w:tcMar>
        </w:tcPr>
        <w:p w:rsidR="0035265B" w:rsidRDefault="002E3DAF" w:rsidP="005E4795">
          <w:pPr>
            <w:pStyle w:val="Yltunniste"/>
          </w:pPr>
        </w:p>
      </w:tc>
    </w:tr>
  </w:tbl>
  <w:p w:rsidR="002723D0" w:rsidRDefault="002E3DAF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104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D62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B476EE"/>
    <w:multiLevelType w:val="multilevel"/>
    <w:tmpl w:val="5BD42AB8"/>
    <w:numStyleLink w:val="Numeroituotsikointi"/>
  </w:abstractNum>
  <w:abstractNum w:abstractNumId="3">
    <w:nsid w:val="11C27B62"/>
    <w:multiLevelType w:val="multilevel"/>
    <w:tmpl w:val="5BD42AB8"/>
    <w:numStyleLink w:val="Numeroituotsikointi"/>
  </w:abstractNum>
  <w:abstractNum w:abstractNumId="4">
    <w:nsid w:val="320C2E79"/>
    <w:multiLevelType w:val="multilevel"/>
    <w:tmpl w:val="5BD42AB8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33BD151C"/>
    <w:multiLevelType w:val="multilevel"/>
    <w:tmpl w:val="9348AA1E"/>
    <w:styleLink w:val="Luettelonumerot"/>
    <w:lvl w:ilvl="0">
      <w:start w:val="1"/>
      <w:numFmt w:val="decimal"/>
      <w:pStyle w:val="Numeroituluettelo"/>
      <w:lvlText w:val="%1."/>
      <w:lvlJc w:val="left"/>
      <w:pPr>
        <w:ind w:left="3175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62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85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082" w:hanging="226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309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536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763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990" w:hanging="227"/>
      </w:pPr>
      <w:rPr>
        <w:rFonts w:ascii="Calibri" w:hAnsi="Calibri" w:hint="default"/>
      </w:rPr>
    </w:lvl>
  </w:abstractNum>
  <w:abstractNum w:abstractNumId="6">
    <w:nsid w:val="37E74F7B"/>
    <w:multiLevelType w:val="multilevel"/>
    <w:tmpl w:val="4DDEB5B2"/>
    <w:styleLink w:val="Luettelomerkit"/>
    <w:lvl w:ilvl="0">
      <w:start w:val="1"/>
      <w:numFmt w:val="bullet"/>
      <w:pStyle w:val="Merkittyluettelo"/>
      <w:lvlText w:val="–"/>
      <w:lvlJc w:val="left"/>
      <w:pPr>
        <w:ind w:left="2835" w:hanging="22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306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28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51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743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970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197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24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651" w:hanging="22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36AF2"/>
    <w:rsid w:val="002E3DAF"/>
    <w:rsid w:val="008858F9"/>
    <w:rsid w:val="00A3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ali">
    <w:name w:val="Normal"/>
    <w:qFormat/>
    <w:rsid w:val="002752F1"/>
  </w:style>
  <w:style w:type="paragraph" w:styleId="Otsikko1">
    <w:name w:val="heading 1"/>
    <w:basedOn w:val="Normaali"/>
    <w:next w:val="Leipteksti"/>
    <w:link w:val="Otsikko1Char"/>
    <w:uiPriority w:val="9"/>
    <w:qFormat/>
    <w:rsid w:val="0035265B"/>
    <w:pPr>
      <w:keepNext/>
      <w:keepLines/>
      <w:numPr>
        <w:numId w:val="20"/>
      </w:numPr>
      <w:spacing w:after="180"/>
      <w:ind w:right="2835"/>
      <w:outlineLvl w:val="0"/>
    </w:pPr>
    <w:rPr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35265B"/>
    <w:pPr>
      <w:keepNext/>
      <w:keepLines/>
      <w:numPr>
        <w:ilvl w:val="1"/>
        <w:numId w:val="20"/>
      </w:numPr>
      <w:spacing w:after="180"/>
      <w:ind w:right="2835"/>
      <w:outlineLvl w:val="1"/>
    </w:pPr>
    <w:rPr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35265B"/>
    <w:pPr>
      <w:keepNext/>
      <w:keepLines/>
      <w:numPr>
        <w:ilvl w:val="2"/>
        <w:numId w:val="20"/>
      </w:numPr>
      <w:spacing w:after="180"/>
      <w:ind w:right="2835"/>
      <w:outlineLvl w:val="2"/>
    </w:pPr>
    <w:rPr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5265B"/>
    <w:pPr>
      <w:keepNext/>
      <w:keepLines/>
      <w:numPr>
        <w:ilvl w:val="3"/>
        <w:numId w:val="20"/>
      </w:numPr>
      <w:spacing w:after="180"/>
      <w:ind w:right="2835"/>
      <w:outlineLvl w:val="3"/>
    </w:pPr>
    <w:rPr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5265B"/>
    <w:pPr>
      <w:keepNext/>
      <w:keepLines/>
      <w:numPr>
        <w:ilvl w:val="4"/>
        <w:numId w:val="20"/>
      </w:numPr>
      <w:spacing w:after="180"/>
      <w:ind w:right="2835"/>
      <w:outlineLvl w:val="4"/>
    </w:pPr>
  </w:style>
  <w:style w:type="paragraph" w:styleId="Otsikko6">
    <w:name w:val="heading 6"/>
    <w:basedOn w:val="Normaali"/>
    <w:next w:val="Leipteksti"/>
    <w:link w:val="Otsikko6Char"/>
    <w:uiPriority w:val="9"/>
    <w:rsid w:val="0035265B"/>
    <w:pPr>
      <w:keepNext/>
      <w:keepLines/>
      <w:numPr>
        <w:ilvl w:val="5"/>
        <w:numId w:val="20"/>
      </w:numPr>
      <w:spacing w:after="180"/>
      <w:ind w:right="2835"/>
      <w:outlineLvl w:val="5"/>
    </w:pPr>
    <w:rPr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35265B"/>
    <w:pPr>
      <w:keepNext/>
      <w:keepLines/>
      <w:numPr>
        <w:ilvl w:val="6"/>
        <w:numId w:val="20"/>
      </w:numPr>
      <w:spacing w:after="180"/>
      <w:ind w:right="2835"/>
      <w:outlineLvl w:val="6"/>
    </w:pPr>
    <w:rPr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5265B"/>
    <w:pPr>
      <w:keepNext/>
      <w:keepLines/>
      <w:numPr>
        <w:ilvl w:val="7"/>
        <w:numId w:val="20"/>
      </w:numPr>
      <w:spacing w:after="180"/>
      <w:ind w:right="4536"/>
      <w:outlineLvl w:val="7"/>
    </w:pPr>
  </w:style>
  <w:style w:type="paragraph" w:styleId="Otsikko9">
    <w:name w:val="heading 9"/>
    <w:basedOn w:val="Normaali"/>
    <w:next w:val="Leipteksti"/>
    <w:link w:val="Otsikko9Char"/>
    <w:uiPriority w:val="9"/>
    <w:rsid w:val="0035265B"/>
    <w:pPr>
      <w:keepNext/>
      <w:keepLines/>
      <w:numPr>
        <w:ilvl w:val="8"/>
        <w:numId w:val="20"/>
      </w:numPr>
      <w:spacing w:after="180"/>
      <w:ind w:right="2835"/>
      <w:outlineLvl w:val="8"/>
    </w:pPr>
    <w:rPr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5265B"/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35265B"/>
    <w:rPr>
      <w:rFonts w:ascii="Arial" w:hAnsi="Arial"/>
      <w:noProof/>
      <w:sz w:val="20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35265B"/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5265B"/>
    <w:rPr>
      <w:rFonts w:ascii="Arial" w:hAnsi="Arial"/>
      <w:sz w:val="16"/>
      <w:szCs w:val="18"/>
    </w:rPr>
  </w:style>
  <w:style w:type="table" w:styleId="TaulukkoRuudukko">
    <w:name w:val="Table Grid"/>
    <w:basedOn w:val="Normaalitaulukko"/>
    <w:uiPriority w:val="59"/>
    <w:rsid w:val="0035265B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rkittyluettelo">
    <w:name w:val="List Bullet"/>
    <w:basedOn w:val="Normaali"/>
    <w:uiPriority w:val="99"/>
    <w:qFormat/>
    <w:rsid w:val="0035265B"/>
    <w:pPr>
      <w:numPr>
        <w:numId w:val="9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35265B"/>
    <w:pPr>
      <w:numPr>
        <w:numId w:val="10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5265B"/>
    <w:rPr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rsid w:val="0035265B"/>
    <w:rPr>
      <w:rFonts w:ascii="Arial" w:hAnsi="Arial"/>
      <w:bCs/>
      <w:sz w:val="18"/>
      <w:szCs w:val="28"/>
    </w:rPr>
  </w:style>
  <w:style w:type="paragraph" w:styleId="Sisllysluettelonotsikko">
    <w:name w:val="TOC Heading"/>
    <w:next w:val="Normaali"/>
    <w:uiPriority w:val="39"/>
    <w:rsid w:val="0035265B"/>
    <w:pPr>
      <w:spacing w:after="240"/>
      <w:ind w:right="2835"/>
    </w:pPr>
    <w:rPr>
      <w:b/>
      <w:bCs/>
      <w:sz w:val="18"/>
      <w:szCs w:val="28"/>
    </w:rPr>
  </w:style>
  <w:style w:type="table" w:customStyle="1" w:styleId="Eireunaviivaa">
    <w:name w:val="Ei reunaviivaa"/>
    <w:basedOn w:val="Normaalitaulukko"/>
    <w:uiPriority w:val="99"/>
    <w:rsid w:val="0035265B"/>
    <w:rPr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526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265B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link w:val="OtsikkoChar"/>
    <w:uiPriority w:val="10"/>
    <w:qFormat/>
    <w:rsid w:val="0035265B"/>
    <w:pPr>
      <w:spacing w:after="180"/>
      <w:ind w:right="2835"/>
      <w:contextualSpacing/>
    </w:pPr>
    <w:rPr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5265B"/>
    <w:rPr>
      <w:rFonts w:ascii="Arial" w:hAnsi="Arial" w:cs="Arial"/>
      <w:b/>
      <w:kern w:val="28"/>
      <w:sz w:val="18"/>
      <w:szCs w:val="52"/>
    </w:rPr>
  </w:style>
  <w:style w:type="paragraph" w:styleId="Leipteksti">
    <w:name w:val="Body Text"/>
    <w:basedOn w:val="Normaali"/>
    <w:link w:val="LeiptekstiChar"/>
    <w:uiPriority w:val="1"/>
    <w:qFormat/>
    <w:rsid w:val="0035265B"/>
    <w:pPr>
      <w:spacing w:after="18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5265B"/>
    <w:rPr>
      <w:sz w:val="18"/>
      <w:szCs w:val="18"/>
    </w:rPr>
  </w:style>
  <w:style w:type="paragraph" w:styleId="Eivli">
    <w:name w:val="No Spacing"/>
    <w:uiPriority w:val="1"/>
    <w:qFormat/>
    <w:rsid w:val="0035265B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35265B"/>
    <w:rPr>
      <w:rFonts w:ascii="Arial" w:hAnsi="Arial"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5265B"/>
    <w:rPr>
      <w:rFonts w:ascii="Arial" w:hAnsi="Arial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35265B"/>
    <w:rPr>
      <w:rFonts w:ascii="Arial" w:hAnsi="Arial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35265B"/>
    <w:rPr>
      <w:rFonts w:ascii="Arial" w:hAnsi="Arial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35265B"/>
    <w:rPr>
      <w:rFonts w:ascii="Arial" w:hAnsi="Arial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35265B"/>
    <w:rPr>
      <w:rFonts w:ascii="Arial" w:hAnsi="Arial"/>
      <w:iCs/>
      <w:sz w:val="18"/>
      <w:szCs w:val="20"/>
    </w:rPr>
  </w:style>
  <w:style w:type="numbering" w:customStyle="1" w:styleId="Luettelomerkit">
    <w:name w:val="Luettelomerkit"/>
    <w:uiPriority w:val="99"/>
    <w:rsid w:val="0035265B"/>
    <w:pPr>
      <w:numPr>
        <w:numId w:val="3"/>
      </w:numPr>
    </w:pPr>
  </w:style>
  <w:style w:type="numbering" w:customStyle="1" w:styleId="Luettelonumerot">
    <w:name w:val="Luettelonumerot"/>
    <w:uiPriority w:val="99"/>
    <w:rsid w:val="0035265B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35265B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2"/>
    <w:qFormat/>
    <w:rsid w:val="0035265B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35265B"/>
    <w:rPr>
      <w:sz w:val="18"/>
      <w:szCs w:val="18"/>
    </w:rPr>
  </w:style>
  <w:style w:type="paragraph" w:styleId="Luettelokappale">
    <w:name w:val="List Paragraph"/>
    <w:basedOn w:val="Normaali"/>
    <w:uiPriority w:val="34"/>
    <w:semiHidden/>
    <w:qFormat/>
    <w:rsid w:val="0035265B"/>
    <w:pPr>
      <w:ind w:left="720"/>
      <w:contextualSpacing/>
    </w:pPr>
  </w:style>
  <w:style w:type="paragraph" w:customStyle="1" w:styleId="Vastaanottajatiedot">
    <w:name w:val="Vastaanottajatiedot"/>
    <w:basedOn w:val="Normaali"/>
    <w:qFormat/>
    <w:rsid w:val="0035265B"/>
  </w:style>
  <w:style w:type="character" w:customStyle="1" w:styleId="LLLihavointi">
    <w:name w:val="LLLihavointi"/>
    <w:basedOn w:val="Kappaleenoletusfontti"/>
    <w:rsid w:val="00E6435A"/>
    <w:rPr>
      <w:b/>
      <w:bCs w:val="0"/>
      <w:sz w:val="22"/>
      <w:lang w:val="fi-FI"/>
    </w:rPr>
  </w:style>
  <w:style w:type="character" w:customStyle="1" w:styleId="LLKursivointi">
    <w:name w:val="LLKursivointi"/>
    <w:basedOn w:val="Kappaleenoletusfontti"/>
    <w:rsid w:val="00E6435A"/>
    <w:rPr>
      <w:rFonts w:ascii="Times New Roman" w:hAnsi="Times New Roman" w:cs="Times New Roman" w:hint="default"/>
      <w:i/>
      <w:iCs w:val="0"/>
      <w:sz w:val="22"/>
      <w:lang w:val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säministeriö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1603</Words>
  <Characters>12992</Characters>
  <Application>Microsoft Office Word</Application>
  <DocSecurity>0</DocSecurity>
  <Lines>108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Sisäministeriö</Company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Bussman Susanne TEM</dc:creator>
  <cp:lastModifiedBy>tembussmsu1</cp:lastModifiedBy>
  <cp:revision>2</cp:revision>
  <dcterms:created xsi:type="dcterms:W3CDTF">2014-07-11T08:16:00Z</dcterms:created>
  <dcterms:modified xsi:type="dcterms:W3CDTF">2014-07-11T08:16:00Z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Asiakirja on sähköisesti allekirjoitettu asianhallintajärjestelmässä. Sisäministeriö SM 11.07.2014 klo 09:43. Allekirjoituksen oikeellisuuden voi todentaa kirjaamosta.</vt:lpwstr>
  </property>
  <property fmtid="{D5CDD505-2E9C-101B-9397-08002B2CF9AE}" pid="3" name="sm_asiakirjatyyppi">
    <vt:lpwstr>lausunto</vt:lpwstr>
  </property>
  <property fmtid="{D5CDD505-2E9C-101B-9397-08002B2CF9AE}" pid="4" name="sm_asiaryhmä">
    <vt:lpwstr>00.02.04</vt:lpwstr>
  </property>
  <property fmtid="{D5CDD505-2E9C-101B-9397-08002B2CF9AE}" pid="5" name="sm_diaarinro">
    <vt:lpwstr>SMDno-2014-1157</vt:lpwstr>
  </property>
  <property fmtid="{D5CDD505-2E9C-101B-9397-08002B2CF9AE}" pid="6" name="sm_id">
    <vt:lpwstr>SM145544</vt:lpwstr>
  </property>
  <property fmtid="{D5CDD505-2E9C-101B-9397-08002B2CF9AE}" pid="7" name="sm_käsittelyluokka">
    <vt:lpwstr/>
  </property>
  <property fmtid="{D5CDD505-2E9C-101B-9397-08002B2CF9AE}" pid="8" name="sm_laatija">
    <vt:lpwstr>Jousimaa Kristine SM</vt:lpwstr>
  </property>
  <property fmtid="{D5CDD505-2E9C-101B-9397-08002B2CF9AE}" pid="9" name="sm_laatimispvm">
    <vt:lpwstr>10.7.2014 17:23:50</vt:lpwstr>
  </property>
  <property fmtid="{D5CDD505-2E9C-101B-9397-08002B2CF9AE}" pid="10" name="sm_lähettäjä">
    <vt:lpwstr>Lähettäjä</vt:lpwstr>
  </property>
  <property fmtid="{D5CDD505-2E9C-101B-9397-08002B2CF9AE}" pid="11" name="sm_määräaika">
    <vt:lpwstr/>
  </property>
  <property fmtid="{D5CDD505-2E9C-101B-9397-08002B2CF9AE}" pid="12" name="sm_organisaatio">
    <vt:lpwstr>Sisäministeriö SM</vt:lpwstr>
  </property>
  <property fmtid="{D5CDD505-2E9C-101B-9397-08002B2CF9AE}" pid="13" name="sm_osasto">
    <vt:lpwstr>Pelastusosasto</vt:lpwstr>
  </property>
  <property fmtid="{D5CDD505-2E9C-101B-9397-08002B2CF9AE}" pid="14" name="sm_otsikko">
    <vt:lpwstr>Ehdotus hallituksen esitykseksi Eduskunnalle laiksi vaarallisten kemikaalien ja räjähteiden käsittelyn turvallisuudesta annetun lain muuttamisesta</vt:lpwstr>
  </property>
  <property fmtid="{D5CDD505-2E9C-101B-9397-08002B2CF9AE}" pid="15" name="sm_pvm">
    <vt:lpwstr>11.07.2014</vt:lpwstr>
  </property>
  <property fmtid="{D5CDD505-2E9C-101B-9397-08002B2CF9AE}" pid="16" name="sm_salassapitoperuste">
    <vt:lpwstr/>
  </property>
  <property fmtid="{D5CDD505-2E9C-101B-9397-08002B2CF9AE}" pid="17" name="sm_tila">
    <vt:lpwstr>signingInProgress</vt:lpwstr>
  </property>
  <property fmtid="{D5CDD505-2E9C-101B-9397-08002B2CF9AE}" pid="18" name="sm_turvallisuusluokka">
    <vt:lpwstr/>
  </property>
  <property fmtid="{D5CDD505-2E9C-101B-9397-08002B2CF9AE}" pid="19" name="sm_turvallisuusperuste">
    <vt:lpwstr>Turvallisuusperuste</vt:lpwstr>
  </property>
  <property fmtid="{D5CDD505-2E9C-101B-9397-08002B2CF9AE}" pid="20" name="sm_vastaanottaja">
    <vt:lpwstr>Vastaanottaja</vt:lpwstr>
  </property>
</Properties>
</file>