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3514EC"/>
    <w:p w:rsidR="00F347AD"/>
    <w:p w:rsidR="00F347AD"/>
    <w:p w:rsidR="00AE0CDB" w:rsidP="00032790">
      <w:pPr>
        <w:pStyle w:val="Title"/>
        <w:ind w:right="-55"/>
      </w:pPr>
      <w:r>
        <w:fldChar w:fldCharType="begin"/>
      </w:r>
      <w:r>
        <w:instrText xml:space="preserve"> DOCPROPERTY  sm_otsikko  \* MERGEFORMAT </w:instrText>
      </w:r>
      <w:r>
        <w:fldChar w:fldCharType="separate"/>
      </w:r>
      <w:r>
        <w:t>HAK; Hätäkeskuslaitoksen arvio lainsäädäntöhankkeen kustannusvaikutuksista</w:t>
      </w:r>
      <w:r>
        <w:fldChar w:fldCharType="end"/>
      </w:r>
    </w:p>
    <w:p w:rsidR="003514EC" w:rsidP="003514EC">
      <w:pPr>
        <w:pStyle w:val="BodyText"/>
      </w:pPr>
      <w:r>
        <w:t>Hätäkeskustoimintaa säätelevän lain valmisteluvaiheen version perusteella Hätäkeskuslaitos on arvioinut mahdollisia teknisiä muutostarpeita hätäkeskustietojärjestelmään. Laskelman lähtökohtana on, että hätäkeskustietojärjestelmään talletettavat tiedot ovat</w:t>
      </w:r>
      <w:r>
        <w:t xml:space="preserve"> tämänhetkisen käytön mukaiset eli käyttötarkoitus ja -laajuus ovat nykyisenlaiset ja käytännössä toteutetaan vain rekisterinpitäjille mahdollisuus oman alueensa tietoihin. Tässä kustannusarviossa on arvioitu vain välttämättömien lisätöiden vaikutukset. Tä</w:t>
      </w:r>
      <w:r>
        <w:t xml:space="preserve">män lisäksi laskelmassa oletetaan, että lisäclientien määrä ei aiheuta Erica-hätäkeskustietojärjestelmän kapasiteetin lisäämistä. </w:t>
      </w:r>
    </w:p>
    <w:p w:rsidR="003514EC" w:rsidP="003514EC">
      <w:pPr>
        <w:pStyle w:val="BodyText"/>
      </w:pPr>
      <w:r>
        <w:t>Alla olevaan taulukkoon on pyritty arvioimaan sellaisia järjestelmäteknisiä muutoksia, jotka lakiluonnoksen ja sen perusteluj</w:t>
      </w:r>
      <w:r>
        <w:t>en perusteella näyttävät todennäköisiltä. Oletuksena on, että hätäkeskuspäivystäjien näkyvyydet pysyvät nykyisenä eikä viestiliikennetallennuksiin tule lisätarpeita. Jos teknisiä muutoksia ei toteuteta vaan esim. kantelutapauksissa tietojen etsintä ja luov</w:t>
      </w:r>
      <w:r>
        <w:t xml:space="preserve">utus tehdään hätäkeskuslaitoksen toimesta, se edellyttää Hätäkeskuslaitokselle noin kolmen (3) henkilötyövuoden lisäystä. </w:t>
      </w:r>
    </w:p>
    <w:p w:rsidR="003514EC" w:rsidP="003514EC">
      <w:pPr>
        <w:pStyle w:val="BodyText"/>
      </w:pPr>
      <w:r>
        <w:t>Muutoksen toteuttaminen vaatisi Hätäkeskuslaitokselta ja toimialoilta työtä vähintään seuraavasti: Hätäkeskuslaitokselta 5 henkilötyö</w:t>
      </w:r>
      <w:r>
        <w:t>vuotta ja toimialoilta 4 henkilötyövuotta kutakin toimialaa kohden (2 htv/vuosi). Henkilötyöarvio on tehty yhdessä hätäkeskustietojärjestelmän toimittajan Cinia Oy:n kanssa. Viranomaisten henkilötyövuosimäärä tulisi siis olemaan 17 henkilötyövuotta, jolloi</w:t>
      </w:r>
      <w:r>
        <w:t>n henkilötyövuosikustannus tulisi olemaan n. 1,2 miljoonaa euroa (laskentaperuste 70 000 euroa/htv).</w:t>
      </w:r>
    </w:p>
    <w:p w:rsidR="00DD54BE" w:rsidP="003514EC">
      <w:pPr>
        <w:pStyle w:val="BodyText"/>
      </w:pPr>
      <w:r>
        <w:t>Taulukossa lueteltujen muutosten toteuttaminen vie arviolta aikaa n. 2 vuotta siitä, kun niiden suunnittelu aloitetaan. Hätäkeskuslaitokselle on tulossa me</w:t>
      </w:r>
      <w:r>
        <w:t>rkittäviä muitakin muutostöitä mm. VIRVE 2.0, jotka sinänsä eivät liity lakihankkeeseen mutta jotka on tehtävä joka tapauksessa, joten päällekkäin ei voida toteuttaa kaikkia asioita. Tämä tulee ottaa huomioon lain voimaantulosäännöksissä.</w:t>
      </w:r>
    </w:p>
    <w:p w:rsidR="003514EC" w:rsidP="003514EC">
      <w:pPr>
        <w:pStyle w:val="BodyText"/>
      </w:pPr>
      <w:r>
        <w:t>Alla olevassa tau</w:t>
      </w:r>
      <w:r>
        <w:t>lukossa on mainittu tarvittavat muutokset tarkemmin:</w:t>
      </w:r>
    </w:p>
    <w:p w:rsidR="003514EC" w:rsidP="003514EC">
      <w:pPr>
        <w:pStyle w:val="BodyText"/>
        <w:numPr>
          <w:ilvl w:val="0"/>
          <w:numId w:val="44"/>
        </w:numPr>
      </w:pPr>
      <w:r>
        <w:t>Erica client -näkyvyydet tarkoittavat viranomaisten käytössä olevia Erican toiminnallisuuksia, jotka ovat käytännössä samanlaisia kuin hätäkeskuspäivystäjät käyttävät. Näihin on tehtävä muutokset niin, e</w:t>
      </w:r>
      <w:r>
        <w:t xml:space="preserve">ttä jokainen rekisterinpitäjä näkee vain omat tietonsa. Erica clientin kautta siis esim. kaikki viestiyhteydet ym. ovat käytettävissä. Tällä hetkellä näkyvyydet on rajoitettu ainoastaan toimialoittain. </w:t>
      </w:r>
    </w:p>
    <w:p w:rsidR="003514EC" w:rsidP="003514EC">
      <w:pPr>
        <w:pStyle w:val="BodyText"/>
        <w:numPr>
          <w:ilvl w:val="0"/>
          <w:numId w:val="44"/>
        </w:numPr>
      </w:pPr>
      <w:r>
        <w:t>Erica portal -näkyvyydet tarkoittavat sitä, että joka</w:t>
      </w:r>
      <w:r>
        <w:t xml:space="preserve">inen rekisterinpitäjä kykenee näkemään omat tehtävänsä hätäkeskustietojärjestelmästä ja kykenee syöttämään omat hätäkeskustoimintaan tarvittavat tietonsa järjestelmään. Tällä hetkellä näkyvyydet on rajoitettu ainoastaan toimialoittain. </w:t>
      </w:r>
    </w:p>
    <w:p w:rsidR="003514EC" w:rsidP="003514EC">
      <w:pPr>
        <w:pStyle w:val="BodyText"/>
        <w:numPr>
          <w:ilvl w:val="0"/>
          <w:numId w:val="44"/>
        </w:numPr>
      </w:pPr>
      <w:r>
        <w:t>Erica portal -puhel</w:t>
      </w:r>
      <w:r>
        <w:t>utallenteiden kuuntelu tarkoittaa sitä, että kukin toimiala voi kuunnella omaan tehtäväänsä kuuluvat hätäpuhelutallenteet. Hätäpuhelutallenteiden kuuntelu toteutetaan niin, että jokainen rekisterinpitäjä voi kuunnella ainoastaan oman alueensa hätäpuhelutal</w:t>
      </w:r>
      <w:r>
        <w:t>lenteet. Tällä hetkellä jako on tehty toimialoittain.</w:t>
      </w:r>
    </w:p>
    <w:p w:rsidR="003514EC" w:rsidP="003514EC">
      <w:pPr>
        <w:pStyle w:val="BodyText"/>
        <w:numPr>
          <w:ilvl w:val="0"/>
          <w:numId w:val="44"/>
        </w:numPr>
      </w:pPr>
      <w:r>
        <w:t xml:space="preserve">Lokirekisterin käytönvalvonnan työkalu toteutetaan jokaiselle rekisterinpitäjälle. Tällä hetkellä tämä on toteutettu poliisille ja Hätäkeskuslaitokselle. </w:t>
      </w:r>
    </w:p>
    <w:p w:rsidR="003514EC" w:rsidP="003514EC">
      <w:pPr>
        <w:pStyle w:val="BodyText"/>
        <w:numPr>
          <w:ilvl w:val="0"/>
          <w:numId w:val="44"/>
        </w:numPr>
      </w:pPr>
      <w:r>
        <w:t>Rekisterinpitäjien lisääntymisen määrä vaikutta</w:t>
      </w:r>
      <w:r>
        <w:t>a yhtäaikaisten käyttäjien määrään. Tämä vaatii Erica clientejä lisää ja sitä kautta lisää käyttäjälisenssejä, joista aiheutuva kustannus on pysyvä vuosittainen kustannus riippuen lisäkäyttäjien määrästä. Tässä on arvioitu lisäkäyttäjien määrän nousevan 44</w:t>
      </w:r>
      <w:r>
        <w:t xml:space="preserve"> lisäkäyttäjällä eli kaikien hyvinvointialueiden ja Helsingin terveystoimelle ja sosiaalitoimelle.  </w:t>
      </w:r>
    </w:p>
    <w:p w:rsidR="003514EC" w:rsidP="003514EC">
      <w:pPr>
        <w:pStyle w:val="BodyText"/>
        <w:numPr>
          <w:ilvl w:val="0"/>
          <w:numId w:val="44"/>
        </w:numPr>
      </w:pPr>
      <w:r>
        <w:t>Erica EDU -koulutuskäyttö vaatii EDU-tietojärjestelmän kapasiteetin lisäystä, joka Hätäkeskuslaitoksen osalta tulisi olemaan n. 50 000 euroa. Tämän lisäksi</w:t>
      </w:r>
      <w:r>
        <w:t xml:space="preserve"> jokainen toimialan vastaa itse käyttöpisteidensä TUVE-yhteyksien ja EDU-verkon rakentamisesta. Tätä kustannusta ei ole otettu tässä arviossa huomioon.</w:t>
      </w:r>
    </w:p>
    <w:p w:rsidR="003514EC" w:rsidP="003514EC">
      <w:pPr>
        <w:pStyle w:val="BodyText"/>
        <w:ind w:left="3328"/>
      </w:pPr>
    </w:p>
    <w:tbl>
      <w:tblPr>
        <w:tblStyle w:val="TaulukkoRuudukko1"/>
        <w:tblpPr w:leftFromText="141" w:rightFromText="141" w:vertAnchor="text" w:horzAnchor="margin" w:tblpY="11"/>
        <w:tblOverlap w:val="never"/>
        <w:tblW w:w="10349" w:type="dxa"/>
        <w:tblLook w:val="04A0"/>
      </w:tblPr>
      <w:tblGrid>
        <w:gridCol w:w="1918"/>
        <w:gridCol w:w="2196"/>
        <w:gridCol w:w="2112"/>
        <w:gridCol w:w="2049"/>
        <w:gridCol w:w="2074"/>
      </w:tblGrid>
      <w:tr w:rsidTr="003514EC">
        <w:tblPrEx>
          <w:tblW w:w="10349" w:type="dxa"/>
          <w:tblLook w:val="04A0"/>
        </w:tblPrEx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EC" w:rsidRPr="003514EC" w:rsidP="003514EC">
            <w:pPr>
              <w:rPr>
                <w:rFonts w:ascii="Calibri" w:hAnsi="Calibri"/>
                <w:b/>
              </w:rPr>
            </w:pPr>
            <w:r w:rsidRPr="003514EC">
              <w:rPr>
                <w:rFonts w:ascii="Calibri" w:hAnsi="Calibri"/>
                <w:b/>
              </w:rPr>
              <w:t>Mahdollinen toiminnallinen muutostarve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EC" w:rsidRPr="003514EC" w:rsidP="003514EC">
            <w:pPr>
              <w:rPr>
                <w:rFonts w:ascii="Calibri" w:hAnsi="Calibri"/>
                <w:b/>
              </w:rPr>
            </w:pPr>
            <w:r w:rsidRPr="003514EC">
              <w:rPr>
                <w:rFonts w:ascii="Calibri" w:hAnsi="Calibri"/>
                <w:b/>
              </w:rPr>
              <w:t>Arvioitu tekninen muutostyö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EC" w:rsidRPr="003514EC" w:rsidP="003514EC">
            <w:pPr>
              <w:rPr>
                <w:rFonts w:ascii="Calibri" w:hAnsi="Calibri"/>
                <w:b/>
              </w:rPr>
            </w:pPr>
            <w:r w:rsidRPr="003514EC">
              <w:rPr>
                <w:rFonts w:ascii="Calibri" w:hAnsi="Calibri"/>
                <w:b/>
              </w:rPr>
              <w:t>Kertakustannusarvio /€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EC" w:rsidRPr="003514EC" w:rsidP="003514EC">
            <w:pPr>
              <w:rPr>
                <w:rFonts w:ascii="Calibri" w:hAnsi="Calibri"/>
                <w:b/>
              </w:rPr>
            </w:pPr>
            <w:r w:rsidRPr="003514EC">
              <w:rPr>
                <w:rFonts w:ascii="Calibri" w:hAnsi="Calibri"/>
                <w:b/>
              </w:rPr>
              <w:t>Jatkuvien käy</w:t>
            </w:r>
            <w:r w:rsidRPr="003514EC">
              <w:rPr>
                <w:rFonts w:ascii="Calibri" w:hAnsi="Calibri"/>
                <w:b/>
              </w:rPr>
              <w:t>ttökustannusten tarve /€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EC" w:rsidRPr="003514EC" w:rsidP="003514EC">
            <w:pPr>
              <w:rPr>
                <w:rFonts w:ascii="Calibri" w:hAnsi="Calibri"/>
                <w:b/>
              </w:rPr>
            </w:pPr>
            <w:r w:rsidRPr="003514EC">
              <w:rPr>
                <w:rFonts w:ascii="Calibri" w:hAnsi="Calibri"/>
                <w:b/>
              </w:rPr>
              <w:t>Tarkenne</w:t>
            </w:r>
          </w:p>
        </w:tc>
      </w:tr>
      <w:tr w:rsidTr="003514EC">
        <w:tblPrEx>
          <w:tblW w:w="10349" w:type="dxa"/>
          <w:tblLook w:val="04A0"/>
        </w:tblPrEx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EC" w:rsidRPr="003514EC" w:rsidP="003514EC">
            <w:pPr>
              <w:rPr>
                <w:rFonts w:ascii="Calibri" w:hAnsi="Calibri"/>
              </w:rPr>
            </w:pPr>
            <w:r w:rsidRPr="003514EC">
              <w:rPr>
                <w:rFonts w:ascii="Calibri" w:hAnsi="Calibri"/>
              </w:rPr>
              <w:t>Erica client -näkyvyyksien muutokset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EC" w:rsidRPr="003514EC" w:rsidP="003514EC">
            <w:pPr>
              <w:rPr>
                <w:rFonts w:ascii="Calibri" w:hAnsi="Calibri"/>
              </w:rPr>
            </w:pPr>
            <w:r w:rsidRPr="003514EC">
              <w:rPr>
                <w:rFonts w:ascii="Calibri" w:hAnsi="Calibri"/>
              </w:rPr>
              <w:t>Tietokenttien merkintä ja alueelliset näkyvyydet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EC" w:rsidRPr="003514EC" w:rsidP="003514EC">
            <w:pPr>
              <w:rPr>
                <w:rFonts w:ascii="Calibri" w:hAnsi="Calibri"/>
              </w:rPr>
            </w:pPr>
            <w:r w:rsidRPr="003514EC">
              <w:rPr>
                <w:rFonts w:ascii="Calibri" w:hAnsi="Calibri"/>
              </w:rPr>
              <w:t>1 000 000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EC" w:rsidRPr="003514EC" w:rsidP="003514EC">
            <w:pPr>
              <w:rPr>
                <w:rFonts w:ascii="Calibri" w:hAnsi="Calibri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EC" w:rsidRPr="003514EC" w:rsidP="003514EC">
            <w:pPr>
              <w:rPr>
                <w:rFonts w:ascii="Calibri" w:hAnsi="Calibri"/>
              </w:rPr>
            </w:pPr>
            <w:r w:rsidRPr="003514EC">
              <w:rPr>
                <w:rFonts w:ascii="Calibri" w:hAnsi="Calibri"/>
              </w:rPr>
              <w:t>Jokainen rekisterinpitäjä näkee vain itseään koskevat tiedot</w:t>
            </w:r>
          </w:p>
        </w:tc>
      </w:tr>
      <w:tr w:rsidTr="003514EC">
        <w:tblPrEx>
          <w:tblW w:w="10349" w:type="dxa"/>
          <w:tblLook w:val="04A0"/>
        </w:tblPrEx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EC" w:rsidRPr="003514EC" w:rsidP="003514EC">
            <w:pPr>
              <w:rPr>
                <w:rFonts w:ascii="Calibri" w:hAnsi="Calibri"/>
              </w:rPr>
            </w:pPr>
            <w:r w:rsidRPr="003514EC">
              <w:rPr>
                <w:rFonts w:ascii="Calibri" w:hAnsi="Calibri"/>
              </w:rPr>
              <w:t>ERICA Portal -näkyvyyksien muutokset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EC" w:rsidRPr="003514EC" w:rsidP="003514EC">
            <w:pPr>
              <w:rPr>
                <w:rFonts w:ascii="Calibri" w:hAnsi="Calibri"/>
              </w:rPr>
            </w:pPr>
            <w:r w:rsidRPr="003514EC">
              <w:rPr>
                <w:rFonts w:ascii="Calibri" w:hAnsi="Calibri"/>
              </w:rPr>
              <w:t xml:space="preserve">Tietojen eriyttäminen </w:t>
            </w:r>
            <w:r w:rsidRPr="003514EC">
              <w:rPr>
                <w:rFonts w:ascii="Calibri" w:hAnsi="Calibri"/>
              </w:rPr>
              <w:t>Portal-toiminnoissa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EC" w:rsidRPr="003514EC" w:rsidP="003514EC">
            <w:pPr>
              <w:rPr>
                <w:rFonts w:ascii="Calibri" w:hAnsi="Calibri"/>
              </w:rPr>
            </w:pPr>
            <w:r w:rsidRPr="003514EC">
              <w:rPr>
                <w:rFonts w:ascii="Calibri" w:hAnsi="Calibri"/>
              </w:rPr>
              <w:t>500 000</w:t>
            </w:r>
          </w:p>
          <w:p w:rsidR="003514EC" w:rsidRPr="003514EC" w:rsidP="003514EC">
            <w:pPr>
              <w:rPr>
                <w:rFonts w:ascii="Calibri" w:hAnsi="Calibri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EC" w:rsidRPr="003514EC" w:rsidP="003514EC">
            <w:pPr>
              <w:rPr>
                <w:rFonts w:ascii="Calibri" w:hAnsi="Calibri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EC" w:rsidRPr="003514EC" w:rsidP="003514EC">
            <w:pPr>
              <w:rPr>
                <w:rFonts w:ascii="Calibri" w:hAnsi="Calibri"/>
              </w:rPr>
            </w:pPr>
            <w:r w:rsidRPr="003514EC">
              <w:rPr>
                <w:rFonts w:ascii="Calibri" w:hAnsi="Calibri"/>
              </w:rPr>
              <w:t>Jokainen rekisterinpitäjä näkee vain itseään koskevaa tietoa.</w:t>
            </w:r>
          </w:p>
        </w:tc>
      </w:tr>
      <w:tr w:rsidTr="003514EC">
        <w:tblPrEx>
          <w:tblW w:w="10349" w:type="dxa"/>
          <w:tblLook w:val="04A0"/>
        </w:tblPrEx>
        <w:trPr>
          <w:trHeight w:val="2146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EC" w:rsidRPr="003514EC" w:rsidP="003514EC">
            <w:pPr>
              <w:rPr>
                <w:rFonts w:ascii="Calibri" w:hAnsi="Calibri"/>
              </w:rPr>
            </w:pPr>
            <w:r w:rsidRPr="003514EC">
              <w:rPr>
                <w:rFonts w:ascii="Calibri" w:hAnsi="Calibri"/>
              </w:rPr>
              <w:t>ERICA Portal -puhelutallenteiden kuuntelu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EC" w:rsidRPr="003514EC" w:rsidP="003514EC">
            <w:pPr>
              <w:rPr>
                <w:rFonts w:ascii="Calibri" w:hAnsi="Calibri"/>
              </w:rPr>
            </w:pPr>
            <w:r w:rsidRPr="003514EC">
              <w:rPr>
                <w:rFonts w:ascii="Calibri" w:hAnsi="Calibri"/>
              </w:rPr>
              <w:t>Toteutetaan tallenteiden kuuntelumahdollisuus kaikille rekisterinpitäjille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EC" w:rsidRPr="003514EC" w:rsidP="003514EC">
            <w:pPr>
              <w:rPr>
                <w:rFonts w:ascii="Calibri" w:hAnsi="Calibri"/>
              </w:rPr>
            </w:pPr>
            <w:r w:rsidRPr="003514EC">
              <w:rPr>
                <w:rFonts w:ascii="Calibri" w:hAnsi="Calibri"/>
              </w:rPr>
              <w:t>500 000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EC" w:rsidRPr="003514EC" w:rsidP="003514EC">
            <w:pPr>
              <w:rPr>
                <w:rFonts w:ascii="Calibri" w:hAnsi="Calibri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EC" w:rsidRPr="003514EC" w:rsidP="003514EC">
            <w:pPr>
              <w:rPr>
                <w:rFonts w:ascii="Calibri" w:hAnsi="Calibri"/>
              </w:rPr>
            </w:pPr>
            <w:r w:rsidRPr="003514EC">
              <w:rPr>
                <w:rFonts w:ascii="Calibri" w:hAnsi="Calibri"/>
              </w:rPr>
              <w:t>Jokainen rekisterinpitäjä pystyy kuun</w:t>
            </w:r>
            <w:r w:rsidRPr="003514EC">
              <w:rPr>
                <w:rFonts w:ascii="Calibri" w:hAnsi="Calibri"/>
              </w:rPr>
              <w:t>telemaan omaa rekisterinpitoa koskevat puhelutallenteet.</w:t>
            </w:r>
          </w:p>
          <w:p w:rsidR="003514EC" w:rsidRPr="003514EC" w:rsidP="003514EC">
            <w:pPr>
              <w:rPr>
                <w:rFonts w:ascii="Calibri" w:hAnsi="Calibri"/>
              </w:rPr>
            </w:pPr>
          </w:p>
        </w:tc>
      </w:tr>
      <w:tr w:rsidTr="003514EC">
        <w:tblPrEx>
          <w:tblW w:w="10349" w:type="dxa"/>
          <w:tblLook w:val="04A0"/>
        </w:tblPrEx>
        <w:trPr>
          <w:trHeight w:val="99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EC" w:rsidRPr="003514EC" w:rsidP="003514EC">
            <w:pPr>
              <w:rPr>
                <w:rFonts w:ascii="Calibri" w:hAnsi="Calibri"/>
              </w:rPr>
            </w:pPr>
            <w:r w:rsidRPr="003514EC">
              <w:rPr>
                <w:rFonts w:ascii="Calibri" w:hAnsi="Calibri"/>
              </w:rPr>
              <w:t xml:space="preserve">Käytönvalvonnan työkalu rekisterinpitäjille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EC" w:rsidRPr="003514EC" w:rsidP="003514EC">
            <w:pPr>
              <w:rPr>
                <w:rFonts w:ascii="Calibri" w:hAnsi="Calibri"/>
              </w:rPr>
            </w:pPr>
            <w:r w:rsidRPr="003514EC">
              <w:rPr>
                <w:rFonts w:ascii="Calibri" w:hAnsi="Calibri"/>
              </w:rPr>
              <w:t>Toteutetaan ERICA-lokien käsittely rekisterinpitäjittäin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EC" w:rsidRPr="003514EC" w:rsidP="003514EC">
            <w:pPr>
              <w:rPr>
                <w:rFonts w:ascii="Calibri" w:hAnsi="Calibri"/>
              </w:rPr>
            </w:pPr>
            <w:r w:rsidRPr="003514EC">
              <w:rPr>
                <w:rFonts w:ascii="Calibri" w:hAnsi="Calibri"/>
              </w:rPr>
              <w:t>350 000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EC" w:rsidRPr="003514EC" w:rsidP="003514EC">
            <w:pPr>
              <w:rPr>
                <w:rFonts w:ascii="Calibri" w:hAnsi="Calibri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EC" w:rsidRPr="003514EC" w:rsidP="003514EC">
            <w:pPr>
              <w:rPr>
                <w:rFonts w:ascii="Calibri" w:hAnsi="Calibri"/>
              </w:rPr>
            </w:pPr>
            <w:r w:rsidRPr="003514EC">
              <w:rPr>
                <w:rFonts w:ascii="Calibri" w:hAnsi="Calibri"/>
              </w:rPr>
              <w:t>Jokainen rekisterinpitäjä näkee vain itseään koskevaa tietoa.</w:t>
            </w:r>
          </w:p>
        </w:tc>
      </w:tr>
      <w:tr w:rsidTr="003514EC">
        <w:tblPrEx>
          <w:tblW w:w="10349" w:type="dxa"/>
          <w:tblLook w:val="04A0"/>
        </w:tblPrEx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EC" w:rsidRPr="003514EC" w:rsidP="003514EC">
            <w:pPr>
              <w:rPr>
                <w:rFonts w:ascii="Calibri" w:hAnsi="Calibri"/>
              </w:rPr>
            </w:pPr>
            <w:r w:rsidRPr="003514EC">
              <w:rPr>
                <w:rFonts w:ascii="Calibri" w:hAnsi="Calibri"/>
              </w:rPr>
              <w:t>ERICA EDU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EC" w:rsidRPr="003514EC" w:rsidP="003514EC">
            <w:pPr>
              <w:rPr>
                <w:rFonts w:ascii="Calibri" w:hAnsi="Calibri"/>
              </w:rPr>
            </w:pPr>
            <w:r w:rsidRPr="003514EC">
              <w:rPr>
                <w:rFonts w:ascii="Calibri" w:hAnsi="Calibri"/>
              </w:rPr>
              <w:t>ERICA client</w:t>
            </w:r>
            <w:r w:rsidRPr="003514EC">
              <w:rPr>
                <w:rFonts w:ascii="Calibri" w:hAnsi="Calibri"/>
              </w:rPr>
              <w:t xml:space="preserve"> -koulutuskäyttö</w:t>
            </w:r>
          </w:p>
          <w:p w:rsidR="003514EC" w:rsidRPr="003514EC" w:rsidP="003514EC">
            <w:pPr>
              <w:rPr>
                <w:rFonts w:ascii="Calibri" w:hAnsi="Calibri"/>
              </w:rPr>
            </w:pPr>
            <w:r w:rsidRPr="003514EC">
              <w:rPr>
                <w:rFonts w:ascii="Calibri" w:hAnsi="Calibri"/>
              </w:rPr>
              <w:t>Cianian ja häken työt.</w:t>
            </w:r>
          </w:p>
          <w:p w:rsidR="003514EC" w:rsidRPr="003514EC" w:rsidP="003514EC">
            <w:pPr>
              <w:rPr>
                <w:rFonts w:ascii="Calibri" w:hAnsi="Calibri"/>
              </w:rPr>
            </w:pPr>
          </w:p>
          <w:p w:rsidR="003514EC" w:rsidRPr="003514EC" w:rsidP="003514EC">
            <w:pPr>
              <w:rPr>
                <w:rFonts w:ascii="Calibri" w:hAnsi="Calibri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EC" w:rsidRPr="003514EC" w:rsidP="003514EC">
            <w:pPr>
              <w:rPr>
                <w:rFonts w:ascii="Calibri" w:hAnsi="Calibri"/>
              </w:rPr>
            </w:pPr>
            <w:r w:rsidRPr="003514EC">
              <w:rPr>
                <w:rFonts w:ascii="Calibri" w:hAnsi="Calibri"/>
              </w:rPr>
              <w:t>50 000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EC" w:rsidRPr="003514EC" w:rsidP="003514EC">
            <w:pPr>
              <w:rPr>
                <w:rFonts w:ascii="Calibri" w:hAnsi="Calibri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EC" w:rsidRPr="003514EC" w:rsidP="003514EC">
            <w:pPr>
              <w:rPr>
                <w:rFonts w:ascii="Calibri" w:hAnsi="Calibri"/>
              </w:rPr>
            </w:pPr>
            <w:r w:rsidRPr="003514EC">
              <w:rPr>
                <w:rFonts w:ascii="Calibri" w:hAnsi="Calibri"/>
              </w:rPr>
              <w:t>1. Käyttöpisteiden TUVE rakentaminen.</w:t>
            </w:r>
          </w:p>
          <w:p w:rsidR="003514EC" w:rsidRPr="003514EC" w:rsidP="003514EC">
            <w:pPr>
              <w:rPr>
                <w:rFonts w:ascii="Calibri" w:hAnsi="Calibri"/>
              </w:rPr>
            </w:pPr>
            <w:r w:rsidRPr="003514EC">
              <w:rPr>
                <w:rFonts w:ascii="Calibri" w:hAnsi="Calibri"/>
              </w:rPr>
              <w:t xml:space="preserve">2. ERICA EDU -verkon rakentaminen toimipisteisiin. </w:t>
            </w:r>
          </w:p>
        </w:tc>
      </w:tr>
      <w:tr w:rsidTr="003514EC">
        <w:tblPrEx>
          <w:tblW w:w="10349" w:type="dxa"/>
          <w:tblLook w:val="04A0"/>
        </w:tblPrEx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EC" w:rsidRPr="003514EC" w:rsidP="003514EC">
            <w:pPr>
              <w:rPr>
                <w:rFonts w:ascii="Calibri" w:hAnsi="Calibri"/>
              </w:rPr>
            </w:pPr>
            <w:r w:rsidRPr="003514EC">
              <w:rPr>
                <w:rFonts w:ascii="Calibri" w:hAnsi="Calibri"/>
              </w:rPr>
              <w:t>Käyttäjämäärän lisäys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EC" w:rsidRPr="003514EC" w:rsidP="003514EC">
            <w:pPr>
              <w:rPr>
                <w:rFonts w:ascii="Calibri" w:hAnsi="Calibri"/>
              </w:rPr>
            </w:pPr>
            <w:r w:rsidRPr="003514EC">
              <w:rPr>
                <w:rFonts w:ascii="Calibri" w:hAnsi="Calibri"/>
              </w:rPr>
              <w:t>Mikäli yhtäaikaisia käyttäjien määrä ylittää 200, niin Cinia joutuu hankkimaan lisälisenssejä</w:t>
            </w:r>
            <w:r w:rsidRPr="003514EC">
              <w:rPr>
                <w:rFonts w:ascii="Calibri" w:hAnsi="Calibri"/>
              </w:rPr>
              <w:t>, joiden vuosimaksu on 10.000 €/vuosi /käyttäjä. Hyvinvointialueiden myötä on tunnistettu mahdollinen lisätarve EH ja SOS puolen osalta.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EC" w:rsidRPr="003514EC" w:rsidP="003514EC">
            <w:pPr>
              <w:rPr>
                <w:rFonts w:ascii="Calibri" w:hAnsi="Calibri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EC" w:rsidRPr="003514EC" w:rsidP="003514EC">
            <w:pPr>
              <w:rPr>
                <w:rFonts w:ascii="Calibri" w:hAnsi="Calibri"/>
              </w:rPr>
            </w:pPr>
            <w:r w:rsidRPr="003514EC">
              <w:rPr>
                <w:rFonts w:ascii="Calibri" w:hAnsi="Calibri"/>
              </w:rPr>
              <w:t>440 000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EC" w:rsidRPr="003514EC" w:rsidP="003514EC">
            <w:pPr>
              <w:rPr>
                <w:rFonts w:ascii="Calibri" w:hAnsi="Calibri"/>
              </w:rPr>
            </w:pPr>
            <w:r w:rsidRPr="003514EC">
              <w:rPr>
                <w:rFonts w:ascii="Calibri" w:hAnsi="Calibri"/>
              </w:rPr>
              <w:t xml:space="preserve">22 hyvinvointialuet-ta ja Helsinki </w:t>
            </w:r>
          </w:p>
          <w:p w:rsidR="003514EC" w:rsidRPr="003514EC" w:rsidP="003514EC">
            <w:pPr>
              <w:rPr>
                <w:rFonts w:ascii="Calibri" w:hAnsi="Calibri"/>
              </w:rPr>
            </w:pPr>
            <w:r w:rsidRPr="003514EC">
              <w:rPr>
                <w:rFonts w:ascii="Calibri" w:hAnsi="Calibri"/>
              </w:rPr>
              <w:t>SOS ERICA client =&gt; (lisäys 22 client)</w:t>
            </w:r>
          </w:p>
          <w:p w:rsidR="003514EC" w:rsidRPr="003514EC" w:rsidP="003514EC">
            <w:pPr>
              <w:rPr>
                <w:rFonts w:ascii="Calibri" w:hAnsi="Calibri"/>
              </w:rPr>
            </w:pPr>
            <w:r w:rsidRPr="003514EC">
              <w:rPr>
                <w:rFonts w:ascii="Calibri" w:hAnsi="Calibri"/>
              </w:rPr>
              <w:t xml:space="preserve">Lisäys yhteensä arviolta: 44 ERICA </w:t>
            </w:r>
            <w:r w:rsidRPr="003514EC">
              <w:rPr>
                <w:rFonts w:ascii="Calibri" w:hAnsi="Calibri"/>
              </w:rPr>
              <w:t>-client työasemaa</w:t>
            </w:r>
          </w:p>
        </w:tc>
      </w:tr>
      <w:tr w:rsidTr="003514EC">
        <w:tblPrEx>
          <w:tblW w:w="10349" w:type="dxa"/>
          <w:tblLook w:val="04A0"/>
        </w:tblPrEx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EC" w:rsidRPr="003514EC" w:rsidP="003514EC">
            <w:pPr>
              <w:rPr>
                <w:rFonts w:ascii="Calibri" w:hAnsi="Calibri"/>
              </w:rPr>
            </w:pPr>
            <w:r w:rsidRPr="003514EC">
              <w:rPr>
                <w:rFonts w:ascii="Calibri" w:hAnsi="Calibri"/>
              </w:rPr>
              <w:t>Stuve-maksut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EC" w:rsidRPr="003514EC" w:rsidP="003514EC">
            <w:pPr>
              <w:rPr>
                <w:rFonts w:ascii="Calibri" w:hAnsi="Calibri"/>
              </w:rPr>
            </w:pPr>
            <w:r w:rsidRPr="003514EC">
              <w:rPr>
                <w:rFonts w:ascii="Calibri" w:hAnsi="Calibri"/>
              </w:rPr>
              <w:t xml:space="preserve">Erica clientien stuve-maksut.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EC" w:rsidRPr="003514EC" w:rsidP="003514EC">
            <w:pPr>
              <w:rPr>
                <w:rFonts w:ascii="Calibri" w:hAnsi="Calibri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EC" w:rsidRPr="003514EC" w:rsidP="003514EC">
            <w:pPr>
              <w:rPr>
                <w:rFonts w:ascii="Calibri" w:hAnsi="Calibri"/>
              </w:rPr>
            </w:pPr>
            <w:r w:rsidRPr="003514EC">
              <w:rPr>
                <w:rFonts w:ascii="Calibri" w:hAnsi="Calibri"/>
              </w:rPr>
              <w:t xml:space="preserve">230 000 </w:t>
            </w:r>
          </w:p>
          <w:p w:rsidR="003514EC" w:rsidRPr="003514EC" w:rsidP="003514EC">
            <w:pPr>
              <w:rPr>
                <w:rFonts w:ascii="Calibri" w:hAnsi="Calibri"/>
              </w:rPr>
            </w:pPr>
            <w:r w:rsidRPr="003514EC">
              <w:rPr>
                <w:rFonts w:ascii="Calibri" w:hAnsi="Calibri"/>
              </w:rPr>
              <w:t>(44 Erica lisäclientia)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EC" w:rsidRPr="003514EC" w:rsidP="003514EC">
            <w:pPr>
              <w:rPr>
                <w:rFonts w:ascii="Calibri" w:hAnsi="Calibri"/>
              </w:rPr>
            </w:pPr>
            <w:r w:rsidRPr="003514EC">
              <w:rPr>
                <w:rFonts w:ascii="Calibri" w:hAnsi="Calibri"/>
              </w:rPr>
              <w:t>Jokaisesta Erica clientistä aiheutuu stuve-maksut</w:t>
            </w:r>
          </w:p>
        </w:tc>
      </w:tr>
      <w:tr w:rsidTr="003514EC">
        <w:tblPrEx>
          <w:tblW w:w="10349" w:type="dxa"/>
          <w:tblLook w:val="04A0"/>
        </w:tblPrEx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EC" w:rsidRPr="003514EC" w:rsidP="003514EC">
            <w:pPr>
              <w:rPr>
                <w:rFonts w:ascii="Calibri" w:hAnsi="Calibri"/>
                <w:b/>
              </w:rPr>
            </w:pPr>
            <w:r w:rsidRPr="003514EC">
              <w:rPr>
                <w:rFonts w:ascii="Calibri" w:hAnsi="Calibri"/>
                <w:b/>
              </w:rPr>
              <w:t>Yhteensä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EC" w:rsidRPr="003514EC" w:rsidP="003514EC">
            <w:pPr>
              <w:rPr>
                <w:rFonts w:ascii="Calibri" w:hAnsi="Calibri"/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EC" w:rsidRPr="003514EC" w:rsidP="003514EC">
            <w:pPr>
              <w:rPr>
                <w:rFonts w:ascii="Calibri" w:hAnsi="Calibri"/>
                <w:b/>
              </w:rPr>
            </w:pPr>
            <w:r w:rsidRPr="003514EC">
              <w:rPr>
                <w:rFonts w:ascii="Calibri" w:hAnsi="Calibri"/>
                <w:b/>
              </w:rPr>
              <w:t>2 400 000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EC" w:rsidRPr="003514EC" w:rsidP="003514EC">
            <w:pPr>
              <w:rPr>
                <w:rFonts w:ascii="Calibri" w:hAnsi="Calibri"/>
                <w:b/>
              </w:rPr>
            </w:pPr>
            <w:r w:rsidRPr="003514EC">
              <w:rPr>
                <w:rFonts w:ascii="Calibri" w:hAnsi="Calibri"/>
                <w:b/>
              </w:rPr>
              <w:t>670 000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EC" w:rsidRPr="003514EC" w:rsidP="003514EC">
            <w:pPr>
              <w:rPr>
                <w:rFonts w:ascii="Calibri" w:hAnsi="Calibri"/>
                <w:b/>
              </w:rPr>
            </w:pPr>
          </w:p>
        </w:tc>
      </w:tr>
    </w:tbl>
    <w:p w:rsidR="003514EC" w:rsidP="003514EC"/>
    <w:p w:rsidR="003514EC" w:rsidRPr="003514EC" w:rsidP="003514EC">
      <w:pPr>
        <w:pStyle w:val="BodyText"/>
        <w:ind w:left="0"/>
      </w:pPr>
    </w:p>
    <w:p w:rsidR="003514EC" w:rsidP="003514EC">
      <w:pPr>
        <w:pStyle w:val="Title"/>
      </w:pPr>
      <w:r>
        <w:t>Yhteenveto</w:t>
      </w:r>
    </w:p>
    <w:p w:rsidR="003514EC" w:rsidP="003514EC">
      <w:pPr>
        <w:pStyle w:val="BodyText"/>
      </w:pPr>
      <w:r w:rsidRPr="003514EC">
        <w:t>Hätäkeskustietojärjestelmään tehtävät muutokset aiheuttavat siis kertakustannuseriä ja vuosittaisia käyttökustannuksia. Tämän lisäksi tarvitaan viranomaisilta vähintään 17 henkilötyövuoden työpanos. Näiden lisäksi viranomaisten on rakennettava toimipisteis</w:t>
      </w:r>
      <w:r w:rsidRPr="003514EC">
        <w:t xml:space="preserve">iinsä TUVE- ja EDU-yhteydet. </w:t>
      </w:r>
      <w:r w:rsidRPr="003514EC">
        <w:t>Näitä yhteyksiä Hätäkeskuslaitos ei ole rakentanut, joten kustannuksia tältä osin ei ole arvioitu.</w:t>
      </w:r>
    </w:p>
    <w:p w:rsidR="003514EC" w:rsidRPr="003514EC" w:rsidP="003514EC">
      <w:pPr>
        <w:numPr>
          <w:ilvl w:val="0"/>
          <w:numId w:val="45"/>
        </w:numPr>
        <w:tabs>
          <w:tab w:val="left" w:pos="5529"/>
        </w:tabs>
        <w:spacing w:after="160" w:line="259" w:lineRule="auto"/>
        <w:contextualSpacing/>
      </w:pPr>
      <w:r w:rsidRPr="003514EC">
        <w:t>Kertaluontoiset kustannukset</w:t>
      </w:r>
      <w:r w:rsidRPr="003514EC">
        <w:tab/>
      </w:r>
      <w:r w:rsidRPr="003514EC">
        <w:tab/>
      </w:r>
      <w:r>
        <w:t xml:space="preserve"> </w:t>
      </w:r>
      <w:r w:rsidRPr="003514EC">
        <w:t>2 400 000 euroa</w:t>
      </w:r>
    </w:p>
    <w:p w:rsidR="003514EC" w:rsidRPr="003514EC" w:rsidP="003514EC">
      <w:pPr>
        <w:numPr>
          <w:ilvl w:val="0"/>
          <w:numId w:val="45"/>
        </w:numPr>
        <w:tabs>
          <w:tab w:val="left" w:pos="5529"/>
        </w:tabs>
        <w:spacing w:after="160" w:line="259" w:lineRule="auto"/>
        <w:contextualSpacing/>
      </w:pPr>
      <w:r w:rsidRPr="003514EC">
        <w:t>Hätäkeskuslaitoksen henkilötyökustannukset</w:t>
      </w:r>
      <w:r w:rsidRPr="003514EC">
        <w:tab/>
      </w:r>
      <w:r>
        <w:t xml:space="preserve"> </w:t>
      </w:r>
      <w:r w:rsidRPr="003514EC">
        <w:t>350 000 euroa</w:t>
      </w:r>
    </w:p>
    <w:p w:rsidR="003514EC" w:rsidRPr="003514EC" w:rsidP="003514EC">
      <w:pPr>
        <w:numPr>
          <w:ilvl w:val="0"/>
          <w:numId w:val="45"/>
        </w:numPr>
        <w:tabs>
          <w:tab w:val="left" w:pos="5670"/>
        </w:tabs>
        <w:spacing w:after="160" w:line="259" w:lineRule="auto"/>
        <w:contextualSpacing/>
      </w:pPr>
      <w:r w:rsidRPr="003514EC">
        <w:t>Sosiaali- ja terveystoi</w:t>
      </w:r>
      <w:r w:rsidRPr="003514EC">
        <w:t>men henkilötyökustannukset</w:t>
      </w:r>
      <w:r>
        <w:t xml:space="preserve"> </w:t>
      </w:r>
      <w:r w:rsidRPr="003514EC">
        <w:t>280 000 euroa</w:t>
      </w:r>
    </w:p>
    <w:p w:rsidR="003514EC" w:rsidRPr="003514EC" w:rsidP="003514EC">
      <w:pPr>
        <w:numPr>
          <w:ilvl w:val="0"/>
          <w:numId w:val="45"/>
        </w:numPr>
        <w:tabs>
          <w:tab w:val="left" w:pos="5670"/>
        </w:tabs>
        <w:spacing w:after="160" w:line="259" w:lineRule="auto"/>
        <w:contextualSpacing/>
      </w:pPr>
      <w:r w:rsidRPr="003514EC">
        <w:t>Pelastustoimen henkilötyökustannukset</w:t>
      </w:r>
      <w:r w:rsidRPr="003514EC">
        <w:tab/>
      </w:r>
      <w:r>
        <w:t xml:space="preserve"> </w:t>
      </w:r>
      <w:r w:rsidRPr="003514EC">
        <w:t>280 000 euroa</w:t>
      </w:r>
    </w:p>
    <w:p w:rsidR="003514EC" w:rsidRPr="003514EC" w:rsidP="003514EC">
      <w:pPr>
        <w:numPr>
          <w:ilvl w:val="0"/>
          <w:numId w:val="45"/>
        </w:numPr>
        <w:tabs>
          <w:tab w:val="left" w:pos="5670"/>
        </w:tabs>
        <w:spacing w:after="160" w:line="259" w:lineRule="auto"/>
        <w:contextualSpacing/>
      </w:pPr>
      <w:r w:rsidRPr="003514EC">
        <w:t>TUVE- ja EDU-yhteydet</w:t>
      </w:r>
      <w:r w:rsidRPr="003514EC">
        <w:tab/>
      </w:r>
      <w:r w:rsidRPr="003514EC">
        <w:tab/>
      </w:r>
      <w:r w:rsidRPr="003514EC">
        <w:tab/>
      </w:r>
      <w:r>
        <w:t xml:space="preserve"> </w:t>
      </w:r>
      <w:r w:rsidRPr="003514EC">
        <w:t xml:space="preserve">Kuuluu toimialoille itselleen </w:t>
      </w:r>
    </w:p>
    <w:p w:rsidR="003514EC" w:rsidRPr="003514EC" w:rsidP="003514EC">
      <w:pPr>
        <w:numPr>
          <w:ilvl w:val="0"/>
          <w:numId w:val="45"/>
        </w:numPr>
        <w:tabs>
          <w:tab w:val="left" w:pos="5529"/>
        </w:tabs>
        <w:spacing w:after="160" w:line="259" w:lineRule="auto"/>
        <w:contextualSpacing/>
      </w:pPr>
      <w:r w:rsidRPr="003514EC">
        <w:t>Vuosittaisten käyttökustannusten lisäys</w:t>
      </w:r>
      <w:r>
        <w:tab/>
        <w:t xml:space="preserve"> </w:t>
      </w:r>
      <w:r w:rsidRPr="003514EC">
        <w:t>670 000 euroa</w:t>
      </w:r>
    </w:p>
    <w:p w:rsidR="003514EC" w:rsidP="003514EC">
      <w:pPr>
        <w:pStyle w:val="BodyText"/>
      </w:pPr>
      <w:r>
        <w:t>Kertaluontoisia kustannuksia siis kertyy tämän arvi</w:t>
      </w:r>
      <w:r>
        <w:t>on mukaan 3 331 000 euroa. Vuosittaiset käyttökustannukset lisääntyvät 670 000 eurolla. Tämän lisäksi viranomaisille tulee siis rakennettaviksi TUVE- ja EDU-yhteydet toimipisteisiinsä, joita kustannuksia tässä arviossa ei ole mukana. Lisäksi on syytä huoma</w:t>
      </w:r>
      <w:r>
        <w:t xml:space="preserve">uttaa, että kaikki käyttökustannukset myös toimialojen osalta tulevat Hätäkeskuslaitoksen maksettavaksi tämänhetkisen kustannustenjaon mukaan. </w:t>
      </w:r>
    </w:p>
    <w:p w:rsidR="00EC2D9C" w:rsidP="003514EC">
      <w:pPr>
        <w:pStyle w:val="BodyText"/>
      </w:pPr>
      <w:r>
        <w:t xml:space="preserve">Jos rekisterinpidon eriyttäminen edellyttäisi jostakin syystä tietokantojen fyysisen eriyttämisen, niin ERICA-järjestelmän edellyttämät muutostyöt kasvaisivat merkittävästi. Tämä edellyttäisi koko ERICA-arkkitehtuurin uudelleen suunnittelua ja toteutusta. </w:t>
      </w:r>
      <w:r>
        <w:t xml:space="preserve">Näiltä osin tätä kustannusta ei voida arvioida muutoin kuin, että se on erittäin suuri ja aikaa vievä sekä maksaa useita miljoonia euroja.  </w:t>
      </w:r>
    </w:p>
    <w:p w:rsidR="00EC2D9C" w:rsidP="00DD54BE">
      <w:pPr>
        <w:pStyle w:val="BodyText"/>
      </w:pPr>
    </w:p>
    <w:p w:rsidR="00EC2D9C" w:rsidP="00973694">
      <w:pPr>
        <w:pStyle w:val="BodyText"/>
        <w:tabs>
          <w:tab w:val="left" w:pos="5216"/>
        </w:tabs>
      </w:pPr>
      <w:r>
        <w:t>Hätäkeskuslaitoksen johtaja</w:t>
      </w:r>
      <w:r>
        <w:tab/>
      </w:r>
      <w:r>
        <w:t>Taito Vainio</w:t>
      </w:r>
    </w:p>
    <w:p w:rsidR="00EC2D9C" w:rsidP="00EC2D9C">
      <w:pPr>
        <w:pStyle w:val="BodyText"/>
        <w:tabs>
          <w:tab w:val="left" w:pos="5216"/>
        </w:tabs>
      </w:pPr>
    </w:p>
    <w:p w:rsidR="00EC2D9C" w:rsidP="00EC2D9C">
      <w:pPr>
        <w:pStyle w:val="BodyText"/>
        <w:tabs>
          <w:tab w:val="left" w:pos="5216"/>
        </w:tabs>
      </w:pPr>
      <w:r>
        <w:t xml:space="preserve">Johtaja, </w:t>
      </w:r>
      <w:r w:rsidR="00F300D7">
        <w:t>Kehittämisosasto</w:t>
      </w:r>
      <w:bookmarkStart w:id="0" w:name="_GoBack"/>
      <w:bookmarkEnd w:id="0"/>
      <w:r>
        <w:tab/>
      </w:r>
      <w:r>
        <w:tab/>
      </w:r>
      <w:r>
        <w:t>Jukka Aaltonen</w:t>
      </w:r>
    </w:p>
    <w:p w:rsidR="000A79E6" w:rsidP="008C2077">
      <w:pPr>
        <w:pStyle w:val="BodyText"/>
      </w:pPr>
    </w:p>
    <w:p w:rsidR="00D6740A" w:rsidP="008C2077">
      <w:pPr>
        <w:pStyle w:val="BodyText"/>
      </w:pPr>
      <w:r>
        <w:fldChar w:fldCharType="begin"/>
      </w:r>
      <w:r>
        <w:instrText xml:space="preserve"> DOCPROPERTY  sm_allekirjoit</w:instrText>
      </w:r>
      <w:r>
        <w:instrText xml:space="preserve">usfraasi  \* MERGEFORMAT </w:instrText>
      </w:r>
      <w:r>
        <w:fldChar w:fldCharType="separate"/>
      </w:r>
      <w:r>
        <w:t>Asiakirja on sähköisesti allekirjoitettu asianhallintajärjestelmässä. Hätäkeskuslaitos 24.01.2022 klo 11:30. Allekirjoituksen oikeellisuuden</w:t>
      </w:r>
      <w:r>
        <w:t xml:space="preserve"> voi todentaa kirjaamosta.</w:t>
      </w:r>
      <w:r>
        <w:fldChar w:fldCharType="end"/>
      </w:r>
    </w:p>
    <w:p w:rsidR="00793216" w:rsidP="000A79E6">
      <w:pPr>
        <w:pStyle w:val="BodyText"/>
        <w:tabs>
          <w:tab w:val="left" w:pos="5216"/>
        </w:tabs>
        <w:ind w:left="0"/>
      </w:pPr>
    </w:p>
    <w:tbl>
      <w:tblPr>
        <w:tblW w:w="0" w:type="auto"/>
        <w:tblLayout w:type="fixed"/>
        <w:tblCellMar>
          <w:left w:w="0" w:type="dxa"/>
        </w:tblCellMar>
        <w:tblLook w:val="01E0"/>
      </w:tblPr>
      <w:tblGrid>
        <w:gridCol w:w="2608"/>
        <w:gridCol w:w="7737"/>
      </w:tblGrid>
      <w:tr w:rsidTr="00BD67BF">
        <w:tblPrEx>
          <w:tblW w:w="0" w:type="auto"/>
          <w:tblLayout w:type="fixed"/>
          <w:tblCellMar>
            <w:left w:w="0" w:type="dxa"/>
          </w:tblCellMar>
          <w:tblLook w:val="01E0"/>
        </w:tblPrEx>
        <w:tc>
          <w:tcPr>
            <w:tcW w:w="2608" w:type="dxa"/>
            <w:shd w:val="clear" w:color="auto" w:fill="auto"/>
          </w:tcPr>
          <w:p w:rsidR="00DD54BE" w:rsidRPr="00DD54BE" w:rsidP="00DD54BE"/>
        </w:tc>
        <w:tc>
          <w:tcPr>
            <w:tcW w:w="7737" w:type="dxa"/>
            <w:shd w:val="clear" w:color="auto" w:fill="auto"/>
          </w:tcPr>
          <w:p w:rsidR="00DD54BE" w:rsidRPr="00DD54BE" w:rsidP="00DD54BE"/>
        </w:tc>
      </w:tr>
      <w:tr w:rsidTr="00BD67BF">
        <w:tblPrEx>
          <w:tblW w:w="0" w:type="auto"/>
          <w:tblLayout w:type="fixed"/>
          <w:tblCellMar>
            <w:left w:w="0" w:type="dxa"/>
          </w:tblCellMar>
          <w:tblLook w:val="01E0"/>
        </w:tblPrEx>
        <w:tc>
          <w:tcPr>
            <w:tcW w:w="2608" w:type="dxa"/>
            <w:shd w:val="clear" w:color="auto" w:fill="auto"/>
          </w:tcPr>
          <w:p w:rsidR="00DD54BE" w:rsidP="00DD54BE">
            <w:r>
              <w:t>Jakelu</w:t>
            </w:r>
          </w:p>
          <w:p w:rsidR="00DD54BE" w:rsidRPr="00DD54BE" w:rsidP="00DD54BE"/>
        </w:tc>
        <w:tc>
          <w:tcPr>
            <w:tcW w:w="7737" w:type="dxa"/>
            <w:shd w:val="clear" w:color="auto" w:fill="auto"/>
          </w:tcPr>
          <w:p w:rsidR="00DD54BE" w:rsidP="00DD54BE">
            <w:r>
              <w:t>Sisäministeriö kirjaamo</w:t>
            </w:r>
          </w:p>
          <w:p w:rsidR="00DD54BE" w:rsidRPr="00DD54BE" w:rsidP="00DD54BE"/>
        </w:tc>
      </w:tr>
      <w:tr w:rsidTr="00BD67BF">
        <w:tblPrEx>
          <w:tblW w:w="0" w:type="auto"/>
          <w:tblLayout w:type="fixed"/>
          <w:tblCellMar>
            <w:left w:w="0" w:type="dxa"/>
          </w:tblCellMar>
          <w:tblLook w:val="01E0"/>
        </w:tblPrEx>
        <w:tc>
          <w:tcPr>
            <w:tcW w:w="2608" w:type="dxa"/>
            <w:shd w:val="clear" w:color="auto" w:fill="auto"/>
          </w:tcPr>
          <w:p w:rsidR="00DD54BE" w:rsidP="00DD54BE">
            <w:r>
              <w:t>Tiedoksi</w:t>
            </w:r>
          </w:p>
          <w:p w:rsidR="00DD54BE" w:rsidRPr="00DD54BE" w:rsidP="00DD54BE"/>
        </w:tc>
        <w:tc>
          <w:tcPr>
            <w:tcW w:w="7737" w:type="dxa"/>
            <w:shd w:val="clear" w:color="auto" w:fill="auto"/>
          </w:tcPr>
          <w:p w:rsidR="00DD54BE" w:rsidP="00DD54BE">
            <w:r>
              <w:rPr>
                <w:lang w:eastAsia="en-US"/>
              </w:rPr>
              <w:t>Mika Kättö SM, Annika Parsons SM</w:t>
            </w:r>
          </w:p>
          <w:p w:rsidR="00AA2781" w:rsidRPr="00DD54BE" w:rsidP="00DD54BE"/>
        </w:tc>
      </w:tr>
    </w:tbl>
    <w:p w:rsidR="00CB2F58"/>
    <w:sectPr w:rsidSect="00326422">
      <w:headerReference w:type="default" r:id="rId4"/>
      <w:footerReference w:type="default" r:id="rId5"/>
      <w:headerReference w:type="first" r:id="rId6"/>
      <w:footerReference w:type="first" r:id="rId7"/>
      <w:pgSz w:w="11906" w:h="16838" w:code="9"/>
      <w:pgMar w:top="2948" w:right="851" w:bottom="1814" w:left="851" w:header="1134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219" w:type="dxa"/>
      <w:tblInd w:w="-14" w:type="dxa"/>
      <w:tblLayout w:type="fixed"/>
      <w:tblCellMar>
        <w:left w:w="0" w:type="dxa"/>
        <w:right w:w="0" w:type="dxa"/>
      </w:tblCellMar>
      <w:tblLook w:val="01E0"/>
    </w:tblPr>
    <w:tblGrid>
      <w:gridCol w:w="2534"/>
      <w:gridCol w:w="1800"/>
      <w:gridCol w:w="2484"/>
      <w:gridCol w:w="1074"/>
      <w:gridCol w:w="769"/>
      <w:gridCol w:w="1558"/>
    </w:tblGrid>
    <w:tr w:rsidTr="000A420F">
      <w:tblPrEx>
        <w:tblW w:w="10219" w:type="dxa"/>
        <w:tblInd w:w="-14" w:type="dxa"/>
        <w:tblLayout w:type="fixed"/>
        <w:tblCellMar>
          <w:left w:w="0" w:type="dxa"/>
          <w:right w:w="0" w:type="dxa"/>
        </w:tblCellMar>
        <w:tblLook w:val="01E0"/>
      </w:tblPrEx>
      <w:tc>
        <w:tcPr>
          <w:tcW w:w="2534" w:type="dxa"/>
          <w:vMerge w:val="restart"/>
          <w:shd w:val="clear" w:color="auto" w:fill="auto"/>
        </w:tcPr>
        <w:p w:rsidR="00BD67BF" w:rsidP="00BD67BF">
          <w:pPr>
            <w:pStyle w:val="Footer"/>
            <w:rPr>
              <w:b/>
            </w:rPr>
          </w:pPr>
          <w:r w:rsidRPr="009150E8">
            <w:rPr>
              <w:b/>
            </w:rPr>
            <w:t xml:space="preserve">Hätäkeskuslaitos </w:t>
          </w:r>
        </w:p>
        <w:p w:rsidR="00BD67BF" w:rsidRPr="009150E8" w:rsidP="00BD67BF">
          <w:pPr>
            <w:pStyle w:val="Footer"/>
            <w:rPr>
              <w:b/>
            </w:rPr>
          </w:pPr>
          <w:r w:rsidRPr="009150E8">
            <w:rPr>
              <w:b/>
            </w:rPr>
            <w:t>Nödcentralsverket</w:t>
          </w:r>
        </w:p>
      </w:tc>
      <w:tc>
        <w:tcPr>
          <w:tcW w:w="1800" w:type="dxa"/>
          <w:shd w:val="clear" w:color="auto" w:fill="auto"/>
        </w:tcPr>
        <w:p w:rsidR="00BD67BF" w:rsidP="00BD67BF">
          <w:pPr>
            <w:pStyle w:val="Footer"/>
          </w:pPr>
          <w:r w:rsidRPr="00A46B56">
            <w:rPr>
              <w:b/>
            </w:rPr>
            <w:t>Osoite</w:t>
          </w:r>
        </w:p>
      </w:tc>
      <w:tc>
        <w:tcPr>
          <w:tcW w:w="2484" w:type="dxa"/>
          <w:shd w:val="clear" w:color="auto" w:fill="auto"/>
        </w:tcPr>
        <w:p w:rsidR="00BD67BF" w:rsidP="00BD67BF">
          <w:pPr>
            <w:pStyle w:val="Footer"/>
          </w:pPr>
          <w:r w:rsidRPr="00A46B56">
            <w:rPr>
              <w:b/>
            </w:rPr>
            <w:t>Adress</w:t>
          </w:r>
        </w:p>
      </w:tc>
      <w:tc>
        <w:tcPr>
          <w:tcW w:w="1843" w:type="dxa"/>
          <w:gridSpan w:val="2"/>
          <w:shd w:val="clear" w:color="auto" w:fill="auto"/>
        </w:tcPr>
        <w:p w:rsidR="00BD67BF" w:rsidP="00BD67BF">
          <w:pPr>
            <w:pStyle w:val="Footer"/>
          </w:pPr>
          <w:r w:rsidRPr="00A46B56">
            <w:rPr>
              <w:b/>
            </w:rPr>
            <w:t>Puhelin | Telefon</w:t>
          </w:r>
        </w:p>
      </w:tc>
      <w:tc>
        <w:tcPr>
          <w:tcW w:w="1558" w:type="dxa"/>
          <w:shd w:val="clear" w:color="auto" w:fill="auto"/>
        </w:tcPr>
        <w:p w:rsidR="00BD67BF" w:rsidP="00BD67BF">
          <w:pPr>
            <w:pStyle w:val="Footer"/>
          </w:pPr>
        </w:p>
      </w:tc>
    </w:tr>
    <w:tr w:rsidTr="000A420F">
      <w:tblPrEx>
        <w:tblW w:w="10219" w:type="dxa"/>
        <w:tblInd w:w="-14" w:type="dxa"/>
        <w:tblLayout w:type="fixed"/>
        <w:tblCellMar>
          <w:left w:w="0" w:type="dxa"/>
          <w:right w:w="0" w:type="dxa"/>
        </w:tblCellMar>
        <w:tblLook w:val="01E0"/>
      </w:tblPrEx>
      <w:tc>
        <w:tcPr>
          <w:tcW w:w="2534" w:type="dxa"/>
          <w:vMerge/>
          <w:shd w:val="clear" w:color="auto" w:fill="auto"/>
        </w:tcPr>
        <w:p w:rsidR="00BD67BF" w:rsidRPr="004F7DDE" w:rsidP="00BD67BF">
          <w:pPr>
            <w:pStyle w:val="Footer"/>
          </w:pPr>
        </w:p>
      </w:tc>
      <w:tc>
        <w:tcPr>
          <w:tcW w:w="1800" w:type="dxa"/>
          <w:shd w:val="clear" w:color="auto" w:fill="auto"/>
        </w:tcPr>
        <w:p w:rsidR="00BD67BF" w:rsidP="00BD67BF">
          <w:pPr>
            <w:pStyle w:val="Footer"/>
          </w:pPr>
          <w:r>
            <w:t>PL 112, FI-</w:t>
          </w:r>
          <w:r w:rsidRPr="00754757">
            <w:t>28131 PORI</w:t>
          </w:r>
        </w:p>
      </w:tc>
      <w:tc>
        <w:tcPr>
          <w:tcW w:w="2484" w:type="dxa"/>
          <w:shd w:val="clear" w:color="auto" w:fill="auto"/>
        </w:tcPr>
        <w:p w:rsidR="00BD67BF" w:rsidP="00BD67BF">
          <w:pPr>
            <w:pStyle w:val="Footer"/>
          </w:pPr>
          <w:r>
            <w:t>PB 112, FI-28131 BJÖRNEBORG</w:t>
          </w:r>
        </w:p>
      </w:tc>
      <w:tc>
        <w:tcPr>
          <w:tcW w:w="1843" w:type="dxa"/>
          <w:gridSpan w:val="2"/>
          <w:shd w:val="clear" w:color="auto" w:fill="auto"/>
        </w:tcPr>
        <w:p w:rsidR="00BD67BF" w:rsidRPr="00A46B56" w:rsidP="00BD67BF">
          <w:pPr>
            <w:pStyle w:val="Footer"/>
            <w:rPr>
              <w:b/>
            </w:rPr>
          </w:pPr>
          <w:r>
            <w:t>+358 (</w:t>
          </w:r>
          <w:r w:rsidRPr="009B76C0">
            <w:t>0</w:t>
          </w:r>
          <w:r>
            <w:t>)</w:t>
          </w:r>
          <w:r w:rsidRPr="009B76C0">
            <w:t>295 480 112</w:t>
          </w:r>
        </w:p>
      </w:tc>
      <w:tc>
        <w:tcPr>
          <w:tcW w:w="1558" w:type="dxa"/>
          <w:shd w:val="clear" w:color="auto" w:fill="auto"/>
        </w:tcPr>
        <w:p w:rsidR="00BD67BF" w:rsidP="00BD67BF">
          <w:pPr>
            <w:pStyle w:val="Footer"/>
          </w:pPr>
        </w:p>
      </w:tc>
    </w:tr>
    <w:tr w:rsidTr="000A420F">
      <w:tblPrEx>
        <w:tblW w:w="10219" w:type="dxa"/>
        <w:tblInd w:w="-14" w:type="dxa"/>
        <w:tblLayout w:type="fixed"/>
        <w:tblCellMar>
          <w:left w:w="0" w:type="dxa"/>
          <w:right w:w="0" w:type="dxa"/>
        </w:tblCellMar>
        <w:tblLook w:val="01E0"/>
      </w:tblPrEx>
      <w:tc>
        <w:tcPr>
          <w:tcW w:w="2534" w:type="dxa"/>
          <w:shd w:val="clear" w:color="auto" w:fill="auto"/>
        </w:tcPr>
        <w:p w:rsidR="00BD67BF" w:rsidRPr="004F7DDE" w:rsidP="00BD67BF">
          <w:pPr>
            <w:pStyle w:val="Footer"/>
          </w:pPr>
        </w:p>
      </w:tc>
      <w:tc>
        <w:tcPr>
          <w:tcW w:w="1800" w:type="dxa"/>
          <w:shd w:val="clear" w:color="auto" w:fill="auto"/>
        </w:tcPr>
        <w:p w:rsidR="00BD67BF" w:rsidP="00BD67BF">
          <w:pPr>
            <w:pStyle w:val="Footer"/>
          </w:pPr>
        </w:p>
      </w:tc>
      <w:tc>
        <w:tcPr>
          <w:tcW w:w="2484" w:type="dxa"/>
          <w:shd w:val="clear" w:color="auto" w:fill="auto"/>
        </w:tcPr>
        <w:p w:rsidR="00BD67BF" w:rsidRPr="007569A4" w:rsidP="00BD67BF">
          <w:pPr>
            <w:pStyle w:val="Footer"/>
          </w:pPr>
        </w:p>
      </w:tc>
      <w:tc>
        <w:tcPr>
          <w:tcW w:w="1074" w:type="dxa"/>
          <w:shd w:val="clear" w:color="auto" w:fill="auto"/>
        </w:tcPr>
        <w:p w:rsidR="00BD67BF" w:rsidP="00BD67BF">
          <w:pPr>
            <w:pStyle w:val="Footer"/>
          </w:pPr>
        </w:p>
      </w:tc>
      <w:tc>
        <w:tcPr>
          <w:tcW w:w="2327" w:type="dxa"/>
          <w:gridSpan w:val="2"/>
          <w:shd w:val="clear" w:color="auto" w:fill="auto"/>
        </w:tcPr>
        <w:p w:rsidR="00BD67BF" w:rsidP="00BD67BF">
          <w:pPr>
            <w:pStyle w:val="Footer"/>
          </w:pPr>
        </w:p>
      </w:tc>
    </w:tr>
    <w:tr w:rsidTr="000A420F">
      <w:tblPrEx>
        <w:tblW w:w="10219" w:type="dxa"/>
        <w:tblInd w:w="-14" w:type="dxa"/>
        <w:tblLayout w:type="fixed"/>
        <w:tblCellMar>
          <w:left w:w="0" w:type="dxa"/>
          <w:right w:w="0" w:type="dxa"/>
        </w:tblCellMar>
        <w:tblLook w:val="01E0"/>
      </w:tblPrEx>
      <w:tc>
        <w:tcPr>
          <w:tcW w:w="2534" w:type="dxa"/>
          <w:shd w:val="clear" w:color="auto" w:fill="auto"/>
        </w:tcPr>
        <w:p w:rsidR="00BD67BF" w:rsidP="00BD67BF">
          <w:pPr>
            <w:pStyle w:val="Footer"/>
          </w:pPr>
          <w:r w:rsidRPr="009150E8">
            <w:t>hatakeskuslaitos@112.fi</w:t>
          </w:r>
        </w:p>
      </w:tc>
      <w:tc>
        <w:tcPr>
          <w:tcW w:w="1800" w:type="dxa"/>
          <w:shd w:val="clear" w:color="auto" w:fill="auto"/>
        </w:tcPr>
        <w:p w:rsidR="00BD67BF" w:rsidP="00BD67BF">
          <w:pPr>
            <w:pStyle w:val="Footer"/>
          </w:pPr>
          <w:r w:rsidRPr="007569A4">
            <w:t>etunimi.sukunimi</w:t>
          </w:r>
          <w:r>
            <w:t>@</w:t>
          </w:r>
          <w:r w:rsidRPr="007569A4">
            <w:t>112.fi</w:t>
          </w:r>
        </w:p>
      </w:tc>
      <w:tc>
        <w:tcPr>
          <w:tcW w:w="2484" w:type="dxa"/>
          <w:shd w:val="clear" w:color="auto" w:fill="auto"/>
        </w:tcPr>
        <w:p w:rsidR="00BD67BF" w:rsidRPr="007569A4" w:rsidP="00BD67BF">
          <w:pPr>
            <w:pStyle w:val="Footer"/>
          </w:pPr>
          <w:r>
            <w:t>fornamn.efternamn@112.fi</w:t>
          </w:r>
        </w:p>
      </w:tc>
      <w:tc>
        <w:tcPr>
          <w:tcW w:w="1074" w:type="dxa"/>
          <w:shd w:val="clear" w:color="auto" w:fill="auto"/>
        </w:tcPr>
        <w:p w:rsidR="00BD67BF" w:rsidRPr="00A46B56" w:rsidP="00BD67BF">
          <w:pPr>
            <w:pStyle w:val="Footer"/>
            <w:rPr>
              <w:b/>
            </w:rPr>
          </w:pPr>
          <w:r w:rsidRPr="00A46B56">
            <w:rPr>
              <w:b/>
              <w:color w:val="000A46"/>
            </w:rPr>
            <w:t xml:space="preserve">www.112.fi    </w:t>
          </w:r>
        </w:p>
      </w:tc>
      <w:tc>
        <w:tcPr>
          <w:tcW w:w="2327" w:type="dxa"/>
          <w:gridSpan w:val="2"/>
          <w:shd w:val="clear" w:color="auto" w:fill="auto"/>
        </w:tcPr>
        <w:p w:rsidR="00BD67BF" w:rsidP="00BD67BF">
          <w:pPr>
            <w:pStyle w:val="Footer"/>
          </w:pPr>
        </w:p>
      </w:tc>
    </w:tr>
  </w:tbl>
  <w:p w:rsidR="00B61463" w:rsidRPr="005834A9" w:rsidP="00934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219" w:type="dxa"/>
      <w:tblInd w:w="-14" w:type="dxa"/>
      <w:tblLayout w:type="fixed"/>
      <w:tblCellMar>
        <w:left w:w="0" w:type="dxa"/>
        <w:right w:w="0" w:type="dxa"/>
      </w:tblCellMar>
      <w:tblLook w:val="01E0"/>
    </w:tblPr>
    <w:tblGrid>
      <w:gridCol w:w="2534"/>
      <w:gridCol w:w="1800"/>
      <w:gridCol w:w="2484"/>
      <w:gridCol w:w="1074"/>
      <w:gridCol w:w="769"/>
      <w:gridCol w:w="1558"/>
    </w:tblGrid>
    <w:tr w:rsidTr="000A420F">
      <w:tblPrEx>
        <w:tblW w:w="10219" w:type="dxa"/>
        <w:tblInd w:w="-14" w:type="dxa"/>
        <w:tblLayout w:type="fixed"/>
        <w:tblCellMar>
          <w:left w:w="0" w:type="dxa"/>
          <w:right w:w="0" w:type="dxa"/>
        </w:tblCellMar>
        <w:tblLook w:val="01E0"/>
      </w:tblPrEx>
      <w:tc>
        <w:tcPr>
          <w:tcW w:w="2534" w:type="dxa"/>
          <w:vMerge w:val="restart"/>
          <w:shd w:val="clear" w:color="auto" w:fill="auto"/>
        </w:tcPr>
        <w:p w:rsidR="00BD67BF" w:rsidP="00BD67BF">
          <w:pPr>
            <w:pStyle w:val="Footer"/>
            <w:rPr>
              <w:b/>
            </w:rPr>
          </w:pPr>
          <w:r w:rsidRPr="009150E8">
            <w:rPr>
              <w:b/>
            </w:rPr>
            <w:t xml:space="preserve">Hätäkeskuslaitos </w:t>
          </w:r>
        </w:p>
        <w:p w:rsidR="00BD67BF" w:rsidRPr="009150E8" w:rsidP="00BD67BF">
          <w:pPr>
            <w:pStyle w:val="Footer"/>
            <w:rPr>
              <w:b/>
            </w:rPr>
          </w:pPr>
          <w:r w:rsidRPr="009150E8">
            <w:rPr>
              <w:b/>
            </w:rPr>
            <w:t>Nödcentralsverket</w:t>
          </w:r>
        </w:p>
      </w:tc>
      <w:tc>
        <w:tcPr>
          <w:tcW w:w="1800" w:type="dxa"/>
          <w:shd w:val="clear" w:color="auto" w:fill="auto"/>
        </w:tcPr>
        <w:p w:rsidR="00BD67BF" w:rsidP="00BD67BF">
          <w:pPr>
            <w:pStyle w:val="Footer"/>
          </w:pPr>
          <w:r w:rsidRPr="00A46B56">
            <w:rPr>
              <w:b/>
            </w:rPr>
            <w:t>Osoite</w:t>
          </w:r>
        </w:p>
      </w:tc>
      <w:tc>
        <w:tcPr>
          <w:tcW w:w="2484" w:type="dxa"/>
          <w:shd w:val="clear" w:color="auto" w:fill="auto"/>
        </w:tcPr>
        <w:p w:rsidR="00BD67BF" w:rsidP="00BD67BF">
          <w:pPr>
            <w:pStyle w:val="Footer"/>
          </w:pPr>
          <w:r w:rsidRPr="00A46B56">
            <w:rPr>
              <w:b/>
            </w:rPr>
            <w:t>Adress</w:t>
          </w:r>
        </w:p>
      </w:tc>
      <w:tc>
        <w:tcPr>
          <w:tcW w:w="1843" w:type="dxa"/>
          <w:gridSpan w:val="2"/>
          <w:shd w:val="clear" w:color="auto" w:fill="auto"/>
        </w:tcPr>
        <w:p w:rsidR="00BD67BF" w:rsidP="00BD67BF">
          <w:pPr>
            <w:pStyle w:val="Footer"/>
          </w:pPr>
          <w:r w:rsidRPr="00A46B56">
            <w:rPr>
              <w:b/>
            </w:rPr>
            <w:t>Puhelin | Telefon</w:t>
          </w:r>
        </w:p>
      </w:tc>
      <w:tc>
        <w:tcPr>
          <w:tcW w:w="1558" w:type="dxa"/>
          <w:shd w:val="clear" w:color="auto" w:fill="auto"/>
        </w:tcPr>
        <w:p w:rsidR="00BD67BF" w:rsidP="00BD67BF">
          <w:pPr>
            <w:pStyle w:val="Footer"/>
          </w:pPr>
        </w:p>
      </w:tc>
    </w:tr>
    <w:tr w:rsidTr="000A420F">
      <w:tblPrEx>
        <w:tblW w:w="10219" w:type="dxa"/>
        <w:tblInd w:w="-14" w:type="dxa"/>
        <w:tblLayout w:type="fixed"/>
        <w:tblCellMar>
          <w:left w:w="0" w:type="dxa"/>
          <w:right w:w="0" w:type="dxa"/>
        </w:tblCellMar>
        <w:tblLook w:val="01E0"/>
      </w:tblPrEx>
      <w:tc>
        <w:tcPr>
          <w:tcW w:w="2534" w:type="dxa"/>
          <w:vMerge/>
          <w:shd w:val="clear" w:color="auto" w:fill="auto"/>
        </w:tcPr>
        <w:p w:rsidR="00BD67BF" w:rsidRPr="004F7DDE" w:rsidP="00BD67BF">
          <w:pPr>
            <w:pStyle w:val="Footer"/>
          </w:pPr>
        </w:p>
      </w:tc>
      <w:tc>
        <w:tcPr>
          <w:tcW w:w="1800" w:type="dxa"/>
          <w:shd w:val="clear" w:color="auto" w:fill="auto"/>
        </w:tcPr>
        <w:p w:rsidR="00BD67BF" w:rsidP="00BD67BF">
          <w:pPr>
            <w:pStyle w:val="Footer"/>
          </w:pPr>
          <w:r>
            <w:t xml:space="preserve">PL </w:t>
          </w:r>
          <w:r>
            <w:t>112, FI-</w:t>
          </w:r>
          <w:r w:rsidRPr="00754757">
            <w:t>28131 PORI</w:t>
          </w:r>
        </w:p>
      </w:tc>
      <w:tc>
        <w:tcPr>
          <w:tcW w:w="2484" w:type="dxa"/>
          <w:shd w:val="clear" w:color="auto" w:fill="auto"/>
        </w:tcPr>
        <w:p w:rsidR="00BD67BF" w:rsidP="00BD67BF">
          <w:pPr>
            <w:pStyle w:val="Footer"/>
          </w:pPr>
          <w:r>
            <w:t>PB 112, FI-28131 BJÖRNEBORG</w:t>
          </w:r>
        </w:p>
      </w:tc>
      <w:tc>
        <w:tcPr>
          <w:tcW w:w="1843" w:type="dxa"/>
          <w:gridSpan w:val="2"/>
          <w:shd w:val="clear" w:color="auto" w:fill="auto"/>
        </w:tcPr>
        <w:p w:rsidR="00BD67BF" w:rsidRPr="00A46B56" w:rsidP="00BD67BF">
          <w:pPr>
            <w:pStyle w:val="Footer"/>
            <w:rPr>
              <w:b/>
            </w:rPr>
          </w:pPr>
          <w:r>
            <w:t>+358 (</w:t>
          </w:r>
          <w:r w:rsidRPr="009B76C0">
            <w:t>0</w:t>
          </w:r>
          <w:r>
            <w:t>)</w:t>
          </w:r>
          <w:r w:rsidRPr="009B76C0">
            <w:t>295 480 112</w:t>
          </w:r>
        </w:p>
      </w:tc>
      <w:tc>
        <w:tcPr>
          <w:tcW w:w="1558" w:type="dxa"/>
          <w:shd w:val="clear" w:color="auto" w:fill="auto"/>
        </w:tcPr>
        <w:p w:rsidR="00BD67BF" w:rsidP="00BD67BF">
          <w:pPr>
            <w:pStyle w:val="Footer"/>
          </w:pPr>
        </w:p>
      </w:tc>
    </w:tr>
    <w:tr w:rsidTr="000A420F">
      <w:tblPrEx>
        <w:tblW w:w="10219" w:type="dxa"/>
        <w:tblInd w:w="-14" w:type="dxa"/>
        <w:tblLayout w:type="fixed"/>
        <w:tblCellMar>
          <w:left w:w="0" w:type="dxa"/>
          <w:right w:w="0" w:type="dxa"/>
        </w:tblCellMar>
        <w:tblLook w:val="01E0"/>
      </w:tblPrEx>
      <w:tc>
        <w:tcPr>
          <w:tcW w:w="2534" w:type="dxa"/>
          <w:shd w:val="clear" w:color="auto" w:fill="auto"/>
        </w:tcPr>
        <w:p w:rsidR="00BD67BF" w:rsidRPr="004F7DDE" w:rsidP="00BD67BF">
          <w:pPr>
            <w:pStyle w:val="Footer"/>
          </w:pPr>
        </w:p>
      </w:tc>
      <w:tc>
        <w:tcPr>
          <w:tcW w:w="1800" w:type="dxa"/>
          <w:shd w:val="clear" w:color="auto" w:fill="auto"/>
        </w:tcPr>
        <w:p w:rsidR="00BD67BF" w:rsidP="00BD67BF">
          <w:pPr>
            <w:pStyle w:val="Footer"/>
          </w:pPr>
        </w:p>
      </w:tc>
      <w:tc>
        <w:tcPr>
          <w:tcW w:w="2484" w:type="dxa"/>
          <w:shd w:val="clear" w:color="auto" w:fill="auto"/>
        </w:tcPr>
        <w:p w:rsidR="00BD67BF" w:rsidRPr="007569A4" w:rsidP="00BD67BF">
          <w:pPr>
            <w:pStyle w:val="Footer"/>
          </w:pPr>
        </w:p>
      </w:tc>
      <w:tc>
        <w:tcPr>
          <w:tcW w:w="1074" w:type="dxa"/>
          <w:shd w:val="clear" w:color="auto" w:fill="auto"/>
        </w:tcPr>
        <w:p w:rsidR="00BD67BF" w:rsidP="00BD67BF">
          <w:pPr>
            <w:pStyle w:val="Footer"/>
          </w:pPr>
        </w:p>
      </w:tc>
      <w:tc>
        <w:tcPr>
          <w:tcW w:w="2327" w:type="dxa"/>
          <w:gridSpan w:val="2"/>
          <w:shd w:val="clear" w:color="auto" w:fill="auto"/>
        </w:tcPr>
        <w:p w:rsidR="00BD67BF" w:rsidP="00BD67BF">
          <w:pPr>
            <w:pStyle w:val="Footer"/>
          </w:pPr>
        </w:p>
      </w:tc>
    </w:tr>
    <w:tr w:rsidTr="000A420F">
      <w:tblPrEx>
        <w:tblW w:w="10219" w:type="dxa"/>
        <w:tblInd w:w="-14" w:type="dxa"/>
        <w:tblLayout w:type="fixed"/>
        <w:tblCellMar>
          <w:left w:w="0" w:type="dxa"/>
          <w:right w:w="0" w:type="dxa"/>
        </w:tblCellMar>
        <w:tblLook w:val="01E0"/>
      </w:tblPrEx>
      <w:tc>
        <w:tcPr>
          <w:tcW w:w="2534" w:type="dxa"/>
          <w:shd w:val="clear" w:color="auto" w:fill="auto"/>
        </w:tcPr>
        <w:p w:rsidR="00BD67BF" w:rsidP="00BD67BF">
          <w:pPr>
            <w:pStyle w:val="Footer"/>
          </w:pPr>
          <w:r w:rsidRPr="009150E8">
            <w:t>hatakeskuslaitos@112.fi</w:t>
          </w:r>
        </w:p>
      </w:tc>
      <w:tc>
        <w:tcPr>
          <w:tcW w:w="1800" w:type="dxa"/>
          <w:shd w:val="clear" w:color="auto" w:fill="auto"/>
        </w:tcPr>
        <w:p w:rsidR="00BD67BF" w:rsidP="00BD67BF">
          <w:pPr>
            <w:pStyle w:val="Footer"/>
          </w:pPr>
          <w:r w:rsidRPr="007569A4">
            <w:t>etunimi.sukunimi</w:t>
          </w:r>
          <w:r>
            <w:t>@</w:t>
          </w:r>
          <w:r w:rsidRPr="007569A4">
            <w:t>112.fi</w:t>
          </w:r>
        </w:p>
      </w:tc>
      <w:tc>
        <w:tcPr>
          <w:tcW w:w="2484" w:type="dxa"/>
          <w:shd w:val="clear" w:color="auto" w:fill="auto"/>
        </w:tcPr>
        <w:p w:rsidR="00BD67BF" w:rsidRPr="007569A4" w:rsidP="00BD67BF">
          <w:pPr>
            <w:pStyle w:val="Footer"/>
          </w:pPr>
          <w:r>
            <w:t>fornamn.efternamn@112.fi</w:t>
          </w:r>
        </w:p>
      </w:tc>
      <w:tc>
        <w:tcPr>
          <w:tcW w:w="1074" w:type="dxa"/>
          <w:shd w:val="clear" w:color="auto" w:fill="auto"/>
        </w:tcPr>
        <w:p w:rsidR="00BD67BF" w:rsidRPr="00A46B56" w:rsidP="00BD67BF">
          <w:pPr>
            <w:pStyle w:val="Footer"/>
            <w:rPr>
              <w:b/>
            </w:rPr>
          </w:pPr>
          <w:r w:rsidRPr="00A46B56">
            <w:rPr>
              <w:b/>
              <w:color w:val="000A46"/>
            </w:rPr>
            <w:t xml:space="preserve">www.112.fi    </w:t>
          </w:r>
        </w:p>
      </w:tc>
      <w:tc>
        <w:tcPr>
          <w:tcW w:w="2327" w:type="dxa"/>
          <w:gridSpan w:val="2"/>
          <w:shd w:val="clear" w:color="auto" w:fill="auto"/>
        </w:tcPr>
        <w:p w:rsidR="00BD67BF" w:rsidP="00BD67BF">
          <w:pPr>
            <w:pStyle w:val="Footer"/>
          </w:pPr>
        </w:p>
      </w:tc>
    </w:tr>
  </w:tbl>
  <w:p w:rsidR="00693B5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233" w:type="dxa"/>
      <w:tblLayout w:type="fixed"/>
      <w:tblCellMar>
        <w:left w:w="0" w:type="dxa"/>
        <w:right w:w="0" w:type="dxa"/>
      </w:tblCellMar>
      <w:tblLook w:val="01E0"/>
    </w:tblPr>
    <w:tblGrid>
      <w:gridCol w:w="5216"/>
      <w:gridCol w:w="2609"/>
      <w:gridCol w:w="1463"/>
      <w:gridCol w:w="945"/>
    </w:tblGrid>
    <w:tr>
      <w:tblPrEx>
        <w:tblW w:w="10233" w:type="dxa"/>
        <w:tblLayout w:type="fixed"/>
        <w:tblCellMar>
          <w:left w:w="0" w:type="dxa"/>
          <w:right w:w="0" w:type="dxa"/>
        </w:tblCellMar>
        <w:tblLook w:val="01E0"/>
      </w:tblPrEx>
      <w:tc>
        <w:tcPr>
          <w:tcW w:w="5216" w:type="dxa"/>
          <w:shd w:val="clear" w:color="auto" w:fill="auto"/>
        </w:tcPr>
        <w:p w:rsidR="00F40419" w:rsidRPr="00A46B56" w:rsidP="00AA1327">
          <w:pPr>
            <w:pStyle w:val="Header"/>
            <w:rPr>
              <w:rFonts w:cs="Arial"/>
              <w:sz w:val="28"/>
              <w:szCs w:val="28"/>
            </w:rPr>
          </w:pPr>
          <w:r>
            <w:rPr>
              <w:rFonts w:cs="Arial"/>
              <w:noProof/>
              <w:sz w:val="28"/>
              <w:szCs w:val="28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-275590</wp:posOffset>
                </wp:positionV>
                <wp:extent cx="2235835" cy="713105"/>
                <wp:effectExtent l="0" t="0" r="0" b="0"/>
                <wp:wrapNone/>
                <wp:docPr id="54" name="Kuva 54" descr="Hake_logoSu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4" descr="Hake_logoSuRu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583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09" w:type="dxa"/>
          <w:shd w:val="clear" w:color="auto" w:fill="auto"/>
        </w:tcPr>
        <w:p w:rsidR="00F40419" w:rsidRPr="00A46B56" w:rsidP="00AA1327">
          <w:pPr>
            <w:pStyle w:val="Header"/>
            <w:rPr>
              <w:rFonts w:cs="Arial"/>
              <w:b/>
            </w:rPr>
          </w:pPr>
          <w:r w:rsidRPr="00A46B56">
            <w:rPr>
              <w:rFonts w:cs="Arial"/>
            </w:rPr>
            <w:fldChar w:fldCharType="begin"/>
          </w:r>
          <w:r w:rsidRPr="00A46B56">
            <w:rPr>
              <w:rFonts w:cs="Arial"/>
            </w:rPr>
            <w:instrText xml:space="preserve"> DOCPROPERTY  sm_asiakirjatyyppi \* MERGEFORMAT </w:instrText>
          </w:r>
          <w:r w:rsidRPr="00A46B56">
            <w:rPr>
              <w:rFonts w:cs="Arial"/>
            </w:rPr>
            <w:fldChar w:fldCharType="separate"/>
          </w:r>
          <w:r>
            <w:rPr>
              <w:rFonts w:cs="Arial"/>
            </w:rPr>
            <w:t>Muistio</w:t>
          </w:r>
          <w:r w:rsidRPr="00A46B56">
            <w:rPr>
              <w:rFonts w:cs="Arial"/>
            </w:rPr>
            <w:fldChar w:fldCharType="end"/>
          </w:r>
        </w:p>
      </w:tc>
      <w:tc>
        <w:tcPr>
          <w:tcW w:w="1463" w:type="dxa"/>
          <w:shd w:val="clear" w:color="auto" w:fill="auto"/>
        </w:tcPr>
        <w:p w:rsidR="00F40419" w:rsidRPr="00A46B56" w:rsidP="00AA1327">
          <w:pPr>
            <w:pStyle w:val="Header"/>
            <w:rPr>
              <w:rFonts w:cs="Arial"/>
            </w:rPr>
          </w:pPr>
          <w:r w:rsidRPr="00A46B56">
            <w:rPr>
              <w:rFonts w:cs="Arial"/>
            </w:rPr>
            <w:fldChar w:fldCharType="begin"/>
          </w:r>
          <w:r w:rsidRPr="00A46B56">
            <w:rPr>
              <w:rFonts w:cs="Arial"/>
            </w:rPr>
            <w:instrText xml:space="preserve"> DOCPROPERTY  sm_id  \* MERGEFORMAT </w:instrText>
          </w:r>
          <w:r w:rsidRPr="00A46B56">
            <w:rPr>
              <w:rFonts w:cs="Arial"/>
            </w:rPr>
            <w:fldChar w:fldCharType="separate"/>
          </w:r>
          <w:r>
            <w:rPr>
              <w:rFonts w:cs="Arial"/>
            </w:rPr>
            <w:t>HAK-221637</w:t>
          </w:r>
          <w:r w:rsidRPr="00A46B56">
            <w:rPr>
              <w:rFonts w:cs="Arial"/>
            </w:rPr>
            <w:fldChar w:fldCharType="end"/>
          </w:r>
        </w:p>
      </w:tc>
      <w:tc>
        <w:tcPr>
          <w:tcW w:w="945" w:type="dxa"/>
          <w:shd w:val="clear" w:color="auto" w:fill="auto"/>
        </w:tcPr>
        <w:p w:rsidR="00F40419" w:rsidRPr="00A46B56" w:rsidP="00A46B56">
          <w:pPr>
            <w:pStyle w:val="Header"/>
            <w:jc w:val="center"/>
            <w:rPr>
              <w:rFonts w:cs="Arial"/>
            </w:rPr>
          </w:pPr>
          <w:r w:rsidRPr="00A46B56">
            <w:rPr>
              <w:rStyle w:val="PageNumber"/>
              <w:rFonts w:cs="Arial"/>
            </w:rPr>
            <w:fldChar w:fldCharType="begin"/>
          </w:r>
          <w:r w:rsidRPr="00A46B56">
            <w:rPr>
              <w:rStyle w:val="PageNumber"/>
              <w:rFonts w:cs="Arial"/>
            </w:rPr>
            <w:instrText xml:space="preserve"> PAGE </w:instrText>
          </w:r>
          <w:r w:rsidRPr="00A46B56">
            <w:rPr>
              <w:rStyle w:val="PageNumber"/>
              <w:rFonts w:cs="Arial"/>
            </w:rPr>
            <w:fldChar w:fldCharType="separate"/>
          </w:r>
          <w:r w:rsidRPr="00A46B56">
            <w:rPr>
              <w:rStyle w:val="PageNumber"/>
              <w:rFonts w:cs="Arial"/>
            </w:rPr>
            <w:t>4</w:t>
          </w:r>
          <w:r w:rsidRPr="00A46B56">
            <w:rPr>
              <w:rStyle w:val="PageNumber"/>
              <w:rFonts w:cs="Arial"/>
            </w:rPr>
            <w:fldChar w:fldCharType="end"/>
          </w:r>
          <w:r w:rsidRPr="00A46B56">
            <w:rPr>
              <w:rStyle w:val="PageNumber"/>
              <w:rFonts w:cs="Arial"/>
            </w:rPr>
            <w:t xml:space="preserve"> (</w:t>
          </w:r>
          <w:r w:rsidRPr="00A46B56">
            <w:rPr>
              <w:rStyle w:val="PageNumber"/>
              <w:rFonts w:cs="Arial"/>
            </w:rPr>
            <w:fldChar w:fldCharType="begin"/>
          </w:r>
          <w:r w:rsidRPr="00A46B56">
            <w:rPr>
              <w:rStyle w:val="PageNumber"/>
              <w:rFonts w:cs="Arial"/>
            </w:rPr>
            <w:instrText xml:space="preserve"> NUMPAGES </w:instrText>
          </w:r>
          <w:r w:rsidRPr="00A46B56">
            <w:rPr>
              <w:rStyle w:val="PageNumber"/>
              <w:rFonts w:cs="Arial"/>
            </w:rPr>
            <w:fldChar w:fldCharType="separate"/>
          </w:r>
          <w:r w:rsidRPr="00A46B56">
            <w:rPr>
              <w:rStyle w:val="PageNumber"/>
              <w:rFonts w:cs="Arial"/>
            </w:rPr>
            <w:t>4</w:t>
          </w:r>
          <w:r w:rsidRPr="00A46B56">
            <w:rPr>
              <w:rStyle w:val="PageNumber"/>
              <w:rFonts w:cs="Arial"/>
            </w:rPr>
            <w:fldChar w:fldCharType="end"/>
          </w:r>
          <w:r w:rsidRPr="00A46B56">
            <w:rPr>
              <w:rStyle w:val="PageNumber"/>
              <w:rFonts w:cs="Arial"/>
            </w:rPr>
            <w:t>)</w:t>
          </w:r>
        </w:p>
      </w:tc>
    </w:tr>
    <w:tr>
      <w:tblPrEx>
        <w:tblW w:w="10233" w:type="dxa"/>
        <w:tblLayout w:type="fixed"/>
        <w:tblCellMar>
          <w:left w:w="0" w:type="dxa"/>
          <w:right w:w="0" w:type="dxa"/>
        </w:tblCellMar>
        <w:tblLook w:val="01E0"/>
      </w:tblPrEx>
      <w:tc>
        <w:tcPr>
          <w:tcW w:w="5216" w:type="dxa"/>
          <w:shd w:val="clear" w:color="auto" w:fill="auto"/>
        </w:tcPr>
        <w:p w:rsidR="00F40419" w:rsidRPr="00A46B56" w:rsidP="00AA1327">
          <w:pPr>
            <w:pStyle w:val="Header"/>
            <w:rPr>
              <w:rFonts w:cs="Arial"/>
              <w:b/>
            </w:rPr>
          </w:pPr>
        </w:p>
      </w:tc>
      <w:tc>
        <w:tcPr>
          <w:tcW w:w="2609" w:type="dxa"/>
          <w:shd w:val="clear" w:color="auto" w:fill="auto"/>
        </w:tcPr>
        <w:p w:rsidR="00F40419" w:rsidRPr="00A46B56" w:rsidP="00AA1327">
          <w:pPr>
            <w:pStyle w:val="Header"/>
            <w:rPr>
              <w:rFonts w:cs="Arial"/>
              <w:b/>
            </w:rPr>
          </w:pPr>
        </w:p>
      </w:tc>
      <w:tc>
        <w:tcPr>
          <w:tcW w:w="2408" w:type="dxa"/>
          <w:gridSpan w:val="2"/>
          <w:shd w:val="clear" w:color="auto" w:fill="auto"/>
        </w:tcPr>
        <w:p w:rsidR="00F40419" w:rsidRPr="00A46B56" w:rsidP="00AA1327">
          <w:pPr>
            <w:pStyle w:val="Header"/>
            <w:rPr>
              <w:rStyle w:val="PageNumber"/>
              <w:rFonts w:cs="Arial"/>
            </w:rPr>
          </w:pPr>
          <w:r w:rsidRPr="00A46B56">
            <w:rPr>
              <w:rStyle w:val="PageNumber"/>
              <w:rFonts w:cs="Arial"/>
            </w:rPr>
            <w:fldChar w:fldCharType="begin"/>
          </w:r>
          <w:r w:rsidRPr="00A46B56">
            <w:rPr>
              <w:rStyle w:val="PageNumber"/>
              <w:rFonts w:cs="Arial"/>
            </w:rPr>
            <w:instrText xml:space="preserve"> DOCPROPERTY  sm_asiaryhmä  \* MERGEFORMAT </w:instrText>
          </w:r>
          <w:r w:rsidRPr="00A46B56"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</w:rPr>
            <w:t>00.00.02</w:t>
          </w:r>
          <w:r w:rsidRPr="00A46B56">
            <w:rPr>
              <w:rStyle w:val="PageNumber"/>
              <w:rFonts w:cs="Arial"/>
            </w:rPr>
            <w:fldChar w:fldCharType="end"/>
          </w:r>
        </w:p>
      </w:tc>
    </w:tr>
    <w:tr>
      <w:tblPrEx>
        <w:tblW w:w="10233" w:type="dxa"/>
        <w:tblLayout w:type="fixed"/>
        <w:tblCellMar>
          <w:left w:w="0" w:type="dxa"/>
          <w:right w:w="0" w:type="dxa"/>
        </w:tblCellMar>
        <w:tblLook w:val="01E0"/>
      </w:tblPrEx>
      <w:tc>
        <w:tcPr>
          <w:tcW w:w="5216" w:type="dxa"/>
          <w:shd w:val="clear" w:color="auto" w:fill="auto"/>
        </w:tcPr>
        <w:p w:rsidR="00F40419" w:rsidRPr="00775C66" w:rsidP="00AA1327">
          <w:pPr>
            <w:pStyle w:val="Header"/>
          </w:pPr>
        </w:p>
      </w:tc>
      <w:tc>
        <w:tcPr>
          <w:tcW w:w="2609" w:type="dxa"/>
          <w:shd w:val="clear" w:color="auto" w:fill="auto"/>
        </w:tcPr>
        <w:p w:rsidR="00F40419" w:rsidRPr="00A46B56" w:rsidP="00AA1327">
          <w:pPr>
            <w:pStyle w:val="Header"/>
            <w:rPr>
              <w:rFonts w:cs="Arial"/>
              <w:b/>
            </w:rPr>
          </w:pPr>
        </w:p>
      </w:tc>
      <w:tc>
        <w:tcPr>
          <w:tcW w:w="2408" w:type="dxa"/>
          <w:gridSpan w:val="2"/>
          <w:shd w:val="clear" w:color="auto" w:fill="auto"/>
        </w:tcPr>
        <w:p w:rsidR="00F40419" w:rsidRPr="00A46B56" w:rsidP="00AA1327">
          <w:pPr>
            <w:pStyle w:val="Header"/>
            <w:rPr>
              <w:rFonts w:cs="Arial"/>
            </w:rPr>
          </w:pPr>
          <w:r w:rsidRPr="00A46B56">
            <w:rPr>
              <w:rFonts w:cs="Arial"/>
            </w:rPr>
            <w:fldChar w:fldCharType="begin"/>
          </w:r>
          <w:r w:rsidRPr="00A46B56">
            <w:rPr>
              <w:rFonts w:cs="Arial"/>
            </w:rPr>
            <w:instrText xml:space="preserve"> DOCPROPERTY  sm_diaarinro  \* MERGEFORMAT </w:instrText>
          </w:r>
          <w:r w:rsidRPr="00A46B56">
            <w:rPr>
              <w:rFonts w:cs="Arial"/>
            </w:rPr>
            <w:fldChar w:fldCharType="separate"/>
          </w:r>
          <w:r>
            <w:rPr>
              <w:rFonts w:cs="Arial"/>
            </w:rPr>
            <w:t>HAK-2021-94</w:t>
          </w:r>
          <w:r w:rsidRPr="00A46B56">
            <w:rPr>
              <w:rFonts w:cs="Arial"/>
            </w:rPr>
            <w:fldChar w:fldCharType="end"/>
          </w:r>
        </w:p>
      </w:tc>
    </w:tr>
    <w:tr>
      <w:tblPrEx>
        <w:tblW w:w="10233" w:type="dxa"/>
        <w:tblLayout w:type="fixed"/>
        <w:tblCellMar>
          <w:left w:w="0" w:type="dxa"/>
          <w:right w:w="0" w:type="dxa"/>
        </w:tblCellMar>
        <w:tblLook w:val="01E0"/>
      </w:tblPrEx>
      <w:tc>
        <w:tcPr>
          <w:tcW w:w="5216" w:type="dxa"/>
          <w:shd w:val="clear" w:color="auto" w:fill="auto"/>
        </w:tcPr>
        <w:p w:rsidR="00F40419" w:rsidRPr="00775C66" w:rsidP="00AA1327">
          <w:pPr>
            <w:pStyle w:val="Header"/>
          </w:pPr>
          <w:r w:rsidRPr="00A46B56">
            <w:rPr>
              <w:rFonts w:cs="Arial"/>
            </w:rPr>
            <w:fldChar w:fldCharType="begin"/>
          </w:r>
          <w:r w:rsidRPr="00A46B56">
            <w:rPr>
              <w:rFonts w:cs="Arial"/>
            </w:rPr>
            <w:instrText xml:space="preserve"> DOCPROPERTY  sm_osasto  \* MERGEFORMAT </w:instrText>
          </w:r>
          <w:r w:rsidRPr="00A46B56">
            <w:rPr>
              <w:rFonts w:cs="Arial"/>
            </w:rPr>
            <w:fldChar w:fldCharType="separate"/>
          </w:r>
          <w:r>
            <w:rPr>
              <w:rFonts w:cs="Arial"/>
            </w:rPr>
            <w:t>Kehittämisosasto</w:t>
          </w:r>
          <w:r w:rsidRPr="00A46B56">
            <w:rPr>
              <w:rFonts w:cs="Arial"/>
            </w:rPr>
            <w:fldChar w:fldCharType="end"/>
          </w:r>
        </w:p>
      </w:tc>
      <w:tc>
        <w:tcPr>
          <w:tcW w:w="2609" w:type="dxa"/>
          <w:shd w:val="clear" w:color="auto" w:fill="auto"/>
        </w:tcPr>
        <w:p w:rsidR="00F40419" w:rsidRPr="00A46B56" w:rsidP="00AA1327">
          <w:pPr>
            <w:pStyle w:val="Header"/>
            <w:rPr>
              <w:rFonts w:cs="Arial"/>
              <w:b/>
            </w:rPr>
          </w:pPr>
          <w:r w:rsidRPr="00A46B56">
            <w:rPr>
              <w:rFonts w:cs="Arial"/>
            </w:rPr>
            <w:fldChar w:fldCharType="begin"/>
          </w:r>
          <w:r w:rsidRPr="00A46B56">
            <w:rPr>
              <w:rFonts w:cs="Arial"/>
            </w:rPr>
            <w:instrText xml:space="preserve"> DOCPROPERTY  sm_pvm \@ "d.M.yyyy"  \* MERGEFORMAT </w:instrText>
          </w:r>
          <w:r w:rsidRPr="00A46B56">
            <w:rPr>
              <w:rFonts w:cs="Arial"/>
            </w:rPr>
            <w:fldChar w:fldCharType="separate"/>
          </w:r>
          <w:r>
            <w:rPr>
              <w:rFonts w:cs="Arial"/>
            </w:rPr>
            <w:t>24.1.2022</w:t>
          </w:r>
          <w:r w:rsidRPr="00A46B56">
            <w:rPr>
              <w:rFonts w:cs="Arial"/>
            </w:rPr>
            <w:fldChar w:fldCharType="end"/>
          </w:r>
        </w:p>
      </w:tc>
      <w:tc>
        <w:tcPr>
          <w:tcW w:w="2408" w:type="dxa"/>
          <w:gridSpan w:val="2"/>
          <w:shd w:val="clear" w:color="auto" w:fill="auto"/>
        </w:tcPr>
        <w:p w:rsidR="00F40419" w:rsidRPr="00A46B56" w:rsidP="00AA1327">
          <w:pPr>
            <w:pStyle w:val="Header"/>
            <w:rPr>
              <w:rFonts w:cs="Arial"/>
            </w:rPr>
          </w:pPr>
          <w:r w:rsidRPr="00A46B56">
            <w:rPr>
              <w:rFonts w:cs="Arial"/>
            </w:rPr>
            <w:fldChar w:fldCharType="begin"/>
          </w:r>
          <w:r w:rsidRPr="00A46B56">
            <w:rPr>
              <w:rFonts w:cs="Arial"/>
            </w:rPr>
            <w:instrText xml:space="preserve"> DOCPROPERTY  sm_käsittelyluokka  \* MERGEFORMAT </w:instrText>
          </w:r>
          <w:r w:rsidRPr="00A46B56">
            <w:rPr>
              <w:rFonts w:cs="Arial"/>
            </w:rPr>
            <w:fldChar w:fldCharType="separate"/>
          </w:r>
          <w:r w:rsidRPr="00A46B56">
            <w:rPr>
              <w:rFonts w:cs="Arial"/>
            </w:rPr>
            <w:fldChar w:fldCharType="end"/>
          </w:r>
        </w:p>
      </w:tc>
    </w:tr>
  </w:tbl>
  <w:p w:rsidR="00453B65" w:rsidRPr="00775C66" w:rsidP="00453B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233" w:type="dxa"/>
      <w:tblLayout w:type="fixed"/>
      <w:tblCellMar>
        <w:left w:w="0" w:type="dxa"/>
        <w:right w:w="0" w:type="dxa"/>
      </w:tblCellMar>
      <w:tblLook w:val="01E0"/>
    </w:tblPr>
    <w:tblGrid>
      <w:gridCol w:w="5216"/>
      <w:gridCol w:w="2609"/>
      <w:gridCol w:w="1463"/>
      <w:gridCol w:w="945"/>
    </w:tblGrid>
    <w:tr>
      <w:tblPrEx>
        <w:tblW w:w="10233" w:type="dxa"/>
        <w:tblLayout w:type="fixed"/>
        <w:tblCellMar>
          <w:left w:w="0" w:type="dxa"/>
          <w:right w:w="0" w:type="dxa"/>
        </w:tblCellMar>
        <w:tblLook w:val="01E0"/>
      </w:tblPrEx>
      <w:tc>
        <w:tcPr>
          <w:tcW w:w="5216" w:type="dxa"/>
          <w:shd w:val="clear" w:color="auto" w:fill="auto"/>
        </w:tcPr>
        <w:p w:rsidR="00693B55" w:rsidRPr="00A46B56" w:rsidP="004B08E4">
          <w:pPr>
            <w:pStyle w:val="Header"/>
            <w:rPr>
              <w:rFonts w:cs="Arial"/>
              <w:sz w:val="28"/>
              <w:szCs w:val="28"/>
            </w:rPr>
          </w:pPr>
          <w:r>
            <w:rPr>
              <w:rFonts w:cs="Arial"/>
              <w:noProof/>
              <w:sz w:val="28"/>
              <w:szCs w:val="28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-275590</wp:posOffset>
                </wp:positionV>
                <wp:extent cx="2235835" cy="713105"/>
                <wp:effectExtent l="0" t="0" r="0" b="0"/>
                <wp:wrapNone/>
                <wp:docPr id="40" name="Kuva 40" descr="Hake_logoSu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Hake_logoSuRu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583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09" w:type="dxa"/>
          <w:shd w:val="clear" w:color="auto" w:fill="auto"/>
        </w:tcPr>
        <w:p w:rsidR="00693B55" w:rsidRPr="00A46B56" w:rsidP="004B08E4">
          <w:pPr>
            <w:pStyle w:val="Header"/>
            <w:rPr>
              <w:rFonts w:cs="Arial"/>
              <w:b/>
            </w:rPr>
          </w:pPr>
          <w:r w:rsidRPr="00A46B56">
            <w:rPr>
              <w:rFonts w:cs="Arial"/>
            </w:rPr>
            <w:fldChar w:fldCharType="begin"/>
          </w:r>
          <w:r w:rsidRPr="00A46B56">
            <w:rPr>
              <w:rFonts w:cs="Arial"/>
            </w:rPr>
            <w:instrText xml:space="preserve"> DOCPROPERTY  sm_asiakirjatyyppi \* MERGEFORMAT </w:instrText>
          </w:r>
          <w:r w:rsidRPr="00A46B56">
            <w:rPr>
              <w:rFonts w:cs="Arial"/>
            </w:rPr>
            <w:fldChar w:fldCharType="separate"/>
          </w:r>
          <w:r>
            <w:rPr>
              <w:rFonts w:cs="Arial"/>
            </w:rPr>
            <w:t>Muistio</w:t>
          </w:r>
          <w:r w:rsidRPr="00A46B56">
            <w:rPr>
              <w:rFonts w:cs="Arial"/>
            </w:rPr>
            <w:fldChar w:fldCharType="end"/>
          </w:r>
        </w:p>
      </w:tc>
      <w:tc>
        <w:tcPr>
          <w:tcW w:w="1463" w:type="dxa"/>
          <w:shd w:val="clear" w:color="auto" w:fill="auto"/>
        </w:tcPr>
        <w:p w:rsidR="00693B55" w:rsidRPr="00A46B56" w:rsidP="004B08E4">
          <w:pPr>
            <w:pStyle w:val="Header"/>
            <w:rPr>
              <w:rFonts w:cs="Arial"/>
            </w:rPr>
          </w:pPr>
          <w:r w:rsidRPr="00A46B56">
            <w:rPr>
              <w:rFonts w:cs="Arial"/>
            </w:rPr>
            <w:fldChar w:fldCharType="begin"/>
          </w:r>
          <w:r w:rsidRPr="00A46B56">
            <w:rPr>
              <w:rFonts w:cs="Arial"/>
            </w:rPr>
            <w:instrText xml:space="preserve"> DOCPROPERTY  sm_id  \* MERGEFORMAT </w:instrText>
          </w:r>
          <w:r w:rsidRPr="00A46B56">
            <w:rPr>
              <w:rFonts w:cs="Arial"/>
            </w:rPr>
            <w:fldChar w:fldCharType="separate"/>
          </w:r>
          <w:r>
            <w:rPr>
              <w:rFonts w:cs="Arial"/>
            </w:rPr>
            <w:t>HAK-221637</w:t>
          </w:r>
          <w:r w:rsidRPr="00A46B56">
            <w:rPr>
              <w:rFonts w:cs="Arial"/>
            </w:rPr>
            <w:fldChar w:fldCharType="end"/>
          </w:r>
        </w:p>
      </w:tc>
      <w:tc>
        <w:tcPr>
          <w:tcW w:w="945" w:type="dxa"/>
          <w:shd w:val="clear" w:color="auto" w:fill="auto"/>
        </w:tcPr>
        <w:p w:rsidR="00693B55" w:rsidRPr="00A46B56" w:rsidP="00A46B56">
          <w:pPr>
            <w:pStyle w:val="Header"/>
            <w:jc w:val="center"/>
            <w:rPr>
              <w:rFonts w:cs="Arial"/>
            </w:rPr>
          </w:pPr>
          <w:r w:rsidRPr="00A46B56">
            <w:rPr>
              <w:rStyle w:val="PageNumber"/>
              <w:rFonts w:cs="Arial"/>
            </w:rPr>
            <w:fldChar w:fldCharType="begin"/>
          </w:r>
          <w:r w:rsidRPr="00A46B56">
            <w:rPr>
              <w:rStyle w:val="PageNumber"/>
              <w:rFonts w:cs="Arial"/>
            </w:rPr>
            <w:instrText xml:space="preserve"> PAGE </w:instrText>
          </w:r>
          <w:r w:rsidRPr="00A46B56">
            <w:rPr>
              <w:rStyle w:val="PageNumber"/>
              <w:rFonts w:cs="Arial"/>
            </w:rPr>
            <w:fldChar w:fldCharType="separate"/>
          </w:r>
          <w:r w:rsidRPr="00A46B56">
            <w:rPr>
              <w:rStyle w:val="PageNumber"/>
              <w:rFonts w:cs="Arial"/>
            </w:rPr>
            <w:t>1</w:t>
          </w:r>
          <w:r w:rsidRPr="00A46B56">
            <w:rPr>
              <w:rStyle w:val="PageNumber"/>
              <w:rFonts w:cs="Arial"/>
            </w:rPr>
            <w:fldChar w:fldCharType="end"/>
          </w:r>
          <w:r w:rsidRPr="00A46B56">
            <w:rPr>
              <w:rStyle w:val="PageNumber"/>
              <w:rFonts w:cs="Arial"/>
            </w:rPr>
            <w:t xml:space="preserve"> (</w:t>
          </w:r>
          <w:r w:rsidRPr="00A46B56">
            <w:rPr>
              <w:rStyle w:val="PageNumber"/>
              <w:rFonts w:cs="Arial"/>
            </w:rPr>
            <w:fldChar w:fldCharType="begin"/>
          </w:r>
          <w:r w:rsidRPr="00A46B56">
            <w:rPr>
              <w:rStyle w:val="PageNumber"/>
              <w:rFonts w:cs="Arial"/>
            </w:rPr>
            <w:instrText xml:space="preserve"> NUMPAGES </w:instrText>
          </w:r>
          <w:r w:rsidRPr="00A46B56">
            <w:rPr>
              <w:rStyle w:val="PageNumber"/>
              <w:rFonts w:cs="Arial"/>
            </w:rPr>
            <w:fldChar w:fldCharType="separate"/>
          </w:r>
          <w:r w:rsidRPr="00A46B56">
            <w:rPr>
              <w:rStyle w:val="PageNumber"/>
              <w:rFonts w:cs="Arial"/>
            </w:rPr>
            <w:t>4</w:t>
          </w:r>
          <w:r w:rsidRPr="00A46B56">
            <w:rPr>
              <w:rStyle w:val="PageNumber"/>
              <w:rFonts w:cs="Arial"/>
            </w:rPr>
            <w:fldChar w:fldCharType="end"/>
          </w:r>
          <w:r w:rsidRPr="00A46B56">
            <w:rPr>
              <w:rStyle w:val="PageNumber"/>
              <w:rFonts w:cs="Arial"/>
            </w:rPr>
            <w:t>)</w:t>
          </w:r>
        </w:p>
      </w:tc>
    </w:tr>
    <w:tr>
      <w:tblPrEx>
        <w:tblW w:w="10233" w:type="dxa"/>
        <w:tblLayout w:type="fixed"/>
        <w:tblCellMar>
          <w:left w:w="0" w:type="dxa"/>
          <w:right w:w="0" w:type="dxa"/>
        </w:tblCellMar>
        <w:tblLook w:val="01E0"/>
      </w:tblPrEx>
      <w:tc>
        <w:tcPr>
          <w:tcW w:w="5216" w:type="dxa"/>
          <w:shd w:val="clear" w:color="auto" w:fill="auto"/>
        </w:tcPr>
        <w:p w:rsidR="00693B55" w:rsidRPr="00A46B56" w:rsidP="004B08E4">
          <w:pPr>
            <w:pStyle w:val="Header"/>
            <w:rPr>
              <w:rFonts w:cs="Arial"/>
              <w:b/>
            </w:rPr>
          </w:pPr>
        </w:p>
      </w:tc>
      <w:tc>
        <w:tcPr>
          <w:tcW w:w="2609" w:type="dxa"/>
          <w:shd w:val="clear" w:color="auto" w:fill="auto"/>
        </w:tcPr>
        <w:p w:rsidR="00693B55" w:rsidRPr="00A46B56" w:rsidP="004B08E4">
          <w:pPr>
            <w:pStyle w:val="Header"/>
            <w:rPr>
              <w:rFonts w:cs="Arial"/>
              <w:b/>
            </w:rPr>
          </w:pPr>
        </w:p>
      </w:tc>
      <w:tc>
        <w:tcPr>
          <w:tcW w:w="2408" w:type="dxa"/>
          <w:gridSpan w:val="2"/>
          <w:shd w:val="clear" w:color="auto" w:fill="auto"/>
        </w:tcPr>
        <w:p w:rsidR="00693B55" w:rsidRPr="00A46B56" w:rsidP="004B08E4">
          <w:pPr>
            <w:pStyle w:val="Header"/>
            <w:rPr>
              <w:rStyle w:val="PageNumber"/>
              <w:rFonts w:cs="Arial"/>
            </w:rPr>
          </w:pPr>
          <w:r w:rsidRPr="00A46B56">
            <w:rPr>
              <w:rStyle w:val="PageNumber"/>
              <w:rFonts w:cs="Arial"/>
            </w:rPr>
            <w:fldChar w:fldCharType="begin"/>
          </w:r>
          <w:r w:rsidRPr="00A46B56">
            <w:rPr>
              <w:rStyle w:val="PageNumber"/>
              <w:rFonts w:cs="Arial"/>
            </w:rPr>
            <w:instrText xml:space="preserve"> DOCPROPERTY  sm_asiaryhmä  \* MERGEFORMAT </w:instrText>
          </w:r>
          <w:r w:rsidRPr="00A46B56"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</w:rPr>
            <w:t>00.00.02</w:t>
          </w:r>
          <w:r w:rsidRPr="00A46B56">
            <w:rPr>
              <w:rStyle w:val="PageNumber"/>
              <w:rFonts w:cs="Arial"/>
            </w:rPr>
            <w:fldChar w:fldCharType="end"/>
          </w:r>
        </w:p>
      </w:tc>
    </w:tr>
    <w:tr>
      <w:tblPrEx>
        <w:tblW w:w="10233" w:type="dxa"/>
        <w:tblLayout w:type="fixed"/>
        <w:tblCellMar>
          <w:left w:w="0" w:type="dxa"/>
          <w:right w:w="0" w:type="dxa"/>
        </w:tblCellMar>
        <w:tblLook w:val="01E0"/>
      </w:tblPrEx>
      <w:tc>
        <w:tcPr>
          <w:tcW w:w="5216" w:type="dxa"/>
          <w:shd w:val="clear" w:color="auto" w:fill="auto"/>
        </w:tcPr>
        <w:p w:rsidR="00693B55" w:rsidRPr="00775C66" w:rsidP="004B08E4">
          <w:pPr>
            <w:pStyle w:val="Header"/>
          </w:pPr>
        </w:p>
      </w:tc>
      <w:tc>
        <w:tcPr>
          <w:tcW w:w="2609" w:type="dxa"/>
          <w:shd w:val="clear" w:color="auto" w:fill="auto"/>
        </w:tcPr>
        <w:p w:rsidR="00693B55" w:rsidRPr="00A46B56" w:rsidP="004B08E4">
          <w:pPr>
            <w:pStyle w:val="Header"/>
            <w:rPr>
              <w:rFonts w:cs="Arial"/>
              <w:b/>
            </w:rPr>
          </w:pPr>
        </w:p>
      </w:tc>
      <w:tc>
        <w:tcPr>
          <w:tcW w:w="2408" w:type="dxa"/>
          <w:gridSpan w:val="2"/>
          <w:shd w:val="clear" w:color="auto" w:fill="auto"/>
        </w:tcPr>
        <w:p w:rsidR="00693B55" w:rsidRPr="00A46B56" w:rsidP="004B08E4">
          <w:pPr>
            <w:pStyle w:val="Header"/>
            <w:rPr>
              <w:rFonts w:cs="Arial"/>
            </w:rPr>
          </w:pPr>
          <w:r w:rsidRPr="00A46B56">
            <w:rPr>
              <w:rFonts w:cs="Arial"/>
            </w:rPr>
            <w:fldChar w:fldCharType="begin"/>
          </w:r>
          <w:r w:rsidRPr="00A46B56">
            <w:rPr>
              <w:rFonts w:cs="Arial"/>
            </w:rPr>
            <w:instrText xml:space="preserve"> DOCPROPERTY  sm_diaarinro  \* MERGEFORMAT </w:instrText>
          </w:r>
          <w:r w:rsidRPr="00A46B56">
            <w:rPr>
              <w:rFonts w:cs="Arial"/>
            </w:rPr>
            <w:fldChar w:fldCharType="separate"/>
          </w:r>
          <w:r>
            <w:rPr>
              <w:rFonts w:cs="Arial"/>
            </w:rPr>
            <w:t>HAK-2021-94</w:t>
          </w:r>
          <w:r w:rsidRPr="00A46B56">
            <w:rPr>
              <w:rFonts w:cs="Arial"/>
            </w:rPr>
            <w:fldChar w:fldCharType="end"/>
          </w:r>
        </w:p>
      </w:tc>
    </w:tr>
    <w:tr>
      <w:tblPrEx>
        <w:tblW w:w="10233" w:type="dxa"/>
        <w:tblLayout w:type="fixed"/>
        <w:tblCellMar>
          <w:left w:w="0" w:type="dxa"/>
          <w:right w:w="0" w:type="dxa"/>
        </w:tblCellMar>
        <w:tblLook w:val="01E0"/>
      </w:tblPrEx>
      <w:tc>
        <w:tcPr>
          <w:tcW w:w="5216" w:type="dxa"/>
          <w:shd w:val="clear" w:color="auto" w:fill="auto"/>
        </w:tcPr>
        <w:p w:rsidR="00693B55" w:rsidRPr="00775C66" w:rsidP="004B08E4">
          <w:pPr>
            <w:pStyle w:val="Header"/>
          </w:pPr>
          <w:r w:rsidRPr="00A46B56">
            <w:rPr>
              <w:rFonts w:cs="Arial"/>
            </w:rPr>
            <w:fldChar w:fldCharType="begin"/>
          </w:r>
          <w:r w:rsidRPr="00A46B56">
            <w:rPr>
              <w:rFonts w:cs="Arial"/>
            </w:rPr>
            <w:instrText xml:space="preserve"> DOCPROPERTY  sm_osasto  \* MERGEFORMAT </w:instrText>
          </w:r>
          <w:r w:rsidRPr="00A46B56">
            <w:rPr>
              <w:rFonts w:cs="Arial"/>
            </w:rPr>
            <w:fldChar w:fldCharType="separate"/>
          </w:r>
          <w:r>
            <w:rPr>
              <w:rFonts w:cs="Arial"/>
            </w:rPr>
            <w:t>Kehittämisosasto</w:t>
          </w:r>
          <w:r w:rsidRPr="00A46B56">
            <w:rPr>
              <w:rFonts w:cs="Arial"/>
            </w:rPr>
            <w:fldChar w:fldCharType="end"/>
          </w:r>
        </w:p>
      </w:tc>
      <w:tc>
        <w:tcPr>
          <w:tcW w:w="2609" w:type="dxa"/>
          <w:shd w:val="clear" w:color="auto" w:fill="auto"/>
        </w:tcPr>
        <w:p w:rsidR="00693B55" w:rsidRPr="00A46B56" w:rsidP="004B08E4">
          <w:pPr>
            <w:pStyle w:val="Header"/>
            <w:rPr>
              <w:rFonts w:cs="Arial"/>
              <w:b/>
            </w:rPr>
          </w:pPr>
          <w:r w:rsidRPr="00A46B56">
            <w:rPr>
              <w:rFonts w:cs="Arial"/>
            </w:rPr>
            <w:fldChar w:fldCharType="begin"/>
          </w:r>
          <w:r w:rsidRPr="00A46B56">
            <w:rPr>
              <w:rFonts w:cs="Arial"/>
            </w:rPr>
            <w:instrText xml:space="preserve"> DOCPROPERTY  sm_pvm \@ "d.M.yyyy"  \* MERGEFORMAT </w:instrText>
          </w:r>
          <w:r w:rsidRPr="00A46B56">
            <w:rPr>
              <w:rFonts w:cs="Arial"/>
            </w:rPr>
            <w:fldChar w:fldCharType="separate"/>
          </w:r>
          <w:r>
            <w:rPr>
              <w:rFonts w:cs="Arial"/>
            </w:rPr>
            <w:t>24.1.2022</w:t>
          </w:r>
          <w:r w:rsidRPr="00A46B56">
            <w:rPr>
              <w:rFonts w:cs="Arial"/>
            </w:rPr>
            <w:fldChar w:fldCharType="end"/>
          </w:r>
        </w:p>
      </w:tc>
      <w:tc>
        <w:tcPr>
          <w:tcW w:w="2408" w:type="dxa"/>
          <w:gridSpan w:val="2"/>
          <w:shd w:val="clear" w:color="auto" w:fill="auto"/>
        </w:tcPr>
        <w:p w:rsidR="00693B55" w:rsidRPr="00A46B56" w:rsidP="004B08E4">
          <w:pPr>
            <w:pStyle w:val="Header"/>
            <w:rPr>
              <w:rFonts w:cs="Arial"/>
            </w:rPr>
          </w:pPr>
          <w:r w:rsidRPr="00A46B56">
            <w:rPr>
              <w:rFonts w:cs="Arial"/>
            </w:rPr>
            <w:fldChar w:fldCharType="begin"/>
          </w:r>
          <w:r w:rsidRPr="00A46B56">
            <w:rPr>
              <w:rFonts w:cs="Arial"/>
            </w:rPr>
            <w:instrText xml:space="preserve"> DOCPROPERTY  sm_käsittelyluokka  \* MERGEFORMAT </w:instrText>
          </w:r>
          <w:r w:rsidRPr="00A46B56">
            <w:rPr>
              <w:rFonts w:cs="Arial"/>
            </w:rPr>
            <w:fldChar w:fldCharType="separate"/>
          </w:r>
          <w:r w:rsidRPr="00A46B56">
            <w:rPr>
              <w:rFonts w:cs="Arial"/>
            </w:rPr>
            <w:fldChar w:fldCharType="end"/>
          </w:r>
        </w:p>
      </w:tc>
    </w:tr>
  </w:tbl>
  <w:p w:rsidR="00693B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F0C8D3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A8810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5E63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0E7B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0047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F8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805A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2F8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247FFE"/>
    <w:lvl w:ilvl="0">
      <w:start w:val="1"/>
      <w:numFmt w:val="decimal"/>
      <w:pStyle w:val="ListNumber"/>
      <w:lvlText w:val="%1."/>
      <w:lvlJc w:val="left"/>
      <w:pPr>
        <w:tabs>
          <w:tab w:val="num" w:pos="3175"/>
        </w:tabs>
        <w:ind w:left="3175" w:hanging="567"/>
      </w:pPr>
      <w:rPr>
        <w:rFonts w:hint="default"/>
      </w:rPr>
    </w:lvl>
  </w:abstractNum>
  <w:abstractNum w:abstractNumId="9">
    <w:nsid w:val="FFFFFF89"/>
    <w:multiLevelType w:val="singleLevel"/>
    <w:tmpl w:val="FF26FB88"/>
    <w:lvl w:ilvl="0">
      <w:start w:val="1"/>
      <w:numFmt w:val="bullet"/>
      <w:pStyle w:val="ListBullet"/>
      <w:lvlText w:val="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  <w:color w:val="auto"/>
      </w:rPr>
    </w:lvl>
  </w:abstractNum>
  <w:abstractNum w:abstractNumId="10">
    <w:nsid w:val="02EB0D8B"/>
    <w:multiLevelType w:val="multilevel"/>
    <w:tmpl w:val="E9D42BBA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992" w:hanging="992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11">
    <w:nsid w:val="1ED50DBD"/>
    <w:multiLevelType w:val="hybridMultilevel"/>
    <w:tmpl w:val="8244F61A"/>
    <w:lvl w:ilvl="0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2">
    <w:nsid w:val="79905975"/>
    <w:multiLevelType w:val="hybridMultilevel"/>
    <w:tmpl w:val="2E561CA2"/>
    <w:lvl w:ilvl="0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9"/>
  </w:num>
  <w:num w:numId="21">
    <w:abstractNumId w:val="8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9"/>
  </w:num>
  <w:num w:numId="32">
    <w:abstractNumId w:val="8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9"/>
  </w:num>
  <w:num w:numId="43">
    <w:abstractNumId w:val="8"/>
  </w:num>
  <w:num w:numId="44">
    <w:abstractNumId w:val="11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8" w:allStyles="0" w:alternateStyleNames="0" w:clearFormatting="1" w:customStyles="0" w:directFormattingOnNumbering="0" w:directFormattingOnParagraphs="0" w:directFormattingOnRuns="0" w:directFormattingOnTables="0" w:headingStyles="0" w:latentStyles="0" w:numberingStyles="0" w:stylesInUse="1" w:tableStyles="0" w:top3HeadingStyles="1" w:visibleStyles="0"/>
  <w:documentProtection w:edit="readOnly" w:enforcement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12C"/>
    <w:rPr>
      <w:rFonts w:ascii="Arial" w:hAnsi="Arial"/>
      <w:sz w:val="22"/>
      <w:szCs w:val="22"/>
    </w:rPr>
  </w:style>
  <w:style w:type="paragraph" w:styleId="Heading1">
    <w:name w:val="heading 1"/>
    <w:basedOn w:val="Normal"/>
    <w:next w:val="BodyText"/>
    <w:uiPriority w:val="3"/>
    <w:qFormat/>
    <w:rsid w:val="00823B2A"/>
    <w:pPr>
      <w:keepNext/>
      <w:numPr>
        <w:numId w:val="41"/>
      </w:numPr>
      <w:tabs>
        <w:tab w:val="num" w:pos="360"/>
        <w:tab w:val="clear" w:pos="567"/>
      </w:tabs>
      <w:spacing w:after="240"/>
      <w:ind w:left="0" w:right="2835" w:firstLine="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uiPriority w:val="3"/>
    <w:qFormat/>
    <w:rsid w:val="00823B2A"/>
    <w:pPr>
      <w:keepNext/>
      <w:numPr>
        <w:ilvl w:val="1"/>
        <w:numId w:val="41"/>
      </w:numPr>
      <w:tabs>
        <w:tab w:val="num" w:pos="360"/>
        <w:tab w:val="clear" w:pos="567"/>
      </w:tabs>
      <w:spacing w:after="240"/>
      <w:ind w:left="0" w:right="2835" w:firstLine="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BodyText"/>
    <w:uiPriority w:val="3"/>
    <w:qFormat/>
    <w:rsid w:val="00823B2A"/>
    <w:pPr>
      <w:keepNext/>
      <w:numPr>
        <w:ilvl w:val="2"/>
        <w:numId w:val="41"/>
      </w:numPr>
      <w:tabs>
        <w:tab w:val="num" w:pos="360"/>
      </w:tabs>
      <w:spacing w:before="240" w:after="60"/>
      <w:ind w:left="0" w:right="2835" w:firstLine="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uiPriority w:val="3"/>
    <w:rsid w:val="00823B2A"/>
    <w:pPr>
      <w:keepNext/>
      <w:numPr>
        <w:ilvl w:val="3"/>
        <w:numId w:val="41"/>
      </w:numPr>
      <w:tabs>
        <w:tab w:val="num" w:pos="360"/>
        <w:tab w:val="clear" w:pos="1304"/>
      </w:tabs>
      <w:spacing w:before="240" w:after="60"/>
      <w:ind w:left="0" w:firstLine="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3"/>
    <w:rsid w:val="00823B2A"/>
    <w:pPr>
      <w:numPr>
        <w:ilvl w:val="4"/>
        <w:numId w:val="41"/>
      </w:numPr>
      <w:tabs>
        <w:tab w:val="num" w:pos="360"/>
        <w:tab w:val="clear" w:pos="1304"/>
      </w:tabs>
      <w:spacing w:before="240" w:after="60"/>
      <w:ind w:left="0" w:firstLine="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3"/>
    <w:rsid w:val="00823B2A"/>
    <w:pPr>
      <w:numPr>
        <w:ilvl w:val="5"/>
        <w:numId w:val="41"/>
      </w:numPr>
      <w:tabs>
        <w:tab w:val="num" w:pos="360"/>
      </w:tabs>
      <w:spacing w:before="240" w:after="60"/>
      <w:ind w:left="0" w:firstLine="0"/>
      <w:outlineLvl w:val="5"/>
    </w:pPr>
    <w:rPr>
      <w:b/>
      <w:bCs/>
    </w:rPr>
  </w:style>
  <w:style w:type="paragraph" w:styleId="Heading7">
    <w:name w:val="heading 7"/>
    <w:basedOn w:val="Normal"/>
    <w:next w:val="Normal"/>
    <w:uiPriority w:val="3"/>
    <w:rsid w:val="00823B2A"/>
    <w:pPr>
      <w:numPr>
        <w:ilvl w:val="6"/>
        <w:numId w:val="41"/>
      </w:numPr>
      <w:tabs>
        <w:tab w:val="num" w:pos="360"/>
      </w:tabs>
      <w:spacing w:before="240" w:after="60"/>
      <w:ind w:left="0" w:firstLine="0"/>
      <w:outlineLvl w:val="6"/>
    </w:pPr>
  </w:style>
  <w:style w:type="paragraph" w:styleId="Heading8">
    <w:name w:val="heading 8"/>
    <w:basedOn w:val="Normal"/>
    <w:next w:val="Normal"/>
    <w:uiPriority w:val="3"/>
    <w:rsid w:val="00823B2A"/>
    <w:pPr>
      <w:numPr>
        <w:ilvl w:val="7"/>
        <w:numId w:val="41"/>
      </w:numPr>
      <w:tabs>
        <w:tab w:val="num" w:pos="360"/>
      </w:tabs>
      <w:spacing w:before="240" w:after="6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3"/>
    <w:rsid w:val="00823B2A"/>
    <w:pPr>
      <w:numPr>
        <w:ilvl w:val="8"/>
        <w:numId w:val="41"/>
      </w:numPr>
      <w:tabs>
        <w:tab w:val="num" w:pos="360"/>
      </w:tabs>
      <w:spacing w:before="240" w:after="60"/>
      <w:ind w:left="0" w:firstLine="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823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rsid w:val="00823B2A"/>
  </w:style>
  <w:style w:type="paragraph" w:styleId="Footer">
    <w:name w:val="footer"/>
    <w:basedOn w:val="Normal"/>
    <w:rsid w:val="00934839"/>
    <w:rPr>
      <w:rFonts w:cs="Arial"/>
      <w:sz w:val="14"/>
      <w:szCs w:val="14"/>
    </w:rPr>
  </w:style>
  <w:style w:type="character" w:styleId="PageNumber">
    <w:name w:val="page number"/>
    <w:basedOn w:val="DefaultParagraphFont"/>
    <w:semiHidden/>
    <w:rsid w:val="00823B2A"/>
  </w:style>
  <w:style w:type="paragraph" w:styleId="Title">
    <w:name w:val="Title"/>
    <w:basedOn w:val="Normal"/>
    <w:next w:val="BodyText"/>
    <w:uiPriority w:val="3"/>
    <w:qFormat/>
    <w:rsid w:val="00823B2A"/>
    <w:pPr>
      <w:spacing w:after="240"/>
      <w:ind w:right="2835"/>
      <w:outlineLvl w:val="0"/>
    </w:pPr>
    <w:rPr>
      <w:rFonts w:cs="Arial"/>
      <w:b/>
      <w:bCs/>
    </w:rPr>
  </w:style>
  <w:style w:type="paragraph" w:styleId="ListBullet">
    <w:name w:val="List Bullet"/>
    <w:basedOn w:val="Normal"/>
    <w:uiPriority w:val="4"/>
    <w:qFormat/>
    <w:rsid w:val="00823B2A"/>
    <w:pPr>
      <w:numPr>
        <w:numId w:val="42"/>
      </w:numPr>
    </w:pPr>
  </w:style>
  <w:style w:type="paragraph" w:styleId="BodyText">
    <w:name w:val="Body Text"/>
    <w:basedOn w:val="Normal"/>
    <w:uiPriority w:val="1"/>
    <w:qFormat/>
    <w:rsid w:val="00823B2A"/>
    <w:pPr>
      <w:spacing w:after="240"/>
      <w:ind w:left="2608"/>
    </w:pPr>
  </w:style>
  <w:style w:type="paragraph" w:styleId="ListNumber">
    <w:name w:val="List Number"/>
    <w:basedOn w:val="Normal"/>
    <w:uiPriority w:val="4"/>
    <w:qFormat/>
    <w:rsid w:val="00823B2A"/>
    <w:pPr>
      <w:numPr>
        <w:numId w:val="43"/>
      </w:numPr>
    </w:pPr>
  </w:style>
  <w:style w:type="paragraph" w:customStyle="1" w:styleId="Sivuotsikko">
    <w:name w:val="Sivuotsikko"/>
    <w:basedOn w:val="BodyText"/>
    <w:next w:val="BodyText"/>
    <w:uiPriority w:val="2"/>
    <w:qFormat/>
    <w:rsid w:val="00823B2A"/>
    <w:pPr>
      <w:ind w:hanging="2608"/>
    </w:pPr>
  </w:style>
  <w:style w:type="character" w:styleId="Hyperlink">
    <w:name w:val="Hyperlink"/>
    <w:rsid w:val="0041430C"/>
    <w:rPr>
      <w:color w:val="0000FF"/>
      <w:u w:val="single"/>
    </w:rPr>
  </w:style>
  <w:style w:type="table" w:customStyle="1" w:styleId="TaulukkoRuudukko1">
    <w:name w:val="Taulukko Ruudukko1"/>
    <w:basedOn w:val="TableNormal"/>
    <w:next w:val="TableGrid"/>
    <w:uiPriority w:val="39"/>
    <w:rsid w:val="003514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834</Words>
  <Characters>6757</Characters>
  <Application>Microsoft Office Word</Application>
  <DocSecurity>0</DocSecurity>
  <Lines>56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Hätäkeskuslaitos</Company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Korkeakangas Juho HAL</dc:creator>
  <cp:lastModifiedBy>Söderdahl Satu HAK</cp:lastModifiedBy>
  <cp:revision>9</cp:revision>
  <cp:lastPrinted>2011-01-03T08:34:00Z</cp:lastPrinted>
  <dcterms:created xsi:type="dcterms:W3CDTF">2019-01-02T12:46:00Z</dcterms:created>
  <dcterms:modified xsi:type="dcterms:W3CDTF">2022-01-24T08:24:00Z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Hätäkeskuslaitos 24.01.2022 klo 11:30. Allekirjoituksen oikeellisuuden voi todentaa kirjaamosta.</vt:lpwstr>
  </property>
  <property fmtid="{D5CDD505-2E9C-101B-9397-08002B2CF9AE}" pid="3" name="sm_asiakirjatyyppi">
    <vt:lpwstr>Muistio</vt:lpwstr>
  </property>
  <property fmtid="{D5CDD505-2E9C-101B-9397-08002B2CF9AE}" pid="4" name="sm_asiaryhmä">
    <vt:lpwstr>00.00.02</vt:lpwstr>
  </property>
  <property fmtid="{D5CDD505-2E9C-101B-9397-08002B2CF9AE}" pid="5" name="sm_diaarinro">
    <vt:lpwstr>HAK-2021-94</vt:lpwstr>
  </property>
  <property fmtid="{D5CDD505-2E9C-101B-9397-08002B2CF9AE}" pid="6" name="sm_id">
    <vt:lpwstr>HAK-221637</vt:lpwstr>
  </property>
  <property fmtid="{D5CDD505-2E9C-101B-9397-08002B2CF9AE}" pid="7" name="sm_käsittelyluokka">
    <vt:lpwstr/>
  </property>
  <property fmtid="{D5CDD505-2E9C-101B-9397-08002B2CF9AE}" pid="8" name="sm_laatija">
    <vt:lpwstr>Satu Söderdahl</vt:lpwstr>
  </property>
  <property fmtid="{D5CDD505-2E9C-101B-9397-08002B2CF9AE}" pid="9" name="sm_laatimispvm">
    <vt:lpwstr>24.01.2022</vt:lpwstr>
  </property>
  <property fmtid="{D5CDD505-2E9C-101B-9397-08002B2CF9AE}" pid="10" name="sm_määräaika">
    <vt:lpwstr/>
  </property>
  <property fmtid="{D5CDD505-2E9C-101B-9397-08002B2CF9AE}" pid="11" name="sm_organisaatio">
    <vt:lpwstr>Hätäkeskuslaitos</vt:lpwstr>
  </property>
  <property fmtid="{D5CDD505-2E9C-101B-9397-08002B2CF9AE}" pid="12" name="sm_osasto">
    <vt:lpwstr>Kehittämisosasto</vt:lpwstr>
  </property>
  <property fmtid="{D5CDD505-2E9C-101B-9397-08002B2CF9AE}" pid="13" name="sm_otsikko">
    <vt:lpwstr>HAK; Hätäkeskuslaitoksen arvio lainsäädäntöhankkeen kustannusvaikutuksista</vt:lpwstr>
  </property>
  <property fmtid="{D5CDD505-2E9C-101B-9397-08002B2CF9AE}" pid="14" name="sm_pvm">
    <vt:lpwstr>24.01.2022</vt:lpwstr>
  </property>
  <property fmtid="{D5CDD505-2E9C-101B-9397-08002B2CF9AE}" pid="15" name="sm_salassapitoperuste">
    <vt:lpwstr/>
  </property>
  <property fmtid="{D5CDD505-2E9C-101B-9397-08002B2CF9AE}" pid="16" name="sm_tila">
    <vt:lpwstr>Allekirjoitettu</vt:lpwstr>
  </property>
  <property fmtid="{D5CDD505-2E9C-101B-9397-08002B2CF9AE}" pid="17" name="sm_turvallisuusluokka">
    <vt:lpwstr/>
  </property>
  <property fmtid="{D5CDD505-2E9C-101B-9397-08002B2CF9AE}" pid="18" name="sm_turvallisuusperuste">
    <vt:lpwstr/>
  </property>
  <property fmtid="{D5CDD505-2E9C-101B-9397-08002B2CF9AE}" pid="19" name="sm_vastaanottaja">
    <vt:lpwstr>Vastaanottaja</vt:lpwstr>
  </property>
</Properties>
</file>