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07" w:rsidRDefault="00F66C07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C07" w:rsidRDefault="00F66C07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C07" w:rsidRDefault="00F66C07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Maa- ja metsätalousministeriölle</w:t>
      </w:r>
    </w:p>
    <w:p w:rsidR="00F66C07" w:rsidRDefault="00F66C07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C07" w:rsidRDefault="00F66C07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Lausunto</w:t>
      </w:r>
    </w:p>
    <w:p w:rsidR="00F66C07" w:rsidRDefault="00F66C07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5F" w:rsidRPr="004F5FE0" w:rsidRDefault="00F66C07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Pyydettynä lausuntonaan </w:t>
      </w:r>
      <w:r w:rsidR="008A2842" w:rsidRPr="004F5FE0">
        <w:rPr>
          <w:rFonts w:ascii="Times New Roman" w:hAnsi="Times New Roman" w:cs="Times New Roman"/>
          <w:sz w:val="24"/>
          <w:szCs w:val="24"/>
        </w:rPr>
        <w:t>Hallituksen esity</w:t>
      </w:r>
      <w:r>
        <w:rPr>
          <w:rFonts w:ascii="Times New Roman" w:hAnsi="Times New Roman" w:cs="Times New Roman"/>
          <w:sz w:val="24"/>
          <w:szCs w:val="24"/>
        </w:rPr>
        <w:t xml:space="preserve">ksestä </w:t>
      </w:r>
      <w:r w:rsidR="008A2842" w:rsidRPr="004F5FE0">
        <w:rPr>
          <w:rFonts w:ascii="Times New Roman" w:hAnsi="Times New Roman" w:cs="Times New Roman"/>
          <w:sz w:val="24"/>
          <w:szCs w:val="24"/>
        </w:rPr>
        <w:t>eduskunnalle laiksi muuntogeenisen organismin viljelyn rajoittamisesta</w:t>
      </w:r>
      <w:r>
        <w:rPr>
          <w:rFonts w:ascii="Times New Roman" w:hAnsi="Times New Roman" w:cs="Times New Roman"/>
          <w:sz w:val="24"/>
          <w:szCs w:val="24"/>
        </w:rPr>
        <w:t xml:space="preserve"> (246676/8.1.2018) Suomen Ympäristöoikeustieteen Seura r.y. esittää kunnioittaen seuraavan. </w:t>
      </w:r>
    </w:p>
    <w:p w:rsidR="008A2842" w:rsidRPr="004F5FE0" w:rsidRDefault="008A2842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Esityksellä ehdotetaan säädettäväksi laki, jolla saatettaisiin voimaan kansallisia järjestelyjä, joita Euroopan parlamentin ja neuvoston direktiivin (EU) 2015/412 direktiivin 2001/18/EY muutta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>misesta siltä osin kuin on kyse jäsenvaltioiden mahdollisuudesta rajoittaa muuntogeenisten organismien viljelyä tai kieltää se alueellaan kansallinen voimaantulo edellyttää.</w:t>
      </w:r>
    </w:p>
    <w:p w:rsidR="00C67FDD" w:rsidRPr="004F5FE0" w:rsidRDefault="00C67FDD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Taustaa</w:t>
      </w:r>
    </w:p>
    <w:p w:rsidR="00466AAC" w:rsidRPr="004F5FE0" w:rsidRDefault="00466AAC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 xml:space="preserve">Kuten esityksessä todetaan, EU:n jäsenvaltion päätös ottaa käyttöön direktiivissä säädettyjä rajoitus- tai kieltoperusteita on pitkälti poliittinen sen seurauksena, että EU:ssa ei pystytty säätämään geenimunnellun viljelyn rinnakkaiselosta kaikkia jäsenvaltioita koskevalla tavalla. Kannan voidaankin katsoa siirtyneen tiukasta liberaaliksi. Näissä liberalismin rajoissa liikuttaessa jäsenvaltion tulee </w:t>
      </w:r>
      <w:r w:rsidR="00F66C07">
        <w:rPr>
          <w:rFonts w:ascii="Times New Roman" w:hAnsi="Times New Roman" w:cs="Times New Roman"/>
          <w:sz w:val="24"/>
          <w:szCs w:val="24"/>
        </w:rPr>
        <w:t xml:space="preserve">kuitenkin </w:t>
      </w:r>
      <w:r w:rsidRPr="004F5FE0">
        <w:rPr>
          <w:rFonts w:ascii="Times New Roman" w:hAnsi="Times New Roman" w:cs="Times New Roman"/>
          <w:sz w:val="24"/>
          <w:szCs w:val="24"/>
        </w:rPr>
        <w:t>ottaa huomioon sekä EU-oikeudesta että kansallisesta oikeus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 xml:space="preserve">järjestyksestä johtuvat elinkeinopoliittiset ja ympäristölliset samoin kuin mahdolliset muut sosiaaliset vaikutukset. Tässä lausunnossa ei oteta kantaa geenimuunnellun viljelyn suotavuuteen Suomen maantieteellisessä </w:t>
      </w:r>
      <w:r w:rsidR="00F66C07">
        <w:rPr>
          <w:rFonts w:ascii="Times New Roman" w:hAnsi="Times New Roman" w:cs="Times New Roman"/>
          <w:sz w:val="24"/>
          <w:szCs w:val="24"/>
        </w:rPr>
        <w:t>ympäristössä</w:t>
      </w:r>
      <w:r w:rsidRPr="004F5FE0">
        <w:rPr>
          <w:rFonts w:ascii="Times New Roman" w:hAnsi="Times New Roman" w:cs="Times New Roman"/>
          <w:sz w:val="24"/>
          <w:szCs w:val="24"/>
        </w:rPr>
        <w:t>.</w:t>
      </w:r>
    </w:p>
    <w:p w:rsidR="00466AAC" w:rsidRPr="004F5FE0" w:rsidRDefault="00466AAC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Merkittävin geenimuunnellun viljelyn ongelma lähes kaikissa EU:n jäsenvaltioissa on rinnak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>kaiselon hallinnan järjestäminen</w:t>
      </w:r>
      <w:r w:rsidR="009056ED">
        <w:rPr>
          <w:rFonts w:ascii="Times New Roman" w:hAnsi="Times New Roman" w:cs="Times New Roman"/>
          <w:sz w:val="24"/>
          <w:szCs w:val="24"/>
        </w:rPr>
        <w:t>,</w:t>
      </w:r>
      <w:r w:rsidRPr="004F5FE0">
        <w:rPr>
          <w:rFonts w:ascii="Times New Roman" w:hAnsi="Times New Roman" w:cs="Times New Roman"/>
          <w:sz w:val="24"/>
          <w:szCs w:val="24"/>
        </w:rPr>
        <w:t xml:space="preserve"> osin siksi, että erilaatuiset viljelmät ovat usein maantieteellisesti lähekkäin ja siten alttiita vuorovaikutuksille, osin siksi, että sääolosuhteet saattavat herkistää muun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>to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 xml:space="preserve">geenisten organismien leviämistä. </w:t>
      </w:r>
    </w:p>
    <w:p w:rsidR="00466AAC" w:rsidRPr="004F5FE0" w:rsidRDefault="00466AAC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 xml:space="preserve">Geeniturvallisuudella tarkoitetaan sen varmistamista, että muunneltu organismi on etukäteen </w:t>
      </w:r>
      <w:r w:rsidR="00DB4D98" w:rsidRPr="004F5FE0">
        <w:rPr>
          <w:rFonts w:ascii="Times New Roman" w:hAnsi="Times New Roman" w:cs="Times New Roman"/>
          <w:sz w:val="24"/>
          <w:szCs w:val="24"/>
        </w:rPr>
        <w:t>tie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="00DB4D98" w:rsidRPr="004F5FE0">
        <w:rPr>
          <w:rFonts w:ascii="Times New Roman" w:hAnsi="Times New Roman" w:cs="Times New Roman"/>
          <w:sz w:val="24"/>
          <w:szCs w:val="24"/>
        </w:rPr>
        <w:t>teellisesti ja kokein todettu siten turvalliseksi, että sen leviämisestä ei aiheudu esimerkiksi luonnon</w:t>
      </w:r>
      <w:r w:rsidR="00F66C07">
        <w:rPr>
          <w:rFonts w:ascii="Times New Roman" w:hAnsi="Times New Roman" w:cs="Times New Roman"/>
          <w:sz w:val="24"/>
          <w:szCs w:val="24"/>
        </w:rPr>
        <w:t>v</w:t>
      </w:r>
      <w:r w:rsidR="00DB4D98" w:rsidRPr="004F5FE0">
        <w:rPr>
          <w:rFonts w:ascii="Times New Roman" w:hAnsi="Times New Roman" w:cs="Times New Roman"/>
          <w:sz w:val="24"/>
          <w:szCs w:val="24"/>
        </w:rPr>
        <w:t xml:space="preserve">araisissa lajikkeissa geenivääristymiä tai lajikekatoa. Tämä puoli on yleensä varmistettu </w:t>
      </w:r>
      <w:r w:rsidR="00DB4D98" w:rsidRPr="004F5FE0">
        <w:rPr>
          <w:rFonts w:ascii="Times New Roman" w:hAnsi="Times New Roman" w:cs="Times New Roman"/>
          <w:sz w:val="24"/>
          <w:szCs w:val="24"/>
        </w:rPr>
        <w:lastRenderedPageBreak/>
        <w:t>suljettua käyttöä koskevan direktiivin mukaisissa menettelyissä. Riskiä aiheutuu kuitenkin siitä, että hyväksytt</w:t>
      </w:r>
      <w:r w:rsidR="00F66C07">
        <w:rPr>
          <w:rFonts w:ascii="Times New Roman" w:hAnsi="Times New Roman" w:cs="Times New Roman"/>
          <w:sz w:val="24"/>
          <w:szCs w:val="24"/>
        </w:rPr>
        <w:t>y</w:t>
      </w:r>
      <w:r w:rsidR="00DB4D98" w:rsidRPr="004F5FE0">
        <w:rPr>
          <w:rFonts w:ascii="Times New Roman" w:hAnsi="Times New Roman" w:cs="Times New Roman"/>
          <w:sz w:val="24"/>
          <w:szCs w:val="24"/>
        </w:rPr>
        <w:t>ä muunneltua organismia käytetään väärin muunlaiseen kuin tarkoitettuun käyttöön tai olosuhteissa, joissa sen käyttäytymistä ei ole tutkittu . Lisäksi muunneltu organismi tai mikro-orga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="00DB4D98" w:rsidRPr="004F5FE0">
        <w:rPr>
          <w:rFonts w:ascii="Times New Roman" w:hAnsi="Times New Roman" w:cs="Times New Roman"/>
          <w:sz w:val="24"/>
          <w:szCs w:val="24"/>
        </w:rPr>
        <w:t xml:space="preserve">nismi saattaa karata koekäytöstä tai muutoin tutkimusvaiheessa.  </w:t>
      </w:r>
    </w:p>
    <w:p w:rsidR="00DB4D98" w:rsidRPr="004F5FE0" w:rsidRDefault="00DB4D98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Leviämis- eli avoimen käytön direktiivi lähtee siitä, että geeniturvallisuus on viljelmässä käytetyn organismin osalta varmistettu, joten rinnakkaiselon sääntelyssä tätä puolta ei enemmälti käsitellä. Jos kuitenkin tapahtuisi ennakoimaton geenikarkaamis- tai muu vahinko, sitä säännellään erikseen eikä sillä ole sinänsä yhteyttä siihen, miten rinnakkaiselo mahdollisesti järjestetään. Rinnak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>kais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 xml:space="preserve">eloon liittyviä vahinkoriskejä ja muita haitallisia vaikutuksia tarkastellaan siten pääasiassa muiden kuin geeniturvallisuutta koskevien näkökohtien valossa. </w:t>
      </w:r>
    </w:p>
    <w:p w:rsidR="00C67FDD" w:rsidRPr="004F5FE0" w:rsidRDefault="00C67FDD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Sää</w:t>
      </w:r>
      <w:r w:rsidR="001E5EE1" w:rsidRPr="004F5FE0">
        <w:rPr>
          <w:rFonts w:ascii="Times New Roman" w:hAnsi="Times New Roman" w:cs="Times New Roman"/>
          <w:sz w:val="24"/>
          <w:szCs w:val="24"/>
        </w:rPr>
        <w:t>dös</w:t>
      </w:r>
      <w:r w:rsidRPr="004F5FE0">
        <w:rPr>
          <w:rFonts w:ascii="Times New Roman" w:hAnsi="Times New Roman" w:cs="Times New Roman"/>
          <w:sz w:val="24"/>
          <w:szCs w:val="24"/>
        </w:rPr>
        <w:t>ehdotus</w:t>
      </w:r>
    </w:p>
    <w:p w:rsidR="00F14615" w:rsidRPr="004F5FE0" w:rsidRDefault="00C67FDD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 xml:space="preserve">Suljetun käytön direktiivin perusteella hyväksytty geenimuunneltu lajike on sinänsä EU:ssa käytettävissä viljelytoimintaan, joskin rinnakkaiseloa varten on ollut </w:t>
      </w:r>
      <w:r w:rsidR="00F66C07" w:rsidRPr="004F5FE0">
        <w:rPr>
          <w:rFonts w:ascii="Times New Roman" w:hAnsi="Times New Roman" w:cs="Times New Roman"/>
          <w:sz w:val="24"/>
          <w:szCs w:val="24"/>
        </w:rPr>
        <w:t xml:space="preserve">käytettävissä suosituksia </w:t>
      </w:r>
      <w:r w:rsidRPr="004F5FE0">
        <w:rPr>
          <w:rFonts w:ascii="Times New Roman" w:hAnsi="Times New Roman" w:cs="Times New Roman"/>
          <w:sz w:val="24"/>
          <w:szCs w:val="24"/>
        </w:rPr>
        <w:t xml:space="preserve">ennen leviämisdirektiivin nyt esillä olevaa muutosta. </w:t>
      </w:r>
      <w:r w:rsidR="00DB4D98" w:rsidRPr="004F5FE0">
        <w:rPr>
          <w:rFonts w:ascii="Times New Roman" w:hAnsi="Times New Roman" w:cs="Times New Roman"/>
          <w:sz w:val="24"/>
          <w:szCs w:val="24"/>
        </w:rPr>
        <w:t xml:space="preserve"> </w:t>
      </w:r>
      <w:r w:rsidR="00F14615" w:rsidRPr="004F5FE0">
        <w:rPr>
          <w:rFonts w:ascii="Times New Roman" w:hAnsi="Times New Roman" w:cs="Times New Roman"/>
          <w:sz w:val="24"/>
          <w:szCs w:val="24"/>
        </w:rPr>
        <w:t>Tarkasteltava direktiivin muutos merkitsee viljely</w:t>
      </w:r>
      <w:r w:rsidR="00F66C07">
        <w:rPr>
          <w:rFonts w:ascii="Times New Roman" w:hAnsi="Times New Roman" w:cs="Times New Roman"/>
          <w:sz w:val="24"/>
          <w:szCs w:val="24"/>
        </w:rPr>
        <w:softHyphen/>
      </w:r>
      <w:r w:rsidR="00F14615" w:rsidRPr="004F5FE0">
        <w:rPr>
          <w:rFonts w:ascii="Times New Roman" w:hAnsi="Times New Roman" w:cs="Times New Roman"/>
          <w:sz w:val="24"/>
          <w:szCs w:val="24"/>
        </w:rPr>
        <w:t>vapauden rajoittamista siten, että kansallisesti voidaan asettaa kielt</w:t>
      </w:r>
      <w:r w:rsidR="00F66C07">
        <w:rPr>
          <w:rFonts w:ascii="Times New Roman" w:hAnsi="Times New Roman" w:cs="Times New Roman"/>
          <w:sz w:val="24"/>
          <w:szCs w:val="24"/>
        </w:rPr>
        <w:t>oja</w:t>
      </w:r>
      <w:r w:rsidR="00F14615" w:rsidRPr="004F5FE0">
        <w:rPr>
          <w:rFonts w:ascii="Times New Roman" w:hAnsi="Times New Roman" w:cs="Times New Roman"/>
          <w:sz w:val="24"/>
          <w:szCs w:val="24"/>
        </w:rPr>
        <w:t xml:space="preserve"> ja rajoituksia. Tässä suhteessa on tarkasteltava perustuslain </w:t>
      </w:r>
      <w:r w:rsidR="00B407A1" w:rsidRPr="004F5FE0">
        <w:rPr>
          <w:rFonts w:ascii="Times New Roman" w:hAnsi="Times New Roman" w:cs="Times New Roman"/>
          <w:sz w:val="24"/>
          <w:szCs w:val="24"/>
        </w:rPr>
        <w:t>18 §:ssä säädetyn</w:t>
      </w:r>
      <w:r w:rsidR="00F66C07">
        <w:rPr>
          <w:rFonts w:ascii="Times New Roman" w:hAnsi="Times New Roman" w:cs="Times New Roman"/>
          <w:sz w:val="24"/>
          <w:szCs w:val="24"/>
        </w:rPr>
        <w:t xml:space="preserve"> </w:t>
      </w:r>
      <w:r w:rsidR="00F14615" w:rsidRPr="004F5FE0">
        <w:rPr>
          <w:rFonts w:ascii="Times New Roman" w:hAnsi="Times New Roman" w:cs="Times New Roman"/>
          <w:sz w:val="24"/>
          <w:szCs w:val="24"/>
        </w:rPr>
        <w:t xml:space="preserve">elinkeinovapauden merkitystä asiassa. </w:t>
      </w:r>
      <w:r w:rsidR="00B407A1" w:rsidRPr="004F5FE0">
        <w:rPr>
          <w:rFonts w:ascii="Times New Roman" w:hAnsi="Times New Roman" w:cs="Times New Roman"/>
          <w:sz w:val="24"/>
          <w:szCs w:val="24"/>
        </w:rPr>
        <w:t xml:space="preserve">Lähtökohtana on, että elinkeinovapautta tai muita subjektiivisia vapauksia ei saa tavallisella lailla rajoittaa sellaisin perustein, jotka lain avoimen sanamuodon </w:t>
      </w:r>
      <w:r w:rsidR="009056ED">
        <w:rPr>
          <w:rFonts w:ascii="Times New Roman" w:hAnsi="Times New Roman" w:cs="Times New Roman"/>
          <w:sz w:val="24"/>
          <w:szCs w:val="24"/>
        </w:rPr>
        <w:t>vuoksi</w:t>
      </w:r>
      <w:r w:rsidR="00B407A1" w:rsidRPr="004F5FE0">
        <w:rPr>
          <w:rFonts w:ascii="Times New Roman" w:hAnsi="Times New Roman" w:cs="Times New Roman"/>
          <w:sz w:val="24"/>
          <w:szCs w:val="24"/>
        </w:rPr>
        <w:t xml:space="preserve"> mahdollista</w:t>
      </w:r>
      <w:r w:rsidR="00F66C07">
        <w:rPr>
          <w:rFonts w:ascii="Times New Roman" w:hAnsi="Times New Roman" w:cs="Times New Roman"/>
          <w:sz w:val="24"/>
          <w:szCs w:val="24"/>
        </w:rPr>
        <w:t>vat</w:t>
      </w:r>
      <w:r w:rsidR="00B407A1" w:rsidRPr="004F5FE0">
        <w:rPr>
          <w:rFonts w:ascii="Times New Roman" w:hAnsi="Times New Roman" w:cs="Times New Roman"/>
          <w:sz w:val="24"/>
          <w:szCs w:val="24"/>
        </w:rPr>
        <w:t xml:space="preserve"> toimijoiden erilaisen kohtelun samankaltaisissa oloissa. Direktiivin muutos merkitsee tässä suhteessa muu</w:t>
      </w:r>
      <w:r w:rsidR="00F66C07">
        <w:rPr>
          <w:rFonts w:ascii="Times New Roman" w:hAnsi="Times New Roman" w:cs="Times New Roman"/>
          <w:sz w:val="24"/>
          <w:szCs w:val="24"/>
        </w:rPr>
        <w:t>t</w:t>
      </w:r>
      <w:r w:rsidR="00B407A1" w:rsidRPr="004F5FE0">
        <w:rPr>
          <w:rFonts w:ascii="Times New Roman" w:hAnsi="Times New Roman" w:cs="Times New Roman"/>
          <w:sz w:val="24"/>
          <w:szCs w:val="24"/>
        </w:rPr>
        <w:t>oin vapaan toiminnan rajoittamista, mutta direktiivissä ei asiaa tarkastella sillä tarkkuudella kuin yksittäisten jäsenvaltioiden perusoikeusjärjestelmä edellyttäisi.</w:t>
      </w:r>
    </w:p>
    <w:p w:rsidR="001E5EE1" w:rsidRPr="004F5FE0" w:rsidRDefault="00B407A1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Kun muutosdi</w:t>
      </w:r>
      <w:r w:rsidR="00F66C07">
        <w:rPr>
          <w:rFonts w:ascii="Times New Roman" w:hAnsi="Times New Roman" w:cs="Times New Roman"/>
          <w:sz w:val="24"/>
          <w:szCs w:val="24"/>
        </w:rPr>
        <w:t>r</w:t>
      </w:r>
      <w:r w:rsidRPr="004F5FE0">
        <w:rPr>
          <w:rFonts w:ascii="Times New Roman" w:hAnsi="Times New Roman" w:cs="Times New Roman"/>
          <w:sz w:val="24"/>
          <w:szCs w:val="24"/>
        </w:rPr>
        <w:t>ektiivin sisältönä on sinänsä vapaan toiminnan saattaminen kansallisesti rajoitusten alaiseksi tietyin kriteerein, kysymyksessä on harmonisointi, jota ei saa tiukentaa, mutta kylläkin lieventää</w:t>
      </w:r>
      <w:r w:rsidR="008F76D0">
        <w:rPr>
          <w:rFonts w:ascii="Times New Roman" w:hAnsi="Times New Roman" w:cs="Times New Roman"/>
          <w:sz w:val="24"/>
          <w:szCs w:val="24"/>
        </w:rPr>
        <w:t xml:space="preserve"> eli olla asettamatta mitään rajoituksia tai asettamalla niitä vähemmän kuin direktiivi sallisi</w:t>
      </w:r>
      <w:r w:rsidRPr="004F5FE0">
        <w:rPr>
          <w:rFonts w:ascii="Times New Roman" w:hAnsi="Times New Roman" w:cs="Times New Roman"/>
          <w:sz w:val="24"/>
          <w:szCs w:val="24"/>
        </w:rPr>
        <w:t xml:space="preserve">.  Tähän nähden ehdotuksen perusteluissa oleva maininta, että kielto- tai rajoituspäätös on luonteeltaan poliittinen, kaipaa täsmennystä. </w:t>
      </w:r>
      <w:r w:rsidR="007A101B" w:rsidRPr="004F5FE0">
        <w:rPr>
          <w:rFonts w:ascii="Times New Roman" w:hAnsi="Times New Roman" w:cs="Times New Roman"/>
          <w:sz w:val="24"/>
          <w:szCs w:val="24"/>
        </w:rPr>
        <w:t>Ehdotuksen 6 §:n mukaan kiellon antaisi maa- ja metsä</w:t>
      </w:r>
      <w:r w:rsidR="008F76D0">
        <w:rPr>
          <w:rFonts w:ascii="Times New Roman" w:hAnsi="Times New Roman" w:cs="Times New Roman"/>
          <w:sz w:val="24"/>
          <w:szCs w:val="24"/>
        </w:rPr>
        <w:softHyphen/>
      </w:r>
      <w:r w:rsidR="007A101B" w:rsidRPr="004F5FE0">
        <w:rPr>
          <w:rFonts w:ascii="Times New Roman" w:hAnsi="Times New Roman" w:cs="Times New Roman"/>
          <w:sz w:val="24"/>
          <w:szCs w:val="24"/>
        </w:rPr>
        <w:t>talousministeriö asetuksella suoraan 7 §:ssä säädettyjen yleisten kriteerien nojalla.  Käytän</w:t>
      </w:r>
      <w:r w:rsidR="008F76D0">
        <w:rPr>
          <w:rFonts w:ascii="Times New Roman" w:hAnsi="Times New Roman" w:cs="Times New Roman"/>
          <w:sz w:val="24"/>
          <w:szCs w:val="24"/>
        </w:rPr>
        <w:softHyphen/>
      </w:r>
      <w:r w:rsidR="007A101B" w:rsidRPr="004F5FE0">
        <w:rPr>
          <w:rFonts w:ascii="Times New Roman" w:hAnsi="Times New Roman" w:cs="Times New Roman"/>
          <w:sz w:val="24"/>
          <w:szCs w:val="24"/>
        </w:rPr>
        <w:t>nössä tämä tarkoittaa, että lailla delegoidaan direktiivin täytäntöönpano kyseisiltä osin asetustasolle, koska laissa ei ole tarkennettu direktiivin jokseenkin yleisluonteisia kriteerejä.</w:t>
      </w:r>
      <w:r w:rsidR="001F3FBB" w:rsidRPr="004F5FE0">
        <w:rPr>
          <w:rFonts w:ascii="Times New Roman" w:hAnsi="Times New Roman" w:cs="Times New Roman"/>
          <w:sz w:val="24"/>
          <w:szCs w:val="24"/>
        </w:rPr>
        <w:t xml:space="preserve"> Direktiivi itsessänkin esittää kyseiset kriteerit seikkoina, joihin kansallinen päätös </w:t>
      </w:r>
      <w:r w:rsidR="008F76D0">
        <w:rPr>
          <w:rFonts w:ascii="Times New Roman" w:hAnsi="Times New Roman" w:cs="Times New Roman"/>
          <w:sz w:val="24"/>
          <w:szCs w:val="24"/>
        </w:rPr>
        <w:t xml:space="preserve">ainoastaan </w:t>
      </w:r>
      <w:r w:rsidR="001F3FBB" w:rsidRPr="004F5FE0">
        <w:rPr>
          <w:rFonts w:ascii="Times New Roman" w:hAnsi="Times New Roman" w:cs="Times New Roman"/>
          <w:sz w:val="24"/>
          <w:szCs w:val="24"/>
        </w:rPr>
        <w:t>voi perustua</w:t>
      </w:r>
      <w:r w:rsidR="008F76D0">
        <w:rPr>
          <w:rFonts w:ascii="Times New Roman" w:hAnsi="Times New Roman" w:cs="Times New Roman"/>
          <w:sz w:val="24"/>
          <w:szCs w:val="24"/>
        </w:rPr>
        <w:t>, joten kyse ei kriteerien käytön osalta ole vain poliittisesta, vaan myös viljelijöiden asemaan vaikuttavasta päätökse</w:t>
      </w:r>
      <w:r w:rsidR="009056ED">
        <w:rPr>
          <w:rFonts w:ascii="Times New Roman" w:hAnsi="Times New Roman" w:cs="Times New Roman"/>
          <w:sz w:val="24"/>
          <w:szCs w:val="24"/>
        </w:rPr>
        <w:t>nteosta</w:t>
      </w:r>
      <w:r w:rsidR="008F7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EE1" w:rsidRDefault="001E5EE1" w:rsidP="00905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lastRenderedPageBreak/>
        <w:t xml:space="preserve">Kun </w:t>
      </w:r>
      <w:r w:rsidR="008F76D0">
        <w:rPr>
          <w:rFonts w:ascii="Times New Roman" w:hAnsi="Times New Roman" w:cs="Times New Roman"/>
          <w:sz w:val="24"/>
          <w:szCs w:val="24"/>
        </w:rPr>
        <w:t xml:space="preserve">esityksen </w:t>
      </w:r>
      <w:r w:rsidRPr="004F5FE0">
        <w:rPr>
          <w:rFonts w:ascii="Times New Roman" w:hAnsi="Times New Roman" w:cs="Times New Roman"/>
          <w:sz w:val="24"/>
          <w:szCs w:val="24"/>
        </w:rPr>
        <w:t>7 §:ssä mainitaan</w:t>
      </w:r>
      <w:r w:rsidR="009056ED">
        <w:rPr>
          <w:rFonts w:ascii="Times New Roman" w:hAnsi="Times New Roman" w:cs="Times New Roman"/>
          <w:sz w:val="24"/>
          <w:szCs w:val="24"/>
        </w:rPr>
        <w:t>,</w:t>
      </w:r>
      <w:r w:rsidR="008F76D0">
        <w:rPr>
          <w:rFonts w:ascii="Times New Roman" w:hAnsi="Times New Roman" w:cs="Times New Roman"/>
          <w:sz w:val="24"/>
          <w:szCs w:val="24"/>
        </w:rPr>
        <w:t xml:space="preserve"> että</w:t>
      </w:r>
      <w:r w:rsidRPr="004F5FE0">
        <w:rPr>
          <w:rFonts w:ascii="Times New Roman" w:hAnsi="Times New Roman" w:cs="Times New Roman"/>
          <w:sz w:val="24"/>
          <w:szCs w:val="24"/>
        </w:rPr>
        <w:t xml:space="preserve"> rajoituksen tai kiellon lisäperusteena yhdessä 1 momentissa tarkoitettujen syiden lisäksi voidaan käyttää oikeusjärjestelmän perusteisiin liittyviä syitä, on huomat</w:t>
      </w:r>
      <w:r w:rsidR="008F76D0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 xml:space="preserve">tava, että direktiivin mukaan kansallinen erityisperuste </w:t>
      </w:r>
      <w:r w:rsidR="000A3E60" w:rsidRPr="004F5FE0">
        <w:rPr>
          <w:rFonts w:ascii="Times New Roman" w:hAnsi="Times New Roman" w:cs="Times New Roman"/>
          <w:sz w:val="24"/>
          <w:szCs w:val="24"/>
        </w:rPr>
        <w:t>(g</w:t>
      </w:r>
      <w:r w:rsidR="009056ED">
        <w:rPr>
          <w:rFonts w:ascii="Times New Roman" w:hAnsi="Times New Roman" w:cs="Times New Roman"/>
          <w:sz w:val="24"/>
          <w:szCs w:val="24"/>
        </w:rPr>
        <w:t>-kohta:</w:t>
      </w:r>
      <w:r w:rsidR="009056ED" w:rsidRPr="001E5E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oikeusjärjestyksen perusteet</w:t>
      </w:r>
      <w:r w:rsidR="009056E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0A3E60" w:rsidRPr="004F5FE0">
        <w:rPr>
          <w:rFonts w:ascii="Times New Roman" w:hAnsi="Times New Roman" w:cs="Times New Roman"/>
          <w:sz w:val="24"/>
          <w:szCs w:val="24"/>
        </w:rPr>
        <w:t xml:space="preserve"> </w:t>
      </w:r>
      <w:r w:rsidRPr="004F5FE0">
        <w:rPr>
          <w:rFonts w:ascii="Times New Roman" w:hAnsi="Times New Roman" w:cs="Times New Roman"/>
          <w:sz w:val="24"/>
          <w:szCs w:val="24"/>
        </w:rPr>
        <w:t xml:space="preserve">ei yksin voi olla kiellon tai rajoituksen perusteena, vaan sen tulee liittyä johonkin muuhun. </w:t>
      </w:r>
      <w:r w:rsidR="009056ED">
        <w:rPr>
          <w:rFonts w:ascii="Times New Roman" w:hAnsi="Times New Roman" w:cs="Times New Roman"/>
          <w:sz w:val="24"/>
          <w:szCs w:val="24"/>
        </w:rPr>
        <w:t>Näitä p</w:t>
      </w:r>
      <w:r w:rsidR="000A3E60" w:rsidRPr="004F5FE0">
        <w:rPr>
          <w:rFonts w:ascii="Times New Roman" w:hAnsi="Times New Roman" w:cs="Times New Roman"/>
          <w:sz w:val="24"/>
          <w:szCs w:val="24"/>
        </w:rPr>
        <w:t>erusteita</w:t>
      </w:r>
      <w:r w:rsidRPr="004F5FE0">
        <w:rPr>
          <w:rFonts w:ascii="Times New Roman" w:hAnsi="Times New Roman" w:cs="Times New Roman"/>
          <w:sz w:val="24"/>
          <w:szCs w:val="24"/>
        </w:rPr>
        <w:t xml:space="preserve"> ovat:</w:t>
      </w:r>
    </w:p>
    <w:p w:rsidR="009056ED" w:rsidRPr="004F5FE0" w:rsidRDefault="009056ED" w:rsidP="00905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EE1" w:rsidRPr="001E5EE1" w:rsidRDefault="001E5EE1" w:rsidP="004F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5EE1">
        <w:rPr>
          <w:rFonts w:ascii="Times New Roman" w:eastAsia="Times New Roman" w:hAnsi="Times New Roman" w:cs="Times New Roman"/>
          <w:sz w:val="24"/>
          <w:szCs w:val="24"/>
          <w:lang w:eastAsia="de-DE"/>
        </w:rPr>
        <w:t>a) ympäristöpoliittiset tavoitteet;</w:t>
      </w:r>
    </w:p>
    <w:p w:rsidR="001E5EE1" w:rsidRPr="001E5EE1" w:rsidRDefault="001E5EE1" w:rsidP="004F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5EE1">
        <w:rPr>
          <w:rFonts w:ascii="Times New Roman" w:eastAsia="Times New Roman" w:hAnsi="Times New Roman" w:cs="Times New Roman"/>
          <w:sz w:val="24"/>
          <w:szCs w:val="24"/>
          <w:lang w:eastAsia="de-DE"/>
        </w:rPr>
        <w:t>b) kaavoitus;</w:t>
      </w:r>
    </w:p>
    <w:p w:rsidR="001E5EE1" w:rsidRPr="001E5EE1" w:rsidRDefault="001E5EE1" w:rsidP="004F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5EE1">
        <w:rPr>
          <w:rFonts w:ascii="Times New Roman" w:eastAsia="Times New Roman" w:hAnsi="Times New Roman" w:cs="Times New Roman"/>
          <w:sz w:val="24"/>
          <w:szCs w:val="24"/>
          <w:lang w:eastAsia="de-DE"/>
        </w:rPr>
        <w:t>c) maankäyttö;</w:t>
      </w:r>
    </w:p>
    <w:p w:rsidR="001E5EE1" w:rsidRPr="001E5EE1" w:rsidRDefault="001E5EE1" w:rsidP="004F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5EE1">
        <w:rPr>
          <w:rFonts w:ascii="Times New Roman" w:eastAsia="Times New Roman" w:hAnsi="Times New Roman" w:cs="Times New Roman"/>
          <w:sz w:val="24"/>
          <w:szCs w:val="24"/>
          <w:lang w:eastAsia="de-DE"/>
        </w:rPr>
        <w:t>d) sosioekonomiset vaikutukset;</w:t>
      </w:r>
    </w:p>
    <w:p w:rsidR="001E5EE1" w:rsidRPr="001E5EE1" w:rsidRDefault="001E5EE1" w:rsidP="004F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5EE1">
        <w:rPr>
          <w:rFonts w:ascii="Times New Roman" w:eastAsia="Times New Roman" w:hAnsi="Times New Roman" w:cs="Times New Roman"/>
          <w:sz w:val="24"/>
          <w:szCs w:val="24"/>
          <w:lang w:eastAsia="de-DE"/>
        </w:rPr>
        <w:t>e) GMO:ien muissa tuotteissa esiintymisen välttäminen, tämän kuitenkaan rajoittamatta 26 a artiklan soveltamista;</w:t>
      </w:r>
    </w:p>
    <w:p w:rsidR="001E5EE1" w:rsidRPr="001E5EE1" w:rsidRDefault="001E5EE1" w:rsidP="004F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5EE1">
        <w:rPr>
          <w:rFonts w:ascii="Times New Roman" w:eastAsia="Times New Roman" w:hAnsi="Times New Roman" w:cs="Times New Roman"/>
          <w:sz w:val="24"/>
          <w:szCs w:val="24"/>
          <w:lang w:eastAsia="de-DE"/>
        </w:rPr>
        <w:t>f) maatalouspolitiikan tavoitteet;</w:t>
      </w:r>
    </w:p>
    <w:p w:rsidR="00F92A23" w:rsidRDefault="00F92A23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60" w:rsidRPr="004F5FE0" w:rsidRDefault="000A3E60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Kun kyseisten perusteiden soveltaminen ei saa olla ristiriidassa ympäristöriskien arvioinnin kanssa, s</w:t>
      </w:r>
      <w:r w:rsidR="008F76D0">
        <w:rPr>
          <w:rFonts w:ascii="Times New Roman" w:hAnsi="Times New Roman" w:cs="Times New Roman"/>
          <w:sz w:val="24"/>
          <w:szCs w:val="24"/>
        </w:rPr>
        <w:t>a</w:t>
      </w:r>
      <w:r w:rsidRPr="004F5FE0">
        <w:rPr>
          <w:rFonts w:ascii="Times New Roman" w:hAnsi="Times New Roman" w:cs="Times New Roman"/>
          <w:sz w:val="24"/>
          <w:szCs w:val="24"/>
        </w:rPr>
        <w:t xml:space="preserve">attaa jäädä epäselväksi, millä tavoin on kaavailtu tämän seikan tulevan huomioonotetuksi asetusta annettaessa ja mikä ominaispaino arvioinnille annettaisiin. </w:t>
      </w:r>
    </w:p>
    <w:p w:rsidR="00D92042" w:rsidRPr="004F5FE0" w:rsidRDefault="00D92042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 xml:space="preserve">Direktiivin 26 a artiklassa säädetään velvollisuudesta turvata sellaisen naapurivaltion asema, jossa </w:t>
      </w:r>
      <w:r w:rsidR="009056ED">
        <w:rPr>
          <w:rFonts w:ascii="Times New Roman" w:hAnsi="Times New Roman" w:cs="Times New Roman"/>
          <w:sz w:val="24"/>
          <w:szCs w:val="24"/>
        </w:rPr>
        <w:t xml:space="preserve">muuntogeeninen </w:t>
      </w:r>
      <w:r w:rsidRPr="004F5FE0">
        <w:rPr>
          <w:rFonts w:ascii="Times New Roman" w:hAnsi="Times New Roman" w:cs="Times New Roman"/>
          <w:sz w:val="24"/>
          <w:szCs w:val="24"/>
        </w:rPr>
        <w:t xml:space="preserve">viljelytoiminta ei ole sallittua. Tähän viitataan </w:t>
      </w:r>
      <w:r w:rsidR="008F76D0">
        <w:rPr>
          <w:rFonts w:ascii="Times New Roman" w:hAnsi="Times New Roman" w:cs="Times New Roman"/>
          <w:sz w:val="24"/>
          <w:szCs w:val="24"/>
        </w:rPr>
        <w:t xml:space="preserve">perusteluissa </w:t>
      </w:r>
      <w:r w:rsidRPr="004F5FE0">
        <w:rPr>
          <w:rFonts w:ascii="Times New Roman" w:hAnsi="Times New Roman" w:cs="Times New Roman"/>
          <w:sz w:val="24"/>
          <w:szCs w:val="24"/>
        </w:rPr>
        <w:t xml:space="preserve">rajoitusperusteiden e-kohdassa, mutta säännöstä ei tältä osin ole </w:t>
      </w:r>
      <w:r w:rsidR="008F76D0">
        <w:rPr>
          <w:rFonts w:ascii="Times New Roman" w:hAnsi="Times New Roman" w:cs="Times New Roman"/>
          <w:sz w:val="24"/>
          <w:szCs w:val="24"/>
        </w:rPr>
        <w:t xml:space="preserve">itse esityksessä. Direktiivin </w:t>
      </w:r>
      <w:r w:rsidRPr="004F5FE0">
        <w:rPr>
          <w:rFonts w:ascii="Times New Roman" w:hAnsi="Times New Roman" w:cs="Times New Roman"/>
          <w:sz w:val="24"/>
          <w:szCs w:val="24"/>
        </w:rPr>
        <w:t>26 a artiklan 1 a kohdan mukaiset toimenpiteet koskevat valtion raja-alueilla tehtäviä rinnakkaiseloon liittyviä toimenpiteitä, joilla este</w:t>
      </w:r>
      <w:r w:rsidR="008F76D0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 xml:space="preserve">tään muuntogeenisen organismin leviämistä muiden jäsenvaltioiden alueelle. Tästä olisi säädettävä, koska asiassa </w:t>
      </w:r>
      <w:r w:rsidR="008F76D0">
        <w:rPr>
          <w:rFonts w:ascii="Times New Roman" w:hAnsi="Times New Roman" w:cs="Times New Roman"/>
          <w:sz w:val="24"/>
          <w:szCs w:val="24"/>
        </w:rPr>
        <w:t>on</w:t>
      </w:r>
      <w:r w:rsidRPr="004F5FE0">
        <w:rPr>
          <w:rFonts w:ascii="Times New Roman" w:hAnsi="Times New Roman" w:cs="Times New Roman"/>
          <w:sz w:val="24"/>
          <w:szCs w:val="24"/>
        </w:rPr>
        <w:t xml:space="preserve"> tarpeen olla yhteydessä kyseisiin naapurivaltioihin, oikeammin EU:n jäsen</w:t>
      </w:r>
      <w:r w:rsidR="008F76D0">
        <w:rPr>
          <w:rFonts w:ascii="Times New Roman" w:hAnsi="Times New Roman" w:cs="Times New Roman"/>
          <w:sz w:val="24"/>
          <w:szCs w:val="24"/>
        </w:rPr>
        <w:softHyphen/>
      </w:r>
      <w:r w:rsidRPr="004F5FE0">
        <w:rPr>
          <w:rFonts w:ascii="Times New Roman" w:hAnsi="Times New Roman" w:cs="Times New Roman"/>
          <w:sz w:val="24"/>
          <w:szCs w:val="24"/>
        </w:rPr>
        <w:t xml:space="preserve">valtioihin. </w:t>
      </w:r>
      <w:r w:rsidR="00165B7E" w:rsidRPr="004F5FE0">
        <w:rPr>
          <w:rFonts w:ascii="Times New Roman" w:hAnsi="Times New Roman" w:cs="Times New Roman"/>
          <w:sz w:val="24"/>
          <w:szCs w:val="24"/>
        </w:rPr>
        <w:t xml:space="preserve">Perusteluissa sanotaan näin: ”Toisen momentin mukaisen asetuksenantovaltuuden nojalla voitaisiin samoin säätää avoimen käytön direktiivin 26 a artiklan 1 a kohdassa tarkoitetuista toimenpiteistä.” Kontekstista tällainen aseutuksenannon peruste ei ilmene, kuten ei myöskään mainitun 26 a artiklan vaatimusten sisältö, vaikka se voi olla itsenäinen kiellon tai rajoituksen asettamisperuste. . </w:t>
      </w:r>
    </w:p>
    <w:p w:rsidR="001F3FBB" w:rsidRPr="001F3FBB" w:rsidRDefault="007A101B" w:rsidP="004F5F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5FE0">
        <w:rPr>
          <w:rFonts w:ascii="Times New Roman" w:hAnsi="Times New Roman" w:cs="Times New Roman"/>
          <w:sz w:val="24"/>
          <w:szCs w:val="24"/>
        </w:rPr>
        <w:t>Myöskään ei ole säännöstä asetuksen valmistelusta eli siitä, onko joitakin tahoja kuultava tai lausuntoja hankittava</w:t>
      </w:r>
      <w:r w:rsidR="008F76D0">
        <w:rPr>
          <w:rFonts w:ascii="Times New Roman" w:hAnsi="Times New Roman" w:cs="Times New Roman"/>
          <w:sz w:val="24"/>
          <w:szCs w:val="24"/>
        </w:rPr>
        <w:t xml:space="preserve"> rajoituspäätöstä </w:t>
      </w:r>
      <w:r w:rsidR="009056ED">
        <w:rPr>
          <w:rFonts w:ascii="Times New Roman" w:hAnsi="Times New Roman" w:cs="Times New Roman"/>
          <w:sz w:val="24"/>
          <w:szCs w:val="24"/>
        </w:rPr>
        <w:t xml:space="preserve">asetuksella </w:t>
      </w:r>
      <w:r w:rsidR="008F76D0">
        <w:rPr>
          <w:rFonts w:ascii="Times New Roman" w:hAnsi="Times New Roman" w:cs="Times New Roman"/>
          <w:sz w:val="24"/>
          <w:szCs w:val="24"/>
        </w:rPr>
        <w:t>annettaessa</w:t>
      </w:r>
      <w:r w:rsidRPr="004F5FE0">
        <w:rPr>
          <w:rFonts w:ascii="Times New Roman" w:hAnsi="Times New Roman" w:cs="Times New Roman"/>
          <w:sz w:val="24"/>
          <w:szCs w:val="24"/>
        </w:rPr>
        <w:t>. Ratkaisu todella näyttää</w:t>
      </w:r>
      <w:r w:rsidR="008F76D0">
        <w:rPr>
          <w:rFonts w:ascii="Times New Roman" w:hAnsi="Times New Roman" w:cs="Times New Roman"/>
          <w:sz w:val="24"/>
          <w:szCs w:val="24"/>
        </w:rPr>
        <w:t>kin</w:t>
      </w:r>
      <w:r w:rsidRPr="004F5FE0">
        <w:rPr>
          <w:rFonts w:ascii="Times New Roman" w:hAnsi="Times New Roman" w:cs="Times New Roman"/>
          <w:sz w:val="24"/>
          <w:szCs w:val="24"/>
        </w:rPr>
        <w:t xml:space="preserve"> mahdollistavan poliittisen päätöksen ilman </w:t>
      </w:r>
      <w:r w:rsidR="008F76D0">
        <w:rPr>
          <w:rFonts w:ascii="Times New Roman" w:hAnsi="Times New Roman" w:cs="Times New Roman"/>
          <w:sz w:val="24"/>
          <w:szCs w:val="24"/>
        </w:rPr>
        <w:t xml:space="preserve">osallistumiseen perustuvaa </w:t>
      </w:r>
      <w:r w:rsidRPr="004F5FE0">
        <w:rPr>
          <w:rFonts w:ascii="Times New Roman" w:hAnsi="Times New Roman" w:cs="Times New Roman"/>
          <w:sz w:val="24"/>
          <w:szCs w:val="24"/>
        </w:rPr>
        <w:t>kontrollia kansallisen lain erityistarpeiden arvioi</w:t>
      </w:r>
      <w:r w:rsidR="008F76D0">
        <w:rPr>
          <w:rFonts w:ascii="Times New Roman" w:hAnsi="Times New Roman" w:cs="Times New Roman"/>
          <w:sz w:val="24"/>
          <w:szCs w:val="24"/>
        </w:rPr>
        <w:t>nn</w:t>
      </w:r>
      <w:r w:rsidRPr="004F5FE0">
        <w:rPr>
          <w:rFonts w:ascii="Times New Roman" w:hAnsi="Times New Roman" w:cs="Times New Roman"/>
          <w:sz w:val="24"/>
          <w:szCs w:val="24"/>
        </w:rPr>
        <w:t xml:space="preserve">ista. </w:t>
      </w:r>
      <w:r w:rsidR="004F260D" w:rsidRPr="004F5FE0">
        <w:rPr>
          <w:rFonts w:ascii="Times New Roman" w:hAnsi="Times New Roman" w:cs="Times New Roman"/>
          <w:sz w:val="24"/>
          <w:szCs w:val="24"/>
        </w:rPr>
        <w:t xml:space="preserve">Kun kysymys on potentiaalisesti kokonaisen ammattikunnan toimintaan puuttumisesta rajoituksin, oikeusturvavaatimuksiin olisi kiinnitettävä erityistä huomiota. </w:t>
      </w:r>
      <w:r w:rsidR="001F3FBB" w:rsidRPr="004F5FE0">
        <w:rPr>
          <w:rFonts w:ascii="Times New Roman" w:hAnsi="Times New Roman" w:cs="Times New Roman"/>
          <w:sz w:val="24"/>
          <w:szCs w:val="24"/>
        </w:rPr>
        <w:lastRenderedPageBreak/>
        <w:t xml:space="preserve">Avoimen käytön direktiivin mukaan </w:t>
      </w:r>
      <w:r w:rsidR="009056ED">
        <w:rPr>
          <w:rFonts w:ascii="Times New Roman" w:hAnsi="Times New Roman" w:cs="Times New Roman"/>
          <w:sz w:val="24"/>
          <w:szCs w:val="24"/>
        </w:rPr>
        <w:t>j</w:t>
      </w:r>
      <w:r w:rsidR="001F3FBB" w:rsidRPr="004F5FE0">
        <w:rPr>
          <w:rFonts w:ascii="Times New Roman" w:eastAsia="Times New Roman" w:hAnsi="Times New Roman" w:cs="Times New Roman"/>
          <w:sz w:val="24"/>
          <w:szCs w:val="24"/>
          <w:lang w:eastAsia="de-DE"/>
        </w:rPr>
        <w:t>äsenvaltioiden on saatettava tällaiset toimenpiteet kaikkien asianomais</w:t>
      </w:r>
      <w:r w:rsidR="001F3FBB" w:rsidRPr="001F3FBB">
        <w:rPr>
          <w:rFonts w:ascii="Times New Roman" w:eastAsia="Times New Roman" w:hAnsi="Times New Roman" w:cs="Times New Roman"/>
          <w:sz w:val="24"/>
          <w:szCs w:val="24"/>
          <w:lang w:eastAsia="de-DE"/>
        </w:rPr>
        <w:t>ten toimijoiden, myös viljelijöiden, saataville.</w:t>
      </w:r>
      <w:r w:rsidR="001F3FBB" w:rsidRPr="004F5F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Tästä ei </w:t>
      </w:r>
      <w:r w:rsidR="009056ED">
        <w:rPr>
          <w:rFonts w:ascii="Times New Roman" w:eastAsia="Times New Roman" w:hAnsi="Times New Roman" w:cs="Times New Roman"/>
          <w:sz w:val="24"/>
          <w:szCs w:val="24"/>
          <w:lang w:eastAsia="de-DE"/>
        </w:rPr>
        <w:t>esityksessä</w:t>
      </w:r>
      <w:r w:rsidR="001F3FBB" w:rsidRPr="004F5F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näytä olevaan menettelyllistä säännöstä.</w:t>
      </w:r>
    </w:p>
    <w:p w:rsidR="004F260D" w:rsidRPr="004F5FE0" w:rsidRDefault="004F260D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Ei ole myöskään itsestään selvää, että asetus olisi oikea direktiivin toimeenpanotapa kansallisesti. Vastaavanlaisia EU-oikeudesta tulevia alueellisesti kohdennettuja ohjauskeinoja on Suomessa ainakin ympäristöasioissa katsottu voitavan antaa vain hallintopäätöksinä, tässä tapauksessa valtioneuvoston tai ministeriön päätöksinä, joihin liittyy valitusoikeus. S</w:t>
      </w:r>
      <w:r w:rsidR="00B407A1" w:rsidRPr="004F5FE0">
        <w:rPr>
          <w:rFonts w:ascii="Times New Roman" w:hAnsi="Times New Roman" w:cs="Times New Roman"/>
          <w:sz w:val="24"/>
          <w:szCs w:val="24"/>
        </w:rPr>
        <w:t>euran käsityksen mukaan hallintopäätö</w:t>
      </w:r>
      <w:r w:rsidRPr="004F5FE0">
        <w:rPr>
          <w:rFonts w:ascii="Times New Roman" w:hAnsi="Times New Roman" w:cs="Times New Roman"/>
          <w:sz w:val="24"/>
          <w:szCs w:val="24"/>
        </w:rPr>
        <w:t>ksen tarvetta on syytä arvioida perusteellisesti perustuslain kokonaisuuden valossa. Asetuksella on kyllä mahdollista asianmukaisin</w:t>
      </w:r>
      <w:r w:rsidR="009056ED">
        <w:rPr>
          <w:rFonts w:ascii="Times New Roman" w:hAnsi="Times New Roman" w:cs="Times New Roman"/>
          <w:sz w:val="24"/>
          <w:szCs w:val="24"/>
        </w:rPr>
        <w:t>, mutta lain tasolla määritellyin</w:t>
      </w:r>
      <w:r w:rsidRPr="004F5FE0">
        <w:rPr>
          <w:rFonts w:ascii="Times New Roman" w:hAnsi="Times New Roman" w:cs="Times New Roman"/>
          <w:sz w:val="24"/>
          <w:szCs w:val="24"/>
        </w:rPr>
        <w:t xml:space="preserve"> valtuuksin täsmentää e</w:t>
      </w:r>
      <w:r w:rsidR="00F92A23">
        <w:rPr>
          <w:rFonts w:ascii="Times New Roman" w:hAnsi="Times New Roman" w:cs="Times New Roman"/>
          <w:sz w:val="24"/>
          <w:szCs w:val="24"/>
        </w:rPr>
        <w:t>sityksen</w:t>
      </w:r>
      <w:r w:rsidRPr="004F5FE0">
        <w:rPr>
          <w:rFonts w:ascii="Times New Roman" w:hAnsi="Times New Roman" w:cs="Times New Roman"/>
          <w:sz w:val="24"/>
          <w:szCs w:val="24"/>
        </w:rPr>
        <w:t xml:space="preserve"> 7 §:ssä säädettäviä olosuhteita ja kytkeä ne kansalliseen oikeuteen tarvittavilta osin. Viittaus EU-oikeuden merkityksen kirjaamiseen e</w:t>
      </w:r>
      <w:r w:rsidR="00F92A23">
        <w:rPr>
          <w:rFonts w:ascii="Times New Roman" w:hAnsi="Times New Roman" w:cs="Times New Roman"/>
          <w:sz w:val="24"/>
          <w:szCs w:val="24"/>
        </w:rPr>
        <w:t>sityksen</w:t>
      </w:r>
      <w:r w:rsidRPr="004F5FE0">
        <w:rPr>
          <w:rFonts w:ascii="Times New Roman" w:hAnsi="Times New Roman" w:cs="Times New Roman"/>
          <w:sz w:val="24"/>
          <w:szCs w:val="24"/>
        </w:rPr>
        <w:t xml:space="preserve"> 7 §:ssä vaikuttaa tarpeettomalta.</w:t>
      </w:r>
    </w:p>
    <w:p w:rsidR="00F14615" w:rsidRPr="004F5FE0" w:rsidRDefault="004F260D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E</w:t>
      </w:r>
      <w:r w:rsidR="00F92A23">
        <w:rPr>
          <w:rFonts w:ascii="Times New Roman" w:hAnsi="Times New Roman" w:cs="Times New Roman"/>
          <w:sz w:val="24"/>
          <w:szCs w:val="24"/>
        </w:rPr>
        <w:t>sityksen</w:t>
      </w:r>
      <w:r w:rsidRPr="004F5FE0">
        <w:rPr>
          <w:rFonts w:ascii="Times New Roman" w:hAnsi="Times New Roman" w:cs="Times New Roman"/>
          <w:sz w:val="24"/>
          <w:szCs w:val="24"/>
        </w:rPr>
        <w:t xml:space="preserve"> 5 §:ssä säädetty viljelylupien mukauttamismenettely jää myös varsin avoimen sääntelyn varaan. </w:t>
      </w:r>
      <w:r w:rsidR="00165B7E" w:rsidRPr="004F5FE0">
        <w:rPr>
          <w:rFonts w:ascii="Times New Roman" w:hAnsi="Times New Roman" w:cs="Times New Roman"/>
          <w:sz w:val="24"/>
          <w:szCs w:val="24"/>
        </w:rPr>
        <w:t>Tässä kohdin hallintomenettelyn vaatimukset jäävät täyttymättä, kun kysymys kuitenkin on yksittäistä viljelijää koskevasta päätöksenteosta. Muun muassa direktiivin 19 artiklasta ilmenee, että viljel</w:t>
      </w:r>
      <w:r w:rsidR="00F92A23">
        <w:rPr>
          <w:rFonts w:ascii="Times New Roman" w:hAnsi="Times New Roman" w:cs="Times New Roman"/>
          <w:sz w:val="24"/>
          <w:szCs w:val="24"/>
        </w:rPr>
        <w:t>ij</w:t>
      </w:r>
      <w:r w:rsidR="00165B7E" w:rsidRPr="004F5FE0">
        <w:rPr>
          <w:rFonts w:ascii="Times New Roman" w:hAnsi="Times New Roman" w:cs="Times New Roman"/>
          <w:sz w:val="24"/>
          <w:szCs w:val="24"/>
        </w:rPr>
        <w:t>ää koskevasta lupapäätöksestä tai vastaavasti muusta päätöksestä tulee antaa asianomaiselle päätös.</w:t>
      </w:r>
      <w:r w:rsidR="00F92A23">
        <w:rPr>
          <w:rFonts w:ascii="Times New Roman" w:hAnsi="Times New Roman" w:cs="Times New Roman"/>
          <w:sz w:val="24"/>
          <w:szCs w:val="24"/>
        </w:rPr>
        <w:t xml:space="preserve"> Esitys ei toisin sanoen anna viljelijälle minkäänlaisia takeita osallistumisesta </w:t>
      </w:r>
      <w:r w:rsidR="009056ED">
        <w:rPr>
          <w:rFonts w:ascii="Times New Roman" w:hAnsi="Times New Roman" w:cs="Times New Roman"/>
          <w:sz w:val="24"/>
          <w:szCs w:val="24"/>
        </w:rPr>
        <w:t xml:space="preserve">häntä itseään koskevaan päätöksentekoon </w:t>
      </w:r>
      <w:r w:rsidR="00F92A23">
        <w:rPr>
          <w:rFonts w:ascii="Times New Roman" w:hAnsi="Times New Roman" w:cs="Times New Roman"/>
          <w:sz w:val="24"/>
          <w:szCs w:val="24"/>
        </w:rPr>
        <w:t>tai edes siitä, kehen ja millä tavalla rajoitukset kohdistetaan.</w:t>
      </w:r>
      <w:r w:rsidR="009056ED">
        <w:rPr>
          <w:rFonts w:ascii="Times New Roman" w:hAnsi="Times New Roman" w:cs="Times New Roman"/>
          <w:sz w:val="24"/>
          <w:szCs w:val="24"/>
        </w:rPr>
        <w:t xml:space="preserve"> Tämä on myös perustuslain 20 §:n kannalta ongelma.</w:t>
      </w:r>
      <w:r w:rsidR="00F92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0D" w:rsidRPr="004F5FE0" w:rsidRDefault="001E5EE1" w:rsidP="004F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E0">
        <w:rPr>
          <w:rFonts w:ascii="Times New Roman" w:hAnsi="Times New Roman" w:cs="Times New Roman"/>
          <w:sz w:val="24"/>
          <w:szCs w:val="24"/>
        </w:rPr>
        <w:t>Valvontasäännökset ovat oikeusturvanäkökulmasta varsin yleis</w:t>
      </w:r>
      <w:r w:rsidR="00F92A23">
        <w:rPr>
          <w:rFonts w:ascii="Times New Roman" w:hAnsi="Times New Roman" w:cs="Times New Roman"/>
          <w:sz w:val="24"/>
          <w:szCs w:val="24"/>
        </w:rPr>
        <w:t>luonteisia</w:t>
      </w:r>
      <w:r w:rsidRPr="004F5FE0">
        <w:rPr>
          <w:rFonts w:ascii="Times New Roman" w:hAnsi="Times New Roman" w:cs="Times New Roman"/>
          <w:sz w:val="24"/>
          <w:szCs w:val="24"/>
        </w:rPr>
        <w:t>. E</w:t>
      </w:r>
      <w:r w:rsidR="00F92A23">
        <w:rPr>
          <w:rFonts w:ascii="Times New Roman" w:hAnsi="Times New Roman" w:cs="Times New Roman"/>
          <w:sz w:val="24"/>
          <w:szCs w:val="24"/>
        </w:rPr>
        <w:t>sityksen</w:t>
      </w:r>
      <w:r w:rsidRPr="004F5FE0">
        <w:rPr>
          <w:rFonts w:ascii="Times New Roman" w:hAnsi="Times New Roman" w:cs="Times New Roman"/>
          <w:sz w:val="24"/>
          <w:szCs w:val="24"/>
        </w:rPr>
        <w:t xml:space="preserve"> 9 §:ssä lausuttaisiin, että  viranomaisen tulee huolehtia siitä, että viljelijät noudattavat direktiivin nojalla annettuja päätöksiä. </w:t>
      </w:r>
      <w:r w:rsidR="0069285D" w:rsidRPr="004F5FE0">
        <w:rPr>
          <w:rFonts w:ascii="Times New Roman" w:hAnsi="Times New Roman" w:cs="Times New Roman"/>
          <w:sz w:val="24"/>
          <w:szCs w:val="24"/>
        </w:rPr>
        <w:t xml:space="preserve"> </w:t>
      </w:r>
      <w:r w:rsidR="00165B7E" w:rsidRPr="004F5FE0">
        <w:rPr>
          <w:rFonts w:ascii="Times New Roman" w:hAnsi="Times New Roman" w:cs="Times New Roman"/>
          <w:sz w:val="24"/>
          <w:szCs w:val="24"/>
        </w:rPr>
        <w:t xml:space="preserve">Ehdotuksen 11 §ssä </w:t>
      </w:r>
      <w:r w:rsidR="00F92A23">
        <w:rPr>
          <w:rFonts w:ascii="Times New Roman" w:hAnsi="Times New Roman" w:cs="Times New Roman"/>
          <w:sz w:val="24"/>
          <w:szCs w:val="24"/>
        </w:rPr>
        <w:t xml:space="preserve">taas </w:t>
      </w:r>
      <w:r w:rsidR="00165B7E" w:rsidRPr="004F5FE0">
        <w:rPr>
          <w:rFonts w:ascii="Times New Roman" w:hAnsi="Times New Roman" w:cs="Times New Roman"/>
          <w:sz w:val="24"/>
          <w:szCs w:val="24"/>
        </w:rPr>
        <w:t xml:space="preserve">säädettäisiin varsin järeistäkin valvontakeinoista, mutta laista ei ilmene, millä tavoin viljelijä saa tiedon häntä koskevasta kiellosta tai rajoituksesta, </w:t>
      </w:r>
      <w:r w:rsidR="00F92A23">
        <w:rPr>
          <w:rFonts w:ascii="Times New Roman" w:hAnsi="Times New Roman" w:cs="Times New Roman"/>
          <w:sz w:val="24"/>
          <w:szCs w:val="24"/>
        </w:rPr>
        <w:t xml:space="preserve">kun </w:t>
      </w:r>
      <w:r w:rsidR="0069285D" w:rsidRPr="004F5FE0">
        <w:rPr>
          <w:rFonts w:ascii="Times New Roman" w:hAnsi="Times New Roman" w:cs="Times New Roman"/>
          <w:sz w:val="24"/>
          <w:szCs w:val="24"/>
        </w:rPr>
        <w:t>tiedottamisesta</w:t>
      </w:r>
      <w:r w:rsidR="00165B7E" w:rsidRPr="004F5FE0">
        <w:rPr>
          <w:rFonts w:ascii="Times New Roman" w:hAnsi="Times New Roman" w:cs="Times New Roman"/>
          <w:sz w:val="24"/>
          <w:szCs w:val="24"/>
        </w:rPr>
        <w:t xml:space="preserve"> </w:t>
      </w:r>
      <w:r w:rsidR="00F92A23">
        <w:rPr>
          <w:rFonts w:ascii="Times New Roman" w:hAnsi="Times New Roman" w:cs="Times New Roman"/>
          <w:sz w:val="24"/>
          <w:szCs w:val="24"/>
        </w:rPr>
        <w:t xml:space="preserve">tai valitusoikeudesta </w:t>
      </w:r>
      <w:r w:rsidR="00165B7E" w:rsidRPr="004F5FE0">
        <w:rPr>
          <w:rFonts w:ascii="Times New Roman" w:hAnsi="Times New Roman" w:cs="Times New Roman"/>
          <w:sz w:val="24"/>
          <w:szCs w:val="24"/>
        </w:rPr>
        <w:t>ei ole säännöstä. Tässä suhteessa</w:t>
      </w:r>
      <w:r w:rsidR="00D92042" w:rsidRPr="004F5FE0">
        <w:rPr>
          <w:rFonts w:ascii="Times New Roman" w:hAnsi="Times New Roman" w:cs="Times New Roman"/>
          <w:sz w:val="24"/>
          <w:szCs w:val="24"/>
        </w:rPr>
        <w:t xml:space="preserve"> ei voitane pitää riittävänä sitä, että perustelujen mukaan viljelijöitä kuullaan asetuksen valmistelussa,</w:t>
      </w:r>
      <w:r w:rsidR="00F92A23">
        <w:rPr>
          <w:rFonts w:ascii="Times New Roman" w:hAnsi="Times New Roman" w:cs="Times New Roman"/>
          <w:sz w:val="24"/>
          <w:szCs w:val="24"/>
        </w:rPr>
        <w:t xml:space="preserve">  varsinkaan kun </w:t>
      </w:r>
      <w:r w:rsidR="00D92042" w:rsidRPr="004F5FE0">
        <w:rPr>
          <w:rFonts w:ascii="Times New Roman" w:hAnsi="Times New Roman" w:cs="Times New Roman"/>
          <w:sz w:val="24"/>
          <w:szCs w:val="24"/>
        </w:rPr>
        <w:t>tästä ei e</w:t>
      </w:r>
      <w:r w:rsidR="00304E2F">
        <w:rPr>
          <w:rFonts w:ascii="Times New Roman" w:hAnsi="Times New Roman" w:cs="Times New Roman"/>
          <w:sz w:val="24"/>
          <w:szCs w:val="24"/>
        </w:rPr>
        <w:t>sityksessä ole mitään</w:t>
      </w:r>
      <w:r w:rsidR="00D92042" w:rsidRPr="004F5FE0">
        <w:rPr>
          <w:rFonts w:ascii="Times New Roman" w:hAnsi="Times New Roman" w:cs="Times New Roman"/>
          <w:sz w:val="24"/>
          <w:szCs w:val="24"/>
        </w:rPr>
        <w:t xml:space="preserve"> säädetty.</w:t>
      </w:r>
    </w:p>
    <w:p w:rsidR="004F5FE0" w:rsidRDefault="004F5FE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Yhteenveto</w:t>
      </w:r>
    </w:p>
    <w:p w:rsidR="004F5FE0" w:rsidRDefault="004F5FE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</w:p>
    <w:p w:rsidR="00466AAC" w:rsidRPr="004F5FE0" w:rsidRDefault="00165B7E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  <w:r w:rsidRPr="004F5FE0">
        <w:rPr>
          <w:rFonts w:ascii="Times New Roman" w:hAnsi="Times New Roman" w:cs="Times New Roman"/>
          <w:lang w:val="fi-FI"/>
        </w:rPr>
        <w:t>Yhteenvetona Seura esittää, että perusoikeuksiin kiinnitet</w:t>
      </w:r>
      <w:r w:rsidR="00F92A23">
        <w:rPr>
          <w:rFonts w:ascii="Times New Roman" w:hAnsi="Times New Roman" w:cs="Times New Roman"/>
          <w:lang w:val="fi-FI"/>
        </w:rPr>
        <w:t>täisiin</w:t>
      </w:r>
      <w:r w:rsidRPr="004F5FE0">
        <w:rPr>
          <w:rFonts w:ascii="Times New Roman" w:hAnsi="Times New Roman" w:cs="Times New Roman"/>
          <w:lang w:val="fi-FI"/>
        </w:rPr>
        <w:t xml:space="preserve"> erityistä huomiota sekä harkittaisiin, onko asetuksenanto oikea direktiivin toimeenpanomuoto tai jos on, millä tavalla asetuksenannon valtuussäännöstä pitäisi täsmentää. Viljelijöiden oikeusturvan jäsjestämisessä on puutteita erityisesti tiedoksisaannin, kuulemisen ja m</w:t>
      </w:r>
      <w:r w:rsidR="00F92A23">
        <w:rPr>
          <w:rFonts w:ascii="Times New Roman" w:hAnsi="Times New Roman" w:cs="Times New Roman"/>
          <w:lang w:val="fi-FI"/>
        </w:rPr>
        <w:t>yös mahdollisen muuto</w:t>
      </w:r>
      <w:r w:rsidRPr="004F5FE0">
        <w:rPr>
          <w:rFonts w:ascii="Times New Roman" w:hAnsi="Times New Roman" w:cs="Times New Roman"/>
          <w:lang w:val="fi-FI"/>
        </w:rPr>
        <w:t xml:space="preserve">ksenhaun osalta. </w:t>
      </w:r>
      <w:r w:rsidR="000A3E60" w:rsidRPr="004F5FE0">
        <w:rPr>
          <w:rFonts w:ascii="Times New Roman" w:hAnsi="Times New Roman" w:cs="Times New Roman"/>
          <w:lang w:val="fi-FI"/>
        </w:rPr>
        <w:t xml:space="preserve"> E</w:t>
      </w:r>
      <w:r w:rsidR="00F92A23">
        <w:rPr>
          <w:rFonts w:ascii="Times New Roman" w:hAnsi="Times New Roman" w:cs="Times New Roman"/>
          <w:lang w:val="fi-FI"/>
        </w:rPr>
        <w:t>sityksen</w:t>
      </w:r>
      <w:r w:rsidR="000A3E60" w:rsidRPr="004F5FE0">
        <w:rPr>
          <w:rFonts w:ascii="Times New Roman" w:hAnsi="Times New Roman" w:cs="Times New Roman"/>
          <w:lang w:val="fi-FI"/>
        </w:rPr>
        <w:t xml:space="preserve"> 6 §:n sisältöä ei ole perustelujenkaan tasolla tarkasteltu sen suhteen, millä tavalla </w:t>
      </w:r>
      <w:r w:rsidR="000A3E60" w:rsidRPr="004F5FE0">
        <w:rPr>
          <w:rFonts w:ascii="Times New Roman" w:hAnsi="Times New Roman" w:cs="Times New Roman"/>
          <w:lang w:val="fi-FI"/>
        </w:rPr>
        <w:lastRenderedPageBreak/>
        <w:t>kansallinen lainsäädäntö kyseisiä seikkoja sääntelee. Kaikki kyseiset perusteethan eivät kuulu asetuksenantajaksi kaavaillun ministeriön toimialaan. Pitäisikö maa- ja metsätalousministeriön kuulla asiantuntijaministeriöitä tai alan viranomaisia</w:t>
      </w:r>
      <w:r w:rsidR="00304E2F">
        <w:rPr>
          <w:rFonts w:ascii="Times New Roman" w:hAnsi="Times New Roman" w:cs="Times New Roman"/>
          <w:lang w:val="fi-FI"/>
        </w:rPr>
        <w:t xml:space="preserve"> sekä ylipäänsä toimijoiden edustajia</w:t>
      </w:r>
      <w:r w:rsidR="000A3E60" w:rsidRPr="004F5FE0">
        <w:rPr>
          <w:rFonts w:ascii="Times New Roman" w:hAnsi="Times New Roman" w:cs="Times New Roman"/>
          <w:lang w:val="fi-FI"/>
        </w:rPr>
        <w:t xml:space="preserve">? </w:t>
      </w:r>
    </w:p>
    <w:p w:rsidR="000A3E60" w:rsidRPr="004F5FE0" w:rsidRDefault="000A3E6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</w:p>
    <w:p w:rsidR="000A3E60" w:rsidRPr="004F5FE0" w:rsidRDefault="000A3E6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  <w:r w:rsidRPr="004F5FE0">
        <w:rPr>
          <w:rFonts w:ascii="Times New Roman" w:hAnsi="Times New Roman" w:cs="Times New Roman"/>
          <w:lang w:val="fi-FI"/>
        </w:rPr>
        <w:t xml:space="preserve">Ylipäänsä olisi toivottavaa, että </w:t>
      </w:r>
      <w:r w:rsidR="00F92A23">
        <w:rPr>
          <w:rFonts w:ascii="Times New Roman" w:hAnsi="Times New Roman" w:cs="Times New Roman"/>
          <w:lang w:val="fi-FI"/>
        </w:rPr>
        <w:t xml:space="preserve">esityksen </w:t>
      </w:r>
      <w:r w:rsidRPr="004F5FE0">
        <w:rPr>
          <w:rFonts w:ascii="Times New Roman" w:hAnsi="Times New Roman" w:cs="Times New Roman"/>
          <w:lang w:val="fi-FI"/>
        </w:rPr>
        <w:t>perustelut eivät olisi pelkästään direktiivin ja laki</w:t>
      </w:r>
      <w:r w:rsidR="001F2084">
        <w:rPr>
          <w:rFonts w:ascii="Times New Roman" w:hAnsi="Times New Roman" w:cs="Times New Roman"/>
          <w:lang w:val="fi-FI"/>
        </w:rPr>
        <w:softHyphen/>
      </w:r>
      <w:r w:rsidRPr="004F5FE0">
        <w:rPr>
          <w:rFonts w:ascii="Times New Roman" w:hAnsi="Times New Roman" w:cs="Times New Roman"/>
          <w:lang w:val="fi-FI"/>
        </w:rPr>
        <w:t>e</w:t>
      </w:r>
      <w:r w:rsidR="00F92A23">
        <w:rPr>
          <w:rFonts w:ascii="Times New Roman" w:hAnsi="Times New Roman" w:cs="Times New Roman"/>
          <w:lang w:val="fi-FI"/>
        </w:rPr>
        <w:t xml:space="preserve">sityksen </w:t>
      </w:r>
      <w:r w:rsidRPr="004F5FE0">
        <w:rPr>
          <w:rFonts w:ascii="Times New Roman" w:hAnsi="Times New Roman" w:cs="Times New Roman"/>
          <w:lang w:val="fi-FI"/>
        </w:rPr>
        <w:t>sisällön toistamista, vaan että sisällöllisiä aineksia avattaisiin laajemmin nimenomaan kansallisen oikeuden näkökulmasta</w:t>
      </w:r>
      <w:r w:rsidR="00F92A23">
        <w:rPr>
          <w:rFonts w:ascii="Times New Roman" w:hAnsi="Times New Roman" w:cs="Times New Roman"/>
          <w:lang w:val="fi-FI"/>
        </w:rPr>
        <w:t>, etenkin mitä tulee esityksen 7 §:ään</w:t>
      </w:r>
      <w:r w:rsidRPr="004F5FE0">
        <w:rPr>
          <w:rFonts w:ascii="Times New Roman" w:hAnsi="Times New Roman" w:cs="Times New Roman"/>
          <w:lang w:val="fi-FI"/>
        </w:rPr>
        <w:t>. Jos pysytään asetuksen</w:t>
      </w:r>
      <w:r w:rsidR="00F92A23">
        <w:rPr>
          <w:rFonts w:ascii="Times New Roman" w:hAnsi="Times New Roman" w:cs="Times New Roman"/>
          <w:lang w:val="fi-FI"/>
        </w:rPr>
        <w:softHyphen/>
      </w:r>
      <w:r w:rsidRPr="004F5FE0">
        <w:rPr>
          <w:rFonts w:ascii="Times New Roman" w:hAnsi="Times New Roman" w:cs="Times New Roman"/>
          <w:lang w:val="fi-FI"/>
        </w:rPr>
        <w:t>antovaihtoehdossa, voisi olla myös hyödyllistä liittää e</w:t>
      </w:r>
      <w:r w:rsidR="001F2084">
        <w:rPr>
          <w:rFonts w:ascii="Times New Roman" w:hAnsi="Times New Roman" w:cs="Times New Roman"/>
          <w:lang w:val="fi-FI"/>
        </w:rPr>
        <w:t>sitykseen</w:t>
      </w:r>
      <w:r w:rsidRPr="004F5FE0">
        <w:rPr>
          <w:rFonts w:ascii="Times New Roman" w:hAnsi="Times New Roman" w:cs="Times New Roman"/>
          <w:lang w:val="fi-FI"/>
        </w:rPr>
        <w:t xml:space="preserve"> luonnos ministeriön päätökseksi perusteluineen.</w:t>
      </w:r>
    </w:p>
    <w:p w:rsidR="000A3E60" w:rsidRPr="004F5FE0" w:rsidRDefault="000A3E6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</w:p>
    <w:p w:rsidR="004F5FE0" w:rsidRPr="004F5FE0" w:rsidRDefault="004F5FE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  <w:r w:rsidRPr="004F5FE0">
        <w:rPr>
          <w:rFonts w:ascii="Times New Roman" w:hAnsi="Times New Roman" w:cs="Times New Roman"/>
          <w:lang w:val="fi-FI"/>
        </w:rPr>
        <w:t>Helsingissä helmikuun 14 päivänä 2018</w:t>
      </w:r>
    </w:p>
    <w:p w:rsidR="004F5FE0" w:rsidRPr="004F5FE0" w:rsidRDefault="004F5FE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</w:p>
    <w:p w:rsidR="000A3E60" w:rsidRPr="004F5FE0" w:rsidRDefault="004F5FE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  <w:r w:rsidRPr="004F5FE0">
        <w:rPr>
          <w:rFonts w:ascii="Times New Roman" w:hAnsi="Times New Roman" w:cs="Times New Roman"/>
          <w:lang w:val="fi-FI"/>
        </w:rPr>
        <w:t>Suomen Ympäristöoikeustieteen Seura ry.</w:t>
      </w:r>
    </w:p>
    <w:p w:rsidR="004F5FE0" w:rsidRDefault="004F5FE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</w:p>
    <w:p w:rsidR="00304E2F" w:rsidRPr="00304E2F" w:rsidRDefault="00304E2F" w:rsidP="004F5FE0">
      <w:pPr>
        <w:pStyle w:val="Default"/>
        <w:spacing w:line="360" w:lineRule="auto"/>
        <w:jc w:val="both"/>
        <w:rPr>
          <w:rFonts w:ascii="Vladimir Script" w:hAnsi="Vladimir Script" w:cs="Times New Roman"/>
          <w:lang w:val="fi-FI"/>
        </w:rPr>
      </w:pPr>
      <w:r>
        <w:rPr>
          <w:rFonts w:ascii="Vladimir Script" w:hAnsi="Vladimir Script" w:cs="Times New Roman"/>
          <w:lang w:val="fi-FI"/>
        </w:rPr>
        <w:t>ErJH</w:t>
      </w:r>
      <w:bookmarkStart w:id="0" w:name="_GoBack"/>
      <w:bookmarkEnd w:id="0"/>
    </w:p>
    <w:p w:rsidR="00304E2F" w:rsidRPr="004F5FE0" w:rsidRDefault="00304E2F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</w:p>
    <w:p w:rsidR="004F5FE0" w:rsidRPr="004F5FE0" w:rsidRDefault="004F5FE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  <w:r w:rsidRPr="004F5FE0">
        <w:rPr>
          <w:rFonts w:ascii="Times New Roman" w:hAnsi="Times New Roman" w:cs="Times New Roman"/>
          <w:lang w:val="fi-FI"/>
        </w:rPr>
        <w:t>Erkki J. Hollo</w:t>
      </w:r>
    </w:p>
    <w:p w:rsidR="004F5FE0" w:rsidRPr="004F5FE0" w:rsidRDefault="004F5FE0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  <w:r w:rsidRPr="004F5FE0">
        <w:rPr>
          <w:rFonts w:ascii="Times New Roman" w:hAnsi="Times New Roman" w:cs="Times New Roman"/>
          <w:lang w:val="fi-FI"/>
        </w:rPr>
        <w:t>Puheenjohtaja</w:t>
      </w:r>
    </w:p>
    <w:p w:rsidR="00165B7E" w:rsidRPr="004F5FE0" w:rsidRDefault="00165B7E" w:rsidP="004F5FE0">
      <w:pPr>
        <w:pStyle w:val="Default"/>
        <w:spacing w:line="360" w:lineRule="auto"/>
        <w:jc w:val="both"/>
        <w:rPr>
          <w:rFonts w:ascii="Times New Roman" w:hAnsi="Times New Roman" w:cs="Times New Roman"/>
          <w:lang w:val="fi-FI"/>
        </w:rPr>
      </w:pPr>
    </w:p>
    <w:sectPr w:rsidR="00165B7E" w:rsidRPr="004F5FE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E4" w:rsidRDefault="00692AE4" w:rsidP="00D4310F">
      <w:pPr>
        <w:spacing w:after="0" w:line="240" w:lineRule="auto"/>
      </w:pPr>
      <w:r>
        <w:separator/>
      </w:r>
    </w:p>
  </w:endnote>
  <w:endnote w:type="continuationSeparator" w:id="0">
    <w:p w:rsidR="00692AE4" w:rsidRDefault="00692AE4" w:rsidP="00D4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E4" w:rsidRDefault="00692AE4" w:rsidP="00D4310F">
      <w:pPr>
        <w:spacing w:after="0" w:line="240" w:lineRule="auto"/>
      </w:pPr>
      <w:r>
        <w:separator/>
      </w:r>
    </w:p>
  </w:footnote>
  <w:footnote w:type="continuationSeparator" w:id="0">
    <w:p w:rsidR="00692AE4" w:rsidRDefault="00692AE4" w:rsidP="00D4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6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310F" w:rsidRDefault="00D431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10F" w:rsidRDefault="00D43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D9"/>
    <w:rsid w:val="000732CF"/>
    <w:rsid w:val="000A3E60"/>
    <w:rsid w:val="000D526A"/>
    <w:rsid w:val="00165B7E"/>
    <w:rsid w:val="001E5EE1"/>
    <w:rsid w:val="001F1678"/>
    <w:rsid w:val="001F2084"/>
    <w:rsid w:val="001F3FBB"/>
    <w:rsid w:val="0021762A"/>
    <w:rsid w:val="00252C99"/>
    <w:rsid w:val="00304E2F"/>
    <w:rsid w:val="00380ED0"/>
    <w:rsid w:val="00466AAC"/>
    <w:rsid w:val="004F260D"/>
    <w:rsid w:val="004F5FE0"/>
    <w:rsid w:val="00564C14"/>
    <w:rsid w:val="0063715F"/>
    <w:rsid w:val="0069285D"/>
    <w:rsid w:val="00692AE4"/>
    <w:rsid w:val="00766F2F"/>
    <w:rsid w:val="007A101B"/>
    <w:rsid w:val="008A2842"/>
    <w:rsid w:val="008F76D0"/>
    <w:rsid w:val="009056ED"/>
    <w:rsid w:val="009312BE"/>
    <w:rsid w:val="00B407A1"/>
    <w:rsid w:val="00B93079"/>
    <w:rsid w:val="00C67FDD"/>
    <w:rsid w:val="00D36DD9"/>
    <w:rsid w:val="00D4310F"/>
    <w:rsid w:val="00D636C9"/>
    <w:rsid w:val="00D92042"/>
    <w:rsid w:val="00DB4D98"/>
    <w:rsid w:val="00EC7B6D"/>
    <w:rsid w:val="00F14615"/>
    <w:rsid w:val="00F176F9"/>
    <w:rsid w:val="00F66C07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0F"/>
  </w:style>
  <w:style w:type="paragraph" w:styleId="Footer">
    <w:name w:val="footer"/>
    <w:basedOn w:val="Normal"/>
    <w:link w:val="FooterChar"/>
    <w:uiPriority w:val="99"/>
    <w:unhideWhenUsed/>
    <w:rsid w:val="00D4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0F"/>
  </w:style>
  <w:style w:type="paragraph" w:styleId="Footer">
    <w:name w:val="footer"/>
    <w:basedOn w:val="Normal"/>
    <w:link w:val="FooterChar"/>
    <w:uiPriority w:val="99"/>
    <w:unhideWhenUsed/>
    <w:rsid w:val="00D4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E702-5D10-4CA0-9E40-9743687C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9344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Sepponen</dc:creator>
  <cp:keywords/>
  <dc:description/>
  <cp:lastModifiedBy>Erkki</cp:lastModifiedBy>
  <cp:revision>6</cp:revision>
  <dcterms:created xsi:type="dcterms:W3CDTF">2018-02-12T14:46:00Z</dcterms:created>
  <dcterms:modified xsi:type="dcterms:W3CDTF">2018-02-14T09:24:00Z</dcterms:modified>
</cp:coreProperties>
</file>