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538" w:rsidRPr="00F41538" w:rsidRDefault="00F41538" w:rsidP="001C1C7B">
      <w:pPr>
        <w:rPr>
          <w:rFonts w:ascii="Arial" w:hAnsi="Arial" w:cs="Arial"/>
        </w:rPr>
      </w:pPr>
      <w:r>
        <w:rPr>
          <w:rFonts w:ascii="Arial" w:hAnsi="Arial" w:cs="Arial"/>
        </w:rPr>
        <w:t>TEM / YRITYS- JA ALUEOSASTO</w:t>
      </w:r>
      <w:r>
        <w:rPr>
          <w:rFonts w:ascii="Arial" w:hAnsi="Arial" w:cs="Arial"/>
        </w:rPr>
        <w:tab/>
      </w:r>
      <w:r>
        <w:rPr>
          <w:rFonts w:ascii="Arial" w:hAnsi="Arial" w:cs="Arial"/>
        </w:rPr>
        <w:tab/>
      </w:r>
      <w:r>
        <w:rPr>
          <w:rFonts w:ascii="Arial" w:hAnsi="Arial" w:cs="Arial"/>
        </w:rPr>
        <w:tab/>
        <w:t>MUISTIO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7.11.2017</w:t>
      </w:r>
      <w:r>
        <w:rPr>
          <w:rFonts w:ascii="Arial" w:hAnsi="Arial" w:cs="Arial"/>
        </w:rPr>
        <w:tab/>
      </w:r>
      <w:r>
        <w:rPr>
          <w:rFonts w:ascii="Arial" w:hAnsi="Arial" w:cs="Arial"/>
        </w:rPr>
        <w:tab/>
      </w:r>
      <w:r>
        <w:rPr>
          <w:rFonts w:ascii="Arial" w:hAnsi="Arial" w:cs="Arial"/>
        </w:rPr>
        <w:tab/>
      </w:r>
    </w:p>
    <w:p w:rsidR="00F41538" w:rsidRDefault="00F41538" w:rsidP="001C1C7B">
      <w:pPr>
        <w:rPr>
          <w:rFonts w:ascii="Arial" w:hAnsi="Arial" w:cs="Arial"/>
          <w:b/>
        </w:rPr>
      </w:pPr>
    </w:p>
    <w:p w:rsidR="00F41538" w:rsidRDefault="00F41538" w:rsidP="001C1C7B">
      <w:pPr>
        <w:rPr>
          <w:rFonts w:ascii="Arial" w:hAnsi="Arial" w:cs="Arial"/>
          <w:b/>
        </w:rPr>
      </w:pPr>
    </w:p>
    <w:p w:rsidR="00F41538" w:rsidRDefault="00F41538" w:rsidP="001C1C7B">
      <w:pPr>
        <w:rPr>
          <w:rFonts w:ascii="Arial" w:hAnsi="Arial" w:cs="Arial"/>
          <w:b/>
        </w:rPr>
      </w:pPr>
      <w:r>
        <w:rPr>
          <w:rFonts w:ascii="Arial" w:hAnsi="Arial" w:cs="Arial"/>
          <w:b/>
        </w:rPr>
        <w:t>YRITYKSEN KEHITTÄMISAVUSTUS, ALUEELLINEN KULJETUSTUKI JA YRITYSTEN KEHITTÄMISPALVELUT</w:t>
      </w:r>
    </w:p>
    <w:p w:rsidR="00F41538" w:rsidRDefault="00F41538" w:rsidP="001C1C7B">
      <w:pPr>
        <w:rPr>
          <w:rFonts w:ascii="Arial" w:hAnsi="Arial" w:cs="Arial"/>
          <w:b/>
        </w:rPr>
      </w:pPr>
    </w:p>
    <w:p w:rsidR="00481049" w:rsidRPr="00F41538" w:rsidRDefault="00A402BB" w:rsidP="001C1C7B">
      <w:pPr>
        <w:rPr>
          <w:rFonts w:ascii="Arial" w:hAnsi="Arial" w:cs="Arial"/>
          <w:b/>
        </w:rPr>
      </w:pPr>
      <w:r w:rsidRPr="00F41538">
        <w:rPr>
          <w:rFonts w:ascii="Arial" w:hAnsi="Arial" w:cs="Arial"/>
          <w:b/>
        </w:rPr>
        <w:t>Yrityksen kehittämisavustus</w:t>
      </w:r>
    </w:p>
    <w:p w:rsidR="00687373" w:rsidRPr="00F41538" w:rsidRDefault="00687373">
      <w:pPr>
        <w:rPr>
          <w:rFonts w:ascii="Arial" w:hAnsi="Arial" w:cs="Arial"/>
        </w:rPr>
      </w:pPr>
      <w:r w:rsidRPr="00F41538">
        <w:rPr>
          <w:rFonts w:ascii="Arial" w:hAnsi="Arial" w:cs="Arial"/>
        </w:rPr>
        <w:t xml:space="preserve">Yrityksen kehittämisavustus on ELY-keskusten myöntämä harkinnanvarainen avustus </w:t>
      </w:r>
      <w:r w:rsidR="00660586" w:rsidRPr="00F41538">
        <w:rPr>
          <w:rFonts w:ascii="Arial" w:hAnsi="Arial" w:cs="Arial"/>
        </w:rPr>
        <w:t>pk-</w:t>
      </w:r>
      <w:r w:rsidRPr="00F41538">
        <w:rPr>
          <w:rFonts w:ascii="Arial" w:hAnsi="Arial" w:cs="Arial"/>
        </w:rPr>
        <w:t xml:space="preserve">yritysten hankkeisiin, joilla voidaan </w:t>
      </w:r>
      <w:r w:rsidR="003857D5" w:rsidRPr="00F41538">
        <w:rPr>
          <w:rFonts w:ascii="Arial" w:hAnsi="Arial" w:cs="Arial"/>
        </w:rPr>
        <w:t xml:space="preserve">edistää </w:t>
      </w:r>
      <w:r w:rsidRPr="00F41538">
        <w:rPr>
          <w:rFonts w:ascii="Arial" w:hAnsi="Arial" w:cs="Arial"/>
        </w:rPr>
        <w:t xml:space="preserve">yrityksen kasvua, </w:t>
      </w:r>
      <w:r w:rsidR="00A402BB" w:rsidRPr="00F41538">
        <w:rPr>
          <w:rFonts w:ascii="Arial" w:hAnsi="Arial" w:cs="Arial"/>
        </w:rPr>
        <w:t xml:space="preserve">liiketoiminnan </w:t>
      </w:r>
      <w:r w:rsidRPr="00F41538">
        <w:rPr>
          <w:rFonts w:ascii="Arial" w:hAnsi="Arial" w:cs="Arial"/>
        </w:rPr>
        <w:t>uudist</w:t>
      </w:r>
      <w:r w:rsidR="00660586" w:rsidRPr="00F41538">
        <w:rPr>
          <w:rFonts w:ascii="Arial" w:hAnsi="Arial" w:cs="Arial"/>
        </w:rPr>
        <w:t>a</w:t>
      </w:r>
      <w:r w:rsidRPr="00F41538">
        <w:rPr>
          <w:rFonts w:ascii="Arial" w:hAnsi="Arial" w:cs="Arial"/>
        </w:rPr>
        <w:t>mista, kansainvälistymistä sekä yrityksen kokonaisvaltaista kehittymistä.</w:t>
      </w:r>
    </w:p>
    <w:p w:rsidR="00660586" w:rsidRPr="00F41538" w:rsidRDefault="00660586">
      <w:pPr>
        <w:rPr>
          <w:rFonts w:ascii="Arial" w:hAnsi="Arial" w:cs="Arial"/>
        </w:rPr>
      </w:pPr>
      <w:r w:rsidRPr="00F41538">
        <w:rPr>
          <w:rFonts w:ascii="Arial" w:hAnsi="Arial" w:cs="Arial"/>
        </w:rPr>
        <w:t>Kehittämisavustuksella yritykset pystyvät toteuttamaan nopeammi</w:t>
      </w:r>
      <w:r w:rsidR="009E3FC4">
        <w:rPr>
          <w:rFonts w:ascii="Arial" w:hAnsi="Arial" w:cs="Arial"/>
        </w:rPr>
        <w:t xml:space="preserve">n riskipitoisempia ja laajempia </w:t>
      </w:r>
      <w:r w:rsidRPr="00F41538">
        <w:rPr>
          <w:rFonts w:ascii="Arial" w:hAnsi="Arial" w:cs="Arial"/>
        </w:rPr>
        <w:t>kasvuun, uudistumiseen ja kansainvälistymiseen tähtääviä hankkeita. Avustus mahdollistaa usein hankkeiden muun rahoituksen toteutumisen.</w:t>
      </w:r>
    </w:p>
    <w:p w:rsidR="00687373" w:rsidRPr="00F41538" w:rsidRDefault="00687373">
      <w:pPr>
        <w:rPr>
          <w:rFonts w:ascii="Arial" w:hAnsi="Arial" w:cs="Arial"/>
        </w:rPr>
      </w:pPr>
      <w:r w:rsidRPr="00F41538">
        <w:rPr>
          <w:rFonts w:ascii="Arial" w:hAnsi="Arial" w:cs="Arial"/>
        </w:rPr>
        <w:t>Kehittämisavustusta voidaa</w:t>
      </w:r>
      <w:r w:rsidR="009E3FC4">
        <w:rPr>
          <w:rFonts w:ascii="Arial" w:hAnsi="Arial" w:cs="Arial"/>
        </w:rPr>
        <w:t xml:space="preserve">n myöntää </w:t>
      </w:r>
      <w:r w:rsidR="00A905CB" w:rsidRPr="00F41538">
        <w:rPr>
          <w:rFonts w:ascii="Arial" w:hAnsi="Arial" w:cs="Arial"/>
        </w:rPr>
        <w:t xml:space="preserve">hankkeisiin, joilla yritys </w:t>
      </w:r>
      <w:r w:rsidRPr="00F41538">
        <w:rPr>
          <w:rFonts w:ascii="Arial" w:hAnsi="Arial" w:cs="Arial"/>
        </w:rPr>
        <w:t>kehittää jo olemassa</w:t>
      </w:r>
      <w:r w:rsidR="009E3FC4">
        <w:rPr>
          <w:rFonts w:ascii="Arial" w:hAnsi="Arial" w:cs="Arial"/>
        </w:rPr>
        <w:t xml:space="preserve"> olevaa liiketoimintaa tai luo</w:t>
      </w:r>
      <w:r w:rsidRPr="00F41538">
        <w:rPr>
          <w:rFonts w:ascii="Arial" w:hAnsi="Arial" w:cs="Arial"/>
        </w:rPr>
        <w:t xml:space="preserve"> yrityksen kannalta täysin uutta liiketoimintaa. Tähtäimessä voi olla myös vienti- ja kansainvälistymismahdollisuuksien parantaminen tai kasvun hakeminen uusia tuotteita, palveluita tai tuotantomenetelmiä kehittämällä. Yritys voi </w:t>
      </w:r>
      <w:r w:rsidR="009E3FC4">
        <w:rPr>
          <w:rFonts w:ascii="Arial" w:hAnsi="Arial" w:cs="Arial"/>
        </w:rPr>
        <w:t xml:space="preserve">myös </w:t>
      </w:r>
      <w:r w:rsidRPr="00F41538">
        <w:rPr>
          <w:rFonts w:ascii="Arial" w:hAnsi="Arial" w:cs="Arial"/>
        </w:rPr>
        <w:t>tavoitella uusia markkinoita tai kartoittaa uusia liiketoimintamahdollisuuksia.</w:t>
      </w:r>
    </w:p>
    <w:p w:rsidR="00660586" w:rsidRPr="00F41538" w:rsidRDefault="00660586" w:rsidP="00660586">
      <w:pPr>
        <w:rPr>
          <w:rFonts w:ascii="Arial" w:hAnsi="Arial" w:cs="Arial"/>
        </w:rPr>
      </w:pPr>
      <w:r w:rsidRPr="00F41538">
        <w:rPr>
          <w:rFonts w:ascii="Arial" w:hAnsi="Arial" w:cs="Arial"/>
        </w:rPr>
        <w:t>Hankkeissa voidaan rahoittaa mm. asiantuntijapalvelujen hankintaa, kansainvälistymiseen liittyviä messuosallistumisia, investointeja sekä tuotekehityshankkeista aiheutuvia kustannuksia. Investointien tukitaso on alueen ja yrityskoon mukaan 10 – 35 %, ja muissa toimenpiteissä enintään 50 %.</w:t>
      </w:r>
    </w:p>
    <w:p w:rsidR="00587B6C" w:rsidRPr="00F41538" w:rsidRDefault="00587B6C" w:rsidP="00660586">
      <w:pPr>
        <w:rPr>
          <w:rFonts w:ascii="Arial" w:hAnsi="Arial" w:cs="Arial"/>
        </w:rPr>
      </w:pPr>
      <w:r w:rsidRPr="00F41538">
        <w:rPr>
          <w:rFonts w:ascii="Arial" w:hAnsi="Arial" w:cs="Arial"/>
        </w:rPr>
        <w:t xml:space="preserve">Päätösten teko on keskitetty Hämeen, Keski-Suomen, Etelä-Savon ja </w:t>
      </w:r>
      <w:r w:rsidR="009E3FC4">
        <w:rPr>
          <w:rFonts w:ascii="Arial" w:hAnsi="Arial" w:cs="Arial"/>
        </w:rPr>
        <w:t>Pohjois-Pohjanmaan ELY-keskuksii</w:t>
      </w:r>
      <w:r w:rsidRPr="00F41538">
        <w:rPr>
          <w:rFonts w:ascii="Arial" w:hAnsi="Arial" w:cs="Arial"/>
        </w:rPr>
        <w:t>n, joista ne siirtyvät vuonna 2020 maakun</w:t>
      </w:r>
      <w:r w:rsidR="009A5BA9" w:rsidRPr="00F41538">
        <w:rPr>
          <w:rFonts w:ascii="Arial" w:hAnsi="Arial" w:cs="Arial"/>
        </w:rPr>
        <w:t>tien tehtäväksi</w:t>
      </w:r>
      <w:r w:rsidRPr="00F41538">
        <w:rPr>
          <w:rFonts w:ascii="Arial" w:hAnsi="Arial" w:cs="Arial"/>
        </w:rPr>
        <w:t>.</w:t>
      </w:r>
    </w:p>
    <w:p w:rsidR="00581898" w:rsidRDefault="00587B6C">
      <w:pPr>
        <w:rPr>
          <w:rFonts w:ascii="Arial" w:hAnsi="Arial" w:cs="Arial"/>
        </w:rPr>
      </w:pPr>
      <w:r w:rsidRPr="00F41538">
        <w:rPr>
          <w:rFonts w:ascii="Arial" w:hAnsi="Arial" w:cs="Arial"/>
        </w:rPr>
        <w:t>Rahoitus on vuodesta 2017 alkaen ollut kokonaan EU:n rakennerahasto-ohjelman 2014 – 2020 mukaista rahoitusta.</w:t>
      </w:r>
      <w:r w:rsidR="0067163C" w:rsidRPr="00F41538">
        <w:rPr>
          <w:rFonts w:ascii="Arial" w:hAnsi="Arial" w:cs="Arial"/>
        </w:rPr>
        <w:t xml:space="preserve"> </w:t>
      </w:r>
      <w:r w:rsidRPr="00F41538">
        <w:rPr>
          <w:rFonts w:ascii="Arial" w:hAnsi="Arial" w:cs="Arial"/>
        </w:rPr>
        <w:t>Vuonna 2016 myönnettiin 1 058 pk-yrityksen kehittämishankkeeseen yh</w:t>
      </w:r>
      <w:r w:rsidR="00F41538">
        <w:rPr>
          <w:rFonts w:ascii="Arial" w:hAnsi="Arial" w:cs="Arial"/>
        </w:rPr>
        <w:t xml:space="preserve">teensä noin 106 miljoonaa euroa. </w:t>
      </w:r>
    </w:p>
    <w:p w:rsidR="00F41538" w:rsidRPr="009F3518" w:rsidRDefault="00F41538">
      <w:pPr>
        <w:rPr>
          <w:rFonts w:ascii="Arial" w:hAnsi="Arial" w:cs="Arial"/>
        </w:rPr>
      </w:pPr>
      <w:r w:rsidRPr="009F3518">
        <w:rPr>
          <w:rFonts w:ascii="Arial" w:hAnsi="Arial" w:cs="Arial"/>
        </w:rPr>
        <w:t>Tietoa</w:t>
      </w:r>
      <w:r w:rsidR="003D0EA5" w:rsidRPr="009F3518">
        <w:rPr>
          <w:rFonts w:ascii="Arial" w:hAnsi="Arial" w:cs="Arial"/>
        </w:rPr>
        <w:t xml:space="preserve"> yrityksen kehittämisavustuksen </w:t>
      </w:r>
      <w:r w:rsidRPr="009F3518">
        <w:rPr>
          <w:rFonts w:ascii="Arial" w:hAnsi="Arial" w:cs="Arial"/>
        </w:rPr>
        <w:t xml:space="preserve">vaikuttavuusarvioista </w:t>
      </w:r>
      <w:r w:rsidR="009F3518" w:rsidRPr="009F3518">
        <w:rPr>
          <w:rFonts w:ascii="Arial" w:hAnsi="Arial" w:cs="Arial"/>
        </w:rPr>
        <w:t xml:space="preserve">on </w:t>
      </w:r>
      <w:r w:rsidRPr="009F3518">
        <w:rPr>
          <w:rFonts w:ascii="Arial" w:hAnsi="Arial" w:cs="Arial"/>
        </w:rPr>
        <w:t>liitteessä 1.</w:t>
      </w:r>
    </w:p>
    <w:p w:rsidR="003D0EA5" w:rsidRDefault="003D0EA5">
      <w:pPr>
        <w:rPr>
          <w:rFonts w:ascii="Arial" w:hAnsi="Arial" w:cs="Arial"/>
          <w:b/>
        </w:rPr>
      </w:pPr>
      <w:bookmarkStart w:id="0" w:name="_GoBack"/>
      <w:bookmarkEnd w:id="0"/>
    </w:p>
    <w:p w:rsidR="004F126C" w:rsidRPr="00F41538" w:rsidRDefault="009E3FC4">
      <w:pPr>
        <w:rPr>
          <w:rFonts w:ascii="Arial" w:hAnsi="Arial" w:cs="Arial"/>
          <w:b/>
        </w:rPr>
      </w:pPr>
      <w:r>
        <w:rPr>
          <w:rFonts w:ascii="Arial" w:hAnsi="Arial" w:cs="Arial"/>
          <w:b/>
        </w:rPr>
        <w:t>Alueellinen k</w:t>
      </w:r>
      <w:r w:rsidR="004F126C" w:rsidRPr="00F41538">
        <w:rPr>
          <w:rFonts w:ascii="Arial" w:hAnsi="Arial" w:cs="Arial"/>
          <w:b/>
        </w:rPr>
        <w:t>uljetustuki</w:t>
      </w:r>
    </w:p>
    <w:p w:rsidR="004F126C" w:rsidRPr="00F41538" w:rsidRDefault="004F126C" w:rsidP="004F126C">
      <w:pPr>
        <w:rPr>
          <w:rFonts w:ascii="Arial" w:hAnsi="Arial" w:cs="Arial"/>
        </w:rPr>
      </w:pPr>
      <w:r w:rsidRPr="00F41538">
        <w:rPr>
          <w:rFonts w:ascii="Arial" w:hAnsi="Arial" w:cs="Arial"/>
        </w:rPr>
        <w:t>Kuljetustuella alennetaan pk –yritysten valmistamien tuotteiden pitkistä kuljetusmatkoista aiheutuvia rahtikustannuksia tarkoituksena parantaa yritystoiminnan edellytyksiä ja kilpailukykyä.</w:t>
      </w:r>
    </w:p>
    <w:p w:rsidR="008042F9" w:rsidRPr="009F3518" w:rsidRDefault="008042F9" w:rsidP="008042F9">
      <w:pPr>
        <w:rPr>
          <w:rFonts w:ascii="Arial" w:hAnsi="Arial" w:cs="Arial"/>
        </w:rPr>
      </w:pPr>
      <w:r w:rsidRPr="00F41538">
        <w:rPr>
          <w:rFonts w:ascii="Arial" w:hAnsi="Arial" w:cs="Arial"/>
        </w:rPr>
        <w:t>Kuljetustukea voidaan myöntää yrityksille, jotka toimivat Lapin, Pohjois-Pohjanmaan, Kainuun, Pohjois-Karjalan, Pohjois-Savon, Etelä-Savon tai Keski-Pohjanmaan maakunnan alueella taikka Saarijärven-Viitasaaren seutukunnan alueella</w:t>
      </w:r>
      <w:r w:rsidR="003D0EA5">
        <w:rPr>
          <w:rFonts w:ascii="Arial" w:hAnsi="Arial" w:cs="Arial"/>
        </w:rPr>
        <w:t xml:space="preserve">. </w:t>
      </w:r>
      <w:r w:rsidR="003D0EA5" w:rsidRPr="009F3518">
        <w:rPr>
          <w:rFonts w:ascii="Arial" w:hAnsi="Arial" w:cs="Arial"/>
        </w:rPr>
        <w:t xml:space="preserve">Tukialuekartta </w:t>
      </w:r>
      <w:r w:rsidR="009F3518" w:rsidRPr="009F3518">
        <w:rPr>
          <w:rFonts w:ascii="Arial" w:hAnsi="Arial" w:cs="Arial"/>
        </w:rPr>
        <w:t xml:space="preserve">on </w:t>
      </w:r>
      <w:r w:rsidR="003D0EA5" w:rsidRPr="009F3518">
        <w:rPr>
          <w:rFonts w:ascii="Arial" w:hAnsi="Arial" w:cs="Arial"/>
        </w:rPr>
        <w:t>liitteenä 2</w:t>
      </w:r>
      <w:r w:rsidRPr="009F3518">
        <w:rPr>
          <w:rFonts w:ascii="Arial" w:hAnsi="Arial" w:cs="Arial"/>
        </w:rPr>
        <w:t>.</w:t>
      </w:r>
    </w:p>
    <w:p w:rsidR="008042F9" w:rsidRPr="00F41538" w:rsidRDefault="008042F9" w:rsidP="008042F9">
      <w:pPr>
        <w:rPr>
          <w:rFonts w:ascii="Arial" w:hAnsi="Arial" w:cs="Arial"/>
        </w:rPr>
      </w:pPr>
      <w:r w:rsidRPr="00F41538">
        <w:rPr>
          <w:rFonts w:ascii="Arial" w:hAnsi="Arial" w:cs="Arial"/>
        </w:rPr>
        <w:lastRenderedPageBreak/>
        <w:t>Kuljetustukea myönnetään auto- ja rautatiekuljetuksista, joiden pituus Suomen alueella on vähintään 266 km (eräissä tapauksissa 101 km). Lisäksi kuljetustukea voidaan myöntää satamatoimintojen tukena, kun tuote laivataan Merikarvialla tai sen pohjoispuolella sijaitsevasta Pohjanlahden satamasta tai Saimaan vesistöalueen satamasta.</w:t>
      </w:r>
    </w:p>
    <w:p w:rsidR="0079317D" w:rsidRPr="00F41538" w:rsidRDefault="0079317D" w:rsidP="0079317D">
      <w:pPr>
        <w:rPr>
          <w:rFonts w:ascii="Arial" w:hAnsi="Arial" w:cs="Arial"/>
        </w:rPr>
      </w:pPr>
      <w:r w:rsidRPr="00F41538">
        <w:rPr>
          <w:rFonts w:ascii="Arial" w:hAnsi="Arial" w:cs="Arial"/>
        </w:rPr>
        <w:t>Auto- ja rautatiekuljetuksen tuki on matkan pituudesta riippuen 7 – 17 % maksetusta kuljetusmaksusta. Jos kuljetusmatka on esim. 500 km, kuljetustuki on 10 % maksetusta kuljetusmaksusta. Satamatoimintojen tuki on sataman sijainnista riippuen 0,80 euroa tai 1,60 euroa laivattua tonnia kohden. Autokuljetusten osuus on noin 90 %</w:t>
      </w:r>
      <w:r w:rsidR="00D17995" w:rsidRPr="00F41538">
        <w:rPr>
          <w:rFonts w:ascii="Arial" w:hAnsi="Arial" w:cs="Arial"/>
        </w:rPr>
        <w:t xml:space="preserve"> kuljetustuen kokonaismäärästä. </w:t>
      </w:r>
      <w:r w:rsidRPr="00F41538">
        <w:rPr>
          <w:rFonts w:ascii="Arial" w:hAnsi="Arial" w:cs="Arial"/>
        </w:rPr>
        <w:t>  </w:t>
      </w:r>
    </w:p>
    <w:p w:rsidR="00A06B5B" w:rsidRPr="00F41538" w:rsidRDefault="00A06B5B" w:rsidP="0079317D">
      <w:pPr>
        <w:rPr>
          <w:rFonts w:ascii="Arial" w:hAnsi="Arial" w:cs="Arial"/>
        </w:rPr>
      </w:pPr>
      <w:r w:rsidRPr="00F41538">
        <w:rPr>
          <w:rFonts w:ascii="Arial" w:hAnsi="Arial" w:cs="Arial"/>
        </w:rPr>
        <w:t>Päätöksenteko on keskitetty Pohjois-Pohjanmaan ELY –keskukselle, josta se tulee siirtymään vuonna 2020 maakunnille.</w:t>
      </w:r>
      <w:r w:rsidR="00D17995" w:rsidRPr="00F41538">
        <w:rPr>
          <w:rFonts w:ascii="Arial" w:hAnsi="Arial" w:cs="Arial"/>
        </w:rPr>
        <w:t xml:space="preserve"> </w:t>
      </w:r>
    </w:p>
    <w:p w:rsidR="00375D06" w:rsidRDefault="004F126C">
      <w:pPr>
        <w:rPr>
          <w:rFonts w:ascii="Arial" w:hAnsi="Arial" w:cs="Arial"/>
          <w:color w:val="FFFFFF"/>
        </w:rPr>
      </w:pPr>
      <w:r w:rsidRPr="00F41538">
        <w:rPr>
          <w:rFonts w:ascii="Arial" w:hAnsi="Arial" w:cs="Arial"/>
        </w:rPr>
        <w:t>Vuonna 2016 kuljetustukea myönnettiin 291 yritykselle 5,7 miljoonaa euroa.</w:t>
      </w:r>
      <w:r w:rsidR="0079317D" w:rsidRPr="00F41538">
        <w:rPr>
          <w:rFonts w:ascii="Arial" w:hAnsi="Arial" w:cs="Arial"/>
        </w:rPr>
        <w:t xml:space="preserve"> Kuljetustuki on puhtaasti kansallista tukea.</w:t>
      </w:r>
      <w:r w:rsidR="00687373" w:rsidRPr="00F41538">
        <w:rPr>
          <w:rFonts w:ascii="Arial" w:hAnsi="Arial" w:cs="Arial"/>
          <w:color w:val="FFFFFF"/>
        </w:rPr>
        <w:t xml:space="preserve"> </w:t>
      </w:r>
      <w:r w:rsidR="00375D06" w:rsidRPr="00F41538">
        <w:rPr>
          <w:rFonts w:ascii="Arial" w:hAnsi="Arial" w:cs="Arial"/>
          <w:color w:val="FFFFFF"/>
        </w:rPr>
        <w:t>U</w:t>
      </w:r>
      <w:r w:rsidR="00687373" w:rsidRPr="00F41538">
        <w:rPr>
          <w:rFonts w:ascii="Arial" w:hAnsi="Arial" w:cs="Arial"/>
          <w:color w:val="FFFFFF"/>
        </w:rPr>
        <w:t>u</w:t>
      </w:r>
    </w:p>
    <w:p w:rsidR="009074AA" w:rsidRPr="00F41538" w:rsidRDefault="00687373">
      <w:pPr>
        <w:rPr>
          <w:rFonts w:ascii="Arial" w:hAnsi="Arial" w:cs="Arial"/>
          <w:color w:val="FFFFFF"/>
        </w:rPr>
      </w:pPr>
      <w:r w:rsidRPr="00F41538">
        <w:rPr>
          <w:rFonts w:ascii="Arial" w:hAnsi="Arial" w:cs="Arial"/>
          <w:color w:val="FFFFFF"/>
        </w:rPr>
        <w:t>teen to</w:t>
      </w:r>
    </w:p>
    <w:p w:rsidR="00F41538" w:rsidRPr="00F41538" w:rsidRDefault="00F41538" w:rsidP="00F41538">
      <w:pPr>
        <w:rPr>
          <w:rFonts w:ascii="Arial" w:hAnsi="Arial" w:cs="Arial"/>
          <w:b/>
        </w:rPr>
      </w:pPr>
      <w:r w:rsidRPr="00F41538">
        <w:rPr>
          <w:rFonts w:ascii="Arial" w:hAnsi="Arial" w:cs="Arial"/>
          <w:b/>
        </w:rPr>
        <w:t>Yritysten kehittämispalvelut</w:t>
      </w:r>
    </w:p>
    <w:p w:rsidR="00F41538" w:rsidRPr="00F41538" w:rsidRDefault="00F41538" w:rsidP="00F41538">
      <w:pPr>
        <w:rPr>
          <w:rFonts w:ascii="Arial" w:hAnsi="Arial" w:cs="Arial"/>
        </w:rPr>
      </w:pPr>
      <w:r w:rsidRPr="00F41538">
        <w:rPr>
          <w:rFonts w:ascii="Arial" w:hAnsi="Arial" w:cs="Arial"/>
        </w:rPr>
        <w:t>Yritysten kehit</w:t>
      </w:r>
      <w:r w:rsidR="00375D06">
        <w:rPr>
          <w:rFonts w:ascii="Arial" w:hAnsi="Arial" w:cs="Arial"/>
        </w:rPr>
        <w:t>tämispalvelut ovat ELY-keskusten</w:t>
      </w:r>
      <w:r w:rsidRPr="00F41538">
        <w:rPr>
          <w:rFonts w:ascii="Arial" w:hAnsi="Arial" w:cs="Arial"/>
        </w:rPr>
        <w:t xml:space="preserve"> tarjoamia matalan kynnyksen analyysi-, konsultointi- ja koulutuspalveluja, joiden avulla kannustetaan pk-yrityksiä kasvuun, uudistumiseen ja kansainvälistymiseen. Kehittämispalveluihin liittyvällä tuella madalletaan pk-yritysten kynnystä kasvuun liittyvien kehittämistoimien käynnistämiseen.</w:t>
      </w:r>
    </w:p>
    <w:p w:rsidR="00F41538" w:rsidRPr="00F41538" w:rsidRDefault="00F41538" w:rsidP="00F41538">
      <w:pPr>
        <w:rPr>
          <w:rFonts w:ascii="Arial" w:hAnsi="Arial" w:cs="Arial"/>
        </w:rPr>
      </w:pPr>
      <w:r w:rsidRPr="00F41538">
        <w:rPr>
          <w:rFonts w:ascii="Arial" w:hAnsi="Arial" w:cs="Arial"/>
        </w:rPr>
        <w:t xml:space="preserve">Yritysten käytettävissä on kilpailutettujen asiantuntijoiden valtakunnallisesti toteuttamat palvelut: </w:t>
      </w:r>
      <w:r w:rsidRPr="00F41538">
        <w:rPr>
          <w:rFonts w:ascii="Arial" w:hAnsi="Arial" w:cs="Arial"/>
          <w:i/>
        </w:rPr>
        <w:t>Analyysi,</w:t>
      </w:r>
      <w:r w:rsidRPr="00F41538">
        <w:rPr>
          <w:rFonts w:ascii="Arial" w:hAnsi="Arial" w:cs="Arial"/>
        </w:rPr>
        <w:t xml:space="preserve"> </w:t>
      </w:r>
      <w:r w:rsidRPr="00F41538">
        <w:rPr>
          <w:rFonts w:ascii="Arial" w:hAnsi="Arial" w:cs="Arial"/>
          <w:i/>
        </w:rPr>
        <w:t>Konsultointi</w:t>
      </w:r>
      <w:r w:rsidRPr="00F41538">
        <w:rPr>
          <w:rFonts w:ascii="Arial" w:hAnsi="Arial" w:cs="Arial"/>
        </w:rPr>
        <w:t xml:space="preserve"> ja </w:t>
      </w:r>
      <w:r w:rsidRPr="00F41538">
        <w:rPr>
          <w:rFonts w:ascii="Arial" w:hAnsi="Arial" w:cs="Arial"/>
          <w:i/>
        </w:rPr>
        <w:t>Koulutus</w:t>
      </w:r>
      <w:r w:rsidRPr="00F41538">
        <w:rPr>
          <w:rFonts w:ascii="Arial" w:hAnsi="Arial" w:cs="Arial"/>
        </w:rPr>
        <w:t xml:space="preserve">. </w:t>
      </w:r>
      <w:r w:rsidRPr="00F41538">
        <w:rPr>
          <w:rFonts w:ascii="Arial" w:hAnsi="Arial" w:cs="Arial"/>
          <w:i/>
        </w:rPr>
        <w:t>Analyysi</w:t>
      </w:r>
      <w:r w:rsidRPr="00F41538">
        <w:rPr>
          <w:rFonts w:ascii="Arial" w:hAnsi="Arial" w:cs="Arial"/>
        </w:rPr>
        <w:t xml:space="preserve"> myönnetään yleensä yhden päivän mittaisena, </w:t>
      </w:r>
      <w:r w:rsidRPr="00F41538">
        <w:rPr>
          <w:rFonts w:ascii="Arial" w:hAnsi="Arial" w:cs="Arial"/>
          <w:i/>
        </w:rPr>
        <w:t>Konsultointi</w:t>
      </w:r>
      <w:r w:rsidRPr="00F41538">
        <w:rPr>
          <w:rFonts w:ascii="Arial" w:hAnsi="Arial" w:cs="Arial"/>
        </w:rPr>
        <w:t xml:space="preserve"> 2 – 7 päivän mittaisena ja </w:t>
      </w:r>
      <w:r w:rsidRPr="00F41538">
        <w:rPr>
          <w:rFonts w:ascii="Arial" w:hAnsi="Arial" w:cs="Arial"/>
          <w:i/>
        </w:rPr>
        <w:t>Koulutus</w:t>
      </w:r>
      <w:r w:rsidRPr="00F41538">
        <w:rPr>
          <w:rFonts w:ascii="Arial" w:hAnsi="Arial" w:cs="Arial"/>
        </w:rPr>
        <w:t xml:space="preserve"> 10 päivän mittaisena (sisältäen lisäksi 2 konsultointipäivää).</w:t>
      </w:r>
    </w:p>
    <w:p w:rsidR="00F41538" w:rsidRPr="00F41538" w:rsidRDefault="00F41538" w:rsidP="00F41538">
      <w:pPr>
        <w:rPr>
          <w:rFonts w:ascii="Arial" w:hAnsi="Arial" w:cs="Arial"/>
        </w:rPr>
      </w:pPr>
      <w:r w:rsidRPr="00F41538">
        <w:rPr>
          <w:rFonts w:ascii="Arial" w:hAnsi="Arial" w:cs="Arial"/>
          <w:i/>
        </w:rPr>
        <w:t>Analyysin</w:t>
      </w:r>
      <w:r w:rsidRPr="00F41538">
        <w:rPr>
          <w:rFonts w:ascii="Arial" w:hAnsi="Arial" w:cs="Arial"/>
        </w:rPr>
        <w:t xml:space="preserve"> avulla yritys saa kokonaiskuvan liiketoimintansa nykytilasta sekä selkeän kehittämissuunnitelman. </w:t>
      </w:r>
      <w:r w:rsidRPr="00F41538">
        <w:rPr>
          <w:rFonts w:ascii="Arial" w:hAnsi="Arial" w:cs="Arial"/>
          <w:i/>
        </w:rPr>
        <w:t>Konsultoinnin</w:t>
      </w:r>
      <w:r w:rsidRPr="00F41538">
        <w:rPr>
          <w:rFonts w:ascii="Arial" w:hAnsi="Arial" w:cs="Arial"/>
        </w:rPr>
        <w:t xml:space="preserve"> teemat ovat </w:t>
      </w:r>
      <w:r w:rsidRPr="00F41538">
        <w:rPr>
          <w:rFonts w:ascii="Arial" w:hAnsi="Arial" w:cs="Arial"/>
          <w:i/>
        </w:rPr>
        <w:t>Kasvu, Uudistaminen, Tuottavuus</w:t>
      </w:r>
      <w:r w:rsidRPr="00F41538">
        <w:rPr>
          <w:rFonts w:ascii="Arial" w:hAnsi="Arial" w:cs="Arial"/>
        </w:rPr>
        <w:t xml:space="preserve"> </w:t>
      </w:r>
      <w:r w:rsidRPr="00F41538">
        <w:rPr>
          <w:rFonts w:ascii="Arial" w:hAnsi="Arial" w:cs="Arial"/>
          <w:i/>
        </w:rPr>
        <w:t>ja talous, Markkinointi ja asiakkuudet,</w:t>
      </w:r>
      <w:r w:rsidRPr="00F41538">
        <w:rPr>
          <w:rFonts w:ascii="Arial" w:hAnsi="Arial" w:cs="Arial"/>
        </w:rPr>
        <w:t xml:space="preserve"> </w:t>
      </w:r>
      <w:r w:rsidRPr="00F41538">
        <w:rPr>
          <w:rFonts w:ascii="Arial" w:hAnsi="Arial" w:cs="Arial"/>
          <w:i/>
        </w:rPr>
        <w:t>Johtaminen ja henkilöstö</w:t>
      </w:r>
      <w:r w:rsidRPr="00F41538">
        <w:rPr>
          <w:rFonts w:ascii="Arial" w:hAnsi="Arial" w:cs="Arial"/>
        </w:rPr>
        <w:t xml:space="preserve"> sekä </w:t>
      </w:r>
      <w:r w:rsidRPr="00F41538">
        <w:rPr>
          <w:rFonts w:ascii="Arial" w:hAnsi="Arial" w:cs="Arial"/>
          <w:i/>
        </w:rPr>
        <w:t>Innovaatioiden kaupallistaminen</w:t>
      </w:r>
      <w:r w:rsidRPr="00F41538">
        <w:rPr>
          <w:rFonts w:ascii="Arial" w:hAnsi="Arial" w:cs="Arial"/>
        </w:rPr>
        <w:t xml:space="preserve">. </w:t>
      </w:r>
      <w:r w:rsidRPr="00F41538">
        <w:rPr>
          <w:rFonts w:ascii="Arial" w:hAnsi="Arial" w:cs="Arial"/>
          <w:i/>
        </w:rPr>
        <w:t>Koulutusta</w:t>
      </w:r>
      <w:r w:rsidRPr="00F41538">
        <w:rPr>
          <w:rFonts w:ascii="Arial" w:hAnsi="Arial" w:cs="Arial"/>
        </w:rPr>
        <w:t xml:space="preserve"> myönnetään yritysten avainhenkilöiden koulutusohjelmiin, jotka ovat </w:t>
      </w:r>
      <w:r w:rsidRPr="00F41538">
        <w:rPr>
          <w:rFonts w:ascii="Arial" w:hAnsi="Arial" w:cs="Arial"/>
          <w:i/>
        </w:rPr>
        <w:t>Kasvuun johtaminen, Talouden ja tuottavuuden johtaminen</w:t>
      </w:r>
      <w:r w:rsidRPr="00F41538">
        <w:rPr>
          <w:rFonts w:ascii="Arial" w:hAnsi="Arial" w:cs="Arial"/>
        </w:rPr>
        <w:t xml:space="preserve"> sekä </w:t>
      </w:r>
      <w:r w:rsidRPr="00F41538">
        <w:rPr>
          <w:rFonts w:ascii="Arial" w:hAnsi="Arial" w:cs="Arial"/>
          <w:i/>
        </w:rPr>
        <w:t>Markkinoinnin ja asiakkuuksien johtaminen</w:t>
      </w:r>
      <w:r w:rsidRPr="00F41538">
        <w:rPr>
          <w:rFonts w:ascii="Arial" w:hAnsi="Arial" w:cs="Arial"/>
        </w:rPr>
        <w:t>.</w:t>
      </w:r>
    </w:p>
    <w:p w:rsidR="00F41538" w:rsidRPr="00F41538" w:rsidRDefault="00F41538" w:rsidP="00F41538">
      <w:pPr>
        <w:rPr>
          <w:rFonts w:ascii="Arial" w:hAnsi="Arial" w:cs="Arial"/>
        </w:rPr>
      </w:pPr>
      <w:r w:rsidRPr="00F41538">
        <w:rPr>
          <w:rFonts w:ascii="Arial" w:hAnsi="Arial" w:cs="Arial"/>
        </w:rPr>
        <w:t>Kehittämispalveluja myönnettiin vuonna 2016 yli 2 600 yritykselle (julkinen tuki yhteensä 8 miljoonaa euroa). Palveluun kohdistuva tuki myönnetään de minimis –ehtoisena. Valtion rahoitusosuus yritysten kehittämispalveluista on 70 – 80 prosenttia.</w:t>
      </w:r>
    </w:p>
    <w:p w:rsidR="00F41538" w:rsidRDefault="00F41538" w:rsidP="00F41538">
      <w:pPr>
        <w:rPr>
          <w:rFonts w:ascii="Arial" w:hAnsi="Arial" w:cs="Arial"/>
        </w:rPr>
      </w:pPr>
      <w:r w:rsidRPr="00F41538">
        <w:rPr>
          <w:rFonts w:ascii="Arial" w:hAnsi="Arial" w:cs="Arial"/>
        </w:rPr>
        <w:t xml:space="preserve">Palvelujen hakeminen on tehty yksinkertaiseksi ja päätökset tehdään pääsääntöisesti muutamassa päivässä hakemuksen jättämisestä. Palvelujen myöntäminen on keskitetty Hämeen, Keski-Suomen, Etelä-Savon ja Pohjois-Pohjanmaan ELY-keskuksiin, joilta se tulee siirtymään vuonna 2020 maakunnille. Maksaminen on keskitetty nykyisin KEHA-keskukseen. </w:t>
      </w:r>
    </w:p>
    <w:p w:rsidR="00163125" w:rsidRPr="00F41538" w:rsidRDefault="00163125" w:rsidP="00F41538">
      <w:pPr>
        <w:rPr>
          <w:rFonts w:ascii="Arial" w:hAnsi="Arial" w:cs="Arial"/>
        </w:rPr>
      </w:pPr>
    </w:p>
    <w:p w:rsidR="00163125" w:rsidRDefault="00163125">
      <w:pPr>
        <w:rPr>
          <w:rFonts w:ascii="Tahoma" w:hAnsi="Tahoma" w:cs="Tahoma"/>
        </w:rPr>
      </w:pPr>
    </w:p>
    <w:p w:rsidR="00146751" w:rsidRDefault="00146751">
      <w:pPr>
        <w:rPr>
          <w:rFonts w:ascii="Tahoma" w:hAnsi="Tahoma" w:cs="Tahoma"/>
        </w:rPr>
      </w:pPr>
    </w:p>
    <w:p w:rsidR="00146751" w:rsidRDefault="00146751">
      <w:pPr>
        <w:rPr>
          <w:rFonts w:ascii="Tahoma" w:hAnsi="Tahoma" w:cs="Tahoma"/>
        </w:rPr>
      </w:pPr>
    </w:p>
    <w:p w:rsidR="00163125" w:rsidRDefault="00163125">
      <w:pPr>
        <w:rPr>
          <w:rFonts w:ascii="Tahoma" w:hAnsi="Tahoma" w:cs="Tahoma"/>
        </w:rPr>
      </w:pPr>
      <w:r>
        <w:rPr>
          <w:rFonts w:ascii="Tahoma" w:hAnsi="Tahoma" w:cs="Tahoma"/>
        </w:rPr>
        <w:lastRenderedPageBreak/>
        <w:t xml:space="preserve">Liite 1. </w:t>
      </w:r>
      <w:proofErr w:type="gramStart"/>
      <w:r>
        <w:rPr>
          <w:rFonts w:ascii="Tahoma" w:hAnsi="Tahoma" w:cs="Tahoma"/>
        </w:rPr>
        <w:t>Vuonna 2016 myönnetyn yrityksen kehittämisavustuksen arvioidut vaikutukset</w:t>
      </w:r>
      <w:proofErr w:type="gramEnd"/>
    </w:p>
    <w:p w:rsidR="00146751" w:rsidRDefault="00163125">
      <w:pPr>
        <w:rPr>
          <w:rFonts w:ascii="Tahoma" w:hAnsi="Tahoma" w:cs="Tahoma"/>
        </w:rPr>
      </w:pPr>
      <w:r>
        <w:rPr>
          <w:rFonts w:ascii="Tahoma" w:hAnsi="Tahoma" w:cs="Tahoma"/>
          <w:noProof/>
          <w:lang w:eastAsia="fi-FI"/>
        </w:rPr>
        <w:drawing>
          <wp:inline distT="0" distB="0" distL="0" distR="0" wp14:anchorId="6BC89013" wp14:editId="084C188D">
            <wp:extent cx="6535387" cy="174399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8602" cy="1744853"/>
                    </a:xfrm>
                    <a:prstGeom prst="rect">
                      <a:avLst/>
                    </a:prstGeom>
                    <a:noFill/>
                  </pic:spPr>
                </pic:pic>
              </a:graphicData>
            </a:graphic>
          </wp:inline>
        </w:drawing>
      </w:r>
    </w:p>
    <w:p w:rsidR="00163125" w:rsidRDefault="00146751">
      <w:pPr>
        <w:rPr>
          <w:rFonts w:ascii="Tahoma" w:hAnsi="Tahoma" w:cs="Tahoma"/>
        </w:rPr>
      </w:pPr>
      <w:r>
        <w:rPr>
          <w:rFonts w:ascii="Tahoma" w:hAnsi="Tahoma" w:cs="Tahoma"/>
          <w:noProof/>
          <w:lang w:eastAsia="fi-FI"/>
        </w:rPr>
        <w:drawing>
          <wp:anchor distT="0" distB="0" distL="114300" distR="114300" simplePos="0" relativeHeight="251658240" behindDoc="0" locked="0" layoutInCell="1" allowOverlap="1" wp14:anchorId="2A80413F" wp14:editId="1553DDBA">
            <wp:simplePos x="0" y="0"/>
            <wp:positionH relativeFrom="column">
              <wp:posOffset>-240030</wp:posOffset>
            </wp:positionH>
            <wp:positionV relativeFrom="paragraph">
              <wp:posOffset>175260</wp:posOffset>
            </wp:positionV>
            <wp:extent cx="5600700" cy="7921625"/>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okattu tukialuekuv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0700" cy="7921625"/>
                    </a:xfrm>
                    <a:prstGeom prst="rect">
                      <a:avLst/>
                    </a:prstGeom>
                  </pic:spPr>
                </pic:pic>
              </a:graphicData>
            </a:graphic>
            <wp14:sizeRelH relativeFrom="page">
              <wp14:pctWidth>0</wp14:pctWidth>
            </wp14:sizeRelH>
            <wp14:sizeRelV relativeFrom="page">
              <wp14:pctHeight>0</wp14:pctHeight>
            </wp14:sizeRelV>
          </wp:anchor>
        </w:drawing>
      </w:r>
      <w:r w:rsidR="00163125">
        <w:rPr>
          <w:rFonts w:ascii="Tahoma" w:hAnsi="Tahoma" w:cs="Tahoma"/>
        </w:rPr>
        <w:t>Liite 2. Kuljetustuen tukialueet</w:t>
      </w:r>
    </w:p>
    <w:p w:rsidR="00146751" w:rsidRDefault="00146751">
      <w:pPr>
        <w:rPr>
          <w:rFonts w:ascii="Tahoma" w:hAnsi="Tahoma" w:cs="Tahoma"/>
        </w:rPr>
      </w:pPr>
    </w:p>
    <w:p w:rsidR="000E65B8" w:rsidRPr="00163125" w:rsidRDefault="000E65B8">
      <w:pPr>
        <w:rPr>
          <w:rFonts w:ascii="Tahoma" w:hAnsi="Tahoma" w:cs="Tahoma"/>
        </w:rPr>
      </w:pPr>
    </w:p>
    <w:p w:rsidR="00163125" w:rsidRDefault="00163125">
      <w:pPr>
        <w:rPr>
          <w:rFonts w:ascii="Tahoma" w:hAnsi="Tahoma" w:cs="Tahoma"/>
          <w:color w:val="FFFFFF"/>
        </w:rPr>
      </w:pPr>
      <w:r>
        <w:rPr>
          <w:rFonts w:ascii="Tahoma" w:hAnsi="Tahoma" w:cs="Tahoma"/>
          <w:color w:val="FFFFFF"/>
        </w:rPr>
        <w:t>Li</w:t>
      </w:r>
    </w:p>
    <w:sectPr w:rsidR="00163125" w:rsidSect="00FF51B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254"/>
    <w:multiLevelType w:val="hybridMultilevel"/>
    <w:tmpl w:val="744E65C0"/>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nsid w:val="0971615D"/>
    <w:multiLevelType w:val="hybridMultilevel"/>
    <w:tmpl w:val="5044AAAE"/>
    <w:lvl w:ilvl="0" w:tplc="837A40B2">
      <w:numFmt w:val="bullet"/>
      <w:lvlText w:val="-"/>
      <w:lvlJc w:val="left"/>
      <w:pPr>
        <w:tabs>
          <w:tab w:val="num" w:pos="720"/>
        </w:tabs>
        <w:ind w:left="720" w:hanging="360"/>
      </w:pPr>
      <w:rPr>
        <w:rFonts w:ascii="Times New Roman" w:eastAsia="Times New Roman" w:hAnsi="Times New Roman" w:cs="Times New Roman"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nsid w:val="27A655F3"/>
    <w:multiLevelType w:val="hybridMultilevel"/>
    <w:tmpl w:val="0602DAB0"/>
    <w:lvl w:ilvl="0" w:tplc="3C3AE270">
      <w:start w:val="1"/>
      <w:numFmt w:val="bullet"/>
      <w:lvlText w:val=""/>
      <w:lvlJc w:val="left"/>
      <w:pPr>
        <w:tabs>
          <w:tab w:val="num" w:pos="720"/>
        </w:tabs>
        <w:ind w:left="720" w:hanging="360"/>
      </w:pPr>
      <w:rPr>
        <w:rFonts w:ascii="Wingdings" w:hAnsi="Wingdings" w:hint="default"/>
      </w:rPr>
    </w:lvl>
    <w:lvl w:ilvl="1" w:tplc="9FFC0D30" w:tentative="1">
      <w:start w:val="1"/>
      <w:numFmt w:val="bullet"/>
      <w:lvlText w:val=""/>
      <w:lvlJc w:val="left"/>
      <w:pPr>
        <w:tabs>
          <w:tab w:val="num" w:pos="1440"/>
        </w:tabs>
        <w:ind w:left="1440" w:hanging="360"/>
      </w:pPr>
      <w:rPr>
        <w:rFonts w:ascii="Wingdings" w:hAnsi="Wingdings" w:hint="default"/>
      </w:rPr>
    </w:lvl>
    <w:lvl w:ilvl="2" w:tplc="5FFEE808" w:tentative="1">
      <w:start w:val="1"/>
      <w:numFmt w:val="bullet"/>
      <w:lvlText w:val=""/>
      <w:lvlJc w:val="left"/>
      <w:pPr>
        <w:tabs>
          <w:tab w:val="num" w:pos="2160"/>
        </w:tabs>
        <w:ind w:left="2160" w:hanging="360"/>
      </w:pPr>
      <w:rPr>
        <w:rFonts w:ascii="Wingdings" w:hAnsi="Wingdings" w:hint="default"/>
      </w:rPr>
    </w:lvl>
    <w:lvl w:ilvl="3" w:tplc="252C6126" w:tentative="1">
      <w:start w:val="1"/>
      <w:numFmt w:val="bullet"/>
      <w:lvlText w:val=""/>
      <w:lvlJc w:val="left"/>
      <w:pPr>
        <w:tabs>
          <w:tab w:val="num" w:pos="2880"/>
        </w:tabs>
        <w:ind w:left="2880" w:hanging="360"/>
      </w:pPr>
      <w:rPr>
        <w:rFonts w:ascii="Wingdings" w:hAnsi="Wingdings" w:hint="default"/>
      </w:rPr>
    </w:lvl>
    <w:lvl w:ilvl="4" w:tplc="69BCBF02" w:tentative="1">
      <w:start w:val="1"/>
      <w:numFmt w:val="bullet"/>
      <w:lvlText w:val=""/>
      <w:lvlJc w:val="left"/>
      <w:pPr>
        <w:tabs>
          <w:tab w:val="num" w:pos="3600"/>
        </w:tabs>
        <w:ind w:left="3600" w:hanging="360"/>
      </w:pPr>
      <w:rPr>
        <w:rFonts w:ascii="Wingdings" w:hAnsi="Wingdings" w:hint="default"/>
      </w:rPr>
    </w:lvl>
    <w:lvl w:ilvl="5" w:tplc="30188FF2" w:tentative="1">
      <w:start w:val="1"/>
      <w:numFmt w:val="bullet"/>
      <w:lvlText w:val=""/>
      <w:lvlJc w:val="left"/>
      <w:pPr>
        <w:tabs>
          <w:tab w:val="num" w:pos="4320"/>
        </w:tabs>
        <w:ind w:left="4320" w:hanging="360"/>
      </w:pPr>
      <w:rPr>
        <w:rFonts w:ascii="Wingdings" w:hAnsi="Wingdings" w:hint="default"/>
      </w:rPr>
    </w:lvl>
    <w:lvl w:ilvl="6" w:tplc="AE54484A" w:tentative="1">
      <w:start w:val="1"/>
      <w:numFmt w:val="bullet"/>
      <w:lvlText w:val=""/>
      <w:lvlJc w:val="left"/>
      <w:pPr>
        <w:tabs>
          <w:tab w:val="num" w:pos="5040"/>
        </w:tabs>
        <w:ind w:left="5040" w:hanging="360"/>
      </w:pPr>
      <w:rPr>
        <w:rFonts w:ascii="Wingdings" w:hAnsi="Wingdings" w:hint="default"/>
      </w:rPr>
    </w:lvl>
    <w:lvl w:ilvl="7" w:tplc="B62AE9CA" w:tentative="1">
      <w:start w:val="1"/>
      <w:numFmt w:val="bullet"/>
      <w:lvlText w:val=""/>
      <w:lvlJc w:val="left"/>
      <w:pPr>
        <w:tabs>
          <w:tab w:val="num" w:pos="5760"/>
        </w:tabs>
        <w:ind w:left="5760" w:hanging="360"/>
      </w:pPr>
      <w:rPr>
        <w:rFonts w:ascii="Wingdings" w:hAnsi="Wingdings" w:hint="default"/>
      </w:rPr>
    </w:lvl>
    <w:lvl w:ilvl="8" w:tplc="AD38B7AE" w:tentative="1">
      <w:start w:val="1"/>
      <w:numFmt w:val="bullet"/>
      <w:lvlText w:val=""/>
      <w:lvlJc w:val="left"/>
      <w:pPr>
        <w:tabs>
          <w:tab w:val="num" w:pos="6480"/>
        </w:tabs>
        <w:ind w:left="6480" w:hanging="360"/>
      </w:pPr>
      <w:rPr>
        <w:rFonts w:ascii="Wingdings" w:hAnsi="Wingdings" w:hint="default"/>
      </w:rPr>
    </w:lvl>
  </w:abstractNum>
  <w:abstractNum w:abstractNumId="3">
    <w:nsid w:val="30962A30"/>
    <w:multiLevelType w:val="hybridMultilevel"/>
    <w:tmpl w:val="FFA068B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3BDF225D"/>
    <w:multiLevelType w:val="hybridMultilevel"/>
    <w:tmpl w:val="1D047E8C"/>
    <w:lvl w:ilvl="0" w:tplc="4A96E650">
      <w:start w:val="1"/>
      <w:numFmt w:val="bullet"/>
      <w:lvlText w:val="•"/>
      <w:lvlJc w:val="left"/>
      <w:pPr>
        <w:tabs>
          <w:tab w:val="num" w:pos="720"/>
        </w:tabs>
        <w:ind w:left="720" w:hanging="360"/>
      </w:pPr>
      <w:rPr>
        <w:rFonts w:ascii="Arial" w:hAnsi="Arial" w:hint="default"/>
      </w:rPr>
    </w:lvl>
    <w:lvl w:ilvl="1" w:tplc="41B645BC">
      <w:start w:val="1"/>
      <w:numFmt w:val="bullet"/>
      <w:lvlText w:val="•"/>
      <w:lvlJc w:val="left"/>
      <w:pPr>
        <w:tabs>
          <w:tab w:val="num" w:pos="1440"/>
        </w:tabs>
        <w:ind w:left="1440" w:hanging="360"/>
      </w:pPr>
      <w:rPr>
        <w:rFonts w:ascii="Arial" w:hAnsi="Arial" w:hint="default"/>
      </w:rPr>
    </w:lvl>
    <w:lvl w:ilvl="2" w:tplc="B36E3B90" w:tentative="1">
      <w:start w:val="1"/>
      <w:numFmt w:val="bullet"/>
      <w:lvlText w:val="•"/>
      <w:lvlJc w:val="left"/>
      <w:pPr>
        <w:tabs>
          <w:tab w:val="num" w:pos="2160"/>
        </w:tabs>
        <w:ind w:left="2160" w:hanging="360"/>
      </w:pPr>
      <w:rPr>
        <w:rFonts w:ascii="Arial" w:hAnsi="Arial" w:hint="default"/>
      </w:rPr>
    </w:lvl>
    <w:lvl w:ilvl="3" w:tplc="5002E594" w:tentative="1">
      <w:start w:val="1"/>
      <w:numFmt w:val="bullet"/>
      <w:lvlText w:val="•"/>
      <w:lvlJc w:val="left"/>
      <w:pPr>
        <w:tabs>
          <w:tab w:val="num" w:pos="2880"/>
        </w:tabs>
        <w:ind w:left="2880" w:hanging="360"/>
      </w:pPr>
      <w:rPr>
        <w:rFonts w:ascii="Arial" w:hAnsi="Arial" w:hint="default"/>
      </w:rPr>
    </w:lvl>
    <w:lvl w:ilvl="4" w:tplc="1ECA8934" w:tentative="1">
      <w:start w:val="1"/>
      <w:numFmt w:val="bullet"/>
      <w:lvlText w:val="•"/>
      <w:lvlJc w:val="left"/>
      <w:pPr>
        <w:tabs>
          <w:tab w:val="num" w:pos="3600"/>
        </w:tabs>
        <w:ind w:left="3600" w:hanging="360"/>
      </w:pPr>
      <w:rPr>
        <w:rFonts w:ascii="Arial" w:hAnsi="Arial" w:hint="default"/>
      </w:rPr>
    </w:lvl>
    <w:lvl w:ilvl="5" w:tplc="2F52CEF8" w:tentative="1">
      <w:start w:val="1"/>
      <w:numFmt w:val="bullet"/>
      <w:lvlText w:val="•"/>
      <w:lvlJc w:val="left"/>
      <w:pPr>
        <w:tabs>
          <w:tab w:val="num" w:pos="4320"/>
        </w:tabs>
        <w:ind w:left="4320" w:hanging="360"/>
      </w:pPr>
      <w:rPr>
        <w:rFonts w:ascii="Arial" w:hAnsi="Arial" w:hint="default"/>
      </w:rPr>
    </w:lvl>
    <w:lvl w:ilvl="6" w:tplc="AA9A72DC" w:tentative="1">
      <w:start w:val="1"/>
      <w:numFmt w:val="bullet"/>
      <w:lvlText w:val="•"/>
      <w:lvlJc w:val="left"/>
      <w:pPr>
        <w:tabs>
          <w:tab w:val="num" w:pos="5040"/>
        </w:tabs>
        <w:ind w:left="5040" w:hanging="360"/>
      </w:pPr>
      <w:rPr>
        <w:rFonts w:ascii="Arial" w:hAnsi="Arial" w:hint="default"/>
      </w:rPr>
    </w:lvl>
    <w:lvl w:ilvl="7" w:tplc="D8D4C42C" w:tentative="1">
      <w:start w:val="1"/>
      <w:numFmt w:val="bullet"/>
      <w:lvlText w:val="•"/>
      <w:lvlJc w:val="left"/>
      <w:pPr>
        <w:tabs>
          <w:tab w:val="num" w:pos="5760"/>
        </w:tabs>
        <w:ind w:left="5760" w:hanging="360"/>
      </w:pPr>
      <w:rPr>
        <w:rFonts w:ascii="Arial" w:hAnsi="Arial" w:hint="default"/>
      </w:rPr>
    </w:lvl>
    <w:lvl w:ilvl="8" w:tplc="6488342A" w:tentative="1">
      <w:start w:val="1"/>
      <w:numFmt w:val="bullet"/>
      <w:lvlText w:val="•"/>
      <w:lvlJc w:val="left"/>
      <w:pPr>
        <w:tabs>
          <w:tab w:val="num" w:pos="6480"/>
        </w:tabs>
        <w:ind w:left="6480" w:hanging="360"/>
      </w:pPr>
      <w:rPr>
        <w:rFonts w:ascii="Arial" w:hAnsi="Arial" w:hint="default"/>
      </w:rPr>
    </w:lvl>
  </w:abstractNum>
  <w:abstractNum w:abstractNumId="5">
    <w:nsid w:val="70A11186"/>
    <w:multiLevelType w:val="hybridMultilevel"/>
    <w:tmpl w:val="7B5284C6"/>
    <w:lvl w:ilvl="0" w:tplc="532C5A02">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687373"/>
    <w:rsid w:val="00016FB2"/>
    <w:rsid w:val="00044FCC"/>
    <w:rsid w:val="0006206F"/>
    <w:rsid w:val="00076108"/>
    <w:rsid w:val="000B77B1"/>
    <w:rsid w:val="000C6C32"/>
    <w:rsid w:val="000E40D5"/>
    <w:rsid w:val="000E65B8"/>
    <w:rsid w:val="001373C6"/>
    <w:rsid w:val="00145D5E"/>
    <w:rsid w:val="00146751"/>
    <w:rsid w:val="00151F0C"/>
    <w:rsid w:val="00163125"/>
    <w:rsid w:val="00181308"/>
    <w:rsid w:val="001835A8"/>
    <w:rsid w:val="001C1C7B"/>
    <w:rsid w:val="001D4972"/>
    <w:rsid w:val="001F1959"/>
    <w:rsid w:val="00223BF2"/>
    <w:rsid w:val="00231301"/>
    <w:rsid w:val="002379F7"/>
    <w:rsid w:val="002B5800"/>
    <w:rsid w:val="0030622F"/>
    <w:rsid w:val="003415F6"/>
    <w:rsid w:val="00375D06"/>
    <w:rsid w:val="003857D5"/>
    <w:rsid w:val="003D0EA5"/>
    <w:rsid w:val="00425C34"/>
    <w:rsid w:val="004376DC"/>
    <w:rsid w:val="00481049"/>
    <w:rsid w:val="004849B8"/>
    <w:rsid w:val="00487AE7"/>
    <w:rsid w:val="004B6486"/>
    <w:rsid w:val="004F126C"/>
    <w:rsid w:val="00544559"/>
    <w:rsid w:val="00581898"/>
    <w:rsid w:val="00585E28"/>
    <w:rsid w:val="00587B6C"/>
    <w:rsid w:val="00591A05"/>
    <w:rsid w:val="005920A8"/>
    <w:rsid w:val="00641407"/>
    <w:rsid w:val="00660586"/>
    <w:rsid w:val="006645AB"/>
    <w:rsid w:val="00664FC1"/>
    <w:rsid w:val="00665D13"/>
    <w:rsid w:val="0067163C"/>
    <w:rsid w:val="00687373"/>
    <w:rsid w:val="006B561E"/>
    <w:rsid w:val="006E1D92"/>
    <w:rsid w:val="00771F0E"/>
    <w:rsid w:val="0079317D"/>
    <w:rsid w:val="00793968"/>
    <w:rsid w:val="007C0D1A"/>
    <w:rsid w:val="007D02FE"/>
    <w:rsid w:val="008042F9"/>
    <w:rsid w:val="0080788E"/>
    <w:rsid w:val="008265E4"/>
    <w:rsid w:val="008A751D"/>
    <w:rsid w:val="008B51B1"/>
    <w:rsid w:val="009074AA"/>
    <w:rsid w:val="00927D27"/>
    <w:rsid w:val="009874D2"/>
    <w:rsid w:val="009A5BA9"/>
    <w:rsid w:val="009E3FC4"/>
    <w:rsid w:val="009F3518"/>
    <w:rsid w:val="009F5871"/>
    <w:rsid w:val="00A06B5B"/>
    <w:rsid w:val="00A150EA"/>
    <w:rsid w:val="00A402BB"/>
    <w:rsid w:val="00A813D9"/>
    <w:rsid w:val="00A83BD4"/>
    <w:rsid w:val="00A905CB"/>
    <w:rsid w:val="00AF5E41"/>
    <w:rsid w:val="00B32656"/>
    <w:rsid w:val="00B61612"/>
    <w:rsid w:val="00BF758B"/>
    <w:rsid w:val="00C23281"/>
    <w:rsid w:val="00C73293"/>
    <w:rsid w:val="00C77A16"/>
    <w:rsid w:val="00C83621"/>
    <w:rsid w:val="00D01B63"/>
    <w:rsid w:val="00D17995"/>
    <w:rsid w:val="00D22ED8"/>
    <w:rsid w:val="00D27745"/>
    <w:rsid w:val="00D54EDE"/>
    <w:rsid w:val="00D70995"/>
    <w:rsid w:val="00D93234"/>
    <w:rsid w:val="00DA7C09"/>
    <w:rsid w:val="00E133EA"/>
    <w:rsid w:val="00E17501"/>
    <w:rsid w:val="00E373E8"/>
    <w:rsid w:val="00E96CC9"/>
    <w:rsid w:val="00EE4146"/>
    <w:rsid w:val="00F41538"/>
    <w:rsid w:val="00F510E6"/>
    <w:rsid w:val="00F76C8C"/>
    <w:rsid w:val="00F877BC"/>
    <w:rsid w:val="00FF51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F51B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81049"/>
    <w:pPr>
      <w:ind w:left="720"/>
      <w:contextualSpacing/>
    </w:pPr>
  </w:style>
  <w:style w:type="paragraph" w:styleId="Seliteteksti">
    <w:name w:val="Balloon Text"/>
    <w:basedOn w:val="Normaali"/>
    <w:link w:val="SelitetekstiChar"/>
    <w:uiPriority w:val="99"/>
    <w:semiHidden/>
    <w:unhideWhenUsed/>
    <w:rsid w:val="0016312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631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76356">
      <w:bodyDiv w:val="1"/>
      <w:marLeft w:val="0"/>
      <w:marRight w:val="0"/>
      <w:marTop w:val="0"/>
      <w:marBottom w:val="0"/>
      <w:divBdr>
        <w:top w:val="none" w:sz="0" w:space="0" w:color="auto"/>
        <w:left w:val="none" w:sz="0" w:space="0" w:color="auto"/>
        <w:bottom w:val="none" w:sz="0" w:space="0" w:color="auto"/>
        <w:right w:val="none" w:sz="0" w:space="0" w:color="auto"/>
      </w:divBdr>
      <w:divsChild>
        <w:div w:id="317002136">
          <w:marLeft w:val="274"/>
          <w:marRight w:val="0"/>
          <w:marTop w:val="150"/>
          <w:marBottom w:val="0"/>
          <w:divBdr>
            <w:top w:val="none" w:sz="0" w:space="0" w:color="auto"/>
            <w:left w:val="none" w:sz="0" w:space="0" w:color="auto"/>
            <w:bottom w:val="none" w:sz="0" w:space="0" w:color="auto"/>
            <w:right w:val="none" w:sz="0" w:space="0" w:color="auto"/>
          </w:divBdr>
        </w:div>
      </w:divsChild>
    </w:div>
    <w:div w:id="858851925">
      <w:bodyDiv w:val="1"/>
      <w:marLeft w:val="0"/>
      <w:marRight w:val="0"/>
      <w:marTop w:val="0"/>
      <w:marBottom w:val="0"/>
      <w:divBdr>
        <w:top w:val="none" w:sz="0" w:space="0" w:color="auto"/>
        <w:left w:val="none" w:sz="0" w:space="0" w:color="auto"/>
        <w:bottom w:val="none" w:sz="0" w:space="0" w:color="auto"/>
        <w:right w:val="none" w:sz="0" w:space="0" w:color="auto"/>
      </w:divBdr>
      <w:divsChild>
        <w:div w:id="253172763">
          <w:marLeft w:val="806"/>
          <w:marRight w:val="0"/>
          <w:marTop w:val="75"/>
          <w:marBottom w:val="0"/>
          <w:divBdr>
            <w:top w:val="none" w:sz="0" w:space="0" w:color="auto"/>
            <w:left w:val="none" w:sz="0" w:space="0" w:color="auto"/>
            <w:bottom w:val="none" w:sz="0" w:space="0" w:color="auto"/>
            <w:right w:val="none" w:sz="0" w:space="0" w:color="auto"/>
          </w:divBdr>
        </w:div>
        <w:div w:id="283195043">
          <w:marLeft w:val="806"/>
          <w:marRight w:val="0"/>
          <w:marTop w:val="75"/>
          <w:marBottom w:val="0"/>
          <w:divBdr>
            <w:top w:val="none" w:sz="0" w:space="0" w:color="auto"/>
            <w:left w:val="none" w:sz="0" w:space="0" w:color="auto"/>
            <w:bottom w:val="none" w:sz="0" w:space="0" w:color="auto"/>
            <w:right w:val="none" w:sz="0" w:space="0" w:color="auto"/>
          </w:divBdr>
        </w:div>
        <w:div w:id="2063826457">
          <w:marLeft w:val="806"/>
          <w:marRight w:val="0"/>
          <w:marTop w:val="75"/>
          <w:marBottom w:val="0"/>
          <w:divBdr>
            <w:top w:val="none" w:sz="0" w:space="0" w:color="auto"/>
            <w:left w:val="none" w:sz="0" w:space="0" w:color="auto"/>
            <w:bottom w:val="none" w:sz="0" w:space="0" w:color="auto"/>
            <w:right w:val="none" w:sz="0" w:space="0" w:color="auto"/>
          </w:divBdr>
        </w:div>
      </w:divsChild>
    </w:div>
    <w:div w:id="977145732">
      <w:bodyDiv w:val="1"/>
      <w:marLeft w:val="0"/>
      <w:marRight w:val="0"/>
      <w:marTop w:val="0"/>
      <w:marBottom w:val="0"/>
      <w:divBdr>
        <w:top w:val="none" w:sz="0" w:space="0" w:color="auto"/>
        <w:left w:val="none" w:sz="0" w:space="0" w:color="auto"/>
        <w:bottom w:val="none" w:sz="0" w:space="0" w:color="auto"/>
        <w:right w:val="none" w:sz="0" w:space="0" w:color="auto"/>
      </w:divBdr>
    </w:div>
    <w:div w:id="1940141128">
      <w:bodyDiv w:val="1"/>
      <w:marLeft w:val="0"/>
      <w:marRight w:val="0"/>
      <w:marTop w:val="0"/>
      <w:marBottom w:val="0"/>
      <w:divBdr>
        <w:top w:val="none" w:sz="0" w:space="0" w:color="auto"/>
        <w:left w:val="none" w:sz="0" w:space="0" w:color="auto"/>
        <w:bottom w:val="none" w:sz="0" w:space="0" w:color="auto"/>
        <w:right w:val="none" w:sz="0" w:space="0" w:color="auto"/>
      </w:divBdr>
      <w:divsChild>
        <w:div w:id="918947543">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471C2-E2A1-466A-BFCD-C8940BF94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557</Words>
  <Characters>4519</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temhautasi1</dc:creator>
  <cp:lastModifiedBy>Puhto Raimo TEM</cp:lastModifiedBy>
  <cp:revision>3</cp:revision>
  <cp:lastPrinted>2015-12-15T10:52:00Z</cp:lastPrinted>
  <dcterms:created xsi:type="dcterms:W3CDTF">2017-11-02T09:52:00Z</dcterms:created>
  <dcterms:modified xsi:type="dcterms:W3CDTF">2017-11-02T09:53:00Z</dcterms:modified>
</cp:coreProperties>
</file>