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05" w:rsidRDefault="00FD48A5" w:rsidP="001A0305">
      <w:pPr>
        <w:spacing w:after="0"/>
      </w:pPr>
      <w:r>
        <w:t xml:space="preserve">Taustamuistio </w:t>
      </w:r>
      <w:r w:rsidR="00086838" w:rsidRPr="00086838">
        <w:t xml:space="preserve">Parlamentaarinen yritystukityöryhmä - iltakoulukokous 7.11.2017 klo </w:t>
      </w:r>
      <w:proofErr w:type="gramStart"/>
      <w:r w:rsidR="00086838" w:rsidRPr="00086838">
        <w:t>18-20</w:t>
      </w:r>
      <w:proofErr w:type="gramEnd"/>
    </w:p>
    <w:p w:rsidR="00AE0B59" w:rsidRDefault="00AE0B59" w:rsidP="001A0305">
      <w:pPr>
        <w:spacing w:after="0"/>
      </w:pPr>
      <w:r>
        <w:t>TEM/TYO/TOP/Polo</w:t>
      </w:r>
    </w:p>
    <w:p w:rsidR="001A0305" w:rsidRDefault="001A0305">
      <w:pPr>
        <w:rPr>
          <w:b/>
        </w:rPr>
      </w:pPr>
    </w:p>
    <w:p w:rsidR="00FD48A5" w:rsidRPr="00AE0B59" w:rsidRDefault="00FD48A5" w:rsidP="00833E2D">
      <w:pPr>
        <w:spacing w:after="0"/>
        <w:rPr>
          <w:b/>
        </w:rPr>
      </w:pPr>
      <w:proofErr w:type="spellStart"/>
      <w:r w:rsidRPr="00AE0B59">
        <w:rPr>
          <w:b/>
        </w:rPr>
        <w:t>TäsmäKoulutus</w:t>
      </w:r>
      <w:proofErr w:type="spellEnd"/>
      <w:r w:rsidRPr="00AE0B59">
        <w:rPr>
          <w:b/>
        </w:rPr>
        <w:t xml:space="preserve"> </w:t>
      </w:r>
      <w:r w:rsidR="00833E2D">
        <w:rPr>
          <w:b/>
        </w:rPr>
        <w:t>Suomessa</w:t>
      </w:r>
    </w:p>
    <w:p w:rsidR="00207ADB" w:rsidRDefault="00207ADB" w:rsidP="00AE0B59">
      <w:pPr>
        <w:jc w:val="both"/>
      </w:pPr>
      <w:r w:rsidRPr="00AE0B59">
        <w:t xml:space="preserve">Työvoimakoulutuksen yhteishankinnan </w:t>
      </w:r>
      <w:proofErr w:type="spellStart"/>
      <w:r w:rsidRPr="00AE0B59">
        <w:t>TäsmäKoulutus</w:t>
      </w:r>
      <w:proofErr w:type="spellEnd"/>
      <w:r w:rsidRPr="00AE0B59">
        <w:t xml:space="preserve"> -tuote on </w:t>
      </w:r>
      <w:r w:rsidR="00CF2645">
        <w:t xml:space="preserve">valtiontukien yleisen </w:t>
      </w:r>
      <w:r w:rsidRPr="00AE0B59">
        <w:t>ryhmäpoikkeus</w:t>
      </w:r>
      <w:r w:rsidR="00CF2645">
        <w:softHyphen/>
      </w:r>
      <w:r w:rsidRPr="00AE0B59">
        <w:t>asetuksen</w:t>
      </w:r>
      <w:r w:rsidR="00CF2645">
        <w:t xml:space="preserve"> (</w:t>
      </w:r>
      <w:r w:rsidR="00CF2645" w:rsidRPr="00CF2645">
        <w:t>Komission asetus 651/2014</w:t>
      </w:r>
      <w:r w:rsidR="00CF2645">
        <w:t>)</w:t>
      </w:r>
      <w:r w:rsidRPr="00AE0B59">
        <w:t xml:space="preserve"> mukainen koulutustuki. </w:t>
      </w:r>
      <w:r w:rsidR="00AE0B59">
        <w:t xml:space="preserve">Jos </w:t>
      </w:r>
      <w:r w:rsidR="00AE0B59" w:rsidRPr="006F3AFF">
        <w:t xml:space="preserve">yrittäjänä toimiva henkilö </w:t>
      </w:r>
      <w:r w:rsidR="00AE0B59">
        <w:t>osallistuu itse</w:t>
      </w:r>
      <w:r w:rsidR="00AE0B59" w:rsidRPr="006F3AFF">
        <w:t xml:space="preserve"> koulutukseen</w:t>
      </w:r>
      <w:r w:rsidR="00AE0B59">
        <w:t xml:space="preserve">, </w:t>
      </w:r>
      <w:proofErr w:type="spellStart"/>
      <w:r w:rsidR="00AE0B59" w:rsidRPr="006F3AFF">
        <w:t>TE-hallinnon</w:t>
      </w:r>
      <w:proofErr w:type="spellEnd"/>
      <w:r w:rsidR="00AE0B59" w:rsidRPr="006F3AFF">
        <w:t xml:space="preserve"> maksama osuus yrittäjän koulutuksen hankintahinnasta on de </w:t>
      </w:r>
      <w:proofErr w:type="spellStart"/>
      <w:r w:rsidR="00AE0B59" w:rsidRPr="006F3AFF">
        <w:t>minimis</w:t>
      </w:r>
      <w:proofErr w:type="spellEnd"/>
      <w:r w:rsidR="00AE0B59" w:rsidRPr="006F3AFF">
        <w:t xml:space="preserve"> </w:t>
      </w:r>
      <w:proofErr w:type="gramStart"/>
      <w:r w:rsidR="00CF2645">
        <w:t>–</w:t>
      </w:r>
      <w:r w:rsidR="00AE0B59" w:rsidRPr="006F3AFF">
        <w:t>tukea</w:t>
      </w:r>
      <w:proofErr w:type="gramEnd"/>
      <w:r w:rsidR="00CF2645">
        <w:t xml:space="preserve"> (K</w:t>
      </w:r>
      <w:r w:rsidR="00CF2645" w:rsidRPr="00CF2645">
        <w:t>omission asetus 1407/2013</w:t>
      </w:r>
      <w:r w:rsidR="00CF2645">
        <w:t>)</w:t>
      </w:r>
      <w:r w:rsidR="00AE0B59" w:rsidRPr="006F3AFF">
        <w:t xml:space="preserve">. </w:t>
      </w:r>
      <w:r w:rsidRPr="00AE0B59">
        <w:t xml:space="preserve">Työvoimakoulutuksen yhteishankinnasta säädetään laissa julkisesta työvoima- ja yrityspalvelusta (916/2012, 5 luku 7 §). </w:t>
      </w:r>
    </w:p>
    <w:p w:rsidR="00833E2D" w:rsidRDefault="004C6481" w:rsidP="004C6481">
      <w:pPr>
        <w:jc w:val="both"/>
      </w:pPr>
      <w:proofErr w:type="spellStart"/>
      <w:r>
        <w:t>TäsmäKoulutuksen</w:t>
      </w:r>
      <w:proofErr w:type="spellEnd"/>
      <w:r w:rsidR="00833E2D">
        <w:t xml:space="preserve"> yhteiskunnallisena</w:t>
      </w:r>
      <w:r>
        <w:t xml:space="preserve"> tavoitteena on y</w:t>
      </w:r>
      <w:r w:rsidRPr="004C6481">
        <w:t>ritysten osaamisen kehittämistarpeisiin vastaaminen sekä työvoiman saatavuuden, työssä</w:t>
      </w:r>
      <w:r>
        <w:t xml:space="preserve"> </w:t>
      </w:r>
      <w:r w:rsidRPr="004C6481">
        <w:t>pysymisen ja tuottavuuden kehittymisen tukeminen</w:t>
      </w:r>
      <w:r>
        <w:t xml:space="preserve">. </w:t>
      </w:r>
      <w:r w:rsidRPr="004C6481">
        <w:t xml:space="preserve">Yritysten kannalta </w:t>
      </w:r>
      <w:r w:rsidR="00EC7913">
        <w:t xml:space="preserve">tavoitteena on, että </w:t>
      </w:r>
      <w:r w:rsidRPr="004C6481">
        <w:t>osaamisen kehittäminen kytketään osaksi yrityksen normaalia liiketoimintaa</w:t>
      </w:r>
      <w:r>
        <w:t xml:space="preserve">. </w:t>
      </w:r>
      <w:r w:rsidR="006F3AFF">
        <w:t xml:space="preserve">Mahdollistamalla yritysten ja muiden yhteisöjen osallistuminen työvoimakoulutuksen rahoitukseen on pyritty parantamaan edellytyksiä työmarkkinalähtöiseen ja yhteisvastuulliseen koulutuksen toteutukseen sekä samalla avaamaan mahdollisuuksia koulutuksen </w:t>
      </w:r>
      <w:r w:rsidR="00CF2645">
        <w:t xml:space="preserve">rahoituspohjan laajentamiseen. </w:t>
      </w:r>
    </w:p>
    <w:p w:rsidR="00833E2D" w:rsidRDefault="00833E2D" w:rsidP="00833E2D">
      <w:pPr>
        <w:jc w:val="both"/>
      </w:pPr>
      <w:r>
        <w:t xml:space="preserve">Yhteishankintakoulutuksen toteutetaan yhdessä </w:t>
      </w:r>
      <w:proofErr w:type="spellStart"/>
      <w:r>
        <w:t>TE-hallinnon</w:t>
      </w:r>
      <w:proofErr w:type="spellEnd"/>
      <w:r>
        <w:t xml:space="preserve"> ja yritysten suunnittelemana ja rahoittamana ja y</w:t>
      </w:r>
      <w:r w:rsidR="00B17AA5">
        <w:t xml:space="preserve">ritysten maksuosuus </w:t>
      </w:r>
      <w:proofErr w:type="spellStart"/>
      <w:r w:rsidR="00CF2645">
        <w:t>TäsmäKoulutuksessa</w:t>
      </w:r>
      <w:proofErr w:type="spellEnd"/>
      <w:r w:rsidR="00CF2645">
        <w:t xml:space="preserve"> </w:t>
      </w:r>
      <w:r w:rsidR="00B17AA5">
        <w:t xml:space="preserve">vaihtelee </w:t>
      </w:r>
      <w:proofErr w:type="gramStart"/>
      <w:r w:rsidR="00B17AA5">
        <w:t>30-50</w:t>
      </w:r>
      <w:proofErr w:type="gramEnd"/>
      <w:r w:rsidR="00B17AA5">
        <w:t>% riippuen yrityksen koosta (taulukko 1)</w:t>
      </w:r>
      <w:r>
        <w:t>. Maksuosuudet</w:t>
      </w:r>
      <w:r w:rsidR="004C6481">
        <w:t xml:space="preserve"> </w:t>
      </w:r>
      <w:r w:rsidR="00CF2645">
        <w:t>on määritelty</w:t>
      </w:r>
      <w:r>
        <w:t xml:space="preserve"> sopusointuun ryhmäpoikkeusasetuksen kanssa</w:t>
      </w:r>
      <w:r w:rsidR="00CF2645">
        <w:t xml:space="preserve">. </w:t>
      </w:r>
      <w:r w:rsidR="00B17AA5">
        <w:t>Koulutuksen hinta määräytyy kilpailutuksen perusteella.</w:t>
      </w:r>
    </w:p>
    <w:p w:rsidR="00B17AA5" w:rsidRPr="00B17AA5" w:rsidRDefault="00B17AA5" w:rsidP="00833E2D">
      <w:pPr>
        <w:ind w:firstLine="1304"/>
        <w:jc w:val="both"/>
        <w:rPr>
          <w:i/>
        </w:rPr>
      </w:pPr>
      <w:r w:rsidRPr="00B17AA5">
        <w:rPr>
          <w:i/>
        </w:rPr>
        <w:t xml:space="preserve">Taulukko 1. Yritysten maksuosuus </w:t>
      </w:r>
      <w:proofErr w:type="spellStart"/>
      <w:r w:rsidRPr="00B17AA5">
        <w:rPr>
          <w:i/>
        </w:rPr>
        <w:t>TäsmäKoulutuksessa</w:t>
      </w:r>
      <w:proofErr w:type="spellEnd"/>
      <w:r w:rsidRPr="00B17AA5">
        <w:rPr>
          <w:i/>
        </w:rPr>
        <w:t>.</w:t>
      </w:r>
    </w:p>
    <w:tbl>
      <w:tblPr>
        <w:tblStyle w:val="Vaaleavarjostus-korostus3"/>
        <w:tblW w:w="0" w:type="auto"/>
        <w:tblInd w:w="1384" w:type="dxa"/>
        <w:tblLook w:val="04A0" w:firstRow="1" w:lastRow="0" w:firstColumn="1" w:lastColumn="0" w:noHBand="0" w:noVBand="1"/>
      </w:tblPr>
      <w:tblGrid>
        <w:gridCol w:w="3936"/>
        <w:gridCol w:w="1385"/>
        <w:gridCol w:w="1418"/>
      </w:tblGrid>
      <w:tr w:rsidR="00B17AA5" w:rsidTr="00B17A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17AA5" w:rsidRDefault="00B17AA5" w:rsidP="00AE0B59">
            <w:pPr>
              <w:jc w:val="both"/>
            </w:pPr>
            <w:r>
              <w:t>Yrityskoko</w:t>
            </w:r>
          </w:p>
        </w:tc>
        <w:tc>
          <w:tcPr>
            <w:tcW w:w="1385" w:type="dxa"/>
          </w:tcPr>
          <w:p w:rsidR="00B17AA5" w:rsidRPr="00B17AA5" w:rsidRDefault="00B17AA5" w:rsidP="00AE0B59">
            <w:pPr>
              <w:jc w:val="both"/>
              <w:cnfStyle w:val="100000000000" w:firstRow="1" w:lastRow="0" w:firstColumn="0" w:lastColumn="0" w:oddVBand="0" w:evenVBand="0" w:oddHBand="0" w:evenHBand="0" w:firstRowFirstColumn="0" w:firstRowLastColumn="0" w:lastRowFirstColumn="0" w:lastRowLastColumn="0"/>
            </w:pPr>
            <w:r w:rsidRPr="00B17AA5">
              <w:t>Työnantajan maksuosuus</w:t>
            </w:r>
          </w:p>
        </w:tc>
        <w:tc>
          <w:tcPr>
            <w:tcW w:w="1418" w:type="dxa"/>
          </w:tcPr>
          <w:p w:rsidR="00B17AA5" w:rsidRPr="00B17AA5" w:rsidRDefault="00B17AA5" w:rsidP="00AE0B59">
            <w:pPr>
              <w:jc w:val="both"/>
              <w:cnfStyle w:val="100000000000" w:firstRow="1" w:lastRow="0" w:firstColumn="0" w:lastColumn="0" w:oddVBand="0" w:evenVBand="0" w:oddHBand="0" w:evenHBand="0" w:firstRowFirstColumn="0" w:firstRowLastColumn="0" w:lastRowFirstColumn="0" w:lastRowLastColumn="0"/>
            </w:pPr>
            <w:proofErr w:type="spellStart"/>
            <w:r w:rsidRPr="00B17AA5">
              <w:t>TE-hallinnon</w:t>
            </w:r>
            <w:proofErr w:type="spellEnd"/>
            <w:r w:rsidRPr="00B17AA5">
              <w:t xml:space="preserve"> maksuosuus</w:t>
            </w:r>
          </w:p>
        </w:tc>
      </w:tr>
      <w:tr w:rsidR="00B17AA5" w:rsidTr="00B1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17AA5" w:rsidRPr="00B17AA5" w:rsidRDefault="00B17AA5" w:rsidP="00B17AA5">
            <w:pPr>
              <w:spacing w:before="100" w:beforeAutospacing="1" w:after="100" w:afterAutospacing="1"/>
              <w:rPr>
                <w:rFonts w:eastAsia="Times New Roman" w:cs="Times New Roman"/>
                <w:b w:val="0"/>
                <w:color w:val="000000" w:themeColor="text1"/>
                <w:lang w:eastAsia="fi-FI"/>
              </w:rPr>
            </w:pPr>
            <w:r w:rsidRPr="006F3AFF">
              <w:rPr>
                <w:rFonts w:eastAsia="Times New Roman" w:cs="Arial"/>
                <w:b w:val="0"/>
                <w:color w:val="000000" w:themeColor="text1"/>
                <w:lang w:eastAsia="fi-FI"/>
              </w:rPr>
              <w:t>Pieni yritys/työnantaja (enintään 49 työntekijää ja vuosiliikevaihto tai taseen lop</w:t>
            </w:r>
            <w:r w:rsidRPr="00B17AA5">
              <w:rPr>
                <w:rFonts w:eastAsia="Times New Roman" w:cs="Arial"/>
                <w:b w:val="0"/>
                <w:color w:val="000000" w:themeColor="text1"/>
                <w:lang w:eastAsia="fi-FI"/>
              </w:rPr>
              <w:t>pusumma enintään 10 M€)</w:t>
            </w:r>
          </w:p>
        </w:tc>
        <w:tc>
          <w:tcPr>
            <w:tcW w:w="1385" w:type="dxa"/>
          </w:tcPr>
          <w:p w:rsidR="00B17AA5" w:rsidRPr="00B17AA5" w:rsidRDefault="00B17AA5" w:rsidP="00AE0B59">
            <w:pPr>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B17AA5">
              <w:rPr>
                <w:color w:val="000000" w:themeColor="text1"/>
              </w:rPr>
              <w:t>30%</w:t>
            </w:r>
            <w:proofErr w:type="gramEnd"/>
          </w:p>
        </w:tc>
        <w:tc>
          <w:tcPr>
            <w:tcW w:w="1418" w:type="dxa"/>
          </w:tcPr>
          <w:p w:rsidR="00B17AA5" w:rsidRPr="00B17AA5" w:rsidRDefault="00B17AA5" w:rsidP="00AE0B59">
            <w:pPr>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B17AA5">
              <w:rPr>
                <w:color w:val="000000" w:themeColor="text1"/>
              </w:rPr>
              <w:t>70%</w:t>
            </w:r>
            <w:proofErr w:type="gramEnd"/>
          </w:p>
        </w:tc>
      </w:tr>
      <w:tr w:rsidR="00B17AA5" w:rsidTr="00B17AA5">
        <w:tc>
          <w:tcPr>
            <w:cnfStyle w:val="001000000000" w:firstRow="0" w:lastRow="0" w:firstColumn="1" w:lastColumn="0" w:oddVBand="0" w:evenVBand="0" w:oddHBand="0" w:evenHBand="0" w:firstRowFirstColumn="0" w:firstRowLastColumn="0" w:lastRowFirstColumn="0" w:lastRowLastColumn="0"/>
            <w:tcW w:w="3936" w:type="dxa"/>
          </w:tcPr>
          <w:p w:rsidR="00B17AA5" w:rsidRPr="00B17AA5" w:rsidRDefault="00B17AA5" w:rsidP="00B17AA5">
            <w:pPr>
              <w:spacing w:before="100" w:beforeAutospacing="1" w:after="100" w:afterAutospacing="1"/>
              <w:rPr>
                <w:b w:val="0"/>
                <w:color w:val="000000" w:themeColor="text1"/>
              </w:rPr>
            </w:pPr>
            <w:r w:rsidRPr="006F3AFF">
              <w:rPr>
                <w:rFonts w:eastAsia="Times New Roman" w:cs="Arial"/>
                <w:b w:val="0"/>
                <w:color w:val="000000" w:themeColor="text1"/>
                <w:lang w:eastAsia="fi-FI"/>
              </w:rPr>
              <w:t>Keskisuuri yritys/työnantaja (</w:t>
            </w:r>
            <w:proofErr w:type="gramStart"/>
            <w:r w:rsidRPr="006F3AFF">
              <w:rPr>
                <w:rFonts w:eastAsia="Times New Roman" w:cs="Arial"/>
                <w:b w:val="0"/>
                <w:color w:val="000000" w:themeColor="text1"/>
                <w:lang w:eastAsia="fi-FI"/>
              </w:rPr>
              <w:t>50-249</w:t>
            </w:r>
            <w:proofErr w:type="gramEnd"/>
            <w:r w:rsidRPr="006F3AFF">
              <w:rPr>
                <w:rFonts w:eastAsia="Times New Roman" w:cs="Arial"/>
                <w:b w:val="0"/>
                <w:color w:val="000000" w:themeColor="text1"/>
                <w:lang w:eastAsia="fi-FI"/>
              </w:rPr>
              <w:t xml:space="preserve"> työntekijää ja vuosiliikevaihto enintään 50 M€ tai taseen loppusumma enintään 43 M€)</w:t>
            </w:r>
          </w:p>
        </w:tc>
        <w:tc>
          <w:tcPr>
            <w:tcW w:w="1385" w:type="dxa"/>
          </w:tcPr>
          <w:p w:rsidR="00B17AA5" w:rsidRPr="00B17AA5" w:rsidRDefault="00B17AA5" w:rsidP="00AE0B59">
            <w:pPr>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B17AA5">
              <w:rPr>
                <w:color w:val="000000" w:themeColor="text1"/>
              </w:rPr>
              <w:t>40%</w:t>
            </w:r>
            <w:proofErr w:type="gramEnd"/>
          </w:p>
        </w:tc>
        <w:tc>
          <w:tcPr>
            <w:tcW w:w="1418" w:type="dxa"/>
          </w:tcPr>
          <w:p w:rsidR="00B17AA5" w:rsidRPr="00B17AA5" w:rsidRDefault="00B17AA5" w:rsidP="00AE0B59">
            <w:pPr>
              <w:jc w:val="both"/>
              <w:cnfStyle w:val="000000000000" w:firstRow="0" w:lastRow="0" w:firstColumn="0" w:lastColumn="0" w:oddVBand="0" w:evenVBand="0" w:oddHBand="0" w:evenHBand="0" w:firstRowFirstColumn="0" w:firstRowLastColumn="0" w:lastRowFirstColumn="0" w:lastRowLastColumn="0"/>
              <w:rPr>
                <w:color w:val="000000" w:themeColor="text1"/>
              </w:rPr>
            </w:pPr>
            <w:proofErr w:type="gramStart"/>
            <w:r w:rsidRPr="00B17AA5">
              <w:rPr>
                <w:color w:val="000000" w:themeColor="text1"/>
              </w:rPr>
              <w:t>60%</w:t>
            </w:r>
            <w:proofErr w:type="gramEnd"/>
          </w:p>
        </w:tc>
      </w:tr>
      <w:tr w:rsidR="00B17AA5" w:rsidTr="00B17A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rsidR="00B17AA5" w:rsidRPr="00B17AA5" w:rsidRDefault="00B17AA5" w:rsidP="00B17AA5">
            <w:pPr>
              <w:spacing w:before="100" w:beforeAutospacing="1" w:after="100" w:afterAutospacing="1"/>
              <w:rPr>
                <w:rFonts w:eastAsia="Times New Roman" w:cs="Times New Roman"/>
                <w:b w:val="0"/>
                <w:color w:val="000000" w:themeColor="text1"/>
                <w:lang w:eastAsia="fi-FI"/>
              </w:rPr>
            </w:pPr>
            <w:r w:rsidRPr="006F3AFF">
              <w:rPr>
                <w:rFonts w:eastAsia="Times New Roman" w:cs="Arial"/>
                <w:b w:val="0"/>
                <w:color w:val="000000" w:themeColor="text1"/>
                <w:lang w:eastAsia="fi-FI"/>
              </w:rPr>
              <w:t>Suuri yritys/työnantaja (vähintään 250 työntekijää vuosiliikevaihto yli 50 M€ tai taseen loppusumma yli 43 M€)</w:t>
            </w:r>
          </w:p>
        </w:tc>
        <w:tc>
          <w:tcPr>
            <w:tcW w:w="1385" w:type="dxa"/>
          </w:tcPr>
          <w:p w:rsidR="00B17AA5" w:rsidRPr="00B17AA5" w:rsidRDefault="00B17AA5" w:rsidP="00AE0B59">
            <w:pPr>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B17AA5">
              <w:rPr>
                <w:color w:val="000000" w:themeColor="text1"/>
              </w:rPr>
              <w:t>50%</w:t>
            </w:r>
            <w:proofErr w:type="gramEnd"/>
          </w:p>
        </w:tc>
        <w:tc>
          <w:tcPr>
            <w:tcW w:w="1418" w:type="dxa"/>
          </w:tcPr>
          <w:p w:rsidR="00B17AA5" w:rsidRPr="00B17AA5" w:rsidRDefault="00B17AA5" w:rsidP="00AE0B59">
            <w:pPr>
              <w:jc w:val="both"/>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sidRPr="00B17AA5">
              <w:rPr>
                <w:color w:val="000000" w:themeColor="text1"/>
              </w:rPr>
              <w:t>50%</w:t>
            </w:r>
            <w:proofErr w:type="gramEnd"/>
          </w:p>
        </w:tc>
      </w:tr>
    </w:tbl>
    <w:p w:rsidR="00EC7913" w:rsidRDefault="00EC7913" w:rsidP="00EC7913">
      <w:pPr>
        <w:jc w:val="both"/>
      </w:pPr>
      <w:proofErr w:type="spellStart"/>
      <w:r w:rsidRPr="00AE0B59">
        <w:t>TE-hallinto</w:t>
      </w:r>
      <w:proofErr w:type="spellEnd"/>
      <w:r w:rsidRPr="00AE0B59">
        <w:t xml:space="preserve"> ei voi osallistua </w:t>
      </w:r>
      <w:proofErr w:type="spellStart"/>
      <w:r w:rsidRPr="00AE0B59">
        <w:t>TäsmäKoulutuksen</w:t>
      </w:r>
      <w:proofErr w:type="spellEnd"/>
      <w:r w:rsidRPr="00AE0B59">
        <w:t xml:space="preserve"> yhteishankintaan, jos siihen osallistuu yritys, jolle on asetettu sellaiseen komission aikaisempaan päätökseen perustuva maksamaton perintämääräys, jossa tuki on julistettu sääntöjenvastaiseksi ja sisämarkkinoille soveltumattomaksi. Koulutuksen hankinta ei myöskään ole mahdollista vaikeuksissa olevien yritysten kanssa. (Komission asetus (EU) n:o 651/2014, 1. artikla, 4 a ja 4 c </w:t>
      </w:r>
      <w:proofErr w:type="gramStart"/>
      <w:r w:rsidRPr="00AE0B59">
        <w:t>kohdat;  annettu</w:t>
      </w:r>
      <w:proofErr w:type="gramEnd"/>
      <w:r w:rsidRPr="00AE0B59">
        <w:t xml:space="preserve"> 17 päivänä kesäkuuta 2014).</w:t>
      </w:r>
    </w:p>
    <w:p w:rsidR="00207ADB" w:rsidRPr="006F3AFF" w:rsidRDefault="00AE0B59" w:rsidP="00833E2D">
      <w:pPr>
        <w:spacing w:after="0"/>
        <w:rPr>
          <w:b/>
        </w:rPr>
      </w:pPr>
      <w:proofErr w:type="spellStart"/>
      <w:r>
        <w:rPr>
          <w:b/>
        </w:rPr>
        <w:t>TäsmäKoulutuksen</w:t>
      </w:r>
      <w:proofErr w:type="spellEnd"/>
      <w:r>
        <w:rPr>
          <w:b/>
        </w:rPr>
        <w:t xml:space="preserve"> käyttö</w:t>
      </w:r>
      <w:r w:rsidR="00CF2645">
        <w:rPr>
          <w:b/>
        </w:rPr>
        <w:t>tilanteet</w:t>
      </w:r>
    </w:p>
    <w:p w:rsidR="004C6481" w:rsidRPr="004C6481" w:rsidRDefault="004C6481" w:rsidP="004C6481">
      <w:pPr>
        <w:jc w:val="both"/>
      </w:pPr>
      <w:proofErr w:type="spellStart"/>
      <w:r>
        <w:t>TäsmäKoulutusta</w:t>
      </w:r>
      <w:proofErr w:type="spellEnd"/>
      <w:r>
        <w:t xml:space="preserve"> käytetään t</w:t>
      </w:r>
      <w:r w:rsidRPr="004C6481">
        <w:t>ilanteisiin, joissa yrityksessä tapahtuu muutoksia, jotka edellyttävät yrittäjän ja nykyisten työntekijöiden osaamisen perusteellisempaa päivittämistä</w:t>
      </w:r>
      <w:r>
        <w:t xml:space="preserve">. </w:t>
      </w:r>
      <w:r w:rsidRPr="004C6481">
        <w:t>Muutokset voivat olla joko teknologisia tai toiminnallisia</w:t>
      </w:r>
      <w:r>
        <w:t xml:space="preserve">. </w:t>
      </w:r>
      <w:r w:rsidRPr="004C6481">
        <w:t>Koulutusta voidaan toteuttaa myös määräaikaisten lomautusten aikana tai niiden asemesta</w:t>
      </w:r>
      <w:r>
        <w:t xml:space="preserve">. </w:t>
      </w:r>
      <w:r w:rsidR="00086838">
        <w:t xml:space="preserve">Koulutuksen tavoitteena on saavuttaa työntekijöille riittävä ammattitaito </w:t>
      </w:r>
      <w:r w:rsidR="00086838">
        <w:lastRenderedPageBreak/>
        <w:t xml:space="preserve">muutostilanteessa. Tavoitteena voi olla myös </w:t>
      </w:r>
      <w:r w:rsidR="00086838" w:rsidRPr="00086838">
        <w:t>ikääntyvän henkilöstön työurien pidentäminen ja työntekijöiden monialaisen osaamisen edistäminen</w:t>
      </w:r>
      <w:r w:rsidR="00086838">
        <w:t xml:space="preserve"> sekä lomautusten tai irtisanomisten välttäminen.</w:t>
      </w:r>
    </w:p>
    <w:p w:rsidR="004C6481" w:rsidRDefault="004C6481" w:rsidP="004C6481">
      <w:pPr>
        <w:jc w:val="both"/>
      </w:pPr>
      <w:r>
        <w:t>Koulutuksen sisältö suunnitellaan</w:t>
      </w:r>
      <w:r w:rsidRPr="004C6481">
        <w:t xml:space="preserve"> </w:t>
      </w:r>
      <w:r>
        <w:t>työnantajan tarpeita vastaavaksi</w:t>
      </w:r>
      <w:r w:rsidRPr="004C6481">
        <w:t xml:space="preserve"> ja </w:t>
      </w:r>
      <w:r>
        <w:t xml:space="preserve">se on </w:t>
      </w:r>
      <w:r w:rsidRPr="004C6481">
        <w:t xml:space="preserve">työelämälähtöistä ammatillista koulutusta. Koulutukseen sisältyy tietopuolista opetusta sekä tarpeen mukaan ohjattua </w:t>
      </w:r>
      <w:proofErr w:type="spellStart"/>
      <w:r w:rsidRPr="004C6481">
        <w:t>työssäoppimista</w:t>
      </w:r>
      <w:proofErr w:type="spellEnd"/>
      <w:r w:rsidRPr="004C6481">
        <w:t xml:space="preserve">. </w:t>
      </w:r>
      <w:bookmarkStart w:id="0" w:name="_GoBack"/>
      <w:bookmarkEnd w:id="0"/>
      <w:proofErr w:type="spellStart"/>
      <w:r>
        <w:t>TäsmäKoulutuksena</w:t>
      </w:r>
      <w:proofErr w:type="spellEnd"/>
      <w:r>
        <w:t xml:space="preserve"> ei voida hankkia työnantajan kustannettavaksi kuuluvaa henkilöstökoulutusta. Esimerkiksi uuden työkäytännön tai laitteen perehdytyskustannukset kuuluvat työnantajan itsensä maksettavaksi (Työsopimuslaki 55/2001 7 luku 4 §). Työnantajan vastuulla olevaksi henkilöstökoulutukseksi katsotaan myös koulutus, jota yritykset järjestävät noudattaakseen velvoittavia kansallisia koulutusnormeja (Komission asetus (EU) n:o 651/2014, 31 artikla, 2 kohta; annettu 17 päivänä kesäkuuta 2014). Esimerkki tällaisesta on olemassa olevalle henkilöstölle erillisinä järjestetyt lakisääteiset </w:t>
      </w:r>
      <w:proofErr w:type="spellStart"/>
      <w:r>
        <w:t>pätevöitymis-tai</w:t>
      </w:r>
      <w:proofErr w:type="spellEnd"/>
      <w:r>
        <w:t xml:space="preserve"> sertifikaattikoulutukset, kuten esimerkiksi kuljettajadirektiivin mukainen lisäkoulutus.  </w:t>
      </w:r>
    </w:p>
    <w:p w:rsidR="00207ADB" w:rsidRDefault="00086838" w:rsidP="00AE0B59">
      <w:pPr>
        <w:jc w:val="both"/>
      </w:pPr>
      <w:proofErr w:type="spellStart"/>
      <w:r>
        <w:t>TäsmäKoulutuksen</w:t>
      </w:r>
      <w:proofErr w:type="spellEnd"/>
      <w:r>
        <w:t xml:space="preserve"> käyttö </w:t>
      </w:r>
      <w:r w:rsidR="00AE0B59">
        <w:t>perustuu</w:t>
      </w:r>
      <w:r w:rsidR="00207ADB">
        <w:t xml:space="preserve"> yritysten tarpeisiin ja vaihtelee vuosittain. </w:t>
      </w:r>
      <w:proofErr w:type="spellStart"/>
      <w:r w:rsidR="00EC7913">
        <w:t>TE-hallinto</w:t>
      </w:r>
      <w:proofErr w:type="spellEnd"/>
      <w:r w:rsidR="00EC7913">
        <w:t xml:space="preserve"> määrärahasidonnat olivat vuonna 2015 3,8 miljoonaa euroa ja vuonna 2016</w:t>
      </w:r>
      <w:r w:rsidR="00207ADB">
        <w:t xml:space="preserve"> </w:t>
      </w:r>
      <w:r w:rsidR="00EC7913">
        <w:t xml:space="preserve">2,6 miljoonaa euroa. Arvio vuoden 2017 osalta on 2,7 miljoonaa euroa. </w:t>
      </w:r>
      <w:proofErr w:type="spellStart"/>
      <w:r w:rsidR="00207ADB">
        <w:t>TE-hallinnon</w:t>
      </w:r>
      <w:proofErr w:type="spellEnd"/>
      <w:r w:rsidR="00207ADB">
        <w:t xml:space="preserve"> tietojärjestelmään </w:t>
      </w:r>
      <w:r w:rsidR="00207ADB" w:rsidRPr="00FD48A5">
        <w:t>ei tallenneta tietoja siitä</w:t>
      </w:r>
      <w:r w:rsidR="00AE0B59">
        <w:t>,</w:t>
      </w:r>
      <w:r w:rsidR="00207ADB" w:rsidRPr="00FD48A5">
        <w:t xml:space="preserve"> kuinka moni yritys osallistuu yhteishankintoihin</w:t>
      </w:r>
      <w:r w:rsidR="00AE0B59">
        <w:t xml:space="preserve">, eikä opiskelijamäärää </w:t>
      </w:r>
      <w:proofErr w:type="spellStart"/>
      <w:r w:rsidR="00AE0B59">
        <w:t>TäsmäKoulutukseen</w:t>
      </w:r>
      <w:proofErr w:type="spellEnd"/>
      <w:r w:rsidR="00AE0B59">
        <w:t xml:space="preserve"> </w:t>
      </w:r>
      <w:r w:rsidR="00207ADB" w:rsidRPr="00FD48A5">
        <w:t xml:space="preserve">saada </w:t>
      </w:r>
      <w:r w:rsidR="00AE0B59">
        <w:t>eroteltua muusta työvoimakoulutuksesta</w:t>
      </w:r>
      <w:r w:rsidR="00207ADB">
        <w:t xml:space="preserve">. </w:t>
      </w:r>
    </w:p>
    <w:p w:rsidR="00CF2645" w:rsidRDefault="00CF2645" w:rsidP="00CF2645">
      <w:pPr>
        <w:jc w:val="both"/>
        <w:rPr>
          <w:b/>
        </w:rPr>
      </w:pPr>
      <w:r>
        <w:t>Vertailu kansainvälisesti on vaikeaa, koska kaikista maista ei ole saatavilla vertailukelpoisia tilastotietoja ja tukiohjelmat voivat olla hyvinkin vaihtelevia. Osalla EU maista on tai on ollut tiedettävästi käytössään yhteishankintaan verrattavia tukiohjelmia.</w:t>
      </w:r>
    </w:p>
    <w:p w:rsidR="00086838" w:rsidRPr="006F3AFF" w:rsidRDefault="00086838" w:rsidP="00833E2D">
      <w:pPr>
        <w:spacing w:after="0"/>
        <w:rPr>
          <w:b/>
        </w:rPr>
      </w:pPr>
      <w:r>
        <w:rPr>
          <w:b/>
        </w:rPr>
        <w:t xml:space="preserve">Muut osaamisen kehittämisen palvelut yrityksille </w:t>
      </w:r>
    </w:p>
    <w:p w:rsidR="00643CEE" w:rsidRDefault="00EC7913" w:rsidP="00EC7913">
      <w:pPr>
        <w:jc w:val="both"/>
      </w:pPr>
      <w:r>
        <w:t xml:space="preserve">Työvoimakoulutus tarjoaa yrityksille hyvän väylän rekrytoida uutta osaavaa työvoimaa. </w:t>
      </w:r>
      <w:r w:rsidR="001A0305">
        <w:t>Työvoimakoulutuksia toteutetaan ympäri vuoden alueellisten tarpeiden pohjalta</w:t>
      </w:r>
      <w:r>
        <w:t xml:space="preserve">. </w:t>
      </w:r>
      <w:r w:rsidR="001A0305">
        <w:t xml:space="preserve">Koulutusohjelmissa korostuvat erilaiset rekrytoivat koulutusohjelmat (mm. </w:t>
      </w:r>
      <w:proofErr w:type="spellStart"/>
      <w:r w:rsidR="001A0305">
        <w:t>Further</w:t>
      </w:r>
      <w:proofErr w:type="spellEnd"/>
      <w:r w:rsidR="001A0305">
        <w:t xml:space="preserve"> </w:t>
      </w:r>
      <w:proofErr w:type="spellStart"/>
      <w:r w:rsidR="001A0305">
        <w:t>Educated</w:t>
      </w:r>
      <w:proofErr w:type="spellEnd"/>
      <w:r w:rsidR="001A0305">
        <w:t xml:space="preserve"> With </w:t>
      </w:r>
      <w:proofErr w:type="spellStart"/>
      <w:r w:rsidR="001A0305">
        <w:t>Companies</w:t>
      </w:r>
      <w:proofErr w:type="spellEnd"/>
      <w:r w:rsidR="001A0305">
        <w:t xml:space="preserve"> </w:t>
      </w:r>
      <w:proofErr w:type="gramStart"/>
      <w:r w:rsidR="001A0305">
        <w:t>–ohjelmat</w:t>
      </w:r>
      <w:proofErr w:type="gramEnd"/>
      <w:r w:rsidR="00833E2D">
        <w:t xml:space="preserve">, yhteishankintana toteutettava </w:t>
      </w:r>
      <w:proofErr w:type="spellStart"/>
      <w:r w:rsidR="00833E2D">
        <w:t>RekryKoulutus</w:t>
      </w:r>
      <w:proofErr w:type="spellEnd"/>
      <w:r w:rsidR="001A0305">
        <w:t>), rakennemuutostilanteisiin vastaaminen sekä innovatiiviset uuden osaamisen ohjelmat. Lisäksi työvoimakoulutuksena toteutetaan ammatillisia kotoutumiskoulutuksia maahanmuuttajille sekä yrittäjyyskoulutusta.</w:t>
      </w:r>
    </w:p>
    <w:p w:rsidR="00FD48A5" w:rsidRPr="006F3AFF" w:rsidRDefault="006F3AFF" w:rsidP="00833E2D">
      <w:pPr>
        <w:spacing w:after="0"/>
        <w:rPr>
          <w:b/>
        </w:rPr>
      </w:pPr>
      <w:proofErr w:type="gramStart"/>
      <w:r w:rsidRPr="006F3AFF">
        <w:rPr>
          <w:b/>
        </w:rPr>
        <w:t>Tehdyt selvitykset</w:t>
      </w:r>
      <w:proofErr w:type="gramEnd"/>
    </w:p>
    <w:p w:rsidR="00FD48A5" w:rsidRDefault="00EC7913" w:rsidP="00CF2645">
      <w:pPr>
        <w:jc w:val="both"/>
      </w:pPr>
      <w:r>
        <w:t>TK-EVAL teki y</w:t>
      </w:r>
      <w:r w:rsidR="00FD48A5">
        <w:t xml:space="preserve">hteishankinnasta </w:t>
      </w:r>
      <w:r>
        <w:t>selvityksen</w:t>
      </w:r>
      <w:r w:rsidR="00FD48A5">
        <w:t xml:space="preserve"> vuonna 2012. Yksi keskeisimmistä ja toistuvimmista havainnoista selvityksessä oli se, että asiakaslähtöisyys näyttää toteutuvan yhteishankintakoulutuksessa hyvin.</w:t>
      </w:r>
      <w:r w:rsidR="00FD48A5" w:rsidRPr="00FD48A5">
        <w:t xml:space="preserve"> </w:t>
      </w:r>
      <w:r w:rsidR="00FD48A5">
        <w:t>Lisäksi merkittäviä tekijöitä yhteishankinnan hyvässä asiakastyytyväisyydessä ovat olleet toimiminen riittävän joustavasti ja nopeasti. Selvityksestä nousee kuitenkin esille se, että yhteishankintakoulutuksesta ja sen mahdollisuuksista tiedotetaan tai sitä markkinoidaan toimijoiden mielestä liian vähän.</w:t>
      </w:r>
    </w:p>
    <w:p w:rsidR="00086838" w:rsidRPr="006F3AFF" w:rsidRDefault="00086838" w:rsidP="00833E2D">
      <w:pPr>
        <w:spacing w:after="0"/>
        <w:rPr>
          <w:b/>
        </w:rPr>
      </w:pPr>
      <w:r>
        <w:rPr>
          <w:b/>
        </w:rPr>
        <w:t>Tulossa olevat muutokset</w:t>
      </w:r>
    </w:p>
    <w:p w:rsidR="00207ADB" w:rsidRDefault="00086838" w:rsidP="00EC7913">
      <w:pPr>
        <w:jc w:val="both"/>
      </w:pPr>
      <w:r>
        <w:t xml:space="preserve">Osana ammatillisen koulutuksen reformia tutkintotavoitteinen työvoimakoulutus siirtyy </w:t>
      </w:r>
      <w:proofErr w:type="spellStart"/>
      <w:r>
        <w:t>OKM:n</w:t>
      </w:r>
      <w:proofErr w:type="spellEnd"/>
      <w:r>
        <w:t xml:space="preserve"> hallinnonalalle. 1.1.2018 alkaen </w:t>
      </w:r>
      <w:proofErr w:type="spellStart"/>
      <w:r>
        <w:t>TäsmäKoulutuksissa</w:t>
      </w:r>
      <w:proofErr w:type="spellEnd"/>
      <w:r>
        <w:t xml:space="preserve"> ei voida toteuttaa tutkintotavoitteisia koulutuksia</w:t>
      </w:r>
      <w:r w:rsidR="001A0305">
        <w:t>, mutta sen sijaan siellä painottuvat erilaiset ammatilliset lisä- ja täydennyskoulutukset</w:t>
      </w:r>
      <w:r>
        <w:t>. Maakuntauudistuksen yhteydessä osaamisen kehittämispalvelut</w:t>
      </w:r>
      <w:proofErr w:type="gramStart"/>
      <w:r>
        <w:t xml:space="preserve"> (ml.</w:t>
      </w:r>
      <w:proofErr w:type="gramEnd"/>
      <w:r>
        <w:t xml:space="preserve"> </w:t>
      </w:r>
      <w:proofErr w:type="spellStart"/>
      <w:r>
        <w:t>TäsmäKoulutus</w:t>
      </w:r>
      <w:proofErr w:type="spellEnd"/>
      <w:r>
        <w:t xml:space="preserve">) siirtyvät </w:t>
      </w:r>
      <w:r w:rsidR="001A0305">
        <w:t xml:space="preserve">osaksi kasvupalveluvalikoimaa ja </w:t>
      </w:r>
      <w:r>
        <w:t>m</w:t>
      </w:r>
      <w:r w:rsidR="001A0305">
        <w:t>aakuntien järjestämisvastuulle.</w:t>
      </w:r>
    </w:p>
    <w:sectPr w:rsidR="00207ADB" w:rsidSect="00A03D3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35B8"/>
    <w:multiLevelType w:val="hybridMultilevel"/>
    <w:tmpl w:val="2A2404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FD48A5"/>
    <w:rsid w:val="00046050"/>
    <w:rsid w:val="00086838"/>
    <w:rsid w:val="001A0305"/>
    <w:rsid w:val="00207ADB"/>
    <w:rsid w:val="002C22E8"/>
    <w:rsid w:val="00326F40"/>
    <w:rsid w:val="003D0CB0"/>
    <w:rsid w:val="003F552F"/>
    <w:rsid w:val="00441A7F"/>
    <w:rsid w:val="004C6481"/>
    <w:rsid w:val="005351ED"/>
    <w:rsid w:val="00643CEE"/>
    <w:rsid w:val="006F3AFF"/>
    <w:rsid w:val="006F4306"/>
    <w:rsid w:val="00833E2D"/>
    <w:rsid w:val="00927831"/>
    <w:rsid w:val="00937FFC"/>
    <w:rsid w:val="0094304A"/>
    <w:rsid w:val="00981078"/>
    <w:rsid w:val="00A03D35"/>
    <w:rsid w:val="00A3298B"/>
    <w:rsid w:val="00AE0B59"/>
    <w:rsid w:val="00B17AA5"/>
    <w:rsid w:val="00B42C9D"/>
    <w:rsid w:val="00B65FD0"/>
    <w:rsid w:val="00C903A5"/>
    <w:rsid w:val="00CF2645"/>
    <w:rsid w:val="00DA5E50"/>
    <w:rsid w:val="00E0126C"/>
    <w:rsid w:val="00EC7913"/>
    <w:rsid w:val="00FD4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03D35"/>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F3AFF"/>
    <w:pPr>
      <w:ind w:left="720"/>
      <w:contextualSpacing/>
    </w:pPr>
  </w:style>
  <w:style w:type="paragraph" w:styleId="NormaaliWWW">
    <w:name w:val="Normal (Web)"/>
    <w:basedOn w:val="Normaali"/>
    <w:uiPriority w:val="99"/>
    <w:unhideWhenUsed/>
    <w:rsid w:val="006F3AFF"/>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Seliteteksti">
    <w:name w:val="Balloon Text"/>
    <w:basedOn w:val="Normaali"/>
    <w:link w:val="SelitetekstiChar"/>
    <w:uiPriority w:val="99"/>
    <w:semiHidden/>
    <w:unhideWhenUsed/>
    <w:rsid w:val="00AE0B59"/>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E0B59"/>
    <w:rPr>
      <w:rFonts w:ascii="Tahoma" w:hAnsi="Tahoma" w:cs="Tahoma"/>
      <w:sz w:val="16"/>
      <w:szCs w:val="16"/>
    </w:rPr>
  </w:style>
  <w:style w:type="table" w:styleId="TaulukkoRuudukko">
    <w:name w:val="Table Grid"/>
    <w:basedOn w:val="Normaalitaulukko"/>
    <w:uiPriority w:val="59"/>
    <w:rsid w:val="00B17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aaleavarjostus-korostus3">
    <w:name w:val="Light Shading Accent 3"/>
    <w:basedOn w:val="Normaalitaulukko"/>
    <w:uiPriority w:val="60"/>
    <w:rsid w:val="00B17AA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86417">
      <w:bodyDiv w:val="1"/>
      <w:marLeft w:val="0"/>
      <w:marRight w:val="0"/>
      <w:marTop w:val="0"/>
      <w:marBottom w:val="0"/>
      <w:divBdr>
        <w:top w:val="none" w:sz="0" w:space="0" w:color="auto"/>
        <w:left w:val="none" w:sz="0" w:space="0" w:color="auto"/>
        <w:bottom w:val="none" w:sz="0" w:space="0" w:color="auto"/>
        <w:right w:val="none" w:sz="0" w:space="0" w:color="auto"/>
      </w:divBdr>
      <w:divsChild>
        <w:div w:id="1907833857">
          <w:marLeft w:val="274"/>
          <w:marRight w:val="0"/>
          <w:marTop w:val="150"/>
          <w:marBottom w:val="0"/>
          <w:divBdr>
            <w:top w:val="none" w:sz="0" w:space="0" w:color="auto"/>
            <w:left w:val="none" w:sz="0" w:space="0" w:color="auto"/>
            <w:bottom w:val="none" w:sz="0" w:space="0" w:color="auto"/>
            <w:right w:val="none" w:sz="0" w:space="0" w:color="auto"/>
          </w:divBdr>
        </w:div>
        <w:div w:id="434329233">
          <w:marLeft w:val="274"/>
          <w:marRight w:val="0"/>
          <w:marTop w:val="150"/>
          <w:marBottom w:val="0"/>
          <w:divBdr>
            <w:top w:val="none" w:sz="0" w:space="0" w:color="auto"/>
            <w:left w:val="none" w:sz="0" w:space="0" w:color="auto"/>
            <w:bottom w:val="none" w:sz="0" w:space="0" w:color="auto"/>
            <w:right w:val="none" w:sz="0" w:space="0" w:color="auto"/>
          </w:divBdr>
        </w:div>
      </w:divsChild>
    </w:div>
    <w:div w:id="212009471">
      <w:bodyDiv w:val="1"/>
      <w:marLeft w:val="0"/>
      <w:marRight w:val="0"/>
      <w:marTop w:val="0"/>
      <w:marBottom w:val="0"/>
      <w:divBdr>
        <w:top w:val="none" w:sz="0" w:space="0" w:color="auto"/>
        <w:left w:val="none" w:sz="0" w:space="0" w:color="auto"/>
        <w:bottom w:val="none" w:sz="0" w:space="0" w:color="auto"/>
        <w:right w:val="none" w:sz="0" w:space="0" w:color="auto"/>
      </w:divBdr>
    </w:div>
    <w:div w:id="921793142">
      <w:bodyDiv w:val="1"/>
      <w:marLeft w:val="0"/>
      <w:marRight w:val="0"/>
      <w:marTop w:val="0"/>
      <w:marBottom w:val="0"/>
      <w:divBdr>
        <w:top w:val="none" w:sz="0" w:space="0" w:color="auto"/>
        <w:left w:val="none" w:sz="0" w:space="0" w:color="auto"/>
        <w:bottom w:val="none" w:sz="0" w:space="0" w:color="auto"/>
        <w:right w:val="none" w:sz="0" w:space="0" w:color="auto"/>
      </w:divBdr>
      <w:divsChild>
        <w:div w:id="1412922001">
          <w:marLeft w:val="274"/>
          <w:marRight w:val="0"/>
          <w:marTop w:val="150"/>
          <w:marBottom w:val="0"/>
          <w:divBdr>
            <w:top w:val="none" w:sz="0" w:space="0" w:color="auto"/>
            <w:left w:val="none" w:sz="0" w:space="0" w:color="auto"/>
            <w:bottom w:val="none" w:sz="0" w:space="0" w:color="auto"/>
            <w:right w:val="none" w:sz="0" w:space="0" w:color="auto"/>
          </w:divBdr>
        </w:div>
        <w:div w:id="1488127154">
          <w:marLeft w:val="274"/>
          <w:marRight w:val="0"/>
          <w:marTop w:val="150"/>
          <w:marBottom w:val="0"/>
          <w:divBdr>
            <w:top w:val="none" w:sz="0" w:space="0" w:color="auto"/>
            <w:left w:val="none" w:sz="0" w:space="0" w:color="auto"/>
            <w:bottom w:val="none" w:sz="0" w:space="0" w:color="auto"/>
            <w:right w:val="none" w:sz="0" w:space="0" w:color="auto"/>
          </w:divBdr>
        </w:div>
      </w:divsChild>
    </w:div>
    <w:div w:id="1033338086">
      <w:bodyDiv w:val="1"/>
      <w:marLeft w:val="0"/>
      <w:marRight w:val="0"/>
      <w:marTop w:val="0"/>
      <w:marBottom w:val="0"/>
      <w:divBdr>
        <w:top w:val="none" w:sz="0" w:space="0" w:color="auto"/>
        <w:left w:val="none" w:sz="0" w:space="0" w:color="auto"/>
        <w:bottom w:val="none" w:sz="0" w:space="0" w:color="auto"/>
        <w:right w:val="none" w:sz="0" w:space="0" w:color="auto"/>
      </w:divBdr>
    </w:div>
    <w:div w:id="1061442930">
      <w:bodyDiv w:val="1"/>
      <w:marLeft w:val="0"/>
      <w:marRight w:val="0"/>
      <w:marTop w:val="0"/>
      <w:marBottom w:val="0"/>
      <w:divBdr>
        <w:top w:val="none" w:sz="0" w:space="0" w:color="auto"/>
        <w:left w:val="none" w:sz="0" w:space="0" w:color="auto"/>
        <w:bottom w:val="none" w:sz="0" w:space="0" w:color="auto"/>
        <w:right w:val="none" w:sz="0" w:space="0" w:color="auto"/>
      </w:divBdr>
    </w:div>
    <w:div w:id="1448502731">
      <w:bodyDiv w:val="1"/>
      <w:marLeft w:val="0"/>
      <w:marRight w:val="0"/>
      <w:marTop w:val="0"/>
      <w:marBottom w:val="0"/>
      <w:divBdr>
        <w:top w:val="none" w:sz="0" w:space="0" w:color="auto"/>
        <w:left w:val="none" w:sz="0" w:space="0" w:color="auto"/>
        <w:bottom w:val="none" w:sz="0" w:space="0" w:color="auto"/>
        <w:right w:val="none" w:sz="0" w:space="0" w:color="auto"/>
      </w:divBdr>
    </w:div>
    <w:div w:id="1581401904">
      <w:bodyDiv w:val="1"/>
      <w:marLeft w:val="0"/>
      <w:marRight w:val="0"/>
      <w:marTop w:val="0"/>
      <w:marBottom w:val="0"/>
      <w:divBdr>
        <w:top w:val="none" w:sz="0" w:space="0" w:color="auto"/>
        <w:left w:val="none" w:sz="0" w:space="0" w:color="auto"/>
        <w:bottom w:val="none" w:sz="0" w:space="0" w:color="auto"/>
        <w:right w:val="none" w:sz="0" w:space="0" w:color="auto"/>
      </w:divBdr>
      <w:divsChild>
        <w:div w:id="608397040">
          <w:marLeft w:val="274"/>
          <w:marRight w:val="0"/>
          <w:marTop w:val="150"/>
          <w:marBottom w:val="0"/>
          <w:divBdr>
            <w:top w:val="none" w:sz="0" w:space="0" w:color="auto"/>
            <w:left w:val="none" w:sz="0" w:space="0" w:color="auto"/>
            <w:bottom w:val="none" w:sz="0" w:space="0" w:color="auto"/>
            <w:right w:val="none" w:sz="0" w:space="0" w:color="auto"/>
          </w:divBdr>
        </w:div>
        <w:div w:id="164053063">
          <w:marLeft w:val="274"/>
          <w:marRight w:val="0"/>
          <w:marTop w:val="150"/>
          <w:marBottom w:val="0"/>
          <w:divBdr>
            <w:top w:val="none" w:sz="0" w:space="0" w:color="auto"/>
            <w:left w:val="none" w:sz="0" w:space="0" w:color="auto"/>
            <w:bottom w:val="none" w:sz="0" w:space="0" w:color="auto"/>
            <w:right w:val="none" w:sz="0" w:space="0" w:color="auto"/>
          </w:divBdr>
        </w:div>
        <w:div w:id="802768620">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5580</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6256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 Tiina TEM</dc:creator>
  <cp:lastModifiedBy>Polo Tiina TEM</cp:lastModifiedBy>
  <cp:revision>2</cp:revision>
  <dcterms:created xsi:type="dcterms:W3CDTF">2017-11-03T14:40:00Z</dcterms:created>
  <dcterms:modified xsi:type="dcterms:W3CDTF">2017-11-03T14:40:00Z</dcterms:modified>
</cp:coreProperties>
</file>