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CD" w:rsidRPr="00540A9C" w:rsidRDefault="00540A9C">
      <w:pPr>
        <w:rPr>
          <w:sz w:val="36"/>
        </w:rPr>
      </w:pPr>
      <w:bookmarkStart w:id="0" w:name="_GoBack"/>
      <w:bookmarkEnd w:id="0"/>
      <w:r w:rsidRPr="00540A9C">
        <w:rPr>
          <w:sz w:val="36"/>
        </w:rPr>
        <w:t>Palkkatuki ja starttiraha</w:t>
      </w:r>
    </w:p>
    <w:p w:rsidR="00540A9C" w:rsidRDefault="00540A9C"/>
    <w:p w:rsidR="00540A9C" w:rsidRPr="00540A9C" w:rsidRDefault="00540A9C">
      <w:pPr>
        <w:rPr>
          <w:i/>
        </w:rPr>
      </w:pPr>
      <w:r w:rsidRPr="00540A9C">
        <w:rPr>
          <w:i/>
        </w:rPr>
        <w:t>Palkkatuki ja starttiraha Suomessa</w:t>
      </w:r>
    </w:p>
    <w:p w:rsidR="00FB3ED8" w:rsidRDefault="00FB3ED8" w:rsidP="005E07F5">
      <w:pPr>
        <w:jc w:val="both"/>
      </w:pPr>
    </w:p>
    <w:p w:rsidR="00540A9C" w:rsidRPr="00B2296E" w:rsidRDefault="005E07F5" w:rsidP="005E07F5">
      <w:pPr>
        <w:jc w:val="both"/>
        <w:rPr>
          <w:b/>
        </w:rPr>
      </w:pPr>
      <w:r w:rsidRPr="00B2296E">
        <w:rPr>
          <w:b/>
        </w:rPr>
        <w:t>Palkkatuesta ja starttirahasta säädetään laissa julkisesta työvoima- ja yrityspalvelusta (916/2012). Palkkatuki on työttömän työnhakijan työllistymisen edistämiseksi tarkoitettu tuki</w:t>
      </w:r>
      <w:r w:rsidR="00B2296E" w:rsidRPr="00B2296E">
        <w:rPr>
          <w:b/>
        </w:rPr>
        <w:t>, jonka työ- ja elinkeinotoimisto voi myöntää työnantajalle palkkauskustannuksiin. Palkkatuetun työn tarkoituksena on parantaa työttömän työnhakijan ammatillista osaamista ja edistää työllistymistä avoimille työmarkkinoille.</w:t>
      </w:r>
      <w:r w:rsidRPr="00B2296E">
        <w:rPr>
          <w:b/>
        </w:rPr>
        <w:t xml:space="preserve"> Starttirahaa työ- ja elinkeinotoimisto voi myöntää yrittäjäksi ryhtyvälle henkilöasiakkaalle toimeentulon turvaamiseksi yritystoiminnan käynnistämis- ja vakiinnuttamisvaiheessa.</w:t>
      </w:r>
    </w:p>
    <w:p w:rsidR="00540A9C" w:rsidRDefault="00540A9C" w:rsidP="00FB3ED8"/>
    <w:p w:rsidR="00B2296E" w:rsidRDefault="00B2296E" w:rsidP="00FB3ED8"/>
    <w:p w:rsidR="007C54D9" w:rsidRDefault="007C54D9" w:rsidP="00FB3ED8">
      <w:pPr>
        <w:rPr>
          <w:i/>
        </w:rPr>
      </w:pPr>
      <w:proofErr w:type="gramStart"/>
      <w:r>
        <w:rPr>
          <w:i/>
        </w:rPr>
        <w:t>Maksettujen tukien määrä</w:t>
      </w:r>
      <w:proofErr w:type="gramEnd"/>
    </w:p>
    <w:p w:rsidR="007C54D9" w:rsidRDefault="007C54D9" w:rsidP="00FB3ED8">
      <w:pPr>
        <w:rPr>
          <w:i/>
        </w:rPr>
      </w:pPr>
    </w:p>
    <w:p w:rsidR="00540A9C" w:rsidRDefault="00076D3C" w:rsidP="00540A9C">
      <w:pPr>
        <w:jc w:val="both"/>
      </w:pPr>
      <w:r>
        <w:t xml:space="preserve">Vuonna 2016 palkkatukea maksettiin noin </w:t>
      </w:r>
      <w:r w:rsidR="00792EF3">
        <w:t xml:space="preserve">200 miljoonaa euroa, mistä yritysten osuus oli noin 60 miljoonaa euroa. </w:t>
      </w:r>
      <w:r w:rsidR="00540A9C">
        <w:t>Kokonaissumma on laskenut huippuvuodesta 2014, jolloin pa</w:t>
      </w:r>
      <w:r w:rsidR="00540A9C" w:rsidRPr="009D13AC">
        <w:t>lkkatuke</w:t>
      </w:r>
      <w:r w:rsidR="002557FE" w:rsidRPr="009D13AC">
        <w:t>a</w:t>
      </w:r>
      <w:r w:rsidR="00540A9C">
        <w:t xml:space="preserve"> maksettiin reilut 300 miljoonaa euroa, mistä noin 120 miljoonaa yrityksille. Kuluvana vuotena palkkatuen ja starttirahan rahoitusuudistuksen johdosta käytettävissä on viime vuotta enemmän määrärahaa ja käytön odotetaan kasvavan vuodesta 2016. Starttirahaa maksettiin vuonna 2016 noin 33 miljoonaa euroa ja hieman vajaat 40 miljoonaa euroa </w:t>
      </w:r>
      <w:r w:rsidR="004552CF">
        <w:t xml:space="preserve">vuodessa </w:t>
      </w:r>
      <w:r w:rsidR="005824D7">
        <w:t>vuosina 2014–</w:t>
      </w:r>
      <w:r w:rsidR="00540A9C">
        <w:t xml:space="preserve">2015. </w:t>
      </w:r>
    </w:p>
    <w:p w:rsidR="00540A9C" w:rsidRDefault="00540A9C" w:rsidP="00540A9C">
      <w:pPr>
        <w:jc w:val="both"/>
      </w:pPr>
    </w:p>
    <w:p w:rsidR="00332476" w:rsidRDefault="00540A9C" w:rsidP="00540A9C">
      <w:pPr>
        <w:jc w:val="both"/>
      </w:pPr>
      <w:r>
        <w:t xml:space="preserve">Määrien vertailu kansainvälisesti on vaikeaa, koska kaikista maista ei ole saatavilla vertailukelpoisia tilastotietoja ja tukiohjelmat voivat olla hyvinkin vaihtelevia. </w:t>
      </w:r>
      <w:r w:rsidR="009C5CF2">
        <w:rPr>
          <w:b/>
        </w:rPr>
        <w:t>Useissa EU-maissa</w:t>
      </w:r>
      <w:r w:rsidR="002557FE" w:rsidRPr="009D13AC">
        <w:rPr>
          <w:b/>
        </w:rPr>
        <w:t xml:space="preserve"> on tai on ollut tie</w:t>
      </w:r>
      <w:r w:rsidR="009C5CF2">
        <w:rPr>
          <w:b/>
        </w:rPr>
        <w:t>ttävästi käytössä</w:t>
      </w:r>
      <w:r w:rsidRPr="009D13AC">
        <w:rPr>
          <w:b/>
        </w:rPr>
        <w:t xml:space="preserve"> </w:t>
      </w:r>
      <w:r w:rsidR="009C5CF2">
        <w:rPr>
          <w:b/>
        </w:rPr>
        <w:t xml:space="preserve">Suomen </w:t>
      </w:r>
      <w:r w:rsidRPr="009D13AC">
        <w:rPr>
          <w:b/>
        </w:rPr>
        <w:t>palkkatukeen verrattavia tukiohjelmia.</w:t>
      </w:r>
      <w:r>
        <w:t xml:space="preserve"> </w:t>
      </w:r>
      <w:r w:rsidR="009C5CF2">
        <w:t>Suomessa nykyisin käytettävän prosentuaalisen palkkauskustannuksiin perustuvan tuen lisäksi tuet ovat voineet o</w:t>
      </w:r>
      <w:r w:rsidR="00B2296E">
        <w:t>lla kiinteitä summia tai työnan</w:t>
      </w:r>
      <w:r w:rsidR="009C5CF2">
        <w:t>taja on saanut help</w:t>
      </w:r>
      <w:r w:rsidR="00B2296E">
        <w:t xml:space="preserve">otuksia verotuksessa tai veronluonteisissa </w:t>
      </w:r>
      <w:r w:rsidR="009C5CF2">
        <w:t xml:space="preserve">maksuissa. </w:t>
      </w:r>
      <w:proofErr w:type="spellStart"/>
      <w:r>
        <w:t>Eurostatin</w:t>
      </w:r>
      <w:proofErr w:type="spellEnd"/>
      <w:r>
        <w:t xml:space="preserve"> kokoamien tilastojen mukaan </w:t>
      </w:r>
      <w:r w:rsidR="005824D7">
        <w:t>Suomi on käyttänyt vuosina 2012–</w:t>
      </w:r>
      <w:r>
        <w:t xml:space="preserve">2016 EU-maiden mediaania (huomioitu maat, joista tilastotieto on ollut saatavilla) enemmän rahaa työllisyyden kannustinohjelmiin </w:t>
      </w:r>
      <w:r w:rsidR="005824D7">
        <w:t xml:space="preserve">(ALMP luokka 4) </w:t>
      </w:r>
      <w:r>
        <w:t>suhteessa bruttokansantuotteeseen. Esimerkiksi Suomen kohdalla palkkatuen lisäksi luvussa huomioidaan myös vuorotteluvapaasijaiset, mikä kertoo osaltaan lukujen vertailukelpoisuu</w:t>
      </w:r>
      <w:r w:rsidR="00332476">
        <w:t>desta.</w:t>
      </w:r>
    </w:p>
    <w:p w:rsidR="00332476" w:rsidRDefault="00332476" w:rsidP="00540A9C">
      <w:pPr>
        <w:jc w:val="both"/>
      </w:pPr>
    </w:p>
    <w:p w:rsidR="00332476" w:rsidRDefault="005824D7" w:rsidP="00540A9C">
      <w:pPr>
        <w:jc w:val="both"/>
      </w:pPr>
      <w:r>
        <w:rPr>
          <w:noProof/>
          <w:lang w:eastAsia="fi-FI"/>
        </w:rPr>
        <w:drawing>
          <wp:inline distT="0" distB="0" distL="0" distR="0" wp14:anchorId="374C79C9" wp14:editId="3D04A5A5">
            <wp:extent cx="6203950" cy="3016250"/>
            <wp:effectExtent l="0" t="0" r="6350" b="0"/>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2476" w:rsidRPr="00332476" w:rsidRDefault="00332476" w:rsidP="00540A9C">
      <w:pPr>
        <w:jc w:val="both"/>
        <w:rPr>
          <w:lang w:val="en-US"/>
        </w:rPr>
      </w:pPr>
      <w:proofErr w:type="spellStart"/>
      <w:r w:rsidRPr="00332476">
        <w:rPr>
          <w:sz w:val="20"/>
          <w:szCs w:val="20"/>
          <w:lang w:val="en-US"/>
        </w:rPr>
        <w:t>Lähde</w:t>
      </w:r>
      <w:proofErr w:type="spellEnd"/>
      <w:r w:rsidRPr="00332476">
        <w:rPr>
          <w:sz w:val="20"/>
          <w:szCs w:val="20"/>
          <w:lang w:val="en-US"/>
        </w:rPr>
        <w:t>: Eurostat, LMP expenditure by type of action - summary tables.</w:t>
      </w:r>
    </w:p>
    <w:p w:rsidR="009054C0" w:rsidRDefault="002B73E3" w:rsidP="005824D7">
      <w:pPr>
        <w:jc w:val="both"/>
      </w:pPr>
      <w:r>
        <w:lastRenderedPageBreak/>
        <w:t>Myös aloittavan yrityksen tukien osalta</w:t>
      </w:r>
      <w:r w:rsidR="005824D7" w:rsidRPr="005824D7">
        <w:t xml:space="preserve"> Suomi käyttää EU-maiden mediaania enemmän julkista rahoitusta suh</w:t>
      </w:r>
      <w:r w:rsidR="005824D7">
        <w:t xml:space="preserve">teessa bruttokansantuotteeseen. Näiden tukien osuus on kuitenkin hyvin vähäinen, noin 0,014 prosenttia bruttokansantuotteesta </w:t>
      </w:r>
      <w:r>
        <w:t xml:space="preserve">Suomessa, kun </w:t>
      </w:r>
      <w:r w:rsidR="005824D7">
        <w:t xml:space="preserve">EU-maiden mediaani </w:t>
      </w:r>
      <w:r>
        <w:t>on 0,009</w:t>
      </w:r>
      <w:r w:rsidR="005824D7">
        <w:t xml:space="preserve">. Tietoja </w:t>
      </w:r>
      <w:r w:rsidR="00B2296E">
        <w:t>alkavan yrityksen tuista on myös tarjolla harvemmista maista, mikä voi kertoa tukiohjelmien yleisyydestä.</w:t>
      </w:r>
    </w:p>
    <w:p w:rsidR="00B2296E" w:rsidRPr="005824D7" w:rsidRDefault="00B2296E" w:rsidP="005824D7">
      <w:pPr>
        <w:jc w:val="both"/>
      </w:pPr>
    </w:p>
    <w:p w:rsidR="009C5CF2" w:rsidRPr="005824D7" w:rsidRDefault="009C5CF2" w:rsidP="00FB3ED8">
      <w:pPr>
        <w:rPr>
          <w:i/>
        </w:rPr>
      </w:pPr>
    </w:p>
    <w:p w:rsidR="007C54D9" w:rsidRDefault="007C54D9" w:rsidP="00FB3ED8">
      <w:pPr>
        <w:rPr>
          <w:i/>
        </w:rPr>
      </w:pPr>
      <w:r>
        <w:rPr>
          <w:i/>
        </w:rPr>
        <w:t>Tuen taso</w:t>
      </w:r>
    </w:p>
    <w:p w:rsidR="007C54D9" w:rsidRDefault="007C54D9" w:rsidP="00FB3ED8">
      <w:pPr>
        <w:rPr>
          <w:i/>
        </w:rPr>
      </w:pPr>
    </w:p>
    <w:p w:rsidR="00B2296E" w:rsidRDefault="00810993" w:rsidP="00CF3499">
      <w:pPr>
        <w:jc w:val="both"/>
      </w:pPr>
      <w:r w:rsidRPr="009C5CF2">
        <w:rPr>
          <w:b/>
        </w:rPr>
        <w:t xml:space="preserve">Tuen tasoa koskevaa </w:t>
      </w:r>
      <w:r w:rsidR="009C5CF2" w:rsidRPr="009C5CF2">
        <w:rPr>
          <w:b/>
        </w:rPr>
        <w:t xml:space="preserve">kokoavaa </w:t>
      </w:r>
      <w:r w:rsidRPr="009C5CF2">
        <w:rPr>
          <w:b/>
        </w:rPr>
        <w:t xml:space="preserve">kansainvälistä vertailua ei ole saatavilla. </w:t>
      </w:r>
      <w:r w:rsidR="00CF3499" w:rsidRPr="009C5CF2">
        <w:rPr>
          <w:b/>
        </w:rPr>
        <w:t xml:space="preserve">Järjestelmien vertailu on vaikeaa siksi, että säädöksiin tehdään muutoksia tiheästi ja </w:t>
      </w:r>
      <w:r w:rsidR="009319B3" w:rsidRPr="009C5CF2">
        <w:rPr>
          <w:b/>
        </w:rPr>
        <w:t>palkkatuen myöntämiseen liittyy lukuisia erilaisia ehtoja</w:t>
      </w:r>
      <w:r w:rsidR="00CF3499" w:rsidRPr="009C5CF2">
        <w:rPr>
          <w:b/>
        </w:rPr>
        <w:t xml:space="preserve">. </w:t>
      </w:r>
      <w:r w:rsidR="009319B3" w:rsidRPr="009C5CF2">
        <w:rPr>
          <w:b/>
        </w:rPr>
        <w:t xml:space="preserve">Lisäksi tuen </w:t>
      </w:r>
      <w:r w:rsidR="009C5CF2" w:rsidRPr="009C5CF2">
        <w:rPr>
          <w:b/>
        </w:rPr>
        <w:t>kohderyhmät ja muodot vaihtelevat maittain.</w:t>
      </w:r>
      <w:r w:rsidR="009319B3">
        <w:t xml:space="preserve"> </w:t>
      </w:r>
      <w:r w:rsidR="005E07F5">
        <w:t xml:space="preserve">Palkkatuki </w:t>
      </w:r>
      <w:r w:rsidR="00CF3499">
        <w:t xml:space="preserve">myönnetään elinkeinotoimintaa harjoittavalle työnantajalle joko valtiontukien yleisen ryhmäpoikkeusasetuksen mukaisena </w:t>
      </w:r>
      <w:r w:rsidR="00CF3499" w:rsidRPr="00690511">
        <w:t xml:space="preserve">tukena (Komission asetus (EU) N:o 651/2014 tiettyjen tukimuotojen toteamisesta sisämarkkinoille soveltuviksi perussopimuksen 107 ja 108 artiklan mukaisesti) tai de </w:t>
      </w:r>
      <w:proofErr w:type="spellStart"/>
      <w:r w:rsidR="00CF3499" w:rsidRPr="00690511">
        <w:t>minimis</w:t>
      </w:r>
      <w:proofErr w:type="spellEnd"/>
      <w:r w:rsidR="00CF3499" w:rsidRPr="00690511">
        <w:t xml:space="preserve"> -tukena (Komission asetus (EU) N:o 1407/2013 Euroopan unionin toiminnasta tehdyn sopimuksen 107 ja 108 artiklan soveltamisesta vähämerkityksiseen tukeen</w:t>
      </w:r>
      <w:r w:rsidR="005E07F5">
        <w:t>)</w:t>
      </w:r>
      <w:r w:rsidR="00CF3499" w:rsidRPr="00451E50">
        <w:t xml:space="preserve">. </w:t>
      </w:r>
    </w:p>
    <w:p w:rsidR="005E07F5" w:rsidRDefault="005E07F5" w:rsidP="00CF3499">
      <w:pPr>
        <w:jc w:val="both"/>
      </w:pPr>
    </w:p>
    <w:p w:rsidR="00332476" w:rsidRDefault="002557FE" w:rsidP="005E07F5">
      <w:pPr>
        <w:jc w:val="both"/>
        <w:rPr>
          <w:rFonts w:asciiTheme="minorHAnsi" w:hAnsiTheme="minorHAnsi" w:cs="EUAlbertina-Regu"/>
        </w:rPr>
      </w:pPr>
      <w:r w:rsidRPr="009C5CF2">
        <w:rPr>
          <w:rFonts w:asciiTheme="minorHAnsi" w:hAnsiTheme="minorHAnsi"/>
          <w:b/>
        </w:rPr>
        <w:t xml:space="preserve">Asetuksen </w:t>
      </w:r>
      <w:r w:rsidR="00F827C0" w:rsidRPr="009C5CF2">
        <w:rPr>
          <w:rFonts w:asciiTheme="minorHAnsi" w:hAnsiTheme="minorHAnsi"/>
          <w:b/>
        </w:rPr>
        <w:t>mukaan palkkatukien muodossa myönnettävä</w:t>
      </w:r>
      <w:r w:rsidRPr="009C5CF2">
        <w:rPr>
          <w:rFonts w:asciiTheme="minorHAnsi" w:hAnsiTheme="minorHAnsi"/>
          <w:b/>
        </w:rPr>
        <w:t>ssä tuessa</w:t>
      </w:r>
      <w:r w:rsidR="00F827C0" w:rsidRPr="009C5CF2">
        <w:rPr>
          <w:rFonts w:asciiTheme="minorHAnsi" w:hAnsiTheme="minorHAnsi"/>
          <w:b/>
        </w:rPr>
        <w:t xml:space="preserve"> epäedullisessa asemassa olevien työntekijöiden työhönottoon </w:t>
      </w:r>
      <w:r w:rsidR="00F827C0" w:rsidRPr="009C5CF2">
        <w:rPr>
          <w:rFonts w:asciiTheme="minorHAnsi" w:hAnsiTheme="minorHAnsi" w:cs="EUAlbertina-Regu"/>
          <w:b/>
        </w:rPr>
        <w:t>tuki-intensiteetti saa olla enintään 50 prosenttia tukikelpoisista kustannuksista.</w:t>
      </w:r>
      <w:r w:rsidR="00F827C0" w:rsidRPr="009054C0">
        <w:rPr>
          <w:rFonts w:asciiTheme="minorHAnsi" w:hAnsiTheme="minorHAnsi" w:cs="EUAlbertina-Regu"/>
        </w:rPr>
        <w:t xml:space="preserve"> </w:t>
      </w:r>
      <w:r>
        <w:rPr>
          <w:rFonts w:asciiTheme="minorHAnsi" w:hAnsiTheme="minorHAnsi" w:cs="EUAlbertina-Regu"/>
        </w:rPr>
        <w:t>P</w:t>
      </w:r>
      <w:r w:rsidR="00F827C0" w:rsidRPr="009054C0">
        <w:rPr>
          <w:rFonts w:asciiTheme="minorHAnsi" w:hAnsiTheme="minorHAnsi" w:cs="EUAlbertina-Regu"/>
        </w:rPr>
        <w:t>alkkatukien muodossa myönnettävä tuki alentuneesti työkykyisten työntekijöiden työllistämiseen saa olla enintään 75 prosenttia tukikelpoisista kustannuksista.</w:t>
      </w:r>
      <w:r w:rsidR="005E07F5">
        <w:rPr>
          <w:rFonts w:asciiTheme="minorHAnsi" w:hAnsiTheme="minorHAnsi" w:cs="EUAlbertina-Regu"/>
        </w:rPr>
        <w:t xml:space="preserve"> Suomessa palkkatuen määrä elinkeinotoimintaan myönnettävän tuen osalta on enintään 30 prosenttia </w:t>
      </w:r>
      <w:r w:rsidR="005E07F5" w:rsidRPr="005E07F5">
        <w:rPr>
          <w:rFonts w:asciiTheme="minorHAnsi" w:hAnsiTheme="minorHAnsi" w:cs="EUAlbertina-Regu"/>
        </w:rPr>
        <w:t>työnantajalle tuella palkattavasta aiheutuvista palkkauskustannuks</w:t>
      </w:r>
      <w:r w:rsidR="005E07F5">
        <w:rPr>
          <w:rFonts w:asciiTheme="minorHAnsi" w:hAnsiTheme="minorHAnsi" w:cs="EUAlbertina-Regu"/>
        </w:rPr>
        <w:t>ista</w:t>
      </w:r>
      <w:r w:rsidR="005E07F5" w:rsidRPr="005E07F5">
        <w:rPr>
          <w:rFonts w:asciiTheme="minorHAnsi" w:hAnsiTheme="minorHAnsi" w:cs="EUAlbertina-Regu"/>
        </w:rPr>
        <w:t>, jos tuella palkattava on ollut työtön alle 12 kuukautta välittömäs</w:t>
      </w:r>
      <w:r w:rsidR="005E07F5">
        <w:rPr>
          <w:rFonts w:asciiTheme="minorHAnsi" w:hAnsiTheme="minorHAnsi" w:cs="EUAlbertina-Regu"/>
        </w:rPr>
        <w:t>ti ennen palkkatuen myöntämistä. J</w:t>
      </w:r>
      <w:r w:rsidR="005E07F5" w:rsidRPr="005E07F5">
        <w:rPr>
          <w:rFonts w:asciiTheme="minorHAnsi" w:hAnsiTheme="minorHAnsi" w:cs="EUAlbertina-Regu"/>
        </w:rPr>
        <w:t>os tuella palkattava on ollut työtön vähintään 12 kuukautta palkkatuen myöntämistä välittömästi e</w:t>
      </w:r>
      <w:r w:rsidR="005E07F5">
        <w:rPr>
          <w:rFonts w:asciiTheme="minorHAnsi" w:hAnsiTheme="minorHAnsi" w:cs="EUAlbertina-Regu"/>
        </w:rPr>
        <w:t xml:space="preserve">deltäneiden 14 kuukauden aikana, prosenttiosuus on 40 prosenttia ja </w:t>
      </w:r>
      <w:r w:rsidR="005E07F5" w:rsidRPr="005E07F5">
        <w:rPr>
          <w:rFonts w:asciiTheme="minorHAnsi" w:hAnsiTheme="minorHAnsi" w:cs="EUAlbertina-Regu"/>
        </w:rPr>
        <w:t>jos tuella palkattava on ollut työtön vähintään 24 kuukautta palkkatuen myöntämistä välittömästi edeltäneid</w:t>
      </w:r>
      <w:r w:rsidR="005E07F5">
        <w:rPr>
          <w:rFonts w:asciiTheme="minorHAnsi" w:hAnsiTheme="minorHAnsi" w:cs="EUAlbertina-Regu"/>
        </w:rPr>
        <w:t>en 28 kuukauden aikana, prosenttiosuus on 50 prosenttia.</w:t>
      </w:r>
      <w:r w:rsidR="00332476">
        <w:rPr>
          <w:rFonts w:asciiTheme="minorHAnsi" w:hAnsiTheme="minorHAnsi" w:cs="EUAlbertina-Regu"/>
        </w:rPr>
        <w:t xml:space="preserve"> </w:t>
      </w:r>
    </w:p>
    <w:p w:rsidR="00332476" w:rsidRDefault="00332476" w:rsidP="005E07F5">
      <w:pPr>
        <w:jc w:val="both"/>
        <w:rPr>
          <w:rFonts w:asciiTheme="minorHAnsi" w:hAnsiTheme="minorHAnsi" w:cs="EUAlbertina-Regu"/>
        </w:rPr>
      </w:pPr>
    </w:p>
    <w:p w:rsidR="00332476" w:rsidRDefault="00332476" w:rsidP="00332476">
      <w:pPr>
        <w:jc w:val="both"/>
        <w:rPr>
          <w:rFonts w:asciiTheme="minorHAnsi" w:hAnsiTheme="minorHAnsi" w:cs="EUAlbertina-Regu"/>
        </w:rPr>
      </w:pPr>
      <w:r w:rsidRPr="009C5CF2">
        <w:rPr>
          <w:rFonts w:asciiTheme="minorHAnsi" w:hAnsiTheme="minorHAnsi" w:cs="EUAlbertina-Regu"/>
          <w:b/>
        </w:rPr>
        <w:t>Näin ollen pisimpään työttömänä olleiden osalta valtion myöntämä tuki on suurin EU-säädösten mahdollistama osuus palkkauskustannuksista.</w:t>
      </w:r>
      <w:r w:rsidR="00B2296E">
        <w:rPr>
          <w:rFonts w:asciiTheme="minorHAnsi" w:hAnsiTheme="minorHAnsi" w:cs="EUAlbertina-Regu"/>
        </w:rPr>
        <w:t xml:space="preserve"> Vuosina 2015–</w:t>
      </w:r>
      <w:r>
        <w:rPr>
          <w:rFonts w:asciiTheme="minorHAnsi" w:hAnsiTheme="minorHAnsi" w:cs="EUAlbertina-Regu"/>
        </w:rPr>
        <w:t xml:space="preserve">2016 noin 40 prosenttia alkaneista palkkatukijaksoista myönnettiin 50 prosentin tuella. </w:t>
      </w:r>
      <w:r w:rsidRPr="009C5CF2">
        <w:rPr>
          <w:rFonts w:asciiTheme="minorHAnsi" w:hAnsiTheme="minorHAnsi" w:cs="EUAlbertina-Regu"/>
          <w:b/>
        </w:rPr>
        <w:t>Kuluvana vuotena syyskuun loppuun mennessä aloitetuista jaksoista hieman yli puolet oli myönnetty 50 prosentin suuruisena.</w:t>
      </w:r>
      <w:r>
        <w:rPr>
          <w:rFonts w:asciiTheme="minorHAnsi" w:hAnsiTheme="minorHAnsi" w:cs="EUAlbertina-Regu"/>
        </w:rPr>
        <w:t xml:space="preserve"> </w:t>
      </w:r>
      <w:r w:rsidR="0045038C">
        <w:rPr>
          <w:rFonts w:asciiTheme="minorHAnsi" w:hAnsiTheme="minorHAnsi" w:cs="EUAlbertina-Regu"/>
        </w:rPr>
        <w:t>Luvuissa on huomioitu kaikki palkkatukityö (myös kunnat ja kolmas sektori) mukaan lukien kolmannen sektorin toimijoille tietyissä tapauksissa myönnettävä 100 prosentin palkkatuki.</w:t>
      </w:r>
    </w:p>
    <w:p w:rsidR="0045038C" w:rsidRPr="005E07F5" w:rsidRDefault="0045038C" w:rsidP="00332476">
      <w:pPr>
        <w:jc w:val="both"/>
        <w:rPr>
          <w:rFonts w:asciiTheme="minorHAnsi" w:hAnsiTheme="minorHAnsi" w:cs="EUAlbertina-Regu"/>
        </w:rPr>
      </w:pPr>
    </w:p>
    <w:p w:rsidR="00F827C0" w:rsidRDefault="00332476" w:rsidP="005E07F5">
      <w:pPr>
        <w:jc w:val="both"/>
        <w:rPr>
          <w:rFonts w:asciiTheme="minorHAnsi" w:hAnsiTheme="minorHAnsi" w:cs="EUAlbertina-Regu"/>
        </w:rPr>
      </w:pPr>
      <w:r>
        <w:rPr>
          <w:rFonts w:asciiTheme="minorHAnsi" w:hAnsiTheme="minorHAnsi" w:cs="EUAlbertina-Regu"/>
        </w:rPr>
        <w:t xml:space="preserve">Alhaisemmilla tukiprosenteilla työllistettävien palkkauskustannuksiin työnantajat voivat saada lisäksi kunnan maksamaa kuntalisää, jonka määrä ja ehdot vaihtelevat kunnittain. Kaikki kunnat eivät myöskään tarjoa tätä vaihtoehtoa. Kuntalisistä työ- ja elinkeinoministeriöllä ei ole </w:t>
      </w:r>
      <w:r w:rsidR="00B2296E">
        <w:rPr>
          <w:rFonts w:asciiTheme="minorHAnsi" w:hAnsiTheme="minorHAnsi" w:cs="EUAlbertina-Regu"/>
        </w:rPr>
        <w:t>käytettävissään tilastotietoja.</w:t>
      </w:r>
    </w:p>
    <w:p w:rsidR="00B2296E" w:rsidRDefault="00B2296E" w:rsidP="005E07F5">
      <w:pPr>
        <w:jc w:val="both"/>
        <w:rPr>
          <w:rFonts w:asciiTheme="minorHAnsi" w:hAnsiTheme="minorHAnsi" w:cs="EUAlbertina-Regu"/>
        </w:rPr>
      </w:pPr>
    </w:p>
    <w:p w:rsidR="00B2296E" w:rsidRDefault="00B2296E" w:rsidP="00B2296E">
      <w:pPr>
        <w:jc w:val="both"/>
      </w:pPr>
      <w:r w:rsidRPr="00451E50">
        <w:t xml:space="preserve">Starttiraha myönnetään de </w:t>
      </w:r>
      <w:proofErr w:type="spellStart"/>
      <w:r w:rsidRPr="00451E50">
        <w:t>minimis</w:t>
      </w:r>
      <w:proofErr w:type="spellEnd"/>
      <w:r w:rsidRPr="00451E50">
        <w:t xml:space="preserve"> </w:t>
      </w:r>
      <w:r>
        <w:t>-</w:t>
      </w:r>
      <w:r w:rsidRPr="00451E50">
        <w:t>t</w:t>
      </w:r>
      <w:r>
        <w:t xml:space="preserve">ukena. Pääsääntöisesti de </w:t>
      </w:r>
      <w:proofErr w:type="spellStart"/>
      <w:r>
        <w:t>mi</w:t>
      </w:r>
      <w:r>
        <w:t>nimis</w:t>
      </w:r>
      <w:proofErr w:type="spellEnd"/>
      <w:r>
        <w:t xml:space="preserve"> -</w:t>
      </w:r>
      <w:r>
        <w:t>tukea voi kertyä yhdelle työnantajalle eri tukilähteistä yhteensä enintään 200 000 euroa kolmen vuoden aikana.</w:t>
      </w:r>
      <w:r>
        <w:t xml:space="preserve"> Vuoden 2017 alusta myönnetyt starttirahat ovat aina peruspäivärahan suuruisia. Työttömien starttiraha rahoitetaan työttömyysetuusmäärärahoista ja muille kuin työttömille myönnettävä starttiraha työllisyysmäärärahoista.</w:t>
      </w:r>
    </w:p>
    <w:p w:rsidR="00B2296E" w:rsidRPr="005E07F5" w:rsidRDefault="00B2296E" w:rsidP="005E07F5">
      <w:pPr>
        <w:jc w:val="both"/>
        <w:rPr>
          <w:rFonts w:asciiTheme="minorHAnsi" w:hAnsiTheme="minorHAnsi" w:cs="EUAlbertina-Regu"/>
        </w:rPr>
      </w:pPr>
    </w:p>
    <w:p w:rsidR="00CF3499" w:rsidRPr="005707DB" w:rsidRDefault="00CF3499" w:rsidP="00CF3499">
      <w:pPr>
        <w:jc w:val="both"/>
      </w:pPr>
    </w:p>
    <w:p w:rsidR="007C54D9" w:rsidRPr="007C54D9" w:rsidRDefault="007C54D9" w:rsidP="00FB3ED8">
      <w:pPr>
        <w:rPr>
          <w:i/>
        </w:rPr>
      </w:pPr>
      <w:r>
        <w:rPr>
          <w:i/>
        </w:rPr>
        <w:t>Tutkimustuloksia</w:t>
      </w:r>
    </w:p>
    <w:p w:rsidR="007C54D9" w:rsidRDefault="007C54D9" w:rsidP="00FB3ED8"/>
    <w:p w:rsidR="0045038C" w:rsidRPr="00B2296E" w:rsidRDefault="007C54D9" w:rsidP="007C54D9">
      <w:pPr>
        <w:jc w:val="both"/>
      </w:pPr>
      <w:r w:rsidRPr="009C5CF2">
        <w:rPr>
          <w:b/>
        </w:rPr>
        <w:t>Palkkatukea käsittelevissä tutkimuksissa on havaittu, että julkiselle sektorille työllistämisellä on vähän positiivisia työllisyysvaikutuksia tai joissakin tapauksissa vaikutukset ovat olleet jopa negatiivisia. Yksityiselle sektorille työllistämisellä on puolestaan tutkimusten mukaan positiivisia työllisyysvaikutuksia.</w:t>
      </w:r>
      <w:r>
        <w:t xml:space="preserve"> (ks. esimerkiksi </w:t>
      </w:r>
      <w:proofErr w:type="spellStart"/>
      <w:r>
        <w:t>Card</w:t>
      </w:r>
      <w:proofErr w:type="spellEnd"/>
      <w:r>
        <w:t xml:space="preserve">, </w:t>
      </w:r>
      <w:proofErr w:type="spellStart"/>
      <w:r>
        <w:t>Kluve</w:t>
      </w:r>
      <w:proofErr w:type="spellEnd"/>
      <w:r>
        <w:t xml:space="preserve"> &amp; Weber (2015): </w:t>
      </w:r>
      <w:proofErr w:type="spellStart"/>
      <w:r>
        <w:rPr>
          <w:i/>
        </w:rPr>
        <w:t>What</w:t>
      </w:r>
      <w:proofErr w:type="spellEnd"/>
      <w:r>
        <w:rPr>
          <w:i/>
        </w:rPr>
        <w:t xml:space="preserve"> Works? </w:t>
      </w:r>
      <w:proofErr w:type="gramStart"/>
      <w:r w:rsidRPr="00E912BB">
        <w:rPr>
          <w:i/>
          <w:lang w:val="en-US"/>
        </w:rPr>
        <w:t xml:space="preserve">A </w:t>
      </w:r>
      <w:proofErr w:type="spellStart"/>
      <w:r w:rsidRPr="00E912BB">
        <w:rPr>
          <w:i/>
          <w:lang w:val="en-US"/>
        </w:rPr>
        <w:t>Meta Analysis</w:t>
      </w:r>
      <w:proofErr w:type="spellEnd"/>
      <w:r w:rsidRPr="00E912BB">
        <w:rPr>
          <w:i/>
          <w:lang w:val="en-US"/>
        </w:rPr>
        <w:t xml:space="preserve"> of Recent </w:t>
      </w:r>
      <w:r w:rsidRPr="00E912BB">
        <w:rPr>
          <w:i/>
          <w:lang w:val="en-US"/>
        </w:rPr>
        <w:lastRenderedPageBreak/>
        <w:t>Active Labor Market Program Evaluations, IZA Discussion Paper 9236).</w:t>
      </w:r>
      <w:proofErr w:type="gramEnd"/>
      <w:r w:rsidRPr="00E912BB">
        <w:rPr>
          <w:lang w:val="en-US"/>
        </w:rPr>
        <w:t xml:space="preserve"> </w:t>
      </w:r>
      <w:r w:rsidRPr="00191422">
        <w:t xml:space="preserve">Kansainvälisistä tutkimuksista </w:t>
      </w:r>
      <w:r>
        <w:t>ei ole suoraan erotettavissa, käsittääkö yksityinen sektori pelkästään yrityksiin työllistämistä vai myös kolmannen sektorin työllistämistä. Kolmannen sektorin työllistämiseen keskittyvää tutkimustietoa ei juuri ole. Jossain määrin elinkeinotoimintaa harjoittavat kolmannen sektorin toimijat voivat vertautua yrityksiin, koska ne toimivat hyödykemarkkinoilla, mutta erona on voittoa tavoittelematon toiminta. Muuta kuin elinkeinotoimintaa harjoittavat vertautuvat jossain määrin julkisen sektorin toimijoihin, mutta suoraan näitä ei voi verrata keskenään.</w:t>
      </w:r>
      <w:r w:rsidR="00CF3499">
        <w:t xml:space="preserve"> Suomessa tehdyt havainnot palkkatuen vaikuttavuudessa noudattelevat kansainvälisten tutkimusten tuloksia.</w:t>
      </w:r>
    </w:p>
    <w:p w:rsidR="0045038C" w:rsidRDefault="0045038C" w:rsidP="007C54D9">
      <w:pPr>
        <w:jc w:val="both"/>
        <w:rPr>
          <w:i/>
        </w:rPr>
      </w:pPr>
    </w:p>
    <w:p w:rsidR="0045038C" w:rsidRDefault="0045038C" w:rsidP="007C54D9">
      <w:pPr>
        <w:jc w:val="both"/>
        <w:rPr>
          <w:i/>
        </w:rPr>
      </w:pPr>
    </w:p>
    <w:p w:rsidR="007C54D9" w:rsidRDefault="007C54D9" w:rsidP="007C54D9">
      <w:pPr>
        <w:jc w:val="both"/>
        <w:rPr>
          <w:i/>
        </w:rPr>
      </w:pPr>
      <w:r>
        <w:rPr>
          <w:i/>
        </w:rPr>
        <w:t>Tilanne</w:t>
      </w:r>
      <w:r w:rsidR="002B73E3">
        <w:rPr>
          <w:i/>
        </w:rPr>
        <w:t xml:space="preserve"> vuosina 2017–</w:t>
      </w:r>
      <w:r w:rsidR="004552CF">
        <w:rPr>
          <w:i/>
        </w:rPr>
        <w:t>2018</w:t>
      </w:r>
    </w:p>
    <w:p w:rsidR="000D58E6" w:rsidRDefault="000D58E6" w:rsidP="007C54D9">
      <w:pPr>
        <w:jc w:val="both"/>
        <w:rPr>
          <w:i/>
        </w:rPr>
      </w:pPr>
    </w:p>
    <w:p w:rsidR="000D58E6" w:rsidRDefault="000D58E6" w:rsidP="007C54D9">
      <w:pPr>
        <w:jc w:val="both"/>
      </w:pPr>
      <w:r>
        <w:t>Vuoden 2017 alusta voimaan tuli joitakin muutoksia koskien palkkatukea ja starttirahaa. Molempien tukien enimmäiskestoa lyhennettiin. Palkkatuen osalta enimmäiskesto lyheni kahdesta vuodesta vuot</w:t>
      </w:r>
      <w:r w:rsidR="004552CF">
        <w:t>een ja starttirahan kohdalla 18 kuukaudesta</w:t>
      </w:r>
      <w:r>
        <w:t xml:space="preserve"> </w:t>
      </w:r>
      <w:r w:rsidR="004552CF">
        <w:t>12 kuukauteen</w:t>
      </w:r>
      <w:r>
        <w:t>. Palkkatuen osalta on edelleen voimassa joitakin poikkeuksia tuen enimmäiskestoon. Käytännössä nämä liittyvät vamman tai sairauden perusteella myönnettyyn tukeen, yli 60 -vuotiaiden henkilöiden työllistämiseen tai oppisopimuskoulutukseen.</w:t>
      </w:r>
    </w:p>
    <w:p w:rsidR="000D58E6" w:rsidRDefault="000D58E6" w:rsidP="007C54D9">
      <w:pPr>
        <w:jc w:val="both"/>
      </w:pPr>
    </w:p>
    <w:p w:rsidR="000D58E6" w:rsidRDefault="00CF3499" w:rsidP="007C54D9">
      <w:pPr>
        <w:jc w:val="both"/>
      </w:pPr>
      <w:r>
        <w:t>Starttirahan perusosan lisäksi voitiin aiemmin myöntää enintään 60 prosentin suuruinen lisäosa</w:t>
      </w:r>
      <w:r w:rsidR="0064584A">
        <w:t xml:space="preserve">, mutta tämä mahdollisuus poistui vuoden vaihteessa. </w:t>
      </w:r>
      <w:r>
        <w:t>Lisäosaa</w:t>
      </w:r>
      <w:r w:rsidR="0064584A">
        <w:t xml:space="preserve"> starttirahaa</w:t>
      </w:r>
      <w:r>
        <w:t>n</w:t>
      </w:r>
      <w:r w:rsidR="0064584A">
        <w:t xml:space="preserve"> oli kuitenkin myönnetty harvoin. Palkkatuen enimmäismäärä muuttui siten, että tuki myönnetään enintään tietyn prosenttiosuuden suuruisena palkkauskustannuksista. Käytännössä tukiprosentit ovat olleet kuitenkin aina enimmäismäärän suuruisia</w:t>
      </w:r>
      <w:r w:rsidR="004552CF">
        <w:t xml:space="preserve"> ja samat tukiprosentit olivat käytössä jo vuodesta 2015</w:t>
      </w:r>
      <w:r w:rsidR="0064584A">
        <w:t xml:space="preserve">. Tuen myöntäminen alemmilla tukiprosenteilla tulisi kysymykseen tilanteissa, joissa työllisyysmäärärahaa ei olisi käytettävissä tuen myöntämiseen, mutta työttömyysetuusrahoitusta voitaisiin käyttää. </w:t>
      </w:r>
      <w:r w:rsidR="0064584A" w:rsidRPr="005E3A04">
        <w:t>Vuoden 2017 alusta lähtien palkkatukeen varattujen määrärahojen riittävyys on pyritty turvaamaan rahoitusmallilla, jossa valtion maksamaa työttömyysetuutta käytetään palkkatuen rahoittamiseen.</w:t>
      </w:r>
      <w:r w:rsidR="005707DB">
        <w:t xml:space="preserve"> Lisäksi talousarviossa määritettiin, että palkkatukea voidaan maksaa enintään 1 400 euroa kuukaudessa pois lukien yhdistyksille, säätiöille ja rekisteröidyille uskonnollisille yhdyskunnille maksettava täysi palkkatuki, jota voidaan maksaa enintään 1 800 euroa kuukaudessa.</w:t>
      </w:r>
    </w:p>
    <w:p w:rsidR="005707DB" w:rsidRDefault="005707DB" w:rsidP="007C54D9">
      <w:pPr>
        <w:jc w:val="both"/>
      </w:pPr>
    </w:p>
    <w:p w:rsidR="005707DB" w:rsidRPr="000D58E6" w:rsidRDefault="005707DB" w:rsidP="007C54D9">
      <w:pPr>
        <w:jc w:val="both"/>
      </w:pPr>
      <w:r>
        <w:t xml:space="preserve">Palkkatuen vaikuttavuutta selvitetään käynnissä olevalla </w:t>
      </w:r>
      <w:proofErr w:type="spellStart"/>
      <w:r>
        <w:t>TEAS-rahoitteisella</w:t>
      </w:r>
      <w:proofErr w:type="spellEnd"/>
      <w:r>
        <w:t xml:space="preserve"> tutkimuksella. Tutkimuksen on tarkoitus valmistua kesällä 2018. </w:t>
      </w:r>
      <w:r w:rsidRPr="009C5CF2">
        <w:rPr>
          <w:b/>
        </w:rPr>
        <w:t>Palkkatuen työttömyysetuusrahoitus on voimassa määräa</w:t>
      </w:r>
      <w:r w:rsidR="002B73E3">
        <w:rPr>
          <w:b/>
        </w:rPr>
        <w:t>ikaisena kokeiluna vuosina 2017–</w:t>
      </w:r>
      <w:r w:rsidRPr="009C5CF2">
        <w:rPr>
          <w:b/>
        </w:rPr>
        <w:t xml:space="preserve">2018, joten vuoden 2018 aikana pohditaan rahoitusta vuodesta 2019 eteenpäin. </w:t>
      </w:r>
      <w:r>
        <w:t xml:space="preserve">Maakuntauudistuksen yhteydessä palkkatuen myöntäminen siirtyisi maakuntien järjestämisvastuulle. </w:t>
      </w:r>
      <w:r w:rsidRPr="009C5CF2">
        <w:rPr>
          <w:b/>
        </w:rPr>
        <w:t>Vuoden 2020 alusta voimaan tulevaa lainsäädäntöä valmisteltaessa pohditaan myös mahdollisia sisällöllisiä muutostarpeita palkkatukea koskevaan lainsäädäntöön.</w:t>
      </w:r>
    </w:p>
    <w:sectPr w:rsidR="005707DB" w:rsidRPr="000D58E6" w:rsidSect="00D204F8">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9C" w:rsidRDefault="00540A9C" w:rsidP="00540A9C">
      <w:r>
        <w:separator/>
      </w:r>
    </w:p>
  </w:endnote>
  <w:endnote w:type="continuationSeparator" w:id="0">
    <w:p w:rsidR="00540A9C" w:rsidRDefault="00540A9C" w:rsidP="0054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9C" w:rsidRDefault="00540A9C" w:rsidP="00540A9C">
      <w:r>
        <w:separator/>
      </w:r>
    </w:p>
  </w:footnote>
  <w:footnote w:type="continuationSeparator" w:id="0">
    <w:p w:rsidR="00540A9C" w:rsidRDefault="00540A9C" w:rsidP="0054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9C" w:rsidRDefault="00184BAF" w:rsidP="00184BAF">
    <w:r>
      <w:t xml:space="preserve">Taustamuistio </w:t>
    </w:r>
    <w:r w:rsidRPr="00086838">
      <w:t>Parlamentaarinen yritystukityöryhmä - iltakoulukokous 7.11.2017 klo 18-20</w:t>
    </w:r>
    <w:r>
      <w:br/>
    </w:r>
    <w:r w:rsidR="00540A9C">
      <w:t>TEM/TYO/RATO</w:t>
    </w:r>
    <w:r>
      <w:t>/Heinonen</w:t>
    </w:r>
  </w:p>
  <w:p w:rsidR="00540A9C" w:rsidRDefault="00540A9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7B57"/>
    <w:multiLevelType w:val="hybridMultilevel"/>
    <w:tmpl w:val="D71285C6"/>
    <w:lvl w:ilvl="0" w:tplc="5350AC76">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2978"/>
    <w:rsid w:val="000141FA"/>
    <w:rsid w:val="00032978"/>
    <w:rsid w:val="00033EF8"/>
    <w:rsid w:val="00076D3C"/>
    <w:rsid w:val="000D58E6"/>
    <w:rsid w:val="00184BAF"/>
    <w:rsid w:val="002557FE"/>
    <w:rsid w:val="002B73E3"/>
    <w:rsid w:val="00332476"/>
    <w:rsid w:val="00361235"/>
    <w:rsid w:val="003821D0"/>
    <w:rsid w:val="003D1502"/>
    <w:rsid w:val="003E5DC0"/>
    <w:rsid w:val="0045038C"/>
    <w:rsid w:val="004552CF"/>
    <w:rsid w:val="004805B6"/>
    <w:rsid w:val="004A2271"/>
    <w:rsid w:val="004E7877"/>
    <w:rsid w:val="00540A9C"/>
    <w:rsid w:val="005707DB"/>
    <w:rsid w:val="005824D7"/>
    <w:rsid w:val="005E07F5"/>
    <w:rsid w:val="0064584A"/>
    <w:rsid w:val="00792EF3"/>
    <w:rsid w:val="007C54D9"/>
    <w:rsid w:val="00810993"/>
    <w:rsid w:val="009054C0"/>
    <w:rsid w:val="009319B3"/>
    <w:rsid w:val="009C5CF2"/>
    <w:rsid w:val="009D13AC"/>
    <w:rsid w:val="00B2296E"/>
    <w:rsid w:val="00B97B52"/>
    <w:rsid w:val="00CF3499"/>
    <w:rsid w:val="00D204F8"/>
    <w:rsid w:val="00DF0E19"/>
    <w:rsid w:val="00EC4E7A"/>
    <w:rsid w:val="00F827C0"/>
    <w:rsid w:val="00FB3E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E5DC0"/>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E5DC0"/>
    <w:pPr>
      <w:ind w:left="720"/>
      <w:contextualSpacing/>
    </w:pPr>
  </w:style>
  <w:style w:type="paragraph" w:styleId="Yltunniste">
    <w:name w:val="header"/>
    <w:basedOn w:val="Normaali"/>
    <w:link w:val="YltunnisteChar"/>
    <w:uiPriority w:val="99"/>
    <w:unhideWhenUsed/>
    <w:rsid w:val="00540A9C"/>
    <w:pPr>
      <w:tabs>
        <w:tab w:val="center" w:pos="4819"/>
        <w:tab w:val="right" w:pos="9638"/>
      </w:tabs>
    </w:pPr>
  </w:style>
  <w:style w:type="character" w:customStyle="1" w:styleId="YltunnisteChar">
    <w:name w:val="Ylätunniste Char"/>
    <w:basedOn w:val="Kappaleenoletusfontti"/>
    <w:link w:val="Yltunniste"/>
    <w:uiPriority w:val="99"/>
    <w:rsid w:val="00540A9C"/>
    <w:rPr>
      <w:rFonts w:ascii="Calibri" w:hAnsi="Calibri" w:cs="Times New Roman"/>
    </w:rPr>
  </w:style>
  <w:style w:type="paragraph" w:styleId="Alatunniste">
    <w:name w:val="footer"/>
    <w:basedOn w:val="Normaali"/>
    <w:link w:val="AlatunnisteChar"/>
    <w:uiPriority w:val="99"/>
    <w:unhideWhenUsed/>
    <w:rsid w:val="00540A9C"/>
    <w:pPr>
      <w:tabs>
        <w:tab w:val="center" w:pos="4819"/>
        <w:tab w:val="right" w:pos="9638"/>
      </w:tabs>
    </w:pPr>
  </w:style>
  <w:style w:type="character" w:customStyle="1" w:styleId="AlatunnisteChar">
    <w:name w:val="Alatunniste Char"/>
    <w:basedOn w:val="Kappaleenoletusfontti"/>
    <w:link w:val="Alatunniste"/>
    <w:uiPriority w:val="99"/>
    <w:rsid w:val="00540A9C"/>
    <w:rPr>
      <w:rFonts w:ascii="Calibri" w:hAnsi="Calibri" w:cs="Times New Roman"/>
    </w:rPr>
  </w:style>
  <w:style w:type="paragraph" w:styleId="Seliteteksti">
    <w:name w:val="Balloon Text"/>
    <w:basedOn w:val="Normaali"/>
    <w:link w:val="SelitetekstiChar"/>
    <w:uiPriority w:val="99"/>
    <w:semiHidden/>
    <w:unhideWhenUsed/>
    <w:rsid w:val="00540A9C"/>
    <w:rPr>
      <w:rFonts w:ascii="Tahoma" w:hAnsi="Tahoma" w:cs="Tahoma"/>
      <w:sz w:val="16"/>
      <w:szCs w:val="16"/>
    </w:rPr>
  </w:style>
  <w:style w:type="character" w:customStyle="1" w:styleId="SelitetekstiChar">
    <w:name w:val="Seliteteksti Char"/>
    <w:basedOn w:val="Kappaleenoletusfontti"/>
    <w:link w:val="Seliteteksti"/>
    <w:uiPriority w:val="99"/>
    <w:semiHidden/>
    <w:rsid w:val="00540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45159">
      <w:bodyDiv w:val="1"/>
      <w:marLeft w:val="0"/>
      <w:marRight w:val="0"/>
      <w:marTop w:val="0"/>
      <w:marBottom w:val="0"/>
      <w:divBdr>
        <w:top w:val="none" w:sz="0" w:space="0" w:color="auto"/>
        <w:left w:val="none" w:sz="0" w:space="0" w:color="auto"/>
        <w:bottom w:val="none" w:sz="0" w:space="0" w:color="auto"/>
        <w:right w:val="none" w:sz="0" w:space="0" w:color="auto"/>
      </w:divBdr>
      <w:divsChild>
        <w:div w:id="1495023062">
          <w:marLeft w:val="0"/>
          <w:marRight w:val="0"/>
          <w:marTop w:val="0"/>
          <w:marBottom w:val="0"/>
          <w:divBdr>
            <w:top w:val="none" w:sz="0" w:space="0" w:color="auto"/>
            <w:left w:val="none" w:sz="0" w:space="0" w:color="auto"/>
            <w:bottom w:val="none" w:sz="0" w:space="0" w:color="auto"/>
            <w:right w:val="none" w:sz="0" w:space="0" w:color="auto"/>
          </w:divBdr>
          <w:divsChild>
            <w:div w:id="250700422">
              <w:marLeft w:val="0"/>
              <w:marRight w:val="0"/>
              <w:marTop w:val="0"/>
              <w:marBottom w:val="0"/>
              <w:divBdr>
                <w:top w:val="none" w:sz="0" w:space="0" w:color="auto"/>
                <w:left w:val="none" w:sz="0" w:space="0" w:color="auto"/>
                <w:bottom w:val="none" w:sz="0" w:space="0" w:color="auto"/>
                <w:right w:val="none" w:sz="0" w:space="0" w:color="auto"/>
              </w:divBdr>
              <w:divsChild>
                <w:div w:id="404033220">
                  <w:marLeft w:val="0"/>
                  <w:marRight w:val="0"/>
                  <w:marTop w:val="0"/>
                  <w:marBottom w:val="0"/>
                  <w:divBdr>
                    <w:top w:val="none" w:sz="0" w:space="0" w:color="auto"/>
                    <w:left w:val="none" w:sz="0" w:space="0" w:color="auto"/>
                    <w:bottom w:val="none" w:sz="0" w:space="0" w:color="auto"/>
                    <w:right w:val="none" w:sz="0" w:space="0" w:color="auto"/>
                  </w:divBdr>
                  <w:divsChild>
                    <w:div w:id="17716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n-data03.vn.root\temjako\Kotihakemistot\temheinovi1\Documents\Palkkatuki\Kv-vertailua%20ty&#246;ryhm&#228;lle%2007112017\employment%20incentiv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239609812552958E-2"/>
          <c:y val="0.26701546667899995"/>
          <c:w val="0.84774384132101599"/>
          <c:h val="0.46959432702491138"/>
        </c:manualLayout>
      </c:layout>
      <c:barChart>
        <c:barDir val="col"/>
        <c:grouping val="clustered"/>
        <c:varyColors val="0"/>
        <c:ser>
          <c:idx val="0"/>
          <c:order val="0"/>
          <c:tx>
            <c:strRef>
              <c:f>Taul1!$B$1</c:f>
              <c:strCache>
                <c:ptCount val="1"/>
                <c:pt idx="0">
                  <c:v>2012</c:v>
                </c:pt>
              </c:strCache>
            </c:strRef>
          </c:tx>
          <c:invertIfNegative val="0"/>
          <c:cat>
            <c:strRef>
              <c:f>Taul1!$A$2:$A$11</c:f>
              <c:strCache>
                <c:ptCount val="10"/>
                <c:pt idx="0">
                  <c:v>Belgia</c:v>
                </c:pt>
                <c:pt idx="1">
                  <c:v>Tanska</c:v>
                </c:pt>
                <c:pt idx="2">
                  <c:v>Saksa</c:v>
                </c:pt>
                <c:pt idx="3">
                  <c:v>Viro</c:v>
                </c:pt>
                <c:pt idx="4">
                  <c:v>Alankomaat</c:v>
                </c:pt>
                <c:pt idx="5">
                  <c:v>Itävalta</c:v>
                </c:pt>
                <c:pt idx="6">
                  <c:v>Suomi</c:v>
                </c:pt>
                <c:pt idx="7">
                  <c:v>Ruotsi</c:v>
                </c:pt>
                <c:pt idx="8">
                  <c:v>Norja</c:v>
                </c:pt>
                <c:pt idx="9">
                  <c:v>EU mediaani</c:v>
                </c:pt>
              </c:strCache>
            </c:strRef>
          </c:cat>
          <c:val>
            <c:numRef>
              <c:f>Taul1!$B$2:$B$11</c:f>
              <c:numCache>
                <c:formatCode>#,##0.000</c:formatCode>
                <c:ptCount val="10"/>
                <c:pt idx="0">
                  <c:v>0.223</c:v>
                </c:pt>
                <c:pt idx="1">
                  <c:v>0.38200000000000001</c:v>
                </c:pt>
                <c:pt idx="2">
                  <c:v>3.2000000000000001E-2</c:v>
                </c:pt>
                <c:pt idx="3">
                  <c:v>2.3E-2</c:v>
                </c:pt>
                <c:pt idx="4">
                  <c:v>7.8E-2</c:v>
                </c:pt>
                <c:pt idx="5">
                  <c:v>3.5000000000000003E-2</c:v>
                </c:pt>
                <c:pt idx="6">
                  <c:v>0.14599999999999999</c:v>
                </c:pt>
                <c:pt idx="7">
                  <c:v>0.64100000000000001</c:v>
                </c:pt>
                <c:pt idx="8">
                  <c:v>9.4E-2</c:v>
                </c:pt>
                <c:pt idx="9">
                  <c:v>0.08</c:v>
                </c:pt>
              </c:numCache>
            </c:numRef>
          </c:val>
        </c:ser>
        <c:ser>
          <c:idx val="1"/>
          <c:order val="1"/>
          <c:tx>
            <c:strRef>
              <c:f>Taul1!$C$1</c:f>
              <c:strCache>
                <c:ptCount val="1"/>
                <c:pt idx="0">
                  <c:v>2013</c:v>
                </c:pt>
              </c:strCache>
            </c:strRef>
          </c:tx>
          <c:invertIfNegative val="0"/>
          <c:cat>
            <c:strRef>
              <c:f>Taul1!$A$2:$A$11</c:f>
              <c:strCache>
                <c:ptCount val="10"/>
                <c:pt idx="0">
                  <c:v>Belgia</c:v>
                </c:pt>
                <c:pt idx="1">
                  <c:v>Tanska</c:v>
                </c:pt>
                <c:pt idx="2">
                  <c:v>Saksa</c:v>
                </c:pt>
                <c:pt idx="3">
                  <c:v>Viro</c:v>
                </c:pt>
                <c:pt idx="4">
                  <c:v>Alankomaat</c:v>
                </c:pt>
                <c:pt idx="5">
                  <c:v>Itävalta</c:v>
                </c:pt>
                <c:pt idx="6">
                  <c:v>Suomi</c:v>
                </c:pt>
                <c:pt idx="7">
                  <c:v>Ruotsi</c:v>
                </c:pt>
                <c:pt idx="8">
                  <c:v>Norja</c:v>
                </c:pt>
                <c:pt idx="9">
                  <c:v>EU mediaani</c:v>
                </c:pt>
              </c:strCache>
            </c:strRef>
          </c:cat>
          <c:val>
            <c:numRef>
              <c:f>Taul1!$C$2:$C$11</c:f>
              <c:numCache>
                <c:formatCode>#,##0.000</c:formatCode>
                <c:ptCount val="10"/>
                <c:pt idx="0">
                  <c:v>0.14799999999999999</c:v>
                </c:pt>
                <c:pt idx="1">
                  <c:v>0.39300000000000002</c:v>
                </c:pt>
                <c:pt idx="2">
                  <c:v>2.1000000000000001E-2</c:v>
                </c:pt>
                <c:pt idx="3">
                  <c:v>1.9E-2</c:v>
                </c:pt>
                <c:pt idx="4">
                  <c:v>7.3999999999999996E-2</c:v>
                </c:pt>
                <c:pt idx="5">
                  <c:v>0.04</c:v>
                </c:pt>
                <c:pt idx="6">
                  <c:v>0.157</c:v>
                </c:pt>
                <c:pt idx="7">
                  <c:v>0.64500000000000002</c:v>
                </c:pt>
                <c:pt idx="8">
                  <c:v>9.4E-2</c:v>
                </c:pt>
                <c:pt idx="9">
                  <c:v>7.0000000000000007E-2</c:v>
                </c:pt>
              </c:numCache>
            </c:numRef>
          </c:val>
        </c:ser>
        <c:ser>
          <c:idx val="2"/>
          <c:order val="2"/>
          <c:tx>
            <c:strRef>
              <c:f>Taul1!$D$1</c:f>
              <c:strCache>
                <c:ptCount val="1"/>
                <c:pt idx="0">
                  <c:v>2014</c:v>
                </c:pt>
              </c:strCache>
            </c:strRef>
          </c:tx>
          <c:invertIfNegative val="0"/>
          <c:cat>
            <c:strRef>
              <c:f>Taul1!$A$2:$A$11</c:f>
              <c:strCache>
                <c:ptCount val="10"/>
                <c:pt idx="0">
                  <c:v>Belgia</c:v>
                </c:pt>
                <c:pt idx="1">
                  <c:v>Tanska</c:v>
                </c:pt>
                <c:pt idx="2">
                  <c:v>Saksa</c:v>
                </c:pt>
                <c:pt idx="3">
                  <c:v>Viro</c:v>
                </c:pt>
                <c:pt idx="4">
                  <c:v>Alankomaat</c:v>
                </c:pt>
                <c:pt idx="5">
                  <c:v>Itävalta</c:v>
                </c:pt>
                <c:pt idx="6">
                  <c:v>Suomi</c:v>
                </c:pt>
                <c:pt idx="7">
                  <c:v>Ruotsi</c:v>
                </c:pt>
                <c:pt idx="8">
                  <c:v>Norja</c:v>
                </c:pt>
                <c:pt idx="9">
                  <c:v>EU mediaani</c:v>
                </c:pt>
              </c:strCache>
            </c:strRef>
          </c:cat>
          <c:val>
            <c:numRef>
              <c:f>Taul1!$D$2:$D$11</c:f>
              <c:numCache>
                <c:formatCode>#,##0.000</c:formatCode>
                <c:ptCount val="10"/>
                <c:pt idx="0">
                  <c:v>0.156</c:v>
                </c:pt>
                <c:pt idx="1">
                  <c:v>0.41699999999999998</c:v>
                </c:pt>
                <c:pt idx="2">
                  <c:v>0.02</c:v>
                </c:pt>
                <c:pt idx="3">
                  <c:v>1.4999999999999999E-2</c:v>
                </c:pt>
                <c:pt idx="4">
                  <c:v>7.4999999999999997E-2</c:v>
                </c:pt>
                <c:pt idx="5">
                  <c:v>4.3999999999999997E-2</c:v>
                </c:pt>
                <c:pt idx="6">
                  <c:v>0.156</c:v>
                </c:pt>
                <c:pt idx="7">
                  <c:v>0.65</c:v>
                </c:pt>
                <c:pt idx="8">
                  <c:v>9.0999999999999998E-2</c:v>
                </c:pt>
                <c:pt idx="9">
                  <c:v>7.3499999999999996E-2</c:v>
                </c:pt>
              </c:numCache>
            </c:numRef>
          </c:val>
        </c:ser>
        <c:ser>
          <c:idx val="3"/>
          <c:order val="3"/>
          <c:tx>
            <c:strRef>
              <c:f>Taul1!$E$1</c:f>
              <c:strCache>
                <c:ptCount val="1"/>
                <c:pt idx="0">
                  <c:v>2015</c:v>
                </c:pt>
              </c:strCache>
            </c:strRef>
          </c:tx>
          <c:invertIfNegative val="0"/>
          <c:cat>
            <c:strRef>
              <c:f>Taul1!$A$2:$A$11</c:f>
              <c:strCache>
                <c:ptCount val="10"/>
                <c:pt idx="0">
                  <c:v>Belgia</c:v>
                </c:pt>
                <c:pt idx="1">
                  <c:v>Tanska</c:v>
                </c:pt>
                <c:pt idx="2">
                  <c:v>Saksa</c:v>
                </c:pt>
                <c:pt idx="3">
                  <c:v>Viro</c:v>
                </c:pt>
                <c:pt idx="4">
                  <c:v>Alankomaat</c:v>
                </c:pt>
                <c:pt idx="5">
                  <c:v>Itävalta</c:v>
                </c:pt>
                <c:pt idx="6">
                  <c:v>Suomi</c:v>
                </c:pt>
                <c:pt idx="7">
                  <c:v>Ruotsi</c:v>
                </c:pt>
                <c:pt idx="8">
                  <c:v>Norja</c:v>
                </c:pt>
                <c:pt idx="9">
                  <c:v>EU mediaani</c:v>
                </c:pt>
              </c:strCache>
            </c:strRef>
          </c:cat>
          <c:val>
            <c:numRef>
              <c:f>Taul1!$E$2:$E$11</c:f>
              <c:numCache>
                <c:formatCode>#,##0.000</c:formatCode>
                <c:ptCount val="10"/>
                <c:pt idx="0">
                  <c:v>0.16200000000000001</c:v>
                </c:pt>
                <c:pt idx="1">
                  <c:v>0.28799999999999998</c:v>
                </c:pt>
                <c:pt idx="2">
                  <c:v>2.1000000000000001E-2</c:v>
                </c:pt>
                <c:pt idx="3">
                  <c:v>1.4E-2</c:v>
                </c:pt>
                <c:pt idx="4">
                  <c:v>6.7000000000000004E-2</c:v>
                </c:pt>
                <c:pt idx="5">
                  <c:v>0.04</c:v>
                </c:pt>
                <c:pt idx="6">
                  <c:v>0.121</c:v>
                </c:pt>
                <c:pt idx="7">
                  <c:v>0.60399999999999998</c:v>
                </c:pt>
                <c:pt idx="8">
                  <c:v>9.9000000000000005E-2</c:v>
                </c:pt>
                <c:pt idx="9">
                  <c:v>6.8000000000000005E-2</c:v>
                </c:pt>
              </c:numCache>
            </c:numRef>
          </c:val>
        </c:ser>
        <c:dLbls>
          <c:showLegendKey val="0"/>
          <c:showVal val="0"/>
          <c:showCatName val="0"/>
          <c:showSerName val="0"/>
          <c:showPercent val="0"/>
          <c:showBubbleSize val="0"/>
        </c:dLbls>
        <c:gapWidth val="150"/>
        <c:axId val="35632640"/>
        <c:axId val="35634176"/>
      </c:barChart>
      <c:catAx>
        <c:axId val="35632640"/>
        <c:scaling>
          <c:orientation val="minMax"/>
        </c:scaling>
        <c:delete val="0"/>
        <c:axPos val="b"/>
        <c:numFmt formatCode="General" sourceLinked="1"/>
        <c:majorTickMark val="out"/>
        <c:minorTickMark val="none"/>
        <c:tickLblPos val="nextTo"/>
        <c:crossAx val="35634176"/>
        <c:crosses val="autoZero"/>
        <c:auto val="1"/>
        <c:lblAlgn val="ctr"/>
        <c:lblOffset val="100"/>
        <c:noMultiLvlLbl val="0"/>
      </c:catAx>
      <c:valAx>
        <c:axId val="35634176"/>
        <c:scaling>
          <c:orientation val="minMax"/>
        </c:scaling>
        <c:delete val="0"/>
        <c:axPos val="l"/>
        <c:majorGridlines/>
        <c:numFmt formatCode="#,##0.0" sourceLinked="0"/>
        <c:majorTickMark val="out"/>
        <c:minorTickMark val="none"/>
        <c:tickLblPos val="nextTo"/>
        <c:crossAx val="35632640"/>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0.20768</cdr:x>
      <cdr:y>0.03377</cdr:y>
    </cdr:from>
    <cdr:to>
      <cdr:x>0.74409</cdr:x>
      <cdr:y>0.2729</cdr:y>
    </cdr:to>
    <cdr:sp macro="" textlink="">
      <cdr:nvSpPr>
        <cdr:cNvPr id="2" name="Tekstiruutu 1"/>
        <cdr:cNvSpPr txBox="1"/>
      </cdr:nvSpPr>
      <cdr:spPr>
        <a:xfrm xmlns:a="http://schemas.openxmlformats.org/drawingml/2006/main">
          <a:off x="1267336" y="110007"/>
          <a:ext cx="3273362" cy="7789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fi-FI" sz="1400" b="1"/>
            <a:t>Työllisyyden kannustinohjelmat</a:t>
          </a:r>
          <a:r>
            <a:rPr lang="fi-FI" sz="1400" b="1" baseline="0"/>
            <a:t>, käytetyn julkisen rahoituksen osuus bruttokansantuotteesta, % </a:t>
          </a:r>
          <a:endParaRPr lang="fi-FI" sz="1400" b="1"/>
        </a:p>
      </cdr:txBody>
    </cdr:sp>
  </cdr:relSizeAnchor>
</c:userShape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982</Words>
  <Characters>7956</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Heinonen Ville TEM</dc:creator>
  <cp:lastModifiedBy>Heinonen Ville TEM</cp:lastModifiedBy>
  <cp:revision>5</cp:revision>
  <dcterms:created xsi:type="dcterms:W3CDTF">2017-11-05T19:56:00Z</dcterms:created>
  <dcterms:modified xsi:type="dcterms:W3CDTF">2017-11-06T07:57:00Z</dcterms:modified>
</cp:coreProperties>
</file>