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0D" w:rsidRDefault="006E6A0D" w:rsidP="00FD0646">
      <w:pPr>
        <w:ind w:left="0"/>
      </w:pPr>
      <w:r w:rsidRPr="00563125">
        <w:rPr>
          <w:rFonts w:cs="Calibri"/>
          <w:caps/>
        </w:rPr>
        <w:t>Veronmaksajain Keskusliitto ry</w:t>
      </w:r>
      <w:r>
        <w:tab/>
      </w:r>
      <w:r w:rsidRPr="00563125">
        <w:rPr>
          <w:rFonts w:cs="Calibri"/>
          <w:caps/>
        </w:rPr>
        <w:t>Lausunto</w:t>
      </w:r>
      <w:r>
        <w:br/>
        <w:t>Kalevankatu 4</w:t>
      </w:r>
      <w:r>
        <w:tab/>
      </w:r>
      <w:r>
        <w:tab/>
      </w:r>
      <w:r>
        <w:tab/>
      </w:r>
      <w:r>
        <w:tab/>
      </w:r>
      <w:r>
        <w:br/>
        <w:t>00100 HELSINKI</w:t>
      </w:r>
      <w:r>
        <w:tab/>
      </w:r>
      <w:r>
        <w:tab/>
      </w:r>
      <w:r>
        <w:tab/>
        <w:t>11.4.2011</w:t>
      </w:r>
      <w:r>
        <w:br/>
      </w:r>
    </w:p>
    <w:p w:rsidR="006E6A0D" w:rsidRDefault="006E6A0D" w:rsidP="00FD0646">
      <w:pPr>
        <w:ind w:left="0"/>
      </w:pPr>
    </w:p>
    <w:p w:rsidR="006E6A0D" w:rsidRDefault="006E6A0D" w:rsidP="00FD0646">
      <w:pPr>
        <w:ind w:left="0"/>
      </w:pPr>
    </w:p>
    <w:p w:rsidR="006E6A0D" w:rsidRDefault="006E6A0D" w:rsidP="00FD0646">
      <w:pPr>
        <w:ind w:left="0"/>
      </w:pPr>
    </w:p>
    <w:p w:rsidR="006E6A0D" w:rsidRDefault="006E6A0D" w:rsidP="00277435">
      <w:pPr>
        <w:ind w:left="0"/>
      </w:pPr>
      <w:r>
        <w:t>Oikeusministeriö</w:t>
      </w:r>
      <w:r>
        <w:br/>
      </w:r>
    </w:p>
    <w:p w:rsidR="006E6A0D" w:rsidRPr="000A4B3D" w:rsidRDefault="006E6A0D" w:rsidP="00277435">
      <w:pPr>
        <w:ind w:left="0"/>
      </w:pPr>
      <w:r w:rsidRPr="000A4B3D">
        <w:t>PL 25</w:t>
      </w:r>
      <w:r w:rsidRPr="000A4B3D">
        <w:br/>
        <w:t>00023 VALTIONEUVOSTO</w:t>
      </w:r>
    </w:p>
    <w:p w:rsidR="006E6A0D" w:rsidRDefault="006E6A0D" w:rsidP="00FD0646">
      <w:pPr>
        <w:ind w:left="0"/>
      </w:pPr>
      <w:r>
        <w:tab/>
      </w:r>
      <w:r>
        <w:tab/>
      </w:r>
      <w:r>
        <w:tab/>
      </w:r>
      <w:r>
        <w:tab/>
      </w:r>
    </w:p>
    <w:p w:rsidR="006E6A0D" w:rsidRDefault="006E6A0D" w:rsidP="00FD0646">
      <w:pPr>
        <w:ind w:left="0"/>
      </w:pPr>
    </w:p>
    <w:p w:rsidR="006E6A0D" w:rsidRDefault="006E6A0D" w:rsidP="00FD0646">
      <w:pPr>
        <w:ind w:left="0"/>
      </w:pPr>
    </w:p>
    <w:p w:rsidR="006E6A0D" w:rsidRDefault="006E6A0D" w:rsidP="00FD0646">
      <w:pPr>
        <w:ind w:left="0"/>
      </w:pPr>
      <w:r>
        <w:t>E-mail</w:t>
      </w:r>
      <w:r>
        <w:tab/>
      </w:r>
      <w:hyperlink r:id="rId4" w:history="1">
        <w:r w:rsidRPr="009259D2">
          <w:rPr>
            <w:rStyle w:val="Hyperlink"/>
          </w:rPr>
          <w:t>oikeusministerio@om.fi</w:t>
        </w:r>
      </w:hyperlink>
    </w:p>
    <w:p w:rsidR="006E6A0D" w:rsidRDefault="006E6A0D" w:rsidP="00FD0646">
      <w:pPr>
        <w:ind w:left="0"/>
      </w:pPr>
    </w:p>
    <w:p w:rsidR="006E6A0D" w:rsidRDefault="006E6A0D" w:rsidP="00FD0646">
      <w:pPr>
        <w:ind w:left="0"/>
      </w:pPr>
      <w:r>
        <w:t>Viite</w:t>
      </w:r>
      <w:r>
        <w:tab/>
        <w:t>Lausuntopyyntö 9.2.2011 OM 12/41/2007, OM004:00/2008</w:t>
      </w:r>
    </w:p>
    <w:p w:rsidR="006E6A0D" w:rsidRDefault="006E6A0D" w:rsidP="00FD0646">
      <w:pPr>
        <w:ind w:left="0"/>
      </w:pPr>
      <w:r>
        <w:tab/>
        <w:t>Oikeusministeriön mietintöjä ja lausuntoja 4/2011</w:t>
      </w:r>
    </w:p>
    <w:p w:rsidR="006E6A0D" w:rsidRDefault="006E6A0D" w:rsidP="00FD0646">
      <w:pPr>
        <w:ind w:left="0"/>
      </w:pPr>
    </w:p>
    <w:p w:rsidR="006E6A0D" w:rsidRDefault="006E6A0D" w:rsidP="00FD0646">
      <w:pPr>
        <w:ind w:left="0"/>
      </w:pPr>
    </w:p>
    <w:p w:rsidR="006E6A0D" w:rsidRDefault="006E6A0D" w:rsidP="00FD0646">
      <w:pPr>
        <w:ind w:left="0"/>
      </w:pPr>
    </w:p>
    <w:p w:rsidR="006E6A0D" w:rsidRDefault="006E6A0D" w:rsidP="00FD0646">
      <w:pPr>
        <w:ind w:left="0"/>
      </w:pPr>
    </w:p>
    <w:p w:rsidR="006E6A0D" w:rsidRDefault="006E6A0D" w:rsidP="00FD0646">
      <w:pPr>
        <w:ind w:left="0"/>
      </w:pPr>
    </w:p>
    <w:p w:rsidR="006E6A0D" w:rsidRDefault="006E6A0D" w:rsidP="00FD0646">
      <w:pPr>
        <w:ind w:left="0"/>
      </w:pPr>
    </w:p>
    <w:p w:rsidR="006E6A0D" w:rsidRPr="00563125" w:rsidRDefault="006E6A0D" w:rsidP="00FD0646">
      <w:pPr>
        <w:ind w:left="0"/>
        <w:rPr>
          <w:rFonts w:cs="Calibri"/>
          <w:b/>
          <w:caps/>
        </w:rPr>
      </w:pPr>
      <w:r w:rsidRPr="00563125">
        <w:rPr>
          <w:rFonts w:cs="Calibri"/>
          <w:b/>
          <w:caps/>
        </w:rPr>
        <w:t xml:space="preserve">Lausunto </w:t>
      </w:r>
      <w:r>
        <w:rPr>
          <w:rFonts w:cs="Calibri"/>
          <w:b/>
          <w:caps/>
        </w:rPr>
        <w:t>työryhmän mietinnöstä: ”Oikeudenkäynti hallintoasioissa. Prosessityöryhmän mietintö”</w:t>
      </w:r>
    </w:p>
    <w:p w:rsidR="006E6A0D" w:rsidRPr="00380037" w:rsidRDefault="006E6A0D">
      <w:pPr>
        <w:rPr>
          <w:b/>
        </w:rPr>
      </w:pPr>
    </w:p>
    <w:p w:rsidR="006E6A0D" w:rsidRDefault="006E6A0D" w:rsidP="00563125">
      <w:pPr>
        <w:pStyle w:val="Heading3"/>
      </w:pPr>
      <w:r>
        <w:t>Työryhmän tehtävä ja periaatteelliset kannanotot</w:t>
      </w:r>
    </w:p>
    <w:p w:rsidR="006E6A0D" w:rsidRDefault="006E6A0D" w:rsidP="002F46B5"/>
    <w:p w:rsidR="006E6A0D" w:rsidRDefault="006E6A0D" w:rsidP="00220B1A">
      <w:r>
        <w:t>Työryhmä ehdottaa säädettäväksi lain oikeudenkäynnistä hallintoasioissa. Se korvaisi voimassa olevan hallintolainkäyttölain. Työryhmän ehdotuksen tarkoituksena on säätää hallintoasioita koskevasta oikeudenkäynnistä nykyistä täsmällisemmin ja informatiivisemmin muuttamatta keskeisiä hallintoprosessin periaatteita.</w:t>
      </w:r>
    </w:p>
    <w:p w:rsidR="006E6A0D" w:rsidRDefault="006E6A0D" w:rsidP="00220B1A"/>
    <w:p w:rsidR="006E6A0D" w:rsidRDefault="006E6A0D" w:rsidP="0098741C">
      <w:pPr>
        <w:pStyle w:val="Heading3"/>
      </w:pPr>
      <w:r>
        <w:t>Lausunnon rajaus</w:t>
      </w:r>
    </w:p>
    <w:p w:rsidR="006E6A0D" w:rsidRDefault="006E6A0D" w:rsidP="0098741C"/>
    <w:p w:rsidR="006E6A0D" w:rsidRDefault="006E6A0D" w:rsidP="0098741C">
      <w:r>
        <w:t>Veronmaksajain Keskusliitto ottaa tässä lausunnossa kantaa työryhmän ehdotuksiin siltä osin, kuin niillä on välitöntä vaikutusta veroasioiden muutoksenhaussa.</w:t>
      </w:r>
    </w:p>
    <w:p w:rsidR="006E6A0D" w:rsidRDefault="006E6A0D" w:rsidP="0098741C"/>
    <w:p w:rsidR="006E6A0D" w:rsidRDefault="006E6A0D" w:rsidP="0098741C"/>
    <w:p w:rsidR="006E6A0D" w:rsidRDefault="006E6A0D" w:rsidP="00382290">
      <w:pPr>
        <w:pStyle w:val="Heading3"/>
      </w:pPr>
      <w:r>
        <w:t>Lain soveltaminen veroprosessissa</w:t>
      </w:r>
    </w:p>
    <w:p w:rsidR="006E6A0D" w:rsidRDefault="006E6A0D" w:rsidP="00D7336F"/>
    <w:p w:rsidR="006E6A0D" w:rsidRDefault="006E6A0D" w:rsidP="00D7336F">
      <w:r>
        <w:t>Ehdotettu laki on yleislaki, jonka säännöksiä sovelletaan vain, jos asiasta ei ole säädetty muualla lainsäädännössä. Muutoksenhausta verotuksessa säädetään verotusmenettelylain 5-6 luvuissa, arvonlisäverolain 21 luvussa ja monissa muissa verolaeissa. Eri verolakien tuomioistuinprosessia koskevien säännösten kattavuus vaihtelee. Verolaeissa säädetään yleensä valitusoikeudesta, valitusajasta ja valitusluvasta haettaessa muutosta hallinto-oikeuden päätökseen korkeimmalta hallinto-oikeudelta.</w:t>
      </w:r>
    </w:p>
    <w:p w:rsidR="006E6A0D" w:rsidRDefault="006E6A0D" w:rsidP="00D7336F"/>
    <w:p w:rsidR="006E6A0D" w:rsidRDefault="006E6A0D" w:rsidP="00CB1069">
      <w:pPr>
        <w:pStyle w:val="Heading3"/>
      </w:pPr>
      <w:r>
        <w:t>Valitusoikeus</w:t>
      </w:r>
    </w:p>
    <w:p w:rsidR="006E6A0D" w:rsidRDefault="006E6A0D" w:rsidP="00CB1069"/>
    <w:p w:rsidR="006E6A0D" w:rsidRDefault="006E6A0D" w:rsidP="00CB1069">
      <w:r>
        <w:t>Useimmissa verolaeissa on säännökset veron huojentamisesta erityistilanteessa kohtuusperusteella. Näistä päätöksistä ei yleensä ole oikeutta valittaa. Tällainen säännös on esimerkiksi verotusmenettelylain 88 §:ssä.</w:t>
      </w:r>
    </w:p>
    <w:p w:rsidR="006E6A0D" w:rsidRDefault="006E6A0D" w:rsidP="00CB1069"/>
    <w:p w:rsidR="006E6A0D" w:rsidRDefault="006E6A0D" w:rsidP="00CB1069">
      <w:r>
        <w:t>Ehdotetun lain 7 §:ään on otettu yleinen ja ehdoton valitusoikeus perustuslain 21 §:n nojalla. Koska verotuslaeissa on erikseen säädetty valituskiellosta, väistyy ehdotettu yleislain säännös yleisestä valitusoikeudesta.</w:t>
      </w:r>
    </w:p>
    <w:p w:rsidR="006E6A0D" w:rsidRDefault="006E6A0D" w:rsidP="00CB1069"/>
    <w:p w:rsidR="006E6A0D" w:rsidRPr="00CB1069" w:rsidRDefault="006E6A0D" w:rsidP="00CB1069">
      <w:r>
        <w:t>Huojennuksen myöntäminen ei ole mikään valmisteleva toimi vaan viranomaisen laillisuusharkintaan perustuva päätös, jollaisesta pitäisi voida valittaa Suomen perustuslain ja Euroopan Ihmisoikeussopimuksen perusteella.</w:t>
      </w:r>
    </w:p>
    <w:p w:rsidR="006E6A0D" w:rsidRDefault="006E6A0D" w:rsidP="00D7336F"/>
    <w:p w:rsidR="006E6A0D" w:rsidRDefault="006E6A0D" w:rsidP="00D7336F">
      <w:pPr>
        <w:rPr>
          <w:b/>
        </w:rPr>
      </w:pPr>
      <w:r>
        <w:rPr>
          <w:b/>
        </w:rPr>
        <w:t>Veronmaksajain Keskusliitto esittää, että verolaeista poistetaan valituskiellot huojennuspäätöksistä.</w:t>
      </w:r>
    </w:p>
    <w:p w:rsidR="006E6A0D" w:rsidRDefault="006E6A0D" w:rsidP="00D7336F">
      <w:pPr>
        <w:rPr>
          <w:b/>
        </w:rPr>
      </w:pPr>
    </w:p>
    <w:p w:rsidR="006E6A0D" w:rsidRDefault="006E6A0D" w:rsidP="00CB10B7">
      <w:pPr>
        <w:pStyle w:val="Heading3"/>
      </w:pPr>
      <w:r>
        <w:t>Asiakokonaisuuden yhdistäminen</w:t>
      </w:r>
    </w:p>
    <w:p w:rsidR="006E6A0D" w:rsidRDefault="006E6A0D" w:rsidP="00CB10B7"/>
    <w:p w:rsidR="006E6A0D" w:rsidRDefault="006E6A0D" w:rsidP="00CB10B7">
      <w:r>
        <w:t xml:space="preserve">Ehdotetun lain 14 § n nojalla eri hallinto-oikeuksissa vireillä olevat, samaan asiakokonaisuuteen kuuluvat asiat voitaisiin yhdistää. Verotuksessa on lukuisia tyyppitilanteita, joissa samaa tapahtumaa arvioidaan eri hallinto-oikeuksissa. Tällainen asia voisi olla esimerkiksi valitus peitellyn osingon verotuksesta, kun yhtiön ja osakkaan tai osakkaiden valitukset ohjautuvat eri hallinto-oikeuksiin verovelvollisten kotipaikkojen perusteella. </w:t>
      </w:r>
    </w:p>
    <w:p w:rsidR="006E6A0D" w:rsidRDefault="006E6A0D" w:rsidP="00CB10B7"/>
    <w:p w:rsidR="006E6A0D" w:rsidRDefault="006E6A0D" w:rsidP="00CB10B7">
      <w:r>
        <w:t>Ehdotuksen mukaan yhdistämisen edellytyksenä on, että asioiden käsitteleminen yhdessä on erityisestä syystä tarpeen. Vaatimus on kirjattu ehdotettuun lakiin tarpeettoman jyrkkänä. Koska yhdistämisestä päättävät aina siirtävä ja vastaanottava hallinto-oikeus yhdessä ja koska asianosaisille ei ole säädetty ehdotonta oikeutta saada asiaa siirretyksi, vaatimus erityisestä syystä voitaisiin jättää laista pois.</w:t>
      </w:r>
    </w:p>
    <w:p w:rsidR="006E6A0D" w:rsidRDefault="006E6A0D" w:rsidP="00CB10B7"/>
    <w:p w:rsidR="006E6A0D" w:rsidRDefault="006E6A0D" w:rsidP="00CB10B7">
      <w:pPr>
        <w:rPr>
          <w:b/>
        </w:rPr>
      </w:pPr>
      <w:r>
        <w:rPr>
          <w:b/>
        </w:rPr>
        <w:t>Veronmaksajain Keskusliitto ehdottaa, että lakiehdotuksen 14 § 1 momentin 2 kohdasta jätetään pois sanat ”erityisestä syystä”.</w:t>
      </w:r>
    </w:p>
    <w:p w:rsidR="006E6A0D" w:rsidRDefault="006E6A0D" w:rsidP="00CB10B7">
      <w:pPr>
        <w:rPr>
          <w:b/>
        </w:rPr>
      </w:pPr>
    </w:p>
    <w:p w:rsidR="006E6A0D" w:rsidRDefault="006E6A0D" w:rsidP="003C6125">
      <w:pPr>
        <w:pStyle w:val="Heading3"/>
      </w:pPr>
      <w:r>
        <w:t>Oikeudenkäyntikulut</w:t>
      </w:r>
    </w:p>
    <w:p w:rsidR="006E6A0D" w:rsidRDefault="006E6A0D" w:rsidP="003C6125"/>
    <w:p w:rsidR="006E6A0D" w:rsidRDefault="006E6A0D" w:rsidP="003C6125">
      <w:r>
        <w:t>Tuloverotuksessa verovelvolliset on velvoitettu itse ja oma-aloitteisesti ilmoittamaan veronalaiset tulonsa. Välillinen verotus ja työnantajan velvoitteet ovat pääosin ns. itseverotusta, jossa verovelvollinen oma-aloitteisesti laskee ja tilittää säädetyt verot ja maksut.</w:t>
      </w:r>
    </w:p>
    <w:p w:rsidR="006E6A0D" w:rsidRDefault="006E6A0D" w:rsidP="003C6125"/>
    <w:p w:rsidR="006E6A0D" w:rsidRDefault="006E6A0D" w:rsidP="003C6125">
      <w:r>
        <w:t>Verotus koskee lähes kaikkea taloudellista toiminta. Säännökset ovat monimutkaisia, niihin sisältyy tulkintamahdollisuuksia ja säännökset  muuttuvat usein. Voidakseen valvoa laillisia oikeuksiaan, verovelvolliset joutuvat turvautumaan ulkopuolisiin asiantuntijoihin.</w:t>
      </w:r>
    </w:p>
    <w:p w:rsidR="006E6A0D" w:rsidRDefault="006E6A0D" w:rsidP="003C6125"/>
    <w:p w:rsidR="006E6A0D" w:rsidRDefault="006E6A0D" w:rsidP="003C6125">
      <w:r>
        <w:t>On kohtuullista edellyttää, että Verohallinto tekee lain mukaisen verotuspäätöksen verovelvollisen täytettyä laajan ilmoitusvelvollisuutensa. VML 26.6 §:n mukaan veroviranomaisen on tutkittava saamansa tiedot ja selvitykset tavalla, joka asian laatu, laajuus, verovelvollisten yhdenmukainen kohtelu ja verovalvonnan tarpeet huomioon ottaen on perusteltua. Jos veronmaksaja joutuu turvautumaan muutoksenhakuun laillisen päätöksen saadakseen, tulee hallinnon vastata tarpeellisista muutoksenhakukuluista.</w:t>
      </w:r>
    </w:p>
    <w:p w:rsidR="006E6A0D" w:rsidRDefault="006E6A0D" w:rsidP="003C6125"/>
    <w:p w:rsidR="006E6A0D" w:rsidRDefault="006E6A0D" w:rsidP="003C6125">
      <w:r>
        <w:t>Ehdotuksen mukaan yksityisen asianosaisen oikeudenkäyntikulut korvataan, jos oikeudenkäynti on aiheutunut siitä, että viranomainen on ylittänyt toimivaltansa, käyttänyt harkintavaltaansa väärin tai toiminut muuten selvästi lainvastaisesti. Verolakien kirjoitustapa mahdollistaa hyvinkin laajan tulkinnan, ilman että viranomainen vielä ylittänyt toimivaltaansa tai menetellyt selvästi lain vastaisesti. Ehdotettu 97 § voisi käytännössä kaventaa veronmaksajan mahdollisuutta saada korvausta välttämättömistä oikeudenkäyntikuluistaan.</w:t>
      </w:r>
    </w:p>
    <w:p w:rsidR="006E6A0D" w:rsidRDefault="006E6A0D" w:rsidP="003C6125"/>
    <w:p w:rsidR="006E6A0D" w:rsidRDefault="006E6A0D" w:rsidP="003C6125">
      <w:r>
        <w:t>Lainsäätäjä on osa sitä julkista valtaa, jolle verot kerätään. Epäselvä lainsäädäntö ei missään tapauksessa voi olla peruste evätä oikeussuhteen heikommalta osapuolelta eli veronmaksajalta oikeutta oikeudenkäyntikulujensa korvaukseen, jos verotus todetaan hallintotuomioistuimessa virheellisesti toimitetuksi.</w:t>
      </w:r>
    </w:p>
    <w:p w:rsidR="006E6A0D" w:rsidRDefault="006E6A0D" w:rsidP="003C6125"/>
    <w:p w:rsidR="006E6A0D" w:rsidRDefault="006E6A0D" w:rsidP="003C6125">
      <w:r>
        <w:t>Verohallinnossa toimiva Veronsaajien oikeudenvalvontayksikkö on ottanut tehtäväkseen viedä korkeimpaan hallinto-oikeuteen asioita, joissa on tai saattaa olla tulkintakysymyksiä. Veronsaajien oikeudenvalvontayksikön ollessa muutoksenhakijana on verovelvollisella oltava mahdollisuus ajaa asiaansa vähintään samantasoista asiantuntemusta käyttäen, kuin veronsaajilla on käytettävissään. Erityisesti vastatessaan Veronsaajien oikeudenvalvontayksikön muutoshakemukseen, on veronmaksajan oikeudenkäyntikulut korvattava vaikka verotusta muutettaisiin veronmaksajan vahingoksi. Sellaisessa tilanteessahan veronmaksaja joutuu puolustamaan Verohallinnon yhden osan tekemää päätöstä Verohallinnon toisen osan muutosvaatimusta vastaan.</w:t>
      </w:r>
    </w:p>
    <w:p w:rsidR="006E6A0D" w:rsidRDefault="006E6A0D" w:rsidP="003C6125"/>
    <w:p w:rsidR="006E6A0D" w:rsidRPr="006C2A72" w:rsidRDefault="006E6A0D" w:rsidP="003C6125">
      <w:pPr>
        <w:rPr>
          <w:b/>
        </w:rPr>
      </w:pPr>
      <w:r>
        <w:rPr>
          <w:b/>
        </w:rPr>
        <w:t>Veronmaksajain Keskusliitto vaatii lakiehdotusta muutettavaksi niin, että veronsaajat velvoitetaan korvaamaan kaikki verovelvollisen oikeudenkäyntikulut, jos verotuspäätöstä muutetaan verovelvollisen vaatimuksesta tai tuomioistuin hylkää kokonaan tai osittain Veronsaajien oikeudenvalvontayksikön muutosvaatimuksen ellei oikeudenkäynnin voida osoittaa johtuneen ensisijaisesti verovelvollisen laiminlyönnistä tai virheestä. Lisäksi veronmaksajan oikeudenkäyntikulut on korvattava hallinto-oikeuden ratkaisun lopputuloksesta riippumatta, jos muutosvaatimuksen tekijänä on Veronsaajien oikeudenvalvontayksikkö.</w:t>
      </w:r>
    </w:p>
    <w:p w:rsidR="006E6A0D" w:rsidRDefault="006E6A0D" w:rsidP="00B37262">
      <w:pPr>
        <w:pStyle w:val="Heading3"/>
      </w:pPr>
      <w:r>
        <w:t>Allekirjoitukset</w:t>
      </w:r>
    </w:p>
    <w:p w:rsidR="006E6A0D" w:rsidRDefault="006E6A0D" w:rsidP="00B37262"/>
    <w:p w:rsidR="006E6A0D" w:rsidRPr="00B37262" w:rsidRDefault="006E6A0D" w:rsidP="00B37262"/>
    <w:p w:rsidR="006E6A0D" w:rsidRDefault="006E6A0D" w:rsidP="00137B58">
      <w:pPr>
        <w:rPr>
          <w:b/>
        </w:rPr>
      </w:pPr>
    </w:p>
    <w:p w:rsidR="006E6A0D" w:rsidRPr="00346F73" w:rsidRDefault="006E6A0D" w:rsidP="00137B58">
      <w:pPr>
        <w:rPr>
          <w:b/>
        </w:rPr>
      </w:pPr>
    </w:p>
    <w:p w:rsidR="006E6A0D" w:rsidRPr="00137B58" w:rsidRDefault="006E6A0D" w:rsidP="00137B58"/>
    <w:p w:rsidR="006E6A0D" w:rsidRDefault="006E6A0D" w:rsidP="00220B1A">
      <w:r>
        <w:t>Teemu Lehtinen</w:t>
      </w:r>
      <w:r>
        <w:tab/>
      </w:r>
      <w:r>
        <w:tab/>
        <w:t>Vesa Korpela</w:t>
      </w:r>
    </w:p>
    <w:p w:rsidR="006E6A0D" w:rsidRDefault="006E6A0D" w:rsidP="00220B1A">
      <w:r>
        <w:t>toimitusjohtaja</w:t>
      </w:r>
      <w:r>
        <w:tab/>
      </w:r>
      <w:r>
        <w:tab/>
        <w:t>lakiasiain johtaja</w:t>
      </w:r>
    </w:p>
    <w:sectPr w:rsidR="006E6A0D" w:rsidSect="00F7789A">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6B5"/>
    <w:rsid w:val="00000076"/>
    <w:rsid w:val="00010561"/>
    <w:rsid w:val="0001723E"/>
    <w:rsid w:val="000540D4"/>
    <w:rsid w:val="0007479B"/>
    <w:rsid w:val="00075F6A"/>
    <w:rsid w:val="000A4B3D"/>
    <w:rsid w:val="000B7271"/>
    <w:rsid w:val="000D07C6"/>
    <w:rsid w:val="001034F5"/>
    <w:rsid w:val="00137B58"/>
    <w:rsid w:val="001A2B83"/>
    <w:rsid w:val="00220B1A"/>
    <w:rsid w:val="0025133B"/>
    <w:rsid w:val="00255108"/>
    <w:rsid w:val="00277435"/>
    <w:rsid w:val="002B7493"/>
    <w:rsid w:val="002F46B5"/>
    <w:rsid w:val="003079A4"/>
    <w:rsid w:val="003133EE"/>
    <w:rsid w:val="00316483"/>
    <w:rsid w:val="00346F73"/>
    <w:rsid w:val="00361724"/>
    <w:rsid w:val="00380037"/>
    <w:rsid w:val="00382290"/>
    <w:rsid w:val="003A12E2"/>
    <w:rsid w:val="003C6125"/>
    <w:rsid w:val="003D51F3"/>
    <w:rsid w:val="003E597F"/>
    <w:rsid w:val="003F0258"/>
    <w:rsid w:val="003F1A0F"/>
    <w:rsid w:val="00417A47"/>
    <w:rsid w:val="00421045"/>
    <w:rsid w:val="00466AF9"/>
    <w:rsid w:val="004908A0"/>
    <w:rsid w:val="00513B78"/>
    <w:rsid w:val="00521C82"/>
    <w:rsid w:val="00546D42"/>
    <w:rsid w:val="00563125"/>
    <w:rsid w:val="005C10F3"/>
    <w:rsid w:val="005C246F"/>
    <w:rsid w:val="00613338"/>
    <w:rsid w:val="0066511C"/>
    <w:rsid w:val="00697596"/>
    <w:rsid w:val="006A3463"/>
    <w:rsid w:val="006C2A72"/>
    <w:rsid w:val="006C3001"/>
    <w:rsid w:val="006E35CE"/>
    <w:rsid w:val="006E6A0D"/>
    <w:rsid w:val="007C495E"/>
    <w:rsid w:val="007F3143"/>
    <w:rsid w:val="00810118"/>
    <w:rsid w:val="00840AC8"/>
    <w:rsid w:val="008D5BF4"/>
    <w:rsid w:val="008F11B4"/>
    <w:rsid w:val="009259D2"/>
    <w:rsid w:val="00942DA1"/>
    <w:rsid w:val="0098741C"/>
    <w:rsid w:val="009B0561"/>
    <w:rsid w:val="009B7B4B"/>
    <w:rsid w:val="00A5430E"/>
    <w:rsid w:val="00A70DDE"/>
    <w:rsid w:val="00AE3803"/>
    <w:rsid w:val="00B01F78"/>
    <w:rsid w:val="00B37262"/>
    <w:rsid w:val="00B52BFA"/>
    <w:rsid w:val="00B8658A"/>
    <w:rsid w:val="00B96AA7"/>
    <w:rsid w:val="00BC3B7C"/>
    <w:rsid w:val="00BE4FC3"/>
    <w:rsid w:val="00C01B7E"/>
    <w:rsid w:val="00C45062"/>
    <w:rsid w:val="00C469FF"/>
    <w:rsid w:val="00C814D3"/>
    <w:rsid w:val="00C875A1"/>
    <w:rsid w:val="00CB1069"/>
    <w:rsid w:val="00CB10B7"/>
    <w:rsid w:val="00CB7B89"/>
    <w:rsid w:val="00D7336F"/>
    <w:rsid w:val="00D90E78"/>
    <w:rsid w:val="00D945EE"/>
    <w:rsid w:val="00D96CE2"/>
    <w:rsid w:val="00DB15F6"/>
    <w:rsid w:val="00DB354C"/>
    <w:rsid w:val="00DC2994"/>
    <w:rsid w:val="00DE651D"/>
    <w:rsid w:val="00DE7B3B"/>
    <w:rsid w:val="00E2223E"/>
    <w:rsid w:val="00E469CC"/>
    <w:rsid w:val="00E55E1D"/>
    <w:rsid w:val="00E60610"/>
    <w:rsid w:val="00E7104C"/>
    <w:rsid w:val="00EE0B7E"/>
    <w:rsid w:val="00EF05F1"/>
    <w:rsid w:val="00F149DC"/>
    <w:rsid w:val="00F7789A"/>
    <w:rsid w:val="00F813CE"/>
    <w:rsid w:val="00F87F6F"/>
    <w:rsid w:val="00F90909"/>
    <w:rsid w:val="00FD0646"/>
    <w:rsid w:val="00FF6794"/>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A7"/>
    <w:pPr>
      <w:ind w:left="1304"/>
    </w:pPr>
    <w:rPr>
      <w:rFonts w:ascii="Arial" w:hAnsi="Arial"/>
      <w:sz w:val="24"/>
      <w:lang w:eastAsia="en-US"/>
    </w:rPr>
  </w:style>
  <w:style w:type="paragraph" w:styleId="Heading3">
    <w:name w:val="heading 3"/>
    <w:basedOn w:val="Normal"/>
    <w:next w:val="Normal"/>
    <w:link w:val="Heading3Char"/>
    <w:uiPriority w:val="99"/>
    <w:qFormat/>
    <w:rsid w:val="005C10F3"/>
    <w:pPr>
      <w:keepNext/>
      <w:keepLines/>
      <w:spacing w:before="200"/>
      <w:ind w:left="0"/>
      <w:outlineLvl w:val="2"/>
    </w:pPr>
    <w:rPr>
      <w:rFonts w:eastAsia="Times New Roman" w:cs="Cambria"/>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C10F3"/>
    <w:rPr>
      <w:rFonts w:ascii="Arial" w:hAnsi="Arial" w:cs="Cambria"/>
      <w:b/>
      <w:bCs/>
      <w:sz w:val="24"/>
    </w:rPr>
  </w:style>
  <w:style w:type="character" w:styleId="Hyperlink">
    <w:name w:val="Hyperlink"/>
    <w:basedOn w:val="DefaultParagraphFont"/>
    <w:uiPriority w:val="99"/>
    <w:rsid w:val="00220B1A"/>
    <w:rPr>
      <w:rFonts w:cs="Times New Roman"/>
      <w:color w:val="0000FF"/>
      <w:u w:val="single"/>
    </w:rPr>
  </w:style>
  <w:style w:type="paragraph" w:styleId="DocumentMap">
    <w:name w:val="Document Map"/>
    <w:basedOn w:val="Normal"/>
    <w:link w:val="DocumentMapChar"/>
    <w:uiPriority w:val="99"/>
    <w:semiHidden/>
    <w:rsid w:val="00DB354C"/>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B354C"/>
    <w:rPr>
      <w:rFonts w:ascii="Tahoma" w:hAnsi="Tahoma" w:cs="Tahoma"/>
      <w:sz w:val="16"/>
      <w:szCs w:val="16"/>
    </w:rPr>
  </w:style>
  <w:style w:type="paragraph" w:styleId="BalloonText">
    <w:name w:val="Balloon Text"/>
    <w:basedOn w:val="Normal"/>
    <w:link w:val="BalloonTextChar"/>
    <w:uiPriority w:val="99"/>
    <w:semiHidden/>
    <w:rsid w:val="00DC29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2994"/>
    <w:rPr>
      <w:rFonts w:ascii="Tahoma" w:hAnsi="Tahoma" w:cs="Tahoma"/>
      <w:sz w:val="16"/>
      <w:szCs w:val="16"/>
    </w:rPr>
  </w:style>
  <w:style w:type="character" w:styleId="Strong">
    <w:name w:val="Strong"/>
    <w:basedOn w:val="DefaultParagraphFont"/>
    <w:uiPriority w:val="99"/>
    <w:qFormat/>
    <w:rsid w:val="00C814D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keusministerio@om.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o\AppData\Roaming\Microsoft\Mallit\lausunt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lausunto.dotx</Template>
  <TotalTime>1</TotalTime>
  <Pages>4</Pages>
  <Words>727</Words>
  <Characters>5897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VERONMAKSAJAIN KESKUSLIITTO RY</dc:title>
  <dc:subject/>
  <dc:creator>Veronmaksajat</dc:creator>
  <cp:keywords/>
  <dc:description/>
  <cp:lastModifiedBy>Irene Luomala</cp:lastModifiedBy>
  <cp:revision>2</cp:revision>
  <cp:lastPrinted>2011-04-11T08:30:00Z</cp:lastPrinted>
  <dcterms:created xsi:type="dcterms:W3CDTF">2011-04-11T08:31:00Z</dcterms:created>
  <dcterms:modified xsi:type="dcterms:W3CDTF">2011-04-11T08:31:00Z</dcterms:modified>
</cp:coreProperties>
</file>