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80" w:rsidRDefault="00614380" w:rsidP="008C72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Alustavat luonnokset pykälämuutoksiksi</w:t>
      </w:r>
    </w:p>
    <w:p w:rsidR="00614380" w:rsidRPr="00223726" w:rsidRDefault="00614380" w:rsidP="008C72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Puolustusministeriö on luonnostellut oman hallinnon alansa säädösten osalta seuraavat alustavat pykälämuutosehdotukset. </w:t>
      </w:r>
    </w:p>
    <w:p w:rsidR="00614380" w:rsidRDefault="00614380" w:rsidP="008C72B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14380" w:rsidRPr="00164E53" w:rsidRDefault="00614380" w:rsidP="008C72B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164E53">
        <w:rPr>
          <w:rFonts w:ascii="Times New Roman" w:hAnsi="Times New Roman"/>
          <w:b/>
          <w:sz w:val="24"/>
          <w:szCs w:val="24"/>
        </w:rPr>
        <w:t>. Laki puolustusvoimista annetun lain 14 §:n 5 momentin ja 15 §:n 5 momentin muuttamise</w:t>
      </w:r>
      <w:r w:rsidRPr="00164E53">
        <w:rPr>
          <w:rFonts w:ascii="Times New Roman" w:hAnsi="Times New Roman"/>
          <w:b/>
          <w:sz w:val="24"/>
          <w:szCs w:val="24"/>
        </w:rPr>
        <w:t>s</w:t>
      </w:r>
      <w:r w:rsidRPr="00164E53">
        <w:rPr>
          <w:rFonts w:ascii="Times New Roman" w:hAnsi="Times New Roman"/>
          <w:b/>
          <w:sz w:val="24"/>
          <w:szCs w:val="24"/>
        </w:rPr>
        <w:t>ta</w:t>
      </w:r>
    </w:p>
    <w:p w:rsidR="00614380" w:rsidRDefault="00614380" w:rsidP="008C72B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14380" w:rsidRPr="00164E53" w:rsidRDefault="00614380" w:rsidP="00BD6C87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Eduskunnan päätöksen mukaisesti</w:t>
      </w:r>
    </w:p>
    <w:p w:rsidR="00614380" w:rsidRPr="00164E53" w:rsidRDefault="00614380" w:rsidP="00BD6C87">
      <w:pPr>
        <w:pStyle w:val="NoSpacing"/>
        <w:rPr>
          <w:rFonts w:ascii="Times New Roman" w:hAnsi="Times New Roman"/>
          <w:sz w:val="24"/>
          <w:szCs w:val="24"/>
        </w:rPr>
      </w:pPr>
      <w:r w:rsidRPr="00D866D8">
        <w:rPr>
          <w:rFonts w:ascii="Times New Roman" w:hAnsi="Times New Roman"/>
          <w:i/>
          <w:sz w:val="24"/>
          <w:szCs w:val="24"/>
        </w:rPr>
        <w:t>muutetaan</w:t>
      </w:r>
      <w:r w:rsidRPr="00164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puolustusvoimista annetun lain </w:t>
      </w:r>
      <w:r w:rsidRPr="00164E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551</w:t>
      </w:r>
      <w:r w:rsidRPr="00164E53">
        <w:rPr>
          <w:rFonts w:ascii="Times New Roman" w:hAnsi="Times New Roman"/>
          <w:sz w:val="24"/>
          <w:szCs w:val="24"/>
        </w:rPr>
        <w:t xml:space="preserve">/2007) </w:t>
      </w:r>
      <w:r>
        <w:rPr>
          <w:rFonts w:ascii="Times New Roman" w:hAnsi="Times New Roman"/>
          <w:sz w:val="24"/>
          <w:szCs w:val="24"/>
        </w:rPr>
        <w:t>14</w:t>
      </w:r>
      <w:r w:rsidRPr="00164E53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>:n 5 momentti</w:t>
      </w:r>
      <w:r w:rsidRPr="00164E53">
        <w:rPr>
          <w:rFonts w:ascii="Times New Roman" w:hAnsi="Times New Roman"/>
          <w:sz w:val="24"/>
          <w:szCs w:val="24"/>
        </w:rPr>
        <w:t>, sellaisena kuin se on lai</w:t>
      </w:r>
      <w:r w:rsidRPr="00164E53">
        <w:rPr>
          <w:rFonts w:ascii="Times New Roman" w:hAnsi="Times New Roman"/>
          <w:sz w:val="24"/>
          <w:szCs w:val="24"/>
        </w:rPr>
        <w:t>s</w:t>
      </w:r>
      <w:r w:rsidRPr="00164E53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1617</w:t>
      </w:r>
      <w:r w:rsidRPr="00164E53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09</w:t>
      </w:r>
      <w:r w:rsidRPr="00164E53">
        <w:rPr>
          <w:rFonts w:ascii="Times New Roman" w:hAnsi="Times New Roman"/>
          <w:sz w:val="24"/>
          <w:szCs w:val="24"/>
        </w:rPr>
        <w:t xml:space="preserve"> seuraavasti:</w:t>
      </w:r>
    </w:p>
    <w:p w:rsidR="00614380" w:rsidRPr="00164E53" w:rsidRDefault="00614380" w:rsidP="008C72B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14 § 5 mom.</w:t>
      </w:r>
    </w:p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Kiinteistöjen tilapäinen käyttöoikeus</w:t>
      </w:r>
    </w:p>
    <w:p w:rsidR="00614380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Voimassa oleva laki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Ehdotus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614380" w:rsidRPr="00164E53" w:rsidTr="008E6D2D">
        <w:tc>
          <w:tcPr>
            <w:tcW w:w="4889" w:type="dxa"/>
          </w:tcPr>
          <w:p w:rsidR="00614380" w:rsidRPr="00164E53" w:rsidRDefault="00614380" w:rsidP="008E6D2D">
            <w:pPr>
              <w:pStyle w:val="py"/>
            </w:pPr>
            <w:r w:rsidRPr="00164E53">
              <w:t>Kiinteistön käyttämisestä aiheutuneesta vahi</w:t>
            </w:r>
            <w:r w:rsidRPr="00164E53">
              <w:t>n</w:t>
            </w:r>
            <w:r w:rsidRPr="00164E53">
              <w:t>gosta suoritetaan kiinteistön omistajalle tai halt</w:t>
            </w:r>
            <w:r w:rsidRPr="00164E53">
              <w:t>i</w:t>
            </w:r>
            <w:r w:rsidRPr="00164E53">
              <w:t>jalle käyvän hinnan mukainen korvaus. Korv</w:t>
            </w:r>
            <w:r w:rsidRPr="00164E53">
              <w:t>a</w:t>
            </w:r>
            <w:r w:rsidRPr="00164E53">
              <w:t>uspäätökseen samoin kuin kiinteistön käyttöä koskevaan päätökseen haetaan muutosta vali</w:t>
            </w:r>
            <w:r w:rsidRPr="00164E53">
              <w:t>t</w:t>
            </w:r>
            <w:r w:rsidRPr="00164E53">
              <w:t xml:space="preserve">tamalla siten kuin hallintolainkäyttölaissa </w:t>
            </w:r>
            <w:hyperlink r:id="rId7" w:tooltip="Ajantasainen säädös" w:history="1">
              <w:r w:rsidRPr="00164E53">
                <w:rPr>
                  <w:rStyle w:val="Hyperlink"/>
                  <w:color w:val="auto"/>
                  <w:u w:val="none"/>
                </w:rPr>
                <w:t>(586/1996)</w:t>
              </w:r>
            </w:hyperlink>
            <w:r w:rsidRPr="00164E53">
              <w:t xml:space="preserve"> säädetään. Korvaukseen oikeutetulle on valitusmenettelystä huolimatta viivytyksettä suoritettava määrä, josta ei ole erimielisyyttä. Kiinteistön käyttöä koskevaa päätöstä voidaan noudattaa muutoksenhausta huolimatta, jollei hallinto-oikeus kiellä täytäntöönpanoa. Kiintei</w:t>
            </w:r>
            <w:r w:rsidRPr="00164E53">
              <w:t>s</w:t>
            </w:r>
            <w:r w:rsidRPr="00164E53">
              <w:t>tön käyttöä koskevaa sopimusta koskeva riita käsitellään hallintoriita-asiana hallinto-oikeudessa siten kuin hallintolainkäyttölaissa säädetään.</w:t>
            </w:r>
          </w:p>
        </w:tc>
        <w:tc>
          <w:tcPr>
            <w:tcW w:w="4889" w:type="dxa"/>
          </w:tcPr>
          <w:p w:rsidR="00614380" w:rsidRPr="00164E53" w:rsidRDefault="00614380" w:rsidP="008E6D2D">
            <w:pPr>
              <w:pStyle w:val="py"/>
            </w:pPr>
            <w:r w:rsidRPr="00164E53">
              <w:t>Kiinteistön käyttämisestä aiheutuneesta vahi</w:t>
            </w:r>
            <w:r w:rsidRPr="00164E53">
              <w:t>n</w:t>
            </w:r>
            <w:r w:rsidRPr="00164E53">
              <w:t>gosta suoritetaan kiinteistön omistajalle tai halt</w:t>
            </w:r>
            <w:r w:rsidRPr="00164E53">
              <w:t>i</w:t>
            </w:r>
            <w:r w:rsidRPr="00164E53">
              <w:t>jalle käyvän hinnan mukainen korvaus. Korv</w:t>
            </w:r>
            <w:r w:rsidRPr="00164E53">
              <w:t>a</w:t>
            </w:r>
            <w:r w:rsidRPr="00164E53">
              <w:t xml:space="preserve">uspäätökseen samoin kuin kiinteistön käyttöä koskevaan </w:t>
            </w:r>
            <w:r w:rsidRPr="00164E53">
              <w:rPr>
                <w:i/>
              </w:rPr>
              <w:t>päätökseen saa vaatia oikaisua</w:t>
            </w:r>
            <w:r w:rsidRPr="00164E53">
              <w:t xml:space="preserve"> </w:t>
            </w:r>
            <w:r w:rsidRPr="00164E53">
              <w:rPr>
                <w:i/>
              </w:rPr>
              <w:t>pä</w:t>
            </w:r>
            <w:r w:rsidRPr="00164E53">
              <w:rPr>
                <w:i/>
              </w:rPr>
              <w:t>ä</w:t>
            </w:r>
            <w:r w:rsidRPr="00164E53">
              <w:rPr>
                <w:i/>
              </w:rPr>
              <w:t>töksen tehneeltä viranomaiselta siten kuin ha</w:t>
            </w:r>
            <w:r w:rsidRPr="00164E53">
              <w:rPr>
                <w:i/>
              </w:rPr>
              <w:t>l</w:t>
            </w:r>
            <w:r w:rsidRPr="00164E53">
              <w:rPr>
                <w:i/>
              </w:rPr>
              <w:t>lintolaissa (434/2003) säädetään. Oikaisuva</w:t>
            </w:r>
            <w:r w:rsidRPr="00164E53">
              <w:rPr>
                <w:i/>
              </w:rPr>
              <w:t>a</w:t>
            </w:r>
            <w:r w:rsidRPr="00164E53">
              <w:rPr>
                <w:i/>
              </w:rPr>
              <w:t xml:space="preserve">timukseen annettuun päätökseen saa hakea muutosta valittamalla hallinto-oikeuteen </w:t>
            </w:r>
            <w:r w:rsidRPr="00164E53">
              <w:t>siten kuin hallintolainkäyttölaissa (586/1996) sääd</w:t>
            </w:r>
            <w:r w:rsidRPr="00164E53">
              <w:t>e</w:t>
            </w:r>
            <w:r w:rsidRPr="00164E53">
              <w:t>tään.</w:t>
            </w:r>
            <w:r w:rsidRPr="00164E53">
              <w:rPr>
                <w:i/>
              </w:rPr>
              <w:t xml:space="preserve"> Hallinto-oikeuden päätökseen saa hakea muutosta valittamalla vain, jos korkein hallinto-oikeus myöntää valitusluvan.</w:t>
            </w:r>
            <w:r w:rsidRPr="00164E53">
              <w:t xml:space="preserve"> Korvaukseen o</w:t>
            </w:r>
            <w:r w:rsidRPr="00164E53">
              <w:t>i</w:t>
            </w:r>
            <w:r w:rsidRPr="00164E53">
              <w:t xml:space="preserve">keutetulle on valitusmenettelystä huolimatta viivytyksettä suoritettava määrä, josta ei ole erimielisyyttä. Kiinteistön käyttöä koskevaa päätöstä voidaan noudattaa </w:t>
            </w:r>
            <w:r>
              <w:rPr>
                <w:i/>
              </w:rPr>
              <w:t>oikaisuvaatimukse</w:t>
            </w:r>
            <w:r>
              <w:rPr>
                <w:i/>
              </w:rPr>
              <w:t>s</w:t>
            </w:r>
            <w:r>
              <w:rPr>
                <w:i/>
              </w:rPr>
              <w:t xml:space="preserve">ta tai valituksesta </w:t>
            </w:r>
            <w:r w:rsidRPr="00164E53">
              <w:t xml:space="preserve">huolimatta, jollei </w:t>
            </w:r>
            <w:r w:rsidRPr="00164E53">
              <w:rPr>
                <w:i/>
              </w:rPr>
              <w:t>valitusv</w:t>
            </w:r>
            <w:r w:rsidRPr="00164E53">
              <w:rPr>
                <w:i/>
              </w:rPr>
              <w:t>i</w:t>
            </w:r>
            <w:r w:rsidRPr="00164E53">
              <w:rPr>
                <w:i/>
              </w:rPr>
              <w:t>ranomainen toisin määrää</w:t>
            </w:r>
            <w:r w:rsidRPr="00164E53">
              <w:t>. Kiinteistön käyttöä koskevaa sopimusta koskeva riita käsitellään hallintoriita-asiana hallinto-oikeudessa siten kuin hallintolainkäyttölaissa säädetään.</w:t>
            </w:r>
          </w:p>
          <w:p w:rsidR="00614380" w:rsidRPr="00164E53" w:rsidRDefault="00614380" w:rsidP="008E6D2D">
            <w:pPr>
              <w:pStyle w:val="py"/>
              <w:rPr>
                <w:i/>
              </w:rPr>
            </w:pPr>
          </w:p>
        </w:tc>
      </w:tr>
    </w:tbl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0E70D0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64E53">
        <w:rPr>
          <w:rFonts w:ascii="Times New Roman" w:hAnsi="Times New Roman"/>
          <w:sz w:val="24"/>
          <w:szCs w:val="24"/>
          <w:u w:val="single"/>
        </w:rPr>
        <w:t>Yksityiskohtainen perustelu:</w:t>
      </w:r>
    </w:p>
    <w:p w:rsidR="00614380" w:rsidRPr="00164E53" w:rsidRDefault="00614380" w:rsidP="000E70D0">
      <w:pPr>
        <w:spacing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 xml:space="preserve">14 §. </w:t>
      </w:r>
      <w:r w:rsidRPr="00164E53">
        <w:rPr>
          <w:rFonts w:ascii="Times New Roman" w:hAnsi="Times New Roman"/>
          <w:i/>
          <w:sz w:val="24"/>
          <w:szCs w:val="24"/>
        </w:rPr>
        <w:t>Kiinteistöjen tilapäinen käyttöoikeus</w:t>
      </w:r>
      <w:r w:rsidRPr="00164E53">
        <w:rPr>
          <w:rFonts w:ascii="Times New Roman" w:hAnsi="Times New Roman"/>
          <w:sz w:val="24"/>
          <w:szCs w:val="24"/>
        </w:rPr>
        <w:t>. Pykälän 5 momenttiin lisättäisiin säännökset oikaisuva</w:t>
      </w:r>
      <w:r w:rsidRPr="00164E53">
        <w:rPr>
          <w:rFonts w:ascii="Times New Roman" w:hAnsi="Times New Roman"/>
          <w:sz w:val="24"/>
          <w:szCs w:val="24"/>
        </w:rPr>
        <w:t>a</w:t>
      </w:r>
      <w:r w:rsidRPr="00164E53">
        <w:rPr>
          <w:rFonts w:ascii="Times New Roman" w:hAnsi="Times New Roman"/>
          <w:sz w:val="24"/>
          <w:szCs w:val="24"/>
        </w:rPr>
        <w:t xml:space="preserve">timuksesta. </w:t>
      </w:r>
    </w:p>
    <w:p w:rsidR="00614380" w:rsidRPr="00164E53" w:rsidRDefault="00614380" w:rsidP="000E70D0">
      <w:pPr>
        <w:spacing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Kiinteistöjen tilapäistä käyttöoikeutta tai siitä maksettavaa korvausta koskevaan päätökseen saisi vaatia oikaisua. Yleiset säännökset oikaisuvaatimuksesta ovat hallintolain (434/2007) 7 a luvussa.</w:t>
      </w:r>
      <w:r>
        <w:rPr>
          <w:rFonts w:ascii="Times New Roman" w:hAnsi="Times New Roman"/>
          <w:sz w:val="24"/>
          <w:szCs w:val="24"/>
        </w:rPr>
        <w:t xml:space="preserve"> Momentissa tarkoitettuja päätöksiä tehdään määrällisesti paljon ja ne ovat rutiininomaisia.</w:t>
      </w:r>
    </w:p>
    <w:p w:rsidR="00614380" w:rsidRDefault="00614380" w:rsidP="005634B2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Muutoksenhaussa oikaisuvaatimukseen annettuun päätökseen noudatettaisiin, mitä hallintolainkäy</w:t>
      </w:r>
      <w:r w:rsidRPr="00164E53">
        <w:rPr>
          <w:rFonts w:ascii="Times New Roman" w:hAnsi="Times New Roman"/>
          <w:sz w:val="24"/>
          <w:szCs w:val="24"/>
        </w:rPr>
        <w:t>t</w:t>
      </w:r>
      <w:r w:rsidRPr="00164E53">
        <w:rPr>
          <w:rFonts w:ascii="Times New Roman" w:hAnsi="Times New Roman"/>
          <w:sz w:val="24"/>
          <w:szCs w:val="24"/>
        </w:rPr>
        <w:t>tölaissa (586/1996) säädetään</w:t>
      </w:r>
      <w:r>
        <w:rPr>
          <w:rFonts w:ascii="Times New Roman" w:hAnsi="Times New Roman"/>
          <w:sz w:val="24"/>
          <w:szCs w:val="24"/>
        </w:rPr>
        <w:t>.</w:t>
      </w:r>
      <w:r w:rsidRPr="005634B2">
        <w:rPr>
          <w:rFonts w:ascii="Times New Roman" w:hAnsi="Times New Roman"/>
          <w:sz w:val="24"/>
          <w:szCs w:val="24"/>
        </w:rPr>
        <w:t xml:space="preserve"> </w:t>
      </w:r>
      <w:r w:rsidRPr="00164E53">
        <w:rPr>
          <w:rFonts w:ascii="Times New Roman" w:hAnsi="Times New Roman"/>
          <w:sz w:val="24"/>
          <w:szCs w:val="24"/>
        </w:rPr>
        <w:t>Oikaisuvaatimukseen annettuun päätökseen saisi hakea muutosta valittamalla hallinto-oikeuteen.</w:t>
      </w:r>
      <w:r>
        <w:rPr>
          <w:rFonts w:ascii="Times New Roman" w:hAnsi="Times New Roman"/>
          <w:sz w:val="24"/>
          <w:szCs w:val="24"/>
        </w:rPr>
        <w:t xml:space="preserve"> Hallinto-oikeuden päätöksestä saisi kuitenkin valittaa korkeimpaan hallinto-oikeuteen vain, jos korkein hallinto-oikeus myöntää valitusluvan. </w:t>
      </w:r>
    </w:p>
    <w:p w:rsidR="00614380" w:rsidRDefault="00614380" w:rsidP="005634B2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Default="00614380" w:rsidP="005634B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Oikaisuvaatimusjärjestelmän laajentamisen takia momenttiin lisättäisiin maininta siitä, että päätö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set olisivat täytäntöönpantavissa oikaisuvaatimuksesta tai valituksesta huolimatta. Tämän katsotta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siin selkeyttävän lainkohdan sanamuotoa. Vallitsevaan käytäntöä ei olisi tarkoitus muuttaa.</w:t>
      </w:r>
    </w:p>
    <w:p w:rsidR="00614380" w:rsidRPr="00164E53" w:rsidRDefault="00614380" w:rsidP="000E70D0">
      <w:pPr>
        <w:spacing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 xml:space="preserve"> </w:t>
      </w:r>
    </w:p>
    <w:p w:rsidR="00614380" w:rsidRDefault="00614380" w:rsidP="00D8026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talou</w:t>
      </w:r>
      <w:r w:rsidRPr="00D8026F">
        <w:rPr>
          <w:rFonts w:ascii="Times New Roman" w:hAnsi="Times New Roman"/>
          <w:sz w:val="24"/>
          <w:szCs w:val="24"/>
        </w:rPr>
        <w:t>delliset vaikutukset (tuskin merkittäviä)</w:t>
      </w:r>
    </w:p>
    <w:p w:rsidR="00614380" w:rsidRPr="00D8026F" w:rsidRDefault="00614380" w:rsidP="00D8026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15 § 5 mom.</w:t>
      </w:r>
    </w:p>
    <w:p w:rsidR="00614380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614380" w:rsidRPr="00164E53" w:rsidTr="00131994">
        <w:tc>
          <w:tcPr>
            <w:tcW w:w="4889" w:type="dxa"/>
          </w:tcPr>
          <w:p w:rsidR="00614380" w:rsidRPr="00131994" w:rsidRDefault="00614380" w:rsidP="00131994">
            <w:pPr>
              <w:pStyle w:val="py"/>
            </w:pPr>
            <w:r w:rsidRPr="00131994">
              <w:t>Oleskelu- ja vierailuluvan myöntää edellä 1 ja 2 momentissa tarkoitettu viranomainen. Lupav</w:t>
            </w:r>
            <w:r w:rsidRPr="00131994">
              <w:t>i</w:t>
            </w:r>
            <w:r w:rsidRPr="00131994">
              <w:t>ranomaisen 3 ja 4 momentissa tarkoitetussa as</w:t>
            </w:r>
            <w:r w:rsidRPr="00131994">
              <w:t>i</w:t>
            </w:r>
            <w:r w:rsidRPr="00131994">
              <w:t>assa tekemään päätökseen haetaan muutosta valittamalla siten kuin hallintolainkäyttölaissa säädetään. Luvan peruuttamista koskevaa pä</w:t>
            </w:r>
            <w:r w:rsidRPr="00131994">
              <w:t>ä</w:t>
            </w:r>
            <w:r w:rsidRPr="00131994">
              <w:t>töstä noudatetaan valituksesta huolimatta, jollei valitusviranomainen kiellä päätöksen täytä</w:t>
            </w:r>
            <w:r w:rsidRPr="00131994">
              <w:t>n</w:t>
            </w:r>
            <w:r w:rsidRPr="00131994">
              <w:t>töönpanoa.</w:t>
            </w:r>
          </w:p>
          <w:p w:rsidR="00614380" w:rsidRPr="00164E53" w:rsidRDefault="00614380" w:rsidP="00131994">
            <w:pPr>
              <w:pStyle w:val="py"/>
            </w:pPr>
          </w:p>
        </w:tc>
        <w:tc>
          <w:tcPr>
            <w:tcW w:w="4889" w:type="dxa"/>
          </w:tcPr>
          <w:p w:rsidR="00614380" w:rsidRPr="00131994" w:rsidRDefault="00614380" w:rsidP="00131994">
            <w:pPr>
              <w:pStyle w:val="py"/>
            </w:pPr>
            <w:r>
              <w:t>Oleskelu- ja vierailuluvan myöntää edellä 1 ja 2 momentissa tarkoitettu viranomainen. Lupav</w:t>
            </w:r>
            <w:r>
              <w:t>i</w:t>
            </w:r>
            <w:r>
              <w:t>ranomaisen 3 ja 4 momentissa tarkoitetussa as</w:t>
            </w:r>
            <w:r>
              <w:t>i</w:t>
            </w:r>
            <w:r>
              <w:t xml:space="preserve">assa tekemään päätökseen </w:t>
            </w:r>
            <w:r w:rsidRPr="00164E53">
              <w:rPr>
                <w:i/>
              </w:rPr>
              <w:t>saa vaatia oikaisua päätöksen tehneeltä viranomaiselta siten kuin hallintolaissa (434/2003) säädetään.</w:t>
            </w:r>
            <w:r>
              <w:rPr>
                <w:i/>
              </w:rPr>
              <w:t xml:space="preserve"> </w:t>
            </w:r>
            <w:r w:rsidRPr="00131994">
              <w:rPr>
                <w:i/>
              </w:rPr>
              <w:t>O</w:t>
            </w:r>
            <w:r w:rsidRPr="00131994">
              <w:rPr>
                <w:i/>
              </w:rPr>
              <w:t>i</w:t>
            </w:r>
            <w:r w:rsidRPr="00131994">
              <w:rPr>
                <w:i/>
              </w:rPr>
              <w:t xml:space="preserve">kaisuvaatimukseen annettuun päätökseen saa hakea muutosta </w:t>
            </w:r>
            <w:r w:rsidRPr="00131994">
              <w:t>valittamalla hallinto-oikeuteen siten kuin hallintolainkäyttölaissa säädetään.</w:t>
            </w:r>
            <w:r w:rsidRPr="00131994">
              <w:rPr>
                <w:i/>
              </w:rPr>
              <w:t xml:space="preserve"> Hallinto-oikeuden päätökseen saa hakea mu</w:t>
            </w:r>
            <w:r w:rsidRPr="00131994">
              <w:rPr>
                <w:i/>
              </w:rPr>
              <w:t>u</w:t>
            </w:r>
            <w:r w:rsidRPr="00131994">
              <w:rPr>
                <w:i/>
              </w:rPr>
              <w:t xml:space="preserve">tosta valittamalla vain, jos korkein hallinto-oikeus myöntää valitusluvan. </w:t>
            </w:r>
            <w:r>
              <w:t>Luvan peruutt</w:t>
            </w:r>
            <w:r>
              <w:t>a</w:t>
            </w:r>
            <w:r>
              <w:t xml:space="preserve">mista koskevaa päätöstä noudatetaan </w:t>
            </w:r>
            <w:r>
              <w:rPr>
                <w:i/>
              </w:rPr>
              <w:t>o</w:t>
            </w:r>
            <w:r>
              <w:rPr>
                <w:i/>
              </w:rPr>
              <w:t>i</w:t>
            </w:r>
            <w:r>
              <w:rPr>
                <w:i/>
              </w:rPr>
              <w:t>kaisuvaatimuksesta tai</w:t>
            </w:r>
            <w:r>
              <w:t xml:space="preserve"> valituksesta huolimatta, jollei valitusviranomainen kiellä päätöksen tä</w:t>
            </w:r>
            <w:r>
              <w:t>y</w:t>
            </w:r>
            <w:r>
              <w:t>täntöönpanoa.</w:t>
            </w:r>
          </w:p>
          <w:p w:rsidR="00614380" w:rsidRPr="00164E53" w:rsidRDefault="00614380" w:rsidP="00131994">
            <w:pPr>
              <w:pStyle w:val="py"/>
              <w:spacing w:before="0" w:beforeAutospacing="0" w:after="0" w:afterAutospacing="0"/>
              <w:rPr>
                <w:i/>
              </w:rPr>
            </w:pPr>
          </w:p>
        </w:tc>
      </w:tr>
    </w:tbl>
    <w:p w:rsidR="00614380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Default="00614380" w:rsidP="008C72BE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Yksityiskohtaiset perustelut</w:t>
      </w:r>
    </w:p>
    <w:p w:rsidR="00614380" w:rsidRPr="0032368D" w:rsidRDefault="00614380" w:rsidP="008C72BE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614380" w:rsidRPr="005634B2" w:rsidRDefault="00614380" w:rsidP="005634B2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5634B2">
        <w:rPr>
          <w:rFonts w:ascii="Times New Roman" w:hAnsi="Times New Roman"/>
          <w:sz w:val="24"/>
          <w:szCs w:val="24"/>
        </w:rPr>
        <w:t xml:space="preserve">15 §. </w:t>
      </w:r>
      <w:r w:rsidRPr="005634B2">
        <w:rPr>
          <w:rFonts w:ascii="Times New Roman" w:hAnsi="Times New Roman"/>
          <w:bCs/>
          <w:i/>
          <w:sz w:val="24"/>
          <w:szCs w:val="24"/>
        </w:rPr>
        <w:t>Liikkumista koskevat kiellot ja rajoitukset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Pykälän 5 momenttiin lisättäisiin säännökset o</w:t>
      </w:r>
      <w:r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kaisuvaatimuksesta. Momentissa tarkoitetut päätökset ovat luonteeltaan rutiininomaisia ja niitä te</w:t>
      </w:r>
      <w:r>
        <w:rPr>
          <w:rFonts w:ascii="Times New Roman" w:hAnsi="Times New Roman"/>
          <w:bCs/>
          <w:sz w:val="24"/>
          <w:szCs w:val="24"/>
        </w:rPr>
        <w:t>h</w:t>
      </w:r>
      <w:r>
        <w:rPr>
          <w:rFonts w:ascii="Times New Roman" w:hAnsi="Times New Roman"/>
          <w:bCs/>
          <w:sz w:val="24"/>
          <w:szCs w:val="24"/>
        </w:rPr>
        <w:t>dään paljon.</w:t>
      </w:r>
    </w:p>
    <w:p w:rsidR="00614380" w:rsidRDefault="00614380" w:rsidP="008C72BE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614380" w:rsidRDefault="00614380" w:rsidP="005634B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164E53">
        <w:rPr>
          <w:rFonts w:ascii="Times New Roman" w:hAnsi="Times New Roman"/>
          <w:sz w:val="24"/>
          <w:szCs w:val="24"/>
        </w:rPr>
        <w:t>uutoksenhaussa oikaisuvaatimukseen annettuun päätökseen noudatettaisiin, mitä hallintolainkäy</w:t>
      </w:r>
      <w:r w:rsidRPr="00164E53">
        <w:rPr>
          <w:rFonts w:ascii="Times New Roman" w:hAnsi="Times New Roman"/>
          <w:sz w:val="24"/>
          <w:szCs w:val="24"/>
        </w:rPr>
        <w:t>t</w:t>
      </w:r>
      <w:r w:rsidRPr="00164E53">
        <w:rPr>
          <w:rFonts w:ascii="Times New Roman" w:hAnsi="Times New Roman"/>
          <w:sz w:val="24"/>
          <w:szCs w:val="24"/>
        </w:rPr>
        <w:t>tölaissa (586/1996) säädetään. Oikaisuvaatimukseen annettuun päätökseen saisi hakea muutosta valittamalla hallinto-oikeuteen</w:t>
      </w:r>
      <w:r>
        <w:rPr>
          <w:rFonts w:ascii="Times New Roman" w:hAnsi="Times New Roman"/>
          <w:sz w:val="24"/>
          <w:szCs w:val="24"/>
        </w:rPr>
        <w:t xml:space="preserve">. Hallinto-oikeuden päätöksestä saisi kuitenkin valittaa korkeimpaan hallinto-oikeuteen vain, jos korkein hallinto-oikeus myöntää valitusluvan. </w:t>
      </w:r>
    </w:p>
    <w:p w:rsidR="00614380" w:rsidRDefault="00614380" w:rsidP="005634B2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Default="00614380" w:rsidP="005634B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Koska momenttiin lisättäisiin säännökset oikaisuvaatimuksesta, vallitsevan käytännön mukaisesti muutoksenhaun kohteena oleva päätös voitaisiin panna täytäntöön oikaisuvaatimuksesta tai valitu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sesta huolimatta. </w:t>
      </w:r>
    </w:p>
    <w:p w:rsidR="00614380" w:rsidRPr="00164E53" w:rsidRDefault="00614380" w:rsidP="005634B2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986F5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taloudelliset vaikutukset (tuskin merkittäviä)</w:t>
      </w:r>
    </w:p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8C72B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164E53">
        <w:rPr>
          <w:rFonts w:ascii="Times New Roman" w:hAnsi="Times New Roman"/>
          <w:b/>
          <w:sz w:val="24"/>
          <w:szCs w:val="24"/>
        </w:rPr>
        <w:t>. Laki aluevalvontalain 22 §:n muuttamisesta</w:t>
      </w:r>
    </w:p>
    <w:p w:rsidR="00614380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D866D8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Eduskunnan päätöksen mukaisesti</w:t>
      </w:r>
    </w:p>
    <w:p w:rsidR="00614380" w:rsidRPr="00164E53" w:rsidRDefault="00614380" w:rsidP="00D866D8">
      <w:pPr>
        <w:pStyle w:val="NoSpacing"/>
        <w:rPr>
          <w:rFonts w:ascii="Times New Roman" w:hAnsi="Times New Roman"/>
          <w:sz w:val="24"/>
          <w:szCs w:val="24"/>
        </w:rPr>
      </w:pPr>
      <w:r w:rsidRPr="00032421">
        <w:rPr>
          <w:rFonts w:ascii="Times New Roman" w:hAnsi="Times New Roman"/>
          <w:i/>
          <w:sz w:val="24"/>
          <w:szCs w:val="24"/>
        </w:rPr>
        <w:t>muutetaan</w:t>
      </w:r>
      <w:r w:rsidRPr="00164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aluevalvontalain </w:t>
      </w:r>
      <w:r w:rsidRPr="00164E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755</w:t>
      </w:r>
      <w:r w:rsidRPr="00164E53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00</w:t>
      </w:r>
      <w:r w:rsidRPr="00164E5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22</w:t>
      </w:r>
      <w:r w:rsidRPr="00164E53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 xml:space="preserve"> seuraavasti</w:t>
      </w:r>
      <w:r w:rsidRPr="00164E53">
        <w:rPr>
          <w:rFonts w:ascii="Times New Roman" w:hAnsi="Times New Roman"/>
          <w:sz w:val="24"/>
          <w:szCs w:val="24"/>
        </w:rPr>
        <w:t>:</w:t>
      </w: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22 §</w:t>
      </w: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Muutoksenhaku</w:t>
      </w:r>
    </w:p>
    <w:p w:rsidR="00614380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D414B8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Voimassa oleva laki</w:t>
      </w:r>
      <w:r w:rsidRPr="00164E53">
        <w:rPr>
          <w:rFonts w:ascii="Times New Roman" w:hAnsi="Times New Roman"/>
          <w:sz w:val="24"/>
          <w:szCs w:val="24"/>
        </w:rPr>
        <w:tab/>
      </w:r>
      <w:r w:rsidRPr="00164E53">
        <w:rPr>
          <w:rFonts w:ascii="Times New Roman" w:hAnsi="Times New Roman"/>
          <w:sz w:val="24"/>
          <w:szCs w:val="24"/>
        </w:rPr>
        <w:tab/>
      </w:r>
      <w:r w:rsidRPr="00164E53">
        <w:rPr>
          <w:rFonts w:ascii="Times New Roman" w:hAnsi="Times New Roman"/>
          <w:sz w:val="24"/>
          <w:szCs w:val="24"/>
        </w:rPr>
        <w:tab/>
        <w:t>Ehdotus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614380" w:rsidRPr="00164E53" w:rsidTr="004E36C7">
        <w:tc>
          <w:tcPr>
            <w:tcW w:w="4889" w:type="dxa"/>
          </w:tcPr>
          <w:p w:rsidR="00614380" w:rsidRPr="00164E53" w:rsidRDefault="00614380" w:rsidP="004E36C7">
            <w:pPr>
              <w:pStyle w:val="py"/>
            </w:pPr>
            <w:r w:rsidRPr="00164E53">
              <w:t>Pääesikunnan, joukko-osaston esikunnan ja r</w:t>
            </w:r>
            <w:r w:rsidRPr="00164E53">
              <w:t>a</w:t>
            </w:r>
            <w:r w:rsidRPr="00164E53">
              <w:t>javartiolaitoksen esikunnan tässä luvussa tarko</w:t>
            </w:r>
            <w:r w:rsidRPr="00164E53">
              <w:t>i</w:t>
            </w:r>
            <w:r w:rsidRPr="00164E53">
              <w:t>tetussa lupa-asiassa tekemään päätökseen ha</w:t>
            </w:r>
            <w:r w:rsidRPr="00164E53">
              <w:t>e</w:t>
            </w:r>
            <w:r w:rsidRPr="00164E53">
              <w:t>taan muutosta valittamalla siten kuin hallint</w:t>
            </w:r>
            <w:r w:rsidRPr="00164E53">
              <w:t>o</w:t>
            </w:r>
            <w:r w:rsidRPr="00164E53">
              <w:t xml:space="preserve">lainkäyttölaissa </w:t>
            </w:r>
            <w:hyperlink r:id="rId8" w:tooltip="Ajantasainen säädös" w:history="1">
              <w:r w:rsidRPr="00164E53">
                <w:rPr>
                  <w:rStyle w:val="Hyperlink"/>
                  <w:color w:val="auto"/>
                  <w:u w:val="none"/>
                </w:rPr>
                <w:t>(586/1996)</w:t>
              </w:r>
            </w:hyperlink>
            <w:r w:rsidRPr="00164E53">
              <w:t xml:space="preserve"> säädetään.</w:t>
            </w:r>
          </w:p>
          <w:p w:rsidR="00614380" w:rsidRPr="00164E53" w:rsidRDefault="00614380" w:rsidP="004E36C7">
            <w:pPr>
              <w:pStyle w:val="py"/>
            </w:pPr>
            <w:r w:rsidRPr="00164E53">
              <w:t>Luvan peruuttamista koskevaa päätöstä noud</w:t>
            </w:r>
            <w:r w:rsidRPr="00164E53">
              <w:t>a</w:t>
            </w:r>
            <w:r w:rsidRPr="00164E53">
              <w:t>tetaan valituksesta huolimatta, jollei valitusv</w:t>
            </w:r>
            <w:r w:rsidRPr="00164E53">
              <w:t>i</w:t>
            </w:r>
            <w:r w:rsidRPr="00164E53">
              <w:t>ranomainen kiellä päätöksen täytäntöönpanoa.</w:t>
            </w:r>
          </w:p>
          <w:p w:rsidR="00614380" w:rsidRPr="00164E53" w:rsidRDefault="00614380" w:rsidP="004E36C7">
            <w:pPr>
              <w:pStyle w:val="py"/>
            </w:pPr>
          </w:p>
        </w:tc>
        <w:tc>
          <w:tcPr>
            <w:tcW w:w="4889" w:type="dxa"/>
          </w:tcPr>
          <w:p w:rsidR="00614380" w:rsidRPr="00164E53" w:rsidRDefault="00614380" w:rsidP="00EE5839">
            <w:pPr>
              <w:pStyle w:val="py"/>
            </w:pPr>
            <w:r w:rsidRPr="00164E53">
              <w:t>Pääesikunnan, joukko-osaston esikunnan ja r</w:t>
            </w:r>
            <w:r w:rsidRPr="00164E53">
              <w:t>a</w:t>
            </w:r>
            <w:r w:rsidRPr="00164E53">
              <w:t>javartiolaitoksen esikunnan tässä luvussa tarko</w:t>
            </w:r>
            <w:r w:rsidRPr="00164E53">
              <w:t>i</w:t>
            </w:r>
            <w:r w:rsidRPr="00164E53">
              <w:t xml:space="preserve">tetussa lupa-asiassa tekemään päätökseen </w:t>
            </w:r>
            <w:r w:rsidRPr="00164E53">
              <w:rPr>
                <w:i/>
              </w:rPr>
              <w:t>saa vaatia oikaisua päätöksen tehneeltä viranoma</w:t>
            </w:r>
            <w:r w:rsidRPr="00164E53">
              <w:rPr>
                <w:i/>
              </w:rPr>
              <w:t>i</w:t>
            </w:r>
            <w:r w:rsidRPr="00164E53">
              <w:rPr>
                <w:i/>
              </w:rPr>
              <w:t>selta siten kuin hallintolaissa (434/2003) sääd</w:t>
            </w:r>
            <w:r w:rsidRPr="00164E53">
              <w:rPr>
                <w:i/>
              </w:rPr>
              <w:t>e</w:t>
            </w:r>
            <w:r w:rsidRPr="00164E53">
              <w:rPr>
                <w:i/>
              </w:rPr>
              <w:t>tään.</w:t>
            </w:r>
          </w:p>
          <w:p w:rsidR="00614380" w:rsidRPr="00164E53" w:rsidRDefault="00614380" w:rsidP="004E36C7">
            <w:pPr>
              <w:pStyle w:val="py"/>
              <w:rPr>
                <w:i/>
              </w:rPr>
            </w:pPr>
            <w:r w:rsidRPr="00164E53">
              <w:rPr>
                <w:i/>
              </w:rPr>
              <w:t>Oikaisuvaatimukseen annettuun päätökseen saa hakea muutosta valittamalla hallinto-oikeuteen siten kuin hallintolainkäyttölaissa (586/1996) säädetään. Hallinto-oikeuden päätökseen saa hakea muutosta valittamalla vain, jos korkein hallinto-oikeus myöntää valitusluvan.</w:t>
            </w:r>
          </w:p>
          <w:p w:rsidR="00614380" w:rsidRPr="00164E53" w:rsidRDefault="00614380" w:rsidP="004E36C7">
            <w:pPr>
              <w:pStyle w:val="py"/>
            </w:pPr>
            <w:r w:rsidRPr="00164E53">
              <w:t>Luvan peruuttamista koskevaa päätöstä noud</w:t>
            </w:r>
            <w:r w:rsidRPr="00164E53">
              <w:t>a</w:t>
            </w:r>
            <w:r w:rsidRPr="00164E53">
              <w:t>tetaan valituksesta huolimatta, jollei valitusv</w:t>
            </w:r>
            <w:r w:rsidRPr="00164E53">
              <w:t>i</w:t>
            </w:r>
            <w:r w:rsidRPr="00164E53">
              <w:t>ranomainen kiellä päätöksen täytäntöönpanoa.</w:t>
            </w:r>
          </w:p>
        </w:tc>
      </w:tr>
    </w:tbl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  <w:u w:val="single"/>
        </w:rPr>
        <w:t>Yksityiskohtaiset perustelut</w:t>
      </w: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 xml:space="preserve">22 §. </w:t>
      </w:r>
      <w:r w:rsidRPr="00164E53">
        <w:rPr>
          <w:rFonts w:ascii="Times New Roman" w:hAnsi="Times New Roman"/>
          <w:i/>
          <w:sz w:val="24"/>
          <w:szCs w:val="24"/>
        </w:rPr>
        <w:t>Muutoksenhaku.</w:t>
      </w:r>
      <w:r w:rsidRPr="00164E53">
        <w:rPr>
          <w:rFonts w:ascii="Times New Roman" w:hAnsi="Times New Roman"/>
          <w:sz w:val="24"/>
          <w:szCs w:val="24"/>
        </w:rPr>
        <w:t xml:space="preserve"> Pykälään lisättäisiin säännökset oikaisuvaatimuksesta ja valitusluvasta.</w:t>
      </w: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Muutoksenhaussa ensimmäisenä vaiheena olisi oikaisuvaatimus. Oikaisuvaatimuksesta säädettäisiin pykälän 1 momentissa. Yleiset säännökset oikaisuvaatimuksesta ovat hallintolain (434/2003) 7 a luvussa. Oikaisuvaatimusmenettely laajennettaisiin pykälän tarkoittamiin päätöksiin, jotka ovat luonteeltaan rutiininomaisia ja joita tehdään vuosittain useita.</w:t>
      </w:r>
      <w:r>
        <w:rPr>
          <w:rFonts w:ascii="Times New Roman" w:hAnsi="Times New Roman"/>
          <w:sz w:val="24"/>
          <w:szCs w:val="24"/>
        </w:rPr>
        <w:t xml:space="preserve"> Puolustusvoimauudistuksen yhte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dessä päätöksiä tekeväksi viranomaiseksi on esitetty merivoimien esikuntaa.</w:t>
      </w: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Oikaisuvaatimukseen annetun päätöksen muutoksenhaussa noudatettaisiin 2 momentin mukaisesti, mitä hallintolainkäyttölaissa (586/1996) säädetään. Päätökseen saisi hakea muutosta valittamalla hallinto-oikeuteen. Hallinto-oikeuden päätöksestä saisi valittaa korkeimpaan hallinto-oikeuteen vain, jos korkein hallinto-oikeus myöntää valitus luvan. Valituslupa olisi peruteltu, sillä valituksen alaiset päätökset ovat rutiiniomaisia ja päätöksiä tehdään paljon. Korkeimman hallinto-oikeuden ratkaisulla olisi tehtävien päätösten osalta hallintoa ja oikeuskäytäntöä ohjaava vaikutus pykälän tarkoittamissa asioissa. Lisäksi,</w:t>
      </w:r>
      <w:r>
        <w:rPr>
          <w:rFonts w:ascii="Times New Roman" w:hAnsi="Times New Roman"/>
          <w:sz w:val="24"/>
          <w:szCs w:val="24"/>
        </w:rPr>
        <w:t xml:space="preserve"> kuten 1 momentissa ehdotetaan, päätösten osalta otettaisiin käy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töön oikaisuvaatimusjärjestelmä. </w:t>
      </w: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Pykälän 3 momentiksi siirrettäisiin vanha 2 momentti muuttamattomana.</w:t>
      </w:r>
    </w:p>
    <w:p w:rsidR="00614380" w:rsidRPr="00164E53" w:rsidRDefault="006143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Default="00614380" w:rsidP="008F3E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lainkohtaa tullaan eräiltä muilta osin muuttamaan puolustusvoimauudistukseen liittyvien 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kimuutosten yhteydessä</w:t>
      </w:r>
    </w:p>
    <w:p w:rsidR="00614380" w:rsidRDefault="00614380" w:rsidP="008F3E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tuskin merkittäviä taloudellisia vaikutuksia</w:t>
      </w:r>
    </w:p>
    <w:p w:rsidR="00614380" w:rsidRDefault="00614380" w:rsidP="00D80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Default="00614380" w:rsidP="00D802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4380" w:rsidRPr="00164E53" w:rsidRDefault="006143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164E53">
        <w:rPr>
          <w:rFonts w:ascii="Times New Roman" w:hAnsi="Times New Roman"/>
          <w:b/>
          <w:sz w:val="24"/>
          <w:szCs w:val="24"/>
        </w:rPr>
        <w:t>. Laki sotilaallisesta kriisinhallinnasta annetun lain 37 §:n 1 momentin muuttamisesta</w:t>
      </w:r>
    </w:p>
    <w:p w:rsidR="00614380" w:rsidRPr="00164E53" w:rsidRDefault="00614380" w:rsidP="00D866D8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Eduskunnan päätöksen mukaisesti</w:t>
      </w:r>
    </w:p>
    <w:p w:rsidR="00614380" w:rsidRPr="00164E53" w:rsidRDefault="00614380" w:rsidP="00D866D8">
      <w:pPr>
        <w:pStyle w:val="NoSpacing"/>
        <w:rPr>
          <w:rFonts w:ascii="Times New Roman" w:hAnsi="Times New Roman"/>
          <w:sz w:val="24"/>
          <w:szCs w:val="24"/>
        </w:rPr>
      </w:pPr>
      <w:r w:rsidRPr="00D866D8">
        <w:rPr>
          <w:rFonts w:ascii="Times New Roman" w:hAnsi="Times New Roman"/>
          <w:i/>
          <w:sz w:val="24"/>
          <w:szCs w:val="24"/>
        </w:rPr>
        <w:t>muutetaan</w:t>
      </w:r>
      <w:r w:rsidRPr="00164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sotilaallisesta kriisinhallinnasta annetun lain </w:t>
      </w:r>
      <w:r w:rsidRPr="00164E53">
        <w:rPr>
          <w:rFonts w:ascii="Times New Roman" w:hAnsi="Times New Roman"/>
          <w:sz w:val="24"/>
          <w:szCs w:val="24"/>
        </w:rPr>
        <w:t xml:space="preserve">(1438/2007) </w:t>
      </w:r>
      <w:r>
        <w:rPr>
          <w:rFonts w:ascii="Times New Roman" w:hAnsi="Times New Roman"/>
          <w:sz w:val="24"/>
          <w:szCs w:val="24"/>
        </w:rPr>
        <w:t>37 §:n 1 momentti</w:t>
      </w:r>
      <w:r w:rsidRPr="00164E53">
        <w:rPr>
          <w:rFonts w:ascii="Times New Roman" w:hAnsi="Times New Roman"/>
          <w:sz w:val="24"/>
          <w:szCs w:val="24"/>
        </w:rPr>
        <w:t xml:space="preserve">, sellaisena kuin se on laissa </w:t>
      </w:r>
      <w:r>
        <w:rPr>
          <w:rFonts w:ascii="Times New Roman" w:hAnsi="Times New Roman"/>
          <w:sz w:val="24"/>
          <w:szCs w:val="24"/>
        </w:rPr>
        <w:t>848</w:t>
      </w:r>
      <w:r w:rsidRPr="00164E5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2009</w:t>
      </w:r>
      <w:r w:rsidRPr="00164E53">
        <w:rPr>
          <w:rFonts w:ascii="Times New Roman" w:hAnsi="Times New Roman"/>
          <w:sz w:val="24"/>
          <w:szCs w:val="24"/>
        </w:rPr>
        <w:t xml:space="preserve"> seuraavasti: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 § 1 mom.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Muutoksenhaku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</w:p>
    <w:p w:rsidR="00614380" w:rsidRPr="00CB6ADB" w:rsidRDefault="00614380" w:rsidP="00D414B8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Voimassa oleva laki</w:t>
      </w:r>
      <w:r w:rsidRPr="00164E53">
        <w:rPr>
          <w:rFonts w:ascii="Times New Roman" w:hAnsi="Times New Roman"/>
          <w:sz w:val="24"/>
          <w:szCs w:val="24"/>
        </w:rPr>
        <w:tab/>
      </w:r>
      <w:r w:rsidRPr="00164E53">
        <w:rPr>
          <w:rFonts w:ascii="Times New Roman" w:hAnsi="Times New Roman"/>
          <w:sz w:val="24"/>
          <w:szCs w:val="24"/>
        </w:rPr>
        <w:tab/>
      </w:r>
      <w:r w:rsidRPr="00164E53">
        <w:rPr>
          <w:rFonts w:ascii="Times New Roman" w:hAnsi="Times New Roman"/>
          <w:sz w:val="24"/>
          <w:szCs w:val="24"/>
        </w:rPr>
        <w:tab/>
        <w:t>Ehdotus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614380" w:rsidRPr="00164E53" w:rsidTr="00164E53">
        <w:tc>
          <w:tcPr>
            <w:tcW w:w="4889" w:type="dxa"/>
          </w:tcPr>
          <w:p w:rsidR="00614380" w:rsidRDefault="00614380" w:rsidP="00EE5839">
            <w:pPr>
              <w:pStyle w:val="py"/>
              <w:spacing w:before="0" w:beforeAutospacing="0" w:after="0" w:afterAutospacing="0"/>
            </w:pPr>
            <w:r w:rsidRPr="00CB6ADB">
              <w:t>Joka on tyytymätön 9 §:n 1–3 momentissa, 10 tai 11 §:ssä taikka 30 §:n 4 momentissa tarko</w:t>
            </w:r>
            <w:r w:rsidRPr="00CB6ADB">
              <w:t>i</w:t>
            </w:r>
            <w:r w:rsidRPr="00CB6ADB">
              <w:t>tettuun päätökseen tai 36 §:n 1 momentissa ta</w:t>
            </w:r>
            <w:r w:rsidRPr="00CB6ADB">
              <w:t>r</w:t>
            </w:r>
            <w:r w:rsidRPr="00CB6ADB">
              <w:t xml:space="preserve">koitetun oikaisuvaatimuksen johdosta annettuun päätökseen, saa hakea siihen muutosta siten kuin hallintolainkäyttölaissa </w:t>
            </w:r>
            <w:hyperlink r:id="rId9" w:tooltip="Ajantasainen säädös" w:history="1">
              <w:r w:rsidRPr="00CB6ADB">
                <w:rPr>
                  <w:rStyle w:val="Hyperlink"/>
                  <w:color w:val="auto"/>
                  <w:u w:val="none"/>
                </w:rPr>
                <w:t>(586/1996)</w:t>
              </w:r>
            </w:hyperlink>
            <w:r w:rsidRPr="00CB6ADB">
              <w:t xml:space="preserve"> sääd</w:t>
            </w:r>
            <w:r w:rsidRPr="00CB6ADB">
              <w:t>e</w:t>
            </w:r>
            <w:r w:rsidRPr="00CB6ADB">
              <w:t>tään. Kriisinhallintaorganisaatiossa tai Porin prikaatissa tehdystä päätöksestä valitetaan ku</w:t>
            </w:r>
            <w:r w:rsidRPr="00CB6ADB">
              <w:t>i</w:t>
            </w:r>
            <w:r w:rsidRPr="00CB6ADB">
              <w:t xml:space="preserve">tenkin Helsingin hallinto-oikeuteen. </w:t>
            </w:r>
            <w:hyperlink r:id="rId10" w:anchor="a6.11.2009-848" w:tooltip="Linkki muutossäädöksen voimaantulotietoihin" w:history="1">
              <w:r w:rsidRPr="00CB6ADB">
                <w:rPr>
                  <w:rStyle w:val="Hyperlink"/>
                  <w:color w:val="auto"/>
                  <w:u w:val="none"/>
                </w:rPr>
                <w:t>(6.11.2009/848)</w:t>
              </w:r>
            </w:hyperlink>
          </w:p>
          <w:p w:rsidR="00614380" w:rsidRPr="00164E53" w:rsidRDefault="00614380" w:rsidP="00EE5839">
            <w:pPr>
              <w:pStyle w:val="py"/>
              <w:spacing w:before="0" w:beforeAutospacing="0" w:after="0" w:afterAutospacing="0"/>
            </w:pPr>
          </w:p>
        </w:tc>
        <w:tc>
          <w:tcPr>
            <w:tcW w:w="4889" w:type="dxa"/>
          </w:tcPr>
          <w:p w:rsidR="00614380" w:rsidRPr="00CB6ADB" w:rsidRDefault="00614380" w:rsidP="00CB6ADB">
            <w:pPr>
              <w:pStyle w:val="py"/>
            </w:pPr>
            <w:r w:rsidRPr="00CB6ADB">
              <w:t>Joka on tyytymätön 9 §:n 1–3 momentissa, 10 tai 11 §:ssä taikka 30 §:n 4 momentissa tarko</w:t>
            </w:r>
            <w:r w:rsidRPr="00CB6ADB">
              <w:t>i</w:t>
            </w:r>
            <w:r w:rsidRPr="00CB6ADB">
              <w:t>tettuun päätökseen tai 36 §:n 1 momentissa ta</w:t>
            </w:r>
            <w:r w:rsidRPr="00CB6ADB">
              <w:t>r</w:t>
            </w:r>
            <w:r w:rsidRPr="00CB6ADB">
              <w:t xml:space="preserve">koitetun oikaisuvaatimuksen johdosta annettuun päätökseen, saa hakea siihen muutosta siten kuin hallintolainkäyttölaissa </w:t>
            </w:r>
            <w:hyperlink r:id="rId11" w:tooltip="Ajantasainen säädös" w:history="1">
              <w:r w:rsidRPr="00CB6ADB">
                <w:rPr>
                  <w:rStyle w:val="Hyperlink"/>
                  <w:color w:val="auto"/>
                  <w:u w:val="none"/>
                </w:rPr>
                <w:t>(586/1996)</w:t>
              </w:r>
            </w:hyperlink>
            <w:r w:rsidRPr="00CB6ADB">
              <w:t xml:space="preserve"> sääd</w:t>
            </w:r>
            <w:r w:rsidRPr="00CB6ADB">
              <w:t>e</w:t>
            </w:r>
            <w:r w:rsidRPr="00CB6ADB">
              <w:t xml:space="preserve">tään. </w:t>
            </w:r>
          </w:p>
          <w:p w:rsidR="00614380" w:rsidRPr="00164E53" w:rsidRDefault="00614380" w:rsidP="00164E53">
            <w:pPr>
              <w:pStyle w:val="py"/>
            </w:pPr>
          </w:p>
        </w:tc>
      </w:tr>
    </w:tbl>
    <w:p w:rsidR="00614380" w:rsidRDefault="00614380">
      <w:pPr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Yksityiskohtainen perustelu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37 §. </w:t>
      </w:r>
      <w:r>
        <w:rPr>
          <w:rFonts w:ascii="Times New Roman" w:hAnsi="Times New Roman"/>
          <w:i/>
          <w:sz w:val="24"/>
          <w:szCs w:val="24"/>
        </w:rPr>
        <w:t>Muutoksenhaku.</w:t>
      </w:r>
      <w:r>
        <w:rPr>
          <w:rFonts w:ascii="Times New Roman" w:hAnsi="Times New Roman"/>
          <w:sz w:val="24"/>
          <w:szCs w:val="24"/>
        </w:rPr>
        <w:t xml:space="preserve"> Pykälän 1 momentin mukaan muutoksenhaku ei olisi enää keskitetty Helsi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gin hallinto-oikeuteen kriisinhallintaorganisaatiossa ja Porin prikaatissa tehtyjen päätöksien osalta. Käsiteltävät asiat eivät ole luonteelta sellaisia, että edellyttäisi erityisasiantuntemusta. Lisäksi val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tuksia on käytännössä vähän ja ne keskittyvät eri asiaryhmiin, joten keskittämisellä ei olisi saavute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tavissa etua oikeuskäytännön yhtenäisyyttä ajatellen.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Laki Maanpuolustuskorkeakoulusta annetun lain 33 §:n 5 momentin muuttamisesta</w:t>
      </w:r>
    </w:p>
    <w:p w:rsidR="00614380" w:rsidRDefault="00614380" w:rsidP="00032421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032421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Eduskunnan päätöksen mukaisesti</w:t>
      </w:r>
    </w:p>
    <w:p w:rsidR="00614380" w:rsidRDefault="00614380" w:rsidP="00032421">
      <w:pPr>
        <w:pStyle w:val="NoSpacing"/>
        <w:rPr>
          <w:rFonts w:ascii="Times New Roman" w:hAnsi="Times New Roman"/>
          <w:sz w:val="24"/>
          <w:szCs w:val="24"/>
        </w:rPr>
      </w:pPr>
      <w:r w:rsidRPr="00032421">
        <w:rPr>
          <w:rFonts w:ascii="Times New Roman" w:hAnsi="Times New Roman"/>
          <w:i/>
          <w:sz w:val="24"/>
          <w:szCs w:val="24"/>
        </w:rPr>
        <w:t>muutetaan</w:t>
      </w:r>
      <w:r w:rsidRPr="00164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Maanpuolustuskorkeakoulusta annetun lain </w:t>
      </w:r>
      <w:r w:rsidRPr="00164E5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1121</w:t>
      </w:r>
      <w:r w:rsidRPr="00164E53">
        <w:rPr>
          <w:rFonts w:ascii="Times New Roman" w:hAnsi="Times New Roman"/>
          <w:sz w:val="24"/>
          <w:szCs w:val="24"/>
        </w:rPr>
        <w:t>/200</w:t>
      </w:r>
      <w:r>
        <w:rPr>
          <w:rFonts w:ascii="Times New Roman" w:hAnsi="Times New Roman"/>
          <w:sz w:val="24"/>
          <w:szCs w:val="24"/>
        </w:rPr>
        <w:t>8</w:t>
      </w:r>
      <w:r w:rsidRPr="00164E5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37</w:t>
      </w:r>
      <w:r w:rsidRPr="00164E53">
        <w:rPr>
          <w:rFonts w:ascii="Times New Roman" w:hAnsi="Times New Roman"/>
          <w:sz w:val="24"/>
          <w:szCs w:val="24"/>
        </w:rPr>
        <w:t xml:space="preserve"> §</w:t>
      </w:r>
      <w:r>
        <w:rPr>
          <w:rFonts w:ascii="Times New Roman" w:hAnsi="Times New Roman"/>
          <w:sz w:val="24"/>
          <w:szCs w:val="24"/>
        </w:rPr>
        <w:t xml:space="preserve">:n 5 momentti </w:t>
      </w:r>
      <w:r w:rsidRPr="00164E53">
        <w:rPr>
          <w:rFonts w:ascii="Times New Roman" w:hAnsi="Times New Roman"/>
          <w:sz w:val="24"/>
          <w:szCs w:val="24"/>
        </w:rPr>
        <w:t>seuraavasti:</w:t>
      </w:r>
    </w:p>
    <w:p w:rsidR="00614380" w:rsidRDefault="00614380" w:rsidP="00032421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Pr="00164E53" w:rsidRDefault="00614380" w:rsidP="00032421">
      <w:pPr>
        <w:pStyle w:val="NoSpacing"/>
        <w:rPr>
          <w:rFonts w:ascii="Times New Roman" w:hAnsi="Times New Roman"/>
          <w:sz w:val="24"/>
          <w:szCs w:val="24"/>
        </w:rPr>
      </w:pP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 § 5 mom.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Muutoksenhaku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</w:p>
    <w:p w:rsidR="00614380" w:rsidRDefault="00614380" w:rsidP="00D414B8">
      <w:pPr>
        <w:pStyle w:val="NoSpacing"/>
        <w:rPr>
          <w:rFonts w:ascii="Times New Roman" w:hAnsi="Times New Roman"/>
          <w:sz w:val="24"/>
          <w:szCs w:val="24"/>
        </w:rPr>
      </w:pPr>
      <w:r w:rsidRPr="00164E53">
        <w:rPr>
          <w:rFonts w:ascii="Times New Roman" w:hAnsi="Times New Roman"/>
          <w:sz w:val="24"/>
          <w:szCs w:val="24"/>
        </w:rPr>
        <w:t>Voimassa oleva laki</w:t>
      </w:r>
      <w:r w:rsidRPr="00164E53">
        <w:rPr>
          <w:rFonts w:ascii="Times New Roman" w:hAnsi="Times New Roman"/>
          <w:sz w:val="24"/>
          <w:szCs w:val="24"/>
        </w:rPr>
        <w:tab/>
      </w:r>
      <w:r w:rsidRPr="00164E53">
        <w:rPr>
          <w:rFonts w:ascii="Times New Roman" w:hAnsi="Times New Roman"/>
          <w:sz w:val="24"/>
          <w:szCs w:val="24"/>
        </w:rPr>
        <w:tab/>
      </w:r>
      <w:r w:rsidRPr="00164E53">
        <w:rPr>
          <w:rFonts w:ascii="Times New Roman" w:hAnsi="Times New Roman"/>
          <w:sz w:val="24"/>
          <w:szCs w:val="24"/>
        </w:rPr>
        <w:tab/>
        <w:t>Ehdotus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89"/>
        <w:gridCol w:w="4889"/>
      </w:tblGrid>
      <w:tr w:rsidR="00614380" w:rsidRPr="00164E53" w:rsidTr="00986F5D">
        <w:tc>
          <w:tcPr>
            <w:tcW w:w="4889" w:type="dxa"/>
          </w:tcPr>
          <w:p w:rsidR="00614380" w:rsidRDefault="00614380" w:rsidP="00EE5839">
            <w:pPr>
              <w:pStyle w:val="py"/>
            </w:pPr>
            <w:r>
              <w:t>Hallinto-oikeuden päätökseen, joka koskee opiskelijaksi hyväksymistä tai opiskeluoikeuden menettämistä tai opiskelun keskeyttämistä, ei saa hakea muutosta valittamalla.</w:t>
            </w:r>
          </w:p>
          <w:p w:rsidR="00614380" w:rsidRPr="00164E53" w:rsidRDefault="00614380" w:rsidP="00EE5839">
            <w:pPr>
              <w:pStyle w:val="py"/>
            </w:pPr>
          </w:p>
        </w:tc>
        <w:tc>
          <w:tcPr>
            <w:tcW w:w="4889" w:type="dxa"/>
          </w:tcPr>
          <w:p w:rsidR="00614380" w:rsidRPr="00EE5839" w:rsidRDefault="00614380" w:rsidP="00EE5839">
            <w:pPr>
              <w:pStyle w:val="py"/>
            </w:pPr>
            <w:r>
              <w:t xml:space="preserve">Hallinto-oikeuden päätökseen, joka koskee opiskelijaksi hyväksymistä tai opiskeluoikeuden menettämistä tai opiskelun keskeyttämistä, </w:t>
            </w:r>
            <w:r w:rsidRPr="00164E53">
              <w:rPr>
                <w:i/>
              </w:rPr>
              <w:t>saa hakea muutosta valittamalla vain, jos korkein hallinto-oikeus myöntää valitusluva</w:t>
            </w:r>
            <w:r>
              <w:rPr>
                <w:i/>
              </w:rPr>
              <w:t>n.</w:t>
            </w:r>
          </w:p>
        </w:tc>
      </w:tr>
    </w:tbl>
    <w:p w:rsidR="00614380" w:rsidRDefault="00614380" w:rsidP="00CB6ADB">
      <w:pPr>
        <w:spacing w:after="0"/>
      </w:pP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Yksityiskohtainen perustelu</w:t>
      </w:r>
    </w:p>
    <w:p w:rsidR="00614380" w:rsidRPr="00EE5839" w:rsidRDefault="00614380" w:rsidP="00CB6ADB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§. </w:t>
      </w:r>
      <w:r>
        <w:rPr>
          <w:rFonts w:ascii="Times New Roman" w:hAnsi="Times New Roman"/>
          <w:i/>
          <w:sz w:val="24"/>
          <w:szCs w:val="24"/>
        </w:rPr>
        <w:t>Muutoksenhaku.</w:t>
      </w:r>
      <w:r>
        <w:rPr>
          <w:rFonts w:ascii="Times New Roman" w:hAnsi="Times New Roman"/>
          <w:sz w:val="24"/>
          <w:szCs w:val="24"/>
        </w:rPr>
        <w:t xml:space="preserve"> Pykälän 5 momenttiin lisättäisiin mahdollisuus hakea muutosta hallinto-oikeuden päätökseen korkeimmalta hallinto-oikeudelta, joka koskee opiskelijaksi hyväksymistä tai opiskeluoikeuden menettämistä tai opiskelun keskeyttämistä. Muutoksenhaku säädettäisiin luvanv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raiseksi. Muutos parannettaisi päätöksen kohteena olevien oikeusturvaa.</w:t>
      </w:r>
    </w:p>
    <w:p w:rsidR="00614380" w:rsidRDefault="00614380" w:rsidP="00CB6ADB">
      <w:pPr>
        <w:spacing w:after="0"/>
        <w:rPr>
          <w:rFonts w:ascii="Times New Roman" w:hAnsi="Times New Roman"/>
          <w:sz w:val="24"/>
          <w:szCs w:val="24"/>
        </w:rPr>
      </w:pPr>
    </w:p>
    <w:sectPr w:rsidR="00614380" w:rsidSect="008D28ED">
      <w:head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380" w:rsidRDefault="00614380" w:rsidP="00D414B8">
      <w:pPr>
        <w:spacing w:after="0" w:line="240" w:lineRule="auto"/>
      </w:pPr>
      <w:r>
        <w:separator/>
      </w:r>
    </w:p>
  </w:endnote>
  <w:endnote w:type="continuationSeparator" w:id="0">
    <w:p w:rsidR="00614380" w:rsidRDefault="00614380" w:rsidP="00D4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380" w:rsidRDefault="00614380" w:rsidP="00D414B8">
      <w:pPr>
        <w:spacing w:after="0" w:line="240" w:lineRule="auto"/>
      </w:pPr>
      <w:r>
        <w:separator/>
      </w:r>
    </w:p>
  </w:footnote>
  <w:footnote w:type="continuationSeparator" w:id="0">
    <w:p w:rsidR="00614380" w:rsidRDefault="00614380" w:rsidP="00D41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380" w:rsidRPr="00D414B8" w:rsidRDefault="00614380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LIITE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35C97"/>
    <w:multiLevelType w:val="hybridMultilevel"/>
    <w:tmpl w:val="35545A2A"/>
    <w:lvl w:ilvl="0" w:tplc="D78CA91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2BE"/>
    <w:rsid w:val="00017515"/>
    <w:rsid w:val="00032421"/>
    <w:rsid w:val="000514A5"/>
    <w:rsid w:val="00057F24"/>
    <w:rsid w:val="000E70D0"/>
    <w:rsid w:val="001225A0"/>
    <w:rsid w:val="00123C22"/>
    <w:rsid w:val="0013106A"/>
    <w:rsid w:val="00131994"/>
    <w:rsid w:val="00146DC5"/>
    <w:rsid w:val="00164E53"/>
    <w:rsid w:val="00193579"/>
    <w:rsid w:val="00223726"/>
    <w:rsid w:val="00261E95"/>
    <w:rsid w:val="002C325F"/>
    <w:rsid w:val="0032368D"/>
    <w:rsid w:val="00335278"/>
    <w:rsid w:val="00381D2F"/>
    <w:rsid w:val="0038707C"/>
    <w:rsid w:val="003B77CF"/>
    <w:rsid w:val="00423E71"/>
    <w:rsid w:val="00423F1B"/>
    <w:rsid w:val="00431F7E"/>
    <w:rsid w:val="00466D52"/>
    <w:rsid w:val="00477B57"/>
    <w:rsid w:val="004E36C7"/>
    <w:rsid w:val="00512B03"/>
    <w:rsid w:val="0051722B"/>
    <w:rsid w:val="005634B2"/>
    <w:rsid w:val="005F099A"/>
    <w:rsid w:val="00614380"/>
    <w:rsid w:val="0061554B"/>
    <w:rsid w:val="00624C6B"/>
    <w:rsid w:val="006B72DF"/>
    <w:rsid w:val="007704FC"/>
    <w:rsid w:val="00832F67"/>
    <w:rsid w:val="008C72BE"/>
    <w:rsid w:val="008D28ED"/>
    <w:rsid w:val="008E2535"/>
    <w:rsid w:val="008E6D2D"/>
    <w:rsid w:val="008F3E38"/>
    <w:rsid w:val="00923D7D"/>
    <w:rsid w:val="00930667"/>
    <w:rsid w:val="00986F5D"/>
    <w:rsid w:val="00AF2E59"/>
    <w:rsid w:val="00B552C4"/>
    <w:rsid w:val="00B87BD3"/>
    <w:rsid w:val="00B94A19"/>
    <w:rsid w:val="00BA31F4"/>
    <w:rsid w:val="00BD2B70"/>
    <w:rsid w:val="00BD6C87"/>
    <w:rsid w:val="00C55F72"/>
    <w:rsid w:val="00CB6ADB"/>
    <w:rsid w:val="00CC70B6"/>
    <w:rsid w:val="00D414B8"/>
    <w:rsid w:val="00D8026F"/>
    <w:rsid w:val="00D866D8"/>
    <w:rsid w:val="00E178B3"/>
    <w:rsid w:val="00E27A24"/>
    <w:rsid w:val="00E53141"/>
    <w:rsid w:val="00E7247F"/>
    <w:rsid w:val="00EE5839"/>
    <w:rsid w:val="00F743DC"/>
    <w:rsid w:val="00F77F72"/>
    <w:rsid w:val="00F94757"/>
    <w:rsid w:val="00FC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E"/>
    <w:pPr>
      <w:spacing w:after="200" w:line="276" w:lineRule="auto"/>
    </w:pPr>
    <w:rPr>
      <w:rFonts w:ascii="Calibri" w:hAnsi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634B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634B2"/>
    <w:rPr>
      <w:rFonts w:ascii="Cambria" w:hAnsi="Cambria" w:cs="Times New Roman"/>
      <w:color w:val="243F60"/>
      <w:sz w:val="22"/>
      <w:szCs w:val="22"/>
      <w:lang w:eastAsia="en-US"/>
    </w:rPr>
  </w:style>
  <w:style w:type="paragraph" w:customStyle="1" w:styleId="py">
    <w:name w:val="py"/>
    <w:basedOn w:val="Normal"/>
    <w:uiPriority w:val="99"/>
    <w:rsid w:val="008C72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i-FI"/>
    </w:rPr>
  </w:style>
  <w:style w:type="paragraph" w:styleId="NoSpacing">
    <w:name w:val="No Spacing"/>
    <w:uiPriority w:val="99"/>
    <w:qFormat/>
    <w:rsid w:val="008C72BE"/>
    <w:rPr>
      <w:rFonts w:ascii="Calibri" w:hAnsi="Calibri"/>
      <w:lang w:eastAsia="en-US"/>
    </w:rPr>
  </w:style>
  <w:style w:type="character" w:styleId="Hyperlink">
    <w:name w:val="Hyperlink"/>
    <w:basedOn w:val="DefaultParagraphFont"/>
    <w:uiPriority w:val="99"/>
    <w:rsid w:val="008E6D2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E7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414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14B8"/>
    <w:rPr>
      <w:rFonts w:ascii="Calibri" w:eastAsia="Times New Roman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D414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14B8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0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lex.fi/fi/laki/ajantasa/1996/199605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nlex.fi/fi/laki/ajantasa/1996/1996058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lex.fi/fi/laki/ajantasa/1996/1996058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inlex.fi/fi/laki/ajantasa/2006/20060211?search%5Btype%5D=pika&amp;search%5Bpika%5D=laki%20sotilaallisesta%20kriisinhallinna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lex.fi/fi/laki/ajantasa/1996/199605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1224</Words>
  <Characters>9920</Characters>
  <Application>Microsoft Office Outlook</Application>
  <DocSecurity>0</DocSecurity>
  <Lines>0</Lines>
  <Paragraphs>0</Paragraphs>
  <ScaleCrop>false</ScaleCrop>
  <Company>VIP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Alustavat luonnokset pykälämuutoksiksi</dc:title>
  <dc:subject/>
  <dc:creator>khn</dc:creator>
  <cp:keywords/>
  <dc:description/>
  <cp:lastModifiedBy>O924180</cp:lastModifiedBy>
  <cp:revision>2</cp:revision>
  <cp:lastPrinted>2012-12-14T06:30:00Z</cp:lastPrinted>
  <dcterms:created xsi:type="dcterms:W3CDTF">2012-12-14T06:32:00Z</dcterms:created>
  <dcterms:modified xsi:type="dcterms:W3CDTF">2012-12-14T06:32:00Z</dcterms:modified>
</cp:coreProperties>
</file>