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1E4B" w14:textId="08EEC342" w:rsidR="00A342CE" w:rsidRPr="00175575" w:rsidRDefault="00143287" w:rsidP="00030BFC">
      <w:pPr>
        <w:pStyle w:val="Kansiotsikko"/>
        <w:rPr>
          <w:color w:val="FFFFFF" w:themeColor="background1"/>
          <w:sz w:val="72"/>
          <w:szCs w:val="72"/>
          <w:lang w:val="sv-SE"/>
        </w:rPr>
      </w:pPr>
      <w:r>
        <w:rPr>
          <w:color w:val="FFFFFF" w:themeColor="background1"/>
          <w:sz w:val="72"/>
          <w:szCs w:val="72"/>
          <w:lang w:val="sv-SE"/>
        </w:rPr>
        <w:t>G</w:t>
      </w:r>
      <w:r w:rsidR="00CB4157" w:rsidRPr="00175575">
        <w:rPr>
          <w:color w:val="FFFFFF" w:themeColor="background1"/>
          <w:sz w:val="72"/>
          <w:szCs w:val="72"/>
          <w:lang w:val="sv-SE"/>
        </w:rPr>
        <w:t>enomförandeplan</w:t>
      </w:r>
      <w:r w:rsidR="002F1815" w:rsidRPr="00175575">
        <w:rPr>
          <w:color w:val="FFFFFF" w:themeColor="background1"/>
          <w:sz w:val="72"/>
          <w:szCs w:val="72"/>
          <w:lang w:val="sv-SE"/>
        </w:rPr>
        <w:t xml:space="preserve"> </w:t>
      </w:r>
      <w:r>
        <w:rPr>
          <w:color w:val="FFFFFF" w:themeColor="background1"/>
          <w:sz w:val="72"/>
          <w:szCs w:val="72"/>
          <w:lang w:val="sv-SE"/>
        </w:rPr>
        <w:t xml:space="preserve">för ISF fonden </w:t>
      </w:r>
      <w:r w:rsidR="00FA71BE" w:rsidRPr="00175575">
        <w:rPr>
          <w:color w:val="FFFFFF" w:themeColor="background1"/>
          <w:sz w:val="72"/>
          <w:szCs w:val="72"/>
          <w:lang w:val="sv-SE"/>
        </w:rPr>
        <w:t>202</w:t>
      </w:r>
      <w:r w:rsidR="00FA71BE">
        <w:rPr>
          <w:color w:val="FFFFFF" w:themeColor="background1"/>
          <w:sz w:val="72"/>
          <w:szCs w:val="72"/>
          <w:lang w:val="sv-SE"/>
        </w:rPr>
        <w:t>4</w:t>
      </w:r>
      <w:r w:rsidR="00FA71BE" w:rsidRPr="00175575">
        <w:rPr>
          <w:color w:val="FFFFFF" w:themeColor="background1"/>
          <w:sz w:val="72"/>
          <w:szCs w:val="72"/>
          <w:lang w:val="sv-SE"/>
        </w:rPr>
        <w:t>–2025</w:t>
      </w:r>
    </w:p>
    <w:p w14:paraId="153511C5" w14:textId="4818EE9D" w:rsidR="00A342CE" w:rsidRDefault="00143287" w:rsidP="007939FA">
      <w:pPr>
        <w:pStyle w:val="Kuvaus"/>
        <w:rPr>
          <w:color w:val="FFFFFF" w:themeColor="background1"/>
          <w:sz w:val="36"/>
          <w:szCs w:val="36"/>
          <w:lang w:val="sv-SE"/>
        </w:rPr>
      </w:pPr>
      <w:r>
        <w:rPr>
          <w:color w:val="FFFFFF" w:themeColor="background1"/>
          <w:sz w:val="36"/>
          <w:szCs w:val="36"/>
          <w:lang w:val="sv-SE"/>
        </w:rPr>
        <w:t>Fonden för inre säkerhet (ISF)</w:t>
      </w:r>
    </w:p>
    <w:p w14:paraId="598AA625" w14:textId="77777777" w:rsidR="00143287" w:rsidRDefault="00143287">
      <w:pPr>
        <w:tabs>
          <w:tab w:val="clear" w:pos="1304"/>
          <w:tab w:val="clear" w:pos="2608"/>
        </w:tabs>
        <w:rPr>
          <w:noProof/>
          <w:color w:val="FFFFFF" w:themeColor="background1"/>
          <w:sz w:val="32"/>
          <w:szCs w:val="36"/>
          <w:lang w:val="sv-SE"/>
        </w:rPr>
      </w:pPr>
    </w:p>
    <w:p w14:paraId="2FF7630C" w14:textId="2485B178" w:rsidR="00F424AD" w:rsidRDefault="000F6088">
      <w:pPr>
        <w:tabs>
          <w:tab w:val="clear" w:pos="1304"/>
          <w:tab w:val="clear" w:pos="2608"/>
        </w:tabs>
        <w:rPr>
          <w:lang w:val="sv-SE"/>
        </w:rPr>
      </w:pPr>
      <w:r>
        <w:rPr>
          <w:noProof/>
          <w:color w:val="FFFFFF" w:themeColor="background1"/>
          <w:sz w:val="32"/>
          <w:szCs w:val="36"/>
          <w:lang w:val="sv-SE"/>
        </w:rPr>
        <w:t>xx</w:t>
      </w:r>
      <w:r w:rsidR="00143287" w:rsidRPr="00143287">
        <w:rPr>
          <w:noProof/>
          <w:color w:val="FFFFFF" w:themeColor="background1"/>
          <w:sz w:val="32"/>
          <w:szCs w:val="36"/>
          <w:lang w:val="sv-SE"/>
        </w:rPr>
        <w:t>.</w:t>
      </w:r>
      <w:r>
        <w:rPr>
          <w:noProof/>
          <w:color w:val="FFFFFF" w:themeColor="background1"/>
          <w:sz w:val="32"/>
          <w:szCs w:val="36"/>
          <w:lang w:val="sv-SE"/>
        </w:rPr>
        <w:t>xx</w:t>
      </w:r>
      <w:r w:rsidR="00143287" w:rsidRPr="00143287">
        <w:rPr>
          <w:noProof/>
          <w:color w:val="FFFFFF" w:themeColor="background1"/>
          <w:sz w:val="32"/>
          <w:szCs w:val="36"/>
          <w:lang w:val="sv-SE"/>
        </w:rPr>
        <w:t>.202</w:t>
      </w:r>
      <w:r w:rsidR="00B309DA">
        <w:rPr>
          <w:noProof/>
          <w:color w:val="FFFFFF" w:themeColor="background1"/>
          <w:sz w:val="32"/>
          <w:szCs w:val="36"/>
          <w:lang w:val="sv-SE"/>
        </w:rPr>
        <w:t>x</w:t>
      </w:r>
      <w:r w:rsidR="00F424AD" w:rsidRPr="00911344">
        <w:rPr>
          <w:lang w:val="sv-SE"/>
        </w:rPr>
        <w:br w:type="page"/>
      </w:r>
    </w:p>
    <w:sdt>
      <w:sdtPr>
        <w:rPr>
          <w:rFonts w:asciiTheme="minorHAnsi" w:eastAsiaTheme="minorHAnsi" w:hAnsiTheme="minorHAnsi" w:cstheme="minorHAnsi"/>
          <w:b w:val="0"/>
          <w:color w:val="auto"/>
          <w:sz w:val="22"/>
          <w:szCs w:val="22"/>
          <w:lang w:eastAsia="en-US"/>
        </w:rPr>
        <w:id w:val="-2136560440"/>
        <w:docPartObj>
          <w:docPartGallery w:val="Table of Contents"/>
          <w:docPartUnique/>
        </w:docPartObj>
      </w:sdtPr>
      <w:sdtEndPr>
        <w:rPr>
          <w:bCs/>
        </w:rPr>
      </w:sdtEndPr>
      <w:sdtContent>
        <w:p w14:paraId="409F8AD7" w14:textId="77777777" w:rsidR="00B81265" w:rsidRPr="005F067F" w:rsidRDefault="00B81265">
          <w:pPr>
            <w:pStyle w:val="Sisllysluettelonotsikko"/>
            <w:rPr>
              <w:lang w:val="sv-SE"/>
            </w:rPr>
          </w:pPr>
          <w:r w:rsidRPr="005F067F">
            <w:rPr>
              <w:lang w:val="sv-SE"/>
            </w:rPr>
            <w:t>Innehållsförteckning</w:t>
          </w:r>
        </w:p>
        <w:p w14:paraId="43D93068" w14:textId="288C34E3" w:rsidR="009F1373" w:rsidRDefault="00B81265">
          <w:pPr>
            <w:pStyle w:val="Sisluet1"/>
            <w:tabs>
              <w:tab w:val="left" w:pos="440"/>
            </w:tabs>
            <w:rPr>
              <w:rFonts w:eastAsiaTheme="minorEastAsia" w:cstheme="minorBidi"/>
              <w:b w:val="0"/>
              <w:noProof/>
              <w:kern w:val="2"/>
              <w:lang w:eastAsia="fi-FI"/>
              <w14:ligatures w14:val="standardContextual"/>
            </w:rPr>
          </w:pPr>
          <w:r>
            <w:fldChar w:fldCharType="begin"/>
          </w:r>
          <w:r>
            <w:instrText xml:space="preserve"> TOC \o "1-3" \h \z \u </w:instrText>
          </w:r>
          <w:r>
            <w:fldChar w:fldCharType="separate"/>
          </w:r>
          <w:hyperlink w:anchor="_Toc184224293" w:history="1">
            <w:r w:rsidR="009F1373" w:rsidRPr="007012D8">
              <w:rPr>
                <w:rStyle w:val="Hyperlinkki"/>
                <w:noProof/>
                <w:lang w:val="sv-SE"/>
              </w:rPr>
              <w:t>1.</w:t>
            </w:r>
            <w:r w:rsidR="009F1373">
              <w:rPr>
                <w:rFonts w:eastAsiaTheme="minorEastAsia" w:cstheme="minorBidi"/>
                <w:b w:val="0"/>
                <w:noProof/>
                <w:kern w:val="2"/>
                <w:lang w:eastAsia="fi-FI"/>
                <w14:ligatures w14:val="standardContextual"/>
              </w:rPr>
              <w:tab/>
            </w:r>
            <w:r w:rsidR="009F1373" w:rsidRPr="007012D8">
              <w:rPr>
                <w:rStyle w:val="Hyperlinkki"/>
                <w:noProof/>
                <w:lang w:val="sv-SE"/>
              </w:rPr>
              <w:t>Inledning</w:t>
            </w:r>
            <w:r w:rsidR="009F1373">
              <w:rPr>
                <w:noProof/>
                <w:webHidden/>
              </w:rPr>
              <w:tab/>
            </w:r>
            <w:r w:rsidR="009F1373">
              <w:rPr>
                <w:noProof/>
                <w:webHidden/>
              </w:rPr>
              <w:fldChar w:fldCharType="begin"/>
            </w:r>
            <w:r w:rsidR="009F1373">
              <w:rPr>
                <w:noProof/>
                <w:webHidden/>
              </w:rPr>
              <w:instrText xml:space="preserve"> PAGEREF _Toc184224293 \h </w:instrText>
            </w:r>
            <w:r w:rsidR="009F1373">
              <w:rPr>
                <w:noProof/>
                <w:webHidden/>
              </w:rPr>
            </w:r>
            <w:r w:rsidR="009F1373">
              <w:rPr>
                <w:noProof/>
                <w:webHidden/>
              </w:rPr>
              <w:fldChar w:fldCharType="separate"/>
            </w:r>
            <w:r w:rsidR="009F1373">
              <w:rPr>
                <w:noProof/>
                <w:webHidden/>
              </w:rPr>
              <w:t>5</w:t>
            </w:r>
            <w:r w:rsidR="009F1373">
              <w:rPr>
                <w:noProof/>
                <w:webHidden/>
              </w:rPr>
              <w:fldChar w:fldCharType="end"/>
            </w:r>
          </w:hyperlink>
        </w:p>
        <w:p w14:paraId="7E22D0A2" w14:textId="6D6CA0B7" w:rsidR="009F1373" w:rsidRDefault="00EB55CB">
          <w:pPr>
            <w:pStyle w:val="Sisluet2"/>
            <w:tabs>
              <w:tab w:val="left" w:pos="880"/>
            </w:tabs>
            <w:rPr>
              <w:rFonts w:eastAsiaTheme="minorEastAsia" w:cstheme="minorBidi"/>
              <w:noProof/>
              <w:kern w:val="2"/>
              <w:lang w:eastAsia="fi-FI"/>
              <w14:ligatures w14:val="standardContextual"/>
            </w:rPr>
          </w:pPr>
          <w:hyperlink w:anchor="_Toc184224294" w:history="1">
            <w:r w:rsidR="009F1373" w:rsidRPr="007012D8">
              <w:rPr>
                <w:rStyle w:val="Hyperlinkki"/>
                <w:noProof/>
                <w:lang w:val="sv-SE"/>
              </w:rPr>
              <w:t>1.1</w:t>
            </w:r>
            <w:r w:rsidR="009F1373">
              <w:rPr>
                <w:rFonts w:eastAsiaTheme="minorEastAsia" w:cstheme="minorBidi"/>
                <w:noProof/>
                <w:kern w:val="2"/>
                <w:lang w:eastAsia="fi-FI"/>
                <w14:ligatures w14:val="standardContextual"/>
              </w:rPr>
              <w:tab/>
            </w:r>
            <w:r w:rsidR="009F1373" w:rsidRPr="007012D8">
              <w:rPr>
                <w:rStyle w:val="Hyperlinkki"/>
                <w:noProof/>
                <w:lang w:val="sv"/>
              </w:rPr>
              <w:t>Programmet för fonden för inre säkerhet</w:t>
            </w:r>
            <w:r w:rsidR="009F1373">
              <w:rPr>
                <w:noProof/>
                <w:webHidden/>
              </w:rPr>
              <w:tab/>
            </w:r>
            <w:r w:rsidR="009F1373">
              <w:rPr>
                <w:noProof/>
                <w:webHidden/>
              </w:rPr>
              <w:fldChar w:fldCharType="begin"/>
            </w:r>
            <w:r w:rsidR="009F1373">
              <w:rPr>
                <w:noProof/>
                <w:webHidden/>
              </w:rPr>
              <w:instrText xml:space="preserve"> PAGEREF _Toc184224294 \h </w:instrText>
            </w:r>
            <w:r w:rsidR="009F1373">
              <w:rPr>
                <w:noProof/>
                <w:webHidden/>
              </w:rPr>
            </w:r>
            <w:r w:rsidR="009F1373">
              <w:rPr>
                <w:noProof/>
                <w:webHidden/>
              </w:rPr>
              <w:fldChar w:fldCharType="separate"/>
            </w:r>
            <w:r w:rsidR="009F1373">
              <w:rPr>
                <w:noProof/>
                <w:webHidden/>
              </w:rPr>
              <w:t>5</w:t>
            </w:r>
            <w:r w:rsidR="009F1373">
              <w:rPr>
                <w:noProof/>
                <w:webHidden/>
              </w:rPr>
              <w:fldChar w:fldCharType="end"/>
            </w:r>
          </w:hyperlink>
        </w:p>
        <w:p w14:paraId="18AAC24D" w14:textId="1C183137" w:rsidR="009F1373" w:rsidRDefault="00EB55CB">
          <w:pPr>
            <w:pStyle w:val="Sisluet2"/>
            <w:tabs>
              <w:tab w:val="left" w:pos="880"/>
            </w:tabs>
            <w:rPr>
              <w:rFonts w:eastAsiaTheme="minorEastAsia" w:cstheme="minorBidi"/>
              <w:noProof/>
              <w:kern w:val="2"/>
              <w:lang w:eastAsia="fi-FI"/>
              <w14:ligatures w14:val="standardContextual"/>
            </w:rPr>
          </w:pPr>
          <w:hyperlink w:anchor="_Toc184224295" w:history="1">
            <w:r w:rsidR="009F1373" w:rsidRPr="007012D8">
              <w:rPr>
                <w:rStyle w:val="Hyperlinkki"/>
                <w:noProof/>
                <w:lang w:val="sv-SE"/>
              </w:rPr>
              <w:t>1.2</w:t>
            </w:r>
            <w:r w:rsidR="009F1373">
              <w:rPr>
                <w:rFonts w:eastAsiaTheme="minorEastAsia" w:cstheme="minorBidi"/>
                <w:noProof/>
                <w:kern w:val="2"/>
                <w:lang w:eastAsia="fi-FI"/>
                <w14:ligatures w14:val="standardContextual"/>
              </w:rPr>
              <w:tab/>
            </w:r>
            <w:r w:rsidR="009F1373" w:rsidRPr="007012D8">
              <w:rPr>
                <w:rStyle w:val="Hyperlinkki"/>
                <w:noProof/>
                <w:lang w:val="sv"/>
              </w:rPr>
              <w:t>Fondens genomförandeplan</w:t>
            </w:r>
            <w:r w:rsidR="009F1373">
              <w:rPr>
                <w:noProof/>
                <w:webHidden/>
              </w:rPr>
              <w:tab/>
            </w:r>
            <w:r w:rsidR="009F1373">
              <w:rPr>
                <w:noProof/>
                <w:webHidden/>
              </w:rPr>
              <w:fldChar w:fldCharType="begin"/>
            </w:r>
            <w:r w:rsidR="009F1373">
              <w:rPr>
                <w:noProof/>
                <w:webHidden/>
              </w:rPr>
              <w:instrText xml:space="preserve"> PAGEREF _Toc184224295 \h </w:instrText>
            </w:r>
            <w:r w:rsidR="009F1373">
              <w:rPr>
                <w:noProof/>
                <w:webHidden/>
              </w:rPr>
            </w:r>
            <w:r w:rsidR="009F1373">
              <w:rPr>
                <w:noProof/>
                <w:webHidden/>
              </w:rPr>
              <w:fldChar w:fldCharType="separate"/>
            </w:r>
            <w:r w:rsidR="009F1373">
              <w:rPr>
                <w:noProof/>
                <w:webHidden/>
              </w:rPr>
              <w:t>6</w:t>
            </w:r>
            <w:r w:rsidR="009F1373">
              <w:rPr>
                <w:noProof/>
                <w:webHidden/>
              </w:rPr>
              <w:fldChar w:fldCharType="end"/>
            </w:r>
          </w:hyperlink>
        </w:p>
        <w:p w14:paraId="69ECC9BB" w14:textId="2317606F" w:rsidR="009F1373" w:rsidRDefault="00EB55CB">
          <w:pPr>
            <w:pStyle w:val="Sisluet2"/>
            <w:tabs>
              <w:tab w:val="left" w:pos="880"/>
            </w:tabs>
            <w:rPr>
              <w:rFonts w:eastAsiaTheme="minorEastAsia" w:cstheme="minorBidi"/>
              <w:noProof/>
              <w:kern w:val="2"/>
              <w:lang w:eastAsia="fi-FI"/>
              <w14:ligatures w14:val="standardContextual"/>
            </w:rPr>
          </w:pPr>
          <w:hyperlink w:anchor="_Toc184224296" w:history="1">
            <w:r w:rsidR="009F1373" w:rsidRPr="007012D8">
              <w:rPr>
                <w:rStyle w:val="Hyperlinkki"/>
                <w:noProof/>
                <w:lang w:val="sv-SE"/>
              </w:rPr>
              <w:t>1.3</w:t>
            </w:r>
            <w:r w:rsidR="009F1373">
              <w:rPr>
                <w:rFonts w:eastAsiaTheme="minorEastAsia" w:cstheme="minorBidi"/>
                <w:noProof/>
                <w:kern w:val="2"/>
                <w:lang w:eastAsia="fi-FI"/>
                <w14:ligatures w14:val="standardContextual"/>
              </w:rPr>
              <w:tab/>
            </w:r>
            <w:r w:rsidR="009F1373" w:rsidRPr="007012D8">
              <w:rPr>
                <w:rStyle w:val="Hyperlinkki"/>
                <w:noProof/>
                <w:lang w:val="sv"/>
              </w:rPr>
              <w:t>Fondprogrammets specifika mål och finansiering</w:t>
            </w:r>
            <w:r w:rsidR="009F1373">
              <w:rPr>
                <w:noProof/>
                <w:webHidden/>
              </w:rPr>
              <w:tab/>
            </w:r>
            <w:r w:rsidR="009F1373">
              <w:rPr>
                <w:noProof/>
                <w:webHidden/>
              </w:rPr>
              <w:fldChar w:fldCharType="begin"/>
            </w:r>
            <w:r w:rsidR="009F1373">
              <w:rPr>
                <w:noProof/>
                <w:webHidden/>
              </w:rPr>
              <w:instrText xml:space="preserve"> PAGEREF _Toc184224296 \h </w:instrText>
            </w:r>
            <w:r w:rsidR="009F1373">
              <w:rPr>
                <w:noProof/>
                <w:webHidden/>
              </w:rPr>
            </w:r>
            <w:r w:rsidR="009F1373">
              <w:rPr>
                <w:noProof/>
                <w:webHidden/>
              </w:rPr>
              <w:fldChar w:fldCharType="separate"/>
            </w:r>
            <w:r w:rsidR="009F1373">
              <w:rPr>
                <w:noProof/>
                <w:webHidden/>
              </w:rPr>
              <w:t>7</w:t>
            </w:r>
            <w:r w:rsidR="009F1373">
              <w:rPr>
                <w:noProof/>
                <w:webHidden/>
              </w:rPr>
              <w:fldChar w:fldCharType="end"/>
            </w:r>
          </w:hyperlink>
        </w:p>
        <w:p w14:paraId="3C03E8E5" w14:textId="16B0CA3A" w:rsidR="009F1373" w:rsidRDefault="00EB55CB">
          <w:pPr>
            <w:pStyle w:val="Sisluet2"/>
            <w:tabs>
              <w:tab w:val="left" w:pos="880"/>
            </w:tabs>
            <w:rPr>
              <w:rFonts w:eastAsiaTheme="minorEastAsia" w:cstheme="minorBidi"/>
              <w:noProof/>
              <w:kern w:val="2"/>
              <w:lang w:eastAsia="fi-FI"/>
              <w14:ligatures w14:val="standardContextual"/>
            </w:rPr>
          </w:pPr>
          <w:hyperlink w:anchor="_Toc184224297" w:history="1">
            <w:r w:rsidR="009F1373" w:rsidRPr="007012D8">
              <w:rPr>
                <w:rStyle w:val="Hyperlinkki"/>
                <w:noProof/>
              </w:rPr>
              <w:t>1.4</w:t>
            </w:r>
            <w:r w:rsidR="009F1373">
              <w:rPr>
                <w:rFonts w:eastAsiaTheme="minorEastAsia" w:cstheme="minorBidi"/>
                <w:noProof/>
                <w:kern w:val="2"/>
                <w:lang w:eastAsia="fi-FI"/>
                <w14:ligatures w14:val="standardContextual"/>
              </w:rPr>
              <w:tab/>
            </w:r>
            <w:r w:rsidR="009F1373" w:rsidRPr="007012D8">
              <w:rPr>
                <w:rStyle w:val="Hyperlinkki"/>
                <w:noProof/>
                <w:lang w:val="sv"/>
              </w:rPr>
              <w:t>Genomförande av programmet</w:t>
            </w:r>
            <w:r w:rsidR="009F1373">
              <w:rPr>
                <w:noProof/>
                <w:webHidden/>
              </w:rPr>
              <w:tab/>
            </w:r>
            <w:r w:rsidR="009F1373">
              <w:rPr>
                <w:noProof/>
                <w:webHidden/>
              </w:rPr>
              <w:fldChar w:fldCharType="begin"/>
            </w:r>
            <w:r w:rsidR="009F1373">
              <w:rPr>
                <w:noProof/>
                <w:webHidden/>
              </w:rPr>
              <w:instrText xml:space="preserve"> PAGEREF _Toc184224297 \h </w:instrText>
            </w:r>
            <w:r w:rsidR="009F1373">
              <w:rPr>
                <w:noProof/>
                <w:webHidden/>
              </w:rPr>
            </w:r>
            <w:r w:rsidR="009F1373">
              <w:rPr>
                <w:noProof/>
                <w:webHidden/>
              </w:rPr>
              <w:fldChar w:fldCharType="separate"/>
            </w:r>
            <w:r w:rsidR="009F1373">
              <w:rPr>
                <w:noProof/>
                <w:webHidden/>
              </w:rPr>
              <w:t>9</w:t>
            </w:r>
            <w:r w:rsidR="009F1373">
              <w:rPr>
                <w:noProof/>
                <w:webHidden/>
              </w:rPr>
              <w:fldChar w:fldCharType="end"/>
            </w:r>
          </w:hyperlink>
        </w:p>
        <w:p w14:paraId="7D0A6A7C" w14:textId="0153EFB5" w:rsidR="009F1373" w:rsidRDefault="00EB55CB">
          <w:pPr>
            <w:pStyle w:val="Sisluet3"/>
            <w:rPr>
              <w:rFonts w:eastAsiaTheme="minorEastAsia" w:cstheme="minorBidi"/>
              <w:noProof/>
              <w:kern w:val="2"/>
              <w:lang w:eastAsia="fi-FI"/>
              <w14:ligatures w14:val="standardContextual"/>
            </w:rPr>
          </w:pPr>
          <w:hyperlink w:anchor="_Toc184224298" w:history="1">
            <w:r w:rsidR="009F1373" w:rsidRPr="007012D8">
              <w:rPr>
                <w:rStyle w:val="Hyperlinkki"/>
                <w:noProof/>
                <w:lang w:val="sv"/>
              </w:rPr>
              <w:t>Specifikt mål 1 Informationsutbyte</w:t>
            </w:r>
            <w:r w:rsidR="009F1373">
              <w:rPr>
                <w:noProof/>
                <w:webHidden/>
              </w:rPr>
              <w:tab/>
            </w:r>
            <w:r w:rsidR="009F1373">
              <w:rPr>
                <w:noProof/>
                <w:webHidden/>
              </w:rPr>
              <w:fldChar w:fldCharType="begin"/>
            </w:r>
            <w:r w:rsidR="009F1373">
              <w:rPr>
                <w:noProof/>
                <w:webHidden/>
              </w:rPr>
              <w:instrText xml:space="preserve"> PAGEREF _Toc184224298 \h </w:instrText>
            </w:r>
            <w:r w:rsidR="009F1373">
              <w:rPr>
                <w:noProof/>
                <w:webHidden/>
              </w:rPr>
            </w:r>
            <w:r w:rsidR="009F1373">
              <w:rPr>
                <w:noProof/>
                <w:webHidden/>
              </w:rPr>
              <w:fldChar w:fldCharType="separate"/>
            </w:r>
            <w:r w:rsidR="009F1373">
              <w:rPr>
                <w:noProof/>
                <w:webHidden/>
              </w:rPr>
              <w:t>10</w:t>
            </w:r>
            <w:r w:rsidR="009F1373">
              <w:rPr>
                <w:noProof/>
                <w:webHidden/>
              </w:rPr>
              <w:fldChar w:fldCharType="end"/>
            </w:r>
          </w:hyperlink>
        </w:p>
        <w:p w14:paraId="13A41A53" w14:textId="2A8B3D2E" w:rsidR="009F1373" w:rsidRDefault="00EB55CB">
          <w:pPr>
            <w:pStyle w:val="Sisluet3"/>
            <w:rPr>
              <w:rFonts w:eastAsiaTheme="minorEastAsia" w:cstheme="minorBidi"/>
              <w:noProof/>
              <w:kern w:val="2"/>
              <w:lang w:eastAsia="fi-FI"/>
              <w14:ligatures w14:val="standardContextual"/>
            </w:rPr>
          </w:pPr>
          <w:hyperlink w:anchor="_Toc184224299" w:history="1">
            <w:r w:rsidR="009F1373" w:rsidRPr="007012D8">
              <w:rPr>
                <w:rStyle w:val="Hyperlinkki"/>
                <w:noProof/>
                <w:lang w:val="sv"/>
              </w:rPr>
              <w:t>Specifikt mål 2 Gränsöverskridande samarbete</w:t>
            </w:r>
            <w:r w:rsidR="009F1373">
              <w:rPr>
                <w:noProof/>
                <w:webHidden/>
              </w:rPr>
              <w:tab/>
            </w:r>
            <w:r w:rsidR="009F1373">
              <w:rPr>
                <w:noProof/>
                <w:webHidden/>
              </w:rPr>
              <w:fldChar w:fldCharType="begin"/>
            </w:r>
            <w:r w:rsidR="009F1373">
              <w:rPr>
                <w:noProof/>
                <w:webHidden/>
              </w:rPr>
              <w:instrText xml:space="preserve"> PAGEREF _Toc184224299 \h </w:instrText>
            </w:r>
            <w:r w:rsidR="009F1373">
              <w:rPr>
                <w:noProof/>
                <w:webHidden/>
              </w:rPr>
            </w:r>
            <w:r w:rsidR="009F1373">
              <w:rPr>
                <w:noProof/>
                <w:webHidden/>
              </w:rPr>
              <w:fldChar w:fldCharType="separate"/>
            </w:r>
            <w:r w:rsidR="009F1373">
              <w:rPr>
                <w:noProof/>
                <w:webHidden/>
              </w:rPr>
              <w:t>10</w:t>
            </w:r>
            <w:r w:rsidR="009F1373">
              <w:rPr>
                <w:noProof/>
                <w:webHidden/>
              </w:rPr>
              <w:fldChar w:fldCharType="end"/>
            </w:r>
          </w:hyperlink>
        </w:p>
        <w:p w14:paraId="19929E9F" w14:textId="5426D389" w:rsidR="009F1373" w:rsidRDefault="00EB55CB">
          <w:pPr>
            <w:pStyle w:val="Sisluet3"/>
            <w:rPr>
              <w:rFonts w:eastAsiaTheme="minorEastAsia" w:cstheme="minorBidi"/>
              <w:noProof/>
              <w:kern w:val="2"/>
              <w:lang w:eastAsia="fi-FI"/>
              <w14:ligatures w14:val="standardContextual"/>
            </w:rPr>
          </w:pPr>
          <w:hyperlink w:anchor="_Toc184224300" w:history="1">
            <w:r w:rsidR="009F1373" w:rsidRPr="007012D8">
              <w:rPr>
                <w:rStyle w:val="Hyperlinkki"/>
                <w:noProof/>
                <w:lang w:val="sv"/>
              </w:rPr>
              <w:t>Specifikt mål 3 Förebyggande och bekämpning av brottslighet</w:t>
            </w:r>
            <w:r w:rsidR="009F1373">
              <w:rPr>
                <w:noProof/>
                <w:webHidden/>
              </w:rPr>
              <w:tab/>
            </w:r>
            <w:r w:rsidR="009F1373">
              <w:rPr>
                <w:noProof/>
                <w:webHidden/>
              </w:rPr>
              <w:fldChar w:fldCharType="begin"/>
            </w:r>
            <w:r w:rsidR="009F1373">
              <w:rPr>
                <w:noProof/>
                <w:webHidden/>
              </w:rPr>
              <w:instrText xml:space="preserve"> PAGEREF _Toc184224300 \h </w:instrText>
            </w:r>
            <w:r w:rsidR="009F1373">
              <w:rPr>
                <w:noProof/>
                <w:webHidden/>
              </w:rPr>
            </w:r>
            <w:r w:rsidR="009F1373">
              <w:rPr>
                <w:noProof/>
                <w:webHidden/>
              </w:rPr>
              <w:fldChar w:fldCharType="separate"/>
            </w:r>
            <w:r w:rsidR="009F1373">
              <w:rPr>
                <w:noProof/>
                <w:webHidden/>
              </w:rPr>
              <w:t>10</w:t>
            </w:r>
            <w:r w:rsidR="009F1373">
              <w:rPr>
                <w:noProof/>
                <w:webHidden/>
              </w:rPr>
              <w:fldChar w:fldCharType="end"/>
            </w:r>
          </w:hyperlink>
        </w:p>
        <w:p w14:paraId="28DC03A5" w14:textId="3EE7E684" w:rsidR="009F1373" w:rsidRDefault="00EB55CB">
          <w:pPr>
            <w:pStyle w:val="Sisluet2"/>
            <w:tabs>
              <w:tab w:val="left" w:pos="880"/>
            </w:tabs>
            <w:rPr>
              <w:rFonts w:eastAsiaTheme="minorEastAsia" w:cstheme="minorBidi"/>
              <w:noProof/>
              <w:kern w:val="2"/>
              <w:lang w:eastAsia="fi-FI"/>
              <w14:ligatures w14:val="standardContextual"/>
            </w:rPr>
          </w:pPr>
          <w:hyperlink w:anchor="_Toc184224301" w:history="1">
            <w:r w:rsidR="009F1373" w:rsidRPr="007012D8">
              <w:rPr>
                <w:rStyle w:val="Hyperlinkki"/>
                <w:noProof/>
                <w:lang w:val="sv-SE"/>
              </w:rPr>
              <w:t>1.5</w:t>
            </w:r>
            <w:r w:rsidR="009F1373">
              <w:rPr>
                <w:rFonts w:eastAsiaTheme="minorEastAsia" w:cstheme="minorBidi"/>
                <w:noProof/>
                <w:kern w:val="2"/>
                <w:lang w:eastAsia="fi-FI"/>
                <w14:ligatures w14:val="standardContextual"/>
              </w:rPr>
              <w:tab/>
            </w:r>
            <w:r w:rsidR="009F1373" w:rsidRPr="007012D8">
              <w:rPr>
                <w:rStyle w:val="Hyperlinkki"/>
                <w:noProof/>
                <w:lang w:val="sv"/>
              </w:rPr>
              <w:t>Åtgärder som ska vidtas enligt de specifika målen i programmet och allokering av finansieringen 2024–2025</w:t>
            </w:r>
            <w:r w:rsidR="009F1373">
              <w:rPr>
                <w:noProof/>
                <w:webHidden/>
              </w:rPr>
              <w:tab/>
            </w:r>
            <w:r w:rsidR="009F1373">
              <w:rPr>
                <w:noProof/>
                <w:webHidden/>
              </w:rPr>
              <w:fldChar w:fldCharType="begin"/>
            </w:r>
            <w:r w:rsidR="009F1373">
              <w:rPr>
                <w:noProof/>
                <w:webHidden/>
              </w:rPr>
              <w:instrText xml:space="preserve"> PAGEREF _Toc184224301 \h </w:instrText>
            </w:r>
            <w:r w:rsidR="009F1373">
              <w:rPr>
                <w:noProof/>
                <w:webHidden/>
              </w:rPr>
            </w:r>
            <w:r w:rsidR="009F1373">
              <w:rPr>
                <w:noProof/>
                <w:webHidden/>
              </w:rPr>
              <w:fldChar w:fldCharType="separate"/>
            </w:r>
            <w:r w:rsidR="009F1373">
              <w:rPr>
                <w:noProof/>
                <w:webHidden/>
              </w:rPr>
              <w:t>12</w:t>
            </w:r>
            <w:r w:rsidR="009F1373">
              <w:rPr>
                <w:noProof/>
                <w:webHidden/>
              </w:rPr>
              <w:fldChar w:fldCharType="end"/>
            </w:r>
          </w:hyperlink>
        </w:p>
        <w:p w14:paraId="1B84882B" w14:textId="287F4BDF" w:rsidR="009F1373" w:rsidRDefault="00EB55CB">
          <w:pPr>
            <w:pStyle w:val="Sisluet1"/>
            <w:tabs>
              <w:tab w:val="left" w:pos="440"/>
            </w:tabs>
            <w:rPr>
              <w:rFonts w:eastAsiaTheme="minorEastAsia" w:cstheme="minorBidi"/>
              <w:b w:val="0"/>
              <w:noProof/>
              <w:kern w:val="2"/>
              <w:lang w:eastAsia="fi-FI"/>
              <w14:ligatures w14:val="standardContextual"/>
            </w:rPr>
          </w:pPr>
          <w:hyperlink w:anchor="_Toc184224302" w:history="1">
            <w:r w:rsidR="009F1373" w:rsidRPr="007012D8">
              <w:rPr>
                <w:rStyle w:val="Hyperlinkki"/>
                <w:noProof/>
              </w:rPr>
              <w:t>2.</w:t>
            </w:r>
            <w:r w:rsidR="009F1373">
              <w:rPr>
                <w:rFonts w:eastAsiaTheme="minorEastAsia" w:cstheme="minorBidi"/>
                <w:b w:val="0"/>
                <w:noProof/>
                <w:kern w:val="2"/>
                <w:lang w:eastAsia="fi-FI"/>
                <w14:ligatures w14:val="standardContextual"/>
              </w:rPr>
              <w:tab/>
            </w:r>
            <w:r w:rsidR="009F1373" w:rsidRPr="007012D8">
              <w:rPr>
                <w:rStyle w:val="Hyperlinkki"/>
                <w:noProof/>
                <w:lang w:val="sv"/>
              </w:rPr>
              <w:t>Specifika mål</w:t>
            </w:r>
            <w:r w:rsidR="009F1373">
              <w:rPr>
                <w:noProof/>
                <w:webHidden/>
              </w:rPr>
              <w:tab/>
            </w:r>
            <w:r w:rsidR="009F1373">
              <w:rPr>
                <w:noProof/>
                <w:webHidden/>
              </w:rPr>
              <w:fldChar w:fldCharType="begin"/>
            </w:r>
            <w:r w:rsidR="009F1373">
              <w:rPr>
                <w:noProof/>
                <w:webHidden/>
              </w:rPr>
              <w:instrText xml:space="preserve"> PAGEREF _Toc184224302 \h </w:instrText>
            </w:r>
            <w:r w:rsidR="009F1373">
              <w:rPr>
                <w:noProof/>
                <w:webHidden/>
              </w:rPr>
            </w:r>
            <w:r w:rsidR="009F1373">
              <w:rPr>
                <w:noProof/>
                <w:webHidden/>
              </w:rPr>
              <w:fldChar w:fldCharType="separate"/>
            </w:r>
            <w:r w:rsidR="009F1373">
              <w:rPr>
                <w:noProof/>
                <w:webHidden/>
              </w:rPr>
              <w:t>12</w:t>
            </w:r>
            <w:r w:rsidR="009F1373">
              <w:rPr>
                <w:noProof/>
                <w:webHidden/>
              </w:rPr>
              <w:fldChar w:fldCharType="end"/>
            </w:r>
          </w:hyperlink>
        </w:p>
        <w:p w14:paraId="46688814" w14:textId="2E6CE423" w:rsidR="009F1373" w:rsidRDefault="00EB55CB">
          <w:pPr>
            <w:pStyle w:val="Sisluet2"/>
            <w:rPr>
              <w:rFonts w:eastAsiaTheme="minorEastAsia" w:cstheme="minorBidi"/>
              <w:noProof/>
              <w:kern w:val="2"/>
              <w:lang w:eastAsia="fi-FI"/>
              <w14:ligatures w14:val="standardContextual"/>
            </w:rPr>
          </w:pPr>
          <w:hyperlink w:anchor="_Toc184224303" w:history="1">
            <w:r w:rsidR="009F1373" w:rsidRPr="007012D8">
              <w:rPr>
                <w:rStyle w:val="Hyperlinkki"/>
                <w:noProof/>
                <w:lang w:val="sv"/>
              </w:rPr>
              <w:t>Specifikt mål 1 Informationsutbyte</w:t>
            </w:r>
            <w:r w:rsidR="009F1373">
              <w:rPr>
                <w:noProof/>
                <w:webHidden/>
              </w:rPr>
              <w:tab/>
            </w:r>
            <w:r w:rsidR="009F1373">
              <w:rPr>
                <w:noProof/>
                <w:webHidden/>
              </w:rPr>
              <w:fldChar w:fldCharType="begin"/>
            </w:r>
            <w:r w:rsidR="009F1373">
              <w:rPr>
                <w:noProof/>
                <w:webHidden/>
              </w:rPr>
              <w:instrText xml:space="preserve"> PAGEREF _Toc184224303 \h </w:instrText>
            </w:r>
            <w:r w:rsidR="009F1373">
              <w:rPr>
                <w:noProof/>
                <w:webHidden/>
              </w:rPr>
            </w:r>
            <w:r w:rsidR="009F1373">
              <w:rPr>
                <w:noProof/>
                <w:webHidden/>
              </w:rPr>
              <w:fldChar w:fldCharType="separate"/>
            </w:r>
            <w:r w:rsidR="009F1373">
              <w:rPr>
                <w:noProof/>
                <w:webHidden/>
              </w:rPr>
              <w:t>12</w:t>
            </w:r>
            <w:r w:rsidR="009F1373">
              <w:rPr>
                <w:noProof/>
                <w:webHidden/>
              </w:rPr>
              <w:fldChar w:fldCharType="end"/>
            </w:r>
          </w:hyperlink>
        </w:p>
        <w:p w14:paraId="3339326B" w14:textId="384376CE" w:rsidR="009F1373" w:rsidRDefault="00EB55CB">
          <w:pPr>
            <w:pStyle w:val="Sisluet3"/>
            <w:rPr>
              <w:rFonts w:eastAsiaTheme="minorEastAsia" w:cstheme="minorBidi"/>
              <w:noProof/>
              <w:kern w:val="2"/>
              <w:lang w:eastAsia="fi-FI"/>
              <w14:ligatures w14:val="standardContextual"/>
            </w:rPr>
          </w:pPr>
          <w:hyperlink w:anchor="_Toc184224304" w:history="1">
            <w:r w:rsidR="009F1373" w:rsidRPr="007012D8">
              <w:rPr>
                <w:rStyle w:val="Hyperlinkki"/>
                <w:noProof/>
                <w:lang w:val="sv"/>
              </w:rPr>
              <w:t>1 A Enhetlig tillämpning av unionens säkerhetsregelverk</w:t>
            </w:r>
            <w:r w:rsidR="009F1373">
              <w:rPr>
                <w:noProof/>
                <w:webHidden/>
              </w:rPr>
              <w:tab/>
            </w:r>
            <w:r w:rsidR="009F1373">
              <w:rPr>
                <w:noProof/>
                <w:webHidden/>
              </w:rPr>
              <w:fldChar w:fldCharType="begin"/>
            </w:r>
            <w:r w:rsidR="009F1373">
              <w:rPr>
                <w:noProof/>
                <w:webHidden/>
              </w:rPr>
              <w:instrText xml:space="preserve"> PAGEREF _Toc184224304 \h </w:instrText>
            </w:r>
            <w:r w:rsidR="009F1373">
              <w:rPr>
                <w:noProof/>
                <w:webHidden/>
              </w:rPr>
            </w:r>
            <w:r w:rsidR="009F1373">
              <w:rPr>
                <w:noProof/>
                <w:webHidden/>
              </w:rPr>
              <w:fldChar w:fldCharType="separate"/>
            </w:r>
            <w:r w:rsidR="009F1373">
              <w:rPr>
                <w:noProof/>
                <w:webHidden/>
              </w:rPr>
              <w:t>12</w:t>
            </w:r>
            <w:r w:rsidR="009F1373">
              <w:rPr>
                <w:noProof/>
                <w:webHidden/>
              </w:rPr>
              <w:fldChar w:fldCharType="end"/>
            </w:r>
          </w:hyperlink>
        </w:p>
        <w:p w14:paraId="345013D4" w14:textId="49F230D7" w:rsidR="009F1373" w:rsidRDefault="00EB55CB">
          <w:pPr>
            <w:pStyle w:val="Sisluet3"/>
            <w:rPr>
              <w:rFonts w:eastAsiaTheme="minorEastAsia" w:cstheme="minorBidi"/>
              <w:noProof/>
              <w:kern w:val="2"/>
              <w:lang w:eastAsia="fi-FI"/>
              <w14:ligatures w14:val="standardContextual"/>
            </w:rPr>
          </w:pPr>
          <w:hyperlink w:anchor="_Toc184224305" w:history="1">
            <w:r w:rsidR="009F1373" w:rsidRPr="007012D8">
              <w:rPr>
                <w:rStyle w:val="Hyperlinkki"/>
                <w:noProof/>
                <w:lang w:val="sv"/>
              </w:rPr>
              <w:t>1 B Etablering, anpassning, underhåll och interoperabilitet av unionens säkerhetskritiska informationssystem samt säkerhetskritiska decentraliserade informationssystem</w:t>
            </w:r>
            <w:r w:rsidR="009F1373">
              <w:rPr>
                <w:noProof/>
                <w:webHidden/>
              </w:rPr>
              <w:tab/>
            </w:r>
            <w:r w:rsidR="009F1373">
              <w:rPr>
                <w:noProof/>
                <w:webHidden/>
              </w:rPr>
              <w:fldChar w:fldCharType="begin"/>
            </w:r>
            <w:r w:rsidR="009F1373">
              <w:rPr>
                <w:noProof/>
                <w:webHidden/>
              </w:rPr>
              <w:instrText xml:space="preserve"> PAGEREF _Toc184224305 \h </w:instrText>
            </w:r>
            <w:r w:rsidR="009F1373">
              <w:rPr>
                <w:noProof/>
                <w:webHidden/>
              </w:rPr>
            </w:r>
            <w:r w:rsidR="009F1373">
              <w:rPr>
                <w:noProof/>
                <w:webHidden/>
              </w:rPr>
              <w:fldChar w:fldCharType="separate"/>
            </w:r>
            <w:r w:rsidR="009F1373">
              <w:rPr>
                <w:noProof/>
                <w:webHidden/>
              </w:rPr>
              <w:t>14</w:t>
            </w:r>
            <w:r w:rsidR="009F1373">
              <w:rPr>
                <w:noProof/>
                <w:webHidden/>
              </w:rPr>
              <w:fldChar w:fldCharType="end"/>
            </w:r>
          </w:hyperlink>
        </w:p>
        <w:p w14:paraId="7F158780" w14:textId="0E269679" w:rsidR="009F1373" w:rsidRDefault="00EB55CB">
          <w:pPr>
            <w:pStyle w:val="Sisluet3"/>
            <w:rPr>
              <w:rFonts w:eastAsiaTheme="minorEastAsia" w:cstheme="minorBidi"/>
              <w:noProof/>
              <w:kern w:val="2"/>
              <w:lang w:eastAsia="fi-FI"/>
              <w14:ligatures w14:val="standardContextual"/>
            </w:rPr>
          </w:pPr>
          <w:hyperlink w:anchor="_Toc184224306" w:history="1">
            <w:r w:rsidR="009F1373" w:rsidRPr="007012D8">
              <w:rPr>
                <w:rStyle w:val="Hyperlinkki"/>
                <w:noProof/>
                <w:lang w:val="sv"/>
              </w:rPr>
              <w:t>1 C Ökning av den aktiva användningen av unionens informationssystem och decentraliserade informationssystem</w:t>
            </w:r>
            <w:r w:rsidR="009F1373">
              <w:rPr>
                <w:noProof/>
                <w:webHidden/>
              </w:rPr>
              <w:tab/>
            </w:r>
            <w:r w:rsidR="009F1373">
              <w:rPr>
                <w:noProof/>
                <w:webHidden/>
              </w:rPr>
              <w:fldChar w:fldCharType="begin"/>
            </w:r>
            <w:r w:rsidR="009F1373">
              <w:rPr>
                <w:noProof/>
                <w:webHidden/>
              </w:rPr>
              <w:instrText xml:space="preserve"> PAGEREF _Toc184224306 \h </w:instrText>
            </w:r>
            <w:r w:rsidR="009F1373">
              <w:rPr>
                <w:noProof/>
                <w:webHidden/>
              </w:rPr>
            </w:r>
            <w:r w:rsidR="009F1373">
              <w:rPr>
                <w:noProof/>
                <w:webHidden/>
              </w:rPr>
              <w:fldChar w:fldCharType="separate"/>
            </w:r>
            <w:r w:rsidR="009F1373">
              <w:rPr>
                <w:noProof/>
                <w:webHidden/>
              </w:rPr>
              <w:t>17</w:t>
            </w:r>
            <w:r w:rsidR="009F1373">
              <w:rPr>
                <w:noProof/>
                <w:webHidden/>
              </w:rPr>
              <w:fldChar w:fldCharType="end"/>
            </w:r>
          </w:hyperlink>
        </w:p>
        <w:p w14:paraId="77FC3162" w14:textId="18658EE7" w:rsidR="009F1373" w:rsidRDefault="00EB55CB">
          <w:pPr>
            <w:pStyle w:val="Sisluet3"/>
            <w:rPr>
              <w:rFonts w:eastAsiaTheme="minorEastAsia" w:cstheme="minorBidi"/>
              <w:noProof/>
              <w:kern w:val="2"/>
              <w:lang w:eastAsia="fi-FI"/>
              <w14:ligatures w14:val="standardContextual"/>
            </w:rPr>
          </w:pPr>
          <w:hyperlink w:anchor="_Toc184224307" w:history="1">
            <w:r w:rsidR="009F1373" w:rsidRPr="007012D8">
              <w:rPr>
                <w:rStyle w:val="Hyperlinkki"/>
                <w:noProof/>
                <w:lang w:val="sv"/>
              </w:rPr>
              <w:t>1 D Stöd för nationella åtgärder, inklusive sammankoppling av nationella databaser och anslutning av dem till unionens databaser</w:t>
            </w:r>
            <w:r w:rsidR="009F1373">
              <w:rPr>
                <w:noProof/>
                <w:webHidden/>
              </w:rPr>
              <w:tab/>
            </w:r>
            <w:r w:rsidR="009F1373">
              <w:rPr>
                <w:noProof/>
                <w:webHidden/>
              </w:rPr>
              <w:fldChar w:fldCharType="begin"/>
            </w:r>
            <w:r w:rsidR="009F1373">
              <w:rPr>
                <w:noProof/>
                <w:webHidden/>
              </w:rPr>
              <w:instrText xml:space="preserve"> PAGEREF _Toc184224307 \h </w:instrText>
            </w:r>
            <w:r w:rsidR="009F1373">
              <w:rPr>
                <w:noProof/>
                <w:webHidden/>
              </w:rPr>
            </w:r>
            <w:r w:rsidR="009F1373">
              <w:rPr>
                <w:noProof/>
                <w:webHidden/>
              </w:rPr>
              <w:fldChar w:fldCharType="separate"/>
            </w:r>
            <w:r w:rsidR="009F1373">
              <w:rPr>
                <w:noProof/>
                <w:webHidden/>
              </w:rPr>
              <w:t>20</w:t>
            </w:r>
            <w:r w:rsidR="009F1373">
              <w:rPr>
                <w:noProof/>
                <w:webHidden/>
              </w:rPr>
              <w:fldChar w:fldCharType="end"/>
            </w:r>
          </w:hyperlink>
        </w:p>
        <w:p w14:paraId="20FF6E6B" w14:textId="276CE6F1" w:rsidR="009F1373" w:rsidRDefault="00EB55CB">
          <w:pPr>
            <w:pStyle w:val="Sisluet3"/>
            <w:rPr>
              <w:rFonts w:eastAsiaTheme="minorEastAsia" w:cstheme="minorBidi"/>
              <w:noProof/>
              <w:kern w:val="2"/>
              <w:lang w:eastAsia="fi-FI"/>
              <w14:ligatures w14:val="standardContextual"/>
            </w:rPr>
          </w:pPr>
          <w:hyperlink w:anchor="_Toc184224308" w:history="1">
            <w:r w:rsidR="009F1373" w:rsidRPr="007012D8">
              <w:rPr>
                <w:rStyle w:val="Hyperlinkki"/>
                <w:noProof/>
                <w:lang w:val="sv"/>
              </w:rPr>
              <w:t>SM1 Operativt stöd</w:t>
            </w:r>
            <w:r w:rsidR="009F1373">
              <w:rPr>
                <w:noProof/>
                <w:webHidden/>
              </w:rPr>
              <w:tab/>
            </w:r>
            <w:r w:rsidR="009F1373">
              <w:rPr>
                <w:noProof/>
                <w:webHidden/>
              </w:rPr>
              <w:fldChar w:fldCharType="begin"/>
            </w:r>
            <w:r w:rsidR="009F1373">
              <w:rPr>
                <w:noProof/>
                <w:webHidden/>
              </w:rPr>
              <w:instrText xml:space="preserve"> PAGEREF _Toc184224308 \h </w:instrText>
            </w:r>
            <w:r w:rsidR="009F1373">
              <w:rPr>
                <w:noProof/>
                <w:webHidden/>
              </w:rPr>
            </w:r>
            <w:r w:rsidR="009F1373">
              <w:rPr>
                <w:noProof/>
                <w:webHidden/>
              </w:rPr>
              <w:fldChar w:fldCharType="separate"/>
            </w:r>
            <w:r w:rsidR="009F1373">
              <w:rPr>
                <w:noProof/>
                <w:webHidden/>
              </w:rPr>
              <w:t>24</w:t>
            </w:r>
            <w:r w:rsidR="009F1373">
              <w:rPr>
                <w:noProof/>
                <w:webHidden/>
              </w:rPr>
              <w:fldChar w:fldCharType="end"/>
            </w:r>
          </w:hyperlink>
        </w:p>
        <w:p w14:paraId="023BD56B" w14:textId="70158529" w:rsidR="009F1373" w:rsidRDefault="00EB55CB">
          <w:pPr>
            <w:pStyle w:val="Sisluet2"/>
            <w:rPr>
              <w:rFonts w:eastAsiaTheme="minorEastAsia" w:cstheme="minorBidi"/>
              <w:noProof/>
              <w:kern w:val="2"/>
              <w:lang w:eastAsia="fi-FI"/>
              <w14:ligatures w14:val="standardContextual"/>
            </w:rPr>
          </w:pPr>
          <w:hyperlink w:anchor="_Toc184224309" w:history="1">
            <w:r w:rsidR="009F1373" w:rsidRPr="007012D8">
              <w:rPr>
                <w:rStyle w:val="Hyperlinkki"/>
                <w:noProof/>
                <w:lang w:val="sv"/>
              </w:rPr>
              <w:t>Specifikt mål 2 Gränsöverskridande samarbete</w:t>
            </w:r>
            <w:r w:rsidR="009F1373">
              <w:rPr>
                <w:noProof/>
                <w:webHidden/>
              </w:rPr>
              <w:tab/>
            </w:r>
            <w:r w:rsidR="009F1373">
              <w:rPr>
                <w:noProof/>
                <w:webHidden/>
              </w:rPr>
              <w:fldChar w:fldCharType="begin"/>
            </w:r>
            <w:r w:rsidR="009F1373">
              <w:rPr>
                <w:noProof/>
                <w:webHidden/>
              </w:rPr>
              <w:instrText xml:space="preserve"> PAGEREF _Toc184224309 \h </w:instrText>
            </w:r>
            <w:r w:rsidR="009F1373">
              <w:rPr>
                <w:noProof/>
                <w:webHidden/>
              </w:rPr>
            </w:r>
            <w:r w:rsidR="009F1373">
              <w:rPr>
                <w:noProof/>
                <w:webHidden/>
              </w:rPr>
              <w:fldChar w:fldCharType="separate"/>
            </w:r>
            <w:r w:rsidR="009F1373">
              <w:rPr>
                <w:noProof/>
                <w:webHidden/>
              </w:rPr>
              <w:t>25</w:t>
            </w:r>
            <w:r w:rsidR="009F1373">
              <w:rPr>
                <w:noProof/>
                <w:webHidden/>
              </w:rPr>
              <w:fldChar w:fldCharType="end"/>
            </w:r>
          </w:hyperlink>
        </w:p>
        <w:p w14:paraId="4C77157B" w14:textId="1FF8FA1A" w:rsidR="009F1373" w:rsidRDefault="00EB55CB">
          <w:pPr>
            <w:pStyle w:val="Sisluet3"/>
            <w:rPr>
              <w:rFonts w:eastAsiaTheme="minorEastAsia" w:cstheme="minorBidi"/>
              <w:noProof/>
              <w:kern w:val="2"/>
              <w:lang w:eastAsia="fi-FI"/>
              <w14:ligatures w14:val="standardContextual"/>
            </w:rPr>
          </w:pPr>
          <w:hyperlink w:anchor="_Toc184224310" w:history="1">
            <w:r w:rsidR="009F1373" w:rsidRPr="007012D8">
              <w:rPr>
                <w:rStyle w:val="Hyperlinkki"/>
                <w:noProof/>
                <w:lang w:val="sv"/>
              </w:rPr>
              <w:t>2 A Öka brottsbekämpande insatser som involverar två eller flera medlemsstater</w:t>
            </w:r>
            <w:r w:rsidR="009F1373">
              <w:rPr>
                <w:noProof/>
                <w:webHidden/>
              </w:rPr>
              <w:tab/>
            </w:r>
            <w:r w:rsidR="009F1373">
              <w:rPr>
                <w:noProof/>
                <w:webHidden/>
              </w:rPr>
              <w:fldChar w:fldCharType="begin"/>
            </w:r>
            <w:r w:rsidR="009F1373">
              <w:rPr>
                <w:noProof/>
                <w:webHidden/>
              </w:rPr>
              <w:instrText xml:space="preserve"> PAGEREF _Toc184224310 \h </w:instrText>
            </w:r>
            <w:r w:rsidR="009F1373">
              <w:rPr>
                <w:noProof/>
                <w:webHidden/>
              </w:rPr>
            </w:r>
            <w:r w:rsidR="009F1373">
              <w:rPr>
                <w:noProof/>
                <w:webHidden/>
              </w:rPr>
              <w:fldChar w:fldCharType="separate"/>
            </w:r>
            <w:r w:rsidR="009F1373">
              <w:rPr>
                <w:noProof/>
                <w:webHidden/>
              </w:rPr>
              <w:t>25</w:t>
            </w:r>
            <w:r w:rsidR="009F1373">
              <w:rPr>
                <w:noProof/>
                <w:webHidden/>
              </w:rPr>
              <w:fldChar w:fldCharType="end"/>
            </w:r>
          </w:hyperlink>
        </w:p>
        <w:p w14:paraId="0F7FDE97" w14:textId="39622977" w:rsidR="009F1373" w:rsidRDefault="00EB55CB">
          <w:pPr>
            <w:pStyle w:val="Sisluet3"/>
            <w:rPr>
              <w:rFonts w:eastAsiaTheme="minorEastAsia" w:cstheme="minorBidi"/>
              <w:noProof/>
              <w:kern w:val="2"/>
              <w:lang w:eastAsia="fi-FI"/>
              <w14:ligatures w14:val="standardContextual"/>
            </w:rPr>
          </w:pPr>
          <w:hyperlink w:anchor="_Toc184224311" w:history="1">
            <w:r w:rsidR="009F1373" w:rsidRPr="007012D8">
              <w:rPr>
                <w:rStyle w:val="Hyperlinkki"/>
                <w:noProof/>
                <w:lang w:val="sv"/>
              </w:rPr>
              <w:t>2 B Förbättrad samordning och ökat samarbete mellan myndigheter och andra relevanta aktörer, både inom och mellan medlemsstater</w:t>
            </w:r>
            <w:r w:rsidR="009F1373">
              <w:rPr>
                <w:noProof/>
                <w:webHidden/>
              </w:rPr>
              <w:tab/>
            </w:r>
            <w:r w:rsidR="009F1373">
              <w:rPr>
                <w:noProof/>
                <w:webHidden/>
              </w:rPr>
              <w:fldChar w:fldCharType="begin"/>
            </w:r>
            <w:r w:rsidR="009F1373">
              <w:rPr>
                <w:noProof/>
                <w:webHidden/>
              </w:rPr>
              <w:instrText xml:space="preserve"> PAGEREF _Toc184224311 \h </w:instrText>
            </w:r>
            <w:r w:rsidR="009F1373">
              <w:rPr>
                <w:noProof/>
                <w:webHidden/>
              </w:rPr>
            </w:r>
            <w:r w:rsidR="009F1373">
              <w:rPr>
                <w:noProof/>
                <w:webHidden/>
              </w:rPr>
              <w:fldChar w:fldCharType="separate"/>
            </w:r>
            <w:r w:rsidR="009F1373">
              <w:rPr>
                <w:noProof/>
                <w:webHidden/>
              </w:rPr>
              <w:t>29</w:t>
            </w:r>
            <w:r w:rsidR="009F1373">
              <w:rPr>
                <w:noProof/>
                <w:webHidden/>
              </w:rPr>
              <w:fldChar w:fldCharType="end"/>
            </w:r>
          </w:hyperlink>
        </w:p>
        <w:p w14:paraId="378AF53D" w14:textId="6247C65E" w:rsidR="009F1373" w:rsidRDefault="00EB55CB">
          <w:pPr>
            <w:pStyle w:val="Sisluet3"/>
            <w:rPr>
              <w:rFonts w:eastAsiaTheme="minorEastAsia" w:cstheme="minorBidi"/>
              <w:noProof/>
              <w:kern w:val="2"/>
              <w:lang w:eastAsia="fi-FI"/>
              <w14:ligatures w14:val="standardContextual"/>
            </w:rPr>
          </w:pPr>
          <w:hyperlink w:anchor="_Toc184224312" w:history="1">
            <w:r w:rsidR="009F1373" w:rsidRPr="007012D8">
              <w:rPr>
                <w:rStyle w:val="Hyperlinkki"/>
                <w:noProof/>
                <w:lang w:val="sv"/>
              </w:rPr>
              <w:t>2 C Förbättra samarbete mellan myndigheter på unionsnivå mellan medlemsstaterna och mellan medlemsstaterna och relevanta unionsinstitutioner och organ, och på nationell nivå mellan medlemsstaternas myndigheter</w:t>
            </w:r>
            <w:r w:rsidR="009F1373">
              <w:rPr>
                <w:noProof/>
                <w:webHidden/>
              </w:rPr>
              <w:tab/>
            </w:r>
            <w:r w:rsidR="009F1373">
              <w:rPr>
                <w:noProof/>
                <w:webHidden/>
              </w:rPr>
              <w:fldChar w:fldCharType="begin"/>
            </w:r>
            <w:r w:rsidR="009F1373">
              <w:rPr>
                <w:noProof/>
                <w:webHidden/>
              </w:rPr>
              <w:instrText xml:space="preserve"> PAGEREF _Toc184224312 \h </w:instrText>
            </w:r>
            <w:r w:rsidR="009F1373">
              <w:rPr>
                <w:noProof/>
                <w:webHidden/>
              </w:rPr>
            </w:r>
            <w:r w:rsidR="009F1373">
              <w:rPr>
                <w:noProof/>
                <w:webHidden/>
              </w:rPr>
              <w:fldChar w:fldCharType="separate"/>
            </w:r>
            <w:r w:rsidR="009F1373">
              <w:rPr>
                <w:noProof/>
                <w:webHidden/>
              </w:rPr>
              <w:t>31</w:t>
            </w:r>
            <w:r w:rsidR="009F1373">
              <w:rPr>
                <w:noProof/>
                <w:webHidden/>
              </w:rPr>
              <w:fldChar w:fldCharType="end"/>
            </w:r>
          </w:hyperlink>
        </w:p>
        <w:p w14:paraId="68EEE958" w14:textId="1205E76E" w:rsidR="009F1373" w:rsidRDefault="00EB55CB">
          <w:pPr>
            <w:pStyle w:val="Sisluet3"/>
            <w:rPr>
              <w:rFonts w:eastAsiaTheme="minorEastAsia" w:cstheme="minorBidi"/>
              <w:noProof/>
              <w:kern w:val="2"/>
              <w:lang w:eastAsia="fi-FI"/>
              <w14:ligatures w14:val="standardContextual"/>
            </w:rPr>
          </w:pPr>
          <w:hyperlink w:anchor="_Toc184224313" w:history="1">
            <w:r w:rsidR="009F1373" w:rsidRPr="007012D8">
              <w:rPr>
                <w:rStyle w:val="Hyperlinkki"/>
                <w:noProof/>
                <w:lang w:val="sv"/>
              </w:rPr>
              <w:t>SM2 Operativt stöd</w:t>
            </w:r>
            <w:r w:rsidR="009F1373">
              <w:rPr>
                <w:noProof/>
                <w:webHidden/>
              </w:rPr>
              <w:tab/>
            </w:r>
            <w:r w:rsidR="009F1373">
              <w:rPr>
                <w:noProof/>
                <w:webHidden/>
              </w:rPr>
              <w:fldChar w:fldCharType="begin"/>
            </w:r>
            <w:r w:rsidR="009F1373">
              <w:rPr>
                <w:noProof/>
                <w:webHidden/>
              </w:rPr>
              <w:instrText xml:space="preserve"> PAGEREF _Toc184224313 \h </w:instrText>
            </w:r>
            <w:r w:rsidR="009F1373">
              <w:rPr>
                <w:noProof/>
                <w:webHidden/>
              </w:rPr>
            </w:r>
            <w:r w:rsidR="009F1373">
              <w:rPr>
                <w:noProof/>
                <w:webHidden/>
              </w:rPr>
              <w:fldChar w:fldCharType="separate"/>
            </w:r>
            <w:r w:rsidR="009F1373">
              <w:rPr>
                <w:noProof/>
                <w:webHidden/>
              </w:rPr>
              <w:t>32</w:t>
            </w:r>
            <w:r w:rsidR="009F1373">
              <w:rPr>
                <w:noProof/>
                <w:webHidden/>
              </w:rPr>
              <w:fldChar w:fldCharType="end"/>
            </w:r>
          </w:hyperlink>
        </w:p>
        <w:p w14:paraId="307ABA0C" w14:textId="46D99E2E" w:rsidR="009F1373" w:rsidRDefault="00EB55CB">
          <w:pPr>
            <w:pStyle w:val="Sisluet3"/>
            <w:rPr>
              <w:rFonts w:eastAsiaTheme="minorEastAsia" w:cstheme="minorBidi"/>
              <w:noProof/>
              <w:kern w:val="2"/>
              <w:lang w:eastAsia="fi-FI"/>
              <w14:ligatures w14:val="standardContextual"/>
            </w:rPr>
          </w:pPr>
          <w:hyperlink w:anchor="_Toc184224314" w:history="1">
            <w:r w:rsidR="009F1373" w:rsidRPr="007012D8">
              <w:rPr>
                <w:rStyle w:val="Hyperlinkki"/>
                <w:bCs/>
                <w:noProof/>
                <w:lang w:val="sv-FI"/>
              </w:rPr>
              <w:t>SM 2 Specialåtgärder</w:t>
            </w:r>
            <w:r w:rsidR="009F1373">
              <w:rPr>
                <w:noProof/>
                <w:webHidden/>
              </w:rPr>
              <w:tab/>
            </w:r>
            <w:r w:rsidR="009F1373">
              <w:rPr>
                <w:noProof/>
                <w:webHidden/>
              </w:rPr>
              <w:fldChar w:fldCharType="begin"/>
            </w:r>
            <w:r w:rsidR="009F1373">
              <w:rPr>
                <w:noProof/>
                <w:webHidden/>
              </w:rPr>
              <w:instrText xml:space="preserve"> PAGEREF _Toc184224314 \h </w:instrText>
            </w:r>
            <w:r w:rsidR="009F1373">
              <w:rPr>
                <w:noProof/>
                <w:webHidden/>
              </w:rPr>
            </w:r>
            <w:r w:rsidR="009F1373">
              <w:rPr>
                <w:noProof/>
                <w:webHidden/>
              </w:rPr>
              <w:fldChar w:fldCharType="separate"/>
            </w:r>
            <w:r w:rsidR="009F1373">
              <w:rPr>
                <w:noProof/>
                <w:webHidden/>
              </w:rPr>
              <w:t>33</w:t>
            </w:r>
            <w:r w:rsidR="009F1373">
              <w:rPr>
                <w:noProof/>
                <w:webHidden/>
              </w:rPr>
              <w:fldChar w:fldCharType="end"/>
            </w:r>
          </w:hyperlink>
        </w:p>
        <w:p w14:paraId="6F403978" w14:textId="304AC854" w:rsidR="009F1373" w:rsidRDefault="00EB55CB">
          <w:pPr>
            <w:pStyle w:val="Sisluet2"/>
            <w:rPr>
              <w:rFonts w:eastAsiaTheme="minorEastAsia" w:cstheme="minorBidi"/>
              <w:noProof/>
              <w:kern w:val="2"/>
              <w:lang w:eastAsia="fi-FI"/>
              <w14:ligatures w14:val="standardContextual"/>
            </w:rPr>
          </w:pPr>
          <w:hyperlink w:anchor="_Toc184224315" w:history="1">
            <w:r w:rsidR="009F1373" w:rsidRPr="007012D8">
              <w:rPr>
                <w:rStyle w:val="Hyperlinkki"/>
                <w:noProof/>
                <w:lang w:val="sv"/>
              </w:rPr>
              <w:t>Specifikt mål 3 Förebyggande och bekämpning av brottslighet</w:t>
            </w:r>
            <w:r w:rsidR="009F1373">
              <w:rPr>
                <w:noProof/>
                <w:webHidden/>
              </w:rPr>
              <w:tab/>
            </w:r>
            <w:r w:rsidR="009F1373">
              <w:rPr>
                <w:noProof/>
                <w:webHidden/>
              </w:rPr>
              <w:fldChar w:fldCharType="begin"/>
            </w:r>
            <w:r w:rsidR="009F1373">
              <w:rPr>
                <w:noProof/>
                <w:webHidden/>
              </w:rPr>
              <w:instrText xml:space="preserve"> PAGEREF _Toc184224315 \h </w:instrText>
            </w:r>
            <w:r w:rsidR="009F1373">
              <w:rPr>
                <w:noProof/>
                <w:webHidden/>
              </w:rPr>
            </w:r>
            <w:r w:rsidR="009F1373">
              <w:rPr>
                <w:noProof/>
                <w:webHidden/>
              </w:rPr>
              <w:fldChar w:fldCharType="separate"/>
            </w:r>
            <w:r w:rsidR="009F1373">
              <w:rPr>
                <w:noProof/>
                <w:webHidden/>
              </w:rPr>
              <w:t>35</w:t>
            </w:r>
            <w:r w:rsidR="009F1373">
              <w:rPr>
                <w:noProof/>
                <w:webHidden/>
              </w:rPr>
              <w:fldChar w:fldCharType="end"/>
            </w:r>
          </w:hyperlink>
        </w:p>
        <w:p w14:paraId="0DE9AC01" w14:textId="5783B503" w:rsidR="009F1373" w:rsidRDefault="00EB55CB">
          <w:pPr>
            <w:pStyle w:val="Sisluet3"/>
            <w:rPr>
              <w:rFonts w:eastAsiaTheme="minorEastAsia" w:cstheme="minorBidi"/>
              <w:noProof/>
              <w:kern w:val="2"/>
              <w:lang w:eastAsia="fi-FI"/>
              <w14:ligatures w14:val="standardContextual"/>
            </w:rPr>
          </w:pPr>
          <w:hyperlink w:anchor="_Toc184224316" w:history="1">
            <w:r w:rsidR="009F1373" w:rsidRPr="007012D8">
              <w:rPr>
                <w:rStyle w:val="Hyperlinkki"/>
                <w:noProof/>
                <w:lang w:val="sv"/>
              </w:rPr>
              <w:t>3 A Utbildning, övningar och delande av bästa praxis</w:t>
            </w:r>
            <w:r w:rsidR="009F1373">
              <w:rPr>
                <w:noProof/>
                <w:webHidden/>
              </w:rPr>
              <w:tab/>
            </w:r>
            <w:r w:rsidR="009F1373">
              <w:rPr>
                <w:noProof/>
                <w:webHidden/>
              </w:rPr>
              <w:fldChar w:fldCharType="begin"/>
            </w:r>
            <w:r w:rsidR="009F1373">
              <w:rPr>
                <w:noProof/>
                <w:webHidden/>
              </w:rPr>
              <w:instrText xml:space="preserve"> PAGEREF _Toc184224316 \h </w:instrText>
            </w:r>
            <w:r w:rsidR="009F1373">
              <w:rPr>
                <w:noProof/>
                <w:webHidden/>
              </w:rPr>
            </w:r>
            <w:r w:rsidR="009F1373">
              <w:rPr>
                <w:noProof/>
                <w:webHidden/>
              </w:rPr>
              <w:fldChar w:fldCharType="separate"/>
            </w:r>
            <w:r w:rsidR="009F1373">
              <w:rPr>
                <w:noProof/>
                <w:webHidden/>
              </w:rPr>
              <w:t>35</w:t>
            </w:r>
            <w:r w:rsidR="009F1373">
              <w:rPr>
                <w:noProof/>
                <w:webHidden/>
              </w:rPr>
              <w:fldChar w:fldCharType="end"/>
            </w:r>
          </w:hyperlink>
        </w:p>
        <w:p w14:paraId="58785C22" w14:textId="54127636" w:rsidR="009F1373" w:rsidRDefault="00EB55CB">
          <w:pPr>
            <w:pStyle w:val="Sisluet3"/>
            <w:rPr>
              <w:rFonts w:eastAsiaTheme="minorEastAsia" w:cstheme="minorBidi"/>
              <w:noProof/>
              <w:kern w:val="2"/>
              <w:lang w:eastAsia="fi-FI"/>
              <w14:ligatures w14:val="standardContextual"/>
            </w:rPr>
          </w:pPr>
          <w:hyperlink w:anchor="_Toc184224317" w:history="1">
            <w:r w:rsidR="009F1373" w:rsidRPr="007012D8">
              <w:rPr>
                <w:rStyle w:val="Hyperlinkki"/>
                <w:noProof/>
                <w:lang w:val="sv"/>
              </w:rPr>
              <w:t>3 B Att kombinera resurser och kunskap</w:t>
            </w:r>
            <w:r w:rsidR="009F1373">
              <w:rPr>
                <w:noProof/>
                <w:webHidden/>
              </w:rPr>
              <w:tab/>
            </w:r>
            <w:r w:rsidR="009F1373">
              <w:rPr>
                <w:noProof/>
                <w:webHidden/>
              </w:rPr>
              <w:fldChar w:fldCharType="begin"/>
            </w:r>
            <w:r w:rsidR="009F1373">
              <w:rPr>
                <w:noProof/>
                <w:webHidden/>
              </w:rPr>
              <w:instrText xml:space="preserve"> PAGEREF _Toc184224317 \h </w:instrText>
            </w:r>
            <w:r w:rsidR="009F1373">
              <w:rPr>
                <w:noProof/>
                <w:webHidden/>
              </w:rPr>
            </w:r>
            <w:r w:rsidR="009F1373">
              <w:rPr>
                <w:noProof/>
                <w:webHidden/>
              </w:rPr>
              <w:fldChar w:fldCharType="separate"/>
            </w:r>
            <w:r w:rsidR="009F1373">
              <w:rPr>
                <w:noProof/>
                <w:webHidden/>
              </w:rPr>
              <w:t>37</w:t>
            </w:r>
            <w:r w:rsidR="009F1373">
              <w:rPr>
                <w:noProof/>
                <w:webHidden/>
              </w:rPr>
              <w:fldChar w:fldCharType="end"/>
            </w:r>
          </w:hyperlink>
        </w:p>
        <w:p w14:paraId="1C735FEB" w14:textId="0C04050C" w:rsidR="009F1373" w:rsidRDefault="00EB55CB">
          <w:pPr>
            <w:pStyle w:val="Sisluet3"/>
            <w:rPr>
              <w:rFonts w:eastAsiaTheme="minorEastAsia" w:cstheme="minorBidi"/>
              <w:noProof/>
              <w:kern w:val="2"/>
              <w:lang w:eastAsia="fi-FI"/>
              <w14:ligatures w14:val="standardContextual"/>
            </w:rPr>
          </w:pPr>
          <w:hyperlink w:anchor="_Toc184224318" w:history="1">
            <w:r w:rsidR="009F1373" w:rsidRPr="007012D8">
              <w:rPr>
                <w:rStyle w:val="Hyperlinkki"/>
                <w:noProof/>
                <w:lang w:val="sv"/>
              </w:rPr>
              <w:t>3 C Utveckling av åtgärder för att stödja vittnen, visselblåsare och brottsoffer</w:t>
            </w:r>
            <w:r w:rsidR="009F1373">
              <w:rPr>
                <w:noProof/>
                <w:webHidden/>
              </w:rPr>
              <w:tab/>
            </w:r>
            <w:r w:rsidR="009F1373">
              <w:rPr>
                <w:noProof/>
                <w:webHidden/>
              </w:rPr>
              <w:fldChar w:fldCharType="begin"/>
            </w:r>
            <w:r w:rsidR="009F1373">
              <w:rPr>
                <w:noProof/>
                <w:webHidden/>
              </w:rPr>
              <w:instrText xml:space="preserve"> PAGEREF _Toc184224318 \h </w:instrText>
            </w:r>
            <w:r w:rsidR="009F1373">
              <w:rPr>
                <w:noProof/>
                <w:webHidden/>
              </w:rPr>
            </w:r>
            <w:r w:rsidR="009F1373">
              <w:rPr>
                <w:noProof/>
                <w:webHidden/>
              </w:rPr>
              <w:fldChar w:fldCharType="separate"/>
            </w:r>
            <w:r w:rsidR="009F1373">
              <w:rPr>
                <w:noProof/>
                <w:webHidden/>
              </w:rPr>
              <w:t>40</w:t>
            </w:r>
            <w:r w:rsidR="009F1373">
              <w:rPr>
                <w:noProof/>
                <w:webHidden/>
              </w:rPr>
              <w:fldChar w:fldCharType="end"/>
            </w:r>
          </w:hyperlink>
        </w:p>
        <w:p w14:paraId="11336C80" w14:textId="1D245B56" w:rsidR="009F1373" w:rsidRDefault="00EB55CB">
          <w:pPr>
            <w:pStyle w:val="Sisluet3"/>
            <w:rPr>
              <w:rFonts w:eastAsiaTheme="minorEastAsia" w:cstheme="minorBidi"/>
              <w:noProof/>
              <w:kern w:val="2"/>
              <w:lang w:eastAsia="fi-FI"/>
              <w14:ligatures w14:val="standardContextual"/>
            </w:rPr>
          </w:pPr>
          <w:hyperlink w:anchor="_Toc184224319" w:history="1">
            <w:r w:rsidR="009F1373" w:rsidRPr="007012D8">
              <w:rPr>
                <w:rStyle w:val="Hyperlinkki"/>
                <w:noProof/>
                <w:lang w:val="sv"/>
              </w:rPr>
              <w:t>3 D Uppgradering av utrustning, utbildningsverktyg och annan säkerhetsinfrastruktur</w:t>
            </w:r>
            <w:r w:rsidR="009F1373">
              <w:rPr>
                <w:noProof/>
                <w:webHidden/>
              </w:rPr>
              <w:tab/>
            </w:r>
            <w:r w:rsidR="009F1373">
              <w:rPr>
                <w:noProof/>
                <w:webHidden/>
              </w:rPr>
              <w:fldChar w:fldCharType="begin"/>
            </w:r>
            <w:r w:rsidR="009F1373">
              <w:rPr>
                <w:noProof/>
                <w:webHidden/>
              </w:rPr>
              <w:instrText xml:space="preserve"> PAGEREF _Toc184224319 \h </w:instrText>
            </w:r>
            <w:r w:rsidR="009F1373">
              <w:rPr>
                <w:noProof/>
                <w:webHidden/>
              </w:rPr>
            </w:r>
            <w:r w:rsidR="009F1373">
              <w:rPr>
                <w:noProof/>
                <w:webHidden/>
              </w:rPr>
              <w:fldChar w:fldCharType="separate"/>
            </w:r>
            <w:r w:rsidR="009F1373">
              <w:rPr>
                <w:noProof/>
                <w:webHidden/>
              </w:rPr>
              <w:t>44</w:t>
            </w:r>
            <w:r w:rsidR="009F1373">
              <w:rPr>
                <w:noProof/>
                <w:webHidden/>
              </w:rPr>
              <w:fldChar w:fldCharType="end"/>
            </w:r>
          </w:hyperlink>
        </w:p>
        <w:p w14:paraId="7CD631D4" w14:textId="30F8E77F" w:rsidR="009F1373" w:rsidRDefault="00EB55CB">
          <w:pPr>
            <w:pStyle w:val="Sisluet3"/>
            <w:rPr>
              <w:rFonts w:eastAsiaTheme="minorEastAsia" w:cstheme="minorBidi"/>
              <w:noProof/>
              <w:kern w:val="2"/>
              <w:lang w:eastAsia="fi-FI"/>
              <w14:ligatures w14:val="standardContextual"/>
            </w:rPr>
          </w:pPr>
          <w:hyperlink w:anchor="_Toc184224320" w:history="1">
            <w:r w:rsidR="009F1373" w:rsidRPr="007012D8">
              <w:rPr>
                <w:rStyle w:val="Hyperlinkki"/>
                <w:noProof/>
                <w:lang w:val="sv"/>
              </w:rPr>
              <w:t>3 E Skydd av kritisk infrastruktur</w:t>
            </w:r>
            <w:r w:rsidR="009F1373">
              <w:rPr>
                <w:noProof/>
                <w:webHidden/>
              </w:rPr>
              <w:tab/>
            </w:r>
            <w:r w:rsidR="009F1373">
              <w:rPr>
                <w:noProof/>
                <w:webHidden/>
              </w:rPr>
              <w:fldChar w:fldCharType="begin"/>
            </w:r>
            <w:r w:rsidR="009F1373">
              <w:rPr>
                <w:noProof/>
                <w:webHidden/>
              </w:rPr>
              <w:instrText xml:space="preserve"> PAGEREF _Toc184224320 \h </w:instrText>
            </w:r>
            <w:r w:rsidR="009F1373">
              <w:rPr>
                <w:noProof/>
                <w:webHidden/>
              </w:rPr>
            </w:r>
            <w:r w:rsidR="009F1373">
              <w:rPr>
                <w:noProof/>
                <w:webHidden/>
              </w:rPr>
              <w:fldChar w:fldCharType="separate"/>
            </w:r>
            <w:r w:rsidR="009F1373">
              <w:rPr>
                <w:noProof/>
                <w:webHidden/>
              </w:rPr>
              <w:t>46</w:t>
            </w:r>
            <w:r w:rsidR="009F1373">
              <w:rPr>
                <w:noProof/>
                <w:webHidden/>
              </w:rPr>
              <w:fldChar w:fldCharType="end"/>
            </w:r>
          </w:hyperlink>
        </w:p>
        <w:p w14:paraId="40428F39" w14:textId="5FE693D1" w:rsidR="009F1373" w:rsidRDefault="00EB55CB">
          <w:pPr>
            <w:pStyle w:val="Sisluet3"/>
            <w:rPr>
              <w:rFonts w:eastAsiaTheme="minorEastAsia" w:cstheme="minorBidi"/>
              <w:noProof/>
              <w:kern w:val="2"/>
              <w:lang w:eastAsia="fi-FI"/>
              <w14:ligatures w14:val="standardContextual"/>
            </w:rPr>
          </w:pPr>
          <w:hyperlink w:anchor="_Toc184224321" w:history="1">
            <w:r w:rsidR="009F1373" w:rsidRPr="007012D8">
              <w:rPr>
                <w:rStyle w:val="Hyperlinkki"/>
                <w:noProof/>
                <w:lang w:val="sv"/>
              </w:rPr>
              <w:t>SM3 Operativt stöd</w:t>
            </w:r>
            <w:r w:rsidR="009F1373">
              <w:rPr>
                <w:noProof/>
                <w:webHidden/>
              </w:rPr>
              <w:tab/>
            </w:r>
            <w:r w:rsidR="009F1373">
              <w:rPr>
                <w:noProof/>
                <w:webHidden/>
              </w:rPr>
              <w:fldChar w:fldCharType="begin"/>
            </w:r>
            <w:r w:rsidR="009F1373">
              <w:rPr>
                <w:noProof/>
                <w:webHidden/>
              </w:rPr>
              <w:instrText xml:space="preserve"> PAGEREF _Toc184224321 \h </w:instrText>
            </w:r>
            <w:r w:rsidR="009F1373">
              <w:rPr>
                <w:noProof/>
                <w:webHidden/>
              </w:rPr>
            </w:r>
            <w:r w:rsidR="009F1373">
              <w:rPr>
                <w:noProof/>
                <w:webHidden/>
              </w:rPr>
              <w:fldChar w:fldCharType="separate"/>
            </w:r>
            <w:r w:rsidR="009F1373">
              <w:rPr>
                <w:noProof/>
                <w:webHidden/>
              </w:rPr>
              <w:t>50</w:t>
            </w:r>
            <w:r w:rsidR="009F1373">
              <w:rPr>
                <w:noProof/>
                <w:webHidden/>
              </w:rPr>
              <w:fldChar w:fldCharType="end"/>
            </w:r>
          </w:hyperlink>
        </w:p>
        <w:p w14:paraId="2CABC4DB" w14:textId="1F865FEB" w:rsidR="00B81265" w:rsidRDefault="00B81265">
          <w:r>
            <w:rPr>
              <w:b/>
              <w:bCs/>
            </w:rPr>
            <w:fldChar w:fldCharType="end"/>
          </w:r>
        </w:p>
      </w:sdtContent>
    </w:sdt>
    <w:p w14:paraId="54ABC519" w14:textId="77777777" w:rsidR="00F424AD" w:rsidRPr="006236B1" w:rsidRDefault="00F424AD">
      <w:pPr>
        <w:tabs>
          <w:tab w:val="clear" w:pos="1304"/>
          <w:tab w:val="clear" w:pos="2608"/>
        </w:tabs>
        <w:rPr>
          <w:rFonts w:asciiTheme="majorHAnsi" w:eastAsiaTheme="majorEastAsia" w:hAnsiTheme="majorHAnsi" w:cstheme="majorHAnsi"/>
          <w:b/>
          <w:bCs/>
          <w:sz w:val="36"/>
          <w:szCs w:val="28"/>
          <w:lang w:val="sv-FI"/>
        </w:rPr>
      </w:pPr>
      <w:r w:rsidRPr="006236B1">
        <w:rPr>
          <w:lang w:val="sv-FI"/>
        </w:rPr>
        <w:lastRenderedPageBreak/>
        <w:br w:type="page"/>
      </w:r>
    </w:p>
    <w:p w14:paraId="7EE38945" w14:textId="0C0BE766" w:rsidR="003C2B82" w:rsidRPr="003C2B82" w:rsidRDefault="003C2B82" w:rsidP="00A17F47">
      <w:pPr>
        <w:pStyle w:val="Otsikko1"/>
        <w:numPr>
          <w:ilvl w:val="0"/>
          <w:numId w:val="4"/>
        </w:numPr>
        <w:rPr>
          <w:lang w:val="sv-SE"/>
        </w:rPr>
      </w:pPr>
      <w:bookmarkStart w:id="0" w:name="_Toc184224293"/>
      <w:bookmarkStart w:id="1" w:name="_Toc102727256"/>
      <w:r>
        <w:rPr>
          <w:lang w:val="sv-SE"/>
        </w:rPr>
        <w:lastRenderedPageBreak/>
        <w:t>Inledning</w:t>
      </w:r>
      <w:bookmarkEnd w:id="0"/>
    </w:p>
    <w:p w14:paraId="5CB52B1E" w14:textId="38509A95" w:rsidR="00CB4157" w:rsidRPr="00891616" w:rsidRDefault="00CB4157" w:rsidP="003C2B82">
      <w:pPr>
        <w:pStyle w:val="Otsikko2"/>
        <w:numPr>
          <w:ilvl w:val="1"/>
          <w:numId w:val="43"/>
        </w:numPr>
        <w:rPr>
          <w:lang w:val="sv-SE"/>
        </w:rPr>
      </w:pPr>
      <w:bookmarkStart w:id="2" w:name="_Toc184224294"/>
      <w:r>
        <w:rPr>
          <w:lang w:val="sv"/>
        </w:rPr>
        <w:t>Programmet för fonden för inre säkerhet</w:t>
      </w:r>
      <w:bookmarkEnd w:id="1"/>
      <w:bookmarkEnd w:id="2"/>
    </w:p>
    <w:p w14:paraId="2D441257" w14:textId="77777777" w:rsidR="00CB4157" w:rsidRPr="00891616" w:rsidRDefault="00CB4157" w:rsidP="00CB4157">
      <w:pPr>
        <w:rPr>
          <w:lang w:val="sv-SE"/>
        </w:rPr>
      </w:pPr>
    </w:p>
    <w:p w14:paraId="2780516C" w14:textId="77777777" w:rsidR="00CB4157" w:rsidRPr="00891616" w:rsidRDefault="00CB4157" w:rsidP="00CB4157">
      <w:pPr>
        <w:pStyle w:val="Leipteksti"/>
        <w:rPr>
          <w:lang w:val="sv-SE"/>
        </w:rPr>
      </w:pPr>
      <w:r>
        <w:rPr>
          <w:lang w:val="sv"/>
        </w:rPr>
        <w:t>Inrikesministeriet har utarbetat det program för Fonden för inre säkerhet som förutsätts i artikel 13 i Europaparlamentets och rådets förordning (EU) 2021/1149. Programmet verkställer fonden i Finland under EU-programperioden 2021–2027. Programmet är ett strategiskt dokument som allmänt beskriver de nationella behoven inom fondens sektor, målen för dem, de planerade åtgärderna, förväntade resultat, indikatorerna som mäter resultaten och den planerade fördelningen av finansieringen.</w:t>
      </w:r>
    </w:p>
    <w:p w14:paraId="4DD2DCC2" w14:textId="6521D02F" w:rsidR="00D13E22" w:rsidRPr="00A31D59" w:rsidRDefault="00CB4157" w:rsidP="00D13E22">
      <w:pPr>
        <w:pStyle w:val="Leipteksti"/>
        <w:jc w:val="both"/>
        <w:rPr>
          <w:lang w:val="sv-SE"/>
        </w:rPr>
      </w:pPr>
      <w:r>
        <w:rPr>
          <w:lang w:val="sv"/>
        </w:rPr>
        <w:t>Programmets prioriterade områden ska vara konsekventa med unionens prioriterade områden och utmaningar, och programmet ska besvara dessa prioriterade områden och utmaningar. Programmets prioriterade områden ska följa unionens regelverk och unionens överenskomna, prioriterade områden.</w:t>
      </w:r>
      <w:r w:rsidR="00D13E22" w:rsidRPr="002F1815">
        <w:rPr>
          <w:lang w:val="sv-SE"/>
        </w:rPr>
        <w:t xml:space="preserve"> </w:t>
      </w:r>
    </w:p>
    <w:p w14:paraId="71A6F245" w14:textId="77777777" w:rsidR="00CB4157" w:rsidRPr="00891616" w:rsidRDefault="00CB4157" w:rsidP="00CB4157">
      <w:pPr>
        <w:pStyle w:val="Leipteksti"/>
        <w:rPr>
          <w:lang w:val="sv-SE"/>
        </w:rPr>
      </w:pPr>
      <w:r>
        <w:rPr>
          <w:lang w:val="sv"/>
        </w:rPr>
        <w:t xml:space="preserve">Programmet utarbetades i en arbetsgrupp som utsågs för att bereda programperioden och EU-förordningen för fonderna för inrikes frågor. I arbetsgruppen deltog polis-, gränsbevaknings- och räddnings- och migrationsavdelningen vid inrikesministeriet som ansvarar för invandring och den inre säkerheten, justitieministeriet och andra ministerier som är centrala för ärendet. Från ämbetsverk och andra intressentgrupper deltog bland annat Polisstyrelsen, Gränsbevakningsväsendet, Tullen, Migrationsverket, Delegationen för etniska relationer (ETNO), Finlands Kommunförbund, Riksåklagarens byrå och Brottspåföljdsmyndigheten. Ålands landskapsregering ombads att separat göra utlåtanden om frågor som berör Åland. I samband med beredningen av programmet ordnade man remissbehandling och samråd för statsmyndigheter, lokala myndigheter, myndigheter på regionnivå, medborgarorganisationer och fackföreningar. </w:t>
      </w:r>
    </w:p>
    <w:p w14:paraId="2CA942FF" w14:textId="71512B9C" w:rsidR="00CB4157" w:rsidRPr="00891616" w:rsidRDefault="00CB4157" w:rsidP="00CB4157">
      <w:pPr>
        <w:pStyle w:val="Leipteksti"/>
        <w:rPr>
          <w:lang w:val="sv-SE"/>
        </w:rPr>
      </w:pPr>
      <w:r>
        <w:rPr>
          <w:lang w:val="sv"/>
        </w:rPr>
        <w:t xml:space="preserve">En central del i beredningen av programmet har varit informationsinsamlingen samt att samordna unionens regelverk som tillämpas inom olika förvaltningsområden och föreslagna åtgärder, nationellt identifierade behov och mål som följer unionens prioriterade områden. I utarbetandet av programmet har man beaktat bland annat anteckningar i regeringsprogrammet, nationella strategier, strategier på EU-nivå, utredningar och åtgärdsprogram som </w:t>
      </w:r>
      <w:r w:rsidR="00303E0E" w:rsidRPr="00303E0E">
        <w:rPr>
          <w:lang w:val="sv"/>
        </w:rPr>
        <w:t>i utgångsläget</w:t>
      </w:r>
      <w:r w:rsidR="00303E0E">
        <w:rPr>
          <w:lang w:val="sv"/>
        </w:rPr>
        <w:t xml:space="preserve"> </w:t>
      </w:r>
      <w:r>
        <w:rPr>
          <w:lang w:val="sv"/>
        </w:rPr>
        <w:t xml:space="preserve">är väsentliga för fondens sektor. </w:t>
      </w:r>
    </w:p>
    <w:p w14:paraId="5171EC9E" w14:textId="28AE3D78" w:rsidR="00CB4157" w:rsidRPr="00CB4157" w:rsidRDefault="00CB4157" w:rsidP="00100CA7">
      <w:pPr>
        <w:pStyle w:val="Leipteksti"/>
        <w:rPr>
          <w:lang w:val="sv-SE"/>
        </w:rPr>
      </w:pPr>
      <w:r>
        <w:rPr>
          <w:lang w:val="sv"/>
        </w:rPr>
        <w:lastRenderedPageBreak/>
        <w:t xml:space="preserve">Europeiska kommissionen godkände programmet </w:t>
      </w:r>
      <w:r w:rsidR="000614D7">
        <w:rPr>
          <w:lang w:val="sv"/>
        </w:rPr>
        <w:t>den 29 juli 2022</w:t>
      </w:r>
      <w:r w:rsidR="005C15FB">
        <w:rPr>
          <w:lang w:val="sv"/>
        </w:rPr>
        <w:t xml:space="preserve"> </w:t>
      </w:r>
      <w:r w:rsidR="005C15FB" w:rsidRPr="0037041B">
        <w:rPr>
          <w:lang w:val="sv-FI"/>
        </w:rPr>
        <w:t>och ändringen av programmet den 17 oktober 2024.</w:t>
      </w:r>
      <w:r w:rsidR="00CD11A5">
        <w:rPr>
          <w:lang w:val="sv"/>
        </w:rPr>
        <w:t xml:space="preserve"> </w:t>
      </w:r>
    </w:p>
    <w:p w14:paraId="1A8F51ED" w14:textId="0E8E514F" w:rsidR="00CB4157" w:rsidRPr="00CB4157" w:rsidRDefault="00CB4157" w:rsidP="003C2B82">
      <w:pPr>
        <w:pStyle w:val="Otsikko2"/>
        <w:numPr>
          <w:ilvl w:val="1"/>
          <w:numId w:val="43"/>
        </w:numPr>
        <w:rPr>
          <w:lang w:val="sv-SE"/>
        </w:rPr>
      </w:pPr>
      <w:bookmarkStart w:id="3" w:name="_Toc102727257"/>
      <w:bookmarkStart w:id="4" w:name="_Toc184224295"/>
      <w:r>
        <w:rPr>
          <w:lang w:val="sv"/>
        </w:rPr>
        <w:t>Fondens genomförandeplan</w:t>
      </w:r>
      <w:bookmarkEnd w:id="3"/>
      <w:bookmarkEnd w:id="4"/>
    </w:p>
    <w:p w14:paraId="0746B37D" w14:textId="77777777" w:rsidR="00CB4157" w:rsidRPr="00CB4157" w:rsidRDefault="00CB4157" w:rsidP="00CB4157">
      <w:pPr>
        <w:rPr>
          <w:lang w:val="sv-SE"/>
        </w:rPr>
      </w:pPr>
    </w:p>
    <w:p w14:paraId="3E607357" w14:textId="77777777" w:rsidR="00CB4157" w:rsidRPr="00891616" w:rsidRDefault="00CB4157" w:rsidP="00CB4157">
      <w:pPr>
        <w:pStyle w:val="Leipteksti"/>
        <w:rPr>
          <w:lang w:val="sv-SE"/>
        </w:rPr>
      </w:pPr>
      <w:r>
        <w:rPr>
          <w:lang w:val="sv"/>
        </w:rPr>
        <w:t xml:space="preserve">Enligt 5 § i lagen om fonderna inom området för inrikes frågor under programperioden 2021–2027 (1125/2021) och 3 § i statsrådets förordning om fonderna 119/2022 bereder inrikesministeriet ett förslag till en genomförandeplan för genomförande av programmet efter att ha hört programmets övervakningskommitté. </w:t>
      </w:r>
    </w:p>
    <w:p w14:paraId="15359B89" w14:textId="77777777" w:rsidR="00CB4157" w:rsidRPr="00891616" w:rsidRDefault="00CB4157" w:rsidP="00CB4157">
      <w:pPr>
        <w:pStyle w:val="Leipteksti"/>
        <w:rPr>
          <w:lang w:val="sv-SE"/>
        </w:rPr>
      </w:pPr>
      <w:r>
        <w:rPr>
          <w:lang w:val="sv"/>
        </w:rPr>
        <w:t xml:space="preserve">Med hjälp av genomförandeplanen vill man säkerställa ett systematiskt verkställande av fondens program med sikte på effektivitet och beskriva hur verkställandet av programmet framskrider. </w:t>
      </w:r>
    </w:p>
    <w:p w14:paraId="449CA2D2" w14:textId="77777777" w:rsidR="00CB4157" w:rsidRPr="00891616" w:rsidRDefault="00CB4157" w:rsidP="00CB4157">
      <w:pPr>
        <w:pStyle w:val="Leipteksti"/>
        <w:rPr>
          <w:lang w:val="sv-SE"/>
        </w:rPr>
      </w:pPr>
      <w:r>
        <w:rPr>
          <w:lang w:val="sv"/>
        </w:rPr>
        <w:t xml:space="preserve">Genomförandeplanen utarbetas i nära samarbete med de förvaltningsområden och intressentgrupper som är väsentliga för verkställandet av fonden, med beaktande av aktuella behov som främjar verkställandet av programmet och dess resultat samt pågående projekt eller funktioner. I beredningen av planen beaktas även det innehåll i Europeiska unionens övriga finansieringsinstrument och -program som är av betydelse för fonden och dess mål. </w:t>
      </w:r>
    </w:p>
    <w:p w14:paraId="481F3A24" w14:textId="77777777" w:rsidR="00CB4157" w:rsidRPr="00891616" w:rsidRDefault="00CB4157" w:rsidP="00CB4157">
      <w:pPr>
        <w:pStyle w:val="Leipteksti"/>
        <w:rPr>
          <w:lang w:val="sv-SE"/>
        </w:rPr>
      </w:pPr>
      <w:r>
        <w:rPr>
          <w:lang w:val="sv"/>
        </w:rPr>
        <w:t>Genomförandeplanen innehåller beskrivningar av de åtgärder som understöds, deras centrala mål och den verksamhet som stöds för att nå målen samt den understödda verksamhetens resultatmål och mätare. I planen ges även en beskrivning av eventuella stödmottagare, beviljade bidragsandelar och övrig EU-finansiering som verksamheten samordnas med. I verkställandet av Fonden för inre säkerhet följer man genomförandet av bland annat BMVI-fonden, finansieringsprogrammet på det rättsliga området och RRF-programmet för att hitta synergier och undvika överlappningar. I genomförandeplanen definieras dessutom tidtabellen för öppnandet av ansökan till åtgärderna och vid behov en närmare inriktning av den finansiering som ingår i programmet. Från den första uppdateringen av genomförandeplanen innehåller planen även en beskrivning av hur verkställandet av programmet framskrider.  Genomförandeplanen utarbetas för två år i taget och uppdateras en gång i året.</w:t>
      </w:r>
    </w:p>
    <w:p w14:paraId="71064779" w14:textId="7A6DD663" w:rsidR="00CB4157" w:rsidRPr="00891616" w:rsidRDefault="00CB4157" w:rsidP="00CB4157">
      <w:pPr>
        <w:pStyle w:val="Leipteksti"/>
        <w:rPr>
          <w:lang w:val="sv-SE"/>
        </w:rPr>
      </w:pPr>
      <w:r>
        <w:rPr>
          <w:lang w:val="sv"/>
        </w:rPr>
        <w:t>Denna genomförandeplan som kompletterar fondens program genomförs 202</w:t>
      </w:r>
      <w:r w:rsidR="0037512D">
        <w:rPr>
          <w:lang w:val="sv"/>
        </w:rPr>
        <w:t>4</w:t>
      </w:r>
      <w:r>
        <w:rPr>
          <w:lang w:val="sv"/>
        </w:rPr>
        <w:t>–202</w:t>
      </w:r>
      <w:r w:rsidR="0037512D">
        <w:rPr>
          <w:lang w:val="sv"/>
        </w:rPr>
        <w:t>5</w:t>
      </w:r>
      <w:r>
        <w:rPr>
          <w:lang w:val="sv"/>
        </w:rPr>
        <w:t xml:space="preserve">. </w:t>
      </w:r>
    </w:p>
    <w:p w14:paraId="220D35C5" w14:textId="4A757D31" w:rsidR="002F1815" w:rsidRDefault="00CB4157" w:rsidP="00CB4157">
      <w:pPr>
        <w:pStyle w:val="Leipteksti"/>
        <w:rPr>
          <w:lang w:val="sv"/>
        </w:rPr>
      </w:pPr>
      <w:r>
        <w:rPr>
          <w:lang w:val="sv"/>
        </w:rPr>
        <w:t xml:space="preserve">Genomförandeplanen har behandlats av fondens </w:t>
      </w:r>
      <w:r w:rsidR="00E83357">
        <w:rPr>
          <w:lang w:val="sv"/>
        </w:rPr>
        <w:t>övervaknings</w:t>
      </w:r>
      <w:r>
        <w:rPr>
          <w:lang w:val="sv"/>
        </w:rPr>
        <w:t xml:space="preserve">kommitté </w:t>
      </w:r>
      <w:r w:rsidR="0037512D" w:rsidRPr="0037512D">
        <w:rPr>
          <w:lang w:val="sv"/>
        </w:rPr>
        <w:t>i ett skriftligt förfarande under tiden</w:t>
      </w:r>
      <w:r>
        <w:rPr>
          <w:lang w:val="sv"/>
        </w:rPr>
        <w:t xml:space="preserve"> </w:t>
      </w:r>
      <w:r w:rsidR="00FA71BE">
        <w:rPr>
          <w:lang w:val="sv"/>
        </w:rPr>
        <w:t>14</w:t>
      </w:r>
      <w:r w:rsidR="0037512D">
        <w:rPr>
          <w:lang w:val="sv"/>
        </w:rPr>
        <w:t>–</w:t>
      </w:r>
      <w:r w:rsidR="00FA71BE">
        <w:rPr>
          <w:lang w:val="sv"/>
        </w:rPr>
        <w:t>22</w:t>
      </w:r>
      <w:r w:rsidR="0037512D">
        <w:rPr>
          <w:lang w:val="sv"/>
        </w:rPr>
        <w:t>.12.2023</w:t>
      </w:r>
      <w:r w:rsidR="005C15FB">
        <w:rPr>
          <w:lang w:val="sv"/>
        </w:rPr>
        <w:t xml:space="preserve"> och 9-17.12.2024</w:t>
      </w:r>
      <w:r>
        <w:rPr>
          <w:lang w:val="sv"/>
        </w:rPr>
        <w:t>.</w:t>
      </w:r>
      <w:r w:rsidR="00D13E22">
        <w:rPr>
          <w:lang w:val="sv"/>
        </w:rPr>
        <w:t xml:space="preserve"> </w:t>
      </w:r>
    </w:p>
    <w:p w14:paraId="10A5EEA5" w14:textId="267B2873" w:rsidR="00CB4157" w:rsidRPr="00CB4157" w:rsidRDefault="00CB4157" w:rsidP="003C2B82">
      <w:pPr>
        <w:pStyle w:val="Otsikko2"/>
        <w:numPr>
          <w:ilvl w:val="1"/>
          <w:numId w:val="43"/>
        </w:numPr>
        <w:rPr>
          <w:lang w:val="sv-SE"/>
        </w:rPr>
      </w:pPr>
      <w:bookmarkStart w:id="5" w:name="_Toc102727258"/>
      <w:bookmarkStart w:id="6" w:name="_Toc184224296"/>
      <w:r>
        <w:rPr>
          <w:lang w:val="sv"/>
        </w:rPr>
        <w:lastRenderedPageBreak/>
        <w:t>Fondprogrammets s</w:t>
      </w:r>
      <w:r w:rsidR="000473F1">
        <w:rPr>
          <w:lang w:val="sv"/>
        </w:rPr>
        <w:t>pecifik</w:t>
      </w:r>
      <w:r>
        <w:rPr>
          <w:lang w:val="sv"/>
        </w:rPr>
        <w:t>a mål och finansiering</w:t>
      </w:r>
      <w:bookmarkEnd w:id="5"/>
      <w:bookmarkEnd w:id="6"/>
    </w:p>
    <w:p w14:paraId="48C0EB36" w14:textId="77777777" w:rsidR="00CB4157" w:rsidRPr="00CB4157" w:rsidRDefault="00CB4157" w:rsidP="00CB4157">
      <w:pPr>
        <w:rPr>
          <w:lang w:val="sv-SE"/>
        </w:rPr>
      </w:pPr>
    </w:p>
    <w:p w14:paraId="2C0C4418" w14:textId="77777777" w:rsidR="00CB4157" w:rsidRPr="00891616" w:rsidRDefault="00CB4157" w:rsidP="00CB4157">
      <w:pPr>
        <w:pStyle w:val="Leipteksti"/>
        <w:rPr>
          <w:lang w:val="sv-SE"/>
        </w:rPr>
      </w:pPr>
      <w:r>
        <w:rPr>
          <w:lang w:val="sv"/>
        </w:rPr>
        <w:t>Fondens verksamhetspolitiska mål är att främja säkerställandet av säkerhetens höga nivå i unionen, särskilt genom att förebygga och bekämpa terrorism, radikalisering, grov och organiserad brottslighet och cyberbrottslighet, hjälpa och skydda brottsoffer och vara förberedd för säkerhetsrelaterade tillbud, risker och kriser genom skydd från dem och en effektiv administration av dem.</w:t>
      </w:r>
    </w:p>
    <w:p w14:paraId="6D9D1F83" w14:textId="4B7A5238" w:rsidR="00CB4157" w:rsidRPr="00891616" w:rsidRDefault="00CB4157" w:rsidP="00CB4157">
      <w:pPr>
        <w:pStyle w:val="Leipteksti"/>
        <w:rPr>
          <w:lang w:val="sv-SE"/>
        </w:rPr>
      </w:pPr>
      <w:r>
        <w:rPr>
          <w:lang w:val="sv"/>
        </w:rPr>
        <w:t>Inom ramen för det verksamhetspolitiska mål som anges ovan ska fonden bidra till att följande s</w:t>
      </w:r>
      <w:r w:rsidR="000473F1">
        <w:rPr>
          <w:lang w:val="sv"/>
        </w:rPr>
        <w:t>pecifik</w:t>
      </w:r>
      <w:r>
        <w:rPr>
          <w:lang w:val="sv"/>
        </w:rPr>
        <w:t>a mål uppnås:</w:t>
      </w:r>
    </w:p>
    <w:p w14:paraId="3FCED9C7" w14:textId="196C3D9A" w:rsidR="00CB4157" w:rsidRPr="00891616" w:rsidRDefault="00CB4157" w:rsidP="00F30646">
      <w:pPr>
        <w:pStyle w:val="Leipteksti"/>
        <w:numPr>
          <w:ilvl w:val="0"/>
          <w:numId w:val="41"/>
        </w:numPr>
        <w:rPr>
          <w:lang w:val="sv-SE"/>
        </w:rPr>
      </w:pPr>
      <w:r>
        <w:rPr>
          <w:lang w:val="sv"/>
        </w:rPr>
        <w:t xml:space="preserve"> informationsutbytet mellan och inom behöriga myndigheter och unionens relevanta organ och inrättningar samt vid behov även med tredje länder och internationella organisationer förbättras och underlättas,</w:t>
      </w:r>
    </w:p>
    <w:p w14:paraId="7D85846D" w14:textId="68840134" w:rsidR="00CB4157" w:rsidRPr="00891616" w:rsidRDefault="00CB4157" w:rsidP="00F30646">
      <w:pPr>
        <w:pStyle w:val="Leipteksti"/>
        <w:numPr>
          <w:ilvl w:val="0"/>
          <w:numId w:val="41"/>
        </w:numPr>
        <w:rPr>
          <w:lang w:val="sv-SE"/>
        </w:rPr>
      </w:pPr>
      <w:r>
        <w:rPr>
          <w:lang w:val="sv"/>
        </w:rPr>
        <w:t xml:space="preserve"> gränsöverskridande samarbete förbättras och effektiviseras, vilket också gäller gemensamma operationer relaterade till terrorism och grov och organiserad gränsöverskridande brottslighet mellan behöriga myndigheter och</w:t>
      </w:r>
    </w:p>
    <w:p w14:paraId="06364156" w14:textId="2B2F13F0" w:rsidR="00CB4157" w:rsidRPr="00891616" w:rsidRDefault="00CB4157" w:rsidP="00F30646">
      <w:pPr>
        <w:pStyle w:val="Leipteksti"/>
        <w:numPr>
          <w:ilvl w:val="0"/>
          <w:numId w:val="41"/>
        </w:numPr>
        <w:rPr>
          <w:lang w:val="sv-SE"/>
        </w:rPr>
      </w:pPr>
      <w:r>
        <w:rPr>
          <w:lang w:val="sv"/>
        </w:rPr>
        <w:t xml:space="preserve"> stärkande av medlemsstaternas beredskap för förebyggande och bekämpning av brottslighet, terrorism och radikalisering samt kontroll av situationer, risker och kriser som hotar säkerheten stöds, även genom närmare samarbete mellan myndigheter, unionens relevanta organ eller inrättningar, civilsamhället och privata partner i olika medlemsstater.</w:t>
      </w:r>
    </w:p>
    <w:p w14:paraId="6A753DE8" w14:textId="02D51F0A" w:rsidR="00CB4157" w:rsidRPr="00891616" w:rsidRDefault="00CB4157" w:rsidP="00CB4157">
      <w:pPr>
        <w:pStyle w:val="Leipteksti"/>
        <w:rPr>
          <w:lang w:val="sv-SE"/>
        </w:rPr>
      </w:pPr>
      <w:r>
        <w:rPr>
          <w:lang w:val="sv"/>
        </w:rPr>
        <w:t xml:space="preserve">Fondens finansiering på EU-nivå är </w:t>
      </w:r>
      <w:r w:rsidR="00B5218E">
        <w:rPr>
          <w:lang w:val="sv"/>
        </w:rPr>
        <w:t xml:space="preserve">cirka </w:t>
      </w:r>
      <w:r>
        <w:rPr>
          <w:lang w:val="sv"/>
        </w:rPr>
        <w:t>1,93 miljarder euro.</w:t>
      </w:r>
    </w:p>
    <w:p w14:paraId="2ED4D9EE" w14:textId="18508D15" w:rsidR="00CB4157" w:rsidRPr="00545C26" w:rsidRDefault="00CB4157" w:rsidP="00CB4157">
      <w:pPr>
        <w:pStyle w:val="Leipteksti"/>
        <w:rPr>
          <w:lang w:val="sv-SE"/>
        </w:rPr>
      </w:pPr>
      <w:r>
        <w:rPr>
          <w:lang w:val="sv"/>
        </w:rPr>
        <w:t xml:space="preserve">I början av programperioden </w:t>
      </w:r>
      <w:r w:rsidR="005C15FB">
        <w:rPr>
          <w:lang w:val="sv"/>
        </w:rPr>
        <w:t>var</w:t>
      </w:r>
      <w:r>
        <w:rPr>
          <w:lang w:val="sv"/>
        </w:rPr>
        <w:t xml:space="preserve"> Finlands andel av fondens finansiering </w:t>
      </w:r>
      <w:r w:rsidR="00B5218E">
        <w:rPr>
          <w:lang w:val="sv"/>
        </w:rPr>
        <w:t xml:space="preserve">cirka </w:t>
      </w:r>
      <w:r>
        <w:rPr>
          <w:lang w:val="sv"/>
        </w:rPr>
        <w:t xml:space="preserve">36,6 miljoner euro. </w:t>
      </w:r>
      <w:r w:rsidR="005C15FB" w:rsidRPr="0037041B">
        <w:rPr>
          <w:lang w:val="sv-FI"/>
        </w:rPr>
        <w:t>År 2024 fick Finland tilläggsfinansiering på 913 770,77 euro genom kommissionens specialåtgärdsansökan och finansieringsandelen ökade till omkring 37,5 miljoner euro.</w:t>
      </w:r>
    </w:p>
    <w:p w14:paraId="36B94179" w14:textId="102B542E" w:rsidR="00CB4157" w:rsidRPr="00891616" w:rsidRDefault="00CB4157" w:rsidP="00CB4157">
      <w:pPr>
        <w:pStyle w:val="Leipteksti"/>
        <w:rPr>
          <w:lang w:val="sv-SE"/>
        </w:rPr>
      </w:pPr>
      <w:r>
        <w:rPr>
          <w:lang w:val="sv"/>
        </w:rPr>
        <w:t xml:space="preserve">Tabell 1: Finansieringens </w:t>
      </w:r>
      <w:r w:rsidR="00091F41">
        <w:rPr>
          <w:lang w:val="sv"/>
        </w:rPr>
        <w:t xml:space="preserve">årliga </w:t>
      </w:r>
      <w:r>
        <w:rPr>
          <w:lang w:val="sv"/>
        </w:rPr>
        <w:t>indikativa</w:t>
      </w:r>
      <w:r w:rsidR="00E3336F">
        <w:rPr>
          <w:lang w:val="sv"/>
        </w:rPr>
        <w:t xml:space="preserve"> </w:t>
      </w:r>
      <w:r>
        <w:rPr>
          <w:lang w:val="sv"/>
        </w:rPr>
        <w:t>fördelning, inklusive tekniskt bistånd:</w:t>
      </w:r>
    </w:p>
    <w:tbl>
      <w:tblPr>
        <w:tblW w:w="1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086"/>
      </w:tblGrid>
      <w:tr w:rsidR="00CB4157" w:rsidRPr="001003DC" w14:paraId="533B81B3" w14:textId="77777777" w:rsidTr="00CB4157">
        <w:trPr>
          <w:tblHeader/>
        </w:trPr>
        <w:tc>
          <w:tcPr>
            <w:tcW w:w="179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1199C4" w14:textId="77777777" w:rsidR="00CB4157" w:rsidRPr="003A528F" w:rsidRDefault="00CB4157" w:rsidP="00CB4157">
            <w:pPr>
              <w:pStyle w:val="Leipteksti"/>
            </w:pPr>
            <w:r>
              <w:rPr>
                <w:lang w:val="sv"/>
              </w:rPr>
              <w:t>2021 + 2022</w:t>
            </w:r>
          </w:p>
        </w:tc>
        <w:tc>
          <w:tcPr>
            <w:tcW w:w="320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44FA1A" w14:textId="77777777" w:rsidR="00CB4157" w:rsidRPr="003A528F" w:rsidRDefault="00CB4157" w:rsidP="00CB4157">
            <w:pPr>
              <w:pStyle w:val="Leipteksti"/>
            </w:pPr>
            <w:r>
              <w:rPr>
                <w:lang w:val="sv"/>
              </w:rPr>
              <w:t>7 677 113</w:t>
            </w:r>
          </w:p>
        </w:tc>
      </w:tr>
      <w:tr w:rsidR="00CB4157" w:rsidRPr="001003DC" w14:paraId="7D01EFD9" w14:textId="77777777" w:rsidTr="00CB4157">
        <w:tc>
          <w:tcPr>
            <w:tcW w:w="179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B8A18" w14:textId="77777777" w:rsidR="00CB4157" w:rsidRPr="003A528F" w:rsidRDefault="00CB4157" w:rsidP="00CB4157">
            <w:pPr>
              <w:pStyle w:val="Leipteksti"/>
            </w:pPr>
            <w:r>
              <w:rPr>
                <w:lang w:val="sv"/>
              </w:rPr>
              <w:t>2023</w:t>
            </w:r>
          </w:p>
        </w:tc>
        <w:tc>
          <w:tcPr>
            <w:tcW w:w="320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D7AEE" w14:textId="77777777" w:rsidR="00CB4157" w:rsidRPr="003A528F" w:rsidRDefault="00CB4157" w:rsidP="00CB4157">
            <w:pPr>
              <w:pStyle w:val="Leipteksti"/>
            </w:pPr>
            <w:r>
              <w:rPr>
                <w:lang w:val="sv"/>
              </w:rPr>
              <w:t>6 669 899</w:t>
            </w:r>
          </w:p>
        </w:tc>
      </w:tr>
      <w:tr w:rsidR="00CB4157" w:rsidRPr="001003DC" w14:paraId="58C3481E" w14:textId="77777777" w:rsidTr="00CB4157">
        <w:tc>
          <w:tcPr>
            <w:tcW w:w="179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B4D8B" w14:textId="77777777" w:rsidR="00CB4157" w:rsidRPr="003A528F" w:rsidRDefault="00CB4157" w:rsidP="00CB4157">
            <w:pPr>
              <w:pStyle w:val="Leipteksti"/>
            </w:pPr>
            <w:r>
              <w:rPr>
                <w:lang w:val="sv"/>
              </w:rPr>
              <w:t>2024</w:t>
            </w:r>
          </w:p>
        </w:tc>
        <w:tc>
          <w:tcPr>
            <w:tcW w:w="320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AB520" w14:textId="65410EA8" w:rsidR="00CB4157" w:rsidRPr="003A528F" w:rsidRDefault="000834FD" w:rsidP="00CB4157">
            <w:pPr>
              <w:pStyle w:val="Leipteksti"/>
            </w:pPr>
            <w:r w:rsidRPr="0037041B">
              <w:rPr>
                <w:lang w:val="sv-FI"/>
              </w:rPr>
              <w:t>7 401 026</w:t>
            </w:r>
          </w:p>
        </w:tc>
      </w:tr>
      <w:tr w:rsidR="00CB4157" w:rsidRPr="001003DC" w14:paraId="0A6551CF" w14:textId="77777777" w:rsidTr="00CB4157">
        <w:tc>
          <w:tcPr>
            <w:tcW w:w="179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28947" w14:textId="77777777" w:rsidR="00CB4157" w:rsidRPr="003A528F" w:rsidRDefault="00CB4157" w:rsidP="00CB4157">
            <w:pPr>
              <w:pStyle w:val="Leipteksti"/>
            </w:pPr>
            <w:r>
              <w:rPr>
                <w:lang w:val="sv"/>
              </w:rPr>
              <w:lastRenderedPageBreak/>
              <w:t>2025</w:t>
            </w:r>
          </w:p>
        </w:tc>
        <w:tc>
          <w:tcPr>
            <w:tcW w:w="320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95597" w14:textId="77777777" w:rsidR="00CB4157" w:rsidRPr="003A528F" w:rsidRDefault="00CB4157" w:rsidP="00CB4157">
            <w:pPr>
              <w:pStyle w:val="Leipteksti"/>
            </w:pPr>
            <w:r>
              <w:rPr>
                <w:lang w:val="sv"/>
              </w:rPr>
              <w:t>5 470 680</w:t>
            </w:r>
          </w:p>
        </w:tc>
      </w:tr>
      <w:tr w:rsidR="00CB4157" w:rsidRPr="001003DC" w14:paraId="7227BB62" w14:textId="77777777" w:rsidTr="00CB4157">
        <w:tc>
          <w:tcPr>
            <w:tcW w:w="179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01E68" w14:textId="77777777" w:rsidR="00CB4157" w:rsidRPr="003A528F" w:rsidRDefault="00CB4157" w:rsidP="00CB4157">
            <w:pPr>
              <w:pStyle w:val="Leipteksti"/>
            </w:pPr>
            <w:r>
              <w:rPr>
                <w:lang w:val="sv"/>
              </w:rPr>
              <w:t>2026</w:t>
            </w:r>
          </w:p>
        </w:tc>
        <w:tc>
          <w:tcPr>
            <w:tcW w:w="320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B5C10" w14:textId="77777777" w:rsidR="00CB4157" w:rsidRPr="003A528F" w:rsidRDefault="00CB4157" w:rsidP="00CB4157">
            <w:pPr>
              <w:pStyle w:val="Leipteksti"/>
            </w:pPr>
            <w:r>
              <w:rPr>
                <w:lang w:val="sv"/>
              </w:rPr>
              <w:t>5 400 343</w:t>
            </w:r>
          </w:p>
        </w:tc>
      </w:tr>
      <w:tr w:rsidR="00CB4157" w:rsidRPr="001003DC" w14:paraId="124CD885" w14:textId="77777777" w:rsidTr="00CB4157">
        <w:tc>
          <w:tcPr>
            <w:tcW w:w="179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C9C2E" w14:textId="77777777" w:rsidR="00CB4157" w:rsidRPr="003A528F" w:rsidRDefault="00CB4157" w:rsidP="00CB4157">
            <w:pPr>
              <w:pStyle w:val="Leipteksti"/>
            </w:pPr>
            <w:r>
              <w:rPr>
                <w:lang w:val="sv"/>
              </w:rPr>
              <w:t>2027</w:t>
            </w:r>
          </w:p>
        </w:tc>
        <w:tc>
          <w:tcPr>
            <w:tcW w:w="320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07B0A" w14:textId="77777777" w:rsidR="00CB4157" w:rsidRPr="003A528F" w:rsidRDefault="00CB4157" w:rsidP="00CB4157">
            <w:pPr>
              <w:pStyle w:val="Leipteksti"/>
            </w:pPr>
            <w:r>
              <w:rPr>
                <w:lang w:val="sv"/>
              </w:rPr>
              <w:t>4 896 467</w:t>
            </w:r>
          </w:p>
        </w:tc>
      </w:tr>
      <w:tr w:rsidR="000834FD" w:rsidRPr="001003DC" w14:paraId="493F6C31" w14:textId="77777777" w:rsidTr="00CB4157">
        <w:tc>
          <w:tcPr>
            <w:tcW w:w="179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1B2E66" w14:textId="77777777" w:rsidR="000834FD" w:rsidRPr="003A528F" w:rsidRDefault="000834FD" w:rsidP="000834FD">
            <w:pPr>
              <w:pStyle w:val="Leipteksti"/>
            </w:pPr>
            <w:r>
              <w:rPr>
                <w:lang w:val="sv"/>
              </w:rPr>
              <w:t>Totalt</w:t>
            </w:r>
          </w:p>
        </w:tc>
        <w:tc>
          <w:tcPr>
            <w:tcW w:w="3203"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FCEDB" w14:textId="0BDC2D6F" w:rsidR="000834FD" w:rsidRPr="000834FD" w:rsidRDefault="000834FD" w:rsidP="000834FD">
            <w:pPr>
              <w:pStyle w:val="Leipteksti"/>
            </w:pPr>
            <w:r w:rsidRPr="0037041B">
              <w:rPr>
                <w:lang w:val="sv-FI"/>
              </w:rPr>
              <w:t>37 515 526</w:t>
            </w:r>
          </w:p>
        </w:tc>
      </w:tr>
    </w:tbl>
    <w:p w14:paraId="4DF26F00" w14:textId="77777777" w:rsidR="00A31D59" w:rsidRDefault="00A31D59" w:rsidP="00CB4157">
      <w:pPr>
        <w:pStyle w:val="Leipteksti"/>
        <w:rPr>
          <w:lang w:val="sv"/>
        </w:rPr>
      </w:pPr>
    </w:p>
    <w:p w14:paraId="21267C54" w14:textId="72A28AC8" w:rsidR="00CB4157" w:rsidRPr="00CB4157" w:rsidRDefault="00CB4157" w:rsidP="00CB4157">
      <w:pPr>
        <w:pStyle w:val="Leipteksti"/>
        <w:rPr>
          <w:lang w:val="sv-SE"/>
        </w:rPr>
      </w:pPr>
      <w:r w:rsidRPr="00CB4157">
        <w:rPr>
          <w:lang w:val="sv"/>
        </w:rPr>
        <w:t>Programfinansieringen inriktas enligt de s</w:t>
      </w:r>
      <w:r w:rsidR="000473F1">
        <w:rPr>
          <w:lang w:val="sv"/>
        </w:rPr>
        <w:t>pecifik</w:t>
      </w:r>
      <w:r w:rsidRPr="00CB4157">
        <w:rPr>
          <w:lang w:val="sv"/>
        </w:rPr>
        <w:t>a målen. Under de s</w:t>
      </w:r>
      <w:r w:rsidR="000473F1">
        <w:rPr>
          <w:lang w:val="sv"/>
        </w:rPr>
        <w:t>pecifik</w:t>
      </w:r>
      <w:r w:rsidRPr="00CB4157">
        <w:rPr>
          <w:lang w:val="sv"/>
        </w:rPr>
        <w:t>a målen indelas finansieringen i projektunderstöd och operativt stöd.</w:t>
      </w:r>
    </w:p>
    <w:p w14:paraId="5C7C64E7" w14:textId="77777777" w:rsidR="00CB4157" w:rsidRPr="00CB4157" w:rsidRDefault="00CB4157" w:rsidP="00CB4157">
      <w:pPr>
        <w:pStyle w:val="Leipteksti"/>
        <w:rPr>
          <w:lang w:val="sv-SE"/>
        </w:rPr>
      </w:pPr>
      <w:r w:rsidRPr="00CB4157">
        <w:rPr>
          <w:lang w:val="sv"/>
        </w:rPr>
        <w:t>Tabell 2: Programfinansieringens fördelning mellan specifika mål utan tekniskt bistånd:</w:t>
      </w:r>
    </w:p>
    <w:tbl>
      <w:tblPr>
        <w:tblStyle w:val="TaulukkoRuudukko"/>
        <w:tblW w:w="0" w:type="auto"/>
        <w:tblLook w:val="04A0" w:firstRow="1" w:lastRow="0" w:firstColumn="1" w:lastColumn="0" w:noHBand="0" w:noVBand="1"/>
      </w:tblPr>
      <w:tblGrid>
        <w:gridCol w:w="6091"/>
        <w:gridCol w:w="2268"/>
      </w:tblGrid>
      <w:tr w:rsidR="00CB4157" w:rsidRPr="00CB4157" w14:paraId="2075B1EA" w14:textId="77777777" w:rsidTr="00A31D59">
        <w:trPr>
          <w:trHeight w:val="293"/>
        </w:trPr>
        <w:tc>
          <w:tcPr>
            <w:tcW w:w="6091" w:type="dxa"/>
            <w:noWrap/>
            <w:hideMark/>
          </w:tcPr>
          <w:p w14:paraId="2B37C936" w14:textId="26353C5B" w:rsidR="00CB4157" w:rsidRPr="00CB4157" w:rsidRDefault="00CB4157" w:rsidP="00CB4157">
            <w:pPr>
              <w:pStyle w:val="Leipteksti"/>
              <w:rPr>
                <w:sz w:val="22"/>
                <w:szCs w:val="22"/>
              </w:rPr>
            </w:pPr>
            <w:r w:rsidRPr="00CB4157">
              <w:rPr>
                <w:sz w:val="22"/>
                <w:szCs w:val="22"/>
                <w:lang w:val="sv"/>
              </w:rPr>
              <w:t>ET1</w:t>
            </w:r>
            <w:r w:rsidR="00D13E22">
              <w:rPr>
                <w:sz w:val="22"/>
                <w:szCs w:val="22"/>
                <w:lang w:val="sv"/>
              </w:rPr>
              <w:t xml:space="preserve"> I</w:t>
            </w:r>
            <w:r w:rsidR="00D13E22" w:rsidRPr="00D13E22">
              <w:rPr>
                <w:sz w:val="22"/>
                <w:szCs w:val="22"/>
                <w:lang w:val="sv"/>
              </w:rPr>
              <w:t>nformationsutbyte</w:t>
            </w:r>
          </w:p>
        </w:tc>
        <w:tc>
          <w:tcPr>
            <w:tcW w:w="2268" w:type="dxa"/>
            <w:noWrap/>
            <w:hideMark/>
          </w:tcPr>
          <w:p w14:paraId="162EE78C" w14:textId="77777777" w:rsidR="00CB4157" w:rsidRPr="00CB4157" w:rsidRDefault="00CB4157" w:rsidP="00CB4157">
            <w:pPr>
              <w:pStyle w:val="Leipteksti"/>
              <w:rPr>
                <w:sz w:val="22"/>
                <w:szCs w:val="22"/>
              </w:rPr>
            </w:pPr>
            <w:r w:rsidRPr="00CB4157">
              <w:rPr>
                <w:sz w:val="22"/>
                <w:szCs w:val="22"/>
                <w:lang w:val="sv"/>
              </w:rPr>
              <w:t>12 085 485,47</w:t>
            </w:r>
          </w:p>
        </w:tc>
      </w:tr>
      <w:tr w:rsidR="00CB4157" w:rsidRPr="00CB4157" w14:paraId="7BED2CC9" w14:textId="77777777" w:rsidTr="00A31D59">
        <w:trPr>
          <w:trHeight w:val="293"/>
        </w:trPr>
        <w:tc>
          <w:tcPr>
            <w:tcW w:w="6091" w:type="dxa"/>
            <w:noWrap/>
            <w:hideMark/>
          </w:tcPr>
          <w:p w14:paraId="5E371F7E" w14:textId="77777777" w:rsidR="00CB4157" w:rsidRPr="00CB4157" w:rsidRDefault="00CB4157" w:rsidP="00CB4157">
            <w:pPr>
              <w:pStyle w:val="Leipteksti"/>
              <w:rPr>
                <w:sz w:val="22"/>
                <w:szCs w:val="22"/>
              </w:rPr>
            </w:pPr>
            <w:r w:rsidRPr="00CB4157">
              <w:rPr>
                <w:sz w:val="22"/>
                <w:szCs w:val="22"/>
                <w:lang w:val="sv"/>
              </w:rPr>
              <w:t>projektunderstöd</w:t>
            </w:r>
          </w:p>
        </w:tc>
        <w:tc>
          <w:tcPr>
            <w:tcW w:w="2268" w:type="dxa"/>
            <w:noWrap/>
            <w:hideMark/>
          </w:tcPr>
          <w:p w14:paraId="03C01B8A" w14:textId="77777777" w:rsidR="00CB4157" w:rsidRPr="00CB4157" w:rsidRDefault="00CB4157" w:rsidP="00CB4157">
            <w:pPr>
              <w:pStyle w:val="Leipteksti"/>
              <w:rPr>
                <w:sz w:val="22"/>
                <w:szCs w:val="22"/>
              </w:rPr>
            </w:pPr>
            <w:r w:rsidRPr="00CB4157">
              <w:rPr>
                <w:sz w:val="22"/>
                <w:szCs w:val="22"/>
                <w:lang w:val="sv"/>
              </w:rPr>
              <w:t>10 876 936,92</w:t>
            </w:r>
          </w:p>
        </w:tc>
      </w:tr>
      <w:tr w:rsidR="00CB4157" w:rsidRPr="00CB4157" w14:paraId="482BF42D" w14:textId="77777777" w:rsidTr="00A31D59">
        <w:trPr>
          <w:trHeight w:val="293"/>
        </w:trPr>
        <w:tc>
          <w:tcPr>
            <w:tcW w:w="6091" w:type="dxa"/>
            <w:noWrap/>
            <w:hideMark/>
          </w:tcPr>
          <w:p w14:paraId="54DC08F0" w14:textId="77777777" w:rsidR="00CB4157" w:rsidRPr="00CB4157" w:rsidRDefault="00CB4157" w:rsidP="00CB4157">
            <w:pPr>
              <w:pStyle w:val="Leipteksti"/>
              <w:rPr>
                <w:sz w:val="22"/>
                <w:szCs w:val="22"/>
              </w:rPr>
            </w:pPr>
            <w:r w:rsidRPr="00CB4157">
              <w:rPr>
                <w:sz w:val="22"/>
                <w:szCs w:val="22"/>
                <w:lang w:val="sv"/>
              </w:rPr>
              <w:t>operativt stöd</w:t>
            </w:r>
          </w:p>
        </w:tc>
        <w:tc>
          <w:tcPr>
            <w:tcW w:w="2268" w:type="dxa"/>
            <w:noWrap/>
            <w:hideMark/>
          </w:tcPr>
          <w:p w14:paraId="184FCB03" w14:textId="77777777" w:rsidR="00CB4157" w:rsidRPr="00CB4157" w:rsidRDefault="00CB4157" w:rsidP="00CB4157">
            <w:pPr>
              <w:pStyle w:val="Leipteksti"/>
              <w:rPr>
                <w:sz w:val="22"/>
                <w:szCs w:val="22"/>
              </w:rPr>
            </w:pPr>
            <w:r w:rsidRPr="00CB4157">
              <w:rPr>
                <w:sz w:val="22"/>
                <w:szCs w:val="22"/>
                <w:lang w:val="sv"/>
              </w:rPr>
              <w:t>1 208 548,55</w:t>
            </w:r>
          </w:p>
        </w:tc>
      </w:tr>
      <w:tr w:rsidR="00CB4157" w:rsidRPr="00CB4157" w14:paraId="73C5A186" w14:textId="77777777" w:rsidTr="00A31D59">
        <w:trPr>
          <w:trHeight w:val="293"/>
        </w:trPr>
        <w:tc>
          <w:tcPr>
            <w:tcW w:w="6091" w:type="dxa"/>
            <w:noWrap/>
            <w:hideMark/>
          </w:tcPr>
          <w:p w14:paraId="54AC1E08" w14:textId="123CA2EA" w:rsidR="00CB4157" w:rsidRPr="00A31D59" w:rsidRDefault="00CB4157" w:rsidP="00CB4157">
            <w:pPr>
              <w:pStyle w:val="Leipteksti"/>
              <w:rPr>
                <w:sz w:val="22"/>
                <w:szCs w:val="22"/>
                <w:lang w:val="sv-SE"/>
              </w:rPr>
            </w:pPr>
            <w:r w:rsidRPr="00CB4157">
              <w:rPr>
                <w:sz w:val="22"/>
                <w:szCs w:val="22"/>
                <w:lang w:val="sv"/>
              </w:rPr>
              <w:t>ET2</w:t>
            </w:r>
            <w:r w:rsidR="00D13E22">
              <w:rPr>
                <w:sz w:val="22"/>
                <w:szCs w:val="22"/>
                <w:lang w:val="sv"/>
              </w:rPr>
              <w:t xml:space="preserve"> </w:t>
            </w:r>
            <w:r w:rsidR="00F152EA">
              <w:rPr>
                <w:sz w:val="22"/>
                <w:szCs w:val="22"/>
                <w:lang w:val="sv"/>
              </w:rPr>
              <w:t>Gränsöverskridande samarbete</w:t>
            </w:r>
          </w:p>
        </w:tc>
        <w:tc>
          <w:tcPr>
            <w:tcW w:w="2268" w:type="dxa"/>
            <w:noWrap/>
            <w:hideMark/>
          </w:tcPr>
          <w:p w14:paraId="6A08EEFF" w14:textId="77777777" w:rsidR="00CB4157" w:rsidRPr="00CB4157" w:rsidRDefault="00CB4157" w:rsidP="00CB4157">
            <w:pPr>
              <w:pStyle w:val="Leipteksti"/>
              <w:rPr>
                <w:sz w:val="22"/>
                <w:szCs w:val="22"/>
              </w:rPr>
            </w:pPr>
            <w:r w:rsidRPr="00CB4157">
              <w:rPr>
                <w:sz w:val="22"/>
                <w:szCs w:val="22"/>
                <w:lang w:val="sv"/>
              </w:rPr>
              <w:t>3 798 295,43</w:t>
            </w:r>
          </w:p>
        </w:tc>
      </w:tr>
      <w:tr w:rsidR="00CB4157" w:rsidRPr="00CB4157" w14:paraId="1F462521" w14:textId="77777777" w:rsidTr="00A31D59">
        <w:trPr>
          <w:trHeight w:val="293"/>
        </w:trPr>
        <w:tc>
          <w:tcPr>
            <w:tcW w:w="6091" w:type="dxa"/>
            <w:noWrap/>
            <w:hideMark/>
          </w:tcPr>
          <w:p w14:paraId="7FD2794D" w14:textId="77777777" w:rsidR="00CB4157" w:rsidRPr="00CB4157" w:rsidRDefault="00CB4157" w:rsidP="00CB4157">
            <w:pPr>
              <w:pStyle w:val="Leipteksti"/>
              <w:rPr>
                <w:sz w:val="22"/>
                <w:szCs w:val="22"/>
              </w:rPr>
            </w:pPr>
            <w:r w:rsidRPr="00CB4157">
              <w:rPr>
                <w:sz w:val="22"/>
                <w:szCs w:val="22"/>
                <w:lang w:val="sv"/>
              </w:rPr>
              <w:t>projektunderstöd</w:t>
            </w:r>
          </w:p>
        </w:tc>
        <w:tc>
          <w:tcPr>
            <w:tcW w:w="2268" w:type="dxa"/>
            <w:noWrap/>
            <w:hideMark/>
          </w:tcPr>
          <w:p w14:paraId="48848744" w14:textId="77777777" w:rsidR="00CB4157" w:rsidRPr="00CB4157" w:rsidRDefault="00CB4157" w:rsidP="00CB4157">
            <w:pPr>
              <w:pStyle w:val="Leipteksti"/>
              <w:rPr>
                <w:sz w:val="22"/>
                <w:szCs w:val="22"/>
              </w:rPr>
            </w:pPr>
            <w:r w:rsidRPr="00CB4157">
              <w:rPr>
                <w:sz w:val="22"/>
                <w:szCs w:val="22"/>
                <w:lang w:val="sv"/>
              </w:rPr>
              <w:t>3 494 431,80</w:t>
            </w:r>
          </w:p>
        </w:tc>
      </w:tr>
      <w:tr w:rsidR="00CB4157" w:rsidRPr="00CB4157" w14:paraId="26F2697E" w14:textId="77777777" w:rsidTr="00A31D59">
        <w:trPr>
          <w:trHeight w:val="293"/>
        </w:trPr>
        <w:tc>
          <w:tcPr>
            <w:tcW w:w="6091" w:type="dxa"/>
            <w:noWrap/>
            <w:hideMark/>
          </w:tcPr>
          <w:p w14:paraId="610B2C44" w14:textId="77777777" w:rsidR="00CB4157" w:rsidRPr="00CB4157" w:rsidRDefault="00CB4157" w:rsidP="00CB4157">
            <w:pPr>
              <w:pStyle w:val="Leipteksti"/>
              <w:rPr>
                <w:sz w:val="22"/>
                <w:szCs w:val="22"/>
              </w:rPr>
            </w:pPr>
            <w:r w:rsidRPr="00CB4157">
              <w:rPr>
                <w:sz w:val="22"/>
                <w:szCs w:val="22"/>
                <w:lang w:val="sv"/>
              </w:rPr>
              <w:t>operativt stöd</w:t>
            </w:r>
          </w:p>
        </w:tc>
        <w:tc>
          <w:tcPr>
            <w:tcW w:w="2268" w:type="dxa"/>
            <w:noWrap/>
            <w:hideMark/>
          </w:tcPr>
          <w:p w14:paraId="04AE1F46" w14:textId="77777777" w:rsidR="00CB4157" w:rsidRPr="00CB4157" w:rsidRDefault="00CB4157" w:rsidP="00CB4157">
            <w:pPr>
              <w:pStyle w:val="Leipteksti"/>
              <w:rPr>
                <w:sz w:val="22"/>
                <w:szCs w:val="22"/>
              </w:rPr>
            </w:pPr>
            <w:r w:rsidRPr="00CB4157">
              <w:rPr>
                <w:sz w:val="22"/>
                <w:szCs w:val="22"/>
                <w:lang w:val="sv"/>
              </w:rPr>
              <w:t>303 863,63</w:t>
            </w:r>
          </w:p>
        </w:tc>
      </w:tr>
      <w:tr w:rsidR="008356CB" w:rsidRPr="00CB4157" w14:paraId="6E4F66AA" w14:textId="77777777" w:rsidTr="00A31D59">
        <w:trPr>
          <w:trHeight w:val="293"/>
        </w:trPr>
        <w:tc>
          <w:tcPr>
            <w:tcW w:w="6091" w:type="dxa"/>
            <w:noWrap/>
          </w:tcPr>
          <w:p w14:paraId="514B35D1" w14:textId="6A177D2A" w:rsidR="008356CB" w:rsidRPr="008356CB" w:rsidRDefault="008356CB" w:rsidP="008356CB">
            <w:pPr>
              <w:pStyle w:val="Leipteksti"/>
              <w:rPr>
                <w:sz w:val="22"/>
                <w:szCs w:val="22"/>
                <w:lang w:val="sv"/>
              </w:rPr>
            </w:pPr>
            <w:r w:rsidRPr="008356CB">
              <w:rPr>
                <w:sz w:val="22"/>
                <w:szCs w:val="22"/>
                <w:lang w:val="sv-FI"/>
              </w:rPr>
              <w:t>specialåtgärder</w:t>
            </w:r>
          </w:p>
        </w:tc>
        <w:tc>
          <w:tcPr>
            <w:tcW w:w="2268" w:type="dxa"/>
            <w:noWrap/>
          </w:tcPr>
          <w:p w14:paraId="4D5C705C" w14:textId="301116BC" w:rsidR="008356CB" w:rsidRPr="008356CB" w:rsidRDefault="008356CB" w:rsidP="008356CB">
            <w:pPr>
              <w:pStyle w:val="Leipteksti"/>
              <w:rPr>
                <w:sz w:val="22"/>
                <w:szCs w:val="22"/>
                <w:lang w:val="sv"/>
              </w:rPr>
            </w:pPr>
            <w:r w:rsidRPr="008356CB">
              <w:rPr>
                <w:sz w:val="22"/>
                <w:szCs w:val="22"/>
                <w:lang w:val="sv-FI"/>
              </w:rPr>
              <w:t>862 047,90</w:t>
            </w:r>
          </w:p>
        </w:tc>
      </w:tr>
      <w:tr w:rsidR="008356CB" w:rsidRPr="00CB4157" w14:paraId="3AF0846F" w14:textId="77777777" w:rsidTr="00A31D59">
        <w:trPr>
          <w:trHeight w:val="293"/>
        </w:trPr>
        <w:tc>
          <w:tcPr>
            <w:tcW w:w="6091" w:type="dxa"/>
            <w:noWrap/>
            <w:hideMark/>
          </w:tcPr>
          <w:p w14:paraId="109256D1" w14:textId="431A8DA7" w:rsidR="008356CB" w:rsidRPr="008356CB" w:rsidRDefault="008356CB" w:rsidP="008356CB">
            <w:pPr>
              <w:pStyle w:val="Leipteksti"/>
              <w:rPr>
                <w:sz w:val="22"/>
                <w:szCs w:val="22"/>
                <w:lang w:val="sv-SE"/>
              </w:rPr>
            </w:pPr>
            <w:r w:rsidRPr="008356CB">
              <w:rPr>
                <w:sz w:val="22"/>
                <w:szCs w:val="22"/>
                <w:lang w:val="sv"/>
              </w:rPr>
              <w:t>ET3 Förebyggande och bekämpning av brottslighet</w:t>
            </w:r>
          </w:p>
        </w:tc>
        <w:tc>
          <w:tcPr>
            <w:tcW w:w="2268" w:type="dxa"/>
            <w:noWrap/>
            <w:hideMark/>
          </w:tcPr>
          <w:p w14:paraId="59194ECA" w14:textId="77777777" w:rsidR="008356CB" w:rsidRPr="00CB4157" w:rsidRDefault="008356CB" w:rsidP="008356CB">
            <w:pPr>
              <w:pStyle w:val="Leipteksti"/>
              <w:rPr>
                <w:sz w:val="22"/>
                <w:szCs w:val="22"/>
              </w:rPr>
            </w:pPr>
            <w:r w:rsidRPr="00CB4157">
              <w:rPr>
                <w:sz w:val="22"/>
                <w:szCs w:val="22"/>
                <w:lang w:val="sv"/>
              </w:rPr>
              <w:t>18 646 177,58</w:t>
            </w:r>
          </w:p>
        </w:tc>
      </w:tr>
      <w:tr w:rsidR="008356CB" w:rsidRPr="00CB4157" w14:paraId="3FF2A6E0" w14:textId="77777777" w:rsidTr="00A31D59">
        <w:trPr>
          <w:trHeight w:val="293"/>
        </w:trPr>
        <w:tc>
          <w:tcPr>
            <w:tcW w:w="6091" w:type="dxa"/>
            <w:noWrap/>
            <w:hideMark/>
          </w:tcPr>
          <w:p w14:paraId="38156320" w14:textId="77777777" w:rsidR="008356CB" w:rsidRPr="00CB4157" w:rsidRDefault="008356CB" w:rsidP="008356CB">
            <w:pPr>
              <w:pStyle w:val="Leipteksti"/>
              <w:rPr>
                <w:sz w:val="22"/>
                <w:szCs w:val="22"/>
              </w:rPr>
            </w:pPr>
            <w:r w:rsidRPr="00CB4157">
              <w:rPr>
                <w:sz w:val="22"/>
                <w:szCs w:val="22"/>
                <w:lang w:val="sv"/>
              </w:rPr>
              <w:t>projektunderstöd</w:t>
            </w:r>
          </w:p>
        </w:tc>
        <w:tc>
          <w:tcPr>
            <w:tcW w:w="2268" w:type="dxa"/>
            <w:noWrap/>
            <w:hideMark/>
          </w:tcPr>
          <w:p w14:paraId="2788A36F" w14:textId="77777777" w:rsidR="008356CB" w:rsidRPr="00CB4157" w:rsidRDefault="008356CB" w:rsidP="008356CB">
            <w:pPr>
              <w:pStyle w:val="Leipteksti"/>
              <w:rPr>
                <w:sz w:val="22"/>
                <w:szCs w:val="22"/>
              </w:rPr>
            </w:pPr>
            <w:r w:rsidRPr="00CB4157">
              <w:rPr>
                <w:sz w:val="22"/>
                <w:szCs w:val="22"/>
                <w:lang w:val="sv"/>
              </w:rPr>
              <w:t>16 781 559,83</w:t>
            </w:r>
          </w:p>
        </w:tc>
      </w:tr>
      <w:tr w:rsidR="008356CB" w:rsidRPr="00CB4157" w14:paraId="389E2A2B" w14:textId="77777777" w:rsidTr="00A31D59">
        <w:trPr>
          <w:trHeight w:val="293"/>
        </w:trPr>
        <w:tc>
          <w:tcPr>
            <w:tcW w:w="6091" w:type="dxa"/>
            <w:noWrap/>
            <w:hideMark/>
          </w:tcPr>
          <w:p w14:paraId="5AF8B923" w14:textId="77777777" w:rsidR="008356CB" w:rsidRPr="00CB4157" w:rsidRDefault="008356CB" w:rsidP="008356CB">
            <w:pPr>
              <w:pStyle w:val="Leipteksti"/>
              <w:rPr>
                <w:sz w:val="22"/>
                <w:szCs w:val="22"/>
              </w:rPr>
            </w:pPr>
            <w:r w:rsidRPr="00CB4157">
              <w:rPr>
                <w:sz w:val="22"/>
                <w:szCs w:val="22"/>
                <w:lang w:val="sv"/>
              </w:rPr>
              <w:t>operativt stöd</w:t>
            </w:r>
          </w:p>
        </w:tc>
        <w:tc>
          <w:tcPr>
            <w:tcW w:w="2268" w:type="dxa"/>
            <w:noWrap/>
            <w:hideMark/>
          </w:tcPr>
          <w:p w14:paraId="12E364C9" w14:textId="77777777" w:rsidR="008356CB" w:rsidRPr="00CB4157" w:rsidRDefault="008356CB" w:rsidP="008356CB">
            <w:pPr>
              <w:pStyle w:val="Leipteksti"/>
              <w:rPr>
                <w:sz w:val="22"/>
                <w:szCs w:val="22"/>
              </w:rPr>
            </w:pPr>
            <w:r w:rsidRPr="00CB4157">
              <w:rPr>
                <w:sz w:val="22"/>
                <w:szCs w:val="22"/>
                <w:lang w:val="sv"/>
              </w:rPr>
              <w:t>1 864 617,76</w:t>
            </w:r>
          </w:p>
        </w:tc>
      </w:tr>
      <w:tr w:rsidR="008356CB" w:rsidRPr="00CB4157" w14:paraId="757FC237" w14:textId="77777777" w:rsidTr="00A31D59">
        <w:trPr>
          <w:trHeight w:val="293"/>
        </w:trPr>
        <w:tc>
          <w:tcPr>
            <w:tcW w:w="6091" w:type="dxa"/>
            <w:noWrap/>
          </w:tcPr>
          <w:p w14:paraId="37180E77" w14:textId="7E396EBC" w:rsidR="008356CB" w:rsidRPr="00CB4157" w:rsidRDefault="008356CB" w:rsidP="008356CB">
            <w:pPr>
              <w:pStyle w:val="Leipteksti"/>
              <w:rPr>
                <w:sz w:val="22"/>
                <w:szCs w:val="22"/>
              </w:rPr>
            </w:pPr>
            <w:r w:rsidRPr="00CB4157">
              <w:rPr>
                <w:sz w:val="22"/>
                <w:szCs w:val="22"/>
                <w:lang w:val="sv"/>
              </w:rPr>
              <w:t>Totalt</w:t>
            </w:r>
          </w:p>
        </w:tc>
        <w:tc>
          <w:tcPr>
            <w:tcW w:w="2268" w:type="dxa"/>
            <w:noWrap/>
          </w:tcPr>
          <w:p w14:paraId="30EFAAFF" w14:textId="18C7AC1B" w:rsidR="008356CB" w:rsidRPr="00CB4157" w:rsidRDefault="008356CB" w:rsidP="008356CB">
            <w:pPr>
              <w:pStyle w:val="Leipteksti"/>
              <w:rPr>
                <w:sz w:val="22"/>
                <w:szCs w:val="22"/>
              </w:rPr>
            </w:pPr>
            <w:r w:rsidRPr="000F1F9B">
              <w:rPr>
                <w:rFonts w:eastAsiaTheme="minorHAnsi" w:cstheme="minorHAnsi"/>
                <w:sz w:val="22"/>
                <w:szCs w:val="22"/>
                <w:lang w:val="fi-FI"/>
              </w:rPr>
              <w:t>35 392 006,39</w:t>
            </w:r>
          </w:p>
        </w:tc>
      </w:tr>
    </w:tbl>
    <w:p w14:paraId="414AA00E" w14:textId="77777777" w:rsidR="00CB4157" w:rsidRPr="00CB4157" w:rsidRDefault="00CB4157" w:rsidP="00CB4157">
      <w:pPr>
        <w:pStyle w:val="Leipteksti"/>
      </w:pPr>
    </w:p>
    <w:p w14:paraId="66EB1E76" w14:textId="77777777" w:rsidR="00CB4157" w:rsidRPr="00CB4157" w:rsidRDefault="00CB4157" w:rsidP="00CB4157">
      <w:pPr>
        <w:pStyle w:val="Leipteksti"/>
      </w:pPr>
    </w:p>
    <w:p w14:paraId="64FC8BDA" w14:textId="105F7B22" w:rsidR="00CB4157" w:rsidRPr="00891616" w:rsidRDefault="00CB4157" w:rsidP="00CB4157">
      <w:pPr>
        <w:pStyle w:val="Leipteksti"/>
        <w:rPr>
          <w:lang w:val="sv-SE"/>
        </w:rPr>
      </w:pPr>
      <w:r>
        <w:rPr>
          <w:lang w:val="sv"/>
        </w:rPr>
        <w:lastRenderedPageBreak/>
        <w:t>I samband med halvtidsutvärderingen 2024 är det möjligt att få tilläggsfinansiering för programmet under förutsättning at</w:t>
      </w:r>
      <w:r w:rsidR="00127A44">
        <w:rPr>
          <w:lang w:val="sv"/>
        </w:rPr>
        <w:t>t</w:t>
      </w:r>
      <w:r>
        <w:rPr>
          <w:lang w:val="sv"/>
        </w:rPr>
        <w:t xml:space="preserve"> minst 10 procent av den ursprungliga finansieringsandelen har använts </w:t>
      </w:r>
      <w:r w:rsidR="00127A44">
        <w:rPr>
          <w:lang w:val="sv"/>
        </w:rPr>
        <w:t>och rapporterats till kommissionen senast den 31 december 2024</w:t>
      </w:r>
      <w:r>
        <w:rPr>
          <w:lang w:val="sv"/>
        </w:rPr>
        <w:t>. Tilläggsfinansieringen allokeras till medlemsstaterna enligt kriterierna som definierats i förordningen om fonden.</w:t>
      </w:r>
    </w:p>
    <w:p w14:paraId="478E151E" w14:textId="77777777" w:rsidR="00CB4157" w:rsidRPr="00891616" w:rsidRDefault="00CB4157" w:rsidP="00CB4157">
      <w:pPr>
        <w:pStyle w:val="Leipteksti"/>
        <w:rPr>
          <w:lang w:val="sv-SE"/>
        </w:rPr>
      </w:pPr>
      <w:r>
        <w:rPr>
          <w:lang w:val="sv"/>
        </w:rPr>
        <w:t>Det är också möjligt att få tilläggsfinansiering för programmet via specialåtgärdsansökningar.</w:t>
      </w:r>
    </w:p>
    <w:p w14:paraId="30CD0175" w14:textId="77777777" w:rsidR="00CB4157" w:rsidRPr="00891616" w:rsidRDefault="00CB4157" w:rsidP="00CB4157">
      <w:pPr>
        <w:pStyle w:val="Leipteksti"/>
        <w:rPr>
          <w:lang w:val="sv-SE"/>
        </w:rPr>
      </w:pPr>
    </w:p>
    <w:p w14:paraId="3C0CDF6B" w14:textId="18F1B042" w:rsidR="00D13E22" w:rsidRDefault="00582927" w:rsidP="003C2B82">
      <w:pPr>
        <w:pStyle w:val="Otsikko2"/>
        <w:numPr>
          <w:ilvl w:val="1"/>
          <w:numId w:val="43"/>
        </w:numPr>
      </w:pPr>
      <w:bookmarkStart w:id="7" w:name="_Toc130478344"/>
      <w:bookmarkStart w:id="8" w:name="_Toc184224297"/>
      <w:bookmarkStart w:id="9" w:name="_Toc102727259"/>
      <w:r>
        <w:rPr>
          <w:lang w:val="sv"/>
        </w:rPr>
        <w:t>Genomför</w:t>
      </w:r>
      <w:r w:rsidR="00CC7502">
        <w:rPr>
          <w:lang w:val="sv"/>
        </w:rPr>
        <w:t>ande av programmet</w:t>
      </w:r>
      <w:bookmarkEnd w:id="7"/>
      <w:bookmarkEnd w:id="8"/>
      <w:r w:rsidR="00D13E22">
        <w:t xml:space="preserve"> </w:t>
      </w:r>
    </w:p>
    <w:p w14:paraId="57E23164" w14:textId="77777777" w:rsidR="00EF4CE1" w:rsidRPr="00DC50CB" w:rsidRDefault="00EF4CE1" w:rsidP="00EF4CE1">
      <w:pPr>
        <w:pStyle w:val="Leipteksti"/>
        <w:rPr>
          <w:lang w:val="sv-SE"/>
        </w:rPr>
      </w:pPr>
      <w:r w:rsidRPr="0037041B">
        <w:rPr>
          <w:lang w:val="sv-FI"/>
        </w:rPr>
        <w:t>Under åren 2022–2024 ordnades sex utlysningar för fonden. Genomförandet av programmet har startat effektivt med undantag för specifikt mål 2, inom ramen för vilket bara ett projekt har inletts.</w:t>
      </w:r>
    </w:p>
    <w:p w14:paraId="1B8DB5D4" w14:textId="77777777" w:rsidR="00EF4CE1" w:rsidRPr="00DC50CB" w:rsidRDefault="00EF4CE1" w:rsidP="00EF4CE1">
      <w:pPr>
        <w:pStyle w:val="Leipteksti"/>
        <w:rPr>
          <w:lang w:val="sv-SE"/>
        </w:rPr>
      </w:pPr>
      <w:r w:rsidRPr="0037041B">
        <w:rPr>
          <w:lang w:val="sv-FI"/>
        </w:rPr>
        <w:t xml:space="preserve">Totalt är cirka 27,3 miljoner euro reserverade för projekt och verksamhet som täcks med operativt stöd. Beloppet av generell finansiering som återstår uppgår till totalt cirka 7,3 miljoner euro. </w:t>
      </w:r>
    </w:p>
    <w:p w14:paraId="26853A18" w14:textId="77777777" w:rsidR="00EF4CE1" w:rsidRPr="00DC50CB" w:rsidRDefault="00EF4CE1" w:rsidP="00EF4CE1">
      <w:pPr>
        <w:pStyle w:val="Leipteksti"/>
        <w:rPr>
          <w:lang w:val="sv-SE"/>
        </w:rPr>
      </w:pPr>
      <w:r w:rsidRPr="0037041B">
        <w:rPr>
          <w:lang w:val="sv-FI"/>
        </w:rPr>
        <w:t>Polisstyrelsen, Skyddspolisen, Tullen, justitieministeriet, Egentliga Finlands välfärdsområde, Migrationsverket, Helsingfors stad,</w:t>
      </w:r>
      <w:r>
        <w:rPr>
          <w:lang w:val="sv-FI"/>
        </w:rPr>
        <w:t xml:space="preserve"> Östra Nylands välfärdsområde,</w:t>
      </w:r>
      <w:r w:rsidRPr="0037041B">
        <w:rPr>
          <w:lang w:val="sv-FI"/>
        </w:rPr>
        <w:t xml:space="preserve"> Helsingfors Diakonissanstalt, Finlands Flyktinghjälp och </w:t>
      </w:r>
      <w:proofErr w:type="spellStart"/>
      <w:r w:rsidRPr="0037041B">
        <w:rPr>
          <w:lang w:val="sv-FI"/>
        </w:rPr>
        <w:t>Mieli</w:t>
      </w:r>
      <w:proofErr w:type="spellEnd"/>
      <w:r w:rsidRPr="0037041B">
        <w:rPr>
          <w:lang w:val="sv-FI"/>
        </w:rPr>
        <w:t xml:space="preserve"> </w:t>
      </w:r>
      <w:proofErr w:type="spellStart"/>
      <w:r w:rsidRPr="0037041B">
        <w:rPr>
          <w:lang w:val="sv-FI"/>
        </w:rPr>
        <w:t>rf</w:t>
      </w:r>
      <w:proofErr w:type="spellEnd"/>
      <w:r w:rsidRPr="0037041B">
        <w:rPr>
          <w:lang w:val="sv-FI"/>
        </w:rPr>
        <w:t xml:space="preserve"> har inlett projektverksamhet.</w:t>
      </w:r>
    </w:p>
    <w:p w14:paraId="776779E8" w14:textId="52729A51" w:rsidR="00CC5754" w:rsidRPr="00F30646" w:rsidRDefault="00CC5754" w:rsidP="00F51BF8">
      <w:pPr>
        <w:pStyle w:val="Otsikko3"/>
        <w:rPr>
          <w:lang w:val="sv-SE"/>
        </w:rPr>
      </w:pPr>
      <w:bookmarkStart w:id="10" w:name="_Toc184224298"/>
      <w:r w:rsidRPr="00F30646">
        <w:rPr>
          <w:lang w:val="sv"/>
        </w:rPr>
        <w:t>Specifikt mål 1 Informationsutbyte</w:t>
      </w:r>
      <w:bookmarkEnd w:id="10"/>
    </w:p>
    <w:p w14:paraId="6E970417" w14:textId="14565021" w:rsidR="00A92844" w:rsidRPr="00C95CF3" w:rsidRDefault="009B5A53" w:rsidP="00FA71BE">
      <w:pPr>
        <w:pStyle w:val="Leipteksti"/>
        <w:jc w:val="both"/>
        <w:rPr>
          <w:lang w:val="sv-SE"/>
        </w:rPr>
      </w:pPr>
      <w:r>
        <w:rPr>
          <w:lang w:val="sv"/>
        </w:rPr>
        <w:t>Under</w:t>
      </w:r>
      <w:r w:rsidR="00A92844">
        <w:rPr>
          <w:lang w:val="sv"/>
        </w:rPr>
        <w:t xml:space="preserve"> specifik</w:t>
      </w:r>
      <w:r w:rsidR="00C95CF3">
        <w:rPr>
          <w:lang w:val="sv"/>
        </w:rPr>
        <w:t>t</w:t>
      </w:r>
      <w:r w:rsidR="00A92844">
        <w:rPr>
          <w:lang w:val="sv"/>
        </w:rPr>
        <w:t xml:space="preserve"> mål 1 har följande åtgärder inletts (genomförandeåtgärd inom parentes):</w:t>
      </w:r>
    </w:p>
    <w:p w14:paraId="5EC8627C" w14:textId="637D9B3B" w:rsidR="00ED6251" w:rsidRPr="00D61898" w:rsidRDefault="00ED6251" w:rsidP="00FA71BE">
      <w:pPr>
        <w:pStyle w:val="Leipteksti"/>
        <w:numPr>
          <w:ilvl w:val="0"/>
          <w:numId w:val="33"/>
        </w:numPr>
        <w:jc w:val="both"/>
        <w:rPr>
          <w:lang w:val="sv-SE"/>
        </w:rPr>
      </w:pPr>
      <w:r w:rsidRPr="00D61898">
        <w:rPr>
          <w:lang w:val="sv-SE"/>
        </w:rPr>
        <w:t>hantering av livscykelinformation</w:t>
      </w:r>
      <w:r w:rsidR="00D61898" w:rsidRPr="00D61898">
        <w:rPr>
          <w:lang w:val="sv-SE"/>
        </w:rPr>
        <w:t xml:space="preserve"> om vapen</w:t>
      </w:r>
      <w:r w:rsidRPr="00D61898">
        <w:rPr>
          <w:lang w:val="sv-SE"/>
        </w:rPr>
        <w:t xml:space="preserve"> (1 C),</w:t>
      </w:r>
    </w:p>
    <w:p w14:paraId="487721FD" w14:textId="45FE03B2" w:rsidR="00ED6251" w:rsidRPr="00D61898" w:rsidRDefault="00860FCE" w:rsidP="00ED6251">
      <w:pPr>
        <w:pStyle w:val="Leipteksti"/>
        <w:numPr>
          <w:ilvl w:val="0"/>
          <w:numId w:val="33"/>
        </w:numPr>
        <w:jc w:val="both"/>
        <w:rPr>
          <w:lang w:val="sv-SE"/>
        </w:rPr>
      </w:pPr>
      <w:proofErr w:type="spellStart"/>
      <w:r>
        <w:rPr>
          <w:lang w:val="sv-SE"/>
        </w:rPr>
        <w:t>interopera</w:t>
      </w:r>
      <w:r w:rsidR="00ED6251" w:rsidRPr="00D61898">
        <w:rPr>
          <w:lang w:val="sv-SE"/>
        </w:rPr>
        <w:t>bilitet</w:t>
      </w:r>
      <w:proofErr w:type="spellEnd"/>
      <w:r w:rsidR="00ED6251" w:rsidRPr="00D61898">
        <w:rPr>
          <w:lang w:val="sv-SE"/>
        </w:rPr>
        <w:t xml:space="preserve"> mellan informationssystem, utökade frågemöjligheter och förmåga att bearbeta passagerardata (1 C),</w:t>
      </w:r>
    </w:p>
    <w:p w14:paraId="1D5FB2D1" w14:textId="348503BB" w:rsidR="00ED6251" w:rsidRPr="00D61898" w:rsidRDefault="00ED6251" w:rsidP="00ED6251">
      <w:pPr>
        <w:pStyle w:val="Leipteksti"/>
        <w:numPr>
          <w:ilvl w:val="0"/>
          <w:numId w:val="33"/>
        </w:numPr>
        <w:jc w:val="both"/>
        <w:rPr>
          <w:lang w:val="sv-SE"/>
        </w:rPr>
      </w:pPr>
      <w:r w:rsidRPr="00D61898">
        <w:rPr>
          <w:lang w:val="sv-SE"/>
        </w:rPr>
        <w:t>harmonisering av datalagring och centraliserade söktjänster (1 C),</w:t>
      </w:r>
    </w:p>
    <w:p w14:paraId="7B5BAF79" w14:textId="127F9316" w:rsidR="00ED6251" w:rsidRPr="00D61898" w:rsidRDefault="00ED6251" w:rsidP="00ED6251">
      <w:pPr>
        <w:pStyle w:val="Leipteksti"/>
        <w:numPr>
          <w:ilvl w:val="0"/>
          <w:numId w:val="33"/>
        </w:numPr>
        <w:jc w:val="both"/>
        <w:rPr>
          <w:lang w:val="sv-SE"/>
        </w:rPr>
      </w:pPr>
      <w:r w:rsidRPr="00D61898">
        <w:rPr>
          <w:lang w:val="sv-SE"/>
        </w:rPr>
        <w:t>användningen av artificiell intelligens och analysverktyg vid analys av datamassor (1 D),</w:t>
      </w:r>
    </w:p>
    <w:p w14:paraId="091164E9" w14:textId="77777777" w:rsidR="00860FCE" w:rsidRDefault="00ED6251" w:rsidP="00860FCE">
      <w:pPr>
        <w:pStyle w:val="Leipteksti"/>
        <w:numPr>
          <w:ilvl w:val="0"/>
          <w:numId w:val="33"/>
        </w:numPr>
        <w:jc w:val="both"/>
        <w:rPr>
          <w:lang w:val="sv-SE"/>
        </w:rPr>
      </w:pPr>
      <w:r w:rsidRPr="00D61898">
        <w:rPr>
          <w:lang w:val="sv-SE"/>
        </w:rPr>
        <w:t>Underhålls- och användningsstöd (operativt stöd) av informationssystemet SIS II</w:t>
      </w:r>
      <w:r w:rsidR="00D13E22" w:rsidRPr="00D61898">
        <w:rPr>
          <w:lang w:val="sv-SE"/>
        </w:rPr>
        <w:t xml:space="preserve"> </w:t>
      </w:r>
    </w:p>
    <w:p w14:paraId="6AEE090D" w14:textId="188AEB53" w:rsidR="004F59F3" w:rsidRDefault="00C91FC8" w:rsidP="00860FCE">
      <w:pPr>
        <w:pStyle w:val="Leipteksti"/>
        <w:jc w:val="both"/>
        <w:rPr>
          <w:lang w:val="sv"/>
        </w:rPr>
      </w:pPr>
      <w:r w:rsidRPr="00F30646">
        <w:rPr>
          <w:lang w:val="sv-SE"/>
        </w:rPr>
        <w:t>Av medlen under specifikt mål 1 är cirka 11,5 miljoner euro reserverade</w:t>
      </w:r>
      <w:r w:rsidR="00C95CF3" w:rsidRPr="00A31D59">
        <w:rPr>
          <w:lang w:val="sv-SE"/>
        </w:rPr>
        <w:t xml:space="preserve">. </w:t>
      </w:r>
      <w:r w:rsidR="00703BA4">
        <w:rPr>
          <w:lang w:val="sv-SE"/>
        </w:rPr>
        <w:t xml:space="preserve">I samband med att </w:t>
      </w:r>
      <w:r w:rsidR="00703BA4" w:rsidRPr="00703BA4">
        <w:rPr>
          <w:lang w:val="sv-SE"/>
        </w:rPr>
        <w:t>ansök</w:t>
      </w:r>
      <w:r w:rsidR="00703BA4">
        <w:rPr>
          <w:lang w:val="sv-SE"/>
        </w:rPr>
        <w:t>ningarna</w:t>
      </w:r>
      <w:r w:rsidR="00703BA4" w:rsidRPr="00703BA4">
        <w:rPr>
          <w:lang w:val="sv-SE"/>
        </w:rPr>
        <w:t xml:space="preserve"> behandlades för beslut</w:t>
      </w:r>
      <w:r w:rsidR="00703BA4">
        <w:rPr>
          <w:lang w:val="sv-SE"/>
        </w:rPr>
        <w:t xml:space="preserve"> </w:t>
      </w:r>
      <w:r w:rsidR="009E65AC">
        <w:rPr>
          <w:lang w:val="sv-SE"/>
        </w:rPr>
        <w:t>frigjordes</w:t>
      </w:r>
      <w:r w:rsidR="00703BA4">
        <w:rPr>
          <w:lang w:val="sv-SE"/>
        </w:rPr>
        <w:t xml:space="preserve"> </w:t>
      </w:r>
      <w:r w:rsidR="00E90229">
        <w:rPr>
          <w:lang w:val="sv-SE"/>
        </w:rPr>
        <w:t xml:space="preserve">en del av </w:t>
      </w:r>
      <w:r w:rsidR="00703BA4">
        <w:rPr>
          <w:lang w:val="sv-SE"/>
        </w:rPr>
        <w:t>finansiering</w:t>
      </w:r>
      <w:r w:rsidR="00E90229">
        <w:rPr>
          <w:lang w:val="sv-SE"/>
        </w:rPr>
        <w:t>en</w:t>
      </w:r>
      <w:r w:rsidR="00703BA4">
        <w:rPr>
          <w:lang w:val="sv-SE"/>
        </w:rPr>
        <w:t>, och</w:t>
      </w:r>
      <w:r w:rsidR="009E65AC">
        <w:rPr>
          <w:lang w:val="sv-SE"/>
        </w:rPr>
        <w:t xml:space="preserve"> </w:t>
      </w:r>
      <w:r w:rsidR="009E65AC">
        <w:rPr>
          <w:lang w:val="sv"/>
        </w:rPr>
        <w:t xml:space="preserve">beloppet av </w:t>
      </w:r>
      <w:r w:rsidR="00E90229">
        <w:rPr>
          <w:lang w:val="sv"/>
        </w:rPr>
        <w:t>generell</w:t>
      </w:r>
      <w:r w:rsidR="009E65AC">
        <w:rPr>
          <w:lang w:val="sv"/>
        </w:rPr>
        <w:t xml:space="preserve"> finansiering uppgår till cirka 550 000 euro.</w:t>
      </w:r>
    </w:p>
    <w:p w14:paraId="76CC96B6" w14:textId="77777777" w:rsidR="009E65AC" w:rsidRPr="00F30646" w:rsidRDefault="009E65AC" w:rsidP="00F51BF8">
      <w:pPr>
        <w:pStyle w:val="Otsikko3"/>
        <w:rPr>
          <w:bCs/>
          <w:lang w:val="sv"/>
        </w:rPr>
      </w:pPr>
      <w:bookmarkStart w:id="11" w:name="_Toc184224299"/>
      <w:r w:rsidRPr="00F30646">
        <w:rPr>
          <w:lang w:val="sv"/>
        </w:rPr>
        <w:t>Specifikt mål 2 Gränsöverskridande samarbete</w:t>
      </w:r>
      <w:bookmarkEnd w:id="11"/>
    </w:p>
    <w:p w14:paraId="0369B001" w14:textId="77777777" w:rsidR="00EF4CE1" w:rsidRPr="00DC50CB" w:rsidRDefault="00EF4CE1" w:rsidP="00EF4CE1">
      <w:pPr>
        <w:pStyle w:val="Leipteksti"/>
        <w:rPr>
          <w:lang w:val="sv-SE"/>
        </w:rPr>
      </w:pPr>
      <w:r w:rsidRPr="0037041B">
        <w:rPr>
          <w:lang w:val="sv-FI"/>
        </w:rPr>
        <w:t>Under specifikt mål 2 har följande åtgärder inletts (genomförandeåtgärd inom parentes):</w:t>
      </w:r>
    </w:p>
    <w:p w14:paraId="0891D7EE" w14:textId="77777777" w:rsidR="00EF4CE1" w:rsidRPr="00DC50CB" w:rsidRDefault="00EF4CE1" w:rsidP="00EF4CE1">
      <w:pPr>
        <w:pStyle w:val="Leipteksti"/>
        <w:numPr>
          <w:ilvl w:val="0"/>
          <w:numId w:val="44"/>
        </w:numPr>
        <w:rPr>
          <w:lang w:val="sv-SE"/>
        </w:rPr>
      </w:pPr>
      <w:r w:rsidRPr="0037041B">
        <w:rPr>
          <w:lang w:val="sv-FI"/>
        </w:rPr>
        <w:lastRenderedPageBreak/>
        <w:t>smidigare informationsflöde mellan polisen och inkvarteringsföretagen för att effektivisera brottsbekämpningen och -utredningen (2 B)</w:t>
      </w:r>
    </w:p>
    <w:p w14:paraId="6889558E" w14:textId="210BA58D" w:rsidR="00FA71BE" w:rsidRDefault="00EF4CE1" w:rsidP="00D13E22">
      <w:pPr>
        <w:pStyle w:val="Leipteksti"/>
        <w:jc w:val="both"/>
        <w:rPr>
          <w:lang w:val="sv-SE"/>
        </w:rPr>
      </w:pPr>
      <w:r w:rsidRPr="0037041B">
        <w:rPr>
          <w:lang w:val="sv-FI"/>
        </w:rPr>
        <w:t>Under specifikt mål 2 uppgår beloppet av reserverad finansiering till cirka 365 000 euro och beloppet av generell finansiering till cirka 4,3 miljoner euro.</w:t>
      </w:r>
    </w:p>
    <w:p w14:paraId="42D062CE" w14:textId="685808CB" w:rsidR="00216017" w:rsidRPr="00F51BF8" w:rsidRDefault="00216017" w:rsidP="00F51BF8">
      <w:pPr>
        <w:pStyle w:val="Otsikko3"/>
        <w:rPr>
          <w:bCs/>
          <w:lang w:val="sv"/>
        </w:rPr>
      </w:pPr>
      <w:bookmarkStart w:id="12" w:name="_Toc184224300"/>
      <w:r w:rsidRPr="00F30646">
        <w:rPr>
          <w:lang w:val="sv"/>
        </w:rPr>
        <w:t>Specifikt mål 3 Förebyggande och bekämpning av brottslighet</w:t>
      </w:r>
      <w:bookmarkEnd w:id="12"/>
      <w:r w:rsidRPr="00F30646">
        <w:rPr>
          <w:lang w:val="sv"/>
        </w:rPr>
        <w:t xml:space="preserve"> </w:t>
      </w:r>
    </w:p>
    <w:p w14:paraId="5E11B73F" w14:textId="4811409E" w:rsidR="00C95CF3" w:rsidRPr="00C95CF3" w:rsidRDefault="00015D61" w:rsidP="00F30646">
      <w:pPr>
        <w:pStyle w:val="Leipteksti"/>
        <w:jc w:val="both"/>
        <w:rPr>
          <w:lang w:val="sv-SE"/>
        </w:rPr>
      </w:pPr>
      <w:r>
        <w:rPr>
          <w:lang w:val="sv"/>
        </w:rPr>
        <w:t>Under</w:t>
      </w:r>
      <w:r w:rsidR="00C95CF3">
        <w:rPr>
          <w:lang w:val="sv"/>
        </w:rPr>
        <w:t xml:space="preserve"> specifikt mål 3 har följande åtgärder inletts (genomförandeåtgärd inom parentes):</w:t>
      </w:r>
    </w:p>
    <w:p w14:paraId="4BA6B3F8" w14:textId="77777777" w:rsidR="00EF4CE1" w:rsidRPr="00DC50CB" w:rsidRDefault="00EF4CE1" w:rsidP="00EF4CE1">
      <w:pPr>
        <w:pStyle w:val="Leipteksti"/>
        <w:numPr>
          <w:ilvl w:val="0"/>
          <w:numId w:val="42"/>
        </w:numPr>
        <w:rPr>
          <w:lang w:val="sv-SE"/>
        </w:rPr>
      </w:pPr>
      <w:r w:rsidRPr="0037041B">
        <w:rPr>
          <w:lang w:val="sv-FI"/>
        </w:rPr>
        <w:t>öka kompetensen inom bekämpning av cyberbrottslighet, två projekt (3 A)</w:t>
      </w:r>
    </w:p>
    <w:p w14:paraId="5553017E" w14:textId="77777777" w:rsidR="00EF4CE1" w:rsidRPr="00DC50CB" w:rsidRDefault="00EF4CE1" w:rsidP="00EF4CE1">
      <w:pPr>
        <w:pStyle w:val="Leipteksti"/>
        <w:numPr>
          <w:ilvl w:val="0"/>
          <w:numId w:val="42"/>
        </w:numPr>
        <w:rPr>
          <w:lang w:val="sv-SE"/>
        </w:rPr>
      </w:pPr>
      <w:r w:rsidRPr="0037041B">
        <w:rPr>
          <w:lang w:val="sv-FI"/>
        </w:rPr>
        <w:t>öka kompetensen inom bekämpning av miljöbrott (3 A)</w:t>
      </w:r>
    </w:p>
    <w:p w14:paraId="6C6D14CA" w14:textId="77777777" w:rsidR="00EF4CE1" w:rsidRPr="00DC50CB" w:rsidRDefault="00EF4CE1" w:rsidP="00EF4CE1">
      <w:pPr>
        <w:pStyle w:val="Leipteksti"/>
        <w:numPr>
          <w:ilvl w:val="0"/>
          <w:numId w:val="42"/>
        </w:numPr>
        <w:rPr>
          <w:lang w:val="sv-SE"/>
        </w:rPr>
      </w:pPr>
      <w:r w:rsidRPr="0037041B">
        <w:rPr>
          <w:lang w:val="sv-FI"/>
        </w:rPr>
        <w:t>utveckla polisens yrkesövergripande spelverksamhet (3 A)</w:t>
      </w:r>
    </w:p>
    <w:p w14:paraId="2FC3774E" w14:textId="77777777" w:rsidR="00EF4CE1" w:rsidRPr="00DC50CB" w:rsidRDefault="00EF4CE1" w:rsidP="00EF4CE1">
      <w:pPr>
        <w:pStyle w:val="Leipteksti"/>
        <w:numPr>
          <w:ilvl w:val="0"/>
          <w:numId w:val="42"/>
        </w:numPr>
        <w:rPr>
          <w:lang w:val="sv-SE"/>
        </w:rPr>
      </w:pPr>
      <w:r w:rsidRPr="0037041B">
        <w:rPr>
          <w:lang w:val="sv-FI"/>
        </w:rPr>
        <w:t>effektivisera bekämpningen av korruption (3 A)</w:t>
      </w:r>
    </w:p>
    <w:p w14:paraId="2A1FF35E" w14:textId="53C3D962" w:rsidR="00D61898" w:rsidRDefault="00D61898" w:rsidP="00FA71BE">
      <w:pPr>
        <w:pStyle w:val="Leipteksti"/>
        <w:numPr>
          <w:ilvl w:val="0"/>
          <w:numId w:val="42"/>
        </w:numPr>
        <w:jc w:val="both"/>
      </w:pPr>
      <w:proofErr w:type="spellStart"/>
      <w:r>
        <w:t>förebygga</w:t>
      </w:r>
      <w:proofErr w:type="spellEnd"/>
      <w:r>
        <w:t xml:space="preserve"> </w:t>
      </w:r>
      <w:proofErr w:type="spellStart"/>
      <w:r>
        <w:t>cyberbrottslighet</w:t>
      </w:r>
      <w:proofErr w:type="spellEnd"/>
      <w:r>
        <w:t xml:space="preserve"> (3 B),</w:t>
      </w:r>
    </w:p>
    <w:p w14:paraId="26C83005" w14:textId="4EE775C8" w:rsidR="00D61898" w:rsidRDefault="00D61898" w:rsidP="00FA71BE">
      <w:pPr>
        <w:pStyle w:val="Leipteksti"/>
        <w:numPr>
          <w:ilvl w:val="0"/>
          <w:numId w:val="42"/>
        </w:numPr>
        <w:jc w:val="both"/>
      </w:pPr>
      <w:proofErr w:type="spellStart"/>
      <w:r>
        <w:t>förhindra</w:t>
      </w:r>
      <w:proofErr w:type="spellEnd"/>
      <w:r>
        <w:t xml:space="preserve"> </w:t>
      </w:r>
      <w:proofErr w:type="spellStart"/>
      <w:r>
        <w:t>radikalisering</w:t>
      </w:r>
      <w:proofErr w:type="spellEnd"/>
      <w:r>
        <w:t xml:space="preserve"> (3 B),</w:t>
      </w:r>
    </w:p>
    <w:p w14:paraId="68E7059B" w14:textId="747A665E" w:rsidR="00D61898" w:rsidRDefault="00D61898" w:rsidP="00FA71BE">
      <w:pPr>
        <w:pStyle w:val="Leipteksti"/>
        <w:numPr>
          <w:ilvl w:val="0"/>
          <w:numId w:val="42"/>
        </w:numPr>
        <w:jc w:val="both"/>
        <w:rPr>
          <w:lang w:val="sv-SE"/>
        </w:rPr>
      </w:pPr>
      <w:r w:rsidRPr="00A31D59">
        <w:rPr>
          <w:lang w:val="sv-SE"/>
        </w:rPr>
        <w:t>bygga en mekanism för att identifiera och vägleda offer för människohandel (3 B),</w:t>
      </w:r>
    </w:p>
    <w:p w14:paraId="5F7000E7" w14:textId="2443AF66" w:rsidR="00EF4CE1" w:rsidRPr="00EF4CE1" w:rsidRDefault="00EF4CE1" w:rsidP="009F1373">
      <w:pPr>
        <w:pStyle w:val="Leipteksti"/>
        <w:numPr>
          <w:ilvl w:val="0"/>
          <w:numId w:val="42"/>
        </w:numPr>
        <w:rPr>
          <w:lang w:val="sv-SE"/>
        </w:rPr>
      </w:pPr>
      <w:r w:rsidRPr="0037041B">
        <w:rPr>
          <w:lang w:val="sv-FI"/>
        </w:rPr>
        <w:t>förbättra kompetensen och kapaciteten i fråga om gängbrottslighet och Exit-verksamhet i anslutning till den inom polisen (3 B)</w:t>
      </w:r>
    </w:p>
    <w:p w14:paraId="01CF0AB1" w14:textId="625B9C82" w:rsidR="00D61898" w:rsidRPr="00A31D59" w:rsidRDefault="00D61898" w:rsidP="00FA71BE">
      <w:pPr>
        <w:pStyle w:val="Leipteksti"/>
        <w:numPr>
          <w:ilvl w:val="0"/>
          <w:numId w:val="42"/>
        </w:numPr>
        <w:jc w:val="both"/>
        <w:rPr>
          <w:lang w:val="sv-SE"/>
        </w:rPr>
      </w:pPr>
      <w:r w:rsidRPr="00A31D59">
        <w:rPr>
          <w:lang w:val="sv-SE"/>
        </w:rPr>
        <w:t>utveckling av statistik om offer för människohandel (3 C),</w:t>
      </w:r>
    </w:p>
    <w:p w14:paraId="7ED9D3AE" w14:textId="07F21C63" w:rsidR="00D61898" w:rsidRDefault="00D61898" w:rsidP="00FA71BE">
      <w:pPr>
        <w:pStyle w:val="Leipteksti"/>
        <w:numPr>
          <w:ilvl w:val="0"/>
          <w:numId w:val="42"/>
        </w:numPr>
        <w:jc w:val="both"/>
        <w:rPr>
          <w:lang w:val="sv-SE"/>
        </w:rPr>
      </w:pPr>
      <w:r w:rsidRPr="00A31D59">
        <w:rPr>
          <w:lang w:val="sv-SE"/>
        </w:rPr>
        <w:t>genomförande av lagen om skydd för meddelarskydd (3 C),</w:t>
      </w:r>
    </w:p>
    <w:p w14:paraId="5F00FDAD" w14:textId="19A01315" w:rsidR="00EF4CE1" w:rsidRPr="00EF4CE1" w:rsidRDefault="00EF4CE1" w:rsidP="009F1373">
      <w:pPr>
        <w:pStyle w:val="Leipteksti"/>
        <w:numPr>
          <w:ilvl w:val="0"/>
          <w:numId w:val="42"/>
        </w:numPr>
        <w:rPr>
          <w:lang w:val="sv-SE"/>
        </w:rPr>
      </w:pPr>
      <w:r w:rsidRPr="0037041B">
        <w:rPr>
          <w:lang w:val="sv-FI"/>
        </w:rPr>
        <w:t>förbättra säkerheten för personer med utländsk bakgrund som blivit offer för hedersrelaterat våld eller annat våld i nära relationer och deras rättigheter (3 C)</w:t>
      </w:r>
    </w:p>
    <w:p w14:paraId="059AC0F0" w14:textId="07AEA157" w:rsidR="00D61898" w:rsidRDefault="00D61898" w:rsidP="00FA71BE">
      <w:pPr>
        <w:pStyle w:val="Leipteksti"/>
        <w:numPr>
          <w:ilvl w:val="0"/>
          <w:numId w:val="42"/>
        </w:numPr>
        <w:jc w:val="both"/>
        <w:rPr>
          <w:lang w:val="sv-SE"/>
        </w:rPr>
      </w:pPr>
      <w:r w:rsidRPr="00A31D59">
        <w:rPr>
          <w:lang w:val="sv-SE"/>
        </w:rPr>
        <w:t>förvärv av brottsförebyggande utrustning (3D),</w:t>
      </w:r>
    </w:p>
    <w:p w14:paraId="51702C4B" w14:textId="5995B8A0" w:rsidR="00216017" w:rsidRDefault="00F96EFF" w:rsidP="00FA71BE">
      <w:pPr>
        <w:pStyle w:val="Leipteksti"/>
        <w:numPr>
          <w:ilvl w:val="0"/>
          <w:numId w:val="42"/>
        </w:numPr>
        <w:jc w:val="both"/>
        <w:rPr>
          <w:lang w:val="sv-SE"/>
        </w:rPr>
      </w:pPr>
      <w:r>
        <w:rPr>
          <w:lang w:val="sv-SE"/>
        </w:rPr>
        <w:t xml:space="preserve">anskaffning av utrustning </w:t>
      </w:r>
      <w:r w:rsidRPr="00F96EFF">
        <w:rPr>
          <w:lang w:val="sv-SE"/>
        </w:rPr>
        <w:t xml:space="preserve">i anslutning till </w:t>
      </w:r>
      <w:r w:rsidR="00BE61FA">
        <w:rPr>
          <w:lang w:val="sv-SE"/>
        </w:rPr>
        <w:t>CBRNE-prest</w:t>
      </w:r>
      <w:r w:rsidR="00400685">
        <w:rPr>
          <w:lang w:val="sv-SE"/>
        </w:rPr>
        <w:t>anda</w:t>
      </w:r>
      <w:r w:rsidR="00BE61FA" w:rsidRPr="00F30646">
        <w:rPr>
          <w:lang w:val="sv-SE"/>
        </w:rPr>
        <w:t xml:space="preserve">, </w:t>
      </w:r>
      <w:r w:rsidR="00BE61FA">
        <w:rPr>
          <w:lang w:val="sv-SE"/>
        </w:rPr>
        <w:t>tre projekt</w:t>
      </w:r>
      <w:r w:rsidR="00BE61FA" w:rsidRPr="00F30646">
        <w:rPr>
          <w:lang w:val="sv-SE"/>
        </w:rPr>
        <w:t xml:space="preserve"> (3 D),</w:t>
      </w:r>
    </w:p>
    <w:p w14:paraId="3DD3DF53" w14:textId="284725D9" w:rsidR="00216017" w:rsidRDefault="00216017" w:rsidP="00FA71BE">
      <w:pPr>
        <w:pStyle w:val="Leipteksti"/>
        <w:numPr>
          <w:ilvl w:val="0"/>
          <w:numId w:val="42"/>
        </w:numPr>
        <w:jc w:val="both"/>
        <w:rPr>
          <w:lang w:val="sv-SE"/>
        </w:rPr>
      </w:pPr>
      <w:r>
        <w:rPr>
          <w:lang w:val="sv-SE"/>
        </w:rPr>
        <w:t>anskaffning</w:t>
      </w:r>
      <w:r w:rsidR="00BE61FA">
        <w:rPr>
          <w:lang w:val="sv-SE"/>
        </w:rPr>
        <w:t xml:space="preserve"> av materiel i anslutning till </w:t>
      </w:r>
      <w:r w:rsidR="00BE61FA" w:rsidRPr="00BE61FA">
        <w:rPr>
          <w:lang w:val="sv-SE"/>
        </w:rPr>
        <w:t>kapaciteten hos polisens specialtruppsverksamhet</w:t>
      </w:r>
      <w:r w:rsidR="00BE61FA">
        <w:rPr>
          <w:lang w:val="sv-SE"/>
        </w:rPr>
        <w:t xml:space="preserve"> </w:t>
      </w:r>
      <w:r w:rsidR="00BE61FA" w:rsidRPr="007F1202">
        <w:rPr>
          <w:lang w:val="sv-SE"/>
        </w:rPr>
        <w:t>(3 D),</w:t>
      </w:r>
    </w:p>
    <w:p w14:paraId="3A77587C" w14:textId="653A710F" w:rsidR="00216017" w:rsidRDefault="00216017" w:rsidP="00FA71BE">
      <w:pPr>
        <w:pStyle w:val="Leipteksti"/>
        <w:numPr>
          <w:ilvl w:val="0"/>
          <w:numId w:val="42"/>
        </w:numPr>
        <w:jc w:val="both"/>
        <w:rPr>
          <w:lang w:val="sv-SE"/>
        </w:rPr>
      </w:pPr>
      <w:r>
        <w:rPr>
          <w:lang w:val="sv-SE"/>
        </w:rPr>
        <w:t>förbättra</w:t>
      </w:r>
      <w:r w:rsidR="00400685">
        <w:rPr>
          <w:lang w:val="sv-SE"/>
        </w:rPr>
        <w:t xml:space="preserve"> </w:t>
      </w:r>
      <w:r w:rsidR="00400685" w:rsidRPr="00F30646">
        <w:rPr>
          <w:lang w:val="sv-SE"/>
        </w:rPr>
        <w:t xml:space="preserve">prestandan i den tekniska utredningen inom </w:t>
      </w:r>
      <w:proofErr w:type="gramStart"/>
      <w:r w:rsidR="00400685" w:rsidRPr="00F30646">
        <w:rPr>
          <w:lang w:val="sv-SE"/>
        </w:rPr>
        <w:t>tullbrottsbekämpningen</w:t>
      </w:r>
      <w:r w:rsidR="00EC189D" w:rsidRPr="007F1202">
        <w:rPr>
          <w:lang w:val="sv-SE"/>
        </w:rPr>
        <w:t>(</w:t>
      </w:r>
      <w:proofErr w:type="gramEnd"/>
      <w:r w:rsidR="00EC189D" w:rsidRPr="007F1202">
        <w:rPr>
          <w:lang w:val="sv-SE"/>
        </w:rPr>
        <w:t>3 D),</w:t>
      </w:r>
    </w:p>
    <w:p w14:paraId="7D2E926B" w14:textId="752CA5C5" w:rsidR="00216017" w:rsidRDefault="00D94B7C" w:rsidP="00FA71BE">
      <w:pPr>
        <w:pStyle w:val="Leipteksti"/>
        <w:numPr>
          <w:ilvl w:val="0"/>
          <w:numId w:val="42"/>
        </w:numPr>
        <w:jc w:val="both"/>
        <w:rPr>
          <w:lang w:val="sv-SE"/>
        </w:rPr>
      </w:pPr>
      <w:r>
        <w:rPr>
          <w:lang w:val="sv-SE"/>
        </w:rPr>
        <w:t>förbättra</w:t>
      </w:r>
      <w:r w:rsidR="00C67CEF">
        <w:rPr>
          <w:lang w:val="sv-SE"/>
        </w:rPr>
        <w:t xml:space="preserve"> </w:t>
      </w:r>
      <w:r w:rsidR="00C67CEF" w:rsidRPr="00C67CEF">
        <w:rPr>
          <w:lang w:val="sv-SE"/>
        </w:rPr>
        <w:t>funktionsberedskapen för informationsinhämtning genom övervakning inom tullbrottsbekämpningen samt övervakningens prestanda</w:t>
      </w:r>
      <w:r w:rsidR="00C67CEF">
        <w:rPr>
          <w:lang w:val="sv-SE"/>
        </w:rPr>
        <w:t xml:space="preserve"> </w:t>
      </w:r>
      <w:r w:rsidR="00C67CEF" w:rsidRPr="00F30646">
        <w:rPr>
          <w:lang w:val="sv-SE"/>
        </w:rPr>
        <w:t>(3 D),</w:t>
      </w:r>
    </w:p>
    <w:p w14:paraId="3B8905C0" w14:textId="3521BF81" w:rsidR="00D94B7C" w:rsidRDefault="00D94B7C" w:rsidP="00FA71BE">
      <w:pPr>
        <w:pStyle w:val="Leipteksti"/>
        <w:numPr>
          <w:ilvl w:val="0"/>
          <w:numId w:val="42"/>
        </w:numPr>
        <w:jc w:val="both"/>
        <w:rPr>
          <w:lang w:val="sv-SE"/>
        </w:rPr>
      </w:pPr>
      <w:r>
        <w:rPr>
          <w:lang w:val="sv-SE"/>
        </w:rPr>
        <w:lastRenderedPageBreak/>
        <w:t>förbättra</w:t>
      </w:r>
      <w:r w:rsidR="00C67CEF">
        <w:rPr>
          <w:lang w:val="sv-SE"/>
        </w:rPr>
        <w:t xml:space="preserve"> </w:t>
      </w:r>
      <w:r w:rsidR="00C67CEF" w:rsidRPr="00F30646">
        <w:rPr>
          <w:lang w:val="sv-SE"/>
        </w:rPr>
        <w:t>kapaciteten vid den tekniska brottsutredningen genom att utveckla användningen av och kompetensen inom 3D-teknik</w:t>
      </w:r>
      <w:r w:rsidR="00EF46C7" w:rsidRPr="00F30646">
        <w:rPr>
          <w:lang w:val="sv-SE"/>
        </w:rPr>
        <w:t xml:space="preserve"> (3 D),</w:t>
      </w:r>
    </w:p>
    <w:p w14:paraId="7FAADF2A" w14:textId="4C7C00F2" w:rsidR="00EF4CE1" w:rsidRPr="00EF4CE1" w:rsidRDefault="00EF4CE1" w:rsidP="009F1373">
      <w:pPr>
        <w:pStyle w:val="Leipteksti"/>
        <w:numPr>
          <w:ilvl w:val="0"/>
          <w:numId w:val="42"/>
        </w:numPr>
        <w:rPr>
          <w:lang w:val="sv-SE"/>
        </w:rPr>
      </w:pPr>
      <w:r w:rsidRPr="0037041B">
        <w:rPr>
          <w:lang w:val="sv-FI"/>
        </w:rPr>
        <w:t xml:space="preserve">förbättra prestandan inom </w:t>
      </w:r>
      <w:proofErr w:type="gramStart"/>
      <w:r w:rsidRPr="0037041B">
        <w:rPr>
          <w:lang w:val="sv-FI"/>
        </w:rPr>
        <w:t>urban sök</w:t>
      </w:r>
      <w:proofErr w:type="gramEnd"/>
      <w:r w:rsidRPr="0037041B">
        <w:rPr>
          <w:lang w:val="sv-FI"/>
        </w:rPr>
        <w:t xml:space="preserve"> och räddning (3 D)</w:t>
      </w:r>
    </w:p>
    <w:p w14:paraId="1CE87202" w14:textId="0D3FF9D6" w:rsidR="00D61898" w:rsidRPr="00A31D59" w:rsidRDefault="00D61898" w:rsidP="00FA71BE">
      <w:pPr>
        <w:pStyle w:val="Leipteksti"/>
        <w:numPr>
          <w:ilvl w:val="0"/>
          <w:numId w:val="42"/>
        </w:numPr>
        <w:jc w:val="both"/>
        <w:rPr>
          <w:lang w:val="sv-SE"/>
        </w:rPr>
      </w:pPr>
      <w:r w:rsidRPr="00A31D59">
        <w:rPr>
          <w:lang w:val="sv-SE"/>
        </w:rPr>
        <w:t>stärka den brottsförebyggande verksamheten vid den östra gränsen (operativt stöd),</w:t>
      </w:r>
    </w:p>
    <w:p w14:paraId="30212358" w14:textId="77777777" w:rsidR="00D94B7C" w:rsidRDefault="00D61898" w:rsidP="00FA71BE">
      <w:pPr>
        <w:pStyle w:val="Leipteksti"/>
        <w:numPr>
          <w:ilvl w:val="0"/>
          <w:numId w:val="42"/>
        </w:numPr>
        <w:jc w:val="both"/>
        <w:rPr>
          <w:lang w:val="sv-SE"/>
        </w:rPr>
      </w:pPr>
      <w:r w:rsidRPr="00A31D59">
        <w:rPr>
          <w:lang w:val="sv-SE"/>
        </w:rPr>
        <w:t>bryta sig ur den kriminella cykeln (operativt stöd)</w:t>
      </w:r>
      <w:r w:rsidR="00D94B7C">
        <w:rPr>
          <w:lang w:val="sv-SE"/>
        </w:rPr>
        <w:t>,</w:t>
      </w:r>
    </w:p>
    <w:p w14:paraId="413CC8E2" w14:textId="59C793DE" w:rsidR="00D94B7C" w:rsidRDefault="00B11BB5" w:rsidP="00FA71BE">
      <w:pPr>
        <w:pStyle w:val="Leipteksti"/>
        <w:numPr>
          <w:ilvl w:val="0"/>
          <w:numId w:val="42"/>
        </w:numPr>
        <w:jc w:val="both"/>
        <w:rPr>
          <w:lang w:val="sv-SE"/>
        </w:rPr>
      </w:pPr>
      <w:r>
        <w:rPr>
          <w:lang w:val="sv-SE"/>
        </w:rPr>
        <w:t>föra till undersökning</w:t>
      </w:r>
      <w:r w:rsidRPr="00B11BB5">
        <w:rPr>
          <w:lang w:val="sv-SE"/>
        </w:rPr>
        <w:t xml:space="preserve"> regleringsbrott som hänför sig till </w:t>
      </w:r>
      <w:r w:rsidR="00EF46C7" w:rsidRPr="00EF46C7">
        <w:rPr>
          <w:lang w:val="sv-SE"/>
        </w:rPr>
        <w:t>kringgående av sanktioner</w:t>
      </w:r>
      <w:r>
        <w:rPr>
          <w:lang w:val="sv-SE"/>
        </w:rPr>
        <w:t xml:space="preserve"> </w:t>
      </w:r>
      <w:r w:rsidRPr="00A31D59">
        <w:rPr>
          <w:lang w:val="sv-SE"/>
        </w:rPr>
        <w:t>(operativt stöd)</w:t>
      </w:r>
      <w:r w:rsidR="00D94B7C">
        <w:rPr>
          <w:lang w:val="sv-SE"/>
        </w:rPr>
        <w:t>,</w:t>
      </w:r>
    </w:p>
    <w:p w14:paraId="02C36AEE" w14:textId="08F648FA" w:rsidR="00D13E22" w:rsidRPr="00EF4CE1" w:rsidRDefault="00D94B7C" w:rsidP="009F1373">
      <w:pPr>
        <w:pStyle w:val="Leipteksti"/>
        <w:numPr>
          <w:ilvl w:val="0"/>
          <w:numId w:val="42"/>
        </w:numPr>
        <w:jc w:val="both"/>
        <w:rPr>
          <w:lang w:val="sv-SE"/>
        </w:rPr>
      </w:pPr>
      <w:r>
        <w:rPr>
          <w:lang w:val="sv-SE"/>
        </w:rPr>
        <w:t>för</w:t>
      </w:r>
      <w:r w:rsidR="00B11BB5">
        <w:rPr>
          <w:lang w:val="sv-SE"/>
        </w:rPr>
        <w:t>ebygga</w:t>
      </w:r>
      <w:r>
        <w:rPr>
          <w:lang w:val="sv-SE"/>
        </w:rPr>
        <w:t xml:space="preserve"> och avslöja</w:t>
      </w:r>
      <w:r w:rsidR="00B11BB5">
        <w:rPr>
          <w:lang w:val="sv-SE"/>
        </w:rPr>
        <w:t xml:space="preserve"> allvarliga</w:t>
      </w:r>
      <w:r w:rsidR="00B11BB5" w:rsidRPr="00F30646">
        <w:rPr>
          <w:rFonts w:ascii="Arial" w:hAnsi="Arial" w:cs="Arial"/>
          <w:color w:val="454545"/>
          <w:sz w:val="26"/>
          <w:szCs w:val="26"/>
          <w:shd w:val="clear" w:color="auto" w:fill="FFFFFF"/>
          <w:lang w:val="sv-SE"/>
        </w:rPr>
        <w:t> </w:t>
      </w:r>
      <w:r w:rsidR="00B11BB5" w:rsidRPr="00F30646">
        <w:rPr>
          <w:lang w:val="sv-SE"/>
        </w:rPr>
        <w:t>miljöbrott inom avfallsbranschen</w:t>
      </w:r>
      <w:r w:rsidR="00B11BB5">
        <w:rPr>
          <w:lang w:val="sv-SE"/>
        </w:rPr>
        <w:t xml:space="preserve"> </w:t>
      </w:r>
      <w:r w:rsidR="00B11BB5" w:rsidRPr="00A31D59">
        <w:rPr>
          <w:lang w:val="sv-SE"/>
        </w:rPr>
        <w:t>(operativt stöd)</w:t>
      </w:r>
      <w:r w:rsidR="00D61898" w:rsidRPr="00A31D59">
        <w:rPr>
          <w:lang w:val="sv-SE"/>
        </w:rPr>
        <w:t>.</w:t>
      </w:r>
    </w:p>
    <w:p w14:paraId="37669789" w14:textId="3635CC8D" w:rsidR="00EF4CE1" w:rsidRPr="009F1373" w:rsidRDefault="00EF4CE1" w:rsidP="00F51BF8">
      <w:pPr>
        <w:pStyle w:val="Leipteksti"/>
      </w:pPr>
      <w:r w:rsidRPr="0037041B">
        <w:rPr>
          <w:lang w:val="sv-FI"/>
        </w:rPr>
        <w:t>Av medlen under specifikt mål 3 är cirka 15,4 miljoner euro reserverade. Beloppet av generell finansiering uppgår till cirka 3,3 miljoner euro.</w:t>
      </w:r>
    </w:p>
    <w:p w14:paraId="108BCCD1" w14:textId="77777777" w:rsidR="00EF4CE1" w:rsidRPr="00A31D59" w:rsidRDefault="00EF4CE1" w:rsidP="00F51BF8">
      <w:pPr>
        <w:pStyle w:val="Leipteksti"/>
        <w:rPr>
          <w:lang w:val="sv-SE"/>
        </w:rPr>
      </w:pPr>
    </w:p>
    <w:p w14:paraId="43BDAC03" w14:textId="32B58D3E" w:rsidR="00CB4157" w:rsidRPr="00891616" w:rsidRDefault="00CB4157" w:rsidP="003C2B82">
      <w:pPr>
        <w:pStyle w:val="Otsikko2"/>
        <w:numPr>
          <w:ilvl w:val="1"/>
          <w:numId w:val="43"/>
        </w:numPr>
        <w:rPr>
          <w:lang w:val="sv-SE"/>
        </w:rPr>
      </w:pPr>
      <w:bookmarkStart w:id="13" w:name="_Toc184224301"/>
      <w:r>
        <w:rPr>
          <w:lang w:val="sv"/>
        </w:rPr>
        <w:t>Åtgärder som ska vidtas enligt de s</w:t>
      </w:r>
      <w:r w:rsidR="000473F1">
        <w:rPr>
          <w:lang w:val="sv"/>
        </w:rPr>
        <w:t>pecifik</w:t>
      </w:r>
      <w:r>
        <w:rPr>
          <w:lang w:val="sv"/>
        </w:rPr>
        <w:t>a målen i programmet och allokering av finansieringen 202</w:t>
      </w:r>
      <w:r w:rsidR="00257789">
        <w:rPr>
          <w:lang w:val="sv"/>
        </w:rPr>
        <w:t>4</w:t>
      </w:r>
      <w:r>
        <w:rPr>
          <w:lang w:val="sv"/>
        </w:rPr>
        <w:t>–202</w:t>
      </w:r>
      <w:r w:rsidR="00257789">
        <w:rPr>
          <w:lang w:val="sv"/>
        </w:rPr>
        <w:t>5</w:t>
      </w:r>
      <w:bookmarkEnd w:id="9"/>
      <w:bookmarkEnd w:id="13"/>
    </w:p>
    <w:p w14:paraId="5E7CC601" w14:textId="77777777" w:rsidR="00CB4157" w:rsidRPr="00891616" w:rsidRDefault="00CB4157" w:rsidP="00CB4157">
      <w:pPr>
        <w:rPr>
          <w:lang w:val="sv-SE"/>
        </w:rPr>
      </w:pPr>
    </w:p>
    <w:p w14:paraId="64BB1454" w14:textId="317380C3" w:rsidR="00B15B72" w:rsidRPr="00F51BF8" w:rsidRDefault="00CB4157" w:rsidP="00F51BF8">
      <w:pPr>
        <w:pStyle w:val="Leipteksti"/>
        <w:rPr>
          <w:lang w:val="sv"/>
        </w:rPr>
      </w:pPr>
      <w:r>
        <w:rPr>
          <w:lang w:val="sv"/>
        </w:rPr>
        <w:t xml:space="preserve">Fondens </w:t>
      </w:r>
      <w:r w:rsidR="00257789">
        <w:rPr>
          <w:lang w:val="sv"/>
        </w:rPr>
        <w:t xml:space="preserve">tredje </w:t>
      </w:r>
      <w:r>
        <w:rPr>
          <w:lang w:val="sv"/>
        </w:rPr>
        <w:t>genomförandeplan gäller för 202</w:t>
      </w:r>
      <w:r w:rsidR="00257789">
        <w:rPr>
          <w:lang w:val="sv"/>
        </w:rPr>
        <w:t>4</w:t>
      </w:r>
      <w:r>
        <w:rPr>
          <w:lang w:val="sv"/>
        </w:rPr>
        <w:t xml:space="preserve"> och 202</w:t>
      </w:r>
      <w:r w:rsidR="00257789">
        <w:rPr>
          <w:lang w:val="sv"/>
        </w:rPr>
        <w:t>5</w:t>
      </w:r>
      <w:r>
        <w:rPr>
          <w:lang w:val="sv"/>
        </w:rPr>
        <w:t xml:space="preserve">. Båda åren ordnas två </w:t>
      </w:r>
      <w:r w:rsidR="00257789">
        <w:rPr>
          <w:lang w:val="sv"/>
        </w:rPr>
        <w:t xml:space="preserve">utlysningar </w:t>
      </w:r>
      <w:r w:rsidR="008E3B07">
        <w:rPr>
          <w:lang w:val="sv"/>
        </w:rPr>
        <w:t xml:space="preserve">av medel </w:t>
      </w:r>
      <w:r w:rsidR="00257789">
        <w:rPr>
          <w:lang w:val="sv"/>
        </w:rPr>
        <w:t>ur</w:t>
      </w:r>
      <w:r>
        <w:rPr>
          <w:lang w:val="sv"/>
        </w:rPr>
        <w:t xml:space="preserve"> fonden. </w:t>
      </w:r>
    </w:p>
    <w:p w14:paraId="4B2EFD5F" w14:textId="77777777" w:rsidR="00B15B72" w:rsidRPr="0072281C" w:rsidRDefault="00B15B72" w:rsidP="00415133">
      <w:pPr>
        <w:pStyle w:val="Leipteksti"/>
        <w:rPr>
          <w:lang w:val="sv-SE"/>
        </w:rPr>
      </w:pPr>
    </w:p>
    <w:p w14:paraId="6F20E07D" w14:textId="1455FA68" w:rsidR="00CB4157" w:rsidRDefault="00CB4157" w:rsidP="00A17F47">
      <w:pPr>
        <w:pStyle w:val="Otsikko1"/>
        <w:numPr>
          <w:ilvl w:val="0"/>
          <w:numId w:val="4"/>
        </w:numPr>
      </w:pPr>
      <w:bookmarkStart w:id="14" w:name="_Toc102727260"/>
      <w:bookmarkStart w:id="15" w:name="_Toc184224302"/>
      <w:r>
        <w:rPr>
          <w:lang w:val="sv"/>
        </w:rPr>
        <w:t>S</w:t>
      </w:r>
      <w:r w:rsidR="000473F1">
        <w:rPr>
          <w:lang w:val="sv"/>
        </w:rPr>
        <w:t>pecifik</w:t>
      </w:r>
      <w:r>
        <w:rPr>
          <w:lang w:val="sv"/>
        </w:rPr>
        <w:t>a mål</w:t>
      </w:r>
      <w:bookmarkEnd w:id="14"/>
      <w:bookmarkEnd w:id="15"/>
    </w:p>
    <w:p w14:paraId="5B510B5A" w14:textId="54558350" w:rsidR="00CB4157" w:rsidRDefault="00CB4157" w:rsidP="00CB4157">
      <w:pPr>
        <w:pStyle w:val="Otsikko2"/>
      </w:pPr>
      <w:bookmarkStart w:id="16" w:name="_Toc102727261"/>
      <w:bookmarkStart w:id="17" w:name="_Toc184224303"/>
      <w:r>
        <w:rPr>
          <w:lang w:val="sv"/>
        </w:rPr>
        <w:t>S</w:t>
      </w:r>
      <w:r w:rsidR="000473F1">
        <w:rPr>
          <w:lang w:val="sv"/>
        </w:rPr>
        <w:t>pecifik</w:t>
      </w:r>
      <w:r>
        <w:rPr>
          <w:lang w:val="sv"/>
        </w:rPr>
        <w:t xml:space="preserve">t mål 1 </w:t>
      </w:r>
      <w:r w:rsidR="00D13E22">
        <w:rPr>
          <w:lang w:val="sv"/>
        </w:rPr>
        <w:t>I</w:t>
      </w:r>
      <w:r>
        <w:rPr>
          <w:lang w:val="sv"/>
        </w:rPr>
        <w:t>nformationsutbyte</w:t>
      </w:r>
      <w:bookmarkEnd w:id="16"/>
      <w:bookmarkEnd w:id="17"/>
    </w:p>
    <w:p w14:paraId="4F2D63EC" w14:textId="77777777" w:rsidR="00CB4157" w:rsidRPr="00740AB3" w:rsidRDefault="00CB4157" w:rsidP="00CB4157"/>
    <w:p w14:paraId="1B5F219D" w14:textId="77777777" w:rsidR="00CB4157" w:rsidRPr="00891616" w:rsidRDefault="00CB4157" w:rsidP="00CB4157">
      <w:pPr>
        <w:pStyle w:val="Otsikko3"/>
        <w:rPr>
          <w:lang w:val="sv-SE"/>
        </w:rPr>
      </w:pPr>
      <w:bookmarkStart w:id="18" w:name="_Toc102727262"/>
      <w:bookmarkStart w:id="19" w:name="_Toc184224304"/>
      <w:r>
        <w:rPr>
          <w:lang w:val="sv"/>
        </w:rPr>
        <w:t>1 A Enhetlig tillämpning av unionens säkerhetsregelverk</w:t>
      </w:r>
      <w:bookmarkEnd w:id="18"/>
      <w:bookmarkEnd w:id="19"/>
    </w:p>
    <w:p w14:paraId="2B994573" w14:textId="77777777" w:rsidR="00CB4157" w:rsidRPr="00891616" w:rsidRDefault="00CB4157" w:rsidP="00CB4157">
      <w:pPr>
        <w:rPr>
          <w:lang w:val="sv-SE"/>
        </w:rPr>
      </w:pPr>
    </w:p>
    <w:tbl>
      <w:tblPr>
        <w:tblStyle w:val="TaulukkoRuudukko1"/>
        <w:tblpPr w:leftFromText="142" w:rightFromText="142" w:vertAnchor="text" w:horzAnchor="margin" w:tblpY="1"/>
        <w:tblW w:w="0" w:type="auto"/>
        <w:tblLook w:val="04A0" w:firstRow="1" w:lastRow="0" w:firstColumn="1" w:lastColumn="0" w:noHBand="0" w:noVBand="1"/>
      </w:tblPr>
      <w:tblGrid>
        <w:gridCol w:w="4248"/>
        <w:gridCol w:w="5380"/>
      </w:tblGrid>
      <w:tr w:rsidR="00CB4157" w:rsidRPr="000F5AB4" w14:paraId="4802C964" w14:textId="77777777" w:rsidTr="00CB4157">
        <w:trPr>
          <w:tblHeader/>
        </w:trPr>
        <w:tc>
          <w:tcPr>
            <w:tcW w:w="9628" w:type="dxa"/>
            <w:gridSpan w:val="2"/>
            <w:shd w:val="clear" w:color="auto" w:fill="FDE2D1" w:themeFill="accent1" w:themeFillTint="33"/>
          </w:tcPr>
          <w:p w14:paraId="320A1635" w14:textId="77777777" w:rsidR="00CB4157" w:rsidRPr="00891616" w:rsidRDefault="00CB4157" w:rsidP="007939FA">
            <w:pPr>
              <w:pStyle w:val="Otsikko4"/>
              <w:rPr>
                <w:lang w:val="sv-SE"/>
              </w:rPr>
            </w:pPr>
            <w:bookmarkStart w:id="20" w:name="_Toc102727263"/>
            <w:r>
              <w:rPr>
                <w:lang w:val="sv"/>
              </w:rPr>
              <w:lastRenderedPageBreak/>
              <w:t>1 A 1 Ändringar gällande informationsutbyte som Schengenutvärderingen förutsätter genomförs</w:t>
            </w:r>
            <w:bookmarkEnd w:id="20"/>
          </w:p>
        </w:tc>
      </w:tr>
      <w:tr w:rsidR="00CB4157" w:rsidRPr="000F5AB4" w14:paraId="7D472C34" w14:textId="77777777" w:rsidTr="00CB4157">
        <w:trPr>
          <w:trHeight w:val="2685"/>
        </w:trPr>
        <w:tc>
          <w:tcPr>
            <w:tcW w:w="9628" w:type="dxa"/>
            <w:gridSpan w:val="2"/>
          </w:tcPr>
          <w:p w14:paraId="2DF4EEE0" w14:textId="77777777" w:rsidR="00CB4157" w:rsidRPr="009F655B" w:rsidRDefault="00CB4157" w:rsidP="00CB4157">
            <w:pPr>
              <w:pStyle w:val="Leipteksti"/>
              <w:rPr>
                <w:rFonts w:cstheme="minorHAnsi"/>
                <w:noProof/>
                <w:lang w:val="sv-SE"/>
              </w:rPr>
            </w:pPr>
          </w:p>
          <w:p w14:paraId="287CD048" w14:textId="77777777" w:rsidR="00CB4157" w:rsidRPr="009F655B" w:rsidRDefault="00CB4157" w:rsidP="00CB4157">
            <w:pPr>
              <w:pStyle w:val="Leipteksti"/>
              <w:rPr>
                <w:rFonts w:eastAsia="Calibri" w:cstheme="minorHAnsi"/>
                <w:lang w:val="sv-SE"/>
              </w:rPr>
            </w:pPr>
            <w:r w:rsidRPr="009F655B">
              <w:rPr>
                <w:rFonts w:eastAsia="Calibri" w:cstheme="minorHAnsi"/>
                <w:lang w:val="sv"/>
              </w:rPr>
              <w:t>Korrigeringen av brister som iakttagits i Schengenutvärderingen prioriteras när föremål för finansiering planeras.  Planerna rapporteras regelbundet till kommissionen i enlighet med evalueringsmekanismen. Följande utvärdering i Finland utförs 2023.</w:t>
            </w:r>
          </w:p>
          <w:p w14:paraId="7B86CBD9" w14:textId="77777777" w:rsidR="00CB4157" w:rsidRPr="009F655B" w:rsidRDefault="00CB4157" w:rsidP="009F655B">
            <w:pPr>
              <w:pStyle w:val="Leipteksti"/>
              <w:rPr>
                <w:rFonts w:eastAsia="Calibri" w:cstheme="minorHAnsi"/>
                <w:vertAlign w:val="superscript"/>
                <w:lang w:val="sv-SE"/>
              </w:rPr>
            </w:pPr>
            <w:r w:rsidRPr="009F655B">
              <w:rPr>
                <w:rFonts w:eastAsia="Calibri" w:cstheme="minorHAnsi"/>
                <w:b/>
                <w:bCs/>
                <w:lang w:val="sv"/>
              </w:rPr>
              <w:t>Målet är genomföra Schengenutvärderingarnas rekommendationer i enlighet med åtgärdsplanen.</w:t>
            </w:r>
          </w:p>
        </w:tc>
      </w:tr>
      <w:tr w:rsidR="00CB4157" w:rsidRPr="001F0172" w14:paraId="4AA1410F" w14:textId="77777777" w:rsidTr="009F655B">
        <w:trPr>
          <w:trHeight w:val="411"/>
        </w:trPr>
        <w:tc>
          <w:tcPr>
            <w:tcW w:w="4248" w:type="dxa"/>
          </w:tcPr>
          <w:p w14:paraId="2E77C825" w14:textId="77777777" w:rsidR="00CB4157" w:rsidRPr="009F655B" w:rsidRDefault="00CB4157" w:rsidP="00CB4157">
            <w:pPr>
              <w:pStyle w:val="Leipteksti"/>
              <w:rPr>
                <w:rFonts w:eastAsia="Calibri" w:cstheme="minorHAnsi"/>
                <w:b/>
              </w:rPr>
            </w:pPr>
            <w:r w:rsidRPr="009F655B">
              <w:rPr>
                <w:rFonts w:eastAsia="Calibri" w:cstheme="minorHAnsi"/>
                <w:b/>
                <w:bCs/>
                <w:lang w:val="sv"/>
              </w:rPr>
              <w:t>Understöd</w:t>
            </w:r>
          </w:p>
        </w:tc>
        <w:tc>
          <w:tcPr>
            <w:tcW w:w="5380" w:type="dxa"/>
          </w:tcPr>
          <w:p w14:paraId="4445F3A8" w14:textId="77777777" w:rsidR="00CB4157" w:rsidRPr="009F655B" w:rsidRDefault="00CB4157" w:rsidP="009F655B">
            <w:pPr>
              <w:pStyle w:val="Leipteksti"/>
              <w:rPr>
                <w:rFonts w:eastAsia="Calibri" w:cstheme="minorHAnsi"/>
              </w:rPr>
            </w:pPr>
            <w:r w:rsidRPr="009F655B">
              <w:rPr>
                <w:rFonts w:eastAsia="Calibri" w:cstheme="minorHAnsi"/>
                <w:lang w:val="sv"/>
              </w:rPr>
              <w:t>75 %</w:t>
            </w:r>
          </w:p>
        </w:tc>
      </w:tr>
      <w:tr w:rsidR="00CB4157" w:rsidRPr="001F0172" w14:paraId="3EFD6648" w14:textId="77777777" w:rsidTr="00CB4157">
        <w:tc>
          <w:tcPr>
            <w:tcW w:w="4248" w:type="dxa"/>
          </w:tcPr>
          <w:p w14:paraId="2749ABCD" w14:textId="77777777" w:rsidR="00CB4157" w:rsidRPr="009F655B" w:rsidRDefault="00CB4157" w:rsidP="009F655B">
            <w:pPr>
              <w:pStyle w:val="Leipteksti"/>
              <w:rPr>
                <w:rFonts w:eastAsia="Calibri" w:cstheme="minorHAnsi"/>
              </w:rPr>
            </w:pPr>
            <w:r w:rsidRPr="009F655B">
              <w:rPr>
                <w:rFonts w:eastAsia="Calibri" w:cstheme="minorHAnsi"/>
                <w:b/>
                <w:bCs/>
                <w:lang w:val="sv"/>
              </w:rPr>
              <w:t xml:space="preserve">Möjliga stödmottagare </w:t>
            </w:r>
          </w:p>
        </w:tc>
        <w:tc>
          <w:tcPr>
            <w:tcW w:w="5380" w:type="dxa"/>
          </w:tcPr>
          <w:p w14:paraId="505098A9" w14:textId="77777777" w:rsidR="00CB4157" w:rsidRPr="009F655B" w:rsidRDefault="00CB4157" w:rsidP="00CB4157">
            <w:pPr>
              <w:pStyle w:val="Leipteksti"/>
              <w:rPr>
                <w:rFonts w:eastAsia="Calibri" w:cstheme="minorHAnsi"/>
              </w:rPr>
            </w:pPr>
            <w:r w:rsidRPr="009F655B">
              <w:rPr>
                <w:rFonts w:eastAsia="Calibri" w:cstheme="minorHAnsi"/>
                <w:lang w:val="sv"/>
              </w:rPr>
              <w:t>Behöriga myndigheter</w:t>
            </w:r>
          </w:p>
        </w:tc>
      </w:tr>
      <w:tr w:rsidR="00CB4157" w:rsidRPr="000F5AB4" w14:paraId="76D7789C" w14:textId="77777777" w:rsidTr="00CB4157">
        <w:tc>
          <w:tcPr>
            <w:tcW w:w="4248" w:type="dxa"/>
          </w:tcPr>
          <w:p w14:paraId="1A49BEA9" w14:textId="77777777" w:rsidR="00CB4157" w:rsidRPr="009F655B" w:rsidRDefault="00CB4157" w:rsidP="00CB4157">
            <w:pPr>
              <w:pStyle w:val="Leipteksti"/>
              <w:rPr>
                <w:rFonts w:eastAsia="Calibri" w:cstheme="minorHAnsi"/>
                <w:b/>
                <w:lang w:val="sv-SE"/>
              </w:rPr>
            </w:pPr>
            <w:r w:rsidRPr="009F655B">
              <w:rPr>
                <w:rFonts w:eastAsia="Calibri" w:cstheme="minorHAnsi"/>
                <w:b/>
                <w:bCs/>
                <w:lang w:val="sv"/>
              </w:rPr>
              <w:t>Samordning med annan EU-finansiering</w:t>
            </w:r>
          </w:p>
        </w:tc>
        <w:tc>
          <w:tcPr>
            <w:tcW w:w="5380" w:type="dxa"/>
          </w:tcPr>
          <w:p w14:paraId="1A241F75" w14:textId="0C8E2B82" w:rsidR="00CB4157" w:rsidRPr="009F655B" w:rsidRDefault="00CB4157" w:rsidP="00CB4157">
            <w:pPr>
              <w:pStyle w:val="Leipteksti"/>
              <w:rPr>
                <w:rFonts w:eastAsia="Calibri" w:cstheme="minorHAnsi"/>
                <w:lang w:val="sv-SE"/>
              </w:rPr>
            </w:pPr>
            <w:r w:rsidRPr="009F655B">
              <w:rPr>
                <w:rFonts w:eastAsia="Calibri" w:cstheme="minorHAnsi"/>
                <w:lang w:val="sv"/>
              </w:rPr>
              <w:t xml:space="preserve">Åtgärderna samordnas med åtgärder som finansieras ur </w:t>
            </w:r>
            <w:r w:rsidR="00415133">
              <w:rPr>
                <w:rFonts w:eastAsia="Calibri" w:cstheme="minorHAnsi"/>
                <w:lang w:val="sv"/>
              </w:rPr>
              <w:t xml:space="preserve">andra </w:t>
            </w:r>
            <w:r w:rsidRPr="009F655B">
              <w:rPr>
                <w:rFonts w:eastAsia="Calibri" w:cstheme="minorHAnsi"/>
                <w:lang w:val="sv"/>
              </w:rPr>
              <w:t xml:space="preserve">EU:s </w:t>
            </w:r>
            <w:r w:rsidR="00292E16">
              <w:rPr>
                <w:rFonts w:eastAsia="Calibri" w:cstheme="minorHAnsi"/>
                <w:lang w:val="sv"/>
              </w:rPr>
              <w:t>fonder för inrikes frågor</w:t>
            </w:r>
          </w:p>
        </w:tc>
      </w:tr>
      <w:tr w:rsidR="00CB4157" w:rsidRPr="000F5AB4" w14:paraId="2672DD28" w14:textId="77777777" w:rsidTr="00CB4157">
        <w:tc>
          <w:tcPr>
            <w:tcW w:w="9628" w:type="dxa"/>
            <w:gridSpan w:val="2"/>
          </w:tcPr>
          <w:p w14:paraId="433ADFD9" w14:textId="77777777" w:rsidR="00CB4157" w:rsidRPr="00415133" w:rsidRDefault="00CB4157" w:rsidP="009F655B">
            <w:pPr>
              <w:pStyle w:val="Leipteksti"/>
              <w:rPr>
                <w:b/>
                <w:lang w:val="sv-SE"/>
              </w:rPr>
            </w:pPr>
            <w:r w:rsidRPr="00415133">
              <w:rPr>
                <w:b/>
                <w:lang w:val="sv"/>
              </w:rPr>
              <w:t>Indikatorer som ska tillämpas</w:t>
            </w:r>
          </w:p>
          <w:p w14:paraId="44AA6651" w14:textId="3C5E2DFD" w:rsidR="00CB4157" w:rsidRPr="009F655B" w:rsidRDefault="00CB4157" w:rsidP="009F655B">
            <w:pPr>
              <w:pStyle w:val="Leipteksti"/>
              <w:rPr>
                <w:lang w:val="sv-SE"/>
              </w:rPr>
            </w:pPr>
            <w:r w:rsidRPr="009F655B">
              <w:rPr>
                <w:lang w:val="sv"/>
              </w:rPr>
              <w:t>I åtgärderna ska även tillämpas andra indikatorer än de som finns i detta s</w:t>
            </w:r>
            <w:r w:rsidR="000473F1">
              <w:rPr>
                <w:lang w:val="sv"/>
              </w:rPr>
              <w:t>pecifik</w:t>
            </w:r>
            <w:r w:rsidRPr="009F655B">
              <w:rPr>
                <w:lang w:val="sv"/>
              </w:rPr>
              <w:t>a mål, om verksamheten som genomförs kan mätas med dem.</w:t>
            </w:r>
          </w:p>
          <w:p w14:paraId="58240D23" w14:textId="77777777" w:rsidR="00CB4157" w:rsidRPr="009F655B" w:rsidRDefault="00CB4157" w:rsidP="009F655B">
            <w:pPr>
              <w:pStyle w:val="Leipteksti"/>
              <w:rPr>
                <w:lang w:val="sv-SE"/>
              </w:rPr>
            </w:pPr>
          </w:p>
          <w:p w14:paraId="7A18DE23" w14:textId="4BD3795E" w:rsidR="00CB4157" w:rsidRPr="009F655B" w:rsidRDefault="003516ED" w:rsidP="009F655B">
            <w:pPr>
              <w:pStyle w:val="Leipteksti"/>
              <w:rPr>
                <w:lang w:val="sv-SE"/>
              </w:rPr>
            </w:pPr>
            <w:r>
              <w:rPr>
                <w:lang w:val="sv"/>
              </w:rPr>
              <w:t>Outputi</w:t>
            </w:r>
            <w:r w:rsidR="00CB4157" w:rsidRPr="009F655B">
              <w:rPr>
                <w:lang w:val="sv"/>
              </w:rPr>
              <w:t>ndikatorer:</w:t>
            </w:r>
          </w:p>
          <w:p w14:paraId="270EF088" w14:textId="13BB5525" w:rsidR="00CB4157" w:rsidRPr="009F655B" w:rsidRDefault="00CB4157" w:rsidP="009F655B">
            <w:pPr>
              <w:pStyle w:val="Leipteksti"/>
              <w:rPr>
                <w:lang w:val="sv-SE"/>
              </w:rPr>
            </w:pPr>
            <w:r w:rsidRPr="009F655B">
              <w:rPr>
                <w:lang w:val="sv"/>
              </w:rPr>
              <w:t>O.1.3</w:t>
            </w:r>
            <w:r w:rsidR="00F16A01">
              <w:rPr>
                <w:lang w:val="sv"/>
              </w:rPr>
              <w:t xml:space="preserve"> </w:t>
            </w:r>
            <w:r w:rsidRPr="009F655B">
              <w:rPr>
                <w:lang w:val="sv"/>
              </w:rPr>
              <w:t>Antal etablerade/anpassade/underhållna informations- och kommunikationstekniksystem (IKT-system)</w:t>
            </w:r>
          </w:p>
          <w:p w14:paraId="2684A52E" w14:textId="77777777" w:rsidR="00CB4157" w:rsidRPr="009F655B" w:rsidRDefault="00CB4157" w:rsidP="009F655B">
            <w:pPr>
              <w:pStyle w:val="Leipteksti"/>
              <w:rPr>
                <w:lang w:val="sv-SE"/>
              </w:rPr>
            </w:pPr>
            <w:r w:rsidRPr="009F655B">
              <w:rPr>
                <w:lang w:val="sv"/>
              </w:rPr>
              <w:t>Resultatindikatorer:</w:t>
            </w:r>
          </w:p>
          <w:p w14:paraId="49C1AF67" w14:textId="3B03B330" w:rsidR="00CB4157" w:rsidRPr="009F655B" w:rsidRDefault="00CB4157" w:rsidP="00911344">
            <w:pPr>
              <w:pStyle w:val="Leipteksti"/>
              <w:rPr>
                <w:lang w:val="sv-SE"/>
              </w:rPr>
            </w:pPr>
            <w:r w:rsidRPr="009F655B">
              <w:rPr>
                <w:lang w:val="sv"/>
              </w:rPr>
              <w:t>R.1.5</w:t>
            </w:r>
            <w:r w:rsidR="00F16A01">
              <w:rPr>
                <w:lang w:val="sv"/>
              </w:rPr>
              <w:t xml:space="preserve"> </w:t>
            </w:r>
            <w:r w:rsidRPr="009F655B">
              <w:rPr>
                <w:lang w:val="sv"/>
              </w:rPr>
              <w:t>Antal IKT-system som gjorts interoperabla i medlemsstaterna/med säkerhetskritiska informationssystem inom EU och säkerhetskritiska decentraliserade informationssystem/med internationella databaser</w:t>
            </w:r>
          </w:p>
        </w:tc>
      </w:tr>
      <w:tr w:rsidR="00CB4157" w:rsidRPr="000F5AB4" w14:paraId="1C78DB53" w14:textId="77777777" w:rsidTr="00CB4157">
        <w:tc>
          <w:tcPr>
            <w:tcW w:w="4248" w:type="dxa"/>
          </w:tcPr>
          <w:p w14:paraId="1F9B2019" w14:textId="77777777" w:rsidR="00CB4157" w:rsidRPr="009F655B" w:rsidRDefault="00CB4157" w:rsidP="009F655B">
            <w:pPr>
              <w:pStyle w:val="Leipteksti"/>
              <w:rPr>
                <w:rFonts w:cstheme="minorHAnsi"/>
                <w:b/>
              </w:rPr>
            </w:pPr>
            <w:r w:rsidRPr="009F655B">
              <w:rPr>
                <w:rFonts w:cstheme="minorHAnsi"/>
                <w:b/>
                <w:lang w:val="sv"/>
              </w:rPr>
              <w:t xml:space="preserve">Ansökningstid </w:t>
            </w:r>
          </w:p>
        </w:tc>
        <w:tc>
          <w:tcPr>
            <w:tcW w:w="5380" w:type="dxa"/>
          </w:tcPr>
          <w:p w14:paraId="1D2B2D62" w14:textId="1A5E9327" w:rsidR="00CB4157" w:rsidRPr="00F30646" w:rsidRDefault="006216FC" w:rsidP="006216FC">
            <w:pPr>
              <w:pStyle w:val="Leipteksti"/>
              <w:rPr>
                <w:rFonts w:cstheme="minorHAnsi"/>
                <w:lang w:val="sv-SE"/>
              </w:rPr>
            </w:pPr>
            <w:r w:rsidRPr="00F30646">
              <w:rPr>
                <w:lang w:val="sv-SE"/>
              </w:rPr>
              <w:t xml:space="preserve">hösten 2024, våren 2025 om finansiering återstår/har frigjorts, hösten 2025 </w:t>
            </w:r>
            <w:r w:rsidRPr="007F1202">
              <w:rPr>
                <w:rFonts w:cstheme="minorHAnsi"/>
                <w:lang w:val="sv-SE"/>
              </w:rPr>
              <w:t>om finansiering återstår/har frigjorts</w:t>
            </w:r>
          </w:p>
        </w:tc>
      </w:tr>
      <w:tr w:rsidR="00CB4157" w:rsidRPr="001F0172" w14:paraId="0B432C8C" w14:textId="77777777" w:rsidTr="00CB4157">
        <w:tc>
          <w:tcPr>
            <w:tcW w:w="4248" w:type="dxa"/>
          </w:tcPr>
          <w:p w14:paraId="6382C702" w14:textId="77777777" w:rsidR="00CB4157" w:rsidRPr="009F655B" w:rsidRDefault="00CB4157" w:rsidP="009F655B">
            <w:pPr>
              <w:pStyle w:val="Leipteksti"/>
              <w:rPr>
                <w:rFonts w:ascii="Calibri" w:hAnsi="Calibri" w:cs="Times New Roman"/>
                <w:b/>
              </w:rPr>
            </w:pPr>
            <w:bookmarkStart w:id="21" w:name="_Hlk95908509"/>
            <w:r w:rsidRPr="009F655B">
              <w:rPr>
                <w:b/>
                <w:lang w:val="sv"/>
              </w:rPr>
              <w:t>Projektet inleds senast</w:t>
            </w:r>
          </w:p>
        </w:tc>
        <w:tc>
          <w:tcPr>
            <w:tcW w:w="5380" w:type="dxa"/>
          </w:tcPr>
          <w:p w14:paraId="2B1978FC" w14:textId="77777777" w:rsidR="00CB4157" w:rsidRPr="00CF0C9B" w:rsidRDefault="00CB4157" w:rsidP="009F655B">
            <w:pPr>
              <w:pStyle w:val="Leipteksti"/>
              <w:rPr>
                <w:rFonts w:ascii="Calibri" w:hAnsi="Calibri" w:cs="Times New Roman"/>
              </w:rPr>
            </w:pPr>
            <w:r>
              <w:rPr>
                <w:lang w:val="sv"/>
              </w:rPr>
              <w:t>Se utlysningen</w:t>
            </w:r>
          </w:p>
        </w:tc>
      </w:tr>
      <w:bookmarkEnd w:id="21"/>
    </w:tbl>
    <w:p w14:paraId="2B10B7E6" w14:textId="77777777" w:rsidR="00CB4157" w:rsidRDefault="00CB4157" w:rsidP="00CB4157"/>
    <w:tbl>
      <w:tblPr>
        <w:tblStyle w:val="TaulukkoRuudukko1"/>
        <w:tblpPr w:leftFromText="142" w:rightFromText="142" w:vertAnchor="text" w:horzAnchor="margin" w:tblpY="1"/>
        <w:tblW w:w="0" w:type="auto"/>
        <w:tblLook w:val="04A0" w:firstRow="1" w:lastRow="0" w:firstColumn="1" w:lastColumn="0" w:noHBand="0" w:noVBand="1"/>
      </w:tblPr>
      <w:tblGrid>
        <w:gridCol w:w="4248"/>
        <w:gridCol w:w="5380"/>
      </w:tblGrid>
      <w:tr w:rsidR="00CB4157" w:rsidRPr="000F5AB4" w14:paraId="746A73FA" w14:textId="77777777" w:rsidTr="009F655B">
        <w:trPr>
          <w:tblHeader/>
        </w:trPr>
        <w:tc>
          <w:tcPr>
            <w:tcW w:w="9628" w:type="dxa"/>
            <w:gridSpan w:val="2"/>
            <w:shd w:val="clear" w:color="auto" w:fill="FDE2D1" w:themeFill="accent1" w:themeFillTint="33"/>
          </w:tcPr>
          <w:p w14:paraId="3B6BBF82" w14:textId="77777777" w:rsidR="00CB4157" w:rsidRPr="00891616" w:rsidRDefault="00CB4157" w:rsidP="009F655B">
            <w:pPr>
              <w:pStyle w:val="Otsikko4"/>
              <w:rPr>
                <w:lang w:val="sv-SE"/>
              </w:rPr>
            </w:pPr>
            <w:bookmarkStart w:id="22" w:name="_Toc102727264"/>
            <w:r>
              <w:rPr>
                <w:lang w:val="sv"/>
              </w:rPr>
              <w:t>1 A 2 Övriga åtgärder som anknyter till tillämpningen av unionens regelverk</w:t>
            </w:r>
            <w:bookmarkEnd w:id="22"/>
            <w:r>
              <w:rPr>
                <w:lang w:val="sv"/>
              </w:rPr>
              <w:t xml:space="preserve"> </w:t>
            </w:r>
          </w:p>
          <w:p w14:paraId="2F9EA69C" w14:textId="77777777" w:rsidR="00CB4157" w:rsidRPr="00891616" w:rsidRDefault="00CB4157" w:rsidP="00CB4157">
            <w:pPr>
              <w:keepNext/>
              <w:keepLines/>
              <w:spacing w:before="40" w:line="259" w:lineRule="auto"/>
              <w:outlineLvl w:val="2"/>
              <w:rPr>
                <w:rFonts w:eastAsia="Calibri" w:cstheme="minorHAnsi"/>
                <w:color w:val="843604" w:themeColor="accent1" w:themeShade="7F"/>
                <w:lang w:val="sv-SE"/>
              </w:rPr>
            </w:pPr>
          </w:p>
        </w:tc>
      </w:tr>
      <w:tr w:rsidR="00CB4157" w:rsidRPr="00D8006F" w14:paraId="77336699" w14:textId="77777777" w:rsidTr="00CB4157">
        <w:trPr>
          <w:trHeight w:val="1191"/>
        </w:trPr>
        <w:tc>
          <w:tcPr>
            <w:tcW w:w="9628" w:type="dxa"/>
            <w:gridSpan w:val="2"/>
          </w:tcPr>
          <w:p w14:paraId="32F03EB3" w14:textId="77777777" w:rsidR="00CB4157" w:rsidRPr="009F655B" w:rsidRDefault="00CB4157" w:rsidP="009F655B">
            <w:pPr>
              <w:pStyle w:val="Leipteksti"/>
              <w:rPr>
                <w:noProof/>
                <w:lang w:val="sv-SE"/>
              </w:rPr>
            </w:pPr>
          </w:p>
          <w:p w14:paraId="45A21CB0" w14:textId="77777777" w:rsidR="00CB4157" w:rsidRPr="009F655B" w:rsidRDefault="00CB4157" w:rsidP="009F655B">
            <w:pPr>
              <w:pStyle w:val="Leipteksti"/>
              <w:rPr>
                <w:rFonts w:eastAsia="Calibri"/>
                <w:vertAlign w:val="superscript"/>
              </w:rPr>
            </w:pPr>
            <w:r w:rsidRPr="009F655B">
              <w:rPr>
                <w:rFonts w:eastAsia="Calibri"/>
                <w:lang w:val="sv"/>
              </w:rPr>
              <w:t>Inga åtgärder under 2022.</w:t>
            </w:r>
          </w:p>
        </w:tc>
      </w:tr>
      <w:tr w:rsidR="00CB4157" w:rsidRPr="00D8006F" w14:paraId="2D010297" w14:textId="77777777" w:rsidTr="00CB4157">
        <w:trPr>
          <w:trHeight w:val="789"/>
        </w:trPr>
        <w:tc>
          <w:tcPr>
            <w:tcW w:w="4248" w:type="dxa"/>
          </w:tcPr>
          <w:p w14:paraId="09F3F38C" w14:textId="77777777" w:rsidR="00CB4157" w:rsidRPr="009F655B" w:rsidRDefault="00CB4157" w:rsidP="009F655B">
            <w:pPr>
              <w:pStyle w:val="Leipteksti"/>
              <w:rPr>
                <w:rFonts w:eastAsia="Calibri"/>
                <w:b/>
              </w:rPr>
            </w:pPr>
            <w:r w:rsidRPr="009F655B">
              <w:rPr>
                <w:rFonts w:eastAsia="Calibri"/>
                <w:b/>
                <w:bCs/>
                <w:lang w:val="sv"/>
              </w:rPr>
              <w:t>Understöd</w:t>
            </w:r>
          </w:p>
        </w:tc>
        <w:tc>
          <w:tcPr>
            <w:tcW w:w="5380" w:type="dxa"/>
          </w:tcPr>
          <w:p w14:paraId="6ED2EDFD" w14:textId="77777777" w:rsidR="00CB4157" w:rsidRPr="009F655B" w:rsidRDefault="00CB4157" w:rsidP="009F655B">
            <w:pPr>
              <w:pStyle w:val="Leipteksti"/>
              <w:rPr>
                <w:rFonts w:eastAsia="Calibri"/>
              </w:rPr>
            </w:pPr>
            <w:r w:rsidRPr="009F655B">
              <w:rPr>
                <w:rFonts w:eastAsia="Calibri"/>
                <w:lang w:val="sv"/>
              </w:rPr>
              <w:t>75 %</w:t>
            </w:r>
          </w:p>
        </w:tc>
      </w:tr>
      <w:tr w:rsidR="00CB4157" w:rsidRPr="00D8006F" w14:paraId="5771C1BF" w14:textId="77777777" w:rsidTr="009F655B">
        <w:trPr>
          <w:trHeight w:val="554"/>
        </w:trPr>
        <w:tc>
          <w:tcPr>
            <w:tcW w:w="4248" w:type="dxa"/>
          </w:tcPr>
          <w:p w14:paraId="1ACD221D" w14:textId="77777777" w:rsidR="00CB4157" w:rsidRPr="009F655B" w:rsidRDefault="00CB4157" w:rsidP="009F655B">
            <w:pPr>
              <w:pStyle w:val="Leipteksti"/>
              <w:rPr>
                <w:rFonts w:eastAsia="Calibri"/>
              </w:rPr>
            </w:pPr>
            <w:r w:rsidRPr="009F655B">
              <w:rPr>
                <w:rFonts w:eastAsia="Calibri"/>
                <w:b/>
                <w:bCs/>
                <w:lang w:val="sv"/>
              </w:rPr>
              <w:t xml:space="preserve">Möjliga stödmottagare </w:t>
            </w:r>
          </w:p>
        </w:tc>
        <w:tc>
          <w:tcPr>
            <w:tcW w:w="5380" w:type="dxa"/>
          </w:tcPr>
          <w:p w14:paraId="4AA28269" w14:textId="77777777" w:rsidR="00CB4157" w:rsidRPr="009F655B" w:rsidRDefault="00CB4157" w:rsidP="009F655B">
            <w:pPr>
              <w:pStyle w:val="Leipteksti"/>
              <w:rPr>
                <w:rFonts w:eastAsia="Calibri"/>
              </w:rPr>
            </w:pPr>
            <w:r w:rsidRPr="009F655B">
              <w:rPr>
                <w:rFonts w:eastAsia="Calibri"/>
                <w:lang w:val="sv"/>
              </w:rPr>
              <w:t>Behöriga myndigheter</w:t>
            </w:r>
          </w:p>
        </w:tc>
      </w:tr>
      <w:tr w:rsidR="00CB4157" w:rsidRPr="000F5AB4" w14:paraId="3FF3A4FF" w14:textId="77777777" w:rsidTr="00CB4157">
        <w:tc>
          <w:tcPr>
            <w:tcW w:w="4248" w:type="dxa"/>
          </w:tcPr>
          <w:p w14:paraId="4222A0CA" w14:textId="77777777" w:rsidR="00CB4157" w:rsidRPr="009F655B" w:rsidRDefault="00CB4157" w:rsidP="009F655B">
            <w:pPr>
              <w:pStyle w:val="Leipteksti"/>
              <w:rPr>
                <w:rFonts w:eastAsia="Calibri"/>
                <w:b/>
                <w:lang w:val="sv-SE"/>
              </w:rPr>
            </w:pPr>
            <w:r w:rsidRPr="009F655B">
              <w:rPr>
                <w:rFonts w:eastAsia="Calibri"/>
                <w:b/>
                <w:bCs/>
                <w:lang w:val="sv"/>
              </w:rPr>
              <w:t>Samordning med annan EU-finansiering</w:t>
            </w:r>
          </w:p>
        </w:tc>
        <w:tc>
          <w:tcPr>
            <w:tcW w:w="5380" w:type="dxa"/>
          </w:tcPr>
          <w:p w14:paraId="457F4E82" w14:textId="77777777" w:rsidR="00CB4157" w:rsidRPr="009F655B" w:rsidRDefault="00CB4157" w:rsidP="009F655B">
            <w:pPr>
              <w:pStyle w:val="Leipteksti"/>
              <w:rPr>
                <w:rFonts w:eastAsia="Calibri"/>
                <w:lang w:val="sv-SE"/>
              </w:rPr>
            </w:pPr>
          </w:p>
        </w:tc>
      </w:tr>
      <w:tr w:rsidR="00CB4157" w:rsidRPr="00D8006F" w14:paraId="03D8E915" w14:textId="77777777" w:rsidTr="00CB4157">
        <w:trPr>
          <w:trHeight w:val="942"/>
        </w:trPr>
        <w:tc>
          <w:tcPr>
            <w:tcW w:w="9628" w:type="dxa"/>
            <w:gridSpan w:val="2"/>
          </w:tcPr>
          <w:p w14:paraId="010DA754" w14:textId="77777777" w:rsidR="00CB4157" w:rsidRPr="009F655B" w:rsidRDefault="00CB4157" w:rsidP="009F655B">
            <w:pPr>
              <w:pStyle w:val="Leipteksti"/>
              <w:rPr>
                <w:rFonts w:eastAsia="Calibri"/>
              </w:rPr>
            </w:pPr>
            <w:r w:rsidRPr="009F655B">
              <w:rPr>
                <w:rFonts w:eastAsia="Calibri"/>
                <w:b/>
                <w:bCs/>
                <w:lang w:val="sv"/>
              </w:rPr>
              <w:t>Indikatorer som ska tillämpas</w:t>
            </w:r>
          </w:p>
        </w:tc>
      </w:tr>
      <w:tr w:rsidR="00CB4157" w:rsidRPr="000F5AB4" w14:paraId="337DB277" w14:textId="77777777" w:rsidTr="00CB4157">
        <w:tc>
          <w:tcPr>
            <w:tcW w:w="4248" w:type="dxa"/>
          </w:tcPr>
          <w:p w14:paraId="33727A83" w14:textId="77777777" w:rsidR="00CB4157" w:rsidRPr="009F655B" w:rsidRDefault="00CB4157" w:rsidP="009F655B">
            <w:pPr>
              <w:pStyle w:val="Leipteksti"/>
              <w:rPr>
                <w:rFonts w:eastAsia="Calibri"/>
                <w:b/>
              </w:rPr>
            </w:pPr>
            <w:r w:rsidRPr="009F655B">
              <w:rPr>
                <w:rFonts w:eastAsia="Calibri"/>
                <w:b/>
                <w:bCs/>
                <w:lang w:val="sv"/>
              </w:rPr>
              <w:t>Ansökningstid</w:t>
            </w:r>
            <w:r w:rsidRPr="009F655B">
              <w:rPr>
                <w:rFonts w:eastAsia="Calibri"/>
                <w:lang w:val="sv"/>
              </w:rPr>
              <w:t xml:space="preserve"> </w:t>
            </w:r>
          </w:p>
        </w:tc>
        <w:tc>
          <w:tcPr>
            <w:tcW w:w="5380" w:type="dxa"/>
          </w:tcPr>
          <w:p w14:paraId="49D2B52F" w14:textId="1C50EAC2" w:rsidR="00CB4157" w:rsidRPr="00F30646" w:rsidRDefault="006216FC" w:rsidP="009F655B">
            <w:pPr>
              <w:pStyle w:val="Leipteksti"/>
              <w:rPr>
                <w:rFonts w:eastAsia="Calibri"/>
                <w:lang w:val="sv-SE"/>
              </w:rPr>
            </w:pPr>
            <w:r w:rsidRPr="007F1202">
              <w:rPr>
                <w:rFonts w:cstheme="minorHAnsi"/>
                <w:lang w:val="sv-SE"/>
              </w:rPr>
              <w:t>hösten 2024, våren 2025 om finansiering återstår/har frigjorts, hösten 2025 om finansiering återstår/har frigjorts</w:t>
            </w:r>
          </w:p>
        </w:tc>
      </w:tr>
      <w:tr w:rsidR="00CB4157" w:rsidRPr="00D8006F" w14:paraId="58AFF827" w14:textId="77777777" w:rsidTr="00CB4157">
        <w:tc>
          <w:tcPr>
            <w:tcW w:w="4248" w:type="dxa"/>
          </w:tcPr>
          <w:p w14:paraId="78344E0D" w14:textId="77777777" w:rsidR="00CB4157" w:rsidRPr="009F655B" w:rsidRDefault="00CB4157" w:rsidP="009F655B">
            <w:pPr>
              <w:pStyle w:val="Leipteksti"/>
              <w:rPr>
                <w:rFonts w:eastAsia="Calibri"/>
                <w:b/>
              </w:rPr>
            </w:pPr>
            <w:r w:rsidRPr="009F655B">
              <w:rPr>
                <w:b/>
                <w:bCs/>
                <w:lang w:val="sv"/>
              </w:rPr>
              <w:t>Projektet inleds senast</w:t>
            </w:r>
          </w:p>
        </w:tc>
        <w:tc>
          <w:tcPr>
            <w:tcW w:w="5380" w:type="dxa"/>
          </w:tcPr>
          <w:p w14:paraId="09A34C3A" w14:textId="77777777" w:rsidR="00CB4157" w:rsidRPr="009F655B" w:rsidRDefault="00CB4157" w:rsidP="009F655B">
            <w:pPr>
              <w:pStyle w:val="Leipteksti"/>
              <w:rPr>
                <w:rFonts w:eastAsia="Calibri"/>
              </w:rPr>
            </w:pPr>
            <w:r w:rsidRPr="009F655B">
              <w:rPr>
                <w:lang w:val="sv"/>
              </w:rPr>
              <w:t>Se utlysningen</w:t>
            </w:r>
          </w:p>
        </w:tc>
      </w:tr>
    </w:tbl>
    <w:p w14:paraId="71CFDB03" w14:textId="77777777" w:rsidR="00CB4157" w:rsidRDefault="00CB4157" w:rsidP="00CB4157"/>
    <w:p w14:paraId="4E12030A" w14:textId="77777777" w:rsidR="00CB4157" w:rsidRPr="00891616" w:rsidRDefault="00CB4157" w:rsidP="007939FA">
      <w:pPr>
        <w:pStyle w:val="Otsikko3"/>
        <w:rPr>
          <w:lang w:val="sv-SE"/>
        </w:rPr>
      </w:pPr>
      <w:bookmarkStart w:id="23" w:name="_Toc102727265"/>
      <w:bookmarkStart w:id="24" w:name="_Toc184224305"/>
      <w:r>
        <w:rPr>
          <w:lang w:val="sv"/>
        </w:rPr>
        <w:t xml:space="preserve">1 B Etablering, anpassning, underhåll och </w:t>
      </w:r>
      <w:proofErr w:type="spellStart"/>
      <w:r>
        <w:rPr>
          <w:lang w:val="sv"/>
        </w:rPr>
        <w:t>interoperabilitet</w:t>
      </w:r>
      <w:proofErr w:type="spellEnd"/>
      <w:r>
        <w:rPr>
          <w:lang w:val="sv"/>
        </w:rPr>
        <w:t xml:space="preserve"> av unionens säkerhetskritiska informationssystem samt säkerhetskritiska decentraliserade informationssystem</w:t>
      </w:r>
      <w:bookmarkEnd w:id="23"/>
      <w:bookmarkEnd w:id="24"/>
    </w:p>
    <w:p w14:paraId="240B87B4" w14:textId="77777777" w:rsidR="00CB4157" w:rsidRPr="00891616" w:rsidRDefault="00CB4157" w:rsidP="00CB4157">
      <w:pPr>
        <w:rPr>
          <w:lang w:val="sv-SE"/>
        </w:rPr>
      </w:pPr>
    </w:p>
    <w:tbl>
      <w:tblPr>
        <w:tblStyle w:val="TaulukkoRuudukko2"/>
        <w:tblpPr w:leftFromText="142" w:rightFromText="142" w:vertAnchor="text" w:horzAnchor="margin" w:tblpY="1"/>
        <w:tblW w:w="0" w:type="auto"/>
        <w:tblLook w:val="04A0" w:firstRow="1" w:lastRow="0" w:firstColumn="1" w:lastColumn="0" w:noHBand="0" w:noVBand="1"/>
      </w:tblPr>
      <w:tblGrid>
        <w:gridCol w:w="4248"/>
        <w:gridCol w:w="5380"/>
      </w:tblGrid>
      <w:tr w:rsidR="00CB4157" w:rsidRPr="001F0172" w14:paraId="586914D2" w14:textId="77777777" w:rsidTr="009F655B">
        <w:tc>
          <w:tcPr>
            <w:tcW w:w="9628" w:type="dxa"/>
            <w:gridSpan w:val="2"/>
            <w:shd w:val="clear" w:color="auto" w:fill="FDE2D1" w:themeFill="accent1" w:themeFillTint="33"/>
          </w:tcPr>
          <w:p w14:paraId="6961BB89" w14:textId="77777777" w:rsidR="00CB4157" w:rsidRDefault="00CB4157" w:rsidP="009F655B">
            <w:pPr>
              <w:pStyle w:val="Otsikko4"/>
              <w:rPr>
                <w:rFonts w:ascii="Calibri" w:hAnsi="Calibri" w:cs="Times New Roman"/>
              </w:rPr>
            </w:pPr>
            <w:bookmarkStart w:id="25" w:name="_Toc102727266"/>
            <w:bookmarkStart w:id="26" w:name="_Hlk93406305"/>
            <w:r>
              <w:rPr>
                <w:lang w:val="sv"/>
              </w:rPr>
              <w:t xml:space="preserve">1 B 1 Informationssystemens </w:t>
            </w:r>
            <w:proofErr w:type="spellStart"/>
            <w:r>
              <w:rPr>
                <w:lang w:val="sv"/>
              </w:rPr>
              <w:t>interoperabilitet</w:t>
            </w:r>
            <w:bookmarkEnd w:id="25"/>
            <w:proofErr w:type="spellEnd"/>
            <w:r>
              <w:rPr>
                <w:rFonts w:ascii="Calibri" w:hAnsi="Calibri"/>
                <w:lang w:val="sv"/>
              </w:rPr>
              <w:t xml:space="preserve"> </w:t>
            </w:r>
          </w:p>
          <w:p w14:paraId="65646AFB" w14:textId="77777777" w:rsidR="00CB4157" w:rsidRPr="00016826" w:rsidRDefault="00CB4157" w:rsidP="00CB4157"/>
        </w:tc>
      </w:tr>
      <w:tr w:rsidR="00CB4157" w:rsidRPr="000F5AB4" w14:paraId="6B33C99C" w14:textId="77777777" w:rsidTr="00CB4157">
        <w:trPr>
          <w:trHeight w:val="841"/>
        </w:trPr>
        <w:tc>
          <w:tcPr>
            <w:tcW w:w="9628" w:type="dxa"/>
            <w:gridSpan w:val="2"/>
          </w:tcPr>
          <w:p w14:paraId="52509CDF" w14:textId="77777777" w:rsidR="00CB4157" w:rsidRPr="009F655B" w:rsidRDefault="00CB4157" w:rsidP="009F655B">
            <w:pPr>
              <w:pStyle w:val="Leipteksti"/>
              <w:rPr>
                <w:noProof/>
                <w:lang w:val="sv-SE"/>
              </w:rPr>
            </w:pPr>
          </w:p>
          <w:p w14:paraId="799EF605" w14:textId="77777777" w:rsidR="00CB4157" w:rsidRPr="009F655B" w:rsidRDefault="00CB4157" w:rsidP="009F655B">
            <w:pPr>
              <w:pStyle w:val="Leipteksti"/>
              <w:rPr>
                <w:noProof/>
                <w:lang w:val="sv-SE"/>
              </w:rPr>
            </w:pPr>
            <w:r w:rsidRPr="009F655B">
              <w:rPr>
                <w:noProof/>
                <w:lang w:val="sv"/>
              </w:rPr>
              <w:t>Funktioner som gäller interoperabiliteten mellan informationssystem i hela EU enligt förordningarna om interoperabilitet mellan EU:s informationssystem. Interoperabilitet påverkar också de nationella informationssystemens funktion och verksamhetsprocesser, vilka ska utvecklas i enlighet med redan identifierade och framtida behov.</w:t>
            </w:r>
            <w:r w:rsidRPr="009F655B">
              <w:rPr>
                <w:lang w:val="sv"/>
              </w:rPr>
              <w:t xml:space="preserve">  Vid utveckling av </w:t>
            </w:r>
            <w:proofErr w:type="spellStart"/>
            <w:r w:rsidRPr="009F655B">
              <w:rPr>
                <w:lang w:val="sv"/>
              </w:rPr>
              <w:t>interoperabilitet</w:t>
            </w:r>
            <w:proofErr w:type="spellEnd"/>
            <w:r w:rsidRPr="009F655B">
              <w:rPr>
                <w:lang w:val="sv"/>
              </w:rPr>
              <w:t xml:space="preserve"> ska man utöver ändringar i informationssystem även beakta tillräcklig </w:t>
            </w:r>
            <w:r w:rsidRPr="009F655B">
              <w:rPr>
                <w:lang w:val="sv"/>
              </w:rPr>
              <w:lastRenderedPageBreak/>
              <w:t xml:space="preserve">begreppsmässig </w:t>
            </w:r>
            <w:proofErr w:type="spellStart"/>
            <w:r w:rsidRPr="009F655B">
              <w:rPr>
                <w:lang w:val="sv"/>
              </w:rPr>
              <w:t>interoperabilitet</w:t>
            </w:r>
            <w:proofErr w:type="spellEnd"/>
            <w:r w:rsidRPr="009F655B">
              <w:rPr>
                <w:lang w:val="sv"/>
              </w:rPr>
              <w:t xml:space="preserve"> och utvecklingen av </w:t>
            </w:r>
            <w:proofErr w:type="spellStart"/>
            <w:r w:rsidRPr="009F655B">
              <w:rPr>
                <w:lang w:val="sv"/>
              </w:rPr>
              <w:t>källsystemens</w:t>
            </w:r>
            <w:proofErr w:type="spellEnd"/>
            <w:r w:rsidRPr="009F655B">
              <w:rPr>
                <w:lang w:val="sv"/>
              </w:rPr>
              <w:t xml:space="preserve"> metadatastrukturer så att den inre säkerhetens processer, informationsutbyte och informationshanteringens förfaranden bildar en helhet som säkerställer </w:t>
            </w:r>
            <w:proofErr w:type="spellStart"/>
            <w:r w:rsidRPr="009F655B">
              <w:rPr>
                <w:lang w:val="sv"/>
              </w:rPr>
              <w:t>interoperabilitets</w:t>
            </w:r>
            <w:proofErr w:type="spellEnd"/>
            <w:r w:rsidRPr="009F655B">
              <w:rPr>
                <w:lang w:val="sv"/>
              </w:rPr>
              <w:t>- och säkerhetskraven.</w:t>
            </w:r>
          </w:p>
          <w:p w14:paraId="625103F1" w14:textId="77777777" w:rsidR="00CB4157" w:rsidRPr="009F655B" w:rsidRDefault="00CB4157" w:rsidP="009F655B">
            <w:pPr>
              <w:pStyle w:val="Leipteksti"/>
              <w:rPr>
                <w:noProof/>
                <w:lang w:val="sv-SE"/>
              </w:rPr>
            </w:pPr>
          </w:p>
          <w:p w14:paraId="59112491" w14:textId="77777777" w:rsidR="00CB4157" w:rsidRPr="009F655B" w:rsidRDefault="00CB4157" w:rsidP="009F655B">
            <w:pPr>
              <w:pStyle w:val="Leipteksti"/>
              <w:rPr>
                <w:lang w:val="sv-SE"/>
              </w:rPr>
            </w:pPr>
            <w:r w:rsidRPr="009F655B">
              <w:rPr>
                <w:b/>
                <w:bCs/>
                <w:lang w:val="sv"/>
              </w:rPr>
              <w:t xml:space="preserve">Syftet är att bekämpa, upptäcka eller utreda grova brott genom att säkerställa </w:t>
            </w:r>
            <w:proofErr w:type="spellStart"/>
            <w:r w:rsidRPr="009F655B">
              <w:rPr>
                <w:b/>
                <w:bCs/>
                <w:lang w:val="sv"/>
              </w:rPr>
              <w:t>interoperabilitet</w:t>
            </w:r>
            <w:proofErr w:type="spellEnd"/>
            <w:r w:rsidRPr="009F655B">
              <w:rPr>
                <w:b/>
                <w:bCs/>
                <w:lang w:val="sv"/>
              </w:rPr>
              <w:t xml:space="preserve"> mellan relevanta informationssystem såväl nationellt som på EU-nivå och myndigheternas tillgång till nödvändig information. Säkerhetsmyndigheter har till sitt förfogande tekniska lösningar som möjliggör sökning av nationell och internationell information, oavsett nationella och internationella datakällor och användarmyndighet, på ett så omfattande sätt som möjligt i enlighet med principerna för dataskydd och datasäkerhet.</w:t>
            </w:r>
            <w:r w:rsidRPr="009F655B">
              <w:rPr>
                <w:lang w:val="sv"/>
              </w:rPr>
              <w:t xml:space="preserve"> </w:t>
            </w:r>
            <w:r w:rsidRPr="009F655B">
              <w:rPr>
                <w:b/>
                <w:bCs/>
                <w:lang w:val="sv"/>
              </w:rPr>
              <w:t xml:space="preserve"> Hela den straffrättsliga kedjan fungerar sömlöst.</w:t>
            </w:r>
          </w:p>
          <w:p w14:paraId="01B4BDB9" w14:textId="77777777" w:rsidR="00CB4157" w:rsidRPr="009F655B" w:rsidRDefault="00CB4157" w:rsidP="009F655B">
            <w:pPr>
              <w:pStyle w:val="Leipteksti"/>
              <w:rPr>
                <w:lang w:val="sv-SE"/>
              </w:rPr>
            </w:pPr>
          </w:p>
          <w:p w14:paraId="0DDF1D07" w14:textId="77777777" w:rsidR="00CB4157" w:rsidRPr="009F655B" w:rsidRDefault="00CB4157" w:rsidP="009F655B">
            <w:pPr>
              <w:pStyle w:val="Leipteksti"/>
              <w:rPr>
                <w:b/>
                <w:color w:val="000000"/>
                <w:lang w:val="sv-SE"/>
              </w:rPr>
            </w:pPr>
            <w:r w:rsidRPr="009F655B">
              <w:rPr>
                <w:color w:val="000000"/>
                <w:lang w:val="sv"/>
              </w:rPr>
              <w:t xml:space="preserve">Understöd kan beviljas för projekt där man till exempel: </w:t>
            </w:r>
          </w:p>
          <w:p w14:paraId="43695F93" w14:textId="77777777" w:rsidR="00CB4157" w:rsidRPr="009F655B" w:rsidRDefault="00CB4157" w:rsidP="00A17F47">
            <w:pPr>
              <w:pStyle w:val="Leipteksti"/>
              <w:numPr>
                <w:ilvl w:val="0"/>
                <w:numId w:val="5"/>
              </w:numPr>
              <w:rPr>
                <w:lang w:val="sv-SE"/>
              </w:rPr>
            </w:pPr>
            <w:r w:rsidRPr="009F655B">
              <w:rPr>
                <w:lang w:val="sv"/>
              </w:rPr>
              <w:t xml:space="preserve">skapar bred nationell </w:t>
            </w:r>
            <w:proofErr w:type="spellStart"/>
            <w:r w:rsidRPr="009F655B">
              <w:rPr>
                <w:lang w:val="sv"/>
              </w:rPr>
              <w:t>interoperabilitet</w:t>
            </w:r>
            <w:proofErr w:type="spellEnd"/>
            <w:r w:rsidRPr="009F655B">
              <w:rPr>
                <w:lang w:val="sv"/>
              </w:rPr>
              <w:t xml:space="preserve"> för att uppfylla internationella åtaganden genom utveckling av informations-, drifts- och åtkomstarkitektur och design av tekniska lösningar, </w:t>
            </w:r>
          </w:p>
          <w:p w14:paraId="3C846691" w14:textId="77777777" w:rsidR="00CB4157" w:rsidRPr="009F655B" w:rsidRDefault="00CB4157" w:rsidP="00A17F47">
            <w:pPr>
              <w:pStyle w:val="Leipteksti"/>
              <w:numPr>
                <w:ilvl w:val="0"/>
                <w:numId w:val="5"/>
              </w:numPr>
              <w:rPr>
                <w:lang w:val="sv-SE"/>
              </w:rPr>
            </w:pPr>
            <w:r w:rsidRPr="009F655B">
              <w:rPr>
                <w:lang w:val="sv"/>
              </w:rPr>
              <w:t xml:space="preserve">utvecklar nationella informations-, ärendehanterings- och meddelandesystem, till exempel slutförande av pågående SIS III-utvecklingsåtgärder, utveckling av </w:t>
            </w:r>
            <w:proofErr w:type="spellStart"/>
            <w:r w:rsidRPr="009F655B">
              <w:rPr>
                <w:lang w:val="sv"/>
              </w:rPr>
              <w:t>Tunto</w:t>
            </w:r>
            <w:proofErr w:type="spellEnd"/>
            <w:r w:rsidRPr="009F655B">
              <w:rPr>
                <w:lang w:val="sv"/>
              </w:rPr>
              <w:t>- och CRIS-systemen, vapeninformationssystem,</w:t>
            </w:r>
          </w:p>
          <w:p w14:paraId="3E5F8C30" w14:textId="77777777" w:rsidR="00CB4157" w:rsidRPr="009F655B" w:rsidRDefault="00CB4157" w:rsidP="00A17F47">
            <w:pPr>
              <w:pStyle w:val="Leipteksti"/>
              <w:numPr>
                <w:ilvl w:val="0"/>
                <w:numId w:val="5"/>
              </w:numPr>
              <w:rPr>
                <w:lang w:val="sv-SE"/>
              </w:rPr>
            </w:pPr>
            <w:r w:rsidRPr="009F655B">
              <w:rPr>
                <w:lang w:val="sv"/>
              </w:rPr>
              <w:t xml:space="preserve">bygger gränssnitt, integrationer och funktioner relaterade till </w:t>
            </w:r>
            <w:proofErr w:type="spellStart"/>
            <w:r w:rsidRPr="009F655B">
              <w:rPr>
                <w:lang w:val="sv"/>
              </w:rPr>
              <w:t>interoperabiliteten</w:t>
            </w:r>
            <w:proofErr w:type="spellEnd"/>
            <w:r w:rsidRPr="009F655B">
              <w:rPr>
                <w:lang w:val="sv"/>
              </w:rPr>
              <w:t xml:space="preserve"> mellan EU-omfattande informationssystem med hänsyn till datasäkerhet,</w:t>
            </w:r>
          </w:p>
          <w:p w14:paraId="7291DA29" w14:textId="77777777" w:rsidR="00CB4157" w:rsidRPr="00911344" w:rsidRDefault="00CB4157" w:rsidP="00A17F47">
            <w:pPr>
              <w:pStyle w:val="Leipteksti"/>
              <w:numPr>
                <w:ilvl w:val="0"/>
                <w:numId w:val="5"/>
              </w:numPr>
              <w:rPr>
                <w:lang w:val="sv-SE"/>
              </w:rPr>
            </w:pPr>
            <w:r w:rsidRPr="009F655B">
              <w:rPr>
                <w:lang w:val="sv"/>
              </w:rPr>
              <w:t>skapar behövliga åtkomstpunkter,</w:t>
            </w:r>
          </w:p>
          <w:p w14:paraId="606B5718" w14:textId="77777777" w:rsidR="00CB4157" w:rsidRPr="009F655B" w:rsidRDefault="00CB4157" w:rsidP="00A17F47">
            <w:pPr>
              <w:pStyle w:val="Leipteksti"/>
              <w:numPr>
                <w:ilvl w:val="0"/>
                <w:numId w:val="5"/>
              </w:numPr>
              <w:rPr>
                <w:lang w:val="sv-SE"/>
              </w:rPr>
            </w:pPr>
            <w:r w:rsidRPr="009F655B">
              <w:rPr>
                <w:rFonts w:eastAsia="Calibri"/>
                <w:lang w:val="sv"/>
              </w:rPr>
              <w:t xml:space="preserve">utbildar myndigheter i verkställandet av </w:t>
            </w:r>
            <w:proofErr w:type="spellStart"/>
            <w:r w:rsidRPr="009F655B">
              <w:rPr>
                <w:rFonts w:eastAsia="Calibri"/>
                <w:lang w:val="sv"/>
              </w:rPr>
              <w:t>interoperabilitetsförordningar</w:t>
            </w:r>
            <w:proofErr w:type="spellEnd"/>
            <w:r w:rsidRPr="009F655B">
              <w:rPr>
                <w:rFonts w:eastAsia="Calibri"/>
                <w:lang w:val="sv"/>
              </w:rPr>
              <w:t xml:space="preserve"> och införandet av förändringar av informationssystem, </w:t>
            </w:r>
          </w:p>
          <w:p w14:paraId="10F92BD5" w14:textId="77777777" w:rsidR="00CB4157" w:rsidRPr="009F655B" w:rsidRDefault="00CB4157" w:rsidP="00A17F47">
            <w:pPr>
              <w:pStyle w:val="Leipteksti"/>
              <w:numPr>
                <w:ilvl w:val="0"/>
                <w:numId w:val="5"/>
              </w:numPr>
              <w:rPr>
                <w:lang w:val="sv-SE"/>
              </w:rPr>
            </w:pPr>
            <w:r w:rsidRPr="009F655B">
              <w:rPr>
                <w:lang w:val="sv"/>
              </w:rPr>
              <w:t>implementerar nödvändiga processförändringar och riktlinjer.</w:t>
            </w:r>
          </w:p>
          <w:p w14:paraId="7832E0FA" w14:textId="77777777" w:rsidR="00CB4157" w:rsidRPr="009F655B" w:rsidRDefault="00CB4157" w:rsidP="009F655B">
            <w:pPr>
              <w:pStyle w:val="Leipteksti"/>
              <w:rPr>
                <w:lang w:val="sv-SE"/>
              </w:rPr>
            </w:pPr>
            <w:r w:rsidRPr="009F655B">
              <w:rPr>
                <w:lang w:val="sv"/>
              </w:rPr>
              <w:t>Resultatmål:</w:t>
            </w:r>
          </w:p>
          <w:p w14:paraId="52EDC94F" w14:textId="77777777" w:rsidR="00CB4157" w:rsidRPr="009F655B" w:rsidRDefault="00CB4157" w:rsidP="009F655B">
            <w:pPr>
              <w:pStyle w:val="Leipteksti"/>
              <w:rPr>
                <w:lang w:val="sv-SE"/>
              </w:rPr>
            </w:pPr>
            <w:r w:rsidRPr="009F655B">
              <w:rPr>
                <w:lang w:val="sv"/>
              </w:rPr>
              <w:lastRenderedPageBreak/>
              <w:t>De nationella informationssystemförändringarna, anslutningarna och gränssnitten har med de gemensamma plattformar och system som används på EU-nivå implementerats inom den överenskomna tidsramen,</w:t>
            </w:r>
          </w:p>
          <w:p w14:paraId="0750CA86" w14:textId="77777777" w:rsidR="00CB4157" w:rsidRPr="009F655B" w:rsidRDefault="00CB4157" w:rsidP="00A17F47">
            <w:pPr>
              <w:pStyle w:val="Leipteksti"/>
              <w:numPr>
                <w:ilvl w:val="0"/>
                <w:numId w:val="6"/>
              </w:numPr>
              <w:rPr>
                <w:lang w:val="sv-SE"/>
              </w:rPr>
            </w:pPr>
            <w:r w:rsidRPr="009F655B">
              <w:rPr>
                <w:lang w:val="sv"/>
              </w:rPr>
              <w:t>uppgifterna i informationssystem på EU-nivå har integrerats i analysen av passagerarinformation,</w:t>
            </w:r>
          </w:p>
          <w:p w14:paraId="41761C98" w14:textId="77777777" w:rsidR="00CB4157" w:rsidRPr="009F655B" w:rsidRDefault="00CB4157" w:rsidP="00A17F47">
            <w:pPr>
              <w:pStyle w:val="Leipteksti"/>
              <w:numPr>
                <w:ilvl w:val="0"/>
                <w:numId w:val="6"/>
              </w:numPr>
              <w:rPr>
                <w:rFonts w:eastAsia="Calibri"/>
                <w:lang w:val="sv-SE"/>
              </w:rPr>
            </w:pPr>
            <w:r w:rsidRPr="009F655B">
              <w:rPr>
                <w:lang w:val="sv"/>
              </w:rPr>
              <w:t>myndigheterna är utbildade i användningen av systemen och har en klar förståelse för hur systemen fungerar och hur de påverkar det egna arbetet.</w:t>
            </w:r>
          </w:p>
        </w:tc>
      </w:tr>
      <w:tr w:rsidR="00CB4157" w:rsidRPr="000F5AB4" w14:paraId="5D990DF8" w14:textId="77777777" w:rsidTr="00CB4157">
        <w:trPr>
          <w:trHeight w:val="789"/>
        </w:trPr>
        <w:tc>
          <w:tcPr>
            <w:tcW w:w="4248" w:type="dxa"/>
          </w:tcPr>
          <w:p w14:paraId="3CCA5012" w14:textId="77777777" w:rsidR="00CB4157" w:rsidRPr="009F655B" w:rsidRDefault="00CB4157" w:rsidP="009F655B">
            <w:pPr>
              <w:pStyle w:val="Leipteksti"/>
              <w:rPr>
                <w:rFonts w:eastAsia="Calibri"/>
                <w:b/>
              </w:rPr>
            </w:pPr>
            <w:r w:rsidRPr="009F655B">
              <w:rPr>
                <w:rFonts w:eastAsia="Calibri"/>
                <w:b/>
                <w:bCs/>
                <w:lang w:val="sv"/>
              </w:rPr>
              <w:lastRenderedPageBreak/>
              <w:t>Understöd</w:t>
            </w:r>
          </w:p>
        </w:tc>
        <w:tc>
          <w:tcPr>
            <w:tcW w:w="5380" w:type="dxa"/>
          </w:tcPr>
          <w:p w14:paraId="386E99AE" w14:textId="77777777" w:rsidR="00CB4157" w:rsidRPr="009F655B" w:rsidRDefault="00CB4157" w:rsidP="009F655B">
            <w:pPr>
              <w:pStyle w:val="Leipteksti"/>
              <w:rPr>
                <w:rFonts w:eastAsia="Calibri"/>
                <w:lang w:val="sv-SE"/>
              </w:rPr>
            </w:pPr>
            <w:r w:rsidRPr="009F655B">
              <w:rPr>
                <w:rFonts w:eastAsia="Calibri"/>
                <w:lang w:val="sv"/>
              </w:rPr>
              <w:t>75 %</w:t>
            </w:r>
          </w:p>
          <w:p w14:paraId="060A8B92" w14:textId="77777777" w:rsidR="00CB4157" w:rsidRPr="009F655B" w:rsidRDefault="00CB4157" w:rsidP="009F655B">
            <w:pPr>
              <w:pStyle w:val="Leipteksti"/>
              <w:rPr>
                <w:rFonts w:eastAsia="Calibri"/>
                <w:lang w:val="sv-SE"/>
              </w:rPr>
            </w:pPr>
            <w:r w:rsidRPr="009F655B">
              <w:rPr>
                <w:rFonts w:eastAsia="Calibri"/>
                <w:lang w:val="sv"/>
              </w:rPr>
              <w:t xml:space="preserve">Understödet kan höjas till 90 procent för projekt som syftar till att förbättra </w:t>
            </w:r>
            <w:proofErr w:type="spellStart"/>
            <w:r w:rsidRPr="009F655B">
              <w:rPr>
                <w:rFonts w:eastAsia="Calibri"/>
                <w:lang w:val="sv"/>
              </w:rPr>
              <w:t>interoperabiliteten</w:t>
            </w:r>
            <w:proofErr w:type="spellEnd"/>
            <w:r w:rsidRPr="009F655B">
              <w:rPr>
                <w:rFonts w:eastAsia="Calibri"/>
                <w:lang w:val="sv"/>
              </w:rPr>
              <w:t xml:space="preserve"> mellan EU:s informationssystem och nationella informations- och kommunikationstekniksystem (IKT-system), i den utsträckning som föreskrivs i unionslagstiftning eller nationell lagstiftning.</w:t>
            </w:r>
          </w:p>
        </w:tc>
      </w:tr>
      <w:tr w:rsidR="00CB4157" w:rsidRPr="001F0172" w14:paraId="13268E2D" w14:textId="77777777" w:rsidTr="00CB4157">
        <w:tc>
          <w:tcPr>
            <w:tcW w:w="4248" w:type="dxa"/>
          </w:tcPr>
          <w:p w14:paraId="53B9CA32" w14:textId="77777777" w:rsidR="00CB4157" w:rsidRPr="009F655B" w:rsidRDefault="00CB4157" w:rsidP="009F655B">
            <w:pPr>
              <w:pStyle w:val="Leipteksti"/>
              <w:rPr>
                <w:rFonts w:eastAsia="Calibri"/>
              </w:rPr>
            </w:pPr>
            <w:r w:rsidRPr="009F655B">
              <w:rPr>
                <w:rFonts w:eastAsia="Calibri"/>
                <w:b/>
                <w:bCs/>
                <w:lang w:val="sv"/>
              </w:rPr>
              <w:t>Möjliga stödmottagare</w:t>
            </w:r>
          </w:p>
        </w:tc>
        <w:tc>
          <w:tcPr>
            <w:tcW w:w="5380" w:type="dxa"/>
          </w:tcPr>
          <w:p w14:paraId="198EB79C" w14:textId="77777777" w:rsidR="00CB4157" w:rsidRPr="009F655B" w:rsidRDefault="00CB4157" w:rsidP="009F655B">
            <w:pPr>
              <w:pStyle w:val="Leipteksti"/>
              <w:rPr>
                <w:rFonts w:eastAsia="Calibri"/>
              </w:rPr>
            </w:pPr>
            <w:r w:rsidRPr="009F655B">
              <w:rPr>
                <w:rFonts w:eastAsia="Calibri"/>
                <w:lang w:val="sv"/>
              </w:rPr>
              <w:t>Behöriga myndigheter</w:t>
            </w:r>
          </w:p>
        </w:tc>
      </w:tr>
      <w:tr w:rsidR="00CB4157" w:rsidRPr="000F5AB4" w14:paraId="6F35A4B4" w14:textId="77777777" w:rsidTr="00CB4157">
        <w:tc>
          <w:tcPr>
            <w:tcW w:w="4248" w:type="dxa"/>
          </w:tcPr>
          <w:p w14:paraId="49291828" w14:textId="77777777" w:rsidR="00CB4157" w:rsidRPr="009F655B" w:rsidRDefault="00CB4157" w:rsidP="009F655B">
            <w:pPr>
              <w:pStyle w:val="Leipteksti"/>
              <w:rPr>
                <w:rFonts w:eastAsia="Calibri"/>
                <w:b/>
                <w:lang w:val="sv-SE"/>
              </w:rPr>
            </w:pPr>
            <w:r w:rsidRPr="009F655B">
              <w:rPr>
                <w:rFonts w:eastAsia="Calibri"/>
                <w:b/>
                <w:bCs/>
                <w:lang w:val="sv"/>
              </w:rPr>
              <w:t>Samordning med annan EU-finansiering</w:t>
            </w:r>
          </w:p>
        </w:tc>
        <w:tc>
          <w:tcPr>
            <w:tcW w:w="5380" w:type="dxa"/>
          </w:tcPr>
          <w:p w14:paraId="48909F22" w14:textId="77777777" w:rsidR="00CB4157" w:rsidRPr="009F655B" w:rsidRDefault="00CB4157" w:rsidP="009F655B">
            <w:pPr>
              <w:pStyle w:val="Leipteksti"/>
              <w:rPr>
                <w:rFonts w:eastAsia="Calibri"/>
                <w:lang w:val="sv-SE"/>
              </w:rPr>
            </w:pPr>
          </w:p>
        </w:tc>
      </w:tr>
      <w:tr w:rsidR="00CB4157" w:rsidRPr="000F5AB4" w14:paraId="665AD712" w14:textId="77777777" w:rsidTr="00CB4157">
        <w:tc>
          <w:tcPr>
            <w:tcW w:w="9628" w:type="dxa"/>
            <w:gridSpan w:val="2"/>
          </w:tcPr>
          <w:p w14:paraId="77FC86EC" w14:textId="77777777" w:rsidR="00CB4157" w:rsidRPr="009F655B" w:rsidRDefault="00CB4157" w:rsidP="009F655B">
            <w:pPr>
              <w:pStyle w:val="Leipteksti"/>
              <w:rPr>
                <w:rFonts w:eastAsia="Calibri"/>
                <w:lang w:val="sv-SE"/>
              </w:rPr>
            </w:pPr>
            <w:r w:rsidRPr="009F655B">
              <w:rPr>
                <w:rFonts w:eastAsia="Calibri"/>
                <w:b/>
                <w:bCs/>
                <w:lang w:val="sv"/>
              </w:rPr>
              <w:t>Indikatorer som ska tillämpas</w:t>
            </w:r>
            <w:r w:rsidRPr="009F655B">
              <w:rPr>
                <w:rFonts w:eastAsia="Calibri"/>
                <w:lang w:val="sv"/>
              </w:rPr>
              <w:t xml:space="preserve"> </w:t>
            </w:r>
          </w:p>
          <w:p w14:paraId="2DD0FD8D" w14:textId="5E732B0A" w:rsidR="00CB4157" w:rsidRPr="009F655B" w:rsidRDefault="00CB4157" w:rsidP="009F655B">
            <w:pPr>
              <w:pStyle w:val="Leipteksti"/>
              <w:rPr>
                <w:lang w:val="sv-SE"/>
              </w:rPr>
            </w:pPr>
            <w:r w:rsidRPr="009F655B">
              <w:rPr>
                <w:lang w:val="sv"/>
              </w:rPr>
              <w:t>I åtgärderna ska även tillämpas andra indikatorer än de som finns i detta s</w:t>
            </w:r>
            <w:r w:rsidR="000473F1">
              <w:rPr>
                <w:lang w:val="sv"/>
              </w:rPr>
              <w:t>pecifik</w:t>
            </w:r>
            <w:r w:rsidRPr="009F655B">
              <w:rPr>
                <w:lang w:val="sv"/>
              </w:rPr>
              <w:t>a mål, om verksamheten som genomförs kan mätas med dem.</w:t>
            </w:r>
          </w:p>
          <w:p w14:paraId="080A912E" w14:textId="587BF64B" w:rsidR="00CB4157" w:rsidRPr="009F655B" w:rsidRDefault="003516ED" w:rsidP="009F655B">
            <w:pPr>
              <w:pStyle w:val="Leipteksti"/>
              <w:rPr>
                <w:lang w:val="sv-SE"/>
              </w:rPr>
            </w:pPr>
            <w:r>
              <w:rPr>
                <w:lang w:val="sv"/>
              </w:rPr>
              <w:t>Output</w:t>
            </w:r>
            <w:r w:rsidR="00CB4157" w:rsidRPr="009F655B">
              <w:rPr>
                <w:lang w:val="sv"/>
              </w:rPr>
              <w:t>indikatorer:</w:t>
            </w:r>
          </w:p>
          <w:p w14:paraId="18703A40" w14:textId="77777777" w:rsidR="00CB4157" w:rsidRPr="009F655B" w:rsidRDefault="00CB4157" w:rsidP="009F655B">
            <w:pPr>
              <w:pStyle w:val="Leipteksti"/>
              <w:rPr>
                <w:rFonts w:eastAsia="Calibri"/>
                <w:lang w:val="sv-SE"/>
              </w:rPr>
            </w:pPr>
            <w:r w:rsidRPr="009F655B">
              <w:rPr>
                <w:rFonts w:eastAsia="Calibri"/>
                <w:lang w:val="sv"/>
              </w:rPr>
              <w:t>O.1.1 Antal deltagare i utbildningsverksamhet</w:t>
            </w:r>
          </w:p>
          <w:p w14:paraId="247766FE" w14:textId="77777777" w:rsidR="00CB4157" w:rsidRPr="009F655B" w:rsidRDefault="00CB4157" w:rsidP="009F655B">
            <w:pPr>
              <w:pStyle w:val="Leipteksti"/>
              <w:rPr>
                <w:rFonts w:eastAsia="Calibri"/>
                <w:lang w:val="sv-SE"/>
              </w:rPr>
            </w:pPr>
            <w:r w:rsidRPr="009F655B">
              <w:rPr>
                <w:rFonts w:eastAsia="Calibri"/>
                <w:lang w:val="sv"/>
              </w:rPr>
              <w:t xml:space="preserve">O.1.2 Antal expertmöten/workshops/studiebesök </w:t>
            </w:r>
          </w:p>
          <w:p w14:paraId="13B6EB87" w14:textId="77777777" w:rsidR="00CB4157" w:rsidRPr="009F655B" w:rsidRDefault="00CB4157" w:rsidP="009F655B">
            <w:pPr>
              <w:pStyle w:val="Leipteksti"/>
              <w:rPr>
                <w:rFonts w:eastAsia="Calibri"/>
                <w:lang w:val="sv-SE"/>
              </w:rPr>
            </w:pPr>
            <w:r w:rsidRPr="009F655B">
              <w:rPr>
                <w:rFonts w:eastAsia="Calibri"/>
                <w:lang w:val="sv"/>
              </w:rPr>
              <w:t>O.1.3 Antal etablerade/anpassade /underhållna informations- och kommunikationstekniksystem (IKT-system)</w:t>
            </w:r>
          </w:p>
          <w:p w14:paraId="6B7657EE" w14:textId="77777777" w:rsidR="00CB4157" w:rsidRPr="009F655B" w:rsidRDefault="00CB4157" w:rsidP="009F655B">
            <w:pPr>
              <w:pStyle w:val="Leipteksti"/>
              <w:rPr>
                <w:rFonts w:eastAsia="Calibri"/>
                <w:lang w:val="sv-SE"/>
              </w:rPr>
            </w:pPr>
            <w:r w:rsidRPr="009F655B">
              <w:rPr>
                <w:rFonts w:eastAsia="Calibri"/>
                <w:lang w:val="sv"/>
              </w:rPr>
              <w:t>O.1.4 Mängden anskaffad utrustning</w:t>
            </w:r>
          </w:p>
          <w:p w14:paraId="5C691A2D" w14:textId="77777777" w:rsidR="00CB4157" w:rsidRPr="009F655B" w:rsidRDefault="00CB4157" w:rsidP="009F655B">
            <w:pPr>
              <w:pStyle w:val="Leipteksti"/>
              <w:rPr>
                <w:rFonts w:eastAsia="Calibri"/>
                <w:lang w:val="sv-SE"/>
              </w:rPr>
            </w:pPr>
            <w:r w:rsidRPr="009F655B">
              <w:rPr>
                <w:rFonts w:eastAsia="Calibri"/>
                <w:lang w:val="sv"/>
              </w:rPr>
              <w:t>Resultatindikatorer:</w:t>
            </w:r>
          </w:p>
          <w:p w14:paraId="471E1341" w14:textId="77777777" w:rsidR="00CB4157" w:rsidRPr="009F655B" w:rsidRDefault="00CB4157" w:rsidP="009F655B">
            <w:pPr>
              <w:pStyle w:val="Leipteksti"/>
              <w:rPr>
                <w:rFonts w:eastAsia="Calibri"/>
                <w:lang w:val="sv-SE"/>
              </w:rPr>
            </w:pPr>
            <w:r w:rsidRPr="009F655B">
              <w:rPr>
                <w:rFonts w:eastAsia="Calibri"/>
                <w:lang w:val="sv"/>
              </w:rPr>
              <w:lastRenderedPageBreak/>
              <w:t>R.1.5 Antal IKT-system som gjorts interoperabla i medlemsstaterna/med säkerhetskritiska informationssystem inom EU och säkerhetskritiska decentraliserade informationssystem/internationella databaser</w:t>
            </w:r>
          </w:p>
          <w:p w14:paraId="67D57575" w14:textId="77777777" w:rsidR="00CB4157" w:rsidRPr="009F655B" w:rsidRDefault="00CB4157" w:rsidP="009F655B">
            <w:pPr>
              <w:pStyle w:val="Leipteksti"/>
              <w:rPr>
                <w:rFonts w:eastAsia="Calibri"/>
                <w:lang w:val="sv-SE"/>
              </w:rPr>
            </w:pPr>
            <w:r w:rsidRPr="009F655B">
              <w:rPr>
                <w:rFonts w:eastAsia="Calibri"/>
                <w:lang w:val="sv"/>
              </w:rPr>
              <w:t>R.1.7 Antal deltagare som tycker att utbildningen är användbar i arbetet</w:t>
            </w:r>
          </w:p>
          <w:p w14:paraId="03080956" w14:textId="77777777" w:rsidR="00CB4157" w:rsidRPr="009F655B" w:rsidRDefault="00CB4157" w:rsidP="009F655B">
            <w:pPr>
              <w:pStyle w:val="Leipteksti"/>
              <w:rPr>
                <w:rFonts w:eastAsia="Calibri"/>
                <w:lang w:val="sv-SE"/>
              </w:rPr>
            </w:pPr>
            <w:r w:rsidRPr="009F655B">
              <w:rPr>
                <w:rFonts w:eastAsia="Calibri"/>
                <w:lang w:val="sv"/>
              </w:rPr>
              <w:t>R.1.8 Antal deltagare som tre månader efter utbildningsaktiviteten anger att de använder de färdigheter och kompetenser som förvärvats i den utbildningsaktiviteten</w:t>
            </w:r>
          </w:p>
        </w:tc>
      </w:tr>
      <w:tr w:rsidR="00CB4157" w:rsidRPr="000F5AB4" w14:paraId="413A51EB" w14:textId="77777777" w:rsidTr="00CB4157">
        <w:tc>
          <w:tcPr>
            <w:tcW w:w="4248" w:type="dxa"/>
          </w:tcPr>
          <w:p w14:paraId="45F9BB89" w14:textId="77777777" w:rsidR="00CB4157" w:rsidRPr="009F655B" w:rsidRDefault="00CB4157" w:rsidP="009F655B">
            <w:pPr>
              <w:pStyle w:val="Leipteksti"/>
              <w:rPr>
                <w:rFonts w:eastAsia="Calibri"/>
                <w:b/>
              </w:rPr>
            </w:pPr>
            <w:r w:rsidRPr="009F655B">
              <w:rPr>
                <w:rFonts w:eastAsia="Calibri"/>
                <w:b/>
                <w:bCs/>
                <w:lang w:val="sv"/>
              </w:rPr>
              <w:lastRenderedPageBreak/>
              <w:t>Ansökningstid</w:t>
            </w:r>
          </w:p>
        </w:tc>
        <w:tc>
          <w:tcPr>
            <w:tcW w:w="5380" w:type="dxa"/>
          </w:tcPr>
          <w:p w14:paraId="189C5A21" w14:textId="16032600" w:rsidR="00CB4157" w:rsidRPr="00F30646" w:rsidRDefault="006216FC" w:rsidP="009F655B">
            <w:pPr>
              <w:pStyle w:val="Leipteksti"/>
              <w:rPr>
                <w:rFonts w:eastAsia="Calibri"/>
                <w:lang w:val="sv-SE"/>
              </w:rPr>
            </w:pPr>
            <w:r w:rsidRPr="007F1202">
              <w:rPr>
                <w:rFonts w:cstheme="minorHAnsi"/>
                <w:lang w:val="sv-SE"/>
              </w:rPr>
              <w:t>hösten 2024, våren 2025 om finansiering återstår/har frigjorts, hösten 2025 om finansiering återstår/har frigjorts</w:t>
            </w:r>
          </w:p>
        </w:tc>
      </w:tr>
      <w:tr w:rsidR="00CB4157" w:rsidRPr="001F0172" w14:paraId="67ABB9FE" w14:textId="77777777" w:rsidTr="00CB4157">
        <w:tc>
          <w:tcPr>
            <w:tcW w:w="4248" w:type="dxa"/>
          </w:tcPr>
          <w:p w14:paraId="75658B78" w14:textId="77777777" w:rsidR="00CB4157" w:rsidRPr="009F655B" w:rsidRDefault="00CB4157" w:rsidP="009F655B">
            <w:pPr>
              <w:pStyle w:val="Leipteksti"/>
              <w:rPr>
                <w:rFonts w:eastAsia="Calibri"/>
                <w:b/>
              </w:rPr>
            </w:pPr>
            <w:r w:rsidRPr="009F655B">
              <w:rPr>
                <w:b/>
                <w:bCs/>
                <w:lang w:val="sv"/>
              </w:rPr>
              <w:t>Projektet inleds senast</w:t>
            </w:r>
          </w:p>
        </w:tc>
        <w:tc>
          <w:tcPr>
            <w:tcW w:w="5380" w:type="dxa"/>
          </w:tcPr>
          <w:p w14:paraId="53A47866" w14:textId="77777777" w:rsidR="00CB4157" w:rsidRPr="009F655B" w:rsidRDefault="00CB4157" w:rsidP="009F655B">
            <w:pPr>
              <w:pStyle w:val="Leipteksti"/>
              <w:rPr>
                <w:rFonts w:eastAsia="Calibri"/>
              </w:rPr>
            </w:pPr>
            <w:r w:rsidRPr="009F655B">
              <w:rPr>
                <w:lang w:val="sv"/>
              </w:rPr>
              <w:t>Se utlysningen</w:t>
            </w:r>
          </w:p>
        </w:tc>
      </w:tr>
      <w:bookmarkEnd w:id="26"/>
    </w:tbl>
    <w:p w14:paraId="420B366A" w14:textId="77777777" w:rsidR="00CB4157" w:rsidRDefault="00CB4157" w:rsidP="00CB4157"/>
    <w:p w14:paraId="433364FD" w14:textId="77777777" w:rsidR="00CB4157" w:rsidRDefault="00CB4157" w:rsidP="00CB4157"/>
    <w:p w14:paraId="25B607A4" w14:textId="77777777" w:rsidR="00CB4157" w:rsidRDefault="00CB4157" w:rsidP="00CB4157"/>
    <w:p w14:paraId="534FEE3A" w14:textId="77777777" w:rsidR="00CB4157" w:rsidRPr="00891616" w:rsidRDefault="00CB4157" w:rsidP="00955436">
      <w:pPr>
        <w:pStyle w:val="Otsikko3"/>
        <w:rPr>
          <w:lang w:val="sv-SE"/>
        </w:rPr>
      </w:pPr>
      <w:bookmarkStart w:id="27" w:name="_Toc102727267"/>
      <w:bookmarkStart w:id="28" w:name="_Toc184224306"/>
      <w:r>
        <w:rPr>
          <w:lang w:val="sv"/>
        </w:rPr>
        <w:t>1 C Ökning av den aktiva användningen av unionens informationssystem och decentraliserade informationssystem</w:t>
      </w:r>
      <w:bookmarkEnd w:id="27"/>
      <w:bookmarkEnd w:id="28"/>
      <w:r>
        <w:rPr>
          <w:lang w:val="sv"/>
        </w:rPr>
        <w:t xml:space="preserve"> </w:t>
      </w:r>
    </w:p>
    <w:p w14:paraId="3C730422" w14:textId="77777777" w:rsidR="00CB4157" w:rsidRPr="00891616" w:rsidRDefault="00CB4157" w:rsidP="00CB4157">
      <w:pPr>
        <w:rPr>
          <w:lang w:val="sv-SE"/>
        </w:rPr>
      </w:pPr>
    </w:p>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CB4157" w:rsidRPr="0087596A" w14:paraId="16FEC0DF" w14:textId="77777777" w:rsidTr="00955436">
        <w:tc>
          <w:tcPr>
            <w:tcW w:w="9628" w:type="dxa"/>
            <w:gridSpan w:val="2"/>
            <w:shd w:val="clear" w:color="auto" w:fill="FDE2D1" w:themeFill="accent1" w:themeFillTint="33"/>
          </w:tcPr>
          <w:p w14:paraId="237256C2" w14:textId="77777777" w:rsidR="00CB4157" w:rsidRDefault="00CB4157" w:rsidP="00955436">
            <w:pPr>
              <w:pStyle w:val="Otsikko4"/>
            </w:pPr>
            <w:bookmarkStart w:id="29" w:name="_Toc102727268"/>
            <w:bookmarkStart w:id="30" w:name="_Hlk93054485"/>
            <w:r>
              <w:rPr>
                <w:lang w:val="sv"/>
              </w:rPr>
              <w:t>1 C 1 Effektivisering av informationsutbytet</w:t>
            </w:r>
            <w:bookmarkEnd w:id="29"/>
          </w:p>
          <w:p w14:paraId="7477121C" w14:textId="77777777" w:rsidR="00CB4157" w:rsidRPr="00EE1C2F" w:rsidRDefault="00CB4157" w:rsidP="00CB4157"/>
        </w:tc>
      </w:tr>
      <w:tr w:rsidR="00CB4157" w:rsidRPr="000F5AB4" w14:paraId="4D7CEFAA" w14:textId="77777777" w:rsidTr="00CB4157">
        <w:trPr>
          <w:trHeight w:val="983"/>
        </w:trPr>
        <w:tc>
          <w:tcPr>
            <w:tcW w:w="9628" w:type="dxa"/>
            <w:gridSpan w:val="2"/>
          </w:tcPr>
          <w:p w14:paraId="4639F8DD" w14:textId="77777777" w:rsidR="00CB4157" w:rsidRPr="00955436" w:rsidRDefault="00CB4157" w:rsidP="00955436">
            <w:pPr>
              <w:pStyle w:val="Leipteksti"/>
              <w:rPr>
                <w:sz w:val="22"/>
                <w:szCs w:val="22"/>
                <w:lang w:val="sv-SE"/>
              </w:rPr>
            </w:pPr>
          </w:p>
          <w:p w14:paraId="439B1F88" w14:textId="2D8A0E68" w:rsidR="00CB4157" w:rsidRPr="00955436" w:rsidRDefault="00CB4157" w:rsidP="00955436">
            <w:pPr>
              <w:pStyle w:val="Leipteksti"/>
              <w:rPr>
                <w:i/>
                <w:color w:val="FF0000"/>
                <w:sz w:val="22"/>
                <w:szCs w:val="22"/>
                <w:lang w:val="sv-SE"/>
              </w:rPr>
            </w:pPr>
            <w:r w:rsidRPr="00955436">
              <w:rPr>
                <w:sz w:val="22"/>
                <w:szCs w:val="22"/>
                <w:lang w:val="sv"/>
              </w:rPr>
              <w:t xml:space="preserve">Informationssystemutmaningar ställer till stora problem för både nationellt och internationellt informationsutbyte. I Schengenutvärderingen av Finland som genomfördes 2018 konstateras att polisens kompetens och kunskap i användningen av internationella informationssystem inte är på en tillräckligt god nivå. Bristen på kompetens beror </w:t>
            </w:r>
            <w:proofErr w:type="gramStart"/>
            <w:r w:rsidRPr="00955436">
              <w:rPr>
                <w:sz w:val="22"/>
                <w:szCs w:val="22"/>
                <w:lang w:val="sv"/>
              </w:rPr>
              <w:t>bl.a.</w:t>
            </w:r>
            <w:proofErr w:type="gramEnd"/>
            <w:r w:rsidRPr="00955436">
              <w:rPr>
                <w:sz w:val="22"/>
                <w:szCs w:val="22"/>
                <w:lang w:val="sv"/>
              </w:rPr>
              <w:t xml:space="preserve"> förekomsten av flera system för informationsutbyte, </w:t>
            </w:r>
            <w:proofErr w:type="spellStart"/>
            <w:r w:rsidRPr="00955436">
              <w:rPr>
                <w:sz w:val="22"/>
                <w:szCs w:val="22"/>
                <w:lang w:val="sv"/>
              </w:rPr>
              <w:t>silofieringen</w:t>
            </w:r>
            <w:proofErr w:type="spellEnd"/>
            <w:r w:rsidRPr="00955436">
              <w:rPr>
                <w:sz w:val="22"/>
                <w:szCs w:val="22"/>
                <w:lang w:val="sv"/>
              </w:rPr>
              <w:t xml:space="preserve"> av informationssökningskanaler, svårigheten att använda systemen eller bristen på utbildning.  De olika kanalerna för informationsutbyte används separat från nationellt informationsutbyte och ärendehantering.</w:t>
            </w:r>
          </w:p>
          <w:p w14:paraId="215F5FA3" w14:textId="0D1D32A0" w:rsidR="00CB4157" w:rsidRPr="00955436" w:rsidRDefault="00CB4157" w:rsidP="00955436">
            <w:pPr>
              <w:pStyle w:val="Leipteksti"/>
              <w:rPr>
                <w:sz w:val="22"/>
                <w:szCs w:val="22"/>
                <w:lang w:val="sv-SE"/>
              </w:rPr>
            </w:pPr>
            <w:r w:rsidRPr="00955436">
              <w:rPr>
                <w:sz w:val="22"/>
                <w:szCs w:val="22"/>
                <w:lang w:val="sv"/>
              </w:rPr>
              <w:t xml:space="preserve">Särskilt under exceptionella omständigheter är informationsflödet och en aktuell lägesbild viktiga mellan de olika myndigheterna, civila myndigheter och de organisationer som stöder dem.  Det finns ett behov av att utveckla nya sätt att bilda en lägesöverblick, kommunikationsstrukturer och krypterade informationssystem mellan nationella, regionala och lokala aktörer.  Dataskyddsdirektivet har på grund av olika tolkningar av direktivet orsakat problem i </w:t>
            </w:r>
            <w:r w:rsidRPr="00955436">
              <w:rPr>
                <w:sz w:val="22"/>
                <w:szCs w:val="22"/>
                <w:lang w:val="sv"/>
              </w:rPr>
              <w:lastRenderedPageBreak/>
              <w:t>informationsutbytet mellan myndigheter. Utbildning och enhetlig praxis behövs för att korrigera denna situation.</w:t>
            </w:r>
          </w:p>
          <w:p w14:paraId="7BB888D1" w14:textId="5AF9D157" w:rsidR="00CB4157" w:rsidRPr="00955436" w:rsidRDefault="00CB4157" w:rsidP="00955436">
            <w:pPr>
              <w:pStyle w:val="Leipteksti"/>
              <w:rPr>
                <w:sz w:val="22"/>
                <w:szCs w:val="22"/>
                <w:lang w:val="sv-SE"/>
              </w:rPr>
            </w:pPr>
            <w:r w:rsidRPr="00955436">
              <w:rPr>
                <w:sz w:val="22"/>
                <w:szCs w:val="22"/>
                <w:lang w:val="sv"/>
              </w:rPr>
              <w:t xml:space="preserve">Att utveckla informationsutbytet mellan brottsbekämpande myndigheter och rättsliga myndigheter för att förebygga, avslöja och utreda brott samt verkställa straffansvar är avgörande för att förbättra nationell säkerhet och EU:s inre säkerhet. I december 2021 gav kommissionen ett förslag till direktiv om utbyte av information och ett </w:t>
            </w:r>
            <w:r w:rsidR="00FA5F89">
              <w:rPr>
                <w:sz w:val="22"/>
                <w:szCs w:val="22"/>
                <w:lang w:val="sv"/>
              </w:rPr>
              <w:t xml:space="preserve">förslag till förordning </w:t>
            </w:r>
            <w:r w:rsidR="00FA71BE">
              <w:rPr>
                <w:sz w:val="22"/>
                <w:szCs w:val="22"/>
                <w:lang w:val="sv"/>
              </w:rPr>
              <w:t xml:space="preserve">om </w:t>
            </w:r>
            <w:r w:rsidR="00FA71BE" w:rsidRPr="00F30646">
              <w:rPr>
                <w:rFonts w:cstheme="minorHAnsi"/>
                <w:sz w:val="22"/>
                <w:szCs w:val="22"/>
                <w:lang w:val="sv"/>
              </w:rPr>
              <w:t>automatiskt</w:t>
            </w:r>
            <w:r w:rsidR="00FA5F89" w:rsidRPr="00F30646">
              <w:rPr>
                <w:rFonts w:cstheme="minorHAnsi"/>
                <w:sz w:val="22"/>
                <w:szCs w:val="22"/>
                <w:lang w:val="sv"/>
              </w:rPr>
              <w:t xml:space="preserve"> utbyte av uppgifter för polissamarbete (</w:t>
            </w:r>
            <w:r w:rsidR="00FA5F89" w:rsidRPr="00955436">
              <w:rPr>
                <w:sz w:val="22"/>
                <w:szCs w:val="22"/>
                <w:lang w:val="sv"/>
              </w:rPr>
              <w:t>så kalla</w:t>
            </w:r>
            <w:r w:rsidR="00FA5F89">
              <w:rPr>
                <w:sz w:val="22"/>
                <w:szCs w:val="22"/>
                <w:lang w:val="sv"/>
              </w:rPr>
              <w:t xml:space="preserve">d </w:t>
            </w:r>
            <w:proofErr w:type="spellStart"/>
            <w:r w:rsidR="00FA5F89" w:rsidRPr="00F30646">
              <w:rPr>
                <w:rFonts w:cstheme="minorHAnsi"/>
                <w:sz w:val="22"/>
                <w:szCs w:val="22"/>
                <w:lang w:val="sv"/>
              </w:rPr>
              <w:t>Prüm</w:t>
            </w:r>
            <w:proofErr w:type="spellEnd"/>
            <w:r w:rsidR="00FA5F89" w:rsidRPr="00F30646">
              <w:rPr>
                <w:rFonts w:cstheme="minorHAnsi"/>
                <w:sz w:val="22"/>
                <w:szCs w:val="22"/>
                <w:lang w:val="sv"/>
              </w:rPr>
              <w:t xml:space="preserve"> II)</w:t>
            </w:r>
            <w:r w:rsidRPr="00955436">
              <w:rPr>
                <w:sz w:val="22"/>
                <w:szCs w:val="22"/>
                <w:lang w:val="sv"/>
              </w:rPr>
              <w:t>. De åtgärder som följer av direktive</w:t>
            </w:r>
            <w:r w:rsidR="00FA5F89">
              <w:rPr>
                <w:sz w:val="22"/>
                <w:szCs w:val="22"/>
                <w:lang w:val="sv"/>
              </w:rPr>
              <w:t>t och förordningen</w:t>
            </w:r>
            <w:r w:rsidRPr="00955436">
              <w:rPr>
                <w:sz w:val="22"/>
                <w:szCs w:val="22"/>
                <w:lang w:val="sv"/>
              </w:rPr>
              <w:t xml:space="preserve"> kommer att genomföras inom ramen för genomförandeplanerna för de kommande åren.</w:t>
            </w:r>
          </w:p>
          <w:p w14:paraId="7165C597" w14:textId="262B5953" w:rsidR="00CB4157" w:rsidRPr="00955436" w:rsidRDefault="00CB4157" w:rsidP="00955436">
            <w:pPr>
              <w:pStyle w:val="Leipteksti"/>
              <w:rPr>
                <w:b/>
                <w:sz w:val="22"/>
                <w:szCs w:val="22"/>
                <w:lang w:val="sv-SE"/>
              </w:rPr>
            </w:pPr>
            <w:r w:rsidRPr="00955436">
              <w:rPr>
                <w:b/>
                <w:bCs/>
                <w:sz w:val="22"/>
                <w:szCs w:val="22"/>
                <w:lang w:val="sv"/>
              </w:rPr>
              <w:t>Syftet är att</w:t>
            </w:r>
            <w:r w:rsidR="00A73DF3" w:rsidRPr="00955436">
              <w:rPr>
                <w:b/>
                <w:bCs/>
                <w:sz w:val="22"/>
                <w:szCs w:val="22"/>
                <w:lang w:val="sv"/>
              </w:rPr>
              <w:t xml:space="preserve"> nationell</w:t>
            </w:r>
            <w:r w:rsidR="00A73DF3">
              <w:rPr>
                <w:b/>
                <w:bCs/>
                <w:sz w:val="22"/>
                <w:szCs w:val="22"/>
                <w:lang w:val="sv"/>
              </w:rPr>
              <w:t>t</w:t>
            </w:r>
            <w:r w:rsidR="00A73DF3" w:rsidRPr="00955436">
              <w:rPr>
                <w:b/>
                <w:bCs/>
                <w:sz w:val="22"/>
                <w:szCs w:val="22"/>
                <w:lang w:val="sv"/>
              </w:rPr>
              <w:t xml:space="preserve"> och internationell</w:t>
            </w:r>
            <w:r w:rsidR="00A73DF3">
              <w:rPr>
                <w:b/>
                <w:bCs/>
                <w:sz w:val="22"/>
                <w:szCs w:val="22"/>
                <w:lang w:val="sv"/>
              </w:rPr>
              <w:t>t</w:t>
            </w:r>
            <w:r w:rsidR="00A73DF3" w:rsidRPr="00955436">
              <w:rPr>
                <w:b/>
                <w:bCs/>
                <w:sz w:val="22"/>
                <w:szCs w:val="22"/>
                <w:lang w:val="sv"/>
              </w:rPr>
              <w:t xml:space="preserve"> </w:t>
            </w:r>
            <w:r w:rsidRPr="00955436">
              <w:rPr>
                <w:b/>
                <w:bCs/>
                <w:sz w:val="22"/>
                <w:szCs w:val="22"/>
                <w:lang w:val="sv"/>
              </w:rPr>
              <w:t xml:space="preserve">effektivisera datasäker informationssökning, informationsutbyte och </w:t>
            </w:r>
            <w:r w:rsidR="00CC4020">
              <w:rPr>
                <w:b/>
                <w:bCs/>
                <w:sz w:val="22"/>
                <w:szCs w:val="22"/>
                <w:lang w:val="sv"/>
              </w:rPr>
              <w:t>skapande</w:t>
            </w:r>
            <w:r w:rsidR="00CC4020" w:rsidRPr="00955436">
              <w:rPr>
                <w:b/>
                <w:bCs/>
                <w:sz w:val="22"/>
                <w:szCs w:val="22"/>
                <w:lang w:val="sv"/>
              </w:rPr>
              <w:t xml:space="preserve"> </w:t>
            </w:r>
            <w:r w:rsidRPr="00955436">
              <w:rPr>
                <w:b/>
                <w:bCs/>
                <w:sz w:val="22"/>
                <w:szCs w:val="22"/>
                <w:lang w:val="sv"/>
              </w:rPr>
              <w:t xml:space="preserve">av </w:t>
            </w:r>
            <w:r w:rsidR="00CC4020">
              <w:rPr>
                <w:b/>
                <w:bCs/>
                <w:sz w:val="22"/>
                <w:szCs w:val="22"/>
                <w:lang w:val="sv"/>
              </w:rPr>
              <w:t xml:space="preserve">en </w:t>
            </w:r>
            <w:r w:rsidRPr="00955436">
              <w:rPr>
                <w:b/>
                <w:bCs/>
                <w:sz w:val="22"/>
                <w:szCs w:val="22"/>
                <w:lang w:val="sv"/>
              </w:rPr>
              <w:t>lägesbild</w:t>
            </w:r>
            <w:r w:rsidR="00A73DF3">
              <w:rPr>
                <w:b/>
                <w:bCs/>
                <w:sz w:val="22"/>
                <w:szCs w:val="22"/>
                <w:lang w:val="sv"/>
              </w:rPr>
              <w:t xml:space="preserve"> och anslutande processer</w:t>
            </w:r>
            <w:r w:rsidRPr="00955436">
              <w:rPr>
                <w:b/>
                <w:bCs/>
                <w:sz w:val="22"/>
                <w:szCs w:val="22"/>
                <w:lang w:val="sv"/>
              </w:rPr>
              <w:t xml:space="preserve">, oavsett användarmyndighet, till stöd för beslutsfattande, kontroll och brottsförebyggande verksamhet. </w:t>
            </w:r>
          </w:p>
          <w:p w14:paraId="685A21DF" w14:textId="77777777" w:rsidR="00CB4157" w:rsidRPr="00955436" w:rsidRDefault="00CB4157" w:rsidP="00955436">
            <w:pPr>
              <w:pStyle w:val="Leipteksti"/>
              <w:rPr>
                <w:b/>
                <w:sz w:val="22"/>
                <w:szCs w:val="22"/>
                <w:lang w:val="sv-SE"/>
              </w:rPr>
            </w:pPr>
          </w:p>
          <w:p w14:paraId="64D25721" w14:textId="77777777" w:rsidR="00CB4157" w:rsidRPr="00955436" w:rsidRDefault="00CB4157" w:rsidP="00955436">
            <w:pPr>
              <w:pStyle w:val="Leipteksti"/>
              <w:rPr>
                <w:b/>
                <w:color w:val="000000"/>
                <w:sz w:val="22"/>
                <w:szCs w:val="22"/>
                <w:lang w:val="sv-SE"/>
              </w:rPr>
            </w:pPr>
            <w:r w:rsidRPr="00955436">
              <w:rPr>
                <w:color w:val="000000"/>
                <w:sz w:val="22"/>
                <w:szCs w:val="22"/>
                <w:lang w:val="sv"/>
              </w:rPr>
              <w:t xml:space="preserve">Understöd kan beviljas för projekt där man till exempel: </w:t>
            </w:r>
          </w:p>
          <w:p w14:paraId="74657523" w14:textId="26126BBE" w:rsidR="00CB4157" w:rsidRPr="00955436" w:rsidRDefault="00CB4157" w:rsidP="00D11F46">
            <w:pPr>
              <w:pStyle w:val="Leipteksti"/>
              <w:numPr>
                <w:ilvl w:val="0"/>
                <w:numId w:val="31"/>
              </w:numPr>
              <w:rPr>
                <w:sz w:val="22"/>
                <w:szCs w:val="22"/>
                <w:lang w:val="sv-SE"/>
              </w:rPr>
            </w:pPr>
            <w:r w:rsidRPr="00955436">
              <w:rPr>
                <w:sz w:val="22"/>
                <w:szCs w:val="22"/>
                <w:lang w:val="sv"/>
              </w:rPr>
              <w:t>skapar tekniska lösningar som möjliggör säker nationell och internationell informationssökning</w:t>
            </w:r>
            <w:r w:rsidR="00A73DF3">
              <w:rPr>
                <w:sz w:val="22"/>
                <w:szCs w:val="22"/>
                <w:lang w:val="sv"/>
              </w:rPr>
              <w:t xml:space="preserve"> även på brottsplatser</w:t>
            </w:r>
            <w:r w:rsidRPr="00955436">
              <w:rPr>
                <w:sz w:val="22"/>
                <w:szCs w:val="22"/>
                <w:lang w:val="sv"/>
              </w:rPr>
              <w:t xml:space="preserve">, oavsett nationella och internationella datakällor och användarmyndigheter, </w:t>
            </w:r>
          </w:p>
          <w:p w14:paraId="734BABFC" w14:textId="77777777" w:rsidR="00CB4157" w:rsidRPr="00955436" w:rsidRDefault="00CB4157" w:rsidP="00D11F46">
            <w:pPr>
              <w:pStyle w:val="Leipteksti"/>
              <w:numPr>
                <w:ilvl w:val="0"/>
                <w:numId w:val="31"/>
              </w:numPr>
              <w:rPr>
                <w:sz w:val="22"/>
                <w:szCs w:val="22"/>
                <w:lang w:val="sv-SE"/>
              </w:rPr>
            </w:pPr>
            <w:r w:rsidRPr="00955436">
              <w:rPr>
                <w:sz w:val="22"/>
                <w:szCs w:val="22"/>
                <w:lang w:val="sv"/>
              </w:rPr>
              <w:t>utvecklar processer och reformerar arbetsmetoder mellan myndigheter och med den privata sektorn och organisationer,</w:t>
            </w:r>
          </w:p>
          <w:p w14:paraId="3911CE85" w14:textId="77777777" w:rsidR="00CB4157" w:rsidRPr="00955436" w:rsidRDefault="00CB4157" w:rsidP="00D11F46">
            <w:pPr>
              <w:pStyle w:val="Leipteksti"/>
              <w:numPr>
                <w:ilvl w:val="0"/>
                <w:numId w:val="31"/>
              </w:numPr>
              <w:rPr>
                <w:sz w:val="22"/>
                <w:szCs w:val="22"/>
                <w:lang w:val="sv-SE"/>
              </w:rPr>
            </w:pPr>
            <w:r w:rsidRPr="00955436">
              <w:rPr>
                <w:sz w:val="22"/>
                <w:szCs w:val="22"/>
                <w:lang w:val="sv"/>
              </w:rPr>
              <w:t>utbildar myndigheter i att effektivare använda databaser och upprätthåller kompetensen,</w:t>
            </w:r>
          </w:p>
          <w:p w14:paraId="7B2C9469" w14:textId="680E7D46" w:rsidR="00CB4157" w:rsidRPr="00955436" w:rsidRDefault="00CB4157" w:rsidP="00D11F46">
            <w:pPr>
              <w:pStyle w:val="Leipteksti"/>
              <w:numPr>
                <w:ilvl w:val="0"/>
                <w:numId w:val="31"/>
              </w:numPr>
              <w:rPr>
                <w:sz w:val="22"/>
                <w:szCs w:val="22"/>
                <w:lang w:val="sv-SE"/>
              </w:rPr>
            </w:pPr>
            <w:r w:rsidRPr="00955436">
              <w:rPr>
                <w:sz w:val="22"/>
                <w:szCs w:val="22"/>
                <w:lang w:val="sv"/>
              </w:rPr>
              <w:t xml:space="preserve">effektiviserar informationsutbytet och det operativa samarbetet med olika länder, EU-organisationer och internationella organisationer inklusive informationsutbytet som baserar sig på </w:t>
            </w:r>
            <w:proofErr w:type="spellStart"/>
            <w:r w:rsidRPr="00955436">
              <w:rPr>
                <w:sz w:val="22"/>
                <w:szCs w:val="22"/>
                <w:lang w:val="sv"/>
              </w:rPr>
              <w:t>Prüm</w:t>
            </w:r>
            <w:proofErr w:type="spellEnd"/>
            <w:r w:rsidR="00A73DF3">
              <w:rPr>
                <w:sz w:val="22"/>
                <w:szCs w:val="22"/>
                <w:lang w:val="sv"/>
              </w:rPr>
              <w:t xml:space="preserve"> II</w:t>
            </w:r>
            <w:r w:rsidR="00D11F46">
              <w:rPr>
                <w:sz w:val="22"/>
                <w:szCs w:val="22"/>
                <w:lang w:val="sv"/>
              </w:rPr>
              <w:t>-</w:t>
            </w:r>
            <w:r w:rsidR="00A73DF3">
              <w:rPr>
                <w:sz w:val="22"/>
                <w:szCs w:val="22"/>
                <w:lang w:val="sv"/>
              </w:rPr>
              <w:t>förordningen</w:t>
            </w:r>
            <w:r w:rsidRPr="00955436">
              <w:rPr>
                <w:sz w:val="22"/>
                <w:szCs w:val="22"/>
                <w:lang w:val="sv"/>
              </w:rPr>
              <w:t xml:space="preserve">, med beaktande av internationell informationsklassning, </w:t>
            </w:r>
          </w:p>
          <w:p w14:paraId="014851E5" w14:textId="77777777" w:rsidR="00A73DF3" w:rsidRPr="00F30646" w:rsidRDefault="00CB4157" w:rsidP="00A73DF3">
            <w:pPr>
              <w:pStyle w:val="Leipteksti"/>
              <w:numPr>
                <w:ilvl w:val="0"/>
                <w:numId w:val="31"/>
              </w:numPr>
              <w:rPr>
                <w:sz w:val="22"/>
                <w:szCs w:val="22"/>
                <w:lang w:val="sv-SE"/>
              </w:rPr>
            </w:pPr>
            <w:r w:rsidRPr="00955436">
              <w:rPr>
                <w:sz w:val="22"/>
                <w:szCs w:val="22"/>
                <w:lang w:val="sv"/>
              </w:rPr>
              <w:t>förbättrar dataskyddskompetensen</w:t>
            </w:r>
            <w:r w:rsidR="00A73DF3">
              <w:rPr>
                <w:sz w:val="22"/>
                <w:szCs w:val="22"/>
                <w:lang w:val="sv"/>
              </w:rPr>
              <w:t xml:space="preserve"> och </w:t>
            </w:r>
            <w:r w:rsidR="00A73DF3" w:rsidRPr="00A73DF3">
              <w:rPr>
                <w:sz w:val="22"/>
                <w:szCs w:val="22"/>
                <w:lang w:val="sv"/>
              </w:rPr>
              <w:t>dataskyddsprocesser</w:t>
            </w:r>
            <w:r w:rsidR="00A73DF3">
              <w:rPr>
                <w:sz w:val="22"/>
                <w:szCs w:val="22"/>
                <w:lang w:val="sv"/>
              </w:rPr>
              <w:t>na,</w:t>
            </w:r>
          </w:p>
          <w:p w14:paraId="78468703" w14:textId="0EE8C225" w:rsidR="00CB4157" w:rsidRPr="00911344" w:rsidRDefault="00A73DF3" w:rsidP="00A47B7E">
            <w:pPr>
              <w:pStyle w:val="Leipteksti"/>
              <w:numPr>
                <w:ilvl w:val="0"/>
                <w:numId w:val="31"/>
              </w:numPr>
              <w:rPr>
                <w:sz w:val="22"/>
                <w:szCs w:val="22"/>
                <w:lang w:val="sv-SE"/>
              </w:rPr>
            </w:pPr>
            <w:r>
              <w:rPr>
                <w:sz w:val="22"/>
                <w:szCs w:val="22"/>
                <w:lang w:val="sv"/>
              </w:rPr>
              <w:t xml:space="preserve">möjliggör </w:t>
            </w:r>
            <w:r w:rsidR="00A47B7E" w:rsidRPr="00A47B7E">
              <w:rPr>
                <w:sz w:val="22"/>
                <w:szCs w:val="22"/>
                <w:lang w:val="sv"/>
              </w:rPr>
              <w:t>genomförande</w:t>
            </w:r>
            <w:r w:rsidR="00A47B7E">
              <w:rPr>
                <w:sz w:val="22"/>
                <w:szCs w:val="22"/>
                <w:lang w:val="sv"/>
              </w:rPr>
              <w:t>t</w:t>
            </w:r>
            <w:r w:rsidR="00A47B7E" w:rsidRPr="00A47B7E">
              <w:rPr>
                <w:sz w:val="22"/>
                <w:szCs w:val="22"/>
                <w:lang w:val="sv"/>
              </w:rPr>
              <w:t xml:space="preserve"> av direktivet om informationsutbyte</w:t>
            </w:r>
            <w:r w:rsidR="00A47B7E">
              <w:rPr>
                <w:sz w:val="22"/>
                <w:szCs w:val="22"/>
                <w:lang w:val="sv"/>
              </w:rPr>
              <w:t xml:space="preserve"> i Finland.</w:t>
            </w:r>
          </w:p>
          <w:p w14:paraId="27D2D819" w14:textId="77777777" w:rsidR="00CB4157" w:rsidRPr="00911344" w:rsidRDefault="00CB4157" w:rsidP="00955436">
            <w:pPr>
              <w:pStyle w:val="Leipteksti"/>
              <w:rPr>
                <w:sz w:val="22"/>
                <w:szCs w:val="22"/>
                <w:lang w:val="sv-SE"/>
              </w:rPr>
            </w:pPr>
            <w:r w:rsidRPr="00955436">
              <w:rPr>
                <w:sz w:val="22"/>
                <w:szCs w:val="22"/>
                <w:lang w:val="sv"/>
              </w:rPr>
              <w:t>Resultatmål bland annat följande:</w:t>
            </w:r>
          </w:p>
          <w:p w14:paraId="5EB90741" w14:textId="77777777" w:rsidR="00CB4157" w:rsidRPr="00911344" w:rsidRDefault="00CB4157" w:rsidP="00A17F47">
            <w:pPr>
              <w:pStyle w:val="Leipteksti"/>
              <w:numPr>
                <w:ilvl w:val="0"/>
                <w:numId w:val="7"/>
              </w:numPr>
              <w:rPr>
                <w:sz w:val="22"/>
                <w:szCs w:val="22"/>
                <w:lang w:val="sv-SE"/>
              </w:rPr>
            </w:pPr>
            <w:r w:rsidRPr="00955436">
              <w:rPr>
                <w:sz w:val="22"/>
                <w:szCs w:val="22"/>
                <w:lang w:val="sv"/>
              </w:rPr>
              <w:lastRenderedPageBreak/>
              <w:t>SIENA-utvecklingen har främjats,</w:t>
            </w:r>
          </w:p>
          <w:p w14:paraId="7B583016" w14:textId="77777777" w:rsidR="00CB4157" w:rsidRPr="00955436" w:rsidRDefault="00CB4157" w:rsidP="00A17F47">
            <w:pPr>
              <w:pStyle w:val="Leipteksti"/>
              <w:numPr>
                <w:ilvl w:val="0"/>
                <w:numId w:val="7"/>
              </w:numPr>
              <w:rPr>
                <w:sz w:val="22"/>
                <w:szCs w:val="22"/>
                <w:lang w:val="sv-SE"/>
              </w:rPr>
            </w:pPr>
            <w:r w:rsidRPr="00955436">
              <w:rPr>
                <w:sz w:val="22"/>
                <w:szCs w:val="22"/>
                <w:lang w:val="sv"/>
              </w:rPr>
              <w:t>passagerarinformationsfunktionerna och eventuella trafikformsneutrala passagerarunderrättelser har utvecklats,</w:t>
            </w:r>
          </w:p>
          <w:p w14:paraId="0139B648" w14:textId="77777777" w:rsidR="00CB4157" w:rsidRPr="00955436" w:rsidRDefault="00CB4157" w:rsidP="00A17F47">
            <w:pPr>
              <w:pStyle w:val="Leipteksti"/>
              <w:numPr>
                <w:ilvl w:val="0"/>
                <w:numId w:val="7"/>
              </w:numPr>
              <w:rPr>
                <w:sz w:val="22"/>
                <w:szCs w:val="22"/>
                <w:lang w:val="sv-SE"/>
              </w:rPr>
            </w:pPr>
            <w:r w:rsidRPr="00955436">
              <w:rPr>
                <w:sz w:val="22"/>
                <w:szCs w:val="22"/>
                <w:lang w:val="sv"/>
              </w:rPr>
              <w:t xml:space="preserve">användargränssnittet för CSAM-systemet har utvecklats, </w:t>
            </w:r>
          </w:p>
          <w:p w14:paraId="1E12860E" w14:textId="77777777" w:rsidR="00CB4157" w:rsidRPr="00955436" w:rsidRDefault="00CB4157" w:rsidP="00A17F47">
            <w:pPr>
              <w:pStyle w:val="Leipteksti"/>
              <w:numPr>
                <w:ilvl w:val="0"/>
                <w:numId w:val="7"/>
              </w:numPr>
              <w:rPr>
                <w:sz w:val="22"/>
                <w:szCs w:val="22"/>
                <w:lang w:val="sv-SE"/>
              </w:rPr>
            </w:pPr>
            <w:r w:rsidRPr="00955436">
              <w:rPr>
                <w:sz w:val="22"/>
                <w:szCs w:val="22"/>
                <w:lang w:val="sv"/>
              </w:rPr>
              <w:t>data från CSAM-systemet kan också överföras till Interpols, Eurojusts och Europols databaser,</w:t>
            </w:r>
          </w:p>
          <w:p w14:paraId="47AD8CC5" w14:textId="77777777" w:rsidR="00CB4157" w:rsidRPr="00955436" w:rsidRDefault="00CB4157" w:rsidP="00A17F47">
            <w:pPr>
              <w:pStyle w:val="Leipteksti"/>
              <w:numPr>
                <w:ilvl w:val="0"/>
                <w:numId w:val="7"/>
              </w:numPr>
              <w:rPr>
                <w:sz w:val="22"/>
                <w:szCs w:val="22"/>
                <w:lang w:val="sv-SE"/>
              </w:rPr>
            </w:pPr>
            <w:r w:rsidRPr="00955436">
              <w:rPr>
                <w:sz w:val="22"/>
                <w:szCs w:val="22"/>
                <w:lang w:val="sv"/>
              </w:rPr>
              <w:t xml:space="preserve">utvecklingen relaterad till söktjänsten </w:t>
            </w:r>
            <w:proofErr w:type="spellStart"/>
            <w:r w:rsidRPr="00955436">
              <w:rPr>
                <w:sz w:val="22"/>
                <w:szCs w:val="22"/>
                <w:lang w:val="sv"/>
              </w:rPr>
              <w:t>Renki</w:t>
            </w:r>
            <w:proofErr w:type="spellEnd"/>
            <w:r w:rsidRPr="00955436">
              <w:rPr>
                <w:sz w:val="22"/>
                <w:szCs w:val="22"/>
                <w:lang w:val="sv"/>
              </w:rPr>
              <w:t xml:space="preserve"> har fortsatt,</w:t>
            </w:r>
          </w:p>
          <w:p w14:paraId="67FE440F" w14:textId="126CC582" w:rsidR="00CB4157" w:rsidRPr="00955436" w:rsidRDefault="00CB4157" w:rsidP="00A17F47">
            <w:pPr>
              <w:pStyle w:val="Leipteksti"/>
              <w:numPr>
                <w:ilvl w:val="0"/>
                <w:numId w:val="7"/>
              </w:numPr>
              <w:rPr>
                <w:sz w:val="22"/>
                <w:szCs w:val="22"/>
                <w:lang w:val="sv-SE"/>
              </w:rPr>
            </w:pPr>
            <w:r w:rsidRPr="00955436">
              <w:rPr>
                <w:sz w:val="22"/>
                <w:szCs w:val="22"/>
                <w:lang w:val="sv"/>
              </w:rPr>
              <w:t>kompetensen hos personuppgiftsbiträden</w:t>
            </w:r>
            <w:r w:rsidR="00A47B7E">
              <w:rPr>
                <w:sz w:val="22"/>
                <w:szCs w:val="22"/>
                <w:lang w:val="sv"/>
              </w:rPr>
              <w:t xml:space="preserve"> samt </w:t>
            </w:r>
            <w:r w:rsidR="00A47B7E" w:rsidRPr="00A73DF3">
              <w:rPr>
                <w:sz w:val="22"/>
                <w:szCs w:val="22"/>
                <w:lang w:val="sv"/>
              </w:rPr>
              <w:t>dataskyddsprocesser</w:t>
            </w:r>
            <w:r w:rsidR="00A47B7E">
              <w:rPr>
                <w:sz w:val="22"/>
                <w:szCs w:val="22"/>
                <w:lang w:val="sv"/>
              </w:rPr>
              <w:t>na</w:t>
            </w:r>
            <w:r w:rsidR="00A47B7E" w:rsidRPr="00955436">
              <w:rPr>
                <w:sz w:val="22"/>
                <w:szCs w:val="22"/>
                <w:lang w:val="sv"/>
              </w:rPr>
              <w:t xml:space="preserve"> </w:t>
            </w:r>
            <w:r w:rsidRPr="00955436">
              <w:rPr>
                <w:sz w:val="22"/>
                <w:szCs w:val="22"/>
                <w:lang w:val="sv"/>
              </w:rPr>
              <w:t xml:space="preserve">har förbättrats i enlighet med dataskyddslagen, </w:t>
            </w:r>
          </w:p>
          <w:p w14:paraId="2085D78E" w14:textId="77777777" w:rsidR="00CB4157" w:rsidRPr="00955436" w:rsidRDefault="00CB4157" w:rsidP="00A17F47">
            <w:pPr>
              <w:pStyle w:val="Leipteksti"/>
              <w:numPr>
                <w:ilvl w:val="0"/>
                <w:numId w:val="7"/>
              </w:numPr>
              <w:rPr>
                <w:sz w:val="22"/>
                <w:szCs w:val="22"/>
                <w:lang w:val="sv-SE"/>
              </w:rPr>
            </w:pPr>
            <w:r w:rsidRPr="00955436">
              <w:rPr>
                <w:sz w:val="22"/>
                <w:szCs w:val="22"/>
                <w:lang w:val="sv"/>
              </w:rPr>
              <w:t>vapeninformationssystemet och övervakningen av livscykeln hos och lokaliseringsdata för vapen och vapenkomponenter har utvecklats,</w:t>
            </w:r>
          </w:p>
          <w:p w14:paraId="49AB2FD6" w14:textId="77777777" w:rsidR="00CB4157" w:rsidRPr="00955436" w:rsidRDefault="00CB4157" w:rsidP="00A17F47">
            <w:pPr>
              <w:pStyle w:val="Leipteksti"/>
              <w:numPr>
                <w:ilvl w:val="0"/>
                <w:numId w:val="7"/>
              </w:numPr>
              <w:rPr>
                <w:sz w:val="22"/>
                <w:szCs w:val="22"/>
                <w:lang w:val="sv-SE"/>
              </w:rPr>
            </w:pPr>
            <w:r w:rsidRPr="00955436">
              <w:rPr>
                <w:sz w:val="22"/>
                <w:szCs w:val="22"/>
                <w:lang w:val="sv"/>
              </w:rPr>
              <w:t>utbildning i effektivare användning av databaser har tillhandahållits, såsom kurser om internationellt samarbete och informationsutbyte,</w:t>
            </w:r>
          </w:p>
          <w:p w14:paraId="475708FF" w14:textId="77777777" w:rsidR="00CB4157" w:rsidRPr="00955436" w:rsidRDefault="00CB4157" w:rsidP="00A17F47">
            <w:pPr>
              <w:pStyle w:val="Leipteksti"/>
              <w:numPr>
                <w:ilvl w:val="0"/>
                <w:numId w:val="7"/>
              </w:numPr>
              <w:rPr>
                <w:sz w:val="22"/>
                <w:szCs w:val="22"/>
                <w:lang w:val="sv-SE"/>
              </w:rPr>
            </w:pPr>
            <w:r w:rsidRPr="00955436">
              <w:rPr>
                <w:sz w:val="22"/>
                <w:szCs w:val="22"/>
                <w:lang w:val="sv"/>
              </w:rPr>
              <w:t>data har överförts från det nuvarande vapeninformationssystemet till det nya systemet och e-tjänster för näringsidkare har implementerats,</w:t>
            </w:r>
          </w:p>
          <w:p w14:paraId="0C0F15D1" w14:textId="77777777" w:rsidR="005472E7" w:rsidRPr="00F30646" w:rsidRDefault="00CB4157" w:rsidP="00A17F47">
            <w:pPr>
              <w:pStyle w:val="Leipteksti"/>
              <w:numPr>
                <w:ilvl w:val="0"/>
                <w:numId w:val="7"/>
              </w:numPr>
              <w:rPr>
                <w:sz w:val="22"/>
                <w:szCs w:val="22"/>
                <w:lang w:val="sv-SE"/>
              </w:rPr>
            </w:pPr>
            <w:r w:rsidRPr="00955436">
              <w:rPr>
                <w:sz w:val="22"/>
                <w:szCs w:val="22"/>
                <w:lang w:val="sv"/>
              </w:rPr>
              <w:t>den analytiska informationssystemhelheten har utvecklats för att i större skala tillgodose polisens och andra PTR-myndigheters behov</w:t>
            </w:r>
            <w:r w:rsidR="005472E7">
              <w:rPr>
                <w:sz w:val="22"/>
                <w:szCs w:val="22"/>
                <w:lang w:val="sv"/>
              </w:rPr>
              <w:t>,</w:t>
            </w:r>
          </w:p>
          <w:p w14:paraId="7100F9D2" w14:textId="4F825F53" w:rsidR="00CB4157" w:rsidRPr="005472E7" w:rsidRDefault="005472E7" w:rsidP="00A17F47">
            <w:pPr>
              <w:pStyle w:val="Leipteksti"/>
              <w:numPr>
                <w:ilvl w:val="0"/>
                <w:numId w:val="7"/>
              </w:numPr>
              <w:rPr>
                <w:sz w:val="22"/>
                <w:szCs w:val="22"/>
                <w:lang w:val="sv-SE"/>
              </w:rPr>
            </w:pPr>
            <w:r w:rsidRPr="00F30646">
              <w:rPr>
                <w:lang w:val="sv-SE"/>
              </w:rPr>
              <w:t xml:space="preserve">de ändringar och utvecklingsåtgärder som direktivet om informationsutbyte förutsätter </w:t>
            </w:r>
            <w:r>
              <w:rPr>
                <w:sz w:val="22"/>
                <w:szCs w:val="22"/>
                <w:lang w:val="sv-SE"/>
              </w:rPr>
              <w:t xml:space="preserve">bland annat i informationssystemen </w:t>
            </w:r>
            <w:r w:rsidRPr="00F30646">
              <w:rPr>
                <w:lang w:val="sv-SE"/>
              </w:rPr>
              <w:t>har genomförts</w:t>
            </w:r>
            <w:r w:rsidR="00CB4157" w:rsidRPr="00F30646">
              <w:rPr>
                <w:lang w:val="sv-SE"/>
              </w:rPr>
              <w:t xml:space="preserve">.  </w:t>
            </w:r>
          </w:p>
        </w:tc>
      </w:tr>
      <w:tr w:rsidR="00CB4157" w:rsidRPr="00955436" w14:paraId="79A764F0" w14:textId="77777777" w:rsidTr="00D11F46">
        <w:trPr>
          <w:trHeight w:val="508"/>
        </w:trPr>
        <w:tc>
          <w:tcPr>
            <w:tcW w:w="4248" w:type="dxa"/>
          </w:tcPr>
          <w:p w14:paraId="4D0328B2" w14:textId="77777777" w:rsidR="00CB4157" w:rsidRPr="00955436" w:rsidRDefault="00CB4157" w:rsidP="00955436">
            <w:pPr>
              <w:pStyle w:val="Leipteksti"/>
              <w:rPr>
                <w:b/>
                <w:sz w:val="22"/>
                <w:szCs w:val="22"/>
              </w:rPr>
            </w:pPr>
            <w:r w:rsidRPr="00955436">
              <w:rPr>
                <w:b/>
                <w:bCs/>
                <w:sz w:val="22"/>
                <w:szCs w:val="22"/>
                <w:lang w:val="sv"/>
              </w:rPr>
              <w:lastRenderedPageBreak/>
              <w:t>Understöd</w:t>
            </w:r>
          </w:p>
        </w:tc>
        <w:tc>
          <w:tcPr>
            <w:tcW w:w="5380" w:type="dxa"/>
          </w:tcPr>
          <w:p w14:paraId="0D3D09A3" w14:textId="77777777" w:rsidR="00CB4157" w:rsidRPr="00955436" w:rsidRDefault="00CB4157" w:rsidP="00955436">
            <w:pPr>
              <w:pStyle w:val="Leipteksti"/>
              <w:rPr>
                <w:sz w:val="22"/>
                <w:szCs w:val="22"/>
              </w:rPr>
            </w:pPr>
            <w:r w:rsidRPr="00955436">
              <w:rPr>
                <w:sz w:val="22"/>
                <w:szCs w:val="22"/>
                <w:lang w:val="sv"/>
              </w:rPr>
              <w:t>75 %</w:t>
            </w:r>
          </w:p>
        </w:tc>
      </w:tr>
      <w:tr w:rsidR="00CB4157" w:rsidRPr="00955436" w14:paraId="79CC5E07" w14:textId="77777777" w:rsidTr="00D11F46">
        <w:trPr>
          <w:trHeight w:val="644"/>
        </w:trPr>
        <w:tc>
          <w:tcPr>
            <w:tcW w:w="4248" w:type="dxa"/>
          </w:tcPr>
          <w:p w14:paraId="25D84A45" w14:textId="77777777" w:rsidR="00CB4157" w:rsidRPr="00955436" w:rsidRDefault="00CB4157" w:rsidP="00955436">
            <w:pPr>
              <w:pStyle w:val="Leipteksti"/>
              <w:rPr>
                <w:sz w:val="22"/>
                <w:szCs w:val="22"/>
              </w:rPr>
            </w:pPr>
            <w:r w:rsidRPr="00955436">
              <w:rPr>
                <w:b/>
                <w:bCs/>
                <w:sz w:val="22"/>
                <w:szCs w:val="22"/>
                <w:lang w:val="sv"/>
              </w:rPr>
              <w:t>Möjliga stödmottagare</w:t>
            </w:r>
          </w:p>
        </w:tc>
        <w:tc>
          <w:tcPr>
            <w:tcW w:w="5380" w:type="dxa"/>
          </w:tcPr>
          <w:p w14:paraId="75A5EEF0" w14:textId="77777777" w:rsidR="00CB4157" w:rsidRPr="00955436" w:rsidRDefault="00CB4157" w:rsidP="00955436">
            <w:pPr>
              <w:pStyle w:val="Leipteksti"/>
              <w:rPr>
                <w:sz w:val="22"/>
                <w:szCs w:val="22"/>
              </w:rPr>
            </w:pPr>
            <w:r w:rsidRPr="00955436">
              <w:rPr>
                <w:sz w:val="22"/>
                <w:szCs w:val="22"/>
                <w:lang w:val="sv"/>
              </w:rPr>
              <w:t>Behöriga myndigheter</w:t>
            </w:r>
          </w:p>
        </w:tc>
      </w:tr>
      <w:tr w:rsidR="00CB4157" w:rsidRPr="000F5AB4" w14:paraId="7E80F8A2" w14:textId="77777777" w:rsidTr="00CB4157">
        <w:tc>
          <w:tcPr>
            <w:tcW w:w="4248" w:type="dxa"/>
          </w:tcPr>
          <w:p w14:paraId="304021AA" w14:textId="77777777" w:rsidR="00CB4157" w:rsidRPr="00955436" w:rsidRDefault="00CB4157" w:rsidP="00955436">
            <w:pPr>
              <w:pStyle w:val="Leipteksti"/>
              <w:rPr>
                <w:b/>
                <w:sz w:val="22"/>
                <w:szCs w:val="22"/>
                <w:lang w:val="sv-SE"/>
              </w:rPr>
            </w:pPr>
            <w:r w:rsidRPr="00955436">
              <w:rPr>
                <w:rFonts w:eastAsia="Calibri"/>
                <w:b/>
                <w:bCs/>
                <w:sz w:val="22"/>
                <w:szCs w:val="22"/>
                <w:lang w:val="sv"/>
              </w:rPr>
              <w:t>Samordning med annan EU-finansiering</w:t>
            </w:r>
          </w:p>
        </w:tc>
        <w:tc>
          <w:tcPr>
            <w:tcW w:w="5380" w:type="dxa"/>
          </w:tcPr>
          <w:p w14:paraId="2758389F" w14:textId="65205C68" w:rsidR="00CB4157" w:rsidRPr="009F1373" w:rsidRDefault="002E4B5A" w:rsidP="002E4B5A">
            <w:pPr>
              <w:pStyle w:val="Leipteksti"/>
              <w:rPr>
                <w:sz w:val="22"/>
                <w:szCs w:val="22"/>
                <w:lang w:val="sv-SE"/>
              </w:rPr>
            </w:pPr>
            <w:r w:rsidRPr="009F1373">
              <w:rPr>
                <w:sz w:val="22"/>
                <w:szCs w:val="22"/>
                <w:lang w:val="sv-SE"/>
              </w:rPr>
              <w:t xml:space="preserve">Åtgärder samordnas med </w:t>
            </w:r>
            <w:r w:rsidR="006C1B85" w:rsidRPr="009F1373">
              <w:rPr>
                <w:sz w:val="22"/>
                <w:szCs w:val="22"/>
                <w:lang w:val="sv-SE"/>
              </w:rPr>
              <w:t>BMVI-</w:t>
            </w:r>
            <w:r w:rsidRPr="009F1373">
              <w:rPr>
                <w:rFonts w:cstheme="minorHAnsi"/>
                <w:sz w:val="22"/>
                <w:szCs w:val="22"/>
                <w:lang w:val="sv-SE"/>
              </w:rPr>
              <w:t>finansieringen</w:t>
            </w:r>
          </w:p>
        </w:tc>
      </w:tr>
      <w:tr w:rsidR="00CB4157" w:rsidRPr="000F5AB4" w14:paraId="38908DDC" w14:textId="77777777" w:rsidTr="00CB4157">
        <w:tc>
          <w:tcPr>
            <w:tcW w:w="9628" w:type="dxa"/>
            <w:gridSpan w:val="2"/>
          </w:tcPr>
          <w:p w14:paraId="34CF6CFE" w14:textId="77777777" w:rsidR="00CB4157" w:rsidRPr="00955436" w:rsidRDefault="00CB4157" w:rsidP="00955436">
            <w:pPr>
              <w:pStyle w:val="Leipteksti"/>
              <w:rPr>
                <w:sz w:val="22"/>
                <w:szCs w:val="22"/>
                <w:lang w:val="sv-SE"/>
              </w:rPr>
            </w:pPr>
            <w:r w:rsidRPr="00955436">
              <w:rPr>
                <w:b/>
                <w:bCs/>
                <w:sz w:val="22"/>
                <w:szCs w:val="22"/>
                <w:lang w:val="sv"/>
              </w:rPr>
              <w:t>Indikatorer som ska tillämpas</w:t>
            </w:r>
            <w:r w:rsidRPr="00955436">
              <w:rPr>
                <w:sz w:val="22"/>
                <w:szCs w:val="22"/>
                <w:lang w:val="sv"/>
              </w:rPr>
              <w:t xml:space="preserve"> </w:t>
            </w:r>
          </w:p>
          <w:p w14:paraId="36715467" w14:textId="7853B79B" w:rsidR="00CB4157" w:rsidRPr="00955436" w:rsidRDefault="00CB4157" w:rsidP="00955436">
            <w:pPr>
              <w:pStyle w:val="Leipteksti"/>
              <w:rPr>
                <w:sz w:val="22"/>
                <w:szCs w:val="22"/>
                <w:lang w:val="sv-SE"/>
              </w:rPr>
            </w:pPr>
            <w:r w:rsidRPr="00955436">
              <w:rPr>
                <w:sz w:val="22"/>
                <w:szCs w:val="22"/>
                <w:lang w:val="sv"/>
              </w:rPr>
              <w:t>I åtgärderna ska även tillämpas andra indikatorer än de som finns i detta s</w:t>
            </w:r>
            <w:r w:rsidR="000473F1">
              <w:rPr>
                <w:sz w:val="22"/>
                <w:szCs w:val="22"/>
                <w:lang w:val="sv"/>
              </w:rPr>
              <w:t>pecifik</w:t>
            </w:r>
            <w:r w:rsidRPr="00955436">
              <w:rPr>
                <w:sz w:val="22"/>
                <w:szCs w:val="22"/>
                <w:lang w:val="sv"/>
              </w:rPr>
              <w:t>a mål, om verksamheten som genomförs kan mätas med dem.</w:t>
            </w:r>
          </w:p>
          <w:p w14:paraId="34BFB67B" w14:textId="28213C82" w:rsidR="00CB4157" w:rsidRPr="00955436" w:rsidRDefault="003516ED" w:rsidP="00955436">
            <w:pPr>
              <w:pStyle w:val="Leipteksti"/>
              <w:rPr>
                <w:sz w:val="22"/>
                <w:szCs w:val="22"/>
                <w:lang w:val="sv-SE"/>
              </w:rPr>
            </w:pPr>
            <w:r>
              <w:rPr>
                <w:sz w:val="22"/>
                <w:szCs w:val="22"/>
                <w:lang w:val="sv"/>
              </w:rPr>
              <w:lastRenderedPageBreak/>
              <w:t>Output</w:t>
            </w:r>
            <w:r w:rsidR="00CB4157" w:rsidRPr="00955436">
              <w:rPr>
                <w:sz w:val="22"/>
                <w:szCs w:val="22"/>
                <w:lang w:val="sv"/>
              </w:rPr>
              <w:t>indikatorer:</w:t>
            </w:r>
          </w:p>
          <w:p w14:paraId="39C855F7" w14:textId="77777777" w:rsidR="00CB4157" w:rsidRPr="00955436" w:rsidRDefault="00CB4157" w:rsidP="00955436">
            <w:pPr>
              <w:pStyle w:val="Leipteksti"/>
              <w:rPr>
                <w:sz w:val="22"/>
                <w:szCs w:val="22"/>
                <w:lang w:val="sv-SE"/>
              </w:rPr>
            </w:pPr>
            <w:r w:rsidRPr="00955436">
              <w:rPr>
                <w:sz w:val="22"/>
                <w:szCs w:val="22"/>
                <w:lang w:val="sv"/>
              </w:rPr>
              <w:t>O.1.1 Antal deltagare i utbildningsverksamhet</w:t>
            </w:r>
          </w:p>
          <w:p w14:paraId="5596B0EE" w14:textId="77777777" w:rsidR="00CB4157" w:rsidRPr="00955436" w:rsidRDefault="00CB4157" w:rsidP="00955436">
            <w:pPr>
              <w:pStyle w:val="Leipteksti"/>
              <w:rPr>
                <w:sz w:val="22"/>
                <w:szCs w:val="22"/>
                <w:lang w:val="sv-SE"/>
              </w:rPr>
            </w:pPr>
            <w:r w:rsidRPr="00955436">
              <w:rPr>
                <w:sz w:val="22"/>
                <w:szCs w:val="22"/>
                <w:lang w:val="sv"/>
              </w:rPr>
              <w:t>O.1.2 Antal expertmöten/workshops/studiebesök</w:t>
            </w:r>
          </w:p>
          <w:p w14:paraId="110E9040" w14:textId="77777777" w:rsidR="00CB4157" w:rsidRPr="00955436" w:rsidRDefault="00CB4157" w:rsidP="00955436">
            <w:pPr>
              <w:pStyle w:val="Leipteksti"/>
              <w:rPr>
                <w:sz w:val="22"/>
                <w:szCs w:val="22"/>
                <w:lang w:val="sv-SE"/>
              </w:rPr>
            </w:pPr>
            <w:r w:rsidRPr="00955436">
              <w:rPr>
                <w:sz w:val="22"/>
                <w:szCs w:val="22"/>
                <w:lang w:val="sv"/>
              </w:rPr>
              <w:t>O.1.3 Antal etablerade/anpassade/underhållna informations- och kommunikationstekniksystem (IKT-system)</w:t>
            </w:r>
          </w:p>
          <w:p w14:paraId="5915FF8C" w14:textId="77777777" w:rsidR="00CB4157" w:rsidRPr="00955436" w:rsidRDefault="00CB4157" w:rsidP="00955436">
            <w:pPr>
              <w:pStyle w:val="Leipteksti"/>
              <w:rPr>
                <w:sz w:val="22"/>
                <w:szCs w:val="22"/>
                <w:lang w:val="sv-SE"/>
              </w:rPr>
            </w:pPr>
            <w:r w:rsidRPr="00955436">
              <w:rPr>
                <w:sz w:val="22"/>
                <w:szCs w:val="22"/>
                <w:lang w:val="sv"/>
              </w:rPr>
              <w:t>Resultatindikatorer:</w:t>
            </w:r>
          </w:p>
          <w:p w14:paraId="3BF984E3" w14:textId="77777777" w:rsidR="00CB4157" w:rsidRPr="00955436" w:rsidRDefault="00CB4157" w:rsidP="00955436">
            <w:pPr>
              <w:pStyle w:val="Leipteksti"/>
              <w:rPr>
                <w:sz w:val="22"/>
                <w:szCs w:val="22"/>
                <w:lang w:val="sv-SE"/>
              </w:rPr>
            </w:pPr>
            <w:r w:rsidRPr="00955436">
              <w:rPr>
                <w:sz w:val="22"/>
                <w:szCs w:val="22"/>
                <w:lang w:val="sv"/>
              </w:rPr>
              <w:t>R.1.5 Antal IKT-system som gjorts interoperabla i medlemsstaterna/med säkerhetskritiska informationssystem inom EU och säkerhetskritiska decentraliserade informationssystem/internationella databaser</w:t>
            </w:r>
          </w:p>
          <w:p w14:paraId="6E6BC8EF" w14:textId="77777777" w:rsidR="00CB4157" w:rsidRPr="00955436" w:rsidRDefault="00CB4157" w:rsidP="00955436">
            <w:pPr>
              <w:pStyle w:val="Leipteksti"/>
              <w:rPr>
                <w:sz w:val="22"/>
                <w:szCs w:val="22"/>
                <w:lang w:val="sv-SE"/>
              </w:rPr>
            </w:pPr>
            <w:r w:rsidRPr="00955436">
              <w:rPr>
                <w:sz w:val="22"/>
                <w:szCs w:val="22"/>
                <w:lang w:val="sv"/>
              </w:rPr>
              <w:t>R.1.7 Antal deltagare som tycker att utbildningen är användbar i arbetet</w:t>
            </w:r>
          </w:p>
          <w:p w14:paraId="38087C2D" w14:textId="77777777" w:rsidR="00CB4157" w:rsidRPr="00955436" w:rsidRDefault="00CB4157" w:rsidP="00955436">
            <w:pPr>
              <w:pStyle w:val="Leipteksti"/>
              <w:rPr>
                <w:sz w:val="22"/>
                <w:szCs w:val="22"/>
                <w:lang w:val="sv-SE"/>
              </w:rPr>
            </w:pPr>
            <w:r w:rsidRPr="00955436">
              <w:rPr>
                <w:sz w:val="22"/>
                <w:szCs w:val="22"/>
                <w:lang w:val="sv"/>
              </w:rPr>
              <w:t>R.1.8 Antal deltagare som tre månader efter utbildningsaktiviteten anger att de använder de färdigheter och kompetenser som förvärvats i den utbildningsaktiviteten</w:t>
            </w:r>
          </w:p>
        </w:tc>
      </w:tr>
      <w:tr w:rsidR="00CB4157" w:rsidRPr="000F5AB4" w14:paraId="2E00941D" w14:textId="77777777" w:rsidTr="00CB4157">
        <w:tc>
          <w:tcPr>
            <w:tcW w:w="4248" w:type="dxa"/>
          </w:tcPr>
          <w:p w14:paraId="1C9EFDA7" w14:textId="77777777" w:rsidR="00CB4157" w:rsidRPr="00955436" w:rsidRDefault="00CB4157" w:rsidP="00955436">
            <w:pPr>
              <w:pStyle w:val="Leipteksti"/>
              <w:rPr>
                <w:b/>
                <w:sz w:val="22"/>
                <w:szCs w:val="22"/>
              </w:rPr>
            </w:pPr>
            <w:r w:rsidRPr="00955436">
              <w:rPr>
                <w:b/>
                <w:bCs/>
                <w:sz w:val="22"/>
                <w:szCs w:val="22"/>
                <w:lang w:val="sv"/>
              </w:rPr>
              <w:lastRenderedPageBreak/>
              <w:t>Ansökningstid</w:t>
            </w:r>
          </w:p>
        </w:tc>
        <w:tc>
          <w:tcPr>
            <w:tcW w:w="5380" w:type="dxa"/>
          </w:tcPr>
          <w:p w14:paraId="1A75A325" w14:textId="43AE6530" w:rsidR="00CB4157" w:rsidRPr="009F1373" w:rsidRDefault="00B733D6" w:rsidP="00955436">
            <w:pPr>
              <w:pStyle w:val="Leipteksti"/>
              <w:rPr>
                <w:sz w:val="22"/>
                <w:szCs w:val="22"/>
                <w:lang w:val="sv-SE"/>
              </w:rPr>
            </w:pPr>
            <w:r w:rsidRPr="009F1373">
              <w:rPr>
                <w:rFonts w:cstheme="minorHAnsi"/>
                <w:sz w:val="22"/>
                <w:szCs w:val="22"/>
                <w:lang w:val="sv-SE"/>
              </w:rPr>
              <w:t>hösten 2024, våren 2025 om finansiering återstår/har frigjorts, hösten 2025 om finansiering återstår/har frigjorts</w:t>
            </w:r>
          </w:p>
        </w:tc>
      </w:tr>
      <w:tr w:rsidR="00CB4157" w:rsidRPr="00955436" w14:paraId="7E2262E7" w14:textId="77777777" w:rsidTr="00CB4157">
        <w:tc>
          <w:tcPr>
            <w:tcW w:w="4248" w:type="dxa"/>
          </w:tcPr>
          <w:p w14:paraId="673EF5EC" w14:textId="77777777" w:rsidR="00CB4157" w:rsidRPr="00955436" w:rsidRDefault="00CB4157" w:rsidP="00955436">
            <w:pPr>
              <w:pStyle w:val="Leipteksti"/>
              <w:rPr>
                <w:b/>
                <w:sz w:val="22"/>
                <w:szCs w:val="22"/>
              </w:rPr>
            </w:pPr>
            <w:r w:rsidRPr="00955436">
              <w:rPr>
                <w:b/>
                <w:bCs/>
                <w:sz w:val="22"/>
                <w:szCs w:val="22"/>
                <w:lang w:val="sv"/>
              </w:rPr>
              <w:t>Projektet inleds senast</w:t>
            </w:r>
          </w:p>
        </w:tc>
        <w:tc>
          <w:tcPr>
            <w:tcW w:w="5380" w:type="dxa"/>
          </w:tcPr>
          <w:p w14:paraId="756D5352" w14:textId="77777777" w:rsidR="00CB4157" w:rsidRPr="00955436" w:rsidRDefault="00CB4157" w:rsidP="00955436">
            <w:pPr>
              <w:pStyle w:val="Leipteksti"/>
              <w:rPr>
                <w:rFonts w:eastAsia="Calibri"/>
                <w:sz w:val="22"/>
                <w:szCs w:val="22"/>
              </w:rPr>
            </w:pPr>
            <w:r w:rsidRPr="00955436">
              <w:rPr>
                <w:sz w:val="22"/>
                <w:szCs w:val="22"/>
                <w:lang w:val="sv"/>
              </w:rPr>
              <w:t>Se utlysningen</w:t>
            </w:r>
          </w:p>
        </w:tc>
      </w:tr>
      <w:bookmarkEnd w:id="30"/>
    </w:tbl>
    <w:p w14:paraId="08392A56" w14:textId="77777777" w:rsidR="00CB4157" w:rsidRPr="00955436" w:rsidRDefault="00CB4157" w:rsidP="00CB4157"/>
    <w:p w14:paraId="1419E6CF" w14:textId="77777777" w:rsidR="00CB4157" w:rsidRDefault="00CB4157" w:rsidP="00CB4157"/>
    <w:p w14:paraId="40B84434" w14:textId="77777777" w:rsidR="00CB4157" w:rsidRDefault="00CB4157" w:rsidP="00CB4157"/>
    <w:p w14:paraId="781D50C9" w14:textId="77777777" w:rsidR="00CB4157" w:rsidRPr="003C5AD7" w:rsidRDefault="00CB4157" w:rsidP="00955436">
      <w:pPr>
        <w:pStyle w:val="Otsikko3"/>
        <w:rPr>
          <w:lang w:val="sv-SE"/>
        </w:rPr>
      </w:pPr>
      <w:bookmarkStart w:id="31" w:name="_Toc102727269"/>
      <w:bookmarkStart w:id="32" w:name="_Toc184224307"/>
      <w:r>
        <w:rPr>
          <w:lang w:val="sv"/>
        </w:rPr>
        <w:t>1 D Stöd för nationella åtgärder, inklusive sammankoppling av nationella databaser och anslutning av dem till unionens databaser</w:t>
      </w:r>
      <w:bookmarkEnd w:id="31"/>
      <w:bookmarkEnd w:id="32"/>
    </w:p>
    <w:p w14:paraId="17B11D51" w14:textId="77777777" w:rsidR="00CB4157" w:rsidRPr="003C5AD7" w:rsidRDefault="00CB4157" w:rsidP="00CB4157">
      <w:pPr>
        <w:rPr>
          <w:lang w:val="sv-SE"/>
        </w:rPr>
      </w:pPr>
    </w:p>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F152EA" w:rsidRPr="0087596A" w14:paraId="3D43CF41" w14:textId="77777777" w:rsidTr="00A31D59">
        <w:tc>
          <w:tcPr>
            <w:tcW w:w="9628" w:type="dxa"/>
            <w:gridSpan w:val="2"/>
            <w:shd w:val="clear" w:color="auto" w:fill="FDE2D1" w:themeFill="accent1" w:themeFillTint="33"/>
          </w:tcPr>
          <w:p w14:paraId="00BE6E4B" w14:textId="77777777" w:rsidR="00CB4157" w:rsidRDefault="00CB4157" w:rsidP="00F152EA">
            <w:pPr>
              <w:pStyle w:val="Otsikko4"/>
            </w:pPr>
            <w:bookmarkStart w:id="33" w:name="_Toc102727270"/>
            <w:bookmarkStart w:id="34" w:name="_Hlk95380875"/>
            <w:r>
              <w:rPr>
                <w:lang w:val="sv"/>
              </w:rPr>
              <w:t>1 D 1 Främjande av digitalisering</w:t>
            </w:r>
            <w:bookmarkEnd w:id="33"/>
          </w:p>
          <w:p w14:paraId="2499D9C3" w14:textId="77777777" w:rsidR="00CB4157" w:rsidRPr="00634912" w:rsidRDefault="00CB4157" w:rsidP="00F152EA"/>
        </w:tc>
      </w:tr>
      <w:tr w:rsidR="00F152EA" w:rsidRPr="000F5AB4" w14:paraId="28E5FF2E" w14:textId="77777777" w:rsidTr="00A31D59">
        <w:trPr>
          <w:trHeight w:val="850"/>
        </w:trPr>
        <w:tc>
          <w:tcPr>
            <w:tcW w:w="9628" w:type="dxa"/>
            <w:gridSpan w:val="2"/>
          </w:tcPr>
          <w:p w14:paraId="6D72C58B" w14:textId="77777777" w:rsidR="00CB4157" w:rsidRPr="00955436" w:rsidRDefault="00CB4157" w:rsidP="00F152EA">
            <w:pPr>
              <w:pStyle w:val="Leipteksti"/>
              <w:rPr>
                <w:sz w:val="22"/>
                <w:szCs w:val="22"/>
                <w:lang w:val="sv-SE"/>
              </w:rPr>
            </w:pPr>
          </w:p>
          <w:p w14:paraId="67114E3E" w14:textId="77777777" w:rsidR="00CB4157" w:rsidRPr="00955436" w:rsidRDefault="00CB4157" w:rsidP="00F152EA">
            <w:pPr>
              <w:pStyle w:val="Leipteksti"/>
              <w:rPr>
                <w:sz w:val="22"/>
                <w:szCs w:val="22"/>
                <w:lang w:val="sv-SE"/>
              </w:rPr>
            </w:pPr>
            <w:r w:rsidRPr="00955436">
              <w:rPr>
                <w:sz w:val="22"/>
                <w:szCs w:val="22"/>
                <w:lang w:val="sv"/>
              </w:rPr>
              <w:t xml:space="preserve">Utvecklingen av digitaliseringen och teknologier är mycket snabb och omfattande, och möjligheterna de medför utnyttjas också i kriminella syften.  Ny teknik har en mycket bred kontaktyta mot myndigheters verksamhet inom olika sektorer. Mängden data som ska undersökas har ökat exponentiellt och är ofta komplex. Den större användningen av digitalt material i förundersökningsmaterialet är utmanande till exempel på grund av </w:t>
            </w:r>
            <w:r w:rsidRPr="00955436">
              <w:rPr>
                <w:sz w:val="22"/>
                <w:szCs w:val="22"/>
                <w:lang w:val="sv"/>
              </w:rPr>
              <w:lastRenderedPageBreak/>
              <w:t xml:space="preserve">lagringsplattformens otillräcklighet och föråldrade nätlösningar. Detaljerad behandling av data är omöjlig för en människa och felaktig och ofta ytlig i förhållande till hela datamassan på grund av mänskliga skäl. Detta utmanar myndigheter när det gäller kunnande, verktyg som används, informationssystem, metoder och aktuell teknik.  Den ökande mängden data har skapat ett behov av att utveckla lösningar som utnyttjar maskininlärning. </w:t>
            </w:r>
          </w:p>
          <w:p w14:paraId="260DD562" w14:textId="77777777" w:rsidR="00CB4157" w:rsidRPr="00955436" w:rsidRDefault="00CB4157" w:rsidP="00F152EA">
            <w:pPr>
              <w:pStyle w:val="Leipteksti"/>
              <w:rPr>
                <w:rFonts w:eastAsia="Calibri"/>
                <w:sz w:val="22"/>
                <w:szCs w:val="22"/>
                <w:lang w:val="sv-SE"/>
              </w:rPr>
            </w:pPr>
            <w:r w:rsidRPr="00955436">
              <w:rPr>
                <w:sz w:val="22"/>
                <w:szCs w:val="22"/>
                <w:lang w:val="sv"/>
              </w:rPr>
              <w:t xml:space="preserve">Bristen på automatisering leder i onödan till parallell användning av flera separata databaser och system i det dagliga arbetet. Det finns flera system och de är svåra att använda. Detta saktar ner processer och tär på personalresurser. Olika ytterligare sökningar måste göras, vilket orsakar extra arbete och osäkerhet i kedjan av information. </w:t>
            </w:r>
          </w:p>
          <w:p w14:paraId="0944A8C0" w14:textId="38442595" w:rsidR="00CB4157" w:rsidRPr="00955436" w:rsidRDefault="00CB4157" w:rsidP="00F152EA">
            <w:pPr>
              <w:pStyle w:val="Leipteksti"/>
              <w:rPr>
                <w:sz w:val="22"/>
                <w:szCs w:val="22"/>
                <w:lang w:val="sv-SE"/>
              </w:rPr>
            </w:pPr>
            <w:r w:rsidRPr="00955436">
              <w:rPr>
                <w:sz w:val="22"/>
                <w:szCs w:val="22"/>
                <w:lang w:val="sv"/>
              </w:rPr>
              <w:t>Digitaliseringen och annan teknisk utveckling kommer att vara väsentliga utvecklingsområden de kommande åren när det gäller effektivisering av myndigheters verksamhet och förbättrad inre säkerhet. Dessutom kommer de att kräva nationellt och internationellt samarbete även med näringslivet och vetenskapsvärlden. Förundersöknings- och rättsmyndigheterna ska bland annat identifiera och hantera potentiellt digitalt bevismaterial och kunna utveckla produkter och lösningar som möjliggör att arbetsuppgifter kan utföras på ett högkvalitativt och datasäkert sätt. Trots de stora mängderna av data bör processerna vara snabba och brottsförebyggande åtgärder bör baseras på analys. I beredningen ingår ny EU-reglering som främjar digitaliseringen av samarbetet gällande brottmål. EU-kraven förutsätter lösningar som grundar sig på digitalisering även inom polisens fältarbete, såsom i tillståndsförvaltning och terminalutrustning som används inom övervakning och i polisbilar, i vilka även EU:s gemensamma databaser används.</w:t>
            </w:r>
            <w:r w:rsidR="00D81F0F">
              <w:rPr>
                <w:sz w:val="22"/>
                <w:szCs w:val="22"/>
                <w:lang w:val="sv"/>
              </w:rPr>
              <w:t xml:space="preserve"> I enlighet med regeringsprogrammet </w:t>
            </w:r>
            <w:r w:rsidR="00D81F0F" w:rsidRPr="00D81F0F">
              <w:rPr>
                <w:sz w:val="22"/>
                <w:szCs w:val="22"/>
                <w:lang w:val="sv"/>
              </w:rPr>
              <w:t xml:space="preserve">stärks </w:t>
            </w:r>
            <w:r w:rsidR="00D81F0F">
              <w:rPr>
                <w:lang w:val="sv-SE"/>
              </w:rPr>
              <w:t>d</w:t>
            </w:r>
            <w:proofErr w:type="spellStart"/>
            <w:r w:rsidR="00D81F0F" w:rsidRPr="00D81F0F">
              <w:rPr>
                <w:sz w:val="22"/>
                <w:szCs w:val="22"/>
                <w:lang w:val="sv"/>
              </w:rPr>
              <w:t>igitaliseringen</w:t>
            </w:r>
            <w:proofErr w:type="spellEnd"/>
            <w:r w:rsidR="00D81F0F" w:rsidRPr="00D81F0F">
              <w:rPr>
                <w:sz w:val="22"/>
                <w:szCs w:val="22"/>
                <w:lang w:val="sv"/>
              </w:rPr>
              <w:t xml:space="preserve"> både i brottsundersökningen och i brottsbekämpningen.</w:t>
            </w:r>
          </w:p>
          <w:p w14:paraId="35E32B12" w14:textId="4B224087" w:rsidR="00B17D5A" w:rsidRDefault="00CB4157" w:rsidP="00F152EA">
            <w:pPr>
              <w:pStyle w:val="Leipteksti"/>
              <w:rPr>
                <w:sz w:val="22"/>
                <w:szCs w:val="22"/>
                <w:lang w:val="sv"/>
              </w:rPr>
            </w:pPr>
            <w:r w:rsidRPr="00955436">
              <w:rPr>
                <w:sz w:val="22"/>
                <w:szCs w:val="22"/>
                <w:lang w:val="sv"/>
              </w:rPr>
              <w:t xml:space="preserve">Digitalisering ska utnyttjas på ett omfattande sätt inom verksamhet som bedrivs av myndigheter som är centrala för brottsprocessen och den inre säkerheten. Med ISF-stöd utvecklar man bekämpning och undersökning av grov brottslighet genom att förbättra de brottsbekämpande myndigheternas förmåga att ta emot, förvara och förmedla datatekniskt bevismaterial. </w:t>
            </w:r>
            <w:r w:rsidR="0099601E" w:rsidRPr="00B17D5A">
              <w:rPr>
                <w:rFonts w:cstheme="minorHAnsi"/>
                <w:sz w:val="22"/>
                <w:szCs w:val="22"/>
                <w:lang w:val="sv-SE"/>
              </w:rPr>
              <w:t>Dessutom utvecklas nya</w:t>
            </w:r>
            <w:r w:rsidR="0099601E" w:rsidRPr="00F30646">
              <w:rPr>
                <w:lang w:val="sv-SE"/>
              </w:rPr>
              <w:t xml:space="preserve"> dataförbindelser och ökad datorkapacitet</w:t>
            </w:r>
            <w:r w:rsidR="00B17D5A" w:rsidRPr="00F30646">
              <w:rPr>
                <w:lang w:val="sv-SE"/>
              </w:rPr>
              <w:t xml:space="preserve"> i synnerhet med tanke på</w:t>
            </w:r>
            <w:r w:rsidR="00B17D5A">
              <w:rPr>
                <w:rFonts w:cstheme="minorHAnsi"/>
                <w:sz w:val="22"/>
                <w:szCs w:val="22"/>
                <w:lang w:val="sv-SE"/>
              </w:rPr>
              <w:t xml:space="preserve"> användningen </w:t>
            </w:r>
            <w:r w:rsidR="00B17D5A" w:rsidRPr="00F16A01">
              <w:rPr>
                <w:rFonts w:cstheme="minorHAnsi"/>
                <w:sz w:val="22"/>
                <w:szCs w:val="22"/>
                <w:lang w:val="sv-SE"/>
              </w:rPr>
              <w:t>av</w:t>
            </w:r>
            <w:r w:rsidR="0099601E" w:rsidRPr="00F16A01">
              <w:rPr>
                <w:lang w:val="sv-SE"/>
              </w:rPr>
              <w:t xml:space="preserve"> 5G-tekn</w:t>
            </w:r>
            <w:r w:rsidR="00B17D5A" w:rsidRPr="00F16A01">
              <w:rPr>
                <w:rFonts w:cstheme="minorHAnsi"/>
                <w:sz w:val="22"/>
                <w:szCs w:val="22"/>
                <w:lang w:val="sv-SE"/>
              </w:rPr>
              <w:t>ik</w:t>
            </w:r>
            <w:r w:rsidR="0099601E" w:rsidRPr="00F16A01">
              <w:rPr>
                <w:rFonts w:cstheme="minorHAnsi"/>
                <w:sz w:val="22"/>
                <w:szCs w:val="22"/>
                <w:lang w:val="sv-SE"/>
              </w:rPr>
              <w:t>.</w:t>
            </w:r>
            <w:r w:rsidR="0099601E" w:rsidRPr="00F30646">
              <w:rPr>
                <w:lang w:val="sv-SE"/>
              </w:rPr>
              <w:t xml:space="preserve"> </w:t>
            </w:r>
            <w:r w:rsidR="00B17D5A">
              <w:rPr>
                <w:sz w:val="22"/>
                <w:szCs w:val="22"/>
                <w:lang w:val="sv-SE"/>
              </w:rPr>
              <w:t xml:space="preserve">Utnyttjandet av </w:t>
            </w:r>
            <w:r w:rsidR="00B17D5A">
              <w:rPr>
                <w:sz w:val="22"/>
                <w:szCs w:val="22"/>
                <w:lang w:val="sv"/>
              </w:rPr>
              <w:t>d</w:t>
            </w:r>
            <w:r w:rsidRPr="00955436">
              <w:rPr>
                <w:sz w:val="22"/>
                <w:szCs w:val="22"/>
                <w:lang w:val="sv"/>
              </w:rPr>
              <w:t>igitalisering, automatisering, modern mjukvarurobotik, artificiell intelligens och maskininlärningsprocesser främjas inom bland annat granskning av material, klassificering av uppgifter, individuella kontroller som förutsätts enligt dataskyddskrav, verifiering av identitet, internationellt samarbete, underrättelseverksamhet, analysverksamhet, IT-</w:t>
            </w:r>
            <w:proofErr w:type="spellStart"/>
            <w:r w:rsidRPr="00955436">
              <w:rPr>
                <w:sz w:val="22"/>
                <w:szCs w:val="22"/>
                <w:lang w:val="sv"/>
              </w:rPr>
              <w:t>forensik</w:t>
            </w:r>
            <w:proofErr w:type="spellEnd"/>
            <w:r w:rsidRPr="00955436">
              <w:rPr>
                <w:sz w:val="22"/>
                <w:szCs w:val="22"/>
                <w:lang w:val="sv"/>
              </w:rPr>
              <w:t>, utredning av penningtvättbrott och misstankar</w:t>
            </w:r>
            <w:r w:rsidR="00B17D5A">
              <w:rPr>
                <w:sz w:val="22"/>
                <w:szCs w:val="22"/>
                <w:lang w:val="sv"/>
              </w:rPr>
              <w:t xml:space="preserve"> om penningtvätt</w:t>
            </w:r>
            <w:r w:rsidRPr="00955436">
              <w:rPr>
                <w:sz w:val="22"/>
                <w:szCs w:val="22"/>
                <w:lang w:val="sv"/>
              </w:rPr>
              <w:t xml:space="preserve">, </w:t>
            </w:r>
            <w:r w:rsidRPr="00955436">
              <w:rPr>
                <w:sz w:val="22"/>
                <w:szCs w:val="22"/>
                <w:lang w:val="sv"/>
              </w:rPr>
              <w:lastRenderedPageBreak/>
              <w:t xml:space="preserve">identifiering av misstänkta och gärningsmän, förundersökning, </w:t>
            </w:r>
            <w:proofErr w:type="spellStart"/>
            <w:r w:rsidRPr="00955436">
              <w:rPr>
                <w:sz w:val="22"/>
                <w:szCs w:val="22"/>
                <w:lang w:val="sv"/>
              </w:rPr>
              <w:t>serialisering</w:t>
            </w:r>
            <w:proofErr w:type="spellEnd"/>
            <w:r w:rsidRPr="00955436">
              <w:rPr>
                <w:sz w:val="22"/>
                <w:szCs w:val="22"/>
                <w:lang w:val="sv"/>
              </w:rPr>
              <w:t xml:space="preserve"> av ärenden</w:t>
            </w:r>
            <w:r w:rsidR="00B17D5A">
              <w:rPr>
                <w:sz w:val="22"/>
                <w:szCs w:val="22"/>
                <w:lang w:val="sv"/>
              </w:rPr>
              <w:t xml:space="preserve"> och </w:t>
            </w:r>
            <w:r w:rsidRPr="00955436">
              <w:rPr>
                <w:sz w:val="22"/>
                <w:szCs w:val="22"/>
                <w:lang w:val="sv"/>
              </w:rPr>
              <w:t>underrättelse inom öppen källkod</w:t>
            </w:r>
            <w:r w:rsidR="00B17D5A">
              <w:rPr>
                <w:sz w:val="22"/>
                <w:szCs w:val="22"/>
                <w:lang w:val="sv"/>
              </w:rPr>
              <w:t>. Utnyttjandet av</w:t>
            </w:r>
            <w:r w:rsidRPr="00955436">
              <w:rPr>
                <w:sz w:val="22"/>
                <w:szCs w:val="22"/>
                <w:lang w:val="sv"/>
              </w:rPr>
              <w:t xml:space="preserve"> virtuell verklighet </w:t>
            </w:r>
            <w:r w:rsidR="00B17D5A">
              <w:rPr>
                <w:sz w:val="22"/>
                <w:szCs w:val="22"/>
                <w:lang w:val="sv"/>
              </w:rPr>
              <w:t xml:space="preserve">och robotik främjas </w:t>
            </w:r>
            <w:r w:rsidRPr="00955436">
              <w:rPr>
                <w:sz w:val="22"/>
                <w:szCs w:val="22"/>
                <w:lang w:val="sv"/>
              </w:rPr>
              <w:t>vid brottsplatsundersökning, scenariomodellering och utbildning.</w:t>
            </w:r>
          </w:p>
          <w:p w14:paraId="6D93FC31" w14:textId="7C125A59" w:rsidR="00CB4157" w:rsidRPr="00955436" w:rsidRDefault="00CB4157" w:rsidP="00F152EA">
            <w:pPr>
              <w:pStyle w:val="Leipteksti"/>
              <w:rPr>
                <w:sz w:val="22"/>
                <w:szCs w:val="22"/>
                <w:lang w:val="sv-SE"/>
              </w:rPr>
            </w:pPr>
            <w:r w:rsidRPr="00955436">
              <w:rPr>
                <w:sz w:val="22"/>
                <w:szCs w:val="22"/>
                <w:lang w:val="sv"/>
              </w:rPr>
              <w:t>Dataskyddslagen förutsätter att personuppgiftsbiträdens kompetens förbättras. Informationens tillgänglighet vid rätt tidpunkt säkerställs i bekämpning av brottslighet och användbarheten av datamängderna i myndigheternas gemensamma operationer effektiviseras.</w:t>
            </w:r>
          </w:p>
          <w:p w14:paraId="613ED577" w14:textId="77777777" w:rsidR="00CB4157" w:rsidRPr="00955436" w:rsidRDefault="00CB4157" w:rsidP="00F152EA">
            <w:pPr>
              <w:pStyle w:val="Leipteksti"/>
              <w:rPr>
                <w:iCs/>
                <w:noProof/>
                <w:sz w:val="22"/>
                <w:szCs w:val="22"/>
                <w:lang w:val="sv-SE"/>
              </w:rPr>
            </w:pPr>
          </w:p>
          <w:p w14:paraId="42902533" w14:textId="77777777" w:rsidR="00CB4157" w:rsidRPr="00955436" w:rsidRDefault="00CB4157" w:rsidP="00F152EA">
            <w:pPr>
              <w:pStyle w:val="Leipteksti"/>
              <w:rPr>
                <w:rFonts w:eastAsia="Calibri"/>
                <w:b/>
                <w:sz w:val="22"/>
                <w:szCs w:val="22"/>
                <w:lang w:val="sv-SE"/>
              </w:rPr>
            </w:pPr>
            <w:r w:rsidRPr="00955436">
              <w:rPr>
                <w:b/>
                <w:bCs/>
                <w:sz w:val="22"/>
                <w:szCs w:val="22"/>
                <w:lang w:val="sv"/>
              </w:rPr>
              <w:t xml:space="preserve">Målet är att myndigheternas informationssystem, verktyg och redskap motsvarar verksamhetsmiljöns behov och följer den tekniska utvecklingen. </w:t>
            </w:r>
          </w:p>
          <w:p w14:paraId="2EEFEFBE" w14:textId="77777777" w:rsidR="00CB4157" w:rsidRPr="00955436" w:rsidRDefault="00CB4157" w:rsidP="00F152EA">
            <w:pPr>
              <w:pStyle w:val="Leipteksti"/>
              <w:rPr>
                <w:color w:val="000000"/>
                <w:sz w:val="22"/>
                <w:szCs w:val="22"/>
                <w:lang w:val="sv-SE"/>
              </w:rPr>
            </w:pPr>
          </w:p>
          <w:p w14:paraId="45CD1A2C" w14:textId="77777777" w:rsidR="00CB4157" w:rsidRPr="00955436" w:rsidRDefault="00CB4157" w:rsidP="00F152EA">
            <w:pPr>
              <w:pStyle w:val="Leipteksti"/>
              <w:rPr>
                <w:color w:val="000000"/>
                <w:sz w:val="22"/>
                <w:szCs w:val="22"/>
                <w:lang w:val="sv-SE"/>
              </w:rPr>
            </w:pPr>
            <w:r w:rsidRPr="00955436">
              <w:rPr>
                <w:color w:val="000000"/>
                <w:sz w:val="22"/>
                <w:szCs w:val="22"/>
                <w:lang w:val="sv"/>
              </w:rPr>
              <w:t>Understöd kan beviljas för projekt där man</w:t>
            </w:r>
            <w:r w:rsidRPr="00955436">
              <w:rPr>
                <w:sz w:val="22"/>
                <w:szCs w:val="22"/>
                <w:lang w:val="sv"/>
              </w:rPr>
              <w:t xml:space="preserve"> främjar digitalisering </w:t>
            </w:r>
            <w:r w:rsidRPr="00955436">
              <w:rPr>
                <w:color w:val="000000"/>
                <w:sz w:val="22"/>
                <w:szCs w:val="22"/>
                <w:lang w:val="sv"/>
              </w:rPr>
              <w:t xml:space="preserve">till exempel genom att man: </w:t>
            </w:r>
          </w:p>
          <w:p w14:paraId="6871F521" w14:textId="77777777" w:rsidR="00CB4157" w:rsidRPr="00955436" w:rsidRDefault="00CB4157" w:rsidP="00F152EA">
            <w:pPr>
              <w:pStyle w:val="Leipteksti"/>
              <w:numPr>
                <w:ilvl w:val="0"/>
                <w:numId w:val="8"/>
              </w:numPr>
              <w:rPr>
                <w:rFonts w:eastAsia="Calibri"/>
                <w:sz w:val="22"/>
                <w:szCs w:val="22"/>
                <w:lang w:val="sv-SE"/>
              </w:rPr>
            </w:pPr>
            <w:r w:rsidRPr="00955436">
              <w:rPr>
                <w:sz w:val="22"/>
                <w:szCs w:val="22"/>
                <w:lang w:val="sv"/>
              </w:rPr>
              <w:t xml:space="preserve">förvärvar ny mjukvara och hårdvara, </w:t>
            </w:r>
          </w:p>
          <w:p w14:paraId="76D5E972" w14:textId="77777777" w:rsidR="00CB4157" w:rsidRPr="00955436" w:rsidRDefault="00CB4157" w:rsidP="00F152EA">
            <w:pPr>
              <w:pStyle w:val="Leipteksti"/>
              <w:numPr>
                <w:ilvl w:val="0"/>
                <w:numId w:val="8"/>
              </w:numPr>
              <w:rPr>
                <w:rFonts w:eastAsia="Calibri"/>
                <w:sz w:val="22"/>
                <w:szCs w:val="22"/>
                <w:lang w:val="sv-SE"/>
              </w:rPr>
            </w:pPr>
            <w:r w:rsidRPr="00955436">
              <w:rPr>
                <w:rFonts w:eastAsia="Calibri"/>
                <w:sz w:val="22"/>
                <w:szCs w:val="22"/>
                <w:lang w:val="sv"/>
              </w:rPr>
              <w:t>förbättrar lagrings- och dataöverföringslösningar, till exempel begränsade molntjänstbaserade myndighetslösningar,</w:t>
            </w:r>
          </w:p>
          <w:p w14:paraId="0769C14A" w14:textId="77777777" w:rsidR="00CB4157" w:rsidRPr="00911344" w:rsidRDefault="00CB4157" w:rsidP="00F152EA">
            <w:pPr>
              <w:pStyle w:val="Leipteksti"/>
              <w:numPr>
                <w:ilvl w:val="0"/>
                <w:numId w:val="8"/>
              </w:numPr>
              <w:rPr>
                <w:rFonts w:eastAsia="Calibri"/>
                <w:sz w:val="22"/>
                <w:szCs w:val="22"/>
                <w:lang w:val="sv-SE"/>
              </w:rPr>
            </w:pPr>
            <w:r w:rsidRPr="00955436">
              <w:rPr>
                <w:rFonts w:eastAsia="Calibri"/>
                <w:sz w:val="22"/>
                <w:szCs w:val="22"/>
                <w:lang w:val="sv"/>
              </w:rPr>
              <w:t xml:space="preserve">förbättrar analysförmåga och nätförbindelser, </w:t>
            </w:r>
          </w:p>
          <w:p w14:paraId="7F28E58F" w14:textId="77777777" w:rsidR="00CB4157" w:rsidRPr="00955436" w:rsidRDefault="00CB4157" w:rsidP="00F152EA">
            <w:pPr>
              <w:pStyle w:val="Leipteksti"/>
              <w:numPr>
                <w:ilvl w:val="0"/>
                <w:numId w:val="8"/>
              </w:numPr>
              <w:rPr>
                <w:sz w:val="22"/>
                <w:szCs w:val="22"/>
                <w:lang w:val="sv-SE"/>
              </w:rPr>
            </w:pPr>
            <w:r w:rsidRPr="00955436">
              <w:rPr>
                <w:rFonts w:eastAsia="Calibri"/>
                <w:sz w:val="22"/>
                <w:szCs w:val="22"/>
                <w:lang w:val="sv"/>
              </w:rPr>
              <w:t>förbättrar myndigheters kompetens och arbetsprocesser,</w:t>
            </w:r>
          </w:p>
          <w:p w14:paraId="5EFB8932" w14:textId="77777777" w:rsidR="00CB4157" w:rsidRPr="00911344" w:rsidRDefault="00CB4157" w:rsidP="00F152EA">
            <w:pPr>
              <w:pStyle w:val="Leipteksti"/>
              <w:numPr>
                <w:ilvl w:val="0"/>
                <w:numId w:val="8"/>
              </w:numPr>
              <w:rPr>
                <w:sz w:val="22"/>
                <w:szCs w:val="22"/>
                <w:lang w:val="sv-SE"/>
              </w:rPr>
            </w:pPr>
            <w:r w:rsidRPr="00955436">
              <w:rPr>
                <w:sz w:val="22"/>
                <w:szCs w:val="22"/>
                <w:lang w:val="sv"/>
              </w:rPr>
              <w:t>utvecklar mobila lösningar,</w:t>
            </w:r>
          </w:p>
          <w:p w14:paraId="72CB32E1" w14:textId="77777777" w:rsidR="00CB4157" w:rsidRPr="00955436" w:rsidRDefault="00CB4157" w:rsidP="00F152EA">
            <w:pPr>
              <w:pStyle w:val="Leipteksti"/>
              <w:numPr>
                <w:ilvl w:val="0"/>
                <w:numId w:val="8"/>
              </w:numPr>
              <w:rPr>
                <w:b/>
                <w:sz w:val="22"/>
                <w:szCs w:val="22"/>
                <w:lang w:val="sv-SE"/>
              </w:rPr>
            </w:pPr>
            <w:r w:rsidRPr="00955436">
              <w:rPr>
                <w:sz w:val="22"/>
                <w:szCs w:val="22"/>
                <w:lang w:val="sv"/>
              </w:rPr>
              <w:t xml:space="preserve">inför användning av artificiell intelligens, särskilt för behandling av stora datamängder, </w:t>
            </w:r>
          </w:p>
          <w:p w14:paraId="786BDB45" w14:textId="77777777" w:rsidR="00CB4157" w:rsidRPr="00955436" w:rsidRDefault="00CB4157" w:rsidP="00F152EA">
            <w:pPr>
              <w:pStyle w:val="Leipteksti"/>
              <w:numPr>
                <w:ilvl w:val="0"/>
                <w:numId w:val="8"/>
              </w:numPr>
              <w:rPr>
                <w:sz w:val="22"/>
                <w:szCs w:val="22"/>
                <w:lang w:val="sv-SE"/>
              </w:rPr>
            </w:pPr>
            <w:r w:rsidRPr="00955436">
              <w:rPr>
                <w:sz w:val="22"/>
                <w:szCs w:val="22"/>
                <w:lang w:val="sv"/>
              </w:rPr>
              <w:t xml:space="preserve">automatiserar behandlingen av tips och data, till exempel i samband med passagerarunderrättelser och CSAM, </w:t>
            </w:r>
          </w:p>
          <w:p w14:paraId="5CC7D7E2" w14:textId="77777777" w:rsidR="00CB4157" w:rsidRPr="00955436" w:rsidRDefault="00CB4157" w:rsidP="00F152EA">
            <w:pPr>
              <w:pStyle w:val="Leipteksti"/>
              <w:numPr>
                <w:ilvl w:val="0"/>
                <w:numId w:val="8"/>
              </w:numPr>
              <w:rPr>
                <w:b/>
                <w:sz w:val="22"/>
                <w:szCs w:val="22"/>
                <w:lang w:val="sv-SE"/>
              </w:rPr>
            </w:pPr>
            <w:r w:rsidRPr="00955436">
              <w:rPr>
                <w:sz w:val="22"/>
                <w:szCs w:val="22"/>
                <w:lang w:val="sv"/>
              </w:rPr>
              <w:t>introducerar nya tekniska applikationer och verktyg,</w:t>
            </w:r>
          </w:p>
          <w:p w14:paraId="79B1CFA4" w14:textId="77777777" w:rsidR="00CB4157" w:rsidRPr="00955436" w:rsidRDefault="00CB4157" w:rsidP="00F152EA">
            <w:pPr>
              <w:pStyle w:val="Leipteksti"/>
              <w:numPr>
                <w:ilvl w:val="0"/>
                <w:numId w:val="8"/>
              </w:numPr>
              <w:rPr>
                <w:b/>
                <w:sz w:val="22"/>
                <w:szCs w:val="22"/>
                <w:lang w:val="sv-SE"/>
              </w:rPr>
            </w:pPr>
            <w:r w:rsidRPr="00955436">
              <w:rPr>
                <w:sz w:val="22"/>
                <w:szCs w:val="22"/>
                <w:lang w:val="sv"/>
              </w:rPr>
              <w:t xml:space="preserve">anskaffar utrustning och annan infrastruktur för att möjliggöra korrekt behandling, </w:t>
            </w:r>
          </w:p>
          <w:p w14:paraId="3577BEEA" w14:textId="77777777" w:rsidR="00CB4157" w:rsidRPr="00955436" w:rsidRDefault="00CB4157" w:rsidP="00F152EA">
            <w:pPr>
              <w:pStyle w:val="Leipteksti"/>
              <w:numPr>
                <w:ilvl w:val="0"/>
                <w:numId w:val="8"/>
              </w:numPr>
              <w:rPr>
                <w:b/>
                <w:sz w:val="22"/>
                <w:szCs w:val="22"/>
                <w:lang w:val="sv-SE"/>
              </w:rPr>
            </w:pPr>
            <w:r w:rsidRPr="00955436">
              <w:rPr>
                <w:sz w:val="22"/>
                <w:szCs w:val="22"/>
                <w:lang w:val="sv"/>
              </w:rPr>
              <w:t xml:space="preserve">utbildar de nödvändiga parterna. </w:t>
            </w:r>
          </w:p>
          <w:p w14:paraId="3AFD9921" w14:textId="77777777" w:rsidR="00CB4157" w:rsidRPr="00955436" w:rsidRDefault="00CB4157" w:rsidP="00F152EA">
            <w:pPr>
              <w:pStyle w:val="Leipteksti"/>
              <w:rPr>
                <w:sz w:val="22"/>
                <w:szCs w:val="22"/>
                <w:lang w:val="sv-SE"/>
              </w:rPr>
            </w:pPr>
            <w:r w:rsidRPr="00955436">
              <w:rPr>
                <w:sz w:val="22"/>
                <w:szCs w:val="22"/>
                <w:lang w:val="sv"/>
              </w:rPr>
              <w:t>Resultatmål:</w:t>
            </w:r>
          </w:p>
          <w:p w14:paraId="2DE84C00" w14:textId="77777777" w:rsidR="00CB4157" w:rsidRPr="00955436" w:rsidRDefault="00CB4157" w:rsidP="00F152EA">
            <w:pPr>
              <w:pStyle w:val="Leipteksti"/>
              <w:numPr>
                <w:ilvl w:val="0"/>
                <w:numId w:val="9"/>
              </w:numPr>
              <w:rPr>
                <w:sz w:val="22"/>
                <w:szCs w:val="22"/>
                <w:lang w:val="sv-SE"/>
              </w:rPr>
            </w:pPr>
            <w:r w:rsidRPr="00955436">
              <w:rPr>
                <w:sz w:val="22"/>
                <w:szCs w:val="22"/>
                <w:lang w:val="sv"/>
              </w:rPr>
              <w:t>bättre beredskap att undersöka, behandla och analysera stora mängder data med hjälp av automatisering och artificiell intelligens,</w:t>
            </w:r>
          </w:p>
          <w:p w14:paraId="43B85AA4" w14:textId="77777777" w:rsidR="00CB4157" w:rsidRPr="00955436" w:rsidRDefault="00CB4157" w:rsidP="00F152EA">
            <w:pPr>
              <w:pStyle w:val="Leipteksti"/>
              <w:numPr>
                <w:ilvl w:val="0"/>
                <w:numId w:val="9"/>
              </w:numPr>
              <w:rPr>
                <w:sz w:val="22"/>
                <w:szCs w:val="22"/>
                <w:lang w:val="sv-SE"/>
              </w:rPr>
            </w:pPr>
            <w:r w:rsidRPr="00955436">
              <w:rPr>
                <w:sz w:val="22"/>
                <w:szCs w:val="22"/>
                <w:lang w:val="sv"/>
              </w:rPr>
              <w:lastRenderedPageBreak/>
              <w:t xml:space="preserve">bättre förmåga bearbeta och spara digitalt bevismaterial,  </w:t>
            </w:r>
          </w:p>
          <w:p w14:paraId="127A19BA" w14:textId="77777777" w:rsidR="00CB4157" w:rsidRPr="00955436" w:rsidRDefault="00CB4157" w:rsidP="00F152EA">
            <w:pPr>
              <w:pStyle w:val="Leipteksti"/>
              <w:numPr>
                <w:ilvl w:val="0"/>
                <w:numId w:val="9"/>
              </w:numPr>
              <w:rPr>
                <w:sz w:val="22"/>
                <w:szCs w:val="22"/>
                <w:lang w:val="sv-SE"/>
              </w:rPr>
            </w:pPr>
            <w:r w:rsidRPr="00955436">
              <w:rPr>
                <w:sz w:val="22"/>
                <w:szCs w:val="22"/>
                <w:lang w:val="sv"/>
              </w:rPr>
              <w:t>verksamheten är effektivare, kostnadsbesparingar har uppstått,</w:t>
            </w:r>
          </w:p>
          <w:p w14:paraId="7139A75E" w14:textId="77777777" w:rsidR="00CB4157" w:rsidRPr="00955436" w:rsidRDefault="00CB4157" w:rsidP="00F152EA">
            <w:pPr>
              <w:pStyle w:val="Leipteksti"/>
              <w:numPr>
                <w:ilvl w:val="0"/>
                <w:numId w:val="9"/>
              </w:numPr>
              <w:rPr>
                <w:sz w:val="22"/>
                <w:szCs w:val="22"/>
                <w:lang w:val="sv-SE"/>
              </w:rPr>
            </w:pPr>
            <w:r w:rsidRPr="00955436">
              <w:rPr>
                <w:sz w:val="22"/>
                <w:szCs w:val="22"/>
                <w:lang w:val="sv"/>
              </w:rPr>
              <w:t xml:space="preserve">kvaliteten på och tillgängligheten av arbete och </w:t>
            </w:r>
            <w:proofErr w:type="gramStart"/>
            <w:r w:rsidRPr="00955436">
              <w:rPr>
                <w:sz w:val="22"/>
                <w:szCs w:val="22"/>
                <w:lang w:val="sv"/>
              </w:rPr>
              <w:t>lagrad data</w:t>
            </w:r>
            <w:proofErr w:type="gramEnd"/>
            <w:r w:rsidRPr="00955436">
              <w:rPr>
                <w:sz w:val="22"/>
                <w:szCs w:val="22"/>
                <w:lang w:val="sv"/>
              </w:rPr>
              <w:t xml:space="preserve"> är bättre, </w:t>
            </w:r>
          </w:p>
          <w:p w14:paraId="4BD6C732" w14:textId="77777777" w:rsidR="00CB4157" w:rsidRPr="00911344" w:rsidRDefault="00CB4157" w:rsidP="00F152EA">
            <w:pPr>
              <w:pStyle w:val="Leipteksti"/>
              <w:numPr>
                <w:ilvl w:val="0"/>
                <w:numId w:val="9"/>
              </w:numPr>
              <w:rPr>
                <w:sz w:val="22"/>
                <w:szCs w:val="22"/>
                <w:lang w:val="sv-SE"/>
              </w:rPr>
            </w:pPr>
            <w:r w:rsidRPr="00955436">
              <w:rPr>
                <w:sz w:val="22"/>
                <w:szCs w:val="22"/>
                <w:lang w:val="sv"/>
              </w:rPr>
              <w:t xml:space="preserve">manuellt arbete har minskat, </w:t>
            </w:r>
          </w:p>
          <w:p w14:paraId="09A4A15C" w14:textId="77777777" w:rsidR="00CB4157" w:rsidRPr="00955436" w:rsidRDefault="00CB4157" w:rsidP="00F152EA">
            <w:pPr>
              <w:pStyle w:val="Leipteksti"/>
              <w:numPr>
                <w:ilvl w:val="0"/>
                <w:numId w:val="9"/>
              </w:numPr>
              <w:rPr>
                <w:rFonts w:eastAsia="Calibri"/>
                <w:sz w:val="22"/>
                <w:szCs w:val="22"/>
                <w:lang w:val="sv-SE"/>
              </w:rPr>
            </w:pPr>
            <w:r w:rsidRPr="00955436">
              <w:rPr>
                <w:rFonts w:eastAsia="Calibri"/>
                <w:sz w:val="22"/>
                <w:szCs w:val="22"/>
                <w:lang w:val="sv"/>
              </w:rPr>
              <w:t xml:space="preserve">genomgång, identifiering och klassificering av material har försnabbats och är effektivt och använder artificiell intelligens,  </w:t>
            </w:r>
          </w:p>
          <w:p w14:paraId="0BCEF1E2" w14:textId="77777777" w:rsidR="00CB4157" w:rsidRPr="00955436" w:rsidRDefault="00CB4157" w:rsidP="00F152EA">
            <w:pPr>
              <w:pStyle w:val="Leipteksti"/>
              <w:numPr>
                <w:ilvl w:val="0"/>
                <w:numId w:val="9"/>
              </w:numPr>
              <w:rPr>
                <w:sz w:val="22"/>
                <w:szCs w:val="22"/>
                <w:lang w:val="sv-SE"/>
              </w:rPr>
            </w:pPr>
            <w:r w:rsidRPr="00955436">
              <w:rPr>
                <w:rFonts w:eastAsia="Calibri"/>
                <w:sz w:val="22"/>
                <w:szCs w:val="22"/>
                <w:lang w:val="sv"/>
              </w:rPr>
              <w:t>personalresurser är bättre inriktade på den egentliga operativa verksamheten,</w:t>
            </w:r>
          </w:p>
          <w:p w14:paraId="1D222C11" w14:textId="77777777" w:rsidR="00CB4157" w:rsidRPr="00955436" w:rsidRDefault="00CB4157" w:rsidP="00F152EA">
            <w:pPr>
              <w:pStyle w:val="Leipteksti"/>
              <w:numPr>
                <w:ilvl w:val="0"/>
                <w:numId w:val="9"/>
              </w:numPr>
              <w:rPr>
                <w:sz w:val="22"/>
                <w:szCs w:val="22"/>
                <w:lang w:val="sv-SE"/>
              </w:rPr>
            </w:pPr>
            <w:r w:rsidRPr="00955436">
              <w:rPr>
                <w:sz w:val="22"/>
                <w:szCs w:val="22"/>
                <w:lang w:val="sv"/>
              </w:rPr>
              <w:t>informationssystem som är enklare att använda,</w:t>
            </w:r>
          </w:p>
          <w:p w14:paraId="43014E29" w14:textId="77777777" w:rsidR="00CB4157" w:rsidRPr="00955436" w:rsidRDefault="00CB4157" w:rsidP="00F152EA">
            <w:pPr>
              <w:pStyle w:val="Leipteksti"/>
              <w:numPr>
                <w:ilvl w:val="0"/>
                <w:numId w:val="9"/>
              </w:numPr>
              <w:rPr>
                <w:sz w:val="22"/>
                <w:szCs w:val="22"/>
                <w:lang w:val="sv-SE"/>
              </w:rPr>
            </w:pPr>
            <w:r w:rsidRPr="00955436">
              <w:rPr>
                <w:sz w:val="22"/>
                <w:szCs w:val="22"/>
                <w:lang w:val="sv"/>
              </w:rPr>
              <w:t>en större del av data kan utnyttjas,</w:t>
            </w:r>
          </w:p>
          <w:p w14:paraId="24204766" w14:textId="77777777" w:rsidR="00CB4157" w:rsidRPr="00955436" w:rsidRDefault="00CB4157" w:rsidP="00F152EA">
            <w:pPr>
              <w:pStyle w:val="Leipteksti"/>
              <w:numPr>
                <w:ilvl w:val="0"/>
                <w:numId w:val="9"/>
              </w:numPr>
              <w:rPr>
                <w:sz w:val="22"/>
                <w:szCs w:val="22"/>
                <w:lang w:val="sv-SE"/>
              </w:rPr>
            </w:pPr>
            <w:r w:rsidRPr="00955436">
              <w:rPr>
                <w:rFonts w:eastAsia="Calibri"/>
                <w:sz w:val="22"/>
                <w:szCs w:val="22"/>
                <w:lang w:val="sv"/>
              </w:rPr>
              <w:t>på nationell nivå använder alla samma system, vilket gör att arbetsprocessen och utbildningsbehovet är enhetligt på nationell nivå och att informationsutbytet blir mer effektivt,</w:t>
            </w:r>
          </w:p>
          <w:p w14:paraId="055FD8FE" w14:textId="77777777" w:rsidR="00CB4157" w:rsidRPr="00955436" w:rsidRDefault="00CB4157" w:rsidP="00F152EA">
            <w:pPr>
              <w:pStyle w:val="Leipteksti"/>
              <w:numPr>
                <w:ilvl w:val="0"/>
                <w:numId w:val="9"/>
              </w:numPr>
              <w:rPr>
                <w:sz w:val="22"/>
                <w:szCs w:val="22"/>
                <w:lang w:val="sv-SE"/>
              </w:rPr>
            </w:pPr>
            <w:r w:rsidRPr="00955436">
              <w:rPr>
                <w:sz w:val="22"/>
                <w:szCs w:val="22"/>
                <w:lang w:val="sv"/>
              </w:rPr>
              <w:t>de svaga signalerna som kan upptäckas från data upptäcks bättre och de kopplingar eller ömsesidiga lagligheter som finns i data framträder,</w:t>
            </w:r>
          </w:p>
          <w:p w14:paraId="01D0ECC3" w14:textId="77777777" w:rsidR="00DC1FF4" w:rsidRPr="00F30646" w:rsidRDefault="00CB4157" w:rsidP="00F152EA">
            <w:pPr>
              <w:pStyle w:val="Leipteksti"/>
              <w:numPr>
                <w:ilvl w:val="0"/>
                <w:numId w:val="9"/>
              </w:numPr>
              <w:rPr>
                <w:sz w:val="22"/>
                <w:szCs w:val="22"/>
                <w:lang w:val="sv-SE"/>
              </w:rPr>
            </w:pPr>
            <w:r w:rsidRPr="00955436">
              <w:rPr>
                <w:rFonts w:eastAsia="Calibri"/>
                <w:sz w:val="22"/>
                <w:szCs w:val="22"/>
                <w:lang w:val="sv"/>
              </w:rPr>
              <w:t>uppgifterna kan även överföras till internationella databaser vid behov</w:t>
            </w:r>
            <w:r w:rsidR="00DC1FF4">
              <w:rPr>
                <w:rFonts w:eastAsia="Calibri"/>
                <w:sz w:val="22"/>
                <w:szCs w:val="22"/>
                <w:lang w:val="sv"/>
              </w:rPr>
              <w:t>,</w:t>
            </w:r>
          </w:p>
          <w:p w14:paraId="49143FF2" w14:textId="0E7D6578" w:rsidR="00CB4157" w:rsidRPr="00955436" w:rsidRDefault="00DC1FF4" w:rsidP="00DC1FF4">
            <w:pPr>
              <w:pStyle w:val="Leipteksti"/>
              <w:numPr>
                <w:ilvl w:val="0"/>
                <w:numId w:val="9"/>
              </w:numPr>
              <w:rPr>
                <w:sz w:val="22"/>
                <w:szCs w:val="22"/>
                <w:lang w:val="sv-SE"/>
              </w:rPr>
            </w:pPr>
            <w:r>
              <w:rPr>
                <w:rFonts w:eastAsia="Calibri"/>
                <w:sz w:val="22"/>
                <w:szCs w:val="22"/>
                <w:lang w:val="sv"/>
              </w:rPr>
              <w:t xml:space="preserve">ett </w:t>
            </w:r>
            <w:r w:rsidRPr="00DC1FF4">
              <w:rPr>
                <w:rFonts w:eastAsia="Calibri"/>
                <w:sz w:val="22"/>
                <w:szCs w:val="22"/>
                <w:lang w:val="sv"/>
              </w:rPr>
              <w:t xml:space="preserve">verksamhetsstyrningssystem </w:t>
            </w:r>
            <w:r>
              <w:rPr>
                <w:rFonts w:eastAsia="Calibri"/>
                <w:sz w:val="22"/>
                <w:szCs w:val="22"/>
                <w:lang w:val="sv"/>
              </w:rPr>
              <w:t xml:space="preserve">för </w:t>
            </w:r>
            <w:r w:rsidRPr="00DC1FF4">
              <w:rPr>
                <w:rFonts w:eastAsia="Calibri"/>
                <w:sz w:val="22"/>
                <w:szCs w:val="22"/>
                <w:lang w:val="sv"/>
              </w:rPr>
              <w:t>teknisk brottsutredning</w:t>
            </w:r>
            <w:r>
              <w:rPr>
                <w:rFonts w:eastAsia="Calibri"/>
                <w:sz w:val="22"/>
                <w:szCs w:val="22"/>
                <w:lang w:val="sv"/>
              </w:rPr>
              <w:t xml:space="preserve"> har utvecklats</w:t>
            </w:r>
            <w:r w:rsidR="00CB4157" w:rsidRPr="00955436">
              <w:rPr>
                <w:rFonts w:eastAsia="Calibri"/>
                <w:sz w:val="22"/>
                <w:szCs w:val="22"/>
                <w:lang w:val="sv"/>
              </w:rPr>
              <w:t>.</w:t>
            </w:r>
          </w:p>
        </w:tc>
      </w:tr>
      <w:tr w:rsidR="00F152EA" w:rsidRPr="000F5AB4" w14:paraId="13D6E885" w14:textId="77777777" w:rsidTr="00A31D59">
        <w:trPr>
          <w:trHeight w:val="789"/>
        </w:trPr>
        <w:tc>
          <w:tcPr>
            <w:tcW w:w="4248" w:type="dxa"/>
          </w:tcPr>
          <w:p w14:paraId="1A7B6081" w14:textId="77777777" w:rsidR="00CB4157" w:rsidRPr="00955436" w:rsidRDefault="00CB4157" w:rsidP="00F152EA">
            <w:pPr>
              <w:pStyle w:val="Leipteksti"/>
              <w:rPr>
                <w:b/>
                <w:sz w:val="22"/>
                <w:szCs w:val="22"/>
              </w:rPr>
            </w:pPr>
            <w:r w:rsidRPr="00955436">
              <w:rPr>
                <w:b/>
                <w:bCs/>
                <w:sz w:val="22"/>
                <w:szCs w:val="22"/>
                <w:lang w:val="sv"/>
              </w:rPr>
              <w:lastRenderedPageBreak/>
              <w:t>Understöd</w:t>
            </w:r>
          </w:p>
        </w:tc>
        <w:tc>
          <w:tcPr>
            <w:tcW w:w="5380" w:type="dxa"/>
          </w:tcPr>
          <w:p w14:paraId="0A31F1B5" w14:textId="77777777" w:rsidR="00CB4157" w:rsidRPr="00955436" w:rsidRDefault="00CB4157" w:rsidP="00F152EA">
            <w:pPr>
              <w:pStyle w:val="Leipteksti"/>
              <w:rPr>
                <w:sz w:val="22"/>
                <w:szCs w:val="22"/>
                <w:lang w:val="sv-SE"/>
              </w:rPr>
            </w:pPr>
            <w:r w:rsidRPr="00955436">
              <w:rPr>
                <w:sz w:val="22"/>
                <w:szCs w:val="22"/>
                <w:lang w:val="sv"/>
              </w:rPr>
              <w:t>75 %</w:t>
            </w:r>
          </w:p>
          <w:p w14:paraId="3912731D" w14:textId="77777777" w:rsidR="00CB4157" w:rsidRPr="00955436" w:rsidRDefault="00CB4157" w:rsidP="00F152EA">
            <w:pPr>
              <w:pStyle w:val="Leipteksti"/>
              <w:rPr>
                <w:sz w:val="22"/>
                <w:szCs w:val="22"/>
                <w:lang w:val="sv-SE"/>
              </w:rPr>
            </w:pPr>
            <w:r w:rsidRPr="00955436">
              <w:rPr>
                <w:sz w:val="22"/>
                <w:szCs w:val="22"/>
                <w:lang w:val="sv"/>
              </w:rPr>
              <w:t xml:space="preserve">Understödet kan höjas till 90 procent för projekt som syftar till att förebygga och bekämpa cyberbrottslighet, särskilt sexuellt utnyttjande av barn på nätet, och brott där internet är den primära plattformen för bevisinsamling. </w:t>
            </w:r>
          </w:p>
        </w:tc>
      </w:tr>
      <w:tr w:rsidR="00F152EA" w:rsidRPr="0087596A" w14:paraId="50409CDA" w14:textId="77777777" w:rsidTr="00A31D59">
        <w:tc>
          <w:tcPr>
            <w:tcW w:w="4248" w:type="dxa"/>
          </w:tcPr>
          <w:p w14:paraId="36A2E6A5" w14:textId="77777777" w:rsidR="00CB4157" w:rsidRPr="00955436" w:rsidRDefault="00CB4157" w:rsidP="00F152EA">
            <w:pPr>
              <w:pStyle w:val="Leipteksti"/>
              <w:rPr>
                <w:sz w:val="22"/>
                <w:szCs w:val="22"/>
              </w:rPr>
            </w:pPr>
            <w:r w:rsidRPr="00955436">
              <w:rPr>
                <w:b/>
                <w:bCs/>
                <w:sz w:val="22"/>
                <w:szCs w:val="22"/>
                <w:lang w:val="sv"/>
              </w:rPr>
              <w:t>Möjliga stödmottagare</w:t>
            </w:r>
          </w:p>
        </w:tc>
        <w:tc>
          <w:tcPr>
            <w:tcW w:w="5380" w:type="dxa"/>
          </w:tcPr>
          <w:p w14:paraId="227727DA" w14:textId="77777777" w:rsidR="00CB4157" w:rsidRPr="00955436" w:rsidRDefault="00CB4157" w:rsidP="00F152EA">
            <w:pPr>
              <w:pStyle w:val="Leipteksti"/>
              <w:rPr>
                <w:sz w:val="22"/>
                <w:szCs w:val="22"/>
              </w:rPr>
            </w:pPr>
            <w:r w:rsidRPr="00955436">
              <w:rPr>
                <w:sz w:val="22"/>
                <w:szCs w:val="22"/>
                <w:lang w:val="sv"/>
              </w:rPr>
              <w:t>Behöriga myndigheter</w:t>
            </w:r>
          </w:p>
        </w:tc>
      </w:tr>
      <w:tr w:rsidR="00F152EA" w:rsidRPr="000F5AB4" w14:paraId="28127FDF" w14:textId="77777777" w:rsidTr="00A31D59">
        <w:tc>
          <w:tcPr>
            <w:tcW w:w="4248" w:type="dxa"/>
          </w:tcPr>
          <w:p w14:paraId="59CE3C0C" w14:textId="77777777" w:rsidR="00CB4157" w:rsidRPr="00955436" w:rsidRDefault="00CB4157" w:rsidP="00F152EA">
            <w:pPr>
              <w:pStyle w:val="Leipteksti"/>
              <w:rPr>
                <w:b/>
                <w:sz w:val="22"/>
                <w:szCs w:val="22"/>
                <w:lang w:val="sv-SE"/>
              </w:rPr>
            </w:pPr>
            <w:r w:rsidRPr="00955436">
              <w:rPr>
                <w:rFonts w:eastAsia="Calibri"/>
                <w:b/>
                <w:bCs/>
                <w:sz w:val="22"/>
                <w:szCs w:val="22"/>
                <w:lang w:val="sv"/>
              </w:rPr>
              <w:t>Samordning med annan EU-finansiering</w:t>
            </w:r>
          </w:p>
        </w:tc>
        <w:tc>
          <w:tcPr>
            <w:tcW w:w="5380" w:type="dxa"/>
          </w:tcPr>
          <w:p w14:paraId="57E284EE" w14:textId="77777777" w:rsidR="00CB4157" w:rsidRPr="00955436" w:rsidRDefault="00CB4157" w:rsidP="00F152EA">
            <w:pPr>
              <w:pStyle w:val="Leipteksti"/>
              <w:rPr>
                <w:sz w:val="22"/>
                <w:szCs w:val="22"/>
                <w:lang w:val="sv-SE"/>
              </w:rPr>
            </w:pPr>
            <w:r w:rsidRPr="00955436">
              <w:rPr>
                <w:sz w:val="22"/>
                <w:szCs w:val="22"/>
                <w:lang w:val="sv"/>
              </w:rPr>
              <w:t xml:space="preserve">Aktiviteterna kommer att samordnas med programmet Digital </w:t>
            </w:r>
            <w:proofErr w:type="spellStart"/>
            <w:r w:rsidRPr="00955436">
              <w:rPr>
                <w:sz w:val="22"/>
                <w:szCs w:val="22"/>
                <w:lang w:val="sv"/>
              </w:rPr>
              <w:t>Europe</w:t>
            </w:r>
            <w:proofErr w:type="spellEnd"/>
          </w:p>
        </w:tc>
      </w:tr>
      <w:tr w:rsidR="00F152EA" w:rsidRPr="000F5AB4" w14:paraId="0EF80194" w14:textId="77777777" w:rsidTr="00A31D59">
        <w:tc>
          <w:tcPr>
            <w:tcW w:w="9628" w:type="dxa"/>
            <w:gridSpan w:val="2"/>
          </w:tcPr>
          <w:p w14:paraId="68C04695" w14:textId="77777777" w:rsidR="00CB4157" w:rsidRPr="00955436" w:rsidRDefault="00CB4157" w:rsidP="00F152EA">
            <w:pPr>
              <w:pStyle w:val="Leipteksti"/>
              <w:rPr>
                <w:b/>
                <w:sz w:val="22"/>
                <w:szCs w:val="22"/>
                <w:lang w:val="sv-SE"/>
              </w:rPr>
            </w:pPr>
            <w:r w:rsidRPr="00955436">
              <w:rPr>
                <w:b/>
                <w:bCs/>
                <w:sz w:val="22"/>
                <w:szCs w:val="22"/>
                <w:lang w:val="sv"/>
              </w:rPr>
              <w:t>Indikatorer som ska tillämpas</w:t>
            </w:r>
          </w:p>
          <w:p w14:paraId="3360A14A" w14:textId="15B07A3E" w:rsidR="00CB4157" w:rsidRPr="00955436" w:rsidRDefault="00CB4157" w:rsidP="00F152EA">
            <w:pPr>
              <w:pStyle w:val="Leipteksti"/>
              <w:rPr>
                <w:sz w:val="22"/>
                <w:szCs w:val="22"/>
                <w:lang w:val="sv-SE"/>
              </w:rPr>
            </w:pPr>
            <w:r w:rsidRPr="00955436">
              <w:rPr>
                <w:sz w:val="22"/>
                <w:szCs w:val="22"/>
                <w:lang w:val="sv"/>
              </w:rPr>
              <w:lastRenderedPageBreak/>
              <w:t>I åtgärderna ska även tillämpas andra indikatorer än de som finns i detta s</w:t>
            </w:r>
            <w:r w:rsidR="000473F1">
              <w:rPr>
                <w:sz w:val="22"/>
                <w:szCs w:val="22"/>
                <w:lang w:val="sv"/>
              </w:rPr>
              <w:t>pecifik</w:t>
            </w:r>
            <w:r w:rsidRPr="00955436">
              <w:rPr>
                <w:sz w:val="22"/>
                <w:szCs w:val="22"/>
                <w:lang w:val="sv"/>
              </w:rPr>
              <w:t>a mål, om verksamheten som genomförs kan mätas med dem.</w:t>
            </w:r>
          </w:p>
          <w:p w14:paraId="1D186196" w14:textId="77777777" w:rsidR="00CB4157" w:rsidRPr="00955436" w:rsidRDefault="00CB4157" w:rsidP="00F152EA">
            <w:pPr>
              <w:pStyle w:val="Leipteksti"/>
              <w:rPr>
                <w:sz w:val="22"/>
                <w:szCs w:val="22"/>
                <w:lang w:val="sv-SE"/>
              </w:rPr>
            </w:pPr>
          </w:p>
          <w:p w14:paraId="4B6478D4" w14:textId="3ED5558A" w:rsidR="00CB4157" w:rsidRPr="00955436" w:rsidRDefault="003516ED" w:rsidP="00F152EA">
            <w:pPr>
              <w:pStyle w:val="Leipteksti"/>
              <w:rPr>
                <w:sz w:val="22"/>
                <w:szCs w:val="22"/>
                <w:lang w:val="sv-SE"/>
              </w:rPr>
            </w:pPr>
            <w:r>
              <w:rPr>
                <w:sz w:val="22"/>
                <w:szCs w:val="22"/>
                <w:lang w:val="sv"/>
              </w:rPr>
              <w:t>Output</w:t>
            </w:r>
            <w:r w:rsidR="00CB4157" w:rsidRPr="00955436">
              <w:rPr>
                <w:sz w:val="22"/>
                <w:szCs w:val="22"/>
                <w:lang w:val="sv"/>
              </w:rPr>
              <w:t>indikatorer:</w:t>
            </w:r>
          </w:p>
          <w:p w14:paraId="687C45D7" w14:textId="77777777" w:rsidR="00CB4157" w:rsidRPr="00955436" w:rsidRDefault="00CB4157" w:rsidP="00F152EA">
            <w:pPr>
              <w:pStyle w:val="Leipteksti"/>
              <w:rPr>
                <w:sz w:val="22"/>
                <w:szCs w:val="22"/>
                <w:lang w:val="sv-SE"/>
              </w:rPr>
            </w:pPr>
            <w:r w:rsidRPr="00955436">
              <w:rPr>
                <w:sz w:val="22"/>
                <w:szCs w:val="22"/>
                <w:lang w:val="sv"/>
              </w:rPr>
              <w:t>O.1.1 Antal deltagare i utbildningsverksamhet</w:t>
            </w:r>
          </w:p>
          <w:p w14:paraId="0290275F" w14:textId="77777777" w:rsidR="00CB4157" w:rsidRPr="00955436" w:rsidRDefault="00CB4157" w:rsidP="00F152EA">
            <w:pPr>
              <w:pStyle w:val="Leipteksti"/>
              <w:rPr>
                <w:sz w:val="22"/>
                <w:szCs w:val="22"/>
                <w:lang w:val="sv-SE"/>
              </w:rPr>
            </w:pPr>
            <w:r w:rsidRPr="00955436">
              <w:rPr>
                <w:sz w:val="22"/>
                <w:szCs w:val="22"/>
                <w:lang w:val="sv"/>
              </w:rPr>
              <w:t>O.1.3 Antal etablerade/anpassade/underhållna informations- och kommunikationstekniksystem (IKT-system)</w:t>
            </w:r>
          </w:p>
          <w:p w14:paraId="6F4307F4" w14:textId="77777777" w:rsidR="00CB4157" w:rsidRPr="00955436" w:rsidRDefault="00CB4157" w:rsidP="00F152EA">
            <w:pPr>
              <w:pStyle w:val="Leipteksti"/>
              <w:rPr>
                <w:sz w:val="22"/>
                <w:szCs w:val="22"/>
                <w:lang w:val="sv-SE"/>
              </w:rPr>
            </w:pPr>
            <w:r w:rsidRPr="00955436">
              <w:rPr>
                <w:sz w:val="22"/>
                <w:szCs w:val="22"/>
                <w:lang w:val="sv"/>
              </w:rPr>
              <w:t>O.1.4 Mängden anskaffad utrustning</w:t>
            </w:r>
          </w:p>
          <w:p w14:paraId="66578D5E" w14:textId="77777777" w:rsidR="00CB4157" w:rsidRPr="00955436" w:rsidRDefault="00CB4157" w:rsidP="00F152EA">
            <w:pPr>
              <w:pStyle w:val="Leipteksti"/>
              <w:rPr>
                <w:rFonts w:eastAsia="Calibri"/>
                <w:sz w:val="22"/>
                <w:szCs w:val="22"/>
                <w:lang w:val="sv-SE"/>
              </w:rPr>
            </w:pPr>
            <w:r w:rsidRPr="00955436">
              <w:rPr>
                <w:rFonts w:eastAsia="Calibri"/>
                <w:sz w:val="22"/>
                <w:szCs w:val="22"/>
                <w:lang w:val="sv"/>
              </w:rPr>
              <w:t>Resultatindikatorer:</w:t>
            </w:r>
          </w:p>
          <w:p w14:paraId="47D72F48" w14:textId="77777777" w:rsidR="00CB4157" w:rsidRPr="00955436" w:rsidRDefault="00CB4157" w:rsidP="00F152EA">
            <w:pPr>
              <w:pStyle w:val="Leipteksti"/>
              <w:rPr>
                <w:sz w:val="22"/>
                <w:szCs w:val="22"/>
                <w:lang w:val="sv-SE"/>
              </w:rPr>
            </w:pPr>
            <w:r w:rsidRPr="00955436">
              <w:rPr>
                <w:sz w:val="22"/>
                <w:szCs w:val="22"/>
                <w:lang w:val="sv"/>
              </w:rPr>
              <w:t>R.1.5 Antal IKT-system som gjorts interoperabla i medlemsstaterna/med säkerhetskritiska informationssystem inom EU och säkerhetskritiska decentraliserade informationssystem/internationella databaser</w:t>
            </w:r>
          </w:p>
          <w:p w14:paraId="253DB8B8" w14:textId="77777777" w:rsidR="00CB4157" w:rsidRPr="00955436" w:rsidRDefault="00CB4157" w:rsidP="00F152EA">
            <w:pPr>
              <w:pStyle w:val="Leipteksti"/>
              <w:rPr>
                <w:sz w:val="22"/>
                <w:szCs w:val="22"/>
                <w:lang w:val="sv-SE"/>
              </w:rPr>
            </w:pPr>
            <w:r w:rsidRPr="00955436">
              <w:rPr>
                <w:sz w:val="22"/>
                <w:szCs w:val="22"/>
                <w:lang w:val="sv"/>
              </w:rPr>
              <w:t>R.1.7 Antal deltagare som tycker att utbildningen är användbar i arbetet</w:t>
            </w:r>
          </w:p>
          <w:p w14:paraId="4BE44355" w14:textId="77777777" w:rsidR="00CB4157" w:rsidRPr="00955436" w:rsidRDefault="00CB4157" w:rsidP="00F152EA">
            <w:pPr>
              <w:pStyle w:val="Leipteksti"/>
              <w:rPr>
                <w:sz w:val="22"/>
                <w:szCs w:val="22"/>
                <w:lang w:val="sv-SE"/>
              </w:rPr>
            </w:pPr>
            <w:r w:rsidRPr="00955436">
              <w:rPr>
                <w:sz w:val="22"/>
                <w:szCs w:val="22"/>
                <w:lang w:val="sv"/>
              </w:rPr>
              <w:t>R.1.8 Antal deltagare som tre månader efter utbildningsaktiviteten anger att de använder de färdigheter och kompetenser som förvärvats i den utbildningsaktiviteten</w:t>
            </w:r>
          </w:p>
        </w:tc>
      </w:tr>
      <w:tr w:rsidR="00F152EA" w:rsidRPr="000F5AB4" w14:paraId="4B63A5ED" w14:textId="77777777" w:rsidTr="00A31D59">
        <w:tc>
          <w:tcPr>
            <w:tcW w:w="4248" w:type="dxa"/>
          </w:tcPr>
          <w:p w14:paraId="5B613B3E" w14:textId="77777777" w:rsidR="00CB4157" w:rsidRPr="00955436" w:rsidRDefault="00CB4157" w:rsidP="00F152EA">
            <w:pPr>
              <w:pStyle w:val="Leipteksti"/>
              <w:rPr>
                <w:b/>
                <w:sz w:val="22"/>
                <w:szCs w:val="22"/>
              </w:rPr>
            </w:pPr>
            <w:r w:rsidRPr="00955436">
              <w:rPr>
                <w:b/>
                <w:bCs/>
                <w:sz w:val="22"/>
                <w:szCs w:val="22"/>
                <w:lang w:val="sv"/>
              </w:rPr>
              <w:lastRenderedPageBreak/>
              <w:t>Ansökningstid</w:t>
            </w:r>
          </w:p>
        </w:tc>
        <w:tc>
          <w:tcPr>
            <w:tcW w:w="5380" w:type="dxa"/>
          </w:tcPr>
          <w:p w14:paraId="3C2AA75E" w14:textId="6FA4D79C" w:rsidR="00CB4157" w:rsidRPr="009F1373" w:rsidRDefault="00481C27" w:rsidP="00F152EA">
            <w:pPr>
              <w:pStyle w:val="Leipteksti"/>
              <w:rPr>
                <w:sz w:val="22"/>
                <w:szCs w:val="22"/>
                <w:lang w:val="sv-SE"/>
              </w:rPr>
            </w:pPr>
            <w:r w:rsidRPr="009F1373">
              <w:rPr>
                <w:rFonts w:cstheme="minorHAnsi"/>
                <w:sz w:val="22"/>
                <w:szCs w:val="22"/>
                <w:lang w:val="sv-SE"/>
              </w:rPr>
              <w:t>hösten 2024, våren 2025 om finansiering återstår/har frigjorts, hösten 2025 om finansiering återstår/har frigjorts</w:t>
            </w:r>
          </w:p>
        </w:tc>
      </w:tr>
      <w:tr w:rsidR="00F152EA" w:rsidRPr="0087596A" w14:paraId="1C41A826" w14:textId="77777777" w:rsidTr="00A31D59">
        <w:tc>
          <w:tcPr>
            <w:tcW w:w="4248" w:type="dxa"/>
          </w:tcPr>
          <w:p w14:paraId="48E15AB3" w14:textId="77777777" w:rsidR="00CB4157" w:rsidRPr="00955436" w:rsidRDefault="00CB4157" w:rsidP="00F152EA">
            <w:pPr>
              <w:pStyle w:val="Leipteksti"/>
              <w:rPr>
                <w:b/>
                <w:sz w:val="22"/>
                <w:szCs w:val="22"/>
              </w:rPr>
            </w:pPr>
            <w:r w:rsidRPr="00955436">
              <w:rPr>
                <w:b/>
                <w:bCs/>
                <w:sz w:val="22"/>
                <w:szCs w:val="22"/>
                <w:lang w:val="sv"/>
              </w:rPr>
              <w:t>Projektet inleds senast</w:t>
            </w:r>
          </w:p>
        </w:tc>
        <w:tc>
          <w:tcPr>
            <w:tcW w:w="5380" w:type="dxa"/>
          </w:tcPr>
          <w:p w14:paraId="08616A8F" w14:textId="77777777" w:rsidR="00CB4157" w:rsidRPr="00955436" w:rsidRDefault="00CB4157" w:rsidP="00F152EA">
            <w:pPr>
              <w:pStyle w:val="Leipteksti"/>
              <w:rPr>
                <w:rFonts w:eastAsia="Calibri"/>
                <w:sz w:val="22"/>
                <w:szCs w:val="22"/>
              </w:rPr>
            </w:pPr>
            <w:r w:rsidRPr="00955436">
              <w:rPr>
                <w:sz w:val="22"/>
                <w:szCs w:val="22"/>
                <w:lang w:val="sv"/>
              </w:rPr>
              <w:t>Se utlysningen</w:t>
            </w:r>
          </w:p>
        </w:tc>
      </w:tr>
    </w:tbl>
    <w:p w14:paraId="1DDC7620" w14:textId="77777777" w:rsidR="00CB4157" w:rsidRDefault="00CB4157" w:rsidP="00CB4157"/>
    <w:p w14:paraId="2DAC6592" w14:textId="77777777" w:rsidR="00CB4157" w:rsidRDefault="00CB4157" w:rsidP="00CB4157"/>
    <w:p w14:paraId="49C15181" w14:textId="4F956EEA" w:rsidR="00CB4157" w:rsidRDefault="00F16A01" w:rsidP="00911344">
      <w:pPr>
        <w:pStyle w:val="Otsikko3"/>
      </w:pPr>
      <w:bookmarkStart w:id="35" w:name="_Toc102727271"/>
      <w:bookmarkStart w:id="36" w:name="_Toc184224308"/>
      <w:bookmarkEnd w:id="34"/>
      <w:r>
        <w:rPr>
          <w:lang w:val="sv"/>
        </w:rPr>
        <w:t>SM1</w:t>
      </w:r>
      <w:r w:rsidR="00694D00">
        <w:rPr>
          <w:lang w:val="sv"/>
        </w:rPr>
        <w:t xml:space="preserve"> </w:t>
      </w:r>
      <w:r w:rsidR="00CB4157">
        <w:rPr>
          <w:lang w:val="sv"/>
        </w:rPr>
        <w:t>Operativt stöd</w:t>
      </w:r>
      <w:bookmarkEnd w:id="35"/>
      <w:bookmarkEnd w:id="36"/>
    </w:p>
    <w:p w14:paraId="186095F0" w14:textId="77777777" w:rsidR="00CB4157" w:rsidRPr="00740AB3" w:rsidRDefault="00CB4157" w:rsidP="00CB4157"/>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CB4157" w:rsidRPr="000F5AB4" w14:paraId="50C0D79F" w14:textId="77777777" w:rsidTr="00CB4157">
        <w:trPr>
          <w:trHeight w:val="1203"/>
        </w:trPr>
        <w:tc>
          <w:tcPr>
            <w:tcW w:w="9628" w:type="dxa"/>
            <w:gridSpan w:val="2"/>
          </w:tcPr>
          <w:p w14:paraId="4C64C405" w14:textId="77777777" w:rsidR="00CB4157" w:rsidRPr="00955436" w:rsidRDefault="00CB4157" w:rsidP="00955436">
            <w:pPr>
              <w:pStyle w:val="Leipteksti"/>
              <w:rPr>
                <w:rFonts w:cstheme="minorHAnsi"/>
                <w:sz w:val="22"/>
                <w:szCs w:val="22"/>
                <w:lang w:val="sv-SE"/>
              </w:rPr>
            </w:pPr>
            <w:bookmarkStart w:id="37" w:name="_Hlk99012935"/>
            <w:r w:rsidRPr="00955436">
              <w:rPr>
                <w:rFonts w:cstheme="minorHAnsi"/>
                <w:sz w:val="22"/>
                <w:szCs w:val="22"/>
                <w:lang w:val="sv"/>
              </w:rPr>
              <w:t>Operativt stöd används för att täcka personalkostnader och kostnaderna för att underhålla och driva nationella informationssystem och nätverk som stöder informationsutbytet. Det operativa stödet ska särskilt säkerställa och trygga underhållet och användbarheten av gemensamma system på EU-nivå.</w:t>
            </w:r>
          </w:p>
        </w:tc>
      </w:tr>
      <w:tr w:rsidR="00CB4157" w:rsidRPr="00955436" w14:paraId="22BA2ADA" w14:textId="77777777" w:rsidTr="00CB4157">
        <w:trPr>
          <w:trHeight w:val="789"/>
        </w:trPr>
        <w:tc>
          <w:tcPr>
            <w:tcW w:w="4248" w:type="dxa"/>
          </w:tcPr>
          <w:p w14:paraId="111CC682" w14:textId="77777777" w:rsidR="00CB4157" w:rsidRPr="00955436" w:rsidRDefault="00CB4157" w:rsidP="00955436">
            <w:pPr>
              <w:pStyle w:val="Leipteksti"/>
              <w:rPr>
                <w:rFonts w:cstheme="minorHAnsi"/>
                <w:b/>
                <w:sz w:val="22"/>
                <w:szCs w:val="22"/>
              </w:rPr>
            </w:pPr>
            <w:r w:rsidRPr="00955436">
              <w:rPr>
                <w:rFonts w:cstheme="minorHAnsi"/>
                <w:b/>
                <w:bCs/>
                <w:sz w:val="22"/>
                <w:szCs w:val="22"/>
                <w:lang w:val="sv"/>
              </w:rPr>
              <w:lastRenderedPageBreak/>
              <w:t>Understöd</w:t>
            </w:r>
          </w:p>
        </w:tc>
        <w:tc>
          <w:tcPr>
            <w:tcW w:w="5380" w:type="dxa"/>
          </w:tcPr>
          <w:p w14:paraId="17F8113E" w14:textId="77777777" w:rsidR="00CB4157" w:rsidRPr="00955436" w:rsidRDefault="00CB4157" w:rsidP="00955436">
            <w:pPr>
              <w:pStyle w:val="Leipteksti"/>
              <w:rPr>
                <w:rFonts w:cstheme="minorHAnsi"/>
                <w:sz w:val="22"/>
                <w:szCs w:val="22"/>
              </w:rPr>
            </w:pPr>
            <w:r w:rsidRPr="00955436">
              <w:rPr>
                <w:rFonts w:cstheme="minorHAnsi"/>
                <w:sz w:val="22"/>
                <w:szCs w:val="22"/>
                <w:lang w:val="sv"/>
              </w:rPr>
              <w:t>100 %</w:t>
            </w:r>
          </w:p>
        </w:tc>
      </w:tr>
      <w:tr w:rsidR="00CB4157" w:rsidRPr="00955436" w14:paraId="5FCF7231" w14:textId="77777777" w:rsidTr="00CB4157">
        <w:tc>
          <w:tcPr>
            <w:tcW w:w="4248" w:type="dxa"/>
          </w:tcPr>
          <w:p w14:paraId="5B0AB0EE" w14:textId="77777777" w:rsidR="00CB4157" w:rsidRPr="00955436" w:rsidRDefault="00CB4157" w:rsidP="00955436">
            <w:pPr>
              <w:pStyle w:val="Leipteksti"/>
              <w:rPr>
                <w:rFonts w:cstheme="minorHAnsi"/>
                <w:sz w:val="22"/>
                <w:szCs w:val="22"/>
              </w:rPr>
            </w:pPr>
            <w:r w:rsidRPr="00955436">
              <w:rPr>
                <w:rFonts w:cstheme="minorHAnsi"/>
                <w:b/>
                <w:bCs/>
                <w:sz w:val="22"/>
                <w:szCs w:val="22"/>
                <w:lang w:val="sv"/>
              </w:rPr>
              <w:t>Möjliga stödmottagare</w:t>
            </w:r>
          </w:p>
        </w:tc>
        <w:tc>
          <w:tcPr>
            <w:tcW w:w="5380" w:type="dxa"/>
          </w:tcPr>
          <w:p w14:paraId="44327C18" w14:textId="77777777" w:rsidR="00CB4157" w:rsidRPr="00955436" w:rsidRDefault="00CB4157" w:rsidP="00955436">
            <w:pPr>
              <w:pStyle w:val="Leipteksti"/>
              <w:rPr>
                <w:rFonts w:cstheme="minorHAnsi"/>
                <w:sz w:val="22"/>
                <w:szCs w:val="22"/>
              </w:rPr>
            </w:pPr>
            <w:r w:rsidRPr="00955436">
              <w:rPr>
                <w:rFonts w:cstheme="minorHAnsi"/>
                <w:sz w:val="22"/>
                <w:szCs w:val="22"/>
                <w:lang w:val="sv"/>
              </w:rPr>
              <w:t>Polisen och rättsregistercentralen</w:t>
            </w:r>
          </w:p>
        </w:tc>
      </w:tr>
      <w:tr w:rsidR="00CB4157" w:rsidRPr="00955436" w14:paraId="33C7BAF0" w14:textId="77777777" w:rsidTr="00CB4157">
        <w:tc>
          <w:tcPr>
            <w:tcW w:w="4248" w:type="dxa"/>
          </w:tcPr>
          <w:p w14:paraId="345CBAF6" w14:textId="77777777" w:rsidR="00CB4157" w:rsidRPr="00955436" w:rsidRDefault="00CB4157" w:rsidP="00955436">
            <w:pPr>
              <w:pStyle w:val="Leipteksti"/>
              <w:rPr>
                <w:rFonts w:cstheme="minorHAnsi"/>
                <w:b/>
                <w:sz w:val="22"/>
                <w:szCs w:val="22"/>
                <w:lang w:val="sv-SE"/>
              </w:rPr>
            </w:pPr>
            <w:r w:rsidRPr="00955436">
              <w:rPr>
                <w:rFonts w:eastAsia="Calibri" w:cstheme="minorHAnsi"/>
                <w:b/>
                <w:bCs/>
                <w:sz w:val="22"/>
                <w:szCs w:val="22"/>
                <w:lang w:val="sv"/>
              </w:rPr>
              <w:t>Samordning med annan EU-finansiering</w:t>
            </w:r>
          </w:p>
        </w:tc>
        <w:tc>
          <w:tcPr>
            <w:tcW w:w="5380" w:type="dxa"/>
          </w:tcPr>
          <w:p w14:paraId="647D3E31" w14:textId="77777777" w:rsidR="00CB4157" w:rsidRPr="00955436" w:rsidRDefault="00CB4157" w:rsidP="00955436">
            <w:pPr>
              <w:pStyle w:val="Leipteksti"/>
              <w:rPr>
                <w:rFonts w:cstheme="minorHAnsi"/>
                <w:sz w:val="22"/>
                <w:szCs w:val="22"/>
              </w:rPr>
            </w:pPr>
            <w:r w:rsidRPr="00955436">
              <w:rPr>
                <w:rFonts w:cstheme="minorHAnsi"/>
                <w:sz w:val="22"/>
                <w:szCs w:val="22"/>
                <w:lang w:val="sv"/>
              </w:rPr>
              <w:t>-</w:t>
            </w:r>
          </w:p>
        </w:tc>
      </w:tr>
      <w:tr w:rsidR="00CB4157" w:rsidRPr="00955436" w14:paraId="25F5FC5E" w14:textId="77777777" w:rsidTr="00CB4157">
        <w:trPr>
          <w:trHeight w:val="558"/>
        </w:trPr>
        <w:tc>
          <w:tcPr>
            <w:tcW w:w="9628" w:type="dxa"/>
            <w:gridSpan w:val="2"/>
          </w:tcPr>
          <w:p w14:paraId="105B5A90" w14:textId="77777777" w:rsidR="00CB4157" w:rsidRPr="00911344" w:rsidRDefault="00CB4157" w:rsidP="00955436">
            <w:pPr>
              <w:pStyle w:val="Leipteksti"/>
              <w:rPr>
                <w:rFonts w:cstheme="minorHAnsi"/>
                <w:sz w:val="22"/>
                <w:szCs w:val="22"/>
                <w:lang w:val="sv-SE"/>
              </w:rPr>
            </w:pPr>
            <w:r w:rsidRPr="00955436">
              <w:rPr>
                <w:rFonts w:cstheme="minorHAnsi"/>
                <w:b/>
                <w:bCs/>
                <w:sz w:val="22"/>
                <w:szCs w:val="22"/>
                <w:lang w:val="sv"/>
              </w:rPr>
              <w:t>Indikatorer som ska tillämpas</w:t>
            </w:r>
            <w:r w:rsidRPr="00955436">
              <w:rPr>
                <w:rFonts w:cstheme="minorHAnsi"/>
                <w:sz w:val="22"/>
                <w:szCs w:val="22"/>
                <w:lang w:val="sv"/>
              </w:rPr>
              <w:t xml:space="preserve"> </w:t>
            </w:r>
          </w:p>
          <w:p w14:paraId="1BAE03D5" w14:textId="34A4BB9B" w:rsidR="00CB4157" w:rsidRPr="00955436" w:rsidRDefault="00CB4157" w:rsidP="00955436">
            <w:pPr>
              <w:pStyle w:val="Leipteksti"/>
              <w:rPr>
                <w:rFonts w:cstheme="minorHAnsi"/>
                <w:sz w:val="22"/>
                <w:szCs w:val="22"/>
                <w:lang w:val="sv-SE"/>
              </w:rPr>
            </w:pPr>
            <w:r w:rsidRPr="00955436">
              <w:rPr>
                <w:rFonts w:cstheme="minorHAnsi"/>
                <w:sz w:val="22"/>
                <w:szCs w:val="22"/>
                <w:lang w:val="sv"/>
              </w:rPr>
              <w:t>I åtgärderna ska även tillämpas andra indikatorer än de som finns i detta s</w:t>
            </w:r>
            <w:r w:rsidR="000473F1">
              <w:rPr>
                <w:rFonts w:cstheme="minorHAnsi"/>
                <w:sz w:val="22"/>
                <w:szCs w:val="22"/>
                <w:lang w:val="sv"/>
              </w:rPr>
              <w:t>pecifik</w:t>
            </w:r>
            <w:r w:rsidRPr="00955436">
              <w:rPr>
                <w:rFonts w:cstheme="minorHAnsi"/>
                <w:sz w:val="22"/>
                <w:szCs w:val="22"/>
                <w:lang w:val="sv"/>
              </w:rPr>
              <w:t>a mål, om verksamheten som genomförs kan mätas med dem.</w:t>
            </w:r>
          </w:p>
          <w:p w14:paraId="7DD5BAB9" w14:textId="77777777" w:rsidR="00D11F46" w:rsidRDefault="00D11F46" w:rsidP="00955436">
            <w:pPr>
              <w:pStyle w:val="Leipteksti"/>
              <w:rPr>
                <w:rFonts w:cstheme="minorHAnsi"/>
                <w:sz w:val="22"/>
                <w:szCs w:val="22"/>
                <w:lang w:val="sv"/>
              </w:rPr>
            </w:pPr>
          </w:p>
          <w:p w14:paraId="0B693BD4" w14:textId="048BB4B8" w:rsidR="00CB4157" w:rsidRPr="00955436" w:rsidRDefault="003516ED" w:rsidP="00955436">
            <w:pPr>
              <w:pStyle w:val="Leipteksti"/>
              <w:rPr>
                <w:rFonts w:cstheme="minorHAnsi"/>
                <w:sz w:val="22"/>
                <w:szCs w:val="22"/>
                <w:lang w:val="sv-SE"/>
              </w:rPr>
            </w:pPr>
            <w:r>
              <w:rPr>
                <w:rFonts w:cstheme="minorHAnsi"/>
                <w:sz w:val="22"/>
                <w:szCs w:val="22"/>
                <w:lang w:val="sv"/>
              </w:rPr>
              <w:t>Output</w:t>
            </w:r>
            <w:r w:rsidR="00CB4157" w:rsidRPr="00955436">
              <w:rPr>
                <w:rFonts w:cstheme="minorHAnsi"/>
                <w:sz w:val="22"/>
                <w:szCs w:val="22"/>
                <w:lang w:val="sv"/>
              </w:rPr>
              <w:t>indikatorer:</w:t>
            </w:r>
          </w:p>
          <w:p w14:paraId="5F28E7CA" w14:textId="77777777" w:rsidR="00CB4157" w:rsidRPr="00955436" w:rsidRDefault="00CB4157" w:rsidP="00955436">
            <w:pPr>
              <w:pStyle w:val="Leipteksti"/>
              <w:rPr>
                <w:rFonts w:cstheme="minorHAnsi"/>
                <w:sz w:val="22"/>
                <w:szCs w:val="22"/>
                <w:lang w:val="sv-SE"/>
              </w:rPr>
            </w:pPr>
            <w:r w:rsidRPr="00955436">
              <w:rPr>
                <w:rFonts w:cstheme="minorHAnsi"/>
                <w:sz w:val="22"/>
                <w:szCs w:val="22"/>
                <w:lang w:val="sv"/>
              </w:rPr>
              <w:t>O.1.3 Antal etablerade/anpassade/underhållna informations- och kommunikationstekniksystem (IKT-system)</w:t>
            </w:r>
          </w:p>
          <w:p w14:paraId="3F511DEE" w14:textId="77777777" w:rsidR="00CB4157" w:rsidRPr="00955436" w:rsidRDefault="00CB4157" w:rsidP="00D11F46">
            <w:pPr>
              <w:pStyle w:val="Leipteksti"/>
              <w:rPr>
                <w:rFonts w:cstheme="minorHAnsi"/>
                <w:sz w:val="22"/>
                <w:szCs w:val="22"/>
              </w:rPr>
            </w:pPr>
            <w:r w:rsidRPr="00955436">
              <w:rPr>
                <w:rFonts w:eastAsia="Calibri" w:cstheme="minorHAnsi"/>
                <w:sz w:val="22"/>
                <w:szCs w:val="22"/>
                <w:lang w:val="sv"/>
              </w:rPr>
              <w:t>Resultatindikatorer:</w:t>
            </w:r>
            <w:r w:rsidR="00D11F46">
              <w:rPr>
                <w:rFonts w:eastAsia="Calibri" w:cstheme="minorHAnsi"/>
                <w:sz w:val="22"/>
                <w:szCs w:val="22"/>
                <w:lang w:val="sv"/>
              </w:rPr>
              <w:t xml:space="preserve"> </w:t>
            </w:r>
            <w:r w:rsidRPr="00955436">
              <w:rPr>
                <w:rFonts w:eastAsia="Calibri" w:cstheme="minorHAnsi"/>
                <w:sz w:val="22"/>
                <w:szCs w:val="22"/>
                <w:lang w:val="sv"/>
              </w:rPr>
              <w:t>-</w:t>
            </w:r>
          </w:p>
        </w:tc>
      </w:tr>
      <w:tr w:rsidR="00CB4157" w:rsidRPr="000F5AB4" w14:paraId="7777D847" w14:textId="77777777" w:rsidTr="00CB4157">
        <w:tc>
          <w:tcPr>
            <w:tcW w:w="4248" w:type="dxa"/>
          </w:tcPr>
          <w:p w14:paraId="68DF71DF" w14:textId="77777777" w:rsidR="00CB4157" w:rsidRPr="00955436" w:rsidRDefault="00CB4157" w:rsidP="00955436">
            <w:pPr>
              <w:pStyle w:val="Leipteksti"/>
              <w:rPr>
                <w:rFonts w:cstheme="minorHAnsi"/>
                <w:b/>
                <w:sz w:val="22"/>
                <w:szCs w:val="22"/>
              </w:rPr>
            </w:pPr>
            <w:r w:rsidRPr="00955436">
              <w:rPr>
                <w:rFonts w:cstheme="minorHAnsi"/>
                <w:b/>
                <w:bCs/>
                <w:sz w:val="22"/>
                <w:szCs w:val="22"/>
                <w:lang w:val="sv"/>
              </w:rPr>
              <w:t>Ansökningstid</w:t>
            </w:r>
          </w:p>
        </w:tc>
        <w:tc>
          <w:tcPr>
            <w:tcW w:w="5380" w:type="dxa"/>
          </w:tcPr>
          <w:p w14:paraId="5F205C0A" w14:textId="0D720488" w:rsidR="00CB4157" w:rsidRPr="00F30646" w:rsidRDefault="00CD55AD" w:rsidP="00F30646">
            <w:pPr>
              <w:pStyle w:val="Leipteksti"/>
              <w:rPr>
                <w:rFonts w:cstheme="minorHAnsi"/>
                <w:sz w:val="22"/>
                <w:szCs w:val="22"/>
                <w:lang w:val="sv-SE"/>
              </w:rPr>
            </w:pPr>
            <w:r>
              <w:rPr>
                <w:rFonts w:cstheme="minorHAnsi"/>
                <w:sz w:val="22"/>
                <w:szCs w:val="22"/>
                <w:lang w:val="sv"/>
              </w:rPr>
              <w:t xml:space="preserve">Inga planerade utlysningar (finansieringen </w:t>
            </w:r>
            <w:r w:rsidR="006440F4">
              <w:rPr>
                <w:rFonts w:cstheme="minorHAnsi"/>
                <w:sz w:val="22"/>
                <w:szCs w:val="22"/>
                <w:lang w:val="sv"/>
              </w:rPr>
              <w:t>är bunden</w:t>
            </w:r>
            <w:r>
              <w:rPr>
                <w:rFonts w:cstheme="minorHAnsi"/>
                <w:sz w:val="22"/>
                <w:szCs w:val="22"/>
                <w:lang w:val="sv"/>
              </w:rPr>
              <w:t>)</w:t>
            </w:r>
          </w:p>
        </w:tc>
      </w:tr>
      <w:tr w:rsidR="00CB4157" w:rsidRPr="00CD55AD" w14:paraId="685B21BA" w14:textId="77777777" w:rsidTr="00CB4157">
        <w:tc>
          <w:tcPr>
            <w:tcW w:w="4248" w:type="dxa"/>
          </w:tcPr>
          <w:p w14:paraId="4BB1042B" w14:textId="77777777" w:rsidR="00CB4157" w:rsidRPr="00955436" w:rsidRDefault="00CB4157" w:rsidP="00955436">
            <w:pPr>
              <w:pStyle w:val="Leipteksti"/>
              <w:rPr>
                <w:rFonts w:cstheme="minorHAnsi"/>
                <w:b/>
                <w:sz w:val="22"/>
                <w:szCs w:val="22"/>
              </w:rPr>
            </w:pPr>
            <w:r w:rsidRPr="00955436">
              <w:rPr>
                <w:rFonts w:cstheme="minorHAnsi"/>
                <w:b/>
                <w:bCs/>
                <w:sz w:val="22"/>
                <w:szCs w:val="22"/>
                <w:lang w:val="sv"/>
              </w:rPr>
              <w:t>Projektet inleds senast</w:t>
            </w:r>
          </w:p>
        </w:tc>
        <w:tc>
          <w:tcPr>
            <w:tcW w:w="5380" w:type="dxa"/>
          </w:tcPr>
          <w:p w14:paraId="60F9C082" w14:textId="603A9CE2" w:rsidR="00CB4157" w:rsidRPr="00F30646" w:rsidRDefault="00CB4157" w:rsidP="00CD55AD">
            <w:pPr>
              <w:pStyle w:val="Leipteksti"/>
              <w:rPr>
                <w:rFonts w:eastAsia="Calibri" w:cstheme="minorHAnsi"/>
                <w:sz w:val="22"/>
                <w:szCs w:val="22"/>
                <w:lang w:val="sv-SE"/>
              </w:rPr>
            </w:pPr>
            <w:r w:rsidRPr="00955436">
              <w:rPr>
                <w:rFonts w:cstheme="minorHAnsi"/>
                <w:sz w:val="22"/>
                <w:szCs w:val="22"/>
                <w:lang w:val="sv"/>
              </w:rPr>
              <w:t>Se utlysningen</w:t>
            </w:r>
          </w:p>
        </w:tc>
      </w:tr>
      <w:bookmarkEnd w:id="37"/>
    </w:tbl>
    <w:p w14:paraId="0B29C8FF" w14:textId="6473FAE3" w:rsidR="00CB4157" w:rsidRDefault="00CB4157" w:rsidP="00955436">
      <w:pPr>
        <w:pStyle w:val="Leipteksti"/>
        <w:rPr>
          <w:lang w:val="sv-SE"/>
        </w:rPr>
      </w:pPr>
    </w:p>
    <w:p w14:paraId="5D108BBE" w14:textId="77777777" w:rsidR="00CB4157" w:rsidRPr="00F30646" w:rsidRDefault="00CB4157" w:rsidP="00CB4157">
      <w:pPr>
        <w:rPr>
          <w:lang w:val="sv-SE"/>
        </w:rPr>
      </w:pPr>
    </w:p>
    <w:p w14:paraId="5ECDDF33" w14:textId="78D0E68D" w:rsidR="00CB4157" w:rsidRPr="009538BD" w:rsidRDefault="00CB4157" w:rsidP="00911344">
      <w:pPr>
        <w:pStyle w:val="Otsikko2"/>
        <w:rPr>
          <w:lang w:val="sv-SE"/>
        </w:rPr>
      </w:pPr>
      <w:bookmarkStart w:id="38" w:name="_Toc102727272"/>
      <w:bookmarkStart w:id="39" w:name="_Toc184224309"/>
      <w:r>
        <w:rPr>
          <w:lang w:val="sv"/>
        </w:rPr>
        <w:t>S</w:t>
      </w:r>
      <w:r w:rsidR="000473F1">
        <w:rPr>
          <w:lang w:val="sv"/>
        </w:rPr>
        <w:t>pecifik</w:t>
      </w:r>
      <w:r>
        <w:rPr>
          <w:lang w:val="sv"/>
        </w:rPr>
        <w:t>t mål 2</w:t>
      </w:r>
      <w:r w:rsidR="00911344">
        <w:rPr>
          <w:lang w:val="sv"/>
        </w:rPr>
        <w:t xml:space="preserve"> </w:t>
      </w:r>
      <w:bookmarkEnd w:id="38"/>
      <w:r w:rsidR="00F152EA">
        <w:rPr>
          <w:lang w:val="sv"/>
        </w:rPr>
        <w:t>Gränsöverskridande samarbete</w:t>
      </w:r>
      <w:bookmarkEnd w:id="39"/>
    </w:p>
    <w:p w14:paraId="1AF885F1" w14:textId="77777777" w:rsidR="00CB4157" w:rsidRPr="009538BD" w:rsidRDefault="00CB4157" w:rsidP="00CB4157">
      <w:pPr>
        <w:rPr>
          <w:lang w:val="sv-SE"/>
        </w:rPr>
      </w:pPr>
    </w:p>
    <w:p w14:paraId="4B371CEE" w14:textId="77777777" w:rsidR="00CB4157" w:rsidRPr="009538BD" w:rsidRDefault="00CB4157" w:rsidP="00911344">
      <w:pPr>
        <w:pStyle w:val="Otsikko3"/>
        <w:rPr>
          <w:lang w:val="sv-SE"/>
        </w:rPr>
      </w:pPr>
      <w:bookmarkStart w:id="40" w:name="_Toc102727273"/>
      <w:bookmarkStart w:id="41" w:name="_Toc184224310"/>
      <w:r>
        <w:rPr>
          <w:lang w:val="sv"/>
        </w:rPr>
        <w:t>2 A Öka brottsbekämpande insatser som involverar två eller flera medlemsstater</w:t>
      </w:r>
      <w:bookmarkEnd w:id="40"/>
      <w:bookmarkEnd w:id="41"/>
    </w:p>
    <w:p w14:paraId="1C5DC103" w14:textId="77777777" w:rsidR="00CB4157" w:rsidRPr="009538BD" w:rsidRDefault="00CB4157" w:rsidP="00CB4157">
      <w:pPr>
        <w:rPr>
          <w:lang w:val="sv-SE"/>
        </w:rPr>
      </w:pPr>
    </w:p>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CB4157" w:rsidRPr="000F5AB4" w14:paraId="60560FF2" w14:textId="77777777" w:rsidTr="00911344">
        <w:trPr>
          <w:trHeight w:val="510"/>
        </w:trPr>
        <w:tc>
          <w:tcPr>
            <w:tcW w:w="9628" w:type="dxa"/>
            <w:gridSpan w:val="2"/>
            <w:shd w:val="clear" w:color="auto" w:fill="FDE2D1" w:themeFill="accent1" w:themeFillTint="33"/>
          </w:tcPr>
          <w:p w14:paraId="53C24ECE" w14:textId="77777777" w:rsidR="00CB4157" w:rsidRPr="00911344" w:rsidRDefault="00CB4157" w:rsidP="00D11F46">
            <w:pPr>
              <w:pStyle w:val="Otsikko4"/>
              <w:rPr>
                <w:lang w:val="sv-SE"/>
              </w:rPr>
            </w:pPr>
            <w:bookmarkStart w:id="42" w:name="_Toc102727274"/>
            <w:r>
              <w:rPr>
                <w:lang w:val="sv"/>
              </w:rPr>
              <w:t>2</w:t>
            </w:r>
            <w:r w:rsidR="00911344">
              <w:rPr>
                <w:lang w:val="sv"/>
              </w:rPr>
              <w:t xml:space="preserve"> A </w:t>
            </w:r>
            <w:r>
              <w:rPr>
                <w:lang w:val="sv"/>
              </w:rPr>
              <w:t>1 Deltagande i operativt samarbete</w:t>
            </w:r>
            <w:bookmarkEnd w:id="42"/>
          </w:p>
        </w:tc>
      </w:tr>
      <w:tr w:rsidR="00CB4157" w:rsidRPr="000F5AB4" w14:paraId="4DAFFEEB" w14:textId="77777777" w:rsidTr="00CB4157">
        <w:trPr>
          <w:trHeight w:val="1266"/>
        </w:trPr>
        <w:tc>
          <w:tcPr>
            <w:tcW w:w="9628" w:type="dxa"/>
            <w:gridSpan w:val="2"/>
          </w:tcPr>
          <w:p w14:paraId="60AEB252" w14:textId="77777777" w:rsidR="00CB4157" w:rsidRPr="00911344" w:rsidRDefault="00CB4157" w:rsidP="00911344">
            <w:pPr>
              <w:pStyle w:val="Leipteksti"/>
              <w:rPr>
                <w:rFonts w:cstheme="minorHAnsi"/>
                <w:sz w:val="22"/>
                <w:szCs w:val="22"/>
                <w:lang w:val="sv-SE"/>
              </w:rPr>
            </w:pPr>
            <w:bookmarkStart w:id="43" w:name="_Hlk93063549"/>
          </w:p>
          <w:p w14:paraId="28FBD3D9" w14:textId="4B7B4DE6" w:rsidR="00CB4157" w:rsidRPr="00911344" w:rsidRDefault="00CB4157" w:rsidP="00911344">
            <w:pPr>
              <w:pStyle w:val="Leipteksti"/>
              <w:rPr>
                <w:rFonts w:cstheme="minorHAnsi"/>
                <w:sz w:val="22"/>
                <w:szCs w:val="22"/>
                <w:lang w:val="sv-SE"/>
              </w:rPr>
            </w:pPr>
            <w:r w:rsidRPr="00911344">
              <w:rPr>
                <w:rFonts w:cstheme="minorHAnsi"/>
                <w:sz w:val="22"/>
                <w:szCs w:val="22"/>
                <w:lang w:val="sv"/>
              </w:rPr>
              <w:t>Den föränderliga verksamhetsmiljön</w:t>
            </w:r>
            <w:r w:rsidR="00FB26AB">
              <w:rPr>
                <w:rFonts w:cstheme="minorHAnsi"/>
                <w:sz w:val="22"/>
                <w:szCs w:val="22"/>
                <w:lang w:val="sv"/>
              </w:rPr>
              <w:t xml:space="preserve">, </w:t>
            </w:r>
            <w:r w:rsidR="00FB26AB" w:rsidRPr="00FB26AB">
              <w:rPr>
                <w:lang w:val="sv-SE"/>
              </w:rPr>
              <w:t>d</w:t>
            </w:r>
            <w:r w:rsidR="00FB26AB" w:rsidRPr="00FB26AB">
              <w:rPr>
                <w:rFonts w:cstheme="minorHAnsi"/>
                <w:sz w:val="22"/>
                <w:szCs w:val="22"/>
                <w:lang w:val="sv"/>
              </w:rPr>
              <w:t>et världspolitiska läget</w:t>
            </w:r>
            <w:r w:rsidRPr="00911344">
              <w:rPr>
                <w:rFonts w:cstheme="minorHAnsi"/>
                <w:sz w:val="22"/>
                <w:szCs w:val="22"/>
                <w:lang w:val="sv"/>
              </w:rPr>
              <w:t xml:space="preserve"> och olika säkerhetshot, såsom hybridinflytande, utmanar brottsbekämpande myndigheter och andra myndigheter.  </w:t>
            </w:r>
            <w:r w:rsidRPr="00911344">
              <w:rPr>
                <w:rFonts w:cstheme="minorHAnsi"/>
                <w:sz w:val="22"/>
                <w:szCs w:val="22"/>
                <w:lang w:val="sv"/>
              </w:rPr>
              <w:lastRenderedPageBreak/>
              <w:t xml:space="preserve">Informationen kan vara decentraliserad, ett problem kan spänna över många myndigheter eller stater, och resurser och expertis är begränsade. Man strävar efter att möta utmaningarna genom multiprofessionell operativ brottsbekämpning och annat myndighetssamarbete. </w:t>
            </w:r>
          </w:p>
          <w:p w14:paraId="3B4C3236" w14:textId="77777777" w:rsidR="00CB4157" w:rsidRPr="00911344" w:rsidRDefault="00911344" w:rsidP="00911344">
            <w:pPr>
              <w:pStyle w:val="Leipteksti"/>
              <w:rPr>
                <w:rFonts w:cstheme="minorHAnsi"/>
                <w:sz w:val="22"/>
                <w:szCs w:val="22"/>
                <w:lang w:val="sv-SE"/>
              </w:rPr>
            </w:pPr>
            <w:r>
              <w:rPr>
                <w:rFonts w:cstheme="minorHAnsi"/>
                <w:sz w:val="22"/>
                <w:szCs w:val="22"/>
                <w:lang w:val="sv"/>
              </w:rPr>
              <w:t xml:space="preserve">År </w:t>
            </w:r>
            <w:r w:rsidR="00CB4157" w:rsidRPr="00911344">
              <w:rPr>
                <w:rFonts w:cstheme="minorHAnsi"/>
                <w:sz w:val="22"/>
                <w:szCs w:val="22"/>
                <w:lang w:val="sv"/>
              </w:rPr>
              <w:t>2021 har kommissionen gett ett förslag till rekommendation om operativt polissamarbete. Kommissionen strävar efter att effektivisera, förbättra, utveckla, modernisera och underlätta brottsbekämpande samarbete mellan relevanta nationella myndigheter och aktörer. I rekommendationen klargörs att termen "polissamarbete" syftar på verksamhet som involverar alla behöriga brottsbekämpande myndigheter i medlemsstaterna. Rekommendationen anses vara en del av Schengenregelverket. Syftet är att ta itu med hinder för polisinsatser i andra medlemsstater i samband med gränsöverskridande förföljanden, gränsöverskridande övervakning och gemensam patrullering och andra gemensamma operationer. Det syftar också till att främja gränsöverskridande polissamarbete som ett sätt att bekämpa smuggling av migranter, stödja förebyggande och upptäckt av illegal migration och intensifiera det gränsöverskridande polissamarbetet för att bekämpa människohandel och identifiera och skydda offer.</w:t>
            </w:r>
          </w:p>
          <w:p w14:paraId="2868C9C5"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De brottsbekämpande myndigheternas gemensamma utredningsgrupper, operationer och övningar möjliggör för sin del bekämpning av gränsöverskridande brottslighet och terrorism samt utvecklingen av avslöjande och förebyggande verksamhet. Ett nära samarbete med förundersöknings- och åklagarmyndigheterna är väsentligt för att straffansvaret ska kunna förverkligas.  Gemensamma övningar kommer att förbättra det operativa samarbetet i bland annat val av metoder, praktisk operativ verksamhet, situationshantering och användning av verktyg, utrustning och kommunikationskanaler. Internationellt och nationellt samarbete bygger på ett väletablerat samarbete mellan de nationella kontaktpunkterna (SPOC), de olika polisenheterna och PTR-myndigheterna. I myndighetssamarbetet deltar vid behov även till exempel social- och hälsovårdsmyndigheter. Samarbetet ska utvecklas på såväl nationell som regional och lokal nivå och mellan olika nivåer.</w:t>
            </w:r>
          </w:p>
          <w:p w14:paraId="57114070"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 xml:space="preserve"> </w:t>
            </w:r>
          </w:p>
          <w:p w14:paraId="4BE1F987" w14:textId="77777777" w:rsidR="00CB4157" w:rsidRPr="00911344" w:rsidRDefault="00CB4157" w:rsidP="00911344">
            <w:pPr>
              <w:pStyle w:val="Leipteksti"/>
              <w:rPr>
                <w:rFonts w:cstheme="minorHAnsi"/>
                <w:b/>
                <w:sz w:val="22"/>
                <w:szCs w:val="22"/>
                <w:lang w:val="sv-SE"/>
              </w:rPr>
            </w:pPr>
            <w:r w:rsidRPr="00911344">
              <w:rPr>
                <w:rFonts w:cstheme="minorHAnsi"/>
                <w:b/>
                <w:bCs/>
                <w:sz w:val="22"/>
                <w:szCs w:val="22"/>
                <w:lang w:val="sv"/>
              </w:rPr>
              <w:t xml:space="preserve">Syftet är att integrera erfarenheter och bästa praxis från gemensamma operationer i det dagliga arbetet, vilket förbättrar effektiviteten i brottsbekämpningen.  Tvärsektoriellt operativt samarbete mellan brottsbekämpande myndigheter är </w:t>
            </w:r>
            <w:r w:rsidRPr="00911344">
              <w:rPr>
                <w:rFonts w:cstheme="minorHAnsi"/>
                <w:b/>
                <w:bCs/>
                <w:sz w:val="22"/>
                <w:szCs w:val="22"/>
                <w:lang w:val="sv"/>
              </w:rPr>
              <w:lastRenderedPageBreak/>
              <w:t>effektivt och drar nytta av nya metoder för samarbete och informationsutbyte samt nya tekniska tillämpningar och verktyg.</w:t>
            </w:r>
            <w:r w:rsidRPr="00911344">
              <w:rPr>
                <w:rFonts w:cstheme="minorHAnsi"/>
                <w:sz w:val="22"/>
                <w:szCs w:val="22"/>
                <w:lang w:val="sv"/>
              </w:rPr>
              <w:t xml:space="preserve"> </w:t>
            </w:r>
          </w:p>
          <w:p w14:paraId="372E9F03" w14:textId="77777777" w:rsidR="00CB4157" w:rsidRPr="00911344" w:rsidRDefault="00CB4157" w:rsidP="00911344">
            <w:pPr>
              <w:pStyle w:val="Leipteksti"/>
              <w:rPr>
                <w:rFonts w:cstheme="minorHAnsi"/>
                <w:color w:val="000000"/>
                <w:sz w:val="22"/>
                <w:szCs w:val="22"/>
                <w:lang w:val="sv-SE"/>
              </w:rPr>
            </w:pPr>
          </w:p>
          <w:p w14:paraId="1297104E" w14:textId="77777777" w:rsidR="00CB4157" w:rsidRPr="00911344" w:rsidRDefault="00CB4157" w:rsidP="00911344">
            <w:pPr>
              <w:pStyle w:val="Leipteksti"/>
              <w:rPr>
                <w:rFonts w:cstheme="minorHAnsi"/>
                <w:b/>
                <w:color w:val="000000"/>
                <w:sz w:val="22"/>
                <w:szCs w:val="22"/>
                <w:lang w:val="sv-SE"/>
              </w:rPr>
            </w:pPr>
            <w:r w:rsidRPr="00911344">
              <w:rPr>
                <w:rFonts w:cstheme="minorHAnsi"/>
                <w:color w:val="000000"/>
                <w:sz w:val="22"/>
                <w:szCs w:val="22"/>
                <w:lang w:val="sv"/>
              </w:rPr>
              <w:t xml:space="preserve">Understöd kan beviljas för projekt där man </w:t>
            </w:r>
            <w:r w:rsidRPr="00911344">
              <w:rPr>
                <w:rFonts w:cstheme="minorHAnsi"/>
                <w:sz w:val="22"/>
                <w:szCs w:val="22"/>
                <w:lang w:val="sv"/>
              </w:rPr>
              <w:t>mellan både nationella och internationella myndigheter</w:t>
            </w:r>
            <w:r w:rsidRPr="00911344">
              <w:rPr>
                <w:rFonts w:cstheme="minorHAnsi"/>
                <w:color w:val="000000"/>
                <w:sz w:val="22"/>
                <w:szCs w:val="22"/>
                <w:lang w:val="sv"/>
              </w:rPr>
              <w:t xml:space="preserve"> till exempel: </w:t>
            </w:r>
          </w:p>
          <w:p w14:paraId="48594E7C" w14:textId="77777777" w:rsidR="00CB4157" w:rsidRPr="00911344" w:rsidRDefault="00CB4157" w:rsidP="00A17F47">
            <w:pPr>
              <w:pStyle w:val="Leipteksti"/>
              <w:numPr>
                <w:ilvl w:val="0"/>
                <w:numId w:val="10"/>
              </w:numPr>
              <w:rPr>
                <w:rFonts w:cstheme="minorHAnsi"/>
                <w:sz w:val="22"/>
                <w:szCs w:val="22"/>
                <w:lang w:val="sv-SE"/>
              </w:rPr>
            </w:pPr>
            <w:r w:rsidRPr="00911344">
              <w:rPr>
                <w:rFonts w:cstheme="minorHAnsi"/>
                <w:sz w:val="22"/>
                <w:szCs w:val="22"/>
                <w:lang w:val="sv"/>
              </w:rPr>
              <w:t>deltar i EMPACT-operationer och åtgärdsdagar,</w:t>
            </w:r>
          </w:p>
          <w:p w14:paraId="2524D632" w14:textId="77777777" w:rsidR="00CB4157" w:rsidRPr="00911344" w:rsidRDefault="00CB4157" w:rsidP="00A17F47">
            <w:pPr>
              <w:pStyle w:val="Leipteksti"/>
              <w:numPr>
                <w:ilvl w:val="0"/>
                <w:numId w:val="10"/>
              </w:numPr>
              <w:rPr>
                <w:rFonts w:cstheme="minorHAnsi"/>
                <w:sz w:val="22"/>
                <w:szCs w:val="22"/>
              </w:rPr>
            </w:pPr>
            <w:r w:rsidRPr="00911344">
              <w:rPr>
                <w:rFonts w:cstheme="minorHAnsi"/>
                <w:sz w:val="22"/>
                <w:szCs w:val="22"/>
                <w:lang w:val="sv"/>
              </w:rPr>
              <w:t xml:space="preserve">deltar i gemensamma utredningsgrupper, </w:t>
            </w:r>
          </w:p>
          <w:p w14:paraId="113A0C44" w14:textId="77777777" w:rsidR="00CB4157" w:rsidRPr="00911344" w:rsidRDefault="00CB4157" w:rsidP="00A17F47">
            <w:pPr>
              <w:pStyle w:val="Leipteksti"/>
              <w:numPr>
                <w:ilvl w:val="0"/>
                <w:numId w:val="10"/>
              </w:numPr>
              <w:rPr>
                <w:rFonts w:cstheme="minorHAnsi"/>
                <w:sz w:val="22"/>
                <w:szCs w:val="22"/>
                <w:lang w:val="sv-SE"/>
              </w:rPr>
            </w:pPr>
            <w:r w:rsidRPr="00911344">
              <w:rPr>
                <w:rFonts w:cstheme="minorHAnsi"/>
                <w:sz w:val="22"/>
                <w:szCs w:val="22"/>
                <w:lang w:val="sv"/>
              </w:rPr>
              <w:t xml:space="preserve">främjar samarbete, till exempel genom kriminalunderrättelse- och övervakningsoperationer i identifierade hotområden, </w:t>
            </w:r>
          </w:p>
          <w:p w14:paraId="7AF546D8" w14:textId="77777777" w:rsidR="00CB4157" w:rsidRPr="00911344" w:rsidRDefault="00CB4157" w:rsidP="00A17F47">
            <w:pPr>
              <w:pStyle w:val="Leipteksti"/>
              <w:numPr>
                <w:ilvl w:val="0"/>
                <w:numId w:val="10"/>
              </w:numPr>
              <w:rPr>
                <w:rFonts w:cstheme="minorHAnsi"/>
                <w:sz w:val="22"/>
                <w:szCs w:val="22"/>
                <w:lang w:val="sv-SE"/>
              </w:rPr>
            </w:pPr>
            <w:r w:rsidRPr="00911344">
              <w:rPr>
                <w:rFonts w:cstheme="minorHAnsi"/>
                <w:sz w:val="22"/>
                <w:szCs w:val="22"/>
                <w:lang w:val="sv"/>
              </w:rPr>
              <w:t xml:space="preserve">deltar i gemensamma operationer och informationsutbyte som kräver särskild kompetens, till exempel inom it-brottslighet och miljöbrottslighet, </w:t>
            </w:r>
          </w:p>
          <w:p w14:paraId="2EABCAE0" w14:textId="77777777" w:rsidR="00CB4157" w:rsidRPr="00911344" w:rsidRDefault="00CB4157" w:rsidP="00A17F47">
            <w:pPr>
              <w:pStyle w:val="Leipteksti"/>
              <w:numPr>
                <w:ilvl w:val="0"/>
                <w:numId w:val="10"/>
              </w:numPr>
              <w:rPr>
                <w:rFonts w:cstheme="minorHAnsi"/>
                <w:sz w:val="22"/>
                <w:szCs w:val="22"/>
              </w:rPr>
            </w:pPr>
            <w:r w:rsidRPr="00911344">
              <w:rPr>
                <w:rFonts w:cstheme="minorHAnsi"/>
                <w:sz w:val="22"/>
                <w:szCs w:val="22"/>
                <w:lang w:val="sv"/>
              </w:rPr>
              <w:t>deltar i gemensamma övningar.</w:t>
            </w:r>
          </w:p>
          <w:p w14:paraId="0A902E6B" w14:textId="77777777" w:rsidR="00CB4157" w:rsidRPr="00911344" w:rsidRDefault="00CB4157" w:rsidP="00911344">
            <w:pPr>
              <w:pStyle w:val="Leipteksti"/>
              <w:rPr>
                <w:rFonts w:cstheme="minorHAnsi"/>
                <w:sz w:val="22"/>
                <w:szCs w:val="22"/>
              </w:rPr>
            </w:pPr>
            <w:r w:rsidRPr="00911344">
              <w:rPr>
                <w:rFonts w:cstheme="minorHAnsi"/>
                <w:sz w:val="22"/>
                <w:szCs w:val="22"/>
                <w:lang w:val="sv"/>
              </w:rPr>
              <w:t>Resultatmål:</w:t>
            </w:r>
          </w:p>
          <w:p w14:paraId="58517FFC" w14:textId="77777777" w:rsidR="00CB4157" w:rsidRPr="00911344" w:rsidRDefault="00CB4157" w:rsidP="00A17F47">
            <w:pPr>
              <w:pStyle w:val="Leipteksti"/>
              <w:numPr>
                <w:ilvl w:val="0"/>
                <w:numId w:val="11"/>
              </w:numPr>
              <w:rPr>
                <w:rFonts w:cstheme="minorHAnsi"/>
                <w:sz w:val="22"/>
                <w:szCs w:val="22"/>
                <w:lang w:val="sv-SE"/>
              </w:rPr>
            </w:pPr>
            <w:r w:rsidRPr="00911344">
              <w:rPr>
                <w:rFonts w:cstheme="minorHAnsi"/>
                <w:sz w:val="22"/>
                <w:szCs w:val="22"/>
                <w:lang w:val="sv"/>
              </w:rPr>
              <w:t xml:space="preserve">PTR-myndigheterna har deltagit i det samarbete som inletts i enlighet med EMPACT-prioriteringarna som utarbetats på grundval av de hotbedömningar som upprättats av Europol och </w:t>
            </w:r>
            <w:proofErr w:type="spellStart"/>
            <w:r w:rsidRPr="00911344">
              <w:rPr>
                <w:rFonts w:cstheme="minorHAnsi"/>
                <w:sz w:val="22"/>
                <w:szCs w:val="22"/>
                <w:lang w:val="sv"/>
              </w:rPr>
              <w:t>Frontex</w:t>
            </w:r>
            <w:proofErr w:type="spellEnd"/>
            <w:r w:rsidRPr="00911344">
              <w:rPr>
                <w:rFonts w:cstheme="minorHAnsi"/>
                <w:sz w:val="22"/>
                <w:szCs w:val="22"/>
                <w:lang w:val="sv"/>
              </w:rPr>
              <w:t xml:space="preserve">, </w:t>
            </w:r>
          </w:p>
          <w:p w14:paraId="49A7BA77" w14:textId="77777777" w:rsidR="00CB4157" w:rsidRPr="00911344" w:rsidRDefault="00CB4157" w:rsidP="00A17F47">
            <w:pPr>
              <w:pStyle w:val="Leipteksti"/>
              <w:numPr>
                <w:ilvl w:val="0"/>
                <w:numId w:val="11"/>
              </w:numPr>
              <w:rPr>
                <w:rFonts w:cstheme="minorHAnsi"/>
                <w:sz w:val="22"/>
                <w:szCs w:val="22"/>
                <w:lang w:val="sv-SE"/>
              </w:rPr>
            </w:pPr>
            <w:r w:rsidRPr="00911344">
              <w:rPr>
                <w:rFonts w:cstheme="minorHAnsi"/>
                <w:sz w:val="22"/>
                <w:szCs w:val="22"/>
                <w:lang w:val="sv"/>
              </w:rPr>
              <w:t>myndigheterna har varit involverade i utarbetandet av operativa planer och operationer för EMPACT-prioriteringarna och i de gemensamma brottsspecifika åtgärdsdagarna,</w:t>
            </w:r>
          </w:p>
          <w:p w14:paraId="42A951DB" w14:textId="77777777" w:rsidR="00CB4157" w:rsidRPr="00911344" w:rsidRDefault="00CB4157" w:rsidP="00A17F47">
            <w:pPr>
              <w:pStyle w:val="Leipteksti"/>
              <w:numPr>
                <w:ilvl w:val="0"/>
                <w:numId w:val="11"/>
              </w:numPr>
              <w:rPr>
                <w:rFonts w:cstheme="minorHAnsi"/>
                <w:sz w:val="22"/>
                <w:szCs w:val="22"/>
                <w:lang w:val="sv-SE"/>
              </w:rPr>
            </w:pPr>
            <w:r w:rsidRPr="00911344">
              <w:rPr>
                <w:rFonts w:cstheme="minorHAnsi"/>
                <w:sz w:val="22"/>
                <w:szCs w:val="22"/>
                <w:lang w:val="sv"/>
              </w:rPr>
              <w:t>övningar har genomförts mellan både nationella och internationella myndigheter,</w:t>
            </w:r>
          </w:p>
          <w:p w14:paraId="74B6043D" w14:textId="77777777" w:rsidR="00CB4157" w:rsidRPr="00911344" w:rsidRDefault="00CB4157" w:rsidP="00A17F47">
            <w:pPr>
              <w:pStyle w:val="Leipteksti"/>
              <w:numPr>
                <w:ilvl w:val="0"/>
                <w:numId w:val="11"/>
              </w:numPr>
              <w:rPr>
                <w:rFonts w:cstheme="minorHAnsi"/>
                <w:sz w:val="22"/>
                <w:szCs w:val="22"/>
                <w:lang w:val="sv-SE"/>
              </w:rPr>
            </w:pPr>
            <w:r w:rsidRPr="00911344">
              <w:rPr>
                <w:rFonts w:cstheme="minorHAnsi"/>
                <w:sz w:val="22"/>
                <w:szCs w:val="22"/>
                <w:lang w:val="sv"/>
              </w:rPr>
              <w:t xml:space="preserve">användningen av gemensamma patruller och operativa samarbetsmekanismer har ökat, utredningsgruppers verksamhet och utrustning är på en bra nivå, </w:t>
            </w:r>
          </w:p>
          <w:p w14:paraId="05CD9585" w14:textId="77777777" w:rsidR="00CB4157" w:rsidRPr="00911344" w:rsidRDefault="00CB4157" w:rsidP="00A17F47">
            <w:pPr>
              <w:pStyle w:val="Leipteksti"/>
              <w:numPr>
                <w:ilvl w:val="0"/>
                <w:numId w:val="11"/>
              </w:numPr>
              <w:rPr>
                <w:rFonts w:cstheme="minorHAnsi"/>
                <w:sz w:val="22"/>
                <w:szCs w:val="22"/>
                <w:lang w:val="sv-SE"/>
              </w:rPr>
            </w:pPr>
            <w:r w:rsidRPr="00911344">
              <w:rPr>
                <w:rFonts w:cstheme="minorHAnsi"/>
                <w:sz w:val="22"/>
                <w:szCs w:val="22"/>
                <w:lang w:val="sv"/>
              </w:rPr>
              <w:t>informationen förmedlas vid rätt tidpunkt särskilt i internationella operationer,</w:t>
            </w:r>
          </w:p>
          <w:p w14:paraId="3AEDBE72" w14:textId="77777777" w:rsidR="00CB4157" w:rsidRPr="00911344" w:rsidRDefault="00CB4157" w:rsidP="00A17F47">
            <w:pPr>
              <w:pStyle w:val="Leipteksti"/>
              <w:numPr>
                <w:ilvl w:val="0"/>
                <w:numId w:val="11"/>
              </w:numPr>
              <w:rPr>
                <w:rFonts w:cstheme="minorHAnsi"/>
                <w:sz w:val="22"/>
                <w:szCs w:val="22"/>
                <w:lang w:val="sv-SE"/>
              </w:rPr>
            </w:pPr>
            <w:r w:rsidRPr="00911344">
              <w:rPr>
                <w:rFonts w:cstheme="minorHAnsi"/>
                <w:sz w:val="22"/>
                <w:szCs w:val="22"/>
                <w:lang w:val="sv"/>
              </w:rPr>
              <w:t xml:space="preserve">det operativa samarbetet har förbättrats i och med övningarna i bland annat val av metoder, praktisk operativ verksamhet, situationshantering och användning av verktyg, utrustning och kommunikationskanaler. </w:t>
            </w:r>
          </w:p>
        </w:tc>
      </w:tr>
      <w:tr w:rsidR="00CB4157" w:rsidRPr="000F5AB4" w14:paraId="105AF61C" w14:textId="77777777" w:rsidTr="00CB4157">
        <w:trPr>
          <w:trHeight w:val="789"/>
        </w:trPr>
        <w:tc>
          <w:tcPr>
            <w:tcW w:w="4248" w:type="dxa"/>
          </w:tcPr>
          <w:p w14:paraId="73D35F99" w14:textId="77777777" w:rsidR="00CB4157" w:rsidRPr="00911344" w:rsidRDefault="00CB4157" w:rsidP="00911344">
            <w:pPr>
              <w:pStyle w:val="Leipteksti"/>
              <w:rPr>
                <w:rFonts w:cstheme="minorHAnsi"/>
                <w:b/>
                <w:sz w:val="22"/>
                <w:szCs w:val="22"/>
              </w:rPr>
            </w:pPr>
            <w:r w:rsidRPr="00911344">
              <w:rPr>
                <w:rFonts w:cstheme="minorHAnsi"/>
                <w:b/>
                <w:bCs/>
                <w:sz w:val="22"/>
                <w:szCs w:val="22"/>
                <w:lang w:val="sv"/>
              </w:rPr>
              <w:lastRenderedPageBreak/>
              <w:t>Understöd</w:t>
            </w:r>
          </w:p>
        </w:tc>
        <w:tc>
          <w:tcPr>
            <w:tcW w:w="5380" w:type="dxa"/>
          </w:tcPr>
          <w:p w14:paraId="0F0775CF"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75 %</w:t>
            </w:r>
          </w:p>
          <w:p w14:paraId="2C3F382E"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lastRenderedPageBreak/>
              <w:t>Understödet kan höjas till 90 procent för projekt som tar itu med de största hoten från grov och organiserad brottslighet inom ramen för EU:s verksamhetspolitiska cykel/</w:t>
            </w:r>
            <w:proofErr w:type="spellStart"/>
            <w:r w:rsidRPr="00911344">
              <w:rPr>
                <w:rFonts w:cstheme="minorHAnsi"/>
                <w:sz w:val="22"/>
                <w:szCs w:val="22"/>
                <w:lang w:val="sv"/>
              </w:rPr>
              <w:t>EMPACT:s</w:t>
            </w:r>
            <w:proofErr w:type="spellEnd"/>
            <w:r w:rsidRPr="00911344">
              <w:rPr>
                <w:rFonts w:cstheme="minorHAnsi"/>
                <w:sz w:val="22"/>
                <w:szCs w:val="22"/>
                <w:lang w:val="sv"/>
              </w:rPr>
              <w:t xml:space="preserve"> operativa verksamhet. </w:t>
            </w:r>
          </w:p>
        </w:tc>
      </w:tr>
      <w:tr w:rsidR="00CB4157" w:rsidRPr="0087596A" w14:paraId="6FB62C8E" w14:textId="77777777" w:rsidTr="00CB4157">
        <w:tc>
          <w:tcPr>
            <w:tcW w:w="4248" w:type="dxa"/>
          </w:tcPr>
          <w:p w14:paraId="0CA048E5" w14:textId="77777777" w:rsidR="00CB4157" w:rsidRPr="00911344" w:rsidRDefault="00CB4157" w:rsidP="00D11F46">
            <w:pPr>
              <w:pStyle w:val="Leipteksti"/>
              <w:rPr>
                <w:rFonts w:cstheme="minorHAnsi"/>
                <w:sz w:val="22"/>
                <w:szCs w:val="22"/>
              </w:rPr>
            </w:pPr>
            <w:r w:rsidRPr="00911344">
              <w:rPr>
                <w:rFonts w:cstheme="minorHAnsi"/>
                <w:b/>
                <w:bCs/>
                <w:sz w:val="22"/>
                <w:szCs w:val="22"/>
                <w:lang w:val="sv"/>
              </w:rPr>
              <w:lastRenderedPageBreak/>
              <w:t>Möjliga stödmottagare</w:t>
            </w:r>
          </w:p>
        </w:tc>
        <w:tc>
          <w:tcPr>
            <w:tcW w:w="5380" w:type="dxa"/>
          </w:tcPr>
          <w:p w14:paraId="7C193FEC" w14:textId="77777777" w:rsidR="00CB4157" w:rsidRPr="00911344" w:rsidRDefault="00CB4157" w:rsidP="00911344">
            <w:pPr>
              <w:pStyle w:val="Leipteksti"/>
              <w:rPr>
                <w:rFonts w:cstheme="minorHAnsi"/>
                <w:sz w:val="22"/>
                <w:szCs w:val="22"/>
              </w:rPr>
            </w:pPr>
            <w:r w:rsidRPr="00911344">
              <w:rPr>
                <w:rFonts w:cstheme="minorHAnsi"/>
                <w:sz w:val="22"/>
                <w:szCs w:val="22"/>
                <w:lang w:val="sv"/>
              </w:rPr>
              <w:t>Behöriga myndigheter</w:t>
            </w:r>
          </w:p>
        </w:tc>
      </w:tr>
      <w:tr w:rsidR="00CB4157" w:rsidRPr="000F5AB4" w14:paraId="1A7C12E6" w14:textId="77777777" w:rsidTr="00CB4157">
        <w:tc>
          <w:tcPr>
            <w:tcW w:w="4248" w:type="dxa"/>
          </w:tcPr>
          <w:p w14:paraId="3AD82C1D" w14:textId="77777777" w:rsidR="00CB4157" w:rsidRPr="00911344" w:rsidRDefault="00CB4157" w:rsidP="00911344">
            <w:pPr>
              <w:pStyle w:val="Leipteksti"/>
              <w:rPr>
                <w:rFonts w:cstheme="minorHAnsi"/>
                <w:b/>
                <w:sz w:val="22"/>
                <w:szCs w:val="22"/>
                <w:lang w:val="sv-SE"/>
              </w:rPr>
            </w:pPr>
            <w:r w:rsidRPr="00911344">
              <w:rPr>
                <w:rFonts w:eastAsia="Calibri" w:cstheme="minorHAnsi"/>
                <w:b/>
                <w:bCs/>
                <w:sz w:val="22"/>
                <w:szCs w:val="22"/>
                <w:lang w:val="sv"/>
              </w:rPr>
              <w:t>Samordning med annan EU-finansiering</w:t>
            </w:r>
          </w:p>
        </w:tc>
        <w:tc>
          <w:tcPr>
            <w:tcW w:w="5380" w:type="dxa"/>
          </w:tcPr>
          <w:p w14:paraId="12211700"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Åtgärder samordnas med BMVI-finansiering och Europols finansiering</w:t>
            </w:r>
          </w:p>
        </w:tc>
      </w:tr>
      <w:tr w:rsidR="00CB4157" w:rsidRPr="000F5AB4" w14:paraId="06C24720" w14:textId="77777777" w:rsidTr="00CB4157">
        <w:tc>
          <w:tcPr>
            <w:tcW w:w="9628" w:type="dxa"/>
            <w:gridSpan w:val="2"/>
          </w:tcPr>
          <w:p w14:paraId="24EDC85D" w14:textId="77777777" w:rsidR="00CB4157" w:rsidRPr="00911344" w:rsidRDefault="00CB4157" w:rsidP="00911344">
            <w:pPr>
              <w:pStyle w:val="Leipteksti"/>
              <w:rPr>
                <w:rFonts w:cstheme="minorHAnsi"/>
                <w:sz w:val="22"/>
                <w:szCs w:val="22"/>
                <w:lang w:val="sv-SE"/>
              </w:rPr>
            </w:pPr>
            <w:r w:rsidRPr="00911344">
              <w:rPr>
                <w:rFonts w:cstheme="minorHAnsi"/>
                <w:b/>
                <w:bCs/>
                <w:sz w:val="22"/>
                <w:szCs w:val="22"/>
                <w:lang w:val="sv"/>
              </w:rPr>
              <w:t>Indikatorer som ska tillämpas</w:t>
            </w:r>
            <w:r w:rsidRPr="00911344">
              <w:rPr>
                <w:rFonts w:cstheme="minorHAnsi"/>
                <w:sz w:val="22"/>
                <w:szCs w:val="22"/>
                <w:lang w:val="sv"/>
              </w:rPr>
              <w:t xml:space="preserve"> </w:t>
            </w:r>
          </w:p>
          <w:p w14:paraId="512C6436" w14:textId="64D62EA6" w:rsidR="00CB4157" w:rsidRPr="00911344" w:rsidRDefault="00CB4157" w:rsidP="00911344">
            <w:pPr>
              <w:pStyle w:val="Leipteksti"/>
              <w:rPr>
                <w:rFonts w:cstheme="minorHAnsi"/>
                <w:sz w:val="22"/>
                <w:szCs w:val="22"/>
                <w:lang w:val="sv-SE"/>
              </w:rPr>
            </w:pPr>
            <w:r w:rsidRPr="00911344">
              <w:rPr>
                <w:rFonts w:cstheme="minorHAnsi"/>
                <w:sz w:val="22"/>
                <w:szCs w:val="22"/>
                <w:lang w:val="sv"/>
              </w:rPr>
              <w:t>I åtgärderna ska även tillämpas andra indikatorer än de som finns i detta s</w:t>
            </w:r>
            <w:r w:rsidR="000473F1">
              <w:rPr>
                <w:rFonts w:cstheme="minorHAnsi"/>
                <w:sz w:val="22"/>
                <w:szCs w:val="22"/>
                <w:lang w:val="sv"/>
              </w:rPr>
              <w:t>pecifik</w:t>
            </w:r>
            <w:r w:rsidRPr="00911344">
              <w:rPr>
                <w:rFonts w:cstheme="minorHAnsi"/>
                <w:sz w:val="22"/>
                <w:szCs w:val="22"/>
                <w:lang w:val="sv"/>
              </w:rPr>
              <w:t>a mål, om verksamheten som genomförs kan mätas med dem.</w:t>
            </w:r>
          </w:p>
          <w:p w14:paraId="2F0D4FF3" w14:textId="07B6DC12" w:rsidR="00CB4157" w:rsidRPr="00911344" w:rsidRDefault="003516ED" w:rsidP="00911344">
            <w:pPr>
              <w:pStyle w:val="Leipteksti"/>
              <w:rPr>
                <w:rFonts w:cstheme="minorHAnsi"/>
                <w:sz w:val="22"/>
                <w:szCs w:val="22"/>
                <w:lang w:val="sv-SE"/>
              </w:rPr>
            </w:pPr>
            <w:r>
              <w:rPr>
                <w:rFonts w:cstheme="minorHAnsi"/>
                <w:sz w:val="22"/>
                <w:szCs w:val="22"/>
                <w:lang w:val="sv"/>
              </w:rPr>
              <w:t>Output</w:t>
            </w:r>
            <w:r w:rsidR="00CB4157" w:rsidRPr="00911344">
              <w:rPr>
                <w:rFonts w:cstheme="minorHAnsi"/>
                <w:sz w:val="22"/>
                <w:szCs w:val="22"/>
                <w:lang w:val="sv"/>
              </w:rPr>
              <w:t>indikatorer:</w:t>
            </w:r>
          </w:p>
          <w:p w14:paraId="2CC0D912"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O.2.1 Antal gränsöverskridande operationer</w:t>
            </w:r>
          </w:p>
          <w:p w14:paraId="7D545F6D"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O.2.1.1 av vilka antalet gemensamma utredningsgrupper</w:t>
            </w:r>
          </w:p>
          <w:p w14:paraId="28DDDB46"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O.2.1.2 av vilka antalet operativa aktiviteter som omfattas av EU:s verksamhetspolitiska cykel</w:t>
            </w:r>
          </w:p>
          <w:p w14:paraId="6231DDE0"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O.2.2 Antal expertmöten/workshops/studiebesök/gemensamma övningar</w:t>
            </w:r>
          </w:p>
          <w:p w14:paraId="2E19C539"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O.2.4 Antal fordon som anskaffats för gränsöverskridande operationer</w:t>
            </w:r>
          </w:p>
          <w:p w14:paraId="52888C3D" w14:textId="77777777" w:rsidR="00CB4157" w:rsidRPr="00911344" w:rsidRDefault="00CB4157" w:rsidP="00911344">
            <w:pPr>
              <w:pStyle w:val="Leipteksti"/>
              <w:rPr>
                <w:rFonts w:eastAsia="Calibri" w:cstheme="minorHAnsi"/>
                <w:sz w:val="22"/>
                <w:szCs w:val="22"/>
                <w:lang w:val="sv-SE"/>
              </w:rPr>
            </w:pPr>
            <w:r w:rsidRPr="00911344">
              <w:rPr>
                <w:rFonts w:eastAsia="Calibri" w:cstheme="minorHAnsi"/>
                <w:sz w:val="22"/>
                <w:szCs w:val="22"/>
                <w:lang w:val="sv"/>
              </w:rPr>
              <w:t>Resultatindikatorer:</w:t>
            </w:r>
          </w:p>
          <w:p w14:paraId="5B78D6B3"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R.2.5 Uppskattat värde av medel som frysts i gränsöverskridande operationer</w:t>
            </w:r>
          </w:p>
          <w:p w14:paraId="45D1895D"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R.2.6 Antal illegala droger som beslagtagits i gränsöverskridande verksamhet per produktgrupp</w:t>
            </w:r>
          </w:p>
          <w:p w14:paraId="128F83B0"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R.2.7 Antal beslagtagna vapen i gränsöverskridande operationer efter vapentyp</w:t>
            </w:r>
          </w:p>
          <w:p w14:paraId="26BBB4AE"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R.2.8 Antal administrativa enheter som nyligen har utvecklat/anpassat befintliga mekanismer / förfaranden/ verktyg /riktlinjer för samarbete med andra medlemsstater /unionens organ eller institutioner /tredjeländer/ internationella organisationer</w:t>
            </w:r>
          </w:p>
          <w:p w14:paraId="0A0F4477" w14:textId="77777777" w:rsidR="00CB4157" w:rsidRPr="00911344" w:rsidRDefault="00CB4157" w:rsidP="00911344">
            <w:pPr>
              <w:pStyle w:val="Leipteksti"/>
              <w:rPr>
                <w:rFonts w:cstheme="minorHAnsi"/>
                <w:sz w:val="22"/>
                <w:szCs w:val="22"/>
                <w:lang w:val="sv-SE"/>
              </w:rPr>
            </w:pPr>
            <w:r w:rsidRPr="00911344">
              <w:rPr>
                <w:rFonts w:cstheme="minorHAnsi"/>
                <w:sz w:val="22"/>
                <w:szCs w:val="22"/>
                <w:lang w:val="sv"/>
              </w:rPr>
              <w:t>R.2.9 Antal personer som deltagit i gränsöverskridande operationer</w:t>
            </w:r>
          </w:p>
        </w:tc>
      </w:tr>
      <w:tr w:rsidR="00CB4157" w:rsidRPr="00AD1B79" w14:paraId="07045F53" w14:textId="77777777" w:rsidTr="00CB4157">
        <w:tc>
          <w:tcPr>
            <w:tcW w:w="4248" w:type="dxa"/>
          </w:tcPr>
          <w:p w14:paraId="662F4B73" w14:textId="77777777" w:rsidR="00CB4157" w:rsidRPr="00911344" w:rsidRDefault="00CB4157" w:rsidP="00911344">
            <w:pPr>
              <w:pStyle w:val="Leipteksti"/>
              <w:rPr>
                <w:rFonts w:cstheme="minorHAnsi"/>
                <w:b/>
                <w:sz w:val="22"/>
                <w:szCs w:val="22"/>
              </w:rPr>
            </w:pPr>
            <w:r w:rsidRPr="00911344">
              <w:rPr>
                <w:rFonts w:cstheme="minorHAnsi"/>
                <w:b/>
                <w:bCs/>
                <w:sz w:val="22"/>
                <w:szCs w:val="22"/>
                <w:lang w:val="sv"/>
              </w:rPr>
              <w:t>Ansökningstid</w:t>
            </w:r>
          </w:p>
        </w:tc>
        <w:tc>
          <w:tcPr>
            <w:tcW w:w="5380" w:type="dxa"/>
          </w:tcPr>
          <w:p w14:paraId="3F6E56CA" w14:textId="3FA073EC" w:rsidR="00CB4157" w:rsidRPr="00F30646" w:rsidRDefault="00AD1B79" w:rsidP="00911344">
            <w:pPr>
              <w:pStyle w:val="Leipteksti"/>
              <w:rPr>
                <w:rFonts w:cstheme="minorHAnsi"/>
                <w:sz w:val="22"/>
                <w:szCs w:val="22"/>
                <w:lang w:val="sv-SE"/>
              </w:rPr>
            </w:pPr>
            <w:r>
              <w:rPr>
                <w:rFonts w:cstheme="minorHAnsi"/>
                <w:sz w:val="22"/>
                <w:szCs w:val="22"/>
                <w:lang w:val="sv"/>
              </w:rPr>
              <w:t>v</w:t>
            </w:r>
            <w:r w:rsidR="00F152EA">
              <w:rPr>
                <w:rFonts w:cstheme="minorHAnsi"/>
                <w:sz w:val="22"/>
                <w:szCs w:val="22"/>
                <w:lang w:val="sv"/>
              </w:rPr>
              <w:t>åren 2024, hösten 2024</w:t>
            </w:r>
            <w:r w:rsidR="009434B2">
              <w:rPr>
                <w:rFonts w:cstheme="minorHAnsi"/>
                <w:sz w:val="22"/>
                <w:szCs w:val="22"/>
                <w:lang w:val="sv"/>
              </w:rPr>
              <w:t>, våren 2025, hösten 2025</w:t>
            </w:r>
          </w:p>
        </w:tc>
      </w:tr>
      <w:tr w:rsidR="00CB4157" w:rsidRPr="0087596A" w14:paraId="406B5B64" w14:textId="77777777" w:rsidTr="00CB4157">
        <w:tc>
          <w:tcPr>
            <w:tcW w:w="4248" w:type="dxa"/>
          </w:tcPr>
          <w:p w14:paraId="4DC9A1C2" w14:textId="77777777" w:rsidR="00CB4157" w:rsidRPr="00911344" w:rsidRDefault="00CB4157" w:rsidP="00911344">
            <w:pPr>
              <w:pStyle w:val="Leipteksti"/>
              <w:rPr>
                <w:rFonts w:cstheme="minorHAnsi"/>
                <w:b/>
                <w:sz w:val="22"/>
                <w:szCs w:val="22"/>
              </w:rPr>
            </w:pPr>
            <w:r w:rsidRPr="00911344">
              <w:rPr>
                <w:rFonts w:cstheme="minorHAnsi"/>
                <w:b/>
                <w:bCs/>
                <w:sz w:val="22"/>
                <w:szCs w:val="22"/>
                <w:lang w:val="sv"/>
              </w:rPr>
              <w:lastRenderedPageBreak/>
              <w:t>Projektet inleds senast</w:t>
            </w:r>
          </w:p>
        </w:tc>
        <w:tc>
          <w:tcPr>
            <w:tcW w:w="5380" w:type="dxa"/>
          </w:tcPr>
          <w:p w14:paraId="4B4F6891" w14:textId="77777777" w:rsidR="00CB4157" w:rsidRPr="00911344" w:rsidRDefault="00CB4157" w:rsidP="00911344">
            <w:pPr>
              <w:pStyle w:val="Leipteksti"/>
              <w:rPr>
                <w:rFonts w:cstheme="minorHAnsi"/>
                <w:sz w:val="22"/>
                <w:szCs w:val="22"/>
              </w:rPr>
            </w:pPr>
            <w:r w:rsidRPr="00911344">
              <w:rPr>
                <w:rFonts w:cstheme="minorHAnsi"/>
                <w:sz w:val="22"/>
                <w:szCs w:val="22"/>
                <w:lang w:val="sv"/>
              </w:rPr>
              <w:t>Se utlysningen</w:t>
            </w:r>
          </w:p>
        </w:tc>
      </w:tr>
      <w:bookmarkEnd w:id="43"/>
    </w:tbl>
    <w:p w14:paraId="719DE790" w14:textId="77777777" w:rsidR="00CB4157" w:rsidRDefault="00CB4157" w:rsidP="00CB4157"/>
    <w:p w14:paraId="70A89A07" w14:textId="77777777" w:rsidR="00DA1344" w:rsidRDefault="00DA1344">
      <w:pPr>
        <w:tabs>
          <w:tab w:val="clear" w:pos="1304"/>
          <w:tab w:val="clear" w:pos="2608"/>
        </w:tabs>
        <w:rPr>
          <w:rFonts w:asciiTheme="majorHAnsi" w:eastAsiaTheme="majorEastAsia" w:hAnsiTheme="majorHAnsi" w:cstheme="majorBidi"/>
          <w:b/>
          <w:sz w:val="24"/>
          <w:szCs w:val="26"/>
          <w:lang w:val="sv"/>
        </w:rPr>
      </w:pPr>
      <w:bookmarkStart w:id="44" w:name="_Toc102727275"/>
      <w:r>
        <w:rPr>
          <w:lang w:val="sv"/>
        </w:rPr>
        <w:br w:type="page"/>
      </w:r>
    </w:p>
    <w:p w14:paraId="51C97027" w14:textId="3E26C6E2" w:rsidR="00CB4157" w:rsidRPr="009538BD" w:rsidRDefault="00CB4157" w:rsidP="00911344">
      <w:pPr>
        <w:pStyle w:val="Otsikko3"/>
        <w:rPr>
          <w:lang w:val="sv-SE"/>
        </w:rPr>
      </w:pPr>
      <w:bookmarkStart w:id="45" w:name="_Toc184224311"/>
      <w:r>
        <w:rPr>
          <w:lang w:val="sv"/>
        </w:rPr>
        <w:lastRenderedPageBreak/>
        <w:t>2 B Förbättrad samordning och ökat samarbete mellan myndigheter och andra relevanta aktörer, både inom och mellan medlemsstater</w:t>
      </w:r>
      <w:bookmarkEnd w:id="44"/>
      <w:bookmarkEnd w:id="45"/>
    </w:p>
    <w:p w14:paraId="37E0774A" w14:textId="77777777" w:rsidR="00CB4157" w:rsidRPr="009538BD" w:rsidRDefault="00CB4157" w:rsidP="00CB4157">
      <w:pPr>
        <w:rPr>
          <w:lang w:val="sv-SE"/>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CB4157" w:rsidRPr="000F5AB4" w14:paraId="426FAF3A" w14:textId="77777777" w:rsidTr="00D11F46">
        <w:trPr>
          <w:trHeight w:val="510"/>
        </w:trPr>
        <w:tc>
          <w:tcPr>
            <w:tcW w:w="9628" w:type="dxa"/>
            <w:gridSpan w:val="2"/>
            <w:shd w:val="clear" w:color="auto" w:fill="FDE2D1" w:themeFill="accent1" w:themeFillTint="33"/>
          </w:tcPr>
          <w:p w14:paraId="394D13AC" w14:textId="77777777" w:rsidR="00CB4157" w:rsidRPr="009538BD" w:rsidRDefault="00CB4157" w:rsidP="00D11F46">
            <w:pPr>
              <w:pStyle w:val="Otsikko4"/>
              <w:rPr>
                <w:lang w:val="sv-SE"/>
              </w:rPr>
            </w:pPr>
            <w:bookmarkStart w:id="46" w:name="_Toc102727276"/>
            <w:bookmarkStart w:id="47" w:name="_Hlk93067848"/>
            <w:r>
              <w:rPr>
                <w:lang w:val="sv"/>
              </w:rPr>
              <w:t>2 B 1 Koordination, samarbetsmodeller, nätverk, metoder för informationsutbyte, utbildning för att främja samarbetet</w:t>
            </w:r>
            <w:bookmarkEnd w:id="46"/>
          </w:p>
          <w:p w14:paraId="5CF87364" w14:textId="77777777" w:rsidR="00CB4157" w:rsidRPr="009538BD" w:rsidRDefault="00CB4157" w:rsidP="00CB4157">
            <w:pPr>
              <w:rPr>
                <w:lang w:val="sv-SE"/>
              </w:rPr>
            </w:pPr>
          </w:p>
        </w:tc>
      </w:tr>
      <w:tr w:rsidR="00CB4157" w:rsidRPr="000F5AB4" w14:paraId="068E6501" w14:textId="77777777" w:rsidTr="00911344">
        <w:trPr>
          <w:trHeight w:val="841"/>
        </w:trPr>
        <w:tc>
          <w:tcPr>
            <w:tcW w:w="9628" w:type="dxa"/>
            <w:gridSpan w:val="2"/>
          </w:tcPr>
          <w:p w14:paraId="51A20D20" w14:textId="77777777" w:rsidR="00CB4157" w:rsidRPr="00911344" w:rsidRDefault="00CB4157" w:rsidP="00911344">
            <w:pPr>
              <w:pStyle w:val="Leipteksti"/>
              <w:rPr>
                <w:lang w:val="sv-SE"/>
              </w:rPr>
            </w:pPr>
            <w:r w:rsidRPr="00911344">
              <w:rPr>
                <w:lang w:val="sv"/>
              </w:rPr>
              <w:t xml:space="preserve"> </w:t>
            </w:r>
          </w:p>
          <w:p w14:paraId="50DE6249" w14:textId="77777777" w:rsidR="00CB4157" w:rsidRDefault="00CB4157" w:rsidP="00911344">
            <w:pPr>
              <w:pStyle w:val="Leipteksti"/>
              <w:rPr>
                <w:lang w:val="sv"/>
              </w:rPr>
            </w:pPr>
            <w:r w:rsidRPr="00911344">
              <w:rPr>
                <w:lang w:val="sv"/>
              </w:rPr>
              <w:t xml:space="preserve">Gränsöverskridande brottslighet såsom it-brottslighet och bekämpning av brott som begås med hjälp av datanät förutsätter både nära internationellt samarbete och effektivare nationellt samarbete. Informationen är ofta decentraliserad, problemen spänner över många myndigheter eller stater och det finns inte alltid tillgång till den särskilda kompetens som behövs eller till tillräckliga resurser. Koordinationen och samarbetsmodellerna mellan brottsbekämpande myndigheter, andra behöriga myndigheter och andra aktörer ska utvecklas både inom och mellan medlemsstater. </w:t>
            </w:r>
          </w:p>
          <w:p w14:paraId="45FAABBB" w14:textId="67E3447B" w:rsidR="00CB4157" w:rsidRDefault="00CB4157" w:rsidP="00911344">
            <w:pPr>
              <w:pStyle w:val="Leipteksti"/>
              <w:rPr>
                <w:lang w:val="sv"/>
              </w:rPr>
            </w:pPr>
            <w:r w:rsidRPr="00911344">
              <w:rPr>
                <w:lang w:val="sv"/>
              </w:rPr>
              <w:t xml:space="preserve">För att svara på den snabba tekniska utvecklingen och digitaliseringen måste det tvärsektoriella operativa samarbetet effektiviseras genom utveckling och användning av nya metoder för samarbete och informationsutbyte samt nya tekniska tillämpningar och verktyg.  Att förhindra brottslig verksamhet inom yrkesmässig och organiserad brottslighet och dess etablering i lagliga och samhälleliga strukturer är en av de centrala åtgärderna inom EU:s </w:t>
            </w:r>
            <w:r w:rsidR="003516ED">
              <w:rPr>
                <w:lang w:val="sv"/>
              </w:rPr>
              <w:t xml:space="preserve">strategi för </w:t>
            </w:r>
            <w:r w:rsidRPr="00911344">
              <w:rPr>
                <w:lang w:val="sv"/>
              </w:rPr>
              <w:t>säkerhetsunion</w:t>
            </w:r>
            <w:r w:rsidR="003516ED">
              <w:rPr>
                <w:lang w:val="sv"/>
              </w:rPr>
              <w:t>en för perioden</w:t>
            </w:r>
            <w:r w:rsidRPr="00911344">
              <w:rPr>
                <w:lang w:val="sv"/>
              </w:rPr>
              <w:t xml:space="preserve"> 2020–2025. </w:t>
            </w:r>
          </w:p>
          <w:p w14:paraId="224C36AC" w14:textId="77777777" w:rsidR="00CB4157" w:rsidRPr="00911344" w:rsidRDefault="00CB4157" w:rsidP="00911344">
            <w:pPr>
              <w:pStyle w:val="Leipteksti"/>
              <w:rPr>
                <w:lang w:val="sv-SE"/>
              </w:rPr>
            </w:pPr>
            <w:r w:rsidRPr="00911344">
              <w:rPr>
                <w:lang w:val="sv"/>
              </w:rPr>
              <w:t>Överföringen av information och data mellan brottsbekämpande myndigheter och andra behöriga myndigheter förbättras på både nationell och internationell nivå. I bekämpning av brott ska informationen vara tillgänglig vid rätt tidpunkt i myndigheternas gemensamma operationer.</w:t>
            </w:r>
          </w:p>
          <w:p w14:paraId="60DA2166" w14:textId="77777777" w:rsidR="00CB4157" w:rsidRPr="00911344" w:rsidRDefault="00CB4157" w:rsidP="00911344">
            <w:pPr>
              <w:pStyle w:val="Leipteksti"/>
              <w:rPr>
                <w:lang w:val="sv-SE"/>
              </w:rPr>
            </w:pPr>
          </w:p>
          <w:p w14:paraId="59F4193F" w14:textId="004C694E" w:rsidR="00CB4157" w:rsidRPr="00911344" w:rsidRDefault="00CB4157" w:rsidP="00911344">
            <w:pPr>
              <w:pStyle w:val="Leipteksti"/>
              <w:rPr>
                <w:lang w:val="sv-SE"/>
              </w:rPr>
            </w:pPr>
            <w:r w:rsidRPr="00911344">
              <w:rPr>
                <w:b/>
                <w:bCs/>
                <w:lang w:val="sv"/>
              </w:rPr>
              <w:t>Målet är att sänka gränssnitten mellan myndigheternas roller och sektorer och göra samarbetet mer smidigt både nationellt och internationellt.</w:t>
            </w:r>
          </w:p>
          <w:p w14:paraId="04795CF5" w14:textId="77777777" w:rsidR="00CB4157" w:rsidRPr="00911344" w:rsidRDefault="00CB4157" w:rsidP="00911344">
            <w:pPr>
              <w:pStyle w:val="Leipteksti"/>
              <w:rPr>
                <w:lang w:val="sv-SE"/>
              </w:rPr>
            </w:pPr>
            <w:r w:rsidRPr="00911344">
              <w:rPr>
                <w:lang w:val="sv"/>
              </w:rPr>
              <w:t xml:space="preserve">Understöd kan beviljas för projekt där man till exempel: </w:t>
            </w:r>
          </w:p>
          <w:p w14:paraId="3EEFD907" w14:textId="77777777" w:rsidR="00CB4157" w:rsidRPr="00911344" w:rsidRDefault="00CB4157" w:rsidP="00A17F47">
            <w:pPr>
              <w:pStyle w:val="Leipteksti"/>
              <w:numPr>
                <w:ilvl w:val="0"/>
                <w:numId w:val="12"/>
              </w:numPr>
              <w:rPr>
                <w:lang w:val="sv-SE"/>
              </w:rPr>
            </w:pPr>
            <w:r w:rsidRPr="00911344">
              <w:rPr>
                <w:lang w:val="sv"/>
              </w:rPr>
              <w:t>utvecklar modeller för koordination och samarbete mellan brottsbekämpande myndigheter, andra behöriga myndigheter och andra aktörer både i Finland och med andra länder,</w:t>
            </w:r>
          </w:p>
          <w:p w14:paraId="1265B9F6" w14:textId="77777777" w:rsidR="00CB4157" w:rsidRPr="00911344" w:rsidRDefault="00CB4157" w:rsidP="00A17F47">
            <w:pPr>
              <w:pStyle w:val="Leipteksti"/>
              <w:numPr>
                <w:ilvl w:val="0"/>
                <w:numId w:val="12"/>
              </w:numPr>
              <w:rPr>
                <w:lang w:val="sv-SE"/>
              </w:rPr>
            </w:pPr>
            <w:r w:rsidRPr="00911344">
              <w:rPr>
                <w:lang w:val="sv"/>
              </w:rPr>
              <w:lastRenderedPageBreak/>
              <w:t>bekämpar grov brottslighet med samarbete mellan myndigheter och intressentgrupper och med hjälp av straffrättsliga och administrativa metoder,</w:t>
            </w:r>
          </w:p>
          <w:p w14:paraId="639BD2BB" w14:textId="77777777" w:rsidR="00CB4157" w:rsidRPr="00911344" w:rsidRDefault="00CB4157" w:rsidP="00A17F47">
            <w:pPr>
              <w:pStyle w:val="Leipteksti"/>
              <w:numPr>
                <w:ilvl w:val="0"/>
                <w:numId w:val="12"/>
              </w:numPr>
              <w:rPr>
                <w:lang w:val="sv-SE"/>
              </w:rPr>
            </w:pPr>
            <w:r w:rsidRPr="00911344">
              <w:rPr>
                <w:lang w:val="sv"/>
              </w:rPr>
              <w:t>förbättrar överföringen av information och data mellan brottsbekämpande myndigheter och andra behöriga myndigheter och harmoniserar arbetsprocesser på både nationell och internationell nivå,</w:t>
            </w:r>
          </w:p>
          <w:p w14:paraId="6BF02AE5" w14:textId="77777777" w:rsidR="00CB4157" w:rsidRPr="00911344" w:rsidRDefault="00CB4157" w:rsidP="00A17F47">
            <w:pPr>
              <w:pStyle w:val="Leipteksti"/>
              <w:numPr>
                <w:ilvl w:val="0"/>
                <w:numId w:val="12"/>
              </w:numPr>
              <w:rPr>
                <w:lang w:val="sv-SE"/>
              </w:rPr>
            </w:pPr>
            <w:r w:rsidRPr="00911344">
              <w:rPr>
                <w:lang w:val="sv"/>
              </w:rPr>
              <w:t xml:space="preserve">bibehåller Finlands deltagande i internationella nätverk, </w:t>
            </w:r>
          </w:p>
          <w:p w14:paraId="77AA80A9" w14:textId="77777777" w:rsidR="00CB4157" w:rsidRPr="00911344" w:rsidRDefault="00CB4157" w:rsidP="00A17F47">
            <w:pPr>
              <w:pStyle w:val="Leipteksti"/>
              <w:numPr>
                <w:ilvl w:val="0"/>
                <w:numId w:val="12"/>
              </w:numPr>
              <w:rPr>
                <w:lang w:val="sv-SE"/>
              </w:rPr>
            </w:pPr>
            <w:r w:rsidRPr="00911344">
              <w:rPr>
                <w:lang w:val="sv"/>
              </w:rPr>
              <w:t>utvecklar nya metoder för informationsutbyte och tar i bruk nya applikationer och verktyg, såsom identifieringsteknik eller gemensamma sökanslutningar för tillgängliga databaser.</w:t>
            </w:r>
          </w:p>
          <w:p w14:paraId="7A2E4F74" w14:textId="20742F34" w:rsidR="00CB4157" w:rsidRPr="00BA0895" w:rsidRDefault="00CB4157" w:rsidP="00BA0895">
            <w:pPr>
              <w:pStyle w:val="Leipteksti"/>
              <w:numPr>
                <w:ilvl w:val="0"/>
                <w:numId w:val="12"/>
              </w:numPr>
              <w:rPr>
                <w:lang w:val="sv-SE"/>
              </w:rPr>
            </w:pPr>
            <w:r w:rsidRPr="00911344">
              <w:rPr>
                <w:lang w:val="sv"/>
              </w:rPr>
              <w:t>ökar den gemensamma utbildningen, till exempel för EMPACT-verksamhet, framväxande typer av brott såsom miljöbrottslighet,</w:t>
            </w:r>
            <w:r w:rsidR="00BA0895">
              <w:rPr>
                <w:lang w:val="sv"/>
              </w:rPr>
              <w:t xml:space="preserve"> </w:t>
            </w:r>
            <w:r w:rsidRPr="00BA0895">
              <w:rPr>
                <w:lang w:val="sv"/>
              </w:rPr>
              <w:t>för online</w:t>
            </w:r>
            <w:r w:rsidR="00775236">
              <w:rPr>
                <w:lang w:val="sv"/>
              </w:rPr>
              <w:t xml:space="preserve"> </w:t>
            </w:r>
            <w:r w:rsidRPr="00BA0895">
              <w:rPr>
                <w:lang w:val="sv"/>
              </w:rPr>
              <w:t>underrättelseverksamhet och annan analys- och utredningsverksamhet.</w:t>
            </w:r>
          </w:p>
          <w:p w14:paraId="0384AF01" w14:textId="77777777" w:rsidR="00CB4157" w:rsidRPr="00911344" w:rsidRDefault="00CB4157" w:rsidP="00911344">
            <w:pPr>
              <w:pStyle w:val="Leipteksti"/>
            </w:pPr>
            <w:r w:rsidRPr="00911344">
              <w:rPr>
                <w:lang w:val="sv"/>
              </w:rPr>
              <w:t>Resultatmål:</w:t>
            </w:r>
          </w:p>
          <w:p w14:paraId="143A6679" w14:textId="77777777" w:rsidR="00CB4157" w:rsidRPr="00911344" w:rsidRDefault="00CB4157" w:rsidP="00A17F47">
            <w:pPr>
              <w:pStyle w:val="Leipteksti"/>
              <w:numPr>
                <w:ilvl w:val="0"/>
                <w:numId w:val="13"/>
              </w:numPr>
              <w:rPr>
                <w:lang w:val="sv-SE"/>
              </w:rPr>
            </w:pPr>
            <w:r w:rsidRPr="00911344">
              <w:rPr>
                <w:lang w:val="sv"/>
              </w:rPr>
              <w:t xml:space="preserve">koordinations- och samarbetsmodellerna och samarbetsprocesserna har blivit smidigare, </w:t>
            </w:r>
          </w:p>
          <w:p w14:paraId="1F79F0C6" w14:textId="77777777" w:rsidR="00CB4157" w:rsidRPr="00911344" w:rsidRDefault="00CB4157" w:rsidP="00A17F47">
            <w:pPr>
              <w:pStyle w:val="Leipteksti"/>
              <w:numPr>
                <w:ilvl w:val="0"/>
                <w:numId w:val="13"/>
              </w:numPr>
              <w:rPr>
                <w:lang w:val="sv-SE"/>
              </w:rPr>
            </w:pPr>
            <w:r w:rsidRPr="00911344">
              <w:rPr>
                <w:lang w:val="sv"/>
              </w:rPr>
              <w:t xml:space="preserve">nya applikationer och metoder för informationsutbyte har tagits i bruk, </w:t>
            </w:r>
          </w:p>
          <w:p w14:paraId="241693FA" w14:textId="77777777" w:rsidR="00CB4157" w:rsidRPr="00911344" w:rsidRDefault="00CB4157" w:rsidP="00A17F47">
            <w:pPr>
              <w:pStyle w:val="Leipteksti"/>
              <w:numPr>
                <w:ilvl w:val="0"/>
                <w:numId w:val="13"/>
              </w:numPr>
              <w:rPr>
                <w:lang w:val="sv-SE"/>
              </w:rPr>
            </w:pPr>
            <w:r w:rsidRPr="00911344">
              <w:rPr>
                <w:lang w:val="sv"/>
              </w:rPr>
              <w:t>kvaliteten på och användbarheten av myndigheternas utrustning i gemensamma operationer har förbättrats,</w:t>
            </w:r>
          </w:p>
          <w:p w14:paraId="1137B291" w14:textId="77777777" w:rsidR="00CB4157" w:rsidRPr="00911344" w:rsidRDefault="00CB4157" w:rsidP="00A17F47">
            <w:pPr>
              <w:pStyle w:val="Leipteksti"/>
              <w:numPr>
                <w:ilvl w:val="0"/>
                <w:numId w:val="13"/>
              </w:numPr>
              <w:rPr>
                <w:lang w:val="sv-SE"/>
              </w:rPr>
            </w:pPr>
            <w:r w:rsidRPr="00911344">
              <w:rPr>
                <w:lang w:val="sv"/>
              </w:rPr>
              <w:t>utbildning som främjar samarbete har ordnats till exempel i undersökning av narkotika-, it- och miljöbrottslighet samt annan gränsöverskridande brottslighet,</w:t>
            </w:r>
          </w:p>
          <w:p w14:paraId="20CA28DD" w14:textId="77777777" w:rsidR="00CB4157" w:rsidRPr="00911344" w:rsidRDefault="00CB4157" w:rsidP="00A17F47">
            <w:pPr>
              <w:pStyle w:val="Leipteksti"/>
              <w:numPr>
                <w:ilvl w:val="0"/>
                <w:numId w:val="13"/>
              </w:numPr>
              <w:rPr>
                <w:lang w:val="sv-SE"/>
              </w:rPr>
            </w:pPr>
            <w:r w:rsidRPr="00911344">
              <w:rPr>
                <w:lang w:val="sv"/>
              </w:rPr>
              <w:t>internationella samarbetsnätverk har medfört mervärde till nationell utveckling.</w:t>
            </w:r>
          </w:p>
        </w:tc>
      </w:tr>
      <w:tr w:rsidR="00CB4157" w:rsidRPr="006C480A" w14:paraId="3B8552D3" w14:textId="77777777" w:rsidTr="005859D0">
        <w:trPr>
          <w:trHeight w:val="651"/>
        </w:trPr>
        <w:tc>
          <w:tcPr>
            <w:tcW w:w="4248" w:type="dxa"/>
          </w:tcPr>
          <w:p w14:paraId="1FC58C1D" w14:textId="77777777" w:rsidR="00CB4157" w:rsidRPr="00911344" w:rsidRDefault="00CB4157" w:rsidP="00911344">
            <w:pPr>
              <w:pStyle w:val="Leipteksti"/>
              <w:rPr>
                <w:b/>
              </w:rPr>
            </w:pPr>
            <w:r w:rsidRPr="00911344">
              <w:rPr>
                <w:b/>
                <w:bCs/>
                <w:lang w:val="sv"/>
              </w:rPr>
              <w:lastRenderedPageBreak/>
              <w:t>Understöd</w:t>
            </w:r>
          </w:p>
        </w:tc>
        <w:tc>
          <w:tcPr>
            <w:tcW w:w="5380" w:type="dxa"/>
          </w:tcPr>
          <w:p w14:paraId="789D0993" w14:textId="77777777" w:rsidR="00CB4157" w:rsidRPr="00911344" w:rsidRDefault="00CB4157" w:rsidP="00911344">
            <w:pPr>
              <w:pStyle w:val="Leipteksti"/>
            </w:pPr>
            <w:r w:rsidRPr="00911344">
              <w:rPr>
                <w:lang w:val="sv"/>
              </w:rPr>
              <w:t>75 %</w:t>
            </w:r>
          </w:p>
        </w:tc>
      </w:tr>
      <w:tr w:rsidR="00CB4157" w:rsidRPr="000F5AB4" w14:paraId="79ACA73C" w14:textId="77777777" w:rsidTr="00911344">
        <w:tc>
          <w:tcPr>
            <w:tcW w:w="4248" w:type="dxa"/>
          </w:tcPr>
          <w:p w14:paraId="04C73D66" w14:textId="77777777" w:rsidR="00CB4157" w:rsidRPr="00911344" w:rsidRDefault="00CB4157" w:rsidP="00D11F46">
            <w:pPr>
              <w:pStyle w:val="Leipteksti"/>
            </w:pPr>
            <w:r w:rsidRPr="00911344">
              <w:rPr>
                <w:b/>
                <w:bCs/>
                <w:lang w:val="sv"/>
              </w:rPr>
              <w:t>Möjliga stödmottagare</w:t>
            </w:r>
          </w:p>
        </w:tc>
        <w:tc>
          <w:tcPr>
            <w:tcW w:w="5380" w:type="dxa"/>
          </w:tcPr>
          <w:p w14:paraId="6A8B363D" w14:textId="77777777" w:rsidR="00CB4157" w:rsidRPr="00911344" w:rsidRDefault="00CB4157" w:rsidP="00911344">
            <w:pPr>
              <w:pStyle w:val="Leipteksti"/>
              <w:rPr>
                <w:lang w:val="sv-SE"/>
              </w:rPr>
            </w:pPr>
            <w:r w:rsidRPr="00911344">
              <w:rPr>
                <w:lang w:val="sv"/>
              </w:rPr>
              <w:t>Behöriga myndigheter och andra relevanta aktörer</w:t>
            </w:r>
          </w:p>
        </w:tc>
      </w:tr>
      <w:tr w:rsidR="00CB4157" w:rsidRPr="000F5AB4" w14:paraId="13234618" w14:textId="77777777" w:rsidTr="00911344">
        <w:tc>
          <w:tcPr>
            <w:tcW w:w="4248" w:type="dxa"/>
          </w:tcPr>
          <w:p w14:paraId="6F98AA45" w14:textId="77777777" w:rsidR="00CB4157" w:rsidRPr="00911344" w:rsidRDefault="00CB4157" w:rsidP="00911344">
            <w:pPr>
              <w:pStyle w:val="Leipteksti"/>
              <w:rPr>
                <w:b/>
                <w:lang w:val="sv-SE"/>
              </w:rPr>
            </w:pPr>
            <w:r w:rsidRPr="00911344">
              <w:rPr>
                <w:rFonts w:eastAsia="Calibri"/>
                <w:b/>
                <w:bCs/>
                <w:lang w:val="sv"/>
              </w:rPr>
              <w:t>Samordning med annan EU-finansiering</w:t>
            </w:r>
          </w:p>
        </w:tc>
        <w:tc>
          <w:tcPr>
            <w:tcW w:w="5380" w:type="dxa"/>
          </w:tcPr>
          <w:p w14:paraId="4EC91479" w14:textId="77777777" w:rsidR="00CB4157" w:rsidRPr="00911344" w:rsidRDefault="00CB4157" w:rsidP="00911344">
            <w:pPr>
              <w:pStyle w:val="Leipteksti"/>
              <w:rPr>
                <w:lang w:val="sv-SE"/>
              </w:rPr>
            </w:pPr>
            <w:r w:rsidRPr="00911344">
              <w:rPr>
                <w:lang w:val="sv"/>
              </w:rPr>
              <w:t>Åtgärder samordnas med BMVI-finansiering och Europols finansiering</w:t>
            </w:r>
          </w:p>
        </w:tc>
      </w:tr>
      <w:tr w:rsidR="00CB4157" w:rsidRPr="000F5AB4" w14:paraId="41B98A97" w14:textId="77777777" w:rsidTr="00911344">
        <w:tc>
          <w:tcPr>
            <w:tcW w:w="9628" w:type="dxa"/>
            <w:gridSpan w:val="2"/>
          </w:tcPr>
          <w:p w14:paraId="4B44BBEB" w14:textId="77777777" w:rsidR="00CB4157" w:rsidRPr="00911344" w:rsidRDefault="00CB4157" w:rsidP="00911344">
            <w:pPr>
              <w:pStyle w:val="Leipteksti"/>
              <w:rPr>
                <w:lang w:val="sv-SE"/>
              </w:rPr>
            </w:pPr>
            <w:r w:rsidRPr="00911344">
              <w:rPr>
                <w:b/>
                <w:bCs/>
                <w:lang w:val="sv"/>
              </w:rPr>
              <w:t>Indikatorer som ska tillämpas</w:t>
            </w:r>
            <w:r w:rsidRPr="00911344">
              <w:rPr>
                <w:lang w:val="sv"/>
              </w:rPr>
              <w:t xml:space="preserve"> </w:t>
            </w:r>
          </w:p>
          <w:p w14:paraId="26E9FEDD" w14:textId="7F79A44A" w:rsidR="00CB4157" w:rsidRPr="00911344" w:rsidRDefault="00CB4157" w:rsidP="00911344">
            <w:pPr>
              <w:pStyle w:val="Leipteksti"/>
              <w:rPr>
                <w:lang w:val="sv-SE"/>
              </w:rPr>
            </w:pPr>
            <w:r w:rsidRPr="00911344">
              <w:rPr>
                <w:lang w:val="sv"/>
              </w:rPr>
              <w:t>I åtgärderna ska även tillämpas andra indikatorer än de som finns i detta s</w:t>
            </w:r>
            <w:r w:rsidR="000473F1">
              <w:rPr>
                <w:lang w:val="sv"/>
              </w:rPr>
              <w:t>pecifik</w:t>
            </w:r>
            <w:r w:rsidRPr="00911344">
              <w:rPr>
                <w:lang w:val="sv"/>
              </w:rPr>
              <w:t>a mål, om verksamheten som genomförs kan mätas med dem.</w:t>
            </w:r>
          </w:p>
          <w:p w14:paraId="1B0D233E" w14:textId="7B000310" w:rsidR="00CB4157" w:rsidRPr="00911344" w:rsidRDefault="0095707B" w:rsidP="00911344">
            <w:pPr>
              <w:pStyle w:val="Leipteksti"/>
              <w:rPr>
                <w:lang w:val="sv-SE"/>
              </w:rPr>
            </w:pPr>
            <w:r>
              <w:rPr>
                <w:lang w:val="sv"/>
              </w:rPr>
              <w:lastRenderedPageBreak/>
              <w:t>Output</w:t>
            </w:r>
            <w:r w:rsidR="00CB4157" w:rsidRPr="00911344">
              <w:rPr>
                <w:lang w:val="sv"/>
              </w:rPr>
              <w:t>indikatorer:</w:t>
            </w:r>
          </w:p>
          <w:p w14:paraId="620DC914" w14:textId="77777777" w:rsidR="00CB4157" w:rsidRPr="00911344" w:rsidRDefault="00CB4157" w:rsidP="00911344">
            <w:pPr>
              <w:pStyle w:val="Leipteksti"/>
              <w:rPr>
                <w:lang w:val="sv-SE"/>
              </w:rPr>
            </w:pPr>
            <w:r w:rsidRPr="00911344">
              <w:rPr>
                <w:lang w:val="sv"/>
              </w:rPr>
              <w:t>O.2.2 Antal expertmöten/workshops/studiebesök/gemensamma övningar</w:t>
            </w:r>
          </w:p>
          <w:p w14:paraId="45E7F003" w14:textId="77777777" w:rsidR="00CB4157" w:rsidRPr="00911344" w:rsidRDefault="00CB4157" w:rsidP="00911344">
            <w:pPr>
              <w:pStyle w:val="Leipteksti"/>
              <w:rPr>
                <w:lang w:val="sv-SE"/>
              </w:rPr>
            </w:pPr>
            <w:r w:rsidRPr="00911344">
              <w:rPr>
                <w:lang w:val="sv"/>
              </w:rPr>
              <w:t>O.2.3   Mängden anskaffad utrustning</w:t>
            </w:r>
          </w:p>
          <w:p w14:paraId="18BDBAF2" w14:textId="77777777" w:rsidR="00CB4157" w:rsidRPr="00911344" w:rsidRDefault="00CB4157" w:rsidP="005859D0">
            <w:pPr>
              <w:pStyle w:val="Leipteksti"/>
              <w:rPr>
                <w:lang w:val="sv-SE"/>
              </w:rPr>
            </w:pPr>
            <w:r w:rsidRPr="00911344">
              <w:rPr>
                <w:rFonts w:eastAsia="Calibri"/>
                <w:lang w:val="sv"/>
              </w:rPr>
              <w:t>Resultatindikatorer: -</w:t>
            </w:r>
          </w:p>
        </w:tc>
      </w:tr>
      <w:tr w:rsidR="00CB4157" w:rsidRPr="006C480A" w14:paraId="34540DCC" w14:textId="77777777" w:rsidTr="00911344">
        <w:tc>
          <w:tcPr>
            <w:tcW w:w="4248" w:type="dxa"/>
          </w:tcPr>
          <w:p w14:paraId="060690EF" w14:textId="77777777" w:rsidR="00CB4157" w:rsidRPr="00911344" w:rsidRDefault="00CB4157" w:rsidP="00911344">
            <w:pPr>
              <w:pStyle w:val="Leipteksti"/>
              <w:rPr>
                <w:b/>
              </w:rPr>
            </w:pPr>
            <w:r w:rsidRPr="00911344">
              <w:rPr>
                <w:b/>
                <w:bCs/>
                <w:lang w:val="sv"/>
              </w:rPr>
              <w:lastRenderedPageBreak/>
              <w:t>Ansökningstid</w:t>
            </w:r>
          </w:p>
        </w:tc>
        <w:tc>
          <w:tcPr>
            <w:tcW w:w="5380" w:type="dxa"/>
          </w:tcPr>
          <w:p w14:paraId="44F2DEA4" w14:textId="4F1C2C3B" w:rsidR="00CB4157" w:rsidRPr="00911344" w:rsidRDefault="00AD1B79" w:rsidP="00911344">
            <w:pPr>
              <w:pStyle w:val="Leipteksti"/>
            </w:pPr>
            <w:r>
              <w:rPr>
                <w:lang w:val="sv"/>
              </w:rPr>
              <w:t>v</w:t>
            </w:r>
            <w:r w:rsidR="00315875">
              <w:rPr>
                <w:lang w:val="sv"/>
              </w:rPr>
              <w:t>åren 2024, hösten 2024, våren 2025, hösten 2025</w:t>
            </w:r>
          </w:p>
        </w:tc>
      </w:tr>
      <w:tr w:rsidR="00CB4157" w:rsidRPr="006C480A" w14:paraId="18D2B57C" w14:textId="77777777" w:rsidTr="00911344">
        <w:tc>
          <w:tcPr>
            <w:tcW w:w="4248" w:type="dxa"/>
          </w:tcPr>
          <w:p w14:paraId="17A22B3F" w14:textId="77777777" w:rsidR="00CB4157" w:rsidRPr="00911344" w:rsidRDefault="00CB4157" w:rsidP="00911344">
            <w:pPr>
              <w:pStyle w:val="Leipteksti"/>
              <w:rPr>
                <w:b/>
              </w:rPr>
            </w:pPr>
            <w:r w:rsidRPr="00911344">
              <w:rPr>
                <w:b/>
                <w:bCs/>
                <w:lang w:val="sv"/>
              </w:rPr>
              <w:t>Projektet inleds senast</w:t>
            </w:r>
          </w:p>
        </w:tc>
        <w:tc>
          <w:tcPr>
            <w:tcW w:w="5380" w:type="dxa"/>
          </w:tcPr>
          <w:p w14:paraId="4361C516" w14:textId="77777777" w:rsidR="00CB4157" w:rsidRPr="00911344" w:rsidRDefault="00CB4157" w:rsidP="00911344">
            <w:pPr>
              <w:pStyle w:val="Leipteksti"/>
              <w:rPr>
                <w:rFonts w:eastAsia="Calibri"/>
              </w:rPr>
            </w:pPr>
            <w:r w:rsidRPr="00911344">
              <w:rPr>
                <w:lang w:val="sv"/>
              </w:rPr>
              <w:t>Se utlysningen</w:t>
            </w:r>
          </w:p>
        </w:tc>
      </w:tr>
      <w:bookmarkEnd w:id="47"/>
    </w:tbl>
    <w:p w14:paraId="66891D60" w14:textId="77777777" w:rsidR="00CB4157" w:rsidRDefault="00CB4157" w:rsidP="00CB4157"/>
    <w:p w14:paraId="3538E915" w14:textId="77777777" w:rsidR="00CB4157" w:rsidRDefault="00CB4157" w:rsidP="00CB4157"/>
    <w:p w14:paraId="6352921C" w14:textId="77777777" w:rsidR="00CB4157" w:rsidRPr="009538BD" w:rsidRDefault="00CB4157" w:rsidP="00D11F46">
      <w:pPr>
        <w:pStyle w:val="Otsikko3"/>
        <w:rPr>
          <w:lang w:val="sv-SE"/>
        </w:rPr>
      </w:pPr>
      <w:bookmarkStart w:id="48" w:name="_Toc102727277"/>
      <w:bookmarkStart w:id="49" w:name="_Toc184224312"/>
      <w:r>
        <w:rPr>
          <w:lang w:val="sv"/>
        </w:rPr>
        <w:t>2 C Förbättra samarbete mellan myndigheter på unionsnivå mellan medlemsstaterna och mellan medlemsstaterna och relevanta unionsinstitutioner och organ, och på nationell nivå mellan medlemsstaternas myndigheter</w:t>
      </w:r>
      <w:bookmarkEnd w:id="48"/>
      <w:bookmarkEnd w:id="49"/>
    </w:p>
    <w:p w14:paraId="71BC20F3" w14:textId="77777777" w:rsidR="00CB4157" w:rsidRPr="009538BD" w:rsidRDefault="00CB4157" w:rsidP="00CB4157">
      <w:pPr>
        <w:rPr>
          <w:lang w:val="sv-SE"/>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CB4157" w:rsidRPr="000F5AB4" w14:paraId="2A0ABF44" w14:textId="77777777" w:rsidTr="00D11F46">
        <w:tc>
          <w:tcPr>
            <w:tcW w:w="9628" w:type="dxa"/>
            <w:gridSpan w:val="2"/>
            <w:shd w:val="clear" w:color="auto" w:fill="FDE2D1" w:themeFill="accent1" w:themeFillTint="33"/>
          </w:tcPr>
          <w:p w14:paraId="5948EFE1" w14:textId="77777777" w:rsidR="00CB4157" w:rsidRPr="009538BD" w:rsidRDefault="00CB4157" w:rsidP="00D11F46">
            <w:pPr>
              <w:pStyle w:val="Otsikko4"/>
              <w:rPr>
                <w:lang w:val="sv-SE"/>
              </w:rPr>
            </w:pPr>
            <w:bookmarkStart w:id="50" w:name="_Toc102727278"/>
            <w:r>
              <w:rPr>
                <w:lang w:val="sv"/>
              </w:rPr>
              <w:t>2 C 1 Sändning av kontaktpersoner till internationella samarbetsorgan</w:t>
            </w:r>
            <w:bookmarkEnd w:id="50"/>
          </w:p>
          <w:p w14:paraId="5E277044" w14:textId="77777777" w:rsidR="00CB4157" w:rsidRPr="009538BD" w:rsidRDefault="00CB4157" w:rsidP="005859D0">
            <w:pPr>
              <w:rPr>
                <w:lang w:val="sv-SE"/>
              </w:rPr>
            </w:pPr>
          </w:p>
        </w:tc>
      </w:tr>
      <w:tr w:rsidR="00CB4157" w:rsidRPr="000F5AB4" w14:paraId="1E783517" w14:textId="77777777" w:rsidTr="005859D0">
        <w:trPr>
          <w:trHeight w:val="907"/>
        </w:trPr>
        <w:tc>
          <w:tcPr>
            <w:tcW w:w="9628" w:type="dxa"/>
            <w:gridSpan w:val="2"/>
          </w:tcPr>
          <w:p w14:paraId="79585004" w14:textId="77777777" w:rsidR="00CB4157" w:rsidRPr="009538BD" w:rsidRDefault="00CB4157" w:rsidP="005859D0">
            <w:pPr>
              <w:rPr>
                <w:b/>
                <w:lang w:val="sv-SE"/>
              </w:rPr>
            </w:pPr>
          </w:p>
          <w:p w14:paraId="5BBE002D" w14:textId="477CC4A6" w:rsidR="002352C6" w:rsidRPr="00A31D59" w:rsidRDefault="00BC47A8" w:rsidP="00A31D59">
            <w:pPr>
              <w:spacing w:line="360" w:lineRule="auto"/>
              <w:rPr>
                <w:lang w:val="sv-SE"/>
              </w:rPr>
            </w:pPr>
            <w:r w:rsidRPr="00A31D59">
              <w:rPr>
                <w:lang w:val="sv-SE"/>
              </w:rPr>
              <w:t xml:space="preserve">Bekämpningen och </w:t>
            </w:r>
            <w:r>
              <w:rPr>
                <w:lang w:val="sv-SE"/>
              </w:rPr>
              <w:t xml:space="preserve">undersökningen </w:t>
            </w:r>
            <w:r w:rsidRPr="00A31D59">
              <w:rPr>
                <w:lang w:val="sv-SE"/>
              </w:rPr>
              <w:t xml:space="preserve">av gränsöverskridande brottslighet, </w:t>
            </w:r>
            <w:proofErr w:type="gramStart"/>
            <w:r w:rsidRPr="00A31D59">
              <w:rPr>
                <w:lang w:val="sv-SE"/>
              </w:rPr>
              <w:t>bl.a.</w:t>
            </w:r>
            <w:proofErr w:type="gramEnd"/>
            <w:r w:rsidRPr="00A31D59">
              <w:rPr>
                <w:lang w:val="sv-SE"/>
              </w:rPr>
              <w:t xml:space="preserve"> miljö-, IT- och narkotikabrottslighet och annan internationell brottslighet förutsätter ett intensivt internationellt och ofta multilateralt samarbete. </w:t>
            </w:r>
          </w:p>
          <w:p w14:paraId="46322604" w14:textId="77777777" w:rsidR="00F152EA" w:rsidRPr="00A31D59" w:rsidRDefault="00F152EA" w:rsidP="00A31D59">
            <w:pPr>
              <w:spacing w:line="360" w:lineRule="auto"/>
              <w:rPr>
                <w:lang w:val="sv-SE"/>
              </w:rPr>
            </w:pPr>
          </w:p>
          <w:p w14:paraId="4C02B21F" w14:textId="02CC79D1" w:rsidR="002352C6" w:rsidRPr="00A31D59" w:rsidRDefault="00382BAF" w:rsidP="00A31D59">
            <w:pPr>
              <w:spacing w:line="360" w:lineRule="auto"/>
              <w:rPr>
                <w:lang w:val="sv-SE"/>
              </w:rPr>
            </w:pPr>
            <w:r w:rsidRPr="00A31D59">
              <w:rPr>
                <w:lang w:val="sv-SE"/>
              </w:rPr>
              <w:t xml:space="preserve">Polisens sambandsmän kan särskilt sändas till Europol, </w:t>
            </w:r>
            <w:proofErr w:type="gramStart"/>
            <w:r w:rsidRPr="00A31D59">
              <w:rPr>
                <w:lang w:val="sv-SE"/>
              </w:rPr>
              <w:t>bl.a.</w:t>
            </w:r>
            <w:proofErr w:type="gramEnd"/>
            <w:r w:rsidRPr="00A31D59">
              <w:rPr>
                <w:lang w:val="sv-SE"/>
              </w:rPr>
              <w:t xml:space="preserve"> J-CAT (Joint </w:t>
            </w:r>
            <w:proofErr w:type="spellStart"/>
            <w:r w:rsidRPr="00A31D59">
              <w:rPr>
                <w:lang w:val="sv-SE"/>
              </w:rPr>
              <w:t>Cybercrime</w:t>
            </w:r>
            <w:proofErr w:type="spellEnd"/>
            <w:r w:rsidRPr="00A31D59">
              <w:rPr>
                <w:lang w:val="sv-SE"/>
              </w:rPr>
              <w:t xml:space="preserve"> Action </w:t>
            </w:r>
            <w:proofErr w:type="spellStart"/>
            <w:r w:rsidRPr="00A31D59">
              <w:rPr>
                <w:lang w:val="sv-SE"/>
              </w:rPr>
              <w:t>Taskforce</w:t>
            </w:r>
            <w:proofErr w:type="spellEnd"/>
            <w:r w:rsidRPr="00A31D59">
              <w:rPr>
                <w:lang w:val="sv-SE"/>
              </w:rPr>
              <w:t xml:space="preserve">). Utstationeringen av kontaktpersoner är för närvarande beroende av begränsad nationell finansiering. Som verksamhetsställen för polisens sambandsmän väljs platser som är centrala med tanke på bekämpningen av brott </w:t>
            </w:r>
            <w:proofErr w:type="gramStart"/>
            <w:r w:rsidRPr="00A31D59">
              <w:rPr>
                <w:lang w:val="sv-SE"/>
              </w:rPr>
              <w:t>bl.a.</w:t>
            </w:r>
            <w:proofErr w:type="gramEnd"/>
            <w:r w:rsidRPr="00A31D59">
              <w:rPr>
                <w:lang w:val="sv-SE"/>
              </w:rPr>
              <w:t xml:space="preserve"> när det gäller att förhindra brottslighet till Finland. Finlands polissambandsmän används också av Tullens och Gränsbevakningsväsendets sambandsmän och hjälper vid behov också myndigheterna i de övriga nordiska länderna. </w:t>
            </w:r>
          </w:p>
        </w:tc>
      </w:tr>
      <w:tr w:rsidR="00CB4157" w:rsidRPr="006C480A" w14:paraId="76C2798C" w14:textId="77777777" w:rsidTr="005859D0">
        <w:trPr>
          <w:trHeight w:val="652"/>
        </w:trPr>
        <w:tc>
          <w:tcPr>
            <w:tcW w:w="4248" w:type="dxa"/>
          </w:tcPr>
          <w:p w14:paraId="0499876E" w14:textId="77777777" w:rsidR="00CB4157" w:rsidRPr="006C480A" w:rsidRDefault="00CB4157" w:rsidP="005859D0">
            <w:pPr>
              <w:spacing w:after="160" w:line="259" w:lineRule="auto"/>
              <w:rPr>
                <w:b/>
              </w:rPr>
            </w:pPr>
            <w:r>
              <w:rPr>
                <w:b/>
                <w:bCs/>
                <w:lang w:val="sv"/>
              </w:rPr>
              <w:t>Understöd</w:t>
            </w:r>
          </w:p>
        </w:tc>
        <w:tc>
          <w:tcPr>
            <w:tcW w:w="5380" w:type="dxa"/>
          </w:tcPr>
          <w:p w14:paraId="10ED32CC" w14:textId="77777777" w:rsidR="00CB4157" w:rsidRPr="006C480A" w:rsidRDefault="00CB4157" w:rsidP="005859D0">
            <w:pPr>
              <w:spacing w:after="160" w:line="259" w:lineRule="auto"/>
            </w:pPr>
            <w:r>
              <w:rPr>
                <w:lang w:val="sv"/>
              </w:rPr>
              <w:t>75 %</w:t>
            </w:r>
          </w:p>
        </w:tc>
      </w:tr>
      <w:tr w:rsidR="00CB4157" w:rsidRPr="006C480A" w14:paraId="7D8D101F" w14:textId="77777777" w:rsidTr="005859D0">
        <w:tc>
          <w:tcPr>
            <w:tcW w:w="4248" w:type="dxa"/>
          </w:tcPr>
          <w:p w14:paraId="1DBDEDF7" w14:textId="77777777" w:rsidR="00CB4157" w:rsidRPr="006C480A" w:rsidRDefault="00CB4157" w:rsidP="005859D0">
            <w:pPr>
              <w:spacing w:after="160" w:line="259" w:lineRule="auto"/>
              <w:rPr>
                <w:b/>
              </w:rPr>
            </w:pPr>
            <w:r>
              <w:rPr>
                <w:b/>
                <w:bCs/>
                <w:lang w:val="sv"/>
              </w:rPr>
              <w:t>Möjliga stödmottagare</w:t>
            </w:r>
          </w:p>
          <w:p w14:paraId="1A5EEB2F" w14:textId="77777777" w:rsidR="00CB4157" w:rsidRPr="006C480A" w:rsidRDefault="00CB4157" w:rsidP="005859D0">
            <w:pPr>
              <w:spacing w:after="160" w:line="259" w:lineRule="auto"/>
            </w:pPr>
          </w:p>
        </w:tc>
        <w:tc>
          <w:tcPr>
            <w:tcW w:w="5380" w:type="dxa"/>
          </w:tcPr>
          <w:p w14:paraId="4671245E" w14:textId="77777777" w:rsidR="00CB4157" w:rsidRPr="006C480A" w:rsidRDefault="00CB4157" w:rsidP="005859D0">
            <w:pPr>
              <w:spacing w:after="160" w:line="259" w:lineRule="auto"/>
            </w:pPr>
            <w:r>
              <w:rPr>
                <w:lang w:val="sv"/>
              </w:rPr>
              <w:t>Behöriga myndigheter</w:t>
            </w:r>
          </w:p>
        </w:tc>
      </w:tr>
      <w:tr w:rsidR="00CB4157" w:rsidRPr="000F5AB4" w14:paraId="30DDB864" w14:textId="77777777" w:rsidTr="005859D0">
        <w:tc>
          <w:tcPr>
            <w:tcW w:w="4248" w:type="dxa"/>
          </w:tcPr>
          <w:p w14:paraId="27B07DA2" w14:textId="77777777" w:rsidR="00CB4157" w:rsidRPr="009538BD" w:rsidRDefault="00CB4157" w:rsidP="005859D0">
            <w:pPr>
              <w:spacing w:after="160" w:line="259" w:lineRule="auto"/>
              <w:rPr>
                <w:b/>
                <w:lang w:val="sv-SE"/>
              </w:rPr>
            </w:pPr>
            <w:r>
              <w:rPr>
                <w:rFonts w:eastAsia="Calibri" w:cs="Times New Roman"/>
                <w:b/>
                <w:bCs/>
                <w:lang w:val="sv"/>
              </w:rPr>
              <w:t>Samordning med annan EU-finansiering</w:t>
            </w:r>
          </w:p>
        </w:tc>
        <w:tc>
          <w:tcPr>
            <w:tcW w:w="5380" w:type="dxa"/>
          </w:tcPr>
          <w:p w14:paraId="38D079CE" w14:textId="77777777" w:rsidR="00CB4157" w:rsidRPr="009538BD" w:rsidRDefault="00CB4157" w:rsidP="005859D0">
            <w:pPr>
              <w:spacing w:after="160" w:line="259" w:lineRule="auto"/>
              <w:rPr>
                <w:lang w:val="sv-SE"/>
              </w:rPr>
            </w:pPr>
            <w:r>
              <w:rPr>
                <w:lang w:val="sv"/>
              </w:rPr>
              <w:t>Åtgärder samordnas åtminstone med BMVI-fonden och Europols finansiering</w:t>
            </w:r>
          </w:p>
        </w:tc>
      </w:tr>
      <w:tr w:rsidR="00CB4157" w:rsidRPr="006C480A" w14:paraId="2AA92AAF" w14:textId="77777777" w:rsidTr="005859D0">
        <w:tc>
          <w:tcPr>
            <w:tcW w:w="9628" w:type="dxa"/>
            <w:gridSpan w:val="2"/>
          </w:tcPr>
          <w:p w14:paraId="44F7A507" w14:textId="77777777" w:rsidR="00CB4157" w:rsidRPr="009538BD" w:rsidRDefault="00CB4157" w:rsidP="005859D0">
            <w:pPr>
              <w:spacing w:after="160" w:line="259" w:lineRule="auto"/>
              <w:rPr>
                <w:lang w:val="sv-SE"/>
              </w:rPr>
            </w:pPr>
            <w:r>
              <w:rPr>
                <w:b/>
                <w:bCs/>
                <w:lang w:val="sv"/>
              </w:rPr>
              <w:lastRenderedPageBreak/>
              <w:t>Indikatorer som ska tillämpas</w:t>
            </w:r>
            <w:r>
              <w:rPr>
                <w:lang w:val="sv"/>
              </w:rPr>
              <w:t xml:space="preserve"> </w:t>
            </w:r>
          </w:p>
          <w:p w14:paraId="6B82C911" w14:textId="77777777" w:rsidR="00D11F46" w:rsidRDefault="00D11F46" w:rsidP="005859D0">
            <w:pPr>
              <w:rPr>
                <w:lang w:val="sv"/>
              </w:rPr>
            </w:pPr>
          </w:p>
          <w:p w14:paraId="136894FA" w14:textId="38B2CAF6" w:rsidR="00CB4157" w:rsidRPr="009538BD" w:rsidRDefault="0095707B" w:rsidP="005859D0">
            <w:pPr>
              <w:rPr>
                <w:lang w:val="sv-SE"/>
              </w:rPr>
            </w:pPr>
            <w:r>
              <w:rPr>
                <w:lang w:val="sv"/>
              </w:rPr>
              <w:t>Output</w:t>
            </w:r>
            <w:r w:rsidR="00CB4157">
              <w:rPr>
                <w:lang w:val="sv"/>
              </w:rPr>
              <w:t>indikatorer:</w:t>
            </w:r>
          </w:p>
          <w:p w14:paraId="2E2801C7" w14:textId="77777777" w:rsidR="00CB4157" w:rsidRDefault="00CB4157" w:rsidP="005859D0">
            <w:pPr>
              <w:spacing w:after="160" w:line="259" w:lineRule="auto"/>
              <w:rPr>
                <w:rFonts w:eastAsia="Calibri" w:cs="Times New Roman"/>
              </w:rPr>
            </w:pPr>
            <w:r>
              <w:rPr>
                <w:rFonts w:eastAsia="Calibri" w:cs="Times New Roman"/>
                <w:lang w:val="sv"/>
              </w:rPr>
              <w:t>-</w:t>
            </w:r>
          </w:p>
          <w:p w14:paraId="4FD909A8" w14:textId="77777777" w:rsidR="00CB4157" w:rsidRPr="006C480A" w:rsidRDefault="00CB4157" w:rsidP="005859D0">
            <w:pPr>
              <w:spacing w:after="160" w:line="259" w:lineRule="auto"/>
            </w:pPr>
            <w:r>
              <w:rPr>
                <w:rFonts w:eastAsia="Calibri" w:cs="Times New Roman"/>
                <w:lang w:val="sv"/>
              </w:rPr>
              <w:t>Resultatindikatorer:</w:t>
            </w:r>
          </w:p>
          <w:p w14:paraId="54544E1E" w14:textId="77777777" w:rsidR="00CB4157" w:rsidRDefault="00CB4157" w:rsidP="005859D0">
            <w:pPr>
              <w:rPr>
                <w:lang w:val="sv"/>
              </w:rPr>
            </w:pPr>
            <w:r>
              <w:rPr>
                <w:lang w:val="sv"/>
              </w:rPr>
              <w:t>-</w:t>
            </w:r>
          </w:p>
          <w:p w14:paraId="4145B7CE" w14:textId="77777777" w:rsidR="005859D0" w:rsidRPr="006C480A" w:rsidRDefault="005859D0" w:rsidP="005859D0"/>
        </w:tc>
      </w:tr>
      <w:tr w:rsidR="00CB4157" w:rsidRPr="006C480A" w14:paraId="03ABCDA7" w14:textId="77777777" w:rsidTr="005859D0">
        <w:tc>
          <w:tcPr>
            <w:tcW w:w="4248" w:type="dxa"/>
          </w:tcPr>
          <w:p w14:paraId="36D7550A" w14:textId="77777777" w:rsidR="00CB4157" w:rsidRPr="006C480A" w:rsidRDefault="00CB4157" w:rsidP="005859D0">
            <w:pPr>
              <w:spacing w:after="160" w:line="259" w:lineRule="auto"/>
              <w:rPr>
                <w:b/>
              </w:rPr>
            </w:pPr>
            <w:r>
              <w:rPr>
                <w:b/>
                <w:bCs/>
                <w:lang w:val="sv"/>
              </w:rPr>
              <w:t>Ansökningstid</w:t>
            </w:r>
          </w:p>
        </w:tc>
        <w:tc>
          <w:tcPr>
            <w:tcW w:w="5380" w:type="dxa"/>
          </w:tcPr>
          <w:p w14:paraId="7DE635D3" w14:textId="2F3B4087" w:rsidR="00CB4157" w:rsidRPr="006C480A" w:rsidRDefault="00AD1B79" w:rsidP="005859D0">
            <w:pPr>
              <w:spacing w:after="160" w:line="259" w:lineRule="auto"/>
            </w:pPr>
            <w:r>
              <w:rPr>
                <w:lang w:val="sv"/>
              </w:rPr>
              <w:t>v</w:t>
            </w:r>
            <w:r w:rsidR="00D75714">
              <w:rPr>
                <w:lang w:val="sv"/>
              </w:rPr>
              <w:t>åren 2024, hösten 2024, våren 2025, hösten 2025</w:t>
            </w:r>
          </w:p>
        </w:tc>
      </w:tr>
      <w:tr w:rsidR="00CB4157" w:rsidRPr="006C480A" w14:paraId="537C91C1" w14:textId="77777777" w:rsidTr="005859D0">
        <w:tc>
          <w:tcPr>
            <w:tcW w:w="4248" w:type="dxa"/>
          </w:tcPr>
          <w:p w14:paraId="70FD25A7" w14:textId="77777777" w:rsidR="00CB4157" w:rsidRPr="00FD7B9D" w:rsidRDefault="00CB4157" w:rsidP="005859D0">
            <w:pPr>
              <w:rPr>
                <w:b/>
              </w:rPr>
            </w:pPr>
            <w:r>
              <w:rPr>
                <w:b/>
                <w:bCs/>
                <w:lang w:val="sv"/>
              </w:rPr>
              <w:t>Projektet inleds senast</w:t>
            </w:r>
          </w:p>
        </w:tc>
        <w:tc>
          <w:tcPr>
            <w:tcW w:w="5380" w:type="dxa"/>
          </w:tcPr>
          <w:p w14:paraId="78CDF25B" w14:textId="77777777" w:rsidR="00CB4157" w:rsidRDefault="00CB4157" w:rsidP="005859D0">
            <w:pPr>
              <w:rPr>
                <w:lang w:val="sv"/>
              </w:rPr>
            </w:pPr>
            <w:r>
              <w:rPr>
                <w:lang w:val="sv"/>
              </w:rPr>
              <w:t>Se utlysningen</w:t>
            </w:r>
          </w:p>
          <w:p w14:paraId="3A9A7B64" w14:textId="5E302A27" w:rsidR="00FA71BE" w:rsidRPr="0087596A" w:rsidRDefault="00FA71BE" w:rsidP="005859D0"/>
        </w:tc>
      </w:tr>
    </w:tbl>
    <w:p w14:paraId="6CF07E90" w14:textId="77777777" w:rsidR="00CB4157" w:rsidRDefault="00CB4157" w:rsidP="00CB4157"/>
    <w:p w14:paraId="61345844" w14:textId="04884BE6" w:rsidR="00CB4157" w:rsidRDefault="00694D00" w:rsidP="005859D0">
      <w:pPr>
        <w:pStyle w:val="Otsikko3"/>
      </w:pPr>
      <w:bookmarkStart w:id="51" w:name="_Toc102727279"/>
      <w:bookmarkStart w:id="52" w:name="_Toc184224313"/>
      <w:r>
        <w:rPr>
          <w:lang w:val="sv"/>
        </w:rPr>
        <w:t xml:space="preserve">SM2 </w:t>
      </w:r>
      <w:r w:rsidR="00CB4157">
        <w:rPr>
          <w:lang w:val="sv"/>
        </w:rPr>
        <w:t>Operativt stöd</w:t>
      </w:r>
      <w:bookmarkEnd w:id="51"/>
      <w:bookmarkEnd w:id="52"/>
    </w:p>
    <w:p w14:paraId="302B0F95" w14:textId="77777777" w:rsidR="00CB4157" w:rsidRDefault="00CB4157" w:rsidP="00CB4157"/>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CB4157" w:rsidRPr="000F5AB4" w14:paraId="790B23FC" w14:textId="77777777" w:rsidTr="00CB4157">
        <w:trPr>
          <w:trHeight w:val="1203"/>
        </w:trPr>
        <w:tc>
          <w:tcPr>
            <w:tcW w:w="9628" w:type="dxa"/>
            <w:gridSpan w:val="2"/>
          </w:tcPr>
          <w:p w14:paraId="7F0189A9" w14:textId="687BAC6B" w:rsidR="00CB4157" w:rsidRPr="005859D0" w:rsidRDefault="00BC47A8" w:rsidP="00BC47A8">
            <w:pPr>
              <w:pStyle w:val="Leipteksti"/>
              <w:rPr>
                <w:rFonts w:cstheme="minorHAnsi"/>
                <w:sz w:val="22"/>
                <w:szCs w:val="22"/>
                <w:lang w:val="sv-SE"/>
              </w:rPr>
            </w:pPr>
            <w:r w:rsidRPr="00A31D59">
              <w:rPr>
                <w:lang w:val="sv"/>
              </w:rPr>
              <w:t>I detta s</w:t>
            </w:r>
            <w:r w:rsidR="000473F1">
              <w:rPr>
                <w:lang w:val="sv"/>
              </w:rPr>
              <w:t>pecifik</w:t>
            </w:r>
            <w:r w:rsidRPr="00A31D59">
              <w:rPr>
                <w:lang w:val="sv"/>
              </w:rPr>
              <w:t xml:space="preserve">a mål används det operativa stödet för att delta i gemensamma operationer för att säkerställa en hög säkerhetsnivå i unionen. </w:t>
            </w:r>
            <w:r w:rsidR="00CB4157" w:rsidRPr="005859D0">
              <w:rPr>
                <w:rFonts w:cstheme="minorHAnsi"/>
                <w:sz w:val="22"/>
                <w:szCs w:val="22"/>
                <w:lang w:val="sv"/>
              </w:rPr>
              <w:t>Med operativt stöd täcker man personalkostnader för operationer, utredningsgrupper, utbildning och övningar samt underhåll av tekniska verktyg och utrustning som behövs för dessa.</w:t>
            </w:r>
          </w:p>
        </w:tc>
      </w:tr>
      <w:tr w:rsidR="00CB4157" w:rsidRPr="0087596A" w14:paraId="3450272C" w14:textId="77777777" w:rsidTr="005859D0">
        <w:trPr>
          <w:trHeight w:val="480"/>
        </w:trPr>
        <w:tc>
          <w:tcPr>
            <w:tcW w:w="4248" w:type="dxa"/>
          </w:tcPr>
          <w:p w14:paraId="3B7063AC" w14:textId="77777777" w:rsidR="00CB4157" w:rsidRPr="005859D0" w:rsidRDefault="00CB4157" w:rsidP="005859D0">
            <w:pPr>
              <w:pStyle w:val="Leipteksti"/>
              <w:rPr>
                <w:rFonts w:cstheme="minorHAnsi"/>
                <w:b/>
                <w:sz w:val="22"/>
                <w:szCs w:val="22"/>
              </w:rPr>
            </w:pPr>
            <w:r w:rsidRPr="005859D0">
              <w:rPr>
                <w:rFonts w:cstheme="minorHAnsi"/>
                <w:b/>
                <w:bCs/>
                <w:sz w:val="22"/>
                <w:szCs w:val="22"/>
                <w:lang w:val="sv"/>
              </w:rPr>
              <w:t>Understöd</w:t>
            </w:r>
          </w:p>
        </w:tc>
        <w:tc>
          <w:tcPr>
            <w:tcW w:w="5380" w:type="dxa"/>
          </w:tcPr>
          <w:p w14:paraId="61AC9154" w14:textId="77777777" w:rsidR="00CB4157" w:rsidRPr="005859D0" w:rsidRDefault="00CB4157" w:rsidP="005859D0">
            <w:pPr>
              <w:pStyle w:val="Leipteksti"/>
              <w:rPr>
                <w:rFonts w:cstheme="minorHAnsi"/>
                <w:sz w:val="22"/>
                <w:szCs w:val="22"/>
              </w:rPr>
            </w:pPr>
            <w:r w:rsidRPr="005859D0">
              <w:rPr>
                <w:rFonts w:cstheme="minorHAnsi"/>
                <w:sz w:val="22"/>
                <w:szCs w:val="22"/>
                <w:lang w:val="sv"/>
              </w:rPr>
              <w:t>100 %</w:t>
            </w:r>
          </w:p>
        </w:tc>
      </w:tr>
      <w:tr w:rsidR="00CB4157" w:rsidRPr="0087596A" w14:paraId="18BAF0F2" w14:textId="77777777" w:rsidTr="005859D0">
        <w:trPr>
          <w:trHeight w:val="520"/>
        </w:trPr>
        <w:tc>
          <w:tcPr>
            <w:tcW w:w="4248" w:type="dxa"/>
          </w:tcPr>
          <w:p w14:paraId="01FB8CCB" w14:textId="77777777" w:rsidR="00CB4157" w:rsidRPr="005859D0" w:rsidRDefault="00CB4157" w:rsidP="005859D0">
            <w:pPr>
              <w:pStyle w:val="Leipteksti"/>
              <w:rPr>
                <w:rFonts w:cstheme="minorHAnsi"/>
                <w:sz w:val="22"/>
                <w:szCs w:val="22"/>
              </w:rPr>
            </w:pPr>
            <w:r w:rsidRPr="005859D0">
              <w:rPr>
                <w:rFonts w:cstheme="minorHAnsi"/>
                <w:b/>
                <w:bCs/>
                <w:sz w:val="22"/>
                <w:szCs w:val="22"/>
                <w:lang w:val="sv"/>
              </w:rPr>
              <w:t>Möjliga stödmottagare</w:t>
            </w:r>
          </w:p>
        </w:tc>
        <w:tc>
          <w:tcPr>
            <w:tcW w:w="5380" w:type="dxa"/>
          </w:tcPr>
          <w:p w14:paraId="2A54F800" w14:textId="77777777" w:rsidR="00CB4157" w:rsidRPr="005859D0" w:rsidRDefault="00CB4157" w:rsidP="005859D0">
            <w:pPr>
              <w:pStyle w:val="Leipteksti"/>
              <w:rPr>
                <w:rFonts w:cstheme="minorHAnsi"/>
                <w:sz w:val="22"/>
                <w:szCs w:val="22"/>
              </w:rPr>
            </w:pPr>
            <w:r w:rsidRPr="005859D0">
              <w:rPr>
                <w:rFonts w:cstheme="minorHAnsi"/>
                <w:sz w:val="22"/>
                <w:szCs w:val="22"/>
                <w:lang w:val="sv"/>
              </w:rPr>
              <w:t>Polisen</w:t>
            </w:r>
          </w:p>
        </w:tc>
      </w:tr>
      <w:tr w:rsidR="00CB4157" w:rsidRPr="000F5AB4" w14:paraId="5DD626CC" w14:textId="77777777" w:rsidTr="00CB4157">
        <w:tc>
          <w:tcPr>
            <w:tcW w:w="4248" w:type="dxa"/>
          </w:tcPr>
          <w:p w14:paraId="56BA2F55" w14:textId="77777777" w:rsidR="00CB4157" w:rsidRPr="005859D0" w:rsidRDefault="00CB4157" w:rsidP="005859D0">
            <w:pPr>
              <w:pStyle w:val="Leipteksti"/>
              <w:rPr>
                <w:rFonts w:cstheme="minorHAnsi"/>
                <w:b/>
                <w:sz w:val="22"/>
                <w:szCs w:val="22"/>
                <w:lang w:val="sv-SE"/>
              </w:rPr>
            </w:pPr>
            <w:r w:rsidRPr="005859D0">
              <w:rPr>
                <w:rFonts w:eastAsia="Calibri" w:cstheme="minorHAnsi"/>
                <w:b/>
                <w:bCs/>
                <w:sz w:val="22"/>
                <w:szCs w:val="22"/>
                <w:lang w:val="sv"/>
              </w:rPr>
              <w:t>Samordning med annan EU-finansiering</w:t>
            </w:r>
          </w:p>
        </w:tc>
        <w:tc>
          <w:tcPr>
            <w:tcW w:w="5380" w:type="dxa"/>
          </w:tcPr>
          <w:p w14:paraId="3FB6AB4B" w14:textId="77777777" w:rsidR="00CB4157" w:rsidRPr="005859D0" w:rsidRDefault="00CB4157" w:rsidP="005859D0">
            <w:pPr>
              <w:pStyle w:val="Leipteksti"/>
              <w:rPr>
                <w:rFonts w:cstheme="minorHAnsi"/>
                <w:sz w:val="22"/>
                <w:szCs w:val="22"/>
                <w:lang w:val="sv-SE"/>
              </w:rPr>
            </w:pPr>
          </w:p>
        </w:tc>
      </w:tr>
      <w:tr w:rsidR="00CB4157" w:rsidRPr="0087596A" w14:paraId="2221485A" w14:textId="77777777" w:rsidTr="00CB4157">
        <w:trPr>
          <w:trHeight w:val="558"/>
        </w:trPr>
        <w:tc>
          <w:tcPr>
            <w:tcW w:w="9628" w:type="dxa"/>
            <w:gridSpan w:val="2"/>
          </w:tcPr>
          <w:p w14:paraId="7B9B560B" w14:textId="77777777" w:rsidR="00CB4157" w:rsidRPr="005859D0" w:rsidRDefault="00CB4157" w:rsidP="005859D0">
            <w:pPr>
              <w:pStyle w:val="Leipteksti"/>
              <w:rPr>
                <w:rFonts w:cstheme="minorHAnsi"/>
                <w:sz w:val="22"/>
                <w:szCs w:val="22"/>
                <w:lang w:val="sv-SE"/>
              </w:rPr>
            </w:pPr>
            <w:r w:rsidRPr="005859D0">
              <w:rPr>
                <w:rFonts w:cstheme="minorHAnsi"/>
                <w:b/>
                <w:bCs/>
                <w:sz w:val="22"/>
                <w:szCs w:val="22"/>
                <w:lang w:val="sv"/>
              </w:rPr>
              <w:t>Indikatorer som ska tillämpas</w:t>
            </w:r>
            <w:r w:rsidRPr="005859D0">
              <w:rPr>
                <w:rFonts w:cstheme="minorHAnsi"/>
                <w:sz w:val="22"/>
                <w:szCs w:val="22"/>
                <w:lang w:val="sv"/>
              </w:rPr>
              <w:t xml:space="preserve"> </w:t>
            </w:r>
          </w:p>
          <w:p w14:paraId="1140E075" w14:textId="641827BB" w:rsidR="00CB4157" w:rsidRPr="005859D0" w:rsidRDefault="00CB4157" w:rsidP="005859D0">
            <w:pPr>
              <w:pStyle w:val="Leipteksti"/>
              <w:rPr>
                <w:rFonts w:cstheme="minorHAnsi"/>
                <w:sz w:val="22"/>
                <w:szCs w:val="22"/>
                <w:lang w:val="sv-SE"/>
              </w:rPr>
            </w:pPr>
            <w:r w:rsidRPr="005859D0">
              <w:rPr>
                <w:rFonts w:cstheme="minorHAnsi"/>
                <w:sz w:val="22"/>
                <w:szCs w:val="22"/>
                <w:lang w:val="sv"/>
              </w:rPr>
              <w:t>I åtgärderna ska även tillämpas andra indikatorer än de som finns i detta s</w:t>
            </w:r>
            <w:r w:rsidR="000473F1">
              <w:rPr>
                <w:rFonts w:cstheme="minorHAnsi"/>
                <w:sz w:val="22"/>
                <w:szCs w:val="22"/>
                <w:lang w:val="sv"/>
              </w:rPr>
              <w:t>pecifik</w:t>
            </w:r>
            <w:r w:rsidRPr="005859D0">
              <w:rPr>
                <w:rFonts w:cstheme="minorHAnsi"/>
                <w:sz w:val="22"/>
                <w:szCs w:val="22"/>
                <w:lang w:val="sv"/>
              </w:rPr>
              <w:t>a mål, om verksamheten som genomförs kan mätas med dem.</w:t>
            </w:r>
          </w:p>
          <w:p w14:paraId="00EF90BF" w14:textId="1400760E" w:rsidR="00CB4157" w:rsidRPr="005859D0" w:rsidRDefault="0095707B" w:rsidP="005859D0">
            <w:pPr>
              <w:pStyle w:val="Leipteksti"/>
              <w:rPr>
                <w:rFonts w:cstheme="minorHAnsi"/>
                <w:sz w:val="22"/>
                <w:szCs w:val="22"/>
              </w:rPr>
            </w:pPr>
            <w:r>
              <w:rPr>
                <w:rFonts w:cstheme="minorHAnsi"/>
                <w:sz w:val="22"/>
                <w:szCs w:val="22"/>
                <w:lang w:val="sv"/>
              </w:rPr>
              <w:t>Output</w:t>
            </w:r>
            <w:r w:rsidR="00CB4157" w:rsidRPr="005859D0">
              <w:rPr>
                <w:rFonts w:cstheme="minorHAnsi"/>
                <w:sz w:val="22"/>
                <w:szCs w:val="22"/>
                <w:lang w:val="sv"/>
              </w:rPr>
              <w:t>indikatorer:</w:t>
            </w:r>
            <w:r w:rsidR="00D11F46">
              <w:rPr>
                <w:rFonts w:cstheme="minorHAnsi"/>
                <w:sz w:val="22"/>
                <w:szCs w:val="22"/>
                <w:lang w:val="sv"/>
              </w:rPr>
              <w:t xml:space="preserve"> </w:t>
            </w:r>
            <w:r w:rsidR="00CB4157" w:rsidRPr="005859D0">
              <w:rPr>
                <w:rFonts w:cstheme="minorHAnsi"/>
                <w:sz w:val="22"/>
                <w:szCs w:val="22"/>
                <w:lang w:val="sv"/>
              </w:rPr>
              <w:t>-</w:t>
            </w:r>
          </w:p>
          <w:p w14:paraId="01909142" w14:textId="77777777" w:rsidR="00CB4157" w:rsidRPr="005859D0" w:rsidRDefault="00CB4157" w:rsidP="00D11F46">
            <w:pPr>
              <w:pStyle w:val="Leipteksti"/>
              <w:rPr>
                <w:rFonts w:cstheme="minorHAnsi"/>
                <w:sz w:val="22"/>
                <w:szCs w:val="22"/>
              </w:rPr>
            </w:pPr>
            <w:r w:rsidRPr="005859D0">
              <w:rPr>
                <w:rFonts w:eastAsia="Calibri" w:cstheme="minorHAnsi"/>
                <w:sz w:val="22"/>
                <w:szCs w:val="22"/>
                <w:lang w:val="sv"/>
              </w:rPr>
              <w:t>Resultatindikatorer:</w:t>
            </w:r>
            <w:r w:rsidR="00D11F46">
              <w:rPr>
                <w:rFonts w:eastAsia="Calibri" w:cstheme="minorHAnsi"/>
                <w:sz w:val="22"/>
                <w:szCs w:val="22"/>
                <w:lang w:val="sv"/>
              </w:rPr>
              <w:t xml:space="preserve"> </w:t>
            </w:r>
            <w:r w:rsidRPr="005859D0">
              <w:rPr>
                <w:rFonts w:eastAsia="Calibri" w:cstheme="minorHAnsi"/>
                <w:sz w:val="22"/>
                <w:szCs w:val="22"/>
                <w:lang w:val="sv"/>
              </w:rPr>
              <w:t>-</w:t>
            </w:r>
          </w:p>
        </w:tc>
      </w:tr>
      <w:tr w:rsidR="00CB4157" w:rsidRPr="0087596A" w14:paraId="2130825E" w14:textId="77777777" w:rsidTr="00CB4157">
        <w:tc>
          <w:tcPr>
            <w:tcW w:w="4248" w:type="dxa"/>
          </w:tcPr>
          <w:p w14:paraId="71E16C95" w14:textId="77777777" w:rsidR="00CB4157" w:rsidRPr="005859D0" w:rsidRDefault="00CB4157" w:rsidP="005859D0">
            <w:pPr>
              <w:pStyle w:val="Leipteksti"/>
              <w:rPr>
                <w:rFonts w:cstheme="minorHAnsi"/>
                <w:b/>
                <w:sz w:val="22"/>
                <w:szCs w:val="22"/>
              </w:rPr>
            </w:pPr>
            <w:r w:rsidRPr="005859D0">
              <w:rPr>
                <w:rFonts w:cstheme="minorHAnsi"/>
                <w:b/>
                <w:bCs/>
                <w:sz w:val="22"/>
                <w:szCs w:val="22"/>
                <w:lang w:val="sv"/>
              </w:rPr>
              <w:t>Ansökningstid</w:t>
            </w:r>
          </w:p>
        </w:tc>
        <w:tc>
          <w:tcPr>
            <w:tcW w:w="5380" w:type="dxa"/>
          </w:tcPr>
          <w:p w14:paraId="700F9769" w14:textId="2F2CE5E7" w:rsidR="00CB4157" w:rsidRPr="005859D0" w:rsidRDefault="00AD1B79" w:rsidP="005859D0">
            <w:pPr>
              <w:pStyle w:val="Leipteksti"/>
              <w:rPr>
                <w:rFonts w:cstheme="minorHAnsi"/>
                <w:sz w:val="22"/>
                <w:szCs w:val="22"/>
              </w:rPr>
            </w:pPr>
            <w:r>
              <w:rPr>
                <w:rFonts w:cstheme="minorHAnsi"/>
                <w:sz w:val="22"/>
                <w:szCs w:val="22"/>
                <w:lang w:val="sv"/>
              </w:rPr>
              <w:t>v</w:t>
            </w:r>
            <w:r w:rsidR="00D75714">
              <w:rPr>
                <w:rFonts w:cstheme="minorHAnsi"/>
                <w:sz w:val="22"/>
                <w:szCs w:val="22"/>
                <w:lang w:val="sv"/>
              </w:rPr>
              <w:t>åren 2024, hösten 2024, våren 2025, hösten 2025</w:t>
            </w:r>
          </w:p>
        </w:tc>
      </w:tr>
      <w:tr w:rsidR="00CB4157" w:rsidRPr="0087596A" w14:paraId="2F876975" w14:textId="77777777" w:rsidTr="00CB4157">
        <w:tc>
          <w:tcPr>
            <w:tcW w:w="4248" w:type="dxa"/>
          </w:tcPr>
          <w:p w14:paraId="5D06274A" w14:textId="77777777" w:rsidR="00CB4157" w:rsidRPr="005859D0" w:rsidRDefault="00CB4157" w:rsidP="005859D0">
            <w:pPr>
              <w:pStyle w:val="Leipteksti"/>
              <w:rPr>
                <w:rFonts w:cstheme="minorHAnsi"/>
                <w:b/>
                <w:sz w:val="22"/>
                <w:szCs w:val="22"/>
              </w:rPr>
            </w:pPr>
            <w:r w:rsidRPr="005859D0">
              <w:rPr>
                <w:rFonts w:cstheme="minorHAnsi"/>
                <w:b/>
                <w:bCs/>
                <w:sz w:val="22"/>
                <w:szCs w:val="22"/>
                <w:lang w:val="sv"/>
              </w:rPr>
              <w:t>Projektet inleds senast</w:t>
            </w:r>
          </w:p>
        </w:tc>
        <w:tc>
          <w:tcPr>
            <w:tcW w:w="5380" w:type="dxa"/>
          </w:tcPr>
          <w:p w14:paraId="501E253D" w14:textId="77777777" w:rsidR="00CB4157" w:rsidRPr="005859D0" w:rsidRDefault="00CB4157" w:rsidP="005859D0">
            <w:pPr>
              <w:pStyle w:val="Leipteksti"/>
              <w:rPr>
                <w:rFonts w:eastAsia="Calibri" w:cstheme="minorHAnsi"/>
                <w:sz w:val="22"/>
                <w:szCs w:val="22"/>
              </w:rPr>
            </w:pPr>
            <w:r w:rsidRPr="005859D0">
              <w:rPr>
                <w:rFonts w:cstheme="minorHAnsi"/>
                <w:sz w:val="22"/>
                <w:szCs w:val="22"/>
                <w:lang w:val="sv"/>
              </w:rPr>
              <w:t>Se utlysningen</w:t>
            </w:r>
          </w:p>
        </w:tc>
      </w:tr>
    </w:tbl>
    <w:p w14:paraId="2AA32E79" w14:textId="77777777" w:rsidR="00F16A01" w:rsidRDefault="00F16A01" w:rsidP="00D11F46">
      <w:pPr>
        <w:pStyle w:val="Leipteksti"/>
        <w:rPr>
          <w:lang w:val="sv"/>
        </w:rPr>
      </w:pPr>
      <w:bookmarkStart w:id="53" w:name="_Toc102727280"/>
    </w:p>
    <w:p w14:paraId="6693D22E" w14:textId="77777777" w:rsidR="00222BB7" w:rsidRPr="009F1373" w:rsidRDefault="00222BB7" w:rsidP="00222BB7">
      <w:pPr>
        <w:pStyle w:val="Otsikko3"/>
        <w:rPr>
          <w:lang w:val="sv-SE"/>
        </w:rPr>
      </w:pPr>
      <w:bookmarkStart w:id="54" w:name="_Toc174021170"/>
      <w:bookmarkStart w:id="55" w:name="_Toc184224314"/>
      <w:r w:rsidRPr="0037041B">
        <w:rPr>
          <w:bCs/>
          <w:lang w:val="sv-FI"/>
        </w:rPr>
        <w:lastRenderedPageBreak/>
        <w:t>SM 2 Specialåtgärder</w:t>
      </w:r>
      <w:bookmarkEnd w:id="54"/>
      <w:bookmarkEnd w:id="55"/>
    </w:p>
    <w:p w14:paraId="0D662BD1" w14:textId="4F348709" w:rsidR="00222BB7" w:rsidRPr="009F1373" w:rsidRDefault="00222BB7" w:rsidP="00D11F46">
      <w:pPr>
        <w:pStyle w:val="Leipteksti"/>
        <w:rPr>
          <w:lang w:val="sv-SE"/>
        </w:rPr>
      </w:pPr>
      <w:bookmarkStart w:id="56" w:name="_Toc174021171"/>
      <w:r w:rsidRPr="0037041B">
        <w:rPr>
          <w:lang w:val="sv-FI"/>
        </w:rPr>
        <w:t>Specialåtgärder är projekthelheter som genomförs av en medlemsstat eller flera medlemsstater tillsammans,</w:t>
      </w:r>
      <w:bookmarkStart w:id="57" w:name="_Toc174021172"/>
      <w:bookmarkEnd w:id="56"/>
      <w:r>
        <w:rPr>
          <w:b/>
          <w:lang w:val="sv-SE"/>
        </w:rPr>
        <w:t xml:space="preserve"> </w:t>
      </w:r>
      <w:r w:rsidRPr="0037041B">
        <w:rPr>
          <w:lang w:val="sv-FI"/>
        </w:rPr>
        <w:t>och som ger särskilt mervärde för EU. Genom specialåtgärder finns möjlighet till tilläggsfinansiering</w:t>
      </w:r>
      <w:bookmarkStart w:id="58" w:name="_Toc174021173"/>
      <w:bookmarkEnd w:id="57"/>
      <w:r>
        <w:rPr>
          <w:b/>
          <w:lang w:val="sv-SE"/>
        </w:rPr>
        <w:t xml:space="preserve"> </w:t>
      </w:r>
      <w:r w:rsidRPr="0037041B">
        <w:rPr>
          <w:lang w:val="sv-FI"/>
        </w:rPr>
        <w:t xml:space="preserve">för fondens program. Finansiering som beviljats Finland öppnas för ansökan inom ramen för </w:t>
      </w:r>
      <w:bookmarkEnd w:id="58"/>
      <w:r w:rsidRPr="0037041B">
        <w:rPr>
          <w:lang w:val="sv-FI"/>
        </w:rPr>
        <w:t>fondens</w:t>
      </w:r>
      <w:r>
        <w:rPr>
          <w:b/>
          <w:lang w:val="sv-FI"/>
        </w:rPr>
        <w:t xml:space="preserve"> </w:t>
      </w:r>
      <w:r w:rsidRPr="0037041B">
        <w:rPr>
          <w:lang w:val="sv-FI"/>
        </w:rPr>
        <w:t>utlysningar.</w:t>
      </w:r>
    </w:p>
    <w:tbl>
      <w:tblPr>
        <w:tblStyle w:val="TaulukkoRuudukko1"/>
        <w:tblW w:w="0" w:type="auto"/>
        <w:tblLook w:val="04A0" w:firstRow="1" w:lastRow="0" w:firstColumn="1" w:lastColumn="0" w:noHBand="0" w:noVBand="1"/>
      </w:tblPr>
      <w:tblGrid>
        <w:gridCol w:w="4248"/>
        <w:gridCol w:w="5380"/>
      </w:tblGrid>
      <w:tr w:rsidR="00222BB7" w:rsidRPr="000F5AB4" w14:paraId="3473F491" w14:textId="77777777" w:rsidTr="00830116">
        <w:tc>
          <w:tcPr>
            <w:tcW w:w="9628" w:type="dxa"/>
            <w:gridSpan w:val="2"/>
            <w:shd w:val="clear" w:color="auto" w:fill="FFFFFF" w:themeFill="background1"/>
          </w:tcPr>
          <w:p w14:paraId="771324B4" w14:textId="77777777" w:rsidR="00222BB7" w:rsidRPr="00B309DA" w:rsidRDefault="00222BB7" w:rsidP="00D6265B">
            <w:pPr>
              <w:pStyle w:val="Otsikko4"/>
              <w:rPr>
                <w:lang w:val="sv-SE"/>
              </w:rPr>
            </w:pPr>
            <w:bookmarkStart w:id="59" w:name="_Toc174021174"/>
            <w:r w:rsidRPr="009F1373">
              <w:rPr>
                <w:lang w:val="sv-SE"/>
              </w:rPr>
              <w:t>Förebyggande åtgärder mot icke-kontanta betalningsbedrägerier och icke-kontanta betalningsbedrägerier relaterade till virtuella valutor – PROVAC</w:t>
            </w:r>
            <w:bookmarkEnd w:id="59"/>
            <w:r w:rsidRPr="009F1373">
              <w:rPr>
                <w:lang w:val="sv-SE"/>
              </w:rPr>
              <w:t xml:space="preserve"> (ISF/2024/SA/2.2.1/003)</w:t>
            </w:r>
          </w:p>
        </w:tc>
      </w:tr>
      <w:tr w:rsidR="00222BB7" w:rsidRPr="000F5AB4" w14:paraId="385DC096" w14:textId="77777777" w:rsidTr="00830116">
        <w:tc>
          <w:tcPr>
            <w:tcW w:w="9628" w:type="dxa"/>
            <w:gridSpan w:val="2"/>
            <w:shd w:val="clear" w:color="auto" w:fill="FFFFFF" w:themeFill="background1"/>
          </w:tcPr>
          <w:p w14:paraId="5F7A3D29" w14:textId="77777777" w:rsidR="00222BB7" w:rsidRPr="00DC50CB" w:rsidRDefault="00222BB7" w:rsidP="00830116">
            <w:pPr>
              <w:pStyle w:val="Leipteksti"/>
              <w:rPr>
                <w:lang w:val="sv-SE"/>
              </w:rPr>
            </w:pPr>
          </w:p>
          <w:p w14:paraId="6F89299B" w14:textId="77777777" w:rsidR="00222BB7" w:rsidRPr="00DC50CB" w:rsidRDefault="00222BB7" w:rsidP="00830116">
            <w:pPr>
              <w:pStyle w:val="Leipteksti"/>
              <w:rPr>
                <w:lang w:val="sv-SE"/>
              </w:rPr>
            </w:pPr>
            <w:r w:rsidRPr="0037041B">
              <w:rPr>
                <w:lang w:val="sv-FI"/>
              </w:rPr>
              <w:t xml:space="preserve">Målet för projektet Förebyggande åtgärder mot icke-kontanta betalningsbedrägerier och icke-kontanta betalningsbedrägerier i anslutning till virtuella valutor – PROVAC är att förbättra den nationella kapaciteten att förebygga och bekämpa icke-kontanta betalningsbedrägerier. Med hjälp av projektet strävar man efter att förbättra lägesbilden, utveckla mekanismer och bästa praxis för tidig identifiering av offer samt förbättra brottsbekämpande myndigheters kapacitet att identifiera användning av virtuella valutor i brottsmisstänkta personers mobila enheter. I projektet identifieras arbetsmetoder samt anskaffas och utvecklas nödvändiga digitala arbetsredskap. I projektet utbildas personalen i att identifiera </w:t>
            </w:r>
            <w:proofErr w:type="gramStart"/>
            <w:r w:rsidRPr="0037041B">
              <w:rPr>
                <w:lang w:val="sv-FI"/>
              </w:rPr>
              <w:t>data relaterade</w:t>
            </w:r>
            <w:proofErr w:type="gramEnd"/>
            <w:r w:rsidRPr="0037041B">
              <w:rPr>
                <w:lang w:val="sv-FI"/>
              </w:rPr>
              <w:t xml:space="preserve"> till virtuella valutor i mobiltelefontrafik och mobila enheter.</w:t>
            </w:r>
          </w:p>
          <w:p w14:paraId="7C0E05BB" w14:textId="77777777" w:rsidR="00222BB7" w:rsidRPr="00DC50CB" w:rsidRDefault="00222BB7" w:rsidP="00830116">
            <w:pPr>
              <w:pStyle w:val="Leipteksti"/>
              <w:rPr>
                <w:lang w:val="sv-SE"/>
              </w:rPr>
            </w:pPr>
            <w:r w:rsidRPr="0037041B">
              <w:rPr>
                <w:lang w:val="sv-FI"/>
              </w:rPr>
              <w:t>Den finansiering som riktas till specialåtgärden används till:</w:t>
            </w:r>
          </w:p>
          <w:p w14:paraId="40FEE2D3" w14:textId="77777777" w:rsidR="00222BB7" w:rsidRPr="00DC50CB" w:rsidRDefault="00222BB7" w:rsidP="00222BB7">
            <w:pPr>
              <w:pStyle w:val="Leipteksti"/>
              <w:numPr>
                <w:ilvl w:val="0"/>
                <w:numId w:val="46"/>
              </w:numPr>
              <w:rPr>
                <w:lang w:val="sv-SE"/>
              </w:rPr>
            </w:pPr>
            <w:r w:rsidRPr="0037041B">
              <w:rPr>
                <w:lang w:val="sv-FI"/>
              </w:rPr>
              <w:t xml:space="preserve">förbättring och utveckling av lägesbilden gällande icke-kontanta betalningsbedrägerier och icke-kontanta betalningsbedrägerier i anslutning till virtuella valutor </w:t>
            </w:r>
          </w:p>
          <w:p w14:paraId="0D50974A" w14:textId="77777777" w:rsidR="00222BB7" w:rsidRPr="00DC50CB" w:rsidRDefault="00222BB7" w:rsidP="00222BB7">
            <w:pPr>
              <w:pStyle w:val="Leipteksti"/>
              <w:numPr>
                <w:ilvl w:val="0"/>
                <w:numId w:val="46"/>
              </w:numPr>
              <w:rPr>
                <w:lang w:val="sv-SE"/>
              </w:rPr>
            </w:pPr>
            <w:r w:rsidRPr="0037041B">
              <w:rPr>
                <w:lang w:val="sv-FI"/>
              </w:rPr>
              <w:t xml:space="preserve">förbättring av färdigheterna för att identifiera användning av applikationer för virtuella valutor i mobiltelefoner bland annat genom att identifiera arbetsmetoder samt skaffa och utveckla nödvändiga digitala arbetsredskap och </w:t>
            </w:r>
          </w:p>
          <w:p w14:paraId="67C8B52B" w14:textId="77777777" w:rsidR="00222BB7" w:rsidRPr="00DC50CB" w:rsidRDefault="00222BB7" w:rsidP="00222BB7">
            <w:pPr>
              <w:pStyle w:val="Leipteksti"/>
              <w:numPr>
                <w:ilvl w:val="0"/>
                <w:numId w:val="46"/>
              </w:numPr>
              <w:rPr>
                <w:lang w:val="sv-SE"/>
              </w:rPr>
            </w:pPr>
            <w:r w:rsidRPr="0037041B">
              <w:rPr>
                <w:lang w:val="sv-FI"/>
              </w:rPr>
              <w:t>utbildning av personalen i att skapa en lägesbild och identifiera information om virtuella valutor i mobilanslutningar och mobila enheter.</w:t>
            </w:r>
          </w:p>
          <w:p w14:paraId="19DB10CF" w14:textId="3446FB4D" w:rsidR="00222BB7" w:rsidRPr="00DC50CB" w:rsidRDefault="00222BB7" w:rsidP="00830116">
            <w:pPr>
              <w:pStyle w:val="Leipteksti"/>
              <w:rPr>
                <w:lang w:val="sv-SE"/>
              </w:rPr>
            </w:pPr>
            <w:r w:rsidRPr="0037041B">
              <w:rPr>
                <w:lang w:val="sv-FI"/>
              </w:rPr>
              <w:t xml:space="preserve">Aktörer som drar nytta av lägesbilden identifieras i ett tidigt skede av projektet och involveras i relevanta funktioner. I utvecklingen av digitala arbetsredskap används </w:t>
            </w:r>
            <w:proofErr w:type="spellStart"/>
            <w:r w:rsidRPr="0037041B">
              <w:rPr>
                <w:lang w:val="sv-FI"/>
              </w:rPr>
              <w:t>EACTDA:s</w:t>
            </w:r>
            <w:proofErr w:type="spellEnd"/>
            <w:r w:rsidRPr="0037041B">
              <w:rPr>
                <w:lang w:val="sv-FI"/>
              </w:rPr>
              <w:t xml:space="preserve"> (</w:t>
            </w:r>
            <w:proofErr w:type="spellStart"/>
            <w:r w:rsidRPr="0037041B">
              <w:rPr>
                <w:lang w:val="sv-FI"/>
              </w:rPr>
              <w:t>European</w:t>
            </w:r>
            <w:proofErr w:type="spellEnd"/>
            <w:r w:rsidRPr="0037041B">
              <w:rPr>
                <w:lang w:val="sv-FI"/>
              </w:rPr>
              <w:t xml:space="preserve"> Anti </w:t>
            </w:r>
            <w:proofErr w:type="spellStart"/>
            <w:r w:rsidRPr="0037041B">
              <w:rPr>
                <w:lang w:val="sv-FI"/>
              </w:rPr>
              <w:t>Cybercrime</w:t>
            </w:r>
            <w:proofErr w:type="spellEnd"/>
            <w:r w:rsidRPr="0037041B">
              <w:rPr>
                <w:lang w:val="sv-FI"/>
              </w:rPr>
              <w:t xml:space="preserve"> </w:t>
            </w:r>
            <w:proofErr w:type="spellStart"/>
            <w:r w:rsidRPr="0037041B">
              <w:rPr>
                <w:lang w:val="sv-FI"/>
              </w:rPr>
              <w:t>Technology</w:t>
            </w:r>
            <w:proofErr w:type="spellEnd"/>
            <w:r w:rsidRPr="0037041B">
              <w:rPr>
                <w:lang w:val="sv-FI"/>
              </w:rPr>
              <w:t xml:space="preserve"> </w:t>
            </w:r>
            <w:proofErr w:type="spellStart"/>
            <w:r w:rsidRPr="0037041B">
              <w:rPr>
                <w:lang w:val="sv-FI"/>
              </w:rPr>
              <w:t>Development</w:t>
            </w:r>
            <w:proofErr w:type="spellEnd"/>
            <w:r w:rsidRPr="0037041B">
              <w:rPr>
                <w:lang w:val="sv-FI"/>
              </w:rPr>
              <w:t xml:space="preserve"> Association) tjänster och i utvecklingen av utbildningar används </w:t>
            </w:r>
            <w:proofErr w:type="spellStart"/>
            <w:r w:rsidRPr="0037041B">
              <w:rPr>
                <w:lang w:val="sv-FI"/>
              </w:rPr>
              <w:t>ECTEG:s</w:t>
            </w:r>
            <w:proofErr w:type="spellEnd"/>
            <w:r w:rsidRPr="0037041B">
              <w:rPr>
                <w:lang w:val="sv-FI"/>
              </w:rPr>
              <w:t xml:space="preserve"> (</w:t>
            </w:r>
            <w:proofErr w:type="spellStart"/>
            <w:r w:rsidRPr="0037041B">
              <w:rPr>
                <w:lang w:val="sv-FI"/>
              </w:rPr>
              <w:t>European</w:t>
            </w:r>
            <w:proofErr w:type="spellEnd"/>
            <w:r w:rsidRPr="0037041B">
              <w:rPr>
                <w:lang w:val="sv-FI"/>
              </w:rPr>
              <w:t xml:space="preserve"> </w:t>
            </w:r>
            <w:proofErr w:type="spellStart"/>
            <w:r w:rsidRPr="0037041B">
              <w:rPr>
                <w:lang w:val="sv-FI"/>
              </w:rPr>
              <w:t>Cybercrime</w:t>
            </w:r>
            <w:proofErr w:type="spellEnd"/>
            <w:r w:rsidRPr="0037041B">
              <w:rPr>
                <w:lang w:val="sv-FI"/>
              </w:rPr>
              <w:t xml:space="preserve"> </w:t>
            </w:r>
            <w:proofErr w:type="spellStart"/>
            <w:r w:rsidRPr="0037041B">
              <w:rPr>
                <w:lang w:val="sv-FI"/>
              </w:rPr>
              <w:t>Training</w:t>
            </w:r>
            <w:proofErr w:type="spellEnd"/>
            <w:r w:rsidRPr="0037041B">
              <w:rPr>
                <w:lang w:val="sv-FI"/>
              </w:rPr>
              <w:t xml:space="preserve"> and </w:t>
            </w:r>
            <w:proofErr w:type="spellStart"/>
            <w:r w:rsidRPr="0037041B">
              <w:rPr>
                <w:lang w:val="sv-FI"/>
              </w:rPr>
              <w:t>Education</w:t>
            </w:r>
            <w:proofErr w:type="spellEnd"/>
            <w:r w:rsidRPr="0037041B">
              <w:rPr>
                <w:lang w:val="sv-FI"/>
              </w:rPr>
              <w:t xml:space="preserve"> Group) tjänster.</w:t>
            </w:r>
            <w:r w:rsidR="009F2D66">
              <w:rPr>
                <w:lang w:val="sv-FI"/>
              </w:rPr>
              <w:t xml:space="preserve"> </w:t>
            </w:r>
            <w:r w:rsidR="009F2D66" w:rsidRPr="009F2D66">
              <w:rPr>
                <w:lang w:val="sv-FI"/>
              </w:rPr>
              <w:lastRenderedPageBreak/>
              <w:t>Projektverksamheten ska i tillämpliga delar formellt integreras i de befintliga EMPACT-strukturerna.</w:t>
            </w:r>
          </w:p>
          <w:p w14:paraId="0420950B" w14:textId="77777777" w:rsidR="00222BB7" w:rsidRPr="00DC50CB" w:rsidRDefault="00222BB7" w:rsidP="00830116">
            <w:pPr>
              <w:pStyle w:val="Leipteksti"/>
              <w:rPr>
                <w:b/>
                <w:lang w:val="sv-SE"/>
              </w:rPr>
            </w:pPr>
            <w:r w:rsidRPr="0037041B">
              <w:rPr>
                <w:b/>
                <w:bCs/>
                <w:lang w:val="sv-FI"/>
              </w:rPr>
              <w:t xml:space="preserve">Resultatmål:  </w:t>
            </w:r>
          </w:p>
          <w:p w14:paraId="7102712E" w14:textId="77777777" w:rsidR="00222BB7" w:rsidRPr="00DC50CB" w:rsidRDefault="00222BB7" w:rsidP="00830116">
            <w:pPr>
              <w:pStyle w:val="Leipteksti"/>
              <w:rPr>
                <w:lang w:val="sv-SE"/>
              </w:rPr>
            </w:pPr>
            <w:r w:rsidRPr="0037041B">
              <w:rPr>
                <w:lang w:val="sv-FI"/>
              </w:rPr>
              <w:t xml:space="preserve">Man har skapat en lägesbild av icke-kontanta betalningsbedrägerier och icke-kontanta betalningsbedrägerier i anslutning till virtuella valutor, de brottsbekämpande myndigheternas färdigheter för att identifiera användning av applikationer för virtuella valutor i brottsmisstänktas mobiltelefoner har förbättrats och de brottsbekämpande myndigheternas kompetens för identifiering av information som berör lägesbilden och virtuella valutor i mobiltelefonanslutningar och mobila enheter har ökats. </w:t>
            </w:r>
          </w:p>
          <w:p w14:paraId="05BCD5AB" w14:textId="77777777" w:rsidR="00222BB7" w:rsidRPr="00DC50CB" w:rsidRDefault="00222BB7" w:rsidP="00830116">
            <w:pPr>
              <w:pStyle w:val="Leipteksti"/>
              <w:rPr>
                <w:lang w:val="sv-SE"/>
              </w:rPr>
            </w:pPr>
          </w:p>
        </w:tc>
      </w:tr>
      <w:tr w:rsidR="00222BB7" w:rsidRPr="0037041B" w14:paraId="3AE66B1B" w14:textId="77777777" w:rsidTr="00830116">
        <w:tc>
          <w:tcPr>
            <w:tcW w:w="4248" w:type="dxa"/>
            <w:shd w:val="clear" w:color="auto" w:fill="FFFFFF" w:themeFill="background1"/>
          </w:tcPr>
          <w:p w14:paraId="7FB20E8F" w14:textId="77777777" w:rsidR="00222BB7" w:rsidRPr="0037041B" w:rsidRDefault="00222BB7" w:rsidP="00830116">
            <w:pPr>
              <w:pStyle w:val="Leipteksti"/>
              <w:rPr>
                <w:b/>
              </w:rPr>
            </w:pPr>
            <w:r w:rsidRPr="0037041B">
              <w:rPr>
                <w:b/>
                <w:bCs/>
                <w:lang w:val="sv-FI"/>
              </w:rPr>
              <w:lastRenderedPageBreak/>
              <w:t>Understöd</w:t>
            </w:r>
          </w:p>
        </w:tc>
        <w:tc>
          <w:tcPr>
            <w:tcW w:w="5380" w:type="dxa"/>
            <w:shd w:val="clear" w:color="auto" w:fill="FFFFFF" w:themeFill="background1"/>
          </w:tcPr>
          <w:p w14:paraId="6CE57C82" w14:textId="77777777" w:rsidR="00222BB7" w:rsidRPr="0037041B" w:rsidRDefault="00222BB7" w:rsidP="00830116">
            <w:pPr>
              <w:pStyle w:val="Leipteksti"/>
            </w:pPr>
            <w:r w:rsidRPr="0037041B">
              <w:rPr>
                <w:lang w:val="sv-FI"/>
              </w:rPr>
              <w:t>90 %</w:t>
            </w:r>
          </w:p>
        </w:tc>
      </w:tr>
      <w:tr w:rsidR="00222BB7" w:rsidRPr="0037041B" w14:paraId="6DBDCDFE" w14:textId="77777777" w:rsidTr="00830116">
        <w:tc>
          <w:tcPr>
            <w:tcW w:w="4248" w:type="dxa"/>
            <w:shd w:val="clear" w:color="auto" w:fill="FFFFFF" w:themeFill="background1"/>
          </w:tcPr>
          <w:p w14:paraId="34A7C998" w14:textId="77777777" w:rsidR="00222BB7" w:rsidRPr="0037041B" w:rsidRDefault="00222BB7" w:rsidP="00830116">
            <w:pPr>
              <w:pStyle w:val="Leipteksti"/>
              <w:rPr>
                <w:b/>
              </w:rPr>
            </w:pPr>
            <w:r w:rsidRPr="0037041B">
              <w:rPr>
                <w:b/>
                <w:bCs/>
                <w:lang w:val="sv-FI"/>
              </w:rPr>
              <w:t>Möjliga stödmottagare</w:t>
            </w:r>
          </w:p>
        </w:tc>
        <w:tc>
          <w:tcPr>
            <w:tcW w:w="5380" w:type="dxa"/>
            <w:shd w:val="clear" w:color="auto" w:fill="FFFFFF" w:themeFill="background1"/>
          </w:tcPr>
          <w:p w14:paraId="23ED9D71" w14:textId="77777777" w:rsidR="00222BB7" w:rsidRPr="0037041B" w:rsidRDefault="00222BB7" w:rsidP="00830116">
            <w:pPr>
              <w:pStyle w:val="Leipteksti"/>
            </w:pPr>
            <w:r w:rsidRPr="0037041B">
              <w:rPr>
                <w:lang w:val="sv-FI"/>
              </w:rPr>
              <w:t>Polisen</w:t>
            </w:r>
          </w:p>
        </w:tc>
      </w:tr>
      <w:tr w:rsidR="00222BB7" w:rsidRPr="000F5AB4" w14:paraId="4A4DEA40" w14:textId="77777777" w:rsidTr="00830116">
        <w:tc>
          <w:tcPr>
            <w:tcW w:w="4248" w:type="dxa"/>
            <w:shd w:val="clear" w:color="auto" w:fill="FFFFFF" w:themeFill="background1"/>
          </w:tcPr>
          <w:p w14:paraId="2594703A" w14:textId="77777777" w:rsidR="00222BB7" w:rsidRPr="00DC50CB" w:rsidRDefault="00222BB7" w:rsidP="00830116">
            <w:pPr>
              <w:pStyle w:val="Leipteksti"/>
              <w:rPr>
                <w:b/>
                <w:lang w:val="sv-SE"/>
              </w:rPr>
            </w:pPr>
            <w:r w:rsidRPr="0037041B">
              <w:rPr>
                <w:b/>
                <w:bCs/>
                <w:lang w:val="sv-FI"/>
              </w:rPr>
              <w:t>Samordning med annan EU-finansiering</w:t>
            </w:r>
          </w:p>
        </w:tc>
        <w:tc>
          <w:tcPr>
            <w:tcW w:w="5380" w:type="dxa"/>
            <w:shd w:val="clear" w:color="auto" w:fill="FFFFFF" w:themeFill="background1"/>
          </w:tcPr>
          <w:p w14:paraId="4AA22AB9" w14:textId="77777777" w:rsidR="00222BB7" w:rsidRPr="00DC50CB" w:rsidRDefault="00222BB7" w:rsidP="00830116">
            <w:pPr>
              <w:pStyle w:val="Leipteksti"/>
              <w:rPr>
                <w:lang w:val="sv-SE"/>
              </w:rPr>
            </w:pPr>
          </w:p>
        </w:tc>
      </w:tr>
      <w:tr w:rsidR="00222BB7" w:rsidRPr="000F5AB4" w14:paraId="636584A0" w14:textId="77777777" w:rsidTr="00830116">
        <w:tc>
          <w:tcPr>
            <w:tcW w:w="9628" w:type="dxa"/>
            <w:gridSpan w:val="2"/>
            <w:shd w:val="clear" w:color="auto" w:fill="FFFFFF" w:themeFill="background1"/>
          </w:tcPr>
          <w:p w14:paraId="2A207A6F" w14:textId="77777777" w:rsidR="00222BB7" w:rsidRPr="00DC50CB" w:rsidRDefault="00222BB7" w:rsidP="00830116">
            <w:pPr>
              <w:pStyle w:val="Leipteksti"/>
              <w:rPr>
                <w:b/>
                <w:lang w:val="sv-SE"/>
              </w:rPr>
            </w:pPr>
            <w:r w:rsidRPr="0037041B">
              <w:rPr>
                <w:b/>
                <w:bCs/>
                <w:lang w:val="sv-FI"/>
              </w:rPr>
              <w:t>Indikatorer som ska tillämpas</w:t>
            </w:r>
          </w:p>
          <w:p w14:paraId="3B05BE5B" w14:textId="77777777" w:rsidR="00222BB7" w:rsidRPr="00DC50CB" w:rsidRDefault="00222BB7" w:rsidP="00830116">
            <w:pPr>
              <w:pStyle w:val="Leipteksti"/>
              <w:rPr>
                <w:lang w:val="sv-SE"/>
              </w:rPr>
            </w:pPr>
            <w:r w:rsidRPr="0037041B">
              <w:rPr>
                <w:lang w:val="sv-FI"/>
              </w:rPr>
              <w:t>Utfallsindikatorer:</w:t>
            </w:r>
          </w:p>
          <w:p w14:paraId="66646E37" w14:textId="77777777" w:rsidR="00222BB7" w:rsidRPr="00DC50CB" w:rsidRDefault="00222BB7" w:rsidP="00830116">
            <w:pPr>
              <w:pStyle w:val="Leipteksti"/>
              <w:rPr>
                <w:lang w:val="sv-SE"/>
              </w:rPr>
            </w:pPr>
            <w:r w:rsidRPr="0037041B">
              <w:rPr>
                <w:lang w:val="sv-FI"/>
              </w:rPr>
              <w:t>O.2.2 Antal expertmöten/workshops/studiebesök/gemensamma övningar</w:t>
            </w:r>
          </w:p>
          <w:p w14:paraId="35E526EC" w14:textId="77777777" w:rsidR="00222BB7" w:rsidRPr="00DC50CB" w:rsidRDefault="00222BB7" w:rsidP="00830116">
            <w:pPr>
              <w:pStyle w:val="Leipteksti"/>
              <w:rPr>
                <w:lang w:val="sv-SE"/>
              </w:rPr>
            </w:pPr>
            <w:r w:rsidRPr="0037041B">
              <w:rPr>
                <w:lang w:val="sv-FI"/>
              </w:rPr>
              <w:t>Resultatindikatorer:</w:t>
            </w:r>
          </w:p>
          <w:p w14:paraId="3312F7A3" w14:textId="77777777" w:rsidR="00222BB7" w:rsidRPr="00DC50CB" w:rsidRDefault="00222BB7" w:rsidP="00830116">
            <w:pPr>
              <w:pStyle w:val="Leipteksti"/>
              <w:rPr>
                <w:b/>
                <w:lang w:val="sv-SE"/>
              </w:rPr>
            </w:pPr>
            <w:r w:rsidRPr="0037041B">
              <w:rPr>
                <w:lang w:val="sv-FI"/>
              </w:rPr>
              <w:t>R.2.8 Antalet administrativa enheter som nyligen har inrättat nya eller anpassat befintliga mekanismer/förfaranden/utrustning/anvisningar för informationsutbyte för samarbete med andra medlemsstater/unionsorgan eller -institutioner/tredje länder/internationella organisationer</w:t>
            </w:r>
          </w:p>
          <w:p w14:paraId="79B30220" w14:textId="77777777" w:rsidR="00222BB7" w:rsidRPr="00DC50CB" w:rsidRDefault="00222BB7" w:rsidP="00830116">
            <w:pPr>
              <w:pStyle w:val="Leipteksti"/>
              <w:rPr>
                <w:b/>
                <w:lang w:val="sv-SE"/>
              </w:rPr>
            </w:pPr>
            <w:r w:rsidRPr="0037041B">
              <w:rPr>
                <w:lang w:val="sv-FI"/>
              </w:rPr>
              <w:t>I åtgärderna ska även tillämpas andra indikatorer än de som finns i detta specifika mål, om verksamheten som genomförs kan mätas med dem.</w:t>
            </w:r>
          </w:p>
        </w:tc>
      </w:tr>
      <w:tr w:rsidR="00222BB7" w:rsidRPr="0037041B" w14:paraId="0EF3DF64" w14:textId="77777777" w:rsidTr="00830116">
        <w:tc>
          <w:tcPr>
            <w:tcW w:w="4248" w:type="dxa"/>
            <w:shd w:val="clear" w:color="auto" w:fill="FFFFFF" w:themeFill="background1"/>
          </w:tcPr>
          <w:p w14:paraId="489DE9D5" w14:textId="77777777" w:rsidR="00222BB7" w:rsidRPr="0037041B" w:rsidRDefault="00222BB7" w:rsidP="00830116">
            <w:pPr>
              <w:pStyle w:val="Leipteksti"/>
              <w:rPr>
                <w:b/>
              </w:rPr>
            </w:pPr>
            <w:r w:rsidRPr="0037041B">
              <w:rPr>
                <w:b/>
                <w:bCs/>
                <w:lang w:val="sv-FI"/>
              </w:rPr>
              <w:t>Ansökningstid</w:t>
            </w:r>
          </w:p>
        </w:tc>
        <w:tc>
          <w:tcPr>
            <w:tcW w:w="5380" w:type="dxa"/>
            <w:shd w:val="clear" w:color="auto" w:fill="FFFFFF" w:themeFill="background1"/>
          </w:tcPr>
          <w:p w14:paraId="6D2065F2" w14:textId="77777777" w:rsidR="00222BB7" w:rsidRPr="0037041B" w:rsidRDefault="00222BB7" w:rsidP="00830116">
            <w:pPr>
              <w:pStyle w:val="Leipteksti"/>
            </w:pPr>
            <w:r w:rsidRPr="0037041B">
              <w:rPr>
                <w:lang w:val="sv-FI"/>
              </w:rPr>
              <w:t>våren 2025</w:t>
            </w:r>
          </w:p>
        </w:tc>
      </w:tr>
      <w:tr w:rsidR="00222BB7" w:rsidRPr="0037041B" w14:paraId="59FE0446" w14:textId="77777777" w:rsidTr="00830116">
        <w:tc>
          <w:tcPr>
            <w:tcW w:w="4248" w:type="dxa"/>
            <w:shd w:val="clear" w:color="auto" w:fill="FFFFFF" w:themeFill="background1"/>
          </w:tcPr>
          <w:p w14:paraId="3CCDB726" w14:textId="77777777" w:rsidR="00222BB7" w:rsidRPr="0037041B" w:rsidRDefault="00222BB7" w:rsidP="00830116">
            <w:pPr>
              <w:pStyle w:val="Leipteksti"/>
              <w:rPr>
                <w:b/>
              </w:rPr>
            </w:pPr>
            <w:r w:rsidRPr="0037041B">
              <w:rPr>
                <w:b/>
                <w:bCs/>
                <w:lang w:val="sv-FI"/>
              </w:rPr>
              <w:t>Projektet inleds senast</w:t>
            </w:r>
          </w:p>
        </w:tc>
        <w:tc>
          <w:tcPr>
            <w:tcW w:w="5380" w:type="dxa"/>
            <w:shd w:val="clear" w:color="auto" w:fill="FFFFFF" w:themeFill="background1"/>
          </w:tcPr>
          <w:p w14:paraId="3AF81302" w14:textId="77777777" w:rsidR="00222BB7" w:rsidRPr="0037041B" w:rsidRDefault="00222BB7" w:rsidP="00830116">
            <w:pPr>
              <w:pStyle w:val="Leipteksti"/>
            </w:pPr>
            <w:r w:rsidRPr="0037041B">
              <w:rPr>
                <w:lang w:val="sv-FI"/>
              </w:rPr>
              <w:t>Se utlysningen</w:t>
            </w:r>
          </w:p>
        </w:tc>
      </w:tr>
    </w:tbl>
    <w:p w14:paraId="4FE76077" w14:textId="77777777" w:rsidR="00222BB7" w:rsidRPr="00D11F46" w:rsidRDefault="00222BB7" w:rsidP="00D11F46">
      <w:pPr>
        <w:pStyle w:val="Leipteksti"/>
        <w:rPr>
          <w:lang w:val="sv"/>
        </w:rPr>
      </w:pPr>
    </w:p>
    <w:p w14:paraId="360B2E59" w14:textId="7C951B08" w:rsidR="00CB4157" w:rsidRPr="009538BD" w:rsidRDefault="00CB4157" w:rsidP="005859D0">
      <w:pPr>
        <w:pStyle w:val="Otsikko2"/>
        <w:rPr>
          <w:lang w:val="sv-SE"/>
        </w:rPr>
      </w:pPr>
      <w:bookmarkStart w:id="60" w:name="_Toc184224315"/>
      <w:r>
        <w:rPr>
          <w:lang w:val="sv"/>
        </w:rPr>
        <w:lastRenderedPageBreak/>
        <w:t>S</w:t>
      </w:r>
      <w:r w:rsidR="000473F1">
        <w:rPr>
          <w:lang w:val="sv"/>
        </w:rPr>
        <w:t>pecifik</w:t>
      </w:r>
      <w:r>
        <w:rPr>
          <w:lang w:val="sv"/>
        </w:rPr>
        <w:t>t mål 3 Förebyggande och bekämpning av brottslighet</w:t>
      </w:r>
      <w:bookmarkEnd w:id="60"/>
      <w:r>
        <w:rPr>
          <w:lang w:val="sv"/>
        </w:rPr>
        <w:t xml:space="preserve"> </w:t>
      </w:r>
      <w:bookmarkEnd w:id="53"/>
    </w:p>
    <w:p w14:paraId="65FDD2B0" w14:textId="77777777" w:rsidR="00CB4157" w:rsidRPr="009538BD" w:rsidRDefault="00CB4157" w:rsidP="00CB4157">
      <w:pPr>
        <w:rPr>
          <w:lang w:val="sv-SE"/>
        </w:rPr>
      </w:pPr>
    </w:p>
    <w:p w14:paraId="0C99B81F" w14:textId="00393285" w:rsidR="00100CA7" w:rsidRPr="00100CA7" w:rsidRDefault="00CB4157" w:rsidP="00100CA7">
      <w:pPr>
        <w:pStyle w:val="Otsikko3"/>
        <w:rPr>
          <w:lang w:val="sv"/>
        </w:rPr>
      </w:pPr>
      <w:bookmarkStart w:id="61" w:name="_Toc102727281"/>
      <w:bookmarkStart w:id="62" w:name="_Toc184224316"/>
      <w:r>
        <w:rPr>
          <w:lang w:val="sv"/>
        </w:rPr>
        <w:t>3 A Utbildning, övningar och delande av bästa praxis</w:t>
      </w:r>
      <w:bookmarkEnd w:id="61"/>
      <w:bookmarkEnd w:id="62"/>
    </w:p>
    <w:p w14:paraId="746D35D8" w14:textId="77777777" w:rsidR="00CB4157" w:rsidRPr="009538BD" w:rsidRDefault="00CB4157" w:rsidP="00CB4157">
      <w:pPr>
        <w:rPr>
          <w:lang w:val="sv-SE"/>
        </w:rPr>
      </w:pPr>
    </w:p>
    <w:tbl>
      <w:tblPr>
        <w:tblpPr w:leftFromText="142" w:rightFromText="142" w:vertAnchor="text" w:horzAnchor="margin" w:tblpY="1"/>
        <w:tblW w:w="0" w:type="auto"/>
        <w:tblLook w:val="04A0" w:firstRow="1" w:lastRow="0" w:firstColumn="1" w:lastColumn="0" w:noHBand="0" w:noVBand="1"/>
      </w:tblPr>
      <w:tblGrid>
        <w:gridCol w:w="4248"/>
        <w:gridCol w:w="5380"/>
      </w:tblGrid>
      <w:tr w:rsidR="00CB4157" w:rsidRPr="006C480A" w14:paraId="547E6810" w14:textId="77777777" w:rsidTr="00D11F46">
        <w:tc>
          <w:tcPr>
            <w:tcW w:w="9628" w:type="dxa"/>
            <w:gridSpan w:val="2"/>
            <w:tcBorders>
              <w:top w:val="single" w:sz="4" w:space="0" w:color="auto"/>
              <w:left w:val="single" w:sz="4" w:space="0" w:color="auto"/>
              <w:bottom w:val="single" w:sz="4" w:space="0" w:color="auto"/>
              <w:right w:val="single" w:sz="4" w:space="0" w:color="auto"/>
            </w:tcBorders>
            <w:shd w:val="clear" w:color="auto" w:fill="FDE2D1" w:themeFill="accent1" w:themeFillTint="33"/>
          </w:tcPr>
          <w:p w14:paraId="1CB7A5BE" w14:textId="77777777" w:rsidR="00CB4157" w:rsidRPr="00AF22C9" w:rsidRDefault="00CB4157" w:rsidP="00D11F46">
            <w:pPr>
              <w:pStyle w:val="Otsikko4"/>
            </w:pPr>
            <w:bookmarkStart w:id="63" w:name="_Toc102727282"/>
            <w:bookmarkStart w:id="64" w:name="_Hlk86071273"/>
            <w:bookmarkStart w:id="65" w:name="_Hlk93071125"/>
            <w:r>
              <w:rPr>
                <w:lang w:val="sv"/>
              </w:rPr>
              <w:t>3 A 1 Kompetensutveckling</w:t>
            </w:r>
            <w:bookmarkEnd w:id="63"/>
          </w:p>
          <w:bookmarkEnd w:id="64"/>
          <w:p w14:paraId="4C5E30AE" w14:textId="77777777" w:rsidR="00CB4157" w:rsidRPr="00DB2EDE" w:rsidRDefault="00CB4157" w:rsidP="00CB4157"/>
        </w:tc>
      </w:tr>
      <w:tr w:rsidR="00CB4157" w:rsidRPr="000F5AB4" w14:paraId="370B463A" w14:textId="77777777" w:rsidTr="005859D0">
        <w:trPr>
          <w:trHeight w:val="2685"/>
        </w:trPr>
        <w:tc>
          <w:tcPr>
            <w:tcW w:w="9628" w:type="dxa"/>
            <w:gridSpan w:val="2"/>
            <w:tcBorders>
              <w:top w:val="single" w:sz="4" w:space="0" w:color="auto"/>
              <w:left w:val="single" w:sz="4" w:space="0" w:color="auto"/>
              <w:bottom w:val="single" w:sz="4" w:space="0" w:color="auto"/>
              <w:right w:val="single" w:sz="4" w:space="0" w:color="auto"/>
            </w:tcBorders>
          </w:tcPr>
          <w:p w14:paraId="106B1A63" w14:textId="77777777" w:rsidR="00CB4157" w:rsidRPr="009538BD" w:rsidRDefault="00CB4157" w:rsidP="005859D0">
            <w:pPr>
              <w:pStyle w:val="Leipteksti"/>
              <w:rPr>
                <w:lang w:val="sv-SE"/>
              </w:rPr>
            </w:pPr>
          </w:p>
          <w:p w14:paraId="77E00301" w14:textId="58E25E9D" w:rsidR="00CB4157" w:rsidRPr="009538BD" w:rsidRDefault="00CB4157" w:rsidP="005859D0">
            <w:pPr>
              <w:pStyle w:val="Leipteksti"/>
              <w:rPr>
                <w:lang w:val="sv-SE"/>
              </w:rPr>
            </w:pPr>
            <w:r>
              <w:rPr>
                <w:lang w:val="sv"/>
              </w:rPr>
              <w:t>Ett av ISF-programmets övergripande teman är kompetensutveckling. Myndigheter är ständigt i behov av ny kompetens bland annat på grund av nya metoder, framsteg inom digitaliseringen och nya företeelser inom brottsligheten</w:t>
            </w:r>
            <w:r>
              <w:rPr>
                <w:shd w:val="clear" w:color="auto" w:fill="FFFFFF" w:themeFill="background1"/>
                <w:lang w:val="sv"/>
              </w:rPr>
              <w:t>.  Man måste också förstärka prognostiseringskompetensen och verksamhetens kunskapsbas.</w:t>
            </w:r>
            <w:r>
              <w:rPr>
                <w:lang w:val="sv"/>
              </w:rPr>
              <w:t xml:space="preserve"> ISF-finansiering ska förbättra kunnandet och informationsgrunden relaterade till bland annat </w:t>
            </w:r>
            <w:r w:rsidR="00240E39">
              <w:rPr>
                <w:lang w:val="sv"/>
              </w:rPr>
              <w:t>bekämpning av</w:t>
            </w:r>
            <w:r>
              <w:rPr>
                <w:lang w:val="sv"/>
              </w:rPr>
              <w:t xml:space="preserve"> korruption</w:t>
            </w:r>
            <w:r w:rsidR="00240E39">
              <w:rPr>
                <w:lang w:val="sv"/>
              </w:rPr>
              <w:t>,</w:t>
            </w:r>
            <w:r>
              <w:rPr>
                <w:lang w:val="sv"/>
              </w:rPr>
              <w:t xml:space="preserve"> skydd av kritisk infrastruktur</w:t>
            </w:r>
            <w:r w:rsidR="00240E39">
              <w:rPr>
                <w:lang w:val="sv"/>
              </w:rPr>
              <w:t xml:space="preserve">, </w:t>
            </w:r>
            <w:r>
              <w:rPr>
                <w:lang w:val="sv"/>
              </w:rPr>
              <w:t xml:space="preserve">cyberbrottslighet, </w:t>
            </w:r>
            <w:r w:rsidR="00240E39">
              <w:rPr>
                <w:lang w:val="sv-SE"/>
              </w:rPr>
              <w:t>ungdoms</w:t>
            </w:r>
            <w:r w:rsidR="00240E39" w:rsidRPr="00240E39">
              <w:rPr>
                <w:lang w:val="sv-SE"/>
              </w:rPr>
              <w:t>brottslighet</w:t>
            </w:r>
            <w:r w:rsidR="00240E39" w:rsidRPr="00F30646">
              <w:rPr>
                <w:lang w:val="sv-SE"/>
              </w:rPr>
              <w:t xml:space="preserve">, </w:t>
            </w:r>
            <w:r w:rsidR="00240E39" w:rsidRPr="00240E39">
              <w:rPr>
                <w:lang w:val="sv-SE"/>
              </w:rPr>
              <w:t xml:space="preserve">gängkriminalitet, </w:t>
            </w:r>
            <w:r w:rsidR="00240E39">
              <w:rPr>
                <w:lang w:val="sv-SE"/>
              </w:rPr>
              <w:t>organiserad brottslighet</w:t>
            </w:r>
            <w:r w:rsidR="00240E39" w:rsidRPr="00F30646">
              <w:rPr>
                <w:lang w:val="sv-SE"/>
              </w:rPr>
              <w:t xml:space="preserve">, </w:t>
            </w:r>
            <w:r w:rsidR="00240E39">
              <w:rPr>
                <w:lang w:val="sv-SE"/>
              </w:rPr>
              <w:t>bekämpning av terrorism</w:t>
            </w:r>
            <w:r w:rsidR="00240E39" w:rsidRPr="00F30646">
              <w:rPr>
                <w:lang w:val="sv-SE"/>
              </w:rPr>
              <w:t>,</w:t>
            </w:r>
            <w:r w:rsidR="00240E39">
              <w:rPr>
                <w:lang w:val="sv-SE"/>
              </w:rPr>
              <w:t xml:space="preserve"> </w:t>
            </w:r>
            <w:r>
              <w:rPr>
                <w:lang w:val="sv"/>
              </w:rPr>
              <w:t>analytisk expertis och hantering av specifika situationer. Utbildningens innehåll och metoder behöver utvecklas.  Polisutbildningssystemet ska utvecklas bland annat på grund av snabbt förnybar teknik.</w:t>
            </w:r>
          </w:p>
          <w:p w14:paraId="67E042A9" w14:textId="77777777" w:rsidR="00CB4157" w:rsidRPr="009538BD" w:rsidRDefault="00CB4157" w:rsidP="005859D0">
            <w:pPr>
              <w:pStyle w:val="Leipteksti"/>
              <w:rPr>
                <w:b/>
                <w:lang w:val="sv-SE"/>
              </w:rPr>
            </w:pPr>
            <w:r>
              <w:rPr>
                <w:b/>
                <w:bCs/>
                <w:lang w:val="sv"/>
              </w:rPr>
              <w:t xml:space="preserve">Målet är att de brottsbekämpande myndigheterna alltid har aktuell kompetens och en aktuell informationsgrund. </w:t>
            </w:r>
          </w:p>
          <w:p w14:paraId="216A2CA1" w14:textId="77777777" w:rsidR="00CB4157" w:rsidRPr="009538BD" w:rsidRDefault="00CB4157" w:rsidP="005859D0">
            <w:pPr>
              <w:pStyle w:val="Leipteksti"/>
              <w:rPr>
                <w:lang w:val="sv-SE"/>
              </w:rPr>
            </w:pPr>
          </w:p>
          <w:p w14:paraId="013EF129" w14:textId="77777777" w:rsidR="00CB4157" w:rsidRPr="009538BD" w:rsidRDefault="00CB4157" w:rsidP="005859D0">
            <w:pPr>
              <w:pStyle w:val="Leipteksti"/>
              <w:rPr>
                <w:lang w:val="sv-SE"/>
              </w:rPr>
            </w:pPr>
            <w:r>
              <w:rPr>
                <w:lang w:val="sv"/>
              </w:rPr>
              <w:t>Understöd kan beviljas för projekt där man till exempel:</w:t>
            </w:r>
          </w:p>
          <w:p w14:paraId="66B66F1C" w14:textId="12B24F6E" w:rsidR="00CB4157" w:rsidRPr="00F30646" w:rsidRDefault="00CB4157" w:rsidP="00A17F47">
            <w:pPr>
              <w:pStyle w:val="Leipteksti"/>
              <w:numPr>
                <w:ilvl w:val="0"/>
                <w:numId w:val="14"/>
              </w:numPr>
              <w:rPr>
                <w:lang w:val="sv-SE"/>
              </w:rPr>
            </w:pPr>
            <w:r>
              <w:rPr>
                <w:lang w:val="sv"/>
              </w:rPr>
              <w:t>genomför utbildningar till exempel i anknytning till radikalisering, människohandel, kampen mot cyberbrottslighet, korruption och CBRNE-situationer,</w:t>
            </w:r>
          </w:p>
          <w:p w14:paraId="5D9DDA58" w14:textId="46282A3D" w:rsidR="00DB6010" w:rsidRPr="009538BD" w:rsidRDefault="00DB6010" w:rsidP="00A17F47">
            <w:pPr>
              <w:pStyle w:val="Leipteksti"/>
              <w:numPr>
                <w:ilvl w:val="0"/>
                <w:numId w:val="14"/>
              </w:numPr>
              <w:rPr>
                <w:lang w:val="sv-SE"/>
              </w:rPr>
            </w:pPr>
            <w:r>
              <w:rPr>
                <w:lang w:val="sv"/>
              </w:rPr>
              <w:t>utvecklar utbildning för myndigheter och representanter för viktiga organisationer i identifiering av terrorism,</w:t>
            </w:r>
          </w:p>
          <w:p w14:paraId="7FD16E5E" w14:textId="77777777" w:rsidR="00CB4157" w:rsidRPr="009538BD" w:rsidRDefault="00CB4157" w:rsidP="00A17F47">
            <w:pPr>
              <w:pStyle w:val="Leipteksti"/>
              <w:numPr>
                <w:ilvl w:val="0"/>
                <w:numId w:val="14"/>
              </w:numPr>
              <w:rPr>
                <w:lang w:val="sv-SE"/>
              </w:rPr>
            </w:pPr>
            <w:r>
              <w:rPr>
                <w:lang w:val="sv"/>
              </w:rPr>
              <w:t>utvecklar den nationella lednings- och analysförmågan i särskilda situationer,</w:t>
            </w:r>
          </w:p>
          <w:p w14:paraId="208418B7" w14:textId="77777777" w:rsidR="00CB4157" w:rsidRPr="009538BD" w:rsidRDefault="00CB4157" w:rsidP="00A17F47">
            <w:pPr>
              <w:pStyle w:val="Leipteksti"/>
              <w:numPr>
                <w:ilvl w:val="0"/>
                <w:numId w:val="14"/>
              </w:numPr>
              <w:rPr>
                <w:lang w:val="sv-SE"/>
              </w:rPr>
            </w:pPr>
            <w:r>
              <w:rPr>
                <w:lang w:val="sv"/>
              </w:rPr>
              <w:t xml:space="preserve">deltar i nationella och internationella utbildningar och samarbetsgrupper, </w:t>
            </w:r>
          </w:p>
          <w:p w14:paraId="06B4F508" w14:textId="77777777" w:rsidR="00CB4157" w:rsidRPr="009538BD" w:rsidRDefault="00CB4157" w:rsidP="00A17F47">
            <w:pPr>
              <w:pStyle w:val="Leipteksti"/>
              <w:numPr>
                <w:ilvl w:val="0"/>
                <w:numId w:val="14"/>
              </w:numPr>
              <w:rPr>
                <w:lang w:val="sv-SE"/>
              </w:rPr>
            </w:pPr>
            <w:r>
              <w:rPr>
                <w:lang w:val="sv"/>
              </w:rPr>
              <w:t>stärker det nationella och internationella utbildningssamarbetet mellan myndigheter och universitet,</w:t>
            </w:r>
          </w:p>
          <w:p w14:paraId="6728F17F" w14:textId="77777777" w:rsidR="00CB4157" w:rsidRDefault="00CB4157" w:rsidP="00A17F47">
            <w:pPr>
              <w:pStyle w:val="Leipteksti"/>
              <w:numPr>
                <w:ilvl w:val="0"/>
                <w:numId w:val="14"/>
              </w:numPr>
            </w:pPr>
            <w:r>
              <w:rPr>
                <w:lang w:val="sv"/>
              </w:rPr>
              <w:lastRenderedPageBreak/>
              <w:t>utvecklar utbildningssystem,</w:t>
            </w:r>
          </w:p>
          <w:p w14:paraId="28C57AD1" w14:textId="22C0E24C" w:rsidR="00CB4157" w:rsidRPr="009538BD" w:rsidRDefault="00CB4157" w:rsidP="00DB6010">
            <w:pPr>
              <w:pStyle w:val="Leipteksti"/>
              <w:numPr>
                <w:ilvl w:val="0"/>
                <w:numId w:val="14"/>
              </w:numPr>
              <w:rPr>
                <w:lang w:val="sv-SE"/>
              </w:rPr>
            </w:pPr>
            <w:r>
              <w:rPr>
                <w:lang w:val="sv"/>
              </w:rPr>
              <w:t>Polisyrkeshögskolan deltar i utbytesprogram</w:t>
            </w:r>
            <w:r w:rsidR="00DB6010">
              <w:rPr>
                <w:lang w:val="sv"/>
              </w:rPr>
              <w:t xml:space="preserve"> och främjar </w:t>
            </w:r>
            <w:r w:rsidR="00DB6010" w:rsidRPr="00F30646">
              <w:rPr>
                <w:lang w:val="sv-SE"/>
              </w:rPr>
              <w:t>i</w:t>
            </w:r>
            <w:proofErr w:type="spellStart"/>
            <w:r w:rsidR="00DB6010" w:rsidRPr="00DB6010">
              <w:rPr>
                <w:lang w:val="sv"/>
              </w:rPr>
              <w:t>nternationell</w:t>
            </w:r>
            <w:proofErr w:type="spellEnd"/>
            <w:r w:rsidR="00DB6010" w:rsidRPr="00DB6010">
              <w:rPr>
                <w:lang w:val="sv"/>
              </w:rPr>
              <w:t xml:space="preserve"> rörlighet</w:t>
            </w:r>
            <w:r w:rsidR="00DB6010">
              <w:rPr>
                <w:lang w:val="sv"/>
              </w:rPr>
              <w:t xml:space="preserve"> bland myndigheterna</w:t>
            </w:r>
            <w:r>
              <w:rPr>
                <w:lang w:val="sv"/>
              </w:rPr>
              <w:t>,</w:t>
            </w:r>
          </w:p>
          <w:p w14:paraId="3B056A0F" w14:textId="77777777" w:rsidR="00CB4157" w:rsidRDefault="00CB4157" w:rsidP="00A17F47">
            <w:pPr>
              <w:pStyle w:val="Leipteksti"/>
              <w:numPr>
                <w:ilvl w:val="0"/>
                <w:numId w:val="14"/>
              </w:numPr>
            </w:pPr>
            <w:r>
              <w:rPr>
                <w:lang w:val="sv"/>
              </w:rPr>
              <w:t>ordnar övningar,</w:t>
            </w:r>
          </w:p>
          <w:p w14:paraId="59C29BE3" w14:textId="77777777" w:rsidR="00CB4157" w:rsidRDefault="00CB4157" w:rsidP="00A17F47">
            <w:pPr>
              <w:pStyle w:val="Leipteksti"/>
              <w:numPr>
                <w:ilvl w:val="0"/>
                <w:numId w:val="14"/>
              </w:numPr>
            </w:pPr>
            <w:r>
              <w:rPr>
                <w:lang w:val="sv"/>
              </w:rPr>
              <w:t>utvärderar verksamhetens slagkraft.</w:t>
            </w:r>
          </w:p>
          <w:p w14:paraId="392AE581" w14:textId="77777777" w:rsidR="00CB4157" w:rsidRDefault="00CB4157" w:rsidP="005859D0">
            <w:pPr>
              <w:pStyle w:val="Leipteksti"/>
            </w:pPr>
            <w:r>
              <w:rPr>
                <w:lang w:val="sv"/>
              </w:rPr>
              <w:t>Resultatmål:</w:t>
            </w:r>
          </w:p>
          <w:p w14:paraId="3DB35271" w14:textId="77777777" w:rsidR="00CB4157" w:rsidRDefault="00CB4157" w:rsidP="00A17F47">
            <w:pPr>
              <w:pStyle w:val="Leipteksti"/>
              <w:numPr>
                <w:ilvl w:val="0"/>
                <w:numId w:val="15"/>
              </w:numPr>
            </w:pPr>
            <w:r>
              <w:rPr>
                <w:lang w:val="sv"/>
              </w:rPr>
              <w:t xml:space="preserve">en kunskapsväg har utvecklats för att främja samarbete mellan myndigheter för att förbättra cyberkompetensen. Utbildningens kontinuitet beaktas, </w:t>
            </w:r>
          </w:p>
          <w:p w14:paraId="236E84F5" w14:textId="77777777" w:rsidR="00CB4157" w:rsidRPr="009538BD" w:rsidRDefault="00CB4157" w:rsidP="00A17F47">
            <w:pPr>
              <w:pStyle w:val="Leipteksti"/>
              <w:numPr>
                <w:ilvl w:val="0"/>
                <w:numId w:val="15"/>
              </w:numPr>
              <w:rPr>
                <w:lang w:val="sv-SE"/>
              </w:rPr>
            </w:pPr>
            <w:r>
              <w:rPr>
                <w:lang w:val="sv"/>
              </w:rPr>
              <w:t xml:space="preserve">undersökningen har inte bara tagit hänsyn till förundersökningsmyndigheterna (polis, tull, gräns, </w:t>
            </w:r>
            <w:proofErr w:type="gramStart"/>
            <w:r>
              <w:rPr>
                <w:lang w:val="sv"/>
              </w:rPr>
              <w:t>försvarsmakten</w:t>
            </w:r>
            <w:proofErr w:type="gramEnd"/>
            <w:r>
              <w:rPr>
                <w:lang w:val="sv"/>
              </w:rPr>
              <w:t xml:space="preserve">) utan även andra relevanta aktörer, såsom Säkerhetspolisen, Åklagarmyndigheten, domstolarna, </w:t>
            </w:r>
            <w:proofErr w:type="spellStart"/>
            <w:r>
              <w:rPr>
                <w:lang w:val="sv"/>
              </w:rPr>
              <w:t>Traficom</w:t>
            </w:r>
            <w:proofErr w:type="spellEnd"/>
            <w:r>
              <w:rPr>
                <w:lang w:val="sv"/>
              </w:rPr>
              <w:t xml:space="preserve">, Konkurrens- och konsumentverket, Migrationsverket och utsökningsväsendet,  </w:t>
            </w:r>
          </w:p>
          <w:p w14:paraId="61EF5E8E" w14:textId="77777777" w:rsidR="00CB4157" w:rsidRPr="009538BD" w:rsidRDefault="005859D0" w:rsidP="00A17F47">
            <w:pPr>
              <w:pStyle w:val="Leipteksti"/>
              <w:numPr>
                <w:ilvl w:val="0"/>
                <w:numId w:val="15"/>
              </w:numPr>
              <w:rPr>
                <w:lang w:val="sv-SE"/>
              </w:rPr>
            </w:pPr>
            <w:r>
              <w:rPr>
                <w:lang w:val="sv"/>
              </w:rPr>
              <w:t>högskole</w:t>
            </w:r>
            <w:r w:rsidR="00CB4157">
              <w:rPr>
                <w:lang w:val="sv"/>
              </w:rPr>
              <w:t>samarbete för att utveckla expertis för förebyggande av cyberbrottslighet har utökats.</w:t>
            </w:r>
          </w:p>
        </w:tc>
      </w:tr>
      <w:tr w:rsidR="00CB4157" w:rsidRPr="000F5AB4" w14:paraId="0C5903C9" w14:textId="77777777" w:rsidTr="005859D0">
        <w:trPr>
          <w:trHeight w:val="789"/>
        </w:trPr>
        <w:tc>
          <w:tcPr>
            <w:tcW w:w="4248" w:type="dxa"/>
            <w:tcBorders>
              <w:top w:val="single" w:sz="4" w:space="0" w:color="auto"/>
              <w:left w:val="single" w:sz="4" w:space="0" w:color="auto"/>
              <w:bottom w:val="single" w:sz="4" w:space="0" w:color="auto"/>
              <w:right w:val="single" w:sz="4" w:space="0" w:color="auto"/>
            </w:tcBorders>
          </w:tcPr>
          <w:p w14:paraId="4691F457" w14:textId="77777777" w:rsidR="00CB4157" w:rsidRPr="006C480A" w:rsidRDefault="00CB4157" w:rsidP="005859D0">
            <w:pPr>
              <w:pStyle w:val="Leipteksti"/>
              <w:rPr>
                <w:b/>
              </w:rPr>
            </w:pPr>
            <w:r>
              <w:rPr>
                <w:b/>
                <w:bCs/>
                <w:lang w:val="sv"/>
              </w:rPr>
              <w:lastRenderedPageBreak/>
              <w:t>Understöd</w:t>
            </w:r>
          </w:p>
        </w:tc>
        <w:tc>
          <w:tcPr>
            <w:tcW w:w="5380" w:type="dxa"/>
            <w:tcBorders>
              <w:top w:val="single" w:sz="4" w:space="0" w:color="auto"/>
              <w:left w:val="single" w:sz="4" w:space="0" w:color="auto"/>
              <w:bottom w:val="single" w:sz="4" w:space="0" w:color="auto"/>
              <w:right w:val="single" w:sz="4" w:space="0" w:color="auto"/>
            </w:tcBorders>
          </w:tcPr>
          <w:p w14:paraId="68577C34" w14:textId="77777777" w:rsidR="00CB4157" w:rsidRPr="009538BD" w:rsidRDefault="00CB4157" w:rsidP="005859D0">
            <w:pPr>
              <w:pStyle w:val="Leipteksti"/>
              <w:rPr>
                <w:lang w:val="sv-SE"/>
              </w:rPr>
            </w:pPr>
            <w:r>
              <w:rPr>
                <w:lang w:val="sv"/>
              </w:rPr>
              <w:t>75 %</w:t>
            </w:r>
          </w:p>
          <w:p w14:paraId="7F44C57B" w14:textId="77777777" w:rsidR="00CB4157" w:rsidRPr="009538BD" w:rsidRDefault="00CB4157" w:rsidP="005859D0">
            <w:pPr>
              <w:pStyle w:val="Leipteksti"/>
              <w:rPr>
                <w:lang w:val="sv-SE"/>
              </w:rPr>
            </w:pPr>
            <w:r>
              <w:rPr>
                <w:lang w:val="sv"/>
              </w:rPr>
              <w:t>Understödet kan höjas till 90 procent för projekt som syftar till att förebygga och bekämpa radikalisering/cyberbrottslighet</w:t>
            </w:r>
          </w:p>
        </w:tc>
      </w:tr>
      <w:tr w:rsidR="00CB4157" w:rsidRPr="000F5AB4" w14:paraId="15C99B7E" w14:textId="77777777" w:rsidTr="005859D0">
        <w:tc>
          <w:tcPr>
            <w:tcW w:w="4248" w:type="dxa"/>
            <w:tcBorders>
              <w:top w:val="single" w:sz="4" w:space="0" w:color="auto"/>
              <w:left w:val="single" w:sz="4" w:space="0" w:color="auto"/>
              <w:bottom w:val="single" w:sz="4" w:space="0" w:color="auto"/>
              <w:right w:val="single" w:sz="4" w:space="0" w:color="auto"/>
            </w:tcBorders>
          </w:tcPr>
          <w:p w14:paraId="4DF2F27C" w14:textId="77777777" w:rsidR="00CB4157" w:rsidRPr="006C480A" w:rsidRDefault="00CB4157" w:rsidP="005859D0">
            <w:pPr>
              <w:pStyle w:val="Leipteksti"/>
              <w:rPr>
                <w:b/>
              </w:rPr>
            </w:pPr>
            <w:r>
              <w:rPr>
                <w:b/>
                <w:bCs/>
                <w:lang w:val="sv"/>
              </w:rPr>
              <w:t>Möjliga stödmottagare</w:t>
            </w:r>
          </w:p>
          <w:p w14:paraId="7C4D6F49" w14:textId="77777777" w:rsidR="00CB4157" w:rsidRPr="006C480A" w:rsidRDefault="00CB4157" w:rsidP="005859D0">
            <w:pPr>
              <w:pStyle w:val="Leipteksti"/>
            </w:pPr>
          </w:p>
        </w:tc>
        <w:tc>
          <w:tcPr>
            <w:tcW w:w="5380" w:type="dxa"/>
            <w:tcBorders>
              <w:top w:val="single" w:sz="4" w:space="0" w:color="auto"/>
              <w:left w:val="single" w:sz="4" w:space="0" w:color="auto"/>
              <w:bottom w:val="single" w:sz="4" w:space="0" w:color="auto"/>
              <w:right w:val="single" w:sz="4" w:space="0" w:color="auto"/>
            </w:tcBorders>
          </w:tcPr>
          <w:p w14:paraId="41B34778" w14:textId="77777777" w:rsidR="00CB4157" w:rsidRPr="009538BD" w:rsidRDefault="00CB4157" w:rsidP="005859D0">
            <w:pPr>
              <w:pStyle w:val="Leipteksti"/>
              <w:rPr>
                <w:lang w:val="sv-SE"/>
              </w:rPr>
            </w:pPr>
            <w:r>
              <w:rPr>
                <w:lang w:val="sv"/>
              </w:rPr>
              <w:t>Behöriga myndigheter, utbildningsorganisationer och aktörer i tredje sektorn</w:t>
            </w:r>
          </w:p>
        </w:tc>
      </w:tr>
      <w:tr w:rsidR="00CB4157" w:rsidRPr="000F5AB4" w14:paraId="5E446875" w14:textId="77777777" w:rsidTr="005859D0">
        <w:tc>
          <w:tcPr>
            <w:tcW w:w="4248" w:type="dxa"/>
            <w:tcBorders>
              <w:top w:val="single" w:sz="4" w:space="0" w:color="auto"/>
              <w:left w:val="single" w:sz="4" w:space="0" w:color="auto"/>
              <w:bottom w:val="single" w:sz="4" w:space="0" w:color="auto"/>
              <w:right w:val="single" w:sz="4" w:space="0" w:color="auto"/>
            </w:tcBorders>
          </w:tcPr>
          <w:p w14:paraId="725EDC87" w14:textId="77777777" w:rsidR="00CB4157" w:rsidRPr="009538BD" w:rsidRDefault="00CB4157" w:rsidP="005859D0">
            <w:pPr>
              <w:pStyle w:val="Leipteksti"/>
              <w:rPr>
                <w:b/>
                <w:lang w:val="sv-SE"/>
              </w:rPr>
            </w:pPr>
            <w:r>
              <w:rPr>
                <w:rFonts w:eastAsia="Calibri" w:cs="Times New Roman"/>
                <w:b/>
                <w:bCs/>
                <w:lang w:val="sv"/>
              </w:rPr>
              <w:t>Samordning med annan EU-finansiering</w:t>
            </w:r>
          </w:p>
        </w:tc>
        <w:tc>
          <w:tcPr>
            <w:tcW w:w="5380" w:type="dxa"/>
            <w:tcBorders>
              <w:top w:val="single" w:sz="4" w:space="0" w:color="auto"/>
              <w:left w:val="single" w:sz="4" w:space="0" w:color="auto"/>
              <w:bottom w:val="single" w:sz="4" w:space="0" w:color="auto"/>
              <w:right w:val="single" w:sz="4" w:space="0" w:color="auto"/>
            </w:tcBorders>
          </w:tcPr>
          <w:p w14:paraId="3C3F2A3E" w14:textId="7FFB94C5" w:rsidR="00CB4157" w:rsidRPr="009538BD" w:rsidRDefault="00CB4157" w:rsidP="005859D0">
            <w:pPr>
              <w:pStyle w:val="Leipteksti"/>
              <w:rPr>
                <w:lang w:val="sv-SE"/>
              </w:rPr>
            </w:pPr>
            <w:r>
              <w:rPr>
                <w:lang w:val="sv"/>
              </w:rPr>
              <w:t>De gemensamma teman</w:t>
            </w:r>
            <w:r w:rsidR="00AD1B79">
              <w:rPr>
                <w:lang w:val="sv"/>
              </w:rPr>
              <w:t>a</w:t>
            </w:r>
            <w:r>
              <w:rPr>
                <w:lang w:val="sv"/>
              </w:rPr>
              <w:t xml:space="preserve"> för den finska RRF-planen och ISF-programmet är cybersäkerhet och penningtvätt. ISF:s fokus ligger på förebyggande av cyberbrottslighet, utredning och brottsbekämpande utbildning samt </w:t>
            </w:r>
            <w:proofErr w:type="spellStart"/>
            <w:r>
              <w:rPr>
                <w:lang w:val="sv"/>
              </w:rPr>
              <w:t>RRF:s</w:t>
            </w:r>
            <w:proofErr w:type="spellEnd"/>
            <w:r>
              <w:rPr>
                <w:lang w:val="sv"/>
              </w:rPr>
              <w:t xml:space="preserve"> omfattande cybersäkerhetsutbildning och forskning. Aktiviteterna gällande utveckling av kompetensen kommer också </w:t>
            </w:r>
            <w:r>
              <w:rPr>
                <w:lang w:val="sv"/>
              </w:rPr>
              <w:lastRenderedPageBreak/>
              <w:t xml:space="preserve">att samordnas med BMVI-fonden och finansieringsprogrammet på det rättsliga området. </w:t>
            </w:r>
          </w:p>
        </w:tc>
      </w:tr>
      <w:tr w:rsidR="00CB4157" w:rsidRPr="000F5AB4" w14:paraId="1B4E0D6E" w14:textId="77777777" w:rsidTr="005859D0">
        <w:tc>
          <w:tcPr>
            <w:tcW w:w="9628" w:type="dxa"/>
            <w:gridSpan w:val="2"/>
            <w:tcBorders>
              <w:top w:val="single" w:sz="4" w:space="0" w:color="auto"/>
              <w:left w:val="single" w:sz="4" w:space="0" w:color="auto"/>
              <w:bottom w:val="single" w:sz="4" w:space="0" w:color="auto"/>
              <w:right w:val="single" w:sz="4" w:space="0" w:color="auto"/>
            </w:tcBorders>
          </w:tcPr>
          <w:p w14:paraId="01684BD7" w14:textId="77777777" w:rsidR="00CB4157" w:rsidRPr="009538BD" w:rsidRDefault="00CB4157" w:rsidP="005859D0">
            <w:pPr>
              <w:pStyle w:val="Leipteksti"/>
              <w:rPr>
                <w:lang w:val="sv-SE"/>
              </w:rPr>
            </w:pPr>
            <w:r>
              <w:rPr>
                <w:b/>
                <w:bCs/>
                <w:lang w:val="sv"/>
              </w:rPr>
              <w:lastRenderedPageBreak/>
              <w:t>Indikatorer som ska tillämpas</w:t>
            </w:r>
            <w:r>
              <w:rPr>
                <w:lang w:val="sv"/>
              </w:rPr>
              <w:t xml:space="preserve"> </w:t>
            </w:r>
          </w:p>
          <w:p w14:paraId="193229D6" w14:textId="2BB8EC34" w:rsidR="00CB4157" w:rsidRPr="009538BD" w:rsidRDefault="00CB4157" w:rsidP="005859D0">
            <w:pPr>
              <w:pStyle w:val="Leipteksti"/>
              <w:rPr>
                <w:lang w:val="sv-SE"/>
              </w:rPr>
            </w:pPr>
            <w:r>
              <w:rPr>
                <w:lang w:val="sv"/>
              </w:rPr>
              <w:t>I åtgärderna ska även tillämpas andra indikatorer än de som finns i detta s</w:t>
            </w:r>
            <w:r w:rsidR="000473F1">
              <w:rPr>
                <w:lang w:val="sv"/>
              </w:rPr>
              <w:t>pecifik</w:t>
            </w:r>
            <w:r>
              <w:rPr>
                <w:lang w:val="sv"/>
              </w:rPr>
              <w:t>a mål, om verksamheten som genomförs kan mätas med dem.</w:t>
            </w:r>
          </w:p>
          <w:p w14:paraId="347BA919" w14:textId="77777777" w:rsidR="00CB4157" w:rsidRPr="009538BD" w:rsidRDefault="00CB4157" w:rsidP="005859D0">
            <w:pPr>
              <w:pStyle w:val="Leipteksti"/>
              <w:rPr>
                <w:lang w:val="sv-SE"/>
              </w:rPr>
            </w:pPr>
          </w:p>
          <w:p w14:paraId="0712E576" w14:textId="00032C37" w:rsidR="00CB4157" w:rsidRPr="009538BD" w:rsidRDefault="0095707B" w:rsidP="005859D0">
            <w:pPr>
              <w:pStyle w:val="Leipteksti"/>
              <w:rPr>
                <w:lang w:val="sv-SE"/>
              </w:rPr>
            </w:pPr>
            <w:r>
              <w:rPr>
                <w:lang w:val="sv"/>
              </w:rPr>
              <w:t>Output</w:t>
            </w:r>
            <w:r w:rsidR="00CB4157">
              <w:rPr>
                <w:lang w:val="sv"/>
              </w:rPr>
              <w:t>indikatorer:</w:t>
            </w:r>
          </w:p>
          <w:p w14:paraId="7AF992A1" w14:textId="77777777" w:rsidR="00CB4157" w:rsidRPr="009538BD" w:rsidRDefault="00CB4157" w:rsidP="005859D0">
            <w:pPr>
              <w:pStyle w:val="Leipteksti"/>
              <w:rPr>
                <w:lang w:val="sv-SE"/>
              </w:rPr>
            </w:pPr>
            <w:r>
              <w:rPr>
                <w:lang w:val="sv"/>
              </w:rPr>
              <w:t>O.3.1 Antal deltagare i utbildningsverksamhet</w:t>
            </w:r>
          </w:p>
          <w:p w14:paraId="537B19DE" w14:textId="77777777" w:rsidR="00CB4157" w:rsidRPr="009538BD" w:rsidRDefault="00CB4157" w:rsidP="005859D0">
            <w:pPr>
              <w:pStyle w:val="Leipteksti"/>
              <w:rPr>
                <w:lang w:val="sv-SE"/>
              </w:rPr>
            </w:pPr>
            <w:r>
              <w:rPr>
                <w:lang w:val="sv"/>
              </w:rPr>
              <w:t>O.3.2 Antal utbytesprogram/workshops/studiebesök</w:t>
            </w:r>
          </w:p>
          <w:p w14:paraId="6A613232" w14:textId="77777777" w:rsidR="00CB4157" w:rsidRPr="009538BD" w:rsidRDefault="00CB4157" w:rsidP="005859D0">
            <w:pPr>
              <w:pStyle w:val="Leipteksti"/>
              <w:rPr>
                <w:lang w:val="sv-SE"/>
              </w:rPr>
            </w:pPr>
            <w:r>
              <w:rPr>
                <w:lang w:val="sv"/>
              </w:rPr>
              <w:t>Resultatindikatorer:</w:t>
            </w:r>
          </w:p>
          <w:p w14:paraId="2DCFA260" w14:textId="77777777" w:rsidR="00CB4157" w:rsidRPr="009538BD" w:rsidRDefault="00CB4157" w:rsidP="005859D0">
            <w:pPr>
              <w:pStyle w:val="Leipteksti"/>
              <w:rPr>
                <w:lang w:val="sv-SE"/>
              </w:rPr>
            </w:pPr>
            <w:r>
              <w:rPr>
                <w:lang w:val="sv"/>
              </w:rPr>
              <w:t>R.3.12 Antal deltagare som tycker att utbildningsverksamheten är användbar i sitt arbete</w:t>
            </w:r>
          </w:p>
          <w:p w14:paraId="1194FA2B" w14:textId="77777777" w:rsidR="00CB4157" w:rsidRPr="009538BD" w:rsidRDefault="00CB4157" w:rsidP="005859D0">
            <w:pPr>
              <w:pStyle w:val="Leipteksti"/>
              <w:rPr>
                <w:lang w:val="sv-SE"/>
              </w:rPr>
            </w:pPr>
            <w:r>
              <w:rPr>
                <w:lang w:val="sv"/>
              </w:rPr>
              <w:t>R.3.13 Antal deltagare som tre månader efter att utbildningsverksamheten upphört deklarerar att de använder de färdigheter och den kompetens som förvärvats i utbildningsverksamheten</w:t>
            </w:r>
          </w:p>
        </w:tc>
      </w:tr>
      <w:tr w:rsidR="00CB4157" w:rsidRPr="000F5AB4" w14:paraId="4840CD12" w14:textId="77777777" w:rsidTr="005859D0">
        <w:tc>
          <w:tcPr>
            <w:tcW w:w="4248" w:type="dxa"/>
            <w:tcBorders>
              <w:top w:val="single" w:sz="4" w:space="0" w:color="auto"/>
              <w:left w:val="single" w:sz="4" w:space="0" w:color="auto"/>
              <w:bottom w:val="single" w:sz="4" w:space="0" w:color="auto"/>
              <w:right w:val="single" w:sz="4" w:space="0" w:color="auto"/>
            </w:tcBorders>
          </w:tcPr>
          <w:p w14:paraId="1C65E538" w14:textId="77777777" w:rsidR="00CB4157" w:rsidRPr="006C480A" w:rsidRDefault="00CB4157" w:rsidP="005859D0">
            <w:pPr>
              <w:pStyle w:val="Leipteksti"/>
              <w:rPr>
                <w:b/>
              </w:rPr>
            </w:pPr>
            <w:r>
              <w:rPr>
                <w:b/>
                <w:bCs/>
                <w:lang w:val="sv"/>
              </w:rPr>
              <w:t>Ansökningstid</w:t>
            </w:r>
          </w:p>
        </w:tc>
        <w:tc>
          <w:tcPr>
            <w:tcW w:w="5380" w:type="dxa"/>
            <w:tcBorders>
              <w:top w:val="single" w:sz="4" w:space="0" w:color="auto"/>
              <w:left w:val="single" w:sz="4" w:space="0" w:color="auto"/>
              <w:bottom w:val="single" w:sz="4" w:space="0" w:color="auto"/>
              <w:right w:val="single" w:sz="4" w:space="0" w:color="auto"/>
            </w:tcBorders>
          </w:tcPr>
          <w:p w14:paraId="58DB0DE6" w14:textId="77777777" w:rsidR="00FA71BE" w:rsidRDefault="00AD1B79" w:rsidP="005859D0">
            <w:pPr>
              <w:pStyle w:val="Leipteksti"/>
              <w:rPr>
                <w:lang w:val="sv"/>
              </w:rPr>
            </w:pPr>
            <w:r>
              <w:rPr>
                <w:lang w:val="sv"/>
              </w:rPr>
              <w:t>v</w:t>
            </w:r>
            <w:r w:rsidR="009B0ADC">
              <w:rPr>
                <w:lang w:val="sv"/>
              </w:rPr>
              <w:t>åren 2024, hösten 2024, våren 2025, hösten 2025</w:t>
            </w:r>
          </w:p>
          <w:p w14:paraId="0C1747ED" w14:textId="66B11D93" w:rsidR="00CB4157" w:rsidRPr="009538BD" w:rsidRDefault="009B0ADC" w:rsidP="005859D0">
            <w:pPr>
              <w:pStyle w:val="Leipteksti"/>
              <w:rPr>
                <w:rFonts w:eastAsia="Calibri" w:cs="Times New Roman"/>
                <w:lang w:val="sv-SE"/>
              </w:rPr>
            </w:pPr>
            <w:r>
              <w:rPr>
                <w:rFonts w:eastAsia="Calibri" w:cs="Times New Roman"/>
                <w:lang w:val="sv"/>
              </w:rPr>
              <w:t>(om finansiering återstår)</w:t>
            </w:r>
          </w:p>
          <w:p w14:paraId="742EF383" w14:textId="3E1E8098" w:rsidR="00CB4157" w:rsidRPr="009538BD" w:rsidRDefault="00CB4157" w:rsidP="005859D0">
            <w:pPr>
              <w:pStyle w:val="Leipteksti"/>
              <w:rPr>
                <w:lang w:val="sv-SE"/>
              </w:rPr>
            </w:pPr>
          </w:p>
        </w:tc>
      </w:tr>
      <w:tr w:rsidR="00CB4157" w:rsidRPr="006C480A" w14:paraId="029BDE70" w14:textId="77777777" w:rsidTr="005859D0">
        <w:tc>
          <w:tcPr>
            <w:tcW w:w="4248" w:type="dxa"/>
            <w:tcBorders>
              <w:top w:val="single" w:sz="4" w:space="0" w:color="auto"/>
              <w:left w:val="single" w:sz="4" w:space="0" w:color="auto"/>
              <w:bottom w:val="single" w:sz="4" w:space="0" w:color="auto"/>
              <w:right w:val="single" w:sz="4" w:space="0" w:color="auto"/>
            </w:tcBorders>
          </w:tcPr>
          <w:p w14:paraId="7907F557" w14:textId="77777777" w:rsidR="00CB4157" w:rsidRPr="00FD7B9D" w:rsidRDefault="00CB4157" w:rsidP="005859D0">
            <w:pPr>
              <w:pStyle w:val="Leipteksti"/>
              <w:rPr>
                <w:b/>
              </w:rPr>
            </w:pPr>
            <w:r>
              <w:rPr>
                <w:b/>
                <w:bCs/>
                <w:lang w:val="sv"/>
              </w:rPr>
              <w:t>Projektet inleds senast</w:t>
            </w:r>
          </w:p>
        </w:tc>
        <w:tc>
          <w:tcPr>
            <w:tcW w:w="5380" w:type="dxa"/>
            <w:tcBorders>
              <w:top w:val="single" w:sz="4" w:space="0" w:color="auto"/>
              <w:left w:val="single" w:sz="4" w:space="0" w:color="auto"/>
              <w:bottom w:val="single" w:sz="4" w:space="0" w:color="auto"/>
              <w:right w:val="single" w:sz="4" w:space="0" w:color="auto"/>
            </w:tcBorders>
          </w:tcPr>
          <w:p w14:paraId="415C0796" w14:textId="77777777" w:rsidR="00CB4157" w:rsidRPr="001F0172" w:rsidRDefault="00CB4157" w:rsidP="005859D0">
            <w:pPr>
              <w:pStyle w:val="Leipteksti"/>
              <w:rPr>
                <w:rFonts w:eastAsia="Calibri" w:cs="Times New Roman"/>
              </w:rPr>
            </w:pPr>
            <w:r>
              <w:rPr>
                <w:lang w:val="sv"/>
              </w:rPr>
              <w:t>Se utlysningen</w:t>
            </w:r>
          </w:p>
        </w:tc>
      </w:tr>
    </w:tbl>
    <w:p w14:paraId="30B1131B" w14:textId="77777777" w:rsidR="00D11F46" w:rsidRDefault="00D11F46" w:rsidP="00D11F46">
      <w:pPr>
        <w:pStyle w:val="Otsikko3"/>
        <w:rPr>
          <w:lang w:val="sv"/>
        </w:rPr>
      </w:pPr>
      <w:bookmarkStart w:id="66" w:name="_Toc102727283"/>
      <w:bookmarkStart w:id="67" w:name="_Hlk95220578"/>
      <w:bookmarkEnd w:id="65"/>
    </w:p>
    <w:p w14:paraId="112E54D5" w14:textId="77777777" w:rsidR="00CB4157" w:rsidRPr="009538BD" w:rsidRDefault="00CB4157" w:rsidP="00D11F46">
      <w:pPr>
        <w:pStyle w:val="Otsikko3"/>
        <w:rPr>
          <w:lang w:val="sv-SE"/>
        </w:rPr>
      </w:pPr>
      <w:bookmarkStart w:id="68" w:name="_Toc184224317"/>
      <w:r>
        <w:rPr>
          <w:lang w:val="sv"/>
        </w:rPr>
        <w:t>3 B Att kombinera resurser och kunskap</w:t>
      </w:r>
      <w:bookmarkEnd w:id="66"/>
      <w:bookmarkEnd w:id="68"/>
    </w:p>
    <w:p w14:paraId="397935F6" w14:textId="77777777" w:rsidR="00CB4157" w:rsidRPr="009538BD" w:rsidRDefault="00CB4157" w:rsidP="00CB4157">
      <w:pPr>
        <w:rPr>
          <w:lang w:val="sv-SE"/>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27"/>
        <w:gridCol w:w="4814"/>
      </w:tblGrid>
      <w:tr w:rsidR="00CB4157" w:rsidRPr="000F5AB4" w14:paraId="604AE595" w14:textId="77777777" w:rsidTr="005859D0">
        <w:tc>
          <w:tcPr>
            <w:tcW w:w="9628" w:type="dxa"/>
            <w:gridSpan w:val="3"/>
            <w:shd w:val="clear" w:color="auto" w:fill="FDE2D1" w:themeFill="accent1" w:themeFillTint="33"/>
          </w:tcPr>
          <w:p w14:paraId="7A17FC40" w14:textId="77777777" w:rsidR="00CB4157" w:rsidRPr="009538BD" w:rsidRDefault="00CB4157" w:rsidP="00D11F46">
            <w:pPr>
              <w:pStyle w:val="Otsikko4"/>
              <w:rPr>
                <w:lang w:val="sv-SE"/>
              </w:rPr>
            </w:pPr>
            <w:bookmarkStart w:id="69" w:name="_Toc102727284"/>
            <w:bookmarkStart w:id="70" w:name="_Hlk95220897"/>
            <w:r>
              <w:rPr>
                <w:lang w:val="sv"/>
              </w:rPr>
              <w:t>3 B 1 Samarbete, delning av god praxis, utveckling av verksamhetsmodeller</w:t>
            </w:r>
            <w:bookmarkEnd w:id="69"/>
          </w:p>
          <w:p w14:paraId="053513F2" w14:textId="77777777" w:rsidR="00CB4157" w:rsidRPr="009538BD" w:rsidRDefault="00CB4157" w:rsidP="00CB4157">
            <w:pPr>
              <w:rPr>
                <w:lang w:val="sv-SE"/>
              </w:rPr>
            </w:pPr>
          </w:p>
        </w:tc>
      </w:tr>
      <w:tr w:rsidR="00CB4157" w:rsidRPr="000F5AB4" w14:paraId="7C089A91" w14:textId="77777777" w:rsidTr="005859D0">
        <w:trPr>
          <w:trHeight w:val="1550"/>
        </w:trPr>
        <w:tc>
          <w:tcPr>
            <w:tcW w:w="9628" w:type="dxa"/>
            <w:gridSpan w:val="3"/>
          </w:tcPr>
          <w:p w14:paraId="34566796" w14:textId="77777777" w:rsidR="00CB4157" w:rsidRPr="005859D0" w:rsidRDefault="00CB4157" w:rsidP="005859D0">
            <w:pPr>
              <w:pStyle w:val="Leipteksti"/>
              <w:rPr>
                <w:lang w:val="sv-SE"/>
              </w:rPr>
            </w:pPr>
          </w:p>
          <w:p w14:paraId="71D0B2E4" w14:textId="333812D3" w:rsidR="00CB4157" w:rsidRPr="005859D0" w:rsidRDefault="00CB4157" w:rsidP="005859D0">
            <w:pPr>
              <w:pStyle w:val="Leipteksti"/>
              <w:rPr>
                <w:lang w:val="sv-SE"/>
              </w:rPr>
            </w:pPr>
            <w:r w:rsidRPr="005859D0">
              <w:rPr>
                <w:lang w:val="sv"/>
              </w:rPr>
              <w:t xml:space="preserve">Att kombinera resurser mellan myndigheter och i samarbete med den privata sektorn, näringslivet och organisationsfältet är en väsentlig del av programmets åtgärder i nästan alla av </w:t>
            </w:r>
            <w:r w:rsidRPr="005859D0">
              <w:rPr>
                <w:lang w:val="sv"/>
              </w:rPr>
              <w:lastRenderedPageBreak/>
              <w:t xml:space="preserve">programmets teman, såsom cyberbrottslighet, </w:t>
            </w:r>
            <w:r w:rsidR="00FE40FE">
              <w:rPr>
                <w:lang w:val="sv-SE"/>
              </w:rPr>
              <w:t>ungdoms</w:t>
            </w:r>
            <w:r w:rsidR="00FE40FE" w:rsidRPr="00240E39">
              <w:rPr>
                <w:lang w:val="sv-SE"/>
              </w:rPr>
              <w:t>brottslighet</w:t>
            </w:r>
            <w:r w:rsidR="00FE40FE" w:rsidRPr="007F1202">
              <w:rPr>
                <w:lang w:val="sv-SE"/>
              </w:rPr>
              <w:t xml:space="preserve">, </w:t>
            </w:r>
            <w:r w:rsidR="00FE40FE" w:rsidRPr="00240E39">
              <w:rPr>
                <w:lang w:val="sv-SE"/>
              </w:rPr>
              <w:t xml:space="preserve">gängkriminalitet, </w:t>
            </w:r>
            <w:r w:rsidR="00FE40FE">
              <w:rPr>
                <w:lang w:val="sv-SE"/>
              </w:rPr>
              <w:t>organiserad brottslighet,</w:t>
            </w:r>
            <w:r w:rsidR="00FE40FE" w:rsidRPr="005859D0">
              <w:rPr>
                <w:lang w:val="sv"/>
              </w:rPr>
              <w:t xml:space="preserve"> </w:t>
            </w:r>
            <w:r w:rsidRPr="005859D0">
              <w:rPr>
                <w:lang w:val="sv"/>
              </w:rPr>
              <w:t xml:space="preserve">narkotika, radikalisering, penningtvätt eller skydd av offer. </w:t>
            </w:r>
          </w:p>
          <w:p w14:paraId="6E6BC704" w14:textId="77777777" w:rsidR="00CB4157" w:rsidRPr="005859D0" w:rsidRDefault="00CB4157" w:rsidP="005859D0">
            <w:pPr>
              <w:pStyle w:val="Leipteksti"/>
              <w:rPr>
                <w:highlight w:val="yellow"/>
                <w:lang w:val="sv-SE"/>
              </w:rPr>
            </w:pPr>
          </w:p>
          <w:p w14:paraId="37BEDDC3" w14:textId="77777777" w:rsidR="00CB4157" w:rsidRPr="005859D0" w:rsidRDefault="00CB4157" w:rsidP="005859D0">
            <w:pPr>
              <w:pStyle w:val="Leipteksti"/>
              <w:rPr>
                <w:b/>
                <w:lang w:val="sv-SE"/>
              </w:rPr>
            </w:pPr>
            <w:r w:rsidRPr="005859D0">
              <w:rPr>
                <w:b/>
                <w:bCs/>
                <w:lang w:val="sv"/>
              </w:rPr>
              <w:t xml:space="preserve">Målet är att förstärka den gemensamma kompetensen, göra samarbetspraxis smidigare och dela och inrikta resurser på så sätt att de gynnar alla parter. </w:t>
            </w:r>
          </w:p>
          <w:p w14:paraId="304E5EAD" w14:textId="77777777" w:rsidR="00CB4157" w:rsidRPr="005859D0" w:rsidRDefault="00CB4157" w:rsidP="005859D0">
            <w:pPr>
              <w:pStyle w:val="Leipteksti"/>
              <w:rPr>
                <w:highlight w:val="yellow"/>
                <w:lang w:val="sv-SE"/>
              </w:rPr>
            </w:pPr>
          </w:p>
          <w:p w14:paraId="4992EEB6" w14:textId="77777777" w:rsidR="00CB4157" w:rsidRPr="005859D0" w:rsidRDefault="00CB4157" w:rsidP="005859D0">
            <w:pPr>
              <w:pStyle w:val="Leipteksti"/>
              <w:rPr>
                <w:lang w:val="sv-SE"/>
              </w:rPr>
            </w:pPr>
            <w:r w:rsidRPr="005859D0">
              <w:rPr>
                <w:lang w:val="sv"/>
              </w:rPr>
              <w:t>Understöd kan beviljas för projekt där man till exempel:</w:t>
            </w:r>
          </w:p>
          <w:p w14:paraId="24DC8A1F" w14:textId="228CD502" w:rsidR="00CB4157" w:rsidRPr="005859D0" w:rsidRDefault="00CB4157" w:rsidP="00733E95">
            <w:pPr>
              <w:pStyle w:val="Leipteksti"/>
              <w:numPr>
                <w:ilvl w:val="0"/>
                <w:numId w:val="16"/>
              </w:numPr>
              <w:rPr>
                <w:lang w:val="sv-SE"/>
              </w:rPr>
            </w:pPr>
            <w:r w:rsidRPr="005859D0">
              <w:rPr>
                <w:lang w:val="sv"/>
              </w:rPr>
              <w:t>fördjupar samarbetet och delningen av praxis</w:t>
            </w:r>
            <w:r w:rsidR="00315E9F">
              <w:rPr>
                <w:lang w:val="sv"/>
              </w:rPr>
              <w:t xml:space="preserve"> för att förbättra den inre säkerheten</w:t>
            </w:r>
            <w:r w:rsidRPr="005859D0">
              <w:rPr>
                <w:lang w:val="sv"/>
              </w:rPr>
              <w:t xml:space="preserve">, </w:t>
            </w:r>
          </w:p>
          <w:p w14:paraId="3B9CEAB1" w14:textId="0936E6B2" w:rsidR="00B022E9" w:rsidRPr="00F30646" w:rsidRDefault="00315E9F" w:rsidP="00315E9F">
            <w:pPr>
              <w:pStyle w:val="Leipteksti"/>
              <w:numPr>
                <w:ilvl w:val="0"/>
                <w:numId w:val="16"/>
              </w:numPr>
              <w:rPr>
                <w:lang w:val="sv-SE"/>
              </w:rPr>
            </w:pPr>
            <w:r>
              <w:rPr>
                <w:lang w:val="sv"/>
              </w:rPr>
              <w:t xml:space="preserve">bland annat genom att utnyttja </w:t>
            </w:r>
            <w:r w:rsidRPr="00315E9F">
              <w:rPr>
                <w:lang w:val="sv"/>
              </w:rPr>
              <w:t>no</w:t>
            </w:r>
            <w:r>
              <w:rPr>
                <w:lang w:val="sv"/>
              </w:rPr>
              <w:t>rd</w:t>
            </w:r>
            <w:r w:rsidRPr="00315E9F">
              <w:rPr>
                <w:lang w:val="sv"/>
              </w:rPr>
              <w:t xml:space="preserve">isk praxis </w:t>
            </w:r>
            <w:r w:rsidR="00CB4157" w:rsidRPr="005859D0">
              <w:rPr>
                <w:lang w:val="sv"/>
              </w:rPr>
              <w:t xml:space="preserve">utvecklar verksamhetsmodeller för att utveckla identifiering </w:t>
            </w:r>
            <w:r>
              <w:rPr>
                <w:lang w:val="sv"/>
              </w:rPr>
              <w:t>och</w:t>
            </w:r>
            <w:r w:rsidR="00CB4157" w:rsidRPr="005859D0">
              <w:rPr>
                <w:lang w:val="sv"/>
              </w:rPr>
              <w:t xml:space="preserve"> förebyggande av och ingripande i ett tidigt skede i bland annat narkotikabrottslighet, korruption,</w:t>
            </w:r>
            <w:r>
              <w:rPr>
                <w:lang w:val="sv"/>
              </w:rPr>
              <w:t xml:space="preserve"> gängbildning, terrorism,</w:t>
            </w:r>
            <w:r w:rsidR="00CB4157" w:rsidRPr="005859D0">
              <w:rPr>
                <w:lang w:val="sv"/>
              </w:rPr>
              <w:t xml:space="preserve"> våldsbejakande radikalisering och extremism samt bekämpa terroristisk propaganda,</w:t>
            </w:r>
          </w:p>
          <w:p w14:paraId="3BAB7E1C" w14:textId="5831DF34" w:rsidR="00CB4157" w:rsidRPr="00B022E9" w:rsidRDefault="00B022E9" w:rsidP="00B022E9">
            <w:pPr>
              <w:pStyle w:val="Leipteksti"/>
              <w:numPr>
                <w:ilvl w:val="0"/>
                <w:numId w:val="16"/>
              </w:numPr>
              <w:rPr>
                <w:lang w:val="sv-SE"/>
              </w:rPr>
            </w:pPr>
            <w:r w:rsidRPr="00B022E9">
              <w:rPr>
                <w:lang w:val="sv-SE"/>
              </w:rPr>
              <w:t>utvidgar</w:t>
            </w:r>
            <w:r w:rsidRPr="00F30646">
              <w:rPr>
                <w:lang w:val="sv-SE"/>
              </w:rPr>
              <w:t xml:space="preserve"> Centralkriminalpolisens Exit-verksamhet så att den utöver organiserad brottslighet och </w:t>
            </w:r>
            <w:r w:rsidRPr="00B022E9">
              <w:rPr>
                <w:lang w:val="sv-SE"/>
              </w:rPr>
              <w:t xml:space="preserve">våldsam extremism </w:t>
            </w:r>
            <w:r>
              <w:rPr>
                <w:lang w:val="sv-SE"/>
              </w:rPr>
              <w:t xml:space="preserve">även </w:t>
            </w:r>
            <w:r w:rsidRPr="00F30646">
              <w:rPr>
                <w:lang w:val="sv-SE"/>
              </w:rPr>
              <w:t xml:space="preserve">omfattar </w:t>
            </w:r>
            <w:r w:rsidRPr="00B022E9">
              <w:rPr>
                <w:lang w:val="sv-SE"/>
              </w:rPr>
              <w:t>medlemmar i gatugäng</w:t>
            </w:r>
            <w:r w:rsidRPr="00F30646">
              <w:rPr>
                <w:lang w:val="sv-SE"/>
              </w:rPr>
              <w:t>,</w:t>
            </w:r>
            <w:r w:rsidR="00CB4157" w:rsidRPr="00F30646">
              <w:rPr>
                <w:lang w:val="sv-SE"/>
              </w:rPr>
              <w:t xml:space="preserve"> </w:t>
            </w:r>
          </w:p>
          <w:p w14:paraId="3D11D083" w14:textId="46B95E25" w:rsidR="00CB4157" w:rsidRPr="005859D0" w:rsidRDefault="00CB4157" w:rsidP="00733E95">
            <w:pPr>
              <w:pStyle w:val="Leipteksti"/>
              <w:numPr>
                <w:ilvl w:val="0"/>
                <w:numId w:val="16"/>
              </w:numPr>
              <w:rPr>
                <w:lang w:val="sv-SE"/>
              </w:rPr>
            </w:pPr>
            <w:r w:rsidRPr="005859D0">
              <w:rPr>
                <w:lang w:val="sv"/>
              </w:rPr>
              <w:t xml:space="preserve">förstärker informationsutbytet </w:t>
            </w:r>
            <w:r w:rsidR="00B022E9">
              <w:rPr>
                <w:lang w:val="sv"/>
              </w:rPr>
              <w:t xml:space="preserve">och dess processer </w:t>
            </w:r>
            <w:r w:rsidRPr="005859D0">
              <w:rPr>
                <w:lang w:val="sv"/>
              </w:rPr>
              <w:t>mellan myndigheter och den privata sektorn, till exempel med finanssektorn vad gäller penningtvätt och bedrägeribrottslighet,</w:t>
            </w:r>
          </w:p>
          <w:p w14:paraId="6F791158" w14:textId="7FB97596" w:rsidR="00CB4157" w:rsidRPr="005859D0" w:rsidRDefault="00CB4157" w:rsidP="00733E95">
            <w:pPr>
              <w:pStyle w:val="Leipteksti"/>
              <w:numPr>
                <w:ilvl w:val="0"/>
                <w:numId w:val="16"/>
              </w:numPr>
              <w:rPr>
                <w:lang w:val="sv-SE"/>
              </w:rPr>
            </w:pPr>
            <w:r w:rsidRPr="005859D0">
              <w:rPr>
                <w:lang w:val="sv"/>
              </w:rPr>
              <w:t xml:space="preserve">utvecklar </w:t>
            </w:r>
            <w:r w:rsidR="00B022E9">
              <w:rPr>
                <w:lang w:val="sv"/>
              </w:rPr>
              <w:t xml:space="preserve">polisens </w:t>
            </w:r>
            <w:r w:rsidRPr="005859D0">
              <w:rPr>
                <w:lang w:val="sv"/>
              </w:rPr>
              <w:t xml:space="preserve">analysverksamhet för att identifiera objekt och rikta resurserna inom avslöjande verksamhet, </w:t>
            </w:r>
          </w:p>
          <w:p w14:paraId="129B626B" w14:textId="77777777" w:rsidR="00CB4157" w:rsidRPr="005859D0" w:rsidRDefault="00CB4157" w:rsidP="00733E95">
            <w:pPr>
              <w:pStyle w:val="Leipteksti"/>
              <w:numPr>
                <w:ilvl w:val="0"/>
                <w:numId w:val="16"/>
              </w:numPr>
              <w:rPr>
                <w:lang w:val="sv-SE"/>
              </w:rPr>
            </w:pPr>
            <w:r w:rsidRPr="005859D0">
              <w:rPr>
                <w:lang w:val="sv"/>
              </w:rPr>
              <w:t xml:space="preserve">utvecklar nya verksamhetsformer för avlägsnande av vinning av brott, </w:t>
            </w:r>
          </w:p>
          <w:p w14:paraId="6E1B69AD" w14:textId="77777777" w:rsidR="00CB4157" w:rsidRPr="005859D0" w:rsidRDefault="00CB4157" w:rsidP="00733E95">
            <w:pPr>
              <w:pStyle w:val="Leipteksti"/>
              <w:numPr>
                <w:ilvl w:val="0"/>
                <w:numId w:val="16"/>
              </w:numPr>
              <w:rPr>
                <w:lang w:val="sv-SE"/>
              </w:rPr>
            </w:pPr>
            <w:r w:rsidRPr="005859D0">
              <w:rPr>
                <w:lang w:val="sv"/>
              </w:rPr>
              <w:t>vidtar åtgärder som ingriper i terroristiskt innehåll,</w:t>
            </w:r>
          </w:p>
          <w:p w14:paraId="2CB204A4" w14:textId="1A3CFD6E" w:rsidR="00CB4157" w:rsidRPr="00F30646" w:rsidRDefault="00CB4157" w:rsidP="00733E95">
            <w:pPr>
              <w:pStyle w:val="Leipteksti"/>
              <w:numPr>
                <w:ilvl w:val="0"/>
                <w:numId w:val="16"/>
              </w:numPr>
              <w:rPr>
                <w:lang w:val="sv-SE"/>
              </w:rPr>
            </w:pPr>
            <w:r w:rsidRPr="005859D0">
              <w:rPr>
                <w:lang w:val="sv"/>
              </w:rPr>
              <w:t>utvecklar den administrativa brottsbekämpningen vad gäller bland annat penningtvätt</w:t>
            </w:r>
            <w:r w:rsidR="002678D8">
              <w:rPr>
                <w:lang w:val="sv"/>
              </w:rPr>
              <w:t xml:space="preserve">, </w:t>
            </w:r>
            <w:r w:rsidRPr="005859D0">
              <w:rPr>
                <w:lang w:val="sv"/>
              </w:rPr>
              <w:t>bedrägeribrottslighet</w:t>
            </w:r>
            <w:r w:rsidR="002678D8">
              <w:rPr>
                <w:lang w:val="sv"/>
              </w:rPr>
              <w:t xml:space="preserve"> och bekämpning av korruption</w:t>
            </w:r>
            <w:r w:rsidRPr="005859D0">
              <w:rPr>
                <w:lang w:val="sv"/>
              </w:rPr>
              <w:t>, inklusive organisationer, den privata sektorn och näringslivet</w:t>
            </w:r>
            <w:r w:rsidR="00733E95">
              <w:rPr>
                <w:lang w:val="sv"/>
              </w:rPr>
              <w:t>,</w:t>
            </w:r>
          </w:p>
          <w:p w14:paraId="7A5DF610" w14:textId="3A86A9B8" w:rsidR="002678D8" w:rsidRPr="00A31D59" w:rsidRDefault="00402F96" w:rsidP="00733E95">
            <w:pPr>
              <w:pStyle w:val="Leipteksti"/>
              <w:numPr>
                <w:ilvl w:val="0"/>
                <w:numId w:val="16"/>
              </w:numPr>
              <w:rPr>
                <w:lang w:val="sv-SE"/>
              </w:rPr>
            </w:pPr>
            <w:r>
              <w:rPr>
                <w:lang w:val="sv"/>
              </w:rPr>
              <w:t>förbättrar lägesbilden över penningtvätt och finansiering av terrorism i Finland,</w:t>
            </w:r>
          </w:p>
          <w:p w14:paraId="41EA9640" w14:textId="328BF209" w:rsidR="00733E95" w:rsidRPr="00A31D59" w:rsidRDefault="00382BAF" w:rsidP="00935A4C">
            <w:pPr>
              <w:pStyle w:val="Leipteksti"/>
              <w:numPr>
                <w:ilvl w:val="0"/>
                <w:numId w:val="16"/>
              </w:numPr>
              <w:rPr>
                <w:lang w:val="sv-SE"/>
              </w:rPr>
            </w:pPr>
            <w:r>
              <w:rPr>
                <w:lang w:val="sv-SE"/>
              </w:rPr>
              <w:t xml:space="preserve">utvecklar </w:t>
            </w:r>
            <w:r w:rsidRPr="00A31D59">
              <w:rPr>
                <w:lang w:val="sv-SE"/>
              </w:rPr>
              <w:t>sektorsövergripande förebyggande verksamhet oberoende av brottstyp</w:t>
            </w:r>
            <w:r w:rsidR="00402F96">
              <w:rPr>
                <w:lang w:val="sv-SE"/>
              </w:rPr>
              <w:t xml:space="preserve"> på ett sätt som är effektivt med tanke på den inre säkerheten</w:t>
            </w:r>
            <w:r w:rsidRPr="00A31D59">
              <w:rPr>
                <w:lang w:val="sv-SE"/>
              </w:rPr>
              <w:t>,</w:t>
            </w:r>
          </w:p>
          <w:p w14:paraId="65DB5AA0" w14:textId="30D3125E" w:rsidR="002840DC" w:rsidRPr="005859D0" w:rsidRDefault="002840DC" w:rsidP="00733E95">
            <w:pPr>
              <w:pStyle w:val="Leipteksti"/>
              <w:numPr>
                <w:ilvl w:val="0"/>
                <w:numId w:val="16"/>
              </w:numPr>
              <w:rPr>
                <w:lang w:val="sv-SE"/>
              </w:rPr>
            </w:pPr>
            <w:r w:rsidRPr="005859D0">
              <w:rPr>
                <w:lang w:val="sv"/>
              </w:rPr>
              <w:lastRenderedPageBreak/>
              <w:t xml:space="preserve">strävar efter att bryta </w:t>
            </w:r>
            <w:r w:rsidR="00402F96">
              <w:rPr>
                <w:lang w:val="sv"/>
              </w:rPr>
              <w:t xml:space="preserve">bland annat </w:t>
            </w:r>
            <w:r w:rsidRPr="005859D0">
              <w:rPr>
                <w:lang w:val="sv"/>
              </w:rPr>
              <w:t>brotts- och gängbildningsspiraler,</w:t>
            </w:r>
          </w:p>
          <w:p w14:paraId="2B30910E" w14:textId="77777777" w:rsidR="002840DC" w:rsidRPr="005859D0" w:rsidRDefault="002840DC" w:rsidP="00733E95">
            <w:pPr>
              <w:pStyle w:val="Leipteksti"/>
              <w:numPr>
                <w:ilvl w:val="0"/>
                <w:numId w:val="16"/>
              </w:numPr>
              <w:rPr>
                <w:lang w:val="sv-SE"/>
              </w:rPr>
            </w:pPr>
            <w:r w:rsidRPr="005859D0">
              <w:rPr>
                <w:lang w:val="sv"/>
              </w:rPr>
              <w:t xml:space="preserve">säkerställer myndigheternas och de övriga aktörernas kompetens och funktionernas riksomfattande täckning, </w:t>
            </w:r>
          </w:p>
          <w:p w14:paraId="01399344" w14:textId="77777777" w:rsidR="002840DC" w:rsidRPr="005859D0" w:rsidRDefault="002840DC" w:rsidP="00733E95">
            <w:pPr>
              <w:pStyle w:val="Leipteksti"/>
              <w:numPr>
                <w:ilvl w:val="0"/>
                <w:numId w:val="16"/>
              </w:numPr>
            </w:pPr>
            <w:r w:rsidRPr="005859D0">
              <w:rPr>
                <w:lang w:val="sv"/>
              </w:rPr>
              <w:t>styr målpersoner till myndighetsservicevägar,</w:t>
            </w:r>
          </w:p>
          <w:p w14:paraId="18D34EA1" w14:textId="77777777" w:rsidR="002840DC" w:rsidRPr="005859D0" w:rsidRDefault="002840DC" w:rsidP="00733E95">
            <w:pPr>
              <w:pStyle w:val="Leipteksti"/>
              <w:numPr>
                <w:ilvl w:val="0"/>
                <w:numId w:val="16"/>
              </w:numPr>
              <w:rPr>
                <w:lang w:val="sv-SE"/>
              </w:rPr>
            </w:pPr>
            <w:r w:rsidRPr="005859D0">
              <w:rPr>
                <w:lang w:val="sv"/>
              </w:rPr>
              <w:t>stöder kompetens, ork och egen aktivitet i kamratnätverk (såsom nätverk för kvinnor, ungdomar och föräldrar),</w:t>
            </w:r>
          </w:p>
          <w:p w14:paraId="7D7C2F6E" w14:textId="77777777" w:rsidR="002840DC" w:rsidRPr="005859D0" w:rsidRDefault="002840DC" w:rsidP="00733E95">
            <w:pPr>
              <w:pStyle w:val="Leipteksti"/>
              <w:numPr>
                <w:ilvl w:val="0"/>
                <w:numId w:val="16"/>
              </w:numPr>
              <w:rPr>
                <w:lang w:val="sv-SE"/>
              </w:rPr>
            </w:pPr>
            <w:r w:rsidRPr="005859D0">
              <w:rPr>
                <w:lang w:val="sv"/>
              </w:rPr>
              <w:t>utvecklar verksamhetsmodeller för till exempel samarbete och kamratstödsverksamhet,</w:t>
            </w:r>
          </w:p>
          <w:p w14:paraId="20349C77" w14:textId="77777777" w:rsidR="002840DC" w:rsidRPr="005859D0" w:rsidRDefault="002840DC" w:rsidP="00733E95">
            <w:pPr>
              <w:pStyle w:val="Leipteksti"/>
              <w:numPr>
                <w:ilvl w:val="0"/>
                <w:numId w:val="16"/>
              </w:numPr>
              <w:rPr>
                <w:lang w:val="sv-SE"/>
              </w:rPr>
            </w:pPr>
            <w:r w:rsidRPr="005859D0">
              <w:rPr>
                <w:lang w:val="sv"/>
              </w:rPr>
              <w:t>utvecklar utvärderingsmetoder för att bedöma åtgärdernas effektivitet,</w:t>
            </w:r>
          </w:p>
          <w:p w14:paraId="1D634917" w14:textId="77777777" w:rsidR="002840DC" w:rsidRPr="005859D0" w:rsidRDefault="002840DC" w:rsidP="00733E95">
            <w:pPr>
              <w:pStyle w:val="Leipteksti"/>
              <w:numPr>
                <w:ilvl w:val="0"/>
                <w:numId w:val="16"/>
              </w:numPr>
            </w:pPr>
            <w:r w:rsidRPr="005859D0">
              <w:rPr>
                <w:lang w:val="sv"/>
              </w:rPr>
              <w:t>utbildar aktörer och familjer,</w:t>
            </w:r>
          </w:p>
          <w:p w14:paraId="04F7B241" w14:textId="77777777" w:rsidR="002840DC" w:rsidRPr="005859D0" w:rsidRDefault="002840DC" w:rsidP="00733E95">
            <w:pPr>
              <w:pStyle w:val="Leipteksti"/>
              <w:numPr>
                <w:ilvl w:val="0"/>
                <w:numId w:val="16"/>
              </w:numPr>
              <w:rPr>
                <w:lang w:val="sv-SE"/>
              </w:rPr>
            </w:pPr>
            <w:r w:rsidRPr="005859D0">
              <w:rPr>
                <w:lang w:val="sv"/>
              </w:rPr>
              <w:t>kombinerar forskningsbaserad kunskap med verksamhetsutveckling,</w:t>
            </w:r>
          </w:p>
          <w:p w14:paraId="5D87540A" w14:textId="77777777" w:rsidR="00CB4157" w:rsidRDefault="002840DC" w:rsidP="002840DC">
            <w:pPr>
              <w:pStyle w:val="Leipteksti"/>
              <w:ind w:left="720"/>
              <w:rPr>
                <w:lang w:val="sv"/>
              </w:rPr>
            </w:pPr>
            <w:r w:rsidRPr="00733E95">
              <w:rPr>
                <w:lang w:val="sv"/>
              </w:rPr>
              <w:t>utvärderar verksamhet.</w:t>
            </w:r>
          </w:p>
          <w:p w14:paraId="692A00E5" w14:textId="1C65A945" w:rsidR="00733E95" w:rsidRDefault="00382BAF" w:rsidP="00733E95">
            <w:pPr>
              <w:pStyle w:val="Leipteksti"/>
            </w:pPr>
            <w:proofErr w:type="spellStart"/>
            <w:r>
              <w:t>Resultatmål</w:t>
            </w:r>
            <w:proofErr w:type="spellEnd"/>
            <w:r>
              <w:t xml:space="preserve">: </w:t>
            </w:r>
          </w:p>
          <w:p w14:paraId="2268EFD8" w14:textId="2C747CD6" w:rsidR="00382BAF" w:rsidRPr="00382BAF" w:rsidRDefault="00382BAF" w:rsidP="00382BAF">
            <w:pPr>
              <w:pStyle w:val="Leipteksti"/>
              <w:numPr>
                <w:ilvl w:val="0"/>
                <w:numId w:val="40"/>
              </w:numPr>
              <w:rPr>
                <w:lang w:val="sv-SE"/>
              </w:rPr>
            </w:pPr>
            <w:r w:rsidRPr="00382BAF">
              <w:rPr>
                <w:lang w:val="sv-SE"/>
              </w:rPr>
              <w:t xml:space="preserve">lokala verksamhetsmodeller och förebyggande politik har utvecklats och </w:t>
            </w:r>
            <w:r w:rsidR="004806FA" w:rsidRPr="00382BAF">
              <w:rPr>
                <w:lang w:val="sv-SE"/>
              </w:rPr>
              <w:t>pilot</w:t>
            </w:r>
            <w:r w:rsidR="004806FA">
              <w:rPr>
                <w:lang w:val="sv-SE"/>
              </w:rPr>
              <w:t>testats</w:t>
            </w:r>
            <w:r w:rsidR="004806FA" w:rsidRPr="00382BAF">
              <w:rPr>
                <w:lang w:val="sv-SE"/>
              </w:rPr>
              <w:t xml:space="preserve"> </w:t>
            </w:r>
            <w:r w:rsidRPr="00382BAF">
              <w:rPr>
                <w:lang w:val="sv-SE"/>
              </w:rPr>
              <w:t>genom samarbete mellan olika aktörer,</w:t>
            </w:r>
          </w:p>
          <w:p w14:paraId="3D54A8CB" w14:textId="2A6AE90D" w:rsidR="00424D38" w:rsidRPr="00424D38" w:rsidRDefault="00424D38" w:rsidP="00424D38">
            <w:pPr>
              <w:pStyle w:val="Leipteksti"/>
              <w:numPr>
                <w:ilvl w:val="0"/>
                <w:numId w:val="40"/>
              </w:numPr>
              <w:rPr>
                <w:lang w:val="sv-SE"/>
              </w:rPr>
            </w:pPr>
            <w:r>
              <w:rPr>
                <w:lang w:val="sv-SE"/>
              </w:rPr>
              <w:t xml:space="preserve">ett nytt slags </w:t>
            </w:r>
            <w:r w:rsidRPr="00382BAF">
              <w:rPr>
                <w:lang w:val="sv-SE"/>
              </w:rPr>
              <w:t xml:space="preserve">riktat arbete med </w:t>
            </w:r>
            <w:r>
              <w:rPr>
                <w:lang w:val="sv-SE"/>
              </w:rPr>
              <w:t>den fjärde sektorn (</w:t>
            </w:r>
            <w:proofErr w:type="gramStart"/>
            <w:r w:rsidRPr="00907B82">
              <w:rPr>
                <w:lang w:val="sv-SE"/>
              </w:rPr>
              <w:t>t.ex.</w:t>
            </w:r>
            <w:proofErr w:type="gramEnd"/>
            <w:r w:rsidRPr="00907B82">
              <w:rPr>
                <w:lang w:val="sv-SE"/>
              </w:rPr>
              <w:t xml:space="preserve"> föräldranätverk</w:t>
            </w:r>
            <w:r>
              <w:rPr>
                <w:lang w:val="sv-SE"/>
              </w:rPr>
              <w:t>/familjer)</w:t>
            </w:r>
            <w:r w:rsidRPr="00382BAF">
              <w:rPr>
                <w:lang w:val="sv-SE"/>
              </w:rPr>
              <w:t xml:space="preserve"> har utvecklats,</w:t>
            </w:r>
          </w:p>
          <w:p w14:paraId="7B42CEAF" w14:textId="25D20CD0" w:rsidR="00382BAF" w:rsidRPr="00382BAF" w:rsidRDefault="00382BAF" w:rsidP="00382BAF">
            <w:pPr>
              <w:pStyle w:val="Leipteksti"/>
              <w:numPr>
                <w:ilvl w:val="0"/>
                <w:numId w:val="40"/>
              </w:numPr>
              <w:rPr>
                <w:lang w:val="sv-SE"/>
              </w:rPr>
            </w:pPr>
            <w:r w:rsidRPr="00382BAF">
              <w:rPr>
                <w:lang w:val="sv-SE"/>
              </w:rPr>
              <w:t>kunskap och enhetliga förfaranden har förvärvats i olika delar av landet,</w:t>
            </w:r>
          </w:p>
          <w:p w14:paraId="4D000224" w14:textId="364FDB43" w:rsidR="00382BAF" w:rsidRPr="00382BAF" w:rsidRDefault="00382BAF" w:rsidP="00382BAF">
            <w:pPr>
              <w:pStyle w:val="Leipteksti"/>
              <w:numPr>
                <w:ilvl w:val="0"/>
                <w:numId w:val="40"/>
              </w:numPr>
              <w:rPr>
                <w:lang w:val="sv-SE"/>
              </w:rPr>
            </w:pPr>
            <w:r w:rsidRPr="00382BAF">
              <w:rPr>
                <w:lang w:val="sv-SE"/>
              </w:rPr>
              <w:t>nya tillvägagångssätt och stödformer har skapats och befintliga har vidareutvecklats,</w:t>
            </w:r>
          </w:p>
          <w:p w14:paraId="415D3EAB" w14:textId="3A80A945" w:rsidR="00A151DF" w:rsidRDefault="004806FA" w:rsidP="00F30646">
            <w:pPr>
              <w:pStyle w:val="Leipteksti"/>
              <w:numPr>
                <w:ilvl w:val="0"/>
                <w:numId w:val="40"/>
              </w:numPr>
              <w:rPr>
                <w:lang w:val="sv-SE"/>
              </w:rPr>
            </w:pPr>
            <w:r w:rsidRPr="00F30646">
              <w:rPr>
                <w:lang w:val="sv-SE"/>
              </w:rPr>
              <w:t>kompetensen hos i synnerhet</w:t>
            </w:r>
            <w:r w:rsidRPr="004806FA">
              <w:rPr>
                <w:lang w:val="sv-SE"/>
              </w:rPr>
              <w:t xml:space="preserve"> aktörerna inom den inre säkerheten </w:t>
            </w:r>
            <w:r>
              <w:rPr>
                <w:lang w:val="sv-SE"/>
              </w:rPr>
              <w:t>och</w:t>
            </w:r>
            <w:r w:rsidRPr="00F30646">
              <w:rPr>
                <w:lang w:val="sv-SE"/>
              </w:rPr>
              <w:t xml:space="preserve"> yrkesmän</w:t>
            </w:r>
            <w:r w:rsidR="00A151DF">
              <w:rPr>
                <w:lang w:val="sv-SE"/>
              </w:rPr>
              <w:t>nen</w:t>
            </w:r>
            <w:r>
              <w:rPr>
                <w:lang w:val="sv-SE"/>
              </w:rPr>
              <w:t xml:space="preserve"> i olika berörda grupper</w:t>
            </w:r>
            <w:r w:rsidRPr="00F30646">
              <w:rPr>
                <w:lang w:val="sv-SE"/>
              </w:rPr>
              <w:t xml:space="preserve"> </w:t>
            </w:r>
            <w:r w:rsidR="00382BAF" w:rsidRPr="00F30646">
              <w:rPr>
                <w:lang w:val="sv-SE"/>
              </w:rPr>
              <w:t>har förbättrats</w:t>
            </w:r>
            <w:r w:rsidR="00A151DF">
              <w:rPr>
                <w:lang w:val="sv-SE"/>
              </w:rPr>
              <w:t>,</w:t>
            </w:r>
          </w:p>
          <w:p w14:paraId="4EA71CCC" w14:textId="74EA9EAB" w:rsidR="00733E95" w:rsidRPr="005859D0" w:rsidRDefault="00A151DF" w:rsidP="00F30646">
            <w:pPr>
              <w:pStyle w:val="Leipteksti"/>
              <w:numPr>
                <w:ilvl w:val="0"/>
                <w:numId w:val="40"/>
              </w:numPr>
              <w:rPr>
                <w:lang w:val="sv-SE"/>
              </w:rPr>
            </w:pPr>
            <w:r>
              <w:rPr>
                <w:lang w:val="sv-SE"/>
              </w:rPr>
              <w:t xml:space="preserve">en nationell </w:t>
            </w:r>
            <w:r w:rsidRPr="00A151DF">
              <w:rPr>
                <w:lang w:val="sv-SE"/>
              </w:rPr>
              <w:t>bedömning av riskerna för</w:t>
            </w:r>
            <w:r w:rsidRPr="00A151DF" w:rsidDel="00A151DF">
              <w:rPr>
                <w:lang w:val="sv-SE"/>
              </w:rPr>
              <w:t xml:space="preserve"> </w:t>
            </w:r>
            <w:r>
              <w:rPr>
                <w:lang w:val="sv-SE"/>
              </w:rPr>
              <w:t>penningtvätt och finansiering av terrorism har utarbetats.</w:t>
            </w:r>
          </w:p>
        </w:tc>
      </w:tr>
      <w:bookmarkEnd w:id="70"/>
      <w:tr w:rsidR="00DA1344" w:rsidRPr="000F5AB4" w14:paraId="050237C9" w14:textId="77777777" w:rsidTr="0037512D">
        <w:tc>
          <w:tcPr>
            <w:tcW w:w="4814" w:type="dxa"/>
            <w:gridSpan w:val="2"/>
          </w:tcPr>
          <w:p w14:paraId="2E82AB90" w14:textId="77777777" w:rsidR="00DA1344" w:rsidRDefault="00DA1344" w:rsidP="0028407A">
            <w:pPr>
              <w:pStyle w:val="Leipteksti"/>
              <w:rPr>
                <w:b/>
                <w:bCs/>
                <w:lang w:val="sv"/>
              </w:rPr>
            </w:pPr>
            <w:r>
              <w:rPr>
                <w:b/>
                <w:bCs/>
                <w:lang w:val="sv"/>
              </w:rPr>
              <w:lastRenderedPageBreak/>
              <w:t>Understöd</w:t>
            </w:r>
          </w:p>
        </w:tc>
        <w:tc>
          <w:tcPr>
            <w:tcW w:w="4814" w:type="dxa"/>
          </w:tcPr>
          <w:p w14:paraId="6564A769" w14:textId="77777777" w:rsidR="00DA1344" w:rsidRPr="009538BD" w:rsidRDefault="00DA1344" w:rsidP="00DA1344">
            <w:pPr>
              <w:pStyle w:val="Leipteksti"/>
              <w:rPr>
                <w:lang w:val="sv-SE"/>
              </w:rPr>
            </w:pPr>
            <w:r>
              <w:rPr>
                <w:lang w:val="sv"/>
              </w:rPr>
              <w:t>75 %</w:t>
            </w:r>
          </w:p>
          <w:p w14:paraId="085020AD" w14:textId="61774F85" w:rsidR="00DA1344" w:rsidRDefault="00DA1344" w:rsidP="00DA1344">
            <w:pPr>
              <w:pStyle w:val="Leipteksti"/>
              <w:rPr>
                <w:b/>
                <w:bCs/>
                <w:lang w:val="sv"/>
              </w:rPr>
            </w:pPr>
            <w:r>
              <w:rPr>
                <w:lang w:val="sv"/>
              </w:rPr>
              <w:t>Understödet kan höjas till 90 procent för projekt som syftar till att förebygga och bekämpa radikalisering.</w:t>
            </w:r>
          </w:p>
        </w:tc>
      </w:tr>
      <w:tr w:rsidR="00DA1344" w:rsidRPr="000F5AB4" w14:paraId="3142E227" w14:textId="77777777" w:rsidTr="0037512D">
        <w:tc>
          <w:tcPr>
            <w:tcW w:w="4814" w:type="dxa"/>
            <w:gridSpan w:val="2"/>
          </w:tcPr>
          <w:p w14:paraId="17A948B0" w14:textId="77777777" w:rsidR="00DA1344" w:rsidRPr="006C480A" w:rsidRDefault="00DA1344" w:rsidP="00DA1344">
            <w:pPr>
              <w:pStyle w:val="Leipteksti"/>
              <w:rPr>
                <w:b/>
              </w:rPr>
            </w:pPr>
            <w:r>
              <w:rPr>
                <w:b/>
                <w:bCs/>
                <w:lang w:val="sv"/>
              </w:rPr>
              <w:lastRenderedPageBreak/>
              <w:t>Möjliga stödmottagare</w:t>
            </w:r>
          </w:p>
          <w:p w14:paraId="47CF27DC" w14:textId="77777777" w:rsidR="00DA1344" w:rsidRDefault="00DA1344" w:rsidP="0028407A">
            <w:pPr>
              <w:pStyle w:val="Leipteksti"/>
              <w:rPr>
                <w:b/>
                <w:bCs/>
                <w:lang w:val="sv"/>
              </w:rPr>
            </w:pPr>
          </w:p>
        </w:tc>
        <w:tc>
          <w:tcPr>
            <w:tcW w:w="4814" w:type="dxa"/>
          </w:tcPr>
          <w:p w14:paraId="7138F604" w14:textId="0E878B14" w:rsidR="00DA1344" w:rsidRDefault="00DA1344" w:rsidP="00DA1344">
            <w:pPr>
              <w:pStyle w:val="Leipteksti"/>
              <w:rPr>
                <w:lang w:val="sv"/>
              </w:rPr>
            </w:pPr>
            <w:r>
              <w:rPr>
                <w:lang w:val="sv"/>
              </w:rPr>
              <w:t>Behöriga myndigheter på olika nivåer, utbildningsorganisationer, gemenskaper och aktörer i tredje sektorn</w:t>
            </w:r>
          </w:p>
        </w:tc>
      </w:tr>
      <w:tr w:rsidR="00DA1344" w:rsidRPr="000F5AB4" w14:paraId="44E8702F" w14:textId="77777777" w:rsidTr="0037512D">
        <w:tc>
          <w:tcPr>
            <w:tcW w:w="4814" w:type="dxa"/>
            <w:gridSpan w:val="2"/>
          </w:tcPr>
          <w:p w14:paraId="77956A48" w14:textId="7CCB6022" w:rsidR="00DA1344" w:rsidRDefault="00DA1344" w:rsidP="00DA1344">
            <w:pPr>
              <w:pStyle w:val="Leipteksti"/>
              <w:rPr>
                <w:b/>
                <w:bCs/>
                <w:lang w:val="sv"/>
              </w:rPr>
            </w:pPr>
            <w:r>
              <w:rPr>
                <w:rFonts w:eastAsia="Calibri" w:cs="Times New Roman"/>
                <w:b/>
                <w:bCs/>
                <w:lang w:val="sv"/>
              </w:rPr>
              <w:t>Samordning med annan EU-finansiering</w:t>
            </w:r>
          </w:p>
        </w:tc>
        <w:tc>
          <w:tcPr>
            <w:tcW w:w="4814" w:type="dxa"/>
          </w:tcPr>
          <w:p w14:paraId="3A1B5068" w14:textId="77777777" w:rsidR="00DA1344" w:rsidRDefault="00DA1344" w:rsidP="00DA1344">
            <w:pPr>
              <w:pStyle w:val="Leipteksti"/>
              <w:rPr>
                <w:lang w:val="sv"/>
              </w:rPr>
            </w:pPr>
          </w:p>
        </w:tc>
      </w:tr>
      <w:tr w:rsidR="00CB4157" w:rsidRPr="000F5AB4" w14:paraId="0F45834C" w14:textId="77777777" w:rsidTr="005859D0">
        <w:tc>
          <w:tcPr>
            <w:tcW w:w="9628" w:type="dxa"/>
            <w:gridSpan w:val="3"/>
          </w:tcPr>
          <w:p w14:paraId="3AB999B8" w14:textId="77777777" w:rsidR="0028407A" w:rsidRPr="00A31D59" w:rsidRDefault="00733E95" w:rsidP="005859D0">
            <w:pPr>
              <w:pStyle w:val="Leipteksti"/>
              <w:rPr>
                <w:b/>
                <w:bCs/>
                <w:lang w:val="sv-SE"/>
              </w:rPr>
            </w:pPr>
            <w:r w:rsidRPr="00A31D59">
              <w:rPr>
                <w:b/>
                <w:bCs/>
                <w:lang w:val="sv-SE"/>
              </w:rPr>
              <w:t xml:space="preserve"> </w:t>
            </w:r>
          </w:p>
          <w:p w14:paraId="7BC13A57" w14:textId="3AE6939C" w:rsidR="00CB4157" w:rsidRPr="005859D0" w:rsidRDefault="00CB4157" w:rsidP="005859D0">
            <w:pPr>
              <w:pStyle w:val="Leipteksti"/>
              <w:rPr>
                <w:b/>
                <w:lang w:val="sv-SE"/>
              </w:rPr>
            </w:pPr>
            <w:r w:rsidRPr="005859D0">
              <w:rPr>
                <w:b/>
                <w:bCs/>
                <w:lang w:val="sv"/>
              </w:rPr>
              <w:t xml:space="preserve">Indikatorer som ska tillämpas </w:t>
            </w:r>
          </w:p>
          <w:p w14:paraId="3EE80BA0" w14:textId="5BCD8F3D" w:rsidR="00CB4157" w:rsidRPr="005859D0" w:rsidRDefault="00CB4157" w:rsidP="005859D0">
            <w:pPr>
              <w:pStyle w:val="Leipteksti"/>
              <w:rPr>
                <w:lang w:val="sv-SE"/>
              </w:rPr>
            </w:pPr>
            <w:r w:rsidRPr="005859D0">
              <w:rPr>
                <w:lang w:val="sv"/>
              </w:rPr>
              <w:t>I åtgärderna ska även tillämpas andra indikatorer än de som finns i detta s</w:t>
            </w:r>
            <w:r w:rsidR="000473F1">
              <w:rPr>
                <w:lang w:val="sv"/>
              </w:rPr>
              <w:t>pecifik</w:t>
            </w:r>
            <w:r w:rsidRPr="005859D0">
              <w:rPr>
                <w:lang w:val="sv"/>
              </w:rPr>
              <w:t>a mål, om verksamheten som genomförs kan mätas med dem.</w:t>
            </w:r>
          </w:p>
          <w:p w14:paraId="6712C1E1" w14:textId="77777777" w:rsidR="00CB4157" w:rsidRPr="005859D0" w:rsidRDefault="00CB4157" w:rsidP="005859D0">
            <w:pPr>
              <w:pStyle w:val="Leipteksti"/>
              <w:rPr>
                <w:lang w:val="sv-SE"/>
              </w:rPr>
            </w:pPr>
          </w:p>
          <w:p w14:paraId="55A4BCE3" w14:textId="6B8597BC" w:rsidR="00CB4157" w:rsidRPr="005859D0" w:rsidRDefault="0095707B" w:rsidP="005859D0">
            <w:pPr>
              <w:pStyle w:val="Leipteksti"/>
              <w:rPr>
                <w:lang w:val="sv-SE"/>
              </w:rPr>
            </w:pPr>
            <w:r>
              <w:rPr>
                <w:lang w:val="sv"/>
              </w:rPr>
              <w:t>Output</w:t>
            </w:r>
            <w:r w:rsidR="00CB4157" w:rsidRPr="005859D0">
              <w:rPr>
                <w:lang w:val="sv"/>
              </w:rPr>
              <w:t>indikatorer:</w:t>
            </w:r>
          </w:p>
          <w:p w14:paraId="2BEF3CBD" w14:textId="56C6E683" w:rsidR="00CB4157" w:rsidRDefault="00CB4157" w:rsidP="005859D0">
            <w:pPr>
              <w:pStyle w:val="Leipteksti"/>
              <w:rPr>
                <w:lang w:val="sv"/>
              </w:rPr>
            </w:pPr>
            <w:r w:rsidRPr="005859D0">
              <w:rPr>
                <w:lang w:val="sv"/>
              </w:rPr>
              <w:t>O.3.1 Antal deltagare i utbildningsverksamheter</w:t>
            </w:r>
          </w:p>
          <w:p w14:paraId="101166DB" w14:textId="77777777" w:rsidR="00970B1B" w:rsidRPr="009538BD" w:rsidRDefault="00970B1B" w:rsidP="00970B1B">
            <w:pPr>
              <w:pStyle w:val="Leipteksti"/>
              <w:rPr>
                <w:lang w:val="sv-SE"/>
              </w:rPr>
            </w:pPr>
            <w:r>
              <w:rPr>
                <w:lang w:val="sv"/>
              </w:rPr>
              <w:t>O.3.2 Antal utbytesprogram/workshops/studiebesök</w:t>
            </w:r>
          </w:p>
          <w:p w14:paraId="13F9E432" w14:textId="77777777" w:rsidR="00CB4157" w:rsidRPr="005859D0" w:rsidRDefault="00CB4157" w:rsidP="005859D0">
            <w:pPr>
              <w:pStyle w:val="Leipteksti"/>
              <w:rPr>
                <w:lang w:val="sv-SE"/>
              </w:rPr>
            </w:pPr>
            <w:r w:rsidRPr="005859D0">
              <w:rPr>
                <w:lang w:val="sv"/>
              </w:rPr>
              <w:t>O.3.6 Antal brottsförebyggande projekt</w:t>
            </w:r>
          </w:p>
          <w:p w14:paraId="57EA2F4D" w14:textId="2FB591D4" w:rsidR="00CB4157" w:rsidRDefault="00CB4157" w:rsidP="005859D0">
            <w:pPr>
              <w:pStyle w:val="Leipteksti"/>
              <w:rPr>
                <w:lang w:val="sv"/>
              </w:rPr>
            </w:pPr>
            <w:r w:rsidRPr="005859D0">
              <w:rPr>
                <w:lang w:val="sv"/>
              </w:rPr>
              <w:t>Resultatindikatorer:</w:t>
            </w:r>
          </w:p>
          <w:p w14:paraId="63A83F44" w14:textId="51DB1DC0" w:rsidR="002840DC" w:rsidRPr="00970B1B" w:rsidRDefault="00970B1B" w:rsidP="005859D0">
            <w:pPr>
              <w:pStyle w:val="Leipteksti"/>
              <w:rPr>
                <w:lang w:val="sv-SE"/>
              </w:rPr>
            </w:pPr>
            <w:r w:rsidRPr="00A31D59">
              <w:rPr>
                <w:lang w:val="sv-SE"/>
              </w:rPr>
              <w:t>R.3.9 Antal initiativ som utvecklats/vidareutvecklats för att förhindra radikalisering</w:t>
            </w:r>
            <w:r>
              <w:rPr>
                <w:lang w:val="sv-SE"/>
              </w:rPr>
              <w:t xml:space="preserve"> </w:t>
            </w:r>
          </w:p>
          <w:p w14:paraId="4E2571F1" w14:textId="77777777" w:rsidR="00CB4157" w:rsidRPr="005859D0" w:rsidRDefault="00CB4157" w:rsidP="005859D0">
            <w:pPr>
              <w:pStyle w:val="Leipteksti"/>
              <w:rPr>
                <w:lang w:val="sv-SE"/>
              </w:rPr>
            </w:pPr>
            <w:r w:rsidRPr="005859D0">
              <w:rPr>
                <w:lang w:val="sv"/>
              </w:rPr>
              <w:t>R.3.12 Antal deltagare som anser att utbildningsverksamheten är användbar i sitt arbete</w:t>
            </w:r>
          </w:p>
          <w:p w14:paraId="0D9103A5" w14:textId="77777777" w:rsidR="00CB4157" w:rsidRPr="005859D0" w:rsidRDefault="00CB4157" w:rsidP="0003074C">
            <w:pPr>
              <w:pStyle w:val="Leipteksti"/>
              <w:rPr>
                <w:lang w:val="sv-SE"/>
              </w:rPr>
            </w:pPr>
            <w:r w:rsidRPr="005859D0">
              <w:rPr>
                <w:lang w:val="sv"/>
              </w:rPr>
              <w:t>R.3.13 Antal deltagare som tre månader efter att utbildningsverksamheten upphört deklarerar att de använder de färdigheter och den kompetens som förvärvats i utbildningsverksamheten</w:t>
            </w:r>
          </w:p>
        </w:tc>
      </w:tr>
      <w:tr w:rsidR="00CB4157" w:rsidRPr="000F5AB4" w14:paraId="68B4B6CC" w14:textId="77777777" w:rsidTr="00DA1344">
        <w:tc>
          <w:tcPr>
            <w:tcW w:w="4587" w:type="dxa"/>
          </w:tcPr>
          <w:p w14:paraId="78CAB07B" w14:textId="77777777" w:rsidR="00CB4157" w:rsidRPr="005859D0" w:rsidRDefault="00CB4157" w:rsidP="005859D0">
            <w:pPr>
              <w:pStyle w:val="Leipteksti"/>
              <w:rPr>
                <w:b/>
              </w:rPr>
            </w:pPr>
            <w:r w:rsidRPr="005859D0">
              <w:rPr>
                <w:b/>
                <w:bCs/>
                <w:lang w:val="sv"/>
              </w:rPr>
              <w:t>Ansökningstid</w:t>
            </w:r>
          </w:p>
        </w:tc>
        <w:tc>
          <w:tcPr>
            <w:tcW w:w="5041" w:type="dxa"/>
            <w:gridSpan w:val="2"/>
          </w:tcPr>
          <w:p w14:paraId="30DE60A9" w14:textId="7F09A280" w:rsidR="00CB4157" w:rsidRDefault="00AD1B79" w:rsidP="005859D0">
            <w:pPr>
              <w:pStyle w:val="Leipteksti"/>
              <w:rPr>
                <w:lang w:val="sv"/>
              </w:rPr>
            </w:pPr>
            <w:r>
              <w:rPr>
                <w:lang w:val="sv"/>
              </w:rPr>
              <w:t>v</w:t>
            </w:r>
            <w:r w:rsidR="0094506A">
              <w:rPr>
                <w:lang w:val="sv"/>
              </w:rPr>
              <w:t>åren 2024, hösten 2024, våren 2025, hösten 2025</w:t>
            </w:r>
          </w:p>
          <w:p w14:paraId="12E14F87" w14:textId="4A948908" w:rsidR="0094506A" w:rsidRPr="00F30646" w:rsidRDefault="0094506A" w:rsidP="005859D0">
            <w:pPr>
              <w:pStyle w:val="Leipteksti"/>
              <w:rPr>
                <w:lang w:val="sv-SE"/>
              </w:rPr>
            </w:pPr>
            <w:r>
              <w:rPr>
                <w:lang w:val="sv"/>
              </w:rPr>
              <w:t>(om finansiering återstår)</w:t>
            </w:r>
          </w:p>
        </w:tc>
      </w:tr>
      <w:tr w:rsidR="00CB4157" w:rsidRPr="006C480A" w14:paraId="052C44DD" w14:textId="77777777" w:rsidTr="00DA1344">
        <w:tc>
          <w:tcPr>
            <w:tcW w:w="4587" w:type="dxa"/>
          </w:tcPr>
          <w:p w14:paraId="77D59842" w14:textId="77777777" w:rsidR="00CB4157" w:rsidRPr="005859D0" w:rsidRDefault="00CB4157" w:rsidP="005859D0">
            <w:pPr>
              <w:pStyle w:val="Leipteksti"/>
              <w:rPr>
                <w:b/>
              </w:rPr>
            </w:pPr>
            <w:r w:rsidRPr="005859D0">
              <w:rPr>
                <w:b/>
                <w:bCs/>
                <w:lang w:val="sv"/>
              </w:rPr>
              <w:t>Projektet inleds senast</w:t>
            </w:r>
          </w:p>
        </w:tc>
        <w:tc>
          <w:tcPr>
            <w:tcW w:w="5041" w:type="dxa"/>
            <w:gridSpan w:val="2"/>
          </w:tcPr>
          <w:p w14:paraId="583F083F" w14:textId="77777777" w:rsidR="00CB4157" w:rsidRPr="005859D0" w:rsidRDefault="00CB4157" w:rsidP="005859D0">
            <w:pPr>
              <w:pStyle w:val="Leipteksti"/>
            </w:pPr>
            <w:r w:rsidRPr="005859D0">
              <w:rPr>
                <w:lang w:val="sv"/>
              </w:rPr>
              <w:t>Se utlysningen</w:t>
            </w:r>
          </w:p>
        </w:tc>
      </w:tr>
    </w:tbl>
    <w:p w14:paraId="0E5A7BF3" w14:textId="77777777" w:rsidR="00CB4157" w:rsidRDefault="00CB4157" w:rsidP="00CB4157"/>
    <w:p w14:paraId="4051CC74" w14:textId="77777777" w:rsidR="00CB4157" w:rsidRPr="009538BD" w:rsidRDefault="00CB4157" w:rsidP="0003074C">
      <w:pPr>
        <w:pStyle w:val="Otsikko3"/>
        <w:rPr>
          <w:lang w:val="sv-SE"/>
        </w:rPr>
      </w:pPr>
      <w:bookmarkStart w:id="71" w:name="_Toc102727285"/>
      <w:bookmarkStart w:id="72" w:name="_Toc184224318"/>
      <w:bookmarkStart w:id="73" w:name="_Hlk95400286"/>
      <w:bookmarkEnd w:id="67"/>
      <w:r>
        <w:rPr>
          <w:lang w:val="sv"/>
        </w:rPr>
        <w:t>3 C Utveckling av åtgärder för att stödja vittnen, visselblåsare och brottsoffer</w:t>
      </w:r>
      <w:bookmarkEnd w:id="71"/>
      <w:bookmarkEnd w:id="72"/>
    </w:p>
    <w:p w14:paraId="1D1D5A4E" w14:textId="77777777" w:rsidR="00CB4157" w:rsidRPr="009538BD" w:rsidRDefault="00CB4157" w:rsidP="00CB4157">
      <w:pPr>
        <w:rPr>
          <w:lang w:val="sv-SE"/>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B4157" w:rsidRPr="000F5AB4" w14:paraId="029AC1CB" w14:textId="77777777" w:rsidTr="0003074C">
        <w:tc>
          <w:tcPr>
            <w:tcW w:w="9628" w:type="dxa"/>
            <w:gridSpan w:val="2"/>
            <w:shd w:val="clear" w:color="auto" w:fill="FDE2D1" w:themeFill="accent1" w:themeFillTint="33"/>
          </w:tcPr>
          <w:p w14:paraId="0A1E25DA" w14:textId="77777777" w:rsidR="00CB4157" w:rsidRPr="009538BD" w:rsidRDefault="00CB4157" w:rsidP="00D11F46">
            <w:pPr>
              <w:pStyle w:val="Otsikko4"/>
              <w:rPr>
                <w:lang w:val="sv-SE"/>
              </w:rPr>
            </w:pPr>
            <w:bookmarkStart w:id="74" w:name="_Toc102727286"/>
            <w:bookmarkStart w:id="75" w:name="_Hlk93416233"/>
            <w:r>
              <w:rPr>
                <w:lang w:val="sv"/>
              </w:rPr>
              <w:lastRenderedPageBreak/>
              <w:t>3 C 1 Stöd-, skydds- och informationsåtgärder och utveckling av verksamhetsmodeller</w:t>
            </w:r>
            <w:bookmarkEnd w:id="74"/>
          </w:p>
          <w:p w14:paraId="419EC28F" w14:textId="77777777" w:rsidR="00CB4157" w:rsidRPr="009538BD" w:rsidRDefault="00CB4157" w:rsidP="00CB4157">
            <w:pPr>
              <w:rPr>
                <w:lang w:val="sv-SE"/>
              </w:rPr>
            </w:pPr>
          </w:p>
        </w:tc>
      </w:tr>
      <w:tr w:rsidR="00CB4157" w:rsidRPr="000F5AB4" w14:paraId="6856B6FE" w14:textId="77777777" w:rsidTr="00D11F46">
        <w:trPr>
          <w:trHeight w:val="841"/>
        </w:trPr>
        <w:tc>
          <w:tcPr>
            <w:tcW w:w="9628" w:type="dxa"/>
            <w:gridSpan w:val="2"/>
          </w:tcPr>
          <w:p w14:paraId="0609340F" w14:textId="77777777" w:rsidR="00CB4157" w:rsidRPr="0003074C" w:rsidRDefault="00CB4157" w:rsidP="0003074C">
            <w:pPr>
              <w:pStyle w:val="Leipteksti"/>
              <w:rPr>
                <w:lang w:val="sv-SE"/>
              </w:rPr>
            </w:pPr>
          </w:p>
          <w:p w14:paraId="56F60024" w14:textId="1BC13B1B" w:rsidR="00733E95" w:rsidRDefault="00CB4157" w:rsidP="0003074C">
            <w:pPr>
              <w:pStyle w:val="Leipteksti"/>
              <w:rPr>
                <w:lang w:val="sv"/>
              </w:rPr>
            </w:pPr>
            <w:r w:rsidRPr="0003074C">
              <w:rPr>
                <w:lang w:val="sv"/>
              </w:rPr>
              <w:t xml:space="preserve">EU:s brottsofferdirektiv från 2012 ålägger EU:s medlemsstater att ta hänsyn till brottsoffrens status i sin lagstiftning. </w:t>
            </w:r>
            <w:r w:rsidR="00AC51EB">
              <w:rPr>
                <w:lang w:val="sv"/>
              </w:rPr>
              <w:t xml:space="preserve">Direktivet revideras just nu. </w:t>
            </w:r>
            <w:r w:rsidRPr="0003074C">
              <w:rPr>
                <w:lang w:val="sv"/>
              </w:rPr>
              <w:t xml:space="preserve">Direktivet föreskriver information, stöd, skydd och deltagande i straffrättsliga förfaranden som rör brottsoffers rättigheter. Den som utsatts för brott ska informeras om sina rättigheter i förhållande till stödtjänster, behovet av skydd för brottsoffret ska bedömas samt om särskilda skyddsåtgärder behövs och brottsoffrets ställning ska beaktas, </w:t>
            </w:r>
            <w:proofErr w:type="gramStart"/>
            <w:r w:rsidRPr="0003074C">
              <w:rPr>
                <w:lang w:val="sv"/>
              </w:rPr>
              <w:t>t.ex.</w:t>
            </w:r>
            <w:proofErr w:type="gramEnd"/>
            <w:r w:rsidRPr="0003074C">
              <w:rPr>
                <w:lang w:val="sv"/>
              </w:rPr>
              <w:t xml:space="preserve"> exempel vid förhör.</w:t>
            </w:r>
            <w:r w:rsidR="0003074C">
              <w:rPr>
                <w:lang w:val="sv"/>
              </w:rPr>
              <w:t xml:space="preserve"> </w:t>
            </w:r>
          </w:p>
          <w:p w14:paraId="7C16EB89" w14:textId="5A1F82D9" w:rsidR="00CB4157" w:rsidRPr="00016A2A" w:rsidRDefault="00CB4157" w:rsidP="0003074C">
            <w:pPr>
              <w:pStyle w:val="Leipteksti"/>
              <w:rPr>
                <w:lang w:val="sv-SE"/>
              </w:rPr>
            </w:pPr>
            <w:r w:rsidRPr="0003074C">
              <w:rPr>
                <w:lang w:val="sv"/>
              </w:rPr>
              <w:t>Utöver direktivet har en förordning om ömsesidigt erkännande av skyddsåtgärder antagits för att förbättra skyddet för brottsoffer. Enligt en europeisk skyddsbestämmelse som utfärdats i ett EU-land kan en person även få skydd när hen förflyttar sig till en annan medlemsstat utan att behöva inleda ett nytt förfarande för att få skydd där.</w:t>
            </w:r>
            <w:r w:rsidR="00AC51EB">
              <w:rPr>
                <w:lang w:val="sv"/>
              </w:rPr>
              <w:t xml:space="preserve"> </w:t>
            </w:r>
            <w:r w:rsidR="00AC51EB">
              <w:rPr>
                <w:lang w:val="sv-SE"/>
              </w:rPr>
              <w:t>Också EU-direktivet</w:t>
            </w:r>
            <w:r w:rsidR="00AC51EB" w:rsidRPr="00F30646">
              <w:rPr>
                <w:lang w:val="sv-SE"/>
              </w:rPr>
              <w:t xml:space="preserve"> om förebyggande av människohandel och om skydd av dess offer </w:t>
            </w:r>
            <w:r w:rsidR="00FE6739">
              <w:rPr>
                <w:lang w:val="sv-SE"/>
              </w:rPr>
              <w:t>syftar till att</w:t>
            </w:r>
            <w:r w:rsidR="00AC51EB">
              <w:rPr>
                <w:lang w:val="sv-SE"/>
              </w:rPr>
              <w:t xml:space="preserve"> effektivisera skyddet av offer för människohandel. Även detta direktiv revideras just nu.</w:t>
            </w:r>
            <w:r w:rsidRPr="00F30646">
              <w:rPr>
                <w:lang w:val="sv-SE"/>
              </w:rPr>
              <w:t xml:space="preserve"> </w:t>
            </w:r>
          </w:p>
          <w:p w14:paraId="1EE6404F" w14:textId="0FD7853F" w:rsidR="00CB4157" w:rsidRPr="0003074C" w:rsidRDefault="00CB4157" w:rsidP="0003074C">
            <w:pPr>
              <w:pStyle w:val="Leipteksti"/>
              <w:rPr>
                <w:lang w:val="sv-SE"/>
              </w:rPr>
            </w:pPr>
            <w:r w:rsidRPr="0003074C">
              <w:rPr>
                <w:lang w:val="sv"/>
              </w:rPr>
              <w:t>EU:s offerstrategi 2020–2025 innehåller fem prioriteter genom vilka man konkret närmar sig förstärkandet av offrens rättigheter. Dessa är effektiv kommunikation och en trygg miljö för offer att göra brottsanmälan, bättre skydd av och stöd till de mest utsatta offren, förenklad tillgång till ersättningar för offren, effektivare samarbete och koordination mellan olika aktörer vad gäller offrens rättigheter och en starkare internationell dimension av offrens rättigheter.</w:t>
            </w:r>
          </w:p>
          <w:p w14:paraId="6AEB1DDD" w14:textId="76AA3BEC" w:rsidR="00AC51EB" w:rsidRPr="00F30646" w:rsidRDefault="00CB4157" w:rsidP="00AC51EB">
            <w:pPr>
              <w:pStyle w:val="Leipteksti"/>
              <w:rPr>
                <w:lang w:val="sv-SE"/>
              </w:rPr>
            </w:pPr>
            <w:r w:rsidRPr="0003074C">
              <w:rPr>
                <w:lang w:val="sv"/>
              </w:rPr>
              <w:t>Det finns dock fortfarande brister i förverkligandet av brottsoffers rättigheter</w:t>
            </w:r>
            <w:r w:rsidR="002840DC">
              <w:rPr>
                <w:lang w:val="sv"/>
              </w:rPr>
              <w:t>.</w:t>
            </w:r>
            <w:r w:rsidRPr="0003074C">
              <w:rPr>
                <w:lang w:val="sv"/>
              </w:rPr>
              <w:t xml:space="preserve"> Myndigheterna saknar information om specifika offerfrågor. Resurserna är otillräckliga och samarbetet mellan de olika parterna är inte alltid tillräckligt nära.  Lika tillgång för brottsoffer till myndigheternas tjänster och hänsyn till brottsoffrets individuella situation måste säkerställas.</w:t>
            </w:r>
            <w:r w:rsidR="00AC51EB">
              <w:rPr>
                <w:lang w:val="sv"/>
              </w:rPr>
              <w:t xml:space="preserve"> </w:t>
            </w:r>
            <w:r w:rsidR="00AC51EB" w:rsidRPr="00F30646">
              <w:rPr>
                <w:lang w:val="sv-SE"/>
              </w:rPr>
              <w:t>Enligt regeringsprogrammet ska regeringen utarbeta ett brottsofferpolitiskt åtgärdsprogram.</w:t>
            </w:r>
          </w:p>
          <w:p w14:paraId="07E92980" w14:textId="2FAC154B" w:rsidR="008C3D1D" w:rsidRPr="00386717" w:rsidRDefault="00016A2A" w:rsidP="00AC51EB">
            <w:pPr>
              <w:pStyle w:val="Leipteksti"/>
              <w:rPr>
                <w:lang w:val="sv-SE"/>
              </w:rPr>
            </w:pPr>
            <w:r w:rsidRPr="00F30646">
              <w:rPr>
                <w:lang w:val="sv-SE"/>
              </w:rPr>
              <w:t xml:space="preserve">När det gäller att avslöja överträdelser trädde direktivet om skydd för personer som rapporterar om överträdelser av unionsrätten i kraft i december </w:t>
            </w:r>
            <w:r w:rsidR="00AC51EB" w:rsidRPr="00F30646">
              <w:rPr>
                <w:lang w:val="sv-SE"/>
              </w:rPr>
              <w:t>2019</w:t>
            </w:r>
            <w:r w:rsidRPr="00F30646">
              <w:rPr>
                <w:lang w:val="sv-SE"/>
              </w:rPr>
              <w:t>.</w:t>
            </w:r>
            <w:r>
              <w:rPr>
                <w:lang w:val="sv-SE"/>
              </w:rPr>
              <w:t xml:space="preserve"> </w:t>
            </w:r>
            <w:r w:rsidR="00386717" w:rsidRPr="00386717">
              <w:rPr>
                <w:lang w:val="sv-SE"/>
              </w:rPr>
              <w:t>E</w:t>
            </w:r>
            <w:r w:rsidR="00386717" w:rsidRPr="00F30646">
              <w:rPr>
                <w:lang w:val="sv-SE"/>
              </w:rPr>
              <w:t>tt av de viktigaste målen för direktivet är att förstärka och förenhetliga skyddet för personer som rapporterar om överträdelser</w:t>
            </w:r>
            <w:r w:rsidR="00AC51EB" w:rsidRPr="00F30646">
              <w:rPr>
                <w:lang w:val="sv-SE"/>
              </w:rPr>
              <w:t>.</w:t>
            </w:r>
          </w:p>
          <w:p w14:paraId="49771B9B" w14:textId="77777777" w:rsidR="00CB4157" w:rsidRPr="0003074C" w:rsidRDefault="00CB4157" w:rsidP="0003074C">
            <w:pPr>
              <w:pStyle w:val="Leipteksti"/>
              <w:rPr>
                <w:lang w:val="sv-SE"/>
              </w:rPr>
            </w:pPr>
            <w:r w:rsidRPr="0003074C">
              <w:rPr>
                <w:lang w:val="sv"/>
              </w:rPr>
              <w:lastRenderedPageBreak/>
              <w:t>ISF-finansiering kommer att förbättra till exempel den rikstäckande kommunikationen om brottsoffrets rättigheter, tillgängligt bistånd och ersättningssystem. Den förebyggande kommunikationen bör också utökas, till exempel om bedrägerier på nätet. Bistånd och skydd för offer förbättras genom utveckling av servicestigar, praxis, informationssystem, elektroniska verktyg och tekniska säkerhetsanordningar. Det interprofessionella nätverket kommer att intensifieras. De särskilda behoven hos utsatta personer beaktas.</w:t>
            </w:r>
          </w:p>
          <w:p w14:paraId="796ADE20" w14:textId="77777777" w:rsidR="0003074C" w:rsidRDefault="0003074C" w:rsidP="0003074C">
            <w:pPr>
              <w:pStyle w:val="Leipteksti"/>
              <w:rPr>
                <w:b/>
                <w:bCs/>
                <w:lang w:val="sv"/>
              </w:rPr>
            </w:pPr>
          </w:p>
          <w:p w14:paraId="13D86325" w14:textId="77777777" w:rsidR="00CB4157" w:rsidRPr="0003074C" w:rsidRDefault="00CB4157" w:rsidP="0003074C">
            <w:pPr>
              <w:pStyle w:val="Leipteksti"/>
              <w:rPr>
                <w:b/>
                <w:lang w:val="sv-SE"/>
              </w:rPr>
            </w:pPr>
            <w:r w:rsidRPr="0003074C">
              <w:rPr>
                <w:b/>
                <w:bCs/>
                <w:lang w:val="sv"/>
              </w:rPr>
              <w:t>Syftet är att förbättra situationen för och skyddet av brottsoffer och vittnen samt deras tillgång till information.</w:t>
            </w:r>
          </w:p>
          <w:p w14:paraId="6F603D1C" w14:textId="77777777" w:rsidR="00CB4157" w:rsidRPr="0003074C" w:rsidRDefault="00CB4157" w:rsidP="0003074C">
            <w:pPr>
              <w:pStyle w:val="Leipteksti"/>
              <w:rPr>
                <w:lang w:val="sv-SE"/>
              </w:rPr>
            </w:pPr>
          </w:p>
          <w:p w14:paraId="5A153DA0" w14:textId="77777777" w:rsidR="00CB4157" w:rsidRPr="0003074C" w:rsidRDefault="00CB4157" w:rsidP="0003074C">
            <w:pPr>
              <w:pStyle w:val="Leipteksti"/>
              <w:rPr>
                <w:lang w:val="sv-SE"/>
              </w:rPr>
            </w:pPr>
            <w:r w:rsidRPr="0003074C">
              <w:rPr>
                <w:lang w:val="sv"/>
              </w:rPr>
              <w:t xml:space="preserve">Understöd kan beviljas för projekt där man till exempel: </w:t>
            </w:r>
          </w:p>
          <w:p w14:paraId="7BEA1709" w14:textId="5034A554" w:rsidR="00CB4157" w:rsidRPr="0003074C" w:rsidRDefault="00970B1B" w:rsidP="00C0534C">
            <w:pPr>
              <w:pStyle w:val="Leipteksti"/>
              <w:numPr>
                <w:ilvl w:val="0"/>
                <w:numId w:val="24"/>
              </w:numPr>
              <w:rPr>
                <w:lang w:val="sv-SE"/>
              </w:rPr>
            </w:pPr>
            <w:r w:rsidRPr="00A31D59">
              <w:rPr>
                <w:lang w:val="sv-SE"/>
              </w:rPr>
              <w:t>utbildning, information och rådgivning om de åtgärder som förutsätts i anmälarskyddslagen ordnas</w:t>
            </w:r>
            <w:r w:rsidR="00CB4157" w:rsidRPr="0003074C">
              <w:rPr>
                <w:lang w:val="sv"/>
              </w:rPr>
              <w:t>förbättrar tillgängligheten och kvaliteten på stödtjänsterna för brottsoffer/vittnen,</w:t>
            </w:r>
          </w:p>
          <w:p w14:paraId="5E82B465" w14:textId="77777777" w:rsidR="00CB4157" w:rsidRPr="0003074C" w:rsidRDefault="00CB4157" w:rsidP="00C0534C">
            <w:pPr>
              <w:pStyle w:val="Leipteksti"/>
              <w:numPr>
                <w:ilvl w:val="0"/>
                <w:numId w:val="24"/>
              </w:numPr>
              <w:rPr>
                <w:lang w:val="sv-SE"/>
              </w:rPr>
            </w:pPr>
            <w:r w:rsidRPr="0003074C">
              <w:rPr>
                <w:lang w:val="sv"/>
              </w:rPr>
              <w:t>förbättrar tillgängligheten och kvaliteten på skyddsåtgärder,</w:t>
            </w:r>
          </w:p>
          <w:p w14:paraId="574F77E8" w14:textId="77777777" w:rsidR="00CB4157" w:rsidRPr="0003074C" w:rsidRDefault="00CB4157" w:rsidP="00C0534C">
            <w:pPr>
              <w:pStyle w:val="Leipteksti"/>
              <w:numPr>
                <w:ilvl w:val="0"/>
                <w:numId w:val="24"/>
              </w:numPr>
            </w:pPr>
            <w:r w:rsidRPr="0003074C">
              <w:rPr>
                <w:lang w:val="sv"/>
              </w:rPr>
              <w:t>ökar informeringen,</w:t>
            </w:r>
          </w:p>
          <w:p w14:paraId="1EB7EABB" w14:textId="77777777" w:rsidR="00CB4157" w:rsidRPr="0003074C" w:rsidRDefault="00CB4157" w:rsidP="00C0534C">
            <w:pPr>
              <w:pStyle w:val="Leipteksti"/>
              <w:numPr>
                <w:ilvl w:val="0"/>
                <w:numId w:val="24"/>
              </w:numPr>
              <w:rPr>
                <w:lang w:val="sv-SE"/>
              </w:rPr>
            </w:pPr>
            <w:r w:rsidRPr="0003074C">
              <w:rPr>
                <w:lang w:val="sv"/>
              </w:rPr>
              <w:t>förebygger risken att bli utsatt för brott, till exempel genom informering,</w:t>
            </w:r>
          </w:p>
          <w:p w14:paraId="10B4CD8C" w14:textId="77777777" w:rsidR="00CB4157" w:rsidRPr="0003074C" w:rsidRDefault="00CB4157" w:rsidP="00C0534C">
            <w:pPr>
              <w:pStyle w:val="Leipteksti"/>
              <w:numPr>
                <w:ilvl w:val="0"/>
                <w:numId w:val="24"/>
              </w:numPr>
              <w:rPr>
                <w:lang w:val="sv-SE"/>
              </w:rPr>
            </w:pPr>
            <w:r w:rsidRPr="0003074C">
              <w:rPr>
                <w:lang w:val="sv"/>
              </w:rPr>
              <w:t>utvecklar verksamhetsmodeller och samarbete mellan myndigheter, den privata sektorn och organisationer,</w:t>
            </w:r>
          </w:p>
          <w:p w14:paraId="033E1D86" w14:textId="77777777" w:rsidR="00CB4157" w:rsidRPr="0003074C" w:rsidRDefault="00CB4157" w:rsidP="00C0534C">
            <w:pPr>
              <w:pStyle w:val="Leipteksti"/>
              <w:numPr>
                <w:ilvl w:val="0"/>
                <w:numId w:val="24"/>
              </w:numPr>
              <w:rPr>
                <w:lang w:val="sv-SE"/>
              </w:rPr>
            </w:pPr>
            <w:r w:rsidRPr="0003074C">
              <w:rPr>
                <w:lang w:val="sv"/>
              </w:rPr>
              <w:t>fördjupar kompetensen inom avslöjande av brottslig verksamhet, undersökningar och lagföring samt i hur man bemöter brottsoffer.</w:t>
            </w:r>
          </w:p>
          <w:p w14:paraId="00FF50DC" w14:textId="77777777" w:rsidR="00CB4157" w:rsidRPr="0003074C" w:rsidRDefault="00CB4157" w:rsidP="0003074C">
            <w:pPr>
              <w:pStyle w:val="Leipteksti"/>
              <w:rPr>
                <w:lang w:val="sv-SE"/>
              </w:rPr>
            </w:pPr>
          </w:p>
          <w:p w14:paraId="5DCDBDB9" w14:textId="77777777" w:rsidR="00CB4157" w:rsidRPr="0003074C" w:rsidRDefault="00CB4157" w:rsidP="0003074C">
            <w:pPr>
              <w:pStyle w:val="Leipteksti"/>
            </w:pPr>
            <w:r w:rsidRPr="0003074C">
              <w:rPr>
                <w:lang w:val="sv"/>
              </w:rPr>
              <w:t xml:space="preserve">Resultatmål: </w:t>
            </w:r>
          </w:p>
          <w:p w14:paraId="52FE8C1D" w14:textId="3A94AEC7" w:rsidR="00C0534C" w:rsidRPr="00866CF2" w:rsidRDefault="00C0534C" w:rsidP="00C0534C">
            <w:pPr>
              <w:pStyle w:val="Leipteksti"/>
              <w:numPr>
                <w:ilvl w:val="0"/>
                <w:numId w:val="24"/>
              </w:numPr>
              <w:rPr>
                <w:lang w:val="sv-SE"/>
              </w:rPr>
            </w:pPr>
            <w:r w:rsidRPr="00A31D59">
              <w:rPr>
                <w:lang w:val="sv-SE"/>
              </w:rPr>
              <w:t>ett rapporterings- och skyddssystem har skapats i de ovan nämnda organisationerna</w:t>
            </w:r>
            <w:r>
              <w:rPr>
                <w:lang w:val="sv-SE"/>
              </w:rPr>
              <w:t xml:space="preserve"> och</w:t>
            </w:r>
            <w:r w:rsidRPr="00866CF2">
              <w:rPr>
                <w:lang w:val="sv-SE"/>
              </w:rPr>
              <w:t xml:space="preserve"> nödvändiga ändringar har genomförts i myndigheternas befintliga informationssystem,</w:t>
            </w:r>
          </w:p>
          <w:p w14:paraId="16670A90" w14:textId="77777777" w:rsidR="00C0534C" w:rsidRPr="00A31D59" w:rsidRDefault="00C0534C" w:rsidP="00C0534C">
            <w:pPr>
              <w:pStyle w:val="Leipteksti"/>
              <w:numPr>
                <w:ilvl w:val="0"/>
                <w:numId w:val="24"/>
              </w:numPr>
              <w:rPr>
                <w:lang w:val="sv-SE"/>
              </w:rPr>
            </w:pPr>
            <w:r w:rsidRPr="00A31D59">
              <w:rPr>
                <w:lang w:val="sv-SE"/>
              </w:rPr>
              <w:t>personerna som behandlar anmälningarna har utbildats i behandlingen av anmälningar,</w:t>
            </w:r>
          </w:p>
          <w:p w14:paraId="2D0A1534" w14:textId="77777777" w:rsidR="00C0534C" w:rsidRPr="00A31D59" w:rsidRDefault="00C0534C" w:rsidP="00C0534C">
            <w:pPr>
              <w:pStyle w:val="Leipteksti"/>
              <w:numPr>
                <w:ilvl w:val="0"/>
                <w:numId w:val="24"/>
              </w:numPr>
              <w:rPr>
                <w:lang w:val="sv-SE"/>
              </w:rPr>
            </w:pPr>
            <w:r w:rsidRPr="00A31D59">
              <w:rPr>
                <w:lang w:val="sv-SE"/>
              </w:rPr>
              <w:lastRenderedPageBreak/>
              <w:t>avgiftsfri, omfattande information finns tillgänglig för organisationens arbetstagare och alla medborgare om rapporteringsmöjligheter, rapporteringskanaler, skydd och hur anmälningar görs,</w:t>
            </w:r>
          </w:p>
          <w:p w14:paraId="38F43CB7" w14:textId="6E1D3C5F" w:rsidR="00CB4157" w:rsidRPr="0003074C" w:rsidRDefault="00CB4157" w:rsidP="00C0534C">
            <w:pPr>
              <w:pStyle w:val="Leipteksti"/>
              <w:numPr>
                <w:ilvl w:val="0"/>
                <w:numId w:val="24"/>
              </w:numPr>
              <w:rPr>
                <w:lang w:val="sv-SE"/>
              </w:rPr>
            </w:pPr>
            <w:r w:rsidRPr="0003074C">
              <w:rPr>
                <w:lang w:val="sv"/>
              </w:rPr>
              <w:t>verkställigheten av straffansvar har förbättrats,</w:t>
            </w:r>
          </w:p>
          <w:p w14:paraId="0CCA0F67" w14:textId="77777777" w:rsidR="00CB4157" w:rsidRPr="0003074C" w:rsidRDefault="00CB4157" w:rsidP="00C0534C">
            <w:pPr>
              <w:pStyle w:val="Leipteksti"/>
              <w:numPr>
                <w:ilvl w:val="0"/>
                <w:numId w:val="24"/>
              </w:numPr>
              <w:rPr>
                <w:lang w:val="sv-SE"/>
              </w:rPr>
            </w:pPr>
            <w:r w:rsidRPr="0003074C">
              <w:rPr>
                <w:lang w:val="sv"/>
              </w:rPr>
              <w:t>kompetensen inom identifiering av offer har förbättrats,</w:t>
            </w:r>
          </w:p>
          <w:p w14:paraId="3EBD8A81" w14:textId="77777777" w:rsidR="00CB4157" w:rsidRPr="0003074C" w:rsidRDefault="00CB4157" w:rsidP="00C0534C">
            <w:pPr>
              <w:pStyle w:val="Leipteksti"/>
              <w:numPr>
                <w:ilvl w:val="0"/>
                <w:numId w:val="24"/>
              </w:numPr>
              <w:rPr>
                <w:lang w:val="sv-SE"/>
              </w:rPr>
            </w:pPr>
            <w:r w:rsidRPr="0003074C">
              <w:rPr>
                <w:lang w:val="sv"/>
              </w:rPr>
              <w:t>tillgång till stöd och skydd för offer/vittnen har förbättrats,</w:t>
            </w:r>
          </w:p>
          <w:p w14:paraId="08775786" w14:textId="77777777" w:rsidR="00CB4157" w:rsidRPr="0003074C" w:rsidRDefault="00CB4157" w:rsidP="00C0534C">
            <w:pPr>
              <w:pStyle w:val="Leipteksti"/>
              <w:numPr>
                <w:ilvl w:val="0"/>
                <w:numId w:val="24"/>
              </w:numPr>
              <w:rPr>
                <w:lang w:val="sv-SE"/>
              </w:rPr>
            </w:pPr>
            <w:r w:rsidRPr="0003074C">
              <w:rPr>
                <w:lang w:val="sv"/>
              </w:rPr>
              <w:t>vägledning om officiell praxis har förbättrats,</w:t>
            </w:r>
          </w:p>
          <w:p w14:paraId="65656F4B" w14:textId="3B117E03" w:rsidR="00CB4157" w:rsidRPr="0003074C" w:rsidRDefault="00CB4157" w:rsidP="00C0534C">
            <w:pPr>
              <w:pStyle w:val="Leipteksti"/>
              <w:numPr>
                <w:ilvl w:val="0"/>
                <w:numId w:val="24"/>
              </w:numPr>
              <w:rPr>
                <w:lang w:val="sv-SE"/>
              </w:rPr>
            </w:pPr>
            <w:r w:rsidRPr="0003074C">
              <w:rPr>
                <w:lang w:val="sv"/>
              </w:rPr>
              <w:t xml:space="preserve">informationen </w:t>
            </w:r>
            <w:r w:rsidR="00733E95" w:rsidRPr="00733E95">
              <w:rPr>
                <w:lang w:val="sv"/>
              </w:rPr>
              <w:t xml:space="preserve">gällande </w:t>
            </w:r>
            <w:r w:rsidR="00733E95">
              <w:rPr>
                <w:lang w:val="sv-SE"/>
              </w:rPr>
              <w:t xml:space="preserve">stöd för brottsoffer </w:t>
            </w:r>
            <w:r w:rsidRPr="0003074C">
              <w:rPr>
                <w:lang w:val="sv"/>
              </w:rPr>
              <w:t>har utökats och förbättrats,</w:t>
            </w:r>
          </w:p>
          <w:p w14:paraId="723B4F1B" w14:textId="28292A22" w:rsidR="00CB4157" w:rsidRPr="00FA71BE" w:rsidRDefault="00CB4157" w:rsidP="00FA71BE">
            <w:pPr>
              <w:pStyle w:val="Leipteksti"/>
              <w:numPr>
                <w:ilvl w:val="0"/>
                <w:numId w:val="24"/>
              </w:numPr>
              <w:rPr>
                <w:lang w:val="sv-SE"/>
              </w:rPr>
            </w:pPr>
            <w:r w:rsidRPr="0003074C">
              <w:rPr>
                <w:lang w:val="sv"/>
              </w:rPr>
              <w:t>samarbete och informationsutbyte mellan myndigheter, den privata sektorn och organisationer har intensifierats.</w:t>
            </w:r>
          </w:p>
        </w:tc>
      </w:tr>
      <w:tr w:rsidR="00DA1344" w:rsidRPr="00A31D59" w14:paraId="112B41AF" w14:textId="77777777" w:rsidTr="0037512D">
        <w:tc>
          <w:tcPr>
            <w:tcW w:w="4814" w:type="dxa"/>
          </w:tcPr>
          <w:p w14:paraId="5441A926" w14:textId="77777777" w:rsidR="00DA1344" w:rsidRDefault="00DA1344" w:rsidP="00D97CEC">
            <w:pPr>
              <w:pStyle w:val="Leipteksti"/>
              <w:rPr>
                <w:b/>
                <w:bCs/>
                <w:lang w:val="sv"/>
              </w:rPr>
            </w:pPr>
            <w:r>
              <w:rPr>
                <w:b/>
                <w:bCs/>
                <w:lang w:val="sv"/>
              </w:rPr>
              <w:lastRenderedPageBreak/>
              <w:t>Understöd</w:t>
            </w:r>
          </w:p>
        </w:tc>
        <w:tc>
          <w:tcPr>
            <w:tcW w:w="4814" w:type="dxa"/>
          </w:tcPr>
          <w:p w14:paraId="213F4A92" w14:textId="77777777" w:rsidR="00DA1344" w:rsidRPr="009538BD" w:rsidRDefault="00DA1344" w:rsidP="00DA1344">
            <w:pPr>
              <w:pStyle w:val="Leipteksti"/>
              <w:rPr>
                <w:lang w:val="sv-SE"/>
              </w:rPr>
            </w:pPr>
            <w:r>
              <w:rPr>
                <w:lang w:val="sv"/>
              </w:rPr>
              <w:t>75 %</w:t>
            </w:r>
          </w:p>
          <w:p w14:paraId="4BBF9E5D" w14:textId="481E7A2B" w:rsidR="00DA1344" w:rsidRDefault="00DA1344" w:rsidP="00D97CEC">
            <w:pPr>
              <w:pStyle w:val="Leipteksti"/>
              <w:rPr>
                <w:b/>
                <w:bCs/>
                <w:lang w:val="sv"/>
              </w:rPr>
            </w:pPr>
          </w:p>
        </w:tc>
      </w:tr>
      <w:tr w:rsidR="00DA1344" w:rsidRPr="000F5AB4" w14:paraId="73128EAA" w14:textId="77777777" w:rsidTr="0037512D">
        <w:tc>
          <w:tcPr>
            <w:tcW w:w="4814" w:type="dxa"/>
          </w:tcPr>
          <w:p w14:paraId="0254B627" w14:textId="77777777" w:rsidR="00DA1344" w:rsidRPr="006C480A" w:rsidRDefault="00DA1344" w:rsidP="00DA1344">
            <w:pPr>
              <w:pStyle w:val="Leipteksti"/>
              <w:rPr>
                <w:b/>
              </w:rPr>
            </w:pPr>
            <w:r>
              <w:rPr>
                <w:b/>
                <w:bCs/>
                <w:lang w:val="sv"/>
              </w:rPr>
              <w:t>Möjliga stödmottagare</w:t>
            </w:r>
          </w:p>
          <w:p w14:paraId="1805077E" w14:textId="77777777" w:rsidR="00DA1344" w:rsidRDefault="00DA1344" w:rsidP="00D97CEC">
            <w:pPr>
              <w:pStyle w:val="Leipteksti"/>
              <w:rPr>
                <w:b/>
                <w:bCs/>
                <w:lang w:val="sv"/>
              </w:rPr>
            </w:pPr>
          </w:p>
        </w:tc>
        <w:tc>
          <w:tcPr>
            <w:tcW w:w="4814" w:type="dxa"/>
          </w:tcPr>
          <w:p w14:paraId="13FD2F76" w14:textId="50A8538A" w:rsidR="00DA1344" w:rsidRDefault="00DA1344" w:rsidP="00DA1344">
            <w:pPr>
              <w:pStyle w:val="Leipteksti"/>
              <w:rPr>
                <w:lang w:val="sv"/>
              </w:rPr>
            </w:pPr>
            <w:r>
              <w:rPr>
                <w:lang w:val="sv"/>
              </w:rPr>
              <w:t>Behöriga myndigheter på olika nivåer, gemenskaper och aktörer i tredje sektorn, centrala organisationer på privata sektorn</w:t>
            </w:r>
          </w:p>
        </w:tc>
      </w:tr>
      <w:tr w:rsidR="00DA1344" w:rsidRPr="000F5AB4" w14:paraId="59DA1346" w14:textId="77777777" w:rsidTr="0037512D">
        <w:tc>
          <w:tcPr>
            <w:tcW w:w="4814" w:type="dxa"/>
          </w:tcPr>
          <w:p w14:paraId="7DD08DCA" w14:textId="02D5A569" w:rsidR="00DA1344" w:rsidRDefault="00DA1344" w:rsidP="00DA1344">
            <w:pPr>
              <w:pStyle w:val="Leipteksti"/>
              <w:rPr>
                <w:b/>
                <w:bCs/>
                <w:lang w:val="sv"/>
              </w:rPr>
            </w:pPr>
            <w:r>
              <w:rPr>
                <w:rFonts w:eastAsia="Calibri" w:cs="Times New Roman"/>
                <w:b/>
                <w:bCs/>
                <w:lang w:val="sv"/>
              </w:rPr>
              <w:t>Samordning med annan EU-finansiering</w:t>
            </w:r>
          </w:p>
        </w:tc>
        <w:tc>
          <w:tcPr>
            <w:tcW w:w="4814" w:type="dxa"/>
          </w:tcPr>
          <w:p w14:paraId="44DC7DFC" w14:textId="46728DC5" w:rsidR="00DA1344" w:rsidRDefault="00DA1344" w:rsidP="00DA1344">
            <w:pPr>
              <w:pStyle w:val="Leipteksti"/>
              <w:rPr>
                <w:lang w:val="sv"/>
              </w:rPr>
            </w:pPr>
            <w:r w:rsidRPr="00A31D59">
              <w:rPr>
                <w:lang w:val="sv-SE"/>
              </w:rPr>
              <w:t>Åtgärderna samordnas med Europeiska kommissionens finansieringsprogram för medborgarskap, jämlikhet, grundläggande rättigheter och värderingar (CERV) och AMIF-fonden.</w:t>
            </w:r>
          </w:p>
        </w:tc>
      </w:tr>
      <w:tr w:rsidR="00CB4157" w:rsidRPr="000F5AB4" w14:paraId="5F1FE4A2" w14:textId="77777777" w:rsidTr="0003074C">
        <w:tc>
          <w:tcPr>
            <w:tcW w:w="9628" w:type="dxa"/>
            <w:gridSpan w:val="2"/>
          </w:tcPr>
          <w:p w14:paraId="61B71599" w14:textId="77777777" w:rsidR="00CB4157" w:rsidRPr="0003074C" w:rsidRDefault="00CB4157" w:rsidP="0003074C">
            <w:pPr>
              <w:pStyle w:val="Leipteksti"/>
              <w:rPr>
                <w:lang w:val="sv-SE"/>
              </w:rPr>
            </w:pPr>
            <w:r w:rsidRPr="0003074C">
              <w:rPr>
                <w:b/>
                <w:bCs/>
                <w:lang w:val="sv"/>
              </w:rPr>
              <w:t>Indikatorer som ska tillämpas</w:t>
            </w:r>
            <w:r w:rsidRPr="0003074C">
              <w:rPr>
                <w:lang w:val="sv"/>
              </w:rPr>
              <w:t xml:space="preserve"> </w:t>
            </w:r>
          </w:p>
          <w:p w14:paraId="47C47AEE" w14:textId="4DE0AA87" w:rsidR="00CB4157" w:rsidRPr="0003074C" w:rsidRDefault="00CB4157" w:rsidP="0003074C">
            <w:pPr>
              <w:pStyle w:val="Leipteksti"/>
              <w:rPr>
                <w:lang w:val="sv-SE"/>
              </w:rPr>
            </w:pPr>
            <w:r w:rsidRPr="0003074C">
              <w:rPr>
                <w:lang w:val="sv"/>
              </w:rPr>
              <w:t>I åtgärderna ska även tillämpas andra indikatorer än de som finns i detta s</w:t>
            </w:r>
            <w:r w:rsidR="000473F1">
              <w:rPr>
                <w:lang w:val="sv"/>
              </w:rPr>
              <w:t>pecifik</w:t>
            </w:r>
            <w:r w:rsidRPr="0003074C">
              <w:rPr>
                <w:lang w:val="sv"/>
              </w:rPr>
              <w:t>a mål, om verksamheten som genomförs kan mätas med dem.</w:t>
            </w:r>
          </w:p>
          <w:p w14:paraId="57ACC8F6" w14:textId="77777777" w:rsidR="00CB4157" w:rsidRPr="0003074C" w:rsidRDefault="00CB4157" w:rsidP="0003074C">
            <w:pPr>
              <w:pStyle w:val="Leipteksti"/>
              <w:rPr>
                <w:lang w:val="sv-SE"/>
              </w:rPr>
            </w:pPr>
          </w:p>
          <w:p w14:paraId="1AA670AB" w14:textId="7558F87A" w:rsidR="00CB4157" w:rsidRPr="0003074C" w:rsidRDefault="0095707B" w:rsidP="0003074C">
            <w:pPr>
              <w:pStyle w:val="Leipteksti"/>
              <w:rPr>
                <w:lang w:val="sv-SE"/>
              </w:rPr>
            </w:pPr>
            <w:r>
              <w:rPr>
                <w:lang w:val="sv"/>
              </w:rPr>
              <w:t>Outputi</w:t>
            </w:r>
            <w:r w:rsidR="00CB4157" w:rsidRPr="0003074C">
              <w:rPr>
                <w:lang w:val="sv"/>
              </w:rPr>
              <w:t>ndikatorer:</w:t>
            </w:r>
          </w:p>
          <w:p w14:paraId="7E3D07CA" w14:textId="1F30FA4D" w:rsidR="00CB4157" w:rsidRPr="0003074C" w:rsidRDefault="00CB4157" w:rsidP="0003074C">
            <w:pPr>
              <w:pStyle w:val="Leipteksti"/>
              <w:rPr>
                <w:lang w:val="sv-SE"/>
              </w:rPr>
            </w:pPr>
            <w:r w:rsidRPr="0003074C">
              <w:rPr>
                <w:lang w:val="sv"/>
              </w:rPr>
              <w:t>O.3.1 Antal</w:t>
            </w:r>
            <w:r w:rsidR="0095707B">
              <w:rPr>
                <w:lang w:val="sv"/>
              </w:rPr>
              <w:t>et</w:t>
            </w:r>
            <w:r w:rsidRPr="0003074C">
              <w:rPr>
                <w:lang w:val="sv"/>
              </w:rPr>
              <w:t xml:space="preserve"> deltagare i utbildningsverksamhet</w:t>
            </w:r>
          </w:p>
          <w:p w14:paraId="0660CF04" w14:textId="77777777" w:rsidR="00CB4157" w:rsidRPr="0003074C" w:rsidRDefault="00CB4157" w:rsidP="0003074C">
            <w:pPr>
              <w:pStyle w:val="Leipteksti"/>
              <w:rPr>
                <w:lang w:val="sv-SE"/>
              </w:rPr>
            </w:pPr>
            <w:r w:rsidRPr="0003074C">
              <w:rPr>
                <w:lang w:val="sv"/>
              </w:rPr>
              <w:t>O.3.3 Mängden anskaffad utrustning</w:t>
            </w:r>
          </w:p>
          <w:p w14:paraId="4AF27F08" w14:textId="3CF1478C" w:rsidR="00CB4157" w:rsidRPr="0003074C" w:rsidRDefault="00CB4157" w:rsidP="0003074C">
            <w:pPr>
              <w:pStyle w:val="Leipteksti"/>
              <w:rPr>
                <w:lang w:val="sv-SE"/>
              </w:rPr>
            </w:pPr>
            <w:r w:rsidRPr="0003074C">
              <w:rPr>
                <w:lang w:val="sv"/>
              </w:rPr>
              <w:lastRenderedPageBreak/>
              <w:t>O.3.7 Antal</w:t>
            </w:r>
            <w:r w:rsidR="0095707B">
              <w:rPr>
                <w:lang w:val="sv"/>
              </w:rPr>
              <w:t>et</w:t>
            </w:r>
            <w:r w:rsidRPr="0003074C">
              <w:rPr>
                <w:lang w:val="sv"/>
              </w:rPr>
              <w:t xml:space="preserve"> projekt som hjälper brottsoffer</w:t>
            </w:r>
          </w:p>
          <w:p w14:paraId="540020AF" w14:textId="21E911DB" w:rsidR="00CB4157" w:rsidRPr="0003074C" w:rsidRDefault="00CB4157" w:rsidP="0003074C">
            <w:pPr>
              <w:pStyle w:val="Leipteksti"/>
              <w:rPr>
                <w:lang w:val="sv-SE"/>
              </w:rPr>
            </w:pPr>
            <w:r w:rsidRPr="0003074C">
              <w:rPr>
                <w:lang w:val="sv"/>
              </w:rPr>
              <w:t>O.3.8 Antal</w:t>
            </w:r>
            <w:r w:rsidR="0095707B">
              <w:rPr>
                <w:lang w:val="sv"/>
              </w:rPr>
              <w:t>et brottsoffer som fått stöd</w:t>
            </w:r>
          </w:p>
          <w:p w14:paraId="23F2BE0E" w14:textId="77777777" w:rsidR="00CB4157" w:rsidRPr="0003074C" w:rsidRDefault="00CB4157" w:rsidP="0003074C">
            <w:pPr>
              <w:pStyle w:val="Leipteksti"/>
              <w:rPr>
                <w:lang w:val="sv-SE"/>
              </w:rPr>
            </w:pPr>
          </w:p>
          <w:p w14:paraId="3271E8D1" w14:textId="77777777" w:rsidR="00CB4157" w:rsidRPr="0003074C" w:rsidRDefault="00CB4157" w:rsidP="0003074C">
            <w:pPr>
              <w:pStyle w:val="Leipteksti"/>
              <w:rPr>
                <w:rFonts w:eastAsia="Calibri"/>
                <w:lang w:val="sv-SE"/>
              </w:rPr>
            </w:pPr>
            <w:r w:rsidRPr="0003074C">
              <w:rPr>
                <w:rFonts w:eastAsia="Calibri"/>
                <w:lang w:val="sv"/>
              </w:rPr>
              <w:t>Resultatindikatorer:</w:t>
            </w:r>
          </w:p>
          <w:p w14:paraId="56FD6993" w14:textId="77777777" w:rsidR="00CB4157" w:rsidRPr="0003074C" w:rsidRDefault="00CB4157" w:rsidP="0003074C">
            <w:pPr>
              <w:pStyle w:val="Leipteksti"/>
              <w:rPr>
                <w:lang w:val="sv-SE"/>
              </w:rPr>
            </w:pPr>
            <w:r w:rsidRPr="0003074C">
              <w:rPr>
                <w:lang w:val="sv"/>
              </w:rPr>
              <w:t>R.3.12 Antal deltagare som tycker att utbildningsverksamheten är användbar i sitt arbete</w:t>
            </w:r>
          </w:p>
          <w:p w14:paraId="52C80976" w14:textId="77777777" w:rsidR="00CB4157" w:rsidRPr="0003074C" w:rsidRDefault="00CB4157" w:rsidP="0003074C">
            <w:pPr>
              <w:pStyle w:val="Leipteksti"/>
              <w:rPr>
                <w:lang w:val="sv-SE"/>
              </w:rPr>
            </w:pPr>
            <w:r w:rsidRPr="0003074C">
              <w:rPr>
                <w:lang w:val="sv"/>
              </w:rPr>
              <w:t>R.3.13 Antal deltagare som tre månader efter att utbildningsaktiviteten avslutats anger att de använder de färdigheter och den kompetens som förvärvats i utbildningen i fråga</w:t>
            </w:r>
          </w:p>
        </w:tc>
      </w:tr>
      <w:tr w:rsidR="00DA1344" w:rsidRPr="000F5AB4" w14:paraId="78CFB745" w14:textId="77777777" w:rsidTr="0037512D">
        <w:tc>
          <w:tcPr>
            <w:tcW w:w="4814" w:type="dxa"/>
          </w:tcPr>
          <w:p w14:paraId="57CAE6B4" w14:textId="40030A5F" w:rsidR="00DA1344" w:rsidRPr="0003074C" w:rsidRDefault="00DA1344" w:rsidP="00DA1344">
            <w:pPr>
              <w:pStyle w:val="Leipteksti"/>
              <w:rPr>
                <w:b/>
                <w:bCs/>
                <w:lang w:val="sv"/>
              </w:rPr>
            </w:pPr>
            <w:r w:rsidRPr="005859D0">
              <w:rPr>
                <w:b/>
                <w:bCs/>
                <w:lang w:val="sv"/>
              </w:rPr>
              <w:lastRenderedPageBreak/>
              <w:t>Ansökningstid</w:t>
            </w:r>
          </w:p>
        </w:tc>
        <w:tc>
          <w:tcPr>
            <w:tcW w:w="4814" w:type="dxa"/>
          </w:tcPr>
          <w:p w14:paraId="2C472B30" w14:textId="77777777" w:rsidR="00DA1344" w:rsidRDefault="00AD1B79" w:rsidP="00DA1344">
            <w:pPr>
              <w:pStyle w:val="Leipteksti"/>
              <w:rPr>
                <w:lang w:val="sv"/>
              </w:rPr>
            </w:pPr>
            <w:r>
              <w:rPr>
                <w:lang w:val="sv"/>
              </w:rPr>
              <w:t>v</w:t>
            </w:r>
            <w:r w:rsidR="00DA1344">
              <w:rPr>
                <w:lang w:val="sv"/>
              </w:rPr>
              <w:t>åren 2024, hösten 2024</w:t>
            </w:r>
            <w:r w:rsidR="00C319EA">
              <w:rPr>
                <w:lang w:val="sv"/>
              </w:rPr>
              <w:t>, våren 2025, hösten 2025</w:t>
            </w:r>
          </w:p>
          <w:p w14:paraId="338E6544" w14:textId="1DE1E722" w:rsidR="00FA71BE" w:rsidRPr="0003074C" w:rsidRDefault="00FA71BE" w:rsidP="00DA1344">
            <w:pPr>
              <w:pStyle w:val="Leipteksti"/>
              <w:rPr>
                <w:b/>
                <w:bCs/>
                <w:lang w:val="sv"/>
              </w:rPr>
            </w:pPr>
            <w:r>
              <w:rPr>
                <w:lang w:val="sv"/>
              </w:rPr>
              <w:t>(om finansiering återstår)</w:t>
            </w:r>
          </w:p>
        </w:tc>
      </w:tr>
      <w:tr w:rsidR="00DA1344" w:rsidRPr="00A31D59" w14:paraId="002E3916" w14:textId="77777777" w:rsidTr="0037512D">
        <w:tc>
          <w:tcPr>
            <w:tcW w:w="4814" w:type="dxa"/>
          </w:tcPr>
          <w:p w14:paraId="42131718" w14:textId="3BEF93E2" w:rsidR="00DA1344" w:rsidRPr="005859D0" w:rsidRDefault="00DA1344" w:rsidP="00DA1344">
            <w:pPr>
              <w:pStyle w:val="Leipteksti"/>
              <w:rPr>
                <w:b/>
                <w:bCs/>
                <w:lang w:val="sv"/>
              </w:rPr>
            </w:pPr>
            <w:r w:rsidRPr="005859D0">
              <w:rPr>
                <w:b/>
                <w:bCs/>
                <w:lang w:val="sv"/>
              </w:rPr>
              <w:t>Projektet inleds senast</w:t>
            </w:r>
          </w:p>
        </w:tc>
        <w:tc>
          <w:tcPr>
            <w:tcW w:w="4814" w:type="dxa"/>
          </w:tcPr>
          <w:p w14:paraId="7169BAC0" w14:textId="2C0E6550" w:rsidR="00DA1344" w:rsidRDefault="00DA1344" w:rsidP="00DA1344">
            <w:pPr>
              <w:pStyle w:val="Leipteksti"/>
              <w:rPr>
                <w:lang w:val="sv"/>
              </w:rPr>
            </w:pPr>
            <w:r w:rsidRPr="005859D0">
              <w:rPr>
                <w:lang w:val="sv"/>
              </w:rPr>
              <w:t>Se utlysningen</w:t>
            </w:r>
          </w:p>
        </w:tc>
      </w:tr>
      <w:bookmarkEnd w:id="75"/>
    </w:tbl>
    <w:p w14:paraId="659302DA" w14:textId="7E622FB6" w:rsidR="00CB4157" w:rsidRDefault="00CB4157" w:rsidP="00D97CEC">
      <w:pPr>
        <w:pStyle w:val="Leipteksti"/>
        <w:spacing w:after="0"/>
        <w:rPr>
          <w:lang w:val="sv-SE"/>
        </w:rPr>
      </w:pPr>
    </w:p>
    <w:bookmarkEnd w:id="73"/>
    <w:p w14:paraId="6E8C6880" w14:textId="77777777" w:rsidR="00CB4157" w:rsidRDefault="00CB4157" w:rsidP="00CB4157">
      <w:pPr>
        <w:pStyle w:val="Otsikko2"/>
      </w:pPr>
    </w:p>
    <w:p w14:paraId="1B91EA57" w14:textId="032F2350" w:rsidR="00CB4157" w:rsidRPr="009538BD" w:rsidRDefault="00CB4157" w:rsidP="000C1E3F">
      <w:pPr>
        <w:pStyle w:val="Otsikko3"/>
        <w:rPr>
          <w:lang w:val="sv-SE"/>
        </w:rPr>
      </w:pPr>
      <w:bookmarkStart w:id="76" w:name="_Toc102727287"/>
      <w:bookmarkStart w:id="77" w:name="_Toc184224319"/>
      <w:r>
        <w:rPr>
          <w:lang w:val="sv"/>
        </w:rPr>
        <w:t>3 D Uppgradering av utrustning, utbildningsverktyg och annan säkerhetsinfrastruktur</w:t>
      </w:r>
      <w:bookmarkEnd w:id="76"/>
      <w:bookmarkEnd w:id="77"/>
    </w:p>
    <w:p w14:paraId="47D7DE8D" w14:textId="77777777" w:rsidR="00CB4157" w:rsidRPr="009538BD" w:rsidRDefault="00CB4157" w:rsidP="00CB4157">
      <w:pPr>
        <w:rPr>
          <w:lang w:val="sv-SE"/>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CB4157" w:rsidRPr="000F5AB4" w14:paraId="2E2EF42C" w14:textId="77777777" w:rsidTr="00D11F46">
        <w:tc>
          <w:tcPr>
            <w:tcW w:w="9628" w:type="dxa"/>
            <w:gridSpan w:val="2"/>
            <w:shd w:val="clear" w:color="auto" w:fill="FDE2D1" w:themeFill="accent1" w:themeFillTint="33"/>
          </w:tcPr>
          <w:p w14:paraId="3F81A3FC" w14:textId="39E267CD" w:rsidR="00CB4157" w:rsidRPr="009538BD" w:rsidRDefault="00CB4157" w:rsidP="00D11F46">
            <w:pPr>
              <w:pStyle w:val="Otsikko4"/>
              <w:rPr>
                <w:lang w:val="sv-SE"/>
              </w:rPr>
            </w:pPr>
            <w:bookmarkStart w:id="78" w:name="_Toc102727288"/>
            <w:r>
              <w:rPr>
                <w:lang w:val="sv"/>
              </w:rPr>
              <w:t>3 D 1 U</w:t>
            </w:r>
            <w:r w:rsidR="006A20C0">
              <w:rPr>
                <w:lang w:val="sv"/>
              </w:rPr>
              <w:t>tveckling</w:t>
            </w:r>
            <w:r>
              <w:rPr>
                <w:lang w:val="sv"/>
              </w:rPr>
              <w:t xml:space="preserve"> av utrustning, verktyg och annan infrastruktur</w:t>
            </w:r>
            <w:bookmarkEnd w:id="78"/>
          </w:p>
          <w:p w14:paraId="6B7CCF70" w14:textId="77777777" w:rsidR="00CB4157" w:rsidRPr="009538BD" w:rsidRDefault="00CB4157" w:rsidP="00CB4157">
            <w:pPr>
              <w:rPr>
                <w:lang w:val="sv-SE"/>
              </w:rPr>
            </w:pPr>
          </w:p>
        </w:tc>
      </w:tr>
      <w:tr w:rsidR="00CB4157" w:rsidRPr="000F5AB4" w14:paraId="05A3E12C" w14:textId="77777777" w:rsidTr="000C1E3F">
        <w:trPr>
          <w:trHeight w:val="2685"/>
        </w:trPr>
        <w:tc>
          <w:tcPr>
            <w:tcW w:w="9628" w:type="dxa"/>
            <w:gridSpan w:val="2"/>
          </w:tcPr>
          <w:p w14:paraId="5A5A18D2" w14:textId="77777777" w:rsidR="00CB4157" w:rsidRPr="009538BD" w:rsidRDefault="00CB4157" w:rsidP="002E75C3">
            <w:pPr>
              <w:pStyle w:val="Leipteksti"/>
              <w:rPr>
                <w:lang w:val="sv-SE"/>
              </w:rPr>
            </w:pPr>
          </w:p>
          <w:p w14:paraId="4D770C27" w14:textId="77777777" w:rsidR="00CB4157" w:rsidRPr="009538BD" w:rsidRDefault="00CB4157" w:rsidP="002E75C3">
            <w:pPr>
              <w:pStyle w:val="Leipteksti"/>
              <w:rPr>
                <w:lang w:val="sv-SE"/>
              </w:rPr>
            </w:pPr>
            <w:r>
              <w:rPr>
                <w:lang w:val="sv"/>
              </w:rPr>
              <w:t>Myndigheter har kontinuerligt behov av att utveckla utrustningens och verktygens prestanda.   Myndigheters förmåga att identifiera och bekämpa olika hot varierar.  Utrustning är inte heller lika tillgänglig i alla områden. Det kan ta för lång tid att få utrustningen på plats i händelse av en olycka. Dessutom kräver användningen av verktyg och utrustning kompetens som inte alla har. Utrustning och tillbehör bör uppdateras regelbundet i takt med att tekniken går framåt och ersättningsköp görs. Dessutom måste mobiltjänsterna kunna utökas.</w:t>
            </w:r>
          </w:p>
          <w:p w14:paraId="6B1A022B" w14:textId="77777777" w:rsidR="00CB4157" w:rsidRPr="009538BD" w:rsidRDefault="00CB4157" w:rsidP="002E75C3">
            <w:pPr>
              <w:pStyle w:val="Leipteksti"/>
              <w:rPr>
                <w:lang w:val="sv-SE"/>
              </w:rPr>
            </w:pPr>
          </w:p>
          <w:p w14:paraId="5FD208D5" w14:textId="77777777" w:rsidR="00CB4157" w:rsidRPr="009538BD" w:rsidRDefault="00CB4157" w:rsidP="002E75C3">
            <w:pPr>
              <w:pStyle w:val="Leipteksti"/>
              <w:rPr>
                <w:lang w:val="sv-SE"/>
              </w:rPr>
            </w:pPr>
            <w:r>
              <w:rPr>
                <w:lang w:val="sv"/>
              </w:rPr>
              <w:t xml:space="preserve">Till exempel när det gäller utvecklingen av förmågan att bekämpa terrorism finns det behov exempelvis vad gäller flygplansprestanda medan det inom bekämpningen av cyberbrottslighet </w:t>
            </w:r>
            <w:r>
              <w:rPr>
                <w:lang w:val="sv"/>
              </w:rPr>
              <w:lastRenderedPageBreak/>
              <w:t>och i det brottstekniska laboratoriet finns behov av att skaffa anordningar, verktyg och programvara. Även mängden personlig skyddsutrustning och CBRNE-anordningar ska utökas och den befintliga utrustningen förnyas.</w:t>
            </w:r>
          </w:p>
          <w:p w14:paraId="17A9ABB9" w14:textId="77777777" w:rsidR="00CB4157" w:rsidRPr="009538BD" w:rsidRDefault="00CB4157" w:rsidP="002E75C3">
            <w:pPr>
              <w:pStyle w:val="Leipteksti"/>
              <w:rPr>
                <w:lang w:val="sv-SE"/>
              </w:rPr>
            </w:pPr>
          </w:p>
          <w:p w14:paraId="632D919A" w14:textId="77777777" w:rsidR="00CB4157" w:rsidRPr="00A17F47" w:rsidRDefault="00CB4157" w:rsidP="002E75C3">
            <w:pPr>
              <w:pStyle w:val="Leipteksti"/>
              <w:rPr>
                <w:rFonts w:cstheme="minorBidi"/>
                <w:b/>
                <w:lang w:val="sv-SE"/>
              </w:rPr>
            </w:pPr>
            <w:bookmarkStart w:id="79" w:name="_Toc102727289"/>
            <w:r w:rsidRPr="00A17F47">
              <w:rPr>
                <w:rFonts w:cstheme="minorBidi"/>
                <w:b/>
                <w:bCs/>
                <w:lang w:val="sv"/>
              </w:rPr>
              <w:t>Målet är att myndigheternas respons- och prestationsförmåga utvecklas med beaktande av lämplighet för utbildning och gemensamma operationer.</w:t>
            </w:r>
            <w:bookmarkEnd w:id="79"/>
            <w:r w:rsidRPr="00A17F47">
              <w:rPr>
                <w:rFonts w:cstheme="minorBidi"/>
                <w:b/>
                <w:bCs/>
                <w:lang w:val="sv"/>
              </w:rPr>
              <w:t xml:space="preserve"> </w:t>
            </w:r>
          </w:p>
          <w:p w14:paraId="6637A007" w14:textId="77777777" w:rsidR="00CB4157" w:rsidRPr="009538BD" w:rsidRDefault="00CB4157" w:rsidP="002E75C3">
            <w:pPr>
              <w:pStyle w:val="Leipteksti"/>
              <w:rPr>
                <w:lang w:val="sv-SE"/>
              </w:rPr>
            </w:pPr>
          </w:p>
          <w:p w14:paraId="7F0319A3" w14:textId="77777777" w:rsidR="00CB4157" w:rsidRPr="009538BD" w:rsidRDefault="00CB4157" w:rsidP="002E75C3">
            <w:pPr>
              <w:pStyle w:val="Leipteksti"/>
              <w:rPr>
                <w:lang w:val="sv-SE"/>
              </w:rPr>
            </w:pPr>
            <w:r>
              <w:rPr>
                <w:lang w:val="sv"/>
              </w:rPr>
              <w:t>Understöd kan beviljas för projekt där man förnyar och ökar till exempel:</w:t>
            </w:r>
          </w:p>
          <w:p w14:paraId="34FB6E0A" w14:textId="77777777" w:rsidR="00CB4157" w:rsidRPr="009538BD" w:rsidRDefault="00CB4157" w:rsidP="00A17F47">
            <w:pPr>
              <w:pStyle w:val="Leipteksti"/>
              <w:numPr>
                <w:ilvl w:val="0"/>
                <w:numId w:val="28"/>
              </w:numPr>
              <w:rPr>
                <w:lang w:val="sv-SE"/>
              </w:rPr>
            </w:pPr>
            <w:r>
              <w:rPr>
                <w:lang w:val="sv"/>
              </w:rPr>
              <w:t>teknik och utrustning som används i brottsbekämpning och brottsutredning,</w:t>
            </w:r>
          </w:p>
          <w:p w14:paraId="2CB937CC" w14:textId="77777777" w:rsidR="00CB4157" w:rsidRDefault="00CB4157" w:rsidP="00A17F47">
            <w:pPr>
              <w:pStyle w:val="Leipteksti"/>
              <w:numPr>
                <w:ilvl w:val="0"/>
                <w:numId w:val="28"/>
              </w:numPr>
            </w:pPr>
            <w:r>
              <w:rPr>
                <w:lang w:val="sv"/>
              </w:rPr>
              <w:t>myndigheternas informationstekniska lösningar,</w:t>
            </w:r>
          </w:p>
          <w:p w14:paraId="589E4F7F" w14:textId="77777777" w:rsidR="00CB4157" w:rsidRDefault="00CB4157" w:rsidP="00A17F47">
            <w:pPr>
              <w:pStyle w:val="Leipteksti"/>
              <w:numPr>
                <w:ilvl w:val="0"/>
                <w:numId w:val="28"/>
              </w:numPr>
            </w:pPr>
            <w:r>
              <w:rPr>
                <w:lang w:val="sv"/>
              </w:rPr>
              <w:t>särskild utrustning,</w:t>
            </w:r>
          </w:p>
          <w:p w14:paraId="4C5C926E" w14:textId="77777777" w:rsidR="00CB4157" w:rsidRDefault="00CB4157" w:rsidP="00A17F47">
            <w:pPr>
              <w:pStyle w:val="Leipteksti"/>
              <w:numPr>
                <w:ilvl w:val="0"/>
                <w:numId w:val="28"/>
              </w:numPr>
            </w:pPr>
            <w:r>
              <w:rPr>
                <w:lang w:val="sv"/>
              </w:rPr>
              <w:t>mätinstrument,</w:t>
            </w:r>
          </w:p>
          <w:p w14:paraId="166A50E4" w14:textId="77777777" w:rsidR="00CB4157" w:rsidRDefault="00CB4157" w:rsidP="00A17F47">
            <w:pPr>
              <w:pStyle w:val="Leipteksti"/>
              <w:numPr>
                <w:ilvl w:val="0"/>
                <w:numId w:val="28"/>
              </w:numPr>
            </w:pPr>
            <w:r>
              <w:rPr>
                <w:lang w:val="sv"/>
              </w:rPr>
              <w:t>skyddsutrustning,</w:t>
            </w:r>
          </w:p>
          <w:p w14:paraId="07AE06E2" w14:textId="77777777" w:rsidR="00CB4157" w:rsidRPr="009538BD" w:rsidRDefault="00CB4157" w:rsidP="00A17F47">
            <w:pPr>
              <w:pStyle w:val="Leipteksti"/>
              <w:numPr>
                <w:ilvl w:val="0"/>
                <w:numId w:val="28"/>
              </w:numPr>
              <w:rPr>
                <w:lang w:val="sv-SE"/>
              </w:rPr>
            </w:pPr>
            <w:r>
              <w:rPr>
                <w:lang w:val="sv"/>
              </w:rPr>
              <w:t>verktyg och metoder för polisens undersökning av terminalutrustning,</w:t>
            </w:r>
          </w:p>
          <w:p w14:paraId="3A4ACD97" w14:textId="77777777" w:rsidR="00CB4157" w:rsidRDefault="00CB4157" w:rsidP="00A17F47">
            <w:pPr>
              <w:pStyle w:val="Leipteksti"/>
              <w:numPr>
                <w:ilvl w:val="0"/>
                <w:numId w:val="28"/>
              </w:numPr>
            </w:pPr>
            <w:r>
              <w:rPr>
                <w:lang w:val="sv"/>
              </w:rPr>
              <w:t>terminalutrustning, programvaror, nätverk,</w:t>
            </w:r>
          </w:p>
          <w:p w14:paraId="62BDEA40" w14:textId="77777777" w:rsidR="00CB4157" w:rsidRDefault="00CB4157" w:rsidP="00A17F47">
            <w:pPr>
              <w:pStyle w:val="Leipteksti"/>
              <w:numPr>
                <w:ilvl w:val="0"/>
                <w:numId w:val="28"/>
              </w:numPr>
            </w:pPr>
            <w:r>
              <w:rPr>
                <w:lang w:val="sv"/>
              </w:rPr>
              <w:t>mobiltjänster och mobila enheter,</w:t>
            </w:r>
          </w:p>
          <w:p w14:paraId="2AD095A2" w14:textId="77777777" w:rsidR="00CB4157" w:rsidRPr="009538BD" w:rsidRDefault="00CB4157" w:rsidP="00A17F47">
            <w:pPr>
              <w:pStyle w:val="Leipteksti"/>
              <w:numPr>
                <w:ilvl w:val="0"/>
                <w:numId w:val="28"/>
              </w:numPr>
              <w:rPr>
                <w:lang w:val="sv-SE"/>
              </w:rPr>
            </w:pPr>
            <w:r>
              <w:rPr>
                <w:lang w:val="sv"/>
              </w:rPr>
              <w:t>redskap för lagring, delning och analysering av data.</w:t>
            </w:r>
          </w:p>
          <w:p w14:paraId="3E6C9487" w14:textId="77777777" w:rsidR="00CB4157" w:rsidRDefault="00CB4157" w:rsidP="002E75C3">
            <w:pPr>
              <w:pStyle w:val="Leipteksti"/>
            </w:pPr>
            <w:r>
              <w:rPr>
                <w:lang w:val="sv"/>
              </w:rPr>
              <w:t>Resultatmål:</w:t>
            </w:r>
          </w:p>
          <w:p w14:paraId="668AE086" w14:textId="1D8F186C" w:rsidR="00CB4157" w:rsidRPr="009538BD" w:rsidRDefault="00CB4157" w:rsidP="00A17F47">
            <w:pPr>
              <w:pStyle w:val="Leipteksti"/>
              <w:numPr>
                <w:ilvl w:val="0"/>
                <w:numId w:val="27"/>
              </w:numPr>
              <w:rPr>
                <w:lang w:val="sv-SE"/>
              </w:rPr>
            </w:pPr>
            <w:r>
              <w:rPr>
                <w:lang w:val="sv"/>
              </w:rPr>
              <w:t>respons- och prestationsförmåga</w:t>
            </w:r>
            <w:r w:rsidR="00816CAC">
              <w:rPr>
                <w:lang w:val="sv"/>
              </w:rPr>
              <w:t>n</w:t>
            </w:r>
            <w:r>
              <w:rPr>
                <w:lang w:val="sv"/>
              </w:rPr>
              <w:t xml:space="preserve"> </w:t>
            </w:r>
            <w:r w:rsidR="00816CAC">
              <w:rPr>
                <w:lang w:val="sv"/>
              </w:rPr>
              <w:t xml:space="preserve">hos de behöriga myndigheterna inom den inre säkerheten </w:t>
            </w:r>
            <w:r>
              <w:rPr>
                <w:lang w:val="sv"/>
              </w:rPr>
              <w:t>har förbättrats i och med anskaffning av utrustning</w:t>
            </w:r>
            <w:r w:rsidR="00816CAC">
              <w:rPr>
                <w:lang w:val="sv"/>
              </w:rPr>
              <w:t xml:space="preserve"> och materiel</w:t>
            </w:r>
            <w:r>
              <w:rPr>
                <w:lang w:val="sv"/>
              </w:rPr>
              <w:t>,</w:t>
            </w:r>
          </w:p>
          <w:p w14:paraId="78D45A94" w14:textId="77777777" w:rsidR="00CB4157" w:rsidRPr="009538BD" w:rsidRDefault="00CB4157" w:rsidP="00A17F47">
            <w:pPr>
              <w:pStyle w:val="Leipteksti"/>
              <w:numPr>
                <w:ilvl w:val="0"/>
                <w:numId w:val="27"/>
              </w:numPr>
              <w:rPr>
                <w:lang w:val="sv-SE"/>
              </w:rPr>
            </w:pPr>
            <w:r>
              <w:rPr>
                <w:lang w:val="sv"/>
              </w:rPr>
              <w:t xml:space="preserve">regionala skillnader i tillgång och färdigheter att använda utrustning har minskat. </w:t>
            </w:r>
          </w:p>
        </w:tc>
      </w:tr>
      <w:tr w:rsidR="00CB4157" w:rsidRPr="000F5AB4" w14:paraId="529A7604" w14:textId="77777777" w:rsidTr="000C1E3F">
        <w:trPr>
          <w:trHeight w:val="789"/>
        </w:trPr>
        <w:tc>
          <w:tcPr>
            <w:tcW w:w="4248" w:type="dxa"/>
          </w:tcPr>
          <w:p w14:paraId="7B01FCC5" w14:textId="77777777" w:rsidR="00CB4157" w:rsidRPr="00052B28" w:rsidRDefault="00CB4157" w:rsidP="002E75C3">
            <w:pPr>
              <w:pStyle w:val="Leipteksti"/>
              <w:rPr>
                <w:b/>
              </w:rPr>
            </w:pPr>
            <w:r>
              <w:rPr>
                <w:b/>
                <w:bCs/>
                <w:lang w:val="sv"/>
              </w:rPr>
              <w:lastRenderedPageBreak/>
              <w:t>Understöd</w:t>
            </w:r>
          </w:p>
        </w:tc>
        <w:tc>
          <w:tcPr>
            <w:tcW w:w="5380" w:type="dxa"/>
          </w:tcPr>
          <w:p w14:paraId="164AFCB7" w14:textId="77777777" w:rsidR="00CB4157" w:rsidRPr="009538BD" w:rsidRDefault="00CB4157" w:rsidP="002E75C3">
            <w:pPr>
              <w:pStyle w:val="Leipteksti"/>
              <w:rPr>
                <w:lang w:val="sv-SE"/>
              </w:rPr>
            </w:pPr>
            <w:r>
              <w:rPr>
                <w:lang w:val="sv"/>
              </w:rPr>
              <w:t xml:space="preserve">75 % </w:t>
            </w:r>
          </w:p>
          <w:p w14:paraId="55CDC8BA" w14:textId="72EE8680" w:rsidR="00CB4157" w:rsidRPr="009538BD" w:rsidRDefault="00CB4157" w:rsidP="00A17F47">
            <w:pPr>
              <w:pStyle w:val="Leipteksti"/>
              <w:rPr>
                <w:lang w:val="sv-SE"/>
              </w:rPr>
            </w:pPr>
            <w:r>
              <w:rPr>
                <w:lang w:val="sv"/>
              </w:rPr>
              <w:t>Understödet kan höjas till 90 procent för projekt som syftar till att förbättra säkerheten och motståndskraften hos kritisk infrastruktur</w:t>
            </w:r>
            <w:r w:rsidR="000473F1">
              <w:rPr>
                <w:lang w:val="sv"/>
              </w:rPr>
              <w:t xml:space="preserve"> samt till </w:t>
            </w:r>
            <w:r w:rsidR="000473F1">
              <w:rPr>
                <w:lang w:val="sv"/>
              </w:rPr>
              <w:lastRenderedPageBreak/>
              <w:t>att bekämpa it-brottslighet (även andra punkter i ISF-förordningens appendix IV kan tillämpas)</w:t>
            </w:r>
            <w:r>
              <w:rPr>
                <w:lang w:val="sv"/>
              </w:rPr>
              <w:t>.</w:t>
            </w:r>
          </w:p>
        </w:tc>
      </w:tr>
      <w:tr w:rsidR="00CB4157" w:rsidRPr="00052B28" w14:paraId="4FD05269" w14:textId="77777777" w:rsidTr="00A17F47">
        <w:trPr>
          <w:trHeight w:val="620"/>
        </w:trPr>
        <w:tc>
          <w:tcPr>
            <w:tcW w:w="4248" w:type="dxa"/>
          </w:tcPr>
          <w:p w14:paraId="0AAE4741" w14:textId="77777777" w:rsidR="00CB4157" w:rsidRPr="00052B28" w:rsidRDefault="00CB4157" w:rsidP="00A17F47">
            <w:pPr>
              <w:pStyle w:val="Leipteksti"/>
            </w:pPr>
            <w:r>
              <w:rPr>
                <w:b/>
                <w:bCs/>
                <w:lang w:val="sv"/>
              </w:rPr>
              <w:lastRenderedPageBreak/>
              <w:t>Möjliga stödmottagare</w:t>
            </w:r>
          </w:p>
        </w:tc>
        <w:tc>
          <w:tcPr>
            <w:tcW w:w="5380" w:type="dxa"/>
          </w:tcPr>
          <w:p w14:paraId="5AF04D3F" w14:textId="77777777" w:rsidR="00CB4157" w:rsidRPr="00052B28" w:rsidRDefault="00CB4157" w:rsidP="002E75C3">
            <w:pPr>
              <w:pStyle w:val="Leipteksti"/>
            </w:pPr>
            <w:r>
              <w:rPr>
                <w:lang w:val="sv"/>
              </w:rPr>
              <w:t>Behöriga myndigheter.</w:t>
            </w:r>
          </w:p>
        </w:tc>
      </w:tr>
      <w:tr w:rsidR="00CB4157" w:rsidRPr="000F5AB4" w14:paraId="2AE345FA" w14:textId="77777777" w:rsidTr="000C1E3F">
        <w:tc>
          <w:tcPr>
            <w:tcW w:w="4248" w:type="dxa"/>
          </w:tcPr>
          <w:p w14:paraId="05F66EE6" w14:textId="77777777" w:rsidR="00CB4157" w:rsidRPr="009538BD" w:rsidRDefault="00CB4157" w:rsidP="002E75C3">
            <w:pPr>
              <w:pStyle w:val="Leipteksti"/>
              <w:rPr>
                <w:b/>
                <w:lang w:val="sv-SE"/>
              </w:rPr>
            </w:pPr>
            <w:r>
              <w:rPr>
                <w:rFonts w:eastAsia="Calibri" w:cs="Times New Roman"/>
                <w:b/>
                <w:bCs/>
                <w:lang w:val="sv"/>
              </w:rPr>
              <w:t>Samordning med annan EU-finansiering</w:t>
            </w:r>
          </w:p>
        </w:tc>
        <w:tc>
          <w:tcPr>
            <w:tcW w:w="5380" w:type="dxa"/>
          </w:tcPr>
          <w:p w14:paraId="5A091E7B" w14:textId="77777777" w:rsidR="00CB4157" w:rsidRPr="009538BD" w:rsidRDefault="00CB4157" w:rsidP="002E75C3">
            <w:pPr>
              <w:pStyle w:val="Leipteksti"/>
              <w:rPr>
                <w:lang w:val="sv-SE"/>
              </w:rPr>
            </w:pPr>
            <w:r>
              <w:rPr>
                <w:lang w:val="sv"/>
              </w:rPr>
              <w:t>Med BMVI-finansiering anskaffas utrustning och teknik för gränskontrolländamål.</w:t>
            </w:r>
          </w:p>
        </w:tc>
      </w:tr>
      <w:tr w:rsidR="00CB4157" w:rsidRPr="000F5AB4" w14:paraId="62A71259" w14:textId="77777777" w:rsidTr="000C1E3F">
        <w:tc>
          <w:tcPr>
            <w:tcW w:w="9628" w:type="dxa"/>
            <w:gridSpan w:val="2"/>
          </w:tcPr>
          <w:p w14:paraId="6C0053DF" w14:textId="77777777" w:rsidR="00CB4157" w:rsidRPr="009538BD" w:rsidRDefault="00CB4157" w:rsidP="002E75C3">
            <w:pPr>
              <w:pStyle w:val="Leipteksti"/>
              <w:rPr>
                <w:lang w:val="sv-SE"/>
              </w:rPr>
            </w:pPr>
            <w:r>
              <w:rPr>
                <w:b/>
                <w:bCs/>
                <w:lang w:val="sv"/>
              </w:rPr>
              <w:t>Indikatorer som ska tillämpas</w:t>
            </w:r>
            <w:r>
              <w:rPr>
                <w:lang w:val="sv"/>
              </w:rPr>
              <w:t xml:space="preserve"> </w:t>
            </w:r>
          </w:p>
          <w:p w14:paraId="639E79DC" w14:textId="2D09EC4D" w:rsidR="00CB4157" w:rsidRPr="009538BD" w:rsidRDefault="00CB4157" w:rsidP="002E75C3">
            <w:pPr>
              <w:pStyle w:val="Leipteksti"/>
              <w:rPr>
                <w:lang w:val="sv-SE"/>
              </w:rPr>
            </w:pPr>
            <w:r>
              <w:rPr>
                <w:lang w:val="sv"/>
              </w:rPr>
              <w:t>I åtgärderna ska även tillämpas andra indikatorer än de som finns i detta s</w:t>
            </w:r>
            <w:r w:rsidR="000473F1">
              <w:rPr>
                <w:lang w:val="sv"/>
              </w:rPr>
              <w:t>pecifik</w:t>
            </w:r>
            <w:r>
              <w:rPr>
                <w:lang w:val="sv"/>
              </w:rPr>
              <w:t>a mål, om verksamheten som genomförs kan mätas med dem.</w:t>
            </w:r>
          </w:p>
          <w:p w14:paraId="51B5E3D5" w14:textId="77777777" w:rsidR="00CB4157" w:rsidRPr="009538BD" w:rsidRDefault="00CB4157" w:rsidP="002E75C3">
            <w:pPr>
              <w:pStyle w:val="Leipteksti"/>
              <w:rPr>
                <w:lang w:val="sv-SE"/>
              </w:rPr>
            </w:pPr>
          </w:p>
          <w:p w14:paraId="49F24655" w14:textId="046A3693" w:rsidR="00CB4157" w:rsidRPr="009538BD" w:rsidRDefault="0095707B" w:rsidP="002E75C3">
            <w:pPr>
              <w:pStyle w:val="Leipteksti"/>
              <w:rPr>
                <w:lang w:val="sv-SE"/>
              </w:rPr>
            </w:pPr>
            <w:r>
              <w:rPr>
                <w:lang w:val="sv"/>
              </w:rPr>
              <w:t>Output</w:t>
            </w:r>
            <w:r w:rsidR="00CB4157">
              <w:rPr>
                <w:lang w:val="sv"/>
              </w:rPr>
              <w:t>indikatorer:</w:t>
            </w:r>
          </w:p>
          <w:p w14:paraId="6E81108E" w14:textId="77777777" w:rsidR="00CB4157" w:rsidRPr="009538BD" w:rsidRDefault="00CB4157" w:rsidP="002E75C3">
            <w:pPr>
              <w:pStyle w:val="Leipteksti"/>
              <w:rPr>
                <w:lang w:val="sv-SE"/>
              </w:rPr>
            </w:pPr>
            <w:r>
              <w:rPr>
                <w:lang w:val="sv"/>
              </w:rPr>
              <w:t>O.3.3 Mängden anskaffad utrustning</w:t>
            </w:r>
          </w:p>
          <w:p w14:paraId="68650414" w14:textId="77777777" w:rsidR="00CB4157" w:rsidRPr="009538BD" w:rsidRDefault="00CB4157" w:rsidP="002E75C3">
            <w:pPr>
              <w:pStyle w:val="Leipteksti"/>
              <w:rPr>
                <w:lang w:val="sv-SE"/>
              </w:rPr>
            </w:pPr>
            <w:r>
              <w:rPr>
                <w:lang w:val="sv"/>
              </w:rPr>
              <w:t>O.3.4 Antal anskaffade fordon</w:t>
            </w:r>
          </w:p>
          <w:p w14:paraId="065A7412" w14:textId="77777777" w:rsidR="00CB4157" w:rsidRPr="009538BD" w:rsidRDefault="00CB4157" w:rsidP="002E75C3">
            <w:pPr>
              <w:pStyle w:val="Leipteksti"/>
              <w:rPr>
                <w:lang w:val="sv-SE"/>
              </w:rPr>
            </w:pPr>
            <w:r>
              <w:rPr>
                <w:lang w:val="sv"/>
              </w:rPr>
              <w:t>O.3.5 Antal anläggningar/utrustning/mekanismer som är relevanta för infrastruktur/säkerhet byggd/anskaffad/uppgraderad</w:t>
            </w:r>
          </w:p>
          <w:p w14:paraId="5723933B" w14:textId="77777777" w:rsidR="00CB4157" w:rsidRPr="009538BD" w:rsidRDefault="00CB4157" w:rsidP="002E75C3">
            <w:pPr>
              <w:pStyle w:val="Leipteksti"/>
              <w:rPr>
                <w:lang w:val="sv-SE"/>
              </w:rPr>
            </w:pPr>
            <w:r>
              <w:rPr>
                <w:lang w:val="sv"/>
              </w:rPr>
              <w:t>O.3.6 Antal brottsförebyggande projekt</w:t>
            </w:r>
          </w:p>
          <w:p w14:paraId="0671BE92" w14:textId="77777777" w:rsidR="00CB4157" w:rsidRPr="009538BD" w:rsidRDefault="00CB4157" w:rsidP="002E75C3">
            <w:pPr>
              <w:pStyle w:val="Leipteksti"/>
              <w:rPr>
                <w:lang w:val="sv-SE"/>
              </w:rPr>
            </w:pPr>
            <w:r>
              <w:rPr>
                <w:rFonts w:eastAsia="Calibri" w:cs="Times New Roman"/>
                <w:lang w:val="sv"/>
              </w:rPr>
              <w:t>Resultatindikatorer:</w:t>
            </w:r>
          </w:p>
          <w:p w14:paraId="54A8969E" w14:textId="77777777" w:rsidR="00CB4157" w:rsidRPr="009538BD" w:rsidRDefault="00CB4157" w:rsidP="00A17F47">
            <w:pPr>
              <w:pStyle w:val="Leipteksti"/>
              <w:rPr>
                <w:lang w:val="sv-SE"/>
              </w:rPr>
            </w:pPr>
            <w:r>
              <w:rPr>
                <w:lang w:val="sv"/>
              </w:rPr>
              <w:t>R.3.11 Antal kritiska infrastrukturer/offentliga utrymmen med nya eller anpassade möjligheter för säkerhetsrisker</w:t>
            </w:r>
          </w:p>
        </w:tc>
      </w:tr>
      <w:tr w:rsidR="00CB4157" w:rsidRPr="000F5AB4" w14:paraId="2DF9D147" w14:textId="77777777" w:rsidTr="000C1E3F">
        <w:tc>
          <w:tcPr>
            <w:tcW w:w="4248" w:type="dxa"/>
          </w:tcPr>
          <w:p w14:paraId="3E77D033" w14:textId="77777777" w:rsidR="00CB4157" w:rsidRPr="00052B28" w:rsidRDefault="00CB4157" w:rsidP="002E75C3">
            <w:pPr>
              <w:pStyle w:val="Leipteksti"/>
              <w:rPr>
                <w:b/>
              </w:rPr>
            </w:pPr>
            <w:r>
              <w:rPr>
                <w:b/>
                <w:bCs/>
                <w:lang w:val="sv"/>
              </w:rPr>
              <w:t>Ansökningstid</w:t>
            </w:r>
          </w:p>
        </w:tc>
        <w:tc>
          <w:tcPr>
            <w:tcW w:w="5380" w:type="dxa"/>
          </w:tcPr>
          <w:p w14:paraId="2F8B8833" w14:textId="16F4E7DE" w:rsidR="00FA71BE" w:rsidRPr="00FA71BE" w:rsidRDefault="00AD1B79" w:rsidP="002E75C3">
            <w:pPr>
              <w:pStyle w:val="Leipteksti"/>
              <w:rPr>
                <w:lang w:val="sv"/>
              </w:rPr>
            </w:pPr>
            <w:r>
              <w:rPr>
                <w:rFonts w:eastAsia="Calibri" w:cs="Times New Roman"/>
                <w:lang w:val="sv"/>
              </w:rPr>
              <w:t>v</w:t>
            </w:r>
            <w:r w:rsidR="00C84276">
              <w:rPr>
                <w:lang w:val="sv"/>
              </w:rPr>
              <w:t>åren 2024, hösten 2024, våren 2025, hösten 2025</w:t>
            </w:r>
          </w:p>
          <w:p w14:paraId="157B15A3" w14:textId="169ABBEC" w:rsidR="00C84276" w:rsidRPr="00F30646" w:rsidRDefault="00C84276" w:rsidP="002E75C3">
            <w:pPr>
              <w:pStyle w:val="Leipteksti"/>
              <w:rPr>
                <w:lang w:val="sv-SE"/>
              </w:rPr>
            </w:pPr>
            <w:r>
              <w:rPr>
                <w:rFonts w:eastAsia="Calibri" w:cs="Times New Roman"/>
                <w:lang w:val="sv"/>
              </w:rPr>
              <w:t>(om finansiering återstår)</w:t>
            </w:r>
          </w:p>
        </w:tc>
      </w:tr>
      <w:tr w:rsidR="00CB4157" w:rsidRPr="00052B28" w14:paraId="7A44763B" w14:textId="77777777" w:rsidTr="000C1E3F">
        <w:tc>
          <w:tcPr>
            <w:tcW w:w="4248" w:type="dxa"/>
          </w:tcPr>
          <w:p w14:paraId="63DE5A12" w14:textId="77777777" w:rsidR="00CB4157" w:rsidRPr="00FD7B9D" w:rsidRDefault="00CB4157" w:rsidP="002E75C3">
            <w:pPr>
              <w:pStyle w:val="Leipteksti"/>
              <w:rPr>
                <w:b/>
              </w:rPr>
            </w:pPr>
            <w:r>
              <w:rPr>
                <w:b/>
                <w:bCs/>
                <w:lang w:val="sv"/>
              </w:rPr>
              <w:t>Projektet inleds senast</w:t>
            </w:r>
          </w:p>
        </w:tc>
        <w:tc>
          <w:tcPr>
            <w:tcW w:w="5380" w:type="dxa"/>
          </w:tcPr>
          <w:p w14:paraId="6432571A" w14:textId="77777777" w:rsidR="00CB4157" w:rsidRPr="001F0172" w:rsidRDefault="00CB4157" w:rsidP="002E75C3">
            <w:pPr>
              <w:pStyle w:val="Leipteksti"/>
              <w:rPr>
                <w:rFonts w:eastAsia="Calibri" w:cs="Times New Roman"/>
              </w:rPr>
            </w:pPr>
            <w:r>
              <w:rPr>
                <w:lang w:val="sv"/>
              </w:rPr>
              <w:t>Se utlysningen</w:t>
            </w:r>
          </w:p>
        </w:tc>
      </w:tr>
    </w:tbl>
    <w:p w14:paraId="2F78A3F4" w14:textId="77777777" w:rsidR="00CB4157" w:rsidRDefault="00CB4157" w:rsidP="00CB4157"/>
    <w:p w14:paraId="42369E7C" w14:textId="77777777" w:rsidR="00CB4157" w:rsidRDefault="00CB4157" w:rsidP="00CB4157"/>
    <w:p w14:paraId="446AC287" w14:textId="77777777" w:rsidR="00CB4157" w:rsidRPr="00934B29" w:rsidRDefault="00CB4157" w:rsidP="00CB4157"/>
    <w:p w14:paraId="4EB599D2" w14:textId="77777777" w:rsidR="00CB4157" w:rsidRDefault="00CB4157" w:rsidP="00A17F47">
      <w:pPr>
        <w:pStyle w:val="Otsikko3"/>
      </w:pPr>
      <w:bookmarkStart w:id="80" w:name="_Toc102727290"/>
      <w:bookmarkStart w:id="81" w:name="_Toc184224320"/>
      <w:r>
        <w:rPr>
          <w:lang w:val="sv"/>
        </w:rPr>
        <w:t>3 E Skydd av kritisk infrastruktur</w:t>
      </w:r>
      <w:bookmarkEnd w:id="80"/>
      <w:bookmarkEnd w:id="81"/>
    </w:p>
    <w:p w14:paraId="27DAF2E5" w14:textId="77777777" w:rsidR="00CB4157" w:rsidRPr="00052B28" w:rsidRDefault="00CB4157" w:rsidP="00CB4157"/>
    <w:tbl>
      <w:tblPr>
        <w:tblpPr w:leftFromText="142" w:rightFromText="142" w:vertAnchor="text" w:horzAnchor="margin" w:tblpY="1"/>
        <w:tblW w:w="0" w:type="auto"/>
        <w:tblLook w:val="04A0" w:firstRow="1" w:lastRow="0" w:firstColumn="1" w:lastColumn="0" w:noHBand="0" w:noVBand="1"/>
      </w:tblPr>
      <w:tblGrid>
        <w:gridCol w:w="4248"/>
        <w:gridCol w:w="5380"/>
      </w:tblGrid>
      <w:tr w:rsidR="00CB4157" w:rsidRPr="000F5AB4" w14:paraId="3405B714" w14:textId="77777777" w:rsidTr="00A17F47">
        <w:tc>
          <w:tcPr>
            <w:tcW w:w="9628" w:type="dxa"/>
            <w:gridSpan w:val="2"/>
            <w:tcBorders>
              <w:top w:val="single" w:sz="4" w:space="0" w:color="auto"/>
              <w:left w:val="single" w:sz="4" w:space="0" w:color="auto"/>
              <w:bottom w:val="single" w:sz="4" w:space="0" w:color="auto"/>
              <w:right w:val="single" w:sz="4" w:space="0" w:color="auto"/>
            </w:tcBorders>
            <w:shd w:val="clear" w:color="auto" w:fill="FDE2D1" w:themeFill="accent1" w:themeFillTint="33"/>
          </w:tcPr>
          <w:p w14:paraId="15A4FA5C" w14:textId="77777777" w:rsidR="00CB4157" w:rsidRPr="009538BD" w:rsidRDefault="00CB4157" w:rsidP="00D11F46">
            <w:pPr>
              <w:pStyle w:val="Otsikko4"/>
              <w:rPr>
                <w:lang w:val="sv-SE"/>
              </w:rPr>
            </w:pPr>
            <w:bookmarkStart w:id="82" w:name="_Toc102727291"/>
            <w:bookmarkStart w:id="83" w:name="_Hlk94179612"/>
            <w:r>
              <w:rPr>
                <w:lang w:val="sv"/>
              </w:rPr>
              <w:t>3 E 1 Åtgärder för att skydda kritisk infrastruktur och medborgare</w:t>
            </w:r>
            <w:bookmarkEnd w:id="82"/>
          </w:p>
          <w:p w14:paraId="7525539D" w14:textId="77777777" w:rsidR="00CB4157" w:rsidRPr="009538BD" w:rsidRDefault="00CB4157" w:rsidP="00CB4157">
            <w:pPr>
              <w:rPr>
                <w:lang w:val="sv-SE"/>
              </w:rPr>
            </w:pPr>
          </w:p>
        </w:tc>
      </w:tr>
      <w:tr w:rsidR="00CB4157" w:rsidRPr="000F5AB4" w14:paraId="2158AC71" w14:textId="77777777" w:rsidTr="00A17F47">
        <w:trPr>
          <w:trHeight w:val="1692"/>
        </w:trPr>
        <w:tc>
          <w:tcPr>
            <w:tcW w:w="9628" w:type="dxa"/>
            <w:gridSpan w:val="2"/>
            <w:tcBorders>
              <w:top w:val="single" w:sz="4" w:space="0" w:color="auto"/>
              <w:left w:val="single" w:sz="4" w:space="0" w:color="auto"/>
              <w:bottom w:val="single" w:sz="4" w:space="0" w:color="auto"/>
              <w:right w:val="single" w:sz="4" w:space="0" w:color="auto"/>
            </w:tcBorders>
          </w:tcPr>
          <w:p w14:paraId="5A4D5CA5" w14:textId="77777777" w:rsidR="00CB4157" w:rsidRPr="00A17F47" w:rsidRDefault="00CB4157" w:rsidP="00A17F47">
            <w:pPr>
              <w:pStyle w:val="Leipteksti"/>
              <w:rPr>
                <w:lang w:val="sv-SE"/>
              </w:rPr>
            </w:pPr>
          </w:p>
          <w:p w14:paraId="64E812BC" w14:textId="77777777" w:rsidR="00CB4157" w:rsidRPr="00A17F47" w:rsidRDefault="00CB4157" w:rsidP="00A17F47">
            <w:pPr>
              <w:pStyle w:val="Leipteksti"/>
              <w:rPr>
                <w:lang w:val="sv-SE"/>
              </w:rPr>
            </w:pPr>
            <w:r w:rsidRPr="00A17F47">
              <w:rPr>
                <w:lang w:val="sv"/>
              </w:rPr>
              <w:t>Kritisk infrastruktur definieras i ISF-förordningen som en tillgång, ett nätverk, ett system eller en del därav som är väsentlig för att upprätthålla viktiga samhällsfunktioner, hälsa, säkerhet och ekonomiskt och socialt välbefinnande för medborgare och vars avbrott, störning eller förstörelse skulle ha en betydande effekt i en medlemsstat. Kritisk infrastruktur omfattar såväl fysiska anläggningar och strukturer som elektroniska funktioner och tjänster.  I allt högre grad är sårbarheter också relaterade till cybersäkerhet och aktörens skydd. Kritisk infrastruktur för samhällets vitala funktioner, befolkningens hälsa, välbefinnande och försörjning, landets ekonomi och nationella försvar ska kunna säkras även vid allvarliga störningar och exceptionella omständigheter.</w:t>
            </w:r>
          </w:p>
          <w:p w14:paraId="3623AC9C" w14:textId="77777777" w:rsidR="00CB4157" w:rsidRPr="00A17F47" w:rsidRDefault="00CB4157" w:rsidP="00A17F47">
            <w:pPr>
              <w:pStyle w:val="Leipteksti"/>
              <w:rPr>
                <w:lang w:val="sv-SE"/>
              </w:rPr>
            </w:pPr>
          </w:p>
          <w:p w14:paraId="11A1AF3F" w14:textId="77777777" w:rsidR="00CB4157" w:rsidRPr="00A17F47" w:rsidRDefault="00CB4157" w:rsidP="00A17F47">
            <w:pPr>
              <w:pStyle w:val="Leipteksti"/>
              <w:rPr>
                <w:lang w:val="sv-SE"/>
              </w:rPr>
            </w:pPr>
            <w:r w:rsidRPr="00A17F47">
              <w:rPr>
                <w:lang w:val="sv"/>
              </w:rPr>
              <w:t>Myndigheternas prestation och reaktion på olika situationer som äventyrar kritisk infrastruktur har utvecklats under de senaste åren på nationell och lokal nivå, till exempel genom att utveckla strukturer, verksamhetsmodeller och utrustning och genom att öka kompetensen. Verksamhetsmiljön och den snabba tekniska utvecklingen förutsätter dock kontinuerliga och proaktiva prestationsbedömningar och utvecklingsinsatser i en accelererande takt. På EU-nivå reformerar man direktivet om skyddet av kritisk infrastruktur. Direktivförslaget förutsätter att EU-länderna fastställer myndigheter som ansvarar för den kritiska infrastrukturens motståndskraft mot kriser, bedömer sina livsviktiga funktioner inom direktivets tillämpningsområde och utser nationellt betydande kritiska infrastruktur- och serviceaktörer utifrån gemensamma europeiska kriterier.</w:t>
            </w:r>
          </w:p>
          <w:p w14:paraId="02CCBDCF" w14:textId="77777777" w:rsidR="00CB4157" w:rsidRPr="00A17F47" w:rsidRDefault="00CB4157" w:rsidP="00A17F47">
            <w:pPr>
              <w:pStyle w:val="Leipteksti"/>
              <w:rPr>
                <w:lang w:val="sv-SE"/>
              </w:rPr>
            </w:pPr>
          </w:p>
          <w:p w14:paraId="039A7157" w14:textId="77777777" w:rsidR="00CB4157" w:rsidRPr="00AA2ECC" w:rsidRDefault="00CB4157" w:rsidP="00A17F47">
            <w:pPr>
              <w:pStyle w:val="Leipteksti"/>
              <w:rPr>
                <w:lang w:val="sv-SE"/>
              </w:rPr>
            </w:pPr>
            <w:r w:rsidRPr="00A17F47">
              <w:rPr>
                <w:lang w:val="sv"/>
              </w:rPr>
              <w:t xml:space="preserve">Nya sätt att begå brott och sårbarheter måste beaktas i skyddet av kritisk infrastruktur och även bredare i skyddet av offentliga rum, och man ska också vara förberedd på dessa.  Till exempel fordon har redan använts i terroristiskt syfte mot folkmassor, medan till exempel UAS-attacker hittills varit ett marginellt fenomen. I skyddet av kritisk infrastruktur ska man också vara beredd på olyckor, kriser och störningar i samhällets livsviktiga funktioner, såsom i el- och vattenförsörjningen. </w:t>
            </w:r>
            <w:r w:rsidRPr="00AA2ECC">
              <w:rPr>
                <w:lang w:val="sv-SE"/>
              </w:rPr>
              <w:t xml:space="preserve">Kritisk infrastruktur är även ett potentiellt objekt för hybridpåverkan. </w:t>
            </w:r>
          </w:p>
          <w:p w14:paraId="73D1EAE7" w14:textId="77777777" w:rsidR="00961B70" w:rsidRDefault="00961B70" w:rsidP="00A17F47">
            <w:pPr>
              <w:pStyle w:val="Leipteksti"/>
              <w:rPr>
                <w:lang w:val="sv-SE"/>
              </w:rPr>
            </w:pPr>
            <w:r w:rsidRPr="00A31D59">
              <w:rPr>
                <w:lang w:val="sv-SE"/>
              </w:rPr>
              <w:t xml:space="preserve">Antalet CBRNE-hot från obemannade luftfartyg beräknas öka i framtiden. Terrorismen åtföljs dessutom av ökad och avancerad UAS-kapacitet och av helt nya hot mot samhället. En </w:t>
            </w:r>
            <w:r w:rsidRPr="00A31D59">
              <w:rPr>
                <w:lang w:val="sv-SE"/>
              </w:rPr>
              <w:lastRenderedPageBreak/>
              <w:t xml:space="preserve">integrerad del av obemannad luftfart är också motåtgärder (motåtgärder mot fjärrstyrda luftfartyg av typen C-UAV, </w:t>
            </w:r>
            <w:proofErr w:type="spellStart"/>
            <w:r w:rsidRPr="00A31D59">
              <w:rPr>
                <w:lang w:val="sv-SE"/>
              </w:rPr>
              <w:t>Counter-Unmanned</w:t>
            </w:r>
            <w:proofErr w:type="spellEnd"/>
            <w:r w:rsidRPr="00A31D59">
              <w:rPr>
                <w:lang w:val="sv-SE"/>
              </w:rPr>
              <w:t xml:space="preserve"> </w:t>
            </w:r>
            <w:proofErr w:type="spellStart"/>
            <w:r w:rsidRPr="00A31D59">
              <w:rPr>
                <w:lang w:val="sv-SE"/>
              </w:rPr>
              <w:t>Aerial</w:t>
            </w:r>
            <w:proofErr w:type="spellEnd"/>
            <w:r w:rsidRPr="00A31D59">
              <w:rPr>
                <w:lang w:val="sv-SE"/>
              </w:rPr>
              <w:t xml:space="preserve"> </w:t>
            </w:r>
            <w:proofErr w:type="spellStart"/>
            <w:r w:rsidRPr="00A31D59">
              <w:rPr>
                <w:lang w:val="sv-SE"/>
              </w:rPr>
              <w:t>Vehicle</w:t>
            </w:r>
            <w:proofErr w:type="spellEnd"/>
            <w:r w:rsidRPr="00A31D59">
              <w:rPr>
                <w:lang w:val="sv-SE"/>
              </w:rPr>
              <w:t>), som myndigheterna ska ha tillräcklig kapacitet för. Utan motståndsförmåga kan myndigheterna inte på ett tillräckligt effektivt sätt hantera de CBRNE-hot som denna typ av luftfartyg kan utgöra mot potentiellt stora evenemang för allmänheten, statsbesök eller andra högrisksituationer.</w:t>
            </w:r>
          </w:p>
          <w:p w14:paraId="6CB780D8" w14:textId="77777777" w:rsidR="00CB4157" w:rsidRPr="00A17F47" w:rsidRDefault="00CB4157" w:rsidP="00A17F47">
            <w:pPr>
              <w:pStyle w:val="Leipteksti"/>
              <w:rPr>
                <w:lang w:val="sv-SE"/>
              </w:rPr>
            </w:pPr>
            <w:r w:rsidRPr="00A17F47">
              <w:rPr>
                <w:lang w:val="sv"/>
              </w:rPr>
              <w:t>Genomförandet av förebyggande säkerhetsarbete och samarbete mellan myndigheter, kommuner och organisationsaktörer är centralt för mjuka anläggningar och offentliga utrymmen. Nuvarande och kommande risker samt den fysiska och den digitala infrastrukturens ömsesidiga beroendeförhållanden måste beaktas i omfattande grad när man planerar och genomför åtgärder för att skydda medborgare och kritisk infrastruktur.</w:t>
            </w:r>
          </w:p>
          <w:p w14:paraId="56D6E2A4" w14:textId="77777777" w:rsidR="00CB4157" w:rsidRPr="00A17F47" w:rsidRDefault="00CB4157" w:rsidP="00A17F47">
            <w:pPr>
              <w:pStyle w:val="Leipteksti"/>
              <w:rPr>
                <w:lang w:val="sv-SE"/>
              </w:rPr>
            </w:pPr>
          </w:p>
          <w:p w14:paraId="0CC1974E" w14:textId="77777777" w:rsidR="00CB4157" w:rsidRPr="00A17F47" w:rsidRDefault="00CB4157" w:rsidP="00A17F47">
            <w:pPr>
              <w:pStyle w:val="Leipteksti"/>
              <w:rPr>
                <w:b/>
                <w:lang w:val="sv-SE"/>
              </w:rPr>
            </w:pPr>
            <w:r w:rsidRPr="00A17F47">
              <w:rPr>
                <w:b/>
                <w:lang w:val="sv"/>
              </w:rPr>
              <w:t>Målet är en starkare CBRNE-prestationsförmåga för att skydda medborgare och kritisk infrastruktur från incidenter, närmare samarbete och främjande av effektiv hantering av säkerhetsrisker och -kriser.</w:t>
            </w:r>
          </w:p>
          <w:p w14:paraId="79D64A1F" w14:textId="77777777" w:rsidR="00CB4157" w:rsidRPr="00A17F47" w:rsidRDefault="00CB4157" w:rsidP="00A17F47">
            <w:pPr>
              <w:pStyle w:val="Leipteksti"/>
              <w:rPr>
                <w:lang w:val="sv-SE"/>
              </w:rPr>
            </w:pPr>
          </w:p>
          <w:p w14:paraId="2CE68FB5" w14:textId="77777777" w:rsidR="00CB4157" w:rsidRPr="00A17F47" w:rsidRDefault="00CB4157" w:rsidP="00A17F47">
            <w:pPr>
              <w:pStyle w:val="Leipteksti"/>
              <w:rPr>
                <w:lang w:val="sv-SE"/>
              </w:rPr>
            </w:pPr>
            <w:r w:rsidRPr="00A17F47">
              <w:rPr>
                <w:lang w:val="sv"/>
              </w:rPr>
              <w:t>Understöd kan beviljas för projekt där man till exempel:</w:t>
            </w:r>
          </w:p>
          <w:p w14:paraId="2423E3C1" w14:textId="77777777" w:rsidR="00CB4157" w:rsidRPr="00A17F47" w:rsidRDefault="00CB4157" w:rsidP="00A17F47">
            <w:pPr>
              <w:pStyle w:val="Leipteksti"/>
              <w:numPr>
                <w:ilvl w:val="0"/>
                <w:numId w:val="29"/>
              </w:numPr>
              <w:rPr>
                <w:lang w:val="sv-SE"/>
              </w:rPr>
            </w:pPr>
            <w:r w:rsidRPr="00A17F47">
              <w:rPr>
                <w:lang w:val="sv"/>
              </w:rPr>
              <w:t xml:space="preserve">organiserar test-, utvecklings-, utbildnings- och träningsaktiviteter och anskaffar utrustning relaterad till skydd av kritisk infrastruktur, </w:t>
            </w:r>
          </w:p>
          <w:p w14:paraId="0FE52428" w14:textId="77777777" w:rsidR="00CB4157" w:rsidRPr="00A17F47" w:rsidRDefault="00CB4157" w:rsidP="00A17F47">
            <w:pPr>
              <w:pStyle w:val="Leipteksti"/>
              <w:numPr>
                <w:ilvl w:val="0"/>
                <w:numId w:val="29"/>
              </w:numPr>
              <w:rPr>
                <w:lang w:val="sv-SE"/>
              </w:rPr>
            </w:pPr>
            <w:r w:rsidRPr="00A17F47">
              <w:rPr>
                <w:rFonts w:eastAsia="Calibri"/>
                <w:lang w:val="sv"/>
              </w:rPr>
              <w:t>förbättrar säkerhetsmyndigheternas självskydd av offentliga lokaler.</w:t>
            </w:r>
          </w:p>
          <w:p w14:paraId="64A8B91E" w14:textId="77777777" w:rsidR="00CB4157" w:rsidRPr="00A17F47" w:rsidRDefault="00CB4157" w:rsidP="00A17F47">
            <w:pPr>
              <w:pStyle w:val="Leipteksti"/>
              <w:rPr>
                <w:lang w:val="sv-SE"/>
              </w:rPr>
            </w:pPr>
          </w:p>
          <w:p w14:paraId="37D2A2A5" w14:textId="77777777" w:rsidR="00CB4157" w:rsidRPr="00A17F47" w:rsidRDefault="00CB4157" w:rsidP="00A17F47">
            <w:pPr>
              <w:pStyle w:val="Leipteksti"/>
              <w:rPr>
                <w:i/>
                <w:lang w:val="sv-SE"/>
              </w:rPr>
            </w:pPr>
            <w:r w:rsidRPr="00A17F47">
              <w:rPr>
                <w:i/>
                <w:iCs/>
                <w:lang w:val="sv"/>
              </w:rPr>
              <w:t xml:space="preserve">Exempel på </w:t>
            </w:r>
            <w:r w:rsidR="00A17F47">
              <w:rPr>
                <w:i/>
                <w:iCs/>
                <w:lang w:val="sv"/>
              </w:rPr>
              <w:t>funktion</w:t>
            </w:r>
            <w:r w:rsidRPr="00A17F47">
              <w:rPr>
                <w:i/>
                <w:iCs/>
                <w:lang w:val="sv"/>
              </w:rPr>
              <w:t>: Utveckling av CBRNE-prestanda hos säkerhetsaktörer</w:t>
            </w:r>
          </w:p>
          <w:p w14:paraId="26B65940" w14:textId="77777777" w:rsidR="00CB4157" w:rsidRPr="00A17F47" w:rsidRDefault="00CB4157" w:rsidP="00A17F47">
            <w:pPr>
              <w:pStyle w:val="Leipteksti"/>
              <w:rPr>
                <w:lang w:val="sv-SE"/>
              </w:rPr>
            </w:pPr>
            <w:r w:rsidRPr="00A17F47">
              <w:rPr>
                <w:lang w:val="sv"/>
              </w:rPr>
              <w:t>Myndigheterna har utvecklat sin egen CBRNE-kapacitet och verksamheten vägleds av CBRNE-kommittén som inrättats under den nationella CBRNE-strategin. Trots den nationella strategins och kommitténs arbete har utvecklingen av beredskapen tystats för att utveckla enskilda myndigheters verksamhet snarare än att utveckla ett omfattande samarbete. Det finns för lite utbildning att tillgå.</w:t>
            </w:r>
          </w:p>
          <w:p w14:paraId="3C8AC6C4" w14:textId="77777777" w:rsidR="00CB4157" w:rsidRPr="00A17F47" w:rsidRDefault="00CB4157" w:rsidP="00A17F47">
            <w:pPr>
              <w:pStyle w:val="Leipteksti"/>
              <w:rPr>
                <w:lang w:val="sv-SE"/>
              </w:rPr>
            </w:pPr>
            <w:r w:rsidRPr="00A17F47">
              <w:rPr>
                <w:lang w:val="sv"/>
              </w:rPr>
              <w:t xml:space="preserve">ISF-finansiering utvecklar ett starkt samarbete för finländska säkerhetsaktörer inom CBRNE-sektorn. Utvecklingen kommer att fokusera på att stärka kompetensen hos olika aktörer och att förbättra säkerhetsaktörernas gemensamma prestation när det gäller att bemöta CBRNE-hot i </w:t>
            </w:r>
            <w:r w:rsidRPr="00A17F47">
              <w:rPr>
                <w:lang w:val="sv"/>
              </w:rPr>
              <w:lastRenderedPageBreak/>
              <w:t>normala samhällssituationer, i situationer med störningar av normala förhållanden och i exceptionella situationer av varierande grad. Samarbetet mellan olika aktörer kommer att stärkas och kompetensen harmoniseras, till exempel när det gäller att identifiera CBRNE-risker och skapa aktuella hotscenarier med hänsyn till globala trender. Nya typer av träningskoncept, som simulering och virtuell träning, ökar effektiviteten och säkerheten i undervisningen i farliga ämnen, vars metodiska modeller kan främjas för att uppnå de uppsatta huvudmålen.</w:t>
            </w:r>
          </w:p>
          <w:p w14:paraId="32F810DD" w14:textId="77777777" w:rsidR="00CB4157" w:rsidRPr="00A17F47" w:rsidRDefault="00CB4157" w:rsidP="00A17F47">
            <w:pPr>
              <w:pStyle w:val="Leipteksti"/>
              <w:rPr>
                <w:lang w:val="sv-SE"/>
              </w:rPr>
            </w:pPr>
            <w:r w:rsidRPr="00A17F47">
              <w:rPr>
                <w:lang w:val="sv"/>
              </w:rPr>
              <w:t xml:space="preserve">De grundläggande CBRNE-kompetenserna hos säkerhetsaktörer inom den offentliga sektorn kommer att utvecklas och CBRNE-specialister kommer att utbildas genom vidareutbildning. Dessutom analyseras tillgänglig utrustning. </w:t>
            </w:r>
          </w:p>
          <w:p w14:paraId="71ABC8F2" w14:textId="77777777" w:rsidR="00CB4157" w:rsidRPr="00A17F47" w:rsidRDefault="00CB4157" w:rsidP="00A17F47">
            <w:pPr>
              <w:pStyle w:val="Leipteksti"/>
              <w:rPr>
                <w:lang w:val="sv-SE"/>
              </w:rPr>
            </w:pPr>
          </w:p>
          <w:p w14:paraId="6648E3DF" w14:textId="77777777" w:rsidR="00CB4157" w:rsidRPr="00A17F47" w:rsidRDefault="00CB4157" w:rsidP="00A17F47">
            <w:pPr>
              <w:pStyle w:val="Leipteksti"/>
              <w:rPr>
                <w:lang w:val="sv-SE"/>
              </w:rPr>
            </w:pPr>
            <w:r w:rsidRPr="00A17F47">
              <w:rPr>
                <w:lang w:val="sv"/>
              </w:rPr>
              <w:t>Resultatmål:</w:t>
            </w:r>
          </w:p>
          <w:p w14:paraId="155ADAE0" w14:textId="77777777" w:rsidR="00CB4157" w:rsidRPr="00A17F47" w:rsidRDefault="00A17F47" w:rsidP="00A17F47">
            <w:pPr>
              <w:pStyle w:val="Leipteksti"/>
              <w:numPr>
                <w:ilvl w:val="0"/>
                <w:numId w:val="30"/>
              </w:numPr>
              <w:rPr>
                <w:lang w:val="sv-SE"/>
              </w:rPr>
            </w:pPr>
            <w:r>
              <w:rPr>
                <w:lang w:val="sv"/>
              </w:rPr>
              <w:t>e</w:t>
            </w:r>
            <w:r w:rsidR="00CB4157" w:rsidRPr="00A17F47">
              <w:rPr>
                <w:lang w:val="sv"/>
              </w:rPr>
              <w:t>n uppdaterad definition av säkerhetsaktörernas beredskaps- och kompetensbehov baserad på CBRNE-hotscenariot har gjorts.</w:t>
            </w:r>
          </w:p>
          <w:p w14:paraId="598B7653" w14:textId="77777777" w:rsidR="00CB4157" w:rsidRPr="00A17F47" w:rsidRDefault="00CB4157" w:rsidP="00A17F47">
            <w:pPr>
              <w:pStyle w:val="Leipteksti"/>
              <w:numPr>
                <w:ilvl w:val="0"/>
                <w:numId w:val="30"/>
              </w:numPr>
              <w:rPr>
                <w:lang w:val="sv-SE"/>
              </w:rPr>
            </w:pPr>
            <w:r w:rsidRPr="00A17F47">
              <w:rPr>
                <w:lang w:val="sv"/>
              </w:rPr>
              <w:t>samarbete mellan utbildningsanstalter har etablerats,</w:t>
            </w:r>
          </w:p>
          <w:p w14:paraId="56473BC5" w14:textId="77777777" w:rsidR="00CB4157" w:rsidRPr="00A17F47" w:rsidRDefault="00CB4157" w:rsidP="00A17F47">
            <w:pPr>
              <w:pStyle w:val="Leipteksti"/>
              <w:numPr>
                <w:ilvl w:val="0"/>
                <w:numId w:val="30"/>
              </w:numPr>
              <w:rPr>
                <w:lang w:val="sv-SE"/>
              </w:rPr>
            </w:pPr>
            <w:r w:rsidRPr="00A17F47">
              <w:rPr>
                <w:lang w:val="sv"/>
              </w:rPr>
              <w:t>både grundutbildning och fortbildning har tillhandahållits,</w:t>
            </w:r>
          </w:p>
          <w:p w14:paraId="05CCEACF" w14:textId="77777777" w:rsidR="00CB4157" w:rsidRPr="00A17F47" w:rsidRDefault="00CB4157" w:rsidP="00A17F47">
            <w:pPr>
              <w:pStyle w:val="Leipteksti"/>
              <w:numPr>
                <w:ilvl w:val="0"/>
                <w:numId w:val="30"/>
              </w:numPr>
              <w:rPr>
                <w:lang w:val="sv-SE"/>
              </w:rPr>
            </w:pPr>
            <w:r w:rsidRPr="00A17F47">
              <w:rPr>
                <w:lang w:val="sv"/>
              </w:rPr>
              <w:t>säkerhetsaktörer har hela tiden en gemensam proaktiv bild.</w:t>
            </w:r>
          </w:p>
        </w:tc>
      </w:tr>
      <w:tr w:rsidR="00CB4157" w:rsidRPr="000F5AB4" w14:paraId="05A078D5" w14:textId="77777777" w:rsidTr="00A17F47">
        <w:trPr>
          <w:trHeight w:val="789"/>
        </w:trPr>
        <w:tc>
          <w:tcPr>
            <w:tcW w:w="4248" w:type="dxa"/>
            <w:tcBorders>
              <w:top w:val="single" w:sz="4" w:space="0" w:color="auto"/>
              <w:left w:val="single" w:sz="4" w:space="0" w:color="auto"/>
              <w:bottom w:val="single" w:sz="4" w:space="0" w:color="auto"/>
              <w:right w:val="single" w:sz="4" w:space="0" w:color="auto"/>
            </w:tcBorders>
          </w:tcPr>
          <w:p w14:paraId="61DC2917" w14:textId="77777777" w:rsidR="00CB4157" w:rsidRPr="00A17F47" w:rsidRDefault="00CB4157" w:rsidP="00A17F47">
            <w:pPr>
              <w:pStyle w:val="Leipteksti"/>
              <w:rPr>
                <w:b/>
              </w:rPr>
            </w:pPr>
            <w:r w:rsidRPr="00A17F47">
              <w:rPr>
                <w:b/>
                <w:bCs/>
                <w:lang w:val="sv"/>
              </w:rPr>
              <w:lastRenderedPageBreak/>
              <w:t>Understöd</w:t>
            </w:r>
          </w:p>
        </w:tc>
        <w:tc>
          <w:tcPr>
            <w:tcW w:w="5380" w:type="dxa"/>
            <w:tcBorders>
              <w:top w:val="single" w:sz="4" w:space="0" w:color="auto"/>
              <w:left w:val="single" w:sz="4" w:space="0" w:color="auto"/>
              <w:bottom w:val="single" w:sz="4" w:space="0" w:color="auto"/>
              <w:right w:val="single" w:sz="4" w:space="0" w:color="auto"/>
            </w:tcBorders>
          </w:tcPr>
          <w:p w14:paraId="5621407B" w14:textId="77777777" w:rsidR="00CB4157" w:rsidRPr="00A17F47" w:rsidRDefault="00CB4157" w:rsidP="00A17F47">
            <w:pPr>
              <w:pStyle w:val="Leipteksti"/>
              <w:rPr>
                <w:lang w:val="sv-SE"/>
              </w:rPr>
            </w:pPr>
            <w:r w:rsidRPr="00A17F47">
              <w:rPr>
                <w:lang w:val="sv"/>
              </w:rPr>
              <w:t>75 %</w:t>
            </w:r>
          </w:p>
          <w:p w14:paraId="54B38274" w14:textId="77777777" w:rsidR="00CB4157" w:rsidRPr="00A17F47" w:rsidRDefault="00CB4157" w:rsidP="00A17F47">
            <w:pPr>
              <w:pStyle w:val="Leipteksti"/>
              <w:rPr>
                <w:lang w:val="sv-SE"/>
              </w:rPr>
            </w:pPr>
            <w:r w:rsidRPr="00A17F47">
              <w:rPr>
                <w:lang w:val="sv"/>
              </w:rPr>
              <w:t>Understödet kan höjas till 90 procent för projekt som syftar till att förbättra säkerheten och motståndskraften hos kritisk infrastruktur.</w:t>
            </w:r>
          </w:p>
        </w:tc>
      </w:tr>
      <w:tr w:rsidR="00CB4157" w:rsidRPr="00A17F47" w14:paraId="4DB08948" w14:textId="77777777" w:rsidTr="00A17F47">
        <w:trPr>
          <w:trHeight w:val="682"/>
        </w:trPr>
        <w:tc>
          <w:tcPr>
            <w:tcW w:w="4248" w:type="dxa"/>
            <w:tcBorders>
              <w:top w:val="single" w:sz="4" w:space="0" w:color="auto"/>
              <w:left w:val="single" w:sz="4" w:space="0" w:color="auto"/>
              <w:bottom w:val="single" w:sz="4" w:space="0" w:color="auto"/>
              <w:right w:val="single" w:sz="4" w:space="0" w:color="auto"/>
            </w:tcBorders>
          </w:tcPr>
          <w:p w14:paraId="78482AF0" w14:textId="77777777" w:rsidR="00CB4157" w:rsidRPr="00A17F47" w:rsidRDefault="00CB4157" w:rsidP="00A17F47">
            <w:pPr>
              <w:pStyle w:val="Leipteksti"/>
            </w:pPr>
            <w:r w:rsidRPr="00A17F47">
              <w:rPr>
                <w:b/>
                <w:bCs/>
                <w:lang w:val="sv"/>
              </w:rPr>
              <w:t>Möjliga stödmottagare</w:t>
            </w:r>
          </w:p>
        </w:tc>
        <w:tc>
          <w:tcPr>
            <w:tcW w:w="5380" w:type="dxa"/>
            <w:tcBorders>
              <w:top w:val="single" w:sz="4" w:space="0" w:color="auto"/>
              <w:left w:val="single" w:sz="4" w:space="0" w:color="auto"/>
              <w:bottom w:val="single" w:sz="4" w:space="0" w:color="auto"/>
              <w:right w:val="single" w:sz="4" w:space="0" w:color="auto"/>
            </w:tcBorders>
          </w:tcPr>
          <w:p w14:paraId="03A435CC" w14:textId="77777777" w:rsidR="00CB4157" w:rsidRPr="00A17F47" w:rsidRDefault="00CB4157" w:rsidP="00A17F47">
            <w:pPr>
              <w:pStyle w:val="Leipteksti"/>
            </w:pPr>
            <w:r w:rsidRPr="00A17F47">
              <w:rPr>
                <w:lang w:val="sv"/>
              </w:rPr>
              <w:t>Behöriga myndigheter</w:t>
            </w:r>
          </w:p>
        </w:tc>
      </w:tr>
      <w:tr w:rsidR="00CB4157" w:rsidRPr="000F5AB4" w14:paraId="302253D5" w14:textId="77777777" w:rsidTr="00A17F47">
        <w:tc>
          <w:tcPr>
            <w:tcW w:w="4248" w:type="dxa"/>
            <w:tcBorders>
              <w:top w:val="single" w:sz="4" w:space="0" w:color="auto"/>
              <w:left w:val="single" w:sz="4" w:space="0" w:color="auto"/>
              <w:bottom w:val="single" w:sz="4" w:space="0" w:color="auto"/>
              <w:right w:val="single" w:sz="4" w:space="0" w:color="auto"/>
            </w:tcBorders>
          </w:tcPr>
          <w:p w14:paraId="088F7583" w14:textId="77777777" w:rsidR="00CB4157" w:rsidRPr="00A17F47" w:rsidRDefault="00CB4157" w:rsidP="00A17F47">
            <w:pPr>
              <w:pStyle w:val="Leipteksti"/>
              <w:rPr>
                <w:b/>
                <w:lang w:val="sv-SE"/>
              </w:rPr>
            </w:pPr>
            <w:r w:rsidRPr="00A17F47">
              <w:rPr>
                <w:rFonts w:eastAsia="Calibri"/>
                <w:b/>
                <w:bCs/>
                <w:lang w:val="sv"/>
              </w:rPr>
              <w:t>Samordning med annan EU-finansiering</w:t>
            </w:r>
          </w:p>
        </w:tc>
        <w:tc>
          <w:tcPr>
            <w:tcW w:w="5380" w:type="dxa"/>
            <w:tcBorders>
              <w:top w:val="single" w:sz="4" w:space="0" w:color="auto"/>
              <w:left w:val="single" w:sz="4" w:space="0" w:color="auto"/>
              <w:bottom w:val="single" w:sz="4" w:space="0" w:color="auto"/>
              <w:right w:val="single" w:sz="4" w:space="0" w:color="auto"/>
            </w:tcBorders>
          </w:tcPr>
          <w:p w14:paraId="029BDAB7" w14:textId="77777777" w:rsidR="00CB4157" w:rsidRPr="00A17F47" w:rsidRDefault="00CB4157" w:rsidP="00A17F47">
            <w:pPr>
              <w:pStyle w:val="Leipteksti"/>
              <w:rPr>
                <w:lang w:val="sv-SE"/>
              </w:rPr>
            </w:pPr>
            <w:r w:rsidRPr="00A17F47">
              <w:rPr>
                <w:lang w:val="sv"/>
              </w:rPr>
              <w:t xml:space="preserve">Åtgärder samordnas med </w:t>
            </w:r>
            <w:proofErr w:type="spellStart"/>
            <w:r w:rsidRPr="00A17F47">
              <w:rPr>
                <w:lang w:val="sv"/>
              </w:rPr>
              <w:t>RescEU</w:t>
            </w:r>
            <w:proofErr w:type="spellEnd"/>
            <w:r w:rsidRPr="00A17F47">
              <w:rPr>
                <w:lang w:val="sv"/>
              </w:rPr>
              <w:t>-finansiering.</w:t>
            </w:r>
          </w:p>
        </w:tc>
      </w:tr>
      <w:tr w:rsidR="00CB4157" w:rsidRPr="000F5AB4" w14:paraId="4ECBFF51" w14:textId="77777777" w:rsidTr="00A17F47">
        <w:tc>
          <w:tcPr>
            <w:tcW w:w="9628" w:type="dxa"/>
            <w:gridSpan w:val="2"/>
            <w:tcBorders>
              <w:top w:val="single" w:sz="4" w:space="0" w:color="auto"/>
              <w:left w:val="single" w:sz="4" w:space="0" w:color="auto"/>
              <w:bottom w:val="single" w:sz="4" w:space="0" w:color="auto"/>
              <w:right w:val="single" w:sz="4" w:space="0" w:color="auto"/>
            </w:tcBorders>
          </w:tcPr>
          <w:p w14:paraId="2FF6D272" w14:textId="77777777" w:rsidR="00CB4157" w:rsidRPr="00A17F47" w:rsidRDefault="00CB4157" w:rsidP="00A17F47">
            <w:pPr>
              <w:pStyle w:val="Leipteksti"/>
              <w:rPr>
                <w:lang w:val="sv-SE"/>
              </w:rPr>
            </w:pPr>
            <w:r w:rsidRPr="00A17F47">
              <w:rPr>
                <w:b/>
                <w:bCs/>
                <w:lang w:val="sv"/>
              </w:rPr>
              <w:t>Indikatorer som ska tillämpas</w:t>
            </w:r>
            <w:r w:rsidRPr="00A17F47">
              <w:rPr>
                <w:lang w:val="sv"/>
              </w:rPr>
              <w:t xml:space="preserve"> </w:t>
            </w:r>
          </w:p>
          <w:p w14:paraId="2AF43582" w14:textId="39699B5B" w:rsidR="00D11F46" w:rsidRPr="00A17F47" w:rsidRDefault="00CB4157" w:rsidP="00A17F47">
            <w:pPr>
              <w:pStyle w:val="Leipteksti"/>
              <w:rPr>
                <w:lang w:val="sv-SE"/>
              </w:rPr>
            </w:pPr>
            <w:r w:rsidRPr="00A17F47">
              <w:rPr>
                <w:lang w:val="sv"/>
              </w:rPr>
              <w:t>I åtgärderna ska även tillämpas andra indikatorer än de som finns i detta s</w:t>
            </w:r>
            <w:r w:rsidR="000473F1">
              <w:rPr>
                <w:lang w:val="sv"/>
              </w:rPr>
              <w:t>pecifik</w:t>
            </w:r>
            <w:r w:rsidRPr="00A17F47">
              <w:rPr>
                <w:lang w:val="sv"/>
              </w:rPr>
              <w:t>a mål, om verksamheten som genomförs kan mätas med dem.</w:t>
            </w:r>
          </w:p>
          <w:p w14:paraId="5172866F" w14:textId="77777777" w:rsidR="005A3FCD" w:rsidRDefault="005A3FCD" w:rsidP="00A17F47">
            <w:pPr>
              <w:pStyle w:val="Leipteksti"/>
              <w:rPr>
                <w:lang w:val="sv"/>
              </w:rPr>
            </w:pPr>
          </w:p>
          <w:p w14:paraId="75B58AC0" w14:textId="05AA97DC" w:rsidR="00CB4157" w:rsidRPr="00A17F47" w:rsidRDefault="0095707B" w:rsidP="00A17F47">
            <w:pPr>
              <w:pStyle w:val="Leipteksti"/>
              <w:rPr>
                <w:lang w:val="sv-SE"/>
              </w:rPr>
            </w:pPr>
            <w:r>
              <w:rPr>
                <w:lang w:val="sv"/>
              </w:rPr>
              <w:lastRenderedPageBreak/>
              <w:t>Output</w:t>
            </w:r>
            <w:r w:rsidR="00CB4157" w:rsidRPr="00A17F47">
              <w:rPr>
                <w:lang w:val="sv"/>
              </w:rPr>
              <w:t>indikatorer:</w:t>
            </w:r>
          </w:p>
          <w:p w14:paraId="5098CF60" w14:textId="77777777" w:rsidR="00CB4157" w:rsidRPr="00A17F47" w:rsidRDefault="00CB4157" w:rsidP="00A17F47">
            <w:pPr>
              <w:pStyle w:val="Leipteksti"/>
              <w:rPr>
                <w:lang w:val="sv-SE"/>
              </w:rPr>
            </w:pPr>
            <w:r w:rsidRPr="00A17F47">
              <w:rPr>
                <w:lang w:val="sv"/>
              </w:rPr>
              <w:t>O.3.1 Antal deltagare i utbildningsverksamhet</w:t>
            </w:r>
          </w:p>
          <w:p w14:paraId="115877CF" w14:textId="77777777" w:rsidR="00CB4157" w:rsidRPr="00A17F47" w:rsidRDefault="00CB4157" w:rsidP="00A17F47">
            <w:pPr>
              <w:pStyle w:val="Leipteksti"/>
              <w:rPr>
                <w:lang w:val="sv-SE"/>
              </w:rPr>
            </w:pPr>
            <w:r w:rsidRPr="00A17F47">
              <w:rPr>
                <w:lang w:val="sv"/>
              </w:rPr>
              <w:t>O.3.2 Antal utbytesprogram/workshops/studiebesök</w:t>
            </w:r>
          </w:p>
          <w:p w14:paraId="5166E6C2" w14:textId="77777777" w:rsidR="00A31D59" w:rsidRPr="009538BD" w:rsidRDefault="00A31D59" w:rsidP="00A31D59">
            <w:pPr>
              <w:pStyle w:val="Leipteksti"/>
              <w:rPr>
                <w:lang w:val="sv-SE"/>
              </w:rPr>
            </w:pPr>
            <w:r>
              <w:rPr>
                <w:lang w:val="sv"/>
              </w:rPr>
              <w:t>O.3.3 Mängden anskaffad utrustning</w:t>
            </w:r>
          </w:p>
          <w:p w14:paraId="30FC0AC0" w14:textId="77777777" w:rsidR="00CB4157" w:rsidRPr="00A17F47" w:rsidRDefault="00CB4157" w:rsidP="00A17F47">
            <w:pPr>
              <w:pStyle w:val="Leipteksti"/>
              <w:rPr>
                <w:lang w:val="sv-SE"/>
              </w:rPr>
            </w:pPr>
            <w:r w:rsidRPr="00A17F47">
              <w:rPr>
                <w:rFonts w:eastAsia="Calibri"/>
                <w:lang w:val="sv"/>
              </w:rPr>
              <w:t>Resultatindikatorer:</w:t>
            </w:r>
          </w:p>
          <w:p w14:paraId="50353813" w14:textId="77777777" w:rsidR="00CB4157" w:rsidRPr="00A17F47" w:rsidRDefault="00CB4157" w:rsidP="00A17F47">
            <w:pPr>
              <w:pStyle w:val="Leipteksti"/>
              <w:rPr>
                <w:lang w:val="sv-SE"/>
              </w:rPr>
            </w:pPr>
            <w:r w:rsidRPr="00A17F47">
              <w:rPr>
                <w:lang w:val="sv"/>
              </w:rPr>
              <w:t>R.3.12 Antal deltagare som tycker att utbildningsverksamheten är användbar i sitt arbete</w:t>
            </w:r>
          </w:p>
          <w:p w14:paraId="24B4FFF4" w14:textId="77777777" w:rsidR="00CB4157" w:rsidRPr="00A17F47" w:rsidRDefault="00CB4157" w:rsidP="00A17F47">
            <w:pPr>
              <w:pStyle w:val="Leipteksti"/>
              <w:rPr>
                <w:lang w:val="sv-SE"/>
              </w:rPr>
            </w:pPr>
            <w:r w:rsidRPr="00A17F47">
              <w:rPr>
                <w:lang w:val="sv"/>
              </w:rPr>
              <w:t>R.3.13 Antal deltagare som tre månader efter att utbildningsverksamheten upphört deklarerar att de använder de färdigheter och den kompetens som förvärvats i utbildningsverksamheten</w:t>
            </w:r>
          </w:p>
        </w:tc>
      </w:tr>
      <w:tr w:rsidR="00CB4157" w:rsidRPr="000F5AB4" w14:paraId="3BBB60AF" w14:textId="77777777" w:rsidTr="00A17F47">
        <w:tc>
          <w:tcPr>
            <w:tcW w:w="4248" w:type="dxa"/>
            <w:tcBorders>
              <w:top w:val="single" w:sz="4" w:space="0" w:color="auto"/>
              <w:left w:val="single" w:sz="4" w:space="0" w:color="auto"/>
              <w:bottom w:val="single" w:sz="4" w:space="0" w:color="auto"/>
              <w:right w:val="single" w:sz="4" w:space="0" w:color="auto"/>
            </w:tcBorders>
          </w:tcPr>
          <w:p w14:paraId="030EB1CD" w14:textId="77777777" w:rsidR="00CB4157" w:rsidRPr="00A17F47" w:rsidRDefault="00CB4157" w:rsidP="00A17F47">
            <w:pPr>
              <w:pStyle w:val="Leipteksti"/>
              <w:rPr>
                <w:b/>
              </w:rPr>
            </w:pPr>
            <w:r w:rsidRPr="00A17F47">
              <w:rPr>
                <w:b/>
                <w:bCs/>
                <w:lang w:val="sv"/>
              </w:rPr>
              <w:lastRenderedPageBreak/>
              <w:t>Ansökningstid</w:t>
            </w:r>
          </w:p>
        </w:tc>
        <w:tc>
          <w:tcPr>
            <w:tcW w:w="5380" w:type="dxa"/>
            <w:tcBorders>
              <w:top w:val="single" w:sz="4" w:space="0" w:color="auto"/>
              <w:left w:val="single" w:sz="4" w:space="0" w:color="auto"/>
              <w:bottom w:val="single" w:sz="4" w:space="0" w:color="auto"/>
              <w:right w:val="single" w:sz="4" w:space="0" w:color="auto"/>
            </w:tcBorders>
          </w:tcPr>
          <w:p w14:paraId="310D7BE6" w14:textId="69425C07" w:rsidR="002C6C2C" w:rsidRDefault="00AD1B79" w:rsidP="002C6C2C">
            <w:pPr>
              <w:pStyle w:val="Leipteksti"/>
              <w:rPr>
                <w:rFonts w:eastAsia="Calibri" w:cs="Times New Roman"/>
                <w:lang w:val="sv"/>
              </w:rPr>
            </w:pPr>
            <w:r>
              <w:rPr>
                <w:rFonts w:eastAsia="Calibri" w:cs="Times New Roman"/>
                <w:lang w:val="sv"/>
              </w:rPr>
              <w:t>v</w:t>
            </w:r>
            <w:r w:rsidR="002C6C2C">
              <w:rPr>
                <w:lang w:val="sv"/>
              </w:rPr>
              <w:t>åren 2024, hösten 2024, våren 2025, hösten 2025</w:t>
            </w:r>
          </w:p>
          <w:p w14:paraId="65C7C41C" w14:textId="12C02ACC" w:rsidR="00CB4157" w:rsidRPr="00F30646" w:rsidRDefault="002C6C2C" w:rsidP="002C6C2C">
            <w:pPr>
              <w:pStyle w:val="Leipteksti"/>
              <w:rPr>
                <w:lang w:val="sv-SE"/>
              </w:rPr>
            </w:pPr>
            <w:r>
              <w:rPr>
                <w:rFonts w:eastAsia="Calibri" w:cs="Times New Roman"/>
                <w:lang w:val="sv"/>
              </w:rPr>
              <w:t>(om finansiering återstår)</w:t>
            </w:r>
          </w:p>
        </w:tc>
      </w:tr>
      <w:tr w:rsidR="00CB4157" w:rsidRPr="00A17F47" w14:paraId="0DBA6880" w14:textId="77777777" w:rsidTr="00A17F47">
        <w:tc>
          <w:tcPr>
            <w:tcW w:w="4248" w:type="dxa"/>
            <w:tcBorders>
              <w:top w:val="single" w:sz="4" w:space="0" w:color="auto"/>
              <w:left w:val="single" w:sz="4" w:space="0" w:color="auto"/>
              <w:bottom w:val="single" w:sz="4" w:space="0" w:color="auto"/>
              <w:right w:val="single" w:sz="4" w:space="0" w:color="auto"/>
            </w:tcBorders>
          </w:tcPr>
          <w:p w14:paraId="1E78E362" w14:textId="77777777" w:rsidR="00CB4157" w:rsidRPr="00A17F47" w:rsidRDefault="00CB4157" w:rsidP="00A17F47">
            <w:pPr>
              <w:pStyle w:val="Leipteksti"/>
              <w:rPr>
                <w:b/>
              </w:rPr>
            </w:pPr>
            <w:r w:rsidRPr="00A17F47">
              <w:rPr>
                <w:b/>
                <w:bCs/>
                <w:lang w:val="sv"/>
              </w:rPr>
              <w:t>Projektet inleds senast</w:t>
            </w:r>
          </w:p>
        </w:tc>
        <w:tc>
          <w:tcPr>
            <w:tcW w:w="5380" w:type="dxa"/>
            <w:tcBorders>
              <w:top w:val="single" w:sz="4" w:space="0" w:color="auto"/>
              <w:left w:val="single" w:sz="4" w:space="0" w:color="auto"/>
              <w:bottom w:val="single" w:sz="4" w:space="0" w:color="auto"/>
              <w:right w:val="single" w:sz="4" w:space="0" w:color="auto"/>
            </w:tcBorders>
          </w:tcPr>
          <w:p w14:paraId="1EB7D6DC" w14:textId="77777777" w:rsidR="00CB4157" w:rsidRPr="00A17F47" w:rsidRDefault="00CB4157" w:rsidP="00A17F47">
            <w:pPr>
              <w:pStyle w:val="Leipteksti"/>
            </w:pPr>
            <w:r w:rsidRPr="00A17F47">
              <w:rPr>
                <w:lang w:val="sv"/>
              </w:rPr>
              <w:t>Se utlysningen</w:t>
            </w:r>
          </w:p>
        </w:tc>
      </w:tr>
      <w:bookmarkEnd w:id="83"/>
    </w:tbl>
    <w:p w14:paraId="4347C147" w14:textId="77777777" w:rsidR="00CB4157" w:rsidRPr="00A17F47" w:rsidRDefault="00CB4157" w:rsidP="00A17F47">
      <w:pPr>
        <w:pStyle w:val="Leipteksti"/>
      </w:pPr>
    </w:p>
    <w:p w14:paraId="32CEA546" w14:textId="3566CF16" w:rsidR="00CB4157" w:rsidRDefault="00694D00" w:rsidP="00A17F47">
      <w:pPr>
        <w:pStyle w:val="Otsikko3"/>
      </w:pPr>
      <w:bookmarkStart w:id="84" w:name="_Toc102054596"/>
      <w:bookmarkStart w:id="85" w:name="_Toc102727292"/>
      <w:bookmarkStart w:id="86" w:name="_Toc184224321"/>
      <w:r>
        <w:rPr>
          <w:lang w:val="sv"/>
        </w:rPr>
        <w:t xml:space="preserve">SM3 </w:t>
      </w:r>
      <w:r w:rsidR="00CB4157">
        <w:rPr>
          <w:lang w:val="sv"/>
        </w:rPr>
        <w:t>Operativt stöd</w:t>
      </w:r>
      <w:bookmarkEnd w:id="84"/>
      <w:bookmarkEnd w:id="85"/>
      <w:bookmarkEnd w:id="86"/>
    </w:p>
    <w:p w14:paraId="3CA73829" w14:textId="77777777" w:rsidR="00CB4157" w:rsidRDefault="00CB4157" w:rsidP="00CB4157"/>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CB4157" w:rsidRPr="000F5AB4" w14:paraId="1CDF4D8F" w14:textId="77777777" w:rsidTr="00CB4157">
        <w:trPr>
          <w:trHeight w:val="1203"/>
        </w:trPr>
        <w:tc>
          <w:tcPr>
            <w:tcW w:w="9628" w:type="dxa"/>
            <w:gridSpan w:val="2"/>
          </w:tcPr>
          <w:p w14:paraId="76224C8A" w14:textId="77777777" w:rsidR="00CB4157" w:rsidRPr="00A17F47" w:rsidRDefault="00CB4157" w:rsidP="00A17F47">
            <w:pPr>
              <w:pStyle w:val="Leipteksti"/>
              <w:rPr>
                <w:rFonts w:cstheme="minorHAnsi"/>
                <w:sz w:val="22"/>
                <w:szCs w:val="22"/>
                <w:lang w:val="sv-SE"/>
              </w:rPr>
            </w:pPr>
            <w:r w:rsidRPr="00A17F47">
              <w:rPr>
                <w:rFonts w:cstheme="minorHAnsi"/>
                <w:sz w:val="22"/>
                <w:szCs w:val="22"/>
                <w:lang w:val="sv"/>
              </w:rPr>
              <w:t>Med operativt stöd täcks personalkostnader och underhållet av tekniska verktyg och teknisk utrustning som behövs för att förebygga, avslöja och undersöka grov och organiserad gränsöverskridande brottslighet.</w:t>
            </w:r>
          </w:p>
        </w:tc>
      </w:tr>
      <w:tr w:rsidR="00CB4157" w:rsidRPr="00A17F47" w14:paraId="0FDD2BC9" w14:textId="77777777" w:rsidTr="00CB4157">
        <w:trPr>
          <w:trHeight w:val="477"/>
        </w:trPr>
        <w:tc>
          <w:tcPr>
            <w:tcW w:w="4248" w:type="dxa"/>
          </w:tcPr>
          <w:p w14:paraId="3DAF3181" w14:textId="77777777" w:rsidR="00CB4157" w:rsidRPr="00A17F47" w:rsidRDefault="00CB4157" w:rsidP="00A17F47">
            <w:pPr>
              <w:pStyle w:val="Leipteksti"/>
              <w:rPr>
                <w:rFonts w:cstheme="minorHAnsi"/>
                <w:b/>
                <w:sz w:val="22"/>
                <w:szCs w:val="22"/>
              </w:rPr>
            </w:pPr>
            <w:r w:rsidRPr="00A17F47">
              <w:rPr>
                <w:rFonts w:cstheme="minorHAnsi"/>
                <w:b/>
                <w:bCs/>
                <w:sz w:val="22"/>
                <w:szCs w:val="22"/>
                <w:lang w:val="sv"/>
              </w:rPr>
              <w:t>Understöd</w:t>
            </w:r>
          </w:p>
        </w:tc>
        <w:tc>
          <w:tcPr>
            <w:tcW w:w="5380" w:type="dxa"/>
          </w:tcPr>
          <w:p w14:paraId="050AF171" w14:textId="77777777" w:rsidR="00CB4157" w:rsidRPr="00A17F47" w:rsidRDefault="00CB4157" w:rsidP="00A17F47">
            <w:pPr>
              <w:pStyle w:val="Leipteksti"/>
              <w:rPr>
                <w:rFonts w:cstheme="minorHAnsi"/>
                <w:sz w:val="22"/>
                <w:szCs w:val="22"/>
              </w:rPr>
            </w:pPr>
            <w:r w:rsidRPr="00A17F47">
              <w:rPr>
                <w:rFonts w:cstheme="minorHAnsi"/>
                <w:sz w:val="22"/>
                <w:szCs w:val="22"/>
                <w:lang w:val="sv"/>
              </w:rPr>
              <w:t>100 %</w:t>
            </w:r>
          </w:p>
        </w:tc>
      </w:tr>
      <w:tr w:rsidR="00CB4157" w:rsidRPr="00A17F47" w14:paraId="4DFDF719" w14:textId="77777777" w:rsidTr="00CB4157">
        <w:trPr>
          <w:trHeight w:val="552"/>
        </w:trPr>
        <w:tc>
          <w:tcPr>
            <w:tcW w:w="4248" w:type="dxa"/>
          </w:tcPr>
          <w:p w14:paraId="32E5662F" w14:textId="77777777" w:rsidR="00CB4157" w:rsidRPr="00A17F47" w:rsidRDefault="00CB4157" w:rsidP="00A17F47">
            <w:pPr>
              <w:pStyle w:val="Leipteksti"/>
              <w:rPr>
                <w:rFonts w:cstheme="minorHAnsi"/>
                <w:sz w:val="22"/>
                <w:szCs w:val="22"/>
              </w:rPr>
            </w:pPr>
            <w:r w:rsidRPr="00A17F47">
              <w:rPr>
                <w:rFonts w:cstheme="minorHAnsi"/>
                <w:b/>
                <w:bCs/>
                <w:sz w:val="22"/>
                <w:szCs w:val="22"/>
                <w:lang w:val="sv"/>
              </w:rPr>
              <w:t>Möjliga stödmottagare</w:t>
            </w:r>
          </w:p>
        </w:tc>
        <w:tc>
          <w:tcPr>
            <w:tcW w:w="5380" w:type="dxa"/>
          </w:tcPr>
          <w:p w14:paraId="258DDA57" w14:textId="77777777" w:rsidR="00CB4157" w:rsidRPr="00A17F47" w:rsidRDefault="00CB4157" w:rsidP="00A17F47">
            <w:pPr>
              <w:pStyle w:val="Leipteksti"/>
              <w:rPr>
                <w:rFonts w:cstheme="minorHAnsi"/>
                <w:sz w:val="22"/>
                <w:szCs w:val="22"/>
              </w:rPr>
            </w:pPr>
            <w:r w:rsidRPr="00A17F47">
              <w:rPr>
                <w:rFonts w:cstheme="minorHAnsi"/>
                <w:sz w:val="22"/>
                <w:szCs w:val="22"/>
                <w:lang w:val="sv"/>
              </w:rPr>
              <w:t>Polisen</w:t>
            </w:r>
          </w:p>
        </w:tc>
      </w:tr>
      <w:tr w:rsidR="00CB4157" w:rsidRPr="000F5AB4" w14:paraId="2A1FD4B5" w14:textId="77777777" w:rsidTr="00CB4157">
        <w:tc>
          <w:tcPr>
            <w:tcW w:w="4248" w:type="dxa"/>
          </w:tcPr>
          <w:p w14:paraId="22FD5C77" w14:textId="77777777" w:rsidR="00CB4157" w:rsidRPr="00A17F47" w:rsidRDefault="00CB4157" w:rsidP="00A17F47">
            <w:pPr>
              <w:pStyle w:val="Leipteksti"/>
              <w:rPr>
                <w:rFonts w:cstheme="minorHAnsi"/>
                <w:b/>
                <w:sz w:val="22"/>
                <w:szCs w:val="22"/>
                <w:lang w:val="sv-SE"/>
              </w:rPr>
            </w:pPr>
            <w:r w:rsidRPr="00A17F47">
              <w:rPr>
                <w:rFonts w:eastAsia="Calibri" w:cstheme="minorHAnsi"/>
                <w:b/>
                <w:bCs/>
                <w:sz w:val="22"/>
                <w:szCs w:val="22"/>
                <w:lang w:val="sv"/>
              </w:rPr>
              <w:t>Samordning med annan EU-finansiering</w:t>
            </w:r>
          </w:p>
        </w:tc>
        <w:tc>
          <w:tcPr>
            <w:tcW w:w="5380" w:type="dxa"/>
          </w:tcPr>
          <w:p w14:paraId="6CD107A9" w14:textId="77777777" w:rsidR="00CB4157" w:rsidRPr="00A17F47" w:rsidRDefault="00CB4157" w:rsidP="00A17F47">
            <w:pPr>
              <w:pStyle w:val="Leipteksti"/>
              <w:rPr>
                <w:rFonts w:cstheme="minorHAnsi"/>
                <w:sz w:val="22"/>
                <w:szCs w:val="22"/>
                <w:lang w:val="sv-SE"/>
              </w:rPr>
            </w:pPr>
          </w:p>
        </w:tc>
      </w:tr>
      <w:tr w:rsidR="00CB4157" w:rsidRPr="00A17F47" w14:paraId="1B39BC5F" w14:textId="77777777" w:rsidTr="00CB4157">
        <w:trPr>
          <w:trHeight w:val="2796"/>
        </w:trPr>
        <w:tc>
          <w:tcPr>
            <w:tcW w:w="9628" w:type="dxa"/>
            <w:gridSpan w:val="2"/>
          </w:tcPr>
          <w:p w14:paraId="222FF667" w14:textId="77777777" w:rsidR="00CB4157" w:rsidRPr="00A17F47" w:rsidRDefault="00CB4157" w:rsidP="00A17F47">
            <w:pPr>
              <w:pStyle w:val="Leipteksti"/>
              <w:rPr>
                <w:rFonts w:cstheme="minorHAnsi"/>
                <w:sz w:val="22"/>
                <w:szCs w:val="22"/>
                <w:lang w:val="sv-SE"/>
              </w:rPr>
            </w:pPr>
            <w:r w:rsidRPr="00A17F47">
              <w:rPr>
                <w:rFonts w:cstheme="minorHAnsi"/>
                <w:b/>
                <w:bCs/>
                <w:sz w:val="22"/>
                <w:szCs w:val="22"/>
                <w:lang w:val="sv"/>
              </w:rPr>
              <w:lastRenderedPageBreak/>
              <w:t>Indikatorer som ska tillämpas</w:t>
            </w:r>
            <w:r w:rsidRPr="00A17F47">
              <w:rPr>
                <w:rFonts w:cstheme="minorHAnsi"/>
                <w:sz w:val="22"/>
                <w:szCs w:val="22"/>
                <w:lang w:val="sv"/>
              </w:rPr>
              <w:t xml:space="preserve"> </w:t>
            </w:r>
          </w:p>
          <w:p w14:paraId="250C8E4F" w14:textId="39FE8F47" w:rsidR="00CB4157" w:rsidRPr="00A17F47" w:rsidRDefault="00CB4157" w:rsidP="00A17F47">
            <w:pPr>
              <w:pStyle w:val="Leipteksti"/>
              <w:rPr>
                <w:rFonts w:cstheme="minorHAnsi"/>
                <w:sz w:val="22"/>
                <w:szCs w:val="22"/>
                <w:lang w:val="sv-SE"/>
              </w:rPr>
            </w:pPr>
            <w:r w:rsidRPr="00A17F47">
              <w:rPr>
                <w:rFonts w:cstheme="minorHAnsi"/>
                <w:sz w:val="22"/>
                <w:szCs w:val="22"/>
                <w:lang w:val="sv"/>
              </w:rPr>
              <w:t>I åtgärderna ska även tillämpas andra indikatorer än de som finns i detta s</w:t>
            </w:r>
            <w:r w:rsidR="000473F1">
              <w:rPr>
                <w:rFonts w:cstheme="minorHAnsi"/>
                <w:sz w:val="22"/>
                <w:szCs w:val="22"/>
                <w:lang w:val="sv"/>
              </w:rPr>
              <w:t>pecifik</w:t>
            </w:r>
            <w:r w:rsidRPr="00A17F47">
              <w:rPr>
                <w:rFonts w:cstheme="minorHAnsi"/>
                <w:sz w:val="22"/>
                <w:szCs w:val="22"/>
                <w:lang w:val="sv"/>
              </w:rPr>
              <w:t>a mål, om verksamheten som genomförs kan mätas med dem.</w:t>
            </w:r>
          </w:p>
          <w:p w14:paraId="6DBC2BB6" w14:textId="436D969E" w:rsidR="00CB4157" w:rsidRPr="00A17F47" w:rsidRDefault="0095707B" w:rsidP="00A17F47">
            <w:pPr>
              <w:pStyle w:val="Leipteksti"/>
              <w:rPr>
                <w:rFonts w:cstheme="minorHAnsi"/>
                <w:sz w:val="22"/>
                <w:szCs w:val="22"/>
              </w:rPr>
            </w:pPr>
            <w:r>
              <w:rPr>
                <w:rFonts w:cstheme="minorHAnsi"/>
                <w:sz w:val="22"/>
                <w:szCs w:val="22"/>
                <w:lang w:val="sv"/>
              </w:rPr>
              <w:t>Output</w:t>
            </w:r>
            <w:r w:rsidR="00CB4157" w:rsidRPr="00A17F47">
              <w:rPr>
                <w:rFonts w:cstheme="minorHAnsi"/>
                <w:sz w:val="22"/>
                <w:szCs w:val="22"/>
                <w:lang w:val="sv"/>
              </w:rPr>
              <w:t>indikatorer:</w:t>
            </w:r>
            <w:r w:rsidR="00D11F46">
              <w:rPr>
                <w:rFonts w:cstheme="minorHAnsi"/>
                <w:sz w:val="22"/>
                <w:szCs w:val="22"/>
                <w:lang w:val="sv"/>
              </w:rPr>
              <w:t xml:space="preserve"> </w:t>
            </w:r>
            <w:r w:rsidR="00CB4157" w:rsidRPr="00A17F47">
              <w:rPr>
                <w:rFonts w:cstheme="minorHAnsi"/>
                <w:sz w:val="22"/>
                <w:szCs w:val="22"/>
                <w:lang w:val="sv"/>
              </w:rPr>
              <w:t>-</w:t>
            </w:r>
          </w:p>
          <w:p w14:paraId="66E5DC1A" w14:textId="77777777" w:rsidR="00CB4157" w:rsidRPr="00A17F47" w:rsidRDefault="00CB4157" w:rsidP="00D11F46">
            <w:pPr>
              <w:pStyle w:val="Leipteksti"/>
              <w:rPr>
                <w:rFonts w:cstheme="minorHAnsi"/>
                <w:sz w:val="22"/>
                <w:szCs w:val="22"/>
              </w:rPr>
            </w:pPr>
            <w:r w:rsidRPr="00A17F47">
              <w:rPr>
                <w:rFonts w:eastAsia="Calibri" w:cstheme="minorHAnsi"/>
                <w:sz w:val="22"/>
                <w:szCs w:val="22"/>
                <w:lang w:val="sv"/>
              </w:rPr>
              <w:t>Resultatindikatorer:</w:t>
            </w:r>
            <w:r w:rsidR="00D11F46">
              <w:rPr>
                <w:rFonts w:eastAsia="Calibri" w:cstheme="minorHAnsi"/>
                <w:sz w:val="22"/>
                <w:szCs w:val="22"/>
                <w:lang w:val="sv"/>
              </w:rPr>
              <w:t xml:space="preserve"> </w:t>
            </w:r>
            <w:r w:rsidRPr="00A17F47">
              <w:rPr>
                <w:rFonts w:eastAsia="Calibri" w:cstheme="minorHAnsi"/>
                <w:sz w:val="22"/>
                <w:szCs w:val="22"/>
                <w:lang w:val="sv"/>
              </w:rPr>
              <w:t>-</w:t>
            </w:r>
          </w:p>
        </w:tc>
      </w:tr>
      <w:tr w:rsidR="00CB4157" w:rsidRPr="000F5AB4" w14:paraId="75410A41" w14:textId="77777777" w:rsidTr="00CB4157">
        <w:tc>
          <w:tcPr>
            <w:tcW w:w="4248" w:type="dxa"/>
          </w:tcPr>
          <w:p w14:paraId="10FC43B5" w14:textId="77777777" w:rsidR="00CB4157" w:rsidRPr="00A17F47" w:rsidRDefault="00CB4157" w:rsidP="00A17F47">
            <w:pPr>
              <w:pStyle w:val="Leipteksti"/>
              <w:rPr>
                <w:rFonts w:cstheme="minorHAnsi"/>
                <w:b/>
                <w:sz w:val="22"/>
                <w:szCs w:val="22"/>
              </w:rPr>
            </w:pPr>
            <w:r w:rsidRPr="00A17F47">
              <w:rPr>
                <w:rFonts w:cstheme="minorHAnsi"/>
                <w:b/>
                <w:bCs/>
                <w:sz w:val="22"/>
                <w:szCs w:val="22"/>
                <w:lang w:val="sv"/>
              </w:rPr>
              <w:t>Ansökningstid</w:t>
            </w:r>
          </w:p>
        </w:tc>
        <w:tc>
          <w:tcPr>
            <w:tcW w:w="5380" w:type="dxa"/>
          </w:tcPr>
          <w:p w14:paraId="38BE3D43" w14:textId="41AA8614" w:rsidR="00CB4157" w:rsidRPr="00F30646" w:rsidRDefault="002C6C2C" w:rsidP="00F30646">
            <w:pPr>
              <w:pStyle w:val="Leipteksti"/>
              <w:rPr>
                <w:rFonts w:cstheme="minorHAnsi"/>
                <w:sz w:val="22"/>
                <w:szCs w:val="22"/>
                <w:lang w:val="sv-SE"/>
              </w:rPr>
            </w:pPr>
            <w:r>
              <w:rPr>
                <w:rFonts w:cstheme="minorHAnsi"/>
                <w:sz w:val="22"/>
                <w:szCs w:val="22"/>
                <w:lang w:val="sv"/>
              </w:rPr>
              <w:t xml:space="preserve">Inga planerade utlysningar (finansieringen </w:t>
            </w:r>
            <w:r w:rsidR="00186C72">
              <w:rPr>
                <w:rFonts w:cstheme="minorHAnsi"/>
                <w:sz w:val="22"/>
                <w:szCs w:val="22"/>
                <w:lang w:val="sv"/>
              </w:rPr>
              <w:t>är bunden</w:t>
            </w:r>
            <w:r>
              <w:rPr>
                <w:rFonts w:cstheme="minorHAnsi"/>
                <w:sz w:val="22"/>
                <w:szCs w:val="22"/>
                <w:lang w:val="sv"/>
              </w:rPr>
              <w:t>)</w:t>
            </w:r>
          </w:p>
        </w:tc>
      </w:tr>
      <w:tr w:rsidR="00CB4157" w:rsidRPr="00A17F47" w14:paraId="770B1575" w14:textId="77777777" w:rsidTr="00CB4157">
        <w:tc>
          <w:tcPr>
            <w:tcW w:w="4248" w:type="dxa"/>
          </w:tcPr>
          <w:p w14:paraId="5B33546D" w14:textId="77777777" w:rsidR="00CB4157" w:rsidRPr="00A17F47" w:rsidRDefault="00CB4157" w:rsidP="00A17F47">
            <w:pPr>
              <w:pStyle w:val="Leipteksti"/>
              <w:rPr>
                <w:rFonts w:cstheme="minorHAnsi"/>
                <w:b/>
                <w:sz w:val="22"/>
                <w:szCs w:val="22"/>
              </w:rPr>
            </w:pPr>
            <w:r w:rsidRPr="00A17F47">
              <w:rPr>
                <w:rFonts w:cstheme="minorHAnsi"/>
                <w:b/>
                <w:bCs/>
                <w:sz w:val="22"/>
                <w:szCs w:val="22"/>
                <w:lang w:val="sv"/>
              </w:rPr>
              <w:t>Projektet inleds senast</w:t>
            </w:r>
          </w:p>
        </w:tc>
        <w:tc>
          <w:tcPr>
            <w:tcW w:w="5380" w:type="dxa"/>
          </w:tcPr>
          <w:p w14:paraId="5B3ABA54" w14:textId="77777777" w:rsidR="00CB4157" w:rsidRPr="00A17F47" w:rsidRDefault="00CB4157" w:rsidP="00A17F47">
            <w:pPr>
              <w:pStyle w:val="Leipteksti"/>
              <w:rPr>
                <w:rFonts w:eastAsia="Calibri" w:cstheme="minorHAnsi"/>
                <w:sz w:val="22"/>
                <w:szCs w:val="22"/>
              </w:rPr>
            </w:pPr>
            <w:r w:rsidRPr="00A17F47">
              <w:rPr>
                <w:rFonts w:cstheme="minorHAnsi"/>
                <w:sz w:val="22"/>
                <w:szCs w:val="22"/>
                <w:lang w:val="sv"/>
              </w:rPr>
              <w:t>Se utlysningen</w:t>
            </w:r>
          </w:p>
        </w:tc>
      </w:tr>
    </w:tbl>
    <w:p w14:paraId="7F432DC0" w14:textId="77777777" w:rsidR="00CB4157" w:rsidRPr="00A17F47" w:rsidRDefault="00CB4157" w:rsidP="00A17F47">
      <w:pPr>
        <w:pStyle w:val="Leipteksti"/>
      </w:pPr>
    </w:p>
    <w:p w14:paraId="4F3F0F84" w14:textId="77777777" w:rsidR="00E31451" w:rsidRPr="00A24088" w:rsidRDefault="00E31451" w:rsidP="00EB2096">
      <w:pPr>
        <w:pStyle w:val="Leipteksti"/>
        <w:sectPr w:rsidR="00E31451" w:rsidRPr="00A24088" w:rsidSect="00E31451">
          <w:footerReference w:type="default" r:id="rId12"/>
          <w:headerReference w:type="first" r:id="rId13"/>
          <w:footerReference w:type="first" r:id="rId14"/>
          <w:pgSz w:w="11906" w:h="16838" w:code="9"/>
          <w:pgMar w:top="1418" w:right="1134" w:bottom="1871" w:left="1134" w:header="709" w:footer="992" w:gutter="0"/>
          <w:cols w:space="708"/>
          <w:titlePg/>
          <w:docGrid w:linePitch="360"/>
        </w:sectPr>
      </w:pPr>
    </w:p>
    <w:p w14:paraId="41432307" w14:textId="77777777" w:rsidR="00194C18" w:rsidRPr="00175575" w:rsidRDefault="00194C18" w:rsidP="00194C18">
      <w:pPr>
        <w:pStyle w:val="Takakansivli"/>
        <w:rPr>
          <w:color w:val="FFFFFF" w:themeColor="background1"/>
        </w:rPr>
      </w:pPr>
    </w:p>
    <w:p w14:paraId="47A3A8D9" w14:textId="77777777" w:rsidR="006236B1" w:rsidRPr="00175575" w:rsidRDefault="006236B1" w:rsidP="006236B1">
      <w:pPr>
        <w:pStyle w:val="Takakansi"/>
        <w:rPr>
          <w:color w:val="FFFFFF" w:themeColor="background1"/>
          <w:lang w:val="sv-FI"/>
        </w:rPr>
      </w:pPr>
      <w:r w:rsidRPr="00175575">
        <w:rPr>
          <w:color w:val="FFFFFF" w:themeColor="background1"/>
          <w:lang w:val="sv-FI"/>
        </w:rPr>
        <w:t>Kyrkogatan 12, Helsingfors</w:t>
      </w:r>
    </w:p>
    <w:p w14:paraId="6C91567C" w14:textId="77777777" w:rsidR="006236B1" w:rsidRPr="00175575" w:rsidRDefault="006236B1" w:rsidP="006236B1">
      <w:pPr>
        <w:pStyle w:val="Takakansi"/>
        <w:rPr>
          <w:color w:val="FFFFFF" w:themeColor="background1"/>
          <w:lang w:val="sv-FI"/>
        </w:rPr>
      </w:pPr>
      <w:r w:rsidRPr="00175575">
        <w:rPr>
          <w:color w:val="FFFFFF" w:themeColor="background1"/>
          <w:lang w:val="sv-FI"/>
        </w:rPr>
        <w:t>PB 26, 00023 Statsrådet</w:t>
      </w:r>
    </w:p>
    <w:p w14:paraId="1EAFC218" w14:textId="77777777" w:rsidR="006236B1" w:rsidRPr="00175575" w:rsidRDefault="006236B1" w:rsidP="006236B1">
      <w:pPr>
        <w:pStyle w:val="Takakansi"/>
        <w:rPr>
          <w:color w:val="FFFFFF" w:themeColor="background1"/>
          <w:lang w:val="sv-FI"/>
        </w:rPr>
      </w:pPr>
      <w:r w:rsidRPr="00175575">
        <w:rPr>
          <w:color w:val="FFFFFF" w:themeColor="background1"/>
          <w:lang w:val="sv-FI"/>
        </w:rPr>
        <w:t>Växel 0295 480 171</w:t>
      </w:r>
    </w:p>
    <w:p w14:paraId="57B5CDB0" w14:textId="0DF0FE8B" w:rsidR="00194C18" w:rsidRPr="00175575" w:rsidRDefault="006236B1" w:rsidP="006236B1">
      <w:pPr>
        <w:pStyle w:val="Takakansi"/>
        <w:rPr>
          <w:color w:val="FFFFFF" w:themeColor="background1"/>
          <w:lang w:val="sv-FI"/>
        </w:rPr>
      </w:pPr>
      <w:r w:rsidRPr="00175575">
        <w:rPr>
          <w:color w:val="FFFFFF" w:themeColor="background1"/>
          <w:lang w:val="sv-FI"/>
        </w:rPr>
        <w:t>kirjaamo</w:t>
      </w:r>
      <w:r w:rsidR="003F3968" w:rsidRPr="00175575">
        <w:rPr>
          <w:color w:val="FFFFFF" w:themeColor="background1"/>
          <w:lang w:val="sv-FI"/>
        </w:rPr>
        <w:t>.sm</w:t>
      </w:r>
      <w:r w:rsidRPr="00175575">
        <w:rPr>
          <w:color w:val="FFFFFF" w:themeColor="background1"/>
          <w:lang w:val="sv-FI"/>
        </w:rPr>
        <w:t>@</w:t>
      </w:r>
      <w:r w:rsidR="002E7648" w:rsidRPr="00175575">
        <w:rPr>
          <w:color w:val="FFFFFF" w:themeColor="background1"/>
          <w:lang w:val="sv-FI"/>
        </w:rPr>
        <w:t>gov</w:t>
      </w:r>
      <w:r w:rsidRPr="00175575">
        <w:rPr>
          <w:color w:val="FFFFFF" w:themeColor="background1"/>
          <w:lang w:val="sv-FI"/>
        </w:rPr>
        <w:t>.fi</w:t>
      </w:r>
    </w:p>
    <w:p w14:paraId="74A0B0E7" w14:textId="2B0A7F32" w:rsidR="00784D94" w:rsidRPr="00175575" w:rsidRDefault="00194C18" w:rsidP="00194C18">
      <w:pPr>
        <w:pStyle w:val="Takakansi2"/>
        <w:rPr>
          <w:color w:val="FFFFFF" w:themeColor="background1"/>
          <w:lang w:val="sv-FI"/>
        </w:rPr>
      </w:pPr>
      <w:r w:rsidRPr="00175575">
        <w:rPr>
          <w:color w:val="FFFFFF" w:themeColor="background1"/>
          <w:lang w:val="sv-FI"/>
        </w:rPr>
        <w:t>www.</w:t>
      </w:r>
      <w:r w:rsidR="00A17F47" w:rsidRPr="00175575">
        <w:rPr>
          <w:color w:val="FFFFFF" w:themeColor="background1"/>
          <w:lang w:val="sv-FI"/>
        </w:rPr>
        <w:t>eusa-rahastot2021</w:t>
      </w:r>
      <w:r w:rsidRPr="00175575">
        <w:rPr>
          <w:color w:val="FFFFFF" w:themeColor="background1"/>
          <w:lang w:val="sv-FI"/>
        </w:rPr>
        <w:t>.fi</w:t>
      </w:r>
      <w:r w:rsidR="00175575" w:rsidRPr="00175575">
        <w:rPr>
          <w:color w:val="FFFFFF" w:themeColor="background1"/>
          <w:lang w:val="sv-FI"/>
        </w:rPr>
        <w:t>/sv</w:t>
      </w:r>
      <w:r w:rsidRPr="00175575">
        <w:rPr>
          <w:color w:val="FFFFFF" w:themeColor="background1"/>
          <w:lang w:val="sv-FI"/>
        </w:rPr>
        <w:t xml:space="preserve"> | </w:t>
      </w:r>
      <w:r w:rsidR="00A17F47" w:rsidRPr="00175575">
        <w:rPr>
          <w:color w:val="FFFFFF" w:themeColor="background1"/>
          <w:lang w:val="sv-FI"/>
        </w:rPr>
        <w:t>eusa.sm</w:t>
      </w:r>
      <w:r w:rsidRPr="00175575">
        <w:rPr>
          <w:color w:val="FFFFFF" w:themeColor="background1"/>
          <w:lang w:val="sv-FI"/>
        </w:rPr>
        <w:t>@</w:t>
      </w:r>
      <w:r w:rsidR="00A17F47" w:rsidRPr="00175575">
        <w:rPr>
          <w:color w:val="FFFFFF" w:themeColor="background1"/>
          <w:lang w:val="sv-FI"/>
        </w:rPr>
        <w:t>gov</w:t>
      </w:r>
      <w:r w:rsidRPr="00175575">
        <w:rPr>
          <w:color w:val="FFFFFF" w:themeColor="background1"/>
          <w:lang w:val="sv-FI"/>
        </w:rPr>
        <w:t>.fi</w:t>
      </w:r>
    </w:p>
    <w:sectPr w:rsidR="00784D94" w:rsidRPr="00175575" w:rsidSect="00E31451">
      <w:pgSz w:w="11906" w:h="16838" w:code="9"/>
      <w:pgMar w:top="1418" w:right="1134" w:bottom="1871" w:left="1134"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8CF3" w14:textId="77777777" w:rsidR="003739A1" w:rsidRDefault="003739A1" w:rsidP="00AC7BC5">
      <w:r>
        <w:separator/>
      </w:r>
    </w:p>
    <w:p w14:paraId="5B561001" w14:textId="77777777" w:rsidR="003739A1" w:rsidRDefault="003739A1"/>
  </w:endnote>
  <w:endnote w:type="continuationSeparator" w:id="0">
    <w:p w14:paraId="1168FBF0" w14:textId="77777777" w:rsidR="003739A1" w:rsidRDefault="003739A1" w:rsidP="00AC7BC5">
      <w:r>
        <w:continuationSeparator/>
      </w:r>
    </w:p>
    <w:p w14:paraId="0395F098" w14:textId="77777777" w:rsidR="003739A1" w:rsidRDefault="00373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6C0D" w14:textId="6FE59C50" w:rsidR="00E3336F" w:rsidRDefault="00E3336F" w:rsidP="005C3F0C">
    <w:pPr>
      <w:pStyle w:val="Alatunniste"/>
    </w:pPr>
    <w:r w:rsidRPr="005D4C87">
      <w:fldChar w:fldCharType="begin"/>
    </w:r>
    <w:r w:rsidRPr="005D4C87">
      <w:instrText>PAGE</w:instrText>
    </w:r>
    <w:r w:rsidRPr="005D4C87">
      <w:fldChar w:fldCharType="separate"/>
    </w:r>
    <w:r w:rsidR="00F16A01">
      <w:t>32</w:t>
    </w:r>
    <w:r w:rsidRPr="005D4C87">
      <w:fldChar w:fldCharType="end"/>
    </w:r>
    <w:r>
      <w:t xml:space="preserve"> /</w:t>
    </w:r>
    <w:r w:rsidRPr="005D4C87">
      <w:t xml:space="preserve"> </w:t>
    </w:r>
    <w:r w:rsidRPr="005D4C87">
      <w:fldChar w:fldCharType="begin"/>
    </w:r>
    <w:r w:rsidRPr="005D4C87">
      <w:instrText>NUMPAGES</w:instrText>
    </w:r>
    <w:r w:rsidRPr="005D4C87">
      <w:fldChar w:fldCharType="separate"/>
    </w:r>
    <w:r w:rsidR="00F16A01">
      <w:t>49</w:t>
    </w:r>
    <w:r w:rsidRPr="005D4C8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A730" w14:textId="77777777" w:rsidR="00E3336F" w:rsidRPr="006236B1" w:rsidRDefault="00E3336F" w:rsidP="006236B1">
    <w:pPr>
      <w:pStyle w:val="Alatunniste"/>
      <w:jc w:val="left"/>
    </w:pPr>
    <w:r w:rsidRPr="00E16D4C">
      <w:rPr>
        <w:rFonts w:ascii="Tahoma" w:hAnsi="Tahoma" w:cs="Tahoma"/>
        <w:lang w:eastAsia="fi-FI"/>
      </w:rPr>
      <w:drawing>
        <wp:anchor distT="0" distB="0" distL="114300" distR="114300" simplePos="0" relativeHeight="251660288" behindDoc="1" locked="0" layoutInCell="1" allowOverlap="1" wp14:anchorId="37F96A46" wp14:editId="766EC183">
          <wp:simplePos x="0" y="0"/>
          <wp:positionH relativeFrom="page">
            <wp:posOffset>4921250</wp:posOffset>
          </wp:positionH>
          <wp:positionV relativeFrom="page">
            <wp:posOffset>9696450</wp:posOffset>
          </wp:positionV>
          <wp:extent cx="2336400" cy="489600"/>
          <wp:effectExtent l="0" t="0" r="0" b="5715"/>
          <wp:wrapNone/>
          <wp:docPr id="1" name="Kuva 7">
            <a:extLst xmlns:a="http://schemas.openxmlformats.org/drawingml/2006/main">
              <a:ext uri="{FF2B5EF4-FFF2-40B4-BE49-F238E27FC236}">
                <a16:creationId xmlns:a16="http://schemas.microsoft.com/office/drawing/2014/main" id="{1316B0A1-1E67-EC4C-A2E6-7B8936D2F6F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7">
                    <a:extLst>
                      <a:ext uri="{FF2B5EF4-FFF2-40B4-BE49-F238E27FC236}">
                        <a16:creationId xmlns:a16="http://schemas.microsoft.com/office/drawing/2014/main" id="{1316B0A1-1E67-EC4C-A2E6-7B8936D2F6F5}"/>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400" cy="489600"/>
                  </a:xfrm>
                  <a:prstGeom prst="rect">
                    <a:avLst/>
                  </a:prstGeom>
                </pic:spPr>
              </pic:pic>
            </a:graphicData>
          </a:graphic>
          <wp14:sizeRelH relativeFrom="page">
            <wp14:pctWidth>0</wp14:pctWidth>
          </wp14:sizeRelH>
          <wp14:sizeRelV relativeFrom="page">
            <wp14:pctHeight>0</wp14:pctHeight>
          </wp14:sizeRelV>
        </wp:anchor>
      </w:drawing>
    </w:r>
    <w:r w:rsidRPr="00E16D4C">
      <w:rPr>
        <w:rFonts w:ascii="Tahoma" w:hAnsi="Tahoma" w:cs="Tahoma"/>
        <w:lang w:eastAsia="fi-FI"/>
      </w:rPr>
      <w:drawing>
        <wp:anchor distT="0" distB="0" distL="114300" distR="114300" simplePos="0" relativeHeight="251659264" behindDoc="1" locked="0" layoutInCell="1" allowOverlap="1" wp14:anchorId="1202C6BD" wp14:editId="0F8EF5CA">
          <wp:simplePos x="0" y="0"/>
          <wp:positionH relativeFrom="page">
            <wp:posOffset>705485</wp:posOffset>
          </wp:positionH>
          <wp:positionV relativeFrom="page">
            <wp:posOffset>9559290</wp:posOffset>
          </wp:positionV>
          <wp:extent cx="1836000" cy="795600"/>
          <wp:effectExtent l="0" t="0" r="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Kuva 348">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6000" cy="7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6969" w14:textId="77777777" w:rsidR="003739A1" w:rsidRDefault="003739A1" w:rsidP="00AC7BC5">
      <w:r>
        <w:separator/>
      </w:r>
    </w:p>
    <w:p w14:paraId="1B8A9E70" w14:textId="77777777" w:rsidR="003739A1" w:rsidRDefault="003739A1"/>
  </w:footnote>
  <w:footnote w:type="continuationSeparator" w:id="0">
    <w:p w14:paraId="3105D064" w14:textId="77777777" w:rsidR="003739A1" w:rsidRDefault="003739A1" w:rsidP="00AC7BC5">
      <w:r>
        <w:continuationSeparator/>
      </w:r>
    </w:p>
    <w:p w14:paraId="47186545" w14:textId="77777777" w:rsidR="003739A1" w:rsidRDefault="00373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A1E6" w14:textId="77777777" w:rsidR="00E3336F" w:rsidRDefault="00E3336F" w:rsidP="00A91D48">
    <w:pPr>
      <w:pStyle w:val="Yltunniste"/>
    </w:pPr>
    <w:r w:rsidRPr="00E16D4C">
      <w:rPr>
        <w:rFonts w:ascii="Tahoma" w:hAnsi="Tahoma" w:cs="Tahoma"/>
        <w:noProof/>
        <w:lang w:eastAsia="fi-FI"/>
      </w:rPr>
      <mc:AlternateContent>
        <mc:Choice Requires="wps">
          <w:drawing>
            <wp:anchor distT="0" distB="0" distL="114300" distR="114300" simplePos="0" relativeHeight="251656190" behindDoc="1" locked="0" layoutInCell="1" allowOverlap="1" wp14:anchorId="708F4685" wp14:editId="68A7667E">
              <wp:simplePos x="0" y="0"/>
              <wp:positionH relativeFrom="page">
                <wp:posOffset>0</wp:posOffset>
              </wp:positionH>
              <wp:positionV relativeFrom="page">
                <wp:posOffset>0</wp:posOffset>
              </wp:positionV>
              <wp:extent cx="7696800" cy="9295200"/>
              <wp:effectExtent l="0" t="0" r="0" b="1270"/>
              <wp:wrapNone/>
              <wp:docPr id="9" name="Suorakulmi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96800" cy="9295200"/>
                      </a:xfrm>
                      <a:prstGeom prst="rect">
                        <a:avLst/>
                      </a:prstGeom>
                      <a:solidFill>
                        <a:srgbClr val="185B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BD5EA" id="Suorakulmio 9" o:spid="_x0000_s1026" alt="&quot;&quot;" style="position:absolute;margin-left:0;margin-top:0;width:606.05pt;height:731.9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" fillcolor="#185b95"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BFA"/>
    <w:multiLevelType w:val="hybridMultilevel"/>
    <w:tmpl w:val="AA76F3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14B4590"/>
    <w:multiLevelType w:val="hybridMultilevel"/>
    <w:tmpl w:val="A0404C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1501873"/>
    <w:multiLevelType w:val="hybridMultilevel"/>
    <w:tmpl w:val="33D49F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E160D8"/>
    <w:multiLevelType w:val="hybridMultilevel"/>
    <w:tmpl w:val="A3CA0E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7474E45"/>
    <w:multiLevelType w:val="multilevel"/>
    <w:tmpl w:val="F10036D0"/>
    <w:lvl w:ilvl="0">
      <w:start w:val="1"/>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91B77D5"/>
    <w:multiLevelType w:val="hybridMultilevel"/>
    <w:tmpl w:val="D26E4A7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0BE632B3"/>
    <w:multiLevelType w:val="hybridMultilevel"/>
    <w:tmpl w:val="F22293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2A099B"/>
    <w:multiLevelType w:val="hybridMultilevel"/>
    <w:tmpl w:val="CC02EE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BA7949"/>
    <w:multiLevelType w:val="hybridMultilevel"/>
    <w:tmpl w:val="E1EEF8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26F6EB5"/>
    <w:multiLevelType w:val="hybridMultilevel"/>
    <w:tmpl w:val="99501C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34A4085"/>
    <w:multiLevelType w:val="hybridMultilevel"/>
    <w:tmpl w:val="8F8A40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DC254F"/>
    <w:multiLevelType w:val="hybridMultilevel"/>
    <w:tmpl w:val="5CE06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B7D47A2"/>
    <w:multiLevelType w:val="hybridMultilevel"/>
    <w:tmpl w:val="350C56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BCC1FAF"/>
    <w:multiLevelType w:val="hybridMultilevel"/>
    <w:tmpl w:val="7DAEF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F455295"/>
    <w:multiLevelType w:val="hybridMultilevel"/>
    <w:tmpl w:val="28B86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5834F71"/>
    <w:multiLevelType w:val="hybridMultilevel"/>
    <w:tmpl w:val="38DEEA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65B1B7B"/>
    <w:multiLevelType w:val="hybridMultilevel"/>
    <w:tmpl w:val="7F5C53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C85278D"/>
    <w:multiLevelType w:val="hybridMultilevel"/>
    <w:tmpl w:val="15E41A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1177853"/>
    <w:multiLevelType w:val="hybridMultilevel"/>
    <w:tmpl w:val="FD3224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3654005C"/>
    <w:multiLevelType w:val="hybridMultilevel"/>
    <w:tmpl w:val="60D2C1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7C11B4A"/>
    <w:multiLevelType w:val="hybridMultilevel"/>
    <w:tmpl w:val="172C71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9093FBE"/>
    <w:multiLevelType w:val="hybridMultilevel"/>
    <w:tmpl w:val="506008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ACD18C4"/>
    <w:multiLevelType w:val="hybridMultilevel"/>
    <w:tmpl w:val="AD7860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0826D86"/>
    <w:multiLevelType w:val="hybridMultilevel"/>
    <w:tmpl w:val="11C4C8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1D01B30"/>
    <w:multiLevelType w:val="hybridMultilevel"/>
    <w:tmpl w:val="60CCE6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6" w15:restartNumberingAfterBreak="0">
    <w:nsid w:val="46BD10B7"/>
    <w:multiLevelType w:val="hybridMultilevel"/>
    <w:tmpl w:val="6C5ED4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8FF1905"/>
    <w:multiLevelType w:val="hybridMultilevel"/>
    <w:tmpl w:val="8D0C70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A170E18"/>
    <w:multiLevelType w:val="multilevel"/>
    <w:tmpl w:val="1E4E1A2C"/>
    <w:lvl w:ilvl="0">
      <w:start w:val="1"/>
      <w:numFmt w:val="decimal"/>
      <w:lvlText w:val="%1"/>
      <w:lvlJc w:val="left"/>
      <w:pPr>
        <w:ind w:left="444" w:hanging="44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30" w15:restartNumberingAfterBreak="0">
    <w:nsid w:val="50DC4D78"/>
    <w:multiLevelType w:val="hybridMultilevel"/>
    <w:tmpl w:val="DBA4CA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2B1660"/>
    <w:multiLevelType w:val="hybridMultilevel"/>
    <w:tmpl w:val="B21E98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AAF392C"/>
    <w:multiLevelType w:val="hybridMultilevel"/>
    <w:tmpl w:val="5C76AE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AFA7D63"/>
    <w:multiLevelType w:val="hybridMultilevel"/>
    <w:tmpl w:val="BB10CD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A92CA6"/>
    <w:multiLevelType w:val="hybridMultilevel"/>
    <w:tmpl w:val="8710F5C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5" w15:restartNumberingAfterBreak="0">
    <w:nsid w:val="65442920"/>
    <w:multiLevelType w:val="hybridMultilevel"/>
    <w:tmpl w:val="BA9691E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8FC546F"/>
    <w:multiLevelType w:val="hybridMultilevel"/>
    <w:tmpl w:val="A08C90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9187897"/>
    <w:multiLevelType w:val="hybridMultilevel"/>
    <w:tmpl w:val="8F60CB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FDE60EE"/>
    <w:multiLevelType w:val="hybridMultilevel"/>
    <w:tmpl w:val="0F5801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01B7919"/>
    <w:multiLevelType w:val="hybridMultilevel"/>
    <w:tmpl w:val="EAEAA5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3E32953"/>
    <w:multiLevelType w:val="hybridMultilevel"/>
    <w:tmpl w:val="A19EB0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4DE2B69"/>
    <w:multiLevelType w:val="hybridMultilevel"/>
    <w:tmpl w:val="57723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7A36CFC"/>
    <w:multiLevelType w:val="hybridMultilevel"/>
    <w:tmpl w:val="9E4EB5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89D7E49"/>
    <w:multiLevelType w:val="multilevel"/>
    <w:tmpl w:val="027EEB1A"/>
    <w:lvl w:ilvl="0">
      <w:start w:val="1"/>
      <w:numFmt w:val="decimal"/>
      <w:lvlText w:val="%1."/>
      <w:lvlJc w:val="left"/>
      <w:pPr>
        <w:ind w:left="1080" w:hanging="720"/>
      </w:pPr>
      <w:rPr>
        <w:rFonts w:hint="default"/>
      </w:rPr>
    </w:lvl>
    <w:lvl w:ilvl="1">
      <w:start w:val="2"/>
      <w:numFmt w:val="decimal"/>
      <w:isLgl/>
      <w:lvlText w:val="%1.%2"/>
      <w:lvlJc w:val="left"/>
      <w:pPr>
        <w:ind w:left="1512" w:hanging="720"/>
      </w:pPr>
      <w:rPr>
        <w:rFonts w:hint="default"/>
      </w:rPr>
    </w:lvl>
    <w:lvl w:ilvl="2">
      <w:start w:val="1"/>
      <w:numFmt w:val="decimal"/>
      <w:isLgl/>
      <w:lvlText w:val="%1.%2.%3"/>
      <w:lvlJc w:val="left"/>
      <w:pPr>
        <w:ind w:left="2664" w:hanging="1440"/>
      </w:pPr>
      <w:rPr>
        <w:rFonts w:hint="default"/>
      </w:rPr>
    </w:lvl>
    <w:lvl w:ilvl="3">
      <w:start w:val="1"/>
      <w:numFmt w:val="decimal"/>
      <w:isLgl/>
      <w:lvlText w:val="%1.%2.%3.%4"/>
      <w:lvlJc w:val="left"/>
      <w:pPr>
        <w:ind w:left="3456" w:hanging="1800"/>
      </w:pPr>
      <w:rPr>
        <w:rFonts w:hint="default"/>
      </w:rPr>
    </w:lvl>
    <w:lvl w:ilvl="4">
      <w:start w:val="1"/>
      <w:numFmt w:val="decimal"/>
      <w:isLgl/>
      <w:lvlText w:val="%1.%2.%3.%4.%5"/>
      <w:lvlJc w:val="left"/>
      <w:pPr>
        <w:ind w:left="4248" w:hanging="2160"/>
      </w:pPr>
      <w:rPr>
        <w:rFonts w:hint="default"/>
      </w:rPr>
    </w:lvl>
    <w:lvl w:ilvl="5">
      <w:start w:val="1"/>
      <w:numFmt w:val="decimal"/>
      <w:isLgl/>
      <w:lvlText w:val="%1.%2.%3.%4.%5.%6"/>
      <w:lvlJc w:val="left"/>
      <w:pPr>
        <w:ind w:left="5040" w:hanging="2520"/>
      </w:pPr>
      <w:rPr>
        <w:rFonts w:hint="default"/>
      </w:rPr>
    </w:lvl>
    <w:lvl w:ilvl="6">
      <w:start w:val="1"/>
      <w:numFmt w:val="decimal"/>
      <w:isLgl/>
      <w:lvlText w:val="%1.%2.%3.%4.%5.%6.%7"/>
      <w:lvlJc w:val="left"/>
      <w:pPr>
        <w:ind w:left="5832" w:hanging="2880"/>
      </w:pPr>
      <w:rPr>
        <w:rFonts w:hint="default"/>
      </w:rPr>
    </w:lvl>
    <w:lvl w:ilvl="7">
      <w:start w:val="1"/>
      <w:numFmt w:val="decimal"/>
      <w:isLgl/>
      <w:lvlText w:val="%1.%2.%3.%4.%5.%6.%7.%8"/>
      <w:lvlJc w:val="left"/>
      <w:pPr>
        <w:ind w:left="6624" w:hanging="3240"/>
      </w:pPr>
      <w:rPr>
        <w:rFonts w:hint="default"/>
      </w:rPr>
    </w:lvl>
    <w:lvl w:ilvl="8">
      <w:start w:val="1"/>
      <w:numFmt w:val="decimal"/>
      <w:isLgl/>
      <w:lvlText w:val="%1.%2.%3.%4.%5.%6.%7.%8.%9"/>
      <w:lvlJc w:val="left"/>
      <w:pPr>
        <w:ind w:left="7416" w:hanging="3600"/>
      </w:pPr>
      <w:rPr>
        <w:rFonts w:hint="default"/>
      </w:rPr>
    </w:lvl>
  </w:abstractNum>
  <w:abstractNum w:abstractNumId="44"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71722695">
    <w:abstractNumId w:val="25"/>
  </w:num>
  <w:num w:numId="2" w16cid:durableId="382410794">
    <w:abstractNumId w:val="29"/>
  </w:num>
  <w:num w:numId="3" w16cid:durableId="430783542">
    <w:abstractNumId w:val="44"/>
  </w:num>
  <w:num w:numId="4" w16cid:durableId="1245190886">
    <w:abstractNumId w:val="43"/>
  </w:num>
  <w:num w:numId="5" w16cid:durableId="1567960621">
    <w:abstractNumId w:val="33"/>
  </w:num>
  <w:num w:numId="6" w16cid:durableId="1491171150">
    <w:abstractNumId w:val="7"/>
  </w:num>
  <w:num w:numId="7" w16cid:durableId="262109148">
    <w:abstractNumId w:val="36"/>
  </w:num>
  <w:num w:numId="8" w16cid:durableId="214779604">
    <w:abstractNumId w:val="26"/>
  </w:num>
  <w:num w:numId="9" w16cid:durableId="113138911">
    <w:abstractNumId w:val="19"/>
  </w:num>
  <w:num w:numId="10" w16cid:durableId="1142651804">
    <w:abstractNumId w:val="6"/>
  </w:num>
  <w:num w:numId="11" w16cid:durableId="1905679046">
    <w:abstractNumId w:val="11"/>
  </w:num>
  <w:num w:numId="12" w16cid:durableId="817191881">
    <w:abstractNumId w:val="10"/>
  </w:num>
  <w:num w:numId="13" w16cid:durableId="1170409487">
    <w:abstractNumId w:val="30"/>
  </w:num>
  <w:num w:numId="14" w16cid:durableId="1326319274">
    <w:abstractNumId w:val="20"/>
  </w:num>
  <w:num w:numId="15" w16cid:durableId="849681614">
    <w:abstractNumId w:val="38"/>
  </w:num>
  <w:num w:numId="16" w16cid:durableId="934288066">
    <w:abstractNumId w:val="21"/>
  </w:num>
  <w:num w:numId="17" w16cid:durableId="911935640">
    <w:abstractNumId w:val="27"/>
  </w:num>
  <w:num w:numId="18" w16cid:durableId="917665592">
    <w:abstractNumId w:val="1"/>
  </w:num>
  <w:num w:numId="19" w16cid:durableId="410274305">
    <w:abstractNumId w:val="14"/>
  </w:num>
  <w:num w:numId="20" w16cid:durableId="1141538676">
    <w:abstractNumId w:val="37"/>
  </w:num>
  <w:num w:numId="21" w16cid:durableId="1038624885">
    <w:abstractNumId w:val="31"/>
  </w:num>
  <w:num w:numId="22" w16cid:durableId="1954559324">
    <w:abstractNumId w:val="15"/>
  </w:num>
  <w:num w:numId="23" w16cid:durableId="1478717588">
    <w:abstractNumId w:val="13"/>
  </w:num>
  <w:num w:numId="24" w16cid:durableId="1063329411">
    <w:abstractNumId w:val="9"/>
  </w:num>
  <w:num w:numId="25" w16cid:durableId="1602563348">
    <w:abstractNumId w:val="32"/>
  </w:num>
  <w:num w:numId="26" w16cid:durableId="1859467563">
    <w:abstractNumId w:val="12"/>
  </w:num>
  <w:num w:numId="27" w16cid:durableId="905146758">
    <w:abstractNumId w:val="16"/>
  </w:num>
  <w:num w:numId="28" w16cid:durableId="1142313953">
    <w:abstractNumId w:val="3"/>
  </w:num>
  <w:num w:numId="29" w16cid:durableId="2057777101">
    <w:abstractNumId w:val="39"/>
  </w:num>
  <w:num w:numId="30" w16cid:durableId="483208398">
    <w:abstractNumId w:val="0"/>
  </w:num>
  <w:num w:numId="31" w16cid:durableId="222957627">
    <w:abstractNumId w:val="41"/>
  </w:num>
  <w:num w:numId="32" w16cid:durableId="926691933">
    <w:abstractNumId w:val="28"/>
  </w:num>
  <w:num w:numId="33" w16cid:durableId="1105879664">
    <w:abstractNumId w:val="40"/>
  </w:num>
  <w:num w:numId="34" w16cid:durableId="369495810">
    <w:abstractNumId w:val="5"/>
  </w:num>
  <w:num w:numId="35" w16cid:durableId="1815248260">
    <w:abstractNumId w:val="34"/>
  </w:num>
  <w:num w:numId="36" w16cid:durableId="1743481127">
    <w:abstractNumId w:val="23"/>
  </w:num>
  <w:num w:numId="37" w16cid:durableId="831918881">
    <w:abstractNumId w:val="8"/>
  </w:num>
  <w:num w:numId="38" w16cid:durableId="1432041817">
    <w:abstractNumId w:val="2"/>
  </w:num>
  <w:num w:numId="39" w16cid:durableId="1873492686">
    <w:abstractNumId w:val="23"/>
  </w:num>
  <w:num w:numId="40" w16cid:durableId="254673175">
    <w:abstractNumId w:val="18"/>
  </w:num>
  <w:num w:numId="41" w16cid:durableId="575281881">
    <w:abstractNumId w:val="35"/>
  </w:num>
  <w:num w:numId="42" w16cid:durableId="1387483705">
    <w:abstractNumId w:val="42"/>
  </w:num>
  <w:num w:numId="43" w16cid:durableId="1581794263">
    <w:abstractNumId w:val="4"/>
  </w:num>
  <w:num w:numId="44" w16cid:durableId="1107580664">
    <w:abstractNumId w:val="22"/>
  </w:num>
  <w:num w:numId="45" w16cid:durableId="373048226">
    <w:abstractNumId w:val="24"/>
  </w:num>
  <w:num w:numId="46" w16cid:durableId="196138048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99"/>
    <w:rsid w:val="00004A1C"/>
    <w:rsid w:val="000058ED"/>
    <w:rsid w:val="000070D0"/>
    <w:rsid w:val="00015D61"/>
    <w:rsid w:val="00016A2A"/>
    <w:rsid w:val="00021047"/>
    <w:rsid w:val="0003074C"/>
    <w:rsid w:val="00030BFC"/>
    <w:rsid w:val="00032ADC"/>
    <w:rsid w:val="00033395"/>
    <w:rsid w:val="00043B13"/>
    <w:rsid w:val="000473F1"/>
    <w:rsid w:val="00047B49"/>
    <w:rsid w:val="000614D7"/>
    <w:rsid w:val="000632CF"/>
    <w:rsid w:val="000639CC"/>
    <w:rsid w:val="00064BA3"/>
    <w:rsid w:val="00071632"/>
    <w:rsid w:val="00074D1C"/>
    <w:rsid w:val="000834FD"/>
    <w:rsid w:val="00086208"/>
    <w:rsid w:val="0008650E"/>
    <w:rsid w:val="00091F41"/>
    <w:rsid w:val="000C1E3F"/>
    <w:rsid w:val="000C380B"/>
    <w:rsid w:val="000C3BE9"/>
    <w:rsid w:val="000C515A"/>
    <w:rsid w:val="000C7201"/>
    <w:rsid w:val="000C7E8C"/>
    <w:rsid w:val="000D20DF"/>
    <w:rsid w:val="000E4597"/>
    <w:rsid w:val="000F4350"/>
    <w:rsid w:val="000F5AB4"/>
    <w:rsid w:val="000F6088"/>
    <w:rsid w:val="000F7203"/>
    <w:rsid w:val="00100CA7"/>
    <w:rsid w:val="0011545D"/>
    <w:rsid w:val="00117BC3"/>
    <w:rsid w:val="00117F9C"/>
    <w:rsid w:val="00121681"/>
    <w:rsid w:val="00125124"/>
    <w:rsid w:val="00127A44"/>
    <w:rsid w:val="0013360B"/>
    <w:rsid w:val="00143287"/>
    <w:rsid w:val="0014405D"/>
    <w:rsid w:val="00167DCA"/>
    <w:rsid w:val="001703FE"/>
    <w:rsid w:val="00175575"/>
    <w:rsid w:val="00186C72"/>
    <w:rsid w:val="00194C18"/>
    <w:rsid w:val="00195851"/>
    <w:rsid w:val="001A5CD7"/>
    <w:rsid w:val="001A6268"/>
    <w:rsid w:val="001B2BAA"/>
    <w:rsid w:val="001B35B0"/>
    <w:rsid w:val="001B3DFA"/>
    <w:rsid w:val="001B5CF2"/>
    <w:rsid w:val="001C40CB"/>
    <w:rsid w:val="00201C58"/>
    <w:rsid w:val="00206450"/>
    <w:rsid w:val="00211D88"/>
    <w:rsid w:val="002150FC"/>
    <w:rsid w:val="00216017"/>
    <w:rsid w:val="0022111F"/>
    <w:rsid w:val="00222BB7"/>
    <w:rsid w:val="002243A3"/>
    <w:rsid w:val="002308B3"/>
    <w:rsid w:val="002352C6"/>
    <w:rsid w:val="00240E39"/>
    <w:rsid w:val="00257789"/>
    <w:rsid w:val="0026391B"/>
    <w:rsid w:val="002678D8"/>
    <w:rsid w:val="002742FA"/>
    <w:rsid w:val="0028407A"/>
    <w:rsid w:val="002840DC"/>
    <w:rsid w:val="00287385"/>
    <w:rsid w:val="00292E16"/>
    <w:rsid w:val="00294C7A"/>
    <w:rsid w:val="002C6C2C"/>
    <w:rsid w:val="002E4B5A"/>
    <w:rsid w:val="002E75C3"/>
    <w:rsid w:val="002E7648"/>
    <w:rsid w:val="002F1815"/>
    <w:rsid w:val="00302B0D"/>
    <w:rsid w:val="0030309C"/>
    <w:rsid w:val="00303E0E"/>
    <w:rsid w:val="00311193"/>
    <w:rsid w:val="0031154F"/>
    <w:rsid w:val="00313BCB"/>
    <w:rsid w:val="00315875"/>
    <w:rsid w:val="00315E9F"/>
    <w:rsid w:val="00317AA4"/>
    <w:rsid w:val="00345DE7"/>
    <w:rsid w:val="00350642"/>
    <w:rsid w:val="003516ED"/>
    <w:rsid w:val="00351C7F"/>
    <w:rsid w:val="00356779"/>
    <w:rsid w:val="00356EAC"/>
    <w:rsid w:val="003606BB"/>
    <w:rsid w:val="00371133"/>
    <w:rsid w:val="00372AF2"/>
    <w:rsid w:val="003739A1"/>
    <w:rsid w:val="0037512D"/>
    <w:rsid w:val="00376BA6"/>
    <w:rsid w:val="003804DC"/>
    <w:rsid w:val="00382BAF"/>
    <w:rsid w:val="00386717"/>
    <w:rsid w:val="00387F7C"/>
    <w:rsid w:val="003A34B9"/>
    <w:rsid w:val="003B7DD9"/>
    <w:rsid w:val="003C19E7"/>
    <w:rsid w:val="003C19EE"/>
    <w:rsid w:val="003C2B82"/>
    <w:rsid w:val="003C63A1"/>
    <w:rsid w:val="003D1A14"/>
    <w:rsid w:val="003D4166"/>
    <w:rsid w:val="003D70A7"/>
    <w:rsid w:val="003E0879"/>
    <w:rsid w:val="003E10EB"/>
    <w:rsid w:val="003F3968"/>
    <w:rsid w:val="003F4A60"/>
    <w:rsid w:val="00400685"/>
    <w:rsid w:val="00402F96"/>
    <w:rsid w:val="00404037"/>
    <w:rsid w:val="0041278F"/>
    <w:rsid w:val="004145E6"/>
    <w:rsid w:val="00415133"/>
    <w:rsid w:val="00420D16"/>
    <w:rsid w:val="00424D38"/>
    <w:rsid w:val="00434F82"/>
    <w:rsid w:val="00437D93"/>
    <w:rsid w:val="00456474"/>
    <w:rsid w:val="0045661C"/>
    <w:rsid w:val="00464F28"/>
    <w:rsid w:val="0047520D"/>
    <w:rsid w:val="004806FA"/>
    <w:rsid w:val="00481C27"/>
    <w:rsid w:val="00484774"/>
    <w:rsid w:val="00485981"/>
    <w:rsid w:val="004A0AEA"/>
    <w:rsid w:val="004B1C79"/>
    <w:rsid w:val="004D3821"/>
    <w:rsid w:val="004E0630"/>
    <w:rsid w:val="004E4251"/>
    <w:rsid w:val="004F4BAA"/>
    <w:rsid w:val="004F59F3"/>
    <w:rsid w:val="004F6B0C"/>
    <w:rsid w:val="00511BE5"/>
    <w:rsid w:val="00517E51"/>
    <w:rsid w:val="00523257"/>
    <w:rsid w:val="00527C91"/>
    <w:rsid w:val="0054267A"/>
    <w:rsid w:val="00542CD9"/>
    <w:rsid w:val="00545C26"/>
    <w:rsid w:val="005472E7"/>
    <w:rsid w:val="005543B4"/>
    <w:rsid w:val="005815F9"/>
    <w:rsid w:val="00582927"/>
    <w:rsid w:val="005859D0"/>
    <w:rsid w:val="005A3FCD"/>
    <w:rsid w:val="005B7196"/>
    <w:rsid w:val="005C15FB"/>
    <w:rsid w:val="005C3F0C"/>
    <w:rsid w:val="005E48EA"/>
    <w:rsid w:val="005F067F"/>
    <w:rsid w:val="005F3644"/>
    <w:rsid w:val="005F62EC"/>
    <w:rsid w:val="00601D7D"/>
    <w:rsid w:val="00603D30"/>
    <w:rsid w:val="00605ACB"/>
    <w:rsid w:val="0060724A"/>
    <w:rsid w:val="00612226"/>
    <w:rsid w:val="006216FC"/>
    <w:rsid w:val="006236B1"/>
    <w:rsid w:val="006338E5"/>
    <w:rsid w:val="006440F4"/>
    <w:rsid w:val="00653706"/>
    <w:rsid w:val="00672172"/>
    <w:rsid w:val="006739FF"/>
    <w:rsid w:val="00681A2C"/>
    <w:rsid w:val="00683335"/>
    <w:rsid w:val="00694D00"/>
    <w:rsid w:val="006A20C0"/>
    <w:rsid w:val="006B22A7"/>
    <w:rsid w:val="006B2C10"/>
    <w:rsid w:val="006B426D"/>
    <w:rsid w:val="006C1B85"/>
    <w:rsid w:val="006D657D"/>
    <w:rsid w:val="006D6722"/>
    <w:rsid w:val="006E0F3C"/>
    <w:rsid w:val="006E7331"/>
    <w:rsid w:val="006F2496"/>
    <w:rsid w:val="006F36F8"/>
    <w:rsid w:val="00703BA4"/>
    <w:rsid w:val="00714450"/>
    <w:rsid w:val="0072281C"/>
    <w:rsid w:val="0073191E"/>
    <w:rsid w:val="00733E95"/>
    <w:rsid w:val="0073713A"/>
    <w:rsid w:val="00740893"/>
    <w:rsid w:val="00743D63"/>
    <w:rsid w:val="007513A5"/>
    <w:rsid w:val="00760947"/>
    <w:rsid w:val="007632A7"/>
    <w:rsid w:val="007717D4"/>
    <w:rsid w:val="007727E6"/>
    <w:rsid w:val="00775236"/>
    <w:rsid w:val="00784D94"/>
    <w:rsid w:val="007939FA"/>
    <w:rsid w:val="007A1395"/>
    <w:rsid w:val="007A54E0"/>
    <w:rsid w:val="007A77BC"/>
    <w:rsid w:val="007C7C4F"/>
    <w:rsid w:val="007F6617"/>
    <w:rsid w:val="0080351B"/>
    <w:rsid w:val="008048BB"/>
    <w:rsid w:val="0081038F"/>
    <w:rsid w:val="00816CAC"/>
    <w:rsid w:val="008217E2"/>
    <w:rsid w:val="00830601"/>
    <w:rsid w:val="008356CB"/>
    <w:rsid w:val="00843BF7"/>
    <w:rsid w:val="00860E8C"/>
    <w:rsid w:val="00860FCE"/>
    <w:rsid w:val="00865A99"/>
    <w:rsid w:val="00876CF1"/>
    <w:rsid w:val="00880A75"/>
    <w:rsid w:val="008832FB"/>
    <w:rsid w:val="00893F7D"/>
    <w:rsid w:val="008A520A"/>
    <w:rsid w:val="008B1667"/>
    <w:rsid w:val="008B2F3D"/>
    <w:rsid w:val="008C3D1D"/>
    <w:rsid w:val="008D234A"/>
    <w:rsid w:val="008E3B07"/>
    <w:rsid w:val="008E5DF6"/>
    <w:rsid w:val="008E71FB"/>
    <w:rsid w:val="008F0DD8"/>
    <w:rsid w:val="008F78F1"/>
    <w:rsid w:val="00911344"/>
    <w:rsid w:val="00914E31"/>
    <w:rsid w:val="00920BDD"/>
    <w:rsid w:val="00920D1C"/>
    <w:rsid w:val="00924743"/>
    <w:rsid w:val="009331B5"/>
    <w:rsid w:val="00935A4C"/>
    <w:rsid w:val="00937ADA"/>
    <w:rsid w:val="009434B2"/>
    <w:rsid w:val="0094506A"/>
    <w:rsid w:val="00955436"/>
    <w:rsid w:val="0095707B"/>
    <w:rsid w:val="00961B70"/>
    <w:rsid w:val="00967360"/>
    <w:rsid w:val="00970B1B"/>
    <w:rsid w:val="009939B4"/>
    <w:rsid w:val="0099556F"/>
    <w:rsid w:val="0099601E"/>
    <w:rsid w:val="009978C4"/>
    <w:rsid w:val="009B00F8"/>
    <w:rsid w:val="009B0ADC"/>
    <w:rsid w:val="009B5A53"/>
    <w:rsid w:val="009C4CA5"/>
    <w:rsid w:val="009D28E3"/>
    <w:rsid w:val="009D2FCD"/>
    <w:rsid w:val="009D7BB0"/>
    <w:rsid w:val="009E3D1F"/>
    <w:rsid w:val="009E40DA"/>
    <w:rsid w:val="009E65AC"/>
    <w:rsid w:val="009F1373"/>
    <w:rsid w:val="009F2D66"/>
    <w:rsid w:val="009F655B"/>
    <w:rsid w:val="00A01F8D"/>
    <w:rsid w:val="00A0417B"/>
    <w:rsid w:val="00A06C9A"/>
    <w:rsid w:val="00A0715C"/>
    <w:rsid w:val="00A139D0"/>
    <w:rsid w:val="00A151DF"/>
    <w:rsid w:val="00A17F47"/>
    <w:rsid w:val="00A24088"/>
    <w:rsid w:val="00A31D59"/>
    <w:rsid w:val="00A3260C"/>
    <w:rsid w:val="00A342CE"/>
    <w:rsid w:val="00A40ED0"/>
    <w:rsid w:val="00A47B7E"/>
    <w:rsid w:val="00A50667"/>
    <w:rsid w:val="00A5069D"/>
    <w:rsid w:val="00A50B0A"/>
    <w:rsid w:val="00A65357"/>
    <w:rsid w:val="00A71532"/>
    <w:rsid w:val="00A73DF3"/>
    <w:rsid w:val="00A74DCC"/>
    <w:rsid w:val="00A91D48"/>
    <w:rsid w:val="00A92844"/>
    <w:rsid w:val="00A9485D"/>
    <w:rsid w:val="00A961CB"/>
    <w:rsid w:val="00AA2ECC"/>
    <w:rsid w:val="00AB124A"/>
    <w:rsid w:val="00AB3675"/>
    <w:rsid w:val="00AC51EB"/>
    <w:rsid w:val="00AC7BC5"/>
    <w:rsid w:val="00AD043D"/>
    <w:rsid w:val="00AD1B79"/>
    <w:rsid w:val="00AE2D71"/>
    <w:rsid w:val="00AF69EA"/>
    <w:rsid w:val="00B022E9"/>
    <w:rsid w:val="00B06142"/>
    <w:rsid w:val="00B11BB5"/>
    <w:rsid w:val="00B14070"/>
    <w:rsid w:val="00B15B72"/>
    <w:rsid w:val="00B17D5A"/>
    <w:rsid w:val="00B303D9"/>
    <w:rsid w:val="00B309DA"/>
    <w:rsid w:val="00B361BA"/>
    <w:rsid w:val="00B36728"/>
    <w:rsid w:val="00B43E40"/>
    <w:rsid w:val="00B47A21"/>
    <w:rsid w:val="00B5218E"/>
    <w:rsid w:val="00B53228"/>
    <w:rsid w:val="00B6507E"/>
    <w:rsid w:val="00B733D6"/>
    <w:rsid w:val="00B81265"/>
    <w:rsid w:val="00B82A99"/>
    <w:rsid w:val="00B84897"/>
    <w:rsid w:val="00BA0811"/>
    <w:rsid w:val="00BA0895"/>
    <w:rsid w:val="00BA7BA5"/>
    <w:rsid w:val="00BB1B52"/>
    <w:rsid w:val="00BC47A8"/>
    <w:rsid w:val="00BC768D"/>
    <w:rsid w:val="00BE61FA"/>
    <w:rsid w:val="00BF430D"/>
    <w:rsid w:val="00C0534C"/>
    <w:rsid w:val="00C10165"/>
    <w:rsid w:val="00C10481"/>
    <w:rsid w:val="00C1070E"/>
    <w:rsid w:val="00C164B8"/>
    <w:rsid w:val="00C2018C"/>
    <w:rsid w:val="00C23806"/>
    <w:rsid w:val="00C241BB"/>
    <w:rsid w:val="00C257FC"/>
    <w:rsid w:val="00C319EA"/>
    <w:rsid w:val="00C43451"/>
    <w:rsid w:val="00C455E4"/>
    <w:rsid w:val="00C46D72"/>
    <w:rsid w:val="00C479A0"/>
    <w:rsid w:val="00C56D47"/>
    <w:rsid w:val="00C635DE"/>
    <w:rsid w:val="00C67CEF"/>
    <w:rsid w:val="00C71063"/>
    <w:rsid w:val="00C72946"/>
    <w:rsid w:val="00C743E5"/>
    <w:rsid w:val="00C77D13"/>
    <w:rsid w:val="00C84276"/>
    <w:rsid w:val="00C8584F"/>
    <w:rsid w:val="00C85D1C"/>
    <w:rsid w:val="00C91FC8"/>
    <w:rsid w:val="00C95CF3"/>
    <w:rsid w:val="00CA0EED"/>
    <w:rsid w:val="00CB11A6"/>
    <w:rsid w:val="00CB4157"/>
    <w:rsid w:val="00CC4020"/>
    <w:rsid w:val="00CC5754"/>
    <w:rsid w:val="00CC7502"/>
    <w:rsid w:val="00CD11A5"/>
    <w:rsid w:val="00CD55AD"/>
    <w:rsid w:val="00CE6B6F"/>
    <w:rsid w:val="00CF2C2D"/>
    <w:rsid w:val="00CF347E"/>
    <w:rsid w:val="00D00BD1"/>
    <w:rsid w:val="00D07AB2"/>
    <w:rsid w:val="00D11F46"/>
    <w:rsid w:val="00D13E22"/>
    <w:rsid w:val="00D32DA0"/>
    <w:rsid w:val="00D33752"/>
    <w:rsid w:val="00D41A7E"/>
    <w:rsid w:val="00D43B00"/>
    <w:rsid w:val="00D478B4"/>
    <w:rsid w:val="00D51F5E"/>
    <w:rsid w:val="00D61357"/>
    <w:rsid w:val="00D61898"/>
    <w:rsid w:val="00D6265B"/>
    <w:rsid w:val="00D668FD"/>
    <w:rsid w:val="00D67C9F"/>
    <w:rsid w:val="00D724D2"/>
    <w:rsid w:val="00D72A44"/>
    <w:rsid w:val="00D74B23"/>
    <w:rsid w:val="00D75714"/>
    <w:rsid w:val="00D81F0F"/>
    <w:rsid w:val="00D84A52"/>
    <w:rsid w:val="00D910AE"/>
    <w:rsid w:val="00D94B7C"/>
    <w:rsid w:val="00D97CEC"/>
    <w:rsid w:val="00DA1344"/>
    <w:rsid w:val="00DA3383"/>
    <w:rsid w:val="00DB177A"/>
    <w:rsid w:val="00DB6010"/>
    <w:rsid w:val="00DC1FF4"/>
    <w:rsid w:val="00DD1C72"/>
    <w:rsid w:val="00DD3BA1"/>
    <w:rsid w:val="00DD632A"/>
    <w:rsid w:val="00DF5FF8"/>
    <w:rsid w:val="00E00710"/>
    <w:rsid w:val="00E05681"/>
    <w:rsid w:val="00E178BA"/>
    <w:rsid w:val="00E20CFE"/>
    <w:rsid w:val="00E268A5"/>
    <w:rsid w:val="00E31451"/>
    <w:rsid w:val="00E3336F"/>
    <w:rsid w:val="00E7785A"/>
    <w:rsid w:val="00E80176"/>
    <w:rsid w:val="00E81F28"/>
    <w:rsid w:val="00E83357"/>
    <w:rsid w:val="00E83753"/>
    <w:rsid w:val="00E90229"/>
    <w:rsid w:val="00E923F1"/>
    <w:rsid w:val="00EB2096"/>
    <w:rsid w:val="00EB2C37"/>
    <w:rsid w:val="00EB3F49"/>
    <w:rsid w:val="00EB52D9"/>
    <w:rsid w:val="00EB55CB"/>
    <w:rsid w:val="00EB6B53"/>
    <w:rsid w:val="00EC189D"/>
    <w:rsid w:val="00ED6251"/>
    <w:rsid w:val="00EE009F"/>
    <w:rsid w:val="00EE326A"/>
    <w:rsid w:val="00EF46C7"/>
    <w:rsid w:val="00EF4CE1"/>
    <w:rsid w:val="00EF7807"/>
    <w:rsid w:val="00F110B7"/>
    <w:rsid w:val="00F152EA"/>
    <w:rsid w:val="00F1568B"/>
    <w:rsid w:val="00F16A01"/>
    <w:rsid w:val="00F21D78"/>
    <w:rsid w:val="00F23E63"/>
    <w:rsid w:val="00F30646"/>
    <w:rsid w:val="00F40CD1"/>
    <w:rsid w:val="00F40EEB"/>
    <w:rsid w:val="00F424AD"/>
    <w:rsid w:val="00F445A3"/>
    <w:rsid w:val="00F51BF8"/>
    <w:rsid w:val="00F54179"/>
    <w:rsid w:val="00F56A74"/>
    <w:rsid w:val="00F67790"/>
    <w:rsid w:val="00F92DDB"/>
    <w:rsid w:val="00F96EFF"/>
    <w:rsid w:val="00FA5E7C"/>
    <w:rsid w:val="00FA5F89"/>
    <w:rsid w:val="00FA71BE"/>
    <w:rsid w:val="00FB26AB"/>
    <w:rsid w:val="00FC166F"/>
    <w:rsid w:val="00FC241F"/>
    <w:rsid w:val="00FC7E60"/>
    <w:rsid w:val="00FD70A1"/>
    <w:rsid w:val="00FE39DF"/>
    <w:rsid w:val="00FE40FE"/>
    <w:rsid w:val="00FE6739"/>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A2CF2"/>
  <w15:docId w15:val="{14A31EFC-C8A3-4585-B7DA-8DB9FC57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4"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semiHidden="1" w:uiPriority="10"/>
    <w:lsdException w:name="Closing" w:semiHidden="1" w:unhideWhenUsed="1"/>
    <w:lsdException w:name="Signature"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B177A"/>
    <w:pPr>
      <w:tabs>
        <w:tab w:val="left" w:pos="1304"/>
        <w:tab w:val="left" w:pos="2608"/>
      </w:tabs>
    </w:pPr>
  </w:style>
  <w:style w:type="paragraph" w:styleId="Otsikko1">
    <w:name w:val="heading 1"/>
    <w:basedOn w:val="Normaali"/>
    <w:next w:val="Leipteksti"/>
    <w:link w:val="Otsikko1Char"/>
    <w:uiPriority w:val="9"/>
    <w:qFormat/>
    <w:rsid w:val="005C3F0C"/>
    <w:pPr>
      <w:keepNext/>
      <w:keepLines/>
      <w:spacing w:before="100" w:beforeAutospacing="1" w:after="360"/>
      <w:outlineLvl w:val="0"/>
    </w:pPr>
    <w:rPr>
      <w:rFonts w:asciiTheme="majorHAnsi" w:eastAsiaTheme="majorEastAsia" w:hAnsiTheme="majorHAnsi" w:cstheme="majorHAnsi"/>
      <w:b/>
      <w:bCs/>
      <w:sz w:val="36"/>
      <w:szCs w:val="28"/>
    </w:rPr>
  </w:style>
  <w:style w:type="paragraph" w:styleId="Otsikko2">
    <w:name w:val="heading 2"/>
    <w:basedOn w:val="Normaali"/>
    <w:next w:val="Leipteksti"/>
    <w:link w:val="Otsikko2Char"/>
    <w:uiPriority w:val="9"/>
    <w:qFormat/>
    <w:rsid w:val="00CE6B6F"/>
    <w:pPr>
      <w:keepNext/>
      <w:keepLines/>
      <w:spacing w:before="200" w:after="200"/>
      <w:outlineLvl w:val="1"/>
    </w:pPr>
    <w:rPr>
      <w:rFonts w:asciiTheme="majorHAnsi" w:eastAsiaTheme="majorEastAsia" w:hAnsiTheme="majorHAnsi" w:cstheme="majorHAnsi"/>
      <w:b/>
      <w:bCs/>
      <w:sz w:val="28"/>
      <w:szCs w:val="26"/>
    </w:rPr>
  </w:style>
  <w:style w:type="paragraph" w:styleId="Otsikko3">
    <w:name w:val="heading 3"/>
    <w:basedOn w:val="Otsikko2"/>
    <w:next w:val="Leipteksti"/>
    <w:link w:val="Otsikko3Char"/>
    <w:uiPriority w:val="9"/>
    <w:qFormat/>
    <w:rsid w:val="00356EAC"/>
    <w:pPr>
      <w:numPr>
        <w:ilvl w:val="2"/>
      </w:numPr>
      <w:spacing w:before="240" w:after="160"/>
      <w:outlineLvl w:val="2"/>
    </w:pPr>
    <w:rPr>
      <w:rFonts w:cstheme="majorBidi"/>
      <w:bCs w:val="0"/>
      <w:sz w:val="24"/>
    </w:rPr>
  </w:style>
  <w:style w:type="paragraph" w:styleId="Otsikko4">
    <w:name w:val="heading 4"/>
    <w:basedOn w:val="Otsikko2"/>
    <w:next w:val="Leipteksti"/>
    <w:link w:val="Otsikko4Char"/>
    <w:uiPriority w:val="14"/>
    <w:qFormat/>
    <w:rsid w:val="00356EAC"/>
    <w:pPr>
      <w:numPr>
        <w:ilvl w:val="3"/>
      </w:numPr>
      <w:spacing w:after="160"/>
      <w:outlineLvl w:val="3"/>
    </w:pPr>
    <w:rPr>
      <w:rFonts w:cstheme="majorBidi"/>
      <w:bCs w:val="0"/>
      <w:i/>
      <w:iCs/>
      <w:sz w:val="25"/>
    </w:rPr>
  </w:style>
  <w:style w:type="paragraph" w:styleId="Otsikko5">
    <w:name w:val="heading 5"/>
    <w:basedOn w:val="Otsikko4"/>
    <w:next w:val="Leipteksti"/>
    <w:link w:val="Otsikko5Char"/>
    <w:uiPriority w:val="14"/>
    <w:qFormat/>
    <w:rsid w:val="00086208"/>
    <w:pPr>
      <w:numPr>
        <w:ilvl w:val="4"/>
      </w:numPr>
      <w:outlineLvl w:val="4"/>
    </w:pPr>
    <w:rPr>
      <w:b w:val="0"/>
    </w:rPr>
  </w:style>
  <w:style w:type="paragraph" w:styleId="Otsikko6">
    <w:name w:val="heading 6"/>
    <w:basedOn w:val="Normaali"/>
    <w:next w:val="Leipteksti"/>
    <w:link w:val="Otsikko6Char"/>
    <w:uiPriority w:val="14"/>
    <w:semiHidden/>
    <w:rsid w:val="0045661C"/>
    <w:pPr>
      <w:keepNext/>
      <w:keepLines/>
      <w:numPr>
        <w:ilvl w:val="5"/>
        <w:numId w:val="1"/>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1"/>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1"/>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1"/>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0C515A"/>
    <w:pPr>
      <w:spacing w:after="160" w:line="360" w:lineRule="auto"/>
    </w:pPr>
  </w:style>
  <w:style w:type="character" w:customStyle="1" w:styleId="LeiptekstiChar">
    <w:name w:val="Leipäteksti Char"/>
    <w:basedOn w:val="Kappaleenoletusfontti"/>
    <w:link w:val="Leipteksti"/>
    <w:uiPriority w:val="1"/>
    <w:rsid w:val="000C515A"/>
  </w:style>
  <w:style w:type="character" w:customStyle="1" w:styleId="Otsikko1Char">
    <w:name w:val="Otsikko 1 Char"/>
    <w:basedOn w:val="Kappaleenoletusfontti"/>
    <w:link w:val="Otsikko1"/>
    <w:uiPriority w:val="9"/>
    <w:rsid w:val="005C3F0C"/>
    <w:rPr>
      <w:rFonts w:asciiTheme="majorHAnsi" w:eastAsiaTheme="majorEastAsia" w:hAnsiTheme="majorHAnsi" w:cstheme="majorHAnsi"/>
      <w:b/>
      <w:bCs/>
      <w:sz w:val="36"/>
      <w:szCs w:val="28"/>
    </w:rPr>
  </w:style>
  <w:style w:type="character" w:customStyle="1" w:styleId="Otsikko2Char">
    <w:name w:val="Otsikko 2 Char"/>
    <w:basedOn w:val="Kappaleenoletusfontti"/>
    <w:link w:val="Otsikko2"/>
    <w:uiPriority w:val="9"/>
    <w:rsid w:val="00EB2096"/>
    <w:rPr>
      <w:rFonts w:asciiTheme="majorHAnsi" w:eastAsiaTheme="majorEastAsia" w:hAnsiTheme="majorHAnsi" w:cstheme="majorHAnsi"/>
      <w:b/>
      <w:bCs/>
      <w:sz w:val="28"/>
      <w:szCs w:val="26"/>
    </w:rPr>
  </w:style>
  <w:style w:type="character" w:customStyle="1" w:styleId="Otsikko3Char">
    <w:name w:val="Otsikko 3 Char"/>
    <w:basedOn w:val="Kappaleenoletusfontti"/>
    <w:link w:val="Otsikko3"/>
    <w:uiPriority w:val="9"/>
    <w:rsid w:val="00356EAC"/>
    <w:rPr>
      <w:rFonts w:asciiTheme="majorHAnsi" w:eastAsiaTheme="majorEastAsia" w:hAnsiTheme="majorHAnsi" w:cstheme="majorBidi"/>
      <w:b/>
      <w:sz w:val="24"/>
      <w:szCs w:val="26"/>
    </w:rPr>
  </w:style>
  <w:style w:type="character" w:customStyle="1" w:styleId="Otsikko4Char">
    <w:name w:val="Otsikko 4 Char"/>
    <w:basedOn w:val="Kappaleenoletusfontti"/>
    <w:link w:val="Otsikko4"/>
    <w:uiPriority w:val="14"/>
    <w:rsid w:val="00356EAC"/>
    <w:rPr>
      <w:rFonts w:asciiTheme="majorHAnsi" w:eastAsiaTheme="majorEastAsia" w:hAnsiTheme="majorHAnsi" w:cstheme="majorBidi"/>
      <w:b/>
      <w:i/>
      <w:iCs/>
      <w:sz w:val="25"/>
      <w:szCs w:val="26"/>
    </w:rPr>
  </w:style>
  <w:style w:type="character" w:customStyle="1" w:styleId="Otsikko5Char">
    <w:name w:val="Otsikko 5 Char"/>
    <w:basedOn w:val="Kappaleenoletusfontti"/>
    <w:link w:val="Otsikko5"/>
    <w:uiPriority w:val="14"/>
    <w:rsid w:val="00086208"/>
    <w:rPr>
      <w:rFonts w:asciiTheme="majorHAnsi" w:eastAsiaTheme="majorEastAsia" w:hAnsiTheme="majorHAnsi" w:cstheme="majorBidi"/>
      <w:i/>
      <w:iCs/>
      <w:sz w:val="25"/>
      <w:szCs w:val="26"/>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Cs w:val="21"/>
    </w:rPr>
  </w:style>
  <w:style w:type="paragraph" w:styleId="Yltunniste">
    <w:name w:val="header"/>
    <w:basedOn w:val="Normaali"/>
    <w:link w:val="YltunnisteChar"/>
    <w:uiPriority w:val="99"/>
    <w:rsid w:val="008832FB"/>
    <w:pPr>
      <w:ind w:right="170"/>
      <w:jc w:val="right"/>
    </w:pPr>
    <w:rPr>
      <w:sz w:val="20"/>
    </w:rPr>
  </w:style>
  <w:style w:type="character" w:customStyle="1" w:styleId="YltunnisteChar">
    <w:name w:val="Ylätunniste Char"/>
    <w:basedOn w:val="Kappaleenoletusfontti"/>
    <w:link w:val="Yltunniste"/>
    <w:uiPriority w:val="99"/>
    <w:rsid w:val="008832FB"/>
    <w:rPr>
      <w:sz w:val="20"/>
    </w:rPr>
  </w:style>
  <w:style w:type="paragraph" w:styleId="Alatunniste">
    <w:name w:val="footer"/>
    <w:link w:val="AlatunnisteChar"/>
    <w:uiPriority w:val="99"/>
    <w:rsid w:val="005C3F0C"/>
    <w:pPr>
      <w:tabs>
        <w:tab w:val="left" w:pos="2359"/>
        <w:tab w:val="left" w:pos="4717"/>
        <w:tab w:val="left" w:pos="7371"/>
      </w:tabs>
      <w:jc w:val="center"/>
    </w:pPr>
    <w:rPr>
      <w:noProof/>
      <w:sz w:val="20"/>
    </w:rPr>
  </w:style>
  <w:style w:type="character" w:customStyle="1" w:styleId="AlatunnisteChar">
    <w:name w:val="Alatunniste Char"/>
    <w:basedOn w:val="Kappaleenoletusfontti"/>
    <w:link w:val="Alatunniste"/>
    <w:uiPriority w:val="99"/>
    <w:rsid w:val="005C3F0C"/>
    <w:rPr>
      <w:noProof/>
      <w:sz w:val="20"/>
    </w:rPr>
  </w:style>
  <w:style w:type="paragraph" w:styleId="Eivli">
    <w:name w:val="No Spacing"/>
    <w:uiPriority w:val="89"/>
    <w:semiHidden/>
    <w:rsid w:val="008B1667"/>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styleId="Voimakas">
    <w:name w:val="Strong"/>
    <w:basedOn w:val="Kappaleenoletusfontti"/>
    <w:uiPriority w:val="37"/>
    <w:qFormat/>
    <w:rsid w:val="00605ACB"/>
    <w:rPr>
      <w:b/>
      <w:bCs/>
    </w:rPr>
  </w:style>
  <w:style w:type="table" w:styleId="TaulukkoRuudukko">
    <w:name w:val="Table Grid"/>
    <w:basedOn w:val="Normaalitaulukko"/>
    <w:uiPriority w:val="3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Leiptekstisisennetty">
    <w:name w:val="Leipäteksti sisennetty"/>
    <w:basedOn w:val="Leipteksti"/>
    <w:uiPriority w:val="1"/>
    <w:qFormat/>
    <w:rsid w:val="009C4CA5"/>
    <w:pPr>
      <w:ind w:left="1304"/>
    </w:pPr>
  </w:style>
  <w:style w:type="paragraph" w:customStyle="1" w:styleId="Luettelonumeroitu">
    <w:name w:val="Luettelo numeroitu"/>
    <w:basedOn w:val="Leipteksti"/>
    <w:uiPriority w:val="2"/>
    <w:rsid w:val="009C4CA5"/>
    <w:pPr>
      <w:numPr>
        <w:numId w:val="2"/>
      </w:numPr>
      <w:tabs>
        <w:tab w:val="clear" w:pos="2608"/>
        <w:tab w:val="left" w:pos="397"/>
      </w:tabs>
      <w:ind w:left="357" w:hanging="357"/>
    </w:pPr>
    <w:rPr>
      <w:rFonts w:eastAsia="Calibri" w:cs="Calibri"/>
    </w:rPr>
  </w:style>
  <w:style w:type="paragraph" w:styleId="Numeroituluettelo2">
    <w:name w:val="List Number 2"/>
    <w:basedOn w:val="Normaali"/>
    <w:semiHidden/>
    <w:rsid w:val="0080351B"/>
    <w:pPr>
      <w:numPr>
        <w:ilvl w:val="1"/>
        <w:numId w:val="2"/>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rsid w:val="00B6507E"/>
    <w:rPr>
      <w:sz w:val="24"/>
    </w:rPr>
  </w:style>
  <w:style w:type="character" w:customStyle="1" w:styleId="PivmrChar">
    <w:name w:val="Päivämäärä Char"/>
    <w:basedOn w:val="Kappaleenoletusfontti"/>
    <w:link w:val="Pivmr"/>
    <w:uiPriority w:val="99"/>
    <w:rsid w:val="00B6507E"/>
    <w:rPr>
      <w:sz w:val="24"/>
    </w:rPr>
  </w:style>
  <w:style w:type="paragraph" w:styleId="Luettelo">
    <w:name w:val="List"/>
    <w:basedOn w:val="Leipteksti"/>
    <w:uiPriority w:val="2"/>
    <w:qFormat/>
    <w:rsid w:val="009C4CA5"/>
    <w:pPr>
      <w:numPr>
        <w:numId w:val="3"/>
      </w:numPr>
      <w:tabs>
        <w:tab w:val="clear" w:pos="2608"/>
      </w:tabs>
      <w:ind w:left="357" w:hanging="357"/>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E31451"/>
  </w:style>
  <w:style w:type="paragraph" w:styleId="Luettelo2">
    <w:name w:val="List 2"/>
    <w:basedOn w:val="Normaali"/>
    <w:semiHidden/>
    <w:rsid w:val="0080351B"/>
    <w:pPr>
      <w:numPr>
        <w:ilvl w:val="1"/>
        <w:numId w:val="3"/>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3"/>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3"/>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3"/>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
      </w:numPr>
      <w:tabs>
        <w:tab w:val="clear" w:pos="2608"/>
      </w:tabs>
      <w:spacing w:line="340" w:lineRule="atLeast"/>
      <w:ind w:left="4394"/>
      <w:contextualSpacing/>
    </w:pPr>
    <w:rPr>
      <w:rFonts w:ascii="Calibri" w:eastAsia="Calibri" w:hAnsi="Calibri" w:cs="Calibri"/>
    </w:rPr>
  </w:style>
  <w:style w:type="paragraph" w:styleId="Sisllysluettelonotsikko">
    <w:name w:val="TOC Heading"/>
    <w:basedOn w:val="Otsikko1"/>
    <w:next w:val="Normaali"/>
    <w:uiPriority w:val="39"/>
    <w:qFormat/>
    <w:rsid w:val="003D1A14"/>
    <w:pPr>
      <w:tabs>
        <w:tab w:val="clear" w:pos="1304"/>
        <w:tab w:val="clear" w:pos="2608"/>
      </w:tabs>
      <w:spacing w:before="480" w:beforeAutospacing="0" w:after="240"/>
      <w:outlineLvl w:val="9"/>
    </w:pPr>
    <w:rPr>
      <w:rFonts w:cstheme="majorBidi"/>
      <w:bCs w:val="0"/>
      <w:color w:val="2F5496"/>
      <w:sz w:val="28"/>
      <w:szCs w:val="32"/>
      <w:lang w:eastAsia="fi-FI"/>
    </w:rPr>
  </w:style>
  <w:style w:type="paragraph" w:styleId="Sisluet1">
    <w:name w:val="toc 1"/>
    <w:basedOn w:val="Normaali"/>
    <w:next w:val="Normaali"/>
    <w:autoRedefine/>
    <w:uiPriority w:val="39"/>
    <w:rsid w:val="003D1A14"/>
    <w:pPr>
      <w:tabs>
        <w:tab w:val="clear" w:pos="1304"/>
        <w:tab w:val="clear" w:pos="2608"/>
        <w:tab w:val="right" w:leader="dot" w:pos="9582"/>
      </w:tabs>
      <w:spacing w:after="100"/>
    </w:pPr>
    <w:rPr>
      <w:b/>
    </w:rPr>
  </w:style>
  <w:style w:type="paragraph" w:styleId="Sisluet2">
    <w:name w:val="toc 2"/>
    <w:basedOn w:val="Normaali"/>
    <w:next w:val="Normaali"/>
    <w:autoRedefine/>
    <w:uiPriority w:val="39"/>
    <w:rsid w:val="003D1A14"/>
    <w:pPr>
      <w:tabs>
        <w:tab w:val="clear" w:pos="1304"/>
        <w:tab w:val="clear" w:pos="2608"/>
        <w:tab w:val="right" w:leader="dot" w:pos="9582"/>
      </w:tabs>
      <w:spacing w:after="100"/>
      <w:ind w:left="220"/>
    </w:pPr>
  </w:style>
  <w:style w:type="paragraph" w:styleId="Sisluet3">
    <w:name w:val="toc 3"/>
    <w:basedOn w:val="Normaali"/>
    <w:next w:val="Normaali"/>
    <w:autoRedefine/>
    <w:uiPriority w:val="39"/>
    <w:rsid w:val="003D1A14"/>
    <w:pPr>
      <w:tabs>
        <w:tab w:val="clear" w:pos="1304"/>
        <w:tab w:val="clear" w:pos="2608"/>
        <w:tab w:val="right" w:leader="dot" w:pos="9582"/>
      </w:tabs>
      <w:spacing w:after="100"/>
      <w:ind w:left="440"/>
    </w:pPr>
  </w:style>
  <w:style w:type="paragraph" w:customStyle="1" w:styleId="Takakansi">
    <w:name w:val="Takakansi"/>
    <w:basedOn w:val="Normaali"/>
    <w:uiPriority w:val="99"/>
    <w:semiHidden/>
    <w:rsid w:val="00194C18"/>
    <w:pPr>
      <w:jc w:val="center"/>
    </w:pPr>
    <w:rPr>
      <w:sz w:val="28"/>
    </w:rPr>
  </w:style>
  <w:style w:type="paragraph" w:styleId="Sisluet4">
    <w:name w:val="toc 4"/>
    <w:basedOn w:val="Normaali"/>
    <w:next w:val="Normaali"/>
    <w:autoRedefine/>
    <w:uiPriority w:val="39"/>
    <w:rsid w:val="003D1A14"/>
    <w:pPr>
      <w:tabs>
        <w:tab w:val="clear" w:pos="1304"/>
        <w:tab w:val="clear" w:pos="2608"/>
        <w:tab w:val="right" w:leader="dot" w:pos="9582"/>
      </w:tabs>
      <w:spacing w:after="100"/>
      <w:ind w:left="660"/>
    </w:pPr>
  </w:style>
  <w:style w:type="paragraph" w:styleId="Sisluet5">
    <w:name w:val="toc 5"/>
    <w:basedOn w:val="Normaali"/>
    <w:next w:val="Normaali"/>
    <w:autoRedefine/>
    <w:uiPriority w:val="39"/>
    <w:rsid w:val="003D1A14"/>
    <w:pPr>
      <w:tabs>
        <w:tab w:val="clear" w:pos="1304"/>
        <w:tab w:val="clear" w:pos="2608"/>
        <w:tab w:val="right" w:leader="dot" w:pos="9582"/>
      </w:tabs>
      <w:spacing w:after="100"/>
      <w:ind w:left="880"/>
    </w:pPr>
  </w:style>
  <w:style w:type="paragraph" w:customStyle="1" w:styleId="Takakansi2">
    <w:name w:val="Takakansi 2"/>
    <w:basedOn w:val="Takakansi"/>
    <w:uiPriority w:val="99"/>
    <w:semiHidden/>
    <w:qFormat/>
    <w:rsid w:val="00194C18"/>
    <w:pPr>
      <w:spacing w:before="1200"/>
    </w:pPr>
    <w:rPr>
      <w:b/>
      <w:sz w:val="24"/>
    </w:rPr>
  </w:style>
  <w:style w:type="paragraph" w:customStyle="1" w:styleId="Takakansivli">
    <w:name w:val="Takakansi väli"/>
    <w:basedOn w:val="Takakansi"/>
    <w:uiPriority w:val="99"/>
    <w:rsid w:val="00194C18"/>
    <w:pPr>
      <w:spacing w:before="2800" w:after="2800"/>
    </w:pPr>
    <w:rPr>
      <w:sz w:val="280"/>
    </w:rPr>
  </w:style>
  <w:style w:type="paragraph" w:customStyle="1" w:styleId="Kansikuva">
    <w:name w:val="Kansikuva"/>
    <w:basedOn w:val="Normaali"/>
    <w:uiPriority w:val="99"/>
    <w:rsid w:val="00A342CE"/>
    <w:pPr>
      <w:spacing w:after="600"/>
      <w:ind w:right="-1134"/>
      <w:jc w:val="right"/>
    </w:pPr>
    <w:rPr>
      <w:noProof/>
    </w:rPr>
  </w:style>
  <w:style w:type="paragraph" w:customStyle="1" w:styleId="Kansiotsikko">
    <w:name w:val="Kansiotsikko"/>
    <w:basedOn w:val="Normaali"/>
    <w:next w:val="Kuvaus"/>
    <w:uiPriority w:val="99"/>
    <w:qFormat/>
    <w:rsid w:val="00030BFC"/>
    <w:pPr>
      <w:spacing w:before="2000"/>
      <w:contextualSpacing/>
    </w:pPr>
    <w:rPr>
      <w:b/>
      <w:sz w:val="96"/>
    </w:rPr>
  </w:style>
  <w:style w:type="paragraph" w:customStyle="1" w:styleId="Kuvaus">
    <w:name w:val="Kuvaus"/>
    <w:basedOn w:val="Normaali"/>
    <w:uiPriority w:val="99"/>
    <w:qFormat/>
    <w:rsid w:val="00030BFC"/>
    <w:pPr>
      <w:spacing w:before="880" w:after="200"/>
    </w:pPr>
    <w:rPr>
      <w:noProof/>
      <w:sz w:val="44"/>
      <w:lang w:val="sv-FI"/>
    </w:rPr>
  </w:style>
  <w:style w:type="table" w:customStyle="1" w:styleId="TaulukkoRuudukko1">
    <w:name w:val="Taulukko Ruudukko1"/>
    <w:basedOn w:val="Normaalitaulukko"/>
    <w:next w:val="TaulukkoRuudukko"/>
    <w:uiPriority w:val="39"/>
    <w:rsid w:val="00CB41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39"/>
    <w:rsid w:val="00CB41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aliases w:val="List Paragraph compact,Normal bullet 2,Paragraphe de liste 2,Reference list,Bullet list,Numbered List,List Paragraph1,1st level - Bullet List Paragraph,Lettre d'introduction,Paragraph,Bullet EY,List Paragraph11,Normal bullet 21,List L1"/>
    <w:basedOn w:val="Normaali"/>
    <w:link w:val="LuettelokappaleChar"/>
    <w:uiPriority w:val="34"/>
    <w:qFormat/>
    <w:rsid w:val="00CB4157"/>
    <w:pPr>
      <w:tabs>
        <w:tab w:val="clear" w:pos="1304"/>
        <w:tab w:val="clear" w:pos="2608"/>
      </w:tabs>
      <w:spacing w:after="160" w:line="259" w:lineRule="auto"/>
      <w:ind w:left="720"/>
      <w:contextualSpacing/>
    </w:pPr>
    <w:rPr>
      <w:rFonts w:cstheme="minorBidi"/>
    </w:rPr>
  </w:style>
  <w:style w:type="character" w:customStyle="1" w:styleId="LuettelokappaleChar">
    <w:name w:val="Luettelokappale Char"/>
    <w:aliases w:val="List Paragraph compact Char,Normal bullet 2 Char,Paragraphe de liste 2 Char,Reference list Char,Bullet list Char,Numbered List Char,List Paragraph1 Char,1st level - Bullet List Paragraph Char,Lettre d'introduction Char,List L1 Char"/>
    <w:link w:val="Luettelokappale"/>
    <w:uiPriority w:val="34"/>
    <w:qFormat/>
    <w:locked/>
    <w:rsid w:val="00CB4157"/>
    <w:rPr>
      <w:rFonts w:cstheme="minorBidi"/>
    </w:rPr>
  </w:style>
  <w:style w:type="table" w:customStyle="1" w:styleId="TaulukkoRuudukko4">
    <w:name w:val="Taulukko Ruudukko4"/>
    <w:basedOn w:val="Normaalitaulukko"/>
    <w:next w:val="TaulukkoRuudukko"/>
    <w:uiPriority w:val="39"/>
    <w:rsid w:val="00CB41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157"/>
    <w:pPr>
      <w:autoSpaceDE w:val="0"/>
      <w:autoSpaceDN w:val="0"/>
      <w:adjustRightInd w:val="0"/>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CB4157"/>
    <w:pPr>
      <w:tabs>
        <w:tab w:val="clear" w:pos="1304"/>
        <w:tab w:val="clear" w:pos="2608"/>
      </w:tabs>
      <w:spacing w:after="160"/>
    </w:pPr>
    <w:rPr>
      <w:rFonts w:cstheme="minorBidi"/>
      <w:sz w:val="20"/>
      <w:szCs w:val="20"/>
    </w:rPr>
  </w:style>
  <w:style w:type="character" w:customStyle="1" w:styleId="KommentintekstiChar">
    <w:name w:val="Kommentin teksti Char"/>
    <w:basedOn w:val="Kappaleenoletusfontti"/>
    <w:link w:val="Kommentinteksti"/>
    <w:uiPriority w:val="99"/>
    <w:rsid w:val="00CB4157"/>
    <w:rPr>
      <w:rFonts w:cstheme="minorBidi"/>
      <w:sz w:val="20"/>
      <w:szCs w:val="20"/>
    </w:rPr>
  </w:style>
  <w:style w:type="paragraph" w:styleId="Alaviitteenteksti">
    <w:name w:val="footnote text"/>
    <w:aliases w:val="Schriftart: 9 pt,Schriftart: 10 pt,Schriftart: 8 pt,WB-Fußnotentext,FoodNote,ft,Footnote text,Footnote Text Char Char,Footnote Text Char1 Char Char,Footnote Text Char Char Char Char,fn,f,Char,Voetnoottekst Char,Footnote Text Char1"/>
    <w:basedOn w:val="Normaali"/>
    <w:link w:val="AlaviitteentekstiChar"/>
    <w:uiPriority w:val="99"/>
    <w:unhideWhenUsed/>
    <w:rsid w:val="00CB4157"/>
    <w:pPr>
      <w:tabs>
        <w:tab w:val="clear" w:pos="1304"/>
        <w:tab w:val="clear" w:pos="2608"/>
      </w:tabs>
      <w:ind w:left="720" w:hanging="720"/>
      <w:jc w:val="both"/>
    </w:pPr>
    <w:rPr>
      <w:rFonts w:ascii="Times New Roman" w:eastAsia="Calibri" w:hAnsi="Times New Roman" w:cs="Times New Roman"/>
      <w:sz w:val="20"/>
      <w:szCs w:val="20"/>
      <w:lang w:eastAsia="fi-FI" w:bidi="fi-FI"/>
    </w:rPr>
  </w:style>
  <w:style w:type="character" w:customStyle="1" w:styleId="AlaviitteentekstiChar">
    <w:name w:val="Alaviitteen teksti Char"/>
    <w:aliases w:val="Schriftart: 9 pt Char,Schriftart: 10 pt Char,Schriftart: 8 pt Char,WB-Fußnotentext Char,FoodNote Char,ft Char,Footnote text Char,Footnote Text Char Char Char,Footnote Text Char1 Char Char Char,fn Char,f Char,Char Char"/>
    <w:basedOn w:val="Kappaleenoletusfontti"/>
    <w:link w:val="Alaviitteenteksti"/>
    <w:uiPriority w:val="99"/>
    <w:rsid w:val="00CB4157"/>
    <w:rPr>
      <w:rFonts w:ascii="Times New Roman" w:eastAsia="Calibri" w:hAnsi="Times New Roman" w:cs="Times New Roman"/>
      <w:sz w:val="20"/>
      <w:szCs w:val="20"/>
      <w:lang w:eastAsia="fi-FI" w:bidi="fi-FI"/>
    </w:rPr>
  </w:style>
  <w:style w:type="character" w:styleId="Alaviitteenviit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sid w:val="00CB4157"/>
    <w:rPr>
      <w:shd w:val="clear" w:color="auto" w:fill="auto"/>
      <w:vertAlign w:val="superscript"/>
    </w:rPr>
  </w:style>
  <w:style w:type="character" w:customStyle="1" w:styleId="KommentinotsikkoChar">
    <w:name w:val="Kommentin otsikko Char"/>
    <w:basedOn w:val="KommentintekstiChar"/>
    <w:link w:val="Kommentinotsikko"/>
    <w:uiPriority w:val="99"/>
    <w:semiHidden/>
    <w:rsid w:val="00CB4157"/>
    <w:rPr>
      <w:rFonts w:cstheme="minorBidi"/>
      <w:b/>
      <w:bCs/>
      <w:sz w:val="20"/>
      <w:szCs w:val="20"/>
    </w:rPr>
  </w:style>
  <w:style w:type="paragraph" w:styleId="Kommentinotsikko">
    <w:name w:val="annotation subject"/>
    <w:basedOn w:val="Kommentinteksti"/>
    <w:next w:val="Kommentinteksti"/>
    <w:link w:val="KommentinotsikkoChar"/>
    <w:uiPriority w:val="99"/>
    <w:semiHidden/>
    <w:unhideWhenUsed/>
    <w:rsid w:val="00CB4157"/>
    <w:rPr>
      <w:b/>
      <w:bCs/>
    </w:rPr>
  </w:style>
  <w:style w:type="paragraph" w:customStyle="1" w:styleId="TableParagraph">
    <w:name w:val="Table Paragraph"/>
    <w:basedOn w:val="Normaali"/>
    <w:uiPriority w:val="1"/>
    <w:qFormat/>
    <w:rsid w:val="00CB4157"/>
    <w:pPr>
      <w:widowControl w:val="0"/>
      <w:tabs>
        <w:tab w:val="clear" w:pos="1304"/>
        <w:tab w:val="clear" w:pos="2608"/>
      </w:tabs>
      <w:autoSpaceDE w:val="0"/>
      <w:autoSpaceDN w:val="0"/>
      <w:ind w:left="110"/>
    </w:pPr>
    <w:rPr>
      <w:rFonts w:ascii="Calibri" w:eastAsia="Calibri" w:hAnsi="Calibri" w:cs="Calibri"/>
    </w:rPr>
  </w:style>
  <w:style w:type="character" w:styleId="Kommentinviite">
    <w:name w:val="annotation reference"/>
    <w:basedOn w:val="Kappaleenoletusfontti"/>
    <w:semiHidden/>
    <w:unhideWhenUsed/>
    <w:rsid w:val="00AE2D71"/>
    <w:rPr>
      <w:sz w:val="16"/>
      <w:szCs w:val="16"/>
    </w:rPr>
  </w:style>
  <w:style w:type="paragraph" w:styleId="Muutos">
    <w:name w:val="Revision"/>
    <w:hidden/>
    <w:uiPriority w:val="99"/>
    <w:semiHidden/>
    <w:rsid w:val="00AE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71705">
      <w:bodyDiv w:val="1"/>
      <w:marLeft w:val="0"/>
      <w:marRight w:val="0"/>
      <w:marTop w:val="0"/>
      <w:marBottom w:val="0"/>
      <w:divBdr>
        <w:top w:val="none" w:sz="0" w:space="0" w:color="auto"/>
        <w:left w:val="none" w:sz="0" w:space="0" w:color="auto"/>
        <w:bottom w:val="none" w:sz="0" w:space="0" w:color="auto"/>
        <w:right w:val="none" w:sz="0" w:space="0" w:color="auto"/>
      </w:divBdr>
    </w:div>
    <w:div w:id="122315277">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322606">
      <w:bodyDiv w:val="1"/>
      <w:marLeft w:val="0"/>
      <w:marRight w:val="0"/>
      <w:marTop w:val="0"/>
      <w:marBottom w:val="0"/>
      <w:divBdr>
        <w:top w:val="none" w:sz="0" w:space="0" w:color="auto"/>
        <w:left w:val="none" w:sz="0" w:space="0" w:color="auto"/>
        <w:bottom w:val="none" w:sz="0" w:space="0" w:color="auto"/>
        <w:right w:val="none" w:sz="0" w:space="0" w:color="auto"/>
      </w:divBdr>
    </w:div>
    <w:div w:id="1709641821">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EU-rahastot SM">
      <a:dk1>
        <a:srgbClr val="000000"/>
      </a:dk1>
      <a:lt1>
        <a:srgbClr val="FFFFFF"/>
      </a:lt1>
      <a:dk2>
        <a:srgbClr val="595959"/>
      </a:dk2>
      <a:lt2>
        <a:srgbClr val="E7E6E6"/>
      </a:lt2>
      <a:accent1>
        <a:srgbClr val="F7731D"/>
      </a:accent1>
      <a:accent2>
        <a:srgbClr val="D1E371"/>
      </a:accent2>
      <a:accent3>
        <a:srgbClr val="767171"/>
      </a:accent3>
      <a:accent4>
        <a:srgbClr val="BFBFBF"/>
      </a:accent4>
      <a:accent5>
        <a:srgbClr val="98F0F4"/>
      </a:accent5>
      <a:accent6>
        <a:srgbClr val="E8F1B8"/>
      </a:accent6>
      <a:hlink>
        <a:srgbClr val="0563C1"/>
      </a:hlink>
      <a:folHlink>
        <a:srgbClr val="954F72"/>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0D635B9C7C53A34895FDA2E9D681C63A" ma:contentTypeVersion="4" ma:contentTypeDescription="Kampus asiakirja" ma:contentTypeScope="" ma:versionID="4a13de6b1ce7c31f0276698a76014af0">
  <xsd:schema xmlns:xsd="http://www.w3.org/2001/XMLSchema" xmlns:xs="http://www.w3.org/2001/XMLSchema" xmlns:p="http://schemas.microsoft.com/office/2006/metadata/properties" xmlns:ns2="c138b538-c2fd-4cca-8c26-6e4e32e5a042" xmlns:ns3="9eb85319-cbd6-4038-9d80-78f332ea6a5c" targetNamespace="http://schemas.microsoft.com/office/2006/metadata/properties" ma:root="true" ma:fieldsID="12342b8c1dfde289e190988785a13852" ns2:_="" ns3:_="">
    <xsd:import namespace="c138b538-c2fd-4cca-8c26-6e4e32e5a042"/>
    <xsd:import namespace="9eb85319-cbd6-4038-9d80-78f332ea6a5c"/>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26d040cc-bf23-401a-b945-fccc79df8bda}" ma:internalName="TaxCatchAll" ma:showField="CatchAllData" ma:web="9eb85319-cbd6-4038-9d80-78f332ea6a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d040cc-bf23-401a-b945-fccc79df8bda}" ma:internalName="TaxCatchAllLabel" ma:readOnly="true" ma:showField="CatchAllDataLabel" ma:web="9eb85319-cbd6-4038-9d80-78f332ea6a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b85319-cbd6-4038-9d80-78f332ea6a5c"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5D5FB44A-F185-49F7-B9FB-B37F473C9F96}">
  <ds:schemaRefs>
    <ds:schemaRef ds:uri="http://schemas.microsoft.com/sharepoint/v3/contenttype/forms"/>
  </ds:schemaRefs>
</ds:datastoreItem>
</file>

<file path=customXml/itemProps2.xml><?xml version="1.0" encoding="utf-8"?>
<ds:datastoreItem xmlns:ds="http://schemas.openxmlformats.org/officeDocument/2006/customXml" ds:itemID="{9BD92541-9BFD-4693-AD05-21154AC38037}">
  <ds:schemaRefs>
    <ds:schemaRef ds:uri="http://schemas.openxmlformats.org/officeDocument/2006/bibliography"/>
  </ds:schemaRefs>
</ds:datastoreItem>
</file>

<file path=customXml/itemProps3.xml><?xml version="1.0" encoding="utf-8"?>
<ds:datastoreItem xmlns:ds="http://schemas.openxmlformats.org/officeDocument/2006/customXml" ds:itemID="{90F26B7C-E830-4F90-9D3E-04556EC55E8A}">
  <ds:schemaRefs>
    <ds:schemaRef ds:uri="Microsoft.SharePoint.Taxonomy.ContentTypeSync"/>
  </ds:schemaRefs>
</ds:datastoreItem>
</file>

<file path=customXml/itemProps4.xml><?xml version="1.0" encoding="utf-8"?>
<ds:datastoreItem xmlns:ds="http://schemas.openxmlformats.org/officeDocument/2006/customXml" ds:itemID="{780CAE54-7EAB-4101-BD83-DC94D6082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9eb85319-cbd6-4038-9d80-78f332ea6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EFE5E0-88A9-42D3-8B8B-043F0C0E7E1E}">
  <ds:schemaRefs>
    <ds:schemaRef ds:uri="http://schemas.microsoft.com/office/2006/metadata/properties"/>
    <ds:schemaRef ds:uri="9eb85319-cbd6-4038-9d80-78f332ea6a5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c138b538-c2fd-4cca-8c26-6e4e32e5a04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8209</Words>
  <Characters>66499</Characters>
  <Application>Microsoft Office Word</Application>
  <DocSecurity>0</DocSecurity>
  <Lines>554</Lines>
  <Paragraphs>149</Paragraphs>
  <ScaleCrop>false</ScaleCrop>
  <HeadingPairs>
    <vt:vector size="6" baseType="variant">
      <vt:variant>
        <vt:lpstr>Otsikko</vt:lpstr>
      </vt:variant>
      <vt:variant>
        <vt:i4>1</vt:i4>
      </vt:variant>
      <vt:variant>
        <vt:lpstr>Title</vt:lpstr>
      </vt:variant>
      <vt:variant>
        <vt:i4>1</vt:i4>
      </vt:variant>
      <vt:variant>
        <vt:lpstr>Headings</vt:lpstr>
      </vt:variant>
      <vt:variant>
        <vt:i4>6</vt:i4>
      </vt:variant>
    </vt:vector>
  </HeadingPairs>
  <TitlesOfParts>
    <vt:vector size="8" baseType="lpstr">
      <vt:lpstr>ISF genomförandeplan 2024-2025 xx.xx.xxxx</vt:lpstr>
      <vt:lpstr/>
      <vt:lpstr>Otsikko kahdella</vt:lpstr>
      <vt:lpstr>rivillä</vt:lpstr>
      <vt:lpstr>Otsikko 1</vt:lpstr>
      <vt:lpstr>    Otsikko 2</vt:lpstr>
      <vt:lpstr>        Otsikko 3</vt:lpstr>
      <vt:lpstr>Kansikuvan korvaaminen</vt:lpstr>
    </vt:vector>
  </TitlesOfParts>
  <Company>Sisäministeriö</Company>
  <LinksUpToDate>false</LinksUpToDate>
  <CharactersWithSpaces>74559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 genomförandeplan 2024-2025 xx.xx.20xx ren version</dc:title>
  <dc:creator>Karjalainen Virpi SM</dc:creator>
  <cp:lastModifiedBy>Vahervaara Noora (SM)</cp:lastModifiedBy>
  <cp:revision>2</cp:revision>
  <cp:lastPrinted>2024-01-18T08:50:00Z</cp:lastPrinted>
  <dcterms:created xsi:type="dcterms:W3CDTF">2024-12-05T08:06:00Z</dcterms:created>
  <dcterms:modified xsi:type="dcterms:W3CDTF">2024-12-05T08:06:00Z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0x010100B5FAB64B6C204DD994D3FAC0C34E2BFF000D635B9C7C53A34895FDA2E9D681C63A</vt:lpwstr>
  </property>
  <property fmtid="{D5CDD505-2E9C-101B-9397-08002B2CF9AE}" pid="3" name="KampusOrganization">
    <vt:lpwstr/>
  </property>
  <property fmtid="{D5CDD505-2E9C-101B-9397-08002B2CF9AE}" pid="4" name="KampusKeywords">
    <vt:lpwstr/>
  </property>
</Properties>
</file>