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9" w:rsidRDefault="00E87B11">
      <w:pPr>
        <w:pStyle w:val="Vaintekstin"/>
      </w:pPr>
      <w:r>
        <w:t>Työ- ja elinkeinoministeriö</w:t>
      </w:r>
    </w:p>
    <w:p w:rsidR="003A5109" w:rsidRDefault="00E87B11">
      <w:pPr>
        <w:pStyle w:val="Vaintekstin"/>
      </w:pPr>
      <w:r>
        <w:t>PL 32</w:t>
      </w:r>
    </w:p>
    <w:p w:rsidR="003A5109" w:rsidRDefault="00E87B11">
      <w:pPr>
        <w:pStyle w:val="Vaintekstin"/>
      </w:pPr>
      <w:r>
        <w:t>00023 Valtioneuvosto</w:t>
      </w:r>
    </w:p>
    <w:p w:rsidR="003A5109" w:rsidRDefault="003A5109"/>
    <w:p w:rsidR="003A5109" w:rsidRDefault="003A5109"/>
    <w:p w:rsidR="003A5109" w:rsidRDefault="003A5109"/>
    <w:p w:rsidR="003A5109" w:rsidRDefault="003A5109"/>
    <w:p w:rsidR="003A5109" w:rsidRDefault="003A5109"/>
    <w:p w:rsidR="003A5109" w:rsidRDefault="00E87B11">
      <w:pPr>
        <w:pStyle w:val="Otsikko2"/>
      </w:pPr>
      <w:proofErr w:type="gramStart"/>
      <w:r>
        <w:t>Lausunto laista julkisesta työvoima- ja yrityspalvelusta annetun lain muuttamisesta</w:t>
      </w:r>
      <w:proofErr w:type="gramEnd"/>
    </w:p>
    <w:p w:rsidR="00D131F9" w:rsidRDefault="00E87B11"/>
    <w:p w:rsidR="00D131F9" w:rsidRDefault="00E87B11">
      <w:pPr>
        <w:ind w:left="2608"/>
      </w:pPr>
      <w:r>
        <w:t>Johtaja Pekka Sundman 20.3.2018:</w:t>
      </w:r>
    </w:p>
    <w:p w:rsidR="00D131F9" w:rsidRDefault="00E87B11"/>
    <w:p w:rsidR="00D131F9" w:rsidRDefault="00E87B11">
      <w:pPr>
        <w:ind w:left="2608"/>
      </w:pPr>
      <w:r>
        <w:t>Luonnoksesta hallituksen esitykseksi eduskunnalle julkisten työvoima- ja yrityspalveluiden väliaikaista järjestämistä koskevaksi lainsäädännöksi on pyydetty lausunto 5.3.2018 TEM/503/03.01.01/2018 TEM020:00/2018</w:t>
      </w:r>
    </w:p>
    <w:p w:rsidR="00D131F9" w:rsidRDefault="00E87B11"/>
    <w:p w:rsidR="00D131F9" w:rsidRDefault="00E87B11">
      <w:pPr>
        <w:ind w:left="2608"/>
      </w:pPr>
      <w:r>
        <w:t>Julkisesta työvoima- ja yrityspalvelusta annettua lakia ollaan muuttamassa siten, että työ- ja elinkeinoviranomaisten lisäksi myös palveluntuottajat voisivat haastatella työnhakijoita, arvioida työnhakijan palvelutarpeen sekä laatia työllistymissuunnitelma</w:t>
      </w:r>
      <w:r>
        <w:t>n yhdessä työnhakijan kanssa.</w:t>
      </w:r>
    </w:p>
    <w:p w:rsidR="00D131F9" w:rsidRDefault="00E87B11"/>
    <w:p w:rsidR="00D131F9" w:rsidRDefault="00E87B11">
      <w:pPr>
        <w:ind w:left="2608"/>
      </w:pPr>
      <w:r>
        <w:t>Palvelutuottajaksi määritellään yhteisö, säätiö tai yksityinen elinkeinonharjoittajaa, jonka elinkeino-, liikenne- ja ympäristökeskus tai työ- ja elinkeinotoimisto on valinnut tuottamaan tässä laissa tarkoitettua palvelua, ta</w:t>
      </w:r>
      <w:r>
        <w:t>i jonka asiakkaaksi henkilöasiakas on ohjattu. Vaikka kunta sisältyy yhteisön määritelmään, olisi se selvyyden vuoksi syytä mainita laissa erikseen.</w:t>
      </w:r>
    </w:p>
    <w:p w:rsidR="00D131F9" w:rsidRDefault="00E87B11"/>
    <w:p w:rsidR="00D131F9" w:rsidRDefault="00E87B11">
      <w:pPr>
        <w:ind w:left="2608"/>
      </w:pPr>
      <w:r>
        <w:t>Ehdotus: 1 luku 3§ kohta 4a lisätään palvelutuottajiin kunta</w:t>
      </w:r>
    </w:p>
    <w:p w:rsidR="00D131F9" w:rsidRDefault="00E87B11"/>
    <w:p w:rsidR="00D131F9" w:rsidRDefault="00E87B11">
      <w:pPr>
        <w:ind w:left="2608"/>
      </w:pPr>
      <w:r>
        <w:t xml:space="preserve">Perustelut: </w:t>
      </w:r>
    </w:p>
    <w:p w:rsidR="00D131F9" w:rsidRDefault="00E87B11"/>
    <w:p w:rsidR="00D131F9" w:rsidRDefault="00E87B11">
      <w:pPr>
        <w:ind w:left="2608"/>
      </w:pPr>
      <w:r>
        <w:t>Turun seudulla on menossa yksi</w:t>
      </w:r>
      <w:r>
        <w:t xml:space="preserve"> viidestä alueellisesta kuntavetoisesta työvoima- ja yrityspalvelukokeilusta. Kokeiluissa on saatu hyviä tuloksia. Esimerkiksi Turussa kokeilun kohderyhmien suhteellinen työttömyys on vähentynyt nopeammin kuin muiden työttömien työnhakijoiden. Kokeilun vah</w:t>
      </w:r>
      <w:r>
        <w:t>vuutena on ollut, että kunnan ja TE-toimiston resursseja on yhdistetty ja päällekkäistä työtä on vältetty. Kunnilla on pääsääntöisesti vahva tahtotila edistää kuntalaisten työllisyyttä. Tähän liittyen kunnat ovat käyttäneet tähän myös omia resursseja. Haas</w:t>
      </w:r>
      <w:r>
        <w:t>teena on ollut, että kunnilla ei ole kuitenkaan ollut käytössä työvoimapoliittisia toimenpiteitä kuntouttavaa työtoimintaa ja omaehtoista koulutusta lukuun ottamatta. Jos kunnat voisivat jatkossa myös olla tässä lakimuutosesityksessä tarkoitettuja palvelut</w:t>
      </w:r>
      <w:r>
        <w:t>uottajia ja sitä kautta toteuttaa työnhakijoiden haastatteluja ja palvelutarvearvioita sekä laatia työllistämissuunnitelmia. vältetään nyt muissa kuin kokeilukunnissa tehtävää päällekkäistä työtä. Tämä toisi kustannustehokkuutta ja edistäisi yhteisesti sov</w:t>
      </w:r>
      <w:r>
        <w:t>ittavien kohderyhmien työllistymistä tehokkaasti. Se mahdollistaisi kokeilujen hyvien käytänteiden jatkamista kokeilujen päättyessä 31.12.2018. Kokeilut ovat osoittaneet, että kunnilla on mahdollisuudet tarjota yksilöllisiä, erilaisten työnhakijaryhmien ta</w:t>
      </w:r>
      <w:r>
        <w:t>rpeisiin vastaavia palvelukokonaisuuksia sekä henkilökohtaista asiointia.</w:t>
      </w:r>
    </w:p>
    <w:p w:rsidR="00D131F9" w:rsidRDefault="00E87B11"/>
    <w:p w:rsidR="00D131F9" w:rsidRDefault="00E87B11">
      <w:pPr>
        <w:ind w:left="2608"/>
      </w:pPr>
      <w:r>
        <w:t>Muita huomioita esityksestä</w:t>
      </w:r>
    </w:p>
    <w:p w:rsidR="00D131F9" w:rsidRDefault="00E87B11"/>
    <w:p w:rsidR="00D131F9" w:rsidRDefault="00E87B11">
      <w:pPr>
        <w:ind w:left="2608"/>
      </w:pPr>
      <w:r>
        <w:t>Esittelytekstissä todetaan, että määräaikaishaastatteluiden ulkoistaminen palveluntuottajille vapauttaisi työ- ja elinkeinotoimistojen henkilöresursseja</w:t>
      </w:r>
      <w:r>
        <w:t>. Samalla työ- ja elinkeinotoimistojen tulisi kuitenkin huolehtia palveluntuottajien kilpailuttamisesta sekä valvonnasta. Myös systemaattinen asiakasohjaus palveluntuottajille edellyttäisi riittävää henkilöresursointia. Resursseja kohdennettaisiin näin oll</w:t>
      </w:r>
      <w:r>
        <w:t>en uudelleen. Tässä on sikäli ristiriita, että palvelutuottajien palvelut on tarkoitus rahoittaa työ- ja elinkeinotoimistojen vapautuvan henkilöresurssin tuomilla säästöillä. Tällöin tuota henkilöresurssia ei enää ole käytössä edellä mainittuihin tehtäviin</w:t>
      </w:r>
      <w:r>
        <w:t xml:space="preserve">. </w:t>
      </w:r>
    </w:p>
    <w:p w:rsidR="00D131F9" w:rsidRDefault="00E87B11"/>
    <w:p w:rsidR="00D131F9" w:rsidRDefault="00E87B11">
      <w:pPr>
        <w:ind w:left="2608"/>
      </w:pPr>
      <w:r>
        <w:t>Palvelutuottajien ottaminen mukaan näiden palvelujen järjestämiseen todennäköisesti lisää palvelutarjontaa, jos siihen on riittävästi resursoitu. Tämä helpottaa palvelujen saamista. Tällöin voi haasteeksi tulla kuitenkin se, että asiakas on sidottu yht</w:t>
      </w:r>
      <w:r>
        <w:t>een tuottajaan, jolla on käytössä vain rajallinen palvelurepertuaari. Työttömän työnhakijan etu on mahdollisimman laajat palvelut ja siksi on järjestettävä malli, jossa asiakas voi helposti vaihtaa palvelutuottajaa. Palvelutuottajien laadun arvioimiseen on</w:t>
      </w:r>
      <w:r>
        <w:t xml:space="preserve"> myös tehtävä riittävät kriteerit.</w:t>
      </w:r>
    </w:p>
    <w:p w:rsidR="00D131F9" w:rsidRDefault="00E87B11"/>
    <w:p w:rsidR="00D131F9" w:rsidRDefault="00E87B11">
      <w:pPr>
        <w:ind w:left="2608"/>
      </w:pPr>
      <w:r>
        <w:t>Turussa osana työvoima ja yrityspalvelukokeilua kokeillaan kuntouttavan työtoiminnan palveluseteliä. Palveluseteli olisi hyvä malli palvelujen hankkimiseen. Tämä edellyttäisi lakimuutosta, jolla palvelusetelillä voitaisi</w:t>
      </w:r>
      <w:r>
        <w:t>in tuottaa myös työllisyyttä edistäviä palveluja sekä tässä lakimuutoksessa palvelutuottajille siirrettäviä palveluja. Näin toteutuisi aito valinnanvapaus, jossa työtön työnhakija hakisi palvelun siltä taholta, jonka uskoisi parhaiten edesauttavan omaa työ</w:t>
      </w:r>
      <w:r>
        <w:t>llistymistään.</w:t>
      </w:r>
    </w:p>
    <w:p w:rsidR="003A5109" w:rsidRDefault="003A5109"/>
    <w:p w:rsidR="003A5109" w:rsidRDefault="003A5109"/>
    <w:p w:rsidR="003A5109" w:rsidRDefault="00E87B11">
      <w:pPr>
        <w:pStyle w:val="Vaintekstin"/>
      </w:pPr>
      <w:r>
        <w:tab/>
      </w:r>
      <w:r>
        <w:tab/>
        <w:t>Pekka Sundman</w:t>
      </w:r>
    </w:p>
    <w:p w:rsidR="003A5109" w:rsidRDefault="00E87B11">
      <w:pPr>
        <w:pStyle w:val="Vaintekstin"/>
      </w:pPr>
      <w:r>
        <w:tab/>
      </w:r>
      <w:r>
        <w:tab/>
        <w:t>johtaja</w:t>
      </w:r>
    </w:p>
    <w:p w:rsidR="003A5109" w:rsidRDefault="003A5109"/>
    <w:p w:rsidR="003A5109" w:rsidRDefault="003A5109"/>
    <w:sectPr w:rsidR="003A5109">
      <w:headerReference w:type="default" r:id="rId8"/>
      <w:footerReference w:type="default" r:id="rId9"/>
      <w:pgSz w:w="11906" w:h="16838" w:code="9"/>
      <w:pgMar w:top="567" w:right="567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11" w:rsidRDefault="00E87B11" w:rsidP="00D45142">
      <w:r>
        <w:separator/>
      </w:r>
    </w:p>
  </w:endnote>
  <w:endnote w:type="continuationSeparator" w:id="0">
    <w:p w:rsidR="00E87B11" w:rsidRDefault="00E87B1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84" w:rsidRDefault="00E87B11" w:rsidP="00DA0C84">
    <w:pPr>
      <w:pStyle w:val="Alatunniste"/>
    </w:pPr>
  </w:p>
  <w:p w:rsidR="00DA0C84" w:rsidRDefault="00E87B11" w:rsidP="00DA0C84">
    <w:pPr>
      <w:pStyle w:val="Alatunniste"/>
    </w:pPr>
  </w:p>
  <w:p w:rsidR="00DA0C84" w:rsidRPr="00C819BC" w:rsidRDefault="00E87B11" w:rsidP="00DA0C84">
    <w:pPr>
      <w:pStyle w:val="Alatunniste"/>
      <w:tabs>
        <w:tab w:val="clear" w:pos="4819"/>
        <w:tab w:val="clear" w:pos="9638"/>
        <w:tab w:val="left" w:pos="2410"/>
        <w:tab w:val="left" w:pos="2608"/>
        <w:tab w:val="left" w:pos="4933"/>
        <w:tab w:val="left" w:pos="4962"/>
        <w:tab w:val="left" w:pos="7768"/>
        <w:tab w:val="left" w:pos="8080"/>
        <w:tab w:val="right" w:pos="10065"/>
      </w:tabs>
      <w:rPr>
        <w:position w:val="16"/>
        <w:szCs w:val="18"/>
        <w:u w:val="single"/>
      </w:rPr>
    </w:pP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  <w:r w:rsidRPr="00C819BC">
      <w:rPr>
        <w:position w:val="16"/>
        <w:szCs w:val="18"/>
        <w:u w:val="single"/>
      </w:rPr>
      <w:tab/>
    </w:r>
  </w:p>
  <w:p w:rsidR="00DA0C84" w:rsidRPr="00C676E6" w:rsidRDefault="00E87B11" w:rsidP="00DA0C84">
    <w:pPr>
      <w:pStyle w:val="Alatunniste"/>
      <w:tabs>
        <w:tab w:val="clear" w:pos="4819"/>
        <w:tab w:val="clear" w:pos="9638"/>
        <w:tab w:val="left" w:pos="2268"/>
        <w:tab w:val="left" w:pos="4395"/>
        <w:tab w:val="left" w:pos="6521"/>
        <w:tab w:val="left" w:pos="8364"/>
      </w:tabs>
      <w:rPr>
        <w:szCs w:val="18"/>
      </w:rPr>
    </w:pPr>
    <w:r>
      <w:rPr>
        <w:b/>
        <w:szCs w:val="18"/>
      </w:rPr>
      <w:t>Konsernihallinto</w:t>
    </w:r>
    <w:r w:rsidRPr="00C676E6">
      <w:rPr>
        <w:szCs w:val="18"/>
      </w:rPr>
      <w:tab/>
      <w:t>Käyntiosoite</w:t>
    </w:r>
    <w:r w:rsidRPr="00C676E6">
      <w:rPr>
        <w:szCs w:val="18"/>
      </w:rPr>
      <w:tab/>
      <w:t>Kirjaamo</w:t>
    </w:r>
    <w:r w:rsidRPr="00C676E6">
      <w:rPr>
        <w:szCs w:val="18"/>
      </w:rPr>
      <w:tab/>
      <w:t>Postiosoite</w:t>
    </w:r>
    <w:r w:rsidRPr="00C676E6">
      <w:rPr>
        <w:szCs w:val="18"/>
      </w:rPr>
      <w:tab/>
      <w:t>Puh.  (02) 330 000</w:t>
    </w:r>
  </w:p>
  <w:p w:rsidR="00DA0C84" w:rsidRPr="00C676E6" w:rsidRDefault="00E87B11" w:rsidP="00DA0C84">
    <w:pPr>
      <w:pStyle w:val="Alatunniste"/>
      <w:tabs>
        <w:tab w:val="clear" w:pos="4819"/>
        <w:tab w:val="clear" w:pos="9638"/>
        <w:tab w:val="left" w:pos="2268"/>
        <w:tab w:val="left" w:pos="4395"/>
        <w:tab w:val="left" w:pos="6521"/>
        <w:tab w:val="left" w:pos="8364"/>
      </w:tabs>
      <w:rPr>
        <w:szCs w:val="18"/>
      </w:rPr>
    </w:pPr>
    <w:r w:rsidRPr="00C676E6">
      <w:rPr>
        <w:szCs w:val="18"/>
      </w:rPr>
      <w:tab/>
      <w:t>Yliopistonkatu 27a</w:t>
    </w:r>
    <w:r w:rsidRPr="00C676E6">
      <w:rPr>
        <w:szCs w:val="18"/>
      </w:rPr>
      <w:tab/>
    </w:r>
    <w:proofErr w:type="spellStart"/>
    <w:r w:rsidRPr="00C676E6">
      <w:rPr>
        <w:szCs w:val="18"/>
      </w:rPr>
      <w:t>Puolalankatu</w:t>
    </w:r>
    <w:proofErr w:type="spellEnd"/>
    <w:r w:rsidRPr="00C676E6">
      <w:rPr>
        <w:szCs w:val="18"/>
      </w:rPr>
      <w:t xml:space="preserve"> 5</w:t>
    </w:r>
    <w:r w:rsidRPr="00C676E6">
      <w:rPr>
        <w:szCs w:val="18"/>
      </w:rPr>
      <w:tab/>
      <w:t>PL 355</w:t>
    </w:r>
    <w:r w:rsidRPr="00C676E6">
      <w:rPr>
        <w:szCs w:val="18"/>
      </w:rPr>
      <w:tab/>
      <w:t>Faksi (02) 2627 229</w:t>
    </w:r>
  </w:p>
  <w:p w:rsidR="00DA0C84" w:rsidRPr="00DA0C84" w:rsidRDefault="00E87B11" w:rsidP="00DA0C84">
    <w:pPr>
      <w:pStyle w:val="Alatunniste"/>
      <w:tabs>
        <w:tab w:val="clear" w:pos="4819"/>
        <w:tab w:val="clear" w:pos="9638"/>
        <w:tab w:val="left" w:pos="2268"/>
        <w:tab w:val="left" w:pos="4395"/>
        <w:tab w:val="left" w:pos="6521"/>
        <w:tab w:val="left" w:pos="8364"/>
      </w:tabs>
      <w:rPr>
        <w:b/>
        <w:szCs w:val="18"/>
      </w:rPr>
    </w:pPr>
    <w:r w:rsidRPr="00C676E6">
      <w:rPr>
        <w:szCs w:val="18"/>
      </w:rPr>
      <w:tab/>
      <w:t xml:space="preserve">20100 </w:t>
    </w:r>
    <w:r w:rsidRPr="00C676E6">
      <w:rPr>
        <w:szCs w:val="18"/>
      </w:rPr>
      <w:t>T</w:t>
    </w:r>
    <w:r>
      <w:rPr>
        <w:szCs w:val="18"/>
      </w:rPr>
      <w:t>urku</w:t>
    </w:r>
    <w:r w:rsidRPr="00C676E6">
      <w:rPr>
        <w:szCs w:val="18"/>
      </w:rPr>
      <w:t xml:space="preserve"> </w:t>
    </w:r>
    <w:r w:rsidRPr="00C676E6">
      <w:rPr>
        <w:szCs w:val="18"/>
      </w:rPr>
      <w:tab/>
      <w:t>20100 T</w:t>
    </w:r>
    <w:r>
      <w:rPr>
        <w:szCs w:val="18"/>
      </w:rPr>
      <w:t>urku</w:t>
    </w:r>
    <w:r w:rsidRPr="00C676E6">
      <w:rPr>
        <w:szCs w:val="18"/>
      </w:rPr>
      <w:tab/>
      <w:t>20101 T</w:t>
    </w:r>
    <w:r>
      <w:rPr>
        <w:szCs w:val="18"/>
      </w:rPr>
      <w:t>urku</w:t>
    </w:r>
    <w:r w:rsidRPr="00C676E6">
      <w:rPr>
        <w:b/>
        <w:szCs w:val="18"/>
      </w:rPr>
      <w:tab/>
      <w:t>www.turku.fi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11" w:rsidRDefault="00E87B11" w:rsidP="00D45142">
      <w:r>
        <w:separator/>
      </w:r>
    </w:p>
  </w:footnote>
  <w:footnote w:type="continuationSeparator" w:id="0">
    <w:p w:rsidR="00E87B11" w:rsidRDefault="00E87B1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09" w:rsidRDefault="00E87B11">
    <w:pPr>
      <w:pStyle w:val="Yltunniste"/>
      <w:spacing w:before="80" w:after="609"/>
    </w:pPr>
    <w:r>
      <w:rPr>
        <w:noProof/>
      </w:rPr>
      <w:drawing>
        <wp:anchor distT="0" distB="0" distL="114300" distR="114300" simplePos="0" relativeHeight="99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1300" cy="596900"/>
          <wp:effectExtent l="0" t="0" r="0" b="0"/>
          <wp:wrapNone/>
          <wp:docPr id="1" name="/Images/Turku_vaaka_16mm_150ppi_viiva_black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Images/Turku_vaaka_16mm_150ppi_viiva_black.png"/>
                  <pic:cNvPicPr/>
                </pic:nvPicPr>
                <pic:blipFill>
                  <a:blip r:embed="rId1">
                    <a:extLst>
                      <a:ext uri="qwerty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96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>Lausunto</w:t>
    </w:r>
    <w:r>
      <w:rPr>
        <w:b/>
      </w:rPr>
      <w:tab/>
    </w:r>
    <w:r>
      <w:rPr>
        <w:b/>
      </w:rPr>
      <w:tab/>
    </w:r>
    <w:r>
      <w:fldChar w:fldCharType="begin"/>
    </w:r>
    <w:r>
      <w:instrText>PAGE</w:instrText>
    </w:r>
    <w:r w:rsidR="000E4F72">
      <w:fldChar w:fldCharType="separate"/>
    </w:r>
    <w:r w:rsidR="000E4F72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</w:instrText>
    </w:r>
    <w:r w:rsidR="000E4F72">
      <w:fldChar w:fldCharType="separate"/>
    </w:r>
    <w:r w:rsidR="000E4F72">
      <w:rPr>
        <w:noProof/>
      </w:rPr>
      <w:t>2</w:t>
    </w:r>
    <w:r>
      <w:fldChar w:fldCharType="end"/>
    </w:r>
    <w:r>
      <w:t>)</w:t>
    </w:r>
  </w:p>
  <w:p w:rsidR="003A5109" w:rsidRDefault="00E87B11">
    <w:pPr>
      <w:pStyle w:val="Yltunniste"/>
    </w:pPr>
    <w:r>
      <w:tab/>
    </w:r>
    <w:r>
      <w:tab/>
    </w:r>
    <w:r>
      <w:tab/>
    </w:r>
    <w:proofErr w:type="spellStart"/>
    <w:r>
      <w:t>Dnro</w:t>
    </w:r>
    <w:proofErr w:type="spellEnd"/>
    <w:r>
      <w:t xml:space="preserve"> </w:t>
    </w:r>
    <w:proofErr w:type="gramStart"/>
    <w:r>
      <w:t>2864-2018</w:t>
    </w:r>
    <w:proofErr w:type="gramEnd"/>
  </w:p>
  <w:p w:rsidR="003A5109" w:rsidRDefault="00E87B11">
    <w:pPr>
      <w:pStyle w:val="Yltunniste"/>
      <w:tabs>
        <w:tab w:val="clear" w:pos="3895"/>
      </w:tabs>
    </w:pPr>
    <w:r>
      <w:t>Konsernihallinto, kaupunkikehitysryhmä</w:t>
    </w:r>
    <w:r>
      <w:tab/>
      <w:t>20.3.2018</w:t>
    </w:r>
    <w:r>
      <w:tab/>
      <w:t>(03.00)</w:t>
    </w:r>
  </w:p>
  <w:p w:rsidR="003A5109" w:rsidRDefault="003A5109"/>
  <w:p w:rsidR="003A5109" w:rsidRDefault="003A51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EE"/>
    <w:rsid w:val="000025E4"/>
    <w:rsid w:val="00010C1D"/>
    <w:rsid w:val="00024DD7"/>
    <w:rsid w:val="000634FB"/>
    <w:rsid w:val="000A01C5"/>
    <w:rsid w:val="000E4F72"/>
    <w:rsid w:val="001E4029"/>
    <w:rsid w:val="001F2B8E"/>
    <w:rsid w:val="00221647"/>
    <w:rsid w:val="002C1CFF"/>
    <w:rsid w:val="002F6053"/>
    <w:rsid w:val="00367DEE"/>
    <w:rsid w:val="00377D27"/>
    <w:rsid w:val="0038480F"/>
    <w:rsid w:val="003A5109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93CEB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A680C"/>
    <w:rsid w:val="00DE0CFF"/>
    <w:rsid w:val="00E100B8"/>
    <w:rsid w:val="00E73F6A"/>
    <w:rsid w:val="00E87B11"/>
    <w:rsid w:val="00EB60ED"/>
    <w:rsid w:val="00EB6C3D"/>
    <w:rsid w:val="00ED11CA"/>
    <w:rsid w:val="00F04A0E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87DF-7958-46D0-974C-7A0A8D6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left" w:pos="3895"/>
        <w:tab w:val="left" w:pos="5194"/>
        <w:tab w:val="left" w:pos="7825"/>
        <w:tab w:val="left" w:pos="9129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customStyle="1" w:styleId="Ingressi">
    <w:name w:val="Ingressi"/>
    <w:basedOn w:val="Normaali"/>
    <w:rsid w:val="00FC0FFB"/>
    <w:pPr>
      <w:ind w:left="1304"/>
    </w:pPr>
    <w:rPr>
      <w:b/>
    </w:rPr>
  </w:style>
  <w:style w:type="paragraph" w:customStyle="1" w:styleId="Osallistuja">
    <w:name w:val="Osallistuja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Vaintekstin">
    <w:name w:val="Plain Text"/>
    <w:basedOn w:val="Normaali"/>
    <w:rsid w:val="0029588E"/>
    <w:pPr>
      <w:tabs>
        <w:tab w:val="left" w:pos="1304"/>
      </w:tabs>
      <w:ind w:left="2608" w:hanging="2608"/>
    </w:pPr>
  </w:style>
  <w:style w:type="paragraph" w:customStyle="1" w:styleId="Johtolehdenteksti">
    <w:name w:val="Johtolehden teksti"/>
    <w:basedOn w:val="Normaali"/>
    <w:rsid w:val="0029588E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754E-F8E7-4F7D-B6AF-0CFD3E0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JoutseNet</dc:creator>
  <cp:lastModifiedBy>JoutseNet</cp:lastModifiedBy>
  <cp:revision>1</cp:revision>
  <dcterms:created xsi:type="dcterms:W3CDTF">2011-09-08T09:52:00Z</dcterms:created>
  <dcterms:modified xsi:type="dcterms:W3CDTF">2011-09-08T09:52:00Z</dcterms:modified>
</cp:coreProperties>
</file>