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653" w:rsidRDefault="00BC0653">
      <w:bookmarkStart w:id="0" w:name="_GoBack"/>
      <w:bookmarkEnd w:id="0"/>
    </w:p>
    <w:p w:rsidR="00BC0653" w:rsidRDefault="00BC0653"/>
    <w:p w:rsidR="00BC0653" w:rsidRPr="004926C4" w:rsidRDefault="002760C3">
      <w:pPr>
        <w:rPr>
          <w:b/>
          <w:sz w:val="24"/>
          <w:szCs w:val="24"/>
        </w:rPr>
      </w:pPr>
      <w:r w:rsidRPr="004926C4">
        <w:rPr>
          <w:b/>
          <w:sz w:val="24"/>
          <w:szCs w:val="24"/>
        </w:rPr>
        <w:t>E</w:t>
      </w:r>
      <w:r w:rsidR="007633A8" w:rsidRPr="004926C4">
        <w:rPr>
          <w:b/>
          <w:sz w:val="24"/>
          <w:szCs w:val="24"/>
        </w:rPr>
        <w:t xml:space="preserve">TELÄ-POHJANMAAN ELY-KESKUKSEN SEKÄ ETELÄ-POHJANMAAN TE-TOIMISTON YHTEINEN </w:t>
      </w:r>
      <w:r w:rsidR="00A4018A">
        <w:rPr>
          <w:b/>
          <w:sz w:val="24"/>
          <w:szCs w:val="24"/>
        </w:rPr>
        <w:t>LAUSUNTO</w:t>
      </w:r>
    </w:p>
    <w:p w:rsidR="007633A8" w:rsidRDefault="007633A8"/>
    <w:p w:rsidR="00A95164" w:rsidRDefault="007633A8" w:rsidP="005C7CBE">
      <w:pPr>
        <w:jc w:val="both"/>
        <w:rPr>
          <w:b/>
          <w:bCs/>
        </w:rPr>
      </w:pPr>
      <w:r w:rsidRPr="00DF14DB">
        <w:rPr>
          <w:b/>
          <w:sz w:val="24"/>
          <w:szCs w:val="24"/>
        </w:rPr>
        <w:t>Viite:</w:t>
      </w:r>
      <w:r w:rsidRPr="00DF14DB">
        <w:rPr>
          <w:sz w:val="24"/>
          <w:szCs w:val="24"/>
        </w:rPr>
        <w:t xml:space="preserve"> </w:t>
      </w:r>
      <w:r w:rsidR="00DF14DB" w:rsidRPr="00DF14DB">
        <w:rPr>
          <w:b/>
          <w:bCs/>
        </w:rPr>
        <w:t>Lausuntopyyntö; luonnos hallituksen e</w:t>
      </w:r>
      <w:r w:rsidR="00A95164">
        <w:rPr>
          <w:b/>
          <w:bCs/>
        </w:rPr>
        <w:t>sitykseksi eduskunnalle julkisten</w:t>
      </w:r>
      <w:r w:rsidR="00412361">
        <w:rPr>
          <w:b/>
          <w:bCs/>
        </w:rPr>
        <w:t xml:space="preserve"> työvoima- ja yrityspalveluiden</w:t>
      </w:r>
      <w:r w:rsidR="00DF14DB" w:rsidRPr="00DF14DB">
        <w:rPr>
          <w:b/>
          <w:bCs/>
        </w:rPr>
        <w:t xml:space="preserve"> </w:t>
      </w:r>
      <w:r w:rsidR="00A95164">
        <w:rPr>
          <w:b/>
          <w:bCs/>
        </w:rPr>
        <w:t>väliaikaista järjestämistä koskevaksi lainsäädännöksi</w:t>
      </w:r>
    </w:p>
    <w:p w:rsidR="00356DB2" w:rsidRDefault="00DF14DB" w:rsidP="00356DB2">
      <w:pPr>
        <w:jc w:val="both"/>
      </w:pPr>
      <w:r w:rsidRPr="00CC634E">
        <w:rPr>
          <w:b/>
          <w:bCs/>
        </w:rPr>
        <w:t> </w:t>
      </w:r>
      <w:r w:rsidRPr="00412361">
        <w:t xml:space="preserve">Työ- ja elinkeinoministeriö on pyytänyt yllä mainituilta tahoilta lausuntoa </w:t>
      </w:r>
      <w:r w:rsidR="00412361" w:rsidRPr="00412361">
        <w:t>julkisten työvoima- ja yrityspalveluiden väliaikaista järjestämistä koskevaksi lainsäädännöksi</w:t>
      </w:r>
      <w:r w:rsidRPr="00412361">
        <w:t>. Esitys</w:t>
      </w:r>
      <w:r w:rsidRPr="005321D7">
        <w:t xml:space="preserve"> koskee</w:t>
      </w:r>
      <w:r w:rsidR="005321D7">
        <w:t xml:space="preserve"> yk</w:t>
      </w:r>
      <w:r w:rsidR="005321D7" w:rsidRPr="005321D7">
        <w:t>s</w:t>
      </w:r>
      <w:r w:rsidR="005321D7">
        <w:t>i</w:t>
      </w:r>
      <w:r w:rsidR="005321D7" w:rsidRPr="005321D7">
        <w:t>tyisten palveluntuottajien mahdollisuutta tarjota kokonaisvaltaisempia palv</w:t>
      </w:r>
      <w:r w:rsidR="005321D7">
        <w:t>e</w:t>
      </w:r>
      <w:r w:rsidR="005321D7" w:rsidRPr="005321D7">
        <w:t xml:space="preserve">luja työnhakija-asiakkaille. </w:t>
      </w:r>
      <w:r w:rsidR="00356DB2">
        <w:t>Yleisesti pidämme lakimuutosta välttämättömänä, mikäli kokeiluhankkeilla ja muilla palvelutuottajilta hankituilla palveluilla halutaan aidommin kokeilla markkinoille siirtymistä ja erityisesti palvelutuottajien laajempaa kokonaisvastuuta asiakkaan tilanteesta (suunnitelmien laadinta ja toteutuksen seuranta, jatko-ohjaus).</w:t>
      </w:r>
    </w:p>
    <w:p w:rsidR="0092741D" w:rsidRPr="00A95164" w:rsidRDefault="0092741D" w:rsidP="005C7CBE">
      <w:pPr>
        <w:jc w:val="both"/>
        <w:rPr>
          <w:highlight w:val="yellow"/>
        </w:rPr>
      </w:pPr>
    </w:p>
    <w:p w:rsidR="00163D7E" w:rsidRPr="00A95164" w:rsidRDefault="00163D7E" w:rsidP="00163D7E">
      <w:pPr>
        <w:jc w:val="both"/>
        <w:rPr>
          <w:b/>
          <w:u w:val="single"/>
        </w:rPr>
      </w:pPr>
      <w:r w:rsidRPr="00A95164">
        <w:rPr>
          <w:b/>
          <w:u w:val="single"/>
        </w:rPr>
        <w:t>Yleistä</w:t>
      </w:r>
    </w:p>
    <w:p w:rsidR="00FF75DD" w:rsidRDefault="00FF75DD" w:rsidP="00C25A42">
      <w:pPr>
        <w:jc w:val="both"/>
      </w:pPr>
    </w:p>
    <w:p w:rsidR="00C25A42" w:rsidRDefault="00F40C82" w:rsidP="00C25A42">
      <w:pPr>
        <w:jc w:val="both"/>
      </w:pPr>
      <w:r>
        <w:t>Tähän mennessä toteutetut</w:t>
      </w:r>
      <w:r w:rsidR="004539E8">
        <w:t xml:space="preserve"> kokeilut ovat olleet melko kalliita ja vaikuttavuudet ei kovin hyviä</w:t>
      </w:r>
      <w:r>
        <w:t>,</w:t>
      </w:r>
      <w:r w:rsidR="004539E8">
        <w:t xml:space="preserve"> ja silti niihin on käytetty paljon myös TE-toimiston omaa työpanosta. Lakiesityksen yleinen tavoite on lisätä julkisten työvoima- ja yrityspalvelujen asiakaslähtöisyyttä ja vaikuttavuutta palvelutuottajien prosesseja hyödyntäen. Tämä jää nähtäväksi, mikäli kokeiluihin aidosti päästään ja palvelutuottajilla on riittävä osaaminen ja resurssit tuottaa palveluja eri puolille maakuntaa. Lakiluonnos antaa kuitenkin mahdollisuudet uudentyyppisten palvelukokonaisuuksien kokeiluun alueilla.</w:t>
      </w:r>
      <w:r w:rsidR="00C25A42">
        <w:t xml:space="preserve"> Mikäli palvelutuottajilta hankittaisiin laajemmin lakiluonnoksen mahdollistamia palvelukokonaisuuksia, mikä vaikutus sillä olisi siinä vaiheessa TE-toimiston henkilöstöön?</w:t>
      </w:r>
    </w:p>
    <w:p w:rsidR="004539E8" w:rsidRPr="00102E36" w:rsidRDefault="00682C05" w:rsidP="004539E8">
      <w:pPr>
        <w:jc w:val="both"/>
      </w:pPr>
      <w:r w:rsidRPr="0079543E">
        <w:t>V</w:t>
      </w:r>
      <w:r w:rsidR="004539E8" w:rsidRPr="0079543E">
        <w:t xml:space="preserve">aikka palveluja hankittaisiinkin yksityisiltä palveluntuottajilta, lisäresursseja </w:t>
      </w:r>
      <w:r w:rsidRPr="0079543E">
        <w:t>tullaan tarvitsemaan erityisesti</w:t>
      </w:r>
      <w:r w:rsidR="004539E8" w:rsidRPr="0079543E">
        <w:t xml:space="preserve"> palveluprosessien hankintaan</w:t>
      </w:r>
      <w:r w:rsidR="00B15052" w:rsidRPr="0079543E">
        <w:t>, palvelujen suunnitteluun</w:t>
      </w:r>
      <w:r w:rsidR="004539E8" w:rsidRPr="0079543E">
        <w:t xml:space="preserve"> ja </w:t>
      </w:r>
      <w:r w:rsidRPr="0079543E">
        <w:t xml:space="preserve">palvelujen </w:t>
      </w:r>
      <w:r w:rsidR="004539E8" w:rsidRPr="0079543E">
        <w:t>seurantaan. TE-palvelujen kilpailuttamisesta ja hankinnoista</w:t>
      </w:r>
      <w:r w:rsidR="00B15052" w:rsidRPr="0079543E">
        <w:t xml:space="preserve"> sekä hankintaprosessin johtamisesta</w:t>
      </w:r>
      <w:r w:rsidR="004539E8" w:rsidRPr="0079543E">
        <w:t xml:space="preserve"> vastaa alueen ELY-keskus</w:t>
      </w:r>
      <w:r w:rsidR="00B15052" w:rsidRPr="0079543E">
        <w:t>, kun taas TE-toimis</w:t>
      </w:r>
      <w:r w:rsidR="004539E8" w:rsidRPr="0079543E">
        <w:t>to vastaa palvelun seurannasta ja valvonnasta asiakasprosessin näkökulmasta.</w:t>
      </w:r>
      <w:r w:rsidR="00B15052" w:rsidRPr="0079543E">
        <w:t xml:space="preserve"> Uudistuvat</w:t>
      </w:r>
      <w:r w:rsidR="00B15052">
        <w:t xml:space="preserve"> palvelut mahdollistavat uudenlaisen palvelumuotoilun ja avoimen markkinavuoropuhelun palveluntuottajien kanssa. </w:t>
      </w:r>
    </w:p>
    <w:p w:rsidR="00F86463" w:rsidRDefault="00480DD9" w:rsidP="00C414B8">
      <w:pPr>
        <w:jc w:val="both"/>
        <w:rPr>
          <w:bCs/>
        </w:rPr>
      </w:pPr>
      <w:r w:rsidRPr="00480DD9">
        <w:t xml:space="preserve">Tehtävänsiirrot palveluntuottajille saattaa asettaa asiakkaat eriarvoiseen asemaan. </w:t>
      </w:r>
      <w:r w:rsidR="00F86463" w:rsidRPr="00480DD9">
        <w:rPr>
          <w:bCs/>
        </w:rPr>
        <w:t xml:space="preserve">Kuka </w:t>
      </w:r>
      <w:r w:rsidRPr="00480DD9">
        <w:rPr>
          <w:bCs/>
        </w:rPr>
        <w:t xml:space="preserve">oikeasti </w:t>
      </w:r>
      <w:r w:rsidR="00F86463" w:rsidRPr="00480DD9">
        <w:rPr>
          <w:bCs/>
        </w:rPr>
        <w:t>vastaa asiakasprosessista kokonaisuutena?</w:t>
      </w:r>
      <w:r w:rsidRPr="00480DD9">
        <w:rPr>
          <w:bCs/>
        </w:rPr>
        <w:t xml:space="preserve"> </w:t>
      </w:r>
      <w:r w:rsidR="00F86463" w:rsidRPr="00480DD9">
        <w:rPr>
          <w:bCs/>
        </w:rPr>
        <w:t xml:space="preserve">Siirtyvätkö asiakkaat oikeasti palvelutarpeensa mukaisesti palveluntuottajalta toiselle vai pitävätkö palveluntuottajat tiukasti kiinni asiakkaistaan toimeentulonsa turvatakseen? </w:t>
      </w:r>
    </w:p>
    <w:p w:rsidR="0001019B" w:rsidRPr="0001019B" w:rsidRDefault="00DE690E" w:rsidP="00AB7470">
      <w:pPr>
        <w:jc w:val="both"/>
        <w:rPr>
          <w:highlight w:val="yellow"/>
        </w:rPr>
      </w:pPr>
      <w:r w:rsidRPr="00DE690E">
        <w:t xml:space="preserve">Tällä lainsäädännön muutoksella pystyttäisiin joiltain osin kokeilemaan tuleviin Kasvupalveluihin liittyviä ulkoistamisia. </w:t>
      </w:r>
      <w:r w:rsidR="0001019B" w:rsidRPr="00AB7470">
        <w:t xml:space="preserve">Käytännössä </w:t>
      </w:r>
      <w:r w:rsidR="00AB7470" w:rsidRPr="00AB7470">
        <w:t xml:space="preserve">suuri osa </w:t>
      </w:r>
      <w:r w:rsidR="0001019B" w:rsidRPr="00AB7470">
        <w:t>asiak</w:t>
      </w:r>
      <w:r w:rsidR="00AB7470" w:rsidRPr="00AB7470">
        <w:t>kaan palveluprosessiin liittyvistä toimista</w:t>
      </w:r>
      <w:r w:rsidR="0001019B" w:rsidRPr="00AB7470">
        <w:t xml:space="preserve"> voitaisiin jatkossa ostaa palveluntuottajalta. </w:t>
      </w:r>
    </w:p>
    <w:p w:rsidR="0001019B" w:rsidRPr="0001019B" w:rsidRDefault="0001019B" w:rsidP="0001019B">
      <w:pPr>
        <w:rPr>
          <w:highlight w:val="yellow"/>
        </w:rPr>
      </w:pPr>
    </w:p>
    <w:p w:rsidR="00BA3CB0" w:rsidRPr="00FF75DD" w:rsidRDefault="00BA3CB0" w:rsidP="00BA3CB0">
      <w:pPr>
        <w:jc w:val="both"/>
        <w:rPr>
          <w:b/>
          <w:bCs/>
          <w:u w:val="single"/>
        </w:rPr>
      </w:pPr>
      <w:r w:rsidRPr="00FF75DD">
        <w:rPr>
          <w:b/>
          <w:bCs/>
          <w:u w:val="single"/>
        </w:rPr>
        <w:t>Yksityiskohtaisempia huomioita luvuittain</w:t>
      </w:r>
    </w:p>
    <w:p w:rsidR="00356DB2" w:rsidRDefault="00356DB2" w:rsidP="00356DB2">
      <w:pPr>
        <w:rPr>
          <w:b/>
          <w:bCs/>
        </w:rPr>
      </w:pPr>
      <w:r>
        <w:rPr>
          <w:b/>
          <w:bCs/>
        </w:rPr>
        <w:t>Luku 1</w:t>
      </w:r>
    </w:p>
    <w:p w:rsidR="00356DB2" w:rsidRDefault="00356DB2" w:rsidP="00356DB2">
      <w:r>
        <w:t xml:space="preserve">4 §:n 3 mom. </w:t>
      </w:r>
      <w:proofErr w:type="gramStart"/>
      <w:r>
        <w:t>….</w:t>
      </w:r>
      <w:proofErr w:type="gramEnd"/>
      <w:r>
        <w:t>tai palvelutuottajan on annettava tietoa muista palvelumahdollisuuksista sekä tarvittaessa ohjattava asiakas muun viranomaisen tai palvelunjärjestäjän palvelujen piiriin yhteistyössä näiden kanssa.</w:t>
      </w:r>
    </w:p>
    <w:p w:rsidR="006A1D51" w:rsidRDefault="006A1D51" w:rsidP="00E27AE7">
      <w:pPr>
        <w:jc w:val="both"/>
      </w:pPr>
    </w:p>
    <w:p w:rsidR="006A1D51" w:rsidRDefault="006A1D51" w:rsidP="00E27AE7">
      <w:pPr>
        <w:jc w:val="both"/>
      </w:pPr>
    </w:p>
    <w:p w:rsidR="00356DB2" w:rsidRPr="00E27AE7" w:rsidRDefault="00356DB2" w:rsidP="00E27AE7">
      <w:pPr>
        <w:jc w:val="both"/>
      </w:pPr>
      <w:r w:rsidRPr="00E27AE7">
        <w:t xml:space="preserve">Kuinka hyvin palvelutuottajat kykenevät laaja-alaiseen asiakasohjaukseen (muihin palveluihin) ja tekemään siirron ja kenen vastuulle asiakas silloin jää? </w:t>
      </w:r>
    </w:p>
    <w:p w:rsidR="00356DB2" w:rsidRDefault="00356DB2" w:rsidP="00356DB2"/>
    <w:p w:rsidR="00CE3E51" w:rsidRDefault="00356DB2" w:rsidP="00356DB2">
      <w:r>
        <w:t xml:space="preserve">5  § Palvelujen tuottaminen ja hankkiminen </w:t>
      </w:r>
    </w:p>
    <w:p w:rsidR="00356DB2" w:rsidRPr="00CE3E51" w:rsidRDefault="00CE3E51" w:rsidP="00CE3E51">
      <w:pPr>
        <w:jc w:val="both"/>
      </w:pPr>
      <w:r w:rsidRPr="00CE3E51">
        <w:t>L</w:t>
      </w:r>
      <w:r w:rsidR="00356DB2" w:rsidRPr="00CE3E51">
        <w:t>akiluonnos mahdollistaa monipuolisesti palvelujen hankintaa kulloisenkin tarpeen mukaisesti</w:t>
      </w:r>
      <w:r w:rsidRPr="00CE3E51">
        <w:t>.</w:t>
      </w:r>
    </w:p>
    <w:p w:rsidR="00356DB2" w:rsidRDefault="00356DB2" w:rsidP="00356DB2"/>
    <w:p w:rsidR="00356DB2" w:rsidRDefault="00356DB2" w:rsidP="00356DB2">
      <w:pPr>
        <w:rPr>
          <w:b/>
          <w:bCs/>
        </w:rPr>
      </w:pPr>
      <w:r>
        <w:rPr>
          <w:b/>
          <w:bCs/>
        </w:rPr>
        <w:t>Luku 2</w:t>
      </w:r>
    </w:p>
    <w:p w:rsidR="00480DD9" w:rsidRDefault="00356DB2" w:rsidP="00480DD9">
      <w:pPr>
        <w:jc w:val="both"/>
        <w:rPr>
          <w:rFonts w:ascii="Wingdings" w:hAnsi="Wingdings"/>
        </w:rPr>
      </w:pPr>
      <w:r>
        <w:t>9  § Työ- ja elinkeinoviranomaisen ja palvelutuottajan velvollisuudet</w:t>
      </w:r>
    </w:p>
    <w:p w:rsidR="00356DB2" w:rsidRDefault="00480DD9" w:rsidP="00480DD9">
      <w:pPr>
        <w:jc w:val="both"/>
        <w:rPr>
          <w:color w:val="FF0000"/>
        </w:rPr>
      </w:pPr>
      <w:r w:rsidRPr="00480DD9">
        <w:t>J</w:t>
      </w:r>
      <w:r w:rsidR="00356DB2" w:rsidRPr="00480DD9">
        <w:t xml:space="preserve">os palvelutuottajille on hankintasopimuksen mukaisesti sovittu palvelujen ja toimien toteuttamista, </w:t>
      </w:r>
      <w:r w:rsidRPr="00480DD9">
        <w:t>niin miten varmennetaan, että palveluntuottajat</w:t>
      </w:r>
      <w:r w:rsidR="00356DB2" w:rsidRPr="00480DD9">
        <w:t xml:space="preserve"> yhdenvertaisesti hoitavat asiakasprosessien seurannat ja niihin liittyvät raportointi ve</w:t>
      </w:r>
      <w:r w:rsidRPr="00480DD9">
        <w:t>lvoitteet?</w:t>
      </w:r>
      <w:r w:rsidR="00566592" w:rsidRPr="00480DD9">
        <w:t xml:space="preserve"> Jos </w:t>
      </w:r>
      <w:r w:rsidR="00566592" w:rsidRPr="00566592">
        <w:t xml:space="preserve">palvelutuottaja </w:t>
      </w:r>
      <w:r w:rsidR="00356DB2" w:rsidRPr="00566592">
        <w:t>laiminlyö velvoitteitaan, niin niiden toteu</w:t>
      </w:r>
      <w:r>
        <w:t xml:space="preserve">tumisesta vastaa TE-toimisto. </w:t>
      </w:r>
      <w:r w:rsidR="00566592" w:rsidRPr="00566592">
        <w:t xml:space="preserve">TE-toimiston </w:t>
      </w:r>
      <w:r>
        <w:t xml:space="preserve">uudenlaiset palveluntuottajien </w:t>
      </w:r>
      <w:r w:rsidR="00566592" w:rsidRPr="00566592">
        <w:t xml:space="preserve">seuranta ja valvontatehtävät edellyttävät suurta henkilöstöresursointia ja varautumista. </w:t>
      </w:r>
    </w:p>
    <w:p w:rsidR="00356DB2" w:rsidRDefault="00356DB2" w:rsidP="00356DB2">
      <w:pPr>
        <w:rPr>
          <w:color w:val="FF0000"/>
        </w:rPr>
      </w:pPr>
    </w:p>
    <w:p w:rsidR="00356DB2" w:rsidRDefault="009E354E" w:rsidP="00356DB2">
      <w:pPr>
        <w:rPr>
          <w:b/>
          <w:bCs/>
        </w:rPr>
      </w:pPr>
      <w:r>
        <w:rPr>
          <w:b/>
          <w:bCs/>
        </w:rPr>
        <w:t>Luku 4</w:t>
      </w:r>
    </w:p>
    <w:p w:rsidR="009E354E" w:rsidRDefault="00356DB2" w:rsidP="00356DB2">
      <w:pPr>
        <w:rPr>
          <w:rFonts w:ascii="Wingdings" w:hAnsi="Wingdings"/>
        </w:rPr>
      </w:pPr>
      <w:r>
        <w:t>4  § Valmennus ja kokeilu</w:t>
      </w:r>
    </w:p>
    <w:p w:rsidR="00356DB2" w:rsidRPr="009E354E" w:rsidRDefault="009E354E" w:rsidP="009E354E">
      <w:pPr>
        <w:jc w:val="both"/>
      </w:pPr>
      <w:r w:rsidRPr="009E354E">
        <w:t xml:space="preserve">Ehdotuksen mukaan </w:t>
      </w:r>
      <w:r w:rsidR="00356DB2" w:rsidRPr="009E354E">
        <w:t>myös palvelutuottaja voi tarjota henkilöasiakkaalle valmennusta tai ohjata työkokeiluun, jos järjestämisestä on sovittu hankintasopimuksessa. Voiko tätä lainkohtaa soveltaa myös siten, että palvelutuottaja voi teh</w:t>
      </w:r>
      <w:r>
        <w:t>dä sopimuksia myös oman yhtiönsä</w:t>
      </w:r>
      <w:r w:rsidR="00356DB2" w:rsidRPr="009E354E">
        <w:t xml:space="preserve"> kanssa? Jos näistäkin toimista ker</w:t>
      </w:r>
      <w:r w:rsidRPr="009E354E">
        <w:t>tyisi tulospalkkiota palvelujen</w:t>
      </w:r>
      <w:r w:rsidR="00356DB2" w:rsidRPr="009E354E">
        <w:t>tuottajalle, vääristäisikö se toimintaa jollakin tavalla ja olisiko se aina edes asiakkaan etu?</w:t>
      </w:r>
    </w:p>
    <w:p w:rsidR="00356DB2" w:rsidRDefault="00356DB2" w:rsidP="00356DB2">
      <w:pPr>
        <w:rPr>
          <w:color w:val="FF0000"/>
        </w:rPr>
      </w:pPr>
    </w:p>
    <w:p w:rsidR="00356DB2" w:rsidRPr="003F5777" w:rsidRDefault="00356DB2" w:rsidP="00905FD2">
      <w:pPr>
        <w:jc w:val="both"/>
      </w:pPr>
      <w:r w:rsidRPr="003F5777">
        <w:t>10  § Valmennuksen ja kokeilun keskeyttäminen 2 mom. … velvollisuus ilmoittaa yhdenjaksoisesti yli viisi päivää kestävistä poissaoloista</w:t>
      </w:r>
      <w:r w:rsidR="00905FD2" w:rsidRPr="003F5777">
        <w:t>. M</w:t>
      </w:r>
      <w:r w:rsidRPr="003F5777">
        <w:t>iten varmistetaan asiakkaiden yhdenvertainen kohtelu</w:t>
      </w:r>
      <w:r w:rsidR="00905FD2" w:rsidRPr="003F5777">
        <w:t>?</w:t>
      </w:r>
    </w:p>
    <w:p w:rsidR="00356DB2" w:rsidRDefault="00356DB2" w:rsidP="00356DB2">
      <w:pPr>
        <w:rPr>
          <w:color w:val="C00000"/>
        </w:rPr>
      </w:pPr>
    </w:p>
    <w:p w:rsidR="00356DB2" w:rsidRDefault="00356DB2" w:rsidP="00356DB2">
      <w:pPr>
        <w:rPr>
          <w:b/>
          <w:bCs/>
        </w:rPr>
      </w:pPr>
      <w:r>
        <w:rPr>
          <w:b/>
          <w:bCs/>
        </w:rPr>
        <w:t>12 Luku</w:t>
      </w:r>
    </w:p>
    <w:p w:rsidR="00AD7339" w:rsidRDefault="00356DB2" w:rsidP="00AD7339">
      <w:pPr>
        <w:jc w:val="both"/>
      </w:pPr>
      <w:r>
        <w:t>7  § työnvälityspalveluiden tarjoamisesta tai työkokeiluun ohjaamisesta kieltäytyminen edellyttää palveluntuottajalta asian siirtoa viipymättä TE-toimiston p</w:t>
      </w:r>
      <w:r w:rsidRPr="00AD7339">
        <w:t>äätettäväksi</w:t>
      </w:r>
      <w:r w:rsidR="00AD7339">
        <w:t xml:space="preserve">. </w:t>
      </w:r>
    </w:p>
    <w:p w:rsidR="00356DB2" w:rsidRDefault="00AD7339" w:rsidP="00356DB2">
      <w:pPr>
        <w:rPr>
          <w:color w:val="FF0000"/>
        </w:rPr>
      </w:pPr>
      <w:r w:rsidRPr="00AD7339">
        <w:t>L</w:t>
      </w:r>
      <w:r w:rsidR="00356DB2" w:rsidRPr="00AD7339">
        <w:t>akiteksti on selkeästi määritelty ja edellyttää palvelutuottajilta yhtenäistä käytäntöä.</w:t>
      </w:r>
    </w:p>
    <w:p w:rsidR="00356DB2" w:rsidRDefault="00356DB2" w:rsidP="00356DB2">
      <w:pPr>
        <w:rPr>
          <w:color w:val="FF0000"/>
        </w:rPr>
      </w:pPr>
    </w:p>
    <w:p w:rsidR="004F31D2" w:rsidRDefault="00356DB2" w:rsidP="00356DB2">
      <w:pPr>
        <w:rPr>
          <w:rFonts w:ascii="Wingdings" w:hAnsi="Wingdings"/>
        </w:rPr>
      </w:pPr>
      <w:r>
        <w:rPr>
          <w:b/>
          <w:bCs/>
        </w:rPr>
        <w:t xml:space="preserve">Luku 13 </w:t>
      </w:r>
      <w:r>
        <w:t xml:space="preserve">tietojärjestelmät </w:t>
      </w:r>
    </w:p>
    <w:p w:rsidR="00356DB2" w:rsidRPr="004F31D2" w:rsidRDefault="004F31D2" w:rsidP="004F31D2">
      <w:pPr>
        <w:jc w:val="both"/>
      </w:pPr>
      <w:r w:rsidRPr="004F31D2">
        <w:t>Tietojärjestelmät</w:t>
      </w:r>
      <w:r w:rsidR="00356DB2" w:rsidRPr="004F31D2">
        <w:t xml:space="preserve"> tulevat o</w:t>
      </w:r>
      <w:r w:rsidRPr="004F31D2">
        <w:t>lemaan haaste: M</w:t>
      </w:r>
      <w:r w:rsidR="00356DB2" w:rsidRPr="004F31D2">
        <w:t xml:space="preserve">iten tieto liikkuu, miten järjestelmät toimivat, </w:t>
      </w:r>
      <w:r w:rsidR="003F0899">
        <w:t xml:space="preserve">ovatko </w:t>
      </w:r>
      <w:r w:rsidR="00356DB2" w:rsidRPr="004F31D2">
        <w:t>tie</w:t>
      </w:r>
      <w:r w:rsidR="003F0899">
        <w:t xml:space="preserve">dot oikeita ja ajantasaisia, kuka tiedoista viime kädessä vastaa? </w:t>
      </w:r>
      <w:r w:rsidRPr="004F31D2">
        <w:t xml:space="preserve"> </w:t>
      </w:r>
    </w:p>
    <w:p w:rsidR="00356DB2" w:rsidRDefault="00356DB2" w:rsidP="00356DB2">
      <w:pPr>
        <w:rPr>
          <w:color w:val="FF0000"/>
        </w:rPr>
      </w:pPr>
    </w:p>
    <w:p w:rsidR="0092741D" w:rsidRDefault="0092741D" w:rsidP="005C7CBE">
      <w:pPr>
        <w:jc w:val="both"/>
      </w:pPr>
    </w:p>
    <w:p w:rsidR="006059AB" w:rsidRDefault="006059AB" w:rsidP="00E919D3">
      <w:pPr>
        <w:jc w:val="both"/>
      </w:pPr>
    </w:p>
    <w:p w:rsidR="00EF0B3D" w:rsidRDefault="00515DDC" w:rsidP="00E919D3">
      <w:pPr>
        <w:jc w:val="both"/>
      </w:pPr>
      <w:r>
        <w:t xml:space="preserve">Seinäjoella </w:t>
      </w:r>
      <w:proofErr w:type="gramStart"/>
      <w:r>
        <w:t>05</w:t>
      </w:r>
      <w:r w:rsidR="00EF0B3D">
        <w:t>.</w:t>
      </w:r>
      <w:r w:rsidR="00C35924">
        <w:t>04</w:t>
      </w:r>
      <w:r w:rsidR="00EF0B3D">
        <w:t>.201</w:t>
      </w:r>
      <w:r w:rsidR="00C35924">
        <w:t>8</w:t>
      </w:r>
      <w:proofErr w:type="gramEnd"/>
    </w:p>
    <w:p w:rsidR="00EF0B3D" w:rsidRDefault="00EF0B3D" w:rsidP="00E919D3">
      <w:pPr>
        <w:jc w:val="both"/>
      </w:pPr>
    </w:p>
    <w:p w:rsidR="00EF0B3D" w:rsidRDefault="00EF0B3D" w:rsidP="00E919D3">
      <w:pPr>
        <w:jc w:val="both"/>
      </w:pPr>
      <w:r>
        <w:t>Etelä-Pohjanmaan ELY-keskus</w:t>
      </w:r>
      <w:r>
        <w:tab/>
      </w:r>
      <w:r>
        <w:tab/>
        <w:t>Etelä-Pohjanmaan TE-toimisto</w:t>
      </w:r>
    </w:p>
    <w:p w:rsidR="00EF0B3D" w:rsidRDefault="00EF0B3D" w:rsidP="00E919D3">
      <w:pPr>
        <w:jc w:val="both"/>
      </w:pPr>
    </w:p>
    <w:p w:rsidR="00EF0B3D" w:rsidRPr="007E250A" w:rsidRDefault="00DB7544" w:rsidP="00E919D3">
      <w:pPr>
        <w:jc w:val="both"/>
        <w:rPr>
          <w:rFonts w:ascii="Lucida Handwriting" w:hAnsi="Lucida Handwriting"/>
        </w:rPr>
      </w:pPr>
      <w:r>
        <w:rPr>
          <w:rFonts w:ascii="Lucida Handwriting" w:hAnsi="Lucida Handwriting"/>
        </w:rPr>
        <w:t>Marjut Leppänen</w:t>
      </w:r>
      <w:r>
        <w:rPr>
          <w:rFonts w:ascii="Lucida Handwriting" w:hAnsi="Lucida Handwriting"/>
        </w:rPr>
        <w:tab/>
      </w:r>
      <w:r>
        <w:rPr>
          <w:rFonts w:ascii="Lucida Handwriting" w:hAnsi="Lucida Handwriting"/>
        </w:rPr>
        <w:tab/>
      </w:r>
      <w:r>
        <w:rPr>
          <w:rFonts w:ascii="Lucida Handwriting" w:hAnsi="Lucida Handwriting"/>
        </w:rPr>
        <w:tab/>
        <w:t>Leena Tuohimaa-Kari</w:t>
      </w:r>
    </w:p>
    <w:p w:rsidR="00EF0B3D" w:rsidRDefault="00EF0B3D" w:rsidP="00E919D3">
      <w:pPr>
        <w:jc w:val="both"/>
      </w:pPr>
      <w:r>
        <w:t>Marjut Leppänen</w:t>
      </w:r>
      <w:r>
        <w:tab/>
      </w:r>
      <w:r>
        <w:tab/>
      </w:r>
      <w:r>
        <w:tab/>
        <w:t>Leena Tuohimaa-Kari</w:t>
      </w:r>
    </w:p>
    <w:p w:rsidR="00EF0B3D" w:rsidRDefault="00EF0B3D" w:rsidP="00E919D3">
      <w:pPr>
        <w:jc w:val="both"/>
      </w:pPr>
      <w:r>
        <w:t>yksikön päällikkö</w:t>
      </w:r>
      <w:r>
        <w:tab/>
      </w:r>
      <w:r>
        <w:tab/>
      </w:r>
      <w:r>
        <w:tab/>
        <w:t xml:space="preserve">TE-toimiston johtaja </w:t>
      </w:r>
    </w:p>
    <w:p w:rsidR="00C30D19" w:rsidRDefault="00C30D19" w:rsidP="00E919D3">
      <w:pPr>
        <w:jc w:val="both"/>
      </w:pPr>
      <w:r>
        <w:t>yritys- ja työvoimayksikkö</w:t>
      </w:r>
    </w:p>
    <w:sectPr w:rsidR="00C30D19">
      <w:headerReference w:type="default" r:id="rId7"/>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0C3" w:rsidRDefault="002760C3" w:rsidP="002760C3">
      <w:pPr>
        <w:spacing w:after="0" w:line="240" w:lineRule="auto"/>
      </w:pPr>
      <w:r>
        <w:separator/>
      </w:r>
    </w:p>
  </w:endnote>
  <w:endnote w:type="continuationSeparator" w:id="0">
    <w:p w:rsidR="002760C3" w:rsidRDefault="002760C3" w:rsidP="00276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928475"/>
      <w:docPartObj>
        <w:docPartGallery w:val="Page Numbers (Bottom of Page)"/>
        <w:docPartUnique/>
      </w:docPartObj>
    </w:sdtPr>
    <w:sdtEndPr/>
    <w:sdtContent>
      <w:p w:rsidR="00794487" w:rsidRDefault="00794487">
        <w:pPr>
          <w:pStyle w:val="Alatunniste"/>
          <w:jc w:val="right"/>
        </w:pPr>
        <w:r>
          <w:fldChar w:fldCharType="begin"/>
        </w:r>
        <w:r>
          <w:instrText>PAGE   \* MERGEFORMAT</w:instrText>
        </w:r>
        <w:r>
          <w:fldChar w:fldCharType="separate"/>
        </w:r>
        <w:r w:rsidR="00515DDC">
          <w:rPr>
            <w:noProof/>
          </w:rPr>
          <w:t>1</w:t>
        </w:r>
        <w:r>
          <w:fldChar w:fldCharType="end"/>
        </w:r>
      </w:p>
    </w:sdtContent>
  </w:sdt>
  <w:p w:rsidR="00794487" w:rsidRDefault="00794487">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0C3" w:rsidRDefault="002760C3" w:rsidP="002760C3">
      <w:pPr>
        <w:spacing w:after="0" w:line="240" w:lineRule="auto"/>
      </w:pPr>
      <w:r>
        <w:separator/>
      </w:r>
    </w:p>
  </w:footnote>
  <w:footnote w:type="continuationSeparator" w:id="0">
    <w:p w:rsidR="002760C3" w:rsidRDefault="002760C3" w:rsidP="00276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0C3" w:rsidRDefault="002760C3">
    <w:pPr>
      <w:pStyle w:val="Yltunniste"/>
    </w:pPr>
    <w:r>
      <w:rPr>
        <w:noProof/>
        <w:lang w:eastAsia="fi-FI"/>
      </w:rPr>
      <w:drawing>
        <wp:anchor distT="0" distB="0" distL="114300" distR="114300" simplePos="0" relativeHeight="251659264" behindDoc="0" locked="0" layoutInCell="0" allowOverlap="1" wp14:anchorId="6122DD2E" wp14:editId="118C230D">
          <wp:simplePos x="0" y="0"/>
          <wp:positionH relativeFrom="page">
            <wp:posOffset>320040</wp:posOffset>
          </wp:positionH>
          <wp:positionV relativeFrom="page">
            <wp:posOffset>267970</wp:posOffset>
          </wp:positionV>
          <wp:extent cx="2444115" cy="1026160"/>
          <wp:effectExtent l="0" t="0" r="0" b="0"/>
          <wp:wrapNone/>
          <wp:docPr id="1" name="Kuva 1" descr="ELY_LA01_Logo___FI_V9_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ELY_LA01_Logo___FI_V9__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4115" cy="102616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rsidR="00515DDC">
      <w:t>05</w:t>
    </w:r>
    <w:r>
      <w:t>.</w:t>
    </w:r>
    <w:r w:rsidR="00E85E09">
      <w:t>04</w:t>
    </w:r>
    <w:r w:rsidR="00FB2EEA">
      <w:t>.201</w:t>
    </w:r>
    <w:r w:rsidR="00E85E09">
      <w:t>8</w:t>
    </w:r>
    <w:r>
      <w:ptab w:relativeTo="margin" w:alignment="right" w:leader="none"/>
    </w:r>
    <w:r w:rsidR="00C30D19">
      <w:t>KEHA</w:t>
    </w:r>
    <w:r>
      <w:t>/</w:t>
    </w:r>
    <w:r w:rsidR="00B357B4">
      <w:t>1272</w:t>
    </w:r>
    <w:r w:rsidR="006551C1">
      <w:t>/201</w:t>
    </w:r>
    <w:r w:rsidR="00B357B4">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17832"/>
    <w:multiLevelType w:val="hybridMultilevel"/>
    <w:tmpl w:val="B5CCDF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B6A3706"/>
    <w:multiLevelType w:val="hybridMultilevel"/>
    <w:tmpl w:val="E87201E6"/>
    <w:lvl w:ilvl="0" w:tplc="24A07A50">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33BD073A"/>
    <w:multiLevelType w:val="hybridMultilevel"/>
    <w:tmpl w:val="20F00C2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46323978"/>
    <w:multiLevelType w:val="hybridMultilevel"/>
    <w:tmpl w:val="AD5E6830"/>
    <w:lvl w:ilvl="0" w:tplc="52B6602A">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 w15:restartNumberingAfterBreak="0">
    <w:nsid w:val="4ECF3138"/>
    <w:multiLevelType w:val="hybridMultilevel"/>
    <w:tmpl w:val="9FC861C0"/>
    <w:lvl w:ilvl="0" w:tplc="39C24496">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01"/>
    <w:rsid w:val="0001019B"/>
    <w:rsid w:val="00025029"/>
    <w:rsid w:val="00035BBF"/>
    <w:rsid w:val="0005602B"/>
    <w:rsid w:val="00065C93"/>
    <w:rsid w:val="000E35A7"/>
    <w:rsid w:val="000F054E"/>
    <w:rsid w:val="000F2E72"/>
    <w:rsid w:val="00102E36"/>
    <w:rsid w:val="00126B3C"/>
    <w:rsid w:val="00137217"/>
    <w:rsid w:val="00163D7E"/>
    <w:rsid w:val="00166F74"/>
    <w:rsid w:val="00176771"/>
    <w:rsid w:val="00177357"/>
    <w:rsid w:val="00183AE6"/>
    <w:rsid w:val="00194BE8"/>
    <w:rsid w:val="00195D8B"/>
    <w:rsid w:val="001B6A54"/>
    <w:rsid w:val="001C39D7"/>
    <w:rsid w:val="001F1C6E"/>
    <w:rsid w:val="0020068A"/>
    <w:rsid w:val="00230DA5"/>
    <w:rsid w:val="00233387"/>
    <w:rsid w:val="002760C3"/>
    <w:rsid w:val="002760D2"/>
    <w:rsid w:val="00277323"/>
    <w:rsid w:val="0028013B"/>
    <w:rsid w:val="00285B4B"/>
    <w:rsid w:val="002F22C3"/>
    <w:rsid w:val="002F7CB5"/>
    <w:rsid w:val="003010AD"/>
    <w:rsid w:val="00310D37"/>
    <w:rsid w:val="00342416"/>
    <w:rsid w:val="00356DB2"/>
    <w:rsid w:val="00361B9A"/>
    <w:rsid w:val="00375C5C"/>
    <w:rsid w:val="003F0899"/>
    <w:rsid w:val="003F5777"/>
    <w:rsid w:val="00412361"/>
    <w:rsid w:val="004539E8"/>
    <w:rsid w:val="00464B10"/>
    <w:rsid w:val="00480DD9"/>
    <w:rsid w:val="004926C4"/>
    <w:rsid w:val="004B2FC8"/>
    <w:rsid w:val="004B37FC"/>
    <w:rsid w:val="004B7883"/>
    <w:rsid w:val="004D211C"/>
    <w:rsid w:val="004D4C10"/>
    <w:rsid w:val="004D680A"/>
    <w:rsid w:val="004E4A4E"/>
    <w:rsid w:val="004F31D2"/>
    <w:rsid w:val="00512471"/>
    <w:rsid w:val="005135D8"/>
    <w:rsid w:val="00513D67"/>
    <w:rsid w:val="00515DDC"/>
    <w:rsid w:val="005321D7"/>
    <w:rsid w:val="00566592"/>
    <w:rsid w:val="00571A09"/>
    <w:rsid w:val="005773A8"/>
    <w:rsid w:val="005C7CBE"/>
    <w:rsid w:val="005D79A9"/>
    <w:rsid w:val="005F44D9"/>
    <w:rsid w:val="006059AB"/>
    <w:rsid w:val="00613C1D"/>
    <w:rsid w:val="00624AC6"/>
    <w:rsid w:val="006267A8"/>
    <w:rsid w:val="006551C1"/>
    <w:rsid w:val="00667A8C"/>
    <w:rsid w:val="00682C05"/>
    <w:rsid w:val="0069042D"/>
    <w:rsid w:val="006A1D51"/>
    <w:rsid w:val="006A7436"/>
    <w:rsid w:val="006B0313"/>
    <w:rsid w:val="006C3248"/>
    <w:rsid w:val="006D5A9D"/>
    <w:rsid w:val="00702950"/>
    <w:rsid w:val="007056F9"/>
    <w:rsid w:val="00716DCB"/>
    <w:rsid w:val="00732700"/>
    <w:rsid w:val="007633A8"/>
    <w:rsid w:val="00766471"/>
    <w:rsid w:val="00794487"/>
    <w:rsid w:val="0079543E"/>
    <w:rsid w:val="00795B90"/>
    <w:rsid w:val="007C1561"/>
    <w:rsid w:val="007E2038"/>
    <w:rsid w:val="007E250A"/>
    <w:rsid w:val="007F6F7E"/>
    <w:rsid w:val="0080636E"/>
    <w:rsid w:val="00843F06"/>
    <w:rsid w:val="008B7675"/>
    <w:rsid w:val="008C7C28"/>
    <w:rsid w:val="008D7A01"/>
    <w:rsid w:val="00905FD2"/>
    <w:rsid w:val="00910F81"/>
    <w:rsid w:val="0092741D"/>
    <w:rsid w:val="00953EAB"/>
    <w:rsid w:val="00962268"/>
    <w:rsid w:val="00996C64"/>
    <w:rsid w:val="009C1618"/>
    <w:rsid w:val="009C4BA4"/>
    <w:rsid w:val="009D6B45"/>
    <w:rsid w:val="009E354E"/>
    <w:rsid w:val="009E77BA"/>
    <w:rsid w:val="00A4018A"/>
    <w:rsid w:val="00A522C6"/>
    <w:rsid w:val="00A9292A"/>
    <w:rsid w:val="00A95164"/>
    <w:rsid w:val="00AB7470"/>
    <w:rsid w:val="00AB7F26"/>
    <w:rsid w:val="00AD7339"/>
    <w:rsid w:val="00B04B37"/>
    <w:rsid w:val="00B1192B"/>
    <w:rsid w:val="00B15052"/>
    <w:rsid w:val="00B357B4"/>
    <w:rsid w:val="00B4343B"/>
    <w:rsid w:val="00B671E0"/>
    <w:rsid w:val="00BA3CB0"/>
    <w:rsid w:val="00BA552E"/>
    <w:rsid w:val="00BC0653"/>
    <w:rsid w:val="00C25A42"/>
    <w:rsid w:val="00C30D19"/>
    <w:rsid w:val="00C3196C"/>
    <w:rsid w:val="00C35924"/>
    <w:rsid w:val="00C414B8"/>
    <w:rsid w:val="00C55901"/>
    <w:rsid w:val="00C64581"/>
    <w:rsid w:val="00C70CA8"/>
    <w:rsid w:val="00C81F76"/>
    <w:rsid w:val="00C868E1"/>
    <w:rsid w:val="00CA595D"/>
    <w:rsid w:val="00CC2F74"/>
    <w:rsid w:val="00CC634E"/>
    <w:rsid w:val="00CE2789"/>
    <w:rsid w:val="00CE3E51"/>
    <w:rsid w:val="00CF166A"/>
    <w:rsid w:val="00D43F97"/>
    <w:rsid w:val="00D66BD8"/>
    <w:rsid w:val="00D730C5"/>
    <w:rsid w:val="00D9057E"/>
    <w:rsid w:val="00D92F14"/>
    <w:rsid w:val="00DB7544"/>
    <w:rsid w:val="00DC6587"/>
    <w:rsid w:val="00DD0A73"/>
    <w:rsid w:val="00DE2940"/>
    <w:rsid w:val="00DE690E"/>
    <w:rsid w:val="00DF14DB"/>
    <w:rsid w:val="00E2120E"/>
    <w:rsid w:val="00E27AE7"/>
    <w:rsid w:val="00E35B65"/>
    <w:rsid w:val="00E37CCE"/>
    <w:rsid w:val="00E430DF"/>
    <w:rsid w:val="00E4467C"/>
    <w:rsid w:val="00E53E0B"/>
    <w:rsid w:val="00E54B1B"/>
    <w:rsid w:val="00E643A3"/>
    <w:rsid w:val="00E72118"/>
    <w:rsid w:val="00E85E09"/>
    <w:rsid w:val="00E86501"/>
    <w:rsid w:val="00E919D3"/>
    <w:rsid w:val="00EA5271"/>
    <w:rsid w:val="00EB5D16"/>
    <w:rsid w:val="00EB731C"/>
    <w:rsid w:val="00EC4998"/>
    <w:rsid w:val="00ED5A81"/>
    <w:rsid w:val="00EF0B3D"/>
    <w:rsid w:val="00EF14C4"/>
    <w:rsid w:val="00F13DFA"/>
    <w:rsid w:val="00F274F6"/>
    <w:rsid w:val="00F33590"/>
    <w:rsid w:val="00F40C82"/>
    <w:rsid w:val="00F54D3D"/>
    <w:rsid w:val="00F63BDA"/>
    <w:rsid w:val="00F86463"/>
    <w:rsid w:val="00F93B70"/>
    <w:rsid w:val="00F97DB3"/>
    <w:rsid w:val="00FB2EEA"/>
    <w:rsid w:val="00FC5492"/>
    <w:rsid w:val="00FC77F0"/>
    <w:rsid w:val="00FD018E"/>
    <w:rsid w:val="00FE47CA"/>
    <w:rsid w:val="00FF75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ACDDA-6FA0-439C-96F2-A5BF6BA7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760C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760C3"/>
  </w:style>
  <w:style w:type="paragraph" w:styleId="Alatunniste">
    <w:name w:val="footer"/>
    <w:basedOn w:val="Normaali"/>
    <w:link w:val="AlatunnisteChar"/>
    <w:uiPriority w:val="99"/>
    <w:unhideWhenUsed/>
    <w:rsid w:val="002760C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760C3"/>
  </w:style>
  <w:style w:type="paragraph" w:styleId="Luettelokappale">
    <w:name w:val="List Paragraph"/>
    <w:basedOn w:val="Normaali"/>
    <w:uiPriority w:val="34"/>
    <w:qFormat/>
    <w:rsid w:val="00342416"/>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597">
      <w:bodyDiv w:val="1"/>
      <w:marLeft w:val="0"/>
      <w:marRight w:val="0"/>
      <w:marTop w:val="0"/>
      <w:marBottom w:val="0"/>
      <w:divBdr>
        <w:top w:val="none" w:sz="0" w:space="0" w:color="auto"/>
        <w:left w:val="none" w:sz="0" w:space="0" w:color="auto"/>
        <w:bottom w:val="none" w:sz="0" w:space="0" w:color="auto"/>
        <w:right w:val="none" w:sz="0" w:space="0" w:color="auto"/>
      </w:divBdr>
    </w:div>
    <w:div w:id="203913378">
      <w:bodyDiv w:val="1"/>
      <w:marLeft w:val="0"/>
      <w:marRight w:val="0"/>
      <w:marTop w:val="0"/>
      <w:marBottom w:val="0"/>
      <w:divBdr>
        <w:top w:val="none" w:sz="0" w:space="0" w:color="auto"/>
        <w:left w:val="none" w:sz="0" w:space="0" w:color="auto"/>
        <w:bottom w:val="none" w:sz="0" w:space="0" w:color="auto"/>
        <w:right w:val="none" w:sz="0" w:space="0" w:color="auto"/>
      </w:divBdr>
    </w:div>
    <w:div w:id="269045279">
      <w:bodyDiv w:val="1"/>
      <w:marLeft w:val="0"/>
      <w:marRight w:val="0"/>
      <w:marTop w:val="0"/>
      <w:marBottom w:val="0"/>
      <w:divBdr>
        <w:top w:val="none" w:sz="0" w:space="0" w:color="auto"/>
        <w:left w:val="none" w:sz="0" w:space="0" w:color="auto"/>
        <w:bottom w:val="none" w:sz="0" w:space="0" w:color="auto"/>
        <w:right w:val="none" w:sz="0" w:space="0" w:color="auto"/>
      </w:divBdr>
    </w:div>
    <w:div w:id="280765786">
      <w:bodyDiv w:val="1"/>
      <w:marLeft w:val="0"/>
      <w:marRight w:val="0"/>
      <w:marTop w:val="0"/>
      <w:marBottom w:val="0"/>
      <w:divBdr>
        <w:top w:val="none" w:sz="0" w:space="0" w:color="auto"/>
        <w:left w:val="none" w:sz="0" w:space="0" w:color="auto"/>
        <w:bottom w:val="none" w:sz="0" w:space="0" w:color="auto"/>
        <w:right w:val="none" w:sz="0" w:space="0" w:color="auto"/>
      </w:divBdr>
    </w:div>
    <w:div w:id="395007461">
      <w:bodyDiv w:val="1"/>
      <w:marLeft w:val="0"/>
      <w:marRight w:val="0"/>
      <w:marTop w:val="0"/>
      <w:marBottom w:val="0"/>
      <w:divBdr>
        <w:top w:val="none" w:sz="0" w:space="0" w:color="auto"/>
        <w:left w:val="none" w:sz="0" w:space="0" w:color="auto"/>
        <w:bottom w:val="none" w:sz="0" w:space="0" w:color="auto"/>
        <w:right w:val="none" w:sz="0" w:space="0" w:color="auto"/>
      </w:divBdr>
    </w:div>
    <w:div w:id="851990271">
      <w:bodyDiv w:val="1"/>
      <w:marLeft w:val="0"/>
      <w:marRight w:val="0"/>
      <w:marTop w:val="0"/>
      <w:marBottom w:val="0"/>
      <w:divBdr>
        <w:top w:val="none" w:sz="0" w:space="0" w:color="auto"/>
        <w:left w:val="none" w:sz="0" w:space="0" w:color="auto"/>
        <w:bottom w:val="none" w:sz="0" w:space="0" w:color="auto"/>
        <w:right w:val="none" w:sz="0" w:space="0" w:color="auto"/>
      </w:divBdr>
    </w:div>
    <w:div w:id="1076364311">
      <w:bodyDiv w:val="1"/>
      <w:marLeft w:val="0"/>
      <w:marRight w:val="0"/>
      <w:marTop w:val="0"/>
      <w:marBottom w:val="0"/>
      <w:divBdr>
        <w:top w:val="none" w:sz="0" w:space="0" w:color="auto"/>
        <w:left w:val="none" w:sz="0" w:space="0" w:color="auto"/>
        <w:bottom w:val="none" w:sz="0" w:space="0" w:color="auto"/>
        <w:right w:val="none" w:sz="0" w:space="0" w:color="auto"/>
      </w:divBdr>
    </w:div>
    <w:div w:id="1250193795">
      <w:bodyDiv w:val="1"/>
      <w:marLeft w:val="0"/>
      <w:marRight w:val="0"/>
      <w:marTop w:val="0"/>
      <w:marBottom w:val="0"/>
      <w:divBdr>
        <w:top w:val="none" w:sz="0" w:space="0" w:color="auto"/>
        <w:left w:val="none" w:sz="0" w:space="0" w:color="auto"/>
        <w:bottom w:val="none" w:sz="0" w:space="0" w:color="auto"/>
        <w:right w:val="none" w:sz="0" w:space="0" w:color="auto"/>
      </w:divBdr>
    </w:div>
    <w:div w:id="1324434548">
      <w:bodyDiv w:val="1"/>
      <w:marLeft w:val="0"/>
      <w:marRight w:val="0"/>
      <w:marTop w:val="0"/>
      <w:marBottom w:val="0"/>
      <w:divBdr>
        <w:top w:val="none" w:sz="0" w:space="0" w:color="auto"/>
        <w:left w:val="none" w:sz="0" w:space="0" w:color="auto"/>
        <w:bottom w:val="none" w:sz="0" w:space="0" w:color="auto"/>
        <w:right w:val="none" w:sz="0" w:space="0" w:color="auto"/>
      </w:divBdr>
    </w:div>
    <w:div w:id="1738550767">
      <w:bodyDiv w:val="1"/>
      <w:marLeft w:val="0"/>
      <w:marRight w:val="0"/>
      <w:marTop w:val="0"/>
      <w:marBottom w:val="0"/>
      <w:divBdr>
        <w:top w:val="none" w:sz="0" w:space="0" w:color="auto"/>
        <w:left w:val="none" w:sz="0" w:space="0" w:color="auto"/>
        <w:bottom w:val="none" w:sz="0" w:space="0" w:color="auto"/>
        <w:right w:val="none" w:sz="0" w:space="0" w:color="auto"/>
      </w:divBdr>
    </w:div>
    <w:div w:id="1829245060">
      <w:bodyDiv w:val="1"/>
      <w:marLeft w:val="0"/>
      <w:marRight w:val="0"/>
      <w:marTop w:val="0"/>
      <w:marBottom w:val="0"/>
      <w:divBdr>
        <w:top w:val="none" w:sz="0" w:space="0" w:color="auto"/>
        <w:left w:val="none" w:sz="0" w:space="0" w:color="auto"/>
        <w:bottom w:val="none" w:sz="0" w:space="0" w:color="auto"/>
        <w:right w:val="none" w:sz="0" w:space="0" w:color="auto"/>
      </w:divBdr>
    </w:div>
    <w:div w:id="205337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570</Words>
  <Characters>4619</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Suomen valtio</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Leppänen Marjut</dc:creator>
  <cp:keywords/>
  <dc:description/>
  <cp:lastModifiedBy>Leppänen Marjut</cp:lastModifiedBy>
  <cp:revision>49</cp:revision>
  <dcterms:created xsi:type="dcterms:W3CDTF">2018-03-09T09:12:00Z</dcterms:created>
  <dcterms:modified xsi:type="dcterms:W3CDTF">2018-04-05T12:40:00Z</dcterms:modified>
</cp:coreProperties>
</file>