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082DFF" w:rsidRPr="00D55653">
      <w:r w:rsidRPr="00D55653">
        <w:fldChar w:fldCharType="begin"/>
      </w:r>
      <w:r w:rsidRPr="00D55653">
        <w:instrText xml:space="preserve"> MACROBUTTON  AdditionalActions </w:instrText>
      </w:r>
      <w:r w:rsidRPr="00D55653">
        <w:fldChar w:fldCharType="end"/>
      </w:r>
      <w:r w:rsidR="00D5438B">
        <w:t>Oikeusministeriö</w:t>
      </w:r>
    </w:p>
    <w:p w:rsidR="00082DFF" w:rsidRPr="00D55653"/>
    <w:p w:rsidR="00082DFF" w:rsidRPr="00D55653" w:rsidP="00C43D2B"/>
    <w:p w:rsidR="00B11932" w:rsidRPr="00D55653" w:rsidP="00C43D2B"/>
    <w:p w:rsidR="00082DFF" w:rsidRPr="00D55653" w:rsidP="00C43D2B"/>
    <w:p w:rsidR="006B3401" w:rsidRPr="00D55653" w:rsidP="00C43D2B"/>
    <w:p w:rsidR="006B3401" w:rsidRPr="00D55653" w:rsidP="00C43D2B"/>
    <w:p w:rsidR="00B11932" w:rsidRPr="00D55653" w:rsidP="00B45C81">
      <w:r>
        <w:t xml:space="preserve">Lausuntopyyntö </w:t>
      </w:r>
      <w:r w:rsidRPr="00D5438B">
        <w:t>VN/268/2018</w:t>
      </w:r>
    </w:p>
    <w:p w:rsidR="00E44D66" w:rsidRPr="00D55653" w:rsidP="00E44D66">
      <w:pPr>
        <w:pStyle w:val="Heading1"/>
        <w:rPr>
          <w:rFonts w:eastAsia="Calibri"/>
        </w:rPr>
      </w:pPr>
      <w:r w:rsidRPr="00D55653">
        <w:rPr>
          <w:rFonts w:eastAsia="Calibri"/>
        </w:rPr>
        <w:fldChar w:fldCharType="begin"/>
      </w:r>
      <w:r w:rsidRPr="00D55653">
        <w:rPr>
          <w:rFonts w:eastAsia="Calibri"/>
        </w:rPr>
        <w:instrText xml:space="preserve"> DOCPROPERTY  sm_otsikko  \* MERGEFORMAT </w:instrText>
      </w:r>
      <w:r w:rsidRPr="00D55653">
        <w:rPr>
          <w:rFonts w:eastAsia="Calibri"/>
        </w:rPr>
        <w:fldChar w:fldCharType="separate"/>
      </w:r>
      <w:r w:rsidRPr="00D55653">
        <w:rPr>
          <w:rFonts w:eastAsia="Calibri"/>
        </w:rPr>
        <w:t>Rikosseuraamuslaitoksen ja poliisin yhteistyö vankeusaikaisen rikollisuuden estämisessä ja laitosturvallisuuden ylläpitämisessä; sisäministeriön lausunto</w:t>
      </w:r>
      <w:r w:rsidRPr="00D55653">
        <w:rPr>
          <w:rFonts w:eastAsia="Calibri"/>
        </w:rPr>
        <w:fldChar w:fldCharType="end"/>
      </w:r>
    </w:p>
    <w:p w:rsidR="00D5438B" w:rsidRPr="0000488B" w:rsidP="0000488B">
      <w:pPr>
        <w:pStyle w:val="BodyText"/>
        <w:jc w:val="both"/>
      </w:pPr>
      <w:r w:rsidRPr="0000488B">
        <w:t>Oikeusministeriö on pyytänyt sisäministeriöltä lausuntoa koskien Rikosse</w:t>
      </w:r>
      <w:r w:rsidRPr="0000488B">
        <w:t>u</w:t>
      </w:r>
      <w:r w:rsidRPr="0000488B">
        <w:t>raamuslaitoksen ja poliisin yhteistyötä vankeusaikaisen rikollisuuden estäm</w:t>
      </w:r>
      <w:r w:rsidRPr="0000488B">
        <w:t>i</w:t>
      </w:r>
      <w:r w:rsidRPr="0000488B">
        <w:t>sessä ja laitosturvallisuuden ylläpitämisessä selvittäneen työryhmän mieti</w:t>
      </w:r>
      <w:r w:rsidRPr="0000488B">
        <w:t>n</w:t>
      </w:r>
      <w:r w:rsidRPr="0000488B">
        <w:t>töä. Sisäministeriö lausuu asiassa seuraavaa.</w:t>
      </w:r>
    </w:p>
    <w:p w:rsidR="00B45C81" w:rsidRPr="0000488B" w:rsidP="0000488B">
      <w:pPr>
        <w:pStyle w:val="Heading2"/>
        <w:jc w:val="both"/>
      </w:pPr>
      <w:r w:rsidRPr="0000488B">
        <w:t>Yleisiä huomioita</w:t>
      </w:r>
    </w:p>
    <w:p w:rsidR="00D5438B" w:rsidRPr="0000488B" w:rsidP="0000488B">
      <w:pPr>
        <w:pStyle w:val="BodyText"/>
        <w:jc w:val="both"/>
      </w:pPr>
      <w:r w:rsidRPr="0000488B">
        <w:t xml:space="preserve">Sisäministeriö </w:t>
      </w:r>
      <w:r w:rsidRPr="0000488B">
        <w:t xml:space="preserve">on ollut </w:t>
      </w:r>
      <w:r w:rsidRPr="0000488B" w:rsidR="00B352B4">
        <w:t xml:space="preserve">mietinnön laatineessa </w:t>
      </w:r>
      <w:r w:rsidRPr="0000488B">
        <w:t>työryhmässä edustettuna osan työryhmän toimikaudesta ja on tämän vuoksi voinut esittää näkökohtiaan y</w:t>
      </w:r>
      <w:r w:rsidRPr="0000488B">
        <w:t>h</w:t>
      </w:r>
      <w:r w:rsidRPr="0000488B">
        <w:t xml:space="preserve">teistyön kehittämisestä työryhmätyön aikana. </w:t>
      </w:r>
    </w:p>
    <w:p w:rsidR="00D5438B" w:rsidRPr="0000488B" w:rsidP="0000488B">
      <w:pPr>
        <w:pStyle w:val="BodyText"/>
        <w:jc w:val="both"/>
      </w:pPr>
      <w:r w:rsidRPr="0000488B">
        <w:t xml:space="preserve">Sisäministeriö pitää kannatettavana esityksen tavoitteita tehostaa viran-omaisten välistä yhteistyötä rikosten estämiseksi sekä täsmentää ja selkiyttää Rikosseuraamuslaitoksen tehtäviä ja toimivaltuuksia. </w:t>
      </w:r>
    </w:p>
    <w:p w:rsidR="00D5438B" w:rsidRPr="0000488B" w:rsidP="0000488B">
      <w:pPr>
        <w:pStyle w:val="BodyText"/>
        <w:jc w:val="both"/>
      </w:pPr>
      <w:r w:rsidRPr="0000488B">
        <w:t>Lähtökohtaisesti on perusteltua, että Rikosseuraamuslaitoksen toimivaltuudet hallituksen esitysluonnoksessa esitetyin tavoin eivät voisi perustua rikoksen selvittämiseen. Siten rikoksen selvittämisen poistaminen perusteena rikosse</w:t>
      </w:r>
      <w:r w:rsidRPr="0000488B">
        <w:t>u</w:t>
      </w:r>
      <w:r w:rsidRPr="0000488B">
        <w:t>raamusviranomaisten toimivaltuuksille on sinänsä kannatettavaa. Samassa y</w:t>
      </w:r>
      <w:r w:rsidRPr="0000488B">
        <w:t>h</w:t>
      </w:r>
      <w:r w:rsidRPr="0000488B">
        <w:t>teydessä on kuitenkin pidettävä huoli siitä, ettei rikosten selvittäminen va</w:t>
      </w:r>
      <w:r w:rsidRPr="0000488B">
        <w:t>i</w:t>
      </w:r>
      <w:r w:rsidRPr="0000488B">
        <w:t>keudu. Tämä onkin hallituksen esitysluonnoksessa asianmukaisesti huomioitu muun muassa sillä, että esitutkintaviranomaisille ehdotetaan annettavaksi tekninen käyttöyhteys Rikosseuraamuslaitoksen turvallisuustietorekisteriti</w:t>
      </w:r>
      <w:r w:rsidRPr="0000488B">
        <w:t>e</w:t>
      </w:r>
      <w:r w:rsidRPr="0000488B">
        <w:t xml:space="preserve">toihin. </w:t>
      </w:r>
    </w:p>
    <w:p w:rsidR="00D5438B" w:rsidRPr="0000488B" w:rsidP="0000488B">
      <w:pPr>
        <w:pStyle w:val="Heading2"/>
        <w:jc w:val="both"/>
      </w:pPr>
      <w:r w:rsidRPr="0000488B">
        <w:t>Henkilötietojen käsittelystä Rikosseuraamuslaitoksessa annettu laki</w:t>
      </w:r>
    </w:p>
    <w:p w:rsidR="00D5438B" w:rsidRPr="0000488B" w:rsidP="0000488B">
      <w:pPr>
        <w:pStyle w:val="BodyText"/>
        <w:jc w:val="both"/>
      </w:pPr>
      <w:r w:rsidRPr="0000488B">
        <w:t>Sisäministeriö pitää tarpeellisena ja perusteltuna säätää henkilötietojen käsi</w:t>
      </w:r>
      <w:r w:rsidRPr="0000488B">
        <w:t>t</w:t>
      </w:r>
      <w:r w:rsidRPr="0000488B">
        <w:t>telystä Rikosseuraamuslaitoksessa annettuun lakiin (1069/2015) Rikosse</w:t>
      </w:r>
      <w:r w:rsidRPr="0000488B">
        <w:t>u</w:t>
      </w:r>
      <w:r w:rsidRPr="0000488B">
        <w:t>raamuslaitokselle oikeus tiedon oma-aloitteiseen luovuttamiseen esityksessä ehdotetusti. Edelleen esitys tietojen luovuttamisesta turvallisuustietorekist</w:t>
      </w:r>
      <w:r w:rsidRPr="0000488B">
        <w:t>e</w:t>
      </w:r>
      <w:r w:rsidRPr="0000488B">
        <w:t>ristä myös oma-aloitteisesti ja teknisen käyttöyhteyden avulla tai muutoin sähköisesti sekä vankeuslain (767/2005) 19 luvun 1 §:ään ehdotetut muuto</w:t>
      </w:r>
      <w:r w:rsidRPr="0000488B">
        <w:t>k</w:t>
      </w:r>
      <w:r w:rsidRPr="0000488B">
        <w:t>set ilmoitusten ja tietojen antamisesta esitutkintaviranomaisille ja syyttäjälle ovat kannatettavia.</w:t>
      </w:r>
    </w:p>
    <w:p w:rsidR="00B45C81" w:rsidRPr="0000488B" w:rsidP="0000488B">
      <w:pPr>
        <w:pStyle w:val="Heading2"/>
        <w:jc w:val="both"/>
      </w:pPr>
      <w:r w:rsidRPr="0000488B">
        <w:t>Poliisin, Tullin ja Rajavartiolaitoksen yhteistoiminnasta annettu laki</w:t>
      </w:r>
    </w:p>
    <w:p w:rsidR="00D5438B" w:rsidRPr="0000488B" w:rsidP="0000488B">
      <w:pPr>
        <w:pStyle w:val="BodyText"/>
        <w:jc w:val="both"/>
      </w:pPr>
      <w:r w:rsidRPr="0000488B">
        <w:t>Lausunnolla olevassa mietinnössä esitetään</w:t>
      </w:r>
      <w:r w:rsidRPr="0000488B">
        <w:t xml:space="preserve"> myös, että Rikosseuraamuslaitos lisättäisiin yhteistyöviranomaisena poliisin, Tullin ja Rajavartiolaitoksen yhtei</w:t>
      </w:r>
      <w:r w:rsidRPr="0000488B">
        <w:t>s</w:t>
      </w:r>
      <w:r w:rsidRPr="0000488B">
        <w:t xml:space="preserve">toiminnasta annettuun lakiin (687/2009), jäljempänä </w:t>
      </w:r>
      <w:r w:rsidRPr="0000488B">
        <w:t>PTR-laki</w:t>
      </w:r>
      <w:r w:rsidRPr="0000488B">
        <w:t xml:space="preserve">. </w:t>
      </w:r>
      <w:r w:rsidRPr="0000488B">
        <w:t>Sisäministeriö</w:t>
      </w:r>
      <w:r w:rsidRPr="0000488B">
        <w:t xml:space="preserve"> pitää kannatettavana sitä, että Rikosseuraamuslaitoksen edustaja vois</w:t>
      </w:r>
      <w:r w:rsidRPr="0000488B" w:rsidR="008569B5">
        <w:t>i osalli</w:t>
      </w:r>
      <w:r w:rsidRPr="0000488B" w:rsidR="008569B5">
        <w:t>s</w:t>
      </w:r>
      <w:r w:rsidRPr="0000488B" w:rsidR="008569B5">
        <w:t xml:space="preserve">tua </w:t>
      </w:r>
      <w:r w:rsidRPr="0000488B" w:rsidR="008569B5">
        <w:t>PTR-</w:t>
      </w:r>
      <w:r w:rsidRPr="0000488B">
        <w:t>rikostiedusteluyksikön</w:t>
      </w:r>
      <w:r w:rsidRPr="0000488B">
        <w:t xml:space="preserve"> toimintaan, jos se olisi tarpeen vankeusra</w:t>
      </w:r>
      <w:r w:rsidRPr="0000488B">
        <w:t>n</w:t>
      </w:r>
      <w:r w:rsidRPr="0000488B">
        <w:t>gaistuksen aikaisten ri</w:t>
      </w:r>
      <w:r w:rsidRPr="0000488B" w:rsidR="008569B5">
        <w:t>kos</w:t>
      </w:r>
      <w:r w:rsidRPr="0000488B">
        <w:t xml:space="preserve">ten estämiseksi. </w:t>
      </w:r>
      <w:r w:rsidRPr="0000488B">
        <w:t xml:space="preserve">Sisäministeriö </w:t>
      </w:r>
      <w:r w:rsidRPr="0000488B">
        <w:t xml:space="preserve">toteaa kuitenkin, että </w:t>
      </w:r>
      <w:r w:rsidRPr="0000488B">
        <w:t>PTR-lain</w:t>
      </w:r>
      <w:r w:rsidRPr="0000488B">
        <w:t xml:space="preserve"> tarkoituksena on sen 1 §:n mukaisesti edistää poliisin,</w:t>
      </w:r>
      <w:r w:rsidRPr="0000488B" w:rsidR="008569B5">
        <w:t xml:space="preserve"> Tullin ja Raj</w:t>
      </w:r>
      <w:r w:rsidRPr="0000488B" w:rsidR="008569B5">
        <w:t>a</w:t>
      </w:r>
      <w:r w:rsidRPr="0000488B">
        <w:t>vartiolaitoksen yhteistoimintaa säännöksessä kuvatusti. Mietinnössä ehdote</w:t>
      </w:r>
      <w:r w:rsidRPr="0000488B">
        <w:t>t</w:t>
      </w:r>
      <w:r w:rsidRPr="0000488B">
        <w:t>tu Rikosseuraa</w:t>
      </w:r>
      <w:r w:rsidRPr="0000488B" w:rsidR="00B352B4">
        <w:t xml:space="preserve">muslaitoksen osallistumista </w:t>
      </w:r>
      <w:r w:rsidRPr="0000488B" w:rsidR="00B352B4">
        <w:t>PTR-</w:t>
      </w:r>
      <w:r w:rsidRPr="0000488B">
        <w:t>rikostiedusteluyksikön</w:t>
      </w:r>
      <w:r w:rsidRPr="0000488B">
        <w:t xml:space="preserve"> toimi</w:t>
      </w:r>
      <w:r w:rsidRPr="0000488B">
        <w:t>n</w:t>
      </w:r>
      <w:r w:rsidRPr="0000488B">
        <w:t xml:space="preserve">taan koskeva kirjaus </w:t>
      </w:r>
      <w:r w:rsidRPr="0000488B">
        <w:t>PTR-laissa</w:t>
      </w:r>
      <w:r w:rsidRPr="0000488B">
        <w:t xml:space="preserve"> olisi siten poikkeussäännös, koska voimassa oleva laki koskee nykyisellään ainoastaan </w:t>
      </w:r>
      <w:r w:rsidRPr="0000488B">
        <w:t>PTR-viranomaisten</w:t>
      </w:r>
      <w:r w:rsidRPr="0000488B">
        <w:t xml:space="preserve"> välistä yhteisty</w:t>
      </w:r>
      <w:r w:rsidRPr="0000488B">
        <w:t>ö</w:t>
      </w:r>
      <w:r w:rsidRPr="0000488B">
        <w:t>tä.</w:t>
      </w:r>
    </w:p>
    <w:p w:rsidR="00D5438B" w:rsidRPr="0000488B" w:rsidP="0000488B">
      <w:pPr>
        <w:pStyle w:val="BodyText"/>
        <w:jc w:val="both"/>
      </w:pPr>
      <w:r w:rsidRPr="0000488B">
        <w:t xml:space="preserve">Mikäli Rikosseuraamuslaitoksen osallistuminen </w:t>
      </w:r>
      <w:r w:rsidRPr="0000488B">
        <w:t>PTR-rikostiedusteluyksikön</w:t>
      </w:r>
      <w:r w:rsidRPr="0000488B">
        <w:t xml:space="preserve"> toimintaan katsottaisiin tarkoituksenmukaisimmaksi kirjata </w:t>
      </w:r>
      <w:r w:rsidRPr="0000488B">
        <w:t>PTR-lakiin</w:t>
      </w:r>
      <w:r w:rsidRPr="0000488B">
        <w:t xml:space="preserve">, </w:t>
      </w:r>
      <w:r w:rsidRPr="0000488B" w:rsidR="00B352B4">
        <w:t>sisäm</w:t>
      </w:r>
      <w:r w:rsidRPr="0000488B" w:rsidR="00B352B4">
        <w:t>i</w:t>
      </w:r>
      <w:r w:rsidRPr="0000488B" w:rsidR="00B352B4">
        <w:t>nisteriö</w:t>
      </w:r>
      <w:r w:rsidRPr="0000488B">
        <w:t xml:space="preserve"> esittää harkittavaksi, että siitä säädettäisiin kokonaan omassa pyk</w:t>
      </w:r>
      <w:r w:rsidRPr="0000488B">
        <w:t>ä</w:t>
      </w:r>
      <w:r w:rsidRPr="0000488B">
        <w:t>lässään. Säännöksen muotoilua tulisi myös tarke</w:t>
      </w:r>
      <w:r w:rsidRPr="0000488B" w:rsidR="008569B5">
        <w:t>ntaa siten, että Rikosse</w:t>
      </w:r>
      <w:r w:rsidRPr="0000488B" w:rsidR="008569B5">
        <w:t>u</w:t>
      </w:r>
      <w:r w:rsidRPr="0000488B" w:rsidR="008569B5">
        <w:t>raamus</w:t>
      </w:r>
      <w:r w:rsidRPr="0000488B">
        <w:t>laitoksen edustajia voisi osallistua muun kuin matkustajatietoja käsitt</w:t>
      </w:r>
      <w:r w:rsidRPr="0000488B">
        <w:t>e</w:t>
      </w:r>
      <w:r w:rsidRPr="0000488B">
        <w:t xml:space="preserve">levän </w:t>
      </w:r>
      <w:r w:rsidRPr="0000488B">
        <w:t>PTR-rikostiedusteluyksikön</w:t>
      </w:r>
      <w:r w:rsidRPr="0000488B">
        <w:t xml:space="preserve"> toimintaan, jos se on tarpeen vankeusra</w:t>
      </w:r>
      <w:r w:rsidRPr="0000488B">
        <w:t>n</w:t>
      </w:r>
      <w:r w:rsidRPr="0000488B">
        <w:t>gaistuksen aikaisten rikosten estämiseksi. Lisäksi asiaa koskevaan pykälään t</w:t>
      </w:r>
      <w:r w:rsidRPr="0000488B">
        <w:t>u</w:t>
      </w:r>
      <w:r w:rsidRPr="0000488B">
        <w:t xml:space="preserve">lisi sisällyttää myös </w:t>
      </w:r>
      <w:r w:rsidRPr="0000488B">
        <w:t>PTR-lain</w:t>
      </w:r>
      <w:r w:rsidRPr="0000488B">
        <w:t xml:space="preserve"> 6 §:ään ehdotettu viittaus hen</w:t>
      </w:r>
      <w:r w:rsidRPr="0000488B" w:rsidR="008569B5">
        <w:t>kilötietojen käsitt</w:t>
      </w:r>
      <w:r w:rsidRPr="0000488B" w:rsidR="008569B5">
        <w:t>e</w:t>
      </w:r>
      <w:r w:rsidRPr="0000488B" w:rsidR="008569B5">
        <w:t>lystä Rikos</w:t>
      </w:r>
      <w:r w:rsidRPr="0000488B">
        <w:t>seuraamuslaitoksessa annettuun lakiin sekä se, että Rikosse</w:t>
      </w:r>
      <w:r w:rsidRPr="0000488B">
        <w:t>u</w:t>
      </w:r>
      <w:r w:rsidRPr="0000488B">
        <w:t xml:space="preserve">raamuslaitoksen tehtävistä ja niihin liittyvistä toimivaltuuksista on säädetty erikseen. Tällöin Rikosseuraamuslaitosta koskeva poikkeussääntely erottuisi riittävän selkeästi muusta </w:t>
      </w:r>
      <w:r w:rsidRPr="0000488B">
        <w:t>PTR-viranomaisia</w:t>
      </w:r>
      <w:r w:rsidRPr="0000488B">
        <w:t xml:space="preserve"> koskevasta sääntel</w:t>
      </w:r>
      <w:r w:rsidRPr="0000488B" w:rsidR="008569B5">
        <w:t>ystä ja viittaus Rikosseuraamus</w:t>
      </w:r>
      <w:r w:rsidRPr="0000488B">
        <w:t>laitoksen henkilötietolakiin kohdentuisi suoraan Rikosse</w:t>
      </w:r>
      <w:r w:rsidRPr="0000488B">
        <w:t>u</w:t>
      </w:r>
      <w:r w:rsidRPr="0000488B">
        <w:t xml:space="preserve">raamuslaitoksen omien tehtävien hoitoon </w:t>
      </w:r>
      <w:r w:rsidRPr="0000488B">
        <w:t>PTR-rikostiedusteluyksikössä</w:t>
      </w:r>
      <w:r w:rsidRPr="0000488B">
        <w:t>.</w:t>
      </w:r>
    </w:p>
    <w:p w:rsidR="00D5438B" w:rsidRPr="0000488B" w:rsidP="0000488B">
      <w:pPr>
        <w:pStyle w:val="Heading2"/>
        <w:jc w:val="both"/>
      </w:pPr>
      <w:r w:rsidRPr="0000488B">
        <w:t>Vankilassa suoritettavaan valvontaan ehdotetut muutokset</w:t>
      </w:r>
    </w:p>
    <w:p w:rsidR="00D5438B" w:rsidRPr="0000488B" w:rsidP="0000488B">
      <w:pPr>
        <w:pStyle w:val="BodyText"/>
        <w:jc w:val="both"/>
      </w:pPr>
      <w:r w:rsidRPr="0000488B">
        <w:t>Vankeuslain 16 luvun 1 §:ä</w:t>
      </w:r>
      <w:r w:rsidRPr="0000488B" w:rsidR="00B352B4">
        <w:t>än ja tutkintavankeuslain 11 luvun 1 §:ään</w:t>
      </w:r>
      <w:r w:rsidRPr="0000488B">
        <w:t xml:space="preserve"> ehdot</w:t>
      </w:r>
      <w:r w:rsidRPr="0000488B">
        <w:t>e</w:t>
      </w:r>
      <w:r w:rsidRPr="0000488B">
        <w:t>taan lisättäväksi uusi 2 momentti, jossa säädettäisiin nykyistä tarkemmin va</w:t>
      </w:r>
      <w:r w:rsidRPr="0000488B">
        <w:t>n</w:t>
      </w:r>
      <w:r w:rsidRPr="0000488B">
        <w:t>kilan yleisten tilojen valvonnasta. WC-</w:t>
      </w:r>
      <w:r w:rsidRPr="0000488B" w:rsidR="00661BC1">
        <w:t xml:space="preserve"> </w:t>
      </w:r>
      <w:r w:rsidRPr="0000488B">
        <w:t>ja peseytymistiloihin ehdotetaan kat</w:t>
      </w:r>
      <w:r w:rsidRPr="0000488B">
        <w:t>e</w:t>
      </w:r>
      <w:r w:rsidRPr="0000488B">
        <w:t>gorista teknisen valvonnan kieltoa. Tätä kieltoa ei yksityiskohtaisissa perust</w:t>
      </w:r>
      <w:r w:rsidRPr="0000488B">
        <w:t>e</w:t>
      </w:r>
      <w:r w:rsidRPr="0000488B">
        <w:t>luissa ole erikseen avattu. Yleisellä tasolla on vain todettu (s. 51), että myös poliisin säilyttämien henkilöiden kohtelusta annetun lain (841/2006) uudistu</w:t>
      </w:r>
      <w:r w:rsidRPr="0000488B">
        <w:t>s</w:t>
      </w:r>
      <w:r w:rsidRPr="0000488B">
        <w:t xml:space="preserve">ta valmisteltaessa on ilmennyt tarve täsmentää tätä lakia vastaavalla tavalla. </w:t>
      </w:r>
      <w:r w:rsidRPr="0000488B" w:rsidR="00661BC1">
        <w:t>Sisäministeriö toteaa, ettei niin sanotun</w:t>
      </w:r>
      <w:r w:rsidRPr="0000488B">
        <w:t xml:space="preserve"> putkalain uudistusta koskeva esity</w:t>
      </w:r>
      <w:r w:rsidRPr="0000488B">
        <w:t>s</w:t>
      </w:r>
      <w:r w:rsidRPr="0000488B">
        <w:t>luonnos ole ollut vielä edes lausuntokierroksella, minkä vuoksi ei voida todeta, että vankeuslakiin tältä osin kaavaillut muutokset olisivat vastaavia putkalakiin kaavailtujen muutosten kanssa.</w:t>
      </w:r>
    </w:p>
    <w:p w:rsidR="00D5438B" w:rsidRPr="0000488B" w:rsidP="0000488B">
      <w:pPr>
        <w:pStyle w:val="BodyText"/>
        <w:jc w:val="both"/>
      </w:pPr>
      <w:r w:rsidRPr="0000488B">
        <w:t>S</w:t>
      </w:r>
      <w:r w:rsidRPr="0000488B" w:rsidR="00661BC1">
        <w:t>isäministeriön</w:t>
      </w:r>
      <w:r w:rsidRPr="0000488B">
        <w:t xml:space="preserve"> käsityksen mukaan</w:t>
      </w:r>
      <w:r w:rsidRPr="0000488B">
        <w:t xml:space="preserve"> on</w:t>
      </w:r>
      <w:r w:rsidRPr="0000488B">
        <w:t xml:space="preserve"> vielä arvioitava, onko kategorinen wc- ja peseytymistilojen teknistä valvontaa koskeva kielto ehdottoman tarpeell</w:t>
      </w:r>
      <w:r w:rsidRPr="0000488B">
        <w:t>i</w:t>
      </w:r>
      <w:r w:rsidRPr="0000488B">
        <w:t>nen. Yksityisyyden suojaan liittyvät näkökohdat ovat ymmär</w:t>
      </w:r>
      <w:r w:rsidRPr="0000488B" w:rsidR="00661BC1">
        <w:t>rettäviä ja</w:t>
      </w:r>
      <w:r w:rsidRPr="0000488B">
        <w:t xml:space="preserve"> jo p</w:t>
      </w:r>
      <w:r w:rsidRPr="0000488B">
        <w:t>e</w:t>
      </w:r>
      <w:r w:rsidRPr="0000488B">
        <w:t>rusoikeus- ja säätämisjärjestyssyistä asianmukaisesti huomioitava. Yksityisy</w:t>
      </w:r>
      <w:r w:rsidRPr="0000488B">
        <w:t>y</w:t>
      </w:r>
      <w:r w:rsidRPr="0000488B">
        <w:t>den suoja voitaisiin kuitenkin säännöstasolla huomioida ilman kategorista kie</w:t>
      </w:r>
      <w:r w:rsidRPr="0000488B">
        <w:t>l</w:t>
      </w:r>
      <w:r w:rsidRPr="0000488B">
        <w:t>toakin. Teknisen valvonnan tietynasteista mahdollistamista wc- ja peseytymi</w:t>
      </w:r>
      <w:r w:rsidRPr="0000488B">
        <w:t>s</w:t>
      </w:r>
      <w:r w:rsidRPr="0000488B">
        <w:t xml:space="preserve">tiloissa puoltaisivat painavat vankien henkilökohtaiseen </w:t>
      </w:r>
      <w:r w:rsidR="00692506">
        <w:t>ja laitos</w:t>
      </w:r>
      <w:r w:rsidRPr="0000488B">
        <w:t>turvallisu</w:t>
      </w:r>
      <w:r w:rsidRPr="0000488B">
        <w:t>u</w:t>
      </w:r>
      <w:r w:rsidRPr="0000488B">
        <w:t>teen liittyvät syyt. Asianmukaisesti asiaa voitaisiin säännellä esimerkiksi siten, että teknistä valvontaa wc- ja peseytymistiloissa kieltämättä valvonnassa ve</w:t>
      </w:r>
      <w:r w:rsidRPr="0000488B">
        <w:t>l</w:t>
      </w:r>
      <w:r w:rsidRPr="0000488B">
        <w:t>voitettaisiin nimenomaisella säännöksellä huomioimaan vankien yksityisyys erity</w:t>
      </w:r>
      <w:r w:rsidRPr="0000488B">
        <w:t>i</w:t>
      </w:r>
      <w:r w:rsidRPr="0000488B">
        <w:t>sesti näissä tiloissa.</w:t>
      </w:r>
      <w:bookmarkStart w:id="0" w:name="_GoBack"/>
      <w:bookmarkEnd w:id="0"/>
    </w:p>
    <w:p w:rsidR="008569B5" w:rsidRPr="0000488B" w:rsidP="0000488B">
      <w:pPr>
        <w:pStyle w:val="BodyText"/>
        <w:jc w:val="both"/>
      </w:pPr>
      <w:r w:rsidRPr="0000488B">
        <w:t xml:space="preserve">Lopuksi teknisenä huomiona todetaan, että Rajavartiolaitos kirjoitetaan isolla alkukirjaimella. </w:t>
      </w:r>
    </w:p>
    <w:p w:rsidR="00FB22EE" w:rsidRPr="00D55653" w:rsidP="00FB22EE">
      <w:pPr>
        <w:pStyle w:val="BodyText"/>
      </w:pPr>
    </w:p>
    <w:p w:rsidR="00FB22EE" w:rsidRPr="00D55653" w:rsidP="00FB22EE">
      <w:pPr>
        <w:pStyle w:val="BodyText"/>
      </w:pPr>
    </w:p>
    <w:p w:rsidR="00FB22EE" w:rsidRPr="00D55653" w:rsidP="00FB22EE">
      <w:pPr>
        <w:pStyle w:val="BodyText"/>
      </w:pPr>
    </w:p>
    <w:p w:rsidR="00897327" w:rsidRPr="00D55653" w:rsidP="00897327">
      <w:pPr>
        <w:pStyle w:val="BodyText"/>
      </w:pPr>
      <w:r>
        <w:t>Kansliapäällikkö</w:t>
      </w:r>
      <w:r w:rsidRPr="00D55653" w:rsidR="007213E6">
        <w:tab/>
      </w:r>
      <w:r>
        <w:t>Ilkka Salmi</w:t>
      </w:r>
    </w:p>
    <w:p w:rsidR="00897327" w:rsidRPr="00D55653" w:rsidP="00897327">
      <w:pPr>
        <w:pStyle w:val="BodyText"/>
      </w:pPr>
    </w:p>
    <w:p w:rsidR="00082DFF" w:rsidRPr="00D55653" w:rsidP="00754595">
      <w:pPr>
        <w:pStyle w:val="BodyText"/>
      </w:pPr>
      <w:r>
        <w:t>Erikoissuunnittelija</w:t>
      </w:r>
      <w:r w:rsidRPr="00D55653" w:rsidR="007213E6">
        <w:tab/>
      </w:r>
      <w:r>
        <w:t>Aino Tuovinen</w:t>
      </w:r>
    </w:p>
    <w:p w:rsidR="00082DFF" w:rsidRPr="00D55653" w:rsidP="003448DA">
      <w:pPr>
        <w:pStyle w:val="BodyText"/>
      </w:pPr>
    </w:p>
    <w:p w:rsidR="00082DFF" w:rsidRPr="00D55653" w:rsidP="003448DA">
      <w:pPr>
        <w:pStyle w:val="BodyText"/>
      </w:pPr>
    </w:p>
    <w:p w:rsidR="00082DFF" w:rsidRPr="00D55653" w:rsidP="00A8130D">
      <w:pPr>
        <w:pStyle w:val="BodyText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 w:rsidRPr="00D55653" w:rsidR="007213E6">
        <w:t>Asiakirja on sähköisesti allekirjoitettu asianhallintajärjestelmässä. Sisäministeriö 29.08.2019 klo 11:05. Allekirjoituksen oikeellisuuden</w:t>
      </w:r>
      <w:r>
        <w:t xml:space="preserve"> voi todentaa kirjaamosta.</w:t>
      </w:r>
      <w:r>
        <w:fldChar w:fldCharType="end"/>
      </w:r>
    </w:p>
    <w:p w:rsidR="00082DFF" w:rsidRPr="00D55653" w:rsidP="003448DA">
      <w:pPr>
        <w:pStyle w:val="BodyText"/>
      </w:pPr>
    </w:p>
    <w:p w:rsidR="00082DFF" w:rsidRPr="00D55653" w:rsidP="003448DA">
      <w:pPr>
        <w:pStyle w:val="BodyText"/>
      </w:pPr>
    </w:p>
    <w:p w:rsidR="00082DFF" w:rsidRPr="00D55653" w:rsidP="003448DA">
      <w:pPr>
        <w:pStyle w:val="BodyText"/>
      </w:pPr>
    </w:p>
    <w:p w:rsidR="00082DFF" w:rsidRPr="00D55653" w:rsidP="003448DA">
      <w:pPr>
        <w:pStyle w:val="BodyText"/>
      </w:pPr>
    </w:p>
    <w:tbl>
      <w:tblPr>
        <w:tblStyle w:val="TaulukkoRuudukko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/>
      </w:tblPr>
      <w:tblGrid>
        <w:gridCol w:w="2525"/>
        <w:gridCol w:w="7307"/>
      </w:tblGrid>
      <w:tr w:rsidTr="00A813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57" w:type="dxa"/>
            <w:right w:w="0" w:type="dxa"/>
          </w:tblCellMar>
          <w:tblLook w:val="04A0"/>
        </w:tblPrEx>
        <w:tc>
          <w:tcPr>
            <w:tcW w:w="2525" w:type="dxa"/>
          </w:tcPr>
          <w:p w:rsidR="00082DFF" w:rsidRPr="00D55653" w:rsidP="00082DFF">
            <w:pPr>
              <w:rPr>
                <w:lang w:val="fi-FI"/>
              </w:rPr>
            </w:pPr>
          </w:p>
        </w:tc>
        <w:tc>
          <w:tcPr>
            <w:tcW w:w="7307" w:type="dxa"/>
          </w:tcPr>
          <w:p w:rsidR="00082DFF" w:rsidRPr="00D55653" w:rsidP="00082DFF">
            <w:pPr>
              <w:rPr>
                <w:lang w:val="fi-FI"/>
              </w:rPr>
            </w:pPr>
          </w:p>
        </w:tc>
      </w:tr>
      <w:tr w:rsidTr="00A8130D">
        <w:tblPrEx>
          <w:tblW w:w="0" w:type="auto"/>
          <w:tblLayout w:type="fixed"/>
          <w:tblCellMar>
            <w:left w:w="57" w:type="dxa"/>
            <w:right w:w="0" w:type="dxa"/>
          </w:tblCellMar>
          <w:tblLook w:val="04A0"/>
        </w:tblPrEx>
        <w:tc>
          <w:tcPr>
            <w:tcW w:w="2525" w:type="dxa"/>
          </w:tcPr>
          <w:p w:rsidR="00082DFF" w:rsidRPr="00D55653" w:rsidP="00082DFF">
            <w:pPr>
              <w:rPr>
                <w:lang w:val="fi-FI"/>
              </w:rPr>
            </w:pPr>
            <w:r w:rsidRPr="00D55653">
              <w:fldChar w:fldCharType="begin"/>
            </w:r>
            <w:r w:rsidRPr="00D55653">
              <w:rPr>
                <w:rFonts w:ascii="Calibri" w:eastAsia="Times New Roman" w:hAnsi="Calibri" w:cs="Calibri"/>
                <w:sz w:val="22"/>
                <w:lang w:val="fi-FI" w:eastAsia="en-US" w:bidi="ar-SA"/>
              </w:rPr>
              <w:instrText xml:space="preserve"> MACROBUTTON  AdditionalActions </w:instrText>
            </w:r>
            <w:r w:rsidRPr="00D55653">
              <w:rPr>
                <w:lang w:val="fi-FI"/>
              </w:rPr>
              <w:instrText xml:space="preserve">Tiedoksi </w:instrText>
            </w:r>
            <w:r w:rsidRPr="00D55653">
              <w:fldChar w:fldCharType="end"/>
            </w:r>
          </w:p>
        </w:tc>
        <w:tc>
          <w:tcPr>
            <w:tcW w:w="7307" w:type="dxa"/>
          </w:tcPr>
          <w:p w:rsidR="00082DFF" w:rsidRPr="004C7C5E" w:rsidP="00082DFF">
            <w:pPr>
              <w:rPr>
                <w:lang w:val="fi-FI"/>
              </w:rPr>
            </w:pPr>
            <w:r w:rsidRPr="004C7C5E">
              <w:rPr>
                <w:lang w:val="fi-FI"/>
              </w:rPr>
              <w:t>Ministeri Ohisalo</w:t>
            </w:r>
          </w:p>
          <w:p w:rsidR="004C7C5E" w:rsidRPr="004C7C5E" w:rsidP="00082DFF">
            <w:pPr>
              <w:rPr>
                <w:lang w:val="fi-FI"/>
              </w:rPr>
            </w:pPr>
            <w:r w:rsidRPr="004C7C5E">
              <w:rPr>
                <w:lang w:val="fi-FI"/>
              </w:rPr>
              <w:t>Valtiosihteeri Parviainen</w:t>
            </w:r>
          </w:p>
          <w:p w:rsidR="004C7C5E" w:rsidRPr="004C7C5E" w:rsidP="00082DFF">
            <w:pPr>
              <w:rPr>
                <w:lang w:val="fi-FI"/>
              </w:rPr>
            </w:pPr>
            <w:r w:rsidRPr="004C7C5E">
              <w:rPr>
                <w:lang w:val="fi-FI"/>
              </w:rPr>
              <w:t>Ministerin erityisavustajat</w:t>
            </w:r>
          </w:p>
          <w:p w:rsidR="004C7C5E" w:rsidP="00082DFF">
            <w:pPr>
              <w:rPr>
                <w:lang w:val="fi-FI"/>
              </w:rPr>
            </w:pPr>
            <w:r>
              <w:rPr>
                <w:lang w:val="fi-FI"/>
              </w:rPr>
              <w:t>SM/PO</w:t>
            </w:r>
          </w:p>
          <w:p w:rsidR="004C7C5E" w:rsidRPr="004C7C5E" w:rsidP="00082DFF">
            <w:pPr>
              <w:rPr>
                <w:lang w:val="fi-FI"/>
              </w:rPr>
            </w:pPr>
            <w:r>
              <w:rPr>
                <w:lang w:val="fi-FI"/>
              </w:rPr>
              <w:t>SM/RO</w:t>
            </w:r>
          </w:p>
        </w:tc>
      </w:tr>
    </w:tbl>
    <w:p w:rsidR="00082DFF" w:rsidRPr="00D55653" w:rsidP="0098392F"/>
    <w:sectPr w:rsidSect="00974A00">
      <w:headerReference w:type="default" r:id="rId5"/>
      <w:headerReference w:type="first" r:id="rId6"/>
      <w:footerReference w:type="first" r:id="rId7"/>
      <w:pgSz w:w="11906" w:h="16838" w:code="9"/>
      <w:pgMar w:top="1531" w:right="567" w:bottom="510" w:left="1134" w:header="567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DFF" w:rsidRPr="00082DFF" w:rsidP="00082DFF">
    <w:pPr>
      <w:rPr>
        <w:rFonts w:eastAsia="Calibri"/>
        <w:szCs w:val="22"/>
      </w:rPr>
    </w:pPr>
    <w:r w:rsidRPr="00082DFF">
      <w:rPr>
        <w:rFonts w:eastAsia="Calibri"/>
        <w:noProof/>
        <w:szCs w:val="22"/>
        <w:lang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635</wp:posOffset>
              </wp:positionH>
              <wp:positionV relativeFrom="page">
                <wp:posOffset>9496425</wp:posOffset>
              </wp:positionV>
              <wp:extent cx="6120000" cy="0"/>
              <wp:effectExtent l="0" t="0" r="14605" b="1905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2D55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uora yhdysviiva 2" o:spid="_x0000_s2049" style="mso-position-vertical-relative:page;mso-width-percent:0;mso-width-relative:margin;mso-wrap-distance-bottom:0;mso-wrap-distance-left:9pt;mso-wrap-distance-right:9pt;mso-wrap-distance-top:0;mso-wrap-style:square;position:absolute;visibility:visible;z-index:-251656192" from="0.05pt,747.75pt" to="481.95pt,747.75pt" strokecolor="#142d55" strokeweight="1pt">
              <v:stroke joinstyle="miter"/>
            </v:line>
          </w:pict>
        </mc:Fallback>
      </mc:AlternateContent>
    </w:r>
  </w:p>
  <w:p w:rsidR="00082DFF" w:rsidRPr="00F83065" w:rsidP="00F83065">
    <w:pPr>
      <w:pStyle w:val="Footer"/>
    </w:pPr>
    <w:r w:rsidRPr="00F83065">
      <w:t>Kirkkokatu 12, Helsinki</w:t>
    </w:r>
  </w:p>
  <w:p w:rsidR="00082DFF" w:rsidRPr="00F83065" w:rsidP="00F83065">
    <w:pPr>
      <w:pStyle w:val="Footer"/>
    </w:pPr>
    <w:r w:rsidRPr="00F83065">
      <w:t>PL 26, 00023 Valtioneuvosto</w:t>
    </w:r>
    <w:r w:rsidRPr="00F83065">
      <w:br/>
      <w:t>Vaihde 0295 480 171 | kirjaamo@intermin.fi | www.intermin.fi</w:t>
    </w:r>
  </w:p>
  <w:p w:rsidR="00082DF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Eireunaviivaa"/>
      <w:tblW w:w="10347" w:type="dxa"/>
      <w:tblLayout w:type="fixed"/>
      <w:tblLook w:val="04A0"/>
    </w:tblPr>
    <w:tblGrid>
      <w:gridCol w:w="5222"/>
      <w:gridCol w:w="2608"/>
      <w:gridCol w:w="1463"/>
      <w:gridCol w:w="1054"/>
    </w:tblGrid>
    <w:tr w:rsidTr="00EB6C6D">
      <w:tblPrEx>
        <w:tblW w:w="10347" w:type="dxa"/>
        <w:tblLayout w:type="fixed"/>
        <w:tblLook w:val="04A0"/>
      </w:tblPrEx>
      <w:tc>
        <w:tcPr>
          <w:tcW w:w="5222" w:type="dxa"/>
        </w:tcPr>
        <w:p w:rsidR="00A147F3" w:rsidRPr="00770045" w:rsidP="0098392F">
          <w:pPr>
            <w:pStyle w:val="Header"/>
          </w:pPr>
          <w:r w:rsidRPr="00770045">
            <w:t>Sisäministeriö</w:t>
          </w:r>
        </w:p>
      </w:tc>
      <w:tc>
        <w:tcPr>
          <w:tcW w:w="2608" w:type="dxa"/>
          <w:tcBorders>
            <w:left w:val="nil"/>
          </w:tcBorders>
        </w:tcPr>
        <w:p w:rsidR="00A147F3" w:rsidRPr="00770045" w:rsidP="0098392F">
          <w:pPr>
            <w:pStyle w:val="Header"/>
          </w:pPr>
        </w:p>
      </w:tc>
      <w:tc>
        <w:tcPr>
          <w:tcW w:w="1463" w:type="dxa"/>
        </w:tcPr>
        <w:p w:rsidR="00A147F3" w:rsidP="0098392F">
          <w:pPr>
            <w:pStyle w:val="Header"/>
          </w:pPr>
        </w:p>
      </w:tc>
      <w:tc>
        <w:tcPr>
          <w:tcW w:w="1054" w:type="dxa"/>
        </w:tcPr>
        <w:p w:rsidR="00A147F3" w:rsidP="0098392F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92506">
            <w:rPr>
              <w:rFonts w:ascii="Arial" w:hAnsi="Arial" w:eastAsiaTheme="minorHAnsi" w:cs="Calibri"/>
              <w:noProof/>
              <w:sz w:val="22"/>
              <w:szCs w:val="18"/>
              <w:lang w:val="fi-FI" w:eastAsia="en-US" w:bidi="ar-SA"/>
            </w:rPr>
            <w:t>3</w:t>
          </w:r>
          <w:r>
            <w:fldChar w:fldCharType="end"/>
          </w:r>
          <w:r>
            <w:t xml:space="preserve"> (</w:t>
          </w:r>
          <w:r w:rsidR="00692506">
            <w:fldChar w:fldCharType="begin"/>
          </w:r>
          <w:r w:rsidR="00692506">
            <w:instrText xml:space="preserve"> NUMPAGES   \* MERGEFORMAT </w:instrText>
          </w:r>
          <w:r w:rsidR="00692506">
            <w:fldChar w:fldCharType="separate"/>
          </w:r>
          <w:r w:rsidR="00692506">
            <w:rPr>
              <w:rFonts w:ascii="Arial" w:hAnsi="Arial" w:eastAsiaTheme="minorHAnsi" w:cs="Calibri"/>
              <w:noProof/>
              <w:sz w:val="22"/>
              <w:szCs w:val="18"/>
              <w:lang w:val="fi-FI" w:eastAsia="en-US" w:bidi="ar-SA"/>
            </w:rPr>
            <w:t>3</w:t>
          </w:r>
          <w:r w:rsidR="00692506">
            <w:fldChar w:fldCharType="end"/>
          </w:r>
          <w:r>
            <w:t>)</w:t>
          </w:r>
        </w:p>
      </w:tc>
    </w:tr>
  </w:tbl>
  <w:tbl>
    <w:tblPr>
      <w:tblStyle w:val="TaulukkoRuudukko1"/>
      <w:tblW w:w="0" w:type="auto"/>
      <w:tblInd w:w="5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68"/>
      <w:gridCol w:w="2268"/>
    </w:tblGrid>
    <w:tr w:rsidTr="00672273">
      <w:tblPrEx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82"/>
      </w:trPr>
      <w:tc>
        <w:tcPr>
          <w:tcW w:w="2268" w:type="dxa"/>
        </w:tcPr>
        <w:p w:rsidR="00FB22EE" w:rsidRPr="008F7C56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sm_asiakirjatyyppi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Lausunto</w:t>
          </w:r>
          <w:r w:rsidRPr="008F7C56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FB22EE" w:rsidRPr="008F7C56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sm_id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SM1921868</w:t>
          </w:r>
          <w:r w:rsidRPr="008F7C56">
            <w:rPr>
              <w:rFonts w:eastAsia="Cambria"/>
            </w:rPr>
            <w:fldChar w:fldCharType="end"/>
          </w:r>
        </w:p>
      </w:tc>
    </w:tr>
    <w:tr w:rsidTr="00672273">
      <w:tblPrEx>
        <w:tblW w:w="0" w:type="auto"/>
        <w:tblInd w:w="5040" w:type="dxa"/>
        <w:tblLook w:val="04A0"/>
      </w:tblPrEx>
      <w:tc>
        <w:tcPr>
          <w:tcW w:w="2268" w:type="dxa"/>
        </w:tcPr>
        <w:p w:rsidR="00FB22EE" w:rsidRPr="008F7C56" w:rsidP="00672273">
          <w:pPr>
            <w:rPr>
              <w:rFonts w:eastAsia="Cambria"/>
              <w:lang w:val="fi-FI"/>
            </w:rPr>
          </w:pPr>
        </w:p>
      </w:tc>
      <w:tc>
        <w:tcPr>
          <w:tcW w:w="2268" w:type="dxa"/>
        </w:tcPr>
        <w:p w:rsidR="00FB22EE" w:rsidRPr="008F7C56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sm_asiaryhmä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00.02.04</w:t>
          </w:r>
          <w:r w:rsidRPr="008F7C56">
            <w:rPr>
              <w:rFonts w:eastAsia="Cambria"/>
            </w:rPr>
            <w:fldChar w:fldCharType="end"/>
          </w:r>
        </w:p>
      </w:tc>
    </w:tr>
    <w:tr w:rsidTr="00672273">
      <w:tblPrEx>
        <w:tblW w:w="0" w:type="auto"/>
        <w:tblInd w:w="5040" w:type="dxa"/>
        <w:tblLook w:val="04A0"/>
      </w:tblPrEx>
      <w:tc>
        <w:tcPr>
          <w:tcW w:w="2268" w:type="dxa"/>
        </w:tcPr>
        <w:p w:rsidR="00FB22EE" w:rsidRPr="008F7C56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sm_pvm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29.08.2019</w:t>
          </w:r>
          <w:r w:rsidRPr="008F7C56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FB22EE" w:rsidRPr="008F7C56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sm_diaarinro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SMDno-2019-1315</w:t>
          </w:r>
          <w:r w:rsidRPr="008F7C56">
            <w:rPr>
              <w:rFonts w:eastAsia="Cambria"/>
            </w:rPr>
            <w:fldChar w:fldCharType="end"/>
          </w:r>
        </w:p>
      </w:tc>
    </w:tr>
  </w:tbl>
  <w:p w:rsidR="00D64AB2" w:rsidP="0098392F">
    <w:pPr>
      <w:pStyle w:val="Header"/>
    </w:pPr>
  </w:p>
  <w:p w:rsidR="00FB22EE" w:rsidP="0098392F">
    <w:pPr>
      <w:pStyle w:val="Header"/>
    </w:pPr>
  </w:p>
  <w:p w:rsidR="00FB22EE" w:rsidP="00983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DFF" w:rsidRPr="00D55653" w:rsidP="0098392F">
    <w:pPr>
      <w:pStyle w:val="Header"/>
    </w:pPr>
    <w:r>
      <w:ptab w:relativeTo="margin" w:alignment="right" w:leader="none"/>
    </w:r>
    <w:r w:rsidRPr="00D55653">
      <w:fldChar w:fldCharType="begin"/>
    </w:r>
    <w:r w:rsidRPr="00D55653">
      <w:instrText xml:space="preserve"> PAGE   \* MERGEFORMAT </w:instrText>
    </w:r>
    <w:r w:rsidRPr="00D55653">
      <w:fldChar w:fldCharType="separate"/>
    </w:r>
    <w:r w:rsidR="00692506">
      <w:t>1</w:t>
    </w:r>
    <w:r w:rsidRPr="00D55653">
      <w:fldChar w:fldCharType="end"/>
    </w:r>
    <w:r w:rsidRPr="00D55653">
      <w:t xml:space="preserve"> (</w:t>
    </w:r>
    <w:r w:rsidR="00692506">
      <w:fldChar w:fldCharType="begin"/>
    </w:r>
    <w:r w:rsidR="00692506">
      <w:instrText xml:space="preserve"> NUMPAGES   \* MERGEFORMAT </w:instrText>
    </w:r>
    <w:r w:rsidR="00692506">
      <w:fldChar w:fldCharType="separate"/>
    </w:r>
    <w:r w:rsidR="00692506">
      <w:t>3</w:t>
    </w:r>
    <w:r w:rsidR="00692506">
      <w:fldChar w:fldCharType="end"/>
    </w:r>
    <w:r w:rsidRPr="00D55653">
      <w:t>)</w:t>
    </w:r>
    <w:r w:rsidRPr="00D55653">
      <w:tab/>
    </w:r>
    <w:r w:rsidRPr="00D55653">
      <w:tab/>
    </w:r>
    <w:r w:rsidRPr="00D55653">
      <w:tab/>
    </w:r>
    <w:r w:rsidRPr="00D55653">
      <w:tab/>
    </w:r>
  </w:p>
  <w:tbl>
    <w:tblPr>
      <w:tblStyle w:val="TaulukkoRuudukko1"/>
      <w:tblW w:w="0" w:type="auto"/>
      <w:tblInd w:w="5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68"/>
      <w:gridCol w:w="2268"/>
    </w:tblGrid>
    <w:tr w:rsidTr="00082DFF">
      <w:tblPrEx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82"/>
      </w:trPr>
      <w:tc>
        <w:tcPr>
          <w:tcW w:w="2268" w:type="dxa"/>
        </w:tcPr>
        <w:p w:rsidR="00082DFF" w:rsidRPr="00D55653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sm_asiakirjatyyppi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Lausunto</w:t>
          </w:r>
          <w:r w:rsidRPr="00D55653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082DFF" w:rsidRPr="00D55653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sm_id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SM1921868</w:t>
          </w:r>
          <w:r w:rsidRPr="00D55653">
            <w:rPr>
              <w:rFonts w:eastAsia="Cambria"/>
            </w:rPr>
            <w:fldChar w:fldCharType="end"/>
          </w:r>
        </w:p>
      </w:tc>
    </w:tr>
    <w:tr w:rsidTr="00082DFF">
      <w:tblPrEx>
        <w:tblW w:w="0" w:type="auto"/>
        <w:tblInd w:w="5040" w:type="dxa"/>
        <w:tblLook w:val="04A0"/>
      </w:tblPrEx>
      <w:tc>
        <w:tcPr>
          <w:tcW w:w="2268" w:type="dxa"/>
        </w:tcPr>
        <w:p w:rsidR="00082DFF" w:rsidRPr="00D55653" w:rsidP="00082DFF">
          <w:pPr>
            <w:rPr>
              <w:rFonts w:eastAsia="Cambria"/>
              <w:lang w:val="fi-FI"/>
            </w:rPr>
          </w:pPr>
        </w:p>
      </w:tc>
      <w:tc>
        <w:tcPr>
          <w:tcW w:w="2268" w:type="dxa"/>
        </w:tcPr>
        <w:p w:rsidR="00082DFF" w:rsidRPr="00D55653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sm_asiaryhmä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00.02.04</w:t>
          </w:r>
          <w:r w:rsidRPr="00D55653">
            <w:rPr>
              <w:rFonts w:eastAsia="Cambria"/>
            </w:rPr>
            <w:fldChar w:fldCharType="end"/>
          </w:r>
        </w:p>
      </w:tc>
    </w:tr>
    <w:tr w:rsidTr="00082DFF">
      <w:tblPrEx>
        <w:tblW w:w="0" w:type="auto"/>
        <w:tblInd w:w="5040" w:type="dxa"/>
        <w:tblLook w:val="04A0"/>
      </w:tblPrEx>
      <w:tc>
        <w:tcPr>
          <w:tcW w:w="2268" w:type="dxa"/>
        </w:tcPr>
        <w:p w:rsidR="00082DFF" w:rsidRPr="00D55653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sm_pvm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29.08.2019</w:t>
          </w:r>
          <w:r w:rsidRPr="00D55653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082DFF" w:rsidRPr="00D55653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sm_diaarinro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SMDno-2019-1315</w:t>
          </w:r>
          <w:r w:rsidRPr="00D55653">
            <w:rPr>
              <w:rFonts w:eastAsia="Cambria"/>
            </w:rPr>
            <w:fldChar w:fldCharType="end"/>
          </w:r>
        </w:p>
      </w:tc>
    </w:tr>
  </w:tbl>
  <w:p w:rsidR="00082DFF" w:rsidRPr="00D55653" w:rsidP="0098392F">
    <w:pPr>
      <w:pStyle w:val="Header"/>
    </w:pPr>
  </w:p>
  <w:p w:rsidR="00082DFF" w:rsidRPr="00D55653" w:rsidP="0098392F">
    <w:pPr>
      <w:pStyle w:val="Header"/>
    </w:pPr>
    <w:r w:rsidRPr="00D55653">
      <w:tab/>
    </w:r>
    <w:r w:rsidRPr="00D55653">
      <w:tab/>
    </w:r>
    <w:r w:rsidRPr="00D55653">
      <w:tab/>
    </w:r>
    <w:r w:rsidRPr="00D55653">
      <w:tab/>
    </w:r>
  </w:p>
  <w:p w:rsidR="00082DFF" w:rsidRPr="00D55653" w:rsidP="0098392F">
    <w:pPr>
      <w:pStyle w:val="Header"/>
    </w:pPr>
  </w:p>
  <w:p w:rsidR="002723D0" w:rsidRPr="00D55653" w:rsidP="0098392F">
    <w:pPr>
      <w:pStyle w:val="Header"/>
    </w:pPr>
    <w:r w:rsidRPr="00D55653">
      <w:rPr>
        <w:rFonts w:eastAsiaTheme="majorEastAsia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476250</wp:posOffset>
          </wp:positionV>
          <wp:extent cx="2019300" cy="87058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saministerio_vaaka-pun_RGB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11C27B62"/>
    <w:multiLevelType w:val="multilevel"/>
    <w:tmpl w:val="5BD42AB8"/>
    <w:numStyleLink w:val="Numeroituotsikointi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23421A62"/>
    <w:styleLink w:val="Luettelomerki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l">
    <w:name w:val="Normal"/>
    <w:aliases w:val="Viitetiedot"/>
    <w:qFormat/>
    <w:rsid w:val="00FB22EE"/>
    <w:pPr>
      <w:tabs>
        <w:tab w:val="left" w:pos="851"/>
        <w:tab w:val="left" w:pos="1304"/>
        <w:tab w:val="left" w:pos="2608"/>
        <w:tab w:val="left" w:pos="3912"/>
      </w:tabs>
    </w:pPr>
    <w:rPr>
      <w:rFonts w:ascii="Calibri" w:hAnsi="Calibri" w:cs="Calibri"/>
      <w:sz w:val="22"/>
    </w:rPr>
  </w:style>
  <w:style w:type="paragraph" w:styleId="Heading1">
    <w:name w:val="heading 1"/>
    <w:next w:val="BodyText"/>
    <w:link w:val="Otsikko1Char"/>
    <w:uiPriority w:val="9"/>
    <w:qFormat/>
    <w:rsid w:val="00754595"/>
    <w:pPr>
      <w:keepNext/>
      <w:keepLines/>
      <w:spacing w:before="240" w:after="240"/>
      <w:ind w:right="2835"/>
      <w:outlineLvl w:val="0"/>
    </w:pPr>
    <w:rPr>
      <w:rFonts w:ascii="Cambria" w:hAnsi="Cambria"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BodyText"/>
    <w:link w:val="Otsikko2Char"/>
    <w:uiPriority w:val="9"/>
    <w:qFormat/>
    <w:rsid w:val="00E44D66"/>
    <w:pPr>
      <w:outlineLvl w:val="1"/>
    </w:pPr>
    <w:rPr>
      <w:bCs w:val="0"/>
      <w:sz w:val="22"/>
      <w:szCs w:val="26"/>
    </w:rPr>
  </w:style>
  <w:style w:type="paragraph" w:styleId="Heading3">
    <w:name w:val="heading 3"/>
    <w:basedOn w:val="Normal"/>
    <w:next w:val="BodyText"/>
    <w:link w:val="Otsikko3Char"/>
    <w:uiPriority w:val="9"/>
    <w:qFormat/>
    <w:rsid w:val="00754595"/>
    <w:pPr>
      <w:keepNext/>
      <w:keepLines/>
      <w:spacing w:before="240" w:after="240"/>
      <w:ind w:right="2835"/>
      <w:outlineLvl w:val="2"/>
    </w:pPr>
    <w:rPr>
      <w:rFonts w:ascii="Cambria" w:hAnsi="Cambria" w:eastAsiaTheme="majorEastAsia" w:cstheme="majorBidi"/>
      <w:bCs/>
    </w:rPr>
  </w:style>
  <w:style w:type="paragraph" w:styleId="Heading4">
    <w:name w:val="heading 4"/>
    <w:basedOn w:val="Normal"/>
    <w:next w:val="BodyText"/>
    <w:link w:val="Otsikko4Char"/>
    <w:uiPriority w:val="9"/>
    <w:rsid w:val="00A147F3"/>
    <w:pPr>
      <w:keepNext/>
      <w:keepLines/>
      <w:numPr>
        <w:ilvl w:val="3"/>
        <w:numId w:val="20"/>
      </w:numPr>
      <w:spacing w:after="180"/>
      <w:ind w:right="2835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Otsikko5Char"/>
    <w:uiPriority w:val="9"/>
    <w:rsid w:val="00A147F3"/>
    <w:pPr>
      <w:keepNext/>
      <w:keepLines/>
      <w:numPr>
        <w:ilvl w:val="4"/>
        <w:numId w:val="20"/>
      </w:numPr>
      <w:spacing w:after="180"/>
      <w:ind w:right="2835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Otsikko6Char"/>
    <w:uiPriority w:val="9"/>
    <w:rsid w:val="00A147F3"/>
    <w:pPr>
      <w:keepNext/>
      <w:keepLines/>
      <w:numPr>
        <w:ilvl w:val="5"/>
        <w:numId w:val="20"/>
      </w:numPr>
      <w:spacing w:after="180"/>
      <w:ind w:right="2835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Otsikko7Char"/>
    <w:uiPriority w:val="9"/>
    <w:rsid w:val="00A147F3"/>
    <w:pPr>
      <w:keepNext/>
      <w:keepLines/>
      <w:numPr>
        <w:ilvl w:val="6"/>
        <w:numId w:val="20"/>
      </w:numPr>
      <w:spacing w:after="180"/>
      <w:ind w:right="2835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Otsikko8Char"/>
    <w:uiPriority w:val="9"/>
    <w:rsid w:val="00A147F3"/>
    <w:pPr>
      <w:keepNext/>
      <w:keepLines/>
      <w:numPr>
        <w:ilvl w:val="7"/>
        <w:numId w:val="20"/>
      </w:numPr>
      <w:spacing w:after="180"/>
      <w:ind w:right="4536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Otsikko9Char"/>
    <w:uiPriority w:val="9"/>
    <w:rsid w:val="00A147F3"/>
    <w:pPr>
      <w:keepNext/>
      <w:keepLines/>
      <w:numPr>
        <w:ilvl w:val="8"/>
        <w:numId w:val="20"/>
      </w:numPr>
      <w:spacing w:after="180"/>
      <w:ind w:right="2835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YltunnisteChar"/>
    <w:uiPriority w:val="99"/>
    <w:unhideWhenUsed/>
    <w:rsid w:val="00A147F3"/>
    <w:rPr>
      <w:rFonts w:ascii="Arial" w:hAnsi="Arial"/>
      <w:noProof/>
    </w:rPr>
  </w:style>
  <w:style w:type="character" w:customStyle="1" w:styleId="YltunnisteChar">
    <w:name w:val="Ylätunniste Char"/>
    <w:basedOn w:val="DefaultParagraphFont"/>
    <w:link w:val="Header"/>
    <w:uiPriority w:val="99"/>
    <w:rsid w:val="00A147F3"/>
    <w:rPr>
      <w:rFonts w:ascii="Arial" w:hAnsi="Arial"/>
      <w:noProof/>
      <w:sz w:val="20"/>
      <w:szCs w:val="18"/>
    </w:rPr>
  </w:style>
  <w:style w:type="paragraph" w:styleId="Footer">
    <w:name w:val="footer"/>
    <w:basedOn w:val="Normal"/>
    <w:link w:val="AlatunnisteChar"/>
    <w:uiPriority w:val="99"/>
    <w:unhideWhenUsed/>
    <w:rsid w:val="00F83065"/>
    <w:rPr>
      <w:sz w:val="20"/>
    </w:rPr>
  </w:style>
  <w:style w:type="character" w:customStyle="1" w:styleId="AlatunnisteChar">
    <w:name w:val="Alatunniste Char"/>
    <w:basedOn w:val="DefaultParagraphFont"/>
    <w:link w:val="Footer"/>
    <w:uiPriority w:val="99"/>
    <w:rsid w:val="00F83065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A147F3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qFormat/>
    <w:rsid w:val="00C40884"/>
    <w:pPr>
      <w:numPr>
        <w:numId w:val="9"/>
      </w:numPr>
      <w:spacing w:after="240"/>
      <w:ind w:left="2965" w:right="567" w:hanging="357"/>
      <w:contextualSpacing/>
    </w:pPr>
  </w:style>
  <w:style w:type="paragraph" w:styleId="ListNumber">
    <w:name w:val="List Number"/>
    <w:basedOn w:val="Normal"/>
    <w:uiPriority w:val="99"/>
    <w:rsid w:val="00A147F3"/>
    <w:pPr>
      <w:numPr>
        <w:numId w:val="1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A147F3"/>
    <w:rPr>
      <w:color w:val="auto"/>
    </w:rPr>
  </w:style>
  <w:style w:type="character" w:customStyle="1" w:styleId="Otsikko1Char">
    <w:name w:val="Otsikko 1 Char"/>
    <w:basedOn w:val="DefaultParagraphFont"/>
    <w:link w:val="Heading1"/>
    <w:uiPriority w:val="9"/>
    <w:rsid w:val="00754595"/>
    <w:rPr>
      <w:rFonts w:ascii="Cambria" w:hAnsi="Cambria" w:eastAsiaTheme="majorEastAsia" w:cstheme="majorBidi"/>
      <w:b/>
      <w:bCs/>
      <w:sz w:val="24"/>
      <w:szCs w:val="28"/>
    </w:rPr>
  </w:style>
  <w:style w:type="paragraph" w:styleId="TOCHeading">
    <w:name w:val="TOC Heading"/>
    <w:next w:val="Normal"/>
    <w:uiPriority w:val="39"/>
    <w:rsid w:val="00A147F3"/>
    <w:pPr>
      <w:spacing w:after="240"/>
      <w:ind w:right="2835"/>
    </w:pPr>
    <w:rPr>
      <w:rFonts w:asciiTheme="majorHAnsi" w:eastAsiaTheme="majorEastAsia" w:hAnsiTheme="majorHAnsi" w:cstheme="majorBidi"/>
      <w:b/>
      <w:bCs/>
      <w:sz w:val="18"/>
      <w:szCs w:val="28"/>
    </w:rPr>
  </w:style>
  <w:style w:type="table" w:customStyle="1" w:styleId="Eireunaviivaa">
    <w:name w:val="Ei reunaviivaa"/>
    <w:basedOn w:val="TableNormal"/>
    <w:uiPriority w:val="99"/>
    <w:rsid w:val="00072D8C"/>
    <w:rPr>
      <w:szCs w:val="18"/>
    </w:rPr>
    <w:tblPr/>
  </w:style>
  <w:style w:type="paragraph" w:styleId="BalloonText">
    <w:name w:val="Balloon Text"/>
    <w:basedOn w:val="Normal"/>
    <w:link w:val="SelitetekstiChar"/>
    <w:uiPriority w:val="99"/>
    <w:semiHidden/>
    <w:unhideWhenUsed/>
    <w:rsid w:val="00A147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A147F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OtsikkoChar"/>
    <w:uiPriority w:val="10"/>
    <w:rsid w:val="00A147F3"/>
    <w:pPr>
      <w:spacing w:after="180"/>
      <w:ind w:right="2835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DefaultParagraphFont"/>
    <w:link w:val="Title"/>
    <w:uiPriority w:val="10"/>
    <w:rsid w:val="00A147F3"/>
    <w:rPr>
      <w:rFonts w:asciiTheme="majorHAnsi" w:eastAsiaTheme="majorEastAsia" w:hAnsiTheme="majorHAnsi" w:cstheme="majorHAnsi"/>
      <w:b/>
      <w:kern w:val="28"/>
      <w:sz w:val="18"/>
      <w:szCs w:val="52"/>
    </w:rPr>
  </w:style>
  <w:style w:type="paragraph" w:styleId="BodyText">
    <w:name w:val="Body Text"/>
    <w:basedOn w:val="Normal"/>
    <w:link w:val="LeiptekstiChar"/>
    <w:uiPriority w:val="1"/>
    <w:qFormat/>
    <w:rsid w:val="00754595"/>
    <w:pPr>
      <w:spacing w:after="120"/>
      <w:ind w:left="2608" w:right="567"/>
    </w:pPr>
  </w:style>
  <w:style w:type="character" w:customStyle="1" w:styleId="LeiptekstiChar">
    <w:name w:val="Leipäteksti Char"/>
    <w:basedOn w:val="DefaultParagraphFont"/>
    <w:link w:val="BodyText"/>
    <w:uiPriority w:val="1"/>
    <w:rsid w:val="00754595"/>
    <w:rPr>
      <w:rFonts w:ascii="Calibri" w:hAnsi="Calibri" w:cs="Calibri"/>
      <w:sz w:val="22"/>
    </w:rPr>
  </w:style>
  <w:style w:type="paragraph" w:styleId="NoSpacing">
    <w:name w:val="No Spacing"/>
    <w:uiPriority w:val="2"/>
    <w:rsid w:val="00A147F3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DefaultParagraphFont"/>
    <w:link w:val="Heading2"/>
    <w:uiPriority w:val="9"/>
    <w:rsid w:val="00E44D66"/>
    <w:rPr>
      <w:rFonts w:ascii="Cambria" w:hAnsi="Cambria" w:eastAsiaTheme="majorEastAsia" w:cstheme="majorBidi"/>
      <w:b/>
      <w:sz w:val="22"/>
      <w:szCs w:val="26"/>
    </w:rPr>
  </w:style>
  <w:style w:type="character" w:customStyle="1" w:styleId="Otsikko3Char">
    <w:name w:val="Otsikko 3 Char"/>
    <w:basedOn w:val="DefaultParagraphFont"/>
    <w:link w:val="Heading3"/>
    <w:uiPriority w:val="9"/>
    <w:rsid w:val="00754595"/>
    <w:rPr>
      <w:rFonts w:ascii="Cambria" w:hAnsi="Cambria" w:eastAsiaTheme="majorEastAsia" w:cstheme="majorBidi"/>
      <w:bCs/>
      <w:sz w:val="22"/>
    </w:rPr>
  </w:style>
  <w:style w:type="character" w:customStyle="1" w:styleId="Otsikko4Char">
    <w:name w:val="Otsikko 4 Char"/>
    <w:basedOn w:val="DefaultParagraphFont"/>
    <w:link w:val="Heading4"/>
    <w:uiPriority w:val="9"/>
    <w:rsid w:val="00A147F3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DefaultParagraphFont"/>
    <w:link w:val="Heading5"/>
    <w:uiPriority w:val="9"/>
    <w:rsid w:val="00A1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DefaultParagraphFont"/>
    <w:link w:val="Heading6"/>
    <w:uiPriority w:val="9"/>
    <w:rsid w:val="00A147F3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DefaultParagraphFont"/>
    <w:link w:val="Heading7"/>
    <w:uiPriority w:val="9"/>
    <w:rsid w:val="00A147F3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DefaultParagraphFont"/>
    <w:link w:val="Heading8"/>
    <w:uiPriority w:val="9"/>
    <w:rsid w:val="00A147F3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DefaultParagraphFont"/>
    <w:link w:val="Heading9"/>
    <w:uiPriority w:val="9"/>
    <w:rsid w:val="00A147F3"/>
    <w:rPr>
      <w:rFonts w:asciiTheme="majorHAnsi" w:eastAsiaTheme="majorEastAsia" w:hAnsiTheme="majorHAnsi" w:cstheme="majorBidi"/>
      <w:iCs/>
      <w:sz w:val="18"/>
      <w:szCs w:val="20"/>
    </w:rPr>
  </w:style>
  <w:style w:type="numbering" w:customStyle="1" w:styleId="Luettelomerkit">
    <w:name w:val="Luettelomerkit"/>
    <w:uiPriority w:val="99"/>
    <w:rsid w:val="00A147F3"/>
    <w:pPr>
      <w:numPr>
        <w:numId w:val="3"/>
      </w:numPr>
    </w:pPr>
  </w:style>
  <w:style w:type="numbering" w:customStyle="1" w:styleId="Luettelonumerot">
    <w:name w:val="Luettelonumerot"/>
    <w:uiPriority w:val="99"/>
    <w:rsid w:val="00A147F3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A147F3"/>
    <w:pPr>
      <w:numPr>
        <w:numId w:val="5"/>
      </w:numPr>
    </w:pPr>
  </w:style>
  <w:style w:type="paragraph" w:customStyle="1" w:styleId="Sivuotsikko">
    <w:name w:val="Sivuotsikko"/>
    <w:basedOn w:val="BodyText"/>
    <w:next w:val="BodyText"/>
    <w:link w:val="SivuotsikkoChar"/>
    <w:uiPriority w:val="2"/>
    <w:rsid w:val="00A147F3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A147F3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147F3"/>
    <w:pPr>
      <w:ind w:left="720"/>
      <w:contextualSpacing/>
    </w:pPr>
  </w:style>
  <w:style w:type="paragraph" w:customStyle="1" w:styleId="Vastaanottajatiedot">
    <w:name w:val="Vastaanottajatiedot"/>
    <w:basedOn w:val="Normal"/>
    <w:rsid w:val="00A147F3"/>
  </w:style>
  <w:style w:type="table" w:customStyle="1" w:styleId="TaulukkoRuudukko1">
    <w:name w:val="Taulukko Ruudukko1"/>
    <w:basedOn w:val="TableNormal"/>
    <w:next w:val="TableGrid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asiain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C40A-8ECA-45EF-A12A-34441058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695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Tuovinen Aino SM</cp:lastModifiedBy>
  <cp:revision>38</cp:revision>
  <dcterms:created xsi:type="dcterms:W3CDTF">2015-04-15T10:42:00Z</dcterms:created>
  <dcterms:modified xsi:type="dcterms:W3CDTF">2019-08-29T06:22:00Z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29.08.2019 klo 11:05.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SMDno-2019-1315</vt:lpwstr>
  </property>
  <property fmtid="{D5CDD505-2E9C-101B-9397-08002B2CF9AE}" pid="6" name="sm_id">
    <vt:lpwstr>SM1921868</vt:lpwstr>
  </property>
  <property fmtid="{D5CDD505-2E9C-101B-9397-08002B2CF9AE}" pid="7" name="sm_käsittelyluokka">
    <vt:lpwstr/>
  </property>
  <property fmtid="{D5CDD505-2E9C-101B-9397-08002B2CF9AE}" pid="8" name="sm_laatija">
    <vt:lpwstr>Aino Tuovinen</vt:lpwstr>
  </property>
  <property fmtid="{D5CDD505-2E9C-101B-9397-08002B2CF9AE}" pid="9" name="sm_laatimispvm">
    <vt:lpwstr>28.08.2019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Hallinto- ja kehittämisosasto</vt:lpwstr>
  </property>
  <property fmtid="{D5CDD505-2E9C-101B-9397-08002B2CF9AE}" pid="14" name="sm_otsikko">
    <vt:lpwstr>Rikosseuraamuslaitoksen ja poliisin yhteistyö vankeusaikaisen rikollisuuden estämisessä ja laitosturvallisuuden ylläpitämisessä; sisäministeriön lausunto</vt:lpwstr>
  </property>
  <property fmtid="{D5CDD505-2E9C-101B-9397-08002B2CF9AE}" pid="15" name="sm_pvm">
    <vt:lpwstr>29.08.2019</vt:lpwstr>
  </property>
  <property fmtid="{D5CDD505-2E9C-101B-9397-08002B2CF9AE}" pid="16" name="sm_salassapitoperuste">
    <vt:lpwstr/>
  </property>
  <property fmtid="{D5CDD505-2E9C-101B-9397-08002B2CF9AE}" pid="17" name="sm_tila">
    <vt:lpwstr>Allekirjoitettu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