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479AE" w14:textId="77777777" w:rsidR="004C40B2" w:rsidRPr="00B70E62" w:rsidRDefault="004C40B2" w:rsidP="00E61C32">
      <w:pPr>
        <w:pStyle w:val="Otsikko1"/>
        <w:jc w:val="both"/>
        <w:rPr>
          <w:rFonts w:ascii="Arial" w:hAnsi="Arial" w:cs="Arial"/>
          <w:color w:val="auto"/>
          <w:sz w:val="20"/>
          <w:szCs w:val="20"/>
        </w:rPr>
      </w:pPr>
      <w:r>
        <w:rPr>
          <w:rFonts w:ascii="Arial" w:hAnsi="Arial"/>
          <w:color w:val="auto"/>
          <w:sz w:val="20"/>
          <w:szCs w:val="20"/>
        </w:rPr>
        <w:t>PROPOSITIONENS HUVUDSAKLIGA INNEHÅLL</w:t>
      </w:r>
    </w:p>
    <w:p w14:paraId="169CFBD4" w14:textId="77777777" w:rsidR="004C40B2" w:rsidRPr="00B70E62" w:rsidRDefault="004C40B2" w:rsidP="006F25FB">
      <w:pPr>
        <w:jc w:val="both"/>
        <w:rPr>
          <w:rFonts w:ascii="Arial" w:hAnsi="Arial" w:cs="Arial"/>
          <w:sz w:val="20"/>
          <w:szCs w:val="20"/>
        </w:rPr>
      </w:pPr>
    </w:p>
    <w:p w14:paraId="1F75B1E9" w14:textId="36C06951" w:rsidR="00FC1BD2" w:rsidRPr="00B70E62" w:rsidRDefault="00801C1F" w:rsidP="006F25FB">
      <w:pPr>
        <w:jc w:val="both"/>
        <w:rPr>
          <w:rFonts w:ascii="Arial" w:hAnsi="Arial" w:cs="Arial"/>
          <w:sz w:val="20"/>
          <w:szCs w:val="20"/>
        </w:rPr>
      </w:pPr>
      <w:r>
        <w:rPr>
          <w:rFonts w:ascii="Arial" w:hAnsi="Arial"/>
          <w:sz w:val="20"/>
          <w:szCs w:val="20"/>
        </w:rPr>
        <w:t>I denna proposition föreslås det att lagen om rätt till uppfinningar vid högskolor ändras så att lagens bestämmelser om öppen forskning ändras till dispositiva bestämmelser. Dessutom görs vissa tekniska preciseringar med anledning av ändringar av annan lagstiftning.</w:t>
      </w:r>
    </w:p>
    <w:p w14:paraId="0136EC79" w14:textId="77777777" w:rsidR="007667D4" w:rsidRPr="00B70E62" w:rsidRDefault="007667D4" w:rsidP="006F25FB">
      <w:pPr>
        <w:jc w:val="both"/>
        <w:rPr>
          <w:rFonts w:ascii="Arial" w:hAnsi="Arial" w:cs="Arial"/>
          <w:sz w:val="20"/>
          <w:szCs w:val="20"/>
        </w:rPr>
      </w:pPr>
      <w:r>
        <w:rPr>
          <w:rFonts w:ascii="Arial" w:hAnsi="Arial"/>
          <w:sz w:val="20"/>
          <w:szCs w:val="20"/>
        </w:rPr>
        <w:t>Lagförslaget anknyter till regeringens spetsprojekt Kompetens och utbildning.</w:t>
      </w:r>
    </w:p>
    <w:p w14:paraId="331A939B" w14:textId="29F3E0EA" w:rsidR="00BF75D1" w:rsidRPr="00B70E62" w:rsidRDefault="00BF75D1" w:rsidP="006F25FB">
      <w:pPr>
        <w:jc w:val="both"/>
        <w:rPr>
          <w:rFonts w:ascii="Arial" w:hAnsi="Arial" w:cs="Arial"/>
          <w:sz w:val="20"/>
          <w:szCs w:val="20"/>
        </w:rPr>
      </w:pPr>
      <w:r>
        <w:rPr>
          <w:rFonts w:ascii="Arial" w:hAnsi="Arial"/>
          <w:sz w:val="20"/>
          <w:szCs w:val="20"/>
        </w:rPr>
        <w:t xml:space="preserve">Lagen avses träda i kraft den 1 januari 2019. </w:t>
      </w:r>
    </w:p>
    <w:p w14:paraId="3DDABA5B" w14:textId="051B6943" w:rsidR="00E61C32" w:rsidRPr="00B70E62" w:rsidRDefault="00E61C32">
      <w:pPr>
        <w:rPr>
          <w:rFonts w:ascii="Arial" w:hAnsi="Arial" w:cs="Arial"/>
          <w:sz w:val="20"/>
          <w:szCs w:val="20"/>
        </w:rPr>
      </w:pPr>
      <w:r>
        <w:br w:type="page"/>
      </w:r>
    </w:p>
    <w:p w14:paraId="07A1D7BB" w14:textId="77777777" w:rsidR="00F50062" w:rsidRPr="00B70E62" w:rsidRDefault="00F50062" w:rsidP="006F25FB">
      <w:pPr>
        <w:jc w:val="both"/>
        <w:rPr>
          <w:rFonts w:ascii="Arial" w:hAnsi="Arial" w:cs="Arial"/>
          <w:sz w:val="20"/>
          <w:szCs w:val="20"/>
        </w:rPr>
      </w:pPr>
    </w:p>
    <w:p w14:paraId="0B2C1CCD" w14:textId="77777777" w:rsidR="00F50062" w:rsidRPr="00B70E62" w:rsidRDefault="00F50062" w:rsidP="006F25FB">
      <w:pPr>
        <w:jc w:val="both"/>
        <w:rPr>
          <w:rFonts w:ascii="Arial" w:hAnsi="Arial" w:cs="Arial"/>
          <w:sz w:val="20"/>
          <w:szCs w:val="20"/>
        </w:rPr>
      </w:pPr>
      <w:r>
        <w:rPr>
          <w:rFonts w:ascii="Arial" w:hAnsi="Arial"/>
          <w:sz w:val="20"/>
          <w:szCs w:val="20"/>
        </w:rPr>
        <w:t>INNEHÅLLSFÖRTECKNING</w:t>
      </w:r>
    </w:p>
    <w:p w14:paraId="260D381D" w14:textId="77777777" w:rsidR="004C40B2" w:rsidRPr="00B70E62" w:rsidRDefault="004C40B2" w:rsidP="00E638D5">
      <w:pPr>
        <w:jc w:val="both"/>
        <w:rPr>
          <w:rFonts w:ascii="Arial" w:hAnsi="Arial" w:cs="Arial"/>
          <w:sz w:val="20"/>
          <w:szCs w:val="20"/>
        </w:rPr>
      </w:pPr>
      <w:r>
        <w:rPr>
          <w:rFonts w:ascii="Arial" w:hAnsi="Arial"/>
          <w:sz w:val="20"/>
          <w:szCs w:val="20"/>
        </w:rPr>
        <w:t>PROPOSITIONENS HUVUDSAKLIGA INNEHÅLL</w:t>
      </w:r>
    </w:p>
    <w:p w14:paraId="642E88A6" w14:textId="7753678C" w:rsidR="00F50062" w:rsidRPr="00B70E62" w:rsidRDefault="00F50062" w:rsidP="00E638D5">
      <w:pPr>
        <w:jc w:val="both"/>
        <w:rPr>
          <w:rFonts w:ascii="Arial" w:hAnsi="Arial" w:cs="Arial"/>
          <w:sz w:val="20"/>
          <w:szCs w:val="20"/>
        </w:rPr>
      </w:pPr>
      <w:r>
        <w:rPr>
          <w:rFonts w:ascii="Arial" w:hAnsi="Arial"/>
          <w:sz w:val="20"/>
          <w:szCs w:val="20"/>
        </w:rPr>
        <w:t>INNEHÅLLSFÖRTECKNING</w:t>
      </w:r>
    </w:p>
    <w:p w14:paraId="6EE7398E" w14:textId="77777777" w:rsidR="00B67168" w:rsidRPr="00B70E62" w:rsidRDefault="00B67168" w:rsidP="00B67168">
      <w:pPr>
        <w:ind w:left="360"/>
        <w:jc w:val="both"/>
        <w:rPr>
          <w:rFonts w:ascii="Arial" w:hAnsi="Arial" w:cs="Arial"/>
          <w:sz w:val="20"/>
          <w:szCs w:val="20"/>
        </w:rPr>
      </w:pPr>
      <w:r>
        <w:rPr>
          <w:rFonts w:ascii="Arial" w:hAnsi="Arial"/>
          <w:sz w:val="20"/>
          <w:szCs w:val="20"/>
        </w:rPr>
        <w:t>ALLMÄN MOTIVERING</w:t>
      </w:r>
    </w:p>
    <w:p w14:paraId="683D3985" w14:textId="4F914406" w:rsidR="00F50062" w:rsidRPr="00B70E62" w:rsidRDefault="00041AED" w:rsidP="00F870B1">
      <w:pPr>
        <w:pStyle w:val="Luettelokappale"/>
        <w:numPr>
          <w:ilvl w:val="0"/>
          <w:numId w:val="16"/>
        </w:numPr>
        <w:jc w:val="both"/>
        <w:rPr>
          <w:rFonts w:ascii="Arial" w:hAnsi="Arial" w:cs="Arial"/>
          <w:sz w:val="20"/>
          <w:szCs w:val="20"/>
        </w:rPr>
      </w:pPr>
      <w:r>
        <w:rPr>
          <w:rFonts w:ascii="Arial" w:hAnsi="Arial"/>
          <w:sz w:val="20"/>
          <w:szCs w:val="20"/>
        </w:rPr>
        <w:t>Inledning</w:t>
      </w:r>
    </w:p>
    <w:p w14:paraId="71DB1503" w14:textId="106F1A14" w:rsidR="00B205C8" w:rsidRPr="00B70E62" w:rsidRDefault="00B205C8" w:rsidP="00F870B1">
      <w:pPr>
        <w:pStyle w:val="Luettelokappale"/>
        <w:numPr>
          <w:ilvl w:val="0"/>
          <w:numId w:val="16"/>
        </w:numPr>
        <w:jc w:val="both"/>
        <w:rPr>
          <w:rFonts w:ascii="Arial" w:hAnsi="Arial" w:cs="Arial"/>
          <w:sz w:val="20"/>
          <w:szCs w:val="20"/>
        </w:rPr>
      </w:pPr>
      <w:r>
        <w:rPr>
          <w:rFonts w:ascii="Arial" w:hAnsi="Arial"/>
          <w:sz w:val="20"/>
          <w:szCs w:val="20"/>
        </w:rPr>
        <w:t>Nuläge</w:t>
      </w:r>
    </w:p>
    <w:p w14:paraId="68CDDBDB" w14:textId="0E7AA125" w:rsidR="00E61C32" w:rsidRPr="00B70E62" w:rsidRDefault="00E61C32" w:rsidP="00F870B1">
      <w:pPr>
        <w:pStyle w:val="Luettelokappale"/>
        <w:numPr>
          <w:ilvl w:val="1"/>
          <w:numId w:val="16"/>
        </w:numPr>
        <w:jc w:val="both"/>
        <w:rPr>
          <w:rFonts w:ascii="Arial" w:hAnsi="Arial" w:cs="Arial"/>
          <w:sz w:val="20"/>
          <w:szCs w:val="20"/>
        </w:rPr>
      </w:pPr>
      <w:r>
        <w:rPr>
          <w:rFonts w:ascii="Arial" w:hAnsi="Arial"/>
          <w:sz w:val="20"/>
          <w:szCs w:val="20"/>
        </w:rPr>
        <w:t>Lagstiftning och praxis</w:t>
      </w:r>
    </w:p>
    <w:p w14:paraId="79352F49" w14:textId="2A3C5D23" w:rsidR="00143605" w:rsidRPr="00B70E62" w:rsidRDefault="00BA0303" w:rsidP="00F870B1">
      <w:pPr>
        <w:pStyle w:val="Luettelokappale"/>
        <w:numPr>
          <w:ilvl w:val="1"/>
          <w:numId w:val="16"/>
        </w:numPr>
        <w:jc w:val="both"/>
        <w:rPr>
          <w:rFonts w:ascii="Arial" w:hAnsi="Arial" w:cs="Arial"/>
          <w:sz w:val="20"/>
          <w:szCs w:val="20"/>
        </w:rPr>
      </w:pPr>
      <w:r>
        <w:rPr>
          <w:rFonts w:ascii="Arial" w:hAnsi="Arial"/>
          <w:sz w:val="20"/>
          <w:szCs w:val="20"/>
        </w:rPr>
        <w:t>Högskoleuppfinningar</w:t>
      </w:r>
    </w:p>
    <w:p w14:paraId="1508A8F6" w14:textId="048133A6" w:rsidR="00BA0303" w:rsidRPr="00B70E62" w:rsidRDefault="00BA0303" w:rsidP="00F870B1">
      <w:pPr>
        <w:pStyle w:val="Luettelokappale"/>
        <w:numPr>
          <w:ilvl w:val="1"/>
          <w:numId w:val="16"/>
        </w:numPr>
        <w:jc w:val="both"/>
        <w:rPr>
          <w:rFonts w:ascii="Arial" w:hAnsi="Arial" w:cs="Arial"/>
          <w:sz w:val="20"/>
          <w:szCs w:val="20"/>
        </w:rPr>
      </w:pPr>
      <w:r>
        <w:rPr>
          <w:rFonts w:ascii="Arial" w:hAnsi="Arial"/>
          <w:sz w:val="20"/>
          <w:szCs w:val="20"/>
        </w:rPr>
        <w:t>Behov av att ändra den gällande lagen</w:t>
      </w:r>
    </w:p>
    <w:p w14:paraId="7AA461C3" w14:textId="77777777" w:rsidR="0021664D" w:rsidRPr="00B70E62" w:rsidRDefault="0021664D" w:rsidP="00F870B1">
      <w:pPr>
        <w:pStyle w:val="Luettelokappale"/>
        <w:numPr>
          <w:ilvl w:val="0"/>
          <w:numId w:val="16"/>
        </w:numPr>
        <w:jc w:val="both"/>
        <w:rPr>
          <w:rFonts w:ascii="Arial" w:hAnsi="Arial" w:cs="Arial"/>
          <w:sz w:val="20"/>
          <w:szCs w:val="20"/>
        </w:rPr>
      </w:pPr>
      <w:r>
        <w:rPr>
          <w:rFonts w:ascii="Arial" w:hAnsi="Arial"/>
          <w:sz w:val="20"/>
          <w:szCs w:val="20"/>
        </w:rPr>
        <w:t xml:space="preserve">Internationell jämförelse </w:t>
      </w:r>
    </w:p>
    <w:p w14:paraId="6BA70C51" w14:textId="542716D9" w:rsidR="00114D77" w:rsidRPr="00B70E62" w:rsidRDefault="00114D77" w:rsidP="0021664D">
      <w:pPr>
        <w:pStyle w:val="Luettelokappale"/>
        <w:numPr>
          <w:ilvl w:val="1"/>
          <w:numId w:val="16"/>
        </w:numPr>
        <w:jc w:val="both"/>
        <w:rPr>
          <w:rFonts w:ascii="Arial" w:hAnsi="Arial" w:cs="Arial"/>
          <w:sz w:val="20"/>
          <w:szCs w:val="20"/>
        </w:rPr>
      </w:pPr>
      <w:r>
        <w:rPr>
          <w:rFonts w:ascii="Arial" w:hAnsi="Arial"/>
          <w:sz w:val="20"/>
          <w:szCs w:val="20"/>
        </w:rPr>
        <w:t>De nordiska länderna</w:t>
      </w:r>
    </w:p>
    <w:p w14:paraId="0C75034B" w14:textId="7E143C93" w:rsidR="00E536EC" w:rsidRPr="00B70E62" w:rsidRDefault="00E536EC" w:rsidP="00F870B1">
      <w:pPr>
        <w:pStyle w:val="Luettelokappale"/>
        <w:numPr>
          <w:ilvl w:val="1"/>
          <w:numId w:val="16"/>
        </w:numPr>
        <w:jc w:val="both"/>
        <w:rPr>
          <w:rFonts w:ascii="Arial" w:hAnsi="Arial" w:cs="Arial"/>
          <w:sz w:val="20"/>
          <w:szCs w:val="20"/>
        </w:rPr>
      </w:pPr>
      <w:r>
        <w:rPr>
          <w:rFonts w:ascii="Arial" w:hAnsi="Arial"/>
          <w:sz w:val="20"/>
          <w:szCs w:val="20"/>
        </w:rPr>
        <w:t>Förenta staternas Bayh-Dole Act 1980</w:t>
      </w:r>
    </w:p>
    <w:p w14:paraId="6964C85D" w14:textId="5F0FB005" w:rsidR="00594D5D" w:rsidRPr="00B70E62" w:rsidRDefault="00594D5D" w:rsidP="00F870B1">
      <w:pPr>
        <w:pStyle w:val="Luettelokappale"/>
        <w:numPr>
          <w:ilvl w:val="1"/>
          <w:numId w:val="16"/>
        </w:numPr>
        <w:jc w:val="both"/>
        <w:rPr>
          <w:rFonts w:ascii="Arial" w:hAnsi="Arial" w:cs="Arial"/>
          <w:sz w:val="20"/>
          <w:szCs w:val="20"/>
        </w:rPr>
      </w:pPr>
      <w:r>
        <w:rPr>
          <w:rFonts w:ascii="Arial" w:hAnsi="Arial"/>
          <w:sz w:val="20"/>
          <w:szCs w:val="20"/>
        </w:rPr>
        <w:t>Kommersialiseringsåtgärder i olika länder</w:t>
      </w:r>
    </w:p>
    <w:p w14:paraId="77E0A23B" w14:textId="735C73CE" w:rsidR="00DC15B0" w:rsidRPr="00B70E62" w:rsidRDefault="00DC15B0" w:rsidP="00F870B1">
      <w:pPr>
        <w:pStyle w:val="Luettelokappale"/>
        <w:numPr>
          <w:ilvl w:val="1"/>
          <w:numId w:val="16"/>
        </w:numPr>
        <w:jc w:val="both"/>
        <w:rPr>
          <w:rFonts w:ascii="Arial" w:hAnsi="Arial" w:cs="Arial"/>
          <w:sz w:val="20"/>
          <w:szCs w:val="20"/>
        </w:rPr>
      </w:pPr>
      <w:r>
        <w:rPr>
          <w:rFonts w:ascii="Arial" w:hAnsi="Arial"/>
          <w:sz w:val="20"/>
          <w:szCs w:val="20"/>
        </w:rPr>
        <w:t>Europeiska kommissionens rekommendation</w:t>
      </w:r>
    </w:p>
    <w:p w14:paraId="31A5E6F2" w14:textId="30494EBA" w:rsidR="00B36757" w:rsidRPr="00B70E62" w:rsidRDefault="00B36757" w:rsidP="00F870B1">
      <w:pPr>
        <w:pStyle w:val="Luettelokappale"/>
        <w:numPr>
          <w:ilvl w:val="0"/>
          <w:numId w:val="16"/>
        </w:numPr>
        <w:jc w:val="both"/>
        <w:rPr>
          <w:rFonts w:ascii="Arial" w:hAnsi="Arial" w:cs="Arial"/>
          <w:sz w:val="20"/>
          <w:szCs w:val="20"/>
        </w:rPr>
      </w:pPr>
      <w:r>
        <w:rPr>
          <w:rFonts w:ascii="Arial" w:hAnsi="Arial"/>
          <w:sz w:val="20"/>
          <w:szCs w:val="20"/>
        </w:rPr>
        <w:t>Målsättning och de viktigaste förslagen</w:t>
      </w:r>
    </w:p>
    <w:p w14:paraId="7F180D60" w14:textId="3802025B" w:rsidR="00AD0CAB" w:rsidRPr="00B70E62" w:rsidRDefault="000C54E2" w:rsidP="00F870B1">
      <w:pPr>
        <w:pStyle w:val="Luettelokappale"/>
        <w:numPr>
          <w:ilvl w:val="1"/>
          <w:numId w:val="16"/>
        </w:numPr>
        <w:jc w:val="both"/>
        <w:rPr>
          <w:rFonts w:ascii="Arial" w:hAnsi="Arial" w:cs="Arial"/>
          <w:sz w:val="20"/>
          <w:szCs w:val="20"/>
        </w:rPr>
      </w:pPr>
      <w:r>
        <w:rPr>
          <w:rFonts w:ascii="Arial" w:hAnsi="Arial"/>
          <w:sz w:val="20"/>
          <w:szCs w:val="20"/>
        </w:rPr>
        <w:t>Bestämmelser av dispositiv natur i öppen forskning</w:t>
      </w:r>
    </w:p>
    <w:p w14:paraId="40213A1F" w14:textId="22577DFF" w:rsidR="000C54E2" w:rsidRPr="00B70E62" w:rsidRDefault="000C54E2" w:rsidP="00F870B1">
      <w:pPr>
        <w:pStyle w:val="Luettelokappale"/>
        <w:numPr>
          <w:ilvl w:val="1"/>
          <w:numId w:val="16"/>
        </w:numPr>
        <w:jc w:val="both"/>
        <w:rPr>
          <w:rFonts w:ascii="Arial" w:hAnsi="Arial" w:cs="Arial"/>
          <w:sz w:val="20"/>
          <w:szCs w:val="20"/>
        </w:rPr>
      </w:pPr>
      <w:r>
        <w:rPr>
          <w:rFonts w:ascii="Arial" w:hAnsi="Arial"/>
          <w:sz w:val="20"/>
          <w:szCs w:val="20"/>
        </w:rPr>
        <w:t>Öppen forskning som begrepp</w:t>
      </w:r>
    </w:p>
    <w:p w14:paraId="3A0B48E1" w14:textId="77777777" w:rsidR="00E12BB6" w:rsidRPr="00B70E62" w:rsidRDefault="00E12BB6" w:rsidP="00E12BB6">
      <w:pPr>
        <w:pStyle w:val="Luettelokappale"/>
        <w:numPr>
          <w:ilvl w:val="1"/>
          <w:numId w:val="16"/>
        </w:numPr>
        <w:jc w:val="both"/>
        <w:rPr>
          <w:rFonts w:ascii="Arial" w:hAnsi="Arial" w:cs="Arial"/>
          <w:sz w:val="20"/>
          <w:szCs w:val="20"/>
        </w:rPr>
      </w:pPr>
      <w:r>
        <w:rPr>
          <w:rFonts w:ascii="Arial" w:hAnsi="Arial"/>
          <w:sz w:val="20"/>
          <w:szCs w:val="20"/>
        </w:rPr>
        <w:t xml:space="preserve">Upphovsrättslagens bestämmelser om rättigheter som gäller datorprogram skapade av en upphovsman som utför självständigt arbete inom undervisning eller forskning vid en högskola </w:t>
      </w:r>
    </w:p>
    <w:p w14:paraId="13D9BB41" w14:textId="77777777" w:rsidR="00EB51A5" w:rsidRPr="00B70E62" w:rsidRDefault="00EB51A5" w:rsidP="00EB51A5">
      <w:pPr>
        <w:pStyle w:val="Luettelokappale"/>
        <w:numPr>
          <w:ilvl w:val="1"/>
          <w:numId w:val="16"/>
        </w:numPr>
        <w:jc w:val="both"/>
        <w:rPr>
          <w:rFonts w:ascii="Arial" w:hAnsi="Arial" w:cs="Arial"/>
          <w:sz w:val="20"/>
          <w:szCs w:val="20"/>
        </w:rPr>
      </w:pPr>
      <w:r>
        <w:rPr>
          <w:rFonts w:ascii="Arial" w:hAnsi="Arial"/>
          <w:sz w:val="20"/>
          <w:szCs w:val="20"/>
        </w:rPr>
        <w:t xml:space="preserve">Andra utmaningar vid tillämpningen av högskoleuppfinningslagen </w:t>
      </w:r>
    </w:p>
    <w:p w14:paraId="11895C08" w14:textId="45C6D0CE" w:rsidR="000C54E2" w:rsidRPr="00B70E62" w:rsidRDefault="00C52720" w:rsidP="00F870B1">
      <w:pPr>
        <w:pStyle w:val="Luettelokappale"/>
        <w:numPr>
          <w:ilvl w:val="0"/>
          <w:numId w:val="16"/>
        </w:numPr>
        <w:jc w:val="both"/>
        <w:rPr>
          <w:rFonts w:ascii="Arial" w:hAnsi="Arial" w:cs="Arial"/>
          <w:sz w:val="20"/>
          <w:szCs w:val="20"/>
        </w:rPr>
      </w:pPr>
      <w:r>
        <w:rPr>
          <w:rFonts w:ascii="Arial" w:hAnsi="Arial"/>
          <w:sz w:val="20"/>
          <w:szCs w:val="20"/>
        </w:rPr>
        <w:t>Propositionens konsekvenser</w:t>
      </w:r>
    </w:p>
    <w:p w14:paraId="77455316" w14:textId="52039088" w:rsidR="00C52720" w:rsidRPr="00B70E62" w:rsidRDefault="009A08B7" w:rsidP="00F870B1">
      <w:pPr>
        <w:pStyle w:val="Luettelokappale"/>
        <w:numPr>
          <w:ilvl w:val="0"/>
          <w:numId w:val="16"/>
        </w:numPr>
        <w:jc w:val="both"/>
        <w:rPr>
          <w:rFonts w:ascii="Arial" w:hAnsi="Arial" w:cs="Arial"/>
          <w:sz w:val="20"/>
          <w:szCs w:val="20"/>
        </w:rPr>
      </w:pPr>
      <w:r>
        <w:rPr>
          <w:rFonts w:ascii="Arial" w:hAnsi="Arial"/>
          <w:sz w:val="20"/>
          <w:szCs w:val="20"/>
        </w:rPr>
        <w:t>Beredningen av propositionen</w:t>
      </w:r>
    </w:p>
    <w:p w14:paraId="6DCC99A1" w14:textId="3F9960BC" w:rsidR="0021664D" w:rsidRPr="00B70E62" w:rsidRDefault="0021664D" w:rsidP="0021664D">
      <w:pPr>
        <w:pStyle w:val="Luettelokappale"/>
        <w:numPr>
          <w:ilvl w:val="1"/>
          <w:numId w:val="16"/>
        </w:numPr>
        <w:jc w:val="both"/>
        <w:rPr>
          <w:rFonts w:ascii="Arial" w:hAnsi="Arial" w:cs="Arial"/>
          <w:sz w:val="20"/>
          <w:szCs w:val="20"/>
        </w:rPr>
      </w:pPr>
      <w:r>
        <w:rPr>
          <w:rFonts w:ascii="Arial" w:hAnsi="Arial"/>
          <w:sz w:val="20"/>
          <w:szCs w:val="20"/>
        </w:rPr>
        <w:t>Beredningsskeden och beredningsmaterial</w:t>
      </w:r>
    </w:p>
    <w:p w14:paraId="517C6D9A" w14:textId="125F2D3D" w:rsidR="0021664D" w:rsidRPr="00B70E62" w:rsidRDefault="0021664D" w:rsidP="0021664D">
      <w:pPr>
        <w:pStyle w:val="Luettelokappale"/>
        <w:numPr>
          <w:ilvl w:val="1"/>
          <w:numId w:val="16"/>
        </w:numPr>
        <w:jc w:val="both"/>
        <w:rPr>
          <w:rFonts w:ascii="Arial" w:hAnsi="Arial" w:cs="Arial"/>
          <w:sz w:val="20"/>
          <w:szCs w:val="20"/>
        </w:rPr>
      </w:pPr>
      <w:r>
        <w:rPr>
          <w:rFonts w:ascii="Arial" w:hAnsi="Arial"/>
          <w:sz w:val="20"/>
          <w:szCs w:val="20"/>
        </w:rPr>
        <w:t>Remissyttranden och hur de har beaktats</w:t>
      </w:r>
    </w:p>
    <w:p w14:paraId="7BA29680" w14:textId="3DC2C1B7" w:rsidR="00041AED" w:rsidRPr="00B70E62" w:rsidRDefault="00324D67">
      <w:pPr>
        <w:jc w:val="both"/>
        <w:rPr>
          <w:rFonts w:ascii="Arial" w:hAnsi="Arial" w:cs="Arial"/>
          <w:sz w:val="20"/>
          <w:szCs w:val="20"/>
        </w:rPr>
      </w:pPr>
      <w:r>
        <w:rPr>
          <w:rFonts w:ascii="Arial" w:hAnsi="Arial"/>
          <w:sz w:val="20"/>
          <w:szCs w:val="20"/>
        </w:rPr>
        <w:t>DETALJMOTIVERING</w:t>
      </w:r>
    </w:p>
    <w:p w14:paraId="738E6018" w14:textId="185614A3" w:rsidR="00324D67" w:rsidRPr="00B70E62" w:rsidRDefault="00324D67" w:rsidP="00F870B1">
      <w:pPr>
        <w:pStyle w:val="Luettelokappale"/>
        <w:numPr>
          <w:ilvl w:val="0"/>
          <w:numId w:val="17"/>
        </w:numPr>
        <w:jc w:val="both"/>
        <w:rPr>
          <w:rFonts w:ascii="Arial" w:hAnsi="Arial" w:cs="Arial"/>
          <w:sz w:val="20"/>
          <w:szCs w:val="20"/>
        </w:rPr>
      </w:pPr>
      <w:r>
        <w:rPr>
          <w:rFonts w:ascii="Arial" w:hAnsi="Arial"/>
          <w:sz w:val="20"/>
          <w:szCs w:val="20"/>
        </w:rPr>
        <w:t>Lagförslag</w:t>
      </w:r>
    </w:p>
    <w:p w14:paraId="00A202C7" w14:textId="006A2D12" w:rsidR="00324D67" w:rsidRPr="00B70E62" w:rsidRDefault="004A14B0" w:rsidP="00F870B1">
      <w:pPr>
        <w:pStyle w:val="Luettelokappale"/>
        <w:numPr>
          <w:ilvl w:val="0"/>
          <w:numId w:val="17"/>
        </w:numPr>
        <w:jc w:val="both"/>
        <w:rPr>
          <w:rFonts w:ascii="Arial" w:hAnsi="Arial" w:cs="Arial"/>
          <w:sz w:val="20"/>
          <w:szCs w:val="20"/>
        </w:rPr>
      </w:pPr>
      <w:r>
        <w:rPr>
          <w:rFonts w:ascii="Arial" w:hAnsi="Arial"/>
          <w:sz w:val="20"/>
          <w:szCs w:val="20"/>
        </w:rPr>
        <w:t>Ikraftträdande</w:t>
      </w:r>
    </w:p>
    <w:p w14:paraId="044FAF0F" w14:textId="7CBBDEFD" w:rsidR="004A14B0" w:rsidRPr="00B70E62" w:rsidRDefault="004A14B0" w:rsidP="00F870B1">
      <w:pPr>
        <w:pStyle w:val="Luettelokappale"/>
        <w:numPr>
          <w:ilvl w:val="0"/>
          <w:numId w:val="17"/>
        </w:numPr>
        <w:jc w:val="both"/>
        <w:rPr>
          <w:rFonts w:ascii="Arial" w:hAnsi="Arial" w:cs="Arial"/>
          <w:sz w:val="20"/>
          <w:szCs w:val="20"/>
        </w:rPr>
      </w:pPr>
      <w:r>
        <w:rPr>
          <w:rFonts w:ascii="Arial" w:hAnsi="Arial"/>
          <w:sz w:val="20"/>
          <w:szCs w:val="20"/>
        </w:rPr>
        <w:t>Förhållande till grundlagen samt lagstiftningsordning</w:t>
      </w:r>
    </w:p>
    <w:p w14:paraId="5AE5BFEB" w14:textId="6D24C0CC" w:rsidR="0021664D" w:rsidRPr="00B70E62" w:rsidRDefault="0021664D">
      <w:pPr>
        <w:rPr>
          <w:rFonts w:ascii="Arial" w:hAnsi="Arial" w:cs="Arial"/>
          <w:sz w:val="20"/>
          <w:szCs w:val="20"/>
        </w:rPr>
      </w:pPr>
      <w:r>
        <w:br w:type="page"/>
      </w:r>
    </w:p>
    <w:p w14:paraId="223111DC" w14:textId="77777777" w:rsidR="00892306" w:rsidRPr="00B70E62" w:rsidRDefault="00892306" w:rsidP="00457E61">
      <w:pPr>
        <w:jc w:val="both"/>
        <w:rPr>
          <w:rFonts w:ascii="Arial" w:hAnsi="Arial" w:cs="Arial"/>
          <w:sz w:val="20"/>
          <w:szCs w:val="20"/>
        </w:rPr>
      </w:pPr>
      <w:r>
        <w:rPr>
          <w:rFonts w:ascii="Arial" w:hAnsi="Arial"/>
          <w:sz w:val="20"/>
          <w:szCs w:val="20"/>
        </w:rPr>
        <w:lastRenderedPageBreak/>
        <w:t>ALLMÄN MOTIVERING</w:t>
      </w:r>
    </w:p>
    <w:p w14:paraId="0FD48EC4" w14:textId="417B0D92" w:rsidR="00F50062" w:rsidRPr="00B70E62" w:rsidRDefault="00041AED" w:rsidP="00457E61">
      <w:pPr>
        <w:pStyle w:val="Luettelokappale"/>
        <w:numPr>
          <w:ilvl w:val="0"/>
          <w:numId w:val="21"/>
        </w:numPr>
        <w:jc w:val="both"/>
        <w:rPr>
          <w:rFonts w:ascii="Arial" w:hAnsi="Arial" w:cs="Arial"/>
          <w:sz w:val="20"/>
          <w:szCs w:val="20"/>
        </w:rPr>
      </w:pPr>
      <w:r>
        <w:rPr>
          <w:rFonts w:ascii="Arial" w:hAnsi="Arial"/>
          <w:sz w:val="20"/>
          <w:szCs w:val="20"/>
        </w:rPr>
        <w:t>Inledning</w:t>
      </w:r>
    </w:p>
    <w:p w14:paraId="6875BACF" w14:textId="59BACB07" w:rsidR="00065365" w:rsidRPr="00B70E62" w:rsidRDefault="004431FB" w:rsidP="00457E61">
      <w:pPr>
        <w:jc w:val="both"/>
        <w:rPr>
          <w:rFonts w:ascii="Arial" w:hAnsi="Arial" w:cs="Arial"/>
          <w:sz w:val="20"/>
          <w:szCs w:val="20"/>
        </w:rPr>
      </w:pPr>
      <w:r>
        <w:rPr>
          <w:rFonts w:ascii="Arial" w:hAnsi="Arial"/>
          <w:sz w:val="20"/>
          <w:szCs w:val="20"/>
        </w:rPr>
        <w:t xml:space="preserve">Syftet med revideringen av lagen om rätt till uppfinningar vid högskolor (369/2006), nedan </w:t>
      </w:r>
      <w:r>
        <w:rPr>
          <w:rFonts w:ascii="Arial" w:hAnsi="Arial"/>
          <w:i/>
          <w:iCs/>
          <w:sz w:val="20"/>
          <w:szCs w:val="20"/>
        </w:rPr>
        <w:t>högskoleuppfinningslagen</w:t>
      </w:r>
      <w:r>
        <w:rPr>
          <w:rFonts w:ascii="Arial" w:hAnsi="Arial"/>
          <w:sz w:val="20"/>
          <w:szCs w:val="20"/>
        </w:rPr>
        <w:t xml:space="preserve">, är att stödja målet i regeringens spetsprojekt </w:t>
      </w:r>
      <w:r>
        <w:rPr>
          <w:rFonts w:ascii="Arial" w:hAnsi="Arial"/>
          <w:i/>
          <w:iCs/>
          <w:sz w:val="20"/>
          <w:szCs w:val="20"/>
        </w:rPr>
        <w:t>Kompetens och utbildning</w:t>
      </w:r>
      <w:r>
        <w:rPr>
          <w:rFonts w:ascii="Arial" w:hAnsi="Arial"/>
          <w:sz w:val="20"/>
          <w:szCs w:val="20"/>
        </w:rPr>
        <w:t xml:space="preserve"> att stärka såväl samarbetet mellan högskolor och näringsliv som utnyttjandet av forskningsresultat i syfte att åstadkomma innovationer och kommersialisering av dem.</w:t>
      </w:r>
    </w:p>
    <w:p w14:paraId="078C8D97" w14:textId="545CC6F1" w:rsidR="00065365" w:rsidRPr="00B70E62" w:rsidRDefault="00065365" w:rsidP="00457E61">
      <w:pPr>
        <w:jc w:val="both"/>
        <w:rPr>
          <w:rFonts w:ascii="Arial" w:hAnsi="Arial" w:cs="Arial"/>
          <w:sz w:val="20"/>
          <w:szCs w:val="20"/>
        </w:rPr>
      </w:pPr>
      <w:r>
        <w:rPr>
          <w:rFonts w:ascii="Arial" w:hAnsi="Arial"/>
          <w:sz w:val="20"/>
          <w:szCs w:val="20"/>
        </w:rPr>
        <w:t xml:space="preserve">Vid revideringen av högskoleuppfinningslagen ligger tyngdpunkten särskilt på att effektivisera kommersialiseringen av uppfinningar som kommer till i högskolor. Den arbetsgrupp som har berett lagändringen har utöver lagändringen också berett rekommendationer för högskolornas gemensamma innovationsprocesser och innovationstjänster samt för stärkandet av högskolornas innovationskunskaper på alla nivåer.   </w:t>
      </w:r>
    </w:p>
    <w:p w14:paraId="09DBB730" w14:textId="7E1B5A10" w:rsidR="00242E6B" w:rsidRPr="00B70E62" w:rsidRDefault="00242E6B" w:rsidP="00457E61">
      <w:pPr>
        <w:spacing w:before="100" w:beforeAutospacing="1" w:after="100" w:afterAutospacing="1"/>
        <w:jc w:val="both"/>
        <w:outlineLvl w:val="4"/>
        <w:rPr>
          <w:rFonts w:ascii="Arial" w:hAnsi="Arial" w:cs="Arial"/>
          <w:sz w:val="20"/>
          <w:szCs w:val="20"/>
        </w:rPr>
      </w:pPr>
      <w:r>
        <w:rPr>
          <w:rFonts w:ascii="Arial" w:hAnsi="Arial"/>
          <w:sz w:val="20"/>
          <w:szCs w:val="20"/>
        </w:rPr>
        <w:t>Revideringen av högskoleuppfinningslagen omfattar också tekniska ändringar, som är en följd av tidigare ändringar av bland annat universitetslagen (558/2009), yrkeshögskolelagen (932/2014) och lagen om Finlands Akademi (922/2009). När det gäller öppen forskning ändras bestämmelserna om överföring av rättigheter till högskolorna i 6 § i högskoleuppfinningslagen så att överföringen av rättigheterna också till denna del i första hand sker genom avtal mellan parterna. Om ingenting har överenskommits om överföringen, ska det förfarande som föreskrivs i den gällande lagen tillämpas.</w:t>
      </w:r>
    </w:p>
    <w:p w14:paraId="68E20765" w14:textId="2491B7A4" w:rsidR="004C40B2" w:rsidRPr="00B70E62" w:rsidRDefault="004C40B2" w:rsidP="00457E61">
      <w:pPr>
        <w:pStyle w:val="Luettelokappale"/>
        <w:numPr>
          <w:ilvl w:val="0"/>
          <w:numId w:val="21"/>
        </w:numPr>
        <w:jc w:val="both"/>
        <w:rPr>
          <w:rFonts w:ascii="Arial" w:hAnsi="Arial" w:cs="Arial"/>
          <w:sz w:val="20"/>
          <w:szCs w:val="20"/>
        </w:rPr>
      </w:pPr>
      <w:r>
        <w:rPr>
          <w:rFonts w:ascii="Arial" w:hAnsi="Arial"/>
          <w:sz w:val="20"/>
          <w:szCs w:val="20"/>
        </w:rPr>
        <w:t xml:space="preserve">Nuläge </w:t>
      </w:r>
    </w:p>
    <w:p w14:paraId="053EDE4E" w14:textId="77777777" w:rsidR="00457E61" w:rsidRPr="00B70E62" w:rsidRDefault="00457E61" w:rsidP="00457E61">
      <w:pPr>
        <w:pStyle w:val="Luettelokappale"/>
        <w:ind w:left="360"/>
        <w:jc w:val="both"/>
        <w:rPr>
          <w:rFonts w:ascii="Arial" w:hAnsi="Arial" w:cs="Arial"/>
          <w:sz w:val="20"/>
          <w:szCs w:val="20"/>
        </w:rPr>
      </w:pPr>
    </w:p>
    <w:p w14:paraId="4E74507E" w14:textId="6F102B8D" w:rsidR="00457E61" w:rsidRPr="00B70E62" w:rsidRDefault="00457E61" w:rsidP="00457E61">
      <w:pPr>
        <w:pStyle w:val="Luettelokappale"/>
        <w:numPr>
          <w:ilvl w:val="1"/>
          <w:numId w:val="19"/>
        </w:numPr>
        <w:rPr>
          <w:rFonts w:ascii="Arial" w:hAnsi="Arial" w:cs="Arial"/>
          <w:sz w:val="20"/>
          <w:szCs w:val="20"/>
        </w:rPr>
      </w:pPr>
      <w:r>
        <w:rPr>
          <w:rFonts w:ascii="Arial" w:hAnsi="Arial"/>
          <w:sz w:val="20"/>
          <w:szCs w:val="20"/>
        </w:rPr>
        <w:t>Lagstiftning och praxis</w:t>
      </w:r>
    </w:p>
    <w:p w14:paraId="424295EB" w14:textId="7648B5A7" w:rsidR="00540EB1" w:rsidRPr="00B70E62" w:rsidRDefault="00540EB1" w:rsidP="006F25FB">
      <w:pPr>
        <w:jc w:val="both"/>
        <w:rPr>
          <w:rFonts w:ascii="Arial" w:hAnsi="Arial" w:cs="Arial"/>
          <w:sz w:val="20"/>
          <w:szCs w:val="20"/>
        </w:rPr>
      </w:pPr>
      <w:r>
        <w:rPr>
          <w:rFonts w:ascii="Arial" w:hAnsi="Arial"/>
          <w:sz w:val="20"/>
          <w:szCs w:val="20"/>
        </w:rPr>
        <w:t xml:space="preserve">För närvarande tillämpas högskoleuppfinningslagen, som trädde i kraft den 1 januari 2007, vid finländska universitet och yrkeshögskolor. Den centralaste skillnaden mellan högskoleuppfinningslagen och lagen om rätt till arbetstagares uppfinningar (656/1967, nedan </w:t>
      </w:r>
      <w:r>
        <w:rPr>
          <w:rFonts w:ascii="Arial" w:hAnsi="Arial"/>
          <w:i/>
          <w:iCs/>
          <w:sz w:val="20"/>
          <w:szCs w:val="20"/>
        </w:rPr>
        <w:t>uppfinningslagen</w:t>
      </w:r>
      <w:r>
        <w:rPr>
          <w:rFonts w:ascii="Arial" w:hAnsi="Arial"/>
          <w:sz w:val="20"/>
          <w:szCs w:val="20"/>
        </w:rPr>
        <w:t xml:space="preserve">), som tillämpades tidigare, är att enligt högskoleuppfinningslagen delas den forskning som bedrivs vid högskolor in i öppen forskning och avtalsforskning. Om någon utomstående part deltar i forskningen t.ex. som finansiär, betraktas forskningen som avtalsforskning och då har högskolan rätt att ta rättigheterna till uppfinningen. Om inga utomstående parter deltar i forskningen, är det enligt huvudregeln fråga om öppen forskning. I ett sådant fall får uppfinnaren behålla rättigheterna till uppfinningen. Den med tanke på högskoleuppfinningslagens funktion viktigaste nya skyldigheten för uppfinnarna var att göra en uppfinningsanmälan till högskolan. Anmälan är nödvändig med tanke på såväl identifierandet av uppfinningar som fastställandet av uppfinningsrättigheter. </w:t>
      </w:r>
    </w:p>
    <w:p w14:paraId="0F7E2540" w14:textId="175BA3C9" w:rsidR="00540EB1" w:rsidRPr="00B70E62" w:rsidRDefault="00540EB1">
      <w:pPr>
        <w:jc w:val="both"/>
        <w:rPr>
          <w:rFonts w:ascii="Arial" w:hAnsi="Arial" w:cs="Arial"/>
          <w:sz w:val="20"/>
          <w:szCs w:val="20"/>
        </w:rPr>
      </w:pPr>
      <w:r>
        <w:rPr>
          <w:rFonts w:ascii="Arial" w:hAnsi="Arial"/>
          <w:sz w:val="20"/>
          <w:szCs w:val="20"/>
        </w:rPr>
        <w:t>Syftet med högskoleuppfinningslagen, som trädde i kraft 2007, var att på ett sätt som är ändamålsenligt för både forskare och högskolor främja identifierandet och det kommersiella utnyttjandet av uppfinningar som kommit till i högskolor. Lagstiftningen reviderades på grund av att forskningsverksamheten vid högskolorna ändrades allt mer till samverkan mellan högskolorna och utomstående. Ett ytterligare syfte med lagen var också att precisera den rättsliga ställningen för de uppfinningar som kom till i högskolorna. Genom lagen tryggades forskarnas och vid högskolorna anställda personers intressen i och med att uppfinnaren alltid hade rätt till ersättning när uppfinningsrättigheterna övergick till högskolan. Ersättningsbestämmelsen utgick från en skälig från fall till fall fastställd andel av den intäkt som högskolan får för uppfinningen. I samband med revideringen fogades till uppfinningslagen en hänvisningsbestämmelse som till den del det är fråga om personer som är anställda vid högskolor hänvisar till högskoleuppfinningslagen.</w:t>
      </w:r>
    </w:p>
    <w:p w14:paraId="7567C9A9" w14:textId="32731C98" w:rsidR="00667284" w:rsidRPr="00B70E62" w:rsidRDefault="00FB7194">
      <w:pPr>
        <w:jc w:val="both"/>
        <w:rPr>
          <w:rFonts w:ascii="Arial" w:hAnsi="Arial" w:cs="Arial"/>
          <w:sz w:val="20"/>
          <w:szCs w:val="20"/>
        </w:rPr>
      </w:pPr>
      <w:r>
        <w:rPr>
          <w:rFonts w:ascii="Arial" w:hAnsi="Arial"/>
          <w:sz w:val="20"/>
          <w:szCs w:val="20"/>
        </w:rPr>
        <w:t xml:space="preserve">I den allmänna motiveringen till regeringens proposition till Riksdagen med förslag till lag om rätt till uppfinningar som görs vid högskolor samt till lag om ändring av lagen om rätt till arbetstagares uppfinningar (RP 259/2004 rd) konstateras det bland annat att högskoleforskningen har ändrats från att tidigare ha varit forskning som bedrivs av en enskild forskare till omfattande forskningsprojekt som </w:t>
      </w:r>
      <w:r>
        <w:rPr>
          <w:rFonts w:ascii="Arial" w:hAnsi="Arial"/>
          <w:sz w:val="20"/>
          <w:szCs w:val="20"/>
        </w:rPr>
        <w:lastRenderedPageBreak/>
        <w:t>genomförs av flera personer tillsammans och som allt oftare finansieras med andra medel än högskolornas egna omkostnadsanslag. Enligt den regeringspropositionen finansieras högskoleforskningen allt mer av särskilt näringslivet. Mångformig finansiering, forskningsprojekt som genomförs på olika sätt och samarbete med företag har lett till fler intressekonflikter samt inneburit nya utmaningar för bestämmelserna om forskningsverksamheten och särskilt utnyttjandet av forskningsresultaten vid högskolorna. Under det senaste årtiondet har dessa utvecklingsriktningar som identifierades 2004 stärkts ytterligare.</w:t>
      </w:r>
    </w:p>
    <w:p w14:paraId="08FF1436" w14:textId="10E25F59" w:rsidR="00EB1219" w:rsidRPr="00B70E62" w:rsidRDefault="00540EB1">
      <w:pPr>
        <w:jc w:val="both"/>
        <w:rPr>
          <w:rFonts w:ascii="Arial" w:hAnsi="Arial" w:cs="Arial"/>
          <w:sz w:val="20"/>
          <w:szCs w:val="20"/>
        </w:rPr>
      </w:pPr>
      <w:r>
        <w:rPr>
          <w:rFonts w:ascii="Arial" w:hAnsi="Arial"/>
          <w:sz w:val="20"/>
          <w:szCs w:val="20"/>
        </w:rPr>
        <w:t>Den gällande högskoleuppfinningslagen är en blandmodell av internationell praxis. Enligt den finländska modellen hör rättigheterna inom avtalsforskning till högskolan och inom öppen forskning till uppfinnaren. Den modell för ägande som vanligen tillämpas ute i världen bygger på Bayh-Dole Act</w:t>
      </w:r>
      <w:r w:rsidRPr="00B70E62">
        <w:rPr>
          <w:rStyle w:val="Alaviitteenviite"/>
          <w:rFonts w:ascii="Arial" w:hAnsi="Arial" w:cs="Arial"/>
          <w:sz w:val="20"/>
          <w:szCs w:val="20"/>
        </w:rPr>
        <w:footnoteReference w:id="1"/>
      </w:r>
      <w:r>
        <w:rPr>
          <w:rFonts w:ascii="Arial" w:hAnsi="Arial"/>
          <w:sz w:val="20"/>
          <w:szCs w:val="20"/>
        </w:rPr>
        <w:t>, som tillämpas i Förenta staterna. Enligt den modellen hör rättigheterna till de uppfinningar som är resultatet av forskning i regel till högskolan. En modell som avviker från detta är den s.k. forskarundantagsbestämmelse som när det gäller forskning vid universiteten innebär en avvikelse från huvudregeln i uppfinningslagen, dvs. att rättigheterna övergår till arbetsgivaren. Denna modell tillämpas fortfarande i bland annat Sverige och Italien. I Finland tillämpades motsvarande praxis innan den gällande högskoleuppfinningslagen trädde i kraft.</w:t>
      </w:r>
    </w:p>
    <w:p w14:paraId="29B04830" w14:textId="47F188C4" w:rsidR="00540EB1" w:rsidRPr="00B70E62" w:rsidRDefault="00EB1219">
      <w:pPr>
        <w:jc w:val="both"/>
        <w:rPr>
          <w:rFonts w:ascii="Arial" w:hAnsi="Arial" w:cs="Arial"/>
          <w:sz w:val="20"/>
          <w:szCs w:val="20"/>
        </w:rPr>
      </w:pPr>
      <w:r>
        <w:rPr>
          <w:rFonts w:ascii="Arial" w:hAnsi="Arial"/>
          <w:sz w:val="20"/>
          <w:szCs w:val="20"/>
        </w:rPr>
        <w:t xml:space="preserve">Högskoleuppfinningslagen delar in forskningen i två kategorier, dvs. öppen forskning (grundar sig närmast på universitets egen finansiering) och avtalsforskning (extern finansiering). I öppen forskning kan högskolan få rätt till uppfinningen, men detta förutsätter uttrycklig medverkan eller med andra ord samtycke av forskaren. Vid avtalsforskning kan högskolan ta rättigheten. </w:t>
      </w:r>
    </w:p>
    <w:p w14:paraId="07676E16" w14:textId="3545CC06" w:rsidR="001E4F9F" w:rsidRPr="00B70E62" w:rsidRDefault="001E4F9F" w:rsidP="001E4F9F">
      <w:pPr>
        <w:jc w:val="both"/>
        <w:rPr>
          <w:rFonts w:ascii="Arial" w:hAnsi="Arial" w:cs="Arial"/>
          <w:sz w:val="20"/>
          <w:szCs w:val="20"/>
        </w:rPr>
      </w:pPr>
      <w:r>
        <w:rPr>
          <w:rFonts w:ascii="Arial" w:hAnsi="Arial"/>
          <w:sz w:val="20"/>
          <w:szCs w:val="20"/>
        </w:rPr>
        <w:t>Utgångspunkten för patentlagen (550/1967) är uppfinnarens ensamrätt att besluta om skyddandet av sin uppfinning och sökandet om patent. De mest betydande avvikelserna från detta föreskrivs i uppfinningslagen och i lagen om uppfinningar av betydelse för landets försvar (551/1967). När det gäller högskoleforskning finns det bestämmelser om skyddet av datorprogram i upphovsrättslagens 40 b § där huvudregeln är att rättigheterna till ett datorprogram som kommit till i ett anställningsförhållande övergår till arbetsgivaren. Den nämnda paragrafen tillämpas dock inte inom högskoleforskning.</w:t>
      </w:r>
    </w:p>
    <w:p w14:paraId="5A3F791D" w14:textId="1ACA7BF2" w:rsidR="00474B36" w:rsidRPr="00B70E62" w:rsidRDefault="00474B36" w:rsidP="00F870B1">
      <w:pPr>
        <w:pStyle w:val="Luettelokappale"/>
        <w:numPr>
          <w:ilvl w:val="1"/>
          <w:numId w:val="19"/>
        </w:numPr>
        <w:rPr>
          <w:rFonts w:ascii="Arial" w:hAnsi="Arial" w:cs="Arial"/>
          <w:sz w:val="20"/>
          <w:szCs w:val="20"/>
        </w:rPr>
      </w:pPr>
      <w:r>
        <w:rPr>
          <w:rFonts w:ascii="Arial" w:hAnsi="Arial"/>
          <w:sz w:val="20"/>
          <w:szCs w:val="20"/>
        </w:rPr>
        <w:t xml:space="preserve">Högskoleuppfinningar </w:t>
      </w:r>
    </w:p>
    <w:p w14:paraId="248C2847" w14:textId="77777777" w:rsidR="002B2454" w:rsidRPr="00B70E62" w:rsidRDefault="002B2454" w:rsidP="002B2454">
      <w:pPr>
        <w:contextualSpacing/>
        <w:jc w:val="both"/>
        <w:rPr>
          <w:rFonts w:ascii="Arial" w:hAnsi="Arial" w:cs="Arial"/>
          <w:sz w:val="20"/>
          <w:szCs w:val="20"/>
        </w:rPr>
      </w:pPr>
      <w:r>
        <w:rPr>
          <w:rFonts w:ascii="Arial" w:hAnsi="Arial"/>
          <w:sz w:val="20"/>
          <w:szCs w:val="20"/>
        </w:rPr>
        <w:t>Uppfinningsanmälningar, patentering och immaterialrättsligt skydd</w:t>
      </w:r>
    </w:p>
    <w:p w14:paraId="2FF1FB25" w14:textId="77777777" w:rsidR="002B2454" w:rsidRPr="00B70E62" w:rsidRDefault="002B2454" w:rsidP="002B2454">
      <w:pPr>
        <w:contextualSpacing/>
        <w:jc w:val="both"/>
        <w:rPr>
          <w:rFonts w:ascii="Arial" w:hAnsi="Arial" w:cs="Arial"/>
          <w:sz w:val="20"/>
          <w:szCs w:val="20"/>
        </w:rPr>
      </w:pPr>
    </w:p>
    <w:p w14:paraId="713C7BA0" w14:textId="629E7D40" w:rsidR="002B2454" w:rsidRPr="00B70E62" w:rsidRDefault="002B2454" w:rsidP="002B2454">
      <w:pPr>
        <w:contextualSpacing/>
        <w:jc w:val="both"/>
        <w:rPr>
          <w:rFonts w:ascii="Arial" w:hAnsi="Arial" w:cs="Arial"/>
          <w:sz w:val="20"/>
          <w:szCs w:val="20"/>
        </w:rPr>
      </w:pPr>
      <w:r>
        <w:rPr>
          <w:rFonts w:ascii="Arial" w:hAnsi="Arial"/>
          <w:sz w:val="20"/>
          <w:szCs w:val="20"/>
        </w:rPr>
        <w:t xml:space="preserve">Forskningsfynd utgör utgångspunkten för innovationer som utnyttjas kommersiellt och mer övergripande i samhället. För identifiering av forskningsfynd har forskarna ålagts att på eget initiativ göra uppfinningsanmälningar där de beskriver sina fynd och meddelar vilka personer som deltagit i att göra fynden. Lite över hälften av universiteten betalar forskarna en ersättning för en gjord uppfinningsanmälan. Åren 2013–2016 gjordes totalt 1 600 uppfinningsanmälningar vid finländska universitet. </w:t>
      </w:r>
    </w:p>
    <w:p w14:paraId="385FAA61" w14:textId="77777777" w:rsidR="002B2454" w:rsidRPr="00B70E62" w:rsidRDefault="002B2454" w:rsidP="002B2454">
      <w:pPr>
        <w:contextualSpacing/>
        <w:jc w:val="both"/>
        <w:rPr>
          <w:rFonts w:ascii="Arial" w:hAnsi="Arial" w:cs="Arial"/>
          <w:sz w:val="20"/>
          <w:szCs w:val="20"/>
        </w:rPr>
      </w:pPr>
    </w:p>
    <w:p w14:paraId="49180B74" w14:textId="21CD7F90" w:rsidR="002B2454" w:rsidRPr="00B70E62" w:rsidRDefault="002B2454" w:rsidP="002B2454">
      <w:pPr>
        <w:contextualSpacing/>
        <w:jc w:val="both"/>
        <w:rPr>
          <w:rFonts w:ascii="Arial" w:hAnsi="Arial" w:cs="Arial"/>
          <w:sz w:val="20"/>
          <w:szCs w:val="20"/>
        </w:rPr>
      </w:pPr>
      <w:r>
        <w:rPr>
          <w:rFonts w:ascii="Arial" w:hAnsi="Arial"/>
          <w:sz w:val="20"/>
          <w:szCs w:val="20"/>
        </w:rPr>
        <w:t xml:space="preserve">Enligt en utredning (Kotiranta &amp; Tahvanainen, 2018) av Näringslivets forskningsinstitut görs det mest uppfinningsanmälningar inom teknikvetenskaperna. Och de viktigaste kanalerna för utnyttjande av forskningsidéer är att licensiera eller sälja fyndet och att bilda ett eget företag. Utredningen visar att de forskare som dels hittar sådana fynd som sedan kommersialiseras, dels främjar sådana fynd har mer företagssamarbete än andra. Som det mest betydande hindret för kommersialisering anges tidsbrist. Dessutom har man svaga kunskaper om de kommersialiseringstjänster som erbjuds av universiteten. Å andra sidan är de som har använt de erbjudna tjänsterna ganska nöjda med dem. </w:t>
      </w:r>
    </w:p>
    <w:p w14:paraId="3A7C2E2B" w14:textId="77777777" w:rsidR="002B2454" w:rsidRPr="00B70E62" w:rsidRDefault="002B2454" w:rsidP="002B2454">
      <w:pPr>
        <w:contextualSpacing/>
        <w:jc w:val="both"/>
        <w:rPr>
          <w:rFonts w:ascii="Arial" w:hAnsi="Arial" w:cs="Arial"/>
          <w:sz w:val="20"/>
          <w:szCs w:val="20"/>
        </w:rPr>
      </w:pPr>
    </w:p>
    <w:p w14:paraId="4903F6F8" w14:textId="1414E670" w:rsidR="002B2454" w:rsidRPr="00B70E62" w:rsidRDefault="002B2454" w:rsidP="002B2454">
      <w:pPr>
        <w:contextualSpacing/>
        <w:jc w:val="both"/>
        <w:rPr>
          <w:rFonts w:ascii="Arial" w:hAnsi="Arial" w:cs="Arial"/>
          <w:sz w:val="20"/>
          <w:szCs w:val="20"/>
        </w:rPr>
      </w:pPr>
      <w:r>
        <w:rPr>
          <w:rFonts w:ascii="Arial" w:hAnsi="Arial"/>
          <w:sz w:val="20"/>
          <w:szCs w:val="20"/>
        </w:rPr>
        <w:t xml:space="preserve">Enligt utredningen verkar universitetens nuvarande system med incitament för kommersialisering att vara ganska ineffektivt. Av dem som svarade på enkäten var det endast ett fåtal som var nöjda med inkomstfördelningsmodellen när det gäller äganderättigheter eller som ens kände till principerna för </w:t>
      </w:r>
      <w:r>
        <w:rPr>
          <w:rFonts w:ascii="Arial" w:hAnsi="Arial"/>
          <w:sz w:val="20"/>
          <w:szCs w:val="20"/>
        </w:rPr>
        <w:lastRenderedPageBreak/>
        <w:t xml:space="preserve">beviljande och delning av äganderättigheterna till eventuella forskningsresultat. De som ansåg att principerna är tydliga var också nöjdare än de andra med den nuvarande inkomstfördelningsmodellen.  </w:t>
      </w:r>
    </w:p>
    <w:p w14:paraId="38266FA5" w14:textId="77777777" w:rsidR="002B2454" w:rsidRPr="00B70E62" w:rsidRDefault="002B2454" w:rsidP="002B2454">
      <w:pPr>
        <w:contextualSpacing/>
        <w:jc w:val="both"/>
        <w:rPr>
          <w:rFonts w:ascii="Arial" w:hAnsi="Arial" w:cs="Arial"/>
          <w:sz w:val="20"/>
          <w:szCs w:val="20"/>
        </w:rPr>
      </w:pPr>
    </w:p>
    <w:p w14:paraId="3595E7D5" w14:textId="7822B334" w:rsidR="002B2454" w:rsidRPr="00B70E62" w:rsidRDefault="002B2454" w:rsidP="00A04D0F">
      <w:pPr>
        <w:contextualSpacing/>
        <w:jc w:val="both"/>
        <w:rPr>
          <w:rFonts w:ascii="Arial" w:hAnsi="Arial" w:cs="Arial"/>
          <w:sz w:val="20"/>
          <w:szCs w:val="20"/>
        </w:rPr>
      </w:pPr>
      <w:r>
        <w:rPr>
          <w:rFonts w:ascii="Arial" w:hAnsi="Arial"/>
          <w:sz w:val="20"/>
          <w:szCs w:val="20"/>
        </w:rPr>
        <w:t xml:space="preserve">Utnyttjandet och kommersialiseringen av data och forskningsresultat som har producerats vid högskolor och forskningsinstitut har understötts genom separata program. Teknologiska utvecklingscentralen (Tekes) har från och med 2012 använt finansieringsverktyget TUTL (Tutkimusideoista uutta tietoa ja liiketoimintaa, ny information och affärsverksamhet från forskningsidéer), som är avsett för förberedelse av kommersialisering av en forskningsidé. Utöver detta beviljade Sipiläs regering spetsprojektfinansiering för 2016–2017, som sedan beviljades genom Tekes, till utveckling av högskolornas och forskningsinstitutens kunskaper om innovation och kommersialisering (programmet Innovation Scout) samt till Finlands Akademi för främjande av att resultaten från pågående projekt utnyttjas.   </w:t>
      </w:r>
    </w:p>
    <w:p w14:paraId="52EB9684" w14:textId="77777777" w:rsidR="002B2454" w:rsidRPr="00B70E62" w:rsidRDefault="002B2454" w:rsidP="002B2454">
      <w:pPr>
        <w:contextualSpacing/>
        <w:jc w:val="both"/>
        <w:rPr>
          <w:rFonts w:ascii="Arial" w:hAnsi="Arial" w:cs="Arial"/>
          <w:sz w:val="20"/>
          <w:szCs w:val="20"/>
        </w:rPr>
      </w:pPr>
    </w:p>
    <w:p w14:paraId="32FA3260" w14:textId="635731F4" w:rsidR="002B2454" w:rsidRPr="00B70E62" w:rsidRDefault="002B2454" w:rsidP="002B2454">
      <w:pPr>
        <w:contextualSpacing/>
        <w:jc w:val="both"/>
        <w:rPr>
          <w:rFonts w:ascii="Arial" w:hAnsi="Arial" w:cs="Arial"/>
          <w:sz w:val="20"/>
          <w:szCs w:val="20"/>
        </w:rPr>
      </w:pPr>
      <w:r>
        <w:rPr>
          <w:rFonts w:ascii="Arial" w:hAnsi="Arial"/>
          <w:sz w:val="20"/>
          <w:szCs w:val="20"/>
        </w:rPr>
        <w:t>Betydelsen och mervärdet av programmen TUTL och Innovation Scout är betydande för forskningsorganisationerna. Genom programmen har man kunnat stärka kommersialiseringen av forskningsbaserade idéer och immateriella rättigheter samt överföringen av teknik. Från och med 2012 har totalt 380 kommersialiseringsprojekt beviljats sammanlagt 138 miljoner TUTL-finansiering. TUTL-projekten har gett upphov till 570 immateriella rättigheter och cirka 300 nya företag, av vilka 170 företag har bildats uttryckligen som en följd av TUTL-finansieringen.</w:t>
      </w:r>
    </w:p>
    <w:p w14:paraId="436B6058" w14:textId="77777777" w:rsidR="002B2454" w:rsidRPr="00B70E62" w:rsidRDefault="002B2454" w:rsidP="002B2454">
      <w:pPr>
        <w:contextualSpacing/>
        <w:jc w:val="both"/>
        <w:rPr>
          <w:rFonts w:ascii="Arial" w:hAnsi="Arial" w:cs="Arial"/>
          <w:sz w:val="20"/>
          <w:szCs w:val="20"/>
        </w:rPr>
      </w:pPr>
    </w:p>
    <w:p w14:paraId="095BF726" w14:textId="23245B86" w:rsidR="002B2454" w:rsidRPr="00B70E62" w:rsidRDefault="002B2454" w:rsidP="002B2454">
      <w:pPr>
        <w:contextualSpacing/>
        <w:jc w:val="both"/>
        <w:rPr>
          <w:rFonts w:ascii="Arial" w:hAnsi="Arial" w:cs="Arial"/>
          <w:sz w:val="20"/>
          <w:szCs w:val="20"/>
        </w:rPr>
      </w:pPr>
      <w:r>
        <w:rPr>
          <w:rFonts w:ascii="Arial" w:hAnsi="Arial"/>
          <w:sz w:val="20"/>
          <w:szCs w:val="20"/>
        </w:rPr>
        <w:t xml:space="preserve">Enligt en TUTL-bedömning är det med tanke på bredare samhällelig genomslagskraft väsentligt hur man genom att kombinera olika instrument och finansiering kan stöda processen för kommersialisering av innovationer på ett övergripande sätt.   </w:t>
      </w:r>
    </w:p>
    <w:p w14:paraId="282524DA" w14:textId="77777777" w:rsidR="002B2454" w:rsidRPr="00B70E62" w:rsidRDefault="002B2454" w:rsidP="002B2454">
      <w:pPr>
        <w:contextualSpacing/>
        <w:jc w:val="both"/>
        <w:rPr>
          <w:rFonts w:ascii="Arial" w:hAnsi="Arial" w:cs="Arial"/>
          <w:sz w:val="20"/>
          <w:szCs w:val="20"/>
        </w:rPr>
      </w:pPr>
    </w:p>
    <w:p w14:paraId="340393F1" w14:textId="71804D85" w:rsidR="002B2454" w:rsidRPr="00B70E62" w:rsidRDefault="002B2454" w:rsidP="002B2454">
      <w:pPr>
        <w:contextualSpacing/>
        <w:jc w:val="both"/>
        <w:rPr>
          <w:rFonts w:ascii="Arial" w:hAnsi="Arial" w:cs="Arial"/>
          <w:sz w:val="20"/>
          <w:szCs w:val="20"/>
        </w:rPr>
      </w:pPr>
      <w:r>
        <w:rPr>
          <w:rFonts w:ascii="Arial" w:hAnsi="Arial"/>
          <w:sz w:val="20"/>
          <w:szCs w:val="20"/>
        </w:rPr>
        <w:t>Enligt databasen Vipunen, som upprätthålls av undervisnings- och kulturministeriet, utvecklades antalet uppfinningsanmälningar och därtill hörande fortsatta åtgärder på följande sätt 2013–2016:</w:t>
      </w:r>
    </w:p>
    <w:p w14:paraId="70EEB6F1" w14:textId="77777777" w:rsidR="00702FA3" w:rsidRPr="00B70E62" w:rsidRDefault="00702FA3" w:rsidP="002B2454">
      <w:pPr>
        <w:contextualSpacing/>
        <w:jc w:val="both"/>
        <w:rPr>
          <w:rFonts w:ascii="Arial" w:hAnsi="Arial" w:cs="Arial"/>
          <w:sz w:val="20"/>
          <w:szCs w:val="20"/>
        </w:rPr>
      </w:pPr>
    </w:p>
    <w:tbl>
      <w:tblPr>
        <w:tblW w:w="0" w:type="auto"/>
        <w:tblInd w:w="132" w:type="dxa"/>
        <w:tblCellMar>
          <w:left w:w="0" w:type="dxa"/>
          <w:right w:w="0" w:type="dxa"/>
        </w:tblCellMar>
        <w:tblLook w:val="04A0" w:firstRow="1" w:lastRow="0" w:firstColumn="1" w:lastColumn="0" w:noHBand="0" w:noVBand="1"/>
      </w:tblPr>
      <w:tblGrid>
        <w:gridCol w:w="3804"/>
        <w:gridCol w:w="708"/>
        <w:gridCol w:w="709"/>
        <w:gridCol w:w="709"/>
        <w:gridCol w:w="709"/>
        <w:gridCol w:w="709"/>
      </w:tblGrid>
      <w:tr w:rsidR="00B70E62" w:rsidRPr="00B70E62" w14:paraId="6B95F14D" w14:textId="155DC7D1" w:rsidTr="00C81208">
        <w:trPr>
          <w:trHeight w:val="464"/>
        </w:trPr>
        <w:tc>
          <w:tcPr>
            <w:tcW w:w="3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486DBC" w14:textId="6D231FB9" w:rsidR="007A2E77" w:rsidRPr="00B70E62" w:rsidRDefault="00521108" w:rsidP="00C81208">
            <w:pPr>
              <w:spacing w:line="240" w:lineRule="auto"/>
              <w:rPr>
                <w:rFonts w:ascii="Arial" w:hAnsi="Arial" w:cs="Arial"/>
                <w:b/>
                <w:bCs/>
                <w:sz w:val="20"/>
                <w:szCs w:val="20"/>
              </w:rPr>
            </w:pPr>
            <w:r>
              <w:rPr>
                <w:rFonts w:ascii="Arial" w:hAnsi="Arial"/>
                <w:b/>
                <w:bCs/>
                <w:sz w:val="20"/>
                <w:szCs w:val="20"/>
              </w:rPr>
              <w:t>Universitet</w:t>
            </w:r>
            <w:r w:rsidR="007A2E77">
              <w:rPr>
                <w:rFonts w:ascii="Arial" w:hAnsi="Arial"/>
                <w:b/>
                <w:bCs/>
                <w:sz w:val="20"/>
                <w:szCs w:val="20"/>
              </w:rPr>
              <w:t xml:space="preserve">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A69566" w14:textId="77777777" w:rsidR="007A2E77" w:rsidRPr="00B70E62" w:rsidRDefault="007A2E77" w:rsidP="00C81208">
            <w:pPr>
              <w:spacing w:line="240" w:lineRule="auto"/>
              <w:jc w:val="center"/>
              <w:rPr>
                <w:rFonts w:ascii="Arial" w:hAnsi="Arial" w:cs="Arial"/>
                <w:b/>
                <w:bCs/>
                <w:sz w:val="20"/>
                <w:szCs w:val="20"/>
              </w:rPr>
            </w:pPr>
            <w:r>
              <w:rPr>
                <w:rFonts w:ascii="Arial" w:hAnsi="Arial"/>
                <w:b/>
                <w:bCs/>
                <w:sz w:val="20"/>
                <w:szCs w:val="20"/>
              </w:rPr>
              <w:t>2013</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BE2433" w14:textId="77777777" w:rsidR="007A2E77" w:rsidRPr="00B70E62" w:rsidRDefault="007A2E77" w:rsidP="00C81208">
            <w:pPr>
              <w:spacing w:line="240" w:lineRule="auto"/>
              <w:jc w:val="center"/>
              <w:rPr>
                <w:rFonts w:ascii="Arial" w:hAnsi="Arial" w:cs="Arial"/>
                <w:b/>
                <w:bCs/>
                <w:sz w:val="20"/>
                <w:szCs w:val="20"/>
              </w:rPr>
            </w:pPr>
            <w:r>
              <w:rPr>
                <w:rFonts w:ascii="Arial" w:hAnsi="Arial"/>
                <w:b/>
                <w:bCs/>
                <w:sz w:val="20"/>
                <w:szCs w:val="20"/>
              </w:rPr>
              <w:t>2014</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7F9091" w14:textId="77777777" w:rsidR="007A2E77" w:rsidRPr="00B70E62" w:rsidRDefault="007A2E77" w:rsidP="00C81208">
            <w:pPr>
              <w:spacing w:line="240" w:lineRule="auto"/>
              <w:jc w:val="center"/>
              <w:rPr>
                <w:rFonts w:ascii="Arial" w:hAnsi="Arial" w:cs="Arial"/>
                <w:b/>
                <w:bCs/>
                <w:sz w:val="20"/>
                <w:szCs w:val="20"/>
              </w:rPr>
            </w:pPr>
            <w:r>
              <w:rPr>
                <w:rFonts w:ascii="Arial" w:hAnsi="Arial"/>
                <w:b/>
                <w:bCs/>
                <w:sz w:val="20"/>
                <w:szCs w:val="20"/>
              </w:rPr>
              <w:t>2015</w:t>
            </w:r>
          </w:p>
        </w:tc>
        <w:tc>
          <w:tcPr>
            <w:tcW w:w="709" w:type="dxa"/>
            <w:tcBorders>
              <w:top w:val="single" w:sz="8" w:space="0" w:color="auto"/>
              <w:left w:val="nil"/>
              <w:bottom w:val="single" w:sz="8" w:space="0" w:color="auto"/>
              <w:right w:val="single" w:sz="8" w:space="0" w:color="auto"/>
            </w:tcBorders>
            <w:vAlign w:val="center"/>
            <w:hideMark/>
          </w:tcPr>
          <w:p w14:paraId="53D9F4EC" w14:textId="77777777" w:rsidR="007A2E77" w:rsidRPr="00B70E62" w:rsidRDefault="007A2E77" w:rsidP="00C81208">
            <w:pPr>
              <w:spacing w:line="240" w:lineRule="auto"/>
              <w:jc w:val="center"/>
              <w:rPr>
                <w:rFonts w:ascii="Arial" w:hAnsi="Arial" w:cs="Arial"/>
                <w:b/>
                <w:bCs/>
                <w:sz w:val="20"/>
                <w:szCs w:val="20"/>
              </w:rPr>
            </w:pPr>
            <w:r>
              <w:rPr>
                <w:rFonts w:ascii="Arial" w:hAnsi="Arial"/>
                <w:b/>
                <w:bCs/>
                <w:sz w:val="20"/>
                <w:szCs w:val="20"/>
              </w:rPr>
              <w:t>2016*</w:t>
            </w:r>
          </w:p>
        </w:tc>
        <w:tc>
          <w:tcPr>
            <w:tcW w:w="709" w:type="dxa"/>
            <w:tcBorders>
              <w:top w:val="single" w:sz="8" w:space="0" w:color="auto"/>
              <w:left w:val="nil"/>
              <w:bottom w:val="single" w:sz="8" w:space="0" w:color="auto"/>
              <w:right w:val="single" w:sz="8" w:space="0" w:color="auto"/>
            </w:tcBorders>
            <w:vAlign w:val="center"/>
          </w:tcPr>
          <w:p w14:paraId="49C75A71" w14:textId="3E526CEA" w:rsidR="007A2E77" w:rsidRPr="00B70E62" w:rsidRDefault="007A2E77" w:rsidP="00C81208">
            <w:pPr>
              <w:spacing w:line="240" w:lineRule="auto"/>
              <w:jc w:val="center"/>
              <w:rPr>
                <w:rFonts w:ascii="Arial" w:hAnsi="Arial" w:cs="Arial"/>
                <w:b/>
                <w:bCs/>
                <w:sz w:val="20"/>
                <w:szCs w:val="20"/>
              </w:rPr>
            </w:pPr>
            <w:r>
              <w:rPr>
                <w:rFonts w:ascii="Arial" w:hAnsi="Arial"/>
                <w:b/>
                <w:bCs/>
                <w:sz w:val="20"/>
                <w:szCs w:val="20"/>
              </w:rPr>
              <w:t>2017</w:t>
            </w:r>
          </w:p>
        </w:tc>
      </w:tr>
      <w:tr w:rsidR="00B70E62" w:rsidRPr="00B70E62" w14:paraId="1809E699" w14:textId="7FE57FC2" w:rsidTr="00C81208">
        <w:trPr>
          <w:trHeight w:val="464"/>
        </w:trPr>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570291" w14:textId="77777777" w:rsidR="007A2E77" w:rsidRPr="00B70E62" w:rsidRDefault="007A2E77" w:rsidP="00C81208">
            <w:pPr>
              <w:spacing w:line="240" w:lineRule="auto"/>
              <w:rPr>
                <w:rFonts w:ascii="Arial" w:hAnsi="Arial" w:cs="Arial"/>
                <w:sz w:val="20"/>
                <w:szCs w:val="20"/>
              </w:rPr>
            </w:pPr>
            <w:r>
              <w:rPr>
                <w:rFonts w:ascii="Arial" w:hAnsi="Arial"/>
                <w:sz w:val="20"/>
                <w:szCs w:val="20"/>
              </w:rPr>
              <w:t>Uppfinningsanmälningar</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0A6E96" w14:textId="77777777" w:rsidR="007A2E77" w:rsidRPr="00B70E62" w:rsidRDefault="007A2E77" w:rsidP="00C81208">
            <w:pPr>
              <w:spacing w:line="240" w:lineRule="auto"/>
              <w:jc w:val="center"/>
              <w:rPr>
                <w:rFonts w:ascii="Arial" w:hAnsi="Arial" w:cs="Arial"/>
                <w:sz w:val="20"/>
                <w:szCs w:val="20"/>
              </w:rPr>
            </w:pPr>
            <w:r>
              <w:rPr>
                <w:rFonts w:ascii="Arial" w:hAnsi="Arial"/>
                <w:sz w:val="20"/>
                <w:szCs w:val="20"/>
              </w:rPr>
              <w:t>401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1385A" w14:textId="77777777" w:rsidR="007A2E77" w:rsidRPr="00B70E62" w:rsidRDefault="007A2E77" w:rsidP="00C81208">
            <w:pPr>
              <w:spacing w:line="240" w:lineRule="auto"/>
              <w:jc w:val="center"/>
              <w:rPr>
                <w:rFonts w:ascii="Arial" w:hAnsi="Arial" w:cs="Arial"/>
                <w:sz w:val="20"/>
                <w:szCs w:val="20"/>
              </w:rPr>
            </w:pPr>
            <w:r>
              <w:rPr>
                <w:rFonts w:ascii="Arial" w:hAnsi="Arial"/>
                <w:sz w:val="20"/>
                <w:szCs w:val="20"/>
              </w:rPr>
              <w:t>390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1B8F97" w14:textId="77777777" w:rsidR="007A2E77" w:rsidRPr="00B70E62" w:rsidRDefault="007A2E77" w:rsidP="00C81208">
            <w:pPr>
              <w:spacing w:line="240" w:lineRule="auto"/>
              <w:jc w:val="center"/>
              <w:rPr>
                <w:rFonts w:ascii="Arial" w:hAnsi="Arial" w:cs="Arial"/>
                <w:sz w:val="20"/>
                <w:szCs w:val="20"/>
              </w:rPr>
            </w:pPr>
            <w:r>
              <w:rPr>
                <w:rFonts w:ascii="Arial" w:hAnsi="Arial"/>
                <w:sz w:val="20"/>
                <w:szCs w:val="20"/>
              </w:rPr>
              <w:t>424</w:t>
            </w:r>
          </w:p>
        </w:tc>
        <w:tc>
          <w:tcPr>
            <w:tcW w:w="709" w:type="dxa"/>
            <w:tcBorders>
              <w:top w:val="nil"/>
              <w:left w:val="nil"/>
              <w:bottom w:val="single" w:sz="8" w:space="0" w:color="auto"/>
              <w:right w:val="single" w:sz="8" w:space="0" w:color="auto"/>
            </w:tcBorders>
            <w:vAlign w:val="center"/>
            <w:hideMark/>
          </w:tcPr>
          <w:p w14:paraId="076064DB" w14:textId="77777777" w:rsidR="007A2E77" w:rsidRPr="00B70E62" w:rsidRDefault="007A2E77" w:rsidP="00C81208">
            <w:pPr>
              <w:spacing w:line="240" w:lineRule="auto"/>
              <w:jc w:val="center"/>
              <w:rPr>
                <w:rFonts w:ascii="Arial" w:hAnsi="Arial" w:cs="Arial"/>
                <w:sz w:val="20"/>
                <w:szCs w:val="20"/>
              </w:rPr>
            </w:pPr>
            <w:r>
              <w:rPr>
                <w:rFonts w:ascii="Arial" w:hAnsi="Arial"/>
                <w:sz w:val="20"/>
                <w:szCs w:val="20"/>
              </w:rPr>
              <w:t>388</w:t>
            </w:r>
          </w:p>
        </w:tc>
        <w:tc>
          <w:tcPr>
            <w:tcW w:w="709" w:type="dxa"/>
            <w:tcBorders>
              <w:top w:val="nil"/>
              <w:left w:val="nil"/>
              <w:bottom w:val="single" w:sz="8" w:space="0" w:color="auto"/>
              <w:right w:val="single" w:sz="8" w:space="0" w:color="auto"/>
            </w:tcBorders>
            <w:vAlign w:val="center"/>
          </w:tcPr>
          <w:p w14:paraId="22632619" w14:textId="41A74589" w:rsidR="007A2E77" w:rsidRPr="00B70E62" w:rsidRDefault="007A2E77" w:rsidP="00C81208">
            <w:pPr>
              <w:spacing w:line="240" w:lineRule="auto"/>
              <w:jc w:val="center"/>
              <w:rPr>
                <w:rFonts w:ascii="Arial" w:hAnsi="Arial" w:cs="Arial"/>
                <w:sz w:val="20"/>
                <w:szCs w:val="20"/>
              </w:rPr>
            </w:pPr>
            <w:r>
              <w:rPr>
                <w:rFonts w:ascii="Arial" w:hAnsi="Arial"/>
                <w:sz w:val="20"/>
                <w:szCs w:val="20"/>
              </w:rPr>
              <w:t>442</w:t>
            </w:r>
          </w:p>
        </w:tc>
      </w:tr>
      <w:tr w:rsidR="00B70E62" w:rsidRPr="00B70E62" w14:paraId="78796614" w14:textId="50B940DB" w:rsidTr="00C81208">
        <w:trPr>
          <w:trHeight w:val="465"/>
        </w:trPr>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E04888" w14:textId="77777777" w:rsidR="007A2E77" w:rsidRPr="00B70E62" w:rsidRDefault="007A2E77" w:rsidP="00C81208">
            <w:pPr>
              <w:spacing w:line="240" w:lineRule="auto"/>
              <w:rPr>
                <w:rFonts w:ascii="Arial" w:hAnsi="Arial" w:cs="Arial"/>
                <w:sz w:val="20"/>
                <w:szCs w:val="20"/>
              </w:rPr>
            </w:pPr>
            <w:r>
              <w:rPr>
                <w:rFonts w:ascii="Arial" w:hAnsi="Arial"/>
                <w:sz w:val="20"/>
                <w:szCs w:val="20"/>
              </w:rPr>
              <w:t>varav universitetet tog till sig själv</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B7827" w14:textId="77777777" w:rsidR="007A2E77" w:rsidRPr="00B70E62" w:rsidRDefault="007A2E77" w:rsidP="00C81208">
            <w:pPr>
              <w:spacing w:line="240" w:lineRule="auto"/>
              <w:jc w:val="center"/>
              <w:rPr>
                <w:rFonts w:ascii="Arial" w:hAnsi="Arial" w:cs="Arial"/>
                <w:sz w:val="20"/>
                <w:szCs w:val="20"/>
              </w:rPr>
            </w:pPr>
            <w:r>
              <w:rPr>
                <w:rFonts w:ascii="Arial" w:hAnsi="Arial"/>
                <w:sz w:val="20"/>
                <w:szCs w:val="20"/>
              </w:rPr>
              <w:t>121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4D357B" w14:textId="77777777" w:rsidR="007A2E77" w:rsidRPr="00B70E62" w:rsidRDefault="007A2E77" w:rsidP="00C81208">
            <w:pPr>
              <w:spacing w:line="240" w:lineRule="auto"/>
              <w:jc w:val="center"/>
              <w:rPr>
                <w:rFonts w:ascii="Arial" w:hAnsi="Arial" w:cs="Arial"/>
                <w:sz w:val="20"/>
                <w:szCs w:val="20"/>
              </w:rPr>
            </w:pPr>
            <w:r>
              <w:rPr>
                <w:rFonts w:ascii="Arial" w:hAnsi="Arial"/>
                <w:sz w:val="20"/>
                <w:szCs w:val="20"/>
              </w:rPr>
              <w:t>192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963D5" w14:textId="77777777" w:rsidR="007A2E77" w:rsidRPr="00B70E62" w:rsidRDefault="007A2E77" w:rsidP="00C81208">
            <w:pPr>
              <w:spacing w:line="240" w:lineRule="auto"/>
              <w:jc w:val="center"/>
              <w:rPr>
                <w:rFonts w:ascii="Arial" w:hAnsi="Arial" w:cs="Arial"/>
                <w:sz w:val="20"/>
                <w:szCs w:val="20"/>
              </w:rPr>
            </w:pPr>
            <w:r>
              <w:rPr>
                <w:rFonts w:ascii="Arial" w:hAnsi="Arial"/>
                <w:sz w:val="20"/>
                <w:szCs w:val="20"/>
              </w:rPr>
              <w:t>116</w:t>
            </w:r>
          </w:p>
        </w:tc>
        <w:tc>
          <w:tcPr>
            <w:tcW w:w="709" w:type="dxa"/>
            <w:tcBorders>
              <w:top w:val="nil"/>
              <w:left w:val="nil"/>
              <w:bottom w:val="single" w:sz="8" w:space="0" w:color="auto"/>
              <w:right w:val="single" w:sz="8" w:space="0" w:color="auto"/>
            </w:tcBorders>
            <w:vAlign w:val="center"/>
            <w:hideMark/>
          </w:tcPr>
          <w:p w14:paraId="5747CC67" w14:textId="77777777" w:rsidR="007A2E77" w:rsidRPr="00B70E62" w:rsidRDefault="007A2E77" w:rsidP="00C81208">
            <w:pPr>
              <w:spacing w:line="240" w:lineRule="auto"/>
              <w:jc w:val="center"/>
              <w:rPr>
                <w:rFonts w:ascii="Arial" w:hAnsi="Arial" w:cs="Arial"/>
                <w:sz w:val="20"/>
                <w:szCs w:val="20"/>
              </w:rPr>
            </w:pPr>
            <w:r>
              <w:rPr>
                <w:rFonts w:ascii="Arial" w:hAnsi="Arial"/>
                <w:sz w:val="20"/>
                <w:szCs w:val="20"/>
              </w:rPr>
              <w:t>121</w:t>
            </w:r>
          </w:p>
        </w:tc>
        <w:tc>
          <w:tcPr>
            <w:tcW w:w="709" w:type="dxa"/>
            <w:tcBorders>
              <w:top w:val="nil"/>
              <w:left w:val="nil"/>
              <w:bottom w:val="single" w:sz="8" w:space="0" w:color="auto"/>
              <w:right w:val="single" w:sz="8" w:space="0" w:color="auto"/>
            </w:tcBorders>
            <w:vAlign w:val="center"/>
          </w:tcPr>
          <w:p w14:paraId="6DF9FF1A" w14:textId="7EDABE9D" w:rsidR="007A2E77" w:rsidRPr="00B70E62" w:rsidRDefault="007A2E77" w:rsidP="00C81208">
            <w:pPr>
              <w:spacing w:line="240" w:lineRule="auto"/>
              <w:jc w:val="center"/>
              <w:rPr>
                <w:rFonts w:ascii="Arial" w:hAnsi="Arial" w:cs="Arial"/>
                <w:sz w:val="20"/>
                <w:szCs w:val="20"/>
              </w:rPr>
            </w:pPr>
            <w:r>
              <w:rPr>
                <w:rFonts w:ascii="Arial" w:hAnsi="Arial"/>
                <w:sz w:val="20"/>
                <w:szCs w:val="20"/>
              </w:rPr>
              <w:t>196</w:t>
            </w:r>
          </w:p>
        </w:tc>
      </w:tr>
      <w:tr w:rsidR="00B70E62" w:rsidRPr="00B70E62" w14:paraId="15C2A4C3" w14:textId="2ABC77B7" w:rsidTr="00C81208">
        <w:trPr>
          <w:trHeight w:val="464"/>
        </w:trPr>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4E0539" w14:textId="77777777" w:rsidR="007A2E77" w:rsidRPr="00B70E62" w:rsidRDefault="007A2E77" w:rsidP="00C81208">
            <w:pPr>
              <w:spacing w:line="240" w:lineRule="auto"/>
              <w:rPr>
                <w:rFonts w:ascii="Arial" w:hAnsi="Arial" w:cs="Arial"/>
                <w:sz w:val="20"/>
                <w:szCs w:val="20"/>
              </w:rPr>
            </w:pPr>
            <w:r>
              <w:rPr>
                <w:rFonts w:ascii="Arial" w:hAnsi="Arial"/>
                <w:sz w:val="20"/>
                <w:szCs w:val="20"/>
              </w:rPr>
              <w:t>varav universitetet överlät vidare</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2B5492" w14:textId="77777777" w:rsidR="007A2E77" w:rsidRPr="00B70E62" w:rsidRDefault="007A2E77" w:rsidP="00C81208">
            <w:pPr>
              <w:spacing w:line="240" w:lineRule="auto"/>
              <w:jc w:val="center"/>
              <w:rPr>
                <w:rFonts w:ascii="Arial" w:hAnsi="Arial" w:cs="Arial"/>
                <w:sz w:val="20"/>
                <w:szCs w:val="20"/>
              </w:rPr>
            </w:pPr>
            <w:r>
              <w:rPr>
                <w:rFonts w:ascii="Arial" w:hAnsi="Arial"/>
                <w:sz w:val="20"/>
                <w:szCs w:val="20"/>
              </w:rPr>
              <w:t>101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5817FE" w14:textId="77777777" w:rsidR="007A2E77" w:rsidRPr="00B70E62" w:rsidRDefault="007A2E77" w:rsidP="00C81208">
            <w:pPr>
              <w:spacing w:line="240" w:lineRule="auto"/>
              <w:jc w:val="center"/>
              <w:rPr>
                <w:rFonts w:ascii="Arial" w:hAnsi="Arial" w:cs="Arial"/>
                <w:sz w:val="20"/>
                <w:szCs w:val="20"/>
              </w:rPr>
            </w:pPr>
            <w:r>
              <w:rPr>
                <w:rFonts w:ascii="Arial" w:hAnsi="Arial"/>
                <w:sz w:val="20"/>
                <w:szCs w:val="20"/>
              </w:rPr>
              <w:t>94</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D3289" w14:textId="77777777" w:rsidR="007A2E77" w:rsidRPr="00B70E62" w:rsidRDefault="007A2E77" w:rsidP="00C81208">
            <w:pPr>
              <w:spacing w:line="240" w:lineRule="auto"/>
              <w:jc w:val="center"/>
              <w:rPr>
                <w:rFonts w:ascii="Arial" w:hAnsi="Arial" w:cs="Arial"/>
                <w:sz w:val="20"/>
                <w:szCs w:val="20"/>
              </w:rPr>
            </w:pPr>
            <w:r>
              <w:rPr>
                <w:rFonts w:ascii="Arial" w:hAnsi="Arial"/>
                <w:sz w:val="20"/>
                <w:szCs w:val="20"/>
              </w:rPr>
              <w:t>68</w:t>
            </w:r>
          </w:p>
        </w:tc>
        <w:tc>
          <w:tcPr>
            <w:tcW w:w="709" w:type="dxa"/>
            <w:tcBorders>
              <w:top w:val="nil"/>
              <w:left w:val="nil"/>
              <w:bottom w:val="single" w:sz="8" w:space="0" w:color="auto"/>
              <w:right w:val="single" w:sz="8" w:space="0" w:color="auto"/>
            </w:tcBorders>
            <w:vAlign w:val="center"/>
            <w:hideMark/>
          </w:tcPr>
          <w:p w14:paraId="40A85B48" w14:textId="77777777" w:rsidR="007A2E77" w:rsidRPr="00B70E62" w:rsidRDefault="007A2E77" w:rsidP="00C81208">
            <w:pPr>
              <w:spacing w:line="240" w:lineRule="auto"/>
              <w:jc w:val="center"/>
              <w:rPr>
                <w:rFonts w:ascii="Arial" w:hAnsi="Arial" w:cs="Arial"/>
                <w:sz w:val="20"/>
                <w:szCs w:val="20"/>
              </w:rPr>
            </w:pPr>
            <w:r>
              <w:rPr>
                <w:rFonts w:ascii="Arial" w:hAnsi="Arial"/>
                <w:sz w:val="20"/>
                <w:szCs w:val="20"/>
              </w:rPr>
              <w:t>96</w:t>
            </w:r>
          </w:p>
        </w:tc>
        <w:tc>
          <w:tcPr>
            <w:tcW w:w="709" w:type="dxa"/>
            <w:tcBorders>
              <w:top w:val="nil"/>
              <w:left w:val="nil"/>
              <w:bottom w:val="single" w:sz="8" w:space="0" w:color="auto"/>
              <w:right w:val="single" w:sz="8" w:space="0" w:color="auto"/>
            </w:tcBorders>
            <w:vAlign w:val="center"/>
          </w:tcPr>
          <w:p w14:paraId="1B497748" w14:textId="68E687FA" w:rsidR="007A2E77" w:rsidRPr="00B70E62" w:rsidRDefault="007A2E77" w:rsidP="00C81208">
            <w:pPr>
              <w:spacing w:line="240" w:lineRule="auto"/>
              <w:jc w:val="center"/>
              <w:rPr>
                <w:rFonts w:ascii="Arial" w:hAnsi="Arial" w:cs="Arial"/>
                <w:sz w:val="20"/>
                <w:szCs w:val="20"/>
              </w:rPr>
            </w:pPr>
            <w:r>
              <w:rPr>
                <w:rFonts w:ascii="Arial" w:hAnsi="Arial"/>
                <w:sz w:val="20"/>
                <w:szCs w:val="20"/>
              </w:rPr>
              <w:t>98</w:t>
            </w:r>
          </w:p>
        </w:tc>
      </w:tr>
      <w:tr w:rsidR="00B70E62" w:rsidRPr="00B70E62" w14:paraId="565A15CD" w14:textId="6C71C9CA" w:rsidTr="00C81208">
        <w:trPr>
          <w:trHeight w:val="297"/>
        </w:trPr>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378AE1" w14:textId="77777777" w:rsidR="007A2E77" w:rsidRPr="00B70E62" w:rsidRDefault="007A2E77" w:rsidP="00C81208">
            <w:pPr>
              <w:spacing w:line="240" w:lineRule="auto"/>
              <w:rPr>
                <w:rFonts w:ascii="Arial" w:hAnsi="Arial" w:cs="Arial"/>
                <w:sz w:val="20"/>
                <w:szCs w:val="20"/>
              </w:rPr>
            </w:pPr>
            <w:r>
              <w:rPr>
                <w:rFonts w:ascii="Arial" w:hAnsi="Arial"/>
                <w:sz w:val="20"/>
                <w:szCs w:val="20"/>
              </w:rPr>
              <w:t>Beviljade patent</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D7C2DD" w14:textId="77777777" w:rsidR="007A2E77" w:rsidRPr="00B70E62" w:rsidRDefault="007A2E77" w:rsidP="00C81208">
            <w:pPr>
              <w:spacing w:line="240" w:lineRule="auto"/>
              <w:jc w:val="center"/>
              <w:rPr>
                <w:rFonts w:ascii="Arial" w:hAnsi="Arial" w:cs="Arial"/>
                <w:sz w:val="20"/>
                <w:szCs w:val="20"/>
              </w:rPr>
            </w:pPr>
            <w:r>
              <w:rPr>
                <w:rFonts w:ascii="Arial" w:hAnsi="Arial"/>
                <w:sz w:val="20"/>
                <w:szCs w:val="20"/>
              </w:rPr>
              <w:t>32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5B6C0E" w14:textId="77777777" w:rsidR="007A2E77" w:rsidRPr="00B70E62" w:rsidRDefault="007A2E77" w:rsidP="00C81208">
            <w:pPr>
              <w:spacing w:line="240" w:lineRule="auto"/>
              <w:jc w:val="center"/>
              <w:rPr>
                <w:rFonts w:ascii="Arial" w:hAnsi="Arial" w:cs="Arial"/>
                <w:sz w:val="20"/>
                <w:szCs w:val="20"/>
              </w:rPr>
            </w:pPr>
            <w:r>
              <w:rPr>
                <w:rFonts w:ascii="Arial" w:hAnsi="Arial"/>
                <w:sz w:val="20"/>
                <w:szCs w:val="20"/>
              </w:rPr>
              <w:t>29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4D31C6" w14:textId="77777777" w:rsidR="007A2E77" w:rsidRPr="00B70E62" w:rsidRDefault="007A2E77" w:rsidP="00C81208">
            <w:pPr>
              <w:spacing w:line="240" w:lineRule="auto"/>
              <w:jc w:val="center"/>
              <w:rPr>
                <w:rFonts w:ascii="Arial" w:hAnsi="Arial" w:cs="Arial"/>
                <w:sz w:val="20"/>
                <w:szCs w:val="20"/>
              </w:rPr>
            </w:pPr>
            <w:r>
              <w:rPr>
                <w:rFonts w:ascii="Arial" w:hAnsi="Arial"/>
                <w:sz w:val="20"/>
                <w:szCs w:val="20"/>
              </w:rPr>
              <w:t>56</w:t>
            </w:r>
          </w:p>
        </w:tc>
        <w:tc>
          <w:tcPr>
            <w:tcW w:w="709" w:type="dxa"/>
            <w:tcBorders>
              <w:top w:val="nil"/>
              <w:left w:val="nil"/>
              <w:bottom w:val="single" w:sz="8" w:space="0" w:color="auto"/>
              <w:right w:val="single" w:sz="8" w:space="0" w:color="auto"/>
            </w:tcBorders>
            <w:vAlign w:val="center"/>
            <w:hideMark/>
          </w:tcPr>
          <w:p w14:paraId="2A7B46DB" w14:textId="77777777" w:rsidR="007A2E77" w:rsidRPr="00B70E62" w:rsidRDefault="007A2E77" w:rsidP="00C81208">
            <w:pPr>
              <w:spacing w:line="240" w:lineRule="auto"/>
              <w:jc w:val="center"/>
              <w:rPr>
                <w:rFonts w:ascii="Arial" w:hAnsi="Arial" w:cs="Arial"/>
                <w:sz w:val="20"/>
                <w:szCs w:val="20"/>
              </w:rPr>
            </w:pPr>
            <w:r>
              <w:rPr>
                <w:rFonts w:ascii="Arial" w:hAnsi="Arial"/>
                <w:sz w:val="20"/>
                <w:szCs w:val="20"/>
              </w:rPr>
              <w:t>49</w:t>
            </w:r>
          </w:p>
        </w:tc>
        <w:tc>
          <w:tcPr>
            <w:tcW w:w="709" w:type="dxa"/>
            <w:tcBorders>
              <w:top w:val="nil"/>
              <w:left w:val="nil"/>
              <w:bottom w:val="single" w:sz="8" w:space="0" w:color="auto"/>
              <w:right w:val="single" w:sz="8" w:space="0" w:color="auto"/>
            </w:tcBorders>
            <w:vAlign w:val="center"/>
          </w:tcPr>
          <w:p w14:paraId="645732E8" w14:textId="273F9FFA" w:rsidR="007A2E77" w:rsidRPr="00B70E62" w:rsidRDefault="007A2E77" w:rsidP="00C81208">
            <w:pPr>
              <w:spacing w:line="240" w:lineRule="auto"/>
              <w:jc w:val="center"/>
              <w:rPr>
                <w:rFonts w:ascii="Arial" w:hAnsi="Arial" w:cs="Arial"/>
                <w:sz w:val="20"/>
                <w:szCs w:val="20"/>
              </w:rPr>
            </w:pPr>
            <w:r>
              <w:rPr>
                <w:rFonts w:ascii="Arial" w:hAnsi="Arial"/>
                <w:sz w:val="20"/>
                <w:szCs w:val="20"/>
              </w:rPr>
              <w:t>72</w:t>
            </w:r>
          </w:p>
        </w:tc>
      </w:tr>
    </w:tbl>
    <w:p w14:paraId="590335EF" w14:textId="4A4941EA" w:rsidR="00702FA3" w:rsidRPr="00B70E62" w:rsidRDefault="00702FA3" w:rsidP="00702FA3">
      <w:pPr>
        <w:numPr>
          <w:ilvl w:val="0"/>
          <w:numId w:val="22"/>
        </w:numPr>
        <w:contextualSpacing/>
        <w:rPr>
          <w:rFonts w:ascii="Arial" w:hAnsi="Arial" w:cs="Arial"/>
          <w:sz w:val="20"/>
          <w:szCs w:val="20"/>
        </w:rPr>
      </w:pPr>
      <w:r>
        <w:rPr>
          <w:rFonts w:ascii="Arial" w:hAnsi="Arial"/>
          <w:sz w:val="20"/>
          <w:szCs w:val="20"/>
        </w:rPr>
        <w:t>Helsingfors universitets uppgifter för 2016 saknas</w:t>
      </w:r>
    </w:p>
    <w:p w14:paraId="6B38F135" w14:textId="77777777" w:rsidR="00702FA3" w:rsidRPr="00B70E62" w:rsidRDefault="00702FA3" w:rsidP="00702FA3">
      <w:pPr>
        <w:rPr>
          <w:rFonts w:ascii="Arial" w:hAnsi="Arial" w:cs="Arial"/>
          <w:sz w:val="20"/>
          <w:szCs w:val="20"/>
        </w:rPr>
      </w:pPr>
    </w:p>
    <w:tbl>
      <w:tblPr>
        <w:tblW w:w="0" w:type="auto"/>
        <w:tblInd w:w="132" w:type="dxa"/>
        <w:tblCellMar>
          <w:left w:w="0" w:type="dxa"/>
          <w:right w:w="0" w:type="dxa"/>
        </w:tblCellMar>
        <w:tblLook w:val="04A0" w:firstRow="1" w:lastRow="0" w:firstColumn="1" w:lastColumn="0" w:noHBand="0" w:noVBand="1"/>
      </w:tblPr>
      <w:tblGrid>
        <w:gridCol w:w="3827"/>
        <w:gridCol w:w="709"/>
        <w:gridCol w:w="709"/>
        <w:gridCol w:w="709"/>
        <w:gridCol w:w="708"/>
        <w:gridCol w:w="709"/>
      </w:tblGrid>
      <w:tr w:rsidR="00B70E62" w:rsidRPr="00B70E62" w14:paraId="1D9EB3B7" w14:textId="7C42A0D0" w:rsidTr="00C81208">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8A60DD" w14:textId="169E11AF" w:rsidR="007A2E77" w:rsidRPr="00B70E62" w:rsidRDefault="00521108">
            <w:pPr>
              <w:rPr>
                <w:rFonts w:ascii="Arial" w:hAnsi="Arial" w:cs="Arial"/>
                <w:b/>
                <w:bCs/>
                <w:sz w:val="20"/>
                <w:szCs w:val="20"/>
              </w:rPr>
            </w:pPr>
            <w:r>
              <w:rPr>
                <w:rFonts w:ascii="Arial" w:hAnsi="Arial"/>
                <w:b/>
                <w:bCs/>
                <w:sz w:val="20"/>
                <w:szCs w:val="20"/>
              </w:rPr>
              <w:t>Yrkeshögskolor</w:t>
            </w:r>
            <w:r w:rsidR="007A2E77">
              <w:rPr>
                <w:rFonts w:ascii="Arial" w:hAnsi="Arial"/>
                <w:b/>
                <w:bCs/>
                <w:sz w:val="20"/>
                <w:szCs w:val="20"/>
              </w:rPr>
              <w:t xml:space="preserve">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B2B343" w14:textId="77777777" w:rsidR="007A2E77" w:rsidRPr="00B70E62" w:rsidRDefault="007A2E77" w:rsidP="00AB49B3">
            <w:pPr>
              <w:jc w:val="center"/>
              <w:rPr>
                <w:rFonts w:ascii="Arial" w:hAnsi="Arial" w:cs="Arial"/>
                <w:b/>
                <w:bCs/>
                <w:sz w:val="20"/>
                <w:szCs w:val="20"/>
              </w:rPr>
            </w:pPr>
            <w:r>
              <w:rPr>
                <w:rFonts w:ascii="Arial" w:hAnsi="Arial"/>
                <w:b/>
                <w:bCs/>
                <w:sz w:val="20"/>
                <w:szCs w:val="20"/>
              </w:rPr>
              <w:t>2013</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93D4EE" w14:textId="77777777" w:rsidR="007A2E77" w:rsidRPr="00B70E62" w:rsidRDefault="007A2E77" w:rsidP="00AB49B3">
            <w:pPr>
              <w:jc w:val="center"/>
              <w:rPr>
                <w:rFonts w:ascii="Arial" w:hAnsi="Arial" w:cs="Arial"/>
                <w:b/>
                <w:bCs/>
                <w:sz w:val="20"/>
                <w:szCs w:val="20"/>
              </w:rPr>
            </w:pPr>
            <w:r>
              <w:rPr>
                <w:rFonts w:ascii="Arial" w:hAnsi="Arial"/>
                <w:b/>
                <w:bCs/>
                <w:sz w:val="20"/>
                <w:szCs w:val="20"/>
              </w:rPr>
              <w:t>2014</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5C72CC" w14:textId="77777777" w:rsidR="007A2E77" w:rsidRPr="00B70E62" w:rsidRDefault="007A2E77" w:rsidP="00AB49B3">
            <w:pPr>
              <w:jc w:val="center"/>
              <w:rPr>
                <w:rFonts w:ascii="Arial" w:hAnsi="Arial" w:cs="Arial"/>
                <w:b/>
                <w:bCs/>
                <w:sz w:val="20"/>
                <w:szCs w:val="20"/>
              </w:rPr>
            </w:pPr>
            <w:r>
              <w:rPr>
                <w:rFonts w:ascii="Arial" w:hAnsi="Arial"/>
                <w:b/>
                <w:bCs/>
                <w:sz w:val="20"/>
                <w:szCs w:val="20"/>
              </w:rPr>
              <w:t>2015</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ACC8C3" w14:textId="77777777" w:rsidR="007A2E77" w:rsidRPr="00B70E62" w:rsidRDefault="007A2E77" w:rsidP="00AB49B3">
            <w:pPr>
              <w:jc w:val="center"/>
              <w:rPr>
                <w:rFonts w:ascii="Arial" w:hAnsi="Arial" w:cs="Arial"/>
                <w:b/>
                <w:bCs/>
                <w:sz w:val="20"/>
                <w:szCs w:val="20"/>
              </w:rPr>
            </w:pPr>
            <w:r>
              <w:rPr>
                <w:rFonts w:ascii="Arial" w:hAnsi="Arial"/>
                <w:b/>
                <w:bCs/>
                <w:sz w:val="20"/>
                <w:szCs w:val="20"/>
              </w:rPr>
              <w:t>2016</w:t>
            </w:r>
          </w:p>
        </w:tc>
        <w:tc>
          <w:tcPr>
            <w:tcW w:w="709" w:type="dxa"/>
            <w:tcBorders>
              <w:top w:val="single" w:sz="8" w:space="0" w:color="auto"/>
              <w:left w:val="nil"/>
              <w:bottom w:val="single" w:sz="8" w:space="0" w:color="auto"/>
              <w:right w:val="single" w:sz="8" w:space="0" w:color="auto"/>
            </w:tcBorders>
          </w:tcPr>
          <w:p w14:paraId="23205249" w14:textId="6B28F6A4" w:rsidR="007A2E77" w:rsidRPr="00B70E62" w:rsidRDefault="007A2E77" w:rsidP="00AB49B3">
            <w:pPr>
              <w:jc w:val="center"/>
              <w:rPr>
                <w:rFonts w:ascii="Arial" w:hAnsi="Arial" w:cs="Arial"/>
                <w:b/>
                <w:bCs/>
                <w:sz w:val="20"/>
                <w:szCs w:val="20"/>
              </w:rPr>
            </w:pPr>
            <w:r>
              <w:rPr>
                <w:rFonts w:ascii="Arial" w:hAnsi="Arial"/>
                <w:b/>
                <w:bCs/>
                <w:sz w:val="20"/>
                <w:szCs w:val="20"/>
              </w:rPr>
              <w:t>2017</w:t>
            </w:r>
          </w:p>
        </w:tc>
      </w:tr>
      <w:tr w:rsidR="00B70E62" w:rsidRPr="00B70E62" w14:paraId="75DCD4DF" w14:textId="2A0184C6" w:rsidTr="00C81208">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122E8" w14:textId="77777777" w:rsidR="007A2E77" w:rsidRPr="00B70E62" w:rsidRDefault="007A2E77">
            <w:pPr>
              <w:rPr>
                <w:rFonts w:ascii="Arial" w:hAnsi="Arial" w:cs="Arial"/>
                <w:sz w:val="20"/>
                <w:szCs w:val="20"/>
              </w:rPr>
            </w:pPr>
            <w:r>
              <w:rPr>
                <w:rFonts w:ascii="Arial" w:hAnsi="Arial"/>
                <w:sz w:val="20"/>
                <w:szCs w:val="20"/>
              </w:rPr>
              <w:t>Uppfinningsanmälningar</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5851DA8" w14:textId="77777777" w:rsidR="007A2E77" w:rsidRPr="00B70E62" w:rsidRDefault="007A2E77" w:rsidP="00AB49B3">
            <w:pPr>
              <w:jc w:val="center"/>
              <w:rPr>
                <w:rFonts w:ascii="Arial" w:hAnsi="Arial" w:cs="Arial"/>
                <w:sz w:val="20"/>
                <w:szCs w:val="20"/>
              </w:rPr>
            </w:pPr>
            <w:r>
              <w:rPr>
                <w:rFonts w:ascii="Arial" w:hAnsi="Arial"/>
                <w:sz w:val="20"/>
                <w:szCs w:val="20"/>
              </w:rPr>
              <w:t>57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ECFAE24" w14:textId="77777777" w:rsidR="007A2E77" w:rsidRPr="00B70E62" w:rsidRDefault="007A2E77" w:rsidP="00AB49B3">
            <w:pPr>
              <w:jc w:val="center"/>
              <w:rPr>
                <w:rFonts w:ascii="Arial" w:hAnsi="Arial" w:cs="Arial"/>
                <w:sz w:val="20"/>
                <w:szCs w:val="20"/>
              </w:rPr>
            </w:pPr>
            <w:r>
              <w:rPr>
                <w:rFonts w:ascii="Arial" w:hAnsi="Arial"/>
                <w:sz w:val="20"/>
                <w:szCs w:val="20"/>
              </w:rPr>
              <w:t>30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0587B70" w14:textId="77777777" w:rsidR="007A2E77" w:rsidRPr="00B70E62" w:rsidRDefault="007A2E77" w:rsidP="00AB49B3">
            <w:pPr>
              <w:jc w:val="center"/>
              <w:rPr>
                <w:rFonts w:ascii="Arial" w:hAnsi="Arial" w:cs="Arial"/>
                <w:sz w:val="20"/>
                <w:szCs w:val="20"/>
              </w:rPr>
            </w:pPr>
            <w:r>
              <w:rPr>
                <w:rFonts w:ascii="Arial" w:hAnsi="Arial"/>
                <w:sz w:val="20"/>
                <w:szCs w:val="20"/>
              </w:rPr>
              <w:t>22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1D8441CB" w14:textId="77777777" w:rsidR="007A2E77" w:rsidRPr="00B70E62" w:rsidRDefault="007A2E77" w:rsidP="00AB49B3">
            <w:pPr>
              <w:jc w:val="center"/>
              <w:rPr>
                <w:rFonts w:ascii="Arial" w:hAnsi="Arial" w:cs="Arial"/>
                <w:sz w:val="20"/>
                <w:szCs w:val="20"/>
              </w:rPr>
            </w:pPr>
            <w:r>
              <w:rPr>
                <w:rFonts w:ascii="Arial" w:hAnsi="Arial"/>
                <w:sz w:val="20"/>
                <w:szCs w:val="20"/>
              </w:rPr>
              <w:t>17</w:t>
            </w:r>
          </w:p>
        </w:tc>
        <w:tc>
          <w:tcPr>
            <w:tcW w:w="709" w:type="dxa"/>
            <w:tcBorders>
              <w:top w:val="nil"/>
              <w:left w:val="nil"/>
              <w:bottom w:val="single" w:sz="8" w:space="0" w:color="auto"/>
              <w:right w:val="single" w:sz="8" w:space="0" w:color="auto"/>
            </w:tcBorders>
          </w:tcPr>
          <w:p w14:paraId="174F79FF" w14:textId="24908D80" w:rsidR="007A2E77" w:rsidRPr="00B70E62" w:rsidRDefault="007A2E77" w:rsidP="00AB49B3">
            <w:pPr>
              <w:jc w:val="center"/>
              <w:rPr>
                <w:rFonts w:ascii="Arial" w:hAnsi="Arial" w:cs="Arial"/>
                <w:sz w:val="20"/>
                <w:szCs w:val="20"/>
              </w:rPr>
            </w:pPr>
            <w:r>
              <w:rPr>
                <w:rFonts w:ascii="Arial" w:hAnsi="Arial"/>
                <w:sz w:val="20"/>
                <w:szCs w:val="20"/>
              </w:rPr>
              <w:t>19</w:t>
            </w:r>
          </w:p>
        </w:tc>
      </w:tr>
      <w:tr w:rsidR="00B70E62" w:rsidRPr="00B70E62" w14:paraId="713883FF" w14:textId="5F07EBD9" w:rsidTr="00C81208">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F5DD5" w14:textId="77777777" w:rsidR="007A2E77" w:rsidRPr="00B70E62" w:rsidRDefault="007A2E77">
            <w:pPr>
              <w:rPr>
                <w:rFonts w:ascii="Arial" w:hAnsi="Arial" w:cs="Arial"/>
                <w:sz w:val="20"/>
                <w:szCs w:val="20"/>
              </w:rPr>
            </w:pPr>
            <w:r>
              <w:rPr>
                <w:rFonts w:ascii="Arial" w:hAnsi="Arial"/>
                <w:sz w:val="20"/>
                <w:szCs w:val="20"/>
              </w:rPr>
              <w:t>varav yrkeshögskolan tog till sig själv</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B1F80BC" w14:textId="77777777" w:rsidR="007A2E77" w:rsidRPr="00B70E62" w:rsidRDefault="007A2E77" w:rsidP="00AB49B3">
            <w:pPr>
              <w:jc w:val="center"/>
              <w:rPr>
                <w:rFonts w:ascii="Arial" w:hAnsi="Arial" w:cs="Arial"/>
                <w:sz w:val="20"/>
                <w:szCs w:val="20"/>
              </w:rPr>
            </w:pPr>
            <w:r>
              <w:rPr>
                <w:rFonts w:ascii="Arial" w:hAnsi="Arial"/>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29A634C" w14:textId="77777777" w:rsidR="007A2E77" w:rsidRPr="00B70E62" w:rsidRDefault="007A2E77" w:rsidP="00AB49B3">
            <w:pPr>
              <w:jc w:val="center"/>
              <w:rPr>
                <w:rFonts w:ascii="Arial" w:hAnsi="Arial" w:cs="Arial"/>
                <w:sz w:val="20"/>
                <w:szCs w:val="20"/>
              </w:rPr>
            </w:pPr>
            <w:r>
              <w:rPr>
                <w:rFonts w:ascii="Arial" w:hAnsi="Arial"/>
                <w:sz w:val="20"/>
                <w:szCs w:val="20"/>
              </w:rPr>
              <w:t>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7E01A87" w14:textId="77777777" w:rsidR="007A2E77" w:rsidRPr="00B70E62" w:rsidRDefault="007A2E77" w:rsidP="00AB49B3">
            <w:pPr>
              <w:jc w:val="center"/>
              <w:rPr>
                <w:rFonts w:ascii="Arial" w:hAnsi="Arial" w:cs="Arial"/>
                <w:sz w:val="20"/>
                <w:szCs w:val="20"/>
              </w:rPr>
            </w:pPr>
            <w:r>
              <w:rPr>
                <w:rFonts w:ascii="Arial" w:hAnsi="Arial"/>
                <w:sz w:val="20"/>
                <w:szCs w:val="20"/>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0B665E33" w14:textId="77777777" w:rsidR="007A2E77" w:rsidRPr="00B70E62" w:rsidRDefault="007A2E77" w:rsidP="00AB49B3">
            <w:pPr>
              <w:jc w:val="center"/>
              <w:rPr>
                <w:rFonts w:ascii="Arial" w:hAnsi="Arial" w:cs="Arial"/>
                <w:sz w:val="20"/>
                <w:szCs w:val="20"/>
              </w:rPr>
            </w:pPr>
            <w:r>
              <w:rPr>
                <w:rFonts w:ascii="Arial" w:hAnsi="Arial"/>
                <w:sz w:val="20"/>
                <w:szCs w:val="20"/>
              </w:rPr>
              <w:t>4</w:t>
            </w:r>
          </w:p>
        </w:tc>
        <w:tc>
          <w:tcPr>
            <w:tcW w:w="709" w:type="dxa"/>
            <w:tcBorders>
              <w:top w:val="nil"/>
              <w:left w:val="nil"/>
              <w:bottom w:val="single" w:sz="8" w:space="0" w:color="auto"/>
              <w:right w:val="single" w:sz="8" w:space="0" w:color="auto"/>
            </w:tcBorders>
          </w:tcPr>
          <w:p w14:paraId="4DEFD739" w14:textId="06370E20" w:rsidR="007A2E77" w:rsidRPr="00B70E62" w:rsidRDefault="007A2E77" w:rsidP="00AB49B3">
            <w:pPr>
              <w:jc w:val="center"/>
              <w:rPr>
                <w:rFonts w:ascii="Arial" w:hAnsi="Arial" w:cs="Arial"/>
                <w:sz w:val="20"/>
                <w:szCs w:val="20"/>
              </w:rPr>
            </w:pPr>
            <w:r>
              <w:rPr>
                <w:rFonts w:ascii="Arial" w:hAnsi="Arial"/>
                <w:sz w:val="20"/>
                <w:szCs w:val="20"/>
              </w:rPr>
              <w:t>4</w:t>
            </w:r>
          </w:p>
        </w:tc>
      </w:tr>
      <w:tr w:rsidR="00B70E62" w:rsidRPr="00B70E62" w14:paraId="4387B538" w14:textId="0520750F" w:rsidTr="00C81208">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CB3B1" w14:textId="77777777" w:rsidR="007A2E77" w:rsidRPr="00B70E62" w:rsidRDefault="007A2E77">
            <w:pPr>
              <w:rPr>
                <w:rFonts w:ascii="Arial" w:hAnsi="Arial" w:cs="Arial"/>
                <w:sz w:val="20"/>
                <w:szCs w:val="20"/>
              </w:rPr>
            </w:pPr>
            <w:r>
              <w:rPr>
                <w:rFonts w:ascii="Arial" w:hAnsi="Arial"/>
                <w:sz w:val="20"/>
                <w:szCs w:val="20"/>
              </w:rPr>
              <w:t>varav yrkeshögskolan överlät vidare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DF6500F" w14:textId="77777777" w:rsidR="007A2E77" w:rsidRPr="00B70E62" w:rsidRDefault="007A2E77" w:rsidP="00AB49B3">
            <w:pPr>
              <w:jc w:val="center"/>
              <w:rPr>
                <w:rFonts w:ascii="Arial" w:hAnsi="Arial" w:cs="Arial"/>
                <w:sz w:val="20"/>
                <w:szCs w:val="20"/>
              </w:rPr>
            </w:pPr>
            <w:r>
              <w:rPr>
                <w:rFonts w:ascii="Arial" w:hAnsi="Arial"/>
                <w:sz w:val="20"/>
                <w:szCs w:val="20"/>
              </w:rPr>
              <w:t>28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D6A4996" w14:textId="77777777" w:rsidR="007A2E77" w:rsidRPr="00B70E62" w:rsidRDefault="007A2E77" w:rsidP="00AB49B3">
            <w:pPr>
              <w:jc w:val="center"/>
              <w:rPr>
                <w:rFonts w:ascii="Arial" w:hAnsi="Arial" w:cs="Arial"/>
                <w:sz w:val="20"/>
                <w:szCs w:val="20"/>
              </w:rPr>
            </w:pPr>
            <w:r>
              <w:rPr>
                <w:rFonts w:ascii="Arial" w:hAnsi="Arial"/>
                <w:sz w:val="20"/>
                <w:szCs w:val="20"/>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195B5F8" w14:textId="77777777" w:rsidR="007A2E77" w:rsidRPr="00B70E62" w:rsidRDefault="007A2E77" w:rsidP="00AB49B3">
            <w:pPr>
              <w:jc w:val="center"/>
              <w:rPr>
                <w:rFonts w:ascii="Arial" w:hAnsi="Arial" w:cs="Arial"/>
                <w:sz w:val="20"/>
                <w:szCs w:val="20"/>
              </w:rPr>
            </w:pPr>
            <w:r>
              <w:rPr>
                <w:rFonts w:ascii="Arial" w:hAnsi="Arial"/>
                <w:sz w:val="20"/>
                <w:szCs w:val="20"/>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3772A098" w14:textId="77777777" w:rsidR="007A2E77" w:rsidRPr="00B70E62" w:rsidRDefault="007A2E77" w:rsidP="00AB49B3">
            <w:pPr>
              <w:jc w:val="center"/>
              <w:rPr>
                <w:rFonts w:ascii="Arial" w:hAnsi="Arial" w:cs="Arial"/>
                <w:sz w:val="20"/>
                <w:szCs w:val="20"/>
              </w:rPr>
            </w:pPr>
            <w:r>
              <w:rPr>
                <w:rFonts w:ascii="Arial" w:hAnsi="Arial"/>
                <w:sz w:val="20"/>
                <w:szCs w:val="20"/>
              </w:rPr>
              <w:t>4</w:t>
            </w:r>
          </w:p>
        </w:tc>
        <w:tc>
          <w:tcPr>
            <w:tcW w:w="709" w:type="dxa"/>
            <w:tcBorders>
              <w:top w:val="nil"/>
              <w:left w:val="nil"/>
              <w:bottom w:val="single" w:sz="8" w:space="0" w:color="auto"/>
              <w:right w:val="single" w:sz="8" w:space="0" w:color="auto"/>
            </w:tcBorders>
          </w:tcPr>
          <w:p w14:paraId="493781A3" w14:textId="17D20E4B" w:rsidR="007A2E77" w:rsidRPr="00B70E62" w:rsidRDefault="007A2E77" w:rsidP="00AB49B3">
            <w:pPr>
              <w:jc w:val="center"/>
              <w:rPr>
                <w:rFonts w:ascii="Arial" w:hAnsi="Arial" w:cs="Arial"/>
                <w:sz w:val="20"/>
                <w:szCs w:val="20"/>
              </w:rPr>
            </w:pPr>
            <w:r>
              <w:rPr>
                <w:rFonts w:ascii="Arial" w:hAnsi="Arial"/>
                <w:sz w:val="20"/>
                <w:szCs w:val="20"/>
              </w:rPr>
              <w:t>-</w:t>
            </w:r>
          </w:p>
        </w:tc>
      </w:tr>
      <w:tr w:rsidR="007A2E77" w:rsidRPr="00B70E62" w14:paraId="5AED85C5" w14:textId="7175251A" w:rsidTr="00C81208">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0028E" w14:textId="77777777" w:rsidR="007A2E77" w:rsidRPr="00B70E62" w:rsidRDefault="007A2E77">
            <w:pPr>
              <w:rPr>
                <w:rFonts w:ascii="Arial" w:hAnsi="Arial" w:cs="Arial"/>
                <w:sz w:val="20"/>
                <w:szCs w:val="20"/>
              </w:rPr>
            </w:pPr>
            <w:r>
              <w:rPr>
                <w:rFonts w:ascii="Arial" w:hAnsi="Arial"/>
                <w:sz w:val="20"/>
                <w:szCs w:val="20"/>
              </w:rPr>
              <w:t>Beviljade patent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AAED9ED" w14:textId="77777777" w:rsidR="007A2E77" w:rsidRPr="00B70E62" w:rsidRDefault="007A2E77" w:rsidP="00AB49B3">
            <w:pPr>
              <w:jc w:val="center"/>
              <w:rPr>
                <w:rFonts w:ascii="Arial" w:hAnsi="Arial" w:cs="Arial"/>
                <w:sz w:val="20"/>
                <w:szCs w:val="20"/>
              </w:rPr>
            </w:pPr>
            <w:r>
              <w:rPr>
                <w:rFonts w:ascii="Arial" w:hAnsi="Arial"/>
                <w:sz w:val="20"/>
                <w:szCs w:val="20"/>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0EB38DC" w14:textId="77777777" w:rsidR="007A2E77" w:rsidRPr="00B70E62" w:rsidRDefault="007A2E77" w:rsidP="00AB49B3">
            <w:pPr>
              <w:jc w:val="center"/>
              <w:rPr>
                <w:rFonts w:ascii="Arial" w:hAnsi="Arial" w:cs="Arial"/>
                <w:sz w:val="20"/>
                <w:szCs w:val="20"/>
              </w:rPr>
            </w:pPr>
            <w:r>
              <w:rPr>
                <w:rFonts w:ascii="Arial" w:hAnsi="Arial"/>
                <w:sz w:val="20"/>
                <w:szCs w:val="20"/>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AF108A4" w14:textId="77777777" w:rsidR="007A2E77" w:rsidRPr="00B70E62" w:rsidRDefault="007A2E77" w:rsidP="00AB49B3">
            <w:pPr>
              <w:jc w:val="center"/>
              <w:rPr>
                <w:rFonts w:ascii="Arial" w:hAnsi="Arial" w:cs="Arial"/>
                <w:sz w:val="20"/>
                <w:szCs w:val="20"/>
              </w:rPr>
            </w:pPr>
            <w:r>
              <w:rPr>
                <w:rFonts w:ascii="Arial" w:hAnsi="Arial"/>
                <w:sz w:val="20"/>
                <w:szCs w:val="20"/>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6BE568AC" w14:textId="77777777" w:rsidR="007A2E77" w:rsidRPr="00B70E62" w:rsidRDefault="007A2E77" w:rsidP="00AB49B3">
            <w:pPr>
              <w:jc w:val="center"/>
              <w:rPr>
                <w:rFonts w:ascii="Arial" w:hAnsi="Arial" w:cs="Arial"/>
                <w:sz w:val="20"/>
                <w:szCs w:val="20"/>
              </w:rPr>
            </w:pPr>
            <w:r>
              <w:rPr>
                <w:rFonts w:ascii="Arial" w:hAnsi="Arial"/>
                <w:sz w:val="20"/>
                <w:szCs w:val="20"/>
              </w:rPr>
              <w:t>3</w:t>
            </w:r>
          </w:p>
        </w:tc>
        <w:tc>
          <w:tcPr>
            <w:tcW w:w="709" w:type="dxa"/>
            <w:tcBorders>
              <w:top w:val="nil"/>
              <w:left w:val="nil"/>
              <w:bottom w:val="single" w:sz="8" w:space="0" w:color="auto"/>
              <w:right w:val="single" w:sz="8" w:space="0" w:color="auto"/>
            </w:tcBorders>
          </w:tcPr>
          <w:p w14:paraId="361D3CF3" w14:textId="66541A2B" w:rsidR="007A2E77" w:rsidRPr="00B70E62" w:rsidRDefault="007A2E77" w:rsidP="00AB49B3">
            <w:pPr>
              <w:jc w:val="center"/>
              <w:rPr>
                <w:rFonts w:ascii="Arial" w:hAnsi="Arial" w:cs="Arial"/>
                <w:sz w:val="20"/>
                <w:szCs w:val="20"/>
              </w:rPr>
            </w:pPr>
            <w:r>
              <w:rPr>
                <w:rFonts w:ascii="Arial" w:hAnsi="Arial"/>
                <w:sz w:val="20"/>
                <w:szCs w:val="20"/>
              </w:rPr>
              <w:t>2</w:t>
            </w:r>
          </w:p>
        </w:tc>
      </w:tr>
    </w:tbl>
    <w:p w14:paraId="3053373F" w14:textId="77777777" w:rsidR="002B2454" w:rsidRPr="00B70E62" w:rsidRDefault="002B2454" w:rsidP="002B2454">
      <w:pPr>
        <w:contextualSpacing/>
        <w:jc w:val="both"/>
        <w:rPr>
          <w:rFonts w:ascii="Arial" w:hAnsi="Arial" w:cs="Arial"/>
          <w:sz w:val="20"/>
          <w:szCs w:val="20"/>
        </w:rPr>
      </w:pPr>
    </w:p>
    <w:p w14:paraId="037B30C0" w14:textId="77777777" w:rsidR="002B2454" w:rsidRPr="00B70E62" w:rsidRDefault="002B2454" w:rsidP="002B2454">
      <w:pPr>
        <w:contextualSpacing/>
        <w:jc w:val="both"/>
        <w:rPr>
          <w:rFonts w:ascii="Arial" w:hAnsi="Arial" w:cs="Arial"/>
          <w:sz w:val="20"/>
          <w:szCs w:val="20"/>
        </w:rPr>
      </w:pPr>
    </w:p>
    <w:p w14:paraId="709F590D" w14:textId="790A4C72" w:rsidR="00C120E0" w:rsidRPr="00B70E62" w:rsidRDefault="00474B36" w:rsidP="00521108">
      <w:pPr>
        <w:keepNext/>
        <w:jc w:val="both"/>
        <w:rPr>
          <w:rFonts w:ascii="Arial" w:hAnsi="Arial" w:cs="Arial"/>
          <w:sz w:val="20"/>
          <w:szCs w:val="20"/>
        </w:rPr>
      </w:pPr>
      <w:r>
        <w:rPr>
          <w:rFonts w:ascii="Arial" w:hAnsi="Arial"/>
          <w:sz w:val="20"/>
          <w:szCs w:val="20"/>
        </w:rPr>
        <w:lastRenderedPageBreak/>
        <w:t>2.3. Behov av att ändra den gällande lagen</w:t>
      </w:r>
    </w:p>
    <w:p w14:paraId="4BA8E255" w14:textId="02494AD1" w:rsidR="002140A1" w:rsidRPr="00B70E62" w:rsidRDefault="00031DCE">
      <w:pPr>
        <w:jc w:val="both"/>
        <w:rPr>
          <w:rFonts w:ascii="Arial" w:hAnsi="Arial" w:cs="Arial"/>
          <w:sz w:val="20"/>
          <w:szCs w:val="20"/>
        </w:rPr>
      </w:pPr>
      <w:r>
        <w:rPr>
          <w:rFonts w:ascii="Arial" w:hAnsi="Arial"/>
          <w:sz w:val="20"/>
          <w:szCs w:val="20"/>
        </w:rPr>
        <w:t xml:space="preserve">Inom ramen för åtgärderna i spetsprojektet </w:t>
      </w:r>
      <w:r>
        <w:rPr>
          <w:rFonts w:ascii="Arial" w:hAnsi="Arial"/>
          <w:i/>
          <w:iCs/>
          <w:sz w:val="20"/>
          <w:szCs w:val="20"/>
        </w:rPr>
        <w:t>Kompetens och utbildning</w:t>
      </w:r>
      <w:r>
        <w:rPr>
          <w:rFonts w:ascii="Arial" w:hAnsi="Arial"/>
          <w:sz w:val="20"/>
          <w:szCs w:val="20"/>
        </w:rPr>
        <w:t xml:space="preserve">, som har bidragit till genomförandet av regeringsprogrammet, har behovet att revidera högskoleuppfinningslagen bedömts. Bedömningen har utgått från utnyttjande av forskningsresultat och från effektiv kommersialisering av innovationer. Målet har varit att försöka stärka samarbetet mellan näringslivet och högskolorna när det gäller utnyttjande av forskningsresultat samt att skapa innovationer och att kommersialisera dem. Det finns också behov av att uppdatera lagen med anledning av ändringar av universitetslagen, yrkeshögskolelagen och lagen om Finlands Akademi. </w:t>
      </w:r>
    </w:p>
    <w:p w14:paraId="611B122A" w14:textId="77777777" w:rsidR="00677318" w:rsidRPr="00B70E62" w:rsidRDefault="00677318">
      <w:pPr>
        <w:jc w:val="both"/>
        <w:rPr>
          <w:rFonts w:ascii="Arial" w:hAnsi="Arial" w:cs="Arial"/>
          <w:sz w:val="20"/>
          <w:szCs w:val="20"/>
        </w:rPr>
      </w:pPr>
      <w:r>
        <w:rPr>
          <w:rFonts w:ascii="Arial" w:hAnsi="Arial"/>
          <w:sz w:val="20"/>
          <w:szCs w:val="20"/>
        </w:rPr>
        <w:t>Våren 2016 genomförde arbets- och näringsministeriet och undervisnings- och kulturministeriet en enkät som riktade sig till högskolorna och deras intressegrupper. Det lämnades in totalt 26 svar på enkäten. Av dem var sju från universitet, åtta från yrkeshögskolor och elva från intressegruppsorganisationer. Dessutom intervjuades tio experter på tillämpningen av högskoleuppfinningslagen.</w:t>
      </w:r>
    </w:p>
    <w:p w14:paraId="6694C772" w14:textId="18C06D9A" w:rsidR="00677318" w:rsidRPr="00B70E62" w:rsidRDefault="00677318">
      <w:pPr>
        <w:jc w:val="both"/>
        <w:rPr>
          <w:rFonts w:ascii="Arial" w:hAnsi="Arial" w:cs="Arial"/>
          <w:sz w:val="20"/>
          <w:szCs w:val="20"/>
        </w:rPr>
      </w:pPr>
      <w:r>
        <w:rPr>
          <w:rFonts w:ascii="Arial" w:hAnsi="Arial"/>
          <w:sz w:val="20"/>
          <w:szCs w:val="20"/>
        </w:rPr>
        <w:t xml:space="preserve">Med stöd av enkäten och intervjuerna ger de synpunkter som läggs fram nedan en bild av de största utmaningarna vid tillämpningen av lagen.  </w:t>
      </w:r>
    </w:p>
    <w:p w14:paraId="74B459B8" w14:textId="50C7E6BA" w:rsidR="00677318" w:rsidRPr="00B70E62" w:rsidRDefault="005037D4" w:rsidP="00C81208">
      <w:pPr>
        <w:jc w:val="both"/>
        <w:rPr>
          <w:rFonts w:ascii="Arial" w:eastAsia="Times New Roman" w:hAnsi="Arial" w:cs="Arial"/>
          <w:sz w:val="20"/>
          <w:szCs w:val="20"/>
        </w:rPr>
      </w:pPr>
      <w:r>
        <w:rPr>
          <w:rFonts w:ascii="Arial" w:hAnsi="Arial"/>
          <w:sz w:val="20"/>
          <w:szCs w:val="20"/>
        </w:rPr>
        <w:t>Att på grundval av antingen öppen forskning eller avtalsforskning fastställa ägarskapet upplevs som problematiskt. Att utreda vem som äger de uppfinningar som kommit till inom öppen forskning är ofta svårt, eftersom forskningsresultaten kan uppstå under en lång tid och det är svårt att i efterhand utreda uppkomstförhållandena. Oklarheterna kring ägarskapet kan leda till att kommersialiseringen fördröjs.</w:t>
      </w:r>
      <w:r>
        <w:rPr>
          <w:rFonts w:ascii="Arial" w:hAnsi="Arial"/>
          <w:b/>
          <w:sz w:val="20"/>
          <w:szCs w:val="20"/>
        </w:rPr>
        <w:t xml:space="preserve"> </w:t>
      </w:r>
      <w:r>
        <w:rPr>
          <w:rFonts w:ascii="Arial" w:hAnsi="Arial"/>
          <w:sz w:val="20"/>
          <w:szCs w:val="20"/>
        </w:rPr>
        <w:t xml:space="preserve">Högskoleuppfinningslagen har förtydligat ägarskapet i sådana fall där finansieringen kommer från endast en källa och alla uppfinnare omfattas av samma finansiering. När finansieringen är splittrad blir det svårare att fastställa forskningsresultatets eller uppfinningens ursprungliga finansieringskälla. När ursprunget till finansieringen fastställs är högskolorna beroende av de uppgifter som uppfinnaren lämnar in. Detta ger uppfinnarna möjlighet till egenmäktig tolkning och anspråk på äganderätt. Olika högskolor tolkar lagen på olika sätt och att utreda ägarskapet binder högskolornas kommersialiseringsorganisationers knappa resurser.   </w:t>
      </w:r>
    </w:p>
    <w:p w14:paraId="2D5D0124" w14:textId="0A85DF16" w:rsidR="00677318" w:rsidRPr="00B70E62" w:rsidRDefault="005037D4" w:rsidP="00C81208">
      <w:pPr>
        <w:jc w:val="both"/>
        <w:rPr>
          <w:rFonts w:ascii="Arial" w:eastAsia="Times New Roman" w:hAnsi="Arial" w:cs="Arial"/>
          <w:sz w:val="20"/>
          <w:szCs w:val="20"/>
        </w:rPr>
      </w:pPr>
      <w:r>
        <w:rPr>
          <w:rFonts w:ascii="Arial" w:hAnsi="Arial"/>
          <w:sz w:val="20"/>
          <w:szCs w:val="20"/>
        </w:rPr>
        <w:t>I enlighet med högskoleuppfinningslagen sker fastställandet av rättigheterna till de uppfinningar som gjorts med hjälp av offentlig finansiering på olika sätt. På uppfinningsverksamhet vid högskolorna och vid statliga forskningsinstitut tillämpas olika lagar, trots att forskningen i huvudsak bedrivs med offentlig finansiering på båda ställena. Vid forskningsinstituten omfattas rättigheterna av uppfinningslagen och utgångspunkten är således att rättigheterna hör till arbetsgivaren. Ägaren av de uppfinningar som kommit till vid högskolorna fastställs däremot med stöd av om uppfinningen kommit till inom öppen forskning eller avtalsforskning. Vid universitetscentralsjukhus kan det vara en utmaning att fastställa ägarskapet till forskaruppfinningar, om en person har ett anställningsförhållande till såväl sjukhuset som universitetet. Arbetsgruppen har bedömt huruvida man när det gäller högskoleuppfinningar ska övergå till att tillämpa uppfinningslagen, men man beslutade att med stöd av den gällande lagstiftningen föreslå en modell som stöder utvecklingen av avtalspraxis.</w:t>
      </w:r>
    </w:p>
    <w:p w14:paraId="27F62F87" w14:textId="352B9F21" w:rsidR="00677318" w:rsidRPr="00B70E62" w:rsidRDefault="00677318" w:rsidP="00C81208">
      <w:pPr>
        <w:jc w:val="both"/>
        <w:rPr>
          <w:rFonts w:ascii="Arial" w:eastAsia="Times New Roman" w:hAnsi="Arial" w:cs="Arial"/>
          <w:sz w:val="20"/>
          <w:szCs w:val="20"/>
        </w:rPr>
      </w:pPr>
      <w:r>
        <w:rPr>
          <w:rFonts w:ascii="Arial" w:hAnsi="Arial"/>
          <w:sz w:val="20"/>
          <w:szCs w:val="20"/>
        </w:rPr>
        <w:t>Efter revideringen av högskoleuppfinningslagen har universitetslagen, yrkeshögskolelagen och lagen om Finlands Akademi reviderats. Med anledning av dessa revideringar finns det behov av att uppdatera högskoleuppfinningslagen. I till exempel högskoleuppfinningslagen hänvisas det till lagen om grunderna för avgifter till staten (150/1992), som inte längre gäller för universiteten. Dessutom har de akademiprofessorer och akademiforskare som finansieras av Finlands Akademi ett anställningsförhållande till de organisationer där deras forskningstjänst finns. Sålunda har de inte längre något anställningsförhållande till Finlands Akademi. I uppfinningslagen hänvisas det för högskolornas del till högskoleuppfinningslagen, där Polisyrkeshögskolan eller Ålands yrkeshögskola, som inrättats genom speciallagar, dock inte nämns separat. Det föreslås att kompletteringar som gäller dessa yrkeshögskolor ska göras i högskoleuppfinningslagen.</w:t>
      </w:r>
    </w:p>
    <w:p w14:paraId="0BD37835" w14:textId="77777777" w:rsidR="00677318" w:rsidRPr="00B70E62" w:rsidRDefault="005037D4" w:rsidP="00C81208">
      <w:pPr>
        <w:jc w:val="both"/>
        <w:rPr>
          <w:rFonts w:ascii="Arial" w:eastAsia="Times New Roman" w:hAnsi="Arial" w:cs="Arial"/>
          <w:sz w:val="20"/>
          <w:szCs w:val="20"/>
        </w:rPr>
      </w:pPr>
      <w:r>
        <w:rPr>
          <w:rFonts w:ascii="Arial" w:hAnsi="Arial"/>
          <w:sz w:val="20"/>
          <w:szCs w:val="20"/>
        </w:rPr>
        <w:lastRenderedPageBreak/>
        <w:t>Det kan hända att termerna öppen forskning och öppen vetenskap används synonymt.</w:t>
      </w:r>
      <w:r>
        <w:rPr>
          <w:rFonts w:ascii="Arial" w:hAnsi="Arial"/>
          <w:b/>
          <w:sz w:val="20"/>
          <w:szCs w:val="20"/>
        </w:rPr>
        <w:t xml:space="preserve"> </w:t>
      </w:r>
      <w:r>
        <w:rPr>
          <w:rFonts w:ascii="Arial" w:hAnsi="Arial"/>
          <w:sz w:val="20"/>
          <w:szCs w:val="20"/>
        </w:rPr>
        <w:t>Efter beredningen och ikraftträdandet av högskoleuppfinningslagen har öppenhet blivit en av de centrala principerna inom vetenskap och forskning.</w:t>
      </w:r>
      <w:r>
        <w:rPr>
          <w:rFonts w:ascii="Arial" w:hAnsi="Arial"/>
          <w:i/>
          <w:sz w:val="20"/>
          <w:szCs w:val="20"/>
        </w:rPr>
        <w:t xml:space="preserve"> Öppen vetenskap</w:t>
      </w:r>
      <w:r w:rsidR="00677318" w:rsidRPr="00B70E62">
        <w:rPr>
          <w:rStyle w:val="Alaviitteenviite"/>
          <w:rFonts w:ascii="Arial" w:hAnsi="Arial" w:cs="Arial"/>
          <w:i/>
          <w:sz w:val="20"/>
          <w:szCs w:val="20"/>
        </w:rPr>
        <w:footnoteReference w:id="2"/>
      </w:r>
      <w:r>
        <w:rPr>
          <w:rFonts w:ascii="Arial" w:hAnsi="Arial"/>
          <w:sz w:val="20"/>
          <w:szCs w:val="20"/>
        </w:rPr>
        <w:t xml:space="preserve"> har blivit ett betydande sätt internationellt att främja vetenskapen och dess genomslagskraft i samhället. En förutsättning är dock en omfattande tillgång till de publikationer, informationsmaterial, metoder, kunskaper och stödtjänster som forskningen producerar och behöver. Öppenheten ska återspeglas på såväl anskaffning av information som forsknings- och bedömningsmetoder. De synligaste formerna av öppen vetenskap och forskning är att forskningsresultaten publiceras öppet, att forskningsmaterialen öppnas och att forskningsmetoderna är öppna såsom programvarorna med öppen källkod.</w:t>
      </w:r>
    </w:p>
    <w:p w14:paraId="72B5C2B3" w14:textId="77777777" w:rsidR="00677318" w:rsidRPr="00B70E62" w:rsidRDefault="00677318" w:rsidP="00C81208">
      <w:pPr>
        <w:jc w:val="both"/>
        <w:rPr>
          <w:rFonts w:ascii="Arial" w:eastAsia="Times New Roman" w:hAnsi="Arial" w:cs="Arial"/>
          <w:sz w:val="20"/>
          <w:szCs w:val="20"/>
        </w:rPr>
      </w:pPr>
      <w:r>
        <w:rPr>
          <w:rFonts w:ascii="Arial" w:hAnsi="Arial"/>
          <w:sz w:val="20"/>
          <w:szCs w:val="20"/>
        </w:rPr>
        <w:t xml:space="preserve">Definitionen av </w:t>
      </w:r>
      <w:r>
        <w:rPr>
          <w:rFonts w:ascii="Arial" w:hAnsi="Arial"/>
          <w:i/>
          <w:iCs/>
          <w:sz w:val="20"/>
          <w:szCs w:val="20"/>
        </w:rPr>
        <w:t>öppen forskning</w:t>
      </w:r>
      <w:r>
        <w:rPr>
          <w:rFonts w:ascii="Arial" w:hAnsi="Arial"/>
          <w:sz w:val="20"/>
          <w:szCs w:val="20"/>
        </w:rPr>
        <w:t xml:space="preserve"> i högskoleuppfinningslagen hänvisar till uppfinnarens äganderättsliga ställning, medan </w:t>
      </w:r>
      <w:r>
        <w:rPr>
          <w:rFonts w:ascii="Arial" w:hAnsi="Arial"/>
          <w:i/>
          <w:iCs/>
          <w:sz w:val="20"/>
          <w:szCs w:val="20"/>
        </w:rPr>
        <w:t xml:space="preserve">öppen vetenskap </w:t>
      </w:r>
      <w:r>
        <w:rPr>
          <w:rFonts w:ascii="Arial" w:hAnsi="Arial"/>
          <w:sz w:val="20"/>
          <w:szCs w:val="20"/>
        </w:rPr>
        <w:t xml:space="preserve">avser ett bredare tänkesätt och en bredare referensram när det gäller upprepning och utnyttjande av forskningen samt forskningens transparens. När det gäller utnyttjandet och kommersialiseringen av forskning är det viktigt att beakta skillnaderna mellan termerna öppen forskning och öppen vetenskap. Om indelningen öppen forskning och avtalsforskning används i högskoleuppfinningslagen även i fortsättningen, ska det vid revideringen bedömas om öppen forskning kan ersättas med en annan term.  </w:t>
      </w:r>
    </w:p>
    <w:p w14:paraId="5C6AB4AC" w14:textId="77777777" w:rsidR="00677318" w:rsidRPr="00B70E62" w:rsidRDefault="005037D4" w:rsidP="00C81208">
      <w:pPr>
        <w:jc w:val="both"/>
        <w:rPr>
          <w:rFonts w:ascii="Arial" w:eastAsia="Times New Roman" w:hAnsi="Arial" w:cs="Arial"/>
          <w:b/>
          <w:sz w:val="20"/>
          <w:szCs w:val="20"/>
        </w:rPr>
      </w:pPr>
      <w:r>
        <w:rPr>
          <w:rFonts w:ascii="Arial" w:hAnsi="Arial"/>
          <w:sz w:val="20"/>
          <w:szCs w:val="20"/>
        </w:rPr>
        <w:t>Det anses att det finns spänningar i förhållandet mellan offentligheten och skyddandet av uppfinningar. I svaren och även i den offentliga debatten om detta har motsättningen mellan skyddandet och vetenskapens öppenhet lyfts fram. Uppfattningen att skyddandet och offentligheten utesluter varandra är vanlig. Så är emellertid inte fallet. Patentinstitutionen bygger på offentlighet, dvs. ensamrätten till industriellt utnyttjande av patentet beviljas på villkoret att patentet offentliggörs i ett offentligt patentregister. Att söka patent kan å andra sidan fördröja offentliggörandet av det vetenskapliga forskningsresultatet. Upphovsrätten eller till exempel varumärkesrätten begränsar kommersiell användning av ett material som i huvudsak är skyddat, men rätten begränsar inte vetenskaplig forskning i det.</w:t>
      </w:r>
      <w:r w:rsidR="00677318" w:rsidRPr="00B70E62">
        <w:rPr>
          <w:rStyle w:val="Alaviitteenviite"/>
          <w:rFonts w:ascii="Arial" w:eastAsia="Times New Roman" w:hAnsi="Arial" w:cs="Arial"/>
          <w:sz w:val="20"/>
          <w:szCs w:val="20"/>
        </w:rPr>
        <w:footnoteReference w:id="3"/>
      </w:r>
      <w:r>
        <w:rPr>
          <w:rFonts w:ascii="Arial" w:hAnsi="Arial"/>
          <w:sz w:val="20"/>
          <w:szCs w:val="20"/>
        </w:rPr>
        <w:t xml:space="preserve"> Att offentliggöra en uppfinning innan patent har sökts kan dock leda till nyhetshinder, varvid patent inte längre kan beviljas. Av denna orsak förutsätter behandlingen av uppfinningar vid högskolor åskådlig lagstiftning om immateriella rättigheter samt goda kunskaper om skyddsmekanismerna.</w:t>
      </w:r>
    </w:p>
    <w:p w14:paraId="567E5678" w14:textId="7FDEA914" w:rsidR="00677318" w:rsidRPr="00B70E62" w:rsidRDefault="005037D4" w:rsidP="00C81208">
      <w:pPr>
        <w:jc w:val="both"/>
        <w:rPr>
          <w:rFonts w:ascii="Arial" w:eastAsia="Times New Roman" w:hAnsi="Arial" w:cs="Arial"/>
          <w:sz w:val="20"/>
          <w:szCs w:val="20"/>
        </w:rPr>
      </w:pPr>
      <w:r>
        <w:rPr>
          <w:rFonts w:ascii="Arial" w:hAnsi="Arial"/>
          <w:sz w:val="20"/>
          <w:szCs w:val="20"/>
        </w:rPr>
        <w:t>Behandlingen av rättigheter till datorprogram och databaser faller utanför högskoleuppfinningslagen.</w:t>
      </w:r>
      <w:r>
        <w:rPr>
          <w:rFonts w:ascii="Arial" w:hAnsi="Arial"/>
          <w:b/>
          <w:sz w:val="20"/>
          <w:szCs w:val="20"/>
        </w:rPr>
        <w:t xml:space="preserve"> </w:t>
      </w:r>
      <w:r>
        <w:rPr>
          <w:rFonts w:ascii="Arial" w:hAnsi="Arial"/>
          <w:sz w:val="20"/>
          <w:szCs w:val="20"/>
        </w:rPr>
        <w:t xml:space="preserve">I vissa svar lyftes det fram att programvaruutvecklingen i modern forskning och utveckling redan kan ha </w:t>
      </w:r>
      <w:r>
        <w:rPr>
          <w:rFonts w:ascii="Arial" w:hAnsi="Arial"/>
          <w:sz w:val="20"/>
          <w:szCs w:val="20"/>
        </w:rPr>
        <w:lastRenderedPageBreak/>
        <w:t xml:space="preserve">en betydligt centralare roll än patenteringen. Åtminstone programmeringen, dvs. kodningen, har utöver uppfinningarna blivit ett betydande sätt att producera innovationer till exempel i form av applikationsutveckling. Datorprogram samt de databaser som ofta har koppling till applikationer skyddas genom upphovsrätten. I flera svar lyfte man fram behovet av att bedöma de upphovsrättigheter som gäller datorprogram och eventuell inkludering av rättigheterna i högskoleuppfinningslagen.  </w:t>
      </w:r>
    </w:p>
    <w:p w14:paraId="64A39835" w14:textId="4FB515B6" w:rsidR="00677318" w:rsidRPr="00B70E62" w:rsidRDefault="005037D4" w:rsidP="00C81208">
      <w:pPr>
        <w:jc w:val="both"/>
        <w:rPr>
          <w:rFonts w:ascii="Arial" w:hAnsi="Arial" w:cs="Arial"/>
          <w:sz w:val="20"/>
          <w:szCs w:val="20"/>
        </w:rPr>
      </w:pPr>
      <w:r>
        <w:rPr>
          <w:rFonts w:ascii="Arial" w:hAnsi="Arial"/>
          <w:sz w:val="20"/>
          <w:szCs w:val="20"/>
        </w:rPr>
        <w:t>De studerande eller de som med hjälp av understöd bedriver forskning vid högskolorna har inget anställningsförhållande till högskolorna och därför omfattas inte dessa personers rättigheter till uppfinningar av lagen om arbetsavtal (320/1970) och högskoleuppfinningslagen.</w:t>
      </w:r>
      <w:r>
        <w:rPr>
          <w:rFonts w:ascii="Arial" w:hAnsi="Arial"/>
          <w:b/>
          <w:sz w:val="20"/>
          <w:szCs w:val="20"/>
        </w:rPr>
        <w:t xml:space="preserve"> </w:t>
      </w:r>
      <w:r>
        <w:rPr>
          <w:rFonts w:ascii="Arial" w:hAnsi="Arial"/>
          <w:sz w:val="20"/>
          <w:szCs w:val="20"/>
        </w:rPr>
        <w:t xml:space="preserve">Sålunda överförs inte rättigheterna från en studerande till högskolan eller någon annan part på annat sätt än genom särskild överenskommelse. En högskola kan inte överföra rättigheterna till företag, om den inte själv först har tillräckligt omfattande rättigheter. </w:t>
      </w:r>
    </w:p>
    <w:p w14:paraId="3BF19B50" w14:textId="77777777" w:rsidR="00677318" w:rsidRPr="00B70E62" w:rsidRDefault="00677318">
      <w:pPr>
        <w:jc w:val="both"/>
        <w:rPr>
          <w:rFonts w:ascii="Arial" w:hAnsi="Arial" w:cs="Arial"/>
          <w:sz w:val="20"/>
          <w:szCs w:val="20"/>
        </w:rPr>
      </w:pPr>
      <w:r>
        <w:rPr>
          <w:rFonts w:ascii="Arial" w:hAnsi="Arial"/>
          <w:sz w:val="20"/>
          <w:szCs w:val="20"/>
        </w:rPr>
        <w:t>Utöver behoven att revidera lagen lyfte de som hade svarat på enkäten fram andra faktorer genom vilka man kan inverka på kommersialiseringen och utnyttjandet av de uppfinningar som har kommit till i högskolor. Man ansåg bland annat att små ekonomiska incitament till företagssamarbete och till att utnyttja forskningsresultaten samt avsaknad av det kunnande som behövs vid kommersialisering och av avtalspraxis är ett hinder för utnyttjandet av uppfinningar och kunskaper.</w:t>
      </w:r>
    </w:p>
    <w:p w14:paraId="11824337" w14:textId="02896FFE" w:rsidR="00761CEA" w:rsidRPr="00B70E62" w:rsidRDefault="00761CEA" w:rsidP="00761CEA">
      <w:pPr>
        <w:jc w:val="both"/>
        <w:rPr>
          <w:rFonts w:ascii="Arial" w:hAnsi="Arial" w:cs="Arial"/>
          <w:sz w:val="20"/>
          <w:szCs w:val="20"/>
        </w:rPr>
      </w:pPr>
      <w:r>
        <w:rPr>
          <w:rFonts w:ascii="Arial" w:hAnsi="Arial"/>
          <w:sz w:val="20"/>
          <w:szCs w:val="20"/>
        </w:rPr>
        <w:t xml:space="preserve">Den 11 oktober 2016 inrättade ministerarbetsgruppen för kompetens och utbildning en tjänstemannagrupp med uppdrag att utarbeta förslag till revidering av högskoleuppfinningslagen. Arbetsgruppen har i enlighet med sitt uppdrag berett förslag till  </w:t>
      </w:r>
    </w:p>
    <w:p w14:paraId="4D594C94" w14:textId="77777777" w:rsidR="00761CEA" w:rsidRPr="00B70E62" w:rsidRDefault="00761CEA" w:rsidP="00761CEA">
      <w:pPr>
        <w:pStyle w:val="Luettelokappale"/>
        <w:numPr>
          <w:ilvl w:val="0"/>
          <w:numId w:val="8"/>
        </w:numPr>
        <w:jc w:val="both"/>
        <w:rPr>
          <w:rFonts w:ascii="Arial" w:hAnsi="Arial" w:cs="Arial"/>
          <w:sz w:val="20"/>
          <w:szCs w:val="20"/>
        </w:rPr>
      </w:pPr>
      <w:r>
        <w:rPr>
          <w:rFonts w:ascii="Arial" w:hAnsi="Arial"/>
          <w:sz w:val="20"/>
          <w:szCs w:val="20"/>
        </w:rPr>
        <w:t xml:space="preserve">revidering av högskoleuppfinningslagen, så att lagen stöder effektiv kommersialisering av forskningsresultat, </w:t>
      </w:r>
    </w:p>
    <w:p w14:paraId="75DB9B0F" w14:textId="77777777" w:rsidR="00761CEA" w:rsidRPr="00B70E62" w:rsidRDefault="00761CEA" w:rsidP="00761CEA">
      <w:pPr>
        <w:pStyle w:val="Luettelokappale"/>
        <w:numPr>
          <w:ilvl w:val="0"/>
          <w:numId w:val="8"/>
        </w:numPr>
        <w:jc w:val="both"/>
        <w:rPr>
          <w:rFonts w:ascii="Arial" w:hAnsi="Arial" w:cs="Arial"/>
          <w:sz w:val="20"/>
          <w:szCs w:val="20"/>
        </w:rPr>
      </w:pPr>
      <w:r>
        <w:rPr>
          <w:rFonts w:ascii="Arial" w:hAnsi="Arial"/>
          <w:sz w:val="20"/>
          <w:szCs w:val="20"/>
        </w:rPr>
        <w:t xml:space="preserve">precisering av terminologin i fråga om öppen forskning i högskoleuppfinningslagen i förhållande till den allmänna definitionen av öppen vetenskap och forskning,  </w:t>
      </w:r>
    </w:p>
    <w:p w14:paraId="04D891BA" w14:textId="77777777" w:rsidR="00761CEA" w:rsidRPr="00B70E62" w:rsidRDefault="00761CEA" w:rsidP="00761CEA">
      <w:pPr>
        <w:pStyle w:val="Luettelokappale"/>
        <w:numPr>
          <w:ilvl w:val="0"/>
          <w:numId w:val="8"/>
        </w:numPr>
        <w:jc w:val="both"/>
        <w:rPr>
          <w:rFonts w:ascii="Arial" w:hAnsi="Arial" w:cs="Arial"/>
          <w:sz w:val="20"/>
          <w:szCs w:val="20"/>
        </w:rPr>
      </w:pPr>
      <w:r>
        <w:rPr>
          <w:rFonts w:ascii="Arial" w:hAnsi="Arial"/>
          <w:sz w:val="20"/>
          <w:szCs w:val="20"/>
        </w:rPr>
        <w:t xml:space="preserve">behövliga ändringar av teknisk karaktär i högskoleuppfinningslagen, vilka orsakats av ändringar av universitetslagen, yrkeshögskolelagen och lagen om Finlands Akademi, och </w:t>
      </w:r>
    </w:p>
    <w:p w14:paraId="035B490B" w14:textId="77777777" w:rsidR="00761CEA" w:rsidRPr="00B70E62" w:rsidRDefault="00761CEA" w:rsidP="00761CEA">
      <w:pPr>
        <w:pStyle w:val="Luettelokappale"/>
        <w:numPr>
          <w:ilvl w:val="0"/>
          <w:numId w:val="8"/>
        </w:numPr>
        <w:jc w:val="both"/>
        <w:rPr>
          <w:rFonts w:ascii="Arial" w:hAnsi="Arial" w:cs="Arial"/>
          <w:sz w:val="20"/>
          <w:szCs w:val="20"/>
        </w:rPr>
      </w:pPr>
      <w:r>
        <w:rPr>
          <w:rFonts w:ascii="Arial" w:hAnsi="Arial"/>
          <w:sz w:val="20"/>
          <w:szCs w:val="20"/>
        </w:rPr>
        <w:t>genomgång av bestämmelserna om rättigheter till datorprogram och databaser samt eventuellt infogande av dem i högskoleuppfinningslagen.</w:t>
      </w:r>
    </w:p>
    <w:p w14:paraId="600DCE83" w14:textId="77777777" w:rsidR="00761CEA" w:rsidRPr="00B70E62" w:rsidRDefault="00761CEA" w:rsidP="00761CEA">
      <w:pPr>
        <w:jc w:val="both"/>
        <w:rPr>
          <w:rFonts w:ascii="Arial" w:hAnsi="Arial" w:cs="Arial"/>
          <w:sz w:val="20"/>
          <w:szCs w:val="20"/>
        </w:rPr>
      </w:pPr>
      <w:r>
        <w:rPr>
          <w:rFonts w:ascii="Arial" w:hAnsi="Arial"/>
          <w:sz w:val="20"/>
          <w:szCs w:val="20"/>
        </w:rPr>
        <w:t xml:space="preserve">Utgångspunkten för denna regeringsproposition är att säkerställa att högskoleuppfinningslagen är ajour och fungerar i den nuvarande verksamhetsmiljön samt att universitetens autonomi verkställs liksom att deras forskningsresultat offentliggörs fritt. Det föreslås inte någon omfattande fullständig revidering, eftersom lagen stiftades för endast tio år sedan och man ännu inte helt känner till revideringens konsekvenser på lång sikt. Arbetsgruppen anser att en revidering av lagen inte ensam är svaret på den utmaning som uppstår i högskolorna när det gäller att utnyttja kunskaper och forskningsresultat, utan att man vid sidan av revideringen ska utveckla det anknytande innovations- och kommersialiseringskunnandet samt de tjänsteprocesser som stöder kunnandet. </w:t>
      </w:r>
    </w:p>
    <w:p w14:paraId="4E7944DC" w14:textId="59AAE9EE" w:rsidR="0095627D" w:rsidRPr="00B70E62" w:rsidRDefault="0095627D" w:rsidP="00F870B1">
      <w:pPr>
        <w:pStyle w:val="Luettelokappale"/>
        <w:numPr>
          <w:ilvl w:val="0"/>
          <w:numId w:val="19"/>
        </w:numPr>
        <w:rPr>
          <w:rFonts w:ascii="Arial" w:hAnsi="Arial" w:cs="Arial"/>
          <w:sz w:val="20"/>
          <w:szCs w:val="20"/>
        </w:rPr>
      </w:pPr>
      <w:r>
        <w:rPr>
          <w:rFonts w:ascii="Arial" w:hAnsi="Arial"/>
          <w:sz w:val="20"/>
          <w:szCs w:val="20"/>
        </w:rPr>
        <w:t xml:space="preserve">Internationell jämförelse </w:t>
      </w:r>
    </w:p>
    <w:p w14:paraId="0CDD488C" w14:textId="70C9BB81" w:rsidR="0095627D" w:rsidRPr="00B70E62" w:rsidRDefault="0095627D" w:rsidP="0095627D">
      <w:pPr>
        <w:pStyle w:val="Luettelokappale"/>
        <w:ind w:left="400"/>
        <w:rPr>
          <w:rFonts w:ascii="Arial" w:hAnsi="Arial" w:cs="Arial"/>
          <w:sz w:val="20"/>
          <w:szCs w:val="20"/>
        </w:rPr>
      </w:pPr>
    </w:p>
    <w:p w14:paraId="1CBAD8AB" w14:textId="0752625B" w:rsidR="00325934" w:rsidRPr="00B70E62" w:rsidRDefault="00A8053D" w:rsidP="0095627D">
      <w:pPr>
        <w:pStyle w:val="Luettelokappale"/>
        <w:numPr>
          <w:ilvl w:val="1"/>
          <w:numId w:val="19"/>
        </w:numPr>
        <w:jc w:val="both"/>
        <w:rPr>
          <w:rFonts w:ascii="Arial" w:hAnsi="Arial" w:cs="Arial"/>
          <w:sz w:val="20"/>
          <w:szCs w:val="20"/>
        </w:rPr>
      </w:pPr>
      <w:r>
        <w:rPr>
          <w:rFonts w:ascii="Arial" w:hAnsi="Arial"/>
          <w:sz w:val="20"/>
          <w:szCs w:val="20"/>
        </w:rPr>
        <w:t>De nordiska länderna</w:t>
      </w:r>
    </w:p>
    <w:p w14:paraId="54AF4EA9" w14:textId="356056A8" w:rsidR="008C7369" w:rsidRPr="00B70E62" w:rsidRDefault="008C7369">
      <w:pPr>
        <w:contextualSpacing/>
        <w:jc w:val="both"/>
        <w:rPr>
          <w:rFonts w:ascii="Arial" w:hAnsi="Arial" w:cs="Arial"/>
          <w:sz w:val="20"/>
          <w:szCs w:val="20"/>
        </w:rPr>
      </w:pPr>
      <w:r>
        <w:rPr>
          <w:rFonts w:ascii="Arial" w:hAnsi="Arial"/>
          <w:sz w:val="20"/>
          <w:szCs w:val="20"/>
        </w:rPr>
        <w:t>I regeringens proposition 259/2004 ingår en internationell jämförelse, som i huvudsak fortfarande är aktuell. Det kan anses att den huvudsakliga modellen är att rättigheterna hör till högskolorna, även om de i OECD:s medlemsstater hör till uppfinnaren. Det tillämpas också modeller som är blandningar, vilket Finlands modell är. I Tyskland och de nordiska länderna gäller parallellt med uppfinningslagen speciallagstiftning om universitetsuppfinningar.</w:t>
      </w:r>
    </w:p>
    <w:p w14:paraId="646994C4" w14:textId="77777777" w:rsidR="000C6D08" w:rsidRPr="00B70E62" w:rsidRDefault="000C6D08">
      <w:pPr>
        <w:contextualSpacing/>
        <w:jc w:val="both"/>
        <w:rPr>
          <w:rFonts w:ascii="Arial" w:hAnsi="Arial" w:cs="Arial"/>
          <w:sz w:val="20"/>
          <w:szCs w:val="20"/>
        </w:rPr>
      </w:pPr>
    </w:p>
    <w:p w14:paraId="417D0835" w14:textId="7F6948BE" w:rsidR="000C6D08" w:rsidRPr="00B70E62" w:rsidRDefault="000C6D08">
      <w:pPr>
        <w:contextualSpacing/>
        <w:jc w:val="both"/>
        <w:rPr>
          <w:rFonts w:ascii="Arial" w:hAnsi="Arial" w:cs="Arial"/>
          <w:sz w:val="20"/>
          <w:szCs w:val="20"/>
        </w:rPr>
      </w:pPr>
      <w:r>
        <w:rPr>
          <w:rFonts w:ascii="Arial" w:hAnsi="Arial"/>
          <w:sz w:val="20"/>
          <w:szCs w:val="20"/>
        </w:rPr>
        <w:t xml:space="preserve">Enligt lagen om rätten till arbetstagares uppfinningar (1949:345) i Sverige ägs de uppfinningar som har tillkommit i samband med anställningen av arbetsgivaren, om de förutsättningar som föreskrivs i lagen uppfylls (3 §). Enligt 1 § 2 mom. kan lärare vid universitet, högskolor eller andra inrättningar som tillhör </w:t>
      </w:r>
      <w:r>
        <w:rPr>
          <w:rFonts w:ascii="Arial" w:hAnsi="Arial"/>
          <w:sz w:val="20"/>
          <w:szCs w:val="20"/>
        </w:rPr>
        <w:lastRenderedPageBreak/>
        <w:t>undervisningsväsendet dock inte anses såsom arbetstagare enligt lagen i fråga. Sådana lärare vid Försvarsmaktens skolor som är yrkesofficierar utgör ett undantag. Sveriges lag om rätt till arbetstagares uppfinningar har varit förebild för Finlands uppfinningslag.</w:t>
      </w:r>
    </w:p>
    <w:p w14:paraId="74B0AD65" w14:textId="77777777" w:rsidR="00640430" w:rsidRPr="00B70E62" w:rsidRDefault="00640430">
      <w:pPr>
        <w:contextualSpacing/>
        <w:jc w:val="both"/>
        <w:rPr>
          <w:rFonts w:ascii="Arial" w:hAnsi="Arial" w:cs="Arial"/>
          <w:sz w:val="20"/>
          <w:szCs w:val="20"/>
        </w:rPr>
      </w:pPr>
    </w:p>
    <w:p w14:paraId="38F8FB38" w14:textId="77777777" w:rsidR="00640430" w:rsidRPr="00B70E62" w:rsidRDefault="004560F1">
      <w:pPr>
        <w:contextualSpacing/>
        <w:jc w:val="both"/>
        <w:rPr>
          <w:rFonts w:ascii="Arial" w:hAnsi="Arial" w:cs="Arial"/>
          <w:sz w:val="20"/>
          <w:szCs w:val="20"/>
        </w:rPr>
      </w:pPr>
      <w:r>
        <w:rPr>
          <w:rFonts w:ascii="Arial" w:hAnsi="Arial"/>
          <w:sz w:val="20"/>
          <w:szCs w:val="20"/>
        </w:rPr>
        <w:t>Exempelvis exemplet på hur Karolinska Institutet Innovations har ordnat kommersialiseringen visar att också ett uppfinnarprioriterat system kan producera effektiv kommersialisering. Karolinska Institutet Innovations har utnyttjat lagstiftningen i Sverige också så att det även kommersialiserar uppfinningar som kommit till i forskning vid andra universitet. När uppfinnaren äger patenteringsrätten till uppfinningen, kan uppfinnaren överföra kommersialiseringsuppgiften till exempel till kommersialiseringsenheten vid Karolinska Institutet.</w:t>
      </w:r>
    </w:p>
    <w:p w14:paraId="42CA732D" w14:textId="77777777" w:rsidR="000C6D08" w:rsidRPr="00B70E62" w:rsidRDefault="000C6D08">
      <w:pPr>
        <w:contextualSpacing/>
        <w:jc w:val="both"/>
        <w:rPr>
          <w:rFonts w:ascii="Arial" w:hAnsi="Arial" w:cs="Arial"/>
          <w:sz w:val="20"/>
          <w:szCs w:val="20"/>
        </w:rPr>
      </w:pPr>
    </w:p>
    <w:p w14:paraId="6BB16B66" w14:textId="6E108830" w:rsidR="00E602BA" w:rsidRPr="00B70E62" w:rsidRDefault="00F96D01">
      <w:pPr>
        <w:contextualSpacing/>
        <w:jc w:val="both"/>
        <w:rPr>
          <w:rFonts w:ascii="Arial" w:hAnsi="Arial" w:cs="Arial"/>
          <w:sz w:val="20"/>
          <w:szCs w:val="20"/>
        </w:rPr>
      </w:pPr>
      <w:r>
        <w:rPr>
          <w:rFonts w:ascii="Arial" w:hAnsi="Arial"/>
          <w:sz w:val="20"/>
          <w:szCs w:val="20"/>
        </w:rPr>
        <w:t>I Danmark finns Lov om opfindelser ved offentlige forskningsinstitutioner (347/1999), som är en speciallag om forskarnas rättigheter. Lagen gäller uppfinningar som kommit till i ett anställningsförhållande till en institution (§ 1 st. 1) och utnyttjandet av kommersiella rättigheter till uppfinningarna (§ 1 st. 2). Med institution avses sådana universitet, sektorforskningsinstitutioner, offentliga sjukhus och forskningsinstitutioner för psykisk hälsa som avses i universitetslagen samt Danmarks och Grönlands geologiska forskningsinstitution.</w:t>
      </w:r>
    </w:p>
    <w:p w14:paraId="10721108" w14:textId="77777777" w:rsidR="002765A3" w:rsidRPr="00B70E62" w:rsidRDefault="002765A3">
      <w:pPr>
        <w:contextualSpacing/>
        <w:jc w:val="both"/>
        <w:rPr>
          <w:rFonts w:ascii="Arial" w:hAnsi="Arial" w:cs="Arial"/>
          <w:sz w:val="20"/>
          <w:szCs w:val="20"/>
        </w:rPr>
      </w:pPr>
    </w:p>
    <w:p w14:paraId="030425D2" w14:textId="5E3EA1CE" w:rsidR="000E0A4D" w:rsidRPr="00B70E62" w:rsidRDefault="002765A3">
      <w:pPr>
        <w:contextualSpacing/>
        <w:jc w:val="both"/>
        <w:rPr>
          <w:rFonts w:ascii="Arial" w:hAnsi="Arial" w:cs="Arial"/>
          <w:sz w:val="20"/>
          <w:szCs w:val="20"/>
        </w:rPr>
      </w:pPr>
      <w:r>
        <w:rPr>
          <w:rFonts w:ascii="Arial" w:hAnsi="Arial"/>
          <w:sz w:val="20"/>
          <w:szCs w:val="20"/>
        </w:rPr>
        <w:t>Utgångspunkten är att arbetstagaren har rätt till en uppfinning som kommit till vid institutioner (§ 7). Institutionen kan dock kräva att rätten överförs till institutionen (§ 8). Institutionens rätt omfattar också en uppfinning som kommit till i en forskningsgrupp (§ 8 st. 2). Om flera institutioner deltar i samarbetet, kommer dessa sinsemellan överens om rättigheterna (§ 8 st. 3). Om forskningsprojektet får extern finansiering, kan institutionen komma överens på både sin egen och uppfinnarens vägnar om att delvis eller helt överlåta rättigheten till uppfinningen (§ 9). Uppfinnaren har anmälningsplikt i fråga om uppfinningar som kommer till i anställningsförhållandet (§ 10) och institutionen har två månader tid på sig att reagera på anmälan (§ 11). Om rättigheten har övergått till institutionen, har uppfinnaren rätt till skälig ersättning (§ 12).</w:t>
      </w:r>
    </w:p>
    <w:p w14:paraId="512B8875" w14:textId="77777777" w:rsidR="00A019E2" w:rsidRPr="00B70E62" w:rsidRDefault="00A019E2">
      <w:pPr>
        <w:contextualSpacing/>
        <w:jc w:val="both"/>
        <w:rPr>
          <w:rFonts w:ascii="Arial" w:hAnsi="Arial" w:cs="Arial"/>
          <w:sz w:val="20"/>
          <w:szCs w:val="20"/>
        </w:rPr>
      </w:pPr>
    </w:p>
    <w:p w14:paraId="0E1EDFEE" w14:textId="2BF658F4" w:rsidR="00A019E2" w:rsidRPr="00B70E62" w:rsidRDefault="00A019E2">
      <w:pPr>
        <w:contextualSpacing/>
        <w:jc w:val="both"/>
        <w:rPr>
          <w:rFonts w:ascii="Arial" w:hAnsi="Arial" w:cs="Arial"/>
          <w:sz w:val="20"/>
          <w:szCs w:val="20"/>
        </w:rPr>
      </w:pPr>
      <w:r>
        <w:rPr>
          <w:rFonts w:ascii="Arial" w:hAnsi="Arial"/>
          <w:sz w:val="20"/>
          <w:szCs w:val="20"/>
        </w:rPr>
        <w:t>Lagstiftningen i Danmark skiljer sig från lagstiftningen i Finland främst såtillvida att om uppfinnaren kommersialiserar en uppfinning som kommit till vid en institution, har institutionen rätt till skälig ersättning för detta (§ 12 st. 2).</w:t>
      </w:r>
    </w:p>
    <w:p w14:paraId="51815566" w14:textId="77777777" w:rsidR="000E0A4D" w:rsidRPr="00B70E62" w:rsidRDefault="000E0A4D">
      <w:pPr>
        <w:contextualSpacing/>
        <w:jc w:val="both"/>
        <w:rPr>
          <w:rFonts w:ascii="Arial" w:hAnsi="Arial" w:cs="Arial"/>
          <w:sz w:val="20"/>
          <w:szCs w:val="20"/>
        </w:rPr>
      </w:pPr>
    </w:p>
    <w:p w14:paraId="69B5FCC6" w14:textId="0F1FD961" w:rsidR="002765A3" w:rsidRPr="00B70E62" w:rsidRDefault="004160E5">
      <w:pPr>
        <w:contextualSpacing/>
        <w:jc w:val="both"/>
        <w:rPr>
          <w:rFonts w:ascii="Arial" w:hAnsi="Arial" w:cs="Arial"/>
          <w:sz w:val="20"/>
          <w:szCs w:val="20"/>
        </w:rPr>
      </w:pPr>
      <w:r>
        <w:rPr>
          <w:rFonts w:ascii="Arial" w:hAnsi="Arial"/>
          <w:sz w:val="20"/>
          <w:szCs w:val="20"/>
        </w:rPr>
        <w:t>Huvudregeln i Norges Lov om retten til oppfinnelser som er gjort av arbeidstakere (1970) är att man utgår från avtal, men regeln gäller dock inte uppfinnarens rätt till skälig ersättning (§ 7, 9 och 10). Till övriga delar kan lagen bara tillämpas om inte något annat har avtalats. Utgångspunkten är att uppfinnaren innehar rättigheten till uppfinningen (§ 3). En uppfinning som kommit till vid utförande av arbetsuppgifter eller av order som arbetsgivaren gett kan överföras till arbetsgivaren under förutsättning att forsknings- och uppfinningsverksamhet ingår i arbetstagarens arbetsuppgifter (§ 4). Uppfinnaren har anmälningsplikt (§ 5). Forskningsinstitutionen har fyra månader tid att anmäla överföringen av rättigheter (§ 6).</w:t>
      </w:r>
    </w:p>
    <w:p w14:paraId="2B576110" w14:textId="2A932465" w:rsidR="00B517A3" w:rsidRPr="00B70E62" w:rsidRDefault="00B517A3" w:rsidP="00DC15B0">
      <w:pPr>
        <w:pStyle w:val="Luettelokappale"/>
        <w:numPr>
          <w:ilvl w:val="1"/>
          <w:numId w:val="19"/>
        </w:numPr>
        <w:jc w:val="both"/>
        <w:rPr>
          <w:rFonts w:ascii="Arial" w:hAnsi="Arial" w:cs="Arial"/>
          <w:sz w:val="20"/>
          <w:szCs w:val="20"/>
        </w:rPr>
      </w:pPr>
      <w:r>
        <w:rPr>
          <w:rFonts w:ascii="Arial" w:hAnsi="Arial"/>
          <w:sz w:val="20"/>
          <w:szCs w:val="20"/>
        </w:rPr>
        <w:t>Förenta staternas Bayh-Dole Act 1980</w:t>
      </w:r>
    </w:p>
    <w:p w14:paraId="1AEEB39A" w14:textId="77777777" w:rsidR="00B517A3" w:rsidRPr="00B70E62" w:rsidRDefault="00B517A3">
      <w:pPr>
        <w:contextualSpacing/>
        <w:jc w:val="both"/>
        <w:rPr>
          <w:rFonts w:ascii="Arial" w:hAnsi="Arial" w:cs="Arial"/>
          <w:sz w:val="20"/>
          <w:szCs w:val="20"/>
        </w:rPr>
      </w:pPr>
      <w:r>
        <w:rPr>
          <w:rFonts w:ascii="Arial" w:hAnsi="Arial"/>
          <w:sz w:val="20"/>
          <w:szCs w:val="20"/>
        </w:rPr>
        <w:t>Förenta staternas reglering bygger på Bayh-Dole Act, genom vilken bestämmelserna om högskoleuppfinningar reviderades. De uppfinningar som ursprungligen kommit till vid universitet övergick i förbundsstatens ägo, om den finansierat forskningsverksamheten, men utnyttjandet av uppfinningarna blev ineffektivt. Genom Bayh-Dole Act överfördes kommersialiseringen och också ägandet av uppfinningarna till universiteten, för vilka det skapades förutsättningar och incitament att kommersialisera universitetsuppfinningar. Enligt tänkesättet i Förenta staterna räknas vid sidan av utarbetandet av vetenskapliga artiklar också spridningen av informationsbaserade applikationer såsom produkter eller tjänster till spridningen av vetenskaplig information. De ledande universiteten i Förenta staterna har därför satsat stort på tekniköverföring (technology transfer).</w:t>
      </w:r>
    </w:p>
    <w:p w14:paraId="526CE7E5" w14:textId="77777777" w:rsidR="0087515B" w:rsidRPr="00B70E62" w:rsidRDefault="0087515B">
      <w:pPr>
        <w:contextualSpacing/>
        <w:jc w:val="both"/>
        <w:rPr>
          <w:rFonts w:ascii="Arial" w:hAnsi="Arial" w:cs="Arial"/>
          <w:sz w:val="20"/>
          <w:szCs w:val="20"/>
        </w:rPr>
      </w:pPr>
    </w:p>
    <w:p w14:paraId="37092AF0" w14:textId="77777777" w:rsidR="0087515B" w:rsidRPr="00B70E62" w:rsidRDefault="0087515B">
      <w:pPr>
        <w:contextualSpacing/>
        <w:jc w:val="both"/>
        <w:rPr>
          <w:rFonts w:ascii="Arial" w:hAnsi="Arial" w:cs="Arial"/>
          <w:sz w:val="20"/>
          <w:szCs w:val="20"/>
        </w:rPr>
      </w:pPr>
      <w:r>
        <w:rPr>
          <w:rFonts w:ascii="Arial" w:hAnsi="Arial"/>
          <w:sz w:val="20"/>
          <w:szCs w:val="20"/>
        </w:rPr>
        <w:lastRenderedPageBreak/>
        <w:t>I Förenta staternas system finns också kategorin ”incidental invention” där uppfinningen inte direkt anknyter till universitetets forskning. Då får universitetet närmast forsknings- och undervisningsrelaterade användarrättigheter. I universitetens praktiska anvisningar ingår tre huvudsakliga modeller för kommersialisering, dvs. fullständig försäljning av uppfinningen (patentet), licensering av uppfinningen för industriell användning och placering av patentet som apport i ett företag som kommer att bildas (start-up).</w:t>
      </w:r>
    </w:p>
    <w:p w14:paraId="75C0FE7E" w14:textId="77777777" w:rsidR="00420607" w:rsidRPr="00B70E62" w:rsidRDefault="00420607">
      <w:pPr>
        <w:contextualSpacing/>
        <w:jc w:val="both"/>
        <w:rPr>
          <w:rFonts w:ascii="Arial" w:hAnsi="Arial" w:cs="Arial"/>
          <w:sz w:val="20"/>
          <w:szCs w:val="20"/>
        </w:rPr>
      </w:pPr>
    </w:p>
    <w:p w14:paraId="07F028A7" w14:textId="77777777" w:rsidR="00420607" w:rsidRPr="00B70E62" w:rsidRDefault="00420607">
      <w:pPr>
        <w:contextualSpacing/>
        <w:jc w:val="both"/>
        <w:rPr>
          <w:rFonts w:ascii="Arial" w:hAnsi="Arial" w:cs="Arial"/>
          <w:sz w:val="20"/>
          <w:szCs w:val="20"/>
        </w:rPr>
      </w:pPr>
      <w:r>
        <w:rPr>
          <w:rFonts w:ascii="Arial" w:hAnsi="Arial"/>
          <w:sz w:val="20"/>
          <w:szCs w:val="20"/>
        </w:rPr>
        <w:t>Ett särdrag i Förenta staternas patentlagstiftning är de s.k. grace period-bestämmelserna, när uppfinnaren har ett år tid på sig att ansöka om patent efter offentliggörandet. Detta minskar betydligt de spänningar som hänger samman med patenteringen, eftersom ett vetenskapligt offentliggörande till skillnad från i Europa inte i begynnelseskedet leder till att uppfinningen inte längre kan patenteras.</w:t>
      </w:r>
    </w:p>
    <w:p w14:paraId="74E73B2D" w14:textId="4014C517" w:rsidR="006669CF" w:rsidRPr="00B70E62" w:rsidRDefault="004A67E4" w:rsidP="00F870B1">
      <w:pPr>
        <w:pStyle w:val="Luettelokappale"/>
        <w:numPr>
          <w:ilvl w:val="1"/>
          <w:numId w:val="19"/>
        </w:numPr>
        <w:jc w:val="both"/>
        <w:rPr>
          <w:rFonts w:ascii="Arial" w:hAnsi="Arial" w:cs="Arial"/>
          <w:sz w:val="20"/>
          <w:szCs w:val="20"/>
        </w:rPr>
      </w:pPr>
      <w:r>
        <w:rPr>
          <w:rFonts w:ascii="Arial" w:hAnsi="Arial"/>
          <w:sz w:val="20"/>
          <w:szCs w:val="20"/>
        </w:rPr>
        <w:t>Kommersialiseringsåtgärder i olika länder</w:t>
      </w:r>
    </w:p>
    <w:p w14:paraId="63621A32" w14:textId="77777777" w:rsidR="004A67E4" w:rsidRPr="00B70E62" w:rsidRDefault="004A67E4">
      <w:pPr>
        <w:contextualSpacing/>
        <w:jc w:val="both"/>
        <w:rPr>
          <w:rFonts w:ascii="Arial" w:hAnsi="Arial" w:cs="Arial"/>
          <w:sz w:val="20"/>
          <w:szCs w:val="20"/>
        </w:rPr>
      </w:pPr>
      <w:r>
        <w:rPr>
          <w:rFonts w:ascii="Arial" w:hAnsi="Arial"/>
          <w:sz w:val="20"/>
          <w:szCs w:val="20"/>
        </w:rPr>
        <w:t>I en undersökning som publicerades 2014 utreder OECD kommersialisering av universitetsforskning i olika medlemsstater.</w:t>
      </w:r>
    </w:p>
    <w:p w14:paraId="4593C97B" w14:textId="77777777" w:rsidR="004A67E4" w:rsidRPr="00B70E62" w:rsidRDefault="004A67E4">
      <w:pPr>
        <w:contextualSpacing/>
        <w:jc w:val="both"/>
        <w:rPr>
          <w:rFonts w:ascii="Arial" w:hAnsi="Arial" w:cs="Arial"/>
          <w:sz w:val="20"/>
          <w:szCs w:val="20"/>
        </w:rPr>
      </w:pPr>
    </w:p>
    <w:p w14:paraId="51A53AF1" w14:textId="02ED9D75" w:rsidR="004A67E4" w:rsidRPr="00B70E62" w:rsidRDefault="004A67E4">
      <w:pPr>
        <w:contextualSpacing/>
        <w:jc w:val="both"/>
        <w:rPr>
          <w:rFonts w:ascii="Arial" w:hAnsi="Arial" w:cs="Arial"/>
          <w:sz w:val="20"/>
          <w:szCs w:val="20"/>
        </w:rPr>
      </w:pPr>
      <w:r>
        <w:rPr>
          <w:rFonts w:ascii="Arial" w:hAnsi="Arial"/>
          <w:sz w:val="20"/>
          <w:szCs w:val="20"/>
        </w:rPr>
        <w:t>I Österrike bereds åtgärder för inrättande av överföringscentrum (knowledge transfer centres). I Flandern i Belgien pågår projektet TETRA, vars mål är att främja prototyper och försök bland små och medelstora företag. I Tjeckien har man på senare tid satsat på verksamhetsförutsättningarna för överföringscentrum genom att inrätta fler i anslutning till forskningsinstitut och utveckla finansieringen för inledningsskedet. Dessutom har man inrättat vetenskapscentrum för spridning och popularisering av vetenskaplig information. I Frankrike har man bildat regionala bolag som är specialiserade på tekniköverföring. I Israel har det skapats incitament för bildande av aktiebolag som är specialiserade på privata aktiebolags tekniköverföring. I Mexiko inrättas centrum som är specialiserade på tekniköverföring, och man har även utvecklat konsulthjälp för förädling av teknik som utvecklats av små och medelstora företag. I Turkiet pågår ett stödprogram för 1 513 byråer med tekniköverföring som specialitet. I flera länder (t.ex. Storbritannien, Tyskland och Danmark) har det för att minska antalet rättstvister om tolkning satsats på att utarbeta och använda avtalsmallar för tekniköverföring.</w:t>
      </w:r>
    </w:p>
    <w:p w14:paraId="0E7CBCEF" w14:textId="719853A8" w:rsidR="000C6D08" w:rsidRPr="00B70E62" w:rsidRDefault="004D2955" w:rsidP="004D2955">
      <w:pPr>
        <w:pStyle w:val="Luettelokappale"/>
        <w:numPr>
          <w:ilvl w:val="1"/>
          <w:numId w:val="19"/>
        </w:numPr>
        <w:jc w:val="both"/>
        <w:rPr>
          <w:rFonts w:ascii="Arial" w:hAnsi="Arial" w:cs="Arial"/>
          <w:sz w:val="20"/>
          <w:szCs w:val="20"/>
        </w:rPr>
      </w:pPr>
      <w:r>
        <w:rPr>
          <w:rFonts w:ascii="Arial" w:hAnsi="Arial"/>
          <w:sz w:val="20"/>
          <w:szCs w:val="20"/>
        </w:rPr>
        <w:t>Europeiska kommissionens rekommendation</w:t>
      </w:r>
    </w:p>
    <w:p w14:paraId="6268DF95" w14:textId="7C1DDDAF" w:rsidR="008C7369" w:rsidRPr="00B70E62" w:rsidRDefault="006B508B">
      <w:pPr>
        <w:contextualSpacing/>
        <w:jc w:val="both"/>
        <w:rPr>
          <w:rFonts w:ascii="Arial" w:hAnsi="Arial" w:cs="Arial"/>
          <w:sz w:val="20"/>
          <w:szCs w:val="20"/>
        </w:rPr>
      </w:pPr>
      <w:r>
        <w:rPr>
          <w:rFonts w:ascii="Arial" w:hAnsi="Arial"/>
          <w:sz w:val="20"/>
          <w:szCs w:val="20"/>
        </w:rPr>
        <w:t>I april 2008 antogs kommissionens rekommendation om förvaltningen av immateriella rättigheter i samband med kunskapsöverföring och en uppförandekod för universitet och andra offentliga forskningsorganisationer (K(2008) 1329). Enligt kommissionens rekommendation ska medlemsstaterna se till att kunskapsöverföring har fastställts som ett strategiskt uppdrag i offentliga forskningsorganisationer och uppmuntra dem att utarbeta förfaranden och anvisningar för förvaltningen av immateriella rättigheter. Medlemsstaterna ska främja att praxis för ägande av immateriella rättigheter harmoniseras, så att gränsöverskridande samarbete underlättas och kunskapsöverföring främjas. En uppförandekod för universitet och andra offentliga forskningsorganisationer om förvaltningen av immateriella rättigheter i samband med kunskapsöverföring har bifogats till kommissionens rekommendation. I uppförandekoden anges de principer som dessa organisationer ska tillämpa på intern förvaltning av immateriella rättigheter, förfaranden för kunskapsöverföring samt forskningssamverkan och avtalsforskning.</w:t>
      </w:r>
    </w:p>
    <w:p w14:paraId="5403D7B5" w14:textId="7BD2D9CF" w:rsidR="00786F24" w:rsidRPr="00B70E62" w:rsidRDefault="00E47FD7" w:rsidP="00DC15B0">
      <w:pPr>
        <w:pStyle w:val="Luettelokappale"/>
        <w:numPr>
          <w:ilvl w:val="0"/>
          <w:numId w:val="19"/>
        </w:numPr>
        <w:rPr>
          <w:rFonts w:ascii="Arial" w:hAnsi="Arial" w:cs="Arial"/>
          <w:sz w:val="20"/>
          <w:szCs w:val="20"/>
        </w:rPr>
      </w:pPr>
      <w:r>
        <w:rPr>
          <w:rFonts w:ascii="Arial" w:hAnsi="Arial"/>
          <w:sz w:val="20"/>
          <w:szCs w:val="20"/>
        </w:rPr>
        <w:t>Målsättning och de viktigaste förslagen</w:t>
      </w:r>
    </w:p>
    <w:p w14:paraId="32771318" w14:textId="77777777" w:rsidR="00D9598B" w:rsidRPr="00B70E62" w:rsidRDefault="00D9598B">
      <w:pPr>
        <w:jc w:val="both"/>
        <w:rPr>
          <w:rFonts w:ascii="Arial" w:hAnsi="Arial" w:cs="Arial"/>
          <w:sz w:val="20"/>
          <w:szCs w:val="20"/>
        </w:rPr>
      </w:pPr>
      <w:r>
        <w:rPr>
          <w:rFonts w:ascii="Arial" w:hAnsi="Arial"/>
          <w:sz w:val="20"/>
          <w:szCs w:val="20"/>
        </w:rPr>
        <w:t xml:space="preserve">Syftet med att revidera högskoleuppfinningslagen är att stödja målet i regeringens spetsprojekt </w:t>
      </w:r>
      <w:r>
        <w:rPr>
          <w:rFonts w:ascii="Arial" w:hAnsi="Arial"/>
          <w:i/>
          <w:iCs/>
          <w:sz w:val="20"/>
          <w:szCs w:val="20"/>
        </w:rPr>
        <w:t>Kompetens och utbildning</w:t>
      </w:r>
      <w:r>
        <w:rPr>
          <w:rFonts w:ascii="Arial" w:hAnsi="Arial"/>
          <w:sz w:val="20"/>
          <w:szCs w:val="20"/>
        </w:rPr>
        <w:t xml:space="preserve"> att stärka såväl samarbetet mellan högskolor och näringsliv som utnyttjandet av forskningsresultat i syfte att åstadkomma innovationer och kommersialisering av dem.</w:t>
      </w:r>
    </w:p>
    <w:p w14:paraId="1D245F7B" w14:textId="77777777" w:rsidR="00D9598B" w:rsidRPr="00B70E62" w:rsidRDefault="00D9598B">
      <w:pPr>
        <w:jc w:val="both"/>
        <w:rPr>
          <w:rFonts w:ascii="Arial" w:hAnsi="Arial" w:cs="Arial"/>
          <w:sz w:val="20"/>
          <w:szCs w:val="20"/>
        </w:rPr>
      </w:pPr>
      <w:r>
        <w:rPr>
          <w:rFonts w:ascii="Arial" w:hAnsi="Arial"/>
          <w:sz w:val="20"/>
          <w:szCs w:val="20"/>
        </w:rPr>
        <w:t xml:space="preserve">Arbetsgruppen har granskat behovet av att revidera lagen särskilt med hänsyn till effektivisering av kommersialiseringen av de uppfinningar som kommer till i högskolor. Arbetsgruppen anser att kommersialiseringen av uppfinningar inte enbart kan lösas genom en lagändring, utan att man parallellt </w:t>
      </w:r>
      <w:r>
        <w:rPr>
          <w:rFonts w:ascii="Arial" w:hAnsi="Arial"/>
          <w:sz w:val="20"/>
          <w:szCs w:val="20"/>
        </w:rPr>
        <w:lastRenderedPageBreak/>
        <w:t>måste utveckla högskolornas gemensamma innovationsprocesser och innovationstjänster samt stärka högskolornas kunskaper om innovation på alla nivåer. Man kan dock förtydliga lagen och uppmuntra högskolorna att utveckla de avtalsrättsliga mekanismerna för överföring av rättigheter.</w:t>
      </w:r>
    </w:p>
    <w:p w14:paraId="176FAA68" w14:textId="08658C2D" w:rsidR="00C77D86" w:rsidRPr="00B70E62" w:rsidRDefault="00C77D86">
      <w:pPr>
        <w:spacing w:before="100" w:beforeAutospacing="1" w:after="100" w:afterAutospacing="1"/>
        <w:jc w:val="both"/>
        <w:rPr>
          <w:rFonts w:ascii="Arial" w:hAnsi="Arial" w:cs="Arial"/>
          <w:sz w:val="20"/>
          <w:szCs w:val="20"/>
        </w:rPr>
      </w:pPr>
      <w:r>
        <w:rPr>
          <w:rFonts w:ascii="Arial" w:hAnsi="Arial"/>
          <w:sz w:val="20"/>
          <w:szCs w:val="20"/>
        </w:rPr>
        <w:t>I denna regeringsproposition föreslås det att bestämmelserna i 6 § (Högskolans rätt till en uppfinning i öppen forskning) i högskoleuppfinningslagen ändras till dispositiva. Då är det främsta alternativet för en högskola och en forskare att parterna sinsemellan avtalar om överföringen av rättigheter. Om ingenting har avtalats om överföringen av rättigheter ska paragrafens gällande bestämmelser tillämpas.</w:t>
      </w:r>
    </w:p>
    <w:p w14:paraId="31E91E84" w14:textId="77777777" w:rsidR="00C77D86" w:rsidRPr="00B70E62" w:rsidRDefault="00C77D86">
      <w:pPr>
        <w:spacing w:before="100" w:beforeAutospacing="1" w:after="100" w:afterAutospacing="1"/>
        <w:jc w:val="both"/>
        <w:rPr>
          <w:rFonts w:ascii="Arial" w:hAnsi="Arial" w:cs="Arial"/>
          <w:sz w:val="20"/>
          <w:szCs w:val="20"/>
        </w:rPr>
      </w:pPr>
      <w:r>
        <w:rPr>
          <w:rFonts w:ascii="Arial" w:hAnsi="Arial"/>
          <w:sz w:val="20"/>
          <w:szCs w:val="20"/>
        </w:rPr>
        <w:t xml:space="preserve">Ordalydelsen i paragrafen korrigeras så att den motsvarar det korrekta rättsliga slutresultatet, dvs. när ett avtal saknas är överföringen av rättigheter i praktiken beroende av forskarens viljeyttring. </w:t>
      </w:r>
    </w:p>
    <w:p w14:paraId="57447369" w14:textId="1F101873" w:rsidR="00E00F0C" w:rsidRPr="00B70E62" w:rsidRDefault="00E00F0C">
      <w:pPr>
        <w:contextualSpacing/>
        <w:jc w:val="both"/>
        <w:rPr>
          <w:rFonts w:ascii="Arial" w:hAnsi="Arial" w:cs="Arial"/>
          <w:sz w:val="20"/>
          <w:szCs w:val="20"/>
        </w:rPr>
      </w:pPr>
      <w:r>
        <w:rPr>
          <w:rFonts w:ascii="Arial" w:hAnsi="Arial"/>
          <w:sz w:val="20"/>
          <w:szCs w:val="20"/>
        </w:rPr>
        <w:t xml:space="preserve">Arbetsgruppen föreslår att högskoleuppfinningslagen i första hand revideras genom att precisera och komplettera den gällande lagen. Avsikten är att revideringen med hjälp av så många kanaler som möjligt ska stöda utnyttjandet av forskningsresultat och kunskaper.  </w:t>
      </w:r>
    </w:p>
    <w:p w14:paraId="780C6B97" w14:textId="77777777" w:rsidR="00E00F0C" w:rsidRPr="00B70E62" w:rsidRDefault="00E00F0C" w:rsidP="00DC15B0">
      <w:pPr>
        <w:contextualSpacing/>
        <w:jc w:val="both"/>
        <w:rPr>
          <w:rFonts w:ascii="Arial" w:hAnsi="Arial" w:cs="Arial"/>
          <w:sz w:val="20"/>
          <w:szCs w:val="20"/>
        </w:rPr>
      </w:pPr>
    </w:p>
    <w:p w14:paraId="0F888801" w14:textId="14C54F09" w:rsidR="00E00F0C" w:rsidRPr="00B70E62" w:rsidRDefault="00E00F0C">
      <w:pPr>
        <w:contextualSpacing/>
        <w:jc w:val="both"/>
        <w:rPr>
          <w:rFonts w:ascii="Arial" w:hAnsi="Arial" w:cs="Arial"/>
          <w:sz w:val="20"/>
          <w:szCs w:val="20"/>
        </w:rPr>
      </w:pPr>
      <w:r>
        <w:rPr>
          <w:rFonts w:ascii="Arial" w:hAnsi="Arial"/>
          <w:sz w:val="20"/>
          <w:szCs w:val="20"/>
        </w:rPr>
        <w:t>Arbetsgruppen har också bedömt det alternativ enligt vilket den allmänna uppfinningslagen ska tillämpas i högskolorna. Detta alternativ förutsätter betydande ändringar av uppfinningslagen, vilket skulle kräva mer omfattande beredning och att särskilt den arbetsrättsliga karaktären hos universitetsforskningen beaktas. Ändå skulle detta inte nödvändigtvis leda till en tydligare modell med tanke på helheten.</w:t>
      </w:r>
    </w:p>
    <w:p w14:paraId="03D6437E" w14:textId="77777777" w:rsidR="00E00F0C" w:rsidRPr="00B70E62" w:rsidRDefault="00E00F0C" w:rsidP="00DC15B0">
      <w:pPr>
        <w:contextualSpacing/>
        <w:jc w:val="both"/>
        <w:rPr>
          <w:rFonts w:ascii="Arial" w:hAnsi="Arial" w:cs="Arial"/>
          <w:sz w:val="20"/>
          <w:szCs w:val="20"/>
        </w:rPr>
      </w:pPr>
    </w:p>
    <w:p w14:paraId="4DE7E3EE" w14:textId="77777777" w:rsidR="00E00F0C" w:rsidRPr="00B70E62" w:rsidRDefault="00E00F0C">
      <w:pPr>
        <w:contextualSpacing/>
        <w:jc w:val="both"/>
        <w:rPr>
          <w:rFonts w:ascii="Arial" w:hAnsi="Arial" w:cs="Arial"/>
          <w:sz w:val="20"/>
          <w:szCs w:val="20"/>
        </w:rPr>
      </w:pPr>
      <w:r>
        <w:rPr>
          <w:rFonts w:ascii="Arial" w:hAnsi="Arial"/>
          <w:sz w:val="20"/>
          <w:szCs w:val="20"/>
        </w:rPr>
        <w:t>Uppfinningslagen har stiftats särskilt med tanke på företagens behov. I företagen är innehållet i arbetsgivarens direktionsrätt vedertaget och tydligt. Vid universiteten är situationen mer mångfacetterad. Vissa arbetstagare är underställda projektledarens direktionsrätt i noggrant fastställda forskningsprojekt, men särskilt i forskning som bedrivs med universitetets grundfinansiering är det också möjligt att forskaren har en självständig roll och att varken frågeställningen i forskningen eller de resultat som erhållits genom forskningen grundar sig på arbetsgivarens anvisningar eller order som arbetsledare. Eftersom det finns en speciallag om den uppfinningsverksamhet som sker vid högskolorna, är utgångspunkten att det är förståndigare att revidera den gällande lagen än att införliva bestämmelserna i fråga i uppfinningslagen.</w:t>
      </w:r>
    </w:p>
    <w:p w14:paraId="54201347" w14:textId="13D732F2" w:rsidR="00D9598B" w:rsidRPr="00B70E62" w:rsidRDefault="008F5B66">
      <w:pPr>
        <w:pStyle w:val="Luettelokappale"/>
        <w:ind w:left="0"/>
        <w:jc w:val="both"/>
        <w:rPr>
          <w:rFonts w:ascii="Arial" w:hAnsi="Arial" w:cs="Arial"/>
          <w:sz w:val="20"/>
          <w:szCs w:val="20"/>
        </w:rPr>
      </w:pPr>
      <w:r>
        <w:rPr>
          <w:rFonts w:ascii="Arial" w:hAnsi="Arial"/>
          <w:sz w:val="20"/>
          <w:szCs w:val="20"/>
        </w:rPr>
        <w:t>Dessutom görs vissa ändringar av teknisk karaktär med anledning av bland annat tidigare ändringar av universitetslagen, yrkeshögskolelagen och lagen om Finlands Akademi.</w:t>
      </w:r>
    </w:p>
    <w:p w14:paraId="6D906142" w14:textId="77777777" w:rsidR="00D9598B" w:rsidRPr="00B70E62" w:rsidRDefault="00D9598B">
      <w:pPr>
        <w:pStyle w:val="Luettelokappale"/>
        <w:ind w:left="0"/>
        <w:jc w:val="both"/>
        <w:rPr>
          <w:rFonts w:ascii="Arial" w:hAnsi="Arial" w:cs="Arial"/>
          <w:sz w:val="20"/>
          <w:szCs w:val="20"/>
        </w:rPr>
      </w:pPr>
    </w:p>
    <w:p w14:paraId="56F01258" w14:textId="06E8F970" w:rsidR="00D9598B" w:rsidRPr="00B70E62" w:rsidRDefault="008F5B66">
      <w:pPr>
        <w:pStyle w:val="Luettelokappale"/>
        <w:ind w:left="0"/>
        <w:jc w:val="both"/>
        <w:rPr>
          <w:rFonts w:ascii="Arial" w:hAnsi="Arial" w:cs="Arial"/>
          <w:sz w:val="20"/>
          <w:szCs w:val="20"/>
        </w:rPr>
      </w:pPr>
      <w:r>
        <w:rPr>
          <w:rFonts w:ascii="Arial" w:hAnsi="Arial"/>
          <w:sz w:val="20"/>
          <w:szCs w:val="20"/>
        </w:rPr>
        <w:t>Arbetsgruppen har utöver lagändringarna också föreslagit andra åtgärder för utveckling av kommersialiseringsåtgärder. Dessa är för det första att högskolorna och forskningsinstituten styrs till att inrätta och utveckla gemensamma enheter för forskning och innovationstjänster, vars kunskaper och tjänster kan utnyttjas på riksnivå. För det andra ska en omfattande utredning (ett utrednings- och forskningsprojekt) om antalet datorprogram som utvecklats vid högskolorna och deras betydelse samt utnyttjandemekanismerna inom högskolornas innovationsverksamhet inledas. Dessutom ska man utveckla ett informationsunderlag för kommersialisering av uppfinningar som kommer till i högskolorna och forskningsinstituten samt följa upp den internationella utvecklingen av specialfrågor när det gäller att skydda högskoleuppfinningar och särskilt följa upp grace period-mekanismens effekter på konkurrensen.</w:t>
      </w:r>
    </w:p>
    <w:p w14:paraId="3DBC8983" w14:textId="05CA295F" w:rsidR="00D9598B" w:rsidRPr="00B70E62" w:rsidRDefault="0065552B">
      <w:pPr>
        <w:contextualSpacing/>
        <w:jc w:val="both"/>
        <w:rPr>
          <w:rFonts w:ascii="Arial" w:hAnsi="Arial" w:cs="Arial"/>
          <w:sz w:val="20"/>
          <w:szCs w:val="20"/>
        </w:rPr>
      </w:pPr>
      <w:r>
        <w:rPr>
          <w:rFonts w:ascii="Arial" w:hAnsi="Arial"/>
          <w:sz w:val="20"/>
          <w:szCs w:val="20"/>
        </w:rPr>
        <w:t>Vid sidan av lagändringarna har arbetsgruppen med stöd av tidigare utredningar, experthöranden och intervjuer identifierat huvudsakligen andra faktorer än den lag som reglerar uppfinningsverksamheten vid högskolorna som hinder för den nuvarande kommersialiseringen av de kunskaper som uppstår vid högskolorna och för de forskningsresultat som kommer till där. Hindren och flaskhalsarna för utnyttjandet och kommersialiseringen hänger närmast ihop med incitament, kunskaper och sådana processer (inklusive avtalsverksamhet) som stöder innovationsverksamheten.</w:t>
      </w:r>
    </w:p>
    <w:p w14:paraId="37A1D031" w14:textId="77777777" w:rsidR="00DC15B0" w:rsidRPr="00B70E62" w:rsidRDefault="00DC15B0">
      <w:pPr>
        <w:contextualSpacing/>
        <w:jc w:val="both"/>
        <w:rPr>
          <w:rFonts w:ascii="Arial" w:hAnsi="Arial" w:cs="Arial"/>
          <w:sz w:val="20"/>
          <w:szCs w:val="20"/>
        </w:rPr>
      </w:pPr>
    </w:p>
    <w:p w14:paraId="275EA465" w14:textId="166780E5" w:rsidR="00D9598B" w:rsidRPr="00B70E62" w:rsidRDefault="00D9598B">
      <w:pPr>
        <w:contextualSpacing/>
        <w:jc w:val="both"/>
        <w:rPr>
          <w:rFonts w:ascii="Arial" w:hAnsi="Arial" w:cs="Arial"/>
          <w:sz w:val="20"/>
          <w:szCs w:val="20"/>
        </w:rPr>
      </w:pPr>
      <w:r>
        <w:rPr>
          <w:rFonts w:ascii="Arial" w:hAnsi="Arial"/>
          <w:sz w:val="20"/>
          <w:szCs w:val="20"/>
        </w:rPr>
        <w:lastRenderedPageBreak/>
        <w:t xml:space="preserve">Internationella exempel och internationell praxis visar att vid sidan av att säkerställa att lagen fungerar är det viktigt att se till att högskolorna har sakkunniga och effektiva kommersialiserings- och avtalsprocesser. På detta sätt säkerställs också att investeringarna i forskning gagnar det finländska samhället. </w:t>
      </w:r>
    </w:p>
    <w:p w14:paraId="74D58C7B" w14:textId="79200890" w:rsidR="00654F85" w:rsidRPr="00B70E62" w:rsidRDefault="00654F85">
      <w:pPr>
        <w:contextualSpacing/>
        <w:jc w:val="both"/>
        <w:rPr>
          <w:rFonts w:ascii="Arial" w:hAnsi="Arial" w:cs="Arial"/>
          <w:sz w:val="20"/>
          <w:szCs w:val="20"/>
        </w:rPr>
      </w:pPr>
    </w:p>
    <w:p w14:paraId="77D5198E" w14:textId="4668D836" w:rsidR="00D9598B" w:rsidRPr="00B70E62" w:rsidRDefault="00D9598B">
      <w:pPr>
        <w:contextualSpacing/>
        <w:jc w:val="both"/>
        <w:rPr>
          <w:rFonts w:ascii="Arial" w:hAnsi="Arial" w:cs="Arial"/>
          <w:sz w:val="20"/>
          <w:szCs w:val="20"/>
        </w:rPr>
      </w:pPr>
      <w:r>
        <w:rPr>
          <w:rFonts w:ascii="Arial" w:hAnsi="Arial"/>
          <w:sz w:val="20"/>
          <w:szCs w:val="20"/>
        </w:rPr>
        <w:t xml:space="preserve">Arbetsgruppen ansåg att för att högskoleuppfinningarna ska utnyttjas och kommersialiseras på ett effektivt och framgångsrikt sätt ska högskolorna se till det finns tillräckliga och högklassiga innovations- och tekniköverföringstjänster för forskarna. Internationella exempel (t.ex. Karolinska Institutet Innovations i Sverige) visar att genom högklassiga kommersialiseringstjänster och utveckling av avtalspraxis kan man effektivt överföra kunskaper som uppstår vid universiteten till kommersiella applikationer oberoende av vem som har den primära äganderätten till uppfinningen. </w:t>
      </w:r>
    </w:p>
    <w:p w14:paraId="4542634F" w14:textId="77777777" w:rsidR="00D9598B" w:rsidRPr="00B70E62" w:rsidRDefault="00D9598B" w:rsidP="002A32E3">
      <w:pPr>
        <w:contextualSpacing/>
        <w:jc w:val="both"/>
        <w:rPr>
          <w:rFonts w:ascii="Arial" w:hAnsi="Arial" w:cs="Arial"/>
          <w:sz w:val="20"/>
          <w:szCs w:val="20"/>
        </w:rPr>
      </w:pPr>
    </w:p>
    <w:p w14:paraId="1EE897F5" w14:textId="4F0D38D7" w:rsidR="00D9598B" w:rsidRPr="00B70E62" w:rsidRDefault="00D9598B">
      <w:pPr>
        <w:contextualSpacing/>
        <w:jc w:val="both"/>
        <w:rPr>
          <w:rFonts w:ascii="Arial" w:hAnsi="Arial" w:cs="Arial"/>
          <w:sz w:val="20"/>
          <w:szCs w:val="20"/>
        </w:rPr>
      </w:pPr>
      <w:r>
        <w:rPr>
          <w:rFonts w:ascii="Arial" w:hAnsi="Arial"/>
          <w:sz w:val="20"/>
          <w:szCs w:val="20"/>
        </w:rPr>
        <w:t>I Finland bygger systemet för finansiering av innovationer i huvudsak på sådan kommersialisering och tekniköverföring som stöds genom företag och organisationer. Till exempel Business Finlands program Ny affärsverksamhet från forskningsidéer stöder endast kommersialisering av immateriella rättigheter som ägs av högskolorna. Business Finland hette tidigare Teknologiska utvecklingscentralen (Tekes) och stöder kommersialisering av forskningsresultat vid högskolor och forskningsinstitut.</w:t>
      </w:r>
    </w:p>
    <w:p w14:paraId="5C1A45B4" w14:textId="77777777" w:rsidR="00D9598B" w:rsidRPr="00B70E62" w:rsidRDefault="00D9598B" w:rsidP="002A32E3">
      <w:pPr>
        <w:contextualSpacing/>
        <w:jc w:val="both"/>
        <w:rPr>
          <w:rFonts w:ascii="Arial" w:hAnsi="Arial" w:cs="Arial"/>
          <w:sz w:val="20"/>
          <w:szCs w:val="20"/>
        </w:rPr>
      </w:pPr>
    </w:p>
    <w:p w14:paraId="76F0F0F7" w14:textId="1E012BE5" w:rsidR="00D9598B" w:rsidRPr="00B70E62" w:rsidRDefault="00D9598B">
      <w:pPr>
        <w:contextualSpacing/>
        <w:jc w:val="both"/>
        <w:rPr>
          <w:rFonts w:ascii="Arial" w:hAnsi="Arial" w:cs="Arial"/>
          <w:sz w:val="20"/>
          <w:szCs w:val="20"/>
        </w:rPr>
      </w:pPr>
      <w:r>
        <w:rPr>
          <w:rFonts w:ascii="Arial" w:hAnsi="Arial"/>
          <w:sz w:val="20"/>
          <w:szCs w:val="20"/>
        </w:rPr>
        <w:t>Under de senaste åren har högskolornas och forskningsinstitutens innovationstjänster utvecklats, men högskolorna och forskningsinstituten har fortfarande knappa resurser. Att förena resurserna och öka samarbetet mellan högskolorna och forskningsinstituten behövs för att utveckla tjänster av hög kvalitet.</w:t>
      </w:r>
    </w:p>
    <w:p w14:paraId="2DFDA9D0" w14:textId="77777777" w:rsidR="00DC15B0" w:rsidRPr="00B70E62" w:rsidRDefault="00DC15B0">
      <w:pPr>
        <w:contextualSpacing/>
        <w:jc w:val="both"/>
        <w:rPr>
          <w:rFonts w:ascii="Arial" w:hAnsi="Arial" w:cs="Arial"/>
          <w:sz w:val="20"/>
          <w:szCs w:val="20"/>
        </w:rPr>
      </w:pPr>
    </w:p>
    <w:p w14:paraId="3B3E9F9D" w14:textId="77777777" w:rsidR="00D9598B" w:rsidRPr="00B70E62" w:rsidRDefault="00D9598B">
      <w:pPr>
        <w:contextualSpacing/>
        <w:jc w:val="both"/>
        <w:rPr>
          <w:rFonts w:ascii="Arial" w:hAnsi="Arial" w:cs="Arial"/>
          <w:sz w:val="20"/>
          <w:szCs w:val="20"/>
        </w:rPr>
      </w:pPr>
      <w:r>
        <w:rPr>
          <w:rFonts w:ascii="Arial" w:hAnsi="Arial"/>
          <w:sz w:val="20"/>
          <w:szCs w:val="20"/>
        </w:rPr>
        <w:t>Enligt talrika bedömningar används för närvarande inom universitetsforskningen olika forskningsgrupper och forskningsgrupper av olika storlek. Inom forskningen framhävs utöver vetenskaplig förmåga och vetenskapliga kunskaper också ledarförmåga och framför allt förmåga att skaffa forskningsprojekten tillräcklig finansiering. Arbetet är i stor utsträckning projektarbete, och forskningsprojekten utgör betydande organisationskomplex.</w:t>
      </w:r>
    </w:p>
    <w:p w14:paraId="6C7E0B38" w14:textId="77777777" w:rsidR="00D9598B" w:rsidRPr="00B70E62" w:rsidRDefault="00D9598B" w:rsidP="00DC15B0">
      <w:pPr>
        <w:contextualSpacing/>
        <w:jc w:val="both"/>
        <w:rPr>
          <w:rFonts w:ascii="Arial" w:hAnsi="Arial" w:cs="Arial"/>
          <w:sz w:val="20"/>
          <w:szCs w:val="20"/>
        </w:rPr>
      </w:pPr>
    </w:p>
    <w:p w14:paraId="3A816499" w14:textId="77777777" w:rsidR="00D9598B" w:rsidRPr="00B70E62" w:rsidRDefault="00D9598B">
      <w:pPr>
        <w:contextualSpacing/>
        <w:jc w:val="both"/>
        <w:rPr>
          <w:rFonts w:ascii="Arial" w:hAnsi="Arial" w:cs="Arial"/>
          <w:sz w:val="20"/>
          <w:szCs w:val="20"/>
        </w:rPr>
      </w:pPr>
      <w:r>
        <w:rPr>
          <w:rFonts w:ascii="Arial" w:hAnsi="Arial"/>
          <w:sz w:val="20"/>
          <w:szCs w:val="20"/>
        </w:rPr>
        <w:t>I forskningsprojekten är projektspecifika projektavtal centrala. I fråga om dessa är det väsentligt vad som avtalas om möjligheten att utnyttja rättigheterna till forskningsresultat. Det finns skäl att alltmer fästa uppmärksamhet vid att överföringen av rättigheter och det system som anknyter till det har en sporrande effekt på utvecklingen av just denna verksamhet och dessa kunskaper. Arbetsgruppen anser att den lagstadgade överföringen av rättigheter ska vara den sekundära lösningen och att avtal om överföringen av rättigheter alltid ska vara den primära lösningen.</w:t>
      </w:r>
    </w:p>
    <w:p w14:paraId="10FD01CC" w14:textId="77777777" w:rsidR="00D9598B" w:rsidRPr="00B70E62" w:rsidRDefault="00D9598B" w:rsidP="00DC15B0">
      <w:pPr>
        <w:spacing w:after="0"/>
        <w:ind w:right="378"/>
        <w:jc w:val="both"/>
        <w:rPr>
          <w:rFonts w:ascii="Arial" w:hAnsi="Arial" w:cs="Arial"/>
          <w:sz w:val="20"/>
          <w:szCs w:val="20"/>
        </w:rPr>
      </w:pPr>
    </w:p>
    <w:p w14:paraId="553ABC22" w14:textId="4733D60F" w:rsidR="00D9598B" w:rsidRPr="00B70E62" w:rsidRDefault="0022034E" w:rsidP="00DC15B0">
      <w:pPr>
        <w:pStyle w:val="Luettelokappale"/>
        <w:numPr>
          <w:ilvl w:val="1"/>
          <w:numId w:val="19"/>
        </w:numPr>
        <w:jc w:val="both"/>
        <w:rPr>
          <w:rFonts w:ascii="Arial" w:hAnsi="Arial" w:cs="Arial"/>
          <w:sz w:val="20"/>
          <w:szCs w:val="20"/>
        </w:rPr>
      </w:pPr>
      <w:r>
        <w:rPr>
          <w:rFonts w:ascii="Arial" w:hAnsi="Arial"/>
          <w:sz w:val="20"/>
          <w:szCs w:val="20"/>
        </w:rPr>
        <w:t xml:space="preserve">Bestämmelser av dispositiv natur i öppen forskning </w:t>
      </w:r>
    </w:p>
    <w:p w14:paraId="2A9BFF5D" w14:textId="054B546D" w:rsidR="00D9598B" w:rsidRPr="00B70E62" w:rsidRDefault="007F56BC">
      <w:pPr>
        <w:contextualSpacing/>
        <w:jc w:val="both"/>
        <w:rPr>
          <w:rFonts w:ascii="Arial" w:hAnsi="Arial" w:cs="Arial"/>
          <w:sz w:val="20"/>
          <w:szCs w:val="20"/>
        </w:rPr>
      </w:pPr>
      <w:r>
        <w:rPr>
          <w:rFonts w:ascii="Arial" w:hAnsi="Arial"/>
          <w:sz w:val="20"/>
          <w:szCs w:val="20"/>
        </w:rPr>
        <w:t>Enligt denna regeringsproposition övergår man i fråga om öppen forskning till bestämmelser av dispositiv natur och ändrar gällande 6 §. I sin gällande form innebär paragrafen i fråga i praktiken att rättigheterna antingen innehas av forskaren eller att överföringen av dem till högskolan är frivillig ur forskarens perspektiv.</w:t>
      </w:r>
    </w:p>
    <w:p w14:paraId="3DA06DAC" w14:textId="77777777" w:rsidR="00D9598B" w:rsidRPr="00B70E62" w:rsidRDefault="00D9598B" w:rsidP="00DC15B0">
      <w:pPr>
        <w:contextualSpacing/>
        <w:jc w:val="both"/>
        <w:rPr>
          <w:rFonts w:ascii="Arial" w:hAnsi="Arial" w:cs="Arial"/>
          <w:sz w:val="20"/>
          <w:szCs w:val="20"/>
        </w:rPr>
      </w:pPr>
    </w:p>
    <w:p w14:paraId="4E9C45FC" w14:textId="77777777" w:rsidR="00D9598B" w:rsidRPr="00B70E62" w:rsidRDefault="00D9598B">
      <w:pPr>
        <w:contextualSpacing/>
        <w:jc w:val="both"/>
        <w:rPr>
          <w:rFonts w:ascii="Arial" w:hAnsi="Arial" w:cs="Arial"/>
          <w:sz w:val="20"/>
          <w:szCs w:val="20"/>
        </w:rPr>
      </w:pPr>
      <w:r>
        <w:rPr>
          <w:rFonts w:ascii="Arial" w:hAnsi="Arial"/>
          <w:sz w:val="20"/>
          <w:szCs w:val="20"/>
        </w:rPr>
        <w:t xml:space="preserve">Detta kan lätt leda till att rättigheter lämnas outnyttjade när forskaren inte nödvändigtvis har de kunskaper som behövs för att skydda idén eller kommersialisera den och inte heller de ekonomiska resurserna. Att till exempel som bisyssla vid sidan av krävande forskningsarbete vara företagare är ofta omöjligt i praktiken och det ger inte heller möjlighet att påbörja affärsverksamhet på ett ändamålsenligt och effektivt sätt. </w:t>
      </w:r>
    </w:p>
    <w:p w14:paraId="5C35C0F7" w14:textId="77777777" w:rsidR="00D9598B" w:rsidRPr="00B70E62" w:rsidRDefault="00D9598B" w:rsidP="00DC15B0">
      <w:pPr>
        <w:contextualSpacing/>
        <w:jc w:val="both"/>
        <w:rPr>
          <w:rFonts w:ascii="Arial" w:hAnsi="Arial" w:cs="Arial"/>
          <w:sz w:val="20"/>
          <w:szCs w:val="20"/>
        </w:rPr>
      </w:pPr>
    </w:p>
    <w:p w14:paraId="1538BD91" w14:textId="182006D1" w:rsidR="00D9598B" w:rsidRPr="00B70E62" w:rsidRDefault="00D9598B">
      <w:pPr>
        <w:contextualSpacing/>
        <w:jc w:val="both"/>
        <w:rPr>
          <w:rFonts w:ascii="Arial" w:hAnsi="Arial" w:cs="Arial"/>
          <w:sz w:val="20"/>
          <w:szCs w:val="20"/>
        </w:rPr>
      </w:pPr>
      <w:r>
        <w:rPr>
          <w:rFonts w:ascii="Arial" w:hAnsi="Arial"/>
          <w:sz w:val="20"/>
          <w:szCs w:val="20"/>
        </w:rPr>
        <w:t>Enligt universitetslagens 2 §, som trädde i kraft i januari 2010, har universiteten ”till uppgift att främja den fria forskningen och den vetenskapliga och konstnärliga bildningen, att meddela på forskning grundad högsta undervisning och att fostra de studerande till att tjäna f</w:t>
      </w:r>
      <w:r w:rsidR="00521108">
        <w:rPr>
          <w:rFonts w:ascii="Arial" w:hAnsi="Arial"/>
          <w:sz w:val="20"/>
          <w:szCs w:val="20"/>
        </w:rPr>
        <w:t xml:space="preserve">osterlandet och mänskligheten. </w:t>
      </w:r>
      <w:r>
        <w:rPr>
          <w:rFonts w:ascii="Arial" w:hAnsi="Arial"/>
          <w:sz w:val="20"/>
          <w:szCs w:val="20"/>
        </w:rPr>
        <w:t xml:space="preserve">Då universiteten fullgör sina uppgifter ska de främja livslångt lärande, samverka med det övriga samhället samt främja forskningsresultatens och den konstnärliga verksamhetens genomslagskraft i </w:t>
      </w:r>
      <w:r>
        <w:rPr>
          <w:rFonts w:ascii="Arial" w:hAnsi="Arial"/>
          <w:sz w:val="20"/>
          <w:szCs w:val="20"/>
        </w:rPr>
        <w:lastRenderedPageBreak/>
        <w:t xml:space="preserve">samhället.” Den sistnämnda uppgiften att främja forskningsresultatens genomslagskraft i samhället förutsätter att man ser till att det finns förutsättningar att </w:t>
      </w:r>
      <w:r w:rsidR="00521108">
        <w:rPr>
          <w:rFonts w:ascii="Arial" w:hAnsi="Arial"/>
          <w:sz w:val="20"/>
          <w:szCs w:val="20"/>
        </w:rPr>
        <w:t xml:space="preserve">utnyttja forskningsresultaten. </w:t>
      </w:r>
      <w:r>
        <w:rPr>
          <w:rFonts w:ascii="Arial" w:hAnsi="Arial"/>
          <w:sz w:val="20"/>
          <w:szCs w:val="20"/>
        </w:rPr>
        <w:t xml:space="preserve">För närvarande är systemet för finansiering av forsknings- och innovationsverksamhet så uppbyggt att det stöder kommersialisering av de uppfinningar som ägs av högskolorna (t.ex. programmet Ny affärsverksamhet från forskningsidéer). Med hänsyn till dessa faktorer skulle det falla sig naturligt att 6 § i högskoleuppfinningslagen förtydligas så att högskolorna i ett så tidigt skede som möjligt kan avtala om överföringen av äganderätten till uppfinningar som kommer till i öppen forskning.   </w:t>
      </w:r>
    </w:p>
    <w:p w14:paraId="3CCD247D" w14:textId="77777777" w:rsidR="00D9598B" w:rsidRPr="00B70E62" w:rsidRDefault="00D9598B" w:rsidP="00DC15B0">
      <w:pPr>
        <w:contextualSpacing/>
        <w:jc w:val="both"/>
        <w:rPr>
          <w:rFonts w:ascii="Arial" w:hAnsi="Arial" w:cs="Arial"/>
          <w:sz w:val="20"/>
          <w:szCs w:val="20"/>
        </w:rPr>
      </w:pPr>
    </w:p>
    <w:p w14:paraId="24FDADD2" w14:textId="77777777" w:rsidR="00D9598B" w:rsidRPr="00B70E62" w:rsidRDefault="00D9598B">
      <w:pPr>
        <w:contextualSpacing/>
        <w:jc w:val="both"/>
        <w:rPr>
          <w:rFonts w:ascii="Arial" w:hAnsi="Arial" w:cs="Arial"/>
          <w:sz w:val="20"/>
          <w:szCs w:val="20"/>
        </w:rPr>
      </w:pPr>
      <w:r>
        <w:rPr>
          <w:rFonts w:ascii="Arial" w:hAnsi="Arial"/>
          <w:sz w:val="20"/>
          <w:szCs w:val="20"/>
        </w:rPr>
        <w:t>Högskoleuppfinningslagens 6 § ska tillämpas med gällande innehåll, om inte parterna har avtalat om någonting annat. Den föreslagna ändringen förtydligar det ursprungliga mål som anges i lagens motiveringsdel, dvs. att man redan t.ex. när anställningsavtalet sluts men senast när forskningsprojektet inleds kan avtala på annat sätt om överföringen av rättigheter. Bestämmelserna om avtalsforskning i 7 § och om andra situationer i 8 § kvarstår oförändrade.</w:t>
      </w:r>
    </w:p>
    <w:p w14:paraId="33022609" w14:textId="77777777" w:rsidR="00D9598B" w:rsidRPr="00B70E62" w:rsidRDefault="00D9598B" w:rsidP="00DC15B0">
      <w:pPr>
        <w:spacing w:after="0"/>
        <w:ind w:right="378"/>
        <w:jc w:val="both"/>
        <w:rPr>
          <w:rFonts w:ascii="Arial" w:hAnsi="Arial" w:cs="Arial"/>
          <w:sz w:val="20"/>
          <w:szCs w:val="20"/>
        </w:rPr>
      </w:pPr>
    </w:p>
    <w:p w14:paraId="7479EB74" w14:textId="35F29D2F" w:rsidR="00D9598B" w:rsidRPr="00B70E62" w:rsidRDefault="00702B90" w:rsidP="00DC15B0">
      <w:pPr>
        <w:pStyle w:val="Luettelokappale"/>
        <w:numPr>
          <w:ilvl w:val="1"/>
          <w:numId w:val="19"/>
        </w:numPr>
        <w:jc w:val="both"/>
        <w:rPr>
          <w:rFonts w:ascii="Arial" w:hAnsi="Arial" w:cs="Arial"/>
          <w:sz w:val="20"/>
          <w:szCs w:val="20"/>
        </w:rPr>
      </w:pPr>
      <w:r>
        <w:rPr>
          <w:rFonts w:ascii="Arial" w:hAnsi="Arial"/>
          <w:sz w:val="20"/>
          <w:szCs w:val="20"/>
        </w:rPr>
        <w:t xml:space="preserve">Öppen forskning som begrepp </w:t>
      </w:r>
    </w:p>
    <w:p w14:paraId="044AA639" w14:textId="77777777" w:rsidR="00D9598B" w:rsidRPr="00B70E62" w:rsidRDefault="00D9598B">
      <w:pPr>
        <w:contextualSpacing/>
        <w:jc w:val="both"/>
        <w:rPr>
          <w:rFonts w:ascii="Arial" w:hAnsi="Arial" w:cs="Arial"/>
          <w:sz w:val="20"/>
          <w:szCs w:val="20"/>
        </w:rPr>
      </w:pPr>
      <w:r>
        <w:rPr>
          <w:rFonts w:ascii="Arial" w:hAnsi="Arial"/>
          <w:sz w:val="20"/>
          <w:szCs w:val="20"/>
        </w:rPr>
        <w:t>Arbetsgruppen har granskat möjligheten att ersätta ”öppen forskning” med någon annan term som beskriver verksamheten bättre. Arbetsgruppen anser dock inte att termen behöver ersättas, eftersom termen öppen forskning är vedertagen och det är svårt att hitta andra alternativa och tillräckligt träffande termer. Arbetsgruppen konstaterar att termerna öppen forskning och öppen vetenskap kan leda till sammanblandning i talspråket, men att detta inte medför betydande olägenheter när det gäller verkställandet av lagen.</w:t>
      </w:r>
    </w:p>
    <w:p w14:paraId="3ED78D88" w14:textId="77777777" w:rsidR="00D9598B" w:rsidRPr="00B70E62" w:rsidRDefault="00D9598B" w:rsidP="002A32E3">
      <w:pPr>
        <w:contextualSpacing/>
        <w:jc w:val="both"/>
        <w:rPr>
          <w:rFonts w:ascii="Arial" w:hAnsi="Arial" w:cs="Arial"/>
          <w:sz w:val="20"/>
          <w:szCs w:val="20"/>
        </w:rPr>
      </w:pPr>
    </w:p>
    <w:p w14:paraId="6E5D766A" w14:textId="33FAD40A" w:rsidR="00D9598B" w:rsidRPr="00B70E62" w:rsidRDefault="00D9598B">
      <w:pPr>
        <w:contextualSpacing/>
        <w:jc w:val="both"/>
        <w:rPr>
          <w:rFonts w:ascii="Arial" w:hAnsi="Arial" w:cs="Arial"/>
          <w:sz w:val="20"/>
          <w:szCs w:val="20"/>
        </w:rPr>
      </w:pPr>
      <w:r>
        <w:rPr>
          <w:rFonts w:ascii="Arial" w:hAnsi="Arial"/>
          <w:sz w:val="20"/>
          <w:szCs w:val="20"/>
        </w:rPr>
        <w:t>Arbetsgruppen har utrett om ”öppen forskning” kan ersättas med till exempel ”fri forskning” eller ”forskning finansierad med högskolornas egen finansiering”. Att ersätta öppen forskning med fri forskning kan dock leda till att termen blandas samman med universitetslagens motsvarande term med annat innehåll. Att definiera öppen forskning med stöd av forskningens finansieringskälla förtydligar inte heller nuläget. Den forskningsverksamhet som bedrivs vid högskolorna grundar sig allt mer på samtidiga olika finansieringskällor. Därför är det ofta svårt att uteslutande med stöd av finansieringskällan fastställa uppfinningens ursprung.</w:t>
      </w:r>
    </w:p>
    <w:p w14:paraId="1294C2D0" w14:textId="77777777" w:rsidR="00D9598B" w:rsidRPr="00B70E62" w:rsidRDefault="00D9598B" w:rsidP="002A32E3">
      <w:pPr>
        <w:contextualSpacing/>
        <w:jc w:val="both"/>
        <w:rPr>
          <w:rFonts w:ascii="Arial" w:hAnsi="Arial" w:cs="Arial"/>
          <w:sz w:val="20"/>
          <w:szCs w:val="20"/>
        </w:rPr>
      </w:pPr>
    </w:p>
    <w:p w14:paraId="7002543D" w14:textId="77777777" w:rsidR="00D9598B" w:rsidRPr="00B70E62" w:rsidRDefault="00D9598B">
      <w:pPr>
        <w:contextualSpacing/>
        <w:jc w:val="both"/>
        <w:rPr>
          <w:rFonts w:ascii="Arial" w:hAnsi="Arial" w:cs="Arial"/>
          <w:sz w:val="20"/>
          <w:szCs w:val="20"/>
        </w:rPr>
      </w:pPr>
      <w:r>
        <w:rPr>
          <w:rFonts w:ascii="Arial" w:hAnsi="Arial"/>
          <w:sz w:val="20"/>
          <w:szCs w:val="20"/>
        </w:rPr>
        <w:t>Man kan i samband med att intressegrupper hörs höra sig för om alternativ som kan ersätta termen öppen forskning och senare överväga förslag som eventuellt fås av intressegrupperna.</w:t>
      </w:r>
    </w:p>
    <w:p w14:paraId="4EA90207" w14:textId="58076F34" w:rsidR="00D9598B" w:rsidRPr="00B70E62" w:rsidRDefault="00D9598B">
      <w:pPr>
        <w:pStyle w:val="Luettelokappale"/>
        <w:ind w:left="0"/>
        <w:jc w:val="both"/>
        <w:rPr>
          <w:rFonts w:ascii="Arial" w:hAnsi="Arial" w:cs="Arial"/>
          <w:sz w:val="20"/>
          <w:szCs w:val="20"/>
        </w:rPr>
      </w:pPr>
      <w:r>
        <w:rPr>
          <w:rFonts w:ascii="Arial" w:hAnsi="Arial"/>
          <w:sz w:val="20"/>
          <w:szCs w:val="20"/>
        </w:rPr>
        <w:t>Dessutom görs det ändringar av teknisk karaktär i högskoleuppfinningslagen med anledning av ändringar av universitetslagen, yrkeshögskolelagen och lagen om Finlands Akademi.</w:t>
      </w:r>
    </w:p>
    <w:p w14:paraId="30420FC8" w14:textId="77777777" w:rsidR="002A32E3" w:rsidRPr="00B70E62" w:rsidRDefault="002A32E3">
      <w:pPr>
        <w:pStyle w:val="Luettelokappale"/>
        <w:ind w:left="0"/>
        <w:jc w:val="both"/>
        <w:rPr>
          <w:rFonts w:ascii="Arial" w:hAnsi="Arial" w:cs="Arial"/>
          <w:sz w:val="20"/>
          <w:szCs w:val="20"/>
        </w:rPr>
      </w:pPr>
    </w:p>
    <w:p w14:paraId="44BFA1A8" w14:textId="697A4375" w:rsidR="00D9598B" w:rsidRPr="00B70E62" w:rsidRDefault="00E45BAA" w:rsidP="002A32E3">
      <w:pPr>
        <w:pStyle w:val="Luettelokappale"/>
        <w:numPr>
          <w:ilvl w:val="1"/>
          <w:numId w:val="19"/>
        </w:numPr>
        <w:jc w:val="both"/>
        <w:rPr>
          <w:rFonts w:ascii="Arial" w:hAnsi="Arial" w:cs="Arial"/>
          <w:sz w:val="20"/>
          <w:szCs w:val="20"/>
        </w:rPr>
      </w:pPr>
      <w:r>
        <w:rPr>
          <w:rFonts w:ascii="Arial" w:hAnsi="Arial"/>
          <w:sz w:val="20"/>
          <w:szCs w:val="20"/>
        </w:rPr>
        <w:t xml:space="preserve">Upphovsrättslagens bestämmelser om rättigheter som gäller datorprogram skapade av en upphovsman som utför självständigt arbete inom undervisning eller forskning vid en högskola </w:t>
      </w:r>
    </w:p>
    <w:p w14:paraId="06A97F14" w14:textId="77777777" w:rsidR="00D9598B" w:rsidRPr="00B70E62" w:rsidRDefault="00D9598B">
      <w:pPr>
        <w:jc w:val="both"/>
        <w:rPr>
          <w:rFonts w:ascii="Arial" w:hAnsi="Arial" w:cs="Arial"/>
          <w:sz w:val="20"/>
          <w:szCs w:val="20"/>
        </w:rPr>
      </w:pPr>
      <w:r>
        <w:rPr>
          <w:rFonts w:ascii="Arial" w:hAnsi="Arial"/>
          <w:sz w:val="20"/>
          <w:szCs w:val="20"/>
        </w:rPr>
        <w:t xml:space="preserve">Arbetsgruppen har med hänsyn till högskoleuppfinningslagen granskat användarrättigheterna till sådana datorprogram som anknyter till uppfinningar. </w:t>
      </w:r>
    </w:p>
    <w:p w14:paraId="2F7CDBF6" w14:textId="49DC52CD" w:rsidR="00D9598B" w:rsidRPr="00B70E62" w:rsidRDefault="00D9598B">
      <w:pPr>
        <w:jc w:val="both"/>
        <w:rPr>
          <w:rFonts w:ascii="Arial" w:hAnsi="Arial" w:cs="Arial"/>
          <w:sz w:val="20"/>
          <w:szCs w:val="20"/>
        </w:rPr>
      </w:pPr>
      <w:r>
        <w:rPr>
          <w:rFonts w:ascii="Arial" w:hAnsi="Arial"/>
          <w:sz w:val="20"/>
          <w:szCs w:val="20"/>
        </w:rPr>
        <w:t>Enligt arbetsgruppens uppfattning, som bygger på expertbedömningar, omfattas datorprogram till den del de är en väsentlig del av uppfinningen eller nödvändiga för uppfinningens funktion redan för närvarande av tillämpningsområdet för högskoleuppfinningslagen. Sålunda övergår dessa rättigheter till datorprogram tillsammans med uppfinningarna på samma sätt som rättigheterna till uppfinningar övergår enligt 6 och 7 § i högskoleuppfinningslagen.</w:t>
      </w:r>
    </w:p>
    <w:p w14:paraId="640F40F6" w14:textId="45DA3DD7" w:rsidR="00D9598B" w:rsidRPr="00B70E62" w:rsidRDefault="00D9598B">
      <w:pPr>
        <w:jc w:val="both"/>
        <w:rPr>
          <w:rFonts w:ascii="Arial" w:hAnsi="Arial" w:cs="Arial"/>
          <w:sz w:val="20"/>
          <w:szCs w:val="20"/>
        </w:rPr>
      </w:pPr>
      <w:r>
        <w:rPr>
          <w:rFonts w:ascii="Arial" w:hAnsi="Arial"/>
          <w:sz w:val="20"/>
          <w:szCs w:val="20"/>
        </w:rPr>
        <w:t>Enligt arbetsgruppens uppfattning har den ekonomiska betydelsen av datorprogram inom högskolornas uppfinnings- och innovationsverksamhet vuxit och detta bör man också fästa mer uppmärksamhet vid än tidigare. Arbetsgruppen rekommenderar att en grundlig utredning om datorprogrammens ställning inom den moderna innovationsverksamheten vid högskolor och forskningsinstitut utförs.</w:t>
      </w:r>
    </w:p>
    <w:p w14:paraId="383BF9FB" w14:textId="77777777" w:rsidR="00D9598B" w:rsidRPr="00B70E62" w:rsidRDefault="00D9598B">
      <w:pPr>
        <w:jc w:val="both"/>
        <w:rPr>
          <w:rFonts w:ascii="Arial" w:hAnsi="Arial" w:cs="Arial"/>
          <w:sz w:val="20"/>
          <w:szCs w:val="20"/>
        </w:rPr>
      </w:pPr>
      <w:r>
        <w:rPr>
          <w:rFonts w:ascii="Arial" w:hAnsi="Arial"/>
          <w:sz w:val="20"/>
          <w:szCs w:val="20"/>
        </w:rPr>
        <w:lastRenderedPageBreak/>
        <w:t xml:space="preserve">Datorprogram patenteras inte som sådana, utan de skyddas genom upphovsrätt. När ett datorprogram skapas, uppstår upphovsrätten till det automatiskt om det uppnår nivån av ett verk. Därför förs det inte heller nödvändigtvis bok över datorprogram vid högskolorna, som överhuvudtaget inte följer hur många datorprogram som skapas, deras kvalitet eller grundläggande egenskaper. Uppfattningen om betydelsen av datorprogram i innovationsverksamheten stärks också av att vissa universitet har ansett att skapandet av datorprogram i anslutning till forskning åtminstone antalsmässigt redan har gått förbi den traditionella uppfinnings- och patenteringsverksamheten. </w:t>
      </w:r>
    </w:p>
    <w:p w14:paraId="6FF1D923" w14:textId="60832A4F" w:rsidR="00D9598B" w:rsidRPr="00B70E62" w:rsidRDefault="00D9598B" w:rsidP="002A32E3">
      <w:pPr>
        <w:pStyle w:val="Luettelokappale"/>
        <w:numPr>
          <w:ilvl w:val="1"/>
          <w:numId w:val="19"/>
        </w:numPr>
        <w:jc w:val="both"/>
        <w:rPr>
          <w:rFonts w:ascii="Arial" w:hAnsi="Arial" w:cs="Arial"/>
          <w:sz w:val="20"/>
          <w:szCs w:val="20"/>
        </w:rPr>
      </w:pPr>
      <w:r>
        <w:rPr>
          <w:rFonts w:ascii="Arial" w:hAnsi="Arial"/>
          <w:sz w:val="20"/>
          <w:szCs w:val="20"/>
        </w:rPr>
        <w:t xml:space="preserve">Andra utmaningar vid tillämpningen av högskoleuppfinningslagen </w:t>
      </w:r>
    </w:p>
    <w:p w14:paraId="2C241471" w14:textId="22FB044C" w:rsidR="00D9598B" w:rsidRPr="00B70E62" w:rsidRDefault="00D9598B">
      <w:pPr>
        <w:jc w:val="both"/>
        <w:rPr>
          <w:rFonts w:ascii="Arial" w:hAnsi="Arial" w:cs="Arial"/>
          <w:sz w:val="20"/>
          <w:szCs w:val="20"/>
        </w:rPr>
      </w:pPr>
      <w:r>
        <w:rPr>
          <w:rFonts w:ascii="Arial" w:hAnsi="Arial"/>
          <w:sz w:val="20"/>
          <w:szCs w:val="20"/>
        </w:rPr>
        <w:t>En ökande internationell interaktion i det vetenskapliga arbetet och också i kommersialiseringen av uppfinningar har skapat nya möjligheter att kommersialisera finländska uppfinningar utomlands. I anslutning till detta förekommer det dock utmaningar när det gäller det finländska patent- och högskolesystemet.</w:t>
      </w:r>
    </w:p>
    <w:p w14:paraId="7F310F49" w14:textId="77777777" w:rsidR="00D9598B" w:rsidRPr="00B70E62" w:rsidRDefault="00D9598B">
      <w:pPr>
        <w:contextualSpacing/>
        <w:jc w:val="both"/>
        <w:rPr>
          <w:rFonts w:ascii="Arial" w:hAnsi="Arial" w:cs="Arial"/>
          <w:i/>
          <w:sz w:val="20"/>
          <w:szCs w:val="20"/>
        </w:rPr>
      </w:pPr>
      <w:r>
        <w:rPr>
          <w:rFonts w:ascii="Arial" w:hAnsi="Arial"/>
          <w:i/>
          <w:sz w:val="20"/>
          <w:szCs w:val="20"/>
        </w:rPr>
        <w:t>Grace period</w:t>
      </w:r>
    </w:p>
    <w:p w14:paraId="1824545D" w14:textId="77777777" w:rsidR="00D9598B" w:rsidRPr="00B70E62" w:rsidRDefault="00D9598B">
      <w:pPr>
        <w:contextualSpacing/>
        <w:jc w:val="both"/>
        <w:rPr>
          <w:rFonts w:ascii="Arial" w:hAnsi="Arial" w:cs="Arial"/>
          <w:sz w:val="20"/>
          <w:szCs w:val="20"/>
        </w:rPr>
      </w:pPr>
    </w:p>
    <w:p w14:paraId="44C53C8A" w14:textId="21D690AD" w:rsidR="00D9598B" w:rsidRPr="00B70E62" w:rsidRDefault="00D9598B">
      <w:pPr>
        <w:contextualSpacing/>
        <w:jc w:val="both"/>
        <w:rPr>
          <w:rFonts w:ascii="Arial" w:hAnsi="Arial" w:cs="Arial"/>
          <w:sz w:val="20"/>
          <w:szCs w:val="20"/>
        </w:rPr>
      </w:pPr>
      <w:r>
        <w:rPr>
          <w:rFonts w:ascii="Arial" w:hAnsi="Arial"/>
          <w:sz w:val="20"/>
          <w:szCs w:val="20"/>
        </w:rPr>
        <w:t>I vissa betydande OECD-länder, som Förenta staterna, omfattar patentlagstiftningen ett s.k. grace period-förfarande där registrering av patenträtten kan sökas ännu ett år efter det att uppfinningen offentliggjorts. I Europa utgör däremot ett offentliggörande av en uppfinning ett hinder för patenteringen, vilket också är fallet i Finland. Sålunda kan sådana uppfinningar som redan har offentliggjorts i Finland patenteras i grace period-länder.</w:t>
      </w:r>
    </w:p>
    <w:p w14:paraId="5DB06248" w14:textId="77777777" w:rsidR="00D9598B" w:rsidRPr="00B70E62" w:rsidRDefault="00D9598B">
      <w:pPr>
        <w:contextualSpacing/>
        <w:jc w:val="both"/>
        <w:rPr>
          <w:rFonts w:ascii="Arial" w:hAnsi="Arial" w:cs="Arial"/>
          <w:sz w:val="20"/>
          <w:szCs w:val="20"/>
        </w:rPr>
      </w:pPr>
    </w:p>
    <w:p w14:paraId="52B7506D" w14:textId="12E0AB28" w:rsidR="00D9598B" w:rsidRPr="00B70E62" w:rsidRDefault="00D9598B">
      <w:pPr>
        <w:contextualSpacing/>
        <w:jc w:val="both"/>
        <w:rPr>
          <w:rFonts w:ascii="Arial" w:hAnsi="Arial" w:cs="Arial"/>
          <w:sz w:val="20"/>
          <w:szCs w:val="20"/>
        </w:rPr>
      </w:pPr>
      <w:r>
        <w:rPr>
          <w:rFonts w:ascii="Arial" w:hAnsi="Arial"/>
          <w:sz w:val="20"/>
          <w:szCs w:val="20"/>
        </w:rPr>
        <w:t>Detta kan medföra kommersiell nytta ur en enskild uppfinnings perspektiv, om man ännu efter det att uppfinningen har offentliggjorts kan reservera ensamrätt för uppfinnaren att använda patentet industriellt på marknaden utanför Europa. Detta sker så att t.ex. den som har skrivit en doktorsavhandling som har offentliggjorts i Finland har möjlighet att inom ett år efter det att uppfinningen har lanserats söka patent på uppfinningen i Förenta staterna. På grund av offentliggörandet kan uppfinningen inte patenteras i Finland (och Europa).</w:t>
      </w:r>
    </w:p>
    <w:p w14:paraId="5D95517E" w14:textId="77777777" w:rsidR="00D9598B" w:rsidRPr="00B70E62" w:rsidRDefault="00D9598B" w:rsidP="002A32E3">
      <w:pPr>
        <w:contextualSpacing/>
        <w:jc w:val="both"/>
        <w:rPr>
          <w:rFonts w:ascii="Arial" w:hAnsi="Arial" w:cs="Arial"/>
          <w:sz w:val="20"/>
          <w:szCs w:val="20"/>
        </w:rPr>
      </w:pPr>
    </w:p>
    <w:p w14:paraId="44643E31" w14:textId="7FF40859" w:rsidR="00D9598B" w:rsidRPr="00B70E62" w:rsidRDefault="00D9598B">
      <w:pPr>
        <w:contextualSpacing/>
        <w:jc w:val="both"/>
        <w:rPr>
          <w:rFonts w:ascii="Arial" w:hAnsi="Arial" w:cs="Arial"/>
          <w:b/>
          <w:i/>
          <w:sz w:val="20"/>
          <w:szCs w:val="20"/>
        </w:rPr>
      </w:pPr>
      <w:r>
        <w:rPr>
          <w:rFonts w:ascii="Arial" w:hAnsi="Arial"/>
          <w:sz w:val="20"/>
          <w:szCs w:val="20"/>
        </w:rPr>
        <w:t>Enligt de utlåtanden som erhölls våren 2016 känner högskolorna till grace period-mekanismen. Vissa universitet har till och med som utgångspunkt att ett företag som bildas för patentering och kommersialisering av en uppfinning etablerar sig i Förenta staterna. Till detta finns också kommersiella orsaker. Den grace period-mekanism som tillämpas i Förenta staterna kan – utan att detta egentligen var avsikten – främja enskilda forskares möjligheter att få en internationell forskarkarriär och bidrar också till uppfinningens kommersiella framgång på marknaden i Förenta staterna.</w:t>
      </w:r>
    </w:p>
    <w:p w14:paraId="54B2BB76" w14:textId="77777777" w:rsidR="00D9598B" w:rsidRPr="00B70E62" w:rsidRDefault="00D9598B">
      <w:pPr>
        <w:contextualSpacing/>
        <w:jc w:val="both"/>
        <w:rPr>
          <w:rFonts w:ascii="Arial" w:hAnsi="Arial" w:cs="Arial"/>
          <w:sz w:val="20"/>
          <w:szCs w:val="20"/>
        </w:rPr>
      </w:pPr>
    </w:p>
    <w:p w14:paraId="67CE79A7" w14:textId="77777777" w:rsidR="00D9598B" w:rsidRPr="00B70E62" w:rsidRDefault="00D9598B">
      <w:pPr>
        <w:contextualSpacing/>
        <w:jc w:val="both"/>
        <w:rPr>
          <w:rFonts w:ascii="Arial" w:hAnsi="Arial" w:cs="Arial"/>
          <w:sz w:val="20"/>
          <w:szCs w:val="20"/>
        </w:rPr>
      </w:pPr>
      <w:r>
        <w:rPr>
          <w:rFonts w:ascii="Arial" w:hAnsi="Arial"/>
          <w:sz w:val="20"/>
          <w:szCs w:val="20"/>
        </w:rPr>
        <w:t>Det finns emellertid en risk med förfarandet. Om doktoranden sluter ett anställningsavtal enligt gällande praxis i Förenta staterna med ett universitet där och överför rättigheterna till universitetet, kan det lätt leda till att det forskningsresultat som kommit till i öppen forskning vid ett finländskt universitet och som finansierats där börjar ägas av ett universitet i Förenta staterna och patenteras där. Efter det bidrar patentet till det universitetets förmögenhet. Med andra ord finns det i detta hänseende ett hål i det finländska systemet, vilket kan leda till att betydande förmögenhetsvärden övertas av utländska universitet, som inte alls har investerat i tillkomsten av uppfinningarna. Detta är varken ett önskvärt eller hållbart sätt att ordna kommersialiseringen av forskningsresultat.</w:t>
      </w:r>
    </w:p>
    <w:p w14:paraId="771DE90F" w14:textId="77777777" w:rsidR="00D9598B" w:rsidRPr="00B70E62" w:rsidRDefault="00D9598B" w:rsidP="002A32E3">
      <w:pPr>
        <w:contextualSpacing/>
        <w:jc w:val="both"/>
        <w:rPr>
          <w:rFonts w:ascii="Arial" w:hAnsi="Arial" w:cs="Arial"/>
          <w:sz w:val="20"/>
          <w:szCs w:val="20"/>
        </w:rPr>
      </w:pPr>
    </w:p>
    <w:p w14:paraId="5182EC25" w14:textId="77777777" w:rsidR="00D9598B" w:rsidRPr="00B70E62" w:rsidRDefault="00D9598B">
      <w:pPr>
        <w:contextualSpacing/>
        <w:jc w:val="both"/>
        <w:rPr>
          <w:rFonts w:ascii="Arial" w:hAnsi="Arial" w:cs="Arial"/>
          <w:i/>
          <w:sz w:val="20"/>
          <w:szCs w:val="20"/>
        </w:rPr>
      </w:pPr>
      <w:r>
        <w:rPr>
          <w:rFonts w:ascii="Arial" w:hAnsi="Arial"/>
          <w:i/>
          <w:sz w:val="20"/>
          <w:szCs w:val="20"/>
        </w:rPr>
        <w:t>Kommersialisering som sker utanför Finland</w:t>
      </w:r>
    </w:p>
    <w:p w14:paraId="26AA1F7C" w14:textId="77777777" w:rsidR="00D9598B" w:rsidRPr="00B70E62" w:rsidRDefault="00D9598B">
      <w:pPr>
        <w:contextualSpacing/>
        <w:jc w:val="both"/>
        <w:rPr>
          <w:rFonts w:ascii="Arial" w:hAnsi="Arial" w:cs="Arial"/>
          <w:sz w:val="20"/>
          <w:szCs w:val="20"/>
        </w:rPr>
      </w:pPr>
    </w:p>
    <w:p w14:paraId="67869BEE" w14:textId="77777777" w:rsidR="00D9598B" w:rsidRPr="00B70E62" w:rsidRDefault="00D9598B">
      <w:pPr>
        <w:contextualSpacing/>
        <w:jc w:val="both"/>
        <w:rPr>
          <w:rFonts w:ascii="Arial" w:hAnsi="Arial" w:cs="Arial"/>
          <w:sz w:val="20"/>
          <w:szCs w:val="20"/>
        </w:rPr>
      </w:pPr>
      <w:r>
        <w:rPr>
          <w:rFonts w:ascii="Arial" w:hAnsi="Arial"/>
          <w:sz w:val="20"/>
          <w:szCs w:val="20"/>
        </w:rPr>
        <w:t xml:space="preserve">En följd av internationaliseringen är att kommersialiseringen av finländska högskoleuppfinningar lätt kan ske även utanför Finlands gränser. Till exempel Karolinska Institutet Innovations är intresserat av finländsk forskningsverksamhet inom särskilt biovetenskapsbranschen. Karolinska Institutet Innovations har också kunskaper på hög nivå och betydande resurser att upprätthålla och utveckla verksamhet, till och med att leda sådana börsföretag som grundar sig på uppfinningar. Detta utgör en </w:t>
      </w:r>
      <w:r>
        <w:rPr>
          <w:rFonts w:ascii="Arial" w:hAnsi="Arial"/>
          <w:sz w:val="20"/>
          <w:szCs w:val="20"/>
        </w:rPr>
        <w:lastRenderedPageBreak/>
        <w:t>funktionell utmaning för det finländska systemet. Hur ska Finland reagera på att verksamheten i vårt grannland är på internationellt hög nivå, och att det lockar finländska forskare att överföra sina forskningsresultat till utlandet för kommersialisering?</w:t>
      </w:r>
    </w:p>
    <w:p w14:paraId="00B09D25" w14:textId="6D887C26" w:rsidR="004C40B2" w:rsidRPr="00B70E62" w:rsidRDefault="004C40B2" w:rsidP="002A32E3">
      <w:pPr>
        <w:pStyle w:val="Luettelokappale"/>
        <w:numPr>
          <w:ilvl w:val="0"/>
          <w:numId w:val="19"/>
        </w:numPr>
        <w:rPr>
          <w:rFonts w:ascii="Arial" w:hAnsi="Arial" w:cs="Arial"/>
          <w:sz w:val="20"/>
          <w:szCs w:val="20"/>
        </w:rPr>
      </w:pPr>
      <w:r>
        <w:rPr>
          <w:rFonts w:ascii="Arial" w:hAnsi="Arial"/>
          <w:sz w:val="20"/>
          <w:szCs w:val="20"/>
        </w:rPr>
        <w:t>Propositionens konsekvenser</w:t>
      </w:r>
    </w:p>
    <w:p w14:paraId="128941A0" w14:textId="77777777" w:rsidR="00AD0FF9" w:rsidRPr="00B70E62" w:rsidRDefault="00AD0FF9" w:rsidP="00E638D5">
      <w:pPr>
        <w:jc w:val="both"/>
        <w:rPr>
          <w:rFonts w:ascii="Arial" w:hAnsi="Arial" w:cs="Arial"/>
          <w:sz w:val="20"/>
          <w:szCs w:val="20"/>
        </w:rPr>
      </w:pPr>
      <w:r>
        <w:rPr>
          <w:rFonts w:ascii="Arial" w:hAnsi="Arial"/>
          <w:sz w:val="20"/>
          <w:szCs w:val="20"/>
        </w:rPr>
        <w:t>Propositionen ökar högskolornas och forskarnas möjligheter att genom avtal besluta om överföring av rättigheter. Att utnyttja de möjligheter som propositionen skapar förutsätter att högskolorna satsar tillräckligt på kunskaper om detta.</w:t>
      </w:r>
    </w:p>
    <w:p w14:paraId="36A75EE9" w14:textId="76CD5C94" w:rsidR="000568F3" w:rsidRPr="00B70E62" w:rsidRDefault="004C40B2" w:rsidP="002A32E3">
      <w:pPr>
        <w:pStyle w:val="Luettelokappale"/>
        <w:numPr>
          <w:ilvl w:val="0"/>
          <w:numId w:val="19"/>
        </w:numPr>
        <w:rPr>
          <w:rFonts w:ascii="Arial" w:hAnsi="Arial" w:cs="Arial"/>
          <w:sz w:val="20"/>
          <w:szCs w:val="20"/>
        </w:rPr>
      </w:pPr>
      <w:r>
        <w:rPr>
          <w:rFonts w:ascii="Arial" w:hAnsi="Arial"/>
          <w:sz w:val="20"/>
          <w:szCs w:val="20"/>
        </w:rPr>
        <w:t>Beredningen av propositionen</w:t>
      </w:r>
    </w:p>
    <w:p w14:paraId="3F658823" w14:textId="77777777" w:rsidR="002A32E3" w:rsidRPr="00B70E62" w:rsidRDefault="002A32E3" w:rsidP="002A32E3">
      <w:pPr>
        <w:pStyle w:val="Luettelokappale"/>
        <w:ind w:left="400"/>
        <w:rPr>
          <w:rFonts w:ascii="Arial" w:hAnsi="Arial" w:cs="Arial"/>
          <w:sz w:val="20"/>
          <w:szCs w:val="20"/>
        </w:rPr>
      </w:pPr>
    </w:p>
    <w:p w14:paraId="691EDA97" w14:textId="25ADE131" w:rsidR="002A32E3" w:rsidRPr="00B70E62" w:rsidRDefault="002A32E3" w:rsidP="002A32E3">
      <w:pPr>
        <w:pStyle w:val="Luettelokappale"/>
        <w:numPr>
          <w:ilvl w:val="1"/>
          <w:numId w:val="19"/>
        </w:numPr>
        <w:jc w:val="both"/>
        <w:rPr>
          <w:rFonts w:ascii="Arial" w:hAnsi="Arial" w:cs="Arial"/>
          <w:sz w:val="20"/>
          <w:szCs w:val="20"/>
        </w:rPr>
      </w:pPr>
      <w:r>
        <w:rPr>
          <w:rFonts w:ascii="Arial" w:hAnsi="Arial"/>
          <w:sz w:val="20"/>
          <w:szCs w:val="20"/>
        </w:rPr>
        <w:t>Beredningsskeden och beredningsmaterial</w:t>
      </w:r>
    </w:p>
    <w:p w14:paraId="4DF0D012" w14:textId="77777777" w:rsidR="00454C23" w:rsidRPr="00B70E62" w:rsidRDefault="008E18EA" w:rsidP="006F25FB">
      <w:pPr>
        <w:jc w:val="both"/>
        <w:rPr>
          <w:rFonts w:ascii="Arial" w:hAnsi="Arial" w:cs="Arial"/>
          <w:sz w:val="20"/>
          <w:szCs w:val="20"/>
        </w:rPr>
      </w:pPr>
      <w:r>
        <w:rPr>
          <w:rFonts w:ascii="Arial" w:hAnsi="Arial"/>
          <w:sz w:val="20"/>
          <w:szCs w:val="20"/>
        </w:rPr>
        <w:t>Regeringspropositionen har beretts av en tjänstemannaarbetsgrupp. Konsultativ tjänsteman Mikko Huuskonen från arbets- och näringsministeriet har varit ordförande för arbetsgruppen och konsultativ tjänsteman Pirjo Kutinlahti och konsultativ tjänsteman Kirsti Vilén (alterneringsledig från och med september 2017) från arbets- och näringsministeriet och undervisningsråd Petteri Kauppinen, regeringsråd Laura Hansén (ledamot i arbetsgruppen till och med augusti 2017) och direktör Jorma Waldén från undervisnings- och kulturministeriet har varit sakkunniga.</w:t>
      </w:r>
    </w:p>
    <w:p w14:paraId="2A6B2658" w14:textId="77777777" w:rsidR="00454C23" w:rsidRPr="00B70E62" w:rsidRDefault="00454C23">
      <w:pPr>
        <w:jc w:val="both"/>
        <w:rPr>
          <w:rFonts w:ascii="Arial" w:hAnsi="Arial" w:cs="Arial"/>
          <w:sz w:val="20"/>
          <w:szCs w:val="20"/>
        </w:rPr>
      </w:pPr>
      <w:r>
        <w:rPr>
          <w:rFonts w:ascii="Arial" w:hAnsi="Arial"/>
          <w:sz w:val="20"/>
          <w:szCs w:val="20"/>
        </w:rPr>
        <w:t>Arbetsgruppen samlades sammanlagt 13 gånger och ordnade två höranden. I enlighet med sitt uppdrag granskade arbetsgruppen om högskoleuppfinningslagen är ajour och gjorde de tekniska ändringar som särskilt krävdes med anledning av ändringar av universitetslagen, yrkeshögskolelagen och lagen om Finlands Akademi. Arbetsgruppen har också behandlat olika alternativ i fråga om precisering av paragraferna om överföring av rättigheter och gått igenom bestämmelserna om datorprogram och databaser. När det gäller de sistnämnda ämnesområdena har den internationella regleringen kartlagts preliminärt. Arbetsgruppen har i sin beredning utnyttjat intressegruppsintervjuer från hösten 2015 samt svar på en enkät som riktade sig till högskolor och andra intressegrupper och genomfördes våren 2016. Arbetsgruppen har hört följande sakkunniga: chef för innovationstjänster Harri Länsipuro vid Tammerfors tekniska universitet, professor Tomi Männistö vid Helsingfors universitet och professor Niklas Bruun vid IPR University Center.</w:t>
      </w:r>
    </w:p>
    <w:p w14:paraId="6BAAD5B5" w14:textId="41EDBE3F" w:rsidR="008E18EA" w:rsidRPr="00B70E62" w:rsidRDefault="002A32E3" w:rsidP="002A32E3">
      <w:pPr>
        <w:pStyle w:val="Luettelokappale"/>
        <w:numPr>
          <w:ilvl w:val="1"/>
          <w:numId w:val="19"/>
        </w:numPr>
        <w:jc w:val="both"/>
        <w:rPr>
          <w:rFonts w:ascii="Arial" w:hAnsi="Arial" w:cs="Arial"/>
          <w:sz w:val="20"/>
          <w:szCs w:val="20"/>
        </w:rPr>
      </w:pPr>
      <w:r>
        <w:rPr>
          <w:rFonts w:ascii="Arial" w:hAnsi="Arial"/>
          <w:sz w:val="20"/>
          <w:szCs w:val="20"/>
        </w:rPr>
        <w:t>Remissyttranden och hur de har beaktats</w:t>
      </w:r>
    </w:p>
    <w:p w14:paraId="58A850E0" w14:textId="67F38082" w:rsidR="002A32E3" w:rsidRPr="00B70E62" w:rsidRDefault="002A32E3" w:rsidP="00C254FA">
      <w:pPr>
        <w:pStyle w:val="Luettelokappale"/>
        <w:ind w:left="0"/>
        <w:jc w:val="both"/>
        <w:rPr>
          <w:rFonts w:ascii="Arial" w:hAnsi="Arial" w:cs="Arial"/>
          <w:sz w:val="20"/>
          <w:szCs w:val="20"/>
        </w:rPr>
      </w:pPr>
      <w:r>
        <w:rPr>
          <w:rFonts w:ascii="Arial" w:hAnsi="Arial"/>
          <w:sz w:val="20"/>
          <w:szCs w:val="20"/>
        </w:rPr>
        <w:t>……..</w:t>
      </w:r>
    </w:p>
    <w:p w14:paraId="0395FC68" w14:textId="77777777" w:rsidR="002A32E3" w:rsidRPr="00B70E62" w:rsidRDefault="002A32E3" w:rsidP="00C254FA">
      <w:pPr>
        <w:pStyle w:val="Luettelokappale"/>
        <w:ind w:left="0"/>
        <w:jc w:val="both"/>
        <w:rPr>
          <w:rFonts w:ascii="Arial" w:hAnsi="Arial" w:cs="Arial"/>
          <w:sz w:val="20"/>
          <w:szCs w:val="20"/>
        </w:rPr>
      </w:pPr>
    </w:p>
    <w:p w14:paraId="13D5757F" w14:textId="036984F3" w:rsidR="00FA5F47" w:rsidRPr="00B70E62" w:rsidRDefault="00FA5F47" w:rsidP="00750BD4">
      <w:pPr>
        <w:rPr>
          <w:rFonts w:ascii="Arial" w:hAnsi="Arial" w:cs="Arial"/>
          <w:sz w:val="20"/>
          <w:szCs w:val="20"/>
        </w:rPr>
      </w:pPr>
    </w:p>
    <w:p w14:paraId="7F093C9C" w14:textId="35C3E7FE" w:rsidR="004C40B2" w:rsidRPr="00B70E62" w:rsidRDefault="004C40B2" w:rsidP="00E638D5">
      <w:pPr>
        <w:jc w:val="both"/>
        <w:rPr>
          <w:rFonts w:ascii="Arial" w:hAnsi="Arial" w:cs="Arial"/>
          <w:sz w:val="20"/>
          <w:szCs w:val="20"/>
        </w:rPr>
      </w:pPr>
      <w:r>
        <w:rPr>
          <w:rFonts w:ascii="Arial" w:hAnsi="Arial"/>
          <w:sz w:val="20"/>
          <w:szCs w:val="20"/>
        </w:rPr>
        <w:t>DETALJMOTIVERING</w:t>
      </w:r>
    </w:p>
    <w:p w14:paraId="206724B6" w14:textId="40763FC5" w:rsidR="004C40B2" w:rsidRPr="00B70E62" w:rsidRDefault="004C40B2" w:rsidP="00750BD4">
      <w:pPr>
        <w:pStyle w:val="Luettelokappale"/>
        <w:numPr>
          <w:ilvl w:val="0"/>
          <w:numId w:val="23"/>
        </w:numPr>
        <w:rPr>
          <w:rFonts w:ascii="Arial" w:hAnsi="Arial" w:cs="Arial"/>
          <w:sz w:val="20"/>
          <w:szCs w:val="20"/>
        </w:rPr>
      </w:pPr>
      <w:r>
        <w:rPr>
          <w:rFonts w:ascii="Arial" w:hAnsi="Arial"/>
          <w:sz w:val="20"/>
          <w:szCs w:val="20"/>
        </w:rPr>
        <w:t>Lagförslag</w:t>
      </w:r>
    </w:p>
    <w:p w14:paraId="2FF80D4B" w14:textId="5DD09490" w:rsidR="00552D4A" w:rsidRPr="00B70E62" w:rsidRDefault="00552D4A" w:rsidP="00552D4A">
      <w:pPr>
        <w:tabs>
          <w:tab w:val="center" w:pos="4513"/>
        </w:tabs>
        <w:jc w:val="both"/>
        <w:rPr>
          <w:rFonts w:ascii="Arial" w:hAnsi="Arial" w:cs="Arial"/>
          <w:sz w:val="20"/>
          <w:szCs w:val="20"/>
        </w:rPr>
      </w:pPr>
      <w:r>
        <w:rPr>
          <w:rFonts w:ascii="Arial" w:hAnsi="Arial"/>
          <w:b/>
          <w:bCs/>
          <w:sz w:val="20"/>
          <w:szCs w:val="20"/>
        </w:rPr>
        <w:t>1 §.</w:t>
      </w:r>
      <w:r>
        <w:rPr>
          <w:rFonts w:ascii="Arial" w:hAnsi="Arial"/>
          <w:b/>
          <w:sz w:val="20"/>
          <w:szCs w:val="20"/>
        </w:rPr>
        <w:t xml:space="preserve"> </w:t>
      </w:r>
      <w:r>
        <w:rPr>
          <w:rFonts w:ascii="Arial" w:hAnsi="Arial"/>
          <w:i/>
          <w:sz w:val="20"/>
          <w:szCs w:val="20"/>
        </w:rPr>
        <w:t xml:space="preserve">Lagens </w:t>
      </w:r>
      <w:r>
        <w:rPr>
          <w:rFonts w:ascii="Arial" w:hAnsi="Arial"/>
          <w:i/>
          <w:iCs/>
          <w:sz w:val="20"/>
          <w:szCs w:val="20"/>
        </w:rPr>
        <w:t>tillämpningsområde.</w:t>
      </w:r>
    </w:p>
    <w:p w14:paraId="5A22D268" w14:textId="6ADFFA31" w:rsidR="00552D4A" w:rsidRPr="00B70E62" w:rsidRDefault="00552D4A" w:rsidP="00552D4A">
      <w:pPr>
        <w:tabs>
          <w:tab w:val="center" w:pos="4513"/>
        </w:tabs>
        <w:jc w:val="both"/>
        <w:rPr>
          <w:rFonts w:ascii="Arial" w:hAnsi="Arial" w:cs="Arial"/>
          <w:sz w:val="20"/>
          <w:szCs w:val="20"/>
        </w:rPr>
      </w:pPr>
      <w:r>
        <w:rPr>
          <w:rFonts w:ascii="Arial" w:hAnsi="Arial"/>
          <w:sz w:val="20"/>
          <w:szCs w:val="20"/>
        </w:rPr>
        <w:t>Paragrafens 2 mom. stryks.</w:t>
      </w:r>
    </w:p>
    <w:p w14:paraId="04EEC9A9" w14:textId="6D1A8FFB" w:rsidR="00552D4A" w:rsidRPr="00B70E62" w:rsidRDefault="00A63C71" w:rsidP="00552D4A">
      <w:pPr>
        <w:tabs>
          <w:tab w:val="center" w:pos="4513"/>
        </w:tabs>
        <w:jc w:val="both"/>
        <w:rPr>
          <w:rFonts w:ascii="Arial" w:hAnsi="Arial" w:cs="Arial"/>
          <w:sz w:val="20"/>
          <w:szCs w:val="20"/>
        </w:rPr>
      </w:pPr>
      <w:r>
        <w:rPr>
          <w:rFonts w:ascii="Arial" w:hAnsi="Arial"/>
          <w:sz w:val="20"/>
          <w:szCs w:val="20"/>
        </w:rPr>
        <w:t>”Denna lag tillämpas också på uppfinningar som personer i forskartjänst vid Finlands Akademi gör vid finländska högskolor och som kan skyddas med patent i Finland.”</w:t>
      </w:r>
    </w:p>
    <w:p w14:paraId="57BAFEC2" w14:textId="26B0E3E0" w:rsidR="002033F4" w:rsidRPr="00B70E62" w:rsidRDefault="002033F4" w:rsidP="00552D4A">
      <w:pPr>
        <w:tabs>
          <w:tab w:val="center" w:pos="4513"/>
        </w:tabs>
        <w:jc w:val="both"/>
        <w:rPr>
          <w:rFonts w:ascii="Arial" w:hAnsi="Arial" w:cs="Arial"/>
          <w:sz w:val="20"/>
          <w:szCs w:val="20"/>
        </w:rPr>
      </w:pPr>
      <w:r>
        <w:rPr>
          <w:rFonts w:ascii="Arial" w:hAnsi="Arial"/>
          <w:sz w:val="20"/>
          <w:szCs w:val="20"/>
        </w:rPr>
        <w:t>Orsaken till strykningen är en ändring av lagen om Finlands Akademi.</w:t>
      </w:r>
    </w:p>
    <w:p w14:paraId="3BCC3251" w14:textId="76E2E236" w:rsidR="00552D4A" w:rsidRPr="00B70E62" w:rsidRDefault="00552D4A" w:rsidP="00552D4A">
      <w:pPr>
        <w:tabs>
          <w:tab w:val="center" w:pos="4513"/>
        </w:tabs>
        <w:jc w:val="both"/>
        <w:rPr>
          <w:rFonts w:ascii="Arial" w:hAnsi="Arial" w:cs="Arial"/>
          <w:i/>
          <w:sz w:val="20"/>
          <w:szCs w:val="20"/>
        </w:rPr>
      </w:pPr>
      <w:r>
        <w:rPr>
          <w:rFonts w:ascii="Arial" w:hAnsi="Arial"/>
          <w:b/>
          <w:bCs/>
          <w:sz w:val="20"/>
          <w:szCs w:val="20"/>
        </w:rPr>
        <w:t>3 §.</w:t>
      </w:r>
      <w:r>
        <w:rPr>
          <w:rFonts w:ascii="Arial" w:hAnsi="Arial"/>
          <w:sz w:val="20"/>
          <w:szCs w:val="20"/>
        </w:rPr>
        <w:t xml:space="preserve"> </w:t>
      </w:r>
      <w:r>
        <w:rPr>
          <w:rFonts w:ascii="Arial" w:hAnsi="Arial"/>
          <w:i/>
          <w:iCs/>
          <w:sz w:val="20"/>
          <w:szCs w:val="20"/>
        </w:rPr>
        <w:t>Definitioner.</w:t>
      </w:r>
    </w:p>
    <w:p w14:paraId="3E3FD9F0" w14:textId="0B26DD6C" w:rsidR="00A63C71" w:rsidRPr="00B70E62" w:rsidRDefault="00750BD4" w:rsidP="00A63C71">
      <w:pPr>
        <w:tabs>
          <w:tab w:val="center" w:pos="4513"/>
        </w:tabs>
        <w:jc w:val="both"/>
        <w:rPr>
          <w:rFonts w:ascii="Arial" w:hAnsi="Arial" w:cs="Arial"/>
          <w:sz w:val="20"/>
          <w:szCs w:val="20"/>
        </w:rPr>
      </w:pPr>
      <w:r>
        <w:rPr>
          <w:rFonts w:ascii="Arial" w:hAnsi="Arial"/>
          <w:sz w:val="20"/>
          <w:szCs w:val="20"/>
        </w:rPr>
        <w:lastRenderedPageBreak/>
        <w:t>Bestämmelserna i 1 mom. 1 punkten i paragrafen ändras så att de motsvarar de ändringar av annan lagstiftning som gjorts efter det att bestämmelserna utfärdats. Till paragrafens 1 mom. 1 punkt fogas Polisyrkeshögskolan (1164/2013) och Yrkeshögskolan på Åland enligt följande:</w:t>
      </w:r>
    </w:p>
    <w:p w14:paraId="29BCDB79" w14:textId="11AE03BD" w:rsidR="00552D4A" w:rsidRPr="00B70E62" w:rsidRDefault="00FB3D38" w:rsidP="00552D4A">
      <w:pPr>
        <w:tabs>
          <w:tab w:val="center" w:pos="4513"/>
        </w:tabs>
        <w:jc w:val="both"/>
        <w:rPr>
          <w:rFonts w:ascii="Arial" w:hAnsi="Arial" w:cs="Arial"/>
          <w:sz w:val="20"/>
          <w:szCs w:val="20"/>
        </w:rPr>
      </w:pPr>
      <w:r>
        <w:rPr>
          <w:rFonts w:ascii="Arial" w:hAnsi="Arial"/>
          <w:sz w:val="20"/>
          <w:szCs w:val="20"/>
        </w:rPr>
        <w:t>”I denna lag avses med</w:t>
      </w:r>
    </w:p>
    <w:p w14:paraId="18B0847B" w14:textId="283573C3" w:rsidR="00A63C71" w:rsidRPr="00B70E62" w:rsidRDefault="00A63C71" w:rsidP="00A63C71">
      <w:pPr>
        <w:tabs>
          <w:tab w:val="center" w:pos="4513"/>
        </w:tabs>
        <w:jc w:val="both"/>
        <w:rPr>
          <w:rFonts w:ascii="Arial" w:hAnsi="Arial" w:cs="Arial"/>
          <w:sz w:val="20"/>
          <w:szCs w:val="20"/>
        </w:rPr>
      </w:pPr>
      <w:r>
        <w:rPr>
          <w:rFonts w:ascii="Arial" w:hAnsi="Arial"/>
          <w:sz w:val="20"/>
          <w:szCs w:val="20"/>
        </w:rPr>
        <w:t xml:space="preserve">1) </w:t>
      </w:r>
      <w:r>
        <w:rPr>
          <w:rFonts w:ascii="Arial" w:hAnsi="Arial"/>
          <w:i/>
          <w:iCs/>
          <w:sz w:val="20"/>
          <w:szCs w:val="20"/>
        </w:rPr>
        <w:t>högskolor</w:t>
      </w:r>
      <w:r>
        <w:rPr>
          <w:rFonts w:ascii="Arial" w:hAnsi="Arial"/>
          <w:sz w:val="20"/>
          <w:szCs w:val="20"/>
        </w:rPr>
        <w:t xml:space="preserve"> universitet enligt universitetslagen (558/2009), Försvarshögskolan som avses i lagen om Försvarshögskolan (1121/2008), </w:t>
      </w:r>
      <w:r>
        <w:rPr>
          <w:rFonts w:ascii="Arial" w:hAnsi="Arial"/>
          <w:i/>
          <w:iCs/>
          <w:sz w:val="20"/>
          <w:szCs w:val="20"/>
        </w:rPr>
        <w:t>Polisyrkeshögskolan</w:t>
      </w:r>
      <w:r>
        <w:rPr>
          <w:rFonts w:ascii="Arial" w:hAnsi="Arial"/>
          <w:sz w:val="20"/>
          <w:szCs w:val="20"/>
        </w:rPr>
        <w:t xml:space="preserve">, de yrkeshögskolor som avses i yrkeshögskolelagen (1164/2013) och separata inrättningar som lyder under eller är gemensamma för dem samt </w:t>
      </w:r>
      <w:r>
        <w:rPr>
          <w:rFonts w:ascii="Arial" w:hAnsi="Arial"/>
          <w:i/>
          <w:iCs/>
          <w:sz w:val="20"/>
          <w:szCs w:val="20"/>
        </w:rPr>
        <w:t>Yrkeshögskolan på Åland</w:t>
      </w:r>
      <w:r>
        <w:rPr>
          <w:rFonts w:ascii="Arial" w:hAnsi="Arial"/>
          <w:sz w:val="20"/>
          <w:szCs w:val="20"/>
        </w:rPr>
        <w:t>, (31.1.2013/103) [RP 124/2012 rd]”</w:t>
      </w:r>
    </w:p>
    <w:p w14:paraId="2760AA40" w14:textId="3B98F1A8" w:rsidR="00FB3D38" w:rsidRPr="00B70E62" w:rsidRDefault="000426CE" w:rsidP="006F25FB">
      <w:pPr>
        <w:spacing w:before="100" w:beforeAutospacing="1" w:after="100" w:afterAutospacing="1"/>
        <w:jc w:val="both"/>
        <w:rPr>
          <w:rFonts w:ascii="Arial" w:eastAsia="Times New Roman" w:hAnsi="Arial" w:cs="Arial"/>
          <w:i/>
          <w:sz w:val="20"/>
          <w:szCs w:val="20"/>
        </w:rPr>
      </w:pPr>
      <w:r>
        <w:rPr>
          <w:rFonts w:ascii="Arial" w:hAnsi="Arial"/>
          <w:b/>
          <w:bCs/>
          <w:sz w:val="20"/>
          <w:szCs w:val="20"/>
        </w:rPr>
        <w:t>6 §.</w:t>
      </w:r>
      <w:r>
        <w:rPr>
          <w:rFonts w:ascii="Arial" w:hAnsi="Arial"/>
          <w:sz w:val="20"/>
          <w:szCs w:val="20"/>
        </w:rPr>
        <w:t xml:space="preserve"> </w:t>
      </w:r>
      <w:r>
        <w:rPr>
          <w:rFonts w:ascii="Arial" w:hAnsi="Arial"/>
          <w:i/>
          <w:sz w:val="20"/>
          <w:szCs w:val="20"/>
        </w:rPr>
        <w:t>Högskolans rätt till en uppfinning i öppen forskning.</w:t>
      </w:r>
    </w:p>
    <w:p w14:paraId="0D4943EC" w14:textId="3AEDCC0E" w:rsidR="00A704EC" w:rsidRPr="00B70E62" w:rsidRDefault="00A704EC" w:rsidP="006F25FB">
      <w:pPr>
        <w:spacing w:before="100" w:beforeAutospacing="1" w:after="100" w:afterAutospacing="1"/>
        <w:jc w:val="both"/>
        <w:rPr>
          <w:rFonts w:ascii="Arial" w:eastAsia="Times New Roman" w:hAnsi="Arial" w:cs="Arial"/>
          <w:sz w:val="20"/>
          <w:szCs w:val="20"/>
        </w:rPr>
      </w:pPr>
      <w:r>
        <w:rPr>
          <w:rFonts w:ascii="Arial" w:hAnsi="Arial"/>
          <w:sz w:val="20"/>
          <w:szCs w:val="20"/>
        </w:rPr>
        <w:t>Paragrafens 1 mom. ändras.</w:t>
      </w:r>
    </w:p>
    <w:p w14:paraId="726805FD" w14:textId="3DF1A314" w:rsidR="00931977" w:rsidRPr="00B70E62" w:rsidRDefault="00A704EC" w:rsidP="006F25FB">
      <w:pPr>
        <w:spacing w:before="100" w:beforeAutospacing="1" w:after="100" w:afterAutospacing="1"/>
        <w:jc w:val="both"/>
        <w:rPr>
          <w:rFonts w:ascii="Arial" w:eastAsia="Times New Roman" w:hAnsi="Arial" w:cs="Arial"/>
          <w:sz w:val="20"/>
          <w:szCs w:val="20"/>
        </w:rPr>
      </w:pPr>
      <w:r>
        <w:rPr>
          <w:rFonts w:ascii="Arial" w:hAnsi="Arial"/>
          <w:sz w:val="20"/>
          <w:szCs w:val="20"/>
        </w:rPr>
        <w:t>”</w:t>
      </w:r>
      <w:r>
        <w:rPr>
          <w:rFonts w:ascii="Arial" w:hAnsi="Arial"/>
          <w:i/>
          <w:iCs/>
          <w:sz w:val="20"/>
          <w:szCs w:val="20"/>
        </w:rPr>
        <w:t>I det fall att inte någonting annat överenskommits i öppen forskning,</w:t>
      </w:r>
      <w:r>
        <w:rPr>
          <w:rFonts w:ascii="Arial" w:hAnsi="Arial"/>
          <w:sz w:val="20"/>
          <w:szCs w:val="20"/>
        </w:rPr>
        <w:t xml:space="preserve"> kan högskolan överta rättigheterna till en uppfinning som tillkommit i öppen forskning, om uppfinnaren inte inom sex månader från en anmälan enligt 5 § 1 mom. har publicerat uppfinningen eller meddelat sin vilja att själv utnyttja uppfinningen. Ett meddelande om att rättigheterna övertas ska göras skriftligen, och högskolan ska innan meddelandet ges fråga uppfinnaren om han eller hon har för avsikt att själv utnyttja uppfinningen.”</w:t>
      </w:r>
    </w:p>
    <w:p w14:paraId="1BBAC229" w14:textId="04DE1C29" w:rsidR="002033F4" w:rsidRPr="00B70E62" w:rsidRDefault="002033F4" w:rsidP="006F25FB">
      <w:pPr>
        <w:spacing w:before="100" w:beforeAutospacing="1" w:after="100" w:afterAutospacing="1"/>
        <w:jc w:val="both"/>
        <w:rPr>
          <w:rFonts w:ascii="Arial" w:eastAsia="Times New Roman" w:hAnsi="Arial" w:cs="Arial"/>
          <w:sz w:val="20"/>
          <w:szCs w:val="20"/>
        </w:rPr>
      </w:pPr>
      <w:r>
        <w:rPr>
          <w:rFonts w:ascii="Arial" w:hAnsi="Arial"/>
          <w:sz w:val="20"/>
          <w:szCs w:val="20"/>
        </w:rPr>
        <w:t>Syftet med ändringen är att också i öppen forskning ändra överföringen av rättigheter till att i större utsträckning omfattas av avtalsfrihet. Det är ändamålsenligt att högskolorna har ett incitament att i enlighet med sina behov avtala redan på förhand om överföringen av rättigheter och inte så att rättigheterna utreds först när det redan finns konkreta planer för utnyttjandet av dem.</w:t>
      </w:r>
    </w:p>
    <w:p w14:paraId="66B74D20" w14:textId="48089F77" w:rsidR="00A37BD8" w:rsidRPr="00B70E62" w:rsidRDefault="00A37BD8" w:rsidP="006F25FB">
      <w:pPr>
        <w:spacing w:before="100" w:beforeAutospacing="1" w:after="100" w:afterAutospacing="1"/>
        <w:jc w:val="both"/>
        <w:rPr>
          <w:rFonts w:ascii="Arial" w:eastAsia="Times New Roman" w:hAnsi="Arial" w:cs="Arial"/>
          <w:sz w:val="20"/>
          <w:szCs w:val="20"/>
        </w:rPr>
      </w:pPr>
      <w:r>
        <w:rPr>
          <w:rFonts w:ascii="Arial" w:hAnsi="Arial"/>
          <w:sz w:val="20"/>
          <w:szCs w:val="20"/>
        </w:rPr>
        <w:t>I enlighet med rådande praxis ska ett datorprogram som anknyter till en uppfinning anses vara en del av uppfinningen så att också rättigheterna till det datorprogrammet överförs genom samma avtal eller med stöd av tillämplig lagbestämmelse.</w:t>
      </w:r>
    </w:p>
    <w:p w14:paraId="0DDA70CD" w14:textId="77777777" w:rsidR="00ED5957" w:rsidRPr="00B70E62" w:rsidRDefault="00ED5957" w:rsidP="006F25FB">
      <w:pPr>
        <w:spacing w:before="100" w:beforeAutospacing="1" w:after="100" w:afterAutospacing="1"/>
        <w:jc w:val="both"/>
        <w:rPr>
          <w:rFonts w:ascii="Arial" w:eastAsia="Times New Roman" w:hAnsi="Arial" w:cs="Arial"/>
          <w:i/>
          <w:sz w:val="20"/>
          <w:szCs w:val="20"/>
        </w:rPr>
      </w:pPr>
    </w:p>
    <w:p w14:paraId="24CCDC55" w14:textId="2F7FEB21" w:rsidR="004C40B2" w:rsidRPr="00B70E62" w:rsidRDefault="004C40B2" w:rsidP="00A704EC">
      <w:pPr>
        <w:pStyle w:val="Luettelokappale"/>
        <w:numPr>
          <w:ilvl w:val="0"/>
          <w:numId w:val="23"/>
        </w:numPr>
        <w:rPr>
          <w:rFonts w:ascii="Arial" w:hAnsi="Arial" w:cs="Arial"/>
          <w:sz w:val="20"/>
          <w:szCs w:val="20"/>
        </w:rPr>
      </w:pPr>
      <w:r>
        <w:rPr>
          <w:rFonts w:ascii="Arial" w:hAnsi="Arial"/>
          <w:sz w:val="20"/>
          <w:szCs w:val="20"/>
        </w:rPr>
        <w:t>Ikraftträdande</w:t>
      </w:r>
    </w:p>
    <w:p w14:paraId="622D809E" w14:textId="343F8D4E" w:rsidR="00E638D5" w:rsidRPr="00B70E62" w:rsidRDefault="00E638D5" w:rsidP="00E638D5">
      <w:pPr>
        <w:jc w:val="both"/>
        <w:rPr>
          <w:rFonts w:ascii="Arial" w:hAnsi="Arial" w:cs="Arial"/>
          <w:sz w:val="20"/>
          <w:szCs w:val="20"/>
        </w:rPr>
      </w:pPr>
      <w:r>
        <w:rPr>
          <w:rFonts w:ascii="Arial" w:hAnsi="Arial"/>
          <w:sz w:val="20"/>
          <w:szCs w:val="20"/>
        </w:rPr>
        <w:t>Lagen föreslås träda i kraft den 1 januari 2019.</w:t>
      </w:r>
    </w:p>
    <w:p w14:paraId="051CC9FF" w14:textId="77777777" w:rsidR="00ED5957" w:rsidRPr="00B70E62" w:rsidRDefault="00ED5957" w:rsidP="00E638D5">
      <w:pPr>
        <w:jc w:val="both"/>
        <w:rPr>
          <w:rFonts w:ascii="Arial" w:hAnsi="Arial" w:cs="Arial"/>
          <w:sz w:val="20"/>
          <w:szCs w:val="20"/>
        </w:rPr>
      </w:pPr>
    </w:p>
    <w:p w14:paraId="06AC2224" w14:textId="5F2CCE67" w:rsidR="00814735" w:rsidRPr="00B70E62" w:rsidRDefault="00A83F61" w:rsidP="00A704EC">
      <w:pPr>
        <w:pStyle w:val="Luettelokappale"/>
        <w:numPr>
          <w:ilvl w:val="0"/>
          <w:numId w:val="23"/>
        </w:numPr>
        <w:rPr>
          <w:rFonts w:ascii="Arial" w:hAnsi="Arial" w:cs="Arial"/>
          <w:sz w:val="20"/>
          <w:szCs w:val="20"/>
        </w:rPr>
      </w:pPr>
      <w:r>
        <w:rPr>
          <w:rFonts w:ascii="Arial" w:hAnsi="Arial"/>
          <w:sz w:val="20"/>
          <w:szCs w:val="20"/>
        </w:rPr>
        <w:t>Förhållande till grundlagen samt lagstiftningsordning</w:t>
      </w:r>
    </w:p>
    <w:p w14:paraId="5A8121C4" w14:textId="6ADD283E" w:rsidR="004B3782" w:rsidRPr="00B70E62" w:rsidRDefault="006416B6" w:rsidP="004C246E">
      <w:pPr>
        <w:spacing w:before="100" w:beforeAutospacing="1" w:after="100" w:afterAutospacing="1" w:line="240" w:lineRule="auto"/>
        <w:rPr>
          <w:rFonts w:ascii="Arial" w:eastAsia="Times New Roman" w:hAnsi="Arial" w:cs="Arial"/>
          <w:sz w:val="20"/>
          <w:szCs w:val="20"/>
        </w:rPr>
      </w:pPr>
      <w:r>
        <w:rPr>
          <w:rFonts w:ascii="Arial" w:hAnsi="Arial"/>
          <w:sz w:val="20"/>
          <w:szCs w:val="20"/>
        </w:rPr>
        <w:t xml:space="preserve">Grundlagsutskottet har i ett utlåtande (GrUU 28/2005 rd) slagit fast bl.a. följande om högskoleuppfinningslagen: </w:t>
      </w:r>
    </w:p>
    <w:p w14:paraId="14A67268" w14:textId="20629109" w:rsidR="004C246E" w:rsidRPr="00B70E62" w:rsidRDefault="006416B6" w:rsidP="00C81208">
      <w:pPr>
        <w:jc w:val="both"/>
        <w:rPr>
          <w:rFonts w:ascii="Arial" w:eastAsia="Times New Roman" w:hAnsi="Arial" w:cs="Arial"/>
          <w:sz w:val="20"/>
          <w:szCs w:val="20"/>
        </w:rPr>
      </w:pPr>
      <w:r>
        <w:rPr>
          <w:rFonts w:ascii="Arial" w:hAnsi="Arial"/>
          <w:sz w:val="20"/>
          <w:szCs w:val="20"/>
        </w:rPr>
        <w:t>”Den föreslagna regleringen innebär enligt utskottets bedömning inget oskäligt ingripande i forskarnas grundläggande fri- och rättigheter. Med hänsyn till det ovan relaterade står det också klart att det inte handlar om överföring utan villkor och begränsningar av immateriell rättighet jämförbar med expropriation enligt 15 § 2 mom. i grundlagen (GrUU 28/2004 rd, s. 4).”</w:t>
      </w:r>
    </w:p>
    <w:p w14:paraId="507FC384" w14:textId="7580023A" w:rsidR="004C246E" w:rsidRPr="00B70E62" w:rsidRDefault="006416B6" w:rsidP="00C81208">
      <w:pPr>
        <w:jc w:val="both"/>
        <w:rPr>
          <w:rFonts w:ascii="Arial" w:eastAsia="Times New Roman" w:hAnsi="Arial" w:cs="Arial"/>
          <w:sz w:val="20"/>
          <w:szCs w:val="20"/>
        </w:rPr>
      </w:pPr>
      <w:r>
        <w:rPr>
          <w:rFonts w:ascii="Arial" w:hAnsi="Arial"/>
          <w:sz w:val="20"/>
          <w:szCs w:val="20"/>
        </w:rPr>
        <w:t xml:space="preserve">Grundlagsutskottet ansåg att förslaget innehåller adekvata bestämmelser om uppfinnarens rätt till skälig ersättning. Betydelsefulla med tanke på rättsskyddet är lagförslagets 5 § om uppfinningsanmälan och 12 § om fördelning av bevisbördan. Eventuella tvister om rätt till uppfinning kan föreläggas domstol. I dessa bestämmelser föreslås inga ändringar. Grundlagsutskottet ansåg i sitt utlåtande 28/2005 rd att bestämmelserna om överföring av rätt till uppfinning till högskolan inte påverkar behandlingsordningen. Ett förbud mot offentliggörande i samband med sökande av patent innebar enligt grundlagsutskottet </w:t>
      </w:r>
      <w:r>
        <w:rPr>
          <w:rFonts w:ascii="Arial" w:hAnsi="Arial"/>
          <w:sz w:val="20"/>
          <w:szCs w:val="20"/>
        </w:rPr>
        <w:lastRenderedPageBreak/>
        <w:t>inte en för stor begränsning av forskarens yttrandefrihet, eftersom det var motiverat och ett bland annat tidsmässigt begränsat arrangemang för tryggande av patenteringen.</w:t>
      </w:r>
    </w:p>
    <w:p w14:paraId="507C8096" w14:textId="2BDF396F" w:rsidR="006416B6" w:rsidRPr="00B70E62" w:rsidRDefault="006416B6" w:rsidP="00C81208">
      <w:pPr>
        <w:jc w:val="both"/>
        <w:rPr>
          <w:rFonts w:ascii="Arial" w:eastAsia="Times New Roman" w:hAnsi="Arial" w:cs="Arial"/>
          <w:sz w:val="20"/>
          <w:szCs w:val="20"/>
        </w:rPr>
      </w:pPr>
      <w:r>
        <w:rPr>
          <w:rFonts w:ascii="Arial" w:hAnsi="Arial"/>
          <w:sz w:val="20"/>
          <w:szCs w:val="20"/>
        </w:rPr>
        <w:t>I denna regeringsproposition ändras bestämmelserna om öppen forskning till dispositiva bestämmelser. Utgångspunkten är att forskaren inte har kontraheringsplikt. Högskolan ska ha ett incitament att se till att avtalsverksamheten och ersättningssystemen är på en konkurrenskraftig nivå.</w:t>
      </w:r>
    </w:p>
    <w:p w14:paraId="535DC7F8" w14:textId="69680E25" w:rsidR="006416B6" w:rsidRPr="00B70E62" w:rsidRDefault="00A6426F" w:rsidP="00C81208">
      <w:pPr>
        <w:jc w:val="both"/>
        <w:rPr>
          <w:rFonts w:ascii="Arial" w:eastAsia="Times New Roman" w:hAnsi="Arial" w:cs="Arial"/>
          <w:sz w:val="20"/>
          <w:szCs w:val="20"/>
        </w:rPr>
      </w:pPr>
      <w:r>
        <w:rPr>
          <w:rFonts w:ascii="Arial" w:hAnsi="Arial"/>
          <w:sz w:val="20"/>
          <w:szCs w:val="20"/>
        </w:rPr>
        <w:t>Regeringen anser att den föreslagna lagen kan stiftas i vanlig lagstiftningsordning.</w:t>
      </w:r>
    </w:p>
    <w:p w14:paraId="4FCD47E4" w14:textId="77777777" w:rsidR="006416B6" w:rsidRPr="00B70E62" w:rsidRDefault="006416B6" w:rsidP="004C246E">
      <w:pPr>
        <w:spacing w:before="100" w:beforeAutospacing="1" w:after="100" w:afterAutospacing="1" w:line="240" w:lineRule="auto"/>
        <w:rPr>
          <w:rFonts w:ascii="Arial" w:eastAsia="Times New Roman" w:hAnsi="Arial" w:cs="Arial"/>
          <w:sz w:val="20"/>
          <w:szCs w:val="20"/>
          <w:lang w:eastAsia="fi-FI"/>
        </w:rPr>
      </w:pPr>
    </w:p>
    <w:p w14:paraId="114BC4A8" w14:textId="66F668B2" w:rsidR="004C246E" w:rsidRPr="00B70E62" w:rsidRDefault="00A31743" w:rsidP="00E638D5">
      <w:pPr>
        <w:jc w:val="both"/>
        <w:rPr>
          <w:rFonts w:ascii="Arial" w:hAnsi="Arial" w:cs="Arial"/>
          <w:sz w:val="20"/>
          <w:szCs w:val="20"/>
        </w:rPr>
      </w:pPr>
      <w:r>
        <w:rPr>
          <w:rFonts w:ascii="Arial" w:hAnsi="Arial"/>
          <w:sz w:val="20"/>
          <w:szCs w:val="20"/>
        </w:rPr>
        <w:t>Med stöd av vad som anförts ovan föreläggs riksdagen följande lagförslag:</w:t>
      </w:r>
    </w:p>
    <w:p w14:paraId="7C454D0A" w14:textId="585E619B" w:rsidR="00A31743" w:rsidRPr="00B70E62" w:rsidRDefault="00A31743">
      <w:pPr>
        <w:rPr>
          <w:rFonts w:ascii="Arial" w:hAnsi="Arial" w:cs="Arial"/>
          <w:sz w:val="20"/>
          <w:szCs w:val="20"/>
        </w:rPr>
      </w:pPr>
      <w:r>
        <w:br w:type="page"/>
      </w:r>
    </w:p>
    <w:p w14:paraId="37D34E3A" w14:textId="77777777" w:rsidR="00A31743" w:rsidRPr="00B70E62" w:rsidRDefault="00A31743" w:rsidP="00E638D5">
      <w:pPr>
        <w:jc w:val="both"/>
        <w:rPr>
          <w:rFonts w:ascii="Arial" w:hAnsi="Arial" w:cs="Arial"/>
          <w:sz w:val="20"/>
          <w:szCs w:val="20"/>
        </w:rPr>
      </w:pPr>
    </w:p>
    <w:p w14:paraId="22C417CE" w14:textId="27D4E73F" w:rsidR="009076CB" w:rsidRPr="00B70E62" w:rsidRDefault="004C40B2" w:rsidP="00011D8E">
      <w:pPr>
        <w:ind w:left="3912" w:firstLine="1304"/>
        <w:jc w:val="both"/>
        <w:rPr>
          <w:rFonts w:ascii="Arial" w:hAnsi="Arial" w:cs="Arial"/>
          <w:sz w:val="20"/>
          <w:szCs w:val="20"/>
        </w:rPr>
      </w:pPr>
      <w:r>
        <w:rPr>
          <w:rFonts w:ascii="Arial" w:hAnsi="Arial"/>
          <w:sz w:val="20"/>
          <w:szCs w:val="20"/>
        </w:rPr>
        <w:t xml:space="preserve">LAGFÖRSLAG </w:t>
      </w:r>
    </w:p>
    <w:p w14:paraId="58139B68" w14:textId="77777777" w:rsidR="009E5E83" w:rsidRPr="00B70E62" w:rsidRDefault="00011D8E" w:rsidP="00E638D5">
      <w:pPr>
        <w:jc w:val="both"/>
        <w:rPr>
          <w:rFonts w:ascii="Arial" w:hAnsi="Arial" w:cs="Arial"/>
          <w:sz w:val="20"/>
          <w:szCs w:val="20"/>
        </w:rPr>
      </w:pPr>
      <w:r>
        <w:rPr>
          <w:rFonts w:ascii="Arial" w:hAnsi="Arial"/>
          <w:sz w:val="20"/>
          <w:szCs w:val="20"/>
        </w:rPr>
        <w:t xml:space="preserve">Lag </w:t>
      </w:r>
    </w:p>
    <w:p w14:paraId="5B864138" w14:textId="5E4A00F5" w:rsidR="00011D8E" w:rsidRPr="00B70E62" w:rsidRDefault="00011D8E" w:rsidP="00E638D5">
      <w:pPr>
        <w:jc w:val="both"/>
        <w:rPr>
          <w:rFonts w:ascii="Arial" w:hAnsi="Arial" w:cs="Arial"/>
          <w:sz w:val="20"/>
          <w:szCs w:val="20"/>
        </w:rPr>
      </w:pPr>
      <w:r>
        <w:rPr>
          <w:rFonts w:ascii="Arial" w:hAnsi="Arial"/>
          <w:sz w:val="20"/>
          <w:szCs w:val="20"/>
        </w:rPr>
        <w:t>om ändring av lagen om rätt till uppfinningar vid högskolor</w:t>
      </w:r>
    </w:p>
    <w:p w14:paraId="7E8B1837" w14:textId="4A13348E" w:rsidR="00011D8E" w:rsidRPr="00B70E62" w:rsidRDefault="00011D8E" w:rsidP="00E638D5">
      <w:pPr>
        <w:jc w:val="both"/>
        <w:rPr>
          <w:rFonts w:ascii="Arial" w:hAnsi="Arial" w:cs="Arial"/>
          <w:sz w:val="20"/>
          <w:szCs w:val="20"/>
        </w:rPr>
      </w:pPr>
      <w:r>
        <w:rPr>
          <w:rFonts w:ascii="Arial" w:hAnsi="Arial"/>
          <w:sz w:val="20"/>
          <w:szCs w:val="20"/>
        </w:rPr>
        <w:t>I enlighet med riksdagens beslut</w:t>
      </w:r>
    </w:p>
    <w:p w14:paraId="5DD40606" w14:textId="0F7CAB31" w:rsidR="00280A22" w:rsidRPr="00B70E62" w:rsidRDefault="00280A22" w:rsidP="00E638D5">
      <w:pPr>
        <w:jc w:val="both"/>
        <w:rPr>
          <w:rFonts w:ascii="Arial" w:hAnsi="Arial" w:cs="Arial"/>
          <w:sz w:val="20"/>
          <w:szCs w:val="20"/>
        </w:rPr>
      </w:pPr>
      <w:r>
        <w:rPr>
          <w:rFonts w:ascii="Arial" w:hAnsi="Arial"/>
          <w:i/>
          <w:iCs/>
          <w:sz w:val="20"/>
          <w:szCs w:val="20"/>
        </w:rPr>
        <w:t>upphävs</w:t>
      </w:r>
      <w:r>
        <w:rPr>
          <w:rFonts w:ascii="Arial" w:hAnsi="Arial"/>
          <w:sz w:val="20"/>
          <w:szCs w:val="20"/>
        </w:rPr>
        <w:t xml:space="preserve"> i lagen om rätt till uppfinningar vid högskolor (369/2006) 1 § 2 mom. och </w:t>
      </w:r>
    </w:p>
    <w:p w14:paraId="31EE5E78" w14:textId="09226DF4" w:rsidR="00011D8E" w:rsidRPr="00B70E62" w:rsidRDefault="00011D8E" w:rsidP="00E638D5">
      <w:pPr>
        <w:jc w:val="both"/>
        <w:rPr>
          <w:rFonts w:ascii="Arial" w:hAnsi="Arial" w:cs="Arial"/>
          <w:sz w:val="20"/>
          <w:szCs w:val="20"/>
        </w:rPr>
      </w:pPr>
      <w:r>
        <w:rPr>
          <w:rFonts w:ascii="Arial" w:hAnsi="Arial"/>
          <w:i/>
          <w:iCs/>
          <w:sz w:val="20"/>
          <w:szCs w:val="20"/>
        </w:rPr>
        <w:t>ändras</w:t>
      </w:r>
      <w:r>
        <w:rPr>
          <w:rFonts w:ascii="Arial" w:hAnsi="Arial"/>
          <w:sz w:val="20"/>
          <w:szCs w:val="20"/>
        </w:rPr>
        <w:t xml:space="preserve"> 3 § 1 mom. 1 punkten och 6 § 1 mom. som följer:</w:t>
      </w:r>
    </w:p>
    <w:p w14:paraId="66AE774F" w14:textId="77777777" w:rsidR="00011D8E" w:rsidRPr="00B70E62" w:rsidRDefault="00011D8E" w:rsidP="00E638D5">
      <w:pPr>
        <w:jc w:val="both"/>
        <w:rPr>
          <w:rFonts w:ascii="Arial" w:hAnsi="Arial" w:cs="Arial"/>
          <w:sz w:val="20"/>
          <w:szCs w:val="20"/>
        </w:rPr>
      </w:pPr>
    </w:p>
    <w:p w14:paraId="57D20B35" w14:textId="503E2F63" w:rsidR="002033F4" w:rsidRPr="00B70E62" w:rsidRDefault="002033F4" w:rsidP="002033F4">
      <w:pPr>
        <w:tabs>
          <w:tab w:val="center" w:pos="4513"/>
        </w:tabs>
        <w:jc w:val="both"/>
        <w:rPr>
          <w:rFonts w:ascii="Arial" w:hAnsi="Arial" w:cs="Arial"/>
          <w:sz w:val="20"/>
          <w:szCs w:val="20"/>
        </w:rPr>
      </w:pPr>
      <w:r>
        <w:rPr>
          <w:rFonts w:ascii="Arial" w:hAnsi="Arial"/>
          <w:sz w:val="20"/>
          <w:szCs w:val="20"/>
        </w:rPr>
        <w:t>1 § Lagens tillämpningsområde</w:t>
      </w:r>
    </w:p>
    <w:p w14:paraId="3004D422" w14:textId="015D3B65" w:rsidR="002033F4" w:rsidRPr="00B70E62" w:rsidRDefault="00A63C71" w:rsidP="002033F4">
      <w:pPr>
        <w:tabs>
          <w:tab w:val="center" w:pos="4513"/>
        </w:tabs>
        <w:jc w:val="both"/>
        <w:rPr>
          <w:rFonts w:ascii="Arial" w:hAnsi="Arial" w:cs="Arial"/>
          <w:sz w:val="20"/>
          <w:szCs w:val="20"/>
        </w:rPr>
      </w:pPr>
      <w:r>
        <w:rPr>
          <w:rFonts w:ascii="Arial" w:hAnsi="Arial"/>
          <w:sz w:val="20"/>
          <w:szCs w:val="20"/>
        </w:rPr>
        <w:t>Följande 2 mom. stryks:</w:t>
      </w:r>
    </w:p>
    <w:p w14:paraId="444AFB10" w14:textId="77777777" w:rsidR="002033F4" w:rsidRPr="00B70E62" w:rsidRDefault="002033F4" w:rsidP="0095627D">
      <w:pPr>
        <w:jc w:val="both"/>
        <w:rPr>
          <w:rFonts w:ascii="Arial" w:hAnsi="Arial" w:cs="Arial"/>
          <w:sz w:val="20"/>
          <w:szCs w:val="20"/>
        </w:rPr>
      </w:pPr>
      <w:r>
        <w:rPr>
          <w:rFonts w:ascii="Arial" w:hAnsi="Arial"/>
          <w:sz w:val="20"/>
          <w:szCs w:val="20"/>
        </w:rPr>
        <w:t>”Denna lag tillämpas också på uppfinningar som personer i forskartjänst vid Finlands Akademi gör vid finländska högskolor och som kan skyddas med patent i Finland.”</w:t>
      </w:r>
    </w:p>
    <w:p w14:paraId="0B8E5F12" w14:textId="77777777" w:rsidR="002033F4" w:rsidRPr="00B70E62" w:rsidRDefault="002033F4" w:rsidP="002033F4">
      <w:pPr>
        <w:tabs>
          <w:tab w:val="center" w:pos="4513"/>
        </w:tabs>
        <w:jc w:val="both"/>
        <w:rPr>
          <w:rFonts w:ascii="Arial" w:hAnsi="Arial" w:cs="Arial"/>
          <w:sz w:val="20"/>
          <w:szCs w:val="20"/>
        </w:rPr>
      </w:pPr>
      <w:r>
        <w:rPr>
          <w:rFonts w:ascii="Arial" w:hAnsi="Arial"/>
          <w:sz w:val="20"/>
          <w:szCs w:val="20"/>
        </w:rPr>
        <w:t>3 § Definitioner</w:t>
      </w:r>
    </w:p>
    <w:p w14:paraId="6FE1E93D" w14:textId="5E0A4A05" w:rsidR="002033F4" w:rsidRPr="00B70E62" w:rsidRDefault="002033F4" w:rsidP="002033F4">
      <w:pPr>
        <w:tabs>
          <w:tab w:val="center" w:pos="4513"/>
        </w:tabs>
        <w:jc w:val="both"/>
        <w:rPr>
          <w:rFonts w:ascii="Arial" w:hAnsi="Arial" w:cs="Arial"/>
          <w:sz w:val="20"/>
          <w:szCs w:val="20"/>
        </w:rPr>
      </w:pPr>
      <w:r>
        <w:rPr>
          <w:rFonts w:ascii="Arial" w:hAnsi="Arial"/>
          <w:sz w:val="20"/>
          <w:szCs w:val="20"/>
        </w:rPr>
        <w:t>I denna lag avses med</w:t>
      </w:r>
    </w:p>
    <w:p w14:paraId="546BFE92" w14:textId="5B3C65D1" w:rsidR="007F06CC" w:rsidRPr="00B70E62" w:rsidRDefault="007F06CC" w:rsidP="007F06CC">
      <w:pPr>
        <w:jc w:val="both"/>
        <w:rPr>
          <w:rFonts w:ascii="Arial" w:eastAsia="Times New Roman" w:hAnsi="Arial" w:cs="Arial"/>
          <w:sz w:val="20"/>
          <w:szCs w:val="20"/>
        </w:rPr>
      </w:pPr>
      <w:r>
        <w:rPr>
          <w:rFonts w:ascii="Arial" w:hAnsi="Arial"/>
          <w:sz w:val="20"/>
          <w:szCs w:val="20"/>
        </w:rPr>
        <w:t xml:space="preserve">1) </w:t>
      </w:r>
      <w:r>
        <w:rPr>
          <w:rFonts w:ascii="Arial" w:hAnsi="Arial"/>
          <w:i/>
          <w:iCs/>
          <w:sz w:val="20"/>
          <w:szCs w:val="20"/>
        </w:rPr>
        <w:t>högskolor</w:t>
      </w:r>
      <w:r>
        <w:rPr>
          <w:rFonts w:ascii="Arial" w:hAnsi="Arial"/>
          <w:sz w:val="20"/>
          <w:szCs w:val="20"/>
        </w:rPr>
        <w:t xml:space="preserve"> universitet enligt universitetslagen (558/2009), Försvarshögskolan som avses i lagen om Försvarshögskolan (1121/2008), </w:t>
      </w:r>
      <w:r>
        <w:rPr>
          <w:rFonts w:ascii="Arial" w:hAnsi="Arial"/>
          <w:i/>
          <w:iCs/>
          <w:sz w:val="20"/>
          <w:szCs w:val="20"/>
        </w:rPr>
        <w:t>Polisyrkeshögskolan</w:t>
      </w:r>
      <w:r>
        <w:rPr>
          <w:rFonts w:ascii="Arial" w:hAnsi="Arial"/>
          <w:sz w:val="20"/>
          <w:szCs w:val="20"/>
        </w:rPr>
        <w:t xml:space="preserve">, de yrkeshögskolor som avses i yrkeshögskolelagen (1164/2013) och separata inrättningar som lyder under eller är gemensamma för dem samt </w:t>
      </w:r>
      <w:r>
        <w:rPr>
          <w:rFonts w:ascii="Arial" w:hAnsi="Arial"/>
          <w:i/>
          <w:iCs/>
          <w:sz w:val="20"/>
          <w:szCs w:val="20"/>
        </w:rPr>
        <w:t>Yrkeshögskolan på Åland</w:t>
      </w:r>
      <w:r>
        <w:rPr>
          <w:rFonts w:ascii="Arial" w:hAnsi="Arial"/>
          <w:sz w:val="20"/>
          <w:szCs w:val="20"/>
        </w:rPr>
        <w:t>, (31.1.2013/103) [RP 124/2012 rd]”</w:t>
      </w:r>
    </w:p>
    <w:p w14:paraId="018694AF" w14:textId="4E7B7730" w:rsidR="007F06CC" w:rsidRPr="00B70E62" w:rsidRDefault="002033F4" w:rsidP="002033F4">
      <w:pPr>
        <w:spacing w:before="100" w:beforeAutospacing="1" w:after="100" w:afterAutospacing="1"/>
        <w:jc w:val="both"/>
        <w:rPr>
          <w:rFonts w:ascii="Arial" w:eastAsia="Times New Roman" w:hAnsi="Arial" w:cs="Arial"/>
          <w:sz w:val="20"/>
          <w:szCs w:val="20"/>
        </w:rPr>
      </w:pPr>
      <w:r>
        <w:rPr>
          <w:rFonts w:ascii="Arial" w:hAnsi="Arial"/>
          <w:sz w:val="20"/>
          <w:szCs w:val="20"/>
        </w:rPr>
        <w:t>6 § Högskolans rätt till en uppfinning i öppen forskning</w:t>
      </w:r>
    </w:p>
    <w:p w14:paraId="300BB2C3" w14:textId="72C4C355" w:rsidR="002033F4" w:rsidRPr="00B70E62" w:rsidRDefault="002033F4" w:rsidP="002033F4">
      <w:pPr>
        <w:spacing w:before="100" w:beforeAutospacing="1" w:after="100" w:afterAutospacing="1"/>
        <w:jc w:val="both"/>
        <w:rPr>
          <w:rFonts w:ascii="Arial" w:eastAsia="Times New Roman" w:hAnsi="Arial" w:cs="Arial"/>
          <w:i/>
          <w:sz w:val="20"/>
          <w:szCs w:val="20"/>
        </w:rPr>
      </w:pPr>
      <w:r>
        <w:rPr>
          <w:rFonts w:ascii="Arial" w:hAnsi="Arial"/>
          <w:i/>
          <w:iCs/>
          <w:sz w:val="20"/>
          <w:szCs w:val="20"/>
        </w:rPr>
        <w:t>I det fall att inte någonting annat överenskommits i öppen forskning,</w:t>
      </w:r>
      <w:r>
        <w:rPr>
          <w:rFonts w:ascii="Arial" w:hAnsi="Arial"/>
          <w:sz w:val="20"/>
          <w:szCs w:val="20"/>
        </w:rPr>
        <w:t xml:space="preserve"> kan högskolan överta rättigheterna till en uppfinning som tillkommit i öppen forskning, om uppfinnaren inte inom sex månader från en anmälan enligt 5 § 1 mom. har publicerat uppfinningen eller meddelat sin vilja att själv utnyttja uppfinningen. Ett meddelande om att rättigheterna övertas ska göras skriftligen, och högskolan ska innan meddelandet ges fråga uppfinnaren om han eller hon har för avsikt att själv utnyttja uppfinningen.</w:t>
      </w:r>
    </w:p>
    <w:p w14:paraId="0DF5D06A" w14:textId="77777777" w:rsidR="002033F4" w:rsidRPr="00B70E62" w:rsidRDefault="002033F4" w:rsidP="00E638D5">
      <w:pPr>
        <w:jc w:val="both"/>
        <w:rPr>
          <w:rFonts w:ascii="Arial" w:hAnsi="Arial" w:cs="Arial"/>
          <w:sz w:val="20"/>
          <w:szCs w:val="20"/>
        </w:rPr>
      </w:pPr>
    </w:p>
    <w:p w14:paraId="2A49217D" w14:textId="77777777" w:rsidR="00E034EE" w:rsidRPr="00B70E62" w:rsidRDefault="00E034EE" w:rsidP="00E638D5">
      <w:pPr>
        <w:jc w:val="both"/>
        <w:rPr>
          <w:rFonts w:ascii="Arial" w:hAnsi="Arial" w:cs="Arial"/>
          <w:sz w:val="20"/>
          <w:szCs w:val="20"/>
        </w:rPr>
      </w:pPr>
      <w:r>
        <w:rPr>
          <w:rFonts w:ascii="Arial" w:hAnsi="Arial"/>
          <w:sz w:val="20"/>
          <w:szCs w:val="20"/>
        </w:rPr>
        <w:t>Bilagor</w:t>
      </w:r>
    </w:p>
    <w:p w14:paraId="52968DFA" w14:textId="77777777" w:rsidR="00FE702C" w:rsidRPr="00B70E62" w:rsidRDefault="00FE702C" w:rsidP="00E638D5">
      <w:pPr>
        <w:jc w:val="both"/>
        <w:rPr>
          <w:rFonts w:ascii="Arial" w:hAnsi="Arial" w:cs="Arial"/>
          <w:sz w:val="20"/>
          <w:szCs w:val="20"/>
        </w:rPr>
      </w:pPr>
      <w:r>
        <w:rPr>
          <w:rFonts w:ascii="Arial" w:hAnsi="Arial"/>
          <w:sz w:val="20"/>
          <w:szCs w:val="20"/>
        </w:rPr>
        <w:t>Parallelltexter</w:t>
      </w:r>
    </w:p>
    <w:p w14:paraId="74D19A4A" w14:textId="77777777" w:rsidR="00FE702C" w:rsidRPr="00B70E62" w:rsidRDefault="00FE702C" w:rsidP="00E638D5">
      <w:pPr>
        <w:jc w:val="both"/>
        <w:rPr>
          <w:rFonts w:ascii="Arial" w:hAnsi="Arial" w:cs="Arial"/>
          <w:b/>
          <w:i/>
          <w:sz w:val="20"/>
          <w:szCs w:val="20"/>
        </w:rPr>
      </w:pPr>
      <w:bookmarkStart w:id="0" w:name="_GoBack"/>
      <w:bookmarkEnd w:id="0"/>
    </w:p>
    <w:sectPr w:rsidR="00FE702C" w:rsidRPr="00B70E6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2FF56" w14:textId="77777777" w:rsidR="00000599" w:rsidRDefault="00000599" w:rsidP="00EA0F86">
      <w:pPr>
        <w:spacing w:after="0" w:line="240" w:lineRule="auto"/>
      </w:pPr>
      <w:r>
        <w:separator/>
      </w:r>
    </w:p>
  </w:endnote>
  <w:endnote w:type="continuationSeparator" w:id="0">
    <w:p w14:paraId="2EBDACD4" w14:textId="77777777" w:rsidR="00000599" w:rsidRDefault="00000599" w:rsidP="00EA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005017"/>
      <w:docPartObj>
        <w:docPartGallery w:val="Page Numbers (Bottom of Page)"/>
        <w:docPartUnique/>
      </w:docPartObj>
    </w:sdtPr>
    <w:sdtEndPr/>
    <w:sdtContent>
      <w:p w14:paraId="1B1500AF" w14:textId="1BF45356" w:rsidR="00702FA3" w:rsidRDefault="00702FA3">
        <w:pPr>
          <w:pStyle w:val="Alatunniste"/>
        </w:pPr>
        <w:r>
          <w:fldChar w:fldCharType="begin"/>
        </w:r>
        <w:r>
          <w:instrText>PAGE   \* MERGEFORMAT</w:instrText>
        </w:r>
        <w:r>
          <w:fldChar w:fldCharType="separate"/>
        </w:r>
        <w:r w:rsidR="00521108">
          <w:rPr>
            <w:noProof/>
          </w:rPr>
          <w:t>18</w:t>
        </w:r>
        <w:r>
          <w:fldChar w:fldCharType="end"/>
        </w:r>
      </w:p>
    </w:sdtContent>
  </w:sdt>
  <w:p w14:paraId="0FC7E868" w14:textId="77777777" w:rsidR="00702FA3" w:rsidRDefault="00702FA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F3982" w14:textId="77777777" w:rsidR="00000599" w:rsidRDefault="00000599" w:rsidP="00EA0F86">
      <w:pPr>
        <w:spacing w:after="0" w:line="240" w:lineRule="auto"/>
      </w:pPr>
      <w:r>
        <w:separator/>
      </w:r>
    </w:p>
  </w:footnote>
  <w:footnote w:type="continuationSeparator" w:id="0">
    <w:p w14:paraId="09FB4AC6" w14:textId="77777777" w:rsidR="00000599" w:rsidRDefault="00000599" w:rsidP="00EA0F86">
      <w:pPr>
        <w:spacing w:after="0" w:line="240" w:lineRule="auto"/>
      </w:pPr>
      <w:r>
        <w:continuationSeparator/>
      </w:r>
    </w:p>
  </w:footnote>
  <w:footnote w:id="1">
    <w:p w14:paraId="0782984A" w14:textId="77777777" w:rsidR="00702FA3" w:rsidRPr="00521108" w:rsidRDefault="00702FA3" w:rsidP="00540EB1">
      <w:pPr>
        <w:pStyle w:val="Alaviitteenteksti"/>
        <w:rPr>
          <w:rFonts w:ascii="Arial" w:hAnsi="Arial" w:cs="Arial"/>
          <w:sz w:val="18"/>
          <w:szCs w:val="18"/>
          <w:lang w:val="en-US"/>
        </w:rPr>
      </w:pPr>
      <w:r>
        <w:rPr>
          <w:rStyle w:val="Alaviitteenviite"/>
          <w:rFonts w:ascii="Arial" w:hAnsi="Arial" w:cs="Arial"/>
          <w:sz w:val="18"/>
          <w:szCs w:val="18"/>
        </w:rPr>
        <w:footnoteRef/>
      </w:r>
      <w:r w:rsidRPr="00521108">
        <w:rPr>
          <w:rFonts w:ascii="Arial" w:hAnsi="Arial"/>
          <w:sz w:val="18"/>
          <w:szCs w:val="18"/>
          <w:lang w:val="en-US"/>
        </w:rPr>
        <w:t xml:space="preserve"> Patent and Trademark Law Amendment Act, public law 96-517, 12.12.1980.</w:t>
      </w:r>
    </w:p>
  </w:footnote>
  <w:footnote w:id="2">
    <w:p w14:paraId="3818FF70" w14:textId="77777777" w:rsidR="00702FA3" w:rsidRPr="006A4ABD" w:rsidRDefault="00702FA3" w:rsidP="00677318">
      <w:pPr>
        <w:pStyle w:val="Alaviitteenteksti"/>
        <w:rPr>
          <w:rFonts w:ascii="Arial" w:hAnsi="Arial" w:cs="Arial"/>
        </w:rPr>
      </w:pPr>
      <w:r>
        <w:rPr>
          <w:rStyle w:val="Alaviitteenviite"/>
          <w:rFonts w:ascii="Arial" w:hAnsi="Arial" w:cs="Arial"/>
          <w:sz w:val="18"/>
        </w:rPr>
        <w:footnoteRef/>
      </w:r>
      <w:r>
        <w:rPr>
          <w:rFonts w:ascii="Arial" w:hAnsi="Arial"/>
          <w:sz w:val="18"/>
        </w:rPr>
        <w:t xml:space="preserve"> Principen för öppen vetenskap är att vetenskaplig information och alla forskningsresultat bör delas så tidigt och omfattande som möjligt. Metoderna, materialen och resultaten ska vara transparenta och så lätta att hitta och utnyttja som möjligt. Öppen vetenskap strävar efter att främja öppna handlingsmodeller och öppen praxis inom vetenskaplig forskning, som att främja öppen tillgång (open access) till forskningspublikationer, att publicera forskningsmaterial öppet, att utnyttja den öppna källkoden och de öppna standarderna och att dokumentera forskningsprocessen offentligt till exempel enligt den metod som kallas </w:t>
      </w:r>
      <w:r>
        <w:rPr>
          <w:rFonts w:ascii="Arial" w:hAnsi="Arial"/>
          <w:i/>
          <w:iCs/>
          <w:sz w:val="18"/>
        </w:rPr>
        <w:t>Open Notebook Science.</w:t>
      </w:r>
      <w:r>
        <w:rPr>
          <w:rFonts w:ascii="Arial" w:hAnsi="Arial"/>
          <w:sz w:val="18"/>
        </w:rPr>
        <w:t xml:space="preserve"> Målet är att genom en öppen licens publicera forskningsresultat, forskningsdata och de metoder som använts i forskningen, så att de är fritt tillgängliga att granskas och användas av alla.</w:t>
      </w:r>
    </w:p>
  </w:footnote>
  <w:footnote w:id="3">
    <w:p w14:paraId="1A1F3160" w14:textId="4F41B25D" w:rsidR="00702FA3" w:rsidRPr="006A4ABD" w:rsidRDefault="00702FA3" w:rsidP="00F870B1">
      <w:pPr>
        <w:pStyle w:val="Alaviitteenteksti"/>
        <w:shd w:val="clear" w:color="auto" w:fill="FFFFFF" w:themeFill="background1"/>
        <w:rPr>
          <w:rFonts w:ascii="Arial" w:hAnsi="Arial" w:cs="Arial"/>
          <w:sz w:val="18"/>
        </w:rPr>
      </w:pPr>
      <w:r>
        <w:rPr>
          <w:rStyle w:val="Alaviitteenviite"/>
          <w:rFonts w:ascii="Arial" w:hAnsi="Arial" w:cs="Arial"/>
          <w:sz w:val="16"/>
          <w:szCs w:val="18"/>
        </w:rPr>
        <w:footnoteRef/>
      </w:r>
      <w:r>
        <w:rPr>
          <w:rFonts w:ascii="Arial" w:hAnsi="Arial"/>
          <w:sz w:val="16"/>
          <w:szCs w:val="18"/>
        </w:rPr>
        <w:t xml:space="preserve"> </w:t>
      </w:r>
      <w:r>
        <w:rPr>
          <w:rFonts w:ascii="Arial" w:hAnsi="Arial"/>
          <w:sz w:val="18"/>
        </w:rPr>
        <w:t>Informationen i sig skyddas inte av lagstiftningen om immateriella rättigheter. Till exempel varumärkesrätten gäller användning av märket inom näringsverksamhet och inte annan användning (6 § i varumärkeslagen (7/1964)).</w:t>
      </w:r>
    </w:p>
    <w:p w14:paraId="41D1BD35" w14:textId="67D4FBAD" w:rsidR="00702FA3" w:rsidRPr="006A4ABD" w:rsidRDefault="00702FA3" w:rsidP="00677318">
      <w:pPr>
        <w:pStyle w:val="Alaviitteenteksti"/>
        <w:rPr>
          <w:rFonts w:ascii="Arial" w:hAnsi="Arial" w:cs="Arial"/>
          <w:sz w:val="18"/>
        </w:rPr>
      </w:pPr>
      <w:r>
        <w:rPr>
          <w:rFonts w:ascii="Arial" w:hAnsi="Arial"/>
          <w:sz w:val="18"/>
        </w:rPr>
        <w:t>I punkt 12 i utlåtande 2017:11 av upphovsrättsrådet står det följande om upphovsrätten: Genom upphovsrätten skyddas verkets uttrycksform. Däremot skyddas inte verkets ämne, metod som styr behandlingen av ämnet, idé, princip eller de enskilda uppgifter som ingår i verket som sådana. I 1 § 2 mom. i patentlagen (550/1967) föreskrivs följande: ”Som uppfinning anses inte vad som utgör enbart 1) en upptäckt, vetenskaplig teori eller matematisk metod, 2) en konstnärlig skapelse, 3) en plan, regel eller metod för intellektuell verksamhet, för spel eller för affärsverksamhet eller ett datorprogram, inte heller 4) ett framläggande av information.” Ett patent ger ensamrätt till yrkesmässig användning av en industriell uppfinning (1 § och 3 § 3 mom. i patentlagen). Sålunda skyddar inte lagstiftningen om immateriella rättigheter data och hindrar inte att de undersöks, utan fokus ligger på ekonomiskt relevant användning när det gäller de föreskrivna rättigheterna (näringsverksamhet i varumärkeslagen, industriell användning i patentlagen, ekonomiska rättigheter i upphovsrättslagen) med undantag för moraliska rättigheter enligt 3 § i upphovsrättslagen. Det skyddande av kataloger och databaser som avses i upphovsrättslagen kan anses vara en form av dataskydd, men även vid detta skyddande är det fråga om att skydda en mer omfattande helhet av information och inte att skydda en enskild uppgift.</w:t>
      </w:r>
    </w:p>
    <w:p w14:paraId="26546AF4" w14:textId="77777777" w:rsidR="00702FA3" w:rsidRDefault="00702FA3" w:rsidP="00677318">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F0851" w14:textId="7940CB4F" w:rsidR="00702FA3" w:rsidRDefault="00702FA3">
    <w:pPr>
      <w:pStyle w:val="Yltunniste"/>
    </w:pPr>
    <w:r>
      <w:t>UTKAST Regeringens proposition till riksdagen med förslag till lag om ändring av lagen om rätt till uppfinningar vid högskolor</w:t>
    </w:r>
    <w:r>
      <w:tab/>
      <w:t>22.5.2018.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06A4"/>
    <w:multiLevelType w:val="multilevel"/>
    <w:tmpl w:val="F85228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58B35B8"/>
    <w:multiLevelType w:val="multilevel"/>
    <w:tmpl w:val="9BEE7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4F3156"/>
    <w:multiLevelType w:val="multilevel"/>
    <w:tmpl w:val="CBD8B426"/>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47A20AA"/>
    <w:multiLevelType w:val="hybridMultilevel"/>
    <w:tmpl w:val="BA607F42"/>
    <w:lvl w:ilvl="0" w:tplc="68A04F8A">
      <w:start w:val="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8C413C6"/>
    <w:multiLevelType w:val="hybridMultilevel"/>
    <w:tmpl w:val="A98273B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2C4473D1"/>
    <w:multiLevelType w:val="hybridMultilevel"/>
    <w:tmpl w:val="D062D49E"/>
    <w:lvl w:ilvl="0" w:tplc="D918FF4C">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F25671E"/>
    <w:multiLevelType w:val="hybridMultilevel"/>
    <w:tmpl w:val="42EE1454"/>
    <w:lvl w:ilvl="0" w:tplc="2F08C490">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0BC61F0"/>
    <w:multiLevelType w:val="hybridMultilevel"/>
    <w:tmpl w:val="05D2B03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33755431"/>
    <w:multiLevelType w:val="hybridMultilevel"/>
    <w:tmpl w:val="276CE1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4C81C04"/>
    <w:multiLevelType w:val="multilevel"/>
    <w:tmpl w:val="94AE471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A2A2368"/>
    <w:multiLevelType w:val="hybridMultilevel"/>
    <w:tmpl w:val="067AAFD4"/>
    <w:lvl w:ilvl="0" w:tplc="C7988F0A">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027599E"/>
    <w:multiLevelType w:val="hybridMultilevel"/>
    <w:tmpl w:val="6156AF04"/>
    <w:lvl w:ilvl="0" w:tplc="6E1490B2">
      <w:start w:val="44"/>
      <w:numFmt w:val="bullet"/>
      <w:lvlText w:val="&gt;"/>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4EE0F19"/>
    <w:multiLevelType w:val="hybridMultilevel"/>
    <w:tmpl w:val="9EF2254A"/>
    <w:lvl w:ilvl="0" w:tplc="DC82F3E8">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D173B6F"/>
    <w:multiLevelType w:val="hybridMultilevel"/>
    <w:tmpl w:val="BDD87D08"/>
    <w:lvl w:ilvl="0" w:tplc="040B000F">
      <w:start w:val="1"/>
      <w:numFmt w:val="decimal"/>
      <w:lvlText w:val="%1."/>
      <w:lvlJc w:val="left"/>
      <w:pPr>
        <w:ind w:left="360" w:hanging="360"/>
      </w:pPr>
      <w:rPr>
        <w:rFont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4DAB5F20"/>
    <w:multiLevelType w:val="hybridMultilevel"/>
    <w:tmpl w:val="30544FA8"/>
    <w:lvl w:ilvl="0" w:tplc="30244DF6">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E141007"/>
    <w:multiLevelType w:val="hybridMultilevel"/>
    <w:tmpl w:val="B8E021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D2A6922"/>
    <w:multiLevelType w:val="multilevel"/>
    <w:tmpl w:val="14E297B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D4C061D"/>
    <w:multiLevelType w:val="hybridMultilevel"/>
    <w:tmpl w:val="601A1DE8"/>
    <w:lvl w:ilvl="0" w:tplc="FFEC95DA">
      <w:numFmt w:val="bullet"/>
      <w:lvlText w:val=""/>
      <w:lvlJc w:val="left"/>
      <w:pPr>
        <w:ind w:left="360" w:hanging="360"/>
      </w:pPr>
      <w:rPr>
        <w:rFonts w:ascii="Symbol" w:eastAsia="Calibri" w:hAnsi="Symbol" w:cs="Aria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18" w15:restartNumberingAfterBreak="0">
    <w:nsid w:val="5E356843"/>
    <w:multiLevelType w:val="multilevel"/>
    <w:tmpl w:val="60C2493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1913D63"/>
    <w:multiLevelType w:val="multilevel"/>
    <w:tmpl w:val="0A78FAB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A173B9B"/>
    <w:multiLevelType w:val="multilevel"/>
    <w:tmpl w:val="31BA01C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BA140FB"/>
    <w:multiLevelType w:val="multilevel"/>
    <w:tmpl w:val="CF7E8D4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1C60EFC"/>
    <w:multiLevelType w:val="hybridMultilevel"/>
    <w:tmpl w:val="FF4A72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11"/>
  </w:num>
  <w:num w:numId="5">
    <w:abstractNumId w:val="12"/>
  </w:num>
  <w:num w:numId="6">
    <w:abstractNumId w:val="14"/>
  </w:num>
  <w:num w:numId="7">
    <w:abstractNumId w:val="3"/>
  </w:num>
  <w:num w:numId="8">
    <w:abstractNumId w:val="13"/>
  </w:num>
  <w:num w:numId="9">
    <w:abstractNumId w:val="1"/>
  </w:num>
  <w:num w:numId="10">
    <w:abstractNumId w:val="20"/>
  </w:num>
  <w:num w:numId="11">
    <w:abstractNumId w:val="16"/>
  </w:num>
  <w:num w:numId="12">
    <w:abstractNumId w:val="0"/>
  </w:num>
  <w:num w:numId="13">
    <w:abstractNumId w:val="7"/>
  </w:num>
  <w:num w:numId="14">
    <w:abstractNumId w:val="8"/>
  </w:num>
  <w:num w:numId="15">
    <w:abstractNumId w:val="22"/>
  </w:num>
  <w:num w:numId="16">
    <w:abstractNumId w:val="21"/>
  </w:num>
  <w:num w:numId="17">
    <w:abstractNumId w:val="15"/>
  </w:num>
  <w:num w:numId="18">
    <w:abstractNumId w:val="18"/>
  </w:num>
  <w:num w:numId="19">
    <w:abstractNumId w:val="9"/>
  </w:num>
  <w:num w:numId="20">
    <w:abstractNumId w:val="2"/>
  </w:num>
  <w:num w:numId="21">
    <w:abstractNumId w:val="4"/>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B2"/>
    <w:rsid w:val="00000599"/>
    <w:rsid w:val="00003A94"/>
    <w:rsid w:val="00011D8E"/>
    <w:rsid w:val="00012200"/>
    <w:rsid w:val="00020779"/>
    <w:rsid w:val="0002313C"/>
    <w:rsid w:val="00025AE7"/>
    <w:rsid w:val="00026999"/>
    <w:rsid w:val="00031DCE"/>
    <w:rsid w:val="00040E74"/>
    <w:rsid w:val="00041AED"/>
    <w:rsid w:val="000426CE"/>
    <w:rsid w:val="00044766"/>
    <w:rsid w:val="00050D41"/>
    <w:rsid w:val="00050D8E"/>
    <w:rsid w:val="000568F3"/>
    <w:rsid w:val="0006284D"/>
    <w:rsid w:val="00064524"/>
    <w:rsid w:val="00065365"/>
    <w:rsid w:val="00072920"/>
    <w:rsid w:val="00077096"/>
    <w:rsid w:val="000823EB"/>
    <w:rsid w:val="00091E03"/>
    <w:rsid w:val="000927C3"/>
    <w:rsid w:val="000A08B9"/>
    <w:rsid w:val="000A0C74"/>
    <w:rsid w:val="000A1382"/>
    <w:rsid w:val="000A1A66"/>
    <w:rsid w:val="000B1B7D"/>
    <w:rsid w:val="000B1C4A"/>
    <w:rsid w:val="000B53DA"/>
    <w:rsid w:val="000C1F46"/>
    <w:rsid w:val="000C54E2"/>
    <w:rsid w:val="000C62AC"/>
    <w:rsid w:val="000C6D08"/>
    <w:rsid w:val="000D24E1"/>
    <w:rsid w:val="000D2A6D"/>
    <w:rsid w:val="000D69B9"/>
    <w:rsid w:val="000E0A4D"/>
    <w:rsid w:val="000E188E"/>
    <w:rsid w:val="000E18E4"/>
    <w:rsid w:val="000E4F8B"/>
    <w:rsid w:val="000E6C6F"/>
    <w:rsid w:val="000E717A"/>
    <w:rsid w:val="000F10F3"/>
    <w:rsid w:val="00106824"/>
    <w:rsid w:val="001102FA"/>
    <w:rsid w:val="0011341F"/>
    <w:rsid w:val="00114D77"/>
    <w:rsid w:val="0011688B"/>
    <w:rsid w:val="00123A78"/>
    <w:rsid w:val="00125F01"/>
    <w:rsid w:val="001301A5"/>
    <w:rsid w:val="00137F69"/>
    <w:rsid w:val="00141228"/>
    <w:rsid w:val="00143605"/>
    <w:rsid w:val="00152291"/>
    <w:rsid w:val="00155831"/>
    <w:rsid w:val="00156A9A"/>
    <w:rsid w:val="00161E4E"/>
    <w:rsid w:val="00162B62"/>
    <w:rsid w:val="00162CF6"/>
    <w:rsid w:val="00163601"/>
    <w:rsid w:val="00163A9A"/>
    <w:rsid w:val="00167133"/>
    <w:rsid w:val="0016749C"/>
    <w:rsid w:val="00167A0D"/>
    <w:rsid w:val="0017209B"/>
    <w:rsid w:val="0017686D"/>
    <w:rsid w:val="00192326"/>
    <w:rsid w:val="00193AD7"/>
    <w:rsid w:val="001A5665"/>
    <w:rsid w:val="001B0720"/>
    <w:rsid w:val="001B3AA0"/>
    <w:rsid w:val="001B6DB9"/>
    <w:rsid w:val="001C1D58"/>
    <w:rsid w:val="001C2232"/>
    <w:rsid w:val="001C2612"/>
    <w:rsid w:val="001C27C2"/>
    <w:rsid w:val="001C5749"/>
    <w:rsid w:val="001C7D7E"/>
    <w:rsid w:val="001D192D"/>
    <w:rsid w:val="001E43F0"/>
    <w:rsid w:val="001E4F9F"/>
    <w:rsid w:val="001F0A7B"/>
    <w:rsid w:val="001F0D2C"/>
    <w:rsid w:val="001F7319"/>
    <w:rsid w:val="00202370"/>
    <w:rsid w:val="002033F4"/>
    <w:rsid w:val="002075F0"/>
    <w:rsid w:val="002140A1"/>
    <w:rsid w:val="0021664D"/>
    <w:rsid w:val="00217E58"/>
    <w:rsid w:val="0022034E"/>
    <w:rsid w:val="00221E76"/>
    <w:rsid w:val="002265FB"/>
    <w:rsid w:val="0023374B"/>
    <w:rsid w:val="00242E6B"/>
    <w:rsid w:val="0024387A"/>
    <w:rsid w:val="00243B68"/>
    <w:rsid w:val="00245660"/>
    <w:rsid w:val="00252C56"/>
    <w:rsid w:val="00252C76"/>
    <w:rsid w:val="00254831"/>
    <w:rsid w:val="00264670"/>
    <w:rsid w:val="00267C76"/>
    <w:rsid w:val="00270C26"/>
    <w:rsid w:val="002733C1"/>
    <w:rsid w:val="002765A3"/>
    <w:rsid w:val="0027736B"/>
    <w:rsid w:val="00280008"/>
    <w:rsid w:val="00280518"/>
    <w:rsid w:val="00280A22"/>
    <w:rsid w:val="00281D50"/>
    <w:rsid w:val="002821DD"/>
    <w:rsid w:val="0028635D"/>
    <w:rsid w:val="00287C56"/>
    <w:rsid w:val="00291013"/>
    <w:rsid w:val="002917C1"/>
    <w:rsid w:val="002962C0"/>
    <w:rsid w:val="002962E7"/>
    <w:rsid w:val="002A0AEA"/>
    <w:rsid w:val="002A32E3"/>
    <w:rsid w:val="002B03B3"/>
    <w:rsid w:val="002B2454"/>
    <w:rsid w:val="002B4EF5"/>
    <w:rsid w:val="002B50D2"/>
    <w:rsid w:val="002B6632"/>
    <w:rsid w:val="002D0CE5"/>
    <w:rsid w:val="002D5E52"/>
    <w:rsid w:val="002E2367"/>
    <w:rsid w:val="002E38FA"/>
    <w:rsid w:val="002E5E8F"/>
    <w:rsid w:val="002F36E6"/>
    <w:rsid w:val="002F3938"/>
    <w:rsid w:val="003034D7"/>
    <w:rsid w:val="0030385B"/>
    <w:rsid w:val="003057E5"/>
    <w:rsid w:val="003117AB"/>
    <w:rsid w:val="00322B65"/>
    <w:rsid w:val="00324D67"/>
    <w:rsid w:val="00325934"/>
    <w:rsid w:val="00333C25"/>
    <w:rsid w:val="00356DF0"/>
    <w:rsid w:val="0035741B"/>
    <w:rsid w:val="00363C25"/>
    <w:rsid w:val="003654F4"/>
    <w:rsid w:val="00366EEB"/>
    <w:rsid w:val="0037095B"/>
    <w:rsid w:val="003716F7"/>
    <w:rsid w:val="00375BD8"/>
    <w:rsid w:val="00381DE1"/>
    <w:rsid w:val="00390ABF"/>
    <w:rsid w:val="003911DE"/>
    <w:rsid w:val="00392295"/>
    <w:rsid w:val="00392DA9"/>
    <w:rsid w:val="00396EFA"/>
    <w:rsid w:val="003970B3"/>
    <w:rsid w:val="003A107C"/>
    <w:rsid w:val="003A208E"/>
    <w:rsid w:val="003A37DA"/>
    <w:rsid w:val="003A4448"/>
    <w:rsid w:val="003A6A83"/>
    <w:rsid w:val="003A7B15"/>
    <w:rsid w:val="003B0628"/>
    <w:rsid w:val="003B193C"/>
    <w:rsid w:val="003B5FD6"/>
    <w:rsid w:val="003C0714"/>
    <w:rsid w:val="003C41B4"/>
    <w:rsid w:val="003C4E40"/>
    <w:rsid w:val="003C7B47"/>
    <w:rsid w:val="003D5C88"/>
    <w:rsid w:val="003D622A"/>
    <w:rsid w:val="003E51A6"/>
    <w:rsid w:val="003E5230"/>
    <w:rsid w:val="003E6425"/>
    <w:rsid w:val="003F6759"/>
    <w:rsid w:val="003F70F7"/>
    <w:rsid w:val="00400E69"/>
    <w:rsid w:val="00412F45"/>
    <w:rsid w:val="0041380C"/>
    <w:rsid w:val="004160E5"/>
    <w:rsid w:val="0041787D"/>
    <w:rsid w:val="00420607"/>
    <w:rsid w:val="00424ABC"/>
    <w:rsid w:val="00425121"/>
    <w:rsid w:val="00427502"/>
    <w:rsid w:val="00430594"/>
    <w:rsid w:val="004336AD"/>
    <w:rsid w:val="00441857"/>
    <w:rsid w:val="004422D0"/>
    <w:rsid w:val="004431FB"/>
    <w:rsid w:val="00454C23"/>
    <w:rsid w:val="004560F1"/>
    <w:rsid w:val="00457E61"/>
    <w:rsid w:val="004604F5"/>
    <w:rsid w:val="00461906"/>
    <w:rsid w:val="00464EA9"/>
    <w:rsid w:val="00466BFB"/>
    <w:rsid w:val="00470773"/>
    <w:rsid w:val="004717A3"/>
    <w:rsid w:val="004724EC"/>
    <w:rsid w:val="00474B36"/>
    <w:rsid w:val="00481987"/>
    <w:rsid w:val="00481D28"/>
    <w:rsid w:val="004823B8"/>
    <w:rsid w:val="004838B5"/>
    <w:rsid w:val="00484361"/>
    <w:rsid w:val="00485706"/>
    <w:rsid w:val="00494280"/>
    <w:rsid w:val="00495172"/>
    <w:rsid w:val="004A11E2"/>
    <w:rsid w:val="004A14B0"/>
    <w:rsid w:val="004A67E4"/>
    <w:rsid w:val="004B319B"/>
    <w:rsid w:val="004B3782"/>
    <w:rsid w:val="004B416F"/>
    <w:rsid w:val="004C09C3"/>
    <w:rsid w:val="004C246E"/>
    <w:rsid w:val="004C40B2"/>
    <w:rsid w:val="004D1986"/>
    <w:rsid w:val="004D2955"/>
    <w:rsid w:val="004D2BC2"/>
    <w:rsid w:val="004D790A"/>
    <w:rsid w:val="004E0EB3"/>
    <w:rsid w:val="004E4E81"/>
    <w:rsid w:val="004E503B"/>
    <w:rsid w:val="004F4C89"/>
    <w:rsid w:val="004F507D"/>
    <w:rsid w:val="00500AA0"/>
    <w:rsid w:val="00501C00"/>
    <w:rsid w:val="005037D4"/>
    <w:rsid w:val="0050769D"/>
    <w:rsid w:val="00520F52"/>
    <w:rsid w:val="00520F97"/>
    <w:rsid w:val="00521108"/>
    <w:rsid w:val="0052143E"/>
    <w:rsid w:val="005217B0"/>
    <w:rsid w:val="0052555F"/>
    <w:rsid w:val="0052594E"/>
    <w:rsid w:val="0052631D"/>
    <w:rsid w:val="00531EBA"/>
    <w:rsid w:val="0053319C"/>
    <w:rsid w:val="00533845"/>
    <w:rsid w:val="00534747"/>
    <w:rsid w:val="00535C41"/>
    <w:rsid w:val="00540D8E"/>
    <w:rsid w:val="00540EB1"/>
    <w:rsid w:val="00541D4E"/>
    <w:rsid w:val="00544F8D"/>
    <w:rsid w:val="00551AC3"/>
    <w:rsid w:val="00552D4A"/>
    <w:rsid w:val="00556229"/>
    <w:rsid w:val="00560187"/>
    <w:rsid w:val="00567D3D"/>
    <w:rsid w:val="0057233A"/>
    <w:rsid w:val="0058133F"/>
    <w:rsid w:val="00582A75"/>
    <w:rsid w:val="00586E15"/>
    <w:rsid w:val="00587619"/>
    <w:rsid w:val="00587EE7"/>
    <w:rsid w:val="0059131B"/>
    <w:rsid w:val="0059402A"/>
    <w:rsid w:val="00594D5D"/>
    <w:rsid w:val="005956FC"/>
    <w:rsid w:val="00596615"/>
    <w:rsid w:val="00596F3F"/>
    <w:rsid w:val="005A1AE4"/>
    <w:rsid w:val="005A4324"/>
    <w:rsid w:val="005B2329"/>
    <w:rsid w:val="005B38B9"/>
    <w:rsid w:val="005B4D85"/>
    <w:rsid w:val="005B5760"/>
    <w:rsid w:val="005C38D2"/>
    <w:rsid w:val="005C4709"/>
    <w:rsid w:val="005E4D7C"/>
    <w:rsid w:val="005E5F38"/>
    <w:rsid w:val="005E7430"/>
    <w:rsid w:val="005F14A7"/>
    <w:rsid w:val="005F1974"/>
    <w:rsid w:val="005F1ABA"/>
    <w:rsid w:val="005F425F"/>
    <w:rsid w:val="005F4D88"/>
    <w:rsid w:val="005F74B9"/>
    <w:rsid w:val="00603089"/>
    <w:rsid w:val="00603C56"/>
    <w:rsid w:val="006047B7"/>
    <w:rsid w:val="00605D15"/>
    <w:rsid w:val="006069B1"/>
    <w:rsid w:val="00607996"/>
    <w:rsid w:val="00611870"/>
    <w:rsid w:val="00612AEF"/>
    <w:rsid w:val="00614145"/>
    <w:rsid w:val="00614CD2"/>
    <w:rsid w:val="006204F4"/>
    <w:rsid w:val="00622026"/>
    <w:rsid w:val="0062225E"/>
    <w:rsid w:val="00631414"/>
    <w:rsid w:val="00631CE4"/>
    <w:rsid w:val="00635BFF"/>
    <w:rsid w:val="00640430"/>
    <w:rsid w:val="006416B6"/>
    <w:rsid w:val="00641B4A"/>
    <w:rsid w:val="00653254"/>
    <w:rsid w:val="00654F85"/>
    <w:rsid w:val="0065552B"/>
    <w:rsid w:val="00655898"/>
    <w:rsid w:val="00657A31"/>
    <w:rsid w:val="00664E8A"/>
    <w:rsid w:val="006669CF"/>
    <w:rsid w:val="00667284"/>
    <w:rsid w:val="00672BE8"/>
    <w:rsid w:val="00677318"/>
    <w:rsid w:val="0067736E"/>
    <w:rsid w:val="00685D72"/>
    <w:rsid w:val="00691B6A"/>
    <w:rsid w:val="006A66AF"/>
    <w:rsid w:val="006B15E3"/>
    <w:rsid w:val="006B2947"/>
    <w:rsid w:val="006B360E"/>
    <w:rsid w:val="006B37F2"/>
    <w:rsid w:val="006B508B"/>
    <w:rsid w:val="006B55E2"/>
    <w:rsid w:val="006B7A97"/>
    <w:rsid w:val="006C0245"/>
    <w:rsid w:val="006C336D"/>
    <w:rsid w:val="006C4399"/>
    <w:rsid w:val="006D5E0E"/>
    <w:rsid w:val="006D7974"/>
    <w:rsid w:val="006E089A"/>
    <w:rsid w:val="006E2505"/>
    <w:rsid w:val="006E57D5"/>
    <w:rsid w:val="006F25FB"/>
    <w:rsid w:val="006F6ADD"/>
    <w:rsid w:val="007014CC"/>
    <w:rsid w:val="00702B71"/>
    <w:rsid w:val="00702B90"/>
    <w:rsid w:val="00702FA3"/>
    <w:rsid w:val="00706E9A"/>
    <w:rsid w:val="0071018D"/>
    <w:rsid w:val="007132EC"/>
    <w:rsid w:val="0071634D"/>
    <w:rsid w:val="0072112B"/>
    <w:rsid w:val="0072354C"/>
    <w:rsid w:val="00733D47"/>
    <w:rsid w:val="00735257"/>
    <w:rsid w:val="00735745"/>
    <w:rsid w:val="00742D14"/>
    <w:rsid w:val="00743796"/>
    <w:rsid w:val="00750BD4"/>
    <w:rsid w:val="00752693"/>
    <w:rsid w:val="0075346A"/>
    <w:rsid w:val="007612FE"/>
    <w:rsid w:val="00761CEA"/>
    <w:rsid w:val="00762109"/>
    <w:rsid w:val="00762173"/>
    <w:rsid w:val="00763CC2"/>
    <w:rsid w:val="007656C4"/>
    <w:rsid w:val="007667D4"/>
    <w:rsid w:val="00770F9F"/>
    <w:rsid w:val="00771C3B"/>
    <w:rsid w:val="007740FA"/>
    <w:rsid w:val="00776721"/>
    <w:rsid w:val="007772C1"/>
    <w:rsid w:val="00782D47"/>
    <w:rsid w:val="00783A43"/>
    <w:rsid w:val="00785487"/>
    <w:rsid w:val="00786F24"/>
    <w:rsid w:val="0079622B"/>
    <w:rsid w:val="0079706C"/>
    <w:rsid w:val="007A15FC"/>
    <w:rsid w:val="007A2E77"/>
    <w:rsid w:val="007A4261"/>
    <w:rsid w:val="007B2F7A"/>
    <w:rsid w:val="007B5056"/>
    <w:rsid w:val="007C197A"/>
    <w:rsid w:val="007C409A"/>
    <w:rsid w:val="007C52B1"/>
    <w:rsid w:val="007C696E"/>
    <w:rsid w:val="007E07EE"/>
    <w:rsid w:val="007E1D02"/>
    <w:rsid w:val="007E3C06"/>
    <w:rsid w:val="007E41DF"/>
    <w:rsid w:val="007E45E8"/>
    <w:rsid w:val="007E55B1"/>
    <w:rsid w:val="007F06CC"/>
    <w:rsid w:val="007F1460"/>
    <w:rsid w:val="007F3CBE"/>
    <w:rsid w:val="007F56BC"/>
    <w:rsid w:val="007F77C7"/>
    <w:rsid w:val="00801C1F"/>
    <w:rsid w:val="008039B8"/>
    <w:rsid w:val="00804415"/>
    <w:rsid w:val="00805A4A"/>
    <w:rsid w:val="00805C31"/>
    <w:rsid w:val="0080776E"/>
    <w:rsid w:val="00811C48"/>
    <w:rsid w:val="00812C35"/>
    <w:rsid w:val="00814735"/>
    <w:rsid w:val="0081732C"/>
    <w:rsid w:val="008278BC"/>
    <w:rsid w:val="00831FDB"/>
    <w:rsid w:val="008326C1"/>
    <w:rsid w:val="00834C81"/>
    <w:rsid w:val="00840719"/>
    <w:rsid w:val="00845ABF"/>
    <w:rsid w:val="00847CB2"/>
    <w:rsid w:val="008505DD"/>
    <w:rsid w:val="00856F26"/>
    <w:rsid w:val="00862F65"/>
    <w:rsid w:val="0086600A"/>
    <w:rsid w:val="00871A8C"/>
    <w:rsid w:val="00874BCE"/>
    <w:rsid w:val="0087515B"/>
    <w:rsid w:val="00884755"/>
    <w:rsid w:val="00890961"/>
    <w:rsid w:val="0089184F"/>
    <w:rsid w:val="00892306"/>
    <w:rsid w:val="00892475"/>
    <w:rsid w:val="00893B8B"/>
    <w:rsid w:val="008A2EB3"/>
    <w:rsid w:val="008A7176"/>
    <w:rsid w:val="008A78B3"/>
    <w:rsid w:val="008B1752"/>
    <w:rsid w:val="008C5707"/>
    <w:rsid w:val="008C7369"/>
    <w:rsid w:val="008D18EA"/>
    <w:rsid w:val="008D26C7"/>
    <w:rsid w:val="008D31E9"/>
    <w:rsid w:val="008D3D29"/>
    <w:rsid w:val="008D5A95"/>
    <w:rsid w:val="008E042B"/>
    <w:rsid w:val="008E09B3"/>
    <w:rsid w:val="008E18EA"/>
    <w:rsid w:val="008E4641"/>
    <w:rsid w:val="008E46DC"/>
    <w:rsid w:val="008F5B66"/>
    <w:rsid w:val="008F5FD4"/>
    <w:rsid w:val="00900899"/>
    <w:rsid w:val="00901183"/>
    <w:rsid w:val="009050A0"/>
    <w:rsid w:val="00905197"/>
    <w:rsid w:val="009076CB"/>
    <w:rsid w:val="009079E8"/>
    <w:rsid w:val="009100D6"/>
    <w:rsid w:val="009104EE"/>
    <w:rsid w:val="00910A7B"/>
    <w:rsid w:val="00912CBD"/>
    <w:rsid w:val="009159B1"/>
    <w:rsid w:val="0092555C"/>
    <w:rsid w:val="00931977"/>
    <w:rsid w:val="00937FB6"/>
    <w:rsid w:val="009403D7"/>
    <w:rsid w:val="00943F21"/>
    <w:rsid w:val="00945EE8"/>
    <w:rsid w:val="00947A2F"/>
    <w:rsid w:val="00947FCA"/>
    <w:rsid w:val="00955F1F"/>
    <w:rsid w:val="0095627D"/>
    <w:rsid w:val="00957129"/>
    <w:rsid w:val="00957439"/>
    <w:rsid w:val="00963D13"/>
    <w:rsid w:val="009676B2"/>
    <w:rsid w:val="00971034"/>
    <w:rsid w:val="00973745"/>
    <w:rsid w:val="00976E6E"/>
    <w:rsid w:val="00981C1A"/>
    <w:rsid w:val="009828A4"/>
    <w:rsid w:val="0099672C"/>
    <w:rsid w:val="009A08B7"/>
    <w:rsid w:val="009A17AD"/>
    <w:rsid w:val="009A3417"/>
    <w:rsid w:val="009A3867"/>
    <w:rsid w:val="009B3589"/>
    <w:rsid w:val="009B4749"/>
    <w:rsid w:val="009C1AAF"/>
    <w:rsid w:val="009D1088"/>
    <w:rsid w:val="009D6B3C"/>
    <w:rsid w:val="009E45DF"/>
    <w:rsid w:val="009E54BD"/>
    <w:rsid w:val="009E5E83"/>
    <w:rsid w:val="009E6354"/>
    <w:rsid w:val="009E705B"/>
    <w:rsid w:val="009F1320"/>
    <w:rsid w:val="009F27E1"/>
    <w:rsid w:val="00A00FB8"/>
    <w:rsid w:val="00A019E2"/>
    <w:rsid w:val="00A0215A"/>
    <w:rsid w:val="00A04D0F"/>
    <w:rsid w:val="00A101C0"/>
    <w:rsid w:val="00A16982"/>
    <w:rsid w:val="00A16A69"/>
    <w:rsid w:val="00A17080"/>
    <w:rsid w:val="00A20696"/>
    <w:rsid w:val="00A22100"/>
    <w:rsid w:val="00A2516C"/>
    <w:rsid w:val="00A31743"/>
    <w:rsid w:val="00A34527"/>
    <w:rsid w:val="00A37BD8"/>
    <w:rsid w:val="00A4485C"/>
    <w:rsid w:val="00A634F7"/>
    <w:rsid w:val="00A63C71"/>
    <w:rsid w:val="00A6426F"/>
    <w:rsid w:val="00A67F2F"/>
    <w:rsid w:val="00A704EC"/>
    <w:rsid w:val="00A71186"/>
    <w:rsid w:val="00A8053D"/>
    <w:rsid w:val="00A8157D"/>
    <w:rsid w:val="00A8291D"/>
    <w:rsid w:val="00A83F61"/>
    <w:rsid w:val="00A92D6D"/>
    <w:rsid w:val="00A9556F"/>
    <w:rsid w:val="00AA01F6"/>
    <w:rsid w:val="00AA350D"/>
    <w:rsid w:val="00AB49B3"/>
    <w:rsid w:val="00AC0135"/>
    <w:rsid w:val="00AC114F"/>
    <w:rsid w:val="00AD0CAB"/>
    <w:rsid w:val="00AD0FF9"/>
    <w:rsid w:val="00AE241F"/>
    <w:rsid w:val="00AE4294"/>
    <w:rsid w:val="00AF1677"/>
    <w:rsid w:val="00B000A5"/>
    <w:rsid w:val="00B011AB"/>
    <w:rsid w:val="00B042D9"/>
    <w:rsid w:val="00B04EC5"/>
    <w:rsid w:val="00B05018"/>
    <w:rsid w:val="00B11C4C"/>
    <w:rsid w:val="00B125CC"/>
    <w:rsid w:val="00B205C8"/>
    <w:rsid w:val="00B207C7"/>
    <w:rsid w:val="00B2148C"/>
    <w:rsid w:val="00B21500"/>
    <w:rsid w:val="00B27137"/>
    <w:rsid w:val="00B3177F"/>
    <w:rsid w:val="00B32EE8"/>
    <w:rsid w:val="00B36757"/>
    <w:rsid w:val="00B36EE0"/>
    <w:rsid w:val="00B40780"/>
    <w:rsid w:val="00B40800"/>
    <w:rsid w:val="00B43842"/>
    <w:rsid w:val="00B47DB6"/>
    <w:rsid w:val="00B50BD2"/>
    <w:rsid w:val="00B517A3"/>
    <w:rsid w:val="00B53D40"/>
    <w:rsid w:val="00B55457"/>
    <w:rsid w:val="00B6184E"/>
    <w:rsid w:val="00B6494F"/>
    <w:rsid w:val="00B67168"/>
    <w:rsid w:val="00B70E62"/>
    <w:rsid w:val="00B71C4E"/>
    <w:rsid w:val="00B73A3F"/>
    <w:rsid w:val="00B7694D"/>
    <w:rsid w:val="00B77544"/>
    <w:rsid w:val="00B77D49"/>
    <w:rsid w:val="00B81E0D"/>
    <w:rsid w:val="00B82CE5"/>
    <w:rsid w:val="00B879AF"/>
    <w:rsid w:val="00B936D2"/>
    <w:rsid w:val="00BA0303"/>
    <w:rsid w:val="00BA40C7"/>
    <w:rsid w:val="00BA785E"/>
    <w:rsid w:val="00BD12ED"/>
    <w:rsid w:val="00BD19C5"/>
    <w:rsid w:val="00BD2D33"/>
    <w:rsid w:val="00BD69AC"/>
    <w:rsid w:val="00BD6FDB"/>
    <w:rsid w:val="00BE13DF"/>
    <w:rsid w:val="00BE61A4"/>
    <w:rsid w:val="00BF20C2"/>
    <w:rsid w:val="00BF4492"/>
    <w:rsid w:val="00BF75D1"/>
    <w:rsid w:val="00BF7807"/>
    <w:rsid w:val="00C05690"/>
    <w:rsid w:val="00C120E0"/>
    <w:rsid w:val="00C1276B"/>
    <w:rsid w:val="00C24B99"/>
    <w:rsid w:val="00C254FA"/>
    <w:rsid w:val="00C27DEE"/>
    <w:rsid w:val="00C36A28"/>
    <w:rsid w:val="00C41418"/>
    <w:rsid w:val="00C427A2"/>
    <w:rsid w:val="00C45EC5"/>
    <w:rsid w:val="00C52720"/>
    <w:rsid w:val="00C56C67"/>
    <w:rsid w:val="00C601C2"/>
    <w:rsid w:val="00C738D3"/>
    <w:rsid w:val="00C77D86"/>
    <w:rsid w:val="00C81208"/>
    <w:rsid w:val="00C84F53"/>
    <w:rsid w:val="00C863AF"/>
    <w:rsid w:val="00C92421"/>
    <w:rsid w:val="00C927E9"/>
    <w:rsid w:val="00C92E08"/>
    <w:rsid w:val="00C92F0B"/>
    <w:rsid w:val="00C97055"/>
    <w:rsid w:val="00CA1778"/>
    <w:rsid w:val="00CA2A5E"/>
    <w:rsid w:val="00CA68F8"/>
    <w:rsid w:val="00CB2AF0"/>
    <w:rsid w:val="00CB7593"/>
    <w:rsid w:val="00CC6939"/>
    <w:rsid w:val="00CD6138"/>
    <w:rsid w:val="00CE49C9"/>
    <w:rsid w:val="00CF19EE"/>
    <w:rsid w:val="00CF499A"/>
    <w:rsid w:val="00D028F6"/>
    <w:rsid w:val="00D04A15"/>
    <w:rsid w:val="00D07381"/>
    <w:rsid w:val="00D10E94"/>
    <w:rsid w:val="00D17018"/>
    <w:rsid w:val="00D21D97"/>
    <w:rsid w:val="00D23392"/>
    <w:rsid w:val="00D2588A"/>
    <w:rsid w:val="00D33CDA"/>
    <w:rsid w:val="00D34689"/>
    <w:rsid w:val="00D4004F"/>
    <w:rsid w:val="00D41299"/>
    <w:rsid w:val="00D41C7B"/>
    <w:rsid w:val="00D42035"/>
    <w:rsid w:val="00D5161D"/>
    <w:rsid w:val="00D5334F"/>
    <w:rsid w:val="00D54A12"/>
    <w:rsid w:val="00D561E2"/>
    <w:rsid w:val="00D56402"/>
    <w:rsid w:val="00D56E7E"/>
    <w:rsid w:val="00D613DA"/>
    <w:rsid w:val="00D656AF"/>
    <w:rsid w:val="00D671D1"/>
    <w:rsid w:val="00D6744F"/>
    <w:rsid w:val="00D7359A"/>
    <w:rsid w:val="00D736CB"/>
    <w:rsid w:val="00D8161A"/>
    <w:rsid w:val="00D8216F"/>
    <w:rsid w:val="00D86C09"/>
    <w:rsid w:val="00D878BD"/>
    <w:rsid w:val="00D91699"/>
    <w:rsid w:val="00D93F35"/>
    <w:rsid w:val="00D95788"/>
    <w:rsid w:val="00D9598B"/>
    <w:rsid w:val="00D961D6"/>
    <w:rsid w:val="00DA036E"/>
    <w:rsid w:val="00DA2002"/>
    <w:rsid w:val="00DA2898"/>
    <w:rsid w:val="00DB46D9"/>
    <w:rsid w:val="00DB7E75"/>
    <w:rsid w:val="00DC15B0"/>
    <w:rsid w:val="00DC2500"/>
    <w:rsid w:val="00DC6C86"/>
    <w:rsid w:val="00DD1D15"/>
    <w:rsid w:val="00DD1D79"/>
    <w:rsid w:val="00DD6DCB"/>
    <w:rsid w:val="00DE393E"/>
    <w:rsid w:val="00DE5C06"/>
    <w:rsid w:val="00DE6B13"/>
    <w:rsid w:val="00DF0353"/>
    <w:rsid w:val="00DF0A67"/>
    <w:rsid w:val="00DF1A44"/>
    <w:rsid w:val="00DF3CD4"/>
    <w:rsid w:val="00DF76E4"/>
    <w:rsid w:val="00DF798C"/>
    <w:rsid w:val="00E00F0C"/>
    <w:rsid w:val="00E02693"/>
    <w:rsid w:val="00E034EE"/>
    <w:rsid w:val="00E0404D"/>
    <w:rsid w:val="00E10D8E"/>
    <w:rsid w:val="00E12595"/>
    <w:rsid w:val="00E12BB6"/>
    <w:rsid w:val="00E13506"/>
    <w:rsid w:val="00E14279"/>
    <w:rsid w:val="00E17865"/>
    <w:rsid w:val="00E21B69"/>
    <w:rsid w:val="00E26B1C"/>
    <w:rsid w:val="00E32462"/>
    <w:rsid w:val="00E36D20"/>
    <w:rsid w:val="00E44E9E"/>
    <w:rsid w:val="00E4502C"/>
    <w:rsid w:val="00E45BAA"/>
    <w:rsid w:val="00E46EFF"/>
    <w:rsid w:val="00E47FD7"/>
    <w:rsid w:val="00E51C9C"/>
    <w:rsid w:val="00E536EC"/>
    <w:rsid w:val="00E602BA"/>
    <w:rsid w:val="00E60A89"/>
    <w:rsid w:val="00E61C32"/>
    <w:rsid w:val="00E61D41"/>
    <w:rsid w:val="00E638D5"/>
    <w:rsid w:val="00E67BE5"/>
    <w:rsid w:val="00E73606"/>
    <w:rsid w:val="00E73624"/>
    <w:rsid w:val="00E756DA"/>
    <w:rsid w:val="00E7731A"/>
    <w:rsid w:val="00E77E0A"/>
    <w:rsid w:val="00E83F75"/>
    <w:rsid w:val="00E86C77"/>
    <w:rsid w:val="00EA0F86"/>
    <w:rsid w:val="00EA224F"/>
    <w:rsid w:val="00EA2254"/>
    <w:rsid w:val="00EA492A"/>
    <w:rsid w:val="00EB1174"/>
    <w:rsid w:val="00EB1219"/>
    <w:rsid w:val="00EB34C6"/>
    <w:rsid w:val="00EB51A5"/>
    <w:rsid w:val="00EC2E49"/>
    <w:rsid w:val="00EC7040"/>
    <w:rsid w:val="00EC7ADA"/>
    <w:rsid w:val="00ED093C"/>
    <w:rsid w:val="00ED11BA"/>
    <w:rsid w:val="00ED4FD7"/>
    <w:rsid w:val="00ED5957"/>
    <w:rsid w:val="00ED70C9"/>
    <w:rsid w:val="00ED73FD"/>
    <w:rsid w:val="00EE1262"/>
    <w:rsid w:val="00EE2AFC"/>
    <w:rsid w:val="00EE6024"/>
    <w:rsid w:val="00EE7B57"/>
    <w:rsid w:val="00EF1746"/>
    <w:rsid w:val="00EF1D2E"/>
    <w:rsid w:val="00EF2EDA"/>
    <w:rsid w:val="00EF6E25"/>
    <w:rsid w:val="00F0230C"/>
    <w:rsid w:val="00F20C97"/>
    <w:rsid w:val="00F23E02"/>
    <w:rsid w:val="00F326BF"/>
    <w:rsid w:val="00F37FDF"/>
    <w:rsid w:val="00F41D38"/>
    <w:rsid w:val="00F50062"/>
    <w:rsid w:val="00F57607"/>
    <w:rsid w:val="00F61B81"/>
    <w:rsid w:val="00F6206E"/>
    <w:rsid w:val="00F64B81"/>
    <w:rsid w:val="00F82262"/>
    <w:rsid w:val="00F83EDA"/>
    <w:rsid w:val="00F870B1"/>
    <w:rsid w:val="00F94A25"/>
    <w:rsid w:val="00F94BB8"/>
    <w:rsid w:val="00F9548B"/>
    <w:rsid w:val="00F96D01"/>
    <w:rsid w:val="00FA3337"/>
    <w:rsid w:val="00FA4244"/>
    <w:rsid w:val="00FA5E21"/>
    <w:rsid w:val="00FA5F47"/>
    <w:rsid w:val="00FB07A7"/>
    <w:rsid w:val="00FB08A1"/>
    <w:rsid w:val="00FB3D38"/>
    <w:rsid w:val="00FB649D"/>
    <w:rsid w:val="00FB7194"/>
    <w:rsid w:val="00FC1BD2"/>
    <w:rsid w:val="00FC2E07"/>
    <w:rsid w:val="00FC5DA7"/>
    <w:rsid w:val="00FC65DC"/>
    <w:rsid w:val="00FD137C"/>
    <w:rsid w:val="00FE3F8C"/>
    <w:rsid w:val="00FE4D3E"/>
    <w:rsid w:val="00FE533A"/>
    <w:rsid w:val="00FE702C"/>
    <w:rsid w:val="00FE7CCA"/>
    <w:rsid w:val="00FE7D60"/>
    <w:rsid w:val="00FF26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842E"/>
  <w15:docId w15:val="{270069F5-EF1D-4BE3-A74F-D50BC514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C40B2"/>
  </w:style>
  <w:style w:type="paragraph" w:styleId="Otsikko1">
    <w:name w:val="heading 1"/>
    <w:basedOn w:val="Normaali"/>
    <w:next w:val="Normaali"/>
    <w:link w:val="Otsikko1Char"/>
    <w:uiPriority w:val="9"/>
    <w:qFormat/>
    <w:rsid w:val="004C4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4C40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4C40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C40B2"/>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4C40B2"/>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4C40B2"/>
    <w:rPr>
      <w:rFonts w:asciiTheme="majorHAnsi" w:eastAsiaTheme="majorEastAsia" w:hAnsiTheme="majorHAnsi" w:cstheme="majorBidi"/>
      <w:b/>
      <w:bCs/>
      <w:color w:val="4F81BD" w:themeColor="accent1"/>
    </w:rPr>
  </w:style>
  <w:style w:type="character" w:styleId="Kommentinviite">
    <w:name w:val="annotation reference"/>
    <w:basedOn w:val="Kappaleenoletusfontti"/>
    <w:uiPriority w:val="99"/>
    <w:semiHidden/>
    <w:unhideWhenUsed/>
    <w:rsid w:val="004C40B2"/>
    <w:rPr>
      <w:sz w:val="16"/>
      <w:szCs w:val="16"/>
    </w:rPr>
  </w:style>
  <w:style w:type="paragraph" w:styleId="Kommentinteksti">
    <w:name w:val="annotation text"/>
    <w:basedOn w:val="Normaali"/>
    <w:link w:val="KommentintekstiChar"/>
    <w:uiPriority w:val="99"/>
    <w:unhideWhenUsed/>
    <w:rsid w:val="004C40B2"/>
    <w:pPr>
      <w:spacing w:line="240" w:lineRule="auto"/>
    </w:pPr>
    <w:rPr>
      <w:sz w:val="20"/>
      <w:szCs w:val="20"/>
    </w:rPr>
  </w:style>
  <w:style w:type="character" w:customStyle="1" w:styleId="KommentintekstiChar">
    <w:name w:val="Kommentin teksti Char"/>
    <w:basedOn w:val="Kappaleenoletusfontti"/>
    <w:link w:val="Kommentinteksti"/>
    <w:uiPriority w:val="99"/>
    <w:rsid w:val="004C40B2"/>
    <w:rPr>
      <w:sz w:val="20"/>
      <w:szCs w:val="20"/>
    </w:rPr>
  </w:style>
  <w:style w:type="paragraph" w:styleId="Seliteteksti">
    <w:name w:val="Balloon Text"/>
    <w:basedOn w:val="Normaali"/>
    <w:link w:val="SelitetekstiChar"/>
    <w:uiPriority w:val="99"/>
    <w:semiHidden/>
    <w:unhideWhenUsed/>
    <w:rsid w:val="004C40B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C40B2"/>
    <w:rPr>
      <w:rFonts w:ascii="Tahoma" w:hAnsi="Tahoma" w:cs="Tahoma"/>
      <w:sz w:val="16"/>
      <w:szCs w:val="16"/>
    </w:rPr>
  </w:style>
  <w:style w:type="paragraph" w:styleId="Yltunniste">
    <w:name w:val="header"/>
    <w:basedOn w:val="Normaali"/>
    <w:link w:val="YltunnisteChar"/>
    <w:uiPriority w:val="99"/>
    <w:unhideWhenUsed/>
    <w:rsid w:val="00EA0F86"/>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EA0F86"/>
  </w:style>
  <w:style w:type="paragraph" w:styleId="Alatunniste">
    <w:name w:val="footer"/>
    <w:basedOn w:val="Normaali"/>
    <w:link w:val="AlatunnisteChar"/>
    <w:uiPriority w:val="99"/>
    <w:unhideWhenUsed/>
    <w:rsid w:val="00EA0F86"/>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EA0F86"/>
  </w:style>
  <w:style w:type="paragraph" w:styleId="Kommentinotsikko">
    <w:name w:val="annotation subject"/>
    <w:basedOn w:val="Kommentinteksti"/>
    <w:next w:val="Kommentinteksti"/>
    <w:link w:val="KommentinotsikkoChar"/>
    <w:uiPriority w:val="99"/>
    <w:semiHidden/>
    <w:unhideWhenUsed/>
    <w:rsid w:val="004838B5"/>
    <w:rPr>
      <w:b/>
      <w:bCs/>
    </w:rPr>
  </w:style>
  <w:style w:type="character" w:customStyle="1" w:styleId="KommentinotsikkoChar">
    <w:name w:val="Kommentin otsikko Char"/>
    <w:basedOn w:val="KommentintekstiChar"/>
    <w:link w:val="Kommentinotsikko"/>
    <w:uiPriority w:val="99"/>
    <w:semiHidden/>
    <w:rsid w:val="004838B5"/>
    <w:rPr>
      <w:b/>
      <w:bCs/>
      <w:sz w:val="20"/>
      <w:szCs w:val="20"/>
    </w:rPr>
  </w:style>
  <w:style w:type="character" w:styleId="Hyperlinkki">
    <w:name w:val="Hyperlink"/>
    <w:basedOn w:val="Kappaleenoletusfontti"/>
    <w:uiPriority w:val="99"/>
    <w:unhideWhenUsed/>
    <w:rsid w:val="0072112B"/>
    <w:rPr>
      <w:color w:val="0000FF" w:themeColor="hyperlink"/>
      <w:u w:val="single"/>
    </w:rPr>
  </w:style>
  <w:style w:type="paragraph" w:styleId="Luettelokappale">
    <w:name w:val="List Paragraph"/>
    <w:basedOn w:val="Normaali"/>
    <w:link w:val="LuettelokappaleChar"/>
    <w:uiPriority w:val="34"/>
    <w:qFormat/>
    <w:rsid w:val="00B40800"/>
    <w:pPr>
      <w:ind w:left="720"/>
      <w:contextualSpacing/>
    </w:pPr>
  </w:style>
  <w:style w:type="paragraph" w:customStyle="1" w:styleId="py">
    <w:name w:val="py"/>
    <w:basedOn w:val="Normaali"/>
    <w:rsid w:val="00F6206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F6206E"/>
    <w:rPr>
      <w:i/>
      <w:iCs/>
    </w:rPr>
  </w:style>
  <w:style w:type="paragraph" w:styleId="Sisllysluettelonotsikko">
    <w:name w:val="TOC Heading"/>
    <w:basedOn w:val="Otsikko1"/>
    <w:next w:val="Normaali"/>
    <w:uiPriority w:val="39"/>
    <w:semiHidden/>
    <w:unhideWhenUsed/>
    <w:qFormat/>
    <w:rsid w:val="00FA5F47"/>
    <w:pPr>
      <w:outlineLvl w:val="9"/>
    </w:pPr>
    <w:rPr>
      <w:lang w:eastAsia="fi-FI"/>
    </w:rPr>
  </w:style>
  <w:style w:type="paragraph" w:styleId="Sisluet1">
    <w:name w:val="toc 1"/>
    <w:basedOn w:val="Normaali"/>
    <w:next w:val="Normaali"/>
    <w:autoRedefine/>
    <w:uiPriority w:val="39"/>
    <w:unhideWhenUsed/>
    <w:rsid w:val="00FA5F47"/>
    <w:pPr>
      <w:spacing w:after="100"/>
    </w:pPr>
  </w:style>
  <w:style w:type="paragraph" w:styleId="Sisluet2">
    <w:name w:val="toc 2"/>
    <w:basedOn w:val="Normaali"/>
    <w:next w:val="Normaali"/>
    <w:autoRedefine/>
    <w:uiPriority w:val="39"/>
    <w:unhideWhenUsed/>
    <w:rsid w:val="00FA5F47"/>
    <w:pPr>
      <w:spacing w:after="100"/>
      <w:ind w:left="220"/>
    </w:pPr>
  </w:style>
  <w:style w:type="paragraph" w:styleId="Sisluet3">
    <w:name w:val="toc 3"/>
    <w:basedOn w:val="Normaali"/>
    <w:next w:val="Normaali"/>
    <w:autoRedefine/>
    <w:uiPriority w:val="39"/>
    <w:unhideWhenUsed/>
    <w:rsid w:val="00FA5F47"/>
    <w:pPr>
      <w:spacing w:after="100"/>
      <w:ind w:left="440"/>
    </w:pPr>
  </w:style>
  <w:style w:type="character" w:customStyle="1" w:styleId="LuettelokappaleChar">
    <w:name w:val="Luettelokappale Char"/>
    <w:link w:val="Luettelokappale"/>
    <w:uiPriority w:val="34"/>
    <w:locked/>
    <w:rsid w:val="00D9598B"/>
  </w:style>
  <w:style w:type="paragraph" w:customStyle="1" w:styleId="AKPleipteksti">
    <w:name w:val="AKP leipäteksti"/>
    <w:rsid w:val="00D9598B"/>
    <w:pPr>
      <w:spacing w:after="240" w:line="240" w:lineRule="auto"/>
      <w:ind w:left="2608"/>
    </w:pPr>
    <w:rPr>
      <w:rFonts w:ascii="Arial" w:eastAsia="Times New Roman" w:hAnsi="Arial" w:cs="Times New Roman"/>
      <w:sz w:val="21"/>
      <w:szCs w:val="20"/>
      <w:lang w:eastAsia="fi-FI"/>
    </w:rPr>
  </w:style>
  <w:style w:type="paragraph" w:styleId="Alaviitteenteksti">
    <w:name w:val="footnote text"/>
    <w:basedOn w:val="Normaali"/>
    <w:link w:val="AlaviitteentekstiChar"/>
    <w:uiPriority w:val="99"/>
    <w:semiHidden/>
    <w:unhideWhenUsed/>
    <w:rsid w:val="00D9598B"/>
    <w:pPr>
      <w:spacing w:after="0" w:line="240" w:lineRule="auto"/>
    </w:pPr>
    <w:rPr>
      <w:rFonts w:eastAsiaTheme="minorEastAsia"/>
      <w:sz w:val="20"/>
      <w:szCs w:val="20"/>
      <w:lang w:eastAsia="fi-FI"/>
    </w:rPr>
  </w:style>
  <w:style w:type="character" w:customStyle="1" w:styleId="AlaviitteentekstiChar">
    <w:name w:val="Alaviitteen teksti Char"/>
    <w:basedOn w:val="Kappaleenoletusfontti"/>
    <w:link w:val="Alaviitteenteksti"/>
    <w:uiPriority w:val="99"/>
    <w:semiHidden/>
    <w:rsid w:val="00D9598B"/>
    <w:rPr>
      <w:rFonts w:eastAsiaTheme="minorEastAsia"/>
      <w:sz w:val="20"/>
      <w:szCs w:val="20"/>
      <w:lang w:eastAsia="fi-FI"/>
    </w:rPr>
  </w:style>
  <w:style w:type="character" w:styleId="Alaviitteenviite">
    <w:name w:val="footnote reference"/>
    <w:basedOn w:val="Kappaleenoletusfontti"/>
    <w:uiPriority w:val="99"/>
    <w:semiHidden/>
    <w:unhideWhenUsed/>
    <w:rsid w:val="00D9598B"/>
    <w:rPr>
      <w:vertAlign w:val="superscript"/>
    </w:rPr>
  </w:style>
  <w:style w:type="table" w:styleId="TaulukkoRuudukko">
    <w:name w:val="Table Grid"/>
    <w:basedOn w:val="Normaalitaulukko"/>
    <w:uiPriority w:val="59"/>
    <w:rsid w:val="002B2454"/>
    <w:pPr>
      <w:spacing w:after="0" w:line="240" w:lineRule="auto"/>
    </w:pPr>
    <w:rPr>
      <w:rFonts w:eastAsiaTheme="minorEastAsia"/>
      <w:lang w:eastAsia="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31174">
      <w:bodyDiv w:val="1"/>
      <w:marLeft w:val="0"/>
      <w:marRight w:val="0"/>
      <w:marTop w:val="0"/>
      <w:marBottom w:val="0"/>
      <w:divBdr>
        <w:top w:val="none" w:sz="0" w:space="0" w:color="auto"/>
        <w:left w:val="none" w:sz="0" w:space="0" w:color="auto"/>
        <w:bottom w:val="none" w:sz="0" w:space="0" w:color="auto"/>
        <w:right w:val="none" w:sz="0" w:space="0" w:color="auto"/>
      </w:divBdr>
      <w:divsChild>
        <w:div w:id="807476897">
          <w:marLeft w:val="0"/>
          <w:marRight w:val="0"/>
          <w:marTop w:val="0"/>
          <w:marBottom w:val="0"/>
          <w:divBdr>
            <w:top w:val="none" w:sz="0" w:space="0" w:color="auto"/>
            <w:left w:val="none" w:sz="0" w:space="0" w:color="auto"/>
            <w:bottom w:val="none" w:sz="0" w:space="0" w:color="auto"/>
            <w:right w:val="none" w:sz="0" w:space="0" w:color="auto"/>
          </w:divBdr>
          <w:divsChild>
            <w:div w:id="64962556">
              <w:marLeft w:val="0"/>
              <w:marRight w:val="0"/>
              <w:marTop w:val="0"/>
              <w:marBottom w:val="0"/>
              <w:divBdr>
                <w:top w:val="none" w:sz="0" w:space="0" w:color="auto"/>
                <w:left w:val="none" w:sz="0" w:space="0" w:color="auto"/>
                <w:bottom w:val="none" w:sz="0" w:space="0" w:color="auto"/>
                <w:right w:val="none" w:sz="0" w:space="0" w:color="auto"/>
              </w:divBdr>
              <w:divsChild>
                <w:div w:id="1173490512">
                  <w:marLeft w:val="0"/>
                  <w:marRight w:val="0"/>
                  <w:marTop w:val="0"/>
                  <w:marBottom w:val="0"/>
                  <w:divBdr>
                    <w:top w:val="none" w:sz="0" w:space="0" w:color="auto"/>
                    <w:left w:val="none" w:sz="0" w:space="0" w:color="auto"/>
                    <w:bottom w:val="none" w:sz="0" w:space="0" w:color="auto"/>
                    <w:right w:val="none" w:sz="0" w:space="0" w:color="auto"/>
                  </w:divBdr>
                  <w:divsChild>
                    <w:div w:id="1804735064">
                      <w:marLeft w:val="0"/>
                      <w:marRight w:val="0"/>
                      <w:marTop w:val="0"/>
                      <w:marBottom w:val="0"/>
                      <w:divBdr>
                        <w:top w:val="none" w:sz="0" w:space="0" w:color="auto"/>
                        <w:left w:val="none" w:sz="0" w:space="0" w:color="auto"/>
                        <w:bottom w:val="none" w:sz="0" w:space="0" w:color="auto"/>
                        <w:right w:val="none" w:sz="0" w:space="0" w:color="auto"/>
                      </w:divBdr>
                      <w:divsChild>
                        <w:div w:id="984241935">
                          <w:marLeft w:val="0"/>
                          <w:marRight w:val="0"/>
                          <w:marTop w:val="0"/>
                          <w:marBottom w:val="0"/>
                          <w:divBdr>
                            <w:top w:val="none" w:sz="0" w:space="0" w:color="auto"/>
                            <w:left w:val="none" w:sz="0" w:space="0" w:color="auto"/>
                            <w:bottom w:val="none" w:sz="0" w:space="0" w:color="auto"/>
                            <w:right w:val="none" w:sz="0" w:space="0" w:color="auto"/>
                          </w:divBdr>
                          <w:divsChild>
                            <w:div w:id="1940985198">
                              <w:marLeft w:val="0"/>
                              <w:marRight w:val="0"/>
                              <w:marTop w:val="0"/>
                              <w:marBottom w:val="0"/>
                              <w:divBdr>
                                <w:top w:val="none" w:sz="0" w:space="0" w:color="auto"/>
                                <w:left w:val="none" w:sz="0" w:space="0" w:color="auto"/>
                                <w:bottom w:val="none" w:sz="0" w:space="0" w:color="auto"/>
                                <w:right w:val="none" w:sz="0" w:space="0" w:color="auto"/>
                              </w:divBdr>
                              <w:divsChild>
                                <w:div w:id="1151213893">
                                  <w:marLeft w:val="0"/>
                                  <w:marRight w:val="0"/>
                                  <w:marTop w:val="0"/>
                                  <w:marBottom w:val="0"/>
                                  <w:divBdr>
                                    <w:top w:val="none" w:sz="0" w:space="0" w:color="auto"/>
                                    <w:left w:val="none" w:sz="0" w:space="0" w:color="auto"/>
                                    <w:bottom w:val="none" w:sz="0" w:space="0" w:color="auto"/>
                                    <w:right w:val="none" w:sz="0" w:space="0" w:color="auto"/>
                                  </w:divBdr>
                                  <w:divsChild>
                                    <w:div w:id="7697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028872">
      <w:bodyDiv w:val="1"/>
      <w:marLeft w:val="0"/>
      <w:marRight w:val="0"/>
      <w:marTop w:val="0"/>
      <w:marBottom w:val="0"/>
      <w:divBdr>
        <w:top w:val="none" w:sz="0" w:space="0" w:color="auto"/>
        <w:left w:val="none" w:sz="0" w:space="0" w:color="auto"/>
        <w:bottom w:val="none" w:sz="0" w:space="0" w:color="auto"/>
        <w:right w:val="none" w:sz="0" w:space="0" w:color="auto"/>
      </w:divBdr>
      <w:divsChild>
        <w:div w:id="373652557">
          <w:marLeft w:val="0"/>
          <w:marRight w:val="0"/>
          <w:marTop w:val="0"/>
          <w:marBottom w:val="0"/>
          <w:divBdr>
            <w:top w:val="none" w:sz="0" w:space="0" w:color="auto"/>
            <w:left w:val="none" w:sz="0" w:space="0" w:color="auto"/>
            <w:bottom w:val="none" w:sz="0" w:space="0" w:color="auto"/>
            <w:right w:val="none" w:sz="0" w:space="0" w:color="auto"/>
          </w:divBdr>
          <w:divsChild>
            <w:div w:id="364017009">
              <w:marLeft w:val="0"/>
              <w:marRight w:val="0"/>
              <w:marTop w:val="0"/>
              <w:marBottom w:val="0"/>
              <w:divBdr>
                <w:top w:val="none" w:sz="0" w:space="0" w:color="auto"/>
                <w:left w:val="none" w:sz="0" w:space="0" w:color="auto"/>
                <w:bottom w:val="none" w:sz="0" w:space="0" w:color="auto"/>
                <w:right w:val="none" w:sz="0" w:space="0" w:color="auto"/>
              </w:divBdr>
              <w:divsChild>
                <w:div w:id="586186548">
                  <w:marLeft w:val="0"/>
                  <w:marRight w:val="0"/>
                  <w:marTop w:val="0"/>
                  <w:marBottom w:val="0"/>
                  <w:divBdr>
                    <w:top w:val="none" w:sz="0" w:space="0" w:color="auto"/>
                    <w:left w:val="none" w:sz="0" w:space="0" w:color="auto"/>
                    <w:bottom w:val="none" w:sz="0" w:space="0" w:color="auto"/>
                    <w:right w:val="none" w:sz="0" w:space="0" w:color="auto"/>
                  </w:divBdr>
                  <w:divsChild>
                    <w:div w:id="1078213787">
                      <w:marLeft w:val="0"/>
                      <w:marRight w:val="0"/>
                      <w:marTop w:val="0"/>
                      <w:marBottom w:val="0"/>
                      <w:divBdr>
                        <w:top w:val="none" w:sz="0" w:space="0" w:color="auto"/>
                        <w:left w:val="none" w:sz="0" w:space="0" w:color="auto"/>
                        <w:bottom w:val="none" w:sz="0" w:space="0" w:color="auto"/>
                        <w:right w:val="none" w:sz="0" w:space="0" w:color="auto"/>
                      </w:divBdr>
                      <w:divsChild>
                        <w:div w:id="303123520">
                          <w:marLeft w:val="0"/>
                          <w:marRight w:val="0"/>
                          <w:marTop w:val="0"/>
                          <w:marBottom w:val="0"/>
                          <w:divBdr>
                            <w:top w:val="none" w:sz="0" w:space="0" w:color="auto"/>
                            <w:left w:val="none" w:sz="0" w:space="0" w:color="auto"/>
                            <w:bottom w:val="none" w:sz="0" w:space="0" w:color="auto"/>
                            <w:right w:val="none" w:sz="0" w:space="0" w:color="auto"/>
                          </w:divBdr>
                          <w:divsChild>
                            <w:div w:id="1072890293">
                              <w:marLeft w:val="0"/>
                              <w:marRight w:val="0"/>
                              <w:marTop w:val="0"/>
                              <w:marBottom w:val="0"/>
                              <w:divBdr>
                                <w:top w:val="none" w:sz="0" w:space="0" w:color="auto"/>
                                <w:left w:val="none" w:sz="0" w:space="0" w:color="auto"/>
                                <w:bottom w:val="none" w:sz="0" w:space="0" w:color="auto"/>
                                <w:right w:val="none" w:sz="0" w:space="0" w:color="auto"/>
                              </w:divBdr>
                              <w:divsChild>
                                <w:div w:id="1946304782">
                                  <w:marLeft w:val="0"/>
                                  <w:marRight w:val="0"/>
                                  <w:marTop w:val="0"/>
                                  <w:marBottom w:val="0"/>
                                  <w:divBdr>
                                    <w:top w:val="none" w:sz="0" w:space="0" w:color="auto"/>
                                    <w:left w:val="none" w:sz="0" w:space="0" w:color="auto"/>
                                    <w:bottom w:val="none" w:sz="0" w:space="0" w:color="auto"/>
                                    <w:right w:val="none" w:sz="0" w:space="0" w:color="auto"/>
                                  </w:divBdr>
                                  <w:divsChild>
                                    <w:div w:id="1802503588">
                                      <w:marLeft w:val="0"/>
                                      <w:marRight w:val="0"/>
                                      <w:marTop w:val="0"/>
                                      <w:marBottom w:val="0"/>
                                      <w:divBdr>
                                        <w:top w:val="none" w:sz="0" w:space="0" w:color="auto"/>
                                        <w:left w:val="none" w:sz="0" w:space="0" w:color="auto"/>
                                        <w:bottom w:val="none" w:sz="0" w:space="0" w:color="auto"/>
                                        <w:right w:val="none" w:sz="0" w:space="0" w:color="auto"/>
                                      </w:divBdr>
                                      <w:divsChild>
                                        <w:div w:id="161238278">
                                          <w:marLeft w:val="0"/>
                                          <w:marRight w:val="0"/>
                                          <w:marTop w:val="0"/>
                                          <w:marBottom w:val="0"/>
                                          <w:divBdr>
                                            <w:top w:val="none" w:sz="0" w:space="0" w:color="auto"/>
                                            <w:left w:val="none" w:sz="0" w:space="0" w:color="auto"/>
                                            <w:bottom w:val="none" w:sz="0" w:space="0" w:color="auto"/>
                                            <w:right w:val="none" w:sz="0" w:space="0" w:color="auto"/>
                                          </w:divBdr>
                                          <w:divsChild>
                                            <w:div w:id="81069046">
                                              <w:marLeft w:val="0"/>
                                              <w:marRight w:val="0"/>
                                              <w:marTop w:val="0"/>
                                              <w:marBottom w:val="0"/>
                                              <w:divBdr>
                                                <w:top w:val="none" w:sz="0" w:space="0" w:color="auto"/>
                                                <w:left w:val="none" w:sz="0" w:space="0" w:color="auto"/>
                                                <w:bottom w:val="none" w:sz="0" w:space="0" w:color="auto"/>
                                                <w:right w:val="none" w:sz="0" w:space="0" w:color="auto"/>
                                              </w:divBdr>
                                              <w:divsChild>
                                                <w:div w:id="557016164">
                                                  <w:marLeft w:val="0"/>
                                                  <w:marRight w:val="0"/>
                                                  <w:marTop w:val="0"/>
                                                  <w:marBottom w:val="0"/>
                                                  <w:divBdr>
                                                    <w:top w:val="none" w:sz="0" w:space="0" w:color="auto"/>
                                                    <w:left w:val="none" w:sz="0" w:space="0" w:color="auto"/>
                                                    <w:bottom w:val="none" w:sz="0" w:space="0" w:color="auto"/>
                                                    <w:right w:val="none" w:sz="0" w:space="0" w:color="auto"/>
                                                  </w:divBdr>
                                                  <w:divsChild>
                                                    <w:div w:id="1829246104">
                                                      <w:marLeft w:val="0"/>
                                                      <w:marRight w:val="0"/>
                                                      <w:marTop w:val="0"/>
                                                      <w:marBottom w:val="0"/>
                                                      <w:divBdr>
                                                        <w:top w:val="none" w:sz="0" w:space="0" w:color="auto"/>
                                                        <w:left w:val="none" w:sz="0" w:space="0" w:color="auto"/>
                                                        <w:bottom w:val="none" w:sz="0" w:space="0" w:color="auto"/>
                                                        <w:right w:val="none" w:sz="0" w:space="0" w:color="auto"/>
                                                      </w:divBdr>
                                                      <w:divsChild>
                                                        <w:div w:id="52631263">
                                                          <w:marLeft w:val="0"/>
                                                          <w:marRight w:val="0"/>
                                                          <w:marTop w:val="0"/>
                                                          <w:marBottom w:val="0"/>
                                                          <w:divBdr>
                                                            <w:top w:val="none" w:sz="0" w:space="0" w:color="auto"/>
                                                            <w:left w:val="none" w:sz="0" w:space="0" w:color="auto"/>
                                                            <w:bottom w:val="none" w:sz="0" w:space="0" w:color="auto"/>
                                                            <w:right w:val="none" w:sz="0" w:space="0" w:color="auto"/>
                                                          </w:divBdr>
                                                          <w:divsChild>
                                                            <w:div w:id="1620796653">
                                                              <w:marLeft w:val="0"/>
                                                              <w:marRight w:val="0"/>
                                                              <w:marTop w:val="0"/>
                                                              <w:marBottom w:val="0"/>
                                                              <w:divBdr>
                                                                <w:top w:val="none" w:sz="0" w:space="0" w:color="auto"/>
                                                                <w:left w:val="none" w:sz="0" w:space="0" w:color="auto"/>
                                                                <w:bottom w:val="none" w:sz="0" w:space="0" w:color="auto"/>
                                                                <w:right w:val="none" w:sz="0" w:space="0" w:color="auto"/>
                                                              </w:divBdr>
                                                              <w:divsChild>
                                                                <w:div w:id="1000276191">
                                                                  <w:marLeft w:val="0"/>
                                                                  <w:marRight w:val="0"/>
                                                                  <w:marTop w:val="0"/>
                                                                  <w:marBottom w:val="0"/>
                                                                  <w:divBdr>
                                                                    <w:top w:val="none" w:sz="0" w:space="0" w:color="auto"/>
                                                                    <w:left w:val="none" w:sz="0" w:space="0" w:color="auto"/>
                                                                    <w:bottom w:val="none" w:sz="0" w:space="0" w:color="auto"/>
                                                                    <w:right w:val="none" w:sz="0" w:space="0" w:color="auto"/>
                                                                  </w:divBdr>
                                                                  <w:divsChild>
                                                                    <w:div w:id="1775445173">
                                                                      <w:marLeft w:val="0"/>
                                                                      <w:marRight w:val="0"/>
                                                                      <w:marTop w:val="0"/>
                                                                      <w:marBottom w:val="0"/>
                                                                      <w:divBdr>
                                                                        <w:top w:val="none" w:sz="0" w:space="0" w:color="auto"/>
                                                                        <w:left w:val="none" w:sz="0" w:space="0" w:color="auto"/>
                                                                        <w:bottom w:val="none" w:sz="0" w:space="0" w:color="auto"/>
                                                                        <w:right w:val="none" w:sz="0" w:space="0" w:color="auto"/>
                                                                      </w:divBdr>
                                                                      <w:divsChild>
                                                                        <w:div w:id="1731609938">
                                                                          <w:marLeft w:val="0"/>
                                                                          <w:marRight w:val="0"/>
                                                                          <w:marTop w:val="0"/>
                                                                          <w:marBottom w:val="0"/>
                                                                          <w:divBdr>
                                                                            <w:top w:val="none" w:sz="0" w:space="0" w:color="auto"/>
                                                                            <w:left w:val="none" w:sz="0" w:space="0" w:color="auto"/>
                                                                            <w:bottom w:val="none" w:sz="0" w:space="0" w:color="auto"/>
                                                                            <w:right w:val="none" w:sz="0" w:space="0" w:color="auto"/>
                                                                          </w:divBdr>
                                                                          <w:divsChild>
                                                                            <w:div w:id="530413035">
                                                                              <w:marLeft w:val="0"/>
                                                                              <w:marRight w:val="0"/>
                                                                              <w:marTop w:val="0"/>
                                                                              <w:marBottom w:val="0"/>
                                                                              <w:divBdr>
                                                                                <w:top w:val="none" w:sz="0" w:space="0" w:color="auto"/>
                                                                                <w:left w:val="none" w:sz="0" w:space="0" w:color="auto"/>
                                                                                <w:bottom w:val="none" w:sz="0" w:space="0" w:color="auto"/>
                                                                                <w:right w:val="none" w:sz="0" w:space="0" w:color="auto"/>
                                                                              </w:divBdr>
                                                                              <w:divsChild>
                                                                                <w:div w:id="1766344466">
                                                                                  <w:marLeft w:val="0"/>
                                                                                  <w:marRight w:val="0"/>
                                                                                  <w:marTop w:val="0"/>
                                                                                  <w:marBottom w:val="0"/>
                                                                                  <w:divBdr>
                                                                                    <w:top w:val="none" w:sz="0" w:space="0" w:color="auto"/>
                                                                                    <w:left w:val="none" w:sz="0" w:space="0" w:color="auto"/>
                                                                                    <w:bottom w:val="none" w:sz="0" w:space="0" w:color="auto"/>
                                                                                    <w:right w:val="none" w:sz="0" w:space="0" w:color="auto"/>
                                                                                  </w:divBdr>
                                                                                  <w:divsChild>
                                                                                    <w:div w:id="260450920">
                                                                                      <w:marLeft w:val="0"/>
                                                                                      <w:marRight w:val="0"/>
                                                                                      <w:marTop w:val="0"/>
                                                                                      <w:marBottom w:val="0"/>
                                                                                      <w:divBdr>
                                                                                        <w:top w:val="none" w:sz="0" w:space="0" w:color="auto"/>
                                                                                        <w:left w:val="none" w:sz="0" w:space="0" w:color="auto"/>
                                                                                        <w:bottom w:val="none" w:sz="0" w:space="0" w:color="auto"/>
                                                                                        <w:right w:val="none" w:sz="0" w:space="0" w:color="auto"/>
                                                                                      </w:divBdr>
                                                                                      <w:divsChild>
                                                                                        <w:div w:id="1782531778">
                                                                                          <w:marLeft w:val="0"/>
                                                                                          <w:marRight w:val="0"/>
                                                                                          <w:marTop w:val="0"/>
                                                                                          <w:marBottom w:val="0"/>
                                                                                          <w:divBdr>
                                                                                            <w:top w:val="none" w:sz="0" w:space="0" w:color="auto"/>
                                                                                            <w:left w:val="none" w:sz="0" w:space="0" w:color="auto"/>
                                                                                            <w:bottom w:val="none" w:sz="0" w:space="0" w:color="auto"/>
                                                                                            <w:right w:val="none" w:sz="0" w:space="0" w:color="auto"/>
                                                                                          </w:divBdr>
                                                                                          <w:divsChild>
                                                                                            <w:div w:id="547762779">
                                                                                              <w:marLeft w:val="0"/>
                                                                                              <w:marRight w:val="0"/>
                                                                                              <w:marTop w:val="0"/>
                                                                                              <w:marBottom w:val="0"/>
                                                                                              <w:divBdr>
                                                                                                <w:top w:val="none" w:sz="0" w:space="0" w:color="auto"/>
                                                                                                <w:left w:val="none" w:sz="0" w:space="0" w:color="auto"/>
                                                                                                <w:bottom w:val="none" w:sz="0" w:space="0" w:color="auto"/>
                                                                                                <w:right w:val="none" w:sz="0" w:space="0" w:color="auto"/>
                                                                                              </w:divBdr>
                                                                                              <w:divsChild>
                                                                                                <w:div w:id="1810437693">
                                                                                                  <w:marLeft w:val="0"/>
                                                                                                  <w:marRight w:val="0"/>
                                                                                                  <w:marTop w:val="0"/>
                                                                                                  <w:marBottom w:val="0"/>
                                                                                                  <w:divBdr>
                                                                                                    <w:top w:val="none" w:sz="0" w:space="0" w:color="auto"/>
                                                                                                    <w:left w:val="none" w:sz="0" w:space="0" w:color="auto"/>
                                                                                                    <w:bottom w:val="none" w:sz="0" w:space="0" w:color="auto"/>
                                                                                                    <w:right w:val="none" w:sz="0" w:space="0" w:color="auto"/>
                                                                                                  </w:divBdr>
                                                                                                  <w:divsChild>
                                                                                                    <w:div w:id="3938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551023">
      <w:bodyDiv w:val="1"/>
      <w:marLeft w:val="0"/>
      <w:marRight w:val="0"/>
      <w:marTop w:val="0"/>
      <w:marBottom w:val="0"/>
      <w:divBdr>
        <w:top w:val="none" w:sz="0" w:space="0" w:color="auto"/>
        <w:left w:val="none" w:sz="0" w:space="0" w:color="auto"/>
        <w:bottom w:val="none" w:sz="0" w:space="0" w:color="auto"/>
        <w:right w:val="none" w:sz="0" w:space="0" w:color="auto"/>
      </w:divBdr>
    </w:div>
    <w:div w:id="1732381721">
      <w:bodyDiv w:val="1"/>
      <w:marLeft w:val="0"/>
      <w:marRight w:val="0"/>
      <w:marTop w:val="0"/>
      <w:marBottom w:val="0"/>
      <w:divBdr>
        <w:top w:val="none" w:sz="0" w:space="0" w:color="auto"/>
        <w:left w:val="none" w:sz="0" w:space="0" w:color="auto"/>
        <w:bottom w:val="none" w:sz="0" w:space="0" w:color="auto"/>
        <w:right w:val="none" w:sz="0" w:space="0" w:color="auto"/>
      </w:divBdr>
    </w:div>
    <w:div w:id="178738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4F434-02A5-449C-9C2B-9DBE88B3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5977</Words>
  <Characters>48416</Characters>
  <Application>Microsoft Office Word</Application>
  <DocSecurity>0</DocSecurity>
  <Lines>403</Lines>
  <Paragraphs>108</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54285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Lampinen Lotta TEM</dc:creator>
  <cp:lastModifiedBy>Andersson Marina</cp:lastModifiedBy>
  <cp:revision>3</cp:revision>
  <cp:lastPrinted>2018-05-22T08:08:00Z</cp:lastPrinted>
  <dcterms:created xsi:type="dcterms:W3CDTF">2018-06-06T07:42:00Z</dcterms:created>
  <dcterms:modified xsi:type="dcterms:W3CDTF">2018-06-06T07:46:00Z</dcterms:modified>
</cp:coreProperties>
</file>