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A" w:rsidRPr="00FC72DD" w:rsidRDefault="00FC72DD" w:rsidP="00FC72DD">
      <w:pPr>
        <w:pStyle w:val="AKPnormaali0"/>
      </w:pPr>
      <w:bookmarkStart w:id="0" w:name="_GoBack"/>
      <w:bookmarkEnd w:id="0"/>
      <w:r w:rsidRPr="00FC72DD">
        <w:t>Lainvalmisteluosasto</w:t>
      </w:r>
    </w:p>
    <w:p w:rsidR="00FC72DD" w:rsidRPr="00FC72DD" w:rsidRDefault="00FC72DD" w:rsidP="00FC72DD">
      <w:pPr>
        <w:pStyle w:val="AKPnormaali0"/>
      </w:pPr>
    </w:p>
    <w:p w:rsidR="00FC72DD" w:rsidRPr="00FC72DD" w:rsidRDefault="00FC72DD" w:rsidP="00FC72DD">
      <w:pPr>
        <w:pStyle w:val="AKPnormaali0"/>
      </w:pPr>
    </w:p>
    <w:p w:rsidR="00FC72DD" w:rsidRPr="00FC72DD" w:rsidRDefault="00FC72DD" w:rsidP="00FC72DD">
      <w:pPr>
        <w:pStyle w:val="AKPnormaali0"/>
      </w:pPr>
    </w:p>
    <w:p w:rsidR="00FC72DD" w:rsidRPr="00FC72DD" w:rsidRDefault="00FC72DD" w:rsidP="00FC72DD">
      <w:pPr>
        <w:pStyle w:val="AKPnormaali0"/>
      </w:pPr>
    </w:p>
    <w:p w:rsidR="00FC72DD" w:rsidRPr="00FC72DD" w:rsidRDefault="00FC72DD" w:rsidP="00FC72DD">
      <w:pPr>
        <w:pStyle w:val="AKPnormaali0"/>
      </w:pPr>
    </w:p>
    <w:p w:rsidR="00FC72DD" w:rsidRPr="00FC72DD" w:rsidRDefault="0061474D" w:rsidP="00FC72DD">
      <w:pPr>
        <w:pStyle w:val="AKPnormaali0"/>
      </w:pPr>
      <w:r>
        <w:t>lausuntopyyntönne 6.6.2016</w:t>
      </w:r>
    </w:p>
    <w:p w:rsidR="00FC72DD" w:rsidRPr="00FC72DD" w:rsidRDefault="00FC72DD" w:rsidP="00FC72DD">
      <w:pPr>
        <w:pStyle w:val="AKPnormaali0"/>
      </w:pPr>
    </w:p>
    <w:p w:rsidR="00FC72DD" w:rsidRPr="0061474D" w:rsidRDefault="00FC72DD" w:rsidP="00FC72DD">
      <w:pPr>
        <w:pStyle w:val="akpasia"/>
        <w:rPr>
          <w:sz w:val="24"/>
          <w:szCs w:val="24"/>
          <w:lang w:val="fi-FI"/>
        </w:rPr>
      </w:pPr>
      <w:r w:rsidRPr="0061474D">
        <w:rPr>
          <w:b/>
          <w:sz w:val="24"/>
          <w:szCs w:val="24"/>
          <w:lang w:val="fi-FI"/>
        </w:rPr>
        <w:t>LAUSUNTO</w:t>
      </w:r>
      <w:r w:rsidR="0061474D">
        <w:rPr>
          <w:b/>
          <w:sz w:val="24"/>
          <w:szCs w:val="24"/>
          <w:lang w:val="fi-FI"/>
        </w:rPr>
        <w:t xml:space="preserve"> EUROOPPALAISTA TUTKINTAMÄÄRÄYSTÄ KOSKEVAN DIREKTIIVIN TÄYTÄNTÖÖNPANOSTA</w:t>
      </w:r>
    </w:p>
    <w:p w:rsidR="00FC72DD" w:rsidRPr="00FC72DD" w:rsidRDefault="00FC72DD" w:rsidP="00FC72DD">
      <w:pPr>
        <w:pStyle w:val="AKPleipteksti"/>
      </w:pPr>
    </w:p>
    <w:p w:rsidR="00FC72DD" w:rsidRDefault="00FC72DD" w:rsidP="00FC72DD">
      <w:pPr>
        <w:pStyle w:val="AKPleipteksti"/>
      </w:pPr>
    </w:p>
    <w:p w:rsidR="0061474D" w:rsidRDefault="0061474D" w:rsidP="0061474D">
      <w:pPr>
        <w:pStyle w:val="AKPleipteksti"/>
        <w:ind w:left="1298"/>
      </w:pPr>
      <w:r>
        <w:t>Oikeusministeriön oikeushallinto-osaston kansainvälisen oikeudenhoidon yksikkö esi</w:t>
      </w:r>
      <w:r>
        <w:t>t</w:t>
      </w:r>
      <w:r>
        <w:t>tää lausuntonaan seuraavaa:</w:t>
      </w:r>
    </w:p>
    <w:p w:rsidR="0061474D" w:rsidRDefault="0061474D" w:rsidP="0061474D">
      <w:pPr>
        <w:pStyle w:val="AKPleipteksti"/>
        <w:ind w:left="1298"/>
      </w:pPr>
    </w:p>
    <w:p w:rsidR="00D55BDA" w:rsidRDefault="0061474D" w:rsidP="0061474D">
      <w:pPr>
        <w:pStyle w:val="AKPleipteksti"/>
        <w:ind w:left="1298"/>
      </w:pPr>
      <w:r>
        <w:t xml:space="preserve">Kansainvälisen oikeudenhoidon yksikön keskeisenä tehtävänä on toimia </w:t>
      </w:r>
      <w:r w:rsidR="006316C8">
        <w:t>oikeudellista yhteistyötä koskevien k</w:t>
      </w:r>
      <w:r>
        <w:t xml:space="preserve">ansainvälisten sopimusten keskusviranomaisena. </w:t>
      </w:r>
      <w:r w:rsidR="00D55BDA">
        <w:t xml:space="preserve">Yleensä </w:t>
      </w:r>
      <w:r>
        <w:t>E</w:t>
      </w:r>
      <w:r>
        <w:t>u</w:t>
      </w:r>
      <w:r>
        <w:t xml:space="preserve">roopan unionin instrumentit perustuvat </w:t>
      </w:r>
      <w:r w:rsidR="00D55BDA">
        <w:t>s</w:t>
      </w:r>
      <w:r>
        <w:t>uoriin yhteyksiin toimivaltaisten viranomai</w:t>
      </w:r>
      <w:r>
        <w:t>s</w:t>
      </w:r>
      <w:r>
        <w:t>ten välillä</w:t>
      </w:r>
      <w:r w:rsidR="006316C8">
        <w:t>, jolloin keskusviranomaisen rooli on vähäinen</w:t>
      </w:r>
      <w:r>
        <w:t>.</w:t>
      </w:r>
      <w:r w:rsidR="00D55BDA">
        <w:t xml:space="preserve"> </w:t>
      </w:r>
    </w:p>
    <w:p w:rsidR="00D55BDA" w:rsidRDefault="00D55BDA" w:rsidP="0061474D">
      <w:pPr>
        <w:pStyle w:val="AKPleipteksti"/>
        <w:ind w:left="1298"/>
      </w:pPr>
    </w:p>
    <w:p w:rsidR="0061474D" w:rsidRDefault="00B8188A" w:rsidP="0061474D">
      <w:pPr>
        <w:pStyle w:val="AKPleipteksti"/>
        <w:ind w:left="1298"/>
      </w:pPr>
      <w:r>
        <w:t>V</w:t>
      </w:r>
      <w:r w:rsidR="00D55BDA">
        <w:t>iime aikoina eräiden</w:t>
      </w:r>
      <w:r w:rsidR="0061474D">
        <w:t xml:space="preserve"> </w:t>
      </w:r>
      <w:r w:rsidR="006316C8">
        <w:t>EU-</w:t>
      </w:r>
      <w:r w:rsidR="0061474D">
        <w:t xml:space="preserve">instrumenttien </w:t>
      </w:r>
      <w:r w:rsidR="00D55BDA">
        <w:t xml:space="preserve">(valvontamääräys, suojelumääräys) </w:t>
      </w:r>
      <w:r w:rsidR="0061474D">
        <w:t>täytä</w:t>
      </w:r>
      <w:r w:rsidR="0061474D">
        <w:t>n</w:t>
      </w:r>
      <w:r w:rsidR="0061474D">
        <w:t>töönpano</w:t>
      </w:r>
      <w:r w:rsidR="006316C8">
        <w:t xml:space="preserve">n yhteydessä </w:t>
      </w:r>
      <w:r w:rsidR="008522C2">
        <w:t xml:space="preserve">Suomessa </w:t>
      </w:r>
      <w:r w:rsidR="006316C8">
        <w:t xml:space="preserve">on </w:t>
      </w:r>
      <w:r w:rsidR="004363A5">
        <w:t xml:space="preserve">kuitenkin </w:t>
      </w:r>
      <w:r w:rsidR="0061474D">
        <w:t>haluttu antaa keskusviranomaiselle</w:t>
      </w:r>
      <w:r w:rsidR="004363A5">
        <w:t xml:space="preserve"> </w:t>
      </w:r>
      <w:r>
        <w:t>jo</w:t>
      </w:r>
      <w:r w:rsidR="008522C2">
        <w:t>i</w:t>
      </w:r>
      <w:r w:rsidR="008522C2">
        <w:t>takin</w:t>
      </w:r>
      <w:r>
        <w:t xml:space="preserve"> tehtäviä</w:t>
      </w:r>
      <w:r w:rsidR="0061474D">
        <w:t xml:space="preserve">. </w:t>
      </w:r>
      <w:r w:rsidR="006316C8">
        <w:t>Myös e</w:t>
      </w:r>
      <w:r w:rsidR="0061474D">
        <w:t>urooppalaista tutkintamääräystä koskeva</w:t>
      </w:r>
      <w:r w:rsidR="006316C8">
        <w:t>n direktiivin täytä</w:t>
      </w:r>
      <w:r w:rsidR="006316C8">
        <w:t>n</w:t>
      </w:r>
      <w:r w:rsidR="006316C8">
        <w:t xml:space="preserve">töönpanoa koskevassa työryhmämietinnössä </w:t>
      </w:r>
      <w:r w:rsidR="00885F83">
        <w:t>on pohdittu</w:t>
      </w:r>
      <w:r w:rsidR="00D55BDA">
        <w:t xml:space="preserve"> keskusviranomaisen roolia. Mietinnössä </w:t>
      </w:r>
      <w:r w:rsidR="006316C8">
        <w:t>esitetään</w:t>
      </w:r>
      <w:r w:rsidR="00D55BDA">
        <w:t xml:space="preserve"> (s. 31), että</w:t>
      </w:r>
      <w:r w:rsidR="00885F83">
        <w:t xml:space="preserve"> ei ole tarpeen nimetä sellaista keskusviranomaista, jonka kautta tutkintamääräykset pitää toimittaa. Sen sijaan on perusteltua nimetä o</w:t>
      </w:r>
      <w:r w:rsidR="00885F83">
        <w:t>i</w:t>
      </w:r>
      <w:r w:rsidR="00885F83">
        <w:t>keusministeriö keskusviranomaiseksi, jonka tehtävänä on avustaa viranomaisia yhte</w:t>
      </w:r>
      <w:r w:rsidR="00885F83">
        <w:t>y</w:t>
      </w:r>
      <w:r w:rsidR="00885F83">
        <w:t>denpidossa. T</w:t>
      </w:r>
      <w:r w:rsidR="007F78D9">
        <w:t xml:space="preserve">ällöin tarkoitetaan </w:t>
      </w:r>
      <w:r w:rsidR="00BC0A3D">
        <w:t>lähinnä</w:t>
      </w:r>
      <w:r w:rsidR="00885F83">
        <w:t xml:space="preserve"> lähettävien viranomaisten</w:t>
      </w:r>
      <w:r w:rsidR="00BC0A3D">
        <w:t xml:space="preserve"> </w:t>
      </w:r>
      <w:r w:rsidR="007F78D9">
        <w:t>avustamista toim</w:t>
      </w:r>
      <w:r w:rsidR="007F78D9">
        <w:t>i</w:t>
      </w:r>
      <w:r w:rsidR="007F78D9">
        <w:t>valtaisen viranomaisen löytämiseksi esim. oikeudellisen verkoston avulla.</w:t>
      </w:r>
      <w:r w:rsidR="00BC0A3D">
        <w:t xml:space="preserve"> </w:t>
      </w:r>
    </w:p>
    <w:p w:rsidR="006316C8" w:rsidRDefault="006316C8" w:rsidP="0061474D">
      <w:pPr>
        <w:pStyle w:val="AKPleipteksti"/>
        <w:ind w:left="1298"/>
      </w:pPr>
    </w:p>
    <w:p w:rsidR="006316C8" w:rsidRDefault="006316C8" w:rsidP="0061474D">
      <w:pPr>
        <w:pStyle w:val="AKPleipteksti"/>
        <w:ind w:left="1298"/>
      </w:pPr>
      <w:r>
        <w:t xml:space="preserve">Kansainvälisen oikeudenhoidon yksiköllä ei ole mitään sitä vastaan, että </w:t>
      </w:r>
      <w:r w:rsidR="00885F83">
        <w:t>keskusvira</w:t>
      </w:r>
      <w:r w:rsidR="00885F83">
        <w:t>n</w:t>
      </w:r>
      <w:r w:rsidR="00885F83">
        <w:t>omaiselle</w:t>
      </w:r>
      <w:r w:rsidR="00554045">
        <w:t xml:space="preserve"> uskotaan tehtäviä EU-instrumenttien nojalla. </w:t>
      </w:r>
      <w:r>
        <w:t xml:space="preserve">Yksikkö kuitenkin korostaa, että kun </w:t>
      </w:r>
      <w:r w:rsidR="00885F83">
        <w:t xml:space="preserve">keskusviranomaiselle määrätään </w:t>
      </w:r>
      <w:r>
        <w:t>tehtäviä,</w:t>
      </w:r>
      <w:r w:rsidR="00554045">
        <w:t xml:space="preserve"> </w:t>
      </w:r>
      <w:r w:rsidR="004363A5">
        <w:t>niistä</w:t>
      </w:r>
      <w:r w:rsidR="00C97E66">
        <w:t xml:space="preserve"> on</w:t>
      </w:r>
      <w:r w:rsidR="00554045">
        <w:t xml:space="preserve"> </w:t>
      </w:r>
      <w:r w:rsidR="00885F83">
        <w:t>syytä ottaa</w:t>
      </w:r>
      <w:r w:rsidR="007F78D9">
        <w:t xml:space="preserve"> säännös täytä</w:t>
      </w:r>
      <w:r w:rsidR="007F78D9">
        <w:t>n</w:t>
      </w:r>
      <w:r w:rsidR="007F78D9">
        <w:t>töönpanolakiin</w:t>
      </w:r>
      <w:r w:rsidR="00885F83">
        <w:t xml:space="preserve">. Näin on tehtykin kyseisessä lakiehdotuksessa </w:t>
      </w:r>
      <w:r w:rsidR="00BC0A3D">
        <w:t>(4 §)</w:t>
      </w:r>
      <w:r>
        <w:t>.</w:t>
      </w:r>
      <w:r w:rsidR="004363A5">
        <w:t xml:space="preserve"> </w:t>
      </w:r>
      <w:r w:rsidR="00885F83">
        <w:t>K</w:t>
      </w:r>
      <w:r>
        <w:t>äytännössä on</w:t>
      </w:r>
      <w:r w:rsidR="00885F83">
        <w:t xml:space="preserve"> </w:t>
      </w:r>
      <w:r>
        <w:t xml:space="preserve">osoittautunut, että pelkästään EU-elimille tehdyt ilmoitukset eivät </w:t>
      </w:r>
      <w:r w:rsidR="008522C2">
        <w:t>ole riittäviä</w:t>
      </w:r>
      <w:r>
        <w:t>.</w:t>
      </w:r>
    </w:p>
    <w:p w:rsidR="004363A5" w:rsidRDefault="004363A5" w:rsidP="0061474D">
      <w:pPr>
        <w:pStyle w:val="AKPleipteksti"/>
        <w:ind w:left="1298"/>
      </w:pPr>
    </w:p>
    <w:p w:rsidR="00885F83" w:rsidRDefault="00885F83" w:rsidP="0061474D">
      <w:pPr>
        <w:pStyle w:val="AKPleipteksti"/>
        <w:ind w:left="1298"/>
      </w:pPr>
    </w:p>
    <w:p w:rsidR="007F78D9" w:rsidRDefault="007F78D9" w:rsidP="0061474D">
      <w:pPr>
        <w:pStyle w:val="AKPleipteksti"/>
        <w:ind w:left="1298"/>
      </w:pPr>
    </w:p>
    <w:p w:rsidR="007F78D9" w:rsidRDefault="007F78D9" w:rsidP="0061474D">
      <w:pPr>
        <w:pStyle w:val="AKPleipteksti"/>
        <w:ind w:left="1298"/>
      </w:pPr>
    </w:p>
    <w:p w:rsidR="004E6FFD" w:rsidRDefault="00885F83" w:rsidP="0061474D">
      <w:pPr>
        <w:pStyle w:val="AKPleipteksti"/>
        <w:ind w:left="1298"/>
      </w:pPr>
      <w:r>
        <w:lastRenderedPageBreak/>
        <w:t xml:space="preserve">Direktiivin 34 artiklassa on käsitelty sen suhdetta muihin kansainvälisiin sopimuksiin. </w:t>
      </w:r>
      <w:r w:rsidR="00467897">
        <w:t xml:space="preserve">Korvattavia instrumentteja ovat muun muassa vuoden 1959 oikeusapusopimus sekä sen kaksi lisäpöytäkirjaa samoin kuin kyseisen sopimuksen 26 artiklan nojalla tehdyt kahdenväliset sopimukset. Sopimusmääräyksistä jäävät </w:t>
      </w:r>
      <w:r w:rsidR="008522C2">
        <w:t xml:space="preserve">kuitenkin </w:t>
      </w:r>
      <w:r w:rsidR="00467897">
        <w:t>voimaan esimerkiksi asiakirjojen tiedoksiantoa koskevat määräykset, koska ne eivät koske todisteiden han</w:t>
      </w:r>
      <w:r w:rsidR="00467897">
        <w:t>k</w:t>
      </w:r>
      <w:r w:rsidR="00467897">
        <w:t xml:space="preserve">kimista (s. 73). Työryhmämietinnössä ei </w:t>
      </w:r>
      <w:r w:rsidR="008A73B4">
        <w:t xml:space="preserve">nähdäksemme </w:t>
      </w:r>
      <w:r w:rsidR="00467897">
        <w:t>ole käsitelty sitä kysymystä, m</w:t>
      </w:r>
      <w:r w:rsidR="00467897">
        <w:t>i</w:t>
      </w:r>
      <w:r w:rsidR="00467897">
        <w:t>kä on</w:t>
      </w:r>
      <w:r w:rsidR="00324099">
        <w:t xml:space="preserve"> pohjoismaisten sopimusten, esimerkiksi</w:t>
      </w:r>
      <w:r w:rsidR="00467897">
        <w:t xml:space="preserve"> Pohjoismaisen oikeusapusopimuk</w:t>
      </w:r>
      <w:r w:rsidR="009556D0">
        <w:t>sen (SopS 26/1975</w:t>
      </w:r>
      <w:r w:rsidR="00467897">
        <w:t>)</w:t>
      </w:r>
      <w:r w:rsidR="00324099">
        <w:t>,</w:t>
      </w:r>
      <w:r w:rsidR="00467897">
        <w:t xml:space="preserve"> kohtalo.</w:t>
      </w:r>
    </w:p>
    <w:p w:rsidR="00467897" w:rsidRDefault="00467897" w:rsidP="0061474D">
      <w:pPr>
        <w:pStyle w:val="AKPleipteksti"/>
        <w:ind w:left="1298"/>
      </w:pPr>
    </w:p>
    <w:p w:rsidR="00172FDF" w:rsidRDefault="00172FDF" w:rsidP="0061474D">
      <w:pPr>
        <w:pStyle w:val="AKPleipteksti"/>
        <w:ind w:left="1298"/>
      </w:pPr>
      <w:r>
        <w:t>Täytäntöönpanolain 10 § koskee kauttakuljetust</w:t>
      </w:r>
      <w:r w:rsidR="00B8188A">
        <w:t>ilanteita</w:t>
      </w:r>
      <w:r>
        <w:t>. Sen mukaan väliaikaisen sii</w:t>
      </w:r>
      <w:r>
        <w:t>r</w:t>
      </w:r>
      <w:r>
        <w:t xml:space="preserve">tämisen </w:t>
      </w:r>
      <w:r w:rsidR="00B8188A">
        <w:t>yhteydessä</w:t>
      </w:r>
      <w:r>
        <w:t xml:space="preserve"> vapautensa menettäneen henkilön kuljettamis</w:t>
      </w:r>
      <w:r w:rsidR="00071E2C">
        <w:t>es</w:t>
      </w:r>
      <w:r>
        <w:t>ta Suomen alueen kautta päättä</w:t>
      </w:r>
      <w:r w:rsidR="005D068B">
        <w:t>isi</w:t>
      </w:r>
      <w:r>
        <w:t xml:space="preserve"> syyttäjä. </w:t>
      </w:r>
      <w:r w:rsidR="0001552C">
        <w:t>Muutoinkin esityksen mukaan tutkintamääräyksen vahvist</w:t>
      </w:r>
      <w:r w:rsidR="0001552C">
        <w:t>a</w:t>
      </w:r>
      <w:r w:rsidR="0001552C">
        <w:t xml:space="preserve">vana viranomaisena olisi syyttäjä. </w:t>
      </w:r>
      <w:r>
        <w:t>Kansainvälinen yksikkö kannattaa e</w:t>
      </w:r>
      <w:r w:rsidR="0001552C">
        <w:t>sitystä</w:t>
      </w:r>
      <w:r>
        <w:t xml:space="preserve">, mutta muistuttaa </w:t>
      </w:r>
      <w:r w:rsidR="008522C2">
        <w:t xml:space="preserve">samalla, </w:t>
      </w:r>
      <w:r>
        <w:t xml:space="preserve">että useat </w:t>
      </w:r>
      <w:r w:rsidR="00071E2C">
        <w:t xml:space="preserve">kansainvälistä yhteistyötä koskevat </w:t>
      </w:r>
      <w:r>
        <w:t xml:space="preserve">lait </w:t>
      </w:r>
      <w:r w:rsidR="00071E2C">
        <w:t>(</w:t>
      </w:r>
      <w:r w:rsidR="00B8188A">
        <w:t xml:space="preserve">muun muassa </w:t>
      </w:r>
      <w:r w:rsidR="00071E2C">
        <w:t xml:space="preserve">luovutuslait) </w:t>
      </w:r>
      <w:r>
        <w:t xml:space="preserve">sisältävät kauttakulkua koskevia säännöksiä, jotka olisi </w:t>
      </w:r>
      <w:r w:rsidR="00071E2C">
        <w:t>aiheellista tarkistaa</w:t>
      </w:r>
      <w:r w:rsidR="00B8188A">
        <w:t xml:space="preserve"> ja yhtenäistää</w:t>
      </w:r>
      <w:r>
        <w:t>.</w:t>
      </w:r>
      <w:r w:rsidR="00071E2C">
        <w:t xml:space="preserve"> Ei ole enää tarkoituksenmukaista käsitellä kauttakulkulupia keskusvira</w:t>
      </w:r>
      <w:r w:rsidR="00071E2C">
        <w:t>n</w:t>
      </w:r>
      <w:r w:rsidR="00071E2C">
        <w:t>omaistasolla.</w:t>
      </w:r>
    </w:p>
    <w:p w:rsidR="00BC0A3D" w:rsidRDefault="00BC0A3D" w:rsidP="0061474D">
      <w:pPr>
        <w:pStyle w:val="AKPleipteksti"/>
        <w:ind w:left="1298"/>
      </w:pPr>
    </w:p>
    <w:p w:rsidR="0061474D" w:rsidRDefault="0061474D" w:rsidP="0061474D">
      <w:pPr>
        <w:pStyle w:val="AKPleipteksti"/>
        <w:ind w:left="1298"/>
      </w:pPr>
    </w:p>
    <w:p w:rsidR="00A156BC" w:rsidRDefault="00A156BC" w:rsidP="0061474D">
      <w:pPr>
        <w:pStyle w:val="AKPleipteksti"/>
        <w:ind w:left="1298"/>
      </w:pPr>
    </w:p>
    <w:p w:rsidR="0061474D" w:rsidRDefault="0061474D" w:rsidP="0061474D">
      <w:pPr>
        <w:pStyle w:val="AKPleipteksti"/>
        <w:ind w:left="1298"/>
      </w:pPr>
    </w:p>
    <w:p w:rsidR="0061474D" w:rsidRDefault="0061474D" w:rsidP="0061474D">
      <w:pPr>
        <w:pStyle w:val="AKPleipteksti"/>
        <w:ind w:left="1298"/>
      </w:pPr>
      <w:r>
        <w:t>Osastopäällikkö,</w:t>
      </w:r>
    </w:p>
    <w:p w:rsidR="0061474D" w:rsidRDefault="0061474D" w:rsidP="0061474D">
      <w:pPr>
        <w:pStyle w:val="AKPleipteksti"/>
        <w:ind w:left="1298"/>
      </w:pPr>
      <w:r>
        <w:t xml:space="preserve">ylijohtaja </w:t>
      </w:r>
      <w:r>
        <w:tab/>
      </w:r>
      <w:r>
        <w:tab/>
      </w:r>
      <w:r>
        <w:tab/>
      </w:r>
      <w:r>
        <w:tab/>
        <w:t>Kari Kiesiläinen</w:t>
      </w:r>
    </w:p>
    <w:p w:rsidR="0061474D" w:rsidRDefault="0061474D" w:rsidP="0061474D">
      <w:pPr>
        <w:pStyle w:val="AKPleipteksti"/>
        <w:ind w:left="1298"/>
      </w:pPr>
    </w:p>
    <w:p w:rsidR="0061474D" w:rsidRPr="00FC72DD" w:rsidRDefault="0061474D" w:rsidP="00FC72DD">
      <w:pPr>
        <w:pStyle w:val="AKPleipteksti"/>
      </w:pPr>
    </w:p>
    <w:p w:rsidR="00FC72DD" w:rsidRPr="00FC72DD" w:rsidRDefault="00FC72DD" w:rsidP="00FC72DD">
      <w:pPr>
        <w:pStyle w:val="AKPleipteksti"/>
      </w:pPr>
    </w:p>
    <w:p w:rsidR="00FC72DD" w:rsidRPr="00FC72DD" w:rsidRDefault="00FC72DD" w:rsidP="0061474D">
      <w:pPr>
        <w:pStyle w:val="AKPleipteksti"/>
        <w:ind w:left="1298"/>
        <w:rPr>
          <w:rStyle w:val="akpallekirjoittaja2c"/>
        </w:rPr>
      </w:pPr>
      <w:r w:rsidRPr="00FC72DD">
        <w:t>Hallitusneuvos</w:t>
      </w:r>
      <w:r w:rsidR="00A156BC">
        <w:tab/>
      </w:r>
      <w:r w:rsidRPr="00FC72DD">
        <w:rPr>
          <w:rStyle w:val="akpallekirjoittaja2c"/>
        </w:rPr>
        <w:tab/>
      </w:r>
      <w:r w:rsidR="0061474D">
        <w:rPr>
          <w:rStyle w:val="akpallekirjoittaja2c"/>
        </w:rPr>
        <w:tab/>
      </w:r>
      <w:r w:rsidRPr="00FC72DD">
        <w:rPr>
          <w:rStyle w:val="akpallekirjoittaja2c"/>
        </w:rPr>
        <w:t>Merja Norros</w:t>
      </w:r>
    </w:p>
    <w:p w:rsidR="00FC72DD" w:rsidRPr="00FC72DD" w:rsidRDefault="00FC72DD" w:rsidP="00FC72DD">
      <w:pPr>
        <w:pStyle w:val="AKPleipteksti"/>
      </w:pPr>
    </w:p>
    <w:sectPr w:rsidR="00FC72DD" w:rsidRPr="00FC72DD" w:rsidSect="00FC72D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DD" w:rsidRDefault="00FC72DD">
      <w:r>
        <w:separator/>
      </w:r>
    </w:p>
  </w:endnote>
  <w:endnote w:type="continuationSeparator" w:id="0">
    <w:p w:rsidR="00FC72DD" w:rsidRDefault="00FC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441D89" w:rsidP="005D068B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C97E6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C72DD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C72DD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C72DD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C97E66" w:rsidRDefault="00FC72DD">
          <w:pPr>
            <w:pStyle w:val="Alatunnist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C72DD">
          <w:pPr>
            <w:pStyle w:val="Alatunniste"/>
            <w:rPr>
              <w:b/>
              <w:sz w:val="18"/>
              <w:szCs w:val="18"/>
              <w:lang w:val="sv-SE"/>
            </w:rPr>
          </w:pPr>
          <w:r w:rsidRPr="00C97E66">
            <w:rPr>
              <w:b/>
              <w:sz w:val="18"/>
              <w:szCs w:val="18"/>
            </w:rPr>
            <w:t>Sähköpostiosoite</w:t>
          </w: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723F4">
          <w:pPr>
            <w:pStyle w:val="Alatunniste"/>
            <w:rPr>
              <w:sz w:val="18"/>
              <w:szCs w:val="18"/>
              <w:lang w:val="sv-SE"/>
            </w:rPr>
          </w:pPr>
          <w:r w:rsidRPr="00C97E66">
            <w:rPr>
              <w:sz w:val="18"/>
              <w:szCs w:val="18"/>
            </w:rPr>
            <w:t>Eteläesplanadi</w:t>
          </w:r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C72D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C72D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C72D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09 1606 7524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C72D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central.authority@om.fi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C72D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C72D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DD" w:rsidRDefault="00FC72DD">
      <w:r>
        <w:separator/>
      </w:r>
    </w:p>
  </w:footnote>
  <w:footnote w:type="continuationSeparator" w:id="0">
    <w:p w:rsidR="00FC72DD" w:rsidRDefault="00FC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964DFB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964DFB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FC72DD" w:rsidRDefault="00FC72DD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299970" cy="526415"/>
                <wp:effectExtent l="0" t="0" r="5080" b="698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97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FC72DD" w:rsidP="00FC72DD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FC72DD" w:rsidP="00FC72DD">
          <w:pPr>
            <w:pStyle w:val="akpylatunniste"/>
          </w:pPr>
          <w:r>
            <w:rPr>
              <w:rStyle w:val="akpatyyppi"/>
            </w:rPr>
            <w:t>LAUSUNTO</w:t>
          </w:r>
        </w:p>
      </w:tc>
      <w:tc>
        <w:tcPr>
          <w:tcW w:w="1373" w:type="dxa"/>
          <w:vAlign w:val="bottom"/>
        </w:tcPr>
        <w:p w:rsidR="00AF3334" w:rsidRPr="00483C2E" w:rsidRDefault="00AF3334" w:rsidP="00FC72DD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FC72DD" w:rsidP="00483C2E">
          <w:pPr>
            <w:pStyle w:val="akpylatunniste"/>
          </w:pPr>
          <w:r>
            <w:t>Oikeushallinto-osasto</w:t>
          </w: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FC72DD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FC72DD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483C2E" w:rsidRDefault="00FC72DD" w:rsidP="00FC72DD">
          <w:pPr>
            <w:pStyle w:val="akpyksikko"/>
          </w:pPr>
          <w:r>
            <w:t>Kansainvälisen oikeudenhoidon yksikkö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506741" w:rsidP="005D068B">
          <w:pPr>
            <w:pStyle w:val="akpylatunniste"/>
          </w:pPr>
          <w:r>
            <w:rPr>
              <w:rStyle w:val="akppaivays"/>
            </w:rPr>
            <w:t>1</w:t>
          </w:r>
          <w:r w:rsidR="005D068B">
            <w:rPr>
              <w:rStyle w:val="akppaivays"/>
            </w:rPr>
            <w:t>5</w:t>
          </w:r>
          <w:r w:rsidR="00FC72DD">
            <w:rPr>
              <w:rStyle w:val="akppaivays"/>
            </w:rPr>
            <w:t>.8.2016</w:t>
          </w:r>
        </w:p>
      </w:tc>
      <w:tc>
        <w:tcPr>
          <w:tcW w:w="2442" w:type="dxa"/>
          <w:gridSpan w:val="3"/>
        </w:tcPr>
        <w:p w:rsidR="00AF3334" w:rsidRPr="00483C2E" w:rsidRDefault="004363A5" w:rsidP="00FC72DD">
          <w:pPr>
            <w:pStyle w:val="akpylatunniste"/>
          </w:pPr>
          <w:r>
            <w:t>OM 13/41/2014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FC72DD" w:rsidP="00FC72DD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FC72DD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FC72DD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DD"/>
    <w:rsid w:val="0001552C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71E2C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2FDF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1CF9"/>
    <w:rsid w:val="00292824"/>
    <w:rsid w:val="002A3274"/>
    <w:rsid w:val="002A39CB"/>
    <w:rsid w:val="002A4C74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24099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363A5"/>
    <w:rsid w:val="00441D89"/>
    <w:rsid w:val="0044670A"/>
    <w:rsid w:val="00450E93"/>
    <w:rsid w:val="0045504D"/>
    <w:rsid w:val="00457571"/>
    <w:rsid w:val="00467897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3D0"/>
    <w:rsid w:val="00492A83"/>
    <w:rsid w:val="00493A8B"/>
    <w:rsid w:val="004B05F8"/>
    <w:rsid w:val="004B4BE9"/>
    <w:rsid w:val="004C47C4"/>
    <w:rsid w:val="004C6883"/>
    <w:rsid w:val="004D0304"/>
    <w:rsid w:val="004E04B3"/>
    <w:rsid w:val="004E6FFD"/>
    <w:rsid w:val="005003CC"/>
    <w:rsid w:val="00501D4C"/>
    <w:rsid w:val="00506741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045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D068B"/>
    <w:rsid w:val="005E76F5"/>
    <w:rsid w:val="005F17E1"/>
    <w:rsid w:val="005F19BC"/>
    <w:rsid w:val="005F4128"/>
    <w:rsid w:val="005F5537"/>
    <w:rsid w:val="0061474D"/>
    <w:rsid w:val="00616F08"/>
    <w:rsid w:val="00621DC3"/>
    <w:rsid w:val="00621EDD"/>
    <w:rsid w:val="006236B1"/>
    <w:rsid w:val="006316C8"/>
    <w:rsid w:val="00636A61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7F78D9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22C2"/>
    <w:rsid w:val="00853C03"/>
    <w:rsid w:val="00854ADA"/>
    <w:rsid w:val="00885F83"/>
    <w:rsid w:val="00894C4F"/>
    <w:rsid w:val="008A346D"/>
    <w:rsid w:val="008A5F0E"/>
    <w:rsid w:val="008A73B4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556D0"/>
    <w:rsid w:val="00960C4E"/>
    <w:rsid w:val="009644D4"/>
    <w:rsid w:val="00964DFB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156BC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8188A"/>
    <w:rsid w:val="00BA09B4"/>
    <w:rsid w:val="00BA3C65"/>
    <w:rsid w:val="00BA56D8"/>
    <w:rsid w:val="00BA57AE"/>
    <w:rsid w:val="00BA7766"/>
    <w:rsid w:val="00BB2A11"/>
    <w:rsid w:val="00BC0A3D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8497D"/>
    <w:rsid w:val="00C8708E"/>
    <w:rsid w:val="00C92DA0"/>
    <w:rsid w:val="00C97E66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30ABA"/>
    <w:rsid w:val="00D477D2"/>
    <w:rsid w:val="00D52C95"/>
    <w:rsid w:val="00D5595C"/>
    <w:rsid w:val="00D55BDA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723F4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418EB"/>
    <w:rsid w:val="00F43567"/>
    <w:rsid w:val="00F529D8"/>
    <w:rsid w:val="00F63333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C72DD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FC72D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C72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FC72D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C72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_asiakirjapohjat_2015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66BF-17B1-4313-B2BE-E53A6867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OM_asiakirjapohjat_2015.dot</Template>
  <TotalTime>1</TotalTime>
  <Pages>2</Pages>
  <Words>294</Words>
  <Characters>2728</Characters>
  <Application>Microsoft Office Word</Application>
  <DocSecurity>4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Norros Merja</dc:creator>
  <cp:lastModifiedBy>Lakka Mari</cp:lastModifiedBy>
  <cp:revision>2</cp:revision>
  <cp:lastPrinted>2016-08-15T09:50:00Z</cp:lastPrinted>
  <dcterms:created xsi:type="dcterms:W3CDTF">2016-08-15T09:51:00Z</dcterms:created>
  <dcterms:modified xsi:type="dcterms:W3CDTF">2016-08-15T09:51:00Z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Kansainvälisen oikeudenhoidon yksikkö</vt:lpwstr>
  </property>
  <property fmtid="{D5CDD505-2E9C-101B-9397-08002B2CF9AE}" pid="6" name="DC.X-DocumentType">
    <vt:lpwstr>LAUSUNTO</vt:lpwstr>
  </property>
  <property fmtid="{D5CDD505-2E9C-101B-9397-08002B2CF9AE}" pid="7" name="DC.Language">
    <vt:lpwstr>fi</vt:lpwstr>
  </property>
  <property fmtid="{D5CDD505-2E9C-101B-9397-08002B2CF9AE}" pid="8" name="DC.Date.Created">
    <vt:lpwstr>20160804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Merja Norros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Merja Norros</vt:lpwstr>
  </property>
  <property fmtid="{D5CDD505-2E9C-101B-9397-08002B2CF9AE}" pid="21" name="DC.Identifier.FilePath">
    <vt:lpwstr/>
  </property>
  <property fmtid="{D5CDD505-2E9C-101B-9397-08002B2CF9AE}" pid="22" name="DC.Title">
    <vt:lpwstr>Lausunto</vt:lpwstr>
  </property>
</Properties>
</file>