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2DFF" w:rsidRPr="00D55653" w:rsidRDefault="0097336F">
      <w:r w:rsidRPr="00D55653">
        <w:fldChar w:fldCharType="begin"/>
      </w:r>
      <w:r w:rsidRPr="00D55653">
        <w:instrText xml:space="preserve"> MACROBUTTON  AdditionalActions </w:instrText>
      </w:r>
      <w:r w:rsidRPr="00D55653">
        <w:fldChar w:fldCharType="end"/>
      </w:r>
      <w:r>
        <w:t>Liikenne- ja viestintäministeriö</w:t>
      </w:r>
    </w:p>
    <w:p w:rsidR="00082DFF" w:rsidRPr="00D55653" w:rsidRDefault="0097336F"/>
    <w:p w:rsidR="00082DFF" w:rsidRPr="00D55653" w:rsidRDefault="0097336F" w:rsidP="00C43D2B"/>
    <w:p w:rsidR="00B11932" w:rsidRPr="00D55653" w:rsidRDefault="0097336F" w:rsidP="00C43D2B"/>
    <w:p w:rsidR="00082DFF" w:rsidRPr="00D55653" w:rsidRDefault="0097336F" w:rsidP="00C43D2B"/>
    <w:p w:rsidR="006B3401" w:rsidRPr="00D55653" w:rsidRDefault="0097336F" w:rsidP="00C43D2B"/>
    <w:p w:rsidR="006B3401" w:rsidRPr="00D55653" w:rsidRDefault="0097336F" w:rsidP="00C43D2B"/>
    <w:p w:rsidR="00B11932" w:rsidRPr="00D55653" w:rsidRDefault="0097336F" w:rsidP="00B45C81">
      <w:r>
        <w:t xml:space="preserve">Lausuntopyyntö </w:t>
      </w:r>
      <w:r w:rsidRPr="007D1123">
        <w:t>LVM/1557/03/2018</w:t>
      </w:r>
    </w:p>
    <w:p w:rsidR="00E44D66" w:rsidRPr="00D55653" w:rsidRDefault="0097336F" w:rsidP="00E44D66">
      <w:pPr>
        <w:pStyle w:val="Otsikko1"/>
        <w:rPr>
          <w:rFonts w:eastAsia="Calibri"/>
        </w:rPr>
      </w:pPr>
      <w:r w:rsidRPr="00D55653">
        <w:rPr>
          <w:rFonts w:eastAsia="Calibri"/>
        </w:rPr>
        <w:fldChar w:fldCharType="begin"/>
      </w:r>
      <w:r w:rsidRPr="00D55653">
        <w:rPr>
          <w:rFonts w:eastAsia="Calibri"/>
        </w:rPr>
        <w:instrText xml:space="preserve"> DOCPROPERTY  sm_otsikko  \* MERGEFORMAT </w:instrText>
      </w:r>
      <w:r w:rsidRPr="00D55653">
        <w:rPr>
          <w:rFonts w:eastAsia="Calibri"/>
        </w:rPr>
        <w:fldChar w:fldCharType="separate"/>
      </w:r>
      <w:r w:rsidRPr="00D55653">
        <w:rPr>
          <w:rFonts w:eastAsia="Calibri"/>
        </w:rPr>
        <w:t xml:space="preserve">Vaarallisten aineiden kuljetuksesta annetun lain kokonaisuudistus, arviomuistioluonnos; sisäministeriön </w:t>
      </w:r>
      <w:r w:rsidRPr="00D55653">
        <w:rPr>
          <w:rFonts w:eastAsia="Calibri"/>
        </w:rPr>
        <w:t>lausunto</w:t>
      </w:r>
      <w:r w:rsidRPr="00D55653">
        <w:rPr>
          <w:rFonts w:eastAsia="Calibri"/>
        </w:rPr>
        <w:fldChar w:fldCharType="end"/>
      </w:r>
    </w:p>
    <w:p w:rsidR="00B45C81" w:rsidRDefault="0097336F" w:rsidP="00C16544">
      <w:pPr>
        <w:pStyle w:val="Leipteksti"/>
        <w:jc w:val="both"/>
      </w:pPr>
      <w:r>
        <w:t xml:space="preserve">Liikenne- ja viestintäministeriö on pyytänyt sisäministeriöltä lausuntoa vaarallisten aineiden kuljetuksesta annetun lain kokonaisuudistuksesta </w:t>
      </w:r>
      <w:r>
        <w:t>laaditusta</w:t>
      </w:r>
      <w:r>
        <w:t xml:space="preserve"> arviomuistioluonnoksesta. Sisäministeriö on jakanut lausuntopyynnön eteenpäin myös sen ha</w:t>
      </w:r>
      <w:r>
        <w:t>llinnonalaan kuuluvalle Suojelupoliisille, joka lausuu suoraan liikenne- ja viestintäministeriölle.</w:t>
      </w:r>
    </w:p>
    <w:p w:rsidR="007D1123" w:rsidRDefault="0097336F" w:rsidP="00C16544">
      <w:pPr>
        <w:pStyle w:val="Leipteksti"/>
        <w:jc w:val="both"/>
      </w:pPr>
      <w:r>
        <w:t>Sisämini</w:t>
      </w:r>
      <w:r>
        <w:t>steriö lausuu asiassa seuraavaa.</w:t>
      </w:r>
    </w:p>
    <w:p w:rsidR="002F76FF" w:rsidRPr="00DC5531" w:rsidRDefault="0097336F" w:rsidP="00C16544">
      <w:pPr>
        <w:pStyle w:val="Leipteksti"/>
        <w:jc w:val="both"/>
      </w:pPr>
      <w:r w:rsidRPr="00DC5531">
        <w:t>Sisäministeriö näkee VAK-lainsäädännön kokonaisuudistuksen erittäin tarpeellisena ja kannatettavana.  VAK-lainsäädä</w:t>
      </w:r>
      <w:r w:rsidRPr="00DC5531">
        <w:t>nnössä tulisi jatkossakin huomioida koko kuljetusketjun vastuu.</w:t>
      </w:r>
    </w:p>
    <w:p w:rsidR="002F76FF" w:rsidRPr="00DC5531" w:rsidRDefault="0097336F" w:rsidP="00C16544">
      <w:pPr>
        <w:pStyle w:val="Leipteksti"/>
        <w:jc w:val="both"/>
      </w:pPr>
      <w:r w:rsidRPr="00DC5531">
        <w:t>Pelastuslaitoksilla tulee olla käytettävissä reaaliaikaiset ja riittävät tiedot vaarallisten kemikaalien tilapäisestä säilyttämisestä ja varastoinnista. Säilytykseen varattujen paikkojen tulee</w:t>
      </w:r>
      <w:r w:rsidRPr="00DC5531">
        <w:t xml:space="preserve"> riskinarvioinnin perusteella myös soveltua vaarallisten kemikaalien varastointipaikoiksi ja niihin tulee suunnitella valmiudet pelastus- ja sammutustehtäviin, esimerkkinä pelastuskaluston pääsy paikalle ja sammutusjärjestelyjen riittävyyden varmistaminen.</w:t>
      </w:r>
      <w:r w:rsidRPr="00DC5531">
        <w:t xml:space="preserve"> Lainsäädännöllä tulee huolehtia selkeät vaatimukset säilytyspaikkojen tekniselle turvallisuudelle.</w:t>
      </w:r>
    </w:p>
    <w:p w:rsidR="002F76FF" w:rsidRPr="00DC5531" w:rsidRDefault="0097336F" w:rsidP="00C16544">
      <w:pPr>
        <w:pStyle w:val="Leipteksti"/>
        <w:jc w:val="both"/>
      </w:pPr>
      <w:r w:rsidRPr="00DC5531">
        <w:t>Lainsäädännön kehittämisessä tulee mahdollistaa vaarallisten aineiden kuljetustietojen digitalisointi. Tilapäisten säilytyspaikkojen ilmoitusmenettely pelas</w:t>
      </w:r>
      <w:r w:rsidRPr="00DC5531">
        <w:t xml:space="preserve">tuslaitoksille ei ole </w:t>
      </w:r>
      <w:r w:rsidRPr="00DC5531">
        <w:t>sisäministeriön</w:t>
      </w:r>
      <w:r w:rsidRPr="00DC5531">
        <w:t xml:space="preserve"> tietojen mukaan toiminut käytännössä ja siihen tulee uudistuksessa kiinnittää edelleen huomiota. Sähköinen, automatisoitu tiedonsiirto pelastustoimen järjestelmiin olisi kannatettava kehityssuun</w:t>
      </w:r>
      <w:r>
        <w:t>ta.</w:t>
      </w:r>
    </w:p>
    <w:p w:rsidR="00DC5531" w:rsidRDefault="0097336F" w:rsidP="00C16544">
      <w:pPr>
        <w:pStyle w:val="Otsikko2"/>
        <w:jc w:val="both"/>
      </w:pPr>
      <w:r>
        <w:t>Vastaukset esitettyi</w:t>
      </w:r>
      <w:r>
        <w:t>hin kysymyksiin</w:t>
      </w:r>
    </w:p>
    <w:p w:rsidR="002F76FF" w:rsidRPr="00DC5531" w:rsidRDefault="0097336F" w:rsidP="00C16544">
      <w:pPr>
        <w:pStyle w:val="Leipteksti"/>
        <w:jc w:val="both"/>
        <w:rPr>
          <w:rFonts w:eastAsia="Arial"/>
        </w:rPr>
      </w:pPr>
      <w:r w:rsidRPr="00DC5531">
        <w:rPr>
          <w:rFonts w:eastAsia="Arial"/>
        </w:rPr>
        <w:t xml:space="preserve">Arviomuistioluonnos sisältää kysymyksiä, joihin lausunnonantajia pyydettiin erityisesti kiinnittämään huomiota. Alla seuraa sisäministeriön vastaukset </w:t>
      </w:r>
      <w:r>
        <w:rPr>
          <w:rFonts w:eastAsia="Arial"/>
        </w:rPr>
        <w:t>eräisiin</w:t>
      </w:r>
      <w:r w:rsidRPr="00DC5531">
        <w:rPr>
          <w:rFonts w:eastAsia="Arial"/>
        </w:rPr>
        <w:t xml:space="preserve"> kysymyksiin.</w:t>
      </w:r>
    </w:p>
    <w:p w:rsidR="002F76FF" w:rsidRPr="00DC5531" w:rsidRDefault="0097336F" w:rsidP="00C16544">
      <w:pPr>
        <w:pStyle w:val="Leipteksti"/>
        <w:jc w:val="both"/>
        <w:rPr>
          <w:b/>
          <w:iCs/>
        </w:rPr>
      </w:pPr>
      <w:r w:rsidRPr="00DC5531">
        <w:rPr>
          <w:b/>
          <w:iCs/>
        </w:rPr>
        <w:t>1. Mitä tietoja vaarallisten aineiden kuljetuksista olisi annettava</w:t>
      </w:r>
      <w:r w:rsidRPr="00DC5531">
        <w:rPr>
          <w:b/>
          <w:iCs/>
        </w:rPr>
        <w:t xml:space="preserve"> nykyistä laajemmin esimerkiksi viranomaisille tai liikenteen ohjaus- ja hallintapalveluiden </w:t>
      </w:r>
      <w:r w:rsidRPr="00DC5531">
        <w:rPr>
          <w:b/>
          <w:iCs/>
        </w:rPr>
        <w:lastRenderedPageBreak/>
        <w:t>tarjoajille, jotta kuljetusten turvallista sujumista voitaisiin parantaa? Entä toisille toimijoille kuljetusketjuissa?</w:t>
      </w:r>
    </w:p>
    <w:p w:rsidR="002F76FF" w:rsidRPr="00C209AD" w:rsidRDefault="0097336F" w:rsidP="00C16544">
      <w:pPr>
        <w:pStyle w:val="Leipteksti"/>
        <w:jc w:val="both"/>
        <w:rPr>
          <w:iCs/>
        </w:rPr>
      </w:pPr>
      <w:r w:rsidRPr="00C209AD">
        <w:rPr>
          <w:iCs/>
        </w:rPr>
        <w:t>Sisäministeriön näkemyksen mukaan vaarallist</w:t>
      </w:r>
      <w:r w:rsidRPr="00C209AD">
        <w:rPr>
          <w:iCs/>
        </w:rPr>
        <w:t>en aineiden kuljetusta valvovat viranomaiset ja onnettomuustilanteissa pelastusviranomaiset tarvitsevat reaaliaikaista tietoja ainakin vaarallisten aineiden kuljetuksista, kuljetusten suorittajista (kuljetusten suorittajan ja kuljetusyksiköiden tunnistetie</w:t>
      </w:r>
      <w:r w:rsidRPr="00C209AD">
        <w:rPr>
          <w:iCs/>
        </w:rPr>
        <w:t>dot), kuljetusten sijaintitiedoista ja kuljetettavista aineista. Olisi perusteltua, että tiedot yhdistyisivät teknisesti myös muihin valvonnassa ja valvonnan suuntaamisessa tarvittaviin tietoihin, kuten esimerkiksi liikennelupiin, vaarallisten aineiden kul</w:t>
      </w:r>
      <w:r w:rsidRPr="00C209AD">
        <w:rPr>
          <w:iCs/>
        </w:rPr>
        <w:t>jetuslupiin ja vaarallisten aineiden turvallisuustietoihin.</w:t>
      </w:r>
    </w:p>
    <w:p w:rsidR="002F76FF" w:rsidRPr="00C209AD" w:rsidRDefault="0097336F" w:rsidP="00C16544">
      <w:pPr>
        <w:pStyle w:val="Leipteksti"/>
        <w:jc w:val="both"/>
        <w:rPr>
          <w:iCs/>
        </w:rPr>
      </w:pPr>
      <w:r w:rsidRPr="00C209AD">
        <w:rPr>
          <w:iCs/>
        </w:rPr>
        <w:t xml:space="preserve">VAK-kuljetuksiin ja myös vaarallisten aineiden säilyttämiseen liittyvät tiedot eivät kuitenkaan voi olla kaikkien saatavilla. Tietoja voidaan esimerkiksi myös </w:t>
      </w:r>
      <w:r w:rsidRPr="00C209AD">
        <w:rPr>
          <w:iCs/>
        </w:rPr>
        <w:t xml:space="preserve">käyttää </w:t>
      </w:r>
      <w:r w:rsidRPr="00C209AD">
        <w:rPr>
          <w:iCs/>
        </w:rPr>
        <w:t>vaa</w:t>
      </w:r>
      <w:r w:rsidRPr="00C209AD">
        <w:rPr>
          <w:iCs/>
        </w:rPr>
        <w:t xml:space="preserve">rallisten rikosten </w:t>
      </w:r>
      <w:r w:rsidRPr="00C209AD">
        <w:rPr>
          <w:iCs/>
        </w:rPr>
        <w:t>valmisteluun</w:t>
      </w:r>
      <w:r w:rsidRPr="00C209AD">
        <w:rPr>
          <w:iCs/>
        </w:rPr>
        <w:t>.</w:t>
      </w:r>
    </w:p>
    <w:p w:rsidR="002F76FF" w:rsidRPr="00C209AD" w:rsidRDefault="0097336F" w:rsidP="00C16544">
      <w:pPr>
        <w:pStyle w:val="Leipteksti"/>
        <w:jc w:val="both"/>
        <w:rPr>
          <w:b/>
        </w:rPr>
      </w:pPr>
      <w:r w:rsidRPr="00C209AD">
        <w:rPr>
          <w:b/>
          <w:iCs/>
        </w:rPr>
        <w:t>2. Miten tietojenvaihto voitaisiin teknisesti toteuttaa niin, että päästäisiin mahdollisimman automatisoituun ja reaaliaikaiseen toimintaan?</w:t>
      </w:r>
    </w:p>
    <w:p w:rsidR="002F76FF" w:rsidRPr="00C209AD" w:rsidRDefault="0097336F" w:rsidP="00C16544">
      <w:pPr>
        <w:pStyle w:val="Leipteksti"/>
        <w:jc w:val="both"/>
      </w:pPr>
      <w:r w:rsidRPr="00C209AD">
        <w:t>Automatisoidun ja reaaliaikaisen tiedon olemassaolo kaikkien eri viranomaisten yhteiskäyttöisessä jär</w:t>
      </w:r>
      <w:r w:rsidRPr="00C209AD">
        <w:t xml:space="preserve">jestelmässä olisi kannatettavaa. Vaarallisten kemikaalien kuljetustietojen integrointi ja laajentaminen joko suoraan tai kuljetusjärjestelmien rajapinnan kautta Tukesin kehittämään KemiDigi-järjestelmään </w:t>
      </w:r>
      <w:r w:rsidRPr="00C209AD">
        <w:t>voisi lisätä kokonaisturvallisuutta ja vähentää valv</w:t>
      </w:r>
      <w:r w:rsidRPr="00C209AD">
        <w:t xml:space="preserve">onnassa niin sanottuja harmaita rajapintoja. </w:t>
      </w:r>
      <w:r>
        <w:t>KemiDigi</w:t>
      </w:r>
      <w:r w:rsidRPr="00C209AD">
        <w:t xml:space="preserve"> on </w:t>
      </w:r>
      <w:r w:rsidRPr="00C209AD">
        <w:t xml:space="preserve">kemikaalien digitaalinen hallintajärjestelmä, jossa </w:t>
      </w:r>
      <w:r w:rsidRPr="00C209AD">
        <w:t xml:space="preserve">ovat </w:t>
      </w:r>
      <w:r w:rsidRPr="00C209AD">
        <w:t xml:space="preserve">tiedot Suomen markkinoilla olevista </w:t>
      </w:r>
      <w:r w:rsidRPr="00C209AD">
        <w:t xml:space="preserve">vaarallisista kemikaaleista ja </w:t>
      </w:r>
      <w:r w:rsidRPr="00C209AD">
        <w:t>johon on toiminnanharjoittajien lisäksi pääsy kai</w:t>
      </w:r>
      <w:r w:rsidRPr="00C209AD">
        <w:t>killa valvovilla viranomai</w:t>
      </w:r>
      <w:r w:rsidRPr="00C209AD">
        <w:t>silla.</w:t>
      </w:r>
      <w:r w:rsidRPr="00C209AD">
        <w:t xml:space="preserve"> Järjestelmää voisi kehittää palvelemaan kaikkia kuljetusketjun toimijoita, kemikaaleja käyttä</w:t>
      </w:r>
      <w:r w:rsidRPr="00C209AD">
        <w:t>viä yrityksiä ja viranomaistahoja</w:t>
      </w:r>
      <w:r w:rsidRPr="00C209AD">
        <w:t>, jolloin tiedot olisivat yhdessä tietovarannossa.</w:t>
      </w:r>
    </w:p>
    <w:p w:rsidR="002F76FF" w:rsidRPr="00C209AD" w:rsidRDefault="0097336F" w:rsidP="00C16544">
      <w:pPr>
        <w:pStyle w:val="Leipteksti"/>
        <w:jc w:val="both"/>
        <w:rPr>
          <w:iCs/>
        </w:rPr>
      </w:pPr>
      <w:r w:rsidRPr="00C209AD">
        <w:t>Sisäministeriön näkemyksen mukaan toimiva ratkaisu olisi tietojärjestelm</w:t>
      </w:r>
      <w:r w:rsidRPr="00C209AD">
        <w:t>ä, josta rajapintojen kautta kukin toimija pääsisi niihin tietoihin, joita he tehtävissään tarvitsevat.</w:t>
      </w:r>
    </w:p>
    <w:p w:rsidR="002F76FF" w:rsidRPr="00C209AD" w:rsidRDefault="0097336F" w:rsidP="00C16544">
      <w:pPr>
        <w:pStyle w:val="Leipteksti"/>
        <w:jc w:val="both"/>
        <w:rPr>
          <w:b/>
        </w:rPr>
      </w:pPr>
      <w:r w:rsidRPr="00C209AD">
        <w:rPr>
          <w:b/>
        </w:rPr>
        <w:t>6. Onko soveltamisala selkeä ja täsmällinen? Jos ei, miten sitä tulisi uudistaa?</w:t>
      </w:r>
    </w:p>
    <w:p w:rsidR="002F76FF" w:rsidRPr="00C209AD" w:rsidRDefault="0097336F" w:rsidP="00C16544">
      <w:pPr>
        <w:pStyle w:val="Leipteksti"/>
        <w:jc w:val="both"/>
      </w:pPr>
      <w:r w:rsidRPr="00C209AD">
        <w:t xml:space="preserve">Sisäministeriön tietojen mukaan tilapäisen säilytyksen ja varastoinnin </w:t>
      </w:r>
      <w:r w:rsidRPr="00C209AD">
        <w:t>määritelmien eroa ei ole pidetty lainsäädännössä selkeänä ja määritelmät jättävät liikaa tulkinnanvaraisuutta. Esimerkiksi varastoinnin ja tilapäisen säilytyksen välistä aikarajaa ei ole määritelty lainsäädännössä.</w:t>
      </w:r>
    </w:p>
    <w:p w:rsidR="00DC5531" w:rsidRPr="00C209AD" w:rsidRDefault="0097336F" w:rsidP="00C16544">
      <w:pPr>
        <w:pStyle w:val="Leipteksti"/>
        <w:jc w:val="both"/>
        <w:rPr>
          <w:b/>
        </w:rPr>
      </w:pPr>
      <w:r w:rsidRPr="00C209AD">
        <w:rPr>
          <w:b/>
        </w:rPr>
        <w:t>9. Onko voimassa oleva sääntelymalli (jak</w:t>
      </w:r>
      <w:r w:rsidRPr="00C209AD">
        <w:rPr>
          <w:b/>
        </w:rPr>
        <w:t>o lakiin, asetuksiin ja määräyksiin) asianmukainen?</w:t>
      </w:r>
    </w:p>
    <w:p w:rsidR="002F76FF" w:rsidRPr="00C209AD" w:rsidRDefault="0097336F" w:rsidP="00C16544">
      <w:pPr>
        <w:pStyle w:val="Leipteksti"/>
        <w:jc w:val="both"/>
      </w:pPr>
      <w:r w:rsidRPr="00C209AD">
        <w:t>Sisäministeriön näkemyksen mukaan sääntelymalli on asianmukainen.</w:t>
      </w:r>
    </w:p>
    <w:p w:rsidR="002F76FF" w:rsidRPr="00EA5DD2" w:rsidRDefault="0097336F" w:rsidP="00C16544">
      <w:pPr>
        <w:pStyle w:val="Leipteksti"/>
        <w:jc w:val="both"/>
        <w:rPr>
          <w:b/>
        </w:rPr>
      </w:pPr>
      <w:r w:rsidRPr="00EA5DD2">
        <w:rPr>
          <w:b/>
        </w:rPr>
        <w:t>12. Onko viranomaisten tehtävät ja toimivaltuudet lainsäädännössä selkeät ja riittävät?</w:t>
      </w:r>
    </w:p>
    <w:p w:rsidR="002F76FF" w:rsidRPr="00EA5DD2" w:rsidRDefault="0097336F" w:rsidP="00C16544">
      <w:pPr>
        <w:pStyle w:val="Leipteksti"/>
        <w:jc w:val="both"/>
      </w:pPr>
      <w:r w:rsidRPr="00EA5DD2">
        <w:t>Sisäministeriön näkemyksen mukaa</w:t>
      </w:r>
      <w:r w:rsidRPr="00EA5DD2">
        <w:t xml:space="preserve">n nykyiset </w:t>
      </w:r>
      <w:r w:rsidRPr="00EA5DD2">
        <w:t>toimivaltuudet ovat</w:t>
      </w:r>
      <w:r w:rsidRPr="00EA5DD2">
        <w:t xml:space="preserve"> selkeät ja riittävät. </w:t>
      </w:r>
    </w:p>
    <w:p w:rsidR="002F76FF" w:rsidRPr="00EA5DD2" w:rsidRDefault="0097336F" w:rsidP="00C16544">
      <w:pPr>
        <w:pStyle w:val="Leipteksti"/>
        <w:jc w:val="both"/>
      </w:pPr>
      <w:r w:rsidRPr="00EA5DD2">
        <w:t xml:space="preserve">Maakuljetusten osalta </w:t>
      </w:r>
      <w:r w:rsidRPr="00EA5DD2">
        <w:t xml:space="preserve">ministeriön hallinnonalaan kuuluva </w:t>
      </w:r>
      <w:r w:rsidRPr="00EA5DD2">
        <w:t>Rajavartiolaitos toimii käytännössä PTR-yhteistyössä poliisia ja Tullia avustavana viranomaisena vaarallisten aineiden kuljetuksesta annetun lain noudattami</w:t>
      </w:r>
      <w:r w:rsidRPr="00EA5DD2">
        <w:t xml:space="preserve">sen valvomisessa. Tämä on nähty tarkoituksenmukaiseksi toimintatavaksi, eikä nykytilan muuttamiselle ole </w:t>
      </w:r>
      <w:r w:rsidRPr="00EA5DD2">
        <w:t>sisäministeriön</w:t>
      </w:r>
      <w:r w:rsidRPr="00EA5DD2">
        <w:t xml:space="preserve"> mielestä tarvetta.</w:t>
      </w:r>
    </w:p>
    <w:p w:rsidR="002F76FF" w:rsidRPr="00EA5DD2" w:rsidRDefault="0097336F" w:rsidP="00C16544">
      <w:pPr>
        <w:pStyle w:val="Leipteksti"/>
        <w:jc w:val="both"/>
      </w:pPr>
      <w:r w:rsidRPr="00EA5DD2">
        <w:lastRenderedPageBreak/>
        <w:t>Merikuljetusten osalta valvontaa suorittavat pääasiassa Liikenne- ja viestintävirasto Traficom sekä Tulli. Rajavarti</w:t>
      </w:r>
      <w:r w:rsidRPr="00EA5DD2">
        <w:t>olaitoksen rooli merikuljetusten valvonnassa on erittäin vähäinen, ei</w:t>
      </w:r>
      <w:r w:rsidRPr="00EA5DD2">
        <w:t>kä nykytilan muuttamiselle ole sisäministeriön</w:t>
      </w:r>
      <w:r w:rsidRPr="00EA5DD2">
        <w:t xml:space="preserve"> mielestä tarvetta. Todettakoon tässä yhteydessä kuitenkin, että Rajavartiolaitos huolehtii merellä tapahtuvien alusöljy- ja aluskemikaalivah</w:t>
      </w:r>
      <w:r w:rsidRPr="00EA5DD2">
        <w:t xml:space="preserve">inkojen torjunnasta, minkä vuoksi </w:t>
      </w:r>
      <w:r w:rsidRPr="00EA5DD2">
        <w:t>se</w:t>
      </w:r>
      <w:r w:rsidRPr="00EA5DD2">
        <w:t xml:space="preserve"> pitää tiivistä yhteistyötä ja tiedonvaihtoa mainittujen valvontaviranomaisten kanssa ensiarvoisen tärkeänä.</w:t>
      </w:r>
    </w:p>
    <w:p w:rsidR="00DC5531" w:rsidRPr="00EA5DD2" w:rsidRDefault="0097336F" w:rsidP="00C16544">
      <w:pPr>
        <w:pStyle w:val="Leipteksti"/>
        <w:jc w:val="both"/>
        <w:rPr>
          <w:b/>
        </w:rPr>
      </w:pPr>
      <w:r w:rsidRPr="00EA5DD2">
        <w:rPr>
          <w:b/>
        </w:rPr>
        <w:t>14. Ovatko VAK-rikokset ja -rikkomukset lainsäädännössä selkeä ja asianmu</w:t>
      </w:r>
      <w:r w:rsidRPr="00EA5DD2">
        <w:rPr>
          <w:b/>
        </w:rPr>
        <w:t xml:space="preserve">kainen kokonaisuus? Kohdistuuko seuraamusuhka oikealla tavalla? </w:t>
      </w:r>
    </w:p>
    <w:p w:rsidR="002F76FF" w:rsidRPr="00EA5DD2" w:rsidRDefault="0097336F" w:rsidP="00C16544">
      <w:pPr>
        <w:pStyle w:val="Leipteksti"/>
        <w:jc w:val="both"/>
      </w:pPr>
      <w:r w:rsidRPr="00EA5DD2">
        <w:t xml:space="preserve">Sisäministeriön näkemyksen mukaan koko VAK-lainsäädännön seuraamusjärjestelmä tulisi arvioida kokonaisuudistuksen yhteydessä. </w:t>
      </w:r>
    </w:p>
    <w:p w:rsidR="00DC5531" w:rsidRPr="00EA5DD2" w:rsidRDefault="0097336F" w:rsidP="00C16544">
      <w:pPr>
        <w:pStyle w:val="Leipteksti"/>
        <w:jc w:val="both"/>
        <w:rPr>
          <w:b/>
        </w:rPr>
      </w:pPr>
      <w:r w:rsidRPr="00EA5DD2">
        <w:rPr>
          <w:b/>
        </w:rPr>
        <w:t>16. Onko seuraamustaso asianmukainen ja riittävän ennalta estävä</w:t>
      </w:r>
      <w:r w:rsidRPr="00EA5DD2">
        <w:rPr>
          <w:b/>
        </w:rPr>
        <w:t>?</w:t>
      </w:r>
    </w:p>
    <w:p w:rsidR="002F76FF" w:rsidRPr="00EA5DD2" w:rsidRDefault="0097336F" w:rsidP="00C16544">
      <w:pPr>
        <w:pStyle w:val="Leipteksti"/>
        <w:jc w:val="both"/>
      </w:pPr>
      <w:r w:rsidRPr="00EA5DD2">
        <w:t>Sisäministeriön näkemyksen mukaan tulisi arvioida, onko tarvetta yleisemminkin säätää kuljetustoimialalla yrityksiin kohdistuvista hallinnollisista seuraamuksista, kuten esimerkiksi ylikuormamaksun osalta on säädetty.</w:t>
      </w:r>
    </w:p>
    <w:p w:rsidR="00DC5531" w:rsidRPr="00EA5DD2" w:rsidRDefault="0097336F" w:rsidP="00C16544">
      <w:pPr>
        <w:pStyle w:val="Leipteksti"/>
        <w:jc w:val="both"/>
        <w:rPr>
          <w:b/>
        </w:rPr>
      </w:pPr>
      <w:r w:rsidRPr="00EA5DD2">
        <w:rPr>
          <w:b/>
        </w:rPr>
        <w:t>17. Tulisiko hallinnollisia sanktioi</w:t>
      </w:r>
      <w:r w:rsidRPr="00EA5DD2">
        <w:rPr>
          <w:b/>
        </w:rPr>
        <w:t>ta ottaa VAK-lainsäädännössä käyttöön esim. lievimpien rikkomusten seuraamuksena? Mitä vaikutuksia niillä voisi olla?</w:t>
      </w:r>
    </w:p>
    <w:p w:rsidR="002F76FF" w:rsidRPr="00EA5DD2" w:rsidRDefault="0097336F" w:rsidP="00C16544">
      <w:pPr>
        <w:pStyle w:val="Leipteksti"/>
        <w:jc w:val="both"/>
      </w:pPr>
      <w:r w:rsidRPr="00EA5DD2">
        <w:t>Sisäministeriön näkemyksen mukaan kuljetustoimintaa koskevien seuraamuksien tulisi olla selkeä ja johdonmukainen kokonaisuus huomioiden er</w:t>
      </w:r>
      <w:r w:rsidRPr="00EA5DD2">
        <w:t>i seuraamusmuodot liikennesektorilla.</w:t>
      </w:r>
    </w:p>
    <w:p w:rsidR="00DC5531" w:rsidRPr="00EA5DD2" w:rsidRDefault="0097336F" w:rsidP="00C16544">
      <w:pPr>
        <w:pStyle w:val="Leipteksti"/>
        <w:jc w:val="both"/>
        <w:rPr>
          <w:b/>
        </w:rPr>
      </w:pPr>
      <w:r w:rsidRPr="00EA5DD2">
        <w:rPr>
          <w:b/>
        </w:rPr>
        <w:t>18. Edellä on kuvattu mahdollisia tilapäiseen säilytykseen liittyviä lainsäädännöllisiä ongelmia. Ovatko ne edelleen ajankohtaisia? Mitä lainsäädännöllisiä muita ongelmia tilapäiseen säilytykseen saattaa lisäksi liitty</w:t>
      </w:r>
      <w:r w:rsidRPr="00EA5DD2">
        <w:rPr>
          <w:b/>
        </w:rPr>
        <w:t xml:space="preserve">ä? </w:t>
      </w:r>
    </w:p>
    <w:p w:rsidR="002F76FF" w:rsidRPr="00EA5DD2" w:rsidRDefault="0097336F" w:rsidP="00C16544">
      <w:pPr>
        <w:pStyle w:val="Leipteksti"/>
        <w:jc w:val="both"/>
      </w:pPr>
      <w:r w:rsidRPr="00EA5DD2">
        <w:t>Tulkintaepäselvyys on edelleen olemassa.</w:t>
      </w:r>
    </w:p>
    <w:p w:rsidR="00DC5531" w:rsidRPr="00EA5DD2" w:rsidRDefault="0097336F" w:rsidP="00C16544">
      <w:pPr>
        <w:pStyle w:val="Leipteksti"/>
        <w:jc w:val="both"/>
        <w:rPr>
          <w:b/>
        </w:rPr>
      </w:pPr>
      <w:r w:rsidRPr="00EA5DD2">
        <w:rPr>
          <w:b/>
        </w:rPr>
        <w:t xml:space="preserve">20. Mitä käytännön vaikutuksia havaituilla ongelmilla voi olla?  </w:t>
      </w:r>
    </w:p>
    <w:p w:rsidR="002F76FF" w:rsidRPr="00EA5DD2" w:rsidRDefault="0097336F" w:rsidP="00C16544">
      <w:pPr>
        <w:pStyle w:val="Leipteksti"/>
        <w:jc w:val="both"/>
      </w:pPr>
      <w:r w:rsidRPr="00EA5DD2">
        <w:t xml:space="preserve">Vaarallisiin aineisiin liittyy sama riski riippumatta siitä ovatko ne varastoituna tai tilapäisessä säilytyksessä. </w:t>
      </w:r>
      <w:r w:rsidRPr="00EA5DD2">
        <w:t>Sisäministeriön näkemyksen muk</w:t>
      </w:r>
      <w:r w:rsidRPr="00EA5DD2">
        <w:t>aan t</w:t>
      </w:r>
      <w:r w:rsidRPr="00EA5DD2">
        <w:t>ahallisen toiminnan riski on otettava huomioon molemmissa säilytysmuodoissa.</w:t>
      </w:r>
    </w:p>
    <w:p w:rsidR="00DC5531" w:rsidRPr="00EA5DD2" w:rsidRDefault="0097336F" w:rsidP="00C16544">
      <w:pPr>
        <w:pStyle w:val="Leipteksti"/>
        <w:jc w:val="both"/>
        <w:rPr>
          <w:b/>
        </w:rPr>
      </w:pPr>
      <w:r w:rsidRPr="00EA5DD2">
        <w:rPr>
          <w:b/>
        </w:rPr>
        <w:t xml:space="preserve">21. Millä tavalla raideliikenteen turvallisuudenhallinta voisi olla toteuttavissa turvallisuusjohtamisjärjestelmässä? </w:t>
      </w:r>
    </w:p>
    <w:p w:rsidR="002F76FF" w:rsidRPr="00EA5DD2" w:rsidRDefault="0097336F" w:rsidP="00C16544">
      <w:pPr>
        <w:pStyle w:val="Leipteksti"/>
        <w:jc w:val="both"/>
      </w:pPr>
      <w:r w:rsidRPr="00EA5DD2">
        <w:t>Ratapihojen turvallisuudessa tulee huomioida laajasti m</w:t>
      </w:r>
      <w:r w:rsidRPr="00EA5DD2">
        <w:t>yös tahallisesti aiheutettujen rikosten mahdollisuudet. Toteuttamistavalla ei liene tässä suhteessa merkitystä, kunhan turvallisuuden hallinta on ri</w:t>
      </w:r>
      <w:r>
        <w:t>ittävällä tasolla huomioiden uh</w:t>
      </w:r>
      <w:r w:rsidRPr="00EA5DD2">
        <w:t>at laajasti.</w:t>
      </w:r>
    </w:p>
    <w:p w:rsidR="00DC5531" w:rsidRPr="00EA5DD2" w:rsidRDefault="0097336F" w:rsidP="00C16544">
      <w:pPr>
        <w:pStyle w:val="Leipteksti"/>
        <w:jc w:val="both"/>
        <w:rPr>
          <w:b/>
        </w:rPr>
      </w:pPr>
      <w:r w:rsidRPr="00EA5DD2">
        <w:rPr>
          <w:b/>
        </w:rPr>
        <w:t>22. Tulisiko VAK-kuljetuksissa ottaa käyttöön perusmuotoinen hen</w:t>
      </w:r>
      <w:r w:rsidRPr="00EA5DD2">
        <w:rPr>
          <w:b/>
        </w:rPr>
        <w:t>kilöturvallisuusselvitys?</w:t>
      </w:r>
    </w:p>
    <w:p w:rsidR="002F76FF" w:rsidRPr="00EA5DD2" w:rsidRDefault="0097336F" w:rsidP="00C16544">
      <w:pPr>
        <w:pStyle w:val="Leipteksti"/>
        <w:jc w:val="both"/>
      </w:pPr>
      <w:r w:rsidRPr="00EA5DD2">
        <w:t>S</w:t>
      </w:r>
      <w:r w:rsidRPr="00EA5DD2">
        <w:t>isäministeriön hallinnonalaan kuuluva S</w:t>
      </w:r>
      <w:r w:rsidRPr="00EA5DD2">
        <w:t>uojelupoliisi vastaa turvallisuusselvitys tekemisestä. Suojelupoliisin arvion mukaan lainsäädäntö jo nykyisellään mahdollistaa suppean turvallisuusselvityksen tekemisen osassa vaarallisten a</w:t>
      </w:r>
      <w:r w:rsidRPr="00EA5DD2">
        <w:t xml:space="preserve">ineiden kuljetuksiin liittyvissä tehtävissä. Suojelupoliisi on </w:t>
      </w:r>
      <w:r w:rsidRPr="00EA5DD2">
        <w:t xml:space="preserve">sisäministeriölle tiedoksi toimittamassaan </w:t>
      </w:r>
      <w:r w:rsidRPr="00EA5DD2">
        <w:t xml:space="preserve">lausunnossaan arvioinut, että perusmuotoisen turvallisuusselvitysmenettelyn käyttöä olisi syytä harkita </w:t>
      </w:r>
      <w:r w:rsidRPr="00EA5DD2">
        <w:t>vaarallisimpien</w:t>
      </w:r>
      <w:r w:rsidRPr="00EA5DD2">
        <w:t xml:space="preserve"> aineiden </w:t>
      </w:r>
      <w:r w:rsidRPr="00EA5DD2">
        <w:lastRenderedPageBreak/>
        <w:t>ajoneuvokuljetustehtä</w:t>
      </w:r>
      <w:r w:rsidRPr="00EA5DD2">
        <w:t>vissä työskentelevi</w:t>
      </w:r>
      <w:r w:rsidRPr="00EA5DD2">
        <w:t xml:space="preserve">en henkilöiden kohdalla. Sisäministeriö </w:t>
      </w:r>
      <w:r w:rsidRPr="00EA5DD2">
        <w:t>pitää Suojelupoliisin näkemystä perusteltuna.</w:t>
      </w:r>
    </w:p>
    <w:p w:rsidR="00DC5531" w:rsidRPr="00EA5DD2" w:rsidRDefault="0097336F" w:rsidP="00C16544">
      <w:pPr>
        <w:pStyle w:val="Leipteksti"/>
        <w:jc w:val="both"/>
        <w:rPr>
          <w:b/>
        </w:rPr>
      </w:pPr>
      <w:r w:rsidRPr="00EA5DD2">
        <w:rPr>
          <w:b/>
        </w:rPr>
        <w:t xml:space="preserve">23. Mitä käytännön vaikutuksia, esimerkiksi taloudellisia vaikutuksia, laajemmasta menettelystä olisi? </w:t>
      </w:r>
    </w:p>
    <w:p w:rsidR="002F76FF" w:rsidRPr="002F76FF" w:rsidRDefault="0097336F" w:rsidP="00C16544">
      <w:pPr>
        <w:pStyle w:val="Leipteksti"/>
        <w:jc w:val="both"/>
        <w:rPr>
          <w:color w:val="365F91" w:themeColor="accent1" w:themeShade="BF"/>
        </w:rPr>
      </w:pPr>
      <w:r w:rsidRPr="00EA5DD2">
        <w:t>Laaj</w:t>
      </w:r>
      <w:r>
        <w:t>empi selvitysmenettely aiheuttaisi</w:t>
      </w:r>
      <w:r w:rsidRPr="00EA5DD2">
        <w:t xml:space="preserve"> suuremma</w:t>
      </w:r>
      <w:r w:rsidRPr="00EA5DD2">
        <w:t>t kustannukset yrityksille.</w:t>
      </w:r>
    </w:p>
    <w:p w:rsidR="002F76FF" w:rsidRPr="00D55653" w:rsidRDefault="0097336F" w:rsidP="00B45C81">
      <w:pPr>
        <w:pStyle w:val="Leipteksti"/>
      </w:pPr>
    </w:p>
    <w:p w:rsidR="00FB22EE" w:rsidRPr="00D55653" w:rsidRDefault="0097336F" w:rsidP="00FB22EE">
      <w:pPr>
        <w:pStyle w:val="Leipteksti"/>
      </w:pPr>
    </w:p>
    <w:p w:rsidR="00FB22EE" w:rsidRPr="00D55653" w:rsidRDefault="0097336F" w:rsidP="00FB22EE">
      <w:pPr>
        <w:pStyle w:val="Leipteksti"/>
      </w:pPr>
    </w:p>
    <w:p w:rsidR="00F2165B" w:rsidRDefault="0097336F" w:rsidP="00897327">
      <w:pPr>
        <w:pStyle w:val="Leipteksti"/>
      </w:pPr>
      <w:r>
        <w:t>Kansliapäällikön sijaisena,</w:t>
      </w:r>
    </w:p>
    <w:p w:rsidR="00897327" w:rsidRPr="00D55653" w:rsidRDefault="0097336F" w:rsidP="00897327">
      <w:pPr>
        <w:pStyle w:val="Leipteksti"/>
      </w:pPr>
      <w:r>
        <w:t>ylijohtaja</w:t>
      </w:r>
      <w:r>
        <w:tab/>
      </w:r>
      <w:r w:rsidRPr="00D55653">
        <w:tab/>
      </w:r>
      <w:r>
        <w:tab/>
      </w:r>
      <w:r>
        <w:t>Jorma Vuorio</w:t>
      </w:r>
    </w:p>
    <w:p w:rsidR="00897327" w:rsidRPr="00D55653" w:rsidRDefault="0097336F" w:rsidP="00897327">
      <w:pPr>
        <w:pStyle w:val="Leipteksti"/>
      </w:pPr>
    </w:p>
    <w:p w:rsidR="00082DFF" w:rsidRPr="00D55653" w:rsidRDefault="0097336F" w:rsidP="00754595">
      <w:pPr>
        <w:pStyle w:val="Leipteksti"/>
      </w:pPr>
      <w:r>
        <w:t>Suunnittelija</w:t>
      </w:r>
      <w:r>
        <w:tab/>
      </w:r>
      <w:r w:rsidRPr="00D55653">
        <w:tab/>
      </w:r>
      <w:r>
        <w:tab/>
      </w:r>
      <w:r>
        <w:t>Aino Tuovinen</w:t>
      </w:r>
    </w:p>
    <w:p w:rsidR="00082DFF" w:rsidRPr="00D55653" w:rsidRDefault="0097336F" w:rsidP="003448DA">
      <w:pPr>
        <w:pStyle w:val="Leipteksti"/>
      </w:pPr>
    </w:p>
    <w:p w:rsidR="00082DFF" w:rsidRPr="00D55653" w:rsidRDefault="0097336F" w:rsidP="003448DA">
      <w:pPr>
        <w:pStyle w:val="Leipteksti"/>
      </w:pPr>
    </w:p>
    <w:p w:rsidR="00082DFF" w:rsidRPr="00D55653" w:rsidRDefault="0097336F" w:rsidP="003448DA">
      <w:pPr>
        <w:pStyle w:val="Leipteksti"/>
      </w:pPr>
      <w:r w:rsidRPr="00D55653">
        <w:fldChar w:fldCharType="begin"/>
      </w:r>
      <w:r w:rsidRPr="00D55653">
        <w:instrText xml:space="preserve"> DOCPROPERTY  sm_allekirjoitusfraasi  \* MERGEFORMAT </w:instrText>
      </w:r>
      <w:r w:rsidRPr="00D55653">
        <w:fldChar w:fldCharType="separate"/>
      </w:r>
      <w:r w:rsidRPr="00D55653">
        <w:t xml:space="preserve">Asiakirja on sähköisesti allekirjoitettu asianhallintajärjestelmässä. Sisäministeriö </w:t>
      </w:r>
      <w:r w:rsidRPr="00D55653">
        <w:t>07.02.2019 klo 13:52. Allekirjoituksen oikeellisuuden voi todentaa kirjaamosta.</w:t>
      </w:r>
      <w:r w:rsidRPr="00D55653">
        <w:fldChar w:fldCharType="end"/>
      </w:r>
    </w:p>
    <w:p w:rsidR="00082DFF" w:rsidRPr="00D55653" w:rsidRDefault="0097336F" w:rsidP="003448DA">
      <w:pPr>
        <w:pStyle w:val="Leipteksti"/>
      </w:pPr>
    </w:p>
    <w:tbl>
      <w:tblPr>
        <w:tblStyle w:val="TaulukkoRuudukko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307"/>
      </w:tblGrid>
      <w:tr w:rsidR="00936E48" w:rsidTr="00A8130D">
        <w:tc>
          <w:tcPr>
            <w:tcW w:w="2525" w:type="dxa"/>
          </w:tcPr>
          <w:p w:rsidR="00082DFF" w:rsidRPr="00D55653" w:rsidRDefault="0097336F" w:rsidP="00082DFF">
            <w:pPr>
              <w:rPr>
                <w:lang w:val="fi-FI"/>
              </w:rPr>
            </w:pPr>
          </w:p>
        </w:tc>
        <w:tc>
          <w:tcPr>
            <w:tcW w:w="7307" w:type="dxa"/>
          </w:tcPr>
          <w:p w:rsidR="00082DFF" w:rsidRPr="00D55653" w:rsidRDefault="0097336F" w:rsidP="00082DFF">
            <w:pPr>
              <w:rPr>
                <w:lang w:val="fi-FI"/>
              </w:rPr>
            </w:pPr>
          </w:p>
        </w:tc>
      </w:tr>
      <w:tr w:rsidR="00936E48" w:rsidTr="00A8130D">
        <w:tc>
          <w:tcPr>
            <w:tcW w:w="2525" w:type="dxa"/>
          </w:tcPr>
          <w:p w:rsidR="00082DFF" w:rsidRPr="00D55653" w:rsidRDefault="0097336F" w:rsidP="00082DFF">
            <w:pPr>
              <w:rPr>
                <w:lang w:val="fi-FI"/>
              </w:rPr>
            </w:pPr>
          </w:p>
        </w:tc>
        <w:tc>
          <w:tcPr>
            <w:tcW w:w="7307" w:type="dxa"/>
          </w:tcPr>
          <w:p w:rsidR="00082DFF" w:rsidRPr="00D55653" w:rsidRDefault="0097336F" w:rsidP="00082DFF">
            <w:pPr>
              <w:rPr>
                <w:lang w:val="fi-FI"/>
              </w:rPr>
            </w:pPr>
          </w:p>
        </w:tc>
      </w:tr>
      <w:tr w:rsidR="00936E48" w:rsidTr="00A8130D">
        <w:tc>
          <w:tcPr>
            <w:tcW w:w="2525" w:type="dxa"/>
          </w:tcPr>
          <w:p w:rsidR="00082DFF" w:rsidRPr="00D55653" w:rsidRDefault="0097336F" w:rsidP="00082DFF">
            <w:pPr>
              <w:rPr>
                <w:lang w:val="fi-FI"/>
              </w:rPr>
            </w:pPr>
            <w:r w:rsidRPr="00D55653">
              <w:fldChar w:fldCharType="begin"/>
            </w:r>
            <w:r w:rsidRPr="00D55653">
              <w:rPr>
                <w:lang w:val="fi-FI"/>
              </w:rPr>
              <w:instrText xml:space="preserve"> MACROBUTTON  AdditionalActions </w:instrText>
            </w:r>
            <w:r w:rsidRPr="00D55653">
              <w:rPr>
                <w:lang w:val="fi-FI"/>
              </w:rPr>
              <w:instrText xml:space="preserve">Tiedoksi </w:instrText>
            </w:r>
            <w:r w:rsidRPr="00D55653">
              <w:fldChar w:fldCharType="end"/>
            </w:r>
          </w:p>
        </w:tc>
        <w:tc>
          <w:tcPr>
            <w:tcW w:w="7307" w:type="dxa"/>
          </w:tcPr>
          <w:p w:rsidR="00082DFF" w:rsidRPr="00435637" w:rsidRDefault="0097336F" w:rsidP="00082DFF">
            <w:pPr>
              <w:rPr>
                <w:lang w:val="fi-FI"/>
              </w:rPr>
            </w:pPr>
            <w:r w:rsidRPr="00435637">
              <w:rPr>
                <w:lang w:val="fi-FI"/>
              </w:rPr>
              <w:t>Ministeri Mykkänen</w:t>
            </w:r>
          </w:p>
          <w:p w:rsidR="00435637" w:rsidRDefault="0097336F" w:rsidP="00082DFF">
            <w:pPr>
              <w:rPr>
                <w:lang w:val="fi-FI"/>
              </w:rPr>
            </w:pPr>
            <w:r w:rsidRPr="00435637">
              <w:rPr>
                <w:lang w:val="fi-FI"/>
              </w:rPr>
              <w:t>Kansliapäällikkö Salmi</w:t>
            </w:r>
            <w:r w:rsidRPr="00435637">
              <w:rPr>
                <w:lang w:val="fi-FI"/>
              </w:rPr>
              <w:br/>
              <w:t>Erity</w:t>
            </w:r>
            <w:r>
              <w:rPr>
                <w:lang w:val="fi-FI"/>
              </w:rPr>
              <w:t>isavustaja Andersson-Bohren</w:t>
            </w:r>
          </w:p>
          <w:p w:rsidR="00435637" w:rsidRPr="00C16544" w:rsidRDefault="0097336F" w:rsidP="00082DFF">
            <w:r w:rsidRPr="00C16544">
              <w:t>SM/PEO</w:t>
            </w:r>
          </w:p>
          <w:p w:rsidR="00435637" w:rsidRPr="00C16544" w:rsidRDefault="0097336F" w:rsidP="00082DFF">
            <w:r w:rsidRPr="00C16544">
              <w:t>SM/PO</w:t>
            </w:r>
          </w:p>
          <w:p w:rsidR="00435637" w:rsidRPr="00C16544" w:rsidRDefault="0097336F" w:rsidP="00082DFF">
            <w:r w:rsidRPr="00C16544">
              <w:t>SM/RO</w:t>
            </w:r>
          </w:p>
        </w:tc>
      </w:tr>
    </w:tbl>
    <w:p w:rsidR="00082DFF" w:rsidRPr="00C16544" w:rsidRDefault="0097336F" w:rsidP="0098392F">
      <w:pPr>
        <w:rPr>
          <w:lang w:val="en-US"/>
        </w:rPr>
      </w:pPr>
    </w:p>
    <w:sectPr w:rsidR="00082DFF" w:rsidRPr="00C16544" w:rsidSect="00974A00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6F" w:rsidRDefault="0097336F">
      <w:r>
        <w:separator/>
      </w:r>
    </w:p>
  </w:endnote>
  <w:endnote w:type="continuationSeparator" w:id="0">
    <w:p w:rsidR="0097336F" w:rsidRDefault="0097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97336F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9CA065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F83065" w:rsidRDefault="0097336F" w:rsidP="00F83065">
    <w:pPr>
      <w:pStyle w:val="Alatunniste"/>
    </w:pPr>
    <w:r w:rsidRPr="00F83065">
      <w:t>Kirkkokatu 12, Helsinki</w:t>
    </w:r>
  </w:p>
  <w:p w:rsidR="00082DFF" w:rsidRPr="00F83065" w:rsidRDefault="0097336F" w:rsidP="00F83065">
    <w:pPr>
      <w:pStyle w:val="Alatunniste"/>
    </w:pPr>
    <w:r w:rsidRPr="00F83065">
      <w:t>PL 26, 00023 Valtioneuvosto</w:t>
    </w:r>
    <w:r w:rsidRPr="00F83065">
      <w:br/>
      <w:t>Vaihde 0295 480 171 | kirjaamo@intermin.fi | www.intermin.fi</w:t>
    </w:r>
  </w:p>
  <w:p w:rsidR="00082DFF" w:rsidRDefault="0097336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6F" w:rsidRDefault="0097336F">
      <w:r>
        <w:separator/>
      </w:r>
    </w:p>
  </w:footnote>
  <w:footnote w:type="continuationSeparator" w:id="0">
    <w:p w:rsidR="0097336F" w:rsidRDefault="0097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936E48" w:rsidTr="00EB6C6D">
      <w:tc>
        <w:tcPr>
          <w:tcW w:w="5222" w:type="dxa"/>
        </w:tcPr>
        <w:p w:rsidR="00A147F3" w:rsidRPr="00770045" w:rsidRDefault="0097336F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97336F" w:rsidP="0098392F">
          <w:pPr>
            <w:pStyle w:val="Yltunniste"/>
          </w:pPr>
        </w:p>
      </w:tc>
      <w:tc>
        <w:tcPr>
          <w:tcW w:w="1463" w:type="dxa"/>
        </w:tcPr>
        <w:p w:rsidR="00A147F3" w:rsidRDefault="0097336F" w:rsidP="0098392F">
          <w:pPr>
            <w:pStyle w:val="Yltunniste"/>
          </w:pPr>
        </w:p>
      </w:tc>
      <w:tc>
        <w:tcPr>
          <w:tcW w:w="1054" w:type="dxa"/>
        </w:tcPr>
        <w:p w:rsidR="00A147F3" w:rsidRDefault="0097336F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F78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240F78">
            <w:t>4</w:t>
          </w:r>
          <w:r>
            <w:fldChar w:fldCharType="end"/>
          </w:r>
          <w:r>
            <w:t>)</w:t>
          </w:r>
        </w:p>
      </w:tc>
    </w:tr>
  </w:tbl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936E48" w:rsidTr="00672273">
      <w:trPr>
        <w:trHeight w:val="182"/>
      </w:trPr>
      <w:tc>
        <w:tcPr>
          <w:tcW w:w="2268" w:type="dxa"/>
        </w:tcPr>
        <w:p w:rsidR="00FB22EE" w:rsidRPr="008F7C56" w:rsidRDefault="0097336F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Lausunto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RDefault="0097336F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SM193434</w:t>
          </w:r>
          <w:r w:rsidRPr="008F7C56">
            <w:rPr>
              <w:rFonts w:eastAsia="Cambria"/>
            </w:rPr>
            <w:fldChar w:fldCharType="end"/>
          </w:r>
        </w:p>
      </w:tc>
    </w:tr>
    <w:tr w:rsidR="00936E48" w:rsidTr="00672273">
      <w:tc>
        <w:tcPr>
          <w:tcW w:w="2268" w:type="dxa"/>
        </w:tcPr>
        <w:p w:rsidR="00FB22EE" w:rsidRPr="008F7C56" w:rsidRDefault="0097336F" w:rsidP="00672273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FB22EE" w:rsidRPr="008F7C56" w:rsidRDefault="0097336F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00.02.04</w:t>
          </w:r>
          <w:r w:rsidRPr="008F7C56">
            <w:rPr>
              <w:rFonts w:eastAsia="Cambria"/>
            </w:rPr>
            <w:fldChar w:fldCharType="end"/>
          </w:r>
        </w:p>
      </w:tc>
    </w:tr>
    <w:tr w:rsidR="00936E48" w:rsidTr="00672273">
      <w:tc>
        <w:tcPr>
          <w:tcW w:w="2268" w:type="dxa"/>
        </w:tcPr>
        <w:p w:rsidR="00FB22EE" w:rsidRPr="008F7C56" w:rsidRDefault="0097336F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sm_pvm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07.02.2019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RDefault="0097336F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SMDno-2018-2369</w:t>
          </w:r>
          <w:r w:rsidRPr="008F7C56">
            <w:rPr>
              <w:rFonts w:eastAsia="Cambria"/>
            </w:rPr>
            <w:fldChar w:fldCharType="end"/>
          </w:r>
        </w:p>
      </w:tc>
    </w:tr>
  </w:tbl>
  <w:p w:rsidR="00D64AB2" w:rsidRDefault="0097336F" w:rsidP="0098392F">
    <w:pPr>
      <w:pStyle w:val="Yltunniste"/>
    </w:pPr>
  </w:p>
  <w:p w:rsidR="00FB22EE" w:rsidRDefault="0097336F" w:rsidP="0098392F">
    <w:pPr>
      <w:pStyle w:val="Yltunniste"/>
    </w:pPr>
  </w:p>
  <w:p w:rsidR="00FB22EE" w:rsidRDefault="0097336F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D55653" w:rsidRDefault="0097336F" w:rsidP="0098392F">
    <w:pPr>
      <w:pStyle w:val="Yltunniste"/>
    </w:pPr>
    <w:r>
      <w:ptab w:relativeTo="margin" w:alignment="right" w:leader="none"/>
    </w:r>
    <w:r w:rsidRPr="00D55653">
      <w:fldChar w:fldCharType="begin"/>
    </w:r>
    <w:r w:rsidRPr="00D55653">
      <w:instrText xml:space="preserve"> PAGE   \* MERGEFORMAT </w:instrText>
    </w:r>
    <w:r w:rsidRPr="00D55653">
      <w:fldChar w:fldCharType="separate"/>
    </w:r>
    <w:r w:rsidR="00240F78">
      <w:t>1</w:t>
    </w:r>
    <w:r w:rsidRPr="00D55653">
      <w:fldChar w:fldCharType="end"/>
    </w:r>
    <w:r w:rsidRPr="00D55653"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 w:rsidR="00240F78">
      <w:t>4</w:t>
    </w:r>
    <w:r>
      <w:fldChar w:fldCharType="end"/>
    </w:r>
    <w:r w:rsidRPr="00D55653">
      <w:t>)</w:t>
    </w:r>
    <w:r w:rsidRPr="00D55653">
      <w:tab/>
    </w:r>
    <w:r w:rsidRPr="00D55653">
      <w:tab/>
    </w:r>
    <w:r w:rsidRPr="00D55653">
      <w:tab/>
    </w:r>
    <w:r w:rsidRPr="00D55653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936E48" w:rsidTr="00082DFF">
      <w:trPr>
        <w:trHeight w:val="182"/>
      </w:trPr>
      <w:tc>
        <w:tcPr>
          <w:tcW w:w="2268" w:type="dxa"/>
        </w:tcPr>
        <w:p w:rsidR="00082DFF" w:rsidRPr="00D55653" w:rsidRDefault="0097336F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Lausunto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RDefault="0097336F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sm_id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SM193434</w:t>
          </w:r>
          <w:r w:rsidRPr="00D55653">
            <w:rPr>
              <w:rFonts w:eastAsia="Cambria"/>
            </w:rPr>
            <w:fldChar w:fldCharType="end"/>
          </w:r>
        </w:p>
      </w:tc>
    </w:tr>
    <w:tr w:rsidR="00936E48" w:rsidTr="00082DFF">
      <w:tc>
        <w:tcPr>
          <w:tcW w:w="2268" w:type="dxa"/>
        </w:tcPr>
        <w:p w:rsidR="00082DFF" w:rsidRPr="00D55653" w:rsidRDefault="0097336F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D55653" w:rsidRDefault="0097336F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sm_asiaryhmä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00.02.04</w:t>
          </w:r>
          <w:r w:rsidRPr="00D55653">
            <w:rPr>
              <w:rFonts w:eastAsia="Cambria"/>
            </w:rPr>
            <w:fldChar w:fldCharType="end"/>
          </w:r>
        </w:p>
      </w:tc>
    </w:tr>
    <w:tr w:rsidR="00936E48" w:rsidTr="00082DFF">
      <w:tc>
        <w:tcPr>
          <w:tcW w:w="2268" w:type="dxa"/>
        </w:tcPr>
        <w:p w:rsidR="00082DFF" w:rsidRPr="00D55653" w:rsidRDefault="0097336F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sm_pvm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07.02.2019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RDefault="0097336F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sm_diaarinro  \* MERGEFO</w:instrText>
          </w:r>
          <w:r w:rsidRPr="00D55653">
            <w:rPr>
              <w:rFonts w:eastAsia="Cambria"/>
              <w:lang w:val="fi-FI"/>
            </w:rPr>
            <w:instrText xml:space="preserve">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SMDno-2018-2369</w:t>
          </w:r>
          <w:r w:rsidRPr="00D55653">
            <w:rPr>
              <w:rFonts w:eastAsia="Cambria"/>
            </w:rPr>
            <w:fldChar w:fldCharType="end"/>
          </w:r>
        </w:p>
      </w:tc>
    </w:tr>
  </w:tbl>
  <w:p w:rsidR="00082DFF" w:rsidRPr="00D55653" w:rsidRDefault="0097336F" w:rsidP="0098392F">
    <w:pPr>
      <w:pStyle w:val="Yltunniste"/>
    </w:pPr>
  </w:p>
  <w:p w:rsidR="00082DFF" w:rsidRPr="00D55653" w:rsidRDefault="0097336F" w:rsidP="0098392F">
    <w:pPr>
      <w:pStyle w:val="Yltunniste"/>
    </w:pPr>
    <w:r w:rsidRPr="00D55653">
      <w:tab/>
    </w:r>
    <w:r w:rsidRPr="00D55653">
      <w:tab/>
    </w:r>
    <w:r w:rsidRPr="00D55653">
      <w:tab/>
    </w:r>
    <w:r w:rsidRPr="00D55653">
      <w:tab/>
    </w:r>
  </w:p>
  <w:p w:rsidR="00082DFF" w:rsidRPr="00D55653" w:rsidRDefault="0097336F" w:rsidP="0098392F">
    <w:pPr>
      <w:pStyle w:val="Yltunniste"/>
    </w:pPr>
  </w:p>
  <w:p w:rsidR="002723D0" w:rsidRPr="00D55653" w:rsidRDefault="0097336F" w:rsidP="0098392F">
    <w:pPr>
      <w:pStyle w:val="Yltunniste"/>
    </w:pPr>
    <w:r w:rsidRPr="00D55653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48"/>
    <w:rsid w:val="00240F78"/>
    <w:rsid w:val="00936E48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77D6A-4C88-4780-BC6C-FEDA4ABA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FB22EE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Otsikko1">
    <w:name w:val="heading 1"/>
    <w:next w:val="Leipteksti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eastAsiaTheme="majorEastAsia" w:hAnsi="Cambr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3065"/>
    <w:rPr>
      <w:rFonts w:ascii="Calibri" w:hAnsi="Calibri" w:cs="Calibri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754595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54595"/>
    <w:rPr>
      <w:rFonts w:ascii="Calibri" w:hAnsi="Calibri" w:cs="Calibri"/>
      <w:sz w:val="22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44D66"/>
    <w:rPr>
      <w:rFonts w:ascii="Cambria" w:eastAsiaTheme="majorEastAsia" w:hAnsi="Cambria" w:cstheme="majorBidi"/>
      <w:b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54595"/>
    <w:rPr>
      <w:rFonts w:ascii="Cambria" w:eastAsiaTheme="majorEastAsia" w:hAnsi="Cambria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328-2E49-462D-B4D2-37694A7C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7901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Pennala Riikka (VNK)</cp:lastModifiedBy>
  <cp:revision>2</cp:revision>
  <dcterms:created xsi:type="dcterms:W3CDTF">2019-02-08T07:13:00Z</dcterms:created>
  <dcterms:modified xsi:type="dcterms:W3CDTF">2019-02-08T07:13:00Z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07.02.2019 klo 13:52.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SMDno-2018-2369</vt:lpwstr>
  </property>
  <property fmtid="{D5CDD505-2E9C-101B-9397-08002B2CF9AE}" pid="6" name="sm_id">
    <vt:lpwstr>SM193434</vt:lpwstr>
  </property>
  <property fmtid="{D5CDD505-2E9C-101B-9397-08002B2CF9AE}" pid="7" name="sm_käsittelyluokka">
    <vt:lpwstr/>
  </property>
  <property fmtid="{D5CDD505-2E9C-101B-9397-08002B2CF9AE}" pid="8" name="sm_laatija">
    <vt:lpwstr>Aino Tuovinen</vt:lpwstr>
  </property>
  <property fmtid="{D5CDD505-2E9C-101B-9397-08002B2CF9AE}" pid="9" name="sm_laatimispvm">
    <vt:lpwstr>07.02.2019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Vaarallisten aineiden kuljetuksesta annetun lain kokonaisuudistus, arviomuistioluonnos; sisäministeriön lausunto</vt:lpwstr>
  </property>
  <property fmtid="{D5CDD505-2E9C-101B-9397-08002B2CF9AE}" pid="15" name="sm_pvm">
    <vt:lpwstr>07.02.2019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