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854"/>
      </w:tblGrid>
      <w:tr w:rsidR="009E7395" w:rsidRPr="002C0044" w:rsidTr="002C0044">
        <w:trPr>
          <w:trHeight w:hRule="exact" w:val="1531"/>
        </w:trPr>
        <w:tc>
          <w:tcPr>
            <w:tcW w:w="9854" w:type="dxa"/>
          </w:tcPr>
          <w:p w:rsidR="009E7395" w:rsidRPr="002C0044" w:rsidRDefault="009E7395" w:rsidP="00C13B67">
            <w:r w:rsidRPr="002C0044">
              <w:t>Oikeusministeriö</w:t>
            </w:r>
          </w:p>
          <w:p w:rsidR="009E7395" w:rsidRPr="002C0044" w:rsidRDefault="009E7395" w:rsidP="00C13B67">
            <w:r w:rsidRPr="002C0044">
              <w:t>Lainvalmisteluosasto</w:t>
            </w:r>
          </w:p>
          <w:p w:rsidR="009E7395" w:rsidRPr="002C0044" w:rsidRDefault="009E7395" w:rsidP="00C13B67">
            <w:r w:rsidRPr="002C0044">
              <w:t>PL 25</w:t>
            </w:r>
          </w:p>
          <w:p w:rsidR="009E7395" w:rsidRPr="002C0044" w:rsidRDefault="009E7395" w:rsidP="001E485B">
            <w:r w:rsidRPr="002C0044">
              <w:t>00023 Valtioneuvosto</w:t>
            </w:r>
          </w:p>
        </w:tc>
      </w:tr>
    </w:tbl>
    <w:p w:rsidR="009E7395" w:rsidRDefault="009E7395" w:rsidP="005631BA"/>
    <w:p w:rsidR="009E7395" w:rsidRDefault="009E7395" w:rsidP="005631BA"/>
    <w:p w:rsidR="009E7395" w:rsidRPr="001E485B" w:rsidRDefault="009E7395" w:rsidP="001E485B">
      <w:pPr>
        <w:pStyle w:val="Title"/>
      </w:pPr>
      <w:r w:rsidRPr="001E485B">
        <w:t>Energiamarkkinaviraston lausunto Kuluttajaoikeustyöryhmän mietinnö</w:t>
      </w:r>
      <w:r w:rsidRPr="001E485B">
        <w:t>s</w:t>
      </w:r>
      <w:r w:rsidRPr="001E485B">
        <w:t>tä 28/2013 koskien kuluttajansuojalain ja sähkömarkkinalain 25 e §:n muuttamista.</w:t>
      </w:r>
    </w:p>
    <w:p w:rsidR="009E7395" w:rsidRDefault="009E7395" w:rsidP="001E485B">
      <w:pPr>
        <w:pStyle w:val="BodyText"/>
      </w:pPr>
      <w:r w:rsidRPr="001E485B">
        <w:t>Energiamarkkinavirasto kiittää oikeusministeriötä mahdollisuudesta antaa lausuntonsa kulu</w:t>
      </w:r>
      <w:r w:rsidRPr="001E485B">
        <w:t>t</w:t>
      </w:r>
      <w:r w:rsidRPr="001E485B">
        <w:t>tajaoikeustyöryhmän mietinnöstä koskien Hallituksen esitystä eduskunnalle laiksi kuluttaja</w:t>
      </w:r>
      <w:r w:rsidRPr="001E485B">
        <w:t>n</w:t>
      </w:r>
      <w:r w:rsidRPr="001E485B">
        <w:t>suojalain ja sähkömarkkinalain 25 e §:n muuttamiseksi.</w:t>
      </w:r>
    </w:p>
    <w:p w:rsidR="009E7395" w:rsidRDefault="009E7395" w:rsidP="001E485B">
      <w:pPr>
        <w:pStyle w:val="BodyText"/>
      </w:pPr>
      <w:r w:rsidRPr="001E485B">
        <w:t>Mietinnössä esitetyt muutokset koskevat pääosin Energiamarkkinaviraston toimivallan ulk</w:t>
      </w:r>
      <w:r w:rsidRPr="001E485B">
        <w:t>o</w:t>
      </w:r>
      <w:r w:rsidRPr="001E485B">
        <w:t>puolelle jääviä asioita. Virasto keskittyykin lausunnossaan ainoastaan sellaisten muutosesity</w:t>
      </w:r>
      <w:r w:rsidRPr="001E485B">
        <w:t>s</w:t>
      </w:r>
      <w:r w:rsidRPr="001E485B">
        <w:t>ten kommentointiin, jotka kuuluvat sen toimivaltaan.</w:t>
      </w:r>
    </w:p>
    <w:p w:rsidR="009E7395" w:rsidRPr="001E485B" w:rsidRDefault="009E7395" w:rsidP="001E485B">
      <w:pPr>
        <w:keepNext/>
        <w:keepLines/>
        <w:spacing w:after="200"/>
        <w:ind w:left="720"/>
        <w:outlineLvl w:val="0"/>
        <w:rPr>
          <w:b/>
          <w:bCs/>
          <w:sz w:val="26"/>
          <w:szCs w:val="28"/>
        </w:rPr>
      </w:pPr>
      <w:r w:rsidRPr="001E485B">
        <w:rPr>
          <w:b/>
          <w:bCs/>
          <w:sz w:val="26"/>
          <w:szCs w:val="28"/>
        </w:rPr>
        <w:t>3.2 Direktiivin täytäntöönpanoon liittyvät ehdotukset</w:t>
      </w:r>
    </w:p>
    <w:p w:rsidR="009E7395" w:rsidRPr="00425717" w:rsidRDefault="009E7395" w:rsidP="001E485B">
      <w:pPr>
        <w:pStyle w:val="BodyText"/>
        <w:rPr>
          <w:b/>
        </w:rPr>
      </w:pPr>
      <w:r w:rsidRPr="00425717">
        <w:rPr>
          <w:b/>
        </w:rPr>
        <w:t>3.2.1 Kansallisen harkintavallan käyttö</w:t>
      </w:r>
    </w:p>
    <w:p w:rsidR="009E7395" w:rsidRDefault="009E7395" w:rsidP="001E485B">
      <w:pPr>
        <w:pStyle w:val="BodyText"/>
      </w:pPr>
      <w:r>
        <w:t>Kuluttajan oikeuksia koskevan Euroopan parlamentin ja neuvoston direktiivin (2011/83/EU) 8 artiklan 6 kohdan mukaan jäsenvaltiot voivat säätää puhelimitse tehtävien etämyyntisopimu</w:t>
      </w:r>
      <w:r>
        <w:t>s</w:t>
      </w:r>
      <w:r>
        <w:t>ten osalta, että elinkeinonharjoittajan on vahvistettava tekemänsä tarjous kuluttajalle. Kulutt</w:t>
      </w:r>
      <w:r>
        <w:t>a</w:t>
      </w:r>
      <w:r>
        <w:t>ja tulisi sidotuksi sopimukseen vasta allekirjoitettuaan tarjouksen tai annettuaan siihen mu</w:t>
      </w:r>
      <w:r>
        <w:t>u</w:t>
      </w:r>
      <w:r>
        <w:t>toin kirjallisen hyväksyntänsä. Kilpailu- ja kuluttajavirasto/kuluttaja-asiamies sekä kuluttaj</w:t>
      </w:r>
      <w:r>
        <w:t>a</w:t>
      </w:r>
      <w:r>
        <w:t>liitto -Konsumentförbundet ry ovat ehdottaneet, että Suomi ottaisi vahvistusvaatimuksen käy</w:t>
      </w:r>
      <w:r>
        <w:t>t</w:t>
      </w:r>
      <w:r>
        <w:t>töön elinkeinonharjoittajan aloitteesta tehtävien sopimusten osalta.</w:t>
      </w:r>
    </w:p>
    <w:p w:rsidR="009E7395" w:rsidRDefault="009E7395" w:rsidP="001E485B">
      <w:pPr>
        <w:pStyle w:val="BodyText"/>
      </w:pPr>
      <w:r>
        <w:t xml:space="preserve">Mietinnössä on esitetty näkökulmia sekä </w:t>
      </w:r>
      <w:bookmarkStart w:id="0" w:name="_GoBack"/>
      <w:bookmarkEnd w:id="0"/>
      <w:r>
        <w:t>vahvistusmenettelyn puolesta että sitä vastaan. Su</w:t>
      </w:r>
      <w:r>
        <w:t>u</w:t>
      </w:r>
      <w:r>
        <w:t>rin osa sähkönmyyntisopimuksista syntyy nykypäivänä etämyynnin kautta. Energiamarkkin</w:t>
      </w:r>
      <w:r>
        <w:t>a</w:t>
      </w:r>
      <w:r>
        <w:t>virastokin on tietoinen sille tulleiden yhteydenottojen johdosta puhelinmyyntiin liittyvistä o</w:t>
      </w:r>
      <w:r>
        <w:t>n</w:t>
      </w:r>
      <w:r>
        <w:t>gelmatilanteista. Energiamarkkinavirastolle tulleet yhteydenotot puhelinmyynnin ongelmista ovat käytännössä kuitenkin koskeneet vain muutamaa energia-alan toimijaa sähkömarkkino</w:t>
      </w:r>
      <w:r>
        <w:t>i</w:t>
      </w:r>
      <w:r>
        <w:t>den toimiessa muutoin näiltä osin pääasiassa asianmukaisesti.</w:t>
      </w:r>
    </w:p>
    <w:p w:rsidR="009E7395" w:rsidRDefault="009E7395" w:rsidP="001E485B">
      <w:pPr>
        <w:pStyle w:val="BodyText"/>
      </w:pPr>
      <w:r>
        <w:t>Energiamarkkinaviraston näkemyksen mukaan Kilpailu- ja kuluttajaviraston/kuluttaja-asiamiehen sekä kuluttajaliitto –Konsumentförbundet ry:n ehdottama tarjouksen kirjallista h</w:t>
      </w:r>
      <w:r>
        <w:t>y</w:t>
      </w:r>
      <w:r>
        <w:t>väksymistä koskeva lisävaatimuksen  asettaminen etämyynnin kautta elinkeinonharjoittajan aloitteesta syntyville sopimuksille merkitsisi todennäköisesti, kuten mietinnössäkin todetaan, yritysten hallinnollisten kulujen kasvamista poistamatta kuitenkaan kyseisten yksittäisten o</w:t>
      </w:r>
      <w:r>
        <w:t>n</w:t>
      </w:r>
      <w:r>
        <w:t>gelmayritysten toimintaa koskevia viranomaisia työllistäviä vaikutuksia, jotka eivät liity y</w:t>
      </w:r>
      <w:r>
        <w:t>k</w:t>
      </w:r>
      <w:r>
        <w:t xml:space="preserve">sinomaan puhelinmyyntiin. Lisäksi vaatimus saattaisi jäykistää ainakin sähkömarkkinoiden toimintaa, joilla kuluttaja-asiakkaiden aktiivisuus on vielä tällä hetkellä verrattuna moniin muihin hyödykemarkkinoihin vaatimatonta. </w:t>
      </w:r>
    </w:p>
    <w:p w:rsidR="009E7395" w:rsidRDefault="009E7395" w:rsidP="001E485B">
      <w:pPr>
        <w:pStyle w:val="BodyText"/>
      </w:pPr>
      <w:r>
        <w:t>Energiamarkkinavirasto pitää siten mietinnössä esitettyä näkemystä puhelinmyynnin onge</w:t>
      </w:r>
      <w:r>
        <w:t>l</w:t>
      </w:r>
      <w:r>
        <w:t>miin puuttumisesta muilla keinoin toistaiseksi kannatettavana. Energiamarkkinavirasto ku</w:t>
      </w:r>
      <w:r>
        <w:t>i</w:t>
      </w:r>
      <w:r>
        <w:t>tenkin huomauttaa, että tilannetta on syytä seurata aktiivisesti ja tarvittaessa harkita lisävaat</w:t>
      </w:r>
      <w:r>
        <w:t>i</w:t>
      </w:r>
      <w:r>
        <w:t>musten asettamista uudelleen. Lisäksi kilpailu- ja kuluttajavirastolle tulee taata riittävästi r</w:t>
      </w:r>
      <w:r>
        <w:t>e</w:t>
      </w:r>
      <w:r>
        <w:t xml:space="preserve">sursseja ja keinoja puuttua mahdollisiin ongelmatilanteisiin tulevaisuudessa. </w:t>
      </w:r>
    </w:p>
    <w:p w:rsidR="009E7395" w:rsidRPr="001E485B" w:rsidRDefault="009E7395" w:rsidP="001E485B">
      <w:pPr>
        <w:keepNext/>
        <w:keepLines/>
        <w:numPr>
          <w:ilvl w:val="1"/>
          <w:numId w:val="12"/>
        </w:numPr>
        <w:spacing w:after="200"/>
        <w:outlineLvl w:val="0"/>
        <w:rPr>
          <w:b/>
          <w:bCs/>
          <w:sz w:val="26"/>
          <w:szCs w:val="28"/>
        </w:rPr>
      </w:pPr>
      <w:r w:rsidRPr="001E485B">
        <w:rPr>
          <w:b/>
          <w:bCs/>
          <w:sz w:val="26"/>
          <w:szCs w:val="28"/>
        </w:rPr>
        <w:t>Sähkömarkkinalaki</w:t>
      </w:r>
    </w:p>
    <w:p w:rsidR="009E7395" w:rsidRDefault="009E7395" w:rsidP="001E485B">
      <w:pPr>
        <w:pStyle w:val="BodyText"/>
      </w:pPr>
      <w:r w:rsidRPr="001E485B">
        <w:t>Mietinnössä on ehdotettu direktiivin täytäntöön panemiseksi muutoksia myös sähkömarkkin</w:t>
      </w:r>
      <w:r w:rsidRPr="001E485B">
        <w:t>a</w:t>
      </w:r>
      <w:r w:rsidRPr="001E485B">
        <w:t>lain (386/1995) 25 e §:n. Syyskuun alusta astuu voimaan uusi sähkömarkkinalaki. Uuden lain vahvistusilmoitusta koskevassa 88 §:ssä on otettu huomioon mietinnössä esitetyt muutosta</w:t>
      </w:r>
      <w:r w:rsidRPr="001E485B">
        <w:t>r</w:t>
      </w:r>
      <w:r w:rsidRPr="001E485B">
        <w:t>peet vahvistusilmoituksen osalta.</w:t>
      </w:r>
    </w:p>
    <w:p w:rsidR="009E7395" w:rsidRDefault="009E7395" w:rsidP="00F547EF">
      <w:pPr>
        <w:pStyle w:val="BodyText"/>
      </w:pPr>
    </w:p>
    <w:p w:rsidR="009E7395" w:rsidRDefault="009E7395" w:rsidP="00F547EF">
      <w:pPr>
        <w:pStyle w:val="BodyText"/>
      </w:pPr>
    </w:p>
    <w:tbl>
      <w:tblPr>
        <w:tblW w:w="8575" w:type="dxa"/>
        <w:tblInd w:w="1304" w:type="dxa"/>
        <w:tblLayout w:type="fixed"/>
        <w:tblLook w:val="00A0"/>
      </w:tblPr>
      <w:tblGrid>
        <w:gridCol w:w="3912"/>
        <w:gridCol w:w="4663"/>
      </w:tblGrid>
      <w:tr w:rsidR="009E7395" w:rsidRPr="002C0044" w:rsidTr="002C0044">
        <w:trPr>
          <w:trHeight w:hRule="exact" w:val="1020"/>
        </w:trPr>
        <w:tc>
          <w:tcPr>
            <w:tcW w:w="3912" w:type="dxa"/>
          </w:tcPr>
          <w:p w:rsidR="009E7395" w:rsidRPr="002C0044" w:rsidRDefault="009E7395" w:rsidP="00B85552">
            <w:r w:rsidRPr="002C0044">
              <w:t>Ryhmäpäällikkö</w:t>
            </w:r>
          </w:p>
          <w:p w:rsidR="009E7395" w:rsidRPr="002C0044" w:rsidRDefault="009E7395" w:rsidP="00B85552"/>
        </w:tc>
        <w:tc>
          <w:tcPr>
            <w:tcW w:w="4663" w:type="dxa"/>
          </w:tcPr>
          <w:p w:rsidR="009E7395" w:rsidRPr="002C0044" w:rsidRDefault="009E7395" w:rsidP="001E485B">
            <w:r w:rsidRPr="002C0044">
              <w:t>Antti Paananen</w:t>
            </w:r>
          </w:p>
        </w:tc>
      </w:tr>
      <w:tr w:rsidR="009E7395" w:rsidRPr="002C0044" w:rsidTr="002C0044">
        <w:tc>
          <w:tcPr>
            <w:tcW w:w="3912" w:type="dxa"/>
          </w:tcPr>
          <w:p w:rsidR="009E7395" w:rsidRPr="002C0044" w:rsidRDefault="009E7395" w:rsidP="001E485B">
            <w:r w:rsidRPr="002C0044">
              <w:t>Johtava asiantuntija</w:t>
            </w:r>
          </w:p>
        </w:tc>
        <w:tc>
          <w:tcPr>
            <w:tcW w:w="4663" w:type="dxa"/>
          </w:tcPr>
          <w:p w:rsidR="009E7395" w:rsidRPr="002C0044" w:rsidRDefault="009E7395" w:rsidP="001E485B">
            <w:r w:rsidRPr="002C0044">
              <w:t>Mari Salo</w:t>
            </w:r>
          </w:p>
        </w:tc>
      </w:tr>
    </w:tbl>
    <w:p w:rsidR="009E7395" w:rsidRDefault="009E7395" w:rsidP="00F547EF">
      <w:pPr>
        <w:pStyle w:val="BodyText"/>
      </w:pPr>
    </w:p>
    <w:tbl>
      <w:tblPr>
        <w:tblW w:w="976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04"/>
        <w:gridCol w:w="8462"/>
      </w:tblGrid>
      <w:tr w:rsidR="009E7395" w:rsidRPr="002C0044" w:rsidTr="002C0044">
        <w:trPr>
          <w:trHeight w:val="567"/>
        </w:trPr>
        <w:tc>
          <w:tcPr>
            <w:tcW w:w="1304" w:type="dxa"/>
          </w:tcPr>
          <w:p w:rsidR="009E7395" w:rsidRPr="002C0044" w:rsidRDefault="009E7395" w:rsidP="00BE055F">
            <w:r w:rsidRPr="002C0044">
              <w:t>Liitteet</w:t>
            </w:r>
          </w:p>
        </w:tc>
        <w:tc>
          <w:tcPr>
            <w:tcW w:w="8462" w:type="dxa"/>
          </w:tcPr>
          <w:p w:rsidR="009E7395" w:rsidRPr="002C0044" w:rsidRDefault="009E7395" w:rsidP="001E485B"/>
        </w:tc>
      </w:tr>
      <w:tr w:rsidR="009E7395" w:rsidRPr="002C0044" w:rsidTr="002C0044">
        <w:trPr>
          <w:trHeight w:val="567"/>
        </w:trPr>
        <w:tc>
          <w:tcPr>
            <w:tcW w:w="1304" w:type="dxa"/>
          </w:tcPr>
          <w:p w:rsidR="009E7395" w:rsidRPr="002C0044" w:rsidRDefault="009E7395" w:rsidP="00BE055F">
            <w:r w:rsidRPr="002C0044">
              <w:t>Jakelu</w:t>
            </w:r>
          </w:p>
        </w:tc>
        <w:tc>
          <w:tcPr>
            <w:tcW w:w="8462" w:type="dxa"/>
          </w:tcPr>
          <w:p w:rsidR="009E7395" w:rsidRPr="002C0044" w:rsidRDefault="009E7395" w:rsidP="007C0947"/>
          <w:p w:rsidR="009E7395" w:rsidRPr="002C0044" w:rsidRDefault="009E7395" w:rsidP="00BE055F"/>
        </w:tc>
      </w:tr>
      <w:tr w:rsidR="009E7395" w:rsidRPr="002C0044" w:rsidTr="002C0044">
        <w:trPr>
          <w:trHeight w:val="567"/>
        </w:trPr>
        <w:tc>
          <w:tcPr>
            <w:tcW w:w="1304" w:type="dxa"/>
          </w:tcPr>
          <w:p w:rsidR="009E7395" w:rsidRPr="002C0044" w:rsidRDefault="009E7395" w:rsidP="00BE055F">
            <w:r w:rsidRPr="002C0044">
              <w:t>Tiedoksi</w:t>
            </w:r>
          </w:p>
        </w:tc>
        <w:tc>
          <w:tcPr>
            <w:tcW w:w="8462" w:type="dxa"/>
          </w:tcPr>
          <w:p w:rsidR="009E7395" w:rsidRPr="002C0044" w:rsidRDefault="009E7395" w:rsidP="007C0947"/>
          <w:p w:rsidR="009E7395" w:rsidRPr="002C0044" w:rsidRDefault="009E7395" w:rsidP="00BE055F"/>
        </w:tc>
      </w:tr>
    </w:tbl>
    <w:p w:rsidR="009E7395" w:rsidRDefault="009E7395" w:rsidP="00F547EF">
      <w:pPr>
        <w:pStyle w:val="BodyText"/>
      </w:pPr>
    </w:p>
    <w:sectPr w:rsidR="009E7395" w:rsidSect="0012293E">
      <w:headerReference w:type="default" r:id="rId7"/>
      <w:headerReference w:type="first" r:id="rId8"/>
      <w:footerReference w:type="first" r:id="rId9"/>
      <w:pgSz w:w="11906" w:h="16838"/>
      <w:pgMar w:top="2325" w:right="1134" w:bottom="170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95" w:rsidRDefault="009E7395" w:rsidP="0046103D">
      <w:r>
        <w:separator/>
      </w:r>
    </w:p>
  </w:endnote>
  <w:endnote w:type="continuationSeparator" w:id="0">
    <w:p w:rsidR="009E7395" w:rsidRDefault="009E7395" w:rsidP="0046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CellMar>
        <w:left w:w="0" w:type="dxa"/>
        <w:right w:w="0" w:type="dxa"/>
      </w:tblCellMar>
      <w:tblLook w:val="00A0"/>
    </w:tblPr>
    <w:tblGrid>
      <w:gridCol w:w="2604"/>
      <w:gridCol w:w="1946"/>
      <w:gridCol w:w="2365"/>
      <w:gridCol w:w="2939"/>
    </w:tblGrid>
    <w:tr w:rsidR="009E7395" w:rsidRPr="002C0044" w:rsidTr="002C0044">
      <w:trPr>
        <w:trHeight w:val="170"/>
      </w:trPr>
      <w:tc>
        <w:tcPr>
          <w:tcW w:w="2604" w:type="dxa"/>
          <w:vAlign w:val="bottom"/>
        </w:tcPr>
        <w:p w:rsidR="009E7395" w:rsidRPr="002C0044" w:rsidRDefault="009E7395" w:rsidP="00286169">
          <w:pPr>
            <w:pStyle w:val="Footer"/>
            <w:rPr>
              <w:b/>
              <w:noProof/>
              <w:sz w:val="18"/>
              <w:szCs w:val="18"/>
            </w:rPr>
          </w:pPr>
          <w:r w:rsidRPr="002C0044">
            <w:rPr>
              <w:b/>
              <w:noProof/>
              <w:sz w:val="18"/>
              <w:szCs w:val="18"/>
            </w:rPr>
            <w:t>Energiamarkkinavirasto</w:t>
          </w:r>
        </w:p>
      </w:tc>
      <w:tc>
        <w:tcPr>
          <w:tcW w:w="1946" w:type="dxa"/>
          <w:vAlign w:val="bottom"/>
        </w:tcPr>
        <w:p w:rsidR="009E7395" w:rsidRPr="002C0044" w:rsidRDefault="009E7395" w:rsidP="00286169">
          <w:pPr>
            <w:pStyle w:val="Footer"/>
            <w:rPr>
              <w:noProof/>
            </w:rPr>
          </w:pPr>
          <w:r w:rsidRPr="002C0044">
            <w:rPr>
              <w:noProof/>
            </w:rPr>
            <w:t>Lintulahdenkuja 4</w:t>
          </w:r>
        </w:p>
      </w:tc>
      <w:tc>
        <w:tcPr>
          <w:tcW w:w="2365" w:type="dxa"/>
          <w:vAlign w:val="bottom"/>
        </w:tcPr>
        <w:p w:rsidR="009E7395" w:rsidRPr="002C0044" w:rsidRDefault="009E7395" w:rsidP="007C0947">
          <w:pPr>
            <w:pStyle w:val="Footer"/>
            <w:rPr>
              <w:noProof/>
            </w:rPr>
          </w:pPr>
          <w:r w:rsidRPr="002C0044">
            <w:rPr>
              <w:b/>
              <w:noProof/>
            </w:rPr>
            <w:t>Puhelin</w:t>
          </w:r>
          <w:r w:rsidRPr="002C0044">
            <w:rPr>
              <w:noProof/>
            </w:rPr>
            <w:t xml:space="preserve"> 029 5050 000</w:t>
          </w:r>
        </w:p>
      </w:tc>
      <w:tc>
        <w:tcPr>
          <w:tcW w:w="2939" w:type="dxa"/>
          <w:vAlign w:val="bottom"/>
        </w:tcPr>
        <w:p w:rsidR="009E7395" w:rsidRPr="002C0044" w:rsidRDefault="009E7395" w:rsidP="00142D65">
          <w:pPr>
            <w:pStyle w:val="Footer"/>
            <w:rPr>
              <w:noProof/>
              <w:lang w:val="en-US"/>
            </w:rPr>
          </w:pPr>
          <w:r w:rsidRPr="002C0044">
            <w:rPr>
              <w:b/>
              <w:noProof/>
              <w:lang w:val="en-US"/>
            </w:rPr>
            <w:t>S-posti</w:t>
          </w:r>
          <w:r w:rsidRPr="002C0044">
            <w:rPr>
              <w:noProof/>
              <w:lang w:val="en-US"/>
            </w:rPr>
            <w:t xml:space="preserve"> kirjaamo@energiamarkkinavirasto.fi</w:t>
          </w:r>
        </w:p>
      </w:tc>
    </w:tr>
    <w:tr w:rsidR="009E7395" w:rsidRPr="002C0044" w:rsidTr="002C0044">
      <w:trPr>
        <w:trHeight w:val="227"/>
      </w:trPr>
      <w:tc>
        <w:tcPr>
          <w:tcW w:w="2604" w:type="dxa"/>
          <w:vAlign w:val="bottom"/>
        </w:tcPr>
        <w:p w:rsidR="009E7395" w:rsidRPr="002C0044" w:rsidRDefault="009E7395" w:rsidP="00286169">
          <w:pPr>
            <w:pStyle w:val="Footer"/>
            <w:rPr>
              <w:noProof/>
              <w:sz w:val="16"/>
              <w:szCs w:val="16"/>
            </w:rPr>
          </w:pPr>
          <w:r w:rsidRPr="002C0044">
            <w:rPr>
              <w:noProof/>
              <w:sz w:val="16"/>
              <w:szCs w:val="16"/>
            </w:rPr>
            <w:t>Energimarknadsverket</w:t>
          </w:r>
        </w:p>
      </w:tc>
      <w:tc>
        <w:tcPr>
          <w:tcW w:w="1946" w:type="dxa"/>
          <w:vAlign w:val="bottom"/>
        </w:tcPr>
        <w:p w:rsidR="009E7395" w:rsidRPr="002C0044" w:rsidRDefault="009E7395" w:rsidP="00286169">
          <w:pPr>
            <w:pStyle w:val="Footer"/>
            <w:rPr>
              <w:noProof/>
            </w:rPr>
          </w:pPr>
          <w:r w:rsidRPr="002C0044">
            <w:rPr>
              <w:noProof/>
            </w:rPr>
            <w:t>00530 Helsinki</w:t>
          </w:r>
        </w:p>
      </w:tc>
      <w:tc>
        <w:tcPr>
          <w:tcW w:w="2365" w:type="dxa"/>
          <w:vAlign w:val="bottom"/>
        </w:tcPr>
        <w:p w:rsidR="009E7395" w:rsidRPr="002C0044" w:rsidRDefault="009E7395" w:rsidP="00286169">
          <w:pPr>
            <w:pStyle w:val="Footer"/>
            <w:rPr>
              <w:noProof/>
            </w:rPr>
          </w:pPr>
          <w:r w:rsidRPr="002C0044">
            <w:rPr>
              <w:b/>
              <w:noProof/>
            </w:rPr>
            <w:t>Telefax</w:t>
          </w:r>
          <w:r w:rsidRPr="002C0044">
            <w:rPr>
              <w:noProof/>
            </w:rPr>
            <w:t xml:space="preserve"> 09 6221 911</w:t>
          </w:r>
        </w:p>
      </w:tc>
      <w:tc>
        <w:tcPr>
          <w:tcW w:w="2939" w:type="dxa"/>
          <w:vAlign w:val="bottom"/>
        </w:tcPr>
        <w:p w:rsidR="009E7395" w:rsidRPr="002C0044" w:rsidRDefault="009E7395" w:rsidP="00286169">
          <w:pPr>
            <w:pStyle w:val="Footer"/>
            <w:rPr>
              <w:noProof/>
            </w:rPr>
          </w:pPr>
          <w:r w:rsidRPr="002C0044">
            <w:rPr>
              <w:b/>
              <w:noProof/>
            </w:rPr>
            <w:t>Internet</w:t>
          </w:r>
          <w:r w:rsidRPr="002C0044">
            <w:rPr>
              <w:noProof/>
            </w:rPr>
            <w:t xml:space="preserve"> www.energiamarkkinavirasto.fi</w:t>
          </w:r>
        </w:p>
      </w:tc>
    </w:tr>
  </w:tbl>
  <w:p w:rsidR="009E7395" w:rsidRDefault="009E73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95" w:rsidRDefault="009E7395" w:rsidP="0046103D">
      <w:r>
        <w:separator/>
      </w:r>
    </w:p>
  </w:footnote>
  <w:footnote w:type="continuationSeparator" w:id="0">
    <w:p w:rsidR="009E7395" w:rsidRDefault="009E7395" w:rsidP="00461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A0"/>
    </w:tblPr>
    <w:tblGrid>
      <w:gridCol w:w="5216"/>
      <w:gridCol w:w="2609"/>
      <w:gridCol w:w="1304"/>
      <w:gridCol w:w="725"/>
    </w:tblGrid>
    <w:tr w:rsidR="009E7395" w:rsidRPr="002C0044" w:rsidTr="002C0044">
      <w:tc>
        <w:tcPr>
          <w:tcW w:w="5216" w:type="dxa"/>
        </w:tcPr>
        <w:p w:rsidR="009E7395" w:rsidRPr="002C0044" w:rsidRDefault="009E7395" w:rsidP="00A108FB">
          <w:pPr>
            <w:pStyle w:val="Header"/>
          </w:pPr>
          <w:r>
            <w:rPr>
              <w:noProof/>
              <w:lang w:eastAsia="fi-F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2" o:spid="_x0000_s2049" type="#_x0000_t75" style="position:absolute;margin-left:0;margin-top:-15.3pt;width:155.35pt;height:60.4pt;z-index:-251656192;visibility:visible;mso-position-horizontal-relative:page;mso-position-vertical-relative:page">
                <v:imagedata r:id="rId1" o:title=""/>
                <w10:wrap anchorx="page" anchory="page"/>
                <w10:anchorlock/>
              </v:shape>
            </w:pict>
          </w:r>
        </w:p>
      </w:tc>
      <w:tc>
        <w:tcPr>
          <w:tcW w:w="2609" w:type="dxa"/>
        </w:tcPr>
        <w:p w:rsidR="009E7395" w:rsidRPr="002C0044" w:rsidRDefault="009E7395" w:rsidP="003F38D8">
          <w:pPr>
            <w:pStyle w:val="Header"/>
            <w:rPr>
              <w:b/>
            </w:rPr>
          </w:pPr>
          <w:r w:rsidRPr="002C0044">
            <w:rPr>
              <w:b/>
            </w:rPr>
            <w:t>Lausunto</w:t>
          </w:r>
        </w:p>
      </w:tc>
      <w:tc>
        <w:tcPr>
          <w:tcW w:w="1304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725" w:type="dxa"/>
        </w:tcPr>
        <w:p w:rsidR="009E7395" w:rsidRPr="002C0044" w:rsidRDefault="009E7395" w:rsidP="004F3BE0">
          <w:pPr>
            <w:pStyle w:val="Header"/>
          </w:pPr>
          <w:r>
            <w:rPr>
              <w:noProof/>
              <w:lang w:eastAsia="fi-FI"/>
            </w:rPr>
            <w:pict>
              <v:shape id="Kuva 3" o:spid="_x0000_s2050" type="#_x0000_t75" style="position:absolute;margin-left:32.6pt;margin-top:.4pt;width:2.8pt;height:26.9pt;z-index:251661312;visibility:visible;mso-position-horizontal-relative:page;mso-position-vertical-relative:page">
                <v:imagedata r:id="rId2" o:title=""/>
                <w10:wrap anchorx="page" anchory="page"/>
                <w10:anchorlock/>
              </v:shape>
            </w:pict>
          </w:r>
          <w:fldSimple w:instr=" PAGE   \* MERGEFORMAT ">
            <w:r>
              <w:rPr>
                <w:noProof/>
              </w:rPr>
              <w:t>2</w:t>
            </w:r>
          </w:fldSimple>
          <w:r w:rsidRPr="002C0044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2C0044">
            <w:t>)</w:t>
          </w:r>
        </w:p>
      </w:tc>
    </w:tr>
    <w:tr w:rsidR="009E7395" w:rsidRPr="002C0044" w:rsidTr="002C0044">
      <w:tc>
        <w:tcPr>
          <w:tcW w:w="5216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2609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1304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725" w:type="dxa"/>
        </w:tcPr>
        <w:p w:rsidR="009E7395" w:rsidRPr="002C0044" w:rsidRDefault="009E7395" w:rsidP="00A108FB">
          <w:pPr>
            <w:pStyle w:val="Header"/>
          </w:pPr>
        </w:p>
      </w:tc>
    </w:tr>
    <w:tr w:rsidR="009E7395" w:rsidRPr="002C0044" w:rsidTr="002C0044">
      <w:tc>
        <w:tcPr>
          <w:tcW w:w="5216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2609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1304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725" w:type="dxa"/>
        </w:tcPr>
        <w:p w:rsidR="009E7395" w:rsidRPr="002C0044" w:rsidRDefault="009E7395" w:rsidP="00A108FB">
          <w:pPr>
            <w:pStyle w:val="Header"/>
          </w:pPr>
        </w:p>
      </w:tc>
    </w:tr>
    <w:tr w:rsidR="009E7395" w:rsidRPr="002C0044" w:rsidTr="002C0044">
      <w:tc>
        <w:tcPr>
          <w:tcW w:w="5216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2609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2029" w:type="dxa"/>
          <w:gridSpan w:val="2"/>
        </w:tcPr>
        <w:p w:rsidR="009E7395" w:rsidRPr="002C0044" w:rsidRDefault="009E7395" w:rsidP="002C0044">
          <w:pPr>
            <w:pStyle w:val="Header"/>
            <w:jc w:val="right"/>
          </w:pPr>
          <w:r w:rsidRPr="002C0044">
            <w:t>208/001/2012</w:t>
          </w:r>
        </w:p>
      </w:tc>
    </w:tr>
    <w:tr w:rsidR="009E7395" w:rsidRPr="002C0044" w:rsidTr="002C0044">
      <w:tc>
        <w:tcPr>
          <w:tcW w:w="5216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2609" w:type="dxa"/>
        </w:tcPr>
        <w:p w:rsidR="009E7395" w:rsidRPr="002C0044" w:rsidRDefault="009E7395" w:rsidP="004F3BE0">
          <w:pPr>
            <w:pStyle w:val="Header"/>
          </w:pPr>
          <w:r w:rsidRPr="002C0044">
            <w:rPr>
              <w:noProof/>
            </w:rPr>
            <w:t>16.8.2013</w:t>
          </w:r>
        </w:p>
      </w:tc>
      <w:tc>
        <w:tcPr>
          <w:tcW w:w="2029" w:type="dxa"/>
          <w:gridSpan w:val="2"/>
        </w:tcPr>
        <w:p w:rsidR="009E7395" w:rsidRPr="002C0044" w:rsidRDefault="009E7395" w:rsidP="002C0044">
          <w:pPr>
            <w:pStyle w:val="Header"/>
            <w:jc w:val="right"/>
            <w:rPr>
              <w:rStyle w:val="PlaceholderText"/>
            </w:rPr>
          </w:pPr>
        </w:p>
      </w:tc>
    </w:tr>
  </w:tbl>
  <w:p w:rsidR="009E7395" w:rsidRPr="004F3BE0" w:rsidRDefault="009E7395" w:rsidP="00461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A0"/>
    </w:tblPr>
    <w:tblGrid>
      <w:gridCol w:w="5216"/>
      <w:gridCol w:w="2609"/>
      <w:gridCol w:w="1304"/>
      <w:gridCol w:w="725"/>
    </w:tblGrid>
    <w:tr w:rsidR="009E7395" w:rsidRPr="002C0044" w:rsidTr="002C0044">
      <w:tc>
        <w:tcPr>
          <w:tcW w:w="5216" w:type="dxa"/>
        </w:tcPr>
        <w:p w:rsidR="009E7395" w:rsidRPr="002C0044" w:rsidRDefault="009E7395" w:rsidP="00A108FB">
          <w:pPr>
            <w:pStyle w:val="Header"/>
          </w:pPr>
          <w:r>
            <w:rPr>
              <w:noProof/>
              <w:lang w:eastAsia="fi-F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5" o:spid="_x0000_s2051" type="#_x0000_t75" style="position:absolute;margin-left:0;margin-top:-15.3pt;width:155.35pt;height:60.4pt;z-index:-251653120;visibility:visible;mso-position-horizontal-relative:page;mso-position-vertical-relative:page">
                <v:imagedata r:id="rId1" o:title=""/>
                <w10:wrap anchorx="page" anchory="page"/>
                <w10:anchorlock/>
              </v:shape>
            </w:pict>
          </w:r>
        </w:p>
      </w:tc>
      <w:tc>
        <w:tcPr>
          <w:tcW w:w="2609" w:type="dxa"/>
        </w:tcPr>
        <w:p w:rsidR="009E7395" w:rsidRPr="002C0044" w:rsidRDefault="009E7395" w:rsidP="001E485B">
          <w:pPr>
            <w:pStyle w:val="Header"/>
            <w:rPr>
              <w:b/>
            </w:rPr>
          </w:pPr>
          <w:r w:rsidRPr="002C0044">
            <w:rPr>
              <w:b/>
            </w:rPr>
            <w:t>Lausunto</w:t>
          </w:r>
        </w:p>
      </w:tc>
      <w:tc>
        <w:tcPr>
          <w:tcW w:w="1304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725" w:type="dxa"/>
        </w:tcPr>
        <w:p w:rsidR="009E7395" w:rsidRPr="002C0044" w:rsidRDefault="009E7395" w:rsidP="004F3BE0">
          <w:pPr>
            <w:pStyle w:val="Header"/>
          </w:pPr>
          <w:r>
            <w:rPr>
              <w:noProof/>
              <w:lang w:eastAsia="fi-FI"/>
            </w:rPr>
            <w:pict>
              <v:shape id="Kuva 6" o:spid="_x0000_s2052" type="#_x0000_t75" style="position:absolute;margin-left:32.6pt;margin-top:.4pt;width:2.8pt;height:26.9pt;z-index:251664384;visibility:visible;mso-position-horizontal-relative:page;mso-position-vertical-relative:page">
                <v:imagedata r:id="rId2" o:title=""/>
                <w10:wrap anchorx="page" anchory="page"/>
                <w10:anchorlock/>
              </v:shape>
            </w:pict>
          </w:r>
          <w:fldSimple w:instr=" PAGE   \* MERGEFORMAT ">
            <w:r>
              <w:rPr>
                <w:noProof/>
              </w:rPr>
              <w:t>1</w:t>
            </w:r>
          </w:fldSimple>
          <w:r w:rsidRPr="002C0044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2C0044">
            <w:t>)</w:t>
          </w:r>
        </w:p>
      </w:tc>
    </w:tr>
    <w:tr w:rsidR="009E7395" w:rsidRPr="002C0044" w:rsidTr="002C0044">
      <w:tc>
        <w:tcPr>
          <w:tcW w:w="5216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2609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1304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725" w:type="dxa"/>
        </w:tcPr>
        <w:p w:rsidR="009E7395" w:rsidRPr="002C0044" w:rsidRDefault="009E7395" w:rsidP="00A108FB">
          <w:pPr>
            <w:pStyle w:val="Header"/>
          </w:pPr>
        </w:p>
      </w:tc>
    </w:tr>
    <w:tr w:rsidR="009E7395" w:rsidRPr="002C0044" w:rsidTr="002C0044">
      <w:tc>
        <w:tcPr>
          <w:tcW w:w="5216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2609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1304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725" w:type="dxa"/>
        </w:tcPr>
        <w:p w:rsidR="009E7395" w:rsidRPr="002C0044" w:rsidRDefault="009E7395" w:rsidP="00A108FB">
          <w:pPr>
            <w:pStyle w:val="Header"/>
          </w:pPr>
        </w:p>
      </w:tc>
    </w:tr>
    <w:tr w:rsidR="009E7395" w:rsidRPr="002C0044" w:rsidTr="002C0044">
      <w:tc>
        <w:tcPr>
          <w:tcW w:w="5216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2609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2029" w:type="dxa"/>
          <w:gridSpan w:val="2"/>
        </w:tcPr>
        <w:p w:rsidR="009E7395" w:rsidRPr="002C0044" w:rsidRDefault="009E7395" w:rsidP="002C0044">
          <w:pPr>
            <w:pStyle w:val="Header"/>
            <w:jc w:val="right"/>
          </w:pPr>
          <w:r w:rsidRPr="002C0044">
            <w:t>208/001/2012</w:t>
          </w:r>
        </w:p>
      </w:tc>
    </w:tr>
    <w:tr w:rsidR="009E7395" w:rsidRPr="002C0044" w:rsidTr="002C0044">
      <w:tc>
        <w:tcPr>
          <w:tcW w:w="5216" w:type="dxa"/>
        </w:tcPr>
        <w:p w:rsidR="009E7395" w:rsidRPr="002C0044" w:rsidRDefault="009E7395" w:rsidP="00A108FB">
          <w:pPr>
            <w:pStyle w:val="Header"/>
          </w:pPr>
        </w:p>
      </w:tc>
      <w:tc>
        <w:tcPr>
          <w:tcW w:w="2609" w:type="dxa"/>
        </w:tcPr>
        <w:p w:rsidR="009E7395" w:rsidRPr="002C0044" w:rsidRDefault="009E7395" w:rsidP="004F3BE0">
          <w:pPr>
            <w:pStyle w:val="Header"/>
          </w:pPr>
          <w:r w:rsidRPr="002C0044">
            <w:rPr>
              <w:noProof/>
            </w:rPr>
            <w:t>16.8.2013</w:t>
          </w:r>
        </w:p>
      </w:tc>
      <w:tc>
        <w:tcPr>
          <w:tcW w:w="2029" w:type="dxa"/>
          <w:gridSpan w:val="2"/>
        </w:tcPr>
        <w:p w:rsidR="009E7395" w:rsidRPr="002C0044" w:rsidRDefault="009E7395" w:rsidP="002C0044">
          <w:pPr>
            <w:pStyle w:val="Header"/>
            <w:jc w:val="right"/>
            <w:rPr>
              <w:rStyle w:val="PlaceholderText"/>
            </w:rPr>
          </w:pPr>
        </w:p>
      </w:tc>
    </w:tr>
  </w:tbl>
  <w:p w:rsidR="009E7395" w:rsidRDefault="009E73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CF17A0"/>
    <w:multiLevelType w:val="multilevel"/>
    <w:tmpl w:val="F056985A"/>
    <w:styleLink w:val="Luettelomerkit"/>
    <w:lvl w:ilvl="0">
      <w:start w:val="1"/>
      <w:numFmt w:val="bullet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3">
    <w:nsid w:val="22DC1C38"/>
    <w:multiLevelType w:val="multilevel"/>
    <w:tmpl w:val="7960B67C"/>
    <w:styleLink w:val="Luettelonumeroitu"/>
    <w:lvl w:ilvl="0">
      <w:start w:val="1"/>
      <w:numFmt w:val="decimal"/>
      <w:lvlText w:val="%1."/>
      <w:lvlJc w:val="left"/>
      <w:pPr>
        <w:ind w:left="1701" w:hanging="397"/>
      </w:pPr>
      <w:rPr>
        <w:rFonts w:cs="Times New Roman"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4">
    <w:nsid w:val="25613BE3"/>
    <w:multiLevelType w:val="multilevel"/>
    <w:tmpl w:val="7960B67C"/>
    <w:numStyleLink w:val="Luettelonumeroitu"/>
  </w:abstractNum>
  <w:abstractNum w:abstractNumId="5">
    <w:nsid w:val="27440EE1"/>
    <w:multiLevelType w:val="multilevel"/>
    <w:tmpl w:val="F056985A"/>
    <w:numStyleLink w:val="Luettelomerkit"/>
  </w:abstractNum>
  <w:abstractNum w:abstractNumId="6">
    <w:nsid w:val="31B779C6"/>
    <w:multiLevelType w:val="multilevel"/>
    <w:tmpl w:val="C642606E"/>
    <w:styleLink w:val="Numeroituotsikointi"/>
    <w:lvl w:ilvl="0">
      <w:start w:val="1"/>
      <w:numFmt w:val="decimal"/>
      <w:pStyle w:val="Heading1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Heading5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rPr>
        <w:rFonts w:cs="Times New Roman" w:hint="default"/>
      </w:rPr>
    </w:lvl>
  </w:abstractNum>
  <w:abstractNum w:abstractNumId="7">
    <w:nsid w:val="6BDE724F"/>
    <w:multiLevelType w:val="multilevel"/>
    <w:tmpl w:val="07046BC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5B"/>
    <w:rsid w:val="000355FE"/>
    <w:rsid w:val="00070DBE"/>
    <w:rsid w:val="000762E5"/>
    <w:rsid w:val="000858B4"/>
    <w:rsid w:val="00086892"/>
    <w:rsid w:val="001028F5"/>
    <w:rsid w:val="001214B5"/>
    <w:rsid w:val="0012293E"/>
    <w:rsid w:val="00141914"/>
    <w:rsid w:val="00142D65"/>
    <w:rsid w:val="001A416C"/>
    <w:rsid w:val="001E485B"/>
    <w:rsid w:val="00286169"/>
    <w:rsid w:val="00295627"/>
    <w:rsid w:val="002B5AA7"/>
    <w:rsid w:val="002B5BF6"/>
    <w:rsid w:val="002C0044"/>
    <w:rsid w:val="003269EB"/>
    <w:rsid w:val="0038787C"/>
    <w:rsid w:val="003B55EB"/>
    <w:rsid w:val="003F38D8"/>
    <w:rsid w:val="003F48C3"/>
    <w:rsid w:val="00425717"/>
    <w:rsid w:val="0046103D"/>
    <w:rsid w:val="00475A57"/>
    <w:rsid w:val="004F3BE0"/>
    <w:rsid w:val="00514AF0"/>
    <w:rsid w:val="00535C74"/>
    <w:rsid w:val="005544A8"/>
    <w:rsid w:val="005631BA"/>
    <w:rsid w:val="00594D7C"/>
    <w:rsid w:val="005A1C4E"/>
    <w:rsid w:val="00655BE4"/>
    <w:rsid w:val="00670605"/>
    <w:rsid w:val="006A329E"/>
    <w:rsid w:val="0072051B"/>
    <w:rsid w:val="007A29BC"/>
    <w:rsid w:val="007C0947"/>
    <w:rsid w:val="007E7A4D"/>
    <w:rsid w:val="00803042"/>
    <w:rsid w:val="00820D7F"/>
    <w:rsid w:val="00857557"/>
    <w:rsid w:val="008E1B8D"/>
    <w:rsid w:val="008F0D39"/>
    <w:rsid w:val="009915D4"/>
    <w:rsid w:val="00995944"/>
    <w:rsid w:val="009E7395"/>
    <w:rsid w:val="009E7629"/>
    <w:rsid w:val="00A108FB"/>
    <w:rsid w:val="00A201E4"/>
    <w:rsid w:val="00A4361F"/>
    <w:rsid w:val="00A57547"/>
    <w:rsid w:val="00A75671"/>
    <w:rsid w:val="00AE5FEE"/>
    <w:rsid w:val="00B3193A"/>
    <w:rsid w:val="00B6226A"/>
    <w:rsid w:val="00B85552"/>
    <w:rsid w:val="00BD358B"/>
    <w:rsid w:val="00BE055F"/>
    <w:rsid w:val="00C13B67"/>
    <w:rsid w:val="00C753BA"/>
    <w:rsid w:val="00DA57AC"/>
    <w:rsid w:val="00EA049E"/>
    <w:rsid w:val="00F5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42D65"/>
    <w:rPr>
      <w:szCs w:val="20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142D65"/>
    <w:pPr>
      <w:keepNext/>
      <w:keepLines/>
      <w:numPr>
        <w:numId w:val="11"/>
      </w:numPr>
      <w:spacing w:after="200"/>
      <w:outlineLvl w:val="0"/>
    </w:pPr>
    <w:rPr>
      <w:b/>
      <w:bCs/>
      <w:sz w:val="26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95944"/>
    <w:pPr>
      <w:keepNext/>
      <w:keepLines/>
      <w:numPr>
        <w:ilvl w:val="1"/>
        <w:numId w:val="11"/>
      </w:numPr>
      <w:spacing w:after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95944"/>
    <w:pPr>
      <w:keepNext/>
      <w:keepLines/>
      <w:numPr>
        <w:ilvl w:val="2"/>
        <w:numId w:val="11"/>
      </w:numPr>
      <w:spacing w:after="200"/>
      <w:outlineLvl w:val="2"/>
    </w:pPr>
    <w:rPr>
      <w:bCs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995944"/>
    <w:pPr>
      <w:keepNext/>
      <w:keepLines/>
      <w:numPr>
        <w:ilvl w:val="3"/>
        <w:numId w:val="11"/>
      </w:numPr>
      <w:spacing w:after="200"/>
      <w:outlineLvl w:val="3"/>
    </w:pPr>
    <w:rPr>
      <w:bCs/>
      <w:iCs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995944"/>
    <w:pPr>
      <w:keepNext/>
      <w:keepLines/>
      <w:numPr>
        <w:ilvl w:val="4"/>
        <w:numId w:val="11"/>
      </w:numPr>
      <w:spacing w:after="200"/>
      <w:outlineLvl w:val="4"/>
    </w:pPr>
  </w:style>
  <w:style w:type="paragraph" w:styleId="Heading6">
    <w:name w:val="heading 6"/>
    <w:basedOn w:val="Normal"/>
    <w:next w:val="BodyText"/>
    <w:link w:val="Heading6Char"/>
    <w:uiPriority w:val="99"/>
    <w:qFormat/>
    <w:rsid w:val="00995944"/>
    <w:pPr>
      <w:keepNext/>
      <w:keepLines/>
      <w:numPr>
        <w:ilvl w:val="5"/>
        <w:numId w:val="11"/>
      </w:numPr>
      <w:spacing w:after="200"/>
      <w:outlineLvl w:val="5"/>
    </w:pPr>
    <w:rPr>
      <w:iCs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995944"/>
    <w:pPr>
      <w:keepNext/>
      <w:keepLines/>
      <w:numPr>
        <w:ilvl w:val="6"/>
        <w:numId w:val="11"/>
      </w:numPr>
      <w:spacing w:after="200"/>
      <w:outlineLvl w:val="6"/>
    </w:pPr>
    <w:rPr>
      <w:iCs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995944"/>
    <w:pPr>
      <w:keepNext/>
      <w:keepLines/>
      <w:numPr>
        <w:ilvl w:val="7"/>
        <w:numId w:val="11"/>
      </w:numPr>
      <w:spacing w:after="200"/>
      <w:outlineLvl w:val="7"/>
    </w:pPr>
  </w:style>
  <w:style w:type="paragraph" w:styleId="Heading9">
    <w:name w:val="heading 9"/>
    <w:basedOn w:val="Normal"/>
    <w:next w:val="BodyText"/>
    <w:link w:val="Heading9Char"/>
    <w:uiPriority w:val="99"/>
    <w:qFormat/>
    <w:rsid w:val="00995944"/>
    <w:pPr>
      <w:keepNext/>
      <w:keepLines/>
      <w:numPr>
        <w:ilvl w:val="8"/>
        <w:numId w:val="11"/>
      </w:numPr>
      <w:spacing w:after="200"/>
      <w:outlineLvl w:val="8"/>
    </w:pPr>
    <w:rPr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2D65"/>
    <w:rPr>
      <w:b/>
      <w:bCs/>
      <w:sz w:val="2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5944"/>
    <w:rPr>
      <w:b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5944"/>
    <w:rPr>
      <w:bCs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5944"/>
    <w:rPr>
      <w:bCs/>
      <w:iCs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5944"/>
    <w:rPr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5944"/>
    <w:rPr>
      <w:iCs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5944"/>
    <w:rPr>
      <w:iCs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5944"/>
    <w:rPr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5944"/>
    <w:rPr>
      <w:iCs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A57AC"/>
    <w:rPr>
      <w:rFonts w:cs="Times New Roman"/>
      <w:color w:val="auto"/>
    </w:rPr>
  </w:style>
  <w:style w:type="paragraph" w:styleId="BodyText">
    <w:name w:val="Body Text"/>
    <w:basedOn w:val="Normal"/>
    <w:link w:val="BodyTextChar"/>
    <w:uiPriority w:val="99"/>
    <w:rsid w:val="009E7629"/>
    <w:pPr>
      <w:spacing w:after="200"/>
      <w:ind w:left="1304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E7629"/>
    <w:rPr>
      <w:rFonts w:cs="Times New Roman"/>
      <w:sz w:val="22"/>
      <w:lang w:val="fi-FI"/>
    </w:rPr>
  </w:style>
  <w:style w:type="paragraph" w:styleId="NoSpacing">
    <w:name w:val="No Spacing"/>
    <w:uiPriority w:val="99"/>
    <w:qFormat/>
    <w:rsid w:val="003B55EB"/>
    <w:pPr>
      <w:ind w:left="1304"/>
    </w:pPr>
    <w:rPr>
      <w:sz w:val="20"/>
      <w:szCs w:val="20"/>
      <w:lang w:val="en-GB"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142D65"/>
    <w:pPr>
      <w:keepNext/>
      <w:keepLines/>
      <w:spacing w:after="200"/>
      <w:contextualSpacing/>
    </w:pPr>
    <w:rPr>
      <w:b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42D65"/>
    <w:rPr>
      <w:rFonts w:ascii="Times New Roman" w:hAnsi="Times New Roman" w:cs="Times New Roman"/>
      <w:b/>
      <w:kern w:val="28"/>
      <w:sz w:val="52"/>
      <w:szCs w:val="52"/>
      <w:lang w:val="fi-FI"/>
    </w:rPr>
  </w:style>
  <w:style w:type="paragraph" w:styleId="TOCHeading">
    <w:name w:val="TOC Heading"/>
    <w:basedOn w:val="Heading1"/>
    <w:next w:val="BodyText"/>
    <w:uiPriority w:val="99"/>
    <w:qFormat/>
    <w:rsid w:val="00995944"/>
    <w:pPr>
      <w:keepNext w:val="0"/>
      <w:keepLines w:val="0"/>
      <w:numPr>
        <w:numId w:val="0"/>
      </w:numPr>
      <w:outlineLvl w:val="9"/>
    </w:pPr>
    <w:rPr>
      <w:sz w:val="24"/>
      <w:lang w:val="en-GB"/>
    </w:rPr>
  </w:style>
  <w:style w:type="paragraph" w:styleId="ListNumber">
    <w:name w:val="List Number"/>
    <w:basedOn w:val="Normal"/>
    <w:uiPriority w:val="99"/>
    <w:rsid w:val="00535C74"/>
    <w:pPr>
      <w:numPr>
        <w:numId w:val="7"/>
      </w:numPr>
      <w:spacing w:after="220"/>
      <w:contextualSpacing/>
    </w:pPr>
  </w:style>
  <w:style w:type="paragraph" w:styleId="Footer">
    <w:name w:val="footer"/>
    <w:basedOn w:val="Normal"/>
    <w:link w:val="FooterChar"/>
    <w:uiPriority w:val="99"/>
    <w:rsid w:val="00514AF0"/>
    <w:rPr>
      <w:rFonts w:ascii="Verdana" w:hAnsi="Verdana"/>
      <w:sz w:val="13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4AF0"/>
    <w:rPr>
      <w:rFonts w:ascii="Verdana" w:hAnsi="Verdana" w:cs="Times New Roman"/>
      <w:sz w:val="13"/>
      <w:lang w:val="fi-FI"/>
    </w:rPr>
  </w:style>
  <w:style w:type="paragraph" w:styleId="ListBullet">
    <w:name w:val="List Bullet"/>
    <w:basedOn w:val="Normal"/>
    <w:uiPriority w:val="99"/>
    <w:rsid w:val="00535C74"/>
    <w:pPr>
      <w:numPr>
        <w:numId w:val="8"/>
      </w:numPr>
      <w:spacing w:after="220"/>
      <w:contextualSpacing/>
    </w:pPr>
  </w:style>
  <w:style w:type="paragraph" w:styleId="Header">
    <w:name w:val="header"/>
    <w:basedOn w:val="Normal"/>
    <w:link w:val="HeaderChar"/>
    <w:uiPriority w:val="99"/>
    <w:rsid w:val="00142D65"/>
    <w:rPr>
      <w:rFonts w:ascii="Verdana" w:hAnsi="Verdana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D65"/>
    <w:rPr>
      <w:rFonts w:ascii="Verdana" w:hAnsi="Verdana" w:cs="Times New Roman"/>
      <w:lang w:val="fi-FI"/>
    </w:rPr>
  </w:style>
  <w:style w:type="table" w:styleId="TableGrid">
    <w:name w:val="Table Grid"/>
    <w:basedOn w:val="TableNormal"/>
    <w:uiPriority w:val="99"/>
    <w:rsid w:val="004610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uiPriority w:val="99"/>
    <w:rsid w:val="0046103D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5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A5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99"/>
    <w:rsid w:val="008E1B8D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8E1B8D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8E1B8D"/>
    <w:rPr>
      <w:rFonts w:cs="Times New Roman"/>
      <w:color w:val="0000FF"/>
      <w:u w:val="single"/>
    </w:rPr>
  </w:style>
  <w:style w:type="numbering" w:customStyle="1" w:styleId="Luettelomerkit">
    <w:name w:val="Luettelomerkit"/>
    <w:rsid w:val="00235109"/>
    <w:pPr>
      <w:numPr>
        <w:numId w:val="8"/>
      </w:numPr>
    </w:pPr>
  </w:style>
  <w:style w:type="numbering" w:customStyle="1" w:styleId="Luettelonumeroitu">
    <w:name w:val="Luettelo numeroitu"/>
    <w:rsid w:val="00235109"/>
    <w:pPr>
      <w:numPr>
        <w:numId w:val="7"/>
      </w:numPr>
    </w:pPr>
  </w:style>
  <w:style w:type="numbering" w:customStyle="1" w:styleId="Numeroituotsikointi">
    <w:name w:val="Numeroitu otsikointi"/>
    <w:rsid w:val="00235109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391</Words>
  <Characters>3170</Characters>
  <Application>Microsoft Office Outlook</Application>
  <DocSecurity>0</DocSecurity>
  <Lines>0</Lines>
  <Paragraphs>0</Paragraphs>
  <ScaleCrop>false</ScaleCrop>
  <Company>Energiamarkkinavirasto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Energiamarkkinaviraston lausunto Kuluttajaoikeustyöryhmän mietinnöstä 28/2013 koskien kuluttajansuojalain ja sähkömarkkinalain 25 e §:n muuttamista.</dc:title>
  <dc:subject>Lausunto</dc:subject>
  <dc:creator>msalo</dc:creator>
  <cp:keywords/>
  <dc:description/>
  <cp:lastModifiedBy>O924180</cp:lastModifiedBy>
  <cp:revision>2</cp:revision>
  <cp:lastPrinted>2013-08-16T11:29:00Z</cp:lastPrinted>
  <dcterms:created xsi:type="dcterms:W3CDTF">2013-08-16T11:30:00Z</dcterms:created>
  <dcterms:modified xsi:type="dcterms:W3CDTF">2013-08-16T11:30:00Z</dcterms:modified>
</cp:coreProperties>
</file>