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EF0" w:rsidRDefault="002E73D5" w:rsidP="00372EF0">
      <w:pPr>
        <w:pStyle w:val="Leipteksti"/>
        <w:jc w:val="center"/>
        <w:rPr>
          <w:b/>
          <w:sz w:val="28"/>
        </w:rPr>
      </w:pPr>
      <w:r>
        <w:rPr>
          <w:b/>
          <w:sz w:val="28"/>
        </w:rPr>
        <w:t xml:space="preserve">Lomake </w:t>
      </w:r>
      <w:r w:rsidR="00814E65">
        <w:rPr>
          <w:b/>
          <w:sz w:val="28"/>
        </w:rPr>
        <w:t>uuden säteilylain hallituksen esityksen</w:t>
      </w:r>
      <w:r w:rsidR="00FC2113">
        <w:rPr>
          <w:b/>
          <w:sz w:val="28"/>
        </w:rPr>
        <w:t xml:space="preserve"> </w:t>
      </w:r>
      <w:r>
        <w:rPr>
          <w:b/>
          <w:sz w:val="28"/>
        </w:rPr>
        <w:t>kommentointia varten</w:t>
      </w:r>
    </w:p>
    <w:p w:rsidR="0082161C" w:rsidRDefault="0082161C" w:rsidP="0082161C">
      <w:pPr>
        <w:rPr>
          <w:b/>
          <w:lang w:val="fi-FI"/>
        </w:rPr>
      </w:pPr>
    </w:p>
    <w:p w:rsidR="0082161C" w:rsidRPr="00B961D9" w:rsidRDefault="0082161C" w:rsidP="0082161C">
      <w:pPr>
        <w:rPr>
          <w:b/>
          <w:lang w:val="fi-FI"/>
        </w:rPr>
      </w:pPr>
    </w:p>
    <w:tbl>
      <w:tblPr>
        <w:tblW w:w="14884" w:type="dxa"/>
        <w:tblInd w:w="-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4"/>
        <w:gridCol w:w="1308"/>
        <w:gridCol w:w="9497"/>
        <w:gridCol w:w="2835"/>
      </w:tblGrid>
      <w:tr w:rsidR="000D5632" w:rsidRPr="00EC7BE3" w:rsidTr="000D5632">
        <w:tc>
          <w:tcPr>
            <w:tcW w:w="14884" w:type="dxa"/>
            <w:gridSpan w:val="4"/>
            <w:tcBorders>
              <w:bottom w:val="single" w:sz="12" w:space="0" w:color="000000"/>
            </w:tcBorders>
          </w:tcPr>
          <w:p w:rsidR="000D5632" w:rsidRDefault="000D5632">
            <w:pPr>
              <w:rPr>
                <w:b/>
                <w:lang w:val="fi-FI"/>
              </w:rPr>
            </w:pPr>
          </w:p>
          <w:p w:rsidR="000D5632" w:rsidRDefault="000D5632">
            <w:pPr>
              <w:rPr>
                <w:b/>
                <w:lang w:val="fi-FI"/>
              </w:rPr>
            </w:pPr>
            <w:proofErr w:type="gramStart"/>
            <w:r w:rsidRPr="000134E4">
              <w:rPr>
                <w:b/>
                <w:lang w:val="fi-FI"/>
              </w:rPr>
              <w:t xml:space="preserve">Kommentoija:     </w:t>
            </w:r>
            <w:r w:rsidR="00EC7BE3">
              <w:rPr>
                <w:b/>
                <w:lang w:val="fi-FI"/>
              </w:rPr>
              <w:t>Ylifyysikko</w:t>
            </w:r>
            <w:proofErr w:type="gramEnd"/>
            <w:r w:rsidR="00EC7BE3">
              <w:rPr>
                <w:b/>
                <w:lang w:val="fi-FI"/>
              </w:rPr>
              <w:t xml:space="preserve"> Virpi </w:t>
            </w:r>
            <w:proofErr w:type="spellStart"/>
            <w:r w:rsidR="00EC7BE3">
              <w:rPr>
                <w:b/>
                <w:lang w:val="fi-FI"/>
              </w:rPr>
              <w:t>Tunninen</w:t>
            </w:r>
            <w:r w:rsidRPr="000134E4">
              <w:rPr>
                <w:b/>
                <w:lang w:val="fi-FI"/>
              </w:rPr>
              <w:t>pvm</w:t>
            </w:r>
            <w:proofErr w:type="spellEnd"/>
            <w:r w:rsidRPr="000134E4">
              <w:rPr>
                <w:b/>
                <w:lang w:val="fi-FI"/>
              </w:rPr>
              <w:t>:</w:t>
            </w:r>
            <w:r w:rsidR="00EC7BE3">
              <w:rPr>
                <w:b/>
                <w:lang w:val="fi-FI"/>
              </w:rPr>
              <w:t xml:space="preserve">                                                                                     pvm: 8.1.2017</w:t>
            </w:r>
          </w:p>
          <w:p w:rsidR="000D5632" w:rsidRPr="000134E4" w:rsidRDefault="000D5632">
            <w:pPr>
              <w:rPr>
                <w:b/>
                <w:lang w:val="fi-FI"/>
              </w:rPr>
            </w:pPr>
          </w:p>
          <w:p w:rsidR="000D5632" w:rsidRPr="002E73D5" w:rsidRDefault="000D5632" w:rsidP="002E73D5">
            <w:pPr>
              <w:rPr>
                <w:lang w:val="fi-FI"/>
              </w:rPr>
            </w:pPr>
            <w:proofErr w:type="gramStart"/>
            <w:r w:rsidRPr="000134E4">
              <w:rPr>
                <w:b/>
                <w:lang w:val="fi-FI"/>
              </w:rPr>
              <w:t xml:space="preserve">Organisaatio:     </w:t>
            </w:r>
            <w:r w:rsidR="00EC7BE3" w:rsidRPr="00EC7BE3">
              <w:rPr>
                <w:b/>
                <w:lang w:val="fi-FI"/>
              </w:rPr>
              <w:t>Satakunnan</w:t>
            </w:r>
            <w:proofErr w:type="gramEnd"/>
            <w:r w:rsidR="00EC7BE3" w:rsidRPr="00EC7BE3">
              <w:rPr>
                <w:b/>
                <w:lang w:val="fi-FI"/>
              </w:rPr>
              <w:t xml:space="preserve"> Sairaanhoitopiiri</w:t>
            </w:r>
            <w:r w:rsidR="00EC7BE3" w:rsidRPr="000134E4">
              <w:rPr>
                <w:b/>
                <w:lang w:val="fi-FI"/>
              </w:rPr>
              <w:t xml:space="preserve">                                                  </w:t>
            </w:r>
            <w:r w:rsidRPr="000134E4">
              <w:rPr>
                <w:b/>
                <w:lang w:val="fi-FI"/>
              </w:rPr>
              <w:t xml:space="preserve">                                                                              </w:t>
            </w:r>
          </w:p>
        </w:tc>
      </w:tr>
      <w:tr w:rsidR="000D5632" w:rsidTr="001D14A3">
        <w:tblPrEx>
          <w:tblCellMar>
            <w:left w:w="107" w:type="dxa"/>
            <w:right w:w="107" w:type="dxa"/>
          </w:tblCellMar>
        </w:tblPrEx>
        <w:tc>
          <w:tcPr>
            <w:tcW w:w="1244" w:type="dxa"/>
            <w:tcBorders>
              <w:top w:val="nil"/>
              <w:bottom w:val="single" w:sz="4" w:space="0" w:color="auto"/>
            </w:tcBorders>
          </w:tcPr>
          <w:p w:rsidR="000D5632" w:rsidRPr="000134E4" w:rsidRDefault="000D5632">
            <w:pPr>
              <w:jc w:val="center"/>
              <w:rPr>
                <w:b/>
                <w:sz w:val="20"/>
                <w:lang w:val="fi-FI"/>
              </w:rPr>
            </w:pPr>
            <w:r w:rsidRPr="000134E4">
              <w:rPr>
                <w:b/>
                <w:sz w:val="20"/>
                <w:lang w:val="fi-FI"/>
              </w:rPr>
              <w:t>Kommentin numero</w:t>
            </w:r>
          </w:p>
        </w:tc>
        <w:tc>
          <w:tcPr>
            <w:tcW w:w="1308" w:type="dxa"/>
            <w:tcBorders>
              <w:top w:val="nil"/>
              <w:bottom w:val="single" w:sz="4" w:space="0" w:color="auto"/>
            </w:tcBorders>
          </w:tcPr>
          <w:p w:rsidR="000D5632" w:rsidRDefault="000D5632" w:rsidP="00EF645A">
            <w:pPr>
              <w:jc w:val="center"/>
              <w:rPr>
                <w:b/>
                <w:sz w:val="20"/>
                <w:lang w:val="fi-FI"/>
              </w:rPr>
            </w:pPr>
            <w:r>
              <w:rPr>
                <w:b/>
                <w:sz w:val="20"/>
                <w:lang w:val="fi-FI"/>
              </w:rPr>
              <w:t>Luku,</w:t>
            </w:r>
          </w:p>
          <w:p w:rsidR="000D5632" w:rsidRPr="000134E4" w:rsidRDefault="0008187B" w:rsidP="0070535E">
            <w:pPr>
              <w:jc w:val="center"/>
              <w:rPr>
                <w:b/>
                <w:sz w:val="20"/>
                <w:lang w:val="fi-FI"/>
              </w:rPr>
            </w:pPr>
            <w:r>
              <w:rPr>
                <w:b/>
                <w:sz w:val="20"/>
                <w:lang w:val="fi-FI"/>
              </w:rPr>
              <w:t>sivun nro</w:t>
            </w:r>
            <w:r w:rsidR="0070535E">
              <w:rPr>
                <w:b/>
                <w:sz w:val="20"/>
                <w:lang w:val="fi-FI"/>
              </w:rPr>
              <w:t>/§</w:t>
            </w:r>
          </w:p>
        </w:tc>
        <w:tc>
          <w:tcPr>
            <w:tcW w:w="9497" w:type="dxa"/>
            <w:tcBorders>
              <w:top w:val="nil"/>
              <w:bottom w:val="single" w:sz="4" w:space="0" w:color="auto"/>
            </w:tcBorders>
          </w:tcPr>
          <w:p w:rsidR="000D5632" w:rsidRDefault="000D5632" w:rsidP="00EF645A">
            <w:pPr>
              <w:jc w:val="center"/>
              <w:rPr>
                <w:b/>
                <w:sz w:val="20"/>
                <w:lang w:val="fi-FI"/>
              </w:rPr>
            </w:pPr>
            <w:r>
              <w:rPr>
                <w:b/>
                <w:sz w:val="20"/>
                <w:lang w:val="fi-FI"/>
              </w:rPr>
              <w:t>Yleinen kommentti/</w:t>
            </w:r>
          </w:p>
          <w:p w:rsidR="000D5632" w:rsidRDefault="000D5632">
            <w:pPr>
              <w:jc w:val="center"/>
              <w:rPr>
                <w:b/>
                <w:sz w:val="20"/>
                <w:lang w:val="fi-FI"/>
              </w:rPr>
            </w:pPr>
            <w:r w:rsidRPr="000134E4">
              <w:rPr>
                <w:b/>
                <w:sz w:val="20"/>
                <w:lang w:val="fi-FI"/>
              </w:rPr>
              <w:t>Ehdotus uudeksi tekstiksi</w:t>
            </w:r>
            <w:r>
              <w:rPr>
                <w:b/>
                <w:sz w:val="20"/>
                <w:lang w:val="fi-FI"/>
              </w:rPr>
              <w:t>/</w:t>
            </w:r>
          </w:p>
          <w:p w:rsidR="000D5632" w:rsidRPr="000134E4" w:rsidRDefault="000D5632">
            <w:pPr>
              <w:jc w:val="center"/>
              <w:rPr>
                <w:b/>
                <w:sz w:val="20"/>
                <w:lang w:val="fi-FI"/>
              </w:rPr>
            </w:pPr>
            <w:r>
              <w:rPr>
                <w:b/>
                <w:sz w:val="20"/>
                <w:lang w:val="fi-FI"/>
              </w:rPr>
              <w:t>Yksittäinen korjaus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0D5632" w:rsidRPr="000134E4" w:rsidRDefault="000D5632">
            <w:pPr>
              <w:jc w:val="center"/>
              <w:rPr>
                <w:b/>
                <w:sz w:val="20"/>
                <w:lang w:val="fi-FI"/>
              </w:rPr>
            </w:pPr>
            <w:r w:rsidRPr="000134E4">
              <w:rPr>
                <w:b/>
                <w:sz w:val="20"/>
                <w:lang w:val="fi-FI"/>
              </w:rPr>
              <w:t>Perustelut</w:t>
            </w:r>
          </w:p>
        </w:tc>
      </w:tr>
      <w:tr w:rsidR="000D5632" w:rsidRPr="00F81BB4" w:rsidTr="001D14A3">
        <w:tblPrEx>
          <w:tblCellMar>
            <w:left w:w="107" w:type="dxa"/>
            <w:right w:w="107" w:type="dxa"/>
          </w:tblCellMar>
        </w:tblPrEx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32" w:rsidRDefault="00EC7BE3" w:rsidP="00833B31">
            <w:pPr>
              <w:jc w:val="both"/>
            </w:pPr>
            <w: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32" w:rsidRDefault="00F81BB4" w:rsidP="00833B31">
            <w:pPr>
              <w:jc w:val="both"/>
            </w:pPr>
            <w:proofErr w:type="spellStart"/>
            <w:r>
              <w:t>Luku</w:t>
            </w:r>
            <w:proofErr w:type="spellEnd"/>
            <w:r>
              <w:t xml:space="preserve"> 5, </w:t>
            </w:r>
            <w:proofErr w:type="spellStart"/>
            <w:r>
              <w:t>sivu</w:t>
            </w:r>
            <w:proofErr w:type="spellEnd"/>
            <w:r>
              <w:t xml:space="preserve"> 178, 21§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32" w:rsidRPr="00EC7BE3" w:rsidRDefault="00F81BB4" w:rsidP="00833B31">
            <w:pPr>
              <w:jc w:val="both"/>
              <w:rPr>
                <w:szCs w:val="24"/>
                <w:lang w:val="fi-FI"/>
              </w:rPr>
            </w:pPr>
            <w:r w:rsidRPr="00EC7BE3">
              <w:rPr>
                <w:szCs w:val="24"/>
                <w:lang w:val="fi-FI"/>
              </w:rPr>
              <w:t xml:space="preserve">Kuten nykyisessäkin säteilylaissa, toiminnanharjoittajan käsite jää edelleen abstraktiksi. </w:t>
            </w:r>
            <w:proofErr w:type="gramStart"/>
            <w:r w:rsidRPr="00EC7BE3">
              <w:rPr>
                <w:szCs w:val="24"/>
                <w:lang w:val="fi-FI"/>
              </w:rPr>
              <w:t>Vaikka toiminnanharjoittajan vastuuta korostetaan, ja erikseen mainitaan ettei velvollisuuksia vähennä asiantuntijoiden nimeäminen/käyttäminen, on käytännön työssä kuitenkin toiminnanharjoittaja (sairaanhoitopiirin johto) irrallaan säteilyn lääketieteellisestä käytöstä.</w:t>
            </w:r>
            <w:proofErr w:type="gramEnd"/>
            <w:r w:rsidR="00EC7BE3">
              <w:rPr>
                <w:szCs w:val="24"/>
                <w:lang w:val="fi-FI"/>
              </w:rPr>
              <w:t xml:space="preserve"> Käsitettä olisi hyvä täsmentää, samoin säteilyturvallisuusasiantuntijan ja muiden erikseen nimitettävien henkilöiden tosiasiallista asemaa</w:t>
            </w:r>
            <w:r w:rsidR="00534697">
              <w:rPr>
                <w:szCs w:val="24"/>
                <w:lang w:val="fi-FI"/>
              </w:rPr>
              <w:t xml:space="preserve"> (joka mahdollistaa toiminnan)</w:t>
            </w:r>
            <w:r w:rsidR="00EC7BE3">
              <w:rPr>
                <w:szCs w:val="24"/>
                <w:lang w:val="fi-FI"/>
              </w:rPr>
              <w:t xml:space="preserve"> toiminnanharjoittajan organisaatiossa.</w:t>
            </w:r>
          </w:p>
          <w:p w:rsidR="00F81BB4" w:rsidRPr="00EC7BE3" w:rsidRDefault="00F81BB4" w:rsidP="00833B31">
            <w:pPr>
              <w:jc w:val="both"/>
              <w:rPr>
                <w:szCs w:val="24"/>
                <w:lang w:val="fi-F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32" w:rsidRPr="00F81BB4" w:rsidRDefault="000D5632" w:rsidP="00F81BB4">
            <w:pPr>
              <w:pStyle w:val="Default"/>
            </w:pPr>
          </w:p>
        </w:tc>
      </w:tr>
      <w:tr w:rsidR="000D5632" w:rsidRPr="00F81BB4" w:rsidTr="001D14A3">
        <w:tblPrEx>
          <w:tblCellMar>
            <w:left w:w="107" w:type="dxa"/>
            <w:right w:w="107" w:type="dxa"/>
          </w:tblCellMar>
        </w:tblPrEx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32" w:rsidRPr="00F81BB4" w:rsidRDefault="00EC7BE3" w:rsidP="00833B31">
            <w:pPr>
              <w:jc w:val="both"/>
              <w:rPr>
                <w:lang w:val="fi-FI"/>
              </w:rPr>
            </w:pPr>
            <w:r>
              <w:rPr>
                <w:lang w:val="fi-FI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32" w:rsidRPr="00F81BB4" w:rsidRDefault="00E44478" w:rsidP="00E44478">
            <w:pPr>
              <w:jc w:val="both"/>
              <w:rPr>
                <w:lang w:val="fi-FI"/>
              </w:rPr>
            </w:pPr>
            <w:proofErr w:type="spellStart"/>
            <w:r>
              <w:t>Luku</w:t>
            </w:r>
            <w:proofErr w:type="spellEnd"/>
            <w:r>
              <w:t xml:space="preserve"> 5, </w:t>
            </w:r>
            <w:proofErr w:type="spellStart"/>
            <w:r>
              <w:t>sivu</w:t>
            </w:r>
            <w:proofErr w:type="spellEnd"/>
            <w:r>
              <w:t xml:space="preserve"> 1</w:t>
            </w:r>
            <w:r>
              <w:t>80</w:t>
            </w:r>
            <w:r>
              <w:t>, 2</w:t>
            </w:r>
            <w:r>
              <w:t>5</w:t>
            </w:r>
            <w:r>
              <w:t>§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32" w:rsidRPr="00EC7BE3" w:rsidRDefault="00E44478" w:rsidP="00966F2A">
            <w:pPr>
              <w:jc w:val="both"/>
              <w:rPr>
                <w:szCs w:val="24"/>
                <w:lang w:val="fi-FI"/>
              </w:rPr>
            </w:pPr>
            <w:r w:rsidRPr="00EC7BE3">
              <w:rPr>
                <w:szCs w:val="24"/>
                <w:lang w:val="fi-FI"/>
              </w:rPr>
              <w:t>Käsite säteilyturvallisuuden johtamisjärjestelmä jää avoimeksi. Tekstissä todetaan ”</w:t>
            </w:r>
            <w:r w:rsidRPr="00EC7BE3">
              <w:rPr>
                <w:szCs w:val="24"/>
                <w:lang w:val="fi-FI"/>
              </w:rPr>
              <w:t>Johtamisjärjestelmässä esitettäisiin säteilyturvallisuusvastaavan tiedot.</w:t>
            </w:r>
            <w:r w:rsidRPr="00EC7BE3">
              <w:rPr>
                <w:szCs w:val="24"/>
                <w:lang w:val="fi-FI"/>
              </w:rPr>
              <w:t xml:space="preserve">” Mitähän tämä mahtaa tarkoittaa?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32" w:rsidRPr="00F81BB4" w:rsidRDefault="000D5632" w:rsidP="00833B31">
            <w:pPr>
              <w:jc w:val="both"/>
              <w:rPr>
                <w:lang w:val="fi-FI"/>
              </w:rPr>
            </w:pPr>
          </w:p>
        </w:tc>
      </w:tr>
      <w:tr w:rsidR="000D5632" w:rsidRPr="00F81BB4" w:rsidTr="001D14A3">
        <w:tblPrEx>
          <w:tblCellMar>
            <w:left w:w="107" w:type="dxa"/>
            <w:right w:w="107" w:type="dxa"/>
          </w:tblCellMar>
        </w:tblPrEx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32" w:rsidRPr="00F81BB4" w:rsidRDefault="00EC7BE3" w:rsidP="00833B31">
            <w:pPr>
              <w:jc w:val="both"/>
              <w:rPr>
                <w:lang w:val="fi-FI"/>
              </w:rPr>
            </w:pPr>
            <w:r>
              <w:rPr>
                <w:lang w:val="fi-FI"/>
              </w:rPr>
              <w:t>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32" w:rsidRPr="00F81BB4" w:rsidRDefault="00966F2A" w:rsidP="00966F2A">
            <w:pPr>
              <w:jc w:val="both"/>
              <w:rPr>
                <w:lang w:val="fi-FI"/>
              </w:rPr>
            </w:pPr>
            <w:proofErr w:type="spellStart"/>
            <w:r>
              <w:t>Luku</w:t>
            </w:r>
            <w:proofErr w:type="spellEnd"/>
            <w:r>
              <w:t xml:space="preserve"> 5, </w:t>
            </w:r>
            <w:proofErr w:type="spellStart"/>
            <w:r>
              <w:t>sivu</w:t>
            </w:r>
            <w:proofErr w:type="spellEnd"/>
            <w:r>
              <w:t xml:space="preserve"> 180, 2</w:t>
            </w:r>
            <w:r>
              <w:t>6</w:t>
            </w:r>
            <w:r>
              <w:t>§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32" w:rsidRPr="00EC7BE3" w:rsidRDefault="00966F2A" w:rsidP="00966F2A">
            <w:pPr>
              <w:jc w:val="both"/>
              <w:rPr>
                <w:szCs w:val="24"/>
                <w:lang w:val="fi-FI"/>
              </w:rPr>
            </w:pPr>
            <w:r w:rsidRPr="00EC7BE3">
              <w:rPr>
                <w:szCs w:val="24"/>
                <w:lang w:val="fi-FI"/>
              </w:rPr>
              <w:t>”Laadunvarmistusohjelman laadunvarmistustoimet” Tämän voisi varmasti sanoa selkeämmin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32" w:rsidRPr="00F81BB4" w:rsidRDefault="000D5632" w:rsidP="00833B31">
            <w:pPr>
              <w:jc w:val="both"/>
              <w:rPr>
                <w:lang w:val="fi-FI"/>
              </w:rPr>
            </w:pPr>
          </w:p>
        </w:tc>
      </w:tr>
      <w:tr w:rsidR="000D5632" w:rsidRPr="00F81BB4" w:rsidTr="001D14A3">
        <w:tblPrEx>
          <w:tblCellMar>
            <w:left w:w="107" w:type="dxa"/>
            <w:right w:w="107" w:type="dxa"/>
          </w:tblCellMar>
        </w:tblPrEx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32" w:rsidRPr="00F81BB4" w:rsidRDefault="00EC7BE3" w:rsidP="00833B31">
            <w:pPr>
              <w:jc w:val="both"/>
              <w:rPr>
                <w:lang w:val="fi-FI"/>
              </w:rPr>
            </w:pPr>
            <w:r>
              <w:rPr>
                <w:lang w:val="fi-FI"/>
              </w:rPr>
              <w:t>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32" w:rsidRPr="00F81BB4" w:rsidRDefault="00966F2A" w:rsidP="00966F2A">
            <w:pPr>
              <w:jc w:val="both"/>
              <w:rPr>
                <w:lang w:val="fi-FI"/>
              </w:rPr>
            </w:pPr>
            <w:proofErr w:type="spellStart"/>
            <w:r>
              <w:t>Luku</w:t>
            </w:r>
            <w:proofErr w:type="spellEnd"/>
            <w:r>
              <w:t xml:space="preserve"> 5, </w:t>
            </w:r>
            <w:proofErr w:type="spellStart"/>
            <w:r>
              <w:t>sivu</w:t>
            </w:r>
            <w:proofErr w:type="spellEnd"/>
            <w:r>
              <w:t xml:space="preserve"> 18</w:t>
            </w:r>
            <w:r>
              <w:t>1</w:t>
            </w:r>
            <w:r>
              <w:t xml:space="preserve">, </w:t>
            </w:r>
            <w:r>
              <w:t>30</w:t>
            </w:r>
            <w:r>
              <w:t>§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32" w:rsidRPr="00EC7BE3" w:rsidRDefault="00966F2A" w:rsidP="00833B31">
            <w:pPr>
              <w:jc w:val="both"/>
              <w:rPr>
                <w:szCs w:val="24"/>
                <w:lang w:val="fi-FI"/>
              </w:rPr>
            </w:pPr>
            <w:r w:rsidRPr="00EC7BE3">
              <w:rPr>
                <w:szCs w:val="24"/>
                <w:lang w:val="fi-FI"/>
              </w:rPr>
              <w:t>Täydennyskoulutuksen valvontaan on jatkossa syytä panostaa, etenkin lähettävien lääkäreiden osalta. Nyt koulutusvaatimus jää suurimmalta osa</w:t>
            </w:r>
            <w:r w:rsidR="00534697">
              <w:rPr>
                <w:szCs w:val="24"/>
                <w:lang w:val="fi-FI"/>
              </w:rPr>
              <w:t>lta täyttämättä ja perusteluna usein kuullaan se ettei sillä ole mitään seuraamuksia.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32" w:rsidRPr="00F81BB4" w:rsidRDefault="000D5632" w:rsidP="00833B31">
            <w:pPr>
              <w:jc w:val="both"/>
              <w:rPr>
                <w:lang w:val="fi-FI"/>
              </w:rPr>
            </w:pPr>
          </w:p>
        </w:tc>
      </w:tr>
      <w:tr w:rsidR="000D5632" w:rsidRPr="00F81BB4" w:rsidTr="001D14A3">
        <w:tblPrEx>
          <w:tblCellMar>
            <w:left w:w="107" w:type="dxa"/>
            <w:right w:w="107" w:type="dxa"/>
          </w:tblCellMar>
        </w:tblPrEx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32" w:rsidRPr="00F81BB4" w:rsidRDefault="00EC7BE3" w:rsidP="00833B31">
            <w:pPr>
              <w:jc w:val="both"/>
              <w:rPr>
                <w:lang w:val="fi-FI"/>
              </w:rPr>
            </w:pPr>
            <w:r>
              <w:rPr>
                <w:lang w:val="fi-FI"/>
              </w:rPr>
              <w:t>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32" w:rsidRPr="00F81BB4" w:rsidRDefault="00966F2A" w:rsidP="00833B31">
            <w:pPr>
              <w:jc w:val="both"/>
              <w:rPr>
                <w:lang w:val="fi-FI"/>
              </w:rPr>
            </w:pPr>
            <w:r>
              <w:rPr>
                <w:lang w:val="fi-FI"/>
              </w:rPr>
              <w:t>Luku 6, sivu 181, 32§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32" w:rsidRPr="00EC7BE3" w:rsidRDefault="00966F2A" w:rsidP="00833B31">
            <w:pPr>
              <w:jc w:val="both"/>
              <w:rPr>
                <w:szCs w:val="24"/>
                <w:lang w:val="fi-FI"/>
              </w:rPr>
            </w:pPr>
            <w:proofErr w:type="gramStart"/>
            <w:r w:rsidRPr="00EC7BE3">
              <w:rPr>
                <w:szCs w:val="24"/>
                <w:lang w:val="fi-FI"/>
              </w:rPr>
              <w:t>Säteilyturvallisuusasiantuntijan</w:t>
            </w:r>
            <w:r w:rsidR="00534697">
              <w:rPr>
                <w:szCs w:val="24"/>
                <w:lang w:val="fi-FI"/>
              </w:rPr>
              <w:t xml:space="preserve"> </w:t>
            </w:r>
            <w:r w:rsidRPr="00EC7BE3">
              <w:rPr>
                <w:szCs w:val="24"/>
                <w:lang w:val="fi-FI"/>
              </w:rPr>
              <w:t xml:space="preserve"> pätevyysvaatimus</w:t>
            </w:r>
            <w:proofErr w:type="gramEnd"/>
            <w:r w:rsidRPr="00EC7BE3">
              <w:rPr>
                <w:szCs w:val="24"/>
                <w:lang w:val="fi-FI"/>
              </w:rPr>
              <w:t xml:space="preserve"> on jopa absurdi. Teoriassa vaativassa toiminnassakin saattaisi jatkossa toimia </w:t>
            </w:r>
            <w:proofErr w:type="spellStart"/>
            <w:r w:rsidRPr="00EC7BE3">
              <w:rPr>
                <w:szCs w:val="24"/>
                <w:lang w:val="fi-FI"/>
              </w:rPr>
              <w:t>sta:n</w:t>
            </w:r>
            <w:proofErr w:type="spellEnd"/>
            <w:r w:rsidRPr="00EC7BE3">
              <w:rPr>
                <w:szCs w:val="24"/>
                <w:lang w:val="fi-FI"/>
              </w:rPr>
              <w:t xml:space="preserve"> tehtävässä henkilö jolla ei ole sairaalafyysikon pätevyyttä mutta kuitenkin 33§:ssa mainittu säteilysuojelukoulutusohjelma suoritettuna. Tämä ei liene palvele ketään, erillisen </w:t>
            </w:r>
            <w:proofErr w:type="spellStart"/>
            <w:r w:rsidRPr="00EC7BE3">
              <w:rPr>
                <w:szCs w:val="24"/>
                <w:lang w:val="fi-FI"/>
              </w:rPr>
              <w:t>sta-ammattikunnan</w:t>
            </w:r>
            <w:proofErr w:type="spellEnd"/>
            <w:r w:rsidRPr="00EC7BE3">
              <w:rPr>
                <w:szCs w:val="24"/>
                <w:lang w:val="fi-FI"/>
              </w:rPr>
              <w:t xml:space="preserve"> synnyttäminen (jo</w:t>
            </w:r>
            <w:r w:rsidR="00534697">
              <w:rPr>
                <w:szCs w:val="24"/>
                <w:lang w:val="fi-FI"/>
              </w:rPr>
              <w:t xml:space="preserve">nka koulutus ei voine missään olosuhteissa </w:t>
            </w:r>
            <w:proofErr w:type="gramStart"/>
            <w:r w:rsidR="00534697">
              <w:rPr>
                <w:szCs w:val="24"/>
                <w:lang w:val="fi-FI"/>
              </w:rPr>
              <w:t xml:space="preserve">olla </w:t>
            </w:r>
            <w:r w:rsidRPr="00EC7BE3">
              <w:rPr>
                <w:szCs w:val="24"/>
                <w:lang w:val="fi-FI"/>
              </w:rPr>
              <w:t xml:space="preserve"> sairaalafyysikon</w:t>
            </w:r>
            <w:proofErr w:type="gramEnd"/>
            <w:r w:rsidRPr="00EC7BE3">
              <w:rPr>
                <w:szCs w:val="24"/>
                <w:lang w:val="fi-FI"/>
              </w:rPr>
              <w:t xml:space="preserve"> </w:t>
            </w:r>
            <w:r w:rsidR="00534697">
              <w:rPr>
                <w:szCs w:val="24"/>
                <w:lang w:val="fi-FI"/>
              </w:rPr>
              <w:t xml:space="preserve">koulutusta </w:t>
            </w:r>
            <w:proofErr w:type="spellStart"/>
            <w:r w:rsidR="00534697">
              <w:rPr>
                <w:szCs w:val="24"/>
                <w:lang w:val="fi-FI"/>
              </w:rPr>
              <w:t>syvällisempaa</w:t>
            </w:r>
            <w:proofErr w:type="spellEnd"/>
            <w:r w:rsidRPr="00EC7BE3">
              <w:rPr>
                <w:szCs w:val="24"/>
                <w:lang w:val="fi-FI"/>
              </w:rPr>
              <w:t>) on keinotekoista ottaen huomioon maamme vaativan sairaalafyysikkokoulutuksen.</w:t>
            </w:r>
          </w:p>
          <w:p w:rsidR="00966F2A" w:rsidRPr="00EC7BE3" w:rsidRDefault="00966F2A" w:rsidP="00833B31">
            <w:pPr>
              <w:jc w:val="both"/>
              <w:rPr>
                <w:szCs w:val="24"/>
                <w:lang w:val="fi-FI"/>
              </w:rPr>
            </w:pPr>
          </w:p>
          <w:p w:rsidR="00966F2A" w:rsidRPr="00EC7BE3" w:rsidRDefault="00966F2A" w:rsidP="00534697">
            <w:pPr>
              <w:jc w:val="both"/>
              <w:rPr>
                <w:szCs w:val="24"/>
                <w:lang w:val="fi-FI"/>
              </w:rPr>
            </w:pPr>
            <w:r w:rsidRPr="00EC7BE3">
              <w:rPr>
                <w:szCs w:val="24"/>
                <w:lang w:val="fi-FI"/>
              </w:rPr>
              <w:t>Säteilyturvallisuusvastaavan tehtävissä terveydenhuollon röntgentoiminnassa pidän ongelmall</w:t>
            </w:r>
            <w:r w:rsidR="00534697">
              <w:rPr>
                <w:szCs w:val="24"/>
                <w:lang w:val="fi-FI"/>
              </w:rPr>
              <w:t xml:space="preserve">isena röntgenhoitajan pätevyysvaatimusta. </w:t>
            </w:r>
            <w:proofErr w:type="spellStart"/>
            <w:r w:rsidR="00534697">
              <w:rPr>
                <w:szCs w:val="24"/>
                <w:lang w:val="fi-FI"/>
              </w:rPr>
              <w:t>BSS</w:t>
            </w:r>
            <w:r w:rsidRPr="00EC7BE3">
              <w:rPr>
                <w:szCs w:val="24"/>
                <w:lang w:val="fi-FI"/>
              </w:rPr>
              <w:t>-direktiivissä</w:t>
            </w:r>
            <w:proofErr w:type="spellEnd"/>
            <w:r w:rsidRPr="00EC7BE3">
              <w:rPr>
                <w:szCs w:val="24"/>
                <w:lang w:val="fi-FI"/>
              </w:rPr>
              <w:t xml:space="preserve"> asetetut vaatimukset </w:t>
            </w:r>
            <w:r w:rsidR="008B66CA" w:rsidRPr="00EC7BE3">
              <w:rPr>
                <w:szCs w:val="24"/>
                <w:lang w:val="fi-FI"/>
              </w:rPr>
              <w:t>säteilysuojelun vastuuhenkilön tehtävistä eivät</w:t>
            </w:r>
            <w:r w:rsidR="00534697">
              <w:rPr>
                <w:szCs w:val="24"/>
                <w:lang w:val="fi-FI"/>
              </w:rPr>
              <w:t xml:space="preserve"> ole</w:t>
            </w:r>
            <w:r w:rsidR="008B66CA" w:rsidRPr="00EC7BE3">
              <w:rPr>
                <w:szCs w:val="24"/>
                <w:lang w:val="fi-FI"/>
              </w:rPr>
              <w:t xml:space="preserve"> käytännössä </w:t>
            </w:r>
            <w:r w:rsidR="00534697">
              <w:rPr>
                <w:szCs w:val="24"/>
                <w:lang w:val="fi-FI"/>
              </w:rPr>
              <w:t xml:space="preserve">ainakaan </w:t>
            </w:r>
            <w:r w:rsidR="008B66CA" w:rsidRPr="00EC7BE3">
              <w:rPr>
                <w:szCs w:val="24"/>
                <w:lang w:val="fi-FI"/>
              </w:rPr>
              <w:t xml:space="preserve">terveydenhuollon </w:t>
            </w:r>
            <w:r w:rsidR="008B66CA" w:rsidRPr="00EC7BE3">
              <w:rPr>
                <w:szCs w:val="24"/>
                <w:lang w:val="fi-FI"/>
              </w:rPr>
              <w:lastRenderedPageBreak/>
              <w:t>vaativassa röntgentoiminnassa röntgenhoitajan menestyksekkäästi hoidettavissa.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32" w:rsidRPr="00F81BB4" w:rsidRDefault="000D5632" w:rsidP="00833B31">
            <w:pPr>
              <w:jc w:val="both"/>
              <w:rPr>
                <w:lang w:val="fi-FI"/>
              </w:rPr>
            </w:pPr>
          </w:p>
        </w:tc>
      </w:tr>
      <w:tr w:rsidR="000D5632" w:rsidRPr="00F81BB4" w:rsidTr="001D14A3">
        <w:tblPrEx>
          <w:tblCellMar>
            <w:left w:w="107" w:type="dxa"/>
            <w:right w:w="107" w:type="dxa"/>
          </w:tblCellMar>
        </w:tblPrEx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32" w:rsidRPr="00F81BB4" w:rsidRDefault="00EC7BE3" w:rsidP="00833B31">
            <w:pPr>
              <w:jc w:val="both"/>
              <w:rPr>
                <w:lang w:val="fi-FI"/>
              </w:rPr>
            </w:pPr>
            <w:r>
              <w:rPr>
                <w:lang w:val="fi-FI"/>
              </w:rPr>
              <w:lastRenderedPageBreak/>
              <w:t>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32" w:rsidRPr="00F81BB4" w:rsidRDefault="008B66CA" w:rsidP="00833B31">
            <w:pPr>
              <w:jc w:val="both"/>
              <w:rPr>
                <w:lang w:val="fi-FI"/>
              </w:rPr>
            </w:pPr>
            <w:r>
              <w:rPr>
                <w:lang w:val="fi-FI"/>
              </w:rPr>
              <w:t>Luku 9, sivu 185, 45§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97" w:rsidRDefault="008B66CA" w:rsidP="00833B31">
            <w:pPr>
              <w:jc w:val="both"/>
              <w:rPr>
                <w:szCs w:val="24"/>
                <w:lang w:val="fi-FI"/>
              </w:rPr>
            </w:pPr>
            <w:r w:rsidRPr="00EC7BE3">
              <w:rPr>
                <w:szCs w:val="24"/>
                <w:lang w:val="fi-FI"/>
              </w:rPr>
              <w:t xml:space="preserve">”Mittaukseen käytettävän mittarin on oltava asianmukaisesti kalibroitu”. On syytä huomioida että joissakin käyttöpaikoissa käytössä oleva mittauskalusto on suuri. Tämän kaluston kalibroiminen määrävälein </w:t>
            </w:r>
            <w:proofErr w:type="spellStart"/>
            <w:r w:rsidRPr="00EC7BE3">
              <w:rPr>
                <w:szCs w:val="24"/>
                <w:lang w:val="fi-FI"/>
              </w:rPr>
              <w:t>STUKin</w:t>
            </w:r>
            <w:proofErr w:type="spellEnd"/>
            <w:r w:rsidRPr="00EC7BE3">
              <w:rPr>
                <w:szCs w:val="24"/>
                <w:lang w:val="fi-FI"/>
              </w:rPr>
              <w:t xml:space="preserve"> mittanormaalilaboratoriossa s</w:t>
            </w:r>
            <w:r w:rsidR="00534697">
              <w:rPr>
                <w:szCs w:val="24"/>
                <w:lang w:val="fi-FI"/>
              </w:rPr>
              <w:t>ynnyttää mittavia kustannuksia.</w:t>
            </w:r>
          </w:p>
          <w:p w:rsidR="00534697" w:rsidRDefault="00534697" w:rsidP="00833B31">
            <w:pPr>
              <w:jc w:val="both"/>
              <w:rPr>
                <w:szCs w:val="24"/>
                <w:lang w:val="fi-FI"/>
              </w:rPr>
            </w:pPr>
          </w:p>
          <w:p w:rsidR="000D5632" w:rsidRPr="00EC7BE3" w:rsidRDefault="008B66CA" w:rsidP="00833B31">
            <w:pPr>
              <w:jc w:val="both"/>
              <w:rPr>
                <w:szCs w:val="24"/>
                <w:lang w:val="fi-FI"/>
              </w:rPr>
            </w:pPr>
            <w:r w:rsidRPr="00EC7BE3">
              <w:rPr>
                <w:szCs w:val="24"/>
                <w:lang w:val="fi-FI"/>
              </w:rPr>
              <w:t>On toivottavaa hyväksyä käytäntö, jossa yksi (annosnopeus, pintakontaminaatio) mittari kalibroidaan ja muut vastaavat mittarit voidaan todeta hyväksyttäviksi käyttöpaikassa järjestetyn laadunvarmistuksen perusteella.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32" w:rsidRPr="00F81BB4" w:rsidRDefault="000D5632" w:rsidP="00833B31">
            <w:pPr>
              <w:jc w:val="both"/>
              <w:rPr>
                <w:lang w:val="fi-FI"/>
              </w:rPr>
            </w:pPr>
          </w:p>
        </w:tc>
      </w:tr>
      <w:tr w:rsidR="000D5632" w:rsidRPr="00F81BB4" w:rsidTr="001D14A3">
        <w:tblPrEx>
          <w:tblCellMar>
            <w:left w:w="107" w:type="dxa"/>
            <w:right w:w="107" w:type="dxa"/>
          </w:tblCellMar>
        </w:tblPrEx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32" w:rsidRPr="00F81BB4" w:rsidRDefault="00EC7BE3" w:rsidP="00833B31">
            <w:pPr>
              <w:jc w:val="both"/>
              <w:rPr>
                <w:lang w:val="fi-FI"/>
              </w:rPr>
            </w:pPr>
            <w:r>
              <w:rPr>
                <w:lang w:val="fi-FI"/>
              </w:rPr>
              <w:t>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32" w:rsidRPr="00F81BB4" w:rsidRDefault="008B66CA" w:rsidP="00833B31">
            <w:pPr>
              <w:jc w:val="both"/>
              <w:rPr>
                <w:lang w:val="fi-FI"/>
              </w:rPr>
            </w:pPr>
            <w:r>
              <w:rPr>
                <w:lang w:val="fi-FI"/>
              </w:rPr>
              <w:t>Luku 9, sivu 189, 57§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97" w:rsidRDefault="008B66CA" w:rsidP="00833B31">
            <w:pPr>
              <w:jc w:val="both"/>
              <w:rPr>
                <w:szCs w:val="24"/>
                <w:lang w:val="fi-FI"/>
              </w:rPr>
            </w:pPr>
            <w:proofErr w:type="gramStart"/>
            <w:r w:rsidRPr="00EC7BE3">
              <w:rPr>
                <w:szCs w:val="24"/>
                <w:lang w:val="fi-FI"/>
              </w:rPr>
              <w:t>Radioaktiivisten aineiden kuljetus, siltä osin kuin kyseessä on laitteiden laadunvalvontaan käytettävien testilähteiden siirtäminen sairaalasta toiseen olisi hyväksyttävä lääketieteellisen fysiikan asiantuntijan suorittamana ilman erikseen suoritettavaa koulutus</w:t>
            </w:r>
            <w:r w:rsidR="00534697">
              <w:rPr>
                <w:szCs w:val="24"/>
                <w:lang w:val="fi-FI"/>
              </w:rPr>
              <w:t>ta.</w:t>
            </w:r>
            <w:proofErr w:type="gramEnd"/>
            <w:r w:rsidR="00534697">
              <w:rPr>
                <w:szCs w:val="24"/>
                <w:lang w:val="fi-FI"/>
              </w:rPr>
              <w:t xml:space="preserve"> Ei varmasti ole tarkoituksenmukaista että sairaalafyysikot menevät joukolla autokoulujen järjestämille tiedostavan koulutuksen kursseille, joissa autokoulun opettaja antaa koulutusta radioaktiivisten aineiden käsittelemisestä. Tämä olisi varmasti hyvä kohde norminpurkutalkoisiin.</w:t>
            </w:r>
          </w:p>
          <w:p w:rsidR="00534697" w:rsidRDefault="00534697" w:rsidP="00833B31">
            <w:pPr>
              <w:jc w:val="both"/>
              <w:rPr>
                <w:szCs w:val="24"/>
                <w:lang w:val="fi-FI"/>
              </w:rPr>
            </w:pPr>
          </w:p>
          <w:p w:rsidR="000D5632" w:rsidRPr="00EC7BE3" w:rsidRDefault="008B66CA" w:rsidP="00833B31">
            <w:pPr>
              <w:jc w:val="both"/>
              <w:rPr>
                <w:szCs w:val="24"/>
                <w:lang w:val="fi-FI"/>
              </w:rPr>
            </w:pPr>
            <w:r w:rsidRPr="00EC7BE3">
              <w:rPr>
                <w:szCs w:val="24"/>
                <w:lang w:val="fi-FI"/>
              </w:rPr>
              <w:t>Asiantuntijan suorittama kuljetus</w:t>
            </w:r>
            <w:r w:rsidR="00534697">
              <w:rPr>
                <w:szCs w:val="24"/>
                <w:lang w:val="fi-FI"/>
              </w:rPr>
              <w:t xml:space="preserve"> erillisellä ajoneuvolla</w:t>
            </w:r>
            <w:r w:rsidRPr="00EC7BE3">
              <w:rPr>
                <w:szCs w:val="24"/>
                <w:lang w:val="fi-FI"/>
              </w:rPr>
              <w:t xml:space="preserve"> ei altista ulkopuolisia henkilöitä, eikä lähteiden aktiivisuus/annosnopeus huomioiden ole järkevää soveltaa tähän normaalia kuljetussäännöstöä. On syytä huomata että isotooppitutkimuksessa/hoidossa ollut potilas on annosnopeudeltaan joissakin tapauksissa merkittävästi</w:t>
            </w:r>
            <w:r w:rsidR="00534697">
              <w:rPr>
                <w:szCs w:val="24"/>
                <w:lang w:val="fi-FI"/>
              </w:rPr>
              <w:t xml:space="preserve"> suurempi kuin em. testilähteet ja potilaat voivat matkustaa myös joukkoliikennettä käyttäen. Asianmukaisesti suojattu, pakattu ja merkitty lähde ei altista ulkopuolisia myöskään onnettomuustilanteissa.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32" w:rsidRPr="00F81BB4" w:rsidRDefault="000D5632" w:rsidP="00833B31">
            <w:pPr>
              <w:jc w:val="both"/>
              <w:rPr>
                <w:lang w:val="fi-FI"/>
              </w:rPr>
            </w:pPr>
          </w:p>
        </w:tc>
      </w:tr>
      <w:tr w:rsidR="000D5632" w:rsidRPr="00F81BB4" w:rsidTr="001D14A3">
        <w:tblPrEx>
          <w:tblCellMar>
            <w:left w:w="107" w:type="dxa"/>
            <w:right w:w="107" w:type="dxa"/>
          </w:tblCellMar>
        </w:tblPrEx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32" w:rsidRPr="00F81BB4" w:rsidRDefault="00EC7BE3" w:rsidP="00833B31">
            <w:pPr>
              <w:jc w:val="both"/>
              <w:rPr>
                <w:lang w:val="fi-FI"/>
              </w:rPr>
            </w:pPr>
            <w:r>
              <w:rPr>
                <w:lang w:val="fi-FI"/>
              </w:rPr>
              <w:t>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32" w:rsidRPr="00F81BB4" w:rsidRDefault="00EC7BE3" w:rsidP="00833B31">
            <w:pPr>
              <w:jc w:val="both"/>
              <w:rPr>
                <w:lang w:val="fi-FI"/>
              </w:rPr>
            </w:pPr>
            <w:r>
              <w:rPr>
                <w:lang w:val="fi-FI"/>
              </w:rPr>
              <w:t>Luku 16, sivu 204, 110§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E3" w:rsidRPr="00EC7BE3" w:rsidRDefault="00534697" w:rsidP="00833B31">
            <w:pPr>
              <w:jc w:val="both"/>
              <w:rPr>
                <w:szCs w:val="24"/>
                <w:lang w:val="fi-FI"/>
              </w:rPr>
            </w:pPr>
            <w:r>
              <w:rPr>
                <w:szCs w:val="24"/>
                <w:lang w:val="fi-FI"/>
              </w:rPr>
              <w:t>”</w:t>
            </w:r>
            <w:r w:rsidR="00EC7BE3" w:rsidRPr="00EC7BE3">
              <w:rPr>
                <w:szCs w:val="24"/>
                <w:lang w:val="fi-FI"/>
              </w:rPr>
              <w:t>Työnantajan on huolehdittava, että säteilyvaaratyöntekijä saa säännöllisin väliajoin riittävää koulutusta säteilyvaaratilanteen aikaisiin suojelu- ja pelastustoimiin liittyvistä terveysriskeistä ja niiltä suojautumiselta.</w:t>
            </w:r>
            <w:r>
              <w:rPr>
                <w:szCs w:val="24"/>
                <w:lang w:val="fi-FI"/>
              </w:rPr>
              <w:t>”</w:t>
            </w:r>
          </w:p>
          <w:p w:rsidR="00EC7BE3" w:rsidRPr="00EC7BE3" w:rsidRDefault="00EC7BE3" w:rsidP="00833B31">
            <w:pPr>
              <w:jc w:val="both"/>
              <w:rPr>
                <w:szCs w:val="24"/>
                <w:lang w:val="fi-FI"/>
              </w:rPr>
            </w:pPr>
          </w:p>
          <w:p w:rsidR="00EC7BE3" w:rsidRPr="00EC7BE3" w:rsidRDefault="00EC7BE3" w:rsidP="00833B31">
            <w:pPr>
              <w:jc w:val="both"/>
              <w:rPr>
                <w:szCs w:val="24"/>
                <w:lang w:val="fi-FI"/>
              </w:rPr>
            </w:pPr>
            <w:r w:rsidRPr="00EC7BE3">
              <w:rPr>
                <w:szCs w:val="24"/>
                <w:lang w:val="fi-FI"/>
              </w:rPr>
              <w:t xml:space="preserve">Tämä koulutus on syytä määritellä (sisältö, laajuus, kouluttajan pätevyys) riittävän yksityiskohtaisesti. Muussa tapauksessa työnantajien tulkinta vaikuttaa toteutumiseen merkittävästi. On syytä huomioida </w:t>
            </w:r>
            <w:r w:rsidR="00534697">
              <w:rPr>
                <w:szCs w:val="24"/>
                <w:lang w:val="fi-FI"/>
              </w:rPr>
              <w:t xml:space="preserve">myös </w:t>
            </w:r>
            <w:r w:rsidRPr="00EC7BE3">
              <w:rPr>
                <w:szCs w:val="24"/>
                <w:lang w:val="fi-FI"/>
              </w:rPr>
              <w:t>paikalliset erityisolosuhteet, esimerkiksi ydinvoimalaitosten läheisyys.</w:t>
            </w:r>
          </w:p>
          <w:p w:rsidR="00EC7BE3" w:rsidRPr="00EC7BE3" w:rsidRDefault="00EC7BE3" w:rsidP="00833B31">
            <w:pPr>
              <w:jc w:val="both"/>
              <w:rPr>
                <w:szCs w:val="24"/>
                <w:lang w:val="fi-F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32" w:rsidRPr="00F81BB4" w:rsidRDefault="000D5632" w:rsidP="00833B31">
            <w:pPr>
              <w:jc w:val="both"/>
              <w:rPr>
                <w:lang w:val="fi-FI"/>
              </w:rPr>
            </w:pPr>
          </w:p>
        </w:tc>
      </w:tr>
    </w:tbl>
    <w:p w:rsidR="00A200BF" w:rsidRPr="00F81BB4" w:rsidRDefault="00A200BF">
      <w:pPr>
        <w:jc w:val="both"/>
        <w:rPr>
          <w:lang w:val="fi-FI"/>
        </w:rPr>
      </w:pPr>
    </w:p>
    <w:sectPr w:rsidR="00A200BF" w:rsidRPr="00F81BB4">
      <w:pgSz w:w="16840" w:h="11907" w:orient="landscape" w:code="9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1D6"/>
    <w:rsid w:val="000134E4"/>
    <w:rsid w:val="0003320A"/>
    <w:rsid w:val="0008187B"/>
    <w:rsid w:val="000D5632"/>
    <w:rsid w:val="000D696C"/>
    <w:rsid w:val="001741D6"/>
    <w:rsid w:val="001D14A3"/>
    <w:rsid w:val="002E73D5"/>
    <w:rsid w:val="00372EF0"/>
    <w:rsid w:val="004B650A"/>
    <w:rsid w:val="004E0BF0"/>
    <w:rsid w:val="00534697"/>
    <w:rsid w:val="00560B50"/>
    <w:rsid w:val="005D605E"/>
    <w:rsid w:val="0070535E"/>
    <w:rsid w:val="00710BC3"/>
    <w:rsid w:val="00731DC2"/>
    <w:rsid w:val="00814E65"/>
    <w:rsid w:val="0082161C"/>
    <w:rsid w:val="00833B31"/>
    <w:rsid w:val="00872F0B"/>
    <w:rsid w:val="008B66CA"/>
    <w:rsid w:val="008C50AB"/>
    <w:rsid w:val="0090292E"/>
    <w:rsid w:val="00966F2A"/>
    <w:rsid w:val="009B7156"/>
    <w:rsid w:val="009E0617"/>
    <w:rsid w:val="00A200BF"/>
    <w:rsid w:val="00A8273A"/>
    <w:rsid w:val="00B961D9"/>
    <w:rsid w:val="00CC5251"/>
    <w:rsid w:val="00E27A79"/>
    <w:rsid w:val="00E44478"/>
    <w:rsid w:val="00EC7BE3"/>
    <w:rsid w:val="00EF645A"/>
    <w:rsid w:val="00F81BB4"/>
    <w:rsid w:val="00FC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link w:val="LeiptekstiChar"/>
    <w:semiHidden/>
    <w:rsid w:val="00372EF0"/>
    <w:pPr>
      <w:spacing w:after="120" w:line="260" w:lineRule="atLeast"/>
      <w:jc w:val="both"/>
    </w:pPr>
    <w:rPr>
      <w:sz w:val="24"/>
      <w:lang w:eastAsia="en-US"/>
    </w:rPr>
  </w:style>
  <w:style w:type="character" w:customStyle="1" w:styleId="LeiptekstiChar">
    <w:name w:val="Leipäteksti Char"/>
    <w:link w:val="Leipteksti"/>
    <w:semiHidden/>
    <w:rsid w:val="00372EF0"/>
    <w:rPr>
      <w:sz w:val="24"/>
      <w:lang w:eastAsia="en-US" w:bidi="ar-SA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10BC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10BC3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F81BB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link w:val="LeiptekstiChar"/>
    <w:semiHidden/>
    <w:rsid w:val="00372EF0"/>
    <w:pPr>
      <w:spacing w:after="120" w:line="260" w:lineRule="atLeast"/>
      <w:jc w:val="both"/>
    </w:pPr>
    <w:rPr>
      <w:sz w:val="24"/>
      <w:lang w:eastAsia="en-US"/>
    </w:rPr>
  </w:style>
  <w:style w:type="character" w:customStyle="1" w:styleId="LeiptekstiChar">
    <w:name w:val="Leipäteksti Char"/>
    <w:link w:val="Leipteksti"/>
    <w:semiHidden/>
    <w:rsid w:val="00372EF0"/>
    <w:rPr>
      <w:sz w:val="24"/>
      <w:lang w:eastAsia="en-US" w:bidi="ar-SA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10BC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10BC3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F81BB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EF62D-6B58-41B6-88C6-0B9A25885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3B1FA527.dotm</Template>
  <TotalTime>1</TotalTime>
  <Pages>2</Pages>
  <Words>448</Words>
  <Characters>4281</Characters>
  <Application>Microsoft Office Word</Application>
  <DocSecurity>4</DocSecurity>
  <Lines>35</Lines>
  <Paragraphs>9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Safety Standards Series: Title</vt:lpstr>
      </vt:variant>
      <vt:variant>
        <vt:i4>0</vt:i4>
      </vt:variant>
    </vt:vector>
  </HeadingPairs>
  <TitlesOfParts>
    <vt:vector size="2" baseType="lpstr">
      <vt:lpstr>Safety Standards Series: Title</vt:lpstr>
      <vt:lpstr>Safety Standards Series: Title</vt:lpstr>
    </vt:vector>
  </TitlesOfParts>
  <Company>IAEA</Company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Standards Series: Title</dc:title>
  <dc:creator>Mason</dc:creator>
  <cp:lastModifiedBy>Tunninen Virpi Ilona</cp:lastModifiedBy>
  <cp:revision>2</cp:revision>
  <cp:lastPrinted>2015-05-28T13:59:00Z</cp:lastPrinted>
  <dcterms:created xsi:type="dcterms:W3CDTF">2017-01-08T14:10:00Z</dcterms:created>
  <dcterms:modified xsi:type="dcterms:W3CDTF">2017-01-08T14:10:00Z</dcterms:modified>
</cp:coreProperties>
</file>